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theme/themeOverride1.xml" ContentType="application/vnd.openxmlformats-officedocument.themeOverride+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theme/themeOverride2.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209" w:rsidRPr="00B557E8" w:rsidRDefault="00E81671" w:rsidP="00B557E8">
      <w:pPr>
        <w:spacing w:before="120" w:after="120" w:line="276" w:lineRule="auto"/>
        <w:rPr>
          <w:color w:val="000000" w:themeColor="text1"/>
          <w:szCs w:val="24"/>
          <w:highlight w:val="yellow"/>
        </w:rPr>
      </w:pPr>
      <w:bookmarkStart w:id="0" w:name="OLE_LINK4"/>
      <w:bookmarkStart w:id="1" w:name="OLE_LINK5"/>
      <w:r w:rsidRPr="00B557E8">
        <w:rPr>
          <w:noProof/>
          <w:color w:val="000000" w:themeColor="text1"/>
          <w:szCs w:val="24"/>
          <w:highlight w:val="yellow"/>
          <w:lang w:eastAsia="lv-LV"/>
        </w:rPr>
        <w:drawing>
          <wp:anchor distT="0" distB="0" distL="114300" distR="114300" simplePos="0" relativeHeight="251657216" behindDoc="0" locked="0" layoutInCell="1" allowOverlap="1" wp14:anchorId="7610781F" wp14:editId="70DD4388">
            <wp:simplePos x="0" y="0"/>
            <wp:positionH relativeFrom="column">
              <wp:posOffset>577850</wp:posOffset>
            </wp:positionH>
            <wp:positionV relativeFrom="paragraph">
              <wp:posOffset>-314960</wp:posOffset>
            </wp:positionV>
            <wp:extent cx="2604770" cy="701675"/>
            <wp:effectExtent l="0" t="0" r="5080" b="3175"/>
            <wp:wrapSquare wrapText="bothSides"/>
            <wp:docPr id="26" name="Picture 27" descr="Description: Description: Description: Swiss Contribution_garaa_vers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Description: Description: Swiss Contribution_garaa_versija"/>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0477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57E8">
        <w:rPr>
          <w:noProof/>
          <w:color w:val="000000" w:themeColor="text1"/>
          <w:szCs w:val="24"/>
          <w:highlight w:val="yellow"/>
          <w:lang w:eastAsia="lv-LV"/>
        </w:rPr>
        <w:drawing>
          <wp:anchor distT="0" distB="0" distL="114300" distR="114300" simplePos="0" relativeHeight="251658240" behindDoc="0" locked="0" layoutInCell="1" allowOverlap="1" wp14:anchorId="7374A56D" wp14:editId="5CFB2B86">
            <wp:simplePos x="0" y="0"/>
            <wp:positionH relativeFrom="column">
              <wp:posOffset>3204210</wp:posOffset>
            </wp:positionH>
            <wp:positionV relativeFrom="paragraph">
              <wp:posOffset>-433070</wp:posOffset>
            </wp:positionV>
            <wp:extent cx="1329055" cy="935355"/>
            <wp:effectExtent l="0" t="0" r="4445" b="0"/>
            <wp:wrapSquare wrapText="bothSides"/>
            <wp:docPr id="25" name="Picture 12" descr="Description: http://www.eeagrants.lv/images/logo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http://www.eeagrants.lv/images/logo_left.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29055"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57E8">
        <w:rPr>
          <w:noProof/>
          <w:color w:val="000000" w:themeColor="text1"/>
          <w:szCs w:val="24"/>
          <w:highlight w:val="yellow"/>
          <w:lang w:eastAsia="lv-LV"/>
        </w:rPr>
        <w:drawing>
          <wp:anchor distT="0" distB="0" distL="114300" distR="114300" simplePos="0" relativeHeight="251656192" behindDoc="0" locked="0" layoutInCell="1" allowOverlap="1" wp14:anchorId="2AC1A74C" wp14:editId="623BCC80">
            <wp:simplePos x="0" y="0"/>
            <wp:positionH relativeFrom="column">
              <wp:posOffset>-574675</wp:posOffset>
            </wp:positionH>
            <wp:positionV relativeFrom="paragraph">
              <wp:posOffset>-409575</wp:posOffset>
            </wp:positionV>
            <wp:extent cx="1137285" cy="924560"/>
            <wp:effectExtent l="0" t="0" r="5715" b="8890"/>
            <wp:wrapSquare wrapText="bothSides"/>
            <wp:docPr id="24" name="Picture 26" descr="Description: http://www.esfondi.lv/upload/Logotipi/EK_logo_ar_atsauc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http://www.esfondi.lv/upload/Logotipi/EK_logo_ar_atsauci.bmp"/>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137285"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57E8">
        <w:rPr>
          <w:noProof/>
          <w:color w:val="000000" w:themeColor="text1"/>
          <w:szCs w:val="24"/>
          <w:highlight w:val="yellow"/>
          <w:lang w:eastAsia="lv-LV"/>
        </w:rPr>
        <w:drawing>
          <wp:anchor distT="0" distB="0" distL="114300" distR="114300" simplePos="0" relativeHeight="251659264" behindDoc="0" locked="0" layoutInCell="1" allowOverlap="1" wp14:anchorId="2B2125B0" wp14:editId="31AFACF3">
            <wp:simplePos x="0" y="0"/>
            <wp:positionH relativeFrom="column">
              <wp:posOffset>4532630</wp:posOffset>
            </wp:positionH>
            <wp:positionV relativeFrom="paragraph">
              <wp:posOffset>-423545</wp:posOffset>
            </wp:positionV>
            <wp:extent cx="1488440" cy="924560"/>
            <wp:effectExtent l="0" t="0" r="0" b="8890"/>
            <wp:wrapSquare wrapText="bothSides"/>
            <wp:docPr id="23" name="Picture 9" descr="Description: cid:image011.png@01CBC3A8.FD1A1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id:image011.png@01CBC3A8.FD1A1C6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488440" cy="924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209" w:rsidRPr="00B557E8" w:rsidRDefault="00FF4209" w:rsidP="00B557E8">
      <w:pPr>
        <w:pStyle w:val="BodyText"/>
        <w:spacing w:before="120" w:after="120" w:line="276" w:lineRule="auto"/>
        <w:jc w:val="both"/>
        <w:rPr>
          <w:color w:val="000000" w:themeColor="text1"/>
          <w:highlight w:val="yellow"/>
          <w:lang w:val="lv-LV"/>
        </w:rPr>
      </w:pPr>
    </w:p>
    <w:p w:rsidR="00FF4209" w:rsidRPr="00B557E8" w:rsidRDefault="00FF4209" w:rsidP="00B557E8">
      <w:pPr>
        <w:pStyle w:val="BodyText"/>
        <w:spacing w:before="120" w:after="120" w:line="276" w:lineRule="auto"/>
        <w:jc w:val="both"/>
        <w:rPr>
          <w:color w:val="000000" w:themeColor="text1"/>
          <w:highlight w:val="yellow"/>
          <w:lang w:val="lv-LV"/>
        </w:rPr>
      </w:pPr>
    </w:p>
    <w:p w:rsidR="00FF4209" w:rsidRPr="00B557E8" w:rsidRDefault="00FF4209" w:rsidP="00B557E8">
      <w:pPr>
        <w:pStyle w:val="BodyText"/>
        <w:spacing w:before="120" w:after="120" w:line="276" w:lineRule="auto"/>
        <w:jc w:val="both"/>
        <w:rPr>
          <w:color w:val="000000" w:themeColor="text1"/>
          <w:highlight w:val="yellow"/>
          <w:lang w:val="lv-LV"/>
        </w:rPr>
      </w:pPr>
    </w:p>
    <w:p w:rsidR="00FF4209" w:rsidRPr="00B557E8" w:rsidRDefault="00FF4209" w:rsidP="00B557E8">
      <w:pPr>
        <w:pStyle w:val="BodyText"/>
        <w:spacing w:before="120" w:after="120" w:line="276" w:lineRule="auto"/>
        <w:jc w:val="both"/>
        <w:rPr>
          <w:color w:val="000000" w:themeColor="text1"/>
          <w:highlight w:val="yellow"/>
          <w:lang w:val="lv-LV"/>
        </w:rPr>
      </w:pPr>
    </w:p>
    <w:p w:rsidR="00FF4209" w:rsidRPr="00B557E8" w:rsidRDefault="00FF4209" w:rsidP="00B557E8">
      <w:pPr>
        <w:pStyle w:val="BodyText"/>
        <w:spacing w:before="120" w:after="120" w:line="276" w:lineRule="auto"/>
        <w:jc w:val="both"/>
        <w:rPr>
          <w:color w:val="000000" w:themeColor="text1"/>
          <w:highlight w:val="yellow"/>
          <w:lang w:val="lv-LV"/>
        </w:rPr>
      </w:pPr>
    </w:p>
    <w:p w:rsidR="00FF4209" w:rsidRPr="00B557E8" w:rsidRDefault="00FF4209" w:rsidP="00B557E8">
      <w:pPr>
        <w:pStyle w:val="BodyText"/>
        <w:spacing w:before="120" w:after="120" w:line="276" w:lineRule="auto"/>
        <w:jc w:val="both"/>
        <w:rPr>
          <w:color w:val="000000" w:themeColor="text1"/>
          <w:highlight w:val="yellow"/>
          <w:lang w:val="lv-LV"/>
        </w:rPr>
      </w:pPr>
    </w:p>
    <w:p w:rsidR="00FF4209" w:rsidRPr="00B557E8" w:rsidRDefault="00FF4209" w:rsidP="00B557E8">
      <w:pPr>
        <w:pStyle w:val="BodyText"/>
        <w:spacing w:before="120" w:after="120" w:line="276" w:lineRule="auto"/>
        <w:jc w:val="both"/>
        <w:rPr>
          <w:color w:val="000000" w:themeColor="text1"/>
          <w:highlight w:val="yellow"/>
          <w:lang w:val="lv-LV"/>
        </w:rPr>
      </w:pPr>
    </w:p>
    <w:p w:rsidR="00FF4209" w:rsidRPr="00B557E8" w:rsidRDefault="00FF4209" w:rsidP="00B557E8">
      <w:pPr>
        <w:pStyle w:val="BodyText"/>
        <w:spacing w:before="120" w:after="120" w:line="276" w:lineRule="auto"/>
        <w:jc w:val="center"/>
        <w:rPr>
          <w:color w:val="000000" w:themeColor="text1"/>
          <w:lang w:val="lv-LV"/>
        </w:rPr>
      </w:pPr>
    </w:p>
    <w:p w:rsidR="00392FDF" w:rsidRPr="00B557E8" w:rsidDel="00392FDF" w:rsidRDefault="001947E2" w:rsidP="00B557E8">
      <w:pPr>
        <w:pStyle w:val="BodyText"/>
        <w:spacing w:before="120" w:after="120" w:line="276" w:lineRule="auto"/>
        <w:jc w:val="center"/>
        <w:rPr>
          <w:color w:val="000000" w:themeColor="text1"/>
          <w:lang w:val="lv-LV"/>
        </w:rPr>
      </w:pPr>
      <w:bookmarkStart w:id="2" w:name="OLE_LINK8"/>
      <w:bookmarkStart w:id="3" w:name="OLE_LINK9"/>
      <w:r w:rsidRPr="00B557E8">
        <w:rPr>
          <w:color w:val="000000" w:themeColor="text1"/>
          <w:lang w:val="lv-LV"/>
        </w:rPr>
        <w:t>I</w:t>
      </w:r>
      <w:r w:rsidR="00596455" w:rsidRPr="00B557E8">
        <w:rPr>
          <w:color w:val="000000" w:themeColor="text1"/>
          <w:lang w:val="lv-LV"/>
        </w:rPr>
        <w:t>nformatīvais ziņojums par</w:t>
      </w:r>
    </w:p>
    <w:p w:rsidR="00596455" w:rsidRPr="00B557E8" w:rsidRDefault="00596455" w:rsidP="00B557E8">
      <w:pPr>
        <w:pStyle w:val="Title"/>
        <w:spacing w:before="120" w:after="120" w:line="276" w:lineRule="auto"/>
        <w:rPr>
          <w:color w:val="000000" w:themeColor="text1"/>
          <w:sz w:val="24"/>
          <w:szCs w:val="24"/>
          <w:lang w:val="lv-LV"/>
        </w:rPr>
      </w:pPr>
      <w:r w:rsidRPr="00B557E8">
        <w:rPr>
          <w:color w:val="000000" w:themeColor="text1"/>
          <w:sz w:val="24"/>
          <w:szCs w:val="24"/>
          <w:lang w:val="lv-LV"/>
        </w:rPr>
        <w:t xml:space="preserve">Eiropas Savienības struktūrfondu un Kohēzijas fonda, Eiropas Ekonomikas zonas finanšu instrumenta, Norvēģijas valdības divpusējā finanšu instrumenta un Latvijas un </w:t>
      </w:r>
      <w:r w:rsidR="00392FDF" w:rsidRPr="00B557E8">
        <w:rPr>
          <w:color w:val="000000" w:themeColor="text1"/>
          <w:sz w:val="24"/>
          <w:szCs w:val="24"/>
          <w:lang w:val="lv-LV"/>
        </w:rPr>
        <w:t>Šveices sadarbības programmas</w:t>
      </w:r>
      <w:r w:rsidRPr="00B557E8">
        <w:rPr>
          <w:color w:val="000000" w:themeColor="text1"/>
          <w:sz w:val="24"/>
          <w:szCs w:val="24"/>
          <w:lang w:val="lv-LV"/>
        </w:rPr>
        <w:t xml:space="preserve"> apguvi</w:t>
      </w:r>
    </w:p>
    <w:p w:rsidR="00596455" w:rsidRPr="00B557E8" w:rsidRDefault="00F77C0D" w:rsidP="00B557E8">
      <w:pPr>
        <w:pStyle w:val="Title"/>
        <w:spacing w:before="120" w:after="120" w:line="276" w:lineRule="auto"/>
        <w:rPr>
          <w:color w:val="000000" w:themeColor="text1"/>
          <w:sz w:val="24"/>
          <w:szCs w:val="24"/>
          <w:lang w:val="lv-LV"/>
        </w:rPr>
      </w:pPr>
      <w:r w:rsidRPr="00B557E8">
        <w:rPr>
          <w:color w:val="000000" w:themeColor="text1"/>
          <w:sz w:val="24"/>
          <w:szCs w:val="24"/>
          <w:lang w:val="lv-LV"/>
        </w:rPr>
        <w:t>līdz 2011.gada 30.</w:t>
      </w:r>
      <w:r w:rsidR="00043780" w:rsidRPr="00B557E8">
        <w:rPr>
          <w:color w:val="000000" w:themeColor="text1"/>
          <w:sz w:val="24"/>
          <w:szCs w:val="24"/>
          <w:lang w:val="lv-LV"/>
        </w:rPr>
        <w:t>septembrim</w:t>
      </w:r>
    </w:p>
    <w:bookmarkEnd w:id="2"/>
    <w:bookmarkEnd w:id="3"/>
    <w:p w:rsidR="00FF4209" w:rsidRPr="00B557E8" w:rsidRDefault="00FF4209" w:rsidP="00B557E8">
      <w:pPr>
        <w:pStyle w:val="BodyText"/>
        <w:spacing w:before="120" w:after="120" w:line="276" w:lineRule="auto"/>
        <w:jc w:val="both"/>
        <w:rPr>
          <w:color w:val="000000" w:themeColor="text1"/>
          <w:highlight w:val="yellow"/>
          <w:lang w:val="lv-LV"/>
        </w:rPr>
      </w:pPr>
    </w:p>
    <w:p w:rsidR="00111702" w:rsidRPr="00B557E8" w:rsidRDefault="00111702" w:rsidP="00B557E8">
      <w:pPr>
        <w:spacing w:before="120" w:after="120" w:line="276" w:lineRule="auto"/>
        <w:rPr>
          <w:b/>
          <w:bCs/>
          <w:color w:val="000000" w:themeColor="text1"/>
          <w:szCs w:val="24"/>
          <w:highlight w:val="yellow"/>
        </w:rPr>
      </w:pPr>
      <w:r w:rsidRPr="00B557E8">
        <w:rPr>
          <w:b/>
          <w:bCs/>
          <w:color w:val="000000" w:themeColor="text1"/>
          <w:szCs w:val="24"/>
          <w:highlight w:val="yellow"/>
        </w:rPr>
        <w:br w:type="page"/>
      </w:r>
    </w:p>
    <w:p w:rsidR="0042642A" w:rsidRPr="00B557E8" w:rsidRDefault="0042642A" w:rsidP="00B557E8">
      <w:pPr>
        <w:pStyle w:val="1lmenis"/>
        <w:numPr>
          <w:ilvl w:val="0"/>
          <w:numId w:val="0"/>
        </w:numPr>
        <w:spacing w:before="120" w:after="120" w:line="276" w:lineRule="auto"/>
        <w:ind w:left="491"/>
        <w:rPr>
          <w:rFonts w:ascii="Times New Roman" w:hAnsi="Times New Roman"/>
          <w:color w:val="000000" w:themeColor="text1"/>
          <w:sz w:val="24"/>
          <w:szCs w:val="24"/>
          <w:lang w:val="lv-LV"/>
        </w:rPr>
      </w:pPr>
      <w:bookmarkStart w:id="4" w:name="_Toc293402658"/>
      <w:bookmarkStart w:id="5" w:name="_Toc308774227"/>
      <w:r w:rsidRPr="00B557E8">
        <w:rPr>
          <w:rFonts w:ascii="Times New Roman" w:hAnsi="Times New Roman"/>
          <w:color w:val="000000" w:themeColor="text1"/>
          <w:sz w:val="24"/>
          <w:szCs w:val="24"/>
          <w:lang w:val="lv-LV"/>
        </w:rPr>
        <w:lastRenderedPageBreak/>
        <w:t>Satura rādītājs</w:t>
      </w:r>
      <w:bookmarkEnd w:id="4"/>
      <w:bookmarkEnd w:id="5"/>
    </w:p>
    <w:bookmarkStart w:id="6" w:name="_Toc276049969"/>
    <w:bookmarkStart w:id="7" w:name="_Toc290449010"/>
    <w:p w:rsidR="0095325F" w:rsidRPr="00B557E8" w:rsidRDefault="00F770EA" w:rsidP="00B557E8">
      <w:pPr>
        <w:pStyle w:val="TOC1"/>
        <w:spacing w:before="120" w:after="120" w:line="276" w:lineRule="auto"/>
        <w:rPr>
          <w:rFonts w:ascii="Times New Roman" w:eastAsiaTheme="minorEastAsia" w:hAnsi="Times New Roman"/>
          <w:b w:val="0"/>
          <w:bCs w:val="0"/>
          <w:caps w:val="0"/>
          <w:noProof/>
          <w:color w:val="000000" w:themeColor="text1"/>
          <w:szCs w:val="24"/>
          <w:lang w:eastAsia="lv-LV"/>
        </w:rPr>
      </w:pPr>
      <w:r w:rsidRPr="00B557E8">
        <w:rPr>
          <w:rFonts w:ascii="Times New Roman" w:hAnsi="Times New Roman"/>
          <w:b w:val="0"/>
          <w:color w:val="000000" w:themeColor="text1"/>
          <w:szCs w:val="24"/>
          <w:highlight w:val="yellow"/>
        </w:rPr>
        <w:fldChar w:fldCharType="begin"/>
      </w:r>
      <w:r w:rsidRPr="00B557E8">
        <w:rPr>
          <w:rFonts w:ascii="Times New Roman" w:hAnsi="Times New Roman"/>
          <w:b w:val="0"/>
          <w:color w:val="000000" w:themeColor="text1"/>
          <w:szCs w:val="24"/>
          <w:highlight w:val="yellow"/>
        </w:rPr>
        <w:instrText xml:space="preserve"> TOC \o "1-3" \h \z \u </w:instrText>
      </w:r>
      <w:r w:rsidRPr="00B557E8">
        <w:rPr>
          <w:rFonts w:ascii="Times New Roman" w:hAnsi="Times New Roman"/>
          <w:b w:val="0"/>
          <w:color w:val="000000" w:themeColor="text1"/>
          <w:szCs w:val="24"/>
          <w:highlight w:val="yellow"/>
        </w:rPr>
        <w:fldChar w:fldCharType="separate"/>
      </w:r>
      <w:hyperlink w:anchor="_Toc308774227" w:history="1">
        <w:r w:rsidR="0095325F" w:rsidRPr="00B557E8">
          <w:rPr>
            <w:rStyle w:val="Hyperlink"/>
            <w:rFonts w:ascii="Times New Roman" w:hAnsi="Times New Roman" w:cs="Times New Roman"/>
            <w:b w:val="0"/>
            <w:noProof/>
            <w:color w:val="000000" w:themeColor="text1"/>
            <w:sz w:val="24"/>
            <w:szCs w:val="24"/>
          </w:rPr>
          <w:t>Satura rādītājs</w:t>
        </w:r>
        <w:r w:rsidR="0095325F" w:rsidRPr="00B557E8">
          <w:rPr>
            <w:rFonts w:ascii="Times New Roman" w:hAnsi="Times New Roman"/>
            <w:b w:val="0"/>
            <w:noProof/>
            <w:webHidden/>
            <w:color w:val="000000" w:themeColor="text1"/>
            <w:szCs w:val="24"/>
          </w:rPr>
          <w:tab/>
        </w:r>
        <w:r w:rsidR="0095325F" w:rsidRPr="00B557E8">
          <w:rPr>
            <w:rFonts w:ascii="Times New Roman" w:hAnsi="Times New Roman"/>
            <w:b w:val="0"/>
            <w:noProof/>
            <w:webHidden/>
            <w:color w:val="000000" w:themeColor="text1"/>
            <w:szCs w:val="24"/>
          </w:rPr>
          <w:fldChar w:fldCharType="begin"/>
        </w:r>
        <w:r w:rsidR="0095325F" w:rsidRPr="00B557E8">
          <w:rPr>
            <w:rFonts w:ascii="Times New Roman" w:hAnsi="Times New Roman"/>
            <w:b w:val="0"/>
            <w:noProof/>
            <w:webHidden/>
            <w:color w:val="000000" w:themeColor="text1"/>
            <w:szCs w:val="24"/>
          </w:rPr>
          <w:instrText xml:space="preserve"> PAGEREF _Toc308774227 \h </w:instrText>
        </w:r>
        <w:r w:rsidR="0095325F" w:rsidRPr="00B557E8">
          <w:rPr>
            <w:rFonts w:ascii="Times New Roman" w:hAnsi="Times New Roman"/>
            <w:b w:val="0"/>
            <w:noProof/>
            <w:webHidden/>
            <w:color w:val="000000" w:themeColor="text1"/>
            <w:szCs w:val="24"/>
          </w:rPr>
        </w:r>
        <w:r w:rsidR="0095325F" w:rsidRPr="00B557E8">
          <w:rPr>
            <w:rFonts w:ascii="Times New Roman" w:hAnsi="Times New Roman"/>
            <w:b w:val="0"/>
            <w:noProof/>
            <w:webHidden/>
            <w:color w:val="000000" w:themeColor="text1"/>
            <w:szCs w:val="24"/>
          </w:rPr>
          <w:fldChar w:fldCharType="separate"/>
        </w:r>
        <w:r w:rsidR="0095325F" w:rsidRPr="00B557E8">
          <w:rPr>
            <w:rFonts w:ascii="Times New Roman" w:hAnsi="Times New Roman"/>
            <w:b w:val="0"/>
            <w:noProof/>
            <w:webHidden/>
            <w:color w:val="000000" w:themeColor="text1"/>
            <w:szCs w:val="24"/>
          </w:rPr>
          <w:t>2</w:t>
        </w:r>
        <w:r w:rsidR="0095325F" w:rsidRPr="00B557E8">
          <w:rPr>
            <w:rFonts w:ascii="Times New Roman" w:hAnsi="Times New Roman"/>
            <w:b w:val="0"/>
            <w:noProof/>
            <w:webHidden/>
            <w:color w:val="000000" w:themeColor="text1"/>
            <w:szCs w:val="24"/>
          </w:rPr>
          <w:fldChar w:fldCharType="end"/>
        </w:r>
      </w:hyperlink>
    </w:p>
    <w:p w:rsidR="0095325F" w:rsidRPr="00B557E8" w:rsidRDefault="004D604C" w:rsidP="00B557E8">
      <w:pPr>
        <w:pStyle w:val="TOC1"/>
        <w:spacing w:before="120" w:after="120" w:line="276" w:lineRule="auto"/>
        <w:rPr>
          <w:rFonts w:ascii="Times New Roman" w:eastAsiaTheme="minorEastAsia" w:hAnsi="Times New Roman"/>
          <w:b w:val="0"/>
          <w:bCs w:val="0"/>
          <w:caps w:val="0"/>
          <w:noProof/>
          <w:color w:val="000000" w:themeColor="text1"/>
          <w:szCs w:val="24"/>
          <w:lang w:eastAsia="lv-LV"/>
        </w:rPr>
      </w:pPr>
      <w:hyperlink w:anchor="_Toc308774228" w:history="1">
        <w:r w:rsidR="0095325F" w:rsidRPr="00B557E8">
          <w:rPr>
            <w:rStyle w:val="Hyperlink"/>
            <w:rFonts w:ascii="Times New Roman" w:hAnsi="Times New Roman" w:cs="Times New Roman"/>
            <w:b w:val="0"/>
            <w:noProof/>
            <w:color w:val="000000" w:themeColor="text1"/>
            <w:sz w:val="24"/>
            <w:szCs w:val="24"/>
          </w:rPr>
          <w:t>Kopsavilkums</w:t>
        </w:r>
        <w:r w:rsidR="0095325F" w:rsidRPr="00B557E8">
          <w:rPr>
            <w:rFonts w:ascii="Times New Roman" w:hAnsi="Times New Roman"/>
            <w:b w:val="0"/>
            <w:noProof/>
            <w:webHidden/>
            <w:color w:val="000000" w:themeColor="text1"/>
            <w:szCs w:val="24"/>
          </w:rPr>
          <w:tab/>
        </w:r>
        <w:r w:rsidR="0095325F" w:rsidRPr="00B557E8">
          <w:rPr>
            <w:rFonts w:ascii="Times New Roman" w:hAnsi="Times New Roman"/>
            <w:b w:val="0"/>
            <w:noProof/>
            <w:webHidden/>
            <w:color w:val="000000" w:themeColor="text1"/>
            <w:szCs w:val="24"/>
          </w:rPr>
          <w:fldChar w:fldCharType="begin"/>
        </w:r>
        <w:r w:rsidR="0095325F" w:rsidRPr="00B557E8">
          <w:rPr>
            <w:rFonts w:ascii="Times New Roman" w:hAnsi="Times New Roman"/>
            <w:b w:val="0"/>
            <w:noProof/>
            <w:webHidden/>
            <w:color w:val="000000" w:themeColor="text1"/>
            <w:szCs w:val="24"/>
          </w:rPr>
          <w:instrText xml:space="preserve"> PAGEREF _Toc308774228 \h </w:instrText>
        </w:r>
        <w:r w:rsidR="0095325F" w:rsidRPr="00B557E8">
          <w:rPr>
            <w:rFonts w:ascii="Times New Roman" w:hAnsi="Times New Roman"/>
            <w:b w:val="0"/>
            <w:noProof/>
            <w:webHidden/>
            <w:color w:val="000000" w:themeColor="text1"/>
            <w:szCs w:val="24"/>
          </w:rPr>
        </w:r>
        <w:r w:rsidR="0095325F" w:rsidRPr="00B557E8">
          <w:rPr>
            <w:rFonts w:ascii="Times New Roman" w:hAnsi="Times New Roman"/>
            <w:b w:val="0"/>
            <w:noProof/>
            <w:webHidden/>
            <w:color w:val="000000" w:themeColor="text1"/>
            <w:szCs w:val="24"/>
          </w:rPr>
          <w:fldChar w:fldCharType="separate"/>
        </w:r>
        <w:r w:rsidR="0095325F" w:rsidRPr="00B557E8">
          <w:rPr>
            <w:rFonts w:ascii="Times New Roman" w:hAnsi="Times New Roman"/>
            <w:b w:val="0"/>
            <w:noProof/>
            <w:webHidden/>
            <w:color w:val="000000" w:themeColor="text1"/>
            <w:szCs w:val="24"/>
          </w:rPr>
          <w:t>5</w:t>
        </w:r>
        <w:r w:rsidR="0095325F" w:rsidRPr="00B557E8">
          <w:rPr>
            <w:rFonts w:ascii="Times New Roman" w:hAnsi="Times New Roman"/>
            <w:b w:val="0"/>
            <w:noProof/>
            <w:webHidden/>
            <w:color w:val="000000" w:themeColor="text1"/>
            <w:szCs w:val="24"/>
          </w:rPr>
          <w:fldChar w:fldCharType="end"/>
        </w:r>
      </w:hyperlink>
    </w:p>
    <w:p w:rsidR="0095325F" w:rsidRPr="00B557E8" w:rsidRDefault="004D604C" w:rsidP="00B557E8">
      <w:pPr>
        <w:pStyle w:val="TOC1"/>
        <w:spacing w:before="120" w:after="120" w:line="276" w:lineRule="auto"/>
        <w:rPr>
          <w:rFonts w:ascii="Times New Roman" w:eastAsiaTheme="minorEastAsia" w:hAnsi="Times New Roman"/>
          <w:b w:val="0"/>
          <w:bCs w:val="0"/>
          <w:caps w:val="0"/>
          <w:noProof/>
          <w:color w:val="000000" w:themeColor="text1"/>
          <w:szCs w:val="24"/>
          <w:lang w:eastAsia="lv-LV"/>
        </w:rPr>
      </w:pPr>
      <w:hyperlink w:anchor="_Toc308774229" w:history="1">
        <w:r w:rsidR="0095325F" w:rsidRPr="00B557E8">
          <w:rPr>
            <w:rStyle w:val="Hyperlink"/>
            <w:rFonts w:ascii="Times New Roman" w:hAnsi="Times New Roman" w:cs="Times New Roman"/>
            <w:b w:val="0"/>
            <w:noProof/>
            <w:color w:val="000000" w:themeColor="text1"/>
            <w:sz w:val="24"/>
            <w:szCs w:val="24"/>
            <w14:scene3d>
              <w14:camera w14:prst="orthographicFront"/>
              <w14:lightRig w14:rig="threePt" w14:dir="t">
                <w14:rot w14:lat="0" w14:lon="0" w14:rev="0"/>
              </w14:lightRig>
            </w14:scene3d>
          </w:rPr>
          <w:t>1.</w:t>
        </w:r>
        <w:r w:rsidR="0095325F" w:rsidRPr="00B557E8">
          <w:rPr>
            <w:rFonts w:ascii="Times New Roman" w:eastAsiaTheme="minorEastAsia" w:hAnsi="Times New Roman"/>
            <w:b w:val="0"/>
            <w:bCs w:val="0"/>
            <w:caps w:val="0"/>
            <w:noProof/>
            <w:color w:val="000000" w:themeColor="text1"/>
            <w:szCs w:val="24"/>
            <w:lang w:eastAsia="lv-LV"/>
          </w:rPr>
          <w:tab/>
        </w:r>
        <w:r w:rsidR="0095325F" w:rsidRPr="00B557E8">
          <w:rPr>
            <w:rStyle w:val="Hyperlink"/>
            <w:rFonts w:ascii="Times New Roman" w:hAnsi="Times New Roman" w:cs="Times New Roman"/>
            <w:b w:val="0"/>
            <w:noProof/>
            <w:color w:val="000000" w:themeColor="text1"/>
            <w:sz w:val="24"/>
            <w:szCs w:val="24"/>
          </w:rPr>
          <w:t>2007.-2013.gada plānošanas perioda ES fondu apguve</w:t>
        </w:r>
        <w:r w:rsidR="0095325F" w:rsidRPr="00B557E8">
          <w:rPr>
            <w:rFonts w:ascii="Times New Roman" w:hAnsi="Times New Roman"/>
            <w:b w:val="0"/>
            <w:noProof/>
            <w:webHidden/>
            <w:color w:val="000000" w:themeColor="text1"/>
            <w:szCs w:val="24"/>
          </w:rPr>
          <w:tab/>
        </w:r>
        <w:r w:rsidR="0095325F" w:rsidRPr="00B557E8">
          <w:rPr>
            <w:rFonts w:ascii="Times New Roman" w:hAnsi="Times New Roman"/>
            <w:b w:val="0"/>
            <w:noProof/>
            <w:webHidden/>
            <w:color w:val="000000" w:themeColor="text1"/>
            <w:szCs w:val="24"/>
          </w:rPr>
          <w:fldChar w:fldCharType="begin"/>
        </w:r>
        <w:r w:rsidR="0095325F" w:rsidRPr="00B557E8">
          <w:rPr>
            <w:rFonts w:ascii="Times New Roman" w:hAnsi="Times New Roman"/>
            <w:b w:val="0"/>
            <w:noProof/>
            <w:webHidden/>
            <w:color w:val="000000" w:themeColor="text1"/>
            <w:szCs w:val="24"/>
          </w:rPr>
          <w:instrText xml:space="preserve"> PAGEREF _Toc308774229 \h </w:instrText>
        </w:r>
        <w:r w:rsidR="0095325F" w:rsidRPr="00B557E8">
          <w:rPr>
            <w:rFonts w:ascii="Times New Roman" w:hAnsi="Times New Roman"/>
            <w:b w:val="0"/>
            <w:noProof/>
            <w:webHidden/>
            <w:color w:val="000000" w:themeColor="text1"/>
            <w:szCs w:val="24"/>
          </w:rPr>
        </w:r>
        <w:r w:rsidR="0095325F" w:rsidRPr="00B557E8">
          <w:rPr>
            <w:rFonts w:ascii="Times New Roman" w:hAnsi="Times New Roman"/>
            <w:b w:val="0"/>
            <w:noProof/>
            <w:webHidden/>
            <w:color w:val="000000" w:themeColor="text1"/>
            <w:szCs w:val="24"/>
          </w:rPr>
          <w:fldChar w:fldCharType="separate"/>
        </w:r>
        <w:r w:rsidR="0095325F" w:rsidRPr="00B557E8">
          <w:rPr>
            <w:rFonts w:ascii="Times New Roman" w:hAnsi="Times New Roman"/>
            <w:b w:val="0"/>
            <w:noProof/>
            <w:webHidden/>
            <w:color w:val="000000" w:themeColor="text1"/>
            <w:szCs w:val="24"/>
          </w:rPr>
          <w:t>8</w:t>
        </w:r>
        <w:r w:rsidR="0095325F" w:rsidRPr="00B557E8">
          <w:rPr>
            <w:rFonts w:ascii="Times New Roman" w:hAnsi="Times New Roman"/>
            <w:b w:val="0"/>
            <w:noProof/>
            <w:webHidden/>
            <w:color w:val="000000" w:themeColor="text1"/>
            <w:szCs w:val="24"/>
          </w:rPr>
          <w:fldChar w:fldCharType="end"/>
        </w:r>
      </w:hyperlink>
    </w:p>
    <w:p w:rsidR="0095325F" w:rsidRPr="00B557E8" w:rsidRDefault="004D604C" w:rsidP="00B557E8">
      <w:pPr>
        <w:pStyle w:val="TOC2"/>
        <w:tabs>
          <w:tab w:val="left" w:pos="720"/>
          <w:tab w:val="right" w:leader="dot" w:pos="9202"/>
        </w:tabs>
        <w:spacing w:before="120" w:after="120" w:line="276" w:lineRule="auto"/>
        <w:rPr>
          <w:rFonts w:ascii="Times New Roman" w:eastAsiaTheme="minorEastAsia" w:hAnsi="Times New Roman"/>
          <w:b w:val="0"/>
          <w:bCs w:val="0"/>
          <w:noProof/>
          <w:color w:val="000000" w:themeColor="text1"/>
          <w:sz w:val="24"/>
          <w:lang w:eastAsia="lv-LV"/>
        </w:rPr>
      </w:pPr>
      <w:hyperlink w:anchor="_Toc308774230" w:history="1">
        <w:r w:rsidR="0095325F" w:rsidRPr="00B557E8">
          <w:rPr>
            <w:rStyle w:val="Hyperlink"/>
            <w:rFonts w:ascii="Times New Roman" w:hAnsi="Times New Roman" w:cs="Times New Roman"/>
            <w:b w:val="0"/>
            <w:noProof/>
            <w:color w:val="000000" w:themeColor="text1"/>
            <w:sz w:val="24"/>
            <w:szCs w:val="24"/>
          </w:rPr>
          <w:t>1.1.</w:t>
        </w:r>
        <w:r w:rsidR="0095325F" w:rsidRPr="00B557E8">
          <w:rPr>
            <w:rFonts w:ascii="Times New Roman" w:eastAsiaTheme="minorEastAsia" w:hAnsi="Times New Roman"/>
            <w:b w:val="0"/>
            <w:bCs w:val="0"/>
            <w:noProof/>
            <w:color w:val="000000" w:themeColor="text1"/>
            <w:sz w:val="24"/>
            <w:lang w:eastAsia="lv-LV"/>
          </w:rPr>
          <w:tab/>
        </w:r>
        <w:r w:rsidR="0095325F" w:rsidRPr="00B557E8">
          <w:rPr>
            <w:rStyle w:val="Hyperlink"/>
            <w:rFonts w:ascii="Times New Roman" w:hAnsi="Times New Roman" w:cs="Times New Roman"/>
            <w:b w:val="0"/>
            <w:noProof/>
            <w:color w:val="000000" w:themeColor="text1"/>
            <w:sz w:val="24"/>
            <w:szCs w:val="24"/>
          </w:rPr>
          <w:t>Darbības programmu un darbības programmu papildinājumu grozījumi</w:t>
        </w:r>
        <w:r w:rsidR="0095325F" w:rsidRPr="00B557E8">
          <w:rPr>
            <w:rFonts w:ascii="Times New Roman" w:hAnsi="Times New Roman"/>
            <w:b w:val="0"/>
            <w:noProof/>
            <w:webHidden/>
            <w:color w:val="000000" w:themeColor="text1"/>
            <w:sz w:val="24"/>
          </w:rPr>
          <w:tab/>
        </w:r>
        <w:r w:rsidR="0095325F" w:rsidRPr="00B557E8">
          <w:rPr>
            <w:rFonts w:ascii="Times New Roman" w:hAnsi="Times New Roman"/>
            <w:b w:val="0"/>
            <w:noProof/>
            <w:webHidden/>
            <w:color w:val="000000" w:themeColor="text1"/>
            <w:sz w:val="24"/>
          </w:rPr>
          <w:fldChar w:fldCharType="begin"/>
        </w:r>
        <w:r w:rsidR="0095325F" w:rsidRPr="00B557E8">
          <w:rPr>
            <w:rFonts w:ascii="Times New Roman" w:hAnsi="Times New Roman"/>
            <w:b w:val="0"/>
            <w:noProof/>
            <w:webHidden/>
            <w:color w:val="000000" w:themeColor="text1"/>
            <w:sz w:val="24"/>
          </w:rPr>
          <w:instrText xml:space="preserve"> PAGEREF _Toc308774230 \h </w:instrText>
        </w:r>
        <w:r w:rsidR="0095325F" w:rsidRPr="00B557E8">
          <w:rPr>
            <w:rFonts w:ascii="Times New Roman" w:hAnsi="Times New Roman"/>
            <w:b w:val="0"/>
            <w:noProof/>
            <w:webHidden/>
            <w:color w:val="000000" w:themeColor="text1"/>
            <w:sz w:val="24"/>
          </w:rPr>
        </w:r>
        <w:r w:rsidR="0095325F" w:rsidRPr="00B557E8">
          <w:rPr>
            <w:rFonts w:ascii="Times New Roman" w:hAnsi="Times New Roman"/>
            <w:b w:val="0"/>
            <w:noProof/>
            <w:webHidden/>
            <w:color w:val="000000" w:themeColor="text1"/>
            <w:sz w:val="24"/>
          </w:rPr>
          <w:fldChar w:fldCharType="separate"/>
        </w:r>
        <w:r w:rsidR="0095325F" w:rsidRPr="00B557E8">
          <w:rPr>
            <w:rFonts w:ascii="Times New Roman" w:hAnsi="Times New Roman"/>
            <w:b w:val="0"/>
            <w:noProof/>
            <w:webHidden/>
            <w:color w:val="000000" w:themeColor="text1"/>
            <w:sz w:val="24"/>
          </w:rPr>
          <w:t>8</w:t>
        </w:r>
        <w:r w:rsidR="0095325F" w:rsidRPr="00B557E8">
          <w:rPr>
            <w:rFonts w:ascii="Times New Roman" w:hAnsi="Times New Roman"/>
            <w:b w:val="0"/>
            <w:noProof/>
            <w:webHidden/>
            <w:color w:val="000000" w:themeColor="text1"/>
            <w:sz w:val="24"/>
          </w:rPr>
          <w:fldChar w:fldCharType="end"/>
        </w:r>
      </w:hyperlink>
    </w:p>
    <w:p w:rsidR="0095325F" w:rsidRPr="00B557E8" w:rsidRDefault="004D604C" w:rsidP="00B557E8">
      <w:pPr>
        <w:pStyle w:val="TOC2"/>
        <w:tabs>
          <w:tab w:val="left" w:pos="720"/>
          <w:tab w:val="right" w:leader="dot" w:pos="9202"/>
        </w:tabs>
        <w:spacing w:before="120" w:after="120" w:line="276" w:lineRule="auto"/>
        <w:rPr>
          <w:rFonts w:ascii="Times New Roman" w:eastAsiaTheme="minorEastAsia" w:hAnsi="Times New Roman"/>
          <w:b w:val="0"/>
          <w:bCs w:val="0"/>
          <w:noProof/>
          <w:color w:val="000000" w:themeColor="text1"/>
          <w:sz w:val="24"/>
          <w:lang w:eastAsia="lv-LV"/>
        </w:rPr>
      </w:pPr>
      <w:hyperlink w:anchor="_Toc308774231" w:history="1">
        <w:r w:rsidR="0095325F" w:rsidRPr="00B557E8">
          <w:rPr>
            <w:rStyle w:val="Hyperlink"/>
            <w:rFonts w:ascii="Times New Roman" w:hAnsi="Times New Roman" w:cs="Times New Roman"/>
            <w:b w:val="0"/>
            <w:noProof/>
            <w:color w:val="000000" w:themeColor="text1"/>
            <w:sz w:val="24"/>
            <w:szCs w:val="24"/>
          </w:rPr>
          <w:t>1.2.</w:t>
        </w:r>
        <w:r w:rsidR="0095325F" w:rsidRPr="00B557E8">
          <w:rPr>
            <w:rFonts w:ascii="Times New Roman" w:eastAsiaTheme="minorEastAsia" w:hAnsi="Times New Roman"/>
            <w:b w:val="0"/>
            <w:bCs w:val="0"/>
            <w:noProof/>
            <w:color w:val="000000" w:themeColor="text1"/>
            <w:sz w:val="24"/>
            <w:lang w:eastAsia="lv-LV"/>
          </w:rPr>
          <w:tab/>
        </w:r>
        <w:r w:rsidR="0095325F" w:rsidRPr="00B557E8">
          <w:rPr>
            <w:rStyle w:val="Hyperlink"/>
            <w:rFonts w:ascii="Times New Roman" w:hAnsi="Times New Roman" w:cs="Times New Roman"/>
            <w:b w:val="0"/>
            <w:noProof/>
            <w:color w:val="000000" w:themeColor="text1"/>
            <w:sz w:val="24"/>
            <w:szCs w:val="24"/>
          </w:rPr>
          <w:t>Projektu iesniegumu atlases darbības programmās</w:t>
        </w:r>
        <w:r w:rsidR="0095325F" w:rsidRPr="00B557E8">
          <w:rPr>
            <w:rFonts w:ascii="Times New Roman" w:hAnsi="Times New Roman"/>
            <w:b w:val="0"/>
            <w:noProof/>
            <w:webHidden/>
            <w:color w:val="000000" w:themeColor="text1"/>
            <w:sz w:val="24"/>
          </w:rPr>
          <w:tab/>
        </w:r>
        <w:r w:rsidR="0095325F" w:rsidRPr="00B557E8">
          <w:rPr>
            <w:rFonts w:ascii="Times New Roman" w:hAnsi="Times New Roman"/>
            <w:b w:val="0"/>
            <w:noProof/>
            <w:webHidden/>
            <w:color w:val="000000" w:themeColor="text1"/>
            <w:sz w:val="24"/>
          </w:rPr>
          <w:fldChar w:fldCharType="begin"/>
        </w:r>
        <w:r w:rsidR="0095325F" w:rsidRPr="00B557E8">
          <w:rPr>
            <w:rFonts w:ascii="Times New Roman" w:hAnsi="Times New Roman"/>
            <w:b w:val="0"/>
            <w:noProof/>
            <w:webHidden/>
            <w:color w:val="000000" w:themeColor="text1"/>
            <w:sz w:val="24"/>
          </w:rPr>
          <w:instrText xml:space="preserve"> PAGEREF _Toc308774231 \h </w:instrText>
        </w:r>
        <w:r w:rsidR="0095325F" w:rsidRPr="00B557E8">
          <w:rPr>
            <w:rFonts w:ascii="Times New Roman" w:hAnsi="Times New Roman"/>
            <w:b w:val="0"/>
            <w:noProof/>
            <w:webHidden/>
            <w:color w:val="000000" w:themeColor="text1"/>
            <w:sz w:val="24"/>
          </w:rPr>
        </w:r>
        <w:r w:rsidR="0095325F" w:rsidRPr="00B557E8">
          <w:rPr>
            <w:rFonts w:ascii="Times New Roman" w:hAnsi="Times New Roman"/>
            <w:b w:val="0"/>
            <w:noProof/>
            <w:webHidden/>
            <w:color w:val="000000" w:themeColor="text1"/>
            <w:sz w:val="24"/>
          </w:rPr>
          <w:fldChar w:fldCharType="separate"/>
        </w:r>
        <w:r w:rsidR="0095325F" w:rsidRPr="00B557E8">
          <w:rPr>
            <w:rFonts w:ascii="Times New Roman" w:hAnsi="Times New Roman"/>
            <w:b w:val="0"/>
            <w:noProof/>
            <w:webHidden/>
            <w:color w:val="000000" w:themeColor="text1"/>
            <w:sz w:val="24"/>
          </w:rPr>
          <w:t>11</w:t>
        </w:r>
        <w:r w:rsidR="0095325F" w:rsidRPr="00B557E8">
          <w:rPr>
            <w:rFonts w:ascii="Times New Roman" w:hAnsi="Times New Roman"/>
            <w:b w:val="0"/>
            <w:noProof/>
            <w:webHidden/>
            <w:color w:val="000000" w:themeColor="text1"/>
            <w:sz w:val="24"/>
          </w:rPr>
          <w:fldChar w:fldCharType="end"/>
        </w:r>
      </w:hyperlink>
    </w:p>
    <w:p w:rsidR="0095325F" w:rsidRPr="00B557E8" w:rsidRDefault="004D604C" w:rsidP="00B557E8">
      <w:pPr>
        <w:pStyle w:val="TOC2"/>
        <w:tabs>
          <w:tab w:val="left" w:pos="720"/>
          <w:tab w:val="right" w:leader="dot" w:pos="9202"/>
        </w:tabs>
        <w:spacing w:before="120" w:after="120" w:line="276" w:lineRule="auto"/>
        <w:rPr>
          <w:rFonts w:ascii="Times New Roman" w:eastAsiaTheme="minorEastAsia" w:hAnsi="Times New Roman"/>
          <w:b w:val="0"/>
          <w:bCs w:val="0"/>
          <w:noProof/>
          <w:color w:val="000000" w:themeColor="text1"/>
          <w:sz w:val="24"/>
          <w:lang w:eastAsia="lv-LV"/>
        </w:rPr>
      </w:pPr>
      <w:hyperlink w:anchor="_Toc308774232" w:history="1">
        <w:r w:rsidR="0095325F" w:rsidRPr="00B557E8">
          <w:rPr>
            <w:rStyle w:val="Hyperlink"/>
            <w:rFonts w:ascii="Times New Roman" w:hAnsi="Times New Roman" w:cs="Times New Roman"/>
            <w:b w:val="0"/>
            <w:noProof/>
            <w:color w:val="000000" w:themeColor="text1"/>
            <w:sz w:val="24"/>
            <w:szCs w:val="24"/>
          </w:rPr>
          <w:t>1.3.</w:t>
        </w:r>
        <w:r w:rsidR="0095325F" w:rsidRPr="00B557E8">
          <w:rPr>
            <w:rFonts w:ascii="Times New Roman" w:eastAsiaTheme="minorEastAsia" w:hAnsi="Times New Roman"/>
            <w:b w:val="0"/>
            <w:bCs w:val="0"/>
            <w:noProof/>
            <w:color w:val="000000" w:themeColor="text1"/>
            <w:sz w:val="24"/>
            <w:lang w:eastAsia="lv-LV"/>
          </w:rPr>
          <w:tab/>
        </w:r>
        <w:r w:rsidR="0095325F" w:rsidRPr="00B557E8">
          <w:rPr>
            <w:rStyle w:val="Hyperlink"/>
            <w:rFonts w:ascii="Times New Roman" w:hAnsi="Times New Roman" w:cs="Times New Roman"/>
            <w:b w:val="0"/>
            <w:noProof/>
            <w:color w:val="000000" w:themeColor="text1"/>
            <w:sz w:val="24"/>
            <w:szCs w:val="24"/>
          </w:rPr>
          <w:t>ES struktūrfondu un KF finanšu apguve</w:t>
        </w:r>
        <w:r w:rsidR="0095325F" w:rsidRPr="00B557E8">
          <w:rPr>
            <w:rFonts w:ascii="Times New Roman" w:hAnsi="Times New Roman"/>
            <w:b w:val="0"/>
            <w:noProof/>
            <w:webHidden/>
            <w:color w:val="000000" w:themeColor="text1"/>
            <w:sz w:val="24"/>
          </w:rPr>
          <w:tab/>
        </w:r>
        <w:r w:rsidR="0095325F" w:rsidRPr="00B557E8">
          <w:rPr>
            <w:rFonts w:ascii="Times New Roman" w:hAnsi="Times New Roman"/>
            <w:b w:val="0"/>
            <w:noProof/>
            <w:webHidden/>
            <w:color w:val="000000" w:themeColor="text1"/>
            <w:sz w:val="24"/>
          </w:rPr>
          <w:fldChar w:fldCharType="begin"/>
        </w:r>
        <w:r w:rsidR="0095325F" w:rsidRPr="00B557E8">
          <w:rPr>
            <w:rFonts w:ascii="Times New Roman" w:hAnsi="Times New Roman"/>
            <w:b w:val="0"/>
            <w:noProof/>
            <w:webHidden/>
            <w:color w:val="000000" w:themeColor="text1"/>
            <w:sz w:val="24"/>
          </w:rPr>
          <w:instrText xml:space="preserve"> PAGEREF _Toc308774232 \h </w:instrText>
        </w:r>
        <w:r w:rsidR="0095325F" w:rsidRPr="00B557E8">
          <w:rPr>
            <w:rFonts w:ascii="Times New Roman" w:hAnsi="Times New Roman"/>
            <w:b w:val="0"/>
            <w:noProof/>
            <w:webHidden/>
            <w:color w:val="000000" w:themeColor="text1"/>
            <w:sz w:val="24"/>
          </w:rPr>
        </w:r>
        <w:r w:rsidR="0095325F" w:rsidRPr="00B557E8">
          <w:rPr>
            <w:rFonts w:ascii="Times New Roman" w:hAnsi="Times New Roman"/>
            <w:b w:val="0"/>
            <w:noProof/>
            <w:webHidden/>
            <w:color w:val="000000" w:themeColor="text1"/>
            <w:sz w:val="24"/>
          </w:rPr>
          <w:fldChar w:fldCharType="separate"/>
        </w:r>
        <w:r w:rsidR="0095325F" w:rsidRPr="00B557E8">
          <w:rPr>
            <w:rFonts w:ascii="Times New Roman" w:hAnsi="Times New Roman"/>
            <w:b w:val="0"/>
            <w:noProof/>
            <w:webHidden/>
            <w:color w:val="000000" w:themeColor="text1"/>
            <w:sz w:val="24"/>
          </w:rPr>
          <w:t>16</w:t>
        </w:r>
        <w:r w:rsidR="0095325F" w:rsidRPr="00B557E8">
          <w:rPr>
            <w:rFonts w:ascii="Times New Roman" w:hAnsi="Times New Roman"/>
            <w:b w:val="0"/>
            <w:noProof/>
            <w:webHidden/>
            <w:color w:val="000000" w:themeColor="text1"/>
            <w:sz w:val="24"/>
          </w:rPr>
          <w:fldChar w:fldCharType="end"/>
        </w:r>
      </w:hyperlink>
    </w:p>
    <w:p w:rsidR="0095325F" w:rsidRPr="00B557E8" w:rsidRDefault="004D604C" w:rsidP="00B557E8">
      <w:pPr>
        <w:pStyle w:val="TOC2"/>
        <w:tabs>
          <w:tab w:val="left" w:pos="720"/>
          <w:tab w:val="right" w:leader="dot" w:pos="9202"/>
        </w:tabs>
        <w:spacing w:before="120" w:after="120" w:line="276" w:lineRule="auto"/>
        <w:rPr>
          <w:rFonts w:ascii="Times New Roman" w:eastAsiaTheme="minorEastAsia" w:hAnsi="Times New Roman"/>
          <w:b w:val="0"/>
          <w:bCs w:val="0"/>
          <w:noProof/>
          <w:color w:val="000000" w:themeColor="text1"/>
          <w:sz w:val="24"/>
          <w:lang w:eastAsia="lv-LV"/>
        </w:rPr>
      </w:pPr>
      <w:hyperlink w:anchor="_Toc308774233" w:history="1">
        <w:r w:rsidR="0095325F" w:rsidRPr="00B557E8">
          <w:rPr>
            <w:rStyle w:val="Hyperlink"/>
            <w:rFonts w:ascii="Times New Roman" w:hAnsi="Times New Roman" w:cs="Times New Roman"/>
            <w:b w:val="0"/>
            <w:noProof/>
            <w:color w:val="000000" w:themeColor="text1"/>
            <w:sz w:val="24"/>
            <w:szCs w:val="24"/>
          </w:rPr>
          <w:t>1.4.</w:t>
        </w:r>
        <w:r w:rsidR="0095325F" w:rsidRPr="00B557E8">
          <w:rPr>
            <w:rFonts w:ascii="Times New Roman" w:eastAsiaTheme="minorEastAsia" w:hAnsi="Times New Roman"/>
            <w:b w:val="0"/>
            <w:bCs w:val="0"/>
            <w:noProof/>
            <w:color w:val="000000" w:themeColor="text1"/>
            <w:sz w:val="24"/>
            <w:lang w:eastAsia="lv-LV"/>
          </w:rPr>
          <w:tab/>
        </w:r>
        <w:r w:rsidR="0095325F" w:rsidRPr="00B557E8">
          <w:rPr>
            <w:rStyle w:val="Hyperlink"/>
            <w:rFonts w:ascii="Times New Roman" w:hAnsi="Times New Roman" w:cs="Times New Roman"/>
            <w:b w:val="0"/>
            <w:noProof/>
            <w:color w:val="000000" w:themeColor="text1"/>
            <w:sz w:val="24"/>
            <w:szCs w:val="24"/>
          </w:rPr>
          <w:t>Publisko resursu ieguldījums un sasniegtie rezultāti</w:t>
        </w:r>
        <w:r w:rsidR="0095325F" w:rsidRPr="00B557E8">
          <w:rPr>
            <w:rFonts w:ascii="Times New Roman" w:hAnsi="Times New Roman"/>
            <w:b w:val="0"/>
            <w:noProof/>
            <w:webHidden/>
            <w:color w:val="000000" w:themeColor="text1"/>
            <w:sz w:val="24"/>
          </w:rPr>
          <w:tab/>
        </w:r>
        <w:r w:rsidR="0095325F" w:rsidRPr="00B557E8">
          <w:rPr>
            <w:rFonts w:ascii="Times New Roman" w:hAnsi="Times New Roman"/>
            <w:b w:val="0"/>
            <w:noProof/>
            <w:webHidden/>
            <w:color w:val="000000" w:themeColor="text1"/>
            <w:sz w:val="24"/>
          </w:rPr>
          <w:fldChar w:fldCharType="begin"/>
        </w:r>
        <w:r w:rsidR="0095325F" w:rsidRPr="00B557E8">
          <w:rPr>
            <w:rFonts w:ascii="Times New Roman" w:hAnsi="Times New Roman"/>
            <w:b w:val="0"/>
            <w:noProof/>
            <w:webHidden/>
            <w:color w:val="000000" w:themeColor="text1"/>
            <w:sz w:val="24"/>
          </w:rPr>
          <w:instrText xml:space="preserve"> PAGEREF _Toc308774233 \h </w:instrText>
        </w:r>
        <w:r w:rsidR="0095325F" w:rsidRPr="00B557E8">
          <w:rPr>
            <w:rFonts w:ascii="Times New Roman" w:hAnsi="Times New Roman"/>
            <w:b w:val="0"/>
            <w:noProof/>
            <w:webHidden/>
            <w:color w:val="000000" w:themeColor="text1"/>
            <w:sz w:val="24"/>
          </w:rPr>
        </w:r>
        <w:r w:rsidR="0095325F" w:rsidRPr="00B557E8">
          <w:rPr>
            <w:rFonts w:ascii="Times New Roman" w:hAnsi="Times New Roman"/>
            <w:b w:val="0"/>
            <w:noProof/>
            <w:webHidden/>
            <w:color w:val="000000" w:themeColor="text1"/>
            <w:sz w:val="24"/>
          </w:rPr>
          <w:fldChar w:fldCharType="separate"/>
        </w:r>
        <w:r w:rsidR="0095325F" w:rsidRPr="00B557E8">
          <w:rPr>
            <w:rFonts w:ascii="Times New Roman" w:hAnsi="Times New Roman"/>
            <w:b w:val="0"/>
            <w:noProof/>
            <w:webHidden/>
            <w:color w:val="000000" w:themeColor="text1"/>
            <w:sz w:val="24"/>
          </w:rPr>
          <w:t>20</w:t>
        </w:r>
        <w:r w:rsidR="0095325F" w:rsidRPr="00B557E8">
          <w:rPr>
            <w:rFonts w:ascii="Times New Roman" w:hAnsi="Times New Roman"/>
            <w:b w:val="0"/>
            <w:noProof/>
            <w:webHidden/>
            <w:color w:val="000000" w:themeColor="text1"/>
            <w:sz w:val="24"/>
          </w:rPr>
          <w:fldChar w:fldCharType="end"/>
        </w:r>
      </w:hyperlink>
    </w:p>
    <w:p w:rsidR="0095325F" w:rsidRPr="00B557E8" w:rsidRDefault="004D604C" w:rsidP="00B557E8">
      <w:pPr>
        <w:pStyle w:val="TOC2"/>
        <w:tabs>
          <w:tab w:val="left" w:pos="720"/>
          <w:tab w:val="right" w:leader="dot" w:pos="9202"/>
        </w:tabs>
        <w:spacing w:before="120" w:after="120" w:line="276" w:lineRule="auto"/>
        <w:rPr>
          <w:rFonts w:ascii="Times New Roman" w:eastAsiaTheme="minorEastAsia" w:hAnsi="Times New Roman"/>
          <w:b w:val="0"/>
          <w:bCs w:val="0"/>
          <w:noProof/>
          <w:color w:val="000000" w:themeColor="text1"/>
          <w:sz w:val="24"/>
          <w:lang w:eastAsia="lv-LV"/>
        </w:rPr>
      </w:pPr>
      <w:hyperlink w:anchor="_Toc308774234" w:history="1">
        <w:r w:rsidR="0095325F" w:rsidRPr="00B557E8">
          <w:rPr>
            <w:rStyle w:val="Hyperlink"/>
            <w:rFonts w:ascii="Times New Roman" w:hAnsi="Times New Roman" w:cs="Times New Roman"/>
            <w:b w:val="0"/>
            <w:noProof/>
            <w:color w:val="000000" w:themeColor="text1"/>
            <w:sz w:val="24"/>
            <w:szCs w:val="24"/>
          </w:rPr>
          <w:t>1.5.</w:t>
        </w:r>
        <w:r w:rsidR="0095325F" w:rsidRPr="00B557E8">
          <w:rPr>
            <w:rFonts w:ascii="Times New Roman" w:eastAsiaTheme="minorEastAsia" w:hAnsi="Times New Roman"/>
            <w:b w:val="0"/>
            <w:bCs w:val="0"/>
            <w:noProof/>
            <w:color w:val="000000" w:themeColor="text1"/>
            <w:sz w:val="24"/>
            <w:lang w:eastAsia="lv-LV"/>
          </w:rPr>
          <w:tab/>
        </w:r>
        <w:r w:rsidR="0095325F" w:rsidRPr="00B557E8">
          <w:rPr>
            <w:rStyle w:val="Hyperlink"/>
            <w:rFonts w:ascii="Times New Roman" w:hAnsi="Times New Roman" w:cs="Times New Roman"/>
            <w:b w:val="0"/>
            <w:noProof/>
            <w:color w:val="000000" w:themeColor="text1"/>
            <w:sz w:val="24"/>
            <w:szCs w:val="24"/>
          </w:rPr>
          <w:t>Tehniskās palīdzības aktivitāšu īstenošana</w:t>
        </w:r>
        <w:r w:rsidR="0095325F" w:rsidRPr="00B557E8">
          <w:rPr>
            <w:rFonts w:ascii="Times New Roman" w:hAnsi="Times New Roman"/>
            <w:b w:val="0"/>
            <w:noProof/>
            <w:webHidden/>
            <w:color w:val="000000" w:themeColor="text1"/>
            <w:sz w:val="24"/>
          </w:rPr>
          <w:tab/>
        </w:r>
        <w:r w:rsidR="0095325F" w:rsidRPr="00B557E8">
          <w:rPr>
            <w:rFonts w:ascii="Times New Roman" w:hAnsi="Times New Roman"/>
            <w:b w:val="0"/>
            <w:noProof/>
            <w:webHidden/>
            <w:color w:val="000000" w:themeColor="text1"/>
            <w:sz w:val="24"/>
          </w:rPr>
          <w:fldChar w:fldCharType="begin"/>
        </w:r>
        <w:r w:rsidR="0095325F" w:rsidRPr="00B557E8">
          <w:rPr>
            <w:rFonts w:ascii="Times New Roman" w:hAnsi="Times New Roman"/>
            <w:b w:val="0"/>
            <w:noProof/>
            <w:webHidden/>
            <w:color w:val="000000" w:themeColor="text1"/>
            <w:sz w:val="24"/>
          </w:rPr>
          <w:instrText xml:space="preserve"> PAGEREF _Toc308774234 \h </w:instrText>
        </w:r>
        <w:r w:rsidR="0095325F" w:rsidRPr="00B557E8">
          <w:rPr>
            <w:rFonts w:ascii="Times New Roman" w:hAnsi="Times New Roman"/>
            <w:b w:val="0"/>
            <w:noProof/>
            <w:webHidden/>
            <w:color w:val="000000" w:themeColor="text1"/>
            <w:sz w:val="24"/>
          </w:rPr>
        </w:r>
        <w:r w:rsidR="0095325F" w:rsidRPr="00B557E8">
          <w:rPr>
            <w:rFonts w:ascii="Times New Roman" w:hAnsi="Times New Roman"/>
            <w:b w:val="0"/>
            <w:noProof/>
            <w:webHidden/>
            <w:color w:val="000000" w:themeColor="text1"/>
            <w:sz w:val="24"/>
          </w:rPr>
          <w:fldChar w:fldCharType="separate"/>
        </w:r>
        <w:r w:rsidR="0095325F" w:rsidRPr="00B557E8">
          <w:rPr>
            <w:rFonts w:ascii="Times New Roman" w:hAnsi="Times New Roman"/>
            <w:b w:val="0"/>
            <w:noProof/>
            <w:webHidden/>
            <w:color w:val="000000" w:themeColor="text1"/>
            <w:sz w:val="24"/>
          </w:rPr>
          <w:t>44</w:t>
        </w:r>
        <w:r w:rsidR="0095325F" w:rsidRPr="00B557E8">
          <w:rPr>
            <w:rFonts w:ascii="Times New Roman" w:hAnsi="Times New Roman"/>
            <w:b w:val="0"/>
            <w:noProof/>
            <w:webHidden/>
            <w:color w:val="000000" w:themeColor="text1"/>
            <w:sz w:val="24"/>
          </w:rPr>
          <w:fldChar w:fldCharType="end"/>
        </w:r>
      </w:hyperlink>
    </w:p>
    <w:p w:rsidR="0095325F" w:rsidRPr="00B557E8" w:rsidRDefault="004D604C" w:rsidP="00B557E8">
      <w:pPr>
        <w:pStyle w:val="TOC2"/>
        <w:tabs>
          <w:tab w:val="left" w:pos="720"/>
          <w:tab w:val="right" w:leader="dot" w:pos="9202"/>
        </w:tabs>
        <w:spacing w:before="120" w:after="120" w:line="276" w:lineRule="auto"/>
        <w:rPr>
          <w:rFonts w:ascii="Times New Roman" w:eastAsiaTheme="minorEastAsia" w:hAnsi="Times New Roman"/>
          <w:b w:val="0"/>
          <w:bCs w:val="0"/>
          <w:noProof/>
          <w:color w:val="000000" w:themeColor="text1"/>
          <w:sz w:val="24"/>
          <w:lang w:eastAsia="lv-LV"/>
        </w:rPr>
      </w:pPr>
      <w:hyperlink w:anchor="_Toc308774235" w:history="1">
        <w:r w:rsidR="0095325F" w:rsidRPr="00B557E8">
          <w:rPr>
            <w:rStyle w:val="Hyperlink"/>
            <w:rFonts w:ascii="Times New Roman" w:hAnsi="Times New Roman" w:cs="Times New Roman"/>
            <w:b w:val="0"/>
            <w:noProof/>
            <w:color w:val="000000" w:themeColor="text1"/>
            <w:sz w:val="24"/>
            <w:szCs w:val="24"/>
          </w:rPr>
          <w:t>1.6.</w:t>
        </w:r>
        <w:r w:rsidR="0095325F" w:rsidRPr="00B557E8">
          <w:rPr>
            <w:rFonts w:ascii="Times New Roman" w:eastAsiaTheme="minorEastAsia" w:hAnsi="Times New Roman"/>
            <w:b w:val="0"/>
            <w:bCs w:val="0"/>
            <w:noProof/>
            <w:color w:val="000000" w:themeColor="text1"/>
            <w:sz w:val="24"/>
            <w:lang w:eastAsia="lv-LV"/>
          </w:rPr>
          <w:tab/>
        </w:r>
        <w:r w:rsidR="0095325F" w:rsidRPr="00B557E8">
          <w:rPr>
            <w:rStyle w:val="Hyperlink"/>
            <w:rFonts w:ascii="Times New Roman" w:hAnsi="Times New Roman" w:cs="Times New Roman"/>
            <w:b w:val="0"/>
            <w:noProof/>
            <w:color w:val="000000" w:themeColor="text1"/>
            <w:sz w:val="24"/>
            <w:szCs w:val="24"/>
          </w:rPr>
          <w:t>2007.-2013.gada plānošanas perioda finanšu apguves salīdzinājums starp jaunajām ES dalībvalstīm</w:t>
        </w:r>
        <w:r w:rsidR="0095325F" w:rsidRPr="00B557E8">
          <w:rPr>
            <w:rFonts w:ascii="Times New Roman" w:hAnsi="Times New Roman"/>
            <w:b w:val="0"/>
            <w:noProof/>
            <w:webHidden/>
            <w:color w:val="000000" w:themeColor="text1"/>
            <w:sz w:val="24"/>
          </w:rPr>
          <w:tab/>
        </w:r>
        <w:r w:rsidR="0095325F" w:rsidRPr="00B557E8">
          <w:rPr>
            <w:rFonts w:ascii="Times New Roman" w:hAnsi="Times New Roman"/>
            <w:b w:val="0"/>
            <w:noProof/>
            <w:webHidden/>
            <w:color w:val="000000" w:themeColor="text1"/>
            <w:sz w:val="24"/>
          </w:rPr>
          <w:fldChar w:fldCharType="begin"/>
        </w:r>
        <w:r w:rsidR="0095325F" w:rsidRPr="00B557E8">
          <w:rPr>
            <w:rFonts w:ascii="Times New Roman" w:hAnsi="Times New Roman"/>
            <w:b w:val="0"/>
            <w:noProof/>
            <w:webHidden/>
            <w:color w:val="000000" w:themeColor="text1"/>
            <w:sz w:val="24"/>
          </w:rPr>
          <w:instrText xml:space="preserve"> PAGEREF _Toc308774235 \h </w:instrText>
        </w:r>
        <w:r w:rsidR="0095325F" w:rsidRPr="00B557E8">
          <w:rPr>
            <w:rFonts w:ascii="Times New Roman" w:hAnsi="Times New Roman"/>
            <w:b w:val="0"/>
            <w:noProof/>
            <w:webHidden/>
            <w:color w:val="000000" w:themeColor="text1"/>
            <w:sz w:val="24"/>
          </w:rPr>
        </w:r>
        <w:r w:rsidR="0095325F" w:rsidRPr="00B557E8">
          <w:rPr>
            <w:rFonts w:ascii="Times New Roman" w:hAnsi="Times New Roman"/>
            <w:b w:val="0"/>
            <w:noProof/>
            <w:webHidden/>
            <w:color w:val="000000" w:themeColor="text1"/>
            <w:sz w:val="24"/>
          </w:rPr>
          <w:fldChar w:fldCharType="separate"/>
        </w:r>
        <w:r w:rsidR="0095325F" w:rsidRPr="00B557E8">
          <w:rPr>
            <w:rFonts w:ascii="Times New Roman" w:hAnsi="Times New Roman"/>
            <w:b w:val="0"/>
            <w:noProof/>
            <w:webHidden/>
            <w:color w:val="000000" w:themeColor="text1"/>
            <w:sz w:val="24"/>
          </w:rPr>
          <w:t>45</w:t>
        </w:r>
        <w:r w:rsidR="0095325F" w:rsidRPr="00B557E8">
          <w:rPr>
            <w:rFonts w:ascii="Times New Roman" w:hAnsi="Times New Roman"/>
            <w:b w:val="0"/>
            <w:noProof/>
            <w:webHidden/>
            <w:color w:val="000000" w:themeColor="text1"/>
            <w:sz w:val="24"/>
          </w:rPr>
          <w:fldChar w:fldCharType="end"/>
        </w:r>
      </w:hyperlink>
    </w:p>
    <w:p w:rsidR="0095325F" w:rsidRPr="00B557E8" w:rsidRDefault="004D604C" w:rsidP="00B557E8">
      <w:pPr>
        <w:pStyle w:val="TOC1"/>
        <w:spacing w:before="120" w:after="120" w:line="276" w:lineRule="auto"/>
        <w:rPr>
          <w:rFonts w:ascii="Times New Roman" w:eastAsiaTheme="minorEastAsia" w:hAnsi="Times New Roman"/>
          <w:b w:val="0"/>
          <w:bCs w:val="0"/>
          <w:caps w:val="0"/>
          <w:noProof/>
          <w:color w:val="000000" w:themeColor="text1"/>
          <w:szCs w:val="24"/>
          <w:lang w:eastAsia="lv-LV"/>
        </w:rPr>
      </w:pPr>
      <w:hyperlink w:anchor="_Toc308774236" w:history="1">
        <w:r w:rsidR="0095325F" w:rsidRPr="00B557E8">
          <w:rPr>
            <w:rStyle w:val="Hyperlink"/>
            <w:rFonts w:ascii="Times New Roman" w:hAnsi="Times New Roman" w:cs="Times New Roman"/>
            <w:b w:val="0"/>
            <w:noProof/>
            <w:color w:val="000000" w:themeColor="text1"/>
            <w:sz w:val="24"/>
            <w:szCs w:val="24"/>
            <w14:scene3d>
              <w14:camera w14:prst="orthographicFront"/>
              <w14:lightRig w14:rig="threePt" w14:dir="t">
                <w14:rot w14:lat="0" w14:lon="0" w14:rev="0"/>
              </w14:lightRig>
            </w14:scene3d>
          </w:rPr>
          <w:t>2.</w:t>
        </w:r>
        <w:r w:rsidR="0095325F" w:rsidRPr="00B557E8">
          <w:rPr>
            <w:rFonts w:ascii="Times New Roman" w:eastAsiaTheme="minorEastAsia" w:hAnsi="Times New Roman"/>
            <w:b w:val="0"/>
            <w:bCs w:val="0"/>
            <w:caps w:val="0"/>
            <w:noProof/>
            <w:color w:val="000000" w:themeColor="text1"/>
            <w:szCs w:val="24"/>
            <w:lang w:eastAsia="lv-LV"/>
          </w:rPr>
          <w:tab/>
        </w:r>
        <w:r w:rsidR="0095325F" w:rsidRPr="00B557E8">
          <w:rPr>
            <w:rStyle w:val="Hyperlink"/>
            <w:rFonts w:ascii="Times New Roman" w:hAnsi="Times New Roman" w:cs="Times New Roman"/>
            <w:b w:val="0"/>
            <w:noProof/>
            <w:color w:val="000000" w:themeColor="text1"/>
            <w:sz w:val="24"/>
            <w:szCs w:val="24"/>
          </w:rPr>
          <w:t>Eiropas Ekonomikas zonas un Norvēģijas finanšu instrumentu apguve</w:t>
        </w:r>
        <w:r w:rsidR="0095325F" w:rsidRPr="00B557E8">
          <w:rPr>
            <w:rFonts w:ascii="Times New Roman" w:hAnsi="Times New Roman"/>
            <w:b w:val="0"/>
            <w:noProof/>
            <w:webHidden/>
            <w:color w:val="000000" w:themeColor="text1"/>
            <w:szCs w:val="24"/>
          </w:rPr>
          <w:tab/>
        </w:r>
        <w:r w:rsidR="0095325F" w:rsidRPr="00B557E8">
          <w:rPr>
            <w:rFonts w:ascii="Times New Roman" w:hAnsi="Times New Roman"/>
            <w:b w:val="0"/>
            <w:noProof/>
            <w:webHidden/>
            <w:color w:val="000000" w:themeColor="text1"/>
            <w:szCs w:val="24"/>
          </w:rPr>
          <w:fldChar w:fldCharType="begin"/>
        </w:r>
        <w:r w:rsidR="0095325F" w:rsidRPr="00B557E8">
          <w:rPr>
            <w:rFonts w:ascii="Times New Roman" w:hAnsi="Times New Roman"/>
            <w:b w:val="0"/>
            <w:noProof/>
            <w:webHidden/>
            <w:color w:val="000000" w:themeColor="text1"/>
            <w:szCs w:val="24"/>
          </w:rPr>
          <w:instrText xml:space="preserve"> PAGEREF _Toc308774236 \h </w:instrText>
        </w:r>
        <w:r w:rsidR="0095325F" w:rsidRPr="00B557E8">
          <w:rPr>
            <w:rFonts w:ascii="Times New Roman" w:hAnsi="Times New Roman"/>
            <w:b w:val="0"/>
            <w:noProof/>
            <w:webHidden/>
            <w:color w:val="000000" w:themeColor="text1"/>
            <w:szCs w:val="24"/>
          </w:rPr>
        </w:r>
        <w:r w:rsidR="0095325F" w:rsidRPr="00B557E8">
          <w:rPr>
            <w:rFonts w:ascii="Times New Roman" w:hAnsi="Times New Roman"/>
            <w:b w:val="0"/>
            <w:noProof/>
            <w:webHidden/>
            <w:color w:val="000000" w:themeColor="text1"/>
            <w:szCs w:val="24"/>
          </w:rPr>
          <w:fldChar w:fldCharType="separate"/>
        </w:r>
        <w:r w:rsidR="0095325F" w:rsidRPr="00B557E8">
          <w:rPr>
            <w:rFonts w:ascii="Times New Roman" w:hAnsi="Times New Roman"/>
            <w:b w:val="0"/>
            <w:noProof/>
            <w:webHidden/>
            <w:color w:val="000000" w:themeColor="text1"/>
            <w:szCs w:val="24"/>
          </w:rPr>
          <w:t>47</w:t>
        </w:r>
        <w:r w:rsidR="0095325F" w:rsidRPr="00B557E8">
          <w:rPr>
            <w:rFonts w:ascii="Times New Roman" w:hAnsi="Times New Roman"/>
            <w:b w:val="0"/>
            <w:noProof/>
            <w:webHidden/>
            <w:color w:val="000000" w:themeColor="text1"/>
            <w:szCs w:val="24"/>
          </w:rPr>
          <w:fldChar w:fldCharType="end"/>
        </w:r>
      </w:hyperlink>
    </w:p>
    <w:p w:rsidR="0095325F" w:rsidRPr="00B557E8" w:rsidRDefault="004D604C" w:rsidP="00B557E8">
      <w:pPr>
        <w:pStyle w:val="TOC2"/>
        <w:tabs>
          <w:tab w:val="left" w:pos="720"/>
          <w:tab w:val="right" w:leader="dot" w:pos="9202"/>
        </w:tabs>
        <w:spacing w:before="120" w:after="120" w:line="276" w:lineRule="auto"/>
        <w:rPr>
          <w:rFonts w:ascii="Times New Roman" w:eastAsiaTheme="minorEastAsia" w:hAnsi="Times New Roman"/>
          <w:b w:val="0"/>
          <w:bCs w:val="0"/>
          <w:noProof/>
          <w:color w:val="000000" w:themeColor="text1"/>
          <w:sz w:val="24"/>
          <w:lang w:eastAsia="lv-LV"/>
        </w:rPr>
      </w:pPr>
      <w:hyperlink w:anchor="_Toc308774237" w:history="1">
        <w:r w:rsidR="0095325F" w:rsidRPr="00B557E8">
          <w:rPr>
            <w:rStyle w:val="Hyperlink"/>
            <w:rFonts w:ascii="Times New Roman" w:hAnsi="Times New Roman" w:cs="Times New Roman"/>
            <w:b w:val="0"/>
            <w:noProof/>
            <w:color w:val="000000" w:themeColor="text1"/>
            <w:sz w:val="24"/>
            <w:szCs w:val="24"/>
          </w:rPr>
          <w:t>2.1.</w:t>
        </w:r>
        <w:r w:rsidR="0095325F" w:rsidRPr="00B557E8">
          <w:rPr>
            <w:rFonts w:ascii="Times New Roman" w:eastAsiaTheme="minorEastAsia" w:hAnsi="Times New Roman"/>
            <w:b w:val="0"/>
            <w:bCs w:val="0"/>
            <w:noProof/>
            <w:color w:val="000000" w:themeColor="text1"/>
            <w:sz w:val="24"/>
            <w:lang w:eastAsia="lv-LV"/>
          </w:rPr>
          <w:tab/>
        </w:r>
        <w:r w:rsidR="0095325F" w:rsidRPr="00B557E8">
          <w:rPr>
            <w:rStyle w:val="Hyperlink"/>
            <w:rFonts w:ascii="Times New Roman" w:hAnsi="Times New Roman" w:cs="Times New Roman"/>
            <w:b w:val="0"/>
            <w:noProof/>
            <w:color w:val="000000" w:themeColor="text1"/>
            <w:sz w:val="24"/>
            <w:szCs w:val="24"/>
          </w:rPr>
          <w:t>2004.-2009.gada plānošanas periods</w:t>
        </w:r>
        <w:r w:rsidR="0095325F" w:rsidRPr="00B557E8">
          <w:rPr>
            <w:rFonts w:ascii="Times New Roman" w:hAnsi="Times New Roman"/>
            <w:b w:val="0"/>
            <w:noProof/>
            <w:webHidden/>
            <w:color w:val="000000" w:themeColor="text1"/>
            <w:sz w:val="24"/>
          </w:rPr>
          <w:tab/>
        </w:r>
        <w:r w:rsidR="0095325F" w:rsidRPr="00B557E8">
          <w:rPr>
            <w:rFonts w:ascii="Times New Roman" w:hAnsi="Times New Roman"/>
            <w:b w:val="0"/>
            <w:noProof/>
            <w:webHidden/>
            <w:color w:val="000000" w:themeColor="text1"/>
            <w:sz w:val="24"/>
          </w:rPr>
          <w:fldChar w:fldCharType="begin"/>
        </w:r>
        <w:r w:rsidR="0095325F" w:rsidRPr="00B557E8">
          <w:rPr>
            <w:rFonts w:ascii="Times New Roman" w:hAnsi="Times New Roman"/>
            <w:b w:val="0"/>
            <w:noProof/>
            <w:webHidden/>
            <w:color w:val="000000" w:themeColor="text1"/>
            <w:sz w:val="24"/>
          </w:rPr>
          <w:instrText xml:space="preserve"> PAGEREF _Toc308774237 \h </w:instrText>
        </w:r>
        <w:r w:rsidR="0095325F" w:rsidRPr="00B557E8">
          <w:rPr>
            <w:rFonts w:ascii="Times New Roman" w:hAnsi="Times New Roman"/>
            <w:b w:val="0"/>
            <w:noProof/>
            <w:webHidden/>
            <w:color w:val="000000" w:themeColor="text1"/>
            <w:sz w:val="24"/>
          </w:rPr>
        </w:r>
        <w:r w:rsidR="0095325F" w:rsidRPr="00B557E8">
          <w:rPr>
            <w:rFonts w:ascii="Times New Roman" w:hAnsi="Times New Roman"/>
            <w:b w:val="0"/>
            <w:noProof/>
            <w:webHidden/>
            <w:color w:val="000000" w:themeColor="text1"/>
            <w:sz w:val="24"/>
          </w:rPr>
          <w:fldChar w:fldCharType="separate"/>
        </w:r>
        <w:r w:rsidR="0095325F" w:rsidRPr="00B557E8">
          <w:rPr>
            <w:rFonts w:ascii="Times New Roman" w:hAnsi="Times New Roman"/>
            <w:b w:val="0"/>
            <w:noProof/>
            <w:webHidden/>
            <w:color w:val="000000" w:themeColor="text1"/>
            <w:sz w:val="24"/>
          </w:rPr>
          <w:t>47</w:t>
        </w:r>
        <w:r w:rsidR="0095325F" w:rsidRPr="00B557E8">
          <w:rPr>
            <w:rFonts w:ascii="Times New Roman" w:hAnsi="Times New Roman"/>
            <w:b w:val="0"/>
            <w:noProof/>
            <w:webHidden/>
            <w:color w:val="000000" w:themeColor="text1"/>
            <w:sz w:val="24"/>
          </w:rPr>
          <w:fldChar w:fldCharType="end"/>
        </w:r>
      </w:hyperlink>
    </w:p>
    <w:p w:rsidR="0095325F" w:rsidRPr="00B557E8" w:rsidRDefault="004D604C" w:rsidP="00B557E8">
      <w:pPr>
        <w:pStyle w:val="TOC2"/>
        <w:tabs>
          <w:tab w:val="left" w:pos="720"/>
          <w:tab w:val="right" w:leader="dot" w:pos="9202"/>
        </w:tabs>
        <w:spacing w:before="120" w:after="120" w:line="276" w:lineRule="auto"/>
        <w:rPr>
          <w:rFonts w:ascii="Times New Roman" w:eastAsiaTheme="minorEastAsia" w:hAnsi="Times New Roman"/>
          <w:b w:val="0"/>
          <w:bCs w:val="0"/>
          <w:noProof/>
          <w:color w:val="000000" w:themeColor="text1"/>
          <w:sz w:val="24"/>
          <w:lang w:eastAsia="lv-LV"/>
        </w:rPr>
      </w:pPr>
      <w:hyperlink w:anchor="_Toc308774238" w:history="1">
        <w:r w:rsidR="0095325F" w:rsidRPr="00B557E8">
          <w:rPr>
            <w:rStyle w:val="Hyperlink"/>
            <w:rFonts w:ascii="Times New Roman" w:hAnsi="Times New Roman" w:cs="Times New Roman"/>
            <w:b w:val="0"/>
            <w:noProof/>
            <w:color w:val="000000" w:themeColor="text1"/>
            <w:sz w:val="24"/>
            <w:szCs w:val="24"/>
          </w:rPr>
          <w:t>2.2.</w:t>
        </w:r>
        <w:r w:rsidR="0095325F" w:rsidRPr="00B557E8">
          <w:rPr>
            <w:rFonts w:ascii="Times New Roman" w:eastAsiaTheme="minorEastAsia" w:hAnsi="Times New Roman"/>
            <w:b w:val="0"/>
            <w:bCs w:val="0"/>
            <w:noProof/>
            <w:color w:val="000000" w:themeColor="text1"/>
            <w:sz w:val="24"/>
            <w:lang w:eastAsia="lv-LV"/>
          </w:rPr>
          <w:tab/>
        </w:r>
        <w:r w:rsidR="0095325F" w:rsidRPr="00B557E8">
          <w:rPr>
            <w:rStyle w:val="Hyperlink"/>
            <w:rFonts w:ascii="Times New Roman" w:hAnsi="Times New Roman" w:cs="Times New Roman"/>
            <w:b w:val="0"/>
            <w:noProof/>
            <w:color w:val="000000" w:themeColor="text1"/>
            <w:sz w:val="24"/>
            <w:szCs w:val="24"/>
          </w:rPr>
          <w:t>2009.-2014.gada plānošanas periods</w:t>
        </w:r>
        <w:r w:rsidR="0095325F" w:rsidRPr="00B557E8">
          <w:rPr>
            <w:rFonts w:ascii="Times New Roman" w:hAnsi="Times New Roman"/>
            <w:b w:val="0"/>
            <w:noProof/>
            <w:webHidden/>
            <w:color w:val="000000" w:themeColor="text1"/>
            <w:sz w:val="24"/>
          </w:rPr>
          <w:tab/>
        </w:r>
        <w:r w:rsidR="0095325F" w:rsidRPr="00B557E8">
          <w:rPr>
            <w:rFonts w:ascii="Times New Roman" w:hAnsi="Times New Roman"/>
            <w:b w:val="0"/>
            <w:noProof/>
            <w:webHidden/>
            <w:color w:val="000000" w:themeColor="text1"/>
            <w:sz w:val="24"/>
          </w:rPr>
          <w:fldChar w:fldCharType="begin"/>
        </w:r>
        <w:r w:rsidR="0095325F" w:rsidRPr="00B557E8">
          <w:rPr>
            <w:rFonts w:ascii="Times New Roman" w:hAnsi="Times New Roman"/>
            <w:b w:val="0"/>
            <w:noProof/>
            <w:webHidden/>
            <w:color w:val="000000" w:themeColor="text1"/>
            <w:sz w:val="24"/>
          </w:rPr>
          <w:instrText xml:space="preserve"> PAGEREF _Toc308774238 \h </w:instrText>
        </w:r>
        <w:r w:rsidR="0095325F" w:rsidRPr="00B557E8">
          <w:rPr>
            <w:rFonts w:ascii="Times New Roman" w:hAnsi="Times New Roman"/>
            <w:b w:val="0"/>
            <w:noProof/>
            <w:webHidden/>
            <w:color w:val="000000" w:themeColor="text1"/>
            <w:sz w:val="24"/>
          </w:rPr>
        </w:r>
        <w:r w:rsidR="0095325F" w:rsidRPr="00B557E8">
          <w:rPr>
            <w:rFonts w:ascii="Times New Roman" w:hAnsi="Times New Roman"/>
            <w:b w:val="0"/>
            <w:noProof/>
            <w:webHidden/>
            <w:color w:val="000000" w:themeColor="text1"/>
            <w:sz w:val="24"/>
          </w:rPr>
          <w:fldChar w:fldCharType="separate"/>
        </w:r>
        <w:r w:rsidR="0095325F" w:rsidRPr="00B557E8">
          <w:rPr>
            <w:rFonts w:ascii="Times New Roman" w:hAnsi="Times New Roman"/>
            <w:b w:val="0"/>
            <w:noProof/>
            <w:webHidden/>
            <w:color w:val="000000" w:themeColor="text1"/>
            <w:sz w:val="24"/>
          </w:rPr>
          <w:t>49</w:t>
        </w:r>
        <w:r w:rsidR="0095325F" w:rsidRPr="00B557E8">
          <w:rPr>
            <w:rFonts w:ascii="Times New Roman" w:hAnsi="Times New Roman"/>
            <w:b w:val="0"/>
            <w:noProof/>
            <w:webHidden/>
            <w:color w:val="000000" w:themeColor="text1"/>
            <w:sz w:val="24"/>
          </w:rPr>
          <w:fldChar w:fldCharType="end"/>
        </w:r>
      </w:hyperlink>
    </w:p>
    <w:p w:rsidR="0095325F" w:rsidRPr="00B557E8" w:rsidRDefault="004D604C" w:rsidP="00B557E8">
      <w:pPr>
        <w:pStyle w:val="TOC1"/>
        <w:spacing w:before="120" w:after="120" w:line="276" w:lineRule="auto"/>
        <w:rPr>
          <w:rFonts w:ascii="Times New Roman" w:eastAsiaTheme="minorEastAsia" w:hAnsi="Times New Roman"/>
          <w:b w:val="0"/>
          <w:bCs w:val="0"/>
          <w:caps w:val="0"/>
          <w:noProof/>
          <w:color w:val="000000" w:themeColor="text1"/>
          <w:szCs w:val="24"/>
          <w:lang w:eastAsia="lv-LV"/>
        </w:rPr>
      </w:pPr>
      <w:hyperlink w:anchor="_Toc308774239" w:history="1">
        <w:r w:rsidR="0095325F" w:rsidRPr="00B557E8">
          <w:rPr>
            <w:rStyle w:val="Hyperlink"/>
            <w:rFonts w:ascii="Times New Roman" w:hAnsi="Times New Roman" w:cs="Times New Roman"/>
            <w:b w:val="0"/>
            <w:noProof/>
            <w:color w:val="000000" w:themeColor="text1"/>
            <w:sz w:val="24"/>
            <w:szCs w:val="24"/>
            <w14:scene3d>
              <w14:camera w14:prst="orthographicFront"/>
              <w14:lightRig w14:rig="threePt" w14:dir="t">
                <w14:rot w14:lat="0" w14:lon="0" w14:rev="0"/>
              </w14:lightRig>
            </w14:scene3d>
          </w:rPr>
          <w:t>3.</w:t>
        </w:r>
        <w:r w:rsidR="0095325F" w:rsidRPr="00B557E8">
          <w:rPr>
            <w:rFonts w:ascii="Times New Roman" w:eastAsiaTheme="minorEastAsia" w:hAnsi="Times New Roman"/>
            <w:b w:val="0"/>
            <w:bCs w:val="0"/>
            <w:caps w:val="0"/>
            <w:noProof/>
            <w:color w:val="000000" w:themeColor="text1"/>
            <w:szCs w:val="24"/>
            <w:lang w:eastAsia="lv-LV"/>
          </w:rPr>
          <w:tab/>
        </w:r>
        <w:r w:rsidR="0095325F" w:rsidRPr="00B557E8">
          <w:rPr>
            <w:rStyle w:val="Hyperlink"/>
            <w:rFonts w:ascii="Times New Roman" w:hAnsi="Times New Roman" w:cs="Times New Roman"/>
            <w:b w:val="0"/>
            <w:noProof/>
            <w:color w:val="000000" w:themeColor="text1"/>
            <w:sz w:val="24"/>
            <w:szCs w:val="24"/>
          </w:rPr>
          <w:t>Latvijas un Šveices sadarbības programmas apguve</w:t>
        </w:r>
        <w:r w:rsidR="0095325F" w:rsidRPr="00B557E8">
          <w:rPr>
            <w:rFonts w:ascii="Times New Roman" w:hAnsi="Times New Roman"/>
            <w:b w:val="0"/>
            <w:noProof/>
            <w:webHidden/>
            <w:color w:val="000000" w:themeColor="text1"/>
            <w:szCs w:val="24"/>
          </w:rPr>
          <w:tab/>
        </w:r>
        <w:r w:rsidR="0095325F" w:rsidRPr="00B557E8">
          <w:rPr>
            <w:rFonts w:ascii="Times New Roman" w:hAnsi="Times New Roman"/>
            <w:b w:val="0"/>
            <w:noProof/>
            <w:webHidden/>
            <w:color w:val="000000" w:themeColor="text1"/>
            <w:szCs w:val="24"/>
          </w:rPr>
          <w:fldChar w:fldCharType="begin"/>
        </w:r>
        <w:r w:rsidR="0095325F" w:rsidRPr="00B557E8">
          <w:rPr>
            <w:rFonts w:ascii="Times New Roman" w:hAnsi="Times New Roman"/>
            <w:b w:val="0"/>
            <w:noProof/>
            <w:webHidden/>
            <w:color w:val="000000" w:themeColor="text1"/>
            <w:szCs w:val="24"/>
          </w:rPr>
          <w:instrText xml:space="preserve"> PAGEREF _Toc308774239 \h </w:instrText>
        </w:r>
        <w:r w:rsidR="0095325F" w:rsidRPr="00B557E8">
          <w:rPr>
            <w:rFonts w:ascii="Times New Roman" w:hAnsi="Times New Roman"/>
            <w:b w:val="0"/>
            <w:noProof/>
            <w:webHidden/>
            <w:color w:val="000000" w:themeColor="text1"/>
            <w:szCs w:val="24"/>
          </w:rPr>
        </w:r>
        <w:r w:rsidR="0095325F" w:rsidRPr="00B557E8">
          <w:rPr>
            <w:rFonts w:ascii="Times New Roman" w:hAnsi="Times New Roman"/>
            <w:b w:val="0"/>
            <w:noProof/>
            <w:webHidden/>
            <w:color w:val="000000" w:themeColor="text1"/>
            <w:szCs w:val="24"/>
          </w:rPr>
          <w:fldChar w:fldCharType="separate"/>
        </w:r>
        <w:r w:rsidR="0095325F" w:rsidRPr="00B557E8">
          <w:rPr>
            <w:rFonts w:ascii="Times New Roman" w:hAnsi="Times New Roman"/>
            <w:b w:val="0"/>
            <w:noProof/>
            <w:webHidden/>
            <w:color w:val="000000" w:themeColor="text1"/>
            <w:szCs w:val="24"/>
          </w:rPr>
          <w:t>53</w:t>
        </w:r>
        <w:r w:rsidR="0095325F" w:rsidRPr="00B557E8">
          <w:rPr>
            <w:rFonts w:ascii="Times New Roman" w:hAnsi="Times New Roman"/>
            <w:b w:val="0"/>
            <w:noProof/>
            <w:webHidden/>
            <w:color w:val="000000" w:themeColor="text1"/>
            <w:szCs w:val="24"/>
          </w:rPr>
          <w:fldChar w:fldCharType="end"/>
        </w:r>
      </w:hyperlink>
    </w:p>
    <w:p w:rsidR="0095325F" w:rsidRPr="00B557E8" w:rsidRDefault="004D604C" w:rsidP="00B557E8">
      <w:pPr>
        <w:pStyle w:val="TOC1"/>
        <w:spacing w:before="120" w:after="120" w:line="276" w:lineRule="auto"/>
        <w:rPr>
          <w:rFonts w:ascii="Times New Roman" w:eastAsiaTheme="minorEastAsia" w:hAnsi="Times New Roman"/>
          <w:b w:val="0"/>
          <w:bCs w:val="0"/>
          <w:caps w:val="0"/>
          <w:noProof/>
          <w:color w:val="000000" w:themeColor="text1"/>
          <w:szCs w:val="24"/>
          <w:lang w:eastAsia="lv-LV"/>
        </w:rPr>
      </w:pPr>
      <w:hyperlink w:anchor="_Toc308774240" w:history="1">
        <w:r w:rsidR="0095325F" w:rsidRPr="00B557E8">
          <w:rPr>
            <w:rStyle w:val="Hyperlink"/>
            <w:rFonts w:ascii="Times New Roman" w:hAnsi="Times New Roman" w:cs="Times New Roman"/>
            <w:b w:val="0"/>
            <w:noProof/>
            <w:color w:val="000000" w:themeColor="text1"/>
            <w:sz w:val="24"/>
            <w:szCs w:val="24"/>
            <w14:scene3d>
              <w14:camera w14:prst="orthographicFront"/>
              <w14:lightRig w14:rig="threePt" w14:dir="t">
                <w14:rot w14:lat="0" w14:lon="0" w14:rev="0"/>
              </w14:lightRig>
            </w14:scene3d>
          </w:rPr>
          <w:t>4.</w:t>
        </w:r>
        <w:r w:rsidR="0095325F" w:rsidRPr="00B557E8">
          <w:rPr>
            <w:rFonts w:ascii="Times New Roman" w:eastAsiaTheme="minorEastAsia" w:hAnsi="Times New Roman"/>
            <w:b w:val="0"/>
            <w:bCs w:val="0"/>
            <w:caps w:val="0"/>
            <w:noProof/>
            <w:color w:val="000000" w:themeColor="text1"/>
            <w:szCs w:val="24"/>
            <w:lang w:eastAsia="lv-LV"/>
          </w:rPr>
          <w:tab/>
        </w:r>
        <w:r w:rsidR="0095325F" w:rsidRPr="00B557E8">
          <w:rPr>
            <w:rStyle w:val="Hyperlink"/>
            <w:rFonts w:ascii="Times New Roman" w:hAnsi="Times New Roman" w:cs="Times New Roman"/>
            <w:b w:val="0"/>
            <w:noProof/>
            <w:color w:val="000000" w:themeColor="text1"/>
            <w:sz w:val="24"/>
            <w:szCs w:val="24"/>
          </w:rPr>
          <w:t>Neatbilstības un neatbilstoši veikti izdevumi ES fondu un citu ārvalstu finanšu palīdzības līdzfinansētu projektu ietvaros</w:t>
        </w:r>
        <w:r w:rsidR="0095325F" w:rsidRPr="00B557E8">
          <w:rPr>
            <w:rFonts w:ascii="Times New Roman" w:hAnsi="Times New Roman"/>
            <w:b w:val="0"/>
            <w:noProof/>
            <w:webHidden/>
            <w:color w:val="000000" w:themeColor="text1"/>
            <w:szCs w:val="24"/>
          </w:rPr>
          <w:tab/>
        </w:r>
        <w:r w:rsidR="0095325F" w:rsidRPr="00B557E8">
          <w:rPr>
            <w:rFonts w:ascii="Times New Roman" w:hAnsi="Times New Roman"/>
            <w:b w:val="0"/>
            <w:noProof/>
            <w:webHidden/>
            <w:color w:val="000000" w:themeColor="text1"/>
            <w:szCs w:val="24"/>
          </w:rPr>
          <w:fldChar w:fldCharType="begin"/>
        </w:r>
        <w:r w:rsidR="0095325F" w:rsidRPr="00B557E8">
          <w:rPr>
            <w:rFonts w:ascii="Times New Roman" w:hAnsi="Times New Roman"/>
            <w:b w:val="0"/>
            <w:noProof/>
            <w:webHidden/>
            <w:color w:val="000000" w:themeColor="text1"/>
            <w:szCs w:val="24"/>
          </w:rPr>
          <w:instrText xml:space="preserve"> PAGEREF _Toc308774240 \h </w:instrText>
        </w:r>
        <w:r w:rsidR="0095325F" w:rsidRPr="00B557E8">
          <w:rPr>
            <w:rFonts w:ascii="Times New Roman" w:hAnsi="Times New Roman"/>
            <w:b w:val="0"/>
            <w:noProof/>
            <w:webHidden/>
            <w:color w:val="000000" w:themeColor="text1"/>
            <w:szCs w:val="24"/>
          </w:rPr>
        </w:r>
        <w:r w:rsidR="0095325F" w:rsidRPr="00B557E8">
          <w:rPr>
            <w:rFonts w:ascii="Times New Roman" w:hAnsi="Times New Roman"/>
            <w:b w:val="0"/>
            <w:noProof/>
            <w:webHidden/>
            <w:color w:val="000000" w:themeColor="text1"/>
            <w:szCs w:val="24"/>
          </w:rPr>
          <w:fldChar w:fldCharType="separate"/>
        </w:r>
        <w:r w:rsidR="0095325F" w:rsidRPr="00B557E8">
          <w:rPr>
            <w:rFonts w:ascii="Times New Roman" w:hAnsi="Times New Roman"/>
            <w:b w:val="0"/>
            <w:noProof/>
            <w:webHidden/>
            <w:color w:val="000000" w:themeColor="text1"/>
            <w:szCs w:val="24"/>
          </w:rPr>
          <w:t>56</w:t>
        </w:r>
        <w:r w:rsidR="0095325F" w:rsidRPr="00B557E8">
          <w:rPr>
            <w:rFonts w:ascii="Times New Roman" w:hAnsi="Times New Roman"/>
            <w:b w:val="0"/>
            <w:noProof/>
            <w:webHidden/>
            <w:color w:val="000000" w:themeColor="text1"/>
            <w:szCs w:val="24"/>
          </w:rPr>
          <w:fldChar w:fldCharType="end"/>
        </w:r>
      </w:hyperlink>
    </w:p>
    <w:p w:rsidR="0095325F" w:rsidRPr="00B557E8" w:rsidRDefault="004D604C" w:rsidP="00B557E8">
      <w:pPr>
        <w:pStyle w:val="TOC2"/>
        <w:tabs>
          <w:tab w:val="left" w:pos="720"/>
          <w:tab w:val="right" w:leader="dot" w:pos="9202"/>
        </w:tabs>
        <w:spacing w:before="120" w:after="120" w:line="276" w:lineRule="auto"/>
        <w:rPr>
          <w:rFonts w:ascii="Times New Roman" w:eastAsiaTheme="minorEastAsia" w:hAnsi="Times New Roman"/>
          <w:b w:val="0"/>
          <w:bCs w:val="0"/>
          <w:noProof/>
          <w:color w:val="000000" w:themeColor="text1"/>
          <w:sz w:val="24"/>
          <w:lang w:eastAsia="lv-LV"/>
        </w:rPr>
      </w:pPr>
      <w:hyperlink w:anchor="_Toc308774241" w:history="1">
        <w:r w:rsidR="0095325F" w:rsidRPr="00B557E8">
          <w:rPr>
            <w:rStyle w:val="Hyperlink"/>
            <w:rFonts w:ascii="Times New Roman" w:hAnsi="Times New Roman" w:cs="Times New Roman"/>
            <w:b w:val="0"/>
            <w:noProof/>
            <w:color w:val="000000" w:themeColor="text1"/>
            <w:sz w:val="24"/>
            <w:szCs w:val="24"/>
          </w:rPr>
          <w:t>4.1.</w:t>
        </w:r>
        <w:r w:rsidR="0095325F" w:rsidRPr="00B557E8">
          <w:rPr>
            <w:rFonts w:ascii="Times New Roman" w:eastAsiaTheme="minorEastAsia" w:hAnsi="Times New Roman"/>
            <w:b w:val="0"/>
            <w:bCs w:val="0"/>
            <w:noProof/>
            <w:color w:val="000000" w:themeColor="text1"/>
            <w:sz w:val="24"/>
            <w:lang w:eastAsia="lv-LV"/>
          </w:rPr>
          <w:tab/>
        </w:r>
        <w:r w:rsidR="0095325F" w:rsidRPr="00B557E8">
          <w:rPr>
            <w:rStyle w:val="Hyperlink"/>
            <w:rFonts w:ascii="Times New Roman" w:hAnsi="Times New Roman" w:cs="Times New Roman"/>
            <w:b w:val="0"/>
            <w:noProof/>
            <w:color w:val="000000" w:themeColor="text1"/>
            <w:sz w:val="24"/>
            <w:szCs w:val="24"/>
          </w:rPr>
          <w:t>2007.-2013.gada plānošanas perioda ES fondi</w:t>
        </w:r>
        <w:r w:rsidR="0095325F" w:rsidRPr="00B557E8">
          <w:rPr>
            <w:rFonts w:ascii="Times New Roman" w:hAnsi="Times New Roman"/>
            <w:b w:val="0"/>
            <w:noProof/>
            <w:webHidden/>
            <w:color w:val="000000" w:themeColor="text1"/>
            <w:sz w:val="24"/>
          </w:rPr>
          <w:tab/>
        </w:r>
        <w:r w:rsidR="0095325F" w:rsidRPr="00B557E8">
          <w:rPr>
            <w:rFonts w:ascii="Times New Roman" w:hAnsi="Times New Roman"/>
            <w:b w:val="0"/>
            <w:noProof/>
            <w:webHidden/>
            <w:color w:val="000000" w:themeColor="text1"/>
            <w:sz w:val="24"/>
          </w:rPr>
          <w:fldChar w:fldCharType="begin"/>
        </w:r>
        <w:r w:rsidR="0095325F" w:rsidRPr="00B557E8">
          <w:rPr>
            <w:rFonts w:ascii="Times New Roman" w:hAnsi="Times New Roman"/>
            <w:b w:val="0"/>
            <w:noProof/>
            <w:webHidden/>
            <w:color w:val="000000" w:themeColor="text1"/>
            <w:sz w:val="24"/>
          </w:rPr>
          <w:instrText xml:space="preserve"> PAGEREF _Toc308774241 \h </w:instrText>
        </w:r>
        <w:r w:rsidR="0095325F" w:rsidRPr="00B557E8">
          <w:rPr>
            <w:rFonts w:ascii="Times New Roman" w:hAnsi="Times New Roman"/>
            <w:b w:val="0"/>
            <w:noProof/>
            <w:webHidden/>
            <w:color w:val="000000" w:themeColor="text1"/>
            <w:sz w:val="24"/>
          </w:rPr>
        </w:r>
        <w:r w:rsidR="0095325F" w:rsidRPr="00B557E8">
          <w:rPr>
            <w:rFonts w:ascii="Times New Roman" w:hAnsi="Times New Roman"/>
            <w:b w:val="0"/>
            <w:noProof/>
            <w:webHidden/>
            <w:color w:val="000000" w:themeColor="text1"/>
            <w:sz w:val="24"/>
          </w:rPr>
          <w:fldChar w:fldCharType="separate"/>
        </w:r>
        <w:r w:rsidR="0095325F" w:rsidRPr="00B557E8">
          <w:rPr>
            <w:rFonts w:ascii="Times New Roman" w:hAnsi="Times New Roman"/>
            <w:b w:val="0"/>
            <w:noProof/>
            <w:webHidden/>
            <w:color w:val="000000" w:themeColor="text1"/>
            <w:sz w:val="24"/>
          </w:rPr>
          <w:t>57</w:t>
        </w:r>
        <w:r w:rsidR="0095325F" w:rsidRPr="00B557E8">
          <w:rPr>
            <w:rFonts w:ascii="Times New Roman" w:hAnsi="Times New Roman"/>
            <w:b w:val="0"/>
            <w:noProof/>
            <w:webHidden/>
            <w:color w:val="000000" w:themeColor="text1"/>
            <w:sz w:val="24"/>
          </w:rPr>
          <w:fldChar w:fldCharType="end"/>
        </w:r>
      </w:hyperlink>
    </w:p>
    <w:p w:rsidR="0095325F" w:rsidRPr="00B557E8" w:rsidRDefault="004D604C" w:rsidP="00B557E8">
      <w:pPr>
        <w:pStyle w:val="TOC2"/>
        <w:tabs>
          <w:tab w:val="left" w:pos="720"/>
          <w:tab w:val="right" w:leader="dot" w:pos="9202"/>
        </w:tabs>
        <w:spacing w:before="120" w:after="120" w:line="276" w:lineRule="auto"/>
        <w:rPr>
          <w:rFonts w:ascii="Times New Roman" w:eastAsiaTheme="minorEastAsia" w:hAnsi="Times New Roman"/>
          <w:b w:val="0"/>
          <w:bCs w:val="0"/>
          <w:noProof/>
          <w:color w:val="000000" w:themeColor="text1"/>
          <w:sz w:val="24"/>
          <w:lang w:eastAsia="lv-LV"/>
        </w:rPr>
      </w:pPr>
      <w:hyperlink w:anchor="_Toc308774242" w:history="1">
        <w:r w:rsidR="0095325F" w:rsidRPr="00B557E8">
          <w:rPr>
            <w:rStyle w:val="Hyperlink"/>
            <w:rFonts w:ascii="Times New Roman" w:hAnsi="Times New Roman" w:cs="Times New Roman"/>
            <w:b w:val="0"/>
            <w:noProof/>
            <w:color w:val="000000" w:themeColor="text1"/>
            <w:sz w:val="24"/>
            <w:szCs w:val="24"/>
          </w:rPr>
          <w:t>4.2.</w:t>
        </w:r>
        <w:r w:rsidR="0095325F" w:rsidRPr="00B557E8">
          <w:rPr>
            <w:rFonts w:ascii="Times New Roman" w:eastAsiaTheme="minorEastAsia" w:hAnsi="Times New Roman"/>
            <w:b w:val="0"/>
            <w:bCs w:val="0"/>
            <w:noProof/>
            <w:color w:val="000000" w:themeColor="text1"/>
            <w:sz w:val="24"/>
            <w:lang w:eastAsia="lv-LV"/>
          </w:rPr>
          <w:tab/>
        </w:r>
        <w:r w:rsidR="0095325F" w:rsidRPr="00B557E8">
          <w:rPr>
            <w:rStyle w:val="Hyperlink"/>
            <w:rFonts w:ascii="Times New Roman" w:hAnsi="Times New Roman" w:cs="Times New Roman"/>
            <w:b w:val="0"/>
            <w:noProof/>
            <w:color w:val="000000" w:themeColor="text1"/>
            <w:sz w:val="24"/>
            <w:szCs w:val="24"/>
          </w:rPr>
          <w:t>2004.-2006.gada plānošanas periods</w:t>
        </w:r>
        <w:r w:rsidR="0095325F" w:rsidRPr="00B557E8">
          <w:rPr>
            <w:rFonts w:ascii="Times New Roman" w:hAnsi="Times New Roman"/>
            <w:b w:val="0"/>
            <w:noProof/>
            <w:webHidden/>
            <w:color w:val="000000" w:themeColor="text1"/>
            <w:sz w:val="24"/>
          </w:rPr>
          <w:tab/>
        </w:r>
        <w:r w:rsidR="0095325F" w:rsidRPr="00B557E8">
          <w:rPr>
            <w:rFonts w:ascii="Times New Roman" w:hAnsi="Times New Roman"/>
            <w:b w:val="0"/>
            <w:noProof/>
            <w:webHidden/>
            <w:color w:val="000000" w:themeColor="text1"/>
            <w:sz w:val="24"/>
          </w:rPr>
          <w:fldChar w:fldCharType="begin"/>
        </w:r>
        <w:r w:rsidR="0095325F" w:rsidRPr="00B557E8">
          <w:rPr>
            <w:rFonts w:ascii="Times New Roman" w:hAnsi="Times New Roman"/>
            <w:b w:val="0"/>
            <w:noProof/>
            <w:webHidden/>
            <w:color w:val="000000" w:themeColor="text1"/>
            <w:sz w:val="24"/>
          </w:rPr>
          <w:instrText xml:space="preserve"> PAGEREF _Toc308774242 \h </w:instrText>
        </w:r>
        <w:r w:rsidR="0095325F" w:rsidRPr="00B557E8">
          <w:rPr>
            <w:rFonts w:ascii="Times New Roman" w:hAnsi="Times New Roman"/>
            <w:b w:val="0"/>
            <w:noProof/>
            <w:webHidden/>
            <w:color w:val="000000" w:themeColor="text1"/>
            <w:sz w:val="24"/>
          </w:rPr>
        </w:r>
        <w:r w:rsidR="0095325F" w:rsidRPr="00B557E8">
          <w:rPr>
            <w:rFonts w:ascii="Times New Roman" w:hAnsi="Times New Roman"/>
            <w:b w:val="0"/>
            <w:noProof/>
            <w:webHidden/>
            <w:color w:val="000000" w:themeColor="text1"/>
            <w:sz w:val="24"/>
          </w:rPr>
          <w:fldChar w:fldCharType="separate"/>
        </w:r>
        <w:r w:rsidR="0095325F" w:rsidRPr="00B557E8">
          <w:rPr>
            <w:rFonts w:ascii="Times New Roman" w:hAnsi="Times New Roman"/>
            <w:b w:val="0"/>
            <w:noProof/>
            <w:webHidden/>
            <w:color w:val="000000" w:themeColor="text1"/>
            <w:sz w:val="24"/>
          </w:rPr>
          <w:t>61</w:t>
        </w:r>
        <w:r w:rsidR="0095325F" w:rsidRPr="00B557E8">
          <w:rPr>
            <w:rFonts w:ascii="Times New Roman" w:hAnsi="Times New Roman"/>
            <w:b w:val="0"/>
            <w:noProof/>
            <w:webHidden/>
            <w:color w:val="000000" w:themeColor="text1"/>
            <w:sz w:val="24"/>
          </w:rPr>
          <w:fldChar w:fldCharType="end"/>
        </w:r>
      </w:hyperlink>
    </w:p>
    <w:p w:rsidR="0095325F" w:rsidRPr="00B557E8" w:rsidRDefault="004D604C" w:rsidP="00B557E8">
      <w:pPr>
        <w:pStyle w:val="TOC2"/>
        <w:tabs>
          <w:tab w:val="left" w:pos="720"/>
          <w:tab w:val="right" w:leader="dot" w:pos="9202"/>
        </w:tabs>
        <w:spacing w:before="120" w:after="120" w:line="276" w:lineRule="auto"/>
        <w:rPr>
          <w:rFonts w:ascii="Times New Roman" w:eastAsiaTheme="minorEastAsia" w:hAnsi="Times New Roman"/>
          <w:b w:val="0"/>
          <w:bCs w:val="0"/>
          <w:noProof/>
          <w:color w:val="000000" w:themeColor="text1"/>
          <w:sz w:val="24"/>
          <w:lang w:eastAsia="lv-LV"/>
        </w:rPr>
      </w:pPr>
      <w:hyperlink w:anchor="_Toc308774243" w:history="1">
        <w:r w:rsidR="0095325F" w:rsidRPr="00B557E8">
          <w:rPr>
            <w:rStyle w:val="Hyperlink"/>
            <w:rFonts w:ascii="Times New Roman" w:hAnsi="Times New Roman" w:cs="Times New Roman"/>
            <w:b w:val="0"/>
            <w:noProof/>
            <w:color w:val="000000" w:themeColor="text1"/>
            <w:sz w:val="24"/>
            <w:szCs w:val="24"/>
          </w:rPr>
          <w:t>4.3.</w:t>
        </w:r>
        <w:r w:rsidR="0095325F" w:rsidRPr="00B557E8">
          <w:rPr>
            <w:rFonts w:ascii="Times New Roman" w:eastAsiaTheme="minorEastAsia" w:hAnsi="Times New Roman"/>
            <w:b w:val="0"/>
            <w:bCs w:val="0"/>
            <w:noProof/>
            <w:color w:val="000000" w:themeColor="text1"/>
            <w:sz w:val="24"/>
            <w:lang w:eastAsia="lv-LV"/>
          </w:rPr>
          <w:tab/>
        </w:r>
        <w:r w:rsidR="0095325F" w:rsidRPr="00B557E8">
          <w:rPr>
            <w:rStyle w:val="Hyperlink"/>
            <w:rFonts w:ascii="Times New Roman" w:hAnsi="Times New Roman" w:cs="Times New Roman"/>
            <w:b w:val="0"/>
            <w:noProof/>
            <w:color w:val="000000" w:themeColor="text1"/>
            <w:sz w:val="24"/>
            <w:szCs w:val="24"/>
          </w:rPr>
          <w:t>Neatbilstoši veikti izdevumi un zaudējumi valsts budžetam 2007 – 2013. gada plānošanas periodā ES fondos</w:t>
        </w:r>
        <w:r w:rsidR="0095325F" w:rsidRPr="00B557E8">
          <w:rPr>
            <w:rFonts w:ascii="Times New Roman" w:hAnsi="Times New Roman"/>
            <w:b w:val="0"/>
            <w:noProof/>
            <w:webHidden/>
            <w:color w:val="000000" w:themeColor="text1"/>
            <w:sz w:val="24"/>
          </w:rPr>
          <w:tab/>
        </w:r>
        <w:r w:rsidR="0095325F" w:rsidRPr="00B557E8">
          <w:rPr>
            <w:rFonts w:ascii="Times New Roman" w:hAnsi="Times New Roman"/>
            <w:b w:val="0"/>
            <w:noProof/>
            <w:webHidden/>
            <w:color w:val="000000" w:themeColor="text1"/>
            <w:sz w:val="24"/>
          </w:rPr>
          <w:fldChar w:fldCharType="begin"/>
        </w:r>
        <w:r w:rsidR="0095325F" w:rsidRPr="00B557E8">
          <w:rPr>
            <w:rFonts w:ascii="Times New Roman" w:hAnsi="Times New Roman"/>
            <w:b w:val="0"/>
            <w:noProof/>
            <w:webHidden/>
            <w:color w:val="000000" w:themeColor="text1"/>
            <w:sz w:val="24"/>
          </w:rPr>
          <w:instrText xml:space="preserve"> PAGEREF _Toc308774243 \h </w:instrText>
        </w:r>
        <w:r w:rsidR="0095325F" w:rsidRPr="00B557E8">
          <w:rPr>
            <w:rFonts w:ascii="Times New Roman" w:hAnsi="Times New Roman"/>
            <w:b w:val="0"/>
            <w:noProof/>
            <w:webHidden/>
            <w:color w:val="000000" w:themeColor="text1"/>
            <w:sz w:val="24"/>
          </w:rPr>
        </w:r>
        <w:r w:rsidR="0095325F" w:rsidRPr="00B557E8">
          <w:rPr>
            <w:rFonts w:ascii="Times New Roman" w:hAnsi="Times New Roman"/>
            <w:b w:val="0"/>
            <w:noProof/>
            <w:webHidden/>
            <w:color w:val="000000" w:themeColor="text1"/>
            <w:sz w:val="24"/>
          </w:rPr>
          <w:fldChar w:fldCharType="separate"/>
        </w:r>
        <w:r w:rsidR="0095325F" w:rsidRPr="00B557E8">
          <w:rPr>
            <w:rFonts w:ascii="Times New Roman" w:hAnsi="Times New Roman"/>
            <w:b w:val="0"/>
            <w:noProof/>
            <w:webHidden/>
            <w:color w:val="000000" w:themeColor="text1"/>
            <w:sz w:val="24"/>
          </w:rPr>
          <w:t>62</w:t>
        </w:r>
        <w:r w:rsidR="0095325F" w:rsidRPr="00B557E8">
          <w:rPr>
            <w:rFonts w:ascii="Times New Roman" w:hAnsi="Times New Roman"/>
            <w:b w:val="0"/>
            <w:noProof/>
            <w:webHidden/>
            <w:color w:val="000000" w:themeColor="text1"/>
            <w:sz w:val="24"/>
          </w:rPr>
          <w:fldChar w:fldCharType="end"/>
        </w:r>
      </w:hyperlink>
    </w:p>
    <w:p w:rsidR="0095325F" w:rsidRPr="00B557E8" w:rsidRDefault="004D604C" w:rsidP="00B557E8">
      <w:pPr>
        <w:pStyle w:val="TOC2"/>
        <w:tabs>
          <w:tab w:val="left" w:pos="720"/>
          <w:tab w:val="right" w:leader="dot" w:pos="9202"/>
        </w:tabs>
        <w:spacing w:before="120" w:after="120" w:line="276" w:lineRule="auto"/>
        <w:rPr>
          <w:rFonts w:ascii="Times New Roman" w:eastAsiaTheme="minorEastAsia" w:hAnsi="Times New Roman"/>
          <w:b w:val="0"/>
          <w:bCs w:val="0"/>
          <w:noProof/>
          <w:color w:val="000000" w:themeColor="text1"/>
          <w:sz w:val="24"/>
          <w:lang w:eastAsia="lv-LV"/>
        </w:rPr>
      </w:pPr>
      <w:hyperlink w:anchor="_Toc308774244" w:history="1">
        <w:r w:rsidR="0095325F" w:rsidRPr="00B557E8">
          <w:rPr>
            <w:rStyle w:val="Hyperlink"/>
            <w:rFonts w:ascii="Times New Roman" w:hAnsi="Times New Roman" w:cs="Times New Roman"/>
            <w:b w:val="0"/>
            <w:noProof/>
            <w:color w:val="000000" w:themeColor="text1"/>
            <w:sz w:val="24"/>
            <w:szCs w:val="24"/>
          </w:rPr>
          <w:t>4.4.</w:t>
        </w:r>
        <w:r w:rsidR="0095325F" w:rsidRPr="00B557E8">
          <w:rPr>
            <w:rFonts w:ascii="Times New Roman" w:eastAsiaTheme="minorEastAsia" w:hAnsi="Times New Roman"/>
            <w:b w:val="0"/>
            <w:bCs w:val="0"/>
            <w:noProof/>
            <w:color w:val="000000" w:themeColor="text1"/>
            <w:sz w:val="24"/>
            <w:lang w:eastAsia="lv-LV"/>
          </w:rPr>
          <w:tab/>
        </w:r>
        <w:r w:rsidR="0095325F" w:rsidRPr="00B557E8">
          <w:rPr>
            <w:rStyle w:val="Hyperlink"/>
            <w:rFonts w:ascii="Times New Roman" w:hAnsi="Times New Roman" w:cs="Times New Roman"/>
            <w:b w:val="0"/>
            <w:noProof/>
            <w:color w:val="000000" w:themeColor="text1"/>
            <w:sz w:val="24"/>
            <w:szCs w:val="24"/>
          </w:rPr>
          <w:t>Eiropas Ekonomikas zonas un Norvēģijas finanšu instrumentu, Latvijas un Šveices sadarbības programma</w:t>
        </w:r>
        <w:r w:rsidR="0095325F" w:rsidRPr="00B557E8">
          <w:rPr>
            <w:rFonts w:ascii="Times New Roman" w:hAnsi="Times New Roman"/>
            <w:b w:val="0"/>
            <w:noProof/>
            <w:webHidden/>
            <w:color w:val="000000" w:themeColor="text1"/>
            <w:sz w:val="24"/>
          </w:rPr>
          <w:tab/>
        </w:r>
        <w:r w:rsidR="0095325F" w:rsidRPr="00B557E8">
          <w:rPr>
            <w:rFonts w:ascii="Times New Roman" w:hAnsi="Times New Roman"/>
            <w:b w:val="0"/>
            <w:noProof/>
            <w:webHidden/>
            <w:color w:val="000000" w:themeColor="text1"/>
            <w:sz w:val="24"/>
          </w:rPr>
          <w:fldChar w:fldCharType="begin"/>
        </w:r>
        <w:r w:rsidR="0095325F" w:rsidRPr="00B557E8">
          <w:rPr>
            <w:rFonts w:ascii="Times New Roman" w:hAnsi="Times New Roman"/>
            <w:b w:val="0"/>
            <w:noProof/>
            <w:webHidden/>
            <w:color w:val="000000" w:themeColor="text1"/>
            <w:sz w:val="24"/>
          </w:rPr>
          <w:instrText xml:space="preserve"> PAGEREF _Toc308774244 \h </w:instrText>
        </w:r>
        <w:r w:rsidR="0095325F" w:rsidRPr="00B557E8">
          <w:rPr>
            <w:rFonts w:ascii="Times New Roman" w:hAnsi="Times New Roman"/>
            <w:b w:val="0"/>
            <w:noProof/>
            <w:webHidden/>
            <w:color w:val="000000" w:themeColor="text1"/>
            <w:sz w:val="24"/>
          </w:rPr>
        </w:r>
        <w:r w:rsidR="0095325F" w:rsidRPr="00B557E8">
          <w:rPr>
            <w:rFonts w:ascii="Times New Roman" w:hAnsi="Times New Roman"/>
            <w:b w:val="0"/>
            <w:noProof/>
            <w:webHidden/>
            <w:color w:val="000000" w:themeColor="text1"/>
            <w:sz w:val="24"/>
          </w:rPr>
          <w:fldChar w:fldCharType="separate"/>
        </w:r>
        <w:r w:rsidR="0095325F" w:rsidRPr="00B557E8">
          <w:rPr>
            <w:rFonts w:ascii="Times New Roman" w:hAnsi="Times New Roman"/>
            <w:b w:val="0"/>
            <w:noProof/>
            <w:webHidden/>
            <w:color w:val="000000" w:themeColor="text1"/>
            <w:sz w:val="24"/>
          </w:rPr>
          <w:t>65</w:t>
        </w:r>
        <w:r w:rsidR="0095325F" w:rsidRPr="00B557E8">
          <w:rPr>
            <w:rFonts w:ascii="Times New Roman" w:hAnsi="Times New Roman"/>
            <w:b w:val="0"/>
            <w:noProof/>
            <w:webHidden/>
            <w:color w:val="000000" w:themeColor="text1"/>
            <w:sz w:val="24"/>
          </w:rPr>
          <w:fldChar w:fldCharType="end"/>
        </w:r>
      </w:hyperlink>
    </w:p>
    <w:p w:rsidR="0095325F" w:rsidRPr="00B557E8" w:rsidRDefault="004D604C" w:rsidP="00B557E8">
      <w:pPr>
        <w:pStyle w:val="TOC1"/>
        <w:spacing w:before="120" w:after="120" w:line="276" w:lineRule="auto"/>
        <w:rPr>
          <w:rFonts w:ascii="Times New Roman" w:eastAsiaTheme="minorEastAsia" w:hAnsi="Times New Roman"/>
          <w:b w:val="0"/>
          <w:bCs w:val="0"/>
          <w:caps w:val="0"/>
          <w:noProof/>
          <w:color w:val="000000" w:themeColor="text1"/>
          <w:szCs w:val="24"/>
          <w:lang w:eastAsia="lv-LV"/>
        </w:rPr>
      </w:pPr>
      <w:hyperlink w:anchor="_Toc308774245" w:history="1">
        <w:r w:rsidR="0095325F" w:rsidRPr="00B557E8">
          <w:rPr>
            <w:rStyle w:val="Hyperlink"/>
            <w:rFonts w:ascii="Times New Roman" w:hAnsi="Times New Roman" w:cs="Times New Roman"/>
            <w:b w:val="0"/>
            <w:noProof/>
            <w:color w:val="000000" w:themeColor="text1"/>
            <w:sz w:val="24"/>
            <w:szCs w:val="24"/>
            <w14:scene3d>
              <w14:camera w14:prst="orthographicFront"/>
              <w14:lightRig w14:rig="threePt" w14:dir="t">
                <w14:rot w14:lat="0" w14:lon="0" w14:rev="0"/>
              </w14:lightRig>
            </w14:scene3d>
          </w:rPr>
          <w:t>5.</w:t>
        </w:r>
        <w:r w:rsidR="0095325F" w:rsidRPr="00B557E8">
          <w:rPr>
            <w:rFonts w:ascii="Times New Roman" w:eastAsiaTheme="minorEastAsia" w:hAnsi="Times New Roman"/>
            <w:b w:val="0"/>
            <w:bCs w:val="0"/>
            <w:caps w:val="0"/>
            <w:noProof/>
            <w:color w:val="000000" w:themeColor="text1"/>
            <w:szCs w:val="24"/>
            <w:lang w:eastAsia="lv-LV"/>
          </w:rPr>
          <w:tab/>
        </w:r>
        <w:r w:rsidR="0095325F" w:rsidRPr="00B557E8">
          <w:rPr>
            <w:rStyle w:val="Hyperlink"/>
            <w:rFonts w:ascii="Times New Roman" w:hAnsi="Times New Roman" w:cs="Times New Roman"/>
            <w:b w:val="0"/>
            <w:noProof/>
            <w:color w:val="000000" w:themeColor="text1"/>
            <w:sz w:val="24"/>
            <w:szCs w:val="24"/>
          </w:rPr>
          <w:t>ES fondu vadības, kontroles un uzraudzības sistēmas pilnveidošana</w:t>
        </w:r>
        <w:r w:rsidR="0095325F" w:rsidRPr="00B557E8">
          <w:rPr>
            <w:rFonts w:ascii="Times New Roman" w:hAnsi="Times New Roman"/>
            <w:b w:val="0"/>
            <w:noProof/>
            <w:webHidden/>
            <w:color w:val="000000" w:themeColor="text1"/>
            <w:szCs w:val="24"/>
          </w:rPr>
          <w:tab/>
        </w:r>
        <w:r w:rsidR="0095325F" w:rsidRPr="00B557E8">
          <w:rPr>
            <w:rFonts w:ascii="Times New Roman" w:hAnsi="Times New Roman"/>
            <w:b w:val="0"/>
            <w:noProof/>
            <w:webHidden/>
            <w:color w:val="000000" w:themeColor="text1"/>
            <w:szCs w:val="24"/>
          </w:rPr>
          <w:fldChar w:fldCharType="begin"/>
        </w:r>
        <w:r w:rsidR="0095325F" w:rsidRPr="00B557E8">
          <w:rPr>
            <w:rFonts w:ascii="Times New Roman" w:hAnsi="Times New Roman"/>
            <w:b w:val="0"/>
            <w:noProof/>
            <w:webHidden/>
            <w:color w:val="000000" w:themeColor="text1"/>
            <w:szCs w:val="24"/>
          </w:rPr>
          <w:instrText xml:space="preserve"> PAGEREF _Toc308774245 \h </w:instrText>
        </w:r>
        <w:r w:rsidR="0095325F" w:rsidRPr="00B557E8">
          <w:rPr>
            <w:rFonts w:ascii="Times New Roman" w:hAnsi="Times New Roman"/>
            <w:b w:val="0"/>
            <w:noProof/>
            <w:webHidden/>
            <w:color w:val="000000" w:themeColor="text1"/>
            <w:szCs w:val="24"/>
          </w:rPr>
        </w:r>
        <w:r w:rsidR="0095325F" w:rsidRPr="00B557E8">
          <w:rPr>
            <w:rFonts w:ascii="Times New Roman" w:hAnsi="Times New Roman"/>
            <w:b w:val="0"/>
            <w:noProof/>
            <w:webHidden/>
            <w:color w:val="000000" w:themeColor="text1"/>
            <w:szCs w:val="24"/>
          </w:rPr>
          <w:fldChar w:fldCharType="separate"/>
        </w:r>
        <w:r w:rsidR="0095325F" w:rsidRPr="00B557E8">
          <w:rPr>
            <w:rFonts w:ascii="Times New Roman" w:hAnsi="Times New Roman"/>
            <w:b w:val="0"/>
            <w:noProof/>
            <w:webHidden/>
            <w:color w:val="000000" w:themeColor="text1"/>
            <w:szCs w:val="24"/>
          </w:rPr>
          <w:t>67</w:t>
        </w:r>
        <w:r w:rsidR="0095325F" w:rsidRPr="00B557E8">
          <w:rPr>
            <w:rFonts w:ascii="Times New Roman" w:hAnsi="Times New Roman"/>
            <w:b w:val="0"/>
            <w:noProof/>
            <w:webHidden/>
            <w:color w:val="000000" w:themeColor="text1"/>
            <w:szCs w:val="24"/>
          </w:rPr>
          <w:fldChar w:fldCharType="end"/>
        </w:r>
      </w:hyperlink>
    </w:p>
    <w:p w:rsidR="0095325F" w:rsidRPr="00B557E8" w:rsidRDefault="004D604C" w:rsidP="00B557E8">
      <w:pPr>
        <w:pStyle w:val="TOC1"/>
        <w:spacing w:before="120" w:after="120" w:line="276" w:lineRule="auto"/>
        <w:rPr>
          <w:rFonts w:ascii="Times New Roman" w:eastAsiaTheme="minorEastAsia" w:hAnsi="Times New Roman"/>
          <w:b w:val="0"/>
          <w:bCs w:val="0"/>
          <w:caps w:val="0"/>
          <w:noProof/>
          <w:color w:val="000000" w:themeColor="text1"/>
          <w:szCs w:val="24"/>
          <w:lang w:eastAsia="lv-LV"/>
        </w:rPr>
      </w:pPr>
      <w:hyperlink w:anchor="_Toc308774246" w:history="1">
        <w:r w:rsidR="0095325F" w:rsidRPr="00B557E8">
          <w:rPr>
            <w:rStyle w:val="Hyperlink"/>
            <w:rFonts w:ascii="Times New Roman" w:hAnsi="Times New Roman" w:cs="Times New Roman"/>
            <w:b w:val="0"/>
            <w:noProof/>
            <w:color w:val="000000" w:themeColor="text1"/>
            <w:sz w:val="24"/>
            <w:szCs w:val="24"/>
            <w14:scene3d>
              <w14:camera w14:prst="orthographicFront"/>
              <w14:lightRig w14:rig="threePt" w14:dir="t">
                <w14:rot w14:lat="0" w14:lon="0" w14:rev="0"/>
              </w14:lightRig>
            </w14:scene3d>
          </w:rPr>
          <w:t>6.</w:t>
        </w:r>
        <w:r w:rsidR="0095325F" w:rsidRPr="00B557E8">
          <w:rPr>
            <w:rFonts w:ascii="Times New Roman" w:eastAsiaTheme="minorEastAsia" w:hAnsi="Times New Roman"/>
            <w:b w:val="0"/>
            <w:bCs w:val="0"/>
            <w:caps w:val="0"/>
            <w:noProof/>
            <w:color w:val="000000" w:themeColor="text1"/>
            <w:szCs w:val="24"/>
            <w:lang w:eastAsia="lv-LV"/>
          </w:rPr>
          <w:tab/>
        </w:r>
        <w:r w:rsidR="0095325F" w:rsidRPr="00B557E8">
          <w:rPr>
            <w:rStyle w:val="Hyperlink"/>
            <w:rFonts w:ascii="Times New Roman" w:hAnsi="Times New Roman" w:cs="Times New Roman"/>
            <w:b w:val="0"/>
            <w:noProof/>
            <w:color w:val="000000" w:themeColor="text1"/>
            <w:sz w:val="24"/>
            <w:szCs w:val="24"/>
          </w:rPr>
          <w:t>Jaunais ES fondu 2014.-2020.gada plānošanas periods</w:t>
        </w:r>
        <w:r w:rsidR="0095325F" w:rsidRPr="00B557E8">
          <w:rPr>
            <w:rFonts w:ascii="Times New Roman" w:hAnsi="Times New Roman"/>
            <w:b w:val="0"/>
            <w:noProof/>
            <w:webHidden/>
            <w:color w:val="000000" w:themeColor="text1"/>
            <w:szCs w:val="24"/>
          </w:rPr>
          <w:tab/>
        </w:r>
        <w:r w:rsidR="0095325F" w:rsidRPr="00B557E8">
          <w:rPr>
            <w:rFonts w:ascii="Times New Roman" w:hAnsi="Times New Roman"/>
            <w:b w:val="0"/>
            <w:noProof/>
            <w:webHidden/>
            <w:color w:val="000000" w:themeColor="text1"/>
            <w:szCs w:val="24"/>
          </w:rPr>
          <w:fldChar w:fldCharType="begin"/>
        </w:r>
        <w:r w:rsidR="0095325F" w:rsidRPr="00B557E8">
          <w:rPr>
            <w:rFonts w:ascii="Times New Roman" w:hAnsi="Times New Roman"/>
            <w:b w:val="0"/>
            <w:noProof/>
            <w:webHidden/>
            <w:color w:val="000000" w:themeColor="text1"/>
            <w:szCs w:val="24"/>
          </w:rPr>
          <w:instrText xml:space="preserve"> PAGEREF _Toc308774246 \h </w:instrText>
        </w:r>
        <w:r w:rsidR="0095325F" w:rsidRPr="00B557E8">
          <w:rPr>
            <w:rFonts w:ascii="Times New Roman" w:hAnsi="Times New Roman"/>
            <w:b w:val="0"/>
            <w:noProof/>
            <w:webHidden/>
            <w:color w:val="000000" w:themeColor="text1"/>
            <w:szCs w:val="24"/>
          </w:rPr>
        </w:r>
        <w:r w:rsidR="0095325F" w:rsidRPr="00B557E8">
          <w:rPr>
            <w:rFonts w:ascii="Times New Roman" w:hAnsi="Times New Roman"/>
            <w:b w:val="0"/>
            <w:noProof/>
            <w:webHidden/>
            <w:color w:val="000000" w:themeColor="text1"/>
            <w:szCs w:val="24"/>
          </w:rPr>
          <w:fldChar w:fldCharType="separate"/>
        </w:r>
        <w:r w:rsidR="0095325F" w:rsidRPr="00B557E8">
          <w:rPr>
            <w:rFonts w:ascii="Times New Roman" w:hAnsi="Times New Roman"/>
            <w:b w:val="0"/>
            <w:noProof/>
            <w:webHidden/>
            <w:color w:val="000000" w:themeColor="text1"/>
            <w:szCs w:val="24"/>
          </w:rPr>
          <w:t>72</w:t>
        </w:r>
        <w:r w:rsidR="0095325F" w:rsidRPr="00B557E8">
          <w:rPr>
            <w:rFonts w:ascii="Times New Roman" w:hAnsi="Times New Roman"/>
            <w:b w:val="0"/>
            <w:noProof/>
            <w:webHidden/>
            <w:color w:val="000000" w:themeColor="text1"/>
            <w:szCs w:val="24"/>
          </w:rPr>
          <w:fldChar w:fldCharType="end"/>
        </w:r>
      </w:hyperlink>
    </w:p>
    <w:p w:rsidR="0095325F" w:rsidRPr="00B557E8" w:rsidRDefault="004D604C" w:rsidP="00B557E8">
      <w:pPr>
        <w:pStyle w:val="TOC1"/>
        <w:spacing w:before="120" w:after="120" w:line="276" w:lineRule="auto"/>
        <w:rPr>
          <w:rFonts w:ascii="Times New Roman" w:eastAsiaTheme="minorEastAsia" w:hAnsi="Times New Roman"/>
          <w:b w:val="0"/>
          <w:bCs w:val="0"/>
          <w:caps w:val="0"/>
          <w:noProof/>
          <w:color w:val="000000" w:themeColor="text1"/>
          <w:szCs w:val="24"/>
          <w:lang w:eastAsia="lv-LV"/>
        </w:rPr>
      </w:pPr>
      <w:hyperlink w:anchor="_Toc308774247" w:history="1">
        <w:r w:rsidR="0095325F" w:rsidRPr="00B557E8">
          <w:rPr>
            <w:rStyle w:val="Hyperlink"/>
            <w:rFonts w:ascii="Times New Roman" w:hAnsi="Times New Roman" w:cs="Times New Roman"/>
            <w:b w:val="0"/>
            <w:noProof/>
            <w:color w:val="000000" w:themeColor="text1"/>
            <w:sz w:val="24"/>
            <w:szCs w:val="24"/>
            <w14:scene3d>
              <w14:camera w14:prst="orthographicFront"/>
              <w14:lightRig w14:rig="threePt" w14:dir="t">
                <w14:rot w14:lat="0" w14:lon="0" w14:rev="0"/>
              </w14:lightRig>
            </w14:scene3d>
          </w:rPr>
          <w:t>7.</w:t>
        </w:r>
        <w:r w:rsidR="0095325F" w:rsidRPr="00B557E8">
          <w:rPr>
            <w:rFonts w:ascii="Times New Roman" w:eastAsiaTheme="minorEastAsia" w:hAnsi="Times New Roman"/>
            <w:b w:val="0"/>
            <w:bCs w:val="0"/>
            <w:caps w:val="0"/>
            <w:noProof/>
            <w:color w:val="000000" w:themeColor="text1"/>
            <w:szCs w:val="24"/>
            <w:lang w:eastAsia="lv-LV"/>
          </w:rPr>
          <w:tab/>
        </w:r>
        <w:r w:rsidR="0095325F" w:rsidRPr="00B557E8">
          <w:rPr>
            <w:rStyle w:val="Hyperlink"/>
            <w:rFonts w:ascii="Times New Roman" w:hAnsi="Times New Roman" w:cs="Times New Roman"/>
            <w:b w:val="0"/>
            <w:noProof/>
            <w:color w:val="000000" w:themeColor="text1"/>
            <w:sz w:val="24"/>
            <w:szCs w:val="24"/>
          </w:rPr>
          <w:t>Secinājumi un turpmākā rīcība</w:t>
        </w:r>
        <w:r w:rsidR="0095325F" w:rsidRPr="00B557E8">
          <w:rPr>
            <w:rFonts w:ascii="Times New Roman" w:hAnsi="Times New Roman"/>
            <w:b w:val="0"/>
            <w:noProof/>
            <w:webHidden/>
            <w:color w:val="000000" w:themeColor="text1"/>
            <w:szCs w:val="24"/>
          </w:rPr>
          <w:tab/>
        </w:r>
        <w:r w:rsidR="0095325F" w:rsidRPr="00B557E8">
          <w:rPr>
            <w:rFonts w:ascii="Times New Roman" w:hAnsi="Times New Roman"/>
            <w:b w:val="0"/>
            <w:noProof/>
            <w:webHidden/>
            <w:color w:val="000000" w:themeColor="text1"/>
            <w:szCs w:val="24"/>
          </w:rPr>
          <w:fldChar w:fldCharType="begin"/>
        </w:r>
        <w:r w:rsidR="0095325F" w:rsidRPr="00B557E8">
          <w:rPr>
            <w:rFonts w:ascii="Times New Roman" w:hAnsi="Times New Roman"/>
            <w:b w:val="0"/>
            <w:noProof/>
            <w:webHidden/>
            <w:color w:val="000000" w:themeColor="text1"/>
            <w:szCs w:val="24"/>
          </w:rPr>
          <w:instrText xml:space="preserve"> PAGEREF _Toc308774247 \h </w:instrText>
        </w:r>
        <w:r w:rsidR="0095325F" w:rsidRPr="00B557E8">
          <w:rPr>
            <w:rFonts w:ascii="Times New Roman" w:hAnsi="Times New Roman"/>
            <w:b w:val="0"/>
            <w:noProof/>
            <w:webHidden/>
            <w:color w:val="000000" w:themeColor="text1"/>
            <w:szCs w:val="24"/>
          </w:rPr>
        </w:r>
        <w:r w:rsidR="0095325F" w:rsidRPr="00B557E8">
          <w:rPr>
            <w:rFonts w:ascii="Times New Roman" w:hAnsi="Times New Roman"/>
            <w:b w:val="0"/>
            <w:noProof/>
            <w:webHidden/>
            <w:color w:val="000000" w:themeColor="text1"/>
            <w:szCs w:val="24"/>
          </w:rPr>
          <w:fldChar w:fldCharType="separate"/>
        </w:r>
        <w:r w:rsidR="0095325F" w:rsidRPr="00B557E8">
          <w:rPr>
            <w:rFonts w:ascii="Times New Roman" w:hAnsi="Times New Roman"/>
            <w:b w:val="0"/>
            <w:noProof/>
            <w:webHidden/>
            <w:color w:val="000000" w:themeColor="text1"/>
            <w:szCs w:val="24"/>
          </w:rPr>
          <w:t>73</w:t>
        </w:r>
        <w:r w:rsidR="0095325F" w:rsidRPr="00B557E8">
          <w:rPr>
            <w:rFonts w:ascii="Times New Roman" w:hAnsi="Times New Roman"/>
            <w:b w:val="0"/>
            <w:noProof/>
            <w:webHidden/>
            <w:color w:val="000000" w:themeColor="text1"/>
            <w:szCs w:val="24"/>
          </w:rPr>
          <w:fldChar w:fldCharType="end"/>
        </w:r>
      </w:hyperlink>
    </w:p>
    <w:p w:rsidR="00C30A01" w:rsidRPr="00B557E8" w:rsidRDefault="00F770EA" w:rsidP="00B557E8">
      <w:pPr>
        <w:spacing w:before="120" w:after="120" w:line="276" w:lineRule="auto"/>
        <w:rPr>
          <w:b/>
          <w:color w:val="000000" w:themeColor="text1"/>
          <w:szCs w:val="24"/>
        </w:rPr>
      </w:pPr>
      <w:r w:rsidRPr="00B557E8">
        <w:rPr>
          <w:bCs/>
          <w:noProof/>
          <w:color w:val="000000" w:themeColor="text1"/>
          <w:szCs w:val="24"/>
          <w:highlight w:val="yellow"/>
        </w:rPr>
        <w:fldChar w:fldCharType="end"/>
      </w:r>
      <w:r w:rsidRPr="00B557E8">
        <w:rPr>
          <w:color w:val="000000" w:themeColor="text1"/>
          <w:szCs w:val="24"/>
          <w:highlight w:val="yellow"/>
        </w:rPr>
        <w:br w:type="page"/>
      </w:r>
      <w:r w:rsidR="00C30A01" w:rsidRPr="00B557E8">
        <w:rPr>
          <w:b/>
          <w:color w:val="000000" w:themeColor="text1"/>
          <w:szCs w:val="24"/>
        </w:rPr>
        <w:lastRenderedPageBreak/>
        <w:t>Saīsinājumi</w:t>
      </w:r>
    </w:p>
    <w:p w:rsidR="00BA69CA" w:rsidRPr="00B557E8" w:rsidRDefault="00813AEB" w:rsidP="00B557E8">
      <w:pPr>
        <w:tabs>
          <w:tab w:val="left" w:pos="1276"/>
          <w:tab w:val="left" w:pos="1418"/>
          <w:tab w:val="left" w:pos="2127"/>
        </w:tabs>
        <w:spacing w:line="276" w:lineRule="auto"/>
        <w:rPr>
          <w:color w:val="000000" w:themeColor="text1"/>
          <w:szCs w:val="24"/>
        </w:rPr>
      </w:pPr>
      <w:r w:rsidRPr="00B557E8">
        <w:rPr>
          <w:color w:val="000000" w:themeColor="text1"/>
          <w:szCs w:val="24"/>
        </w:rPr>
        <w:t>AI</w:t>
      </w:r>
      <w:r w:rsidRPr="00B557E8">
        <w:rPr>
          <w:color w:val="000000" w:themeColor="text1"/>
          <w:szCs w:val="24"/>
        </w:rPr>
        <w:tab/>
      </w:r>
      <w:r w:rsidR="00BA69CA" w:rsidRPr="00B557E8">
        <w:rPr>
          <w:color w:val="000000" w:themeColor="text1"/>
          <w:szCs w:val="24"/>
        </w:rPr>
        <w:t xml:space="preserve">- </w:t>
      </w:r>
      <w:r w:rsidR="00BA69CA" w:rsidRPr="00B557E8">
        <w:rPr>
          <w:color w:val="000000" w:themeColor="text1"/>
          <w:szCs w:val="24"/>
        </w:rPr>
        <w:tab/>
      </w:r>
      <w:r w:rsidRPr="00B557E8">
        <w:rPr>
          <w:color w:val="000000" w:themeColor="text1"/>
          <w:szCs w:val="24"/>
        </w:rPr>
        <w:tab/>
      </w:r>
      <w:r w:rsidR="00BA69CA" w:rsidRPr="00B557E8">
        <w:rPr>
          <w:color w:val="000000" w:themeColor="text1"/>
          <w:szCs w:val="24"/>
        </w:rPr>
        <w:t>Atbildīgā iestāde</w:t>
      </w:r>
    </w:p>
    <w:p w:rsidR="0053690D" w:rsidRPr="00B557E8" w:rsidRDefault="00813AEB" w:rsidP="00B557E8">
      <w:pPr>
        <w:tabs>
          <w:tab w:val="left" w:pos="1276"/>
          <w:tab w:val="left" w:pos="1418"/>
          <w:tab w:val="left" w:pos="2127"/>
        </w:tabs>
        <w:spacing w:line="276" w:lineRule="auto"/>
        <w:rPr>
          <w:color w:val="000000" w:themeColor="text1"/>
          <w:szCs w:val="24"/>
        </w:rPr>
      </w:pPr>
      <w:r w:rsidRPr="00B557E8">
        <w:rPr>
          <w:color w:val="000000" w:themeColor="text1"/>
          <w:szCs w:val="24"/>
        </w:rPr>
        <w:t>CFLA</w:t>
      </w:r>
      <w:r w:rsidRPr="00B557E8">
        <w:rPr>
          <w:color w:val="000000" w:themeColor="text1"/>
          <w:szCs w:val="24"/>
        </w:rPr>
        <w:tab/>
      </w:r>
      <w:r w:rsidR="0053690D" w:rsidRPr="00B557E8">
        <w:rPr>
          <w:color w:val="000000" w:themeColor="text1"/>
          <w:szCs w:val="24"/>
        </w:rPr>
        <w:t xml:space="preserve">- </w:t>
      </w:r>
      <w:r w:rsidR="0053690D" w:rsidRPr="00B557E8">
        <w:rPr>
          <w:color w:val="000000" w:themeColor="text1"/>
          <w:szCs w:val="24"/>
        </w:rPr>
        <w:tab/>
      </w:r>
      <w:r w:rsidRPr="00B557E8">
        <w:rPr>
          <w:color w:val="000000" w:themeColor="text1"/>
          <w:szCs w:val="24"/>
        </w:rPr>
        <w:tab/>
      </w:r>
      <w:r w:rsidR="0053690D" w:rsidRPr="00B557E8">
        <w:rPr>
          <w:color w:val="000000" w:themeColor="text1"/>
          <w:szCs w:val="24"/>
        </w:rPr>
        <w:t>Centrālā finanšu un līgumu aģentūra</w:t>
      </w:r>
    </w:p>
    <w:p w:rsidR="00B4486C" w:rsidRPr="00B557E8" w:rsidRDefault="00813AEB" w:rsidP="00B557E8">
      <w:pPr>
        <w:tabs>
          <w:tab w:val="left" w:pos="1276"/>
          <w:tab w:val="left" w:pos="1418"/>
          <w:tab w:val="left" w:pos="2127"/>
        </w:tabs>
        <w:spacing w:line="276" w:lineRule="auto"/>
        <w:rPr>
          <w:rFonts w:eastAsia="EUAlbertina-Bold-Identity-H"/>
          <w:color w:val="000000" w:themeColor="text1"/>
          <w:szCs w:val="24"/>
          <w:lang w:eastAsia="lv-LV"/>
        </w:rPr>
      </w:pPr>
      <w:r w:rsidRPr="00B557E8">
        <w:rPr>
          <w:color w:val="000000" w:themeColor="text1"/>
          <w:szCs w:val="24"/>
        </w:rPr>
        <w:t>DG EMPL</w:t>
      </w:r>
      <w:r w:rsidRPr="00B557E8">
        <w:rPr>
          <w:color w:val="000000" w:themeColor="text1"/>
          <w:szCs w:val="24"/>
        </w:rPr>
        <w:tab/>
      </w:r>
      <w:r w:rsidR="00B4486C" w:rsidRPr="00B557E8">
        <w:rPr>
          <w:color w:val="000000" w:themeColor="text1"/>
          <w:szCs w:val="24"/>
        </w:rPr>
        <w:t xml:space="preserve">- </w:t>
      </w:r>
      <w:r w:rsidR="00B4486C" w:rsidRPr="00B557E8">
        <w:rPr>
          <w:color w:val="000000" w:themeColor="text1"/>
          <w:szCs w:val="24"/>
        </w:rPr>
        <w:tab/>
      </w:r>
      <w:r w:rsidRPr="00B557E8">
        <w:rPr>
          <w:color w:val="000000" w:themeColor="text1"/>
          <w:szCs w:val="24"/>
        </w:rPr>
        <w:tab/>
      </w:r>
      <w:r w:rsidR="00B4486C" w:rsidRPr="00B557E8">
        <w:rPr>
          <w:rFonts w:eastAsia="EUAlbertina-Bold-Identity-H"/>
          <w:color w:val="000000" w:themeColor="text1"/>
          <w:szCs w:val="24"/>
          <w:lang w:eastAsia="lv-LV"/>
        </w:rPr>
        <w:t xml:space="preserve">Eiropas Komisijas Nodarbinātības, sociālo lietu un </w:t>
      </w:r>
      <w:proofErr w:type="spellStart"/>
      <w:r w:rsidR="00B4486C" w:rsidRPr="00B557E8">
        <w:rPr>
          <w:rFonts w:eastAsia="EUAlbertina-Bold-Identity-H"/>
          <w:color w:val="000000" w:themeColor="text1"/>
          <w:szCs w:val="24"/>
          <w:lang w:eastAsia="lv-LV"/>
        </w:rPr>
        <w:t>iekļautības</w:t>
      </w:r>
      <w:proofErr w:type="spellEnd"/>
    </w:p>
    <w:p w:rsidR="00B4486C" w:rsidRPr="00B557E8" w:rsidRDefault="00B4486C" w:rsidP="00B557E8">
      <w:pPr>
        <w:tabs>
          <w:tab w:val="left" w:pos="1276"/>
          <w:tab w:val="left" w:pos="1418"/>
        </w:tabs>
        <w:spacing w:line="276" w:lineRule="auto"/>
        <w:rPr>
          <w:color w:val="000000" w:themeColor="text1"/>
          <w:szCs w:val="24"/>
        </w:rPr>
      </w:pPr>
      <w:r w:rsidRPr="00B557E8">
        <w:rPr>
          <w:rFonts w:eastAsia="EUAlbertina-Bold-Identity-H"/>
          <w:color w:val="000000" w:themeColor="text1"/>
          <w:szCs w:val="24"/>
          <w:lang w:eastAsia="lv-LV"/>
        </w:rPr>
        <w:tab/>
      </w:r>
      <w:r w:rsidRPr="00B557E8">
        <w:rPr>
          <w:rFonts w:eastAsia="EUAlbertina-Bold-Identity-H"/>
          <w:color w:val="000000" w:themeColor="text1"/>
          <w:szCs w:val="24"/>
          <w:lang w:eastAsia="lv-LV"/>
        </w:rPr>
        <w:tab/>
      </w:r>
      <w:r w:rsidRPr="00B557E8">
        <w:rPr>
          <w:rFonts w:eastAsia="EUAlbertina-Bold-Identity-H"/>
          <w:color w:val="000000" w:themeColor="text1"/>
          <w:szCs w:val="24"/>
          <w:lang w:eastAsia="lv-LV"/>
        </w:rPr>
        <w:tab/>
      </w:r>
      <w:r w:rsidRPr="00B557E8">
        <w:rPr>
          <w:rFonts w:eastAsia="EUAlbertina-Bold-Identity-H"/>
          <w:color w:val="000000" w:themeColor="text1"/>
          <w:szCs w:val="24"/>
          <w:lang w:eastAsia="lv-LV"/>
        </w:rPr>
        <w:tab/>
        <w:t>ģenerāldirektorāta</w:t>
      </w:r>
    </w:p>
    <w:p w:rsidR="00BA69CA" w:rsidRPr="00B557E8" w:rsidRDefault="00813AEB" w:rsidP="00B557E8">
      <w:pPr>
        <w:tabs>
          <w:tab w:val="left" w:pos="1276"/>
          <w:tab w:val="left" w:pos="1418"/>
          <w:tab w:val="left" w:pos="2127"/>
        </w:tabs>
        <w:spacing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EEZ</w:t>
      </w:r>
      <w:r w:rsidRPr="00B557E8">
        <w:rPr>
          <w:rFonts w:eastAsia="EUAlbertina-Bold-Identity-H"/>
          <w:color w:val="000000" w:themeColor="text1"/>
          <w:szCs w:val="24"/>
          <w:lang w:eastAsia="lv-LV"/>
        </w:rPr>
        <w:tab/>
      </w:r>
      <w:r w:rsidR="00F86F93" w:rsidRPr="00B557E8">
        <w:rPr>
          <w:rFonts w:eastAsia="EUAlbertina-Bold-Identity-H"/>
          <w:color w:val="000000" w:themeColor="text1"/>
          <w:szCs w:val="24"/>
          <w:lang w:eastAsia="lv-LV"/>
        </w:rPr>
        <w:t xml:space="preserve">- </w:t>
      </w:r>
      <w:r w:rsidR="00F86F93" w:rsidRPr="00B557E8">
        <w:rPr>
          <w:rFonts w:eastAsia="EUAlbertina-Bold-Identity-H"/>
          <w:color w:val="000000" w:themeColor="text1"/>
          <w:szCs w:val="24"/>
          <w:lang w:eastAsia="lv-LV"/>
        </w:rPr>
        <w:tab/>
      </w:r>
      <w:r w:rsidRPr="00B557E8">
        <w:rPr>
          <w:rFonts w:eastAsia="EUAlbertina-Bold-Identity-H"/>
          <w:color w:val="000000" w:themeColor="text1"/>
          <w:szCs w:val="24"/>
          <w:lang w:eastAsia="lv-LV"/>
        </w:rPr>
        <w:tab/>
      </w:r>
      <w:r w:rsidR="00F86F93" w:rsidRPr="00B557E8">
        <w:rPr>
          <w:rFonts w:eastAsia="EUAlbertina-Bold-Identity-H"/>
          <w:color w:val="000000" w:themeColor="text1"/>
          <w:szCs w:val="24"/>
          <w:lang w:eastAsia="lv-LV"/>
        </w:rPr>
        <w:t>Eiropas Ekonomikas zona</w:t>
      </w:r>
    </w:p>
    <w:p w:rsidR="00891B3A" w:rsidRPr="00B557E8" w:rsidRDefault="00891B3A" w:rsidP="00B557E8">
      <w:pPr>
        <w:tabs>
          <w:tab w:val="left" w:pos="3686"/>
          <w:tab w:val="left" w:pos="3969"/>
        </w:tabs>
        <w:spacing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EEZ/Norvēģis finanšu instrumenti </w:t>
      </w:r>
      <w:r w:rsidRPr="00B557E8">
        <w:rPr>
          <w:rFonts w:eastAsia="EUAlbertina-Bold-Identity-H"/>
          <w:color w:val="000000" w:themeColor="text1"/>
          <w:szCs w:val="24"/>
          <w:lang w:eastAsia="lv-LV"/>
        </w:rPr>
        <w:tab/>
        <w:t xml:space="preserve">- </w:t>
      </w:r>
      <w:r w:rsidRPr="00B557E8">
        <w:rPr>
          <w:rFonts w:eastAsia="EUAlbertina-Bold-Identity-H"/>
          <w:color w:val="000000" w:themeColor="text1"/>
          <w:szCs w:val="24"/>
          <w:lang w:eastAsia="lv-LV"/>
        </w:rPr>
        <w:tab/>
        <w:t>EEZ finanšu instruments un Norvēģijas finanšu</w:t>
      </w:r>
    </w:p>
    <w:p w:rsidR="00891B3A" w:rsidRPr="00B557E8" w:rsidRDefault="00891B3A" w:rsidP="00B557E8">
      <w:pPr>
        <w:tabs>
          <w:tab w:val="left" w:pos="3686"/>
          <w:tab w:val="left" w:pos="3969"/>
        </w:tabs>
        <w:spacing w:line="276" w:lineRule="auto"/>
        <w:rPr>
          <w:color w:val="000000" w:themeColor="text1"/>
          <w:szCs w:val="24"/>
          <w:lang w:eastAsia="x-none"/>
        </w:rPr>
      </w:pPr>
      <w:r w:rsidRPr="00B557E8">
        <w:rPr>
          <w:rFonts w:eastAsia="EUAlbertina-Bold-Identity-H"/>
          <w:color w:val="000000" w:themeColor="text1"/>
          <w:szCs w:val="24"/>
          <w:lang w:eastAsia="lv-LV"/>
        </w:rPr>
        <w:tab/>
      </w:r>
      <w:r w:rsidRPr="00B557E8">
        <w:rPr>
          <w:rFonts w:eastAsia="EUAlbertina-Bold-Identity-H"/>
          <w:color w:val="000000" w:themeColor="text1"/>
          <w:szCs w:val="24"/>
          <w:lang w:eastAsia="lv-LV"/>
        </w:rPr>
        <w:tab/>
        <w:t>instruments</w:t>
      </w:r>
      <w:r w:rsidRPr="00B557E8">
        <w:rPr>
          <w:color w:val="000000" w:themeColor="text1"/>
          <w:szCs w:val="24"/>
          <w:lang w:eastAsia="x-none"/>
        </w:rPr>
        <w:t xml:space="preserve"> </w:t>
      </w:r>
    </w:p>
    <w:p w:rsidR="00357903" w:rsidRPr="00B557E8" w:rsidRDefault="00813AEB" w:rsidP="00B557E8">
      <w:pPr>
        <w:tabs>
          <w:tab w:val="left" w:pos="1276"/>
          <w:tab w:val="left" w:pos="1418"/>
          <w:tab w:val="left" w:pos="2127"/>
        </w:tabs>
        <w:spacing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EIF</w:t>
      </w:r>
      <w:r w:rsidRPr="00B557E8">
        <w:rPr>
          <w:rFonts w:eastAsia="EUAlbertina-Bold-Identity-H"/>
          <w:color w:val="000000" w:themeColor="text1"/>
          <w:szCs w:val="24"/>
          <w:lang w:eastAsia="lv-LV"/>
        </w:rPr>
        <w:tab/>
      </w:r>
      <w:r w:rsidR="00357903" w:rsidRPr="00B557E8">
        <w:rPr>
          <w:rFonts w:eastAsia="EUAlbertina-Bold-Identity-H"/>
          <w:color w:val="000000" w:themeColor="text1"/>
          <w:szCs w:val="24"/>
          <w:lang w:eastAsia="lv-LV"/>
        </w:rPr>
        <w:t xml:space="preserve">- </w:t>
      </w:r>
      <w:r w:rsidRPr="00B557E8">
        <w:rPr>
          <w:rFonts w:eastAsia="EUAlbertina-Bold-Identity-H"/>
          <w:color w:val="000000" w:themeColor="text1"/>
          <w:szCs w:val="24"/>
          <w:lang w:eastAsia="lv-LV"/>
        </w:rPr>
        <w:tab/>
      </w:r>
      <w:r w:rsidR="00357903" w:rsidRPr="00B557E8">
        <w:rPr>
          <w:rFonts w:eastAsia="EUAlbertina-Bold-Identity-H"/>
          <w:color w:val="000000" w:themeColor="text1"/>
          <w:szCs w:val="24"/>
          <w:lang w:eastAsia="lv-LV"/>
        </w:rPr>
        <w:tab/>
        <w:t>Eiropas Investīciju banka</w:t>
      </w:r>
    </w:p>
    <w:p w:rsidR="00BA69CA" w:rsidRPr="00B557E8" w:rsidRDefault="00813AEB" w:rsidP="00B557E8">
      <w:pPr>
        <w:tabs>
          <w:tab w:val="left" w:pos="1276"/>
          <w:tab w:val="left" w:pos="1418"/>
          <w:tab w:val="left" w:pos="2127"/>
        </w:tabs>
        <w:spacing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EK</w:t>
      </w:r>
      <w:r w:rsidRPr="00B557E8">
        <w:rPr>
          <w:rFonts w:eastAsia="EUAlbertina-Bold-Identity-H"/>
          <w:color w:val="000000" w:themeColor="text1"/>
          <w:szCs w:val="24"/>
          <w:lang w:eastAsia="lv-LV"/>
        </w:rPr>
        <w:tab/>
      </w:r>
      <w:r w:rsidR="00BA69CA" w:rsidRPr="00B557E8">
        <w:rPr>
          <w:rFonts w:eastAsia="EUAlbertina-Bold-Identity-H"/>
          <w:color w:val="000000" w:themeColor="text1"/>
          <w:szCs w:val="24"/>
          <w:lang w:eastAsia="lv-LV"/>
        </w:rPr>
        <w:t xml:space="preserve">- </w:t>
      </w:r>
      <w:r w:rsidRPr="00B557E8">
        <w:rPr>
          <w:rFonts w:eastAsia="EUAlbertina-Bold-Identity-H"/>
          <w:color w:val="000000" w:themeColor="text1"/>
          <w:szCs w:val="24"/>
          <w:lang w:eastAsia="lv-LV"/>
        </w:rPr>
        <w:tab/>
      </w:r>
      <w:r w:rsidRPr="00B557E8">
        <w:rPr>
          <w:rFonts w:eastAsia="EUAlbertina-Bold-Identity-H"/>
          <w:color w:val="000000" w:themeColor="text1"/>
          <w:szCs w:val="24"/>
          <w:lang w:eastAsia="lv-LV"/>
        </w:rPr>
        <w:tab/>
      </w:r>
      <w:r w:rsidR="00BA69CA" w:rsidRPr="00B557E8">
        <w:rPr>
          <w:rFonts w:eastAsia="EUAlbertina-Bold-Identity-H"/>
          <w:color w:val="000000" w:themeColor="text1"/>
          <w:szCs w:val="24"/>
          <w:lang w:eastAsia="lv-LV"/>
        </w:rPr>
        <w:t>Eiropas Komisija</w:t>
      </w:r>
    </w:p>
    <w:p w:rsidR="00BA69CA" w:rsidRPr="00B557E8" w:rsidRDefault="00813AEB" w:rsidP="00B557E8">
      <w:pPr>
        <w:tabs>
          <w:tab w:val="left" w:pos="1276"/>
          <w:tab w:val="left" w:pos="1418"/>
          <w:tab w:val="left" w:pos="2127"/>
        </w:tabs>
        <w:spacing w:line="276" w:lineRule="auto"/>
        <w:rPr>
          <w:color w:val="000000" w:themeColor="text1"/>
          <w:szCs w:val="24"/>
          <w:lang w:eastAsia="x-none"/>
        </w:rPr>
      </w:pPr>
      <w:r w:rsidRPr="00B557E8">
        <w:rPr>
          <w:color w:val="000000" w:themeColor="text1"/>
          <w:szCs w:val="24"/>
        </w:rPr>
        <w:t>ERAF</w:t>
      </w:r>
      <w:r w:rsidRPr="00B557E8">
        <w:rPr>
          <w:color w:val="000000" w:themeColor="text1"/>
          <w:szCs w:val="24"/>
        </w:rPr>
        <w:tab/>
      </w:r>
      <w:r w:rsidR="00BA69CA" w:rsidRPr="00B557E8">
        <w:rPr>
          <w:color w:val="000000" w:themeColor="text1"/>
          <w:szCs w:val="24"/>
        </w:rPr>
        <w:t xml:space="preserve">- </w:t>
      </w:r>
      <w:r w:rsidR="00BA69CA" w:rsidRPr="00B557E8">
        <w:rPr>
          <w:color w:val="000000" w:themeColor="text1"/>
          <w:szCs w:val="24"/>
        </w:rPr>
        <w:tab/>
      </w:r>
      <w:r w:rsidRPr="00B557E8">
        <w:rPr>
          <w:color w:val="000000" w:themeColor="text1"/>
          <w:szCs w:val="24"/>
        </w:rPr>
        <w:tab/>
      </w:r>
      <w:r w:rsidR="00BA69CA" w:rsidRPr="00B557E8">
        <w:rPr>
          <w:color w:val="000000" w:themeColor="text1"/>
          <w:szCs w:val="24"/>
          <w:lang w:eastAsia="x-none"/>
        </w:rPr>
        <w:t>Eiropas Reģionālās attīstības fonds</w:t>
      </w:r>
    </w:p>
    <w:p w:rsidR="00BA69CA" w:rsidRPr="00B557E8" w:rsidRDefault="00813AEB" w:rsidP="00B557E8">
      <w:pPr>
        <w:tabs>
          <w:tab w:val="left" w:pos="1276"/>
          <w:tab w:val="left" w:pos="1418"/>
          <w:tab w:val="left" w:pos="2127"/>
        </w:tabs>
        <w:spacing w:line="276" w:lineRule="auto"/>
        <w:rPr>
          <w:color w:val="000000" w:themeColor="text1"/>
          <w:szCs w:val="24"/>
        </w:rPr>
      </w:pPr>
      <w:r w:rsidRPr="00B557E8">
        <w:rPr>
          <w:color w:val="000000" w:themeColor="text1"/>
          <w:szCs w:val="24"/>
        </w:rPr>
        <w:t>ES</w:t>
      </w:r>
      <w:r w:rsidRPr="00B557E8">
        <w:rPr>
          <w:color w:val="000000" w:themeColor="text1"/>
          <w:szCs w:val="24"/>
        </w:rPr>
        <w:tab/>
      </w:r>
      <w:r w:rsidR="00BA69CA" w:rsidRPr="00B557E8">
        <w:rPr>
          <w:color w:val="000000" w:themeColor="text1"/>
          <w:szCs w:val="24"/>
        </w:rPr>
        <w:t xml:space="preserve">- </w:t>
      </w:r>
      <w:r w:rsidR="00BA69CA" w:rsidRPr="00B557E8">
        <w:rPr>
          <w:color w:val="000000" w:themeColor="text1"/>
          <w:szCs w:val="24"/>
        </w:rPr>
        <w:tab/>
      </w:r>
      <w:r w:rsidRPr="00B557E8">
        <w:rPr>
          <w:color w:val="000000" w:themeColor="text1"/>
          <w:szCs w:val="24"/>
        </w:rPr>
        <w:tab/>
      </w:r>
      <w:r w:rsidR="00BA69CA" w:rsidRPr="00B557E8">
        <w:rPr>
          <w:color w:val="000000" w:themeColor="text1"/>
          <w:szCs w:val="24"/>
        </w:rPr>
        <w:t>Eiropas Savienība</w:t>
      </w:r>
    </w:p>
    <w:p w:rsidR="00BA69CA" w:rsidRPr="00B557E8" w:rsidRDefault="00813AEB" w:rsidP="00B557E8">
      <w:pPr>
        <w:tabs>
          <w:tab w:val="left" w:pos="1276"/>
          <w:tab w:val="left" w:pos="1418"/>
          <w:tab w:val="left" w:pos="2127"/>
        </w:tabs>
        <w:spacing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ESF</w:t>
      </w:r>
      <w:r w:rsidRPr="00B557E8">
        <w:rPr>
          <w:rFonts w:eastAsia="EUAlbertina-Bold-Identity-H"/>
          <w:color w:val="000000" w:themeColor="text1"/>
          <w:szCs w:val="24"/>
          <w:lang w:eastAsia="lv-LV"/>
        </w:rPr>
        <w:tab/>
      </w:r>
      <w:r w:rsidR="00BA69CA" w:rsidRPr="00B557E8">
        <w:rPr>
          <w:rFonts w:eastAsia="EUAlbertina-Bold-Identity-H"/>
          <w:color w:val="000000" w:themeColor="text1"/>
          <w:szCs w:val="24"/>
          <w:lang w:eastAsia="lv-LV"/>
        </w:rPr>
        <w:t xml:space="preserve">- </w:t>
      </w:r>
      <w:r w:rsidR="00BA69CA" w:rsidRPr="00B557E8">
        <w:rPr>
          <w:rFonts w:eastAsia="EUAlbertina-Bold-Identity-H"/>
          <w:color w:val="000000" w:themeColor="text1"/>
          <w:szCs w:val="24"/>
          <w:lang w:eastAsia="lv-LV"/>
        </w:rPr>
        <w:tab/>
      </w:r>
      <w:r w:rsidRPr="00B557E8">
        <w:rPr>
          <w:rFonts w:eastAsia="EUAlbertina-Bold-Identity-H"/>
          <w:color w:val="000000" w:themeColor="text1"/>
          <w:szCs w:val="24"/>
          <w:lang w:eastAsia="lv-LV"/>
        </w:rPr>
        <w:tab/>
      </w:r>
      <w:r w:rsidR="00BA69CA" w:rsidRPr="00B557E8">
        <w:rPr>
          <w:rFonts w:eastAsia="EUAlbertina-Bold-Identity-H"/>
          <w:color w:val="000000" w:themeColor="text1"/>
          <w:szCs w:val="24"/>
          <w:lang w:eastAsia="lv-LV"/>
        </w:rPr>
        <w:t>Eiropas Sociālais fonds</w:t>
      </w:r>
    </w:p>
    <w:p w:rsidR="00BA1F96" w:rsidRPr="00B557E8" w:rsidRDefault="00BA69CA" w:rsidP="00B557E8">
      <w:pPr>
        <w:tabs>
          <w:tab w:val="left" w:pos="1276"/>
          <w:tab w:val="left" w:pos="1418"/>
          <w:tab w:val="left" w:pos="2127"/>
        </w:tabs>
        <w:spacing w:line="276" w:lineRule="auto"/>
        <w:rPr>
          <w:rFonts w:eastAsia="EUAlbertina-Bold-Identity-H"/>
          <w:color w:val="000000" w:themeColor="text1"/>
          <w:szCs w:val="24"/>
          <w:lang w:eastAsia="lv-LV"/>
        </w:rPr>
      </w:pPr>
      <w:r w:rsidRPr="00B557E8">
        <w:rPr>
          <w:color w:val="000000" w:themeColor="text1"/>
          <w:szCs w:val="24"/>
        </w:rPr>
        <w:t>ES fond</w:t>
      </w:r>
      <w:r w:rsidR="00637F32" w:rsidRPr="00B557E8">
        <w:rPr>
          <w:color w:val="000000" w:themeColor="text1"/>
          <w:szCs w:val="24"/>
        </w:rPr>
        <w:t>i</w:t>
      </w:r>
      <w:r w:rsidR="00813AEB" w:rsidRPr="00B557E8">
        <w:rPr>
          <w:color w:val="000000" w:themeColor="text1"/>
          <w:szCs w:val="24"/>
        </w:rPr>
        <w:tab/>
      </w:r>
      <w:r w:rsidRPr="00B557E8">
        <w:rPr>
          <w:color w:val="000000" w:themeColor="text1"/>
          <w:szCs w:val="24"/>
        </w:rPr>
        <w:t xml:space="preserve">- </w:t>
      </w:r>
      <w:r w:rsidRPr="00B557E8">
        <w:rPr>
          <w:color w:val="000000" w:themeColor="text1"/>
          <w:szCs w:val="24"/>
        </w:rPr>
        <w:tab/>
      </w:r>
      <w:r w:rsidR="00813AEB" w:rsidRPr="00B557E8">
        <w:rPr>
          <w:color w:val="000000" w:themeColor="text1"/>
          <w:szCs w:val="24"/>
        </w:rPr>
        <w:tab/>
      </w:r>
      <w:r w:rsidR="00AE6C93" w:rsidRPr="00B557E8">
        <w:rPr>
          <w:rFonts w:eastAsia="EUAlbertina-Bold-Identity-H"/>
          <w:color w:val="000000" w:themeColor="text1"/>
          <w:szCs w:val="24"/>
          <w:lang w:eastAsia="lv-LV"/>
        </w:rPr>
        <w:t>2007.-2013.g. plānošanas perioda 1.mērķa ES struktūrfondi</w:t>
      </w:r>
      <w:r w:rsidR="00BA1F96" w:rsidRPr="00B557E8">
        <w:rPr>
          <w:rFonts w:eastAsia="EUAlbertina-Bold-Identity-H"/>
          <w:color w:val="000000" w:themeColor="text1"/>
          <w:szCs w:val="24"/>
          <w:lang w:eastAsia="lv-LV"/>
        </w:rPr>
        <w:t xml:space="preserve"> un</w:t>
      </w:r>
    </w:p>
    <w:p w:rsidR="00B4486C" w:rsidRPr="00B557E8" w:rsidRDefault="00BA1F96" w:rsidP="00B557E8">
      <w:pPr>
        <w:tabs>
          <w:tab w:val="left" w:pos="1276"/>
          <w:tab w:val="left" w:pos="1418"/>
          <w:tab w:val="left" w:pos="2127"/>
        </w:tabs>
        <w:spacing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ab/>
      </w:r>
      <w:r w:rsidRPr="00B557E8">
        <w:rPr>
          <w:rFonts w:eastAsia="EUAlbertina-Bold-Identity-H"/>
          <w:color w:val="000000" w:themeColor="text1"/>
          <w:szCs w:val="24"/>
          <w:lang w:eastAsia="lv-LV"/>
        </w:rPr>
        <w:tab/>
      </w:r>
      <w:r w:rsidRPr="00B557E8">
        <w:rPr>
          <w:rFonts w:eastAsia="EUAlbertina-Bold-Identity-H"/>
          <w:color w:val="000000" w:themeColor="text1"/>
          <w:szCs w:val="24"/>
          <w:lang w:eastAsia="lv-LV"/>
        </w:rPr>
        <w:tab/>
      </w:r>
      <w:r w:rsidRPr="00B557E8">
        <w:rPr>
          <w:rFonts w:eastAsia="EUAlbertina-Bold-Identity-H"/>
          <w:color w:val="000000" w:themeColor="text1"/>
          <w:szCs w:val="24"/>
          <w:lang w:eastAsia="lv-LV"/>
        </w:rPr>
        <w:tab/>
      </w:r>
      <w:r w:rsidR="00AE6C93" w:rsidRPr="00B557E8">
        <w:rPr>
          <w:rFonts w:eastAsia="EUAlbertina-Bold-Identity-H"/>
          <w:color w:val="000000" w:themeColor="text1"/>
          <w:szCs w:val="24"/>
          <w:lang w:eastAsia="lv-LV"/>
        </w:rPr>
        <w:t>Kohēzijas fonds</w:t>
      </w:r>
    </w:p>
    <w:p w:rsidR="00BA69CA" w:rsidRPr="00B557E8" w:rsidRDefault="00813AEB" w:rsidP="00B557E8">
      <w:pPr>
        <w:tabs>
          <w:tab w:val="left" w:pos="1276"/>
          <w:tab w:val="left" w:pos="1418"/>
          <w:tab w:val="left" w:pos="2127"/>
        </w:tabs>
        <w:spacing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EM</w:t>
      </w:r>
      <w:r w:rsidRPr="00B557E8">
        <w:rPr>
          <w:rFonts w:eastAsia="EUAlbertina-Bold-Identity-H"/>
          <w:color w:val="000000" w:themeColor="text1"/>
          <w:szCs w:val="24"/>
          <w:lang w:eastAsia="lv-LV"/>
        </w:rPr>
        <w:tab/>
      </w:r>
      <w:r w:rsidR="00BA69CA" w:rsidRPr="00B557E8">
        <w:rPr>
          <w:rFonts w:eastAsia="EUAlbertina-Bold-Identity-H"/>
          <w:color w:val="000000" w:themeColor="text1"/>
          <w:szCs w:val="24"/>
          <w:lang w:eastAsia="lv-LV"/>
        </w:rPr>
        <w:t xml:space="preserve">- </w:t>
      </w:r>
      <w:r w:rsidR="00BA69CA" w:rsidRPr="00B557E8">
        <w:rPr>
          <w:rFonts w:eastAsia="EUAlbertina-Bold-Identity-H"/>
          <w:color w:val="000000" w:themeColor="text1"/>
          <w:szCs w:val="24"/>
          <w:lang w:eastAsia="lv-LV"/>
        </w:rPr>
        <w:tab/>
      </w:r>
      <w:r w:rsidRPr="00B557E8">
        <w:rPr>
          <w:rFonts w:eastAsia="EUAlbertina-Bold-Identity-H"/>
          <w:color w:val="000000" w:themeColor="text1"/>
          <w:szCs w:val="24"/>
          <w:lang w:eastAsia="lv-LV"/>
        </w:rPr>
        <w:tab/>
      </w:r>
      <w:r w:rsidR="00BA69CA" w:rsidRPr="00B557E8">
        <w:rPr>
          <w:rFonts w:eastAsia="EUAlbertina-Bold-Identity-H"/>
          <w:color w:val="000000" w:themeColor="text1"/>
          <w:szCs w:val="24"/>
          <w:lang w:eastAsia="lv-LV"/>
        </w:rPr>
        <w:t>Ekonomikas ministrija</w:t>
      </w:r>
    </w:p>
    <w:p w:rsidR="00BA69CA" w:rsidRPr="00B557E8" w:rsidRDefault="00813AEB" w:rsidP="00B557E8">
      <w:pPr>
        <w:tabs>
          <w:tab w:val="left" w:pos="1276"/>
          <w:tab w:val="left" w:pos="1418"/>
          <w:tab w:val="left" w:pos="2127"/>
        </w:tabs>
        <w:spacing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FM</w:t>
      </w:r>
      <w:r w:rsidRPr="00B557E8">
        <w:rPr>
          <w:rFonts w:eastAsia="EUAlbertina-Bold-Identity-H"/>
          <w:color w:val="000000" w:themeColor="text1"/>
          <w:szCs w:val="24"/>
          <w:lang w:eastAsia="lv-LV"/>
        </w:rPr>
        <w:tab/>
      </w:r>
      <w:r w:rsidR="00BA69CA" w:rsidRPr="00B557E8">
        <w:rPr>
          <w:rFonts w:eastAsia="EUAlbertina-Bold-Identity-H"/>
          <w:color w:val="000000" w:themeColor="text1"/>
          <w:szCs w:val="24"/>
          <w:lang w:eastAsia="lv-LV"/>
        </w:rPr>
        <w:t xml:space="preserve">- </w:t>
      </w:r>
      <w:r w:rsidR="00BA69CA" w:rsidRPr="00B557E8">
        <w:rPr>
          <w:rFonts w:eastAsia="EUAlbertina-Bold-Identity-H"/>
          <w:color w:val="000000" w:themeColor="text1"/>
          <w:szCs w:val="24"/>
          <w:lang w:eastAsia="lv-LV"/>
        </w:rPr>
        <w:tab/>
      </w:r>
      <w:r w:rsidRPr="00B557E8">
        <w:rPr>
          <w:rFonts w:eastAsia="EUAlbertina-Bold-Identity-H"/>
          <w:color w:val="000000" w:themeColor="text1"/>
          <w:szCs w:val="24"/>
          <w:lang w:eastAsia="lv-LV"/>
        </w:rPr>
        <w:tab/>
      </w:r>
      <w:r w:rsidR="00BA69CA" w:rsidRPr="00B557E8">
        <w:rPr>
          <w:rFonts w:eastAsia="EUAlbertina-Bold-Identity-H"/>
          <w:color w:val="000000" w:themeColor="text1"/>
          <w:szCs w:val="24"/>
          <w:lang w:eastAsia="lv-LV"/>
        </w:rPr>
        <w:t>Finanšu ministrija</w:t>
      </w:r>
    </w:p>
    <w:p w:rsidR="00BA69CA" w:rsidRPr="00B557E8" w:rsidRDefault="00813AEB" w:rsidP="00B557E8">
      <w:pPr>
        <w:tabs>
          <w:tab w:val="left" w:pos="1276"/>
          <w:tab w:val="left" w:pos="1418"/>
          <w:tab w:val="left" w:pos="2127"/>
        </w:tabs>
        <w:spacing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IKT</w:t>
      </w:r>
      <w:r w:rsidRPr="00B557E8">
        <w:rPr>
          <w:rFonts w:eastAsia="EUAlbertina-Bold-Identity-H"/>
          <w:color w:val="000000" w:themeColor="text1"/>
          <w:szCs w:val="24"/>
          <w:lang w:eastAsia="lv-LV"/>
        </w:rPr>
        <w:tab/>
      </w:r>
      <w:r w:rsidR="00BA69CA" w:rsidRPr="00B557E8">
        <w:rPr>
          <w:rFonts w:eastAsia="EUAlbertina-Bold-Identity-H"/>
          <w:color w:val="000000" w:themeColor="text1"/>
          <w:szCs w:val="24"/>
          <w:lang w:eastAsia="lv-LV"/>
        </w:rPr>
        <w:t xml:space="preserve">- </w:t>
      </w:r>
      <w:r w:rsidRPr="00B557E8">
        <w:rPr>
          <w:rFonts w:eastAsia="EUAlbertina-Bold-Identity-H"/>
          <w:color w:val="000000" w:themeColor="text1"/>
          <w:szCs w:val="24"/>
          <w:lang w:eastAsia="lv-LV"/>
        </w:rPr>
        <w:tab/>
      </w:r>
      <w:r w:rsidR="00BA69CA" w:rsidRPr="00B557E8">
        <w:rPr>
          <w:rFonts w:eastAsia="EUAlbertina-Bold-Identity-H"/>
          <w:color w:val="000000" w:themeColor="text1"/>
          <w:szCs w:val="24"/>
          <w:lang w:eastAsia="lv-LV"/>
        </w:rPr>
        <w:tab/>
      </w:r>
      <w:r w:rsidR="00BA69CA" w:rsidRPr="00B557E8">
        <w:rPr>
          <w:color w:val="000000" w:themeColor="text1"/>
          <w:szCs w:val="24"/>
        </w:rPr>
        <w:t>Informācijas un komunikāciju tehnoloģij</w:t>
      </w:r>
      <w:r w:rsidR="00070B8B" w:rsidRPr="00B557E8">
        <w:rPr>
          <w:color w:val="000000" w:themeColor="text1"/>
          <w:szCs w:val="24"/>
        </w:rPr>
        <w:t>as</w:t>
      </w:r>
    </w:p>
    <w:p w:rsidR="00BA69CA" w:rsidRPr="00B557E8" w:rsidRDefault="00813AEB" w:rsidP="00B557E8">
      <w:pPr>
        <w:tabs>
          <w:tab w:val="left" w:pos="1276"/>
          <w:tab w:val="left" w:pos="1418"/>
          <w:tab w:val="left" w:pos="2127"/>
        </w:tabs>
        <w:spacing w:line="276" w:lineRule="auto"/>
        <w:rPr>
          <w:color w:val="000000" w:themeColor="text1"/>
          <w:szCs w:val="24"/>
          <w:lang w:eastAsia="x-none"/>
        </w:rPr>
      </w:pPr>
      <w:r w:rsidRPr="00B557E8">
        <w:rPr>
          <w:rFonts w:eastAsia="EUAlbertina-Bold-Identity-H"/>
          <w:color w:val="000000" w:themeColor="text1"/>
          <w:szCs w:val="24"/>
          <w:lang w:eastAsia="lv-LV"/>
        </w:rPr>
        <w:t>IZM</w:t>
      </w:r>
      <w:r w:rsidRPr="00B557E8">
        <w:rPr>
          <w:rFonts w:eastAsia="EUAlbertina-Bold-Identity-H"/>
          <w:color w:val="000000" w:themeColor="text1"/>
          <w:szCs w:val="24"/>
          <w:lang w:eastAsia="lv-LV"/>
        </w:rPr>
        <w:tab/>
      </w:r>
      <w:r w:rsidR="00BA69CA" w:rsidRPr="00B557E8">
        <w:rPr>
          <w:rFonts w:eastAsia="EUAlbertina-Bold-Identity-H"/>
          <w:color w:val="000000" w:themeColor="text1"/>
          <w:szCs w:val="24"/>
          <w:lang w:eastAsia="lv-LV"/>
        </w:rPr>
        <w:t xml:space="preserve">- </w:t>
      </w:r>
      <w:r w:rsidR="00BA69CA" w:rsidRPr="00B557E8">
        <w:rPr>
          <w:rFonts w:eastAsia="EUAlbertina-Bold-Identity-H"/>
          <w:color w:val="000000" w:themeColor="text1"/>
          <w:szCs w:val="24"/>
          <w:lang w:eastAsia="lv-LV"/>
        </w:rPr>
        <w:tab/>
      </w:r>
      <w:r w:rsidRPr="00B557E8">
        <w:rPr>
          <w:rFonts w:eastAsia="EUAlbertina-Bold-Identity-H"/>
          <w:color w:val="000000" w:themeColor="text1"/>
          <w:szCs w:val="24"/>
          <w:lang w:eastAsia="lv-LV"/>
        </w:rPr>
        <w:tab/>
      </w:r>
      <w:r w:rsidR="00BA69CA" w:rsidRPr="00B557E8">
        <w:rPr>
          <w:color w:val="000000" w:themeColor="text1"/>
          <w:szCs w:val="24"/>
          <w:lang w:eastAsia="x-none"/>
        </w:rPr>
        <w:t>Izglītības un zinātnes ministrija</w:t>
      </w:r>
    </w:p>
    <w:p w:rsidR="00891B3A" w:rsidRPr="00B557E8" w:rsidRDefault="00891B3A" w:rsidP="00B557E8">
      <w:pPr>
        <w:tabs>
          <w:tab w:val="left" w:pos="3544"/>
          <w:tab w:val="left" w:pos="3969"/>
        </w:tabs>
        <w:spacing w:line="276" w:lineRule="auto"/>
        <w:rPr>
          <w:color w:val="000000" w:themeColor="text1"/>
          <w:szCs w:val="24"/>
          <w:lang w:eastAsia="x-none"/>
        </w:rPr>
      </w:pPr>
      <w:r w:rsidRPr="00B557E8">
        <w:rPr>
          <w:color w:val="000000" w:themeColor="text1"/>
          <w:szCs w:val="24"/>
          <w:lang w:eastAsia="x-none"/>
        </w:rPr>
        <w:t xml:space="preserve">Komisijas Regula Nr.1828/2006 </w:t>
      </w:r>
      <w:r w:rsidRPr="00B557E8">
        <w:rPr>
          <w:color w:val="000000" w:themeColor="text1"/>
          <w:szCs w:val="24"/>
          <w:lang w:eastAsia="x-none"/>
        </w:rPr>
        <w:tab/>
        <w:t xml:space="preserve">- </w:t>
      </w:r>
      <w:r w:rsidRPr="00B557E8">
        <w:rPr>
          <w:color w:val="000000" w:themeColor="text1"/>
          <w:szCs w:val="24"/>
          <w:lang w:eastAsia="x-none"/>
        </w:rPr>
        <w:tab/>
        <w:t>Eiropas Parlamenta un Padomes Regula (EK)</w:t>
      </w:r>
    </w:p>
    <w:p w:rsidR="00891B3A" w:rsidRPr="00B557E8" w:rsidRDefault="00891B3A" w:rsidP="00B557E8">
      <w:pPr>
        <w:tabs>
          <w:tab w:val="left" w:pos="3544"/>
          <w:tab w:val="left" w:pos="3969"/>
        </w:tabs>
        <w:spacing w:line="276" w:lineRule="auto"/>
        <w:rPr>
          <w:color w:val="000000" w:themeColor="text1"/>
          <w:szCs w:val="24"/>
          <w:lang w:eastAsia="x-none"/>
        </w:rPr>
      </w:pPr>
      <w:r w:rsidRPr="00B557E8">
        <w:rPr>
          <w:color w:val="000000" w:themeColor="text1"/>
          <w:szCs w:val="24"/>
          <w:lang w:eastAsia="x-none"/>
        </w:rPr>
        <w:tab/>
      </w:r>
      <w:r w:rsidRPr="00B557E8">
        <w:rPr>
          <w:color w:val="000000" w:themeColor="text1"/>
          <w:szCs w:val="24"/>
          <w:lang w:eastAsia="x-none"/>
        </w:rPr>
        <w:tab/>
        <w:t>Nr.1080/2006 par Eiropas Reģionālās attīstības</w:t>
      </w:r>
    </w:p>
    <w:p w:rsidR="00891B3A" w:rsidRPr="00B557E8" w:rsidRDefault="00891B3A" w:rsidP="00B557E8">
      <w:pPr>
        <w:tabs>
          <w:tab w:val="left" w:pos="3544"/>
          <w:tab w:val="left" w:pos="3969"/>
        </w:tabs>
        <w:spacing w:line="276" w:lineRule="auto"/>
        <w:rPr>
          <w:color w:val="000000" w:themeColor="text1"/>
          <w:szCs w:val="24"/>
          <w:lang w:eastAsia="x-none"/>
        </w:rPr>
      </w:pPr>
      <w:r w:rsidRPr="00B557E8">
        <w:rPr>
          <w:color w:val="000000" w:themeColor="text1"/>
          <w:szCs w:val="24"/>
          <w:lang w:eastAsia="x-none"/>
        </w:rPr>
        <w:tab/>
      </w:r>
      <w:r w:rsidRPr="00B557E8">
        <w:rPr>
          <w:color w:val="000000" w:themeColor="text1"/>
          <w:szCs w:val="24"/>
          <w:lang w:eastAsia="x-none"/>
        </w:rPr>
        <w:tab/>
        <w:t>Fondu</w:t>
      </w:r>
    </w:p>
    <w:p w:rsidR="00813AEB" w:rsidRPr="00B557E8" w:rsidRDefault="00813AEB" w:rsidP="00B557E8">
      <w:pPr>
        <w:tabs>
          <w:tab w:val="left" w:pos="1276"/>
          <w:tab w:val="left" w:pos="1418"/>
          <w:tab w:val="left" w:pos="2127"/>
        </w:tabs>
        <w:spacing w:line="276" w:lineRule="auto"/>
        <w:rPr>
          <w:rFonts w:eastAsia="EUAlbertina-Bold-Identity-H"/>
          <w:color w:val="000000" w:themeColor="text1"/>
          <w:szCs w:val="24"/>
          <w:lang w:eastAsia="lv-LV"/>
        </w:rPr>
      </w:pPr>
      <w:r w:rsidRPr="00B557E8">
        <w:rPr>
          <w:color w:val="000000" w:themeColor="text1"/>
          <w:szCs w:val="24"/>
          <w:lang w:eastAsia="x-none"/>
        </w:rPr>
        <w:t>KF</w:t>
      </w:r>
      <w:r w:rsidRPr="00B557E8">
        <w:rPr>
          <w:color w:val="000000" w:themeColor="text1"/>
          <w:szCs w:val="24"/>
          <w:lang w:eastAsia="x-none"/>
        </w:rPr>
        <w:tab/>
        <w:t xml:space="preserve">- </w:t>
      </w:r>
      <w:r w:rsidRPr="00B557E8">
        <w:rPr>
          <w:color w:val="000000" w:themeColor="text1"/>
          <w:szCs w:val="24"/>
          <w:lang w:eastAsia="x-none"/>
        </w:rPr>
        <w:tab/>
      </w:r>
      <w:r w:rsidRPr="00B557E8">
        <w:rPr>
          <w:color w:val="000000" w:themeColor="text1"/>
          <w:szCs w:val="24"/>
          <w:lang w:eastAsia="x-none"/>
        </w:rPr>
        <w:tab/>
        <w:t>Kohēzijas fonds</w:t>
      </w:r>
    </w:p>
    <w:p w:rsidR="00BA69CA" w:rsidRPr="00B557E8" w:rsidRDefault="00813AEB" w:rsidP="00B557E8">
      <w:pPr>
        <w:tabs>
          <w:tab w:val="left" w:pos="1276"/>
          <w:tab w:val="left" w:pos="1418"/>
          <w:tab w:val="left" w:pos="2127"/>
        </w:tabs>
        <w:spacing w:line="276" w:lineRule="auto"/>
        <w:rPr>
          <w:color w:val="000000" w:themeColor="text1"/>
          <w:szCs w:val="24"/>
          <w:lang w:eastAsia="x-none"/>
        </w:rPr>
      </w:pPr>
      <w:r w:rsidRPr="00B557E8">
        <w:rPr>
          <w:rFonts w:eastAsia="EUAlbertina-Bold-Identity-H"/>
          <w:color w:val="000000" w:themeColor="text1"/>
          <w:szCs w:val="24"/>
          <w:lang w:eastAsia="lv-LV"/>
        </w:rPr>
        <w:t>LHZB</w:t>
      </w:r>
      <w:r w:rsidRPr="00B557E8">
        <w:rPr>
          <w:rFonts w:eastAsia="EUAlbertina-Bold-Identity-H"/>
          <w:color w:val="000000" w:themeColor="text1"/>
          <w:szCs w:val="24"/>
          <w:lang w:eastAsia="lv-LV"/>
        </w:rPr>
        <w:tab/>
      </w:r>
      <w:r w:rsidR="00BA69CA" w:rsidRPr="00B557E8">
        <w:rPr>
          <w:rFonts w:eastAsia="EUAlbertina-Bold-Identity-H"/>
          <w:color w:val="000000" w:themeColor="text1"/>
          <w:szCs w:val="24"/>
          <w:lang w:eastAsia="lv-LV"/>
        </w:rPr>
        <w:t xml:space="preserve">- </w:t>
      </w:r>
      <w:r w:rsidR="00BA69CA" w:rsidRPr="00B557E8">
        <w:rPr>
          <w:rFonts w:eastAsia="EUAlbertina-Bold-Identity-H"/>
          <w:color w:val="000000" w:themeColor="text1"/>
          <w:szCs w:val="24"/>
          <w:lang w:eastAsia="lv-LV"/>
        </w:rPr>
        <w:tab/>
      </w:r>
      <w:r w:rsidRPr="00B557E8">
        <w:rPr>
          <w:rFonts w:eastAsia="EUAlbertina-Bold-Identity-H"/>
          <w:color w:val="000000" w:themeColor="text1"/>
          <w:szCs w:val="24"/>
          <w:lang w:eastAsia="lv-LV"/>
        </w:rPr>
        <w:tab/>
      </w:r>
      <w:r w:rsidR="00BA69CA" w:rsidRPr="00B557E8">
        <w:rPr>
          <w:rFonts w:eastAsia="EUAlbertina-Bold-Identity-H"/>
          <w:color w:val="000000" w:themeColor="text1"/>
          <w:szCs w:val="24"/>
          <w:lang w:eastAsia="lv-LV"/>
        </w:rPr>
        <w:t>Valsts akciju sabiedrība „</w:t>
      </w:r>
      <w:r w:rsidR="00BA69CA" w:rsidRPr="00B557E8">
        <w:rPr>
          <w:color w:val="000000" w:themeColor="text1"/>
          <w:szCs w:val="24"/>
          <w:lang w:eastAsia="x-none"/>
        </w:rPr>
        <w:t>Latvijas Hipotēku un zemes banka”</w:t>
      </w:r>
    </w:p>
    <w:p w:rsidR="0053690D" w:rsidRPr="00B557E8" w:rsidRDefault="00813AEB" w:rsidP="00B557E8">
      <w:pPr>
        <w:tabs>
          <w:tab w:val="left" w:pos="1276"/>
          <w:tab w:val="left" w:pos="1418"/>
          <w:tab w:val="left" w:pos="2127"/>
        </w:tabs>
        <w:spacing w:line="276" w:lineRule="auto"/>
        <w:rPr>
          <w:rFonts w:eastAsia="EUAlbertina-Bold-Identity-H"/>
          <w:color w:val="000000" w:themeColor="text1"/>
          <w:szCs w:val="24"/>
          <w:lang w:eastAsia="lv-LV"/>
        </w:rPr>
      </w:pPr>
      <w:r w:rsidRPr="00B557E8">
        <w:rPr>
          <w:color w:val="000000" w:themeColor="text1"/>
          <w:szCs w:val="24"/>
          <w:lang w:eastAsia="x-none"/>
        </w:rPr>
        <w:t>LIAA</w:t>
      </w:r>
      <w:r w:rsidRPr="00B557E8">
        <w:rPr>
          <w:color w:val="000000" w:themeColor="text1"/>
          <w:szCs w:val="24"/>
          <w:lang w:eastAsia="x-none"/>
        </w:rPr>
        <w:tab/>
      </w:r>
      <w:r w:rsidR="0053690D" w:rsidRPr="00B557E8">
        <w:rPr>
          <w:color w:val="000000" w:themeColor="text1"/>
          <w:szCs w:val="24"/>
          <w:lang w:eastAsia="x-none"/>
        </w:rPr>
        <w:t xml:space="preserve">- </w:t>
      </w:r>
      <w:r w:rsidR="0053690D" w:rsidRPr="00B557E8">
        <w:rPr>
          <w:color w:val="000000" w:themeColor="text1"/>
          <w:szCs w:val="24"/>
          <w:lang w:eastAsia="x-none"/>
        </w:rPr>
        <w:tab/>
      </w:r>
      <w:r w:rsidRPr="00B557E8">
        <w:rPr>
          <w:color w:val="000000" w:themeColor="text1"/>
          <w:szCs w:val="24"/>
          <w:lang w:eastAsia="x-none"/>
        </w:rPr>
        <w:tab/>
      </w:r>
      <w:r w:rsidR="00F86F93" w:rsidRPr="00B557E8">
        <w:rPr>
          <w:color w:val="000000" w:themeColor="text1"/>
          <w:szCs w:val="24"/>
          <w:lang w:eastAsia="x-none"/>
        </w:rPr>
        <w:t>Valsts aģentūra „</w:t>
      </w:r>
      <w:r w:rsidR="0053690D" w:rsidRPr="00B557E8">
        <w:rPr>
          <w:color w:val="000000" w:themeColor="text1"/>
          <w:szCs w:val="24"/>
        </w:rPr>
        <w:t>Latvijas Investīciju un attīstības aģentūra</w:t>
      </w:r>
      <w:r w:rsidR="00F86F93" w:rsidRPr="00B557E8">
        <w:rPr>
          <w:color w:val="000000" w:themeColor="text1"/>
          <w:szCs w:val="24"/>
        </w:rPr>
        <w:t>”</w:t>
      </w:r>
    </w:p>
    <w:p w:rsidR="00FF16DA" w:rsidRPr="00B557E8" w:rsidRDefault="00813AEB" w:rsidP="00B557E8">
      <w:pPr>
        <w:tabs>
          <w:tab w:val="left" w:pos="1276"/>
          <w:tab w:val="left" w:pos="1418"/>
          <w:tab w:val="left" w:pos="2127"/>
        </w:tabs>
        <w:spacing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LGA</w:t>
      </w:r>
      <w:r w:rsidRPr="00B557E8">
        <w:rPr>
          <w:rFonts w:eastAsia="EUAlbertina-Bold-Identity-H"/>
          <w:color w:val="000000" w:themeColor="text1"/>
          <w:szCs w:val="24"/>
          <w:lang w:eastAsia="lv-LV"/>
        </w:rPr>
        <w:tab/>
      </w:r>
      <w:r w:rsidR="00BA69CA" w:rsidRPr="00B557E8">
        <w:rPr>
          <w:rFonts w:eastAsia="EUAlbertina-Bold-Identity-H"/>
          <w:color w:val="000000" w:themeColor="text1"/>
          <w:szCs w:val="24"/>
          <w:lang w:eastAsia="lv-LV"/>
        </w:rPr>
        <w:t xml:space="preserve">- </w:t>
      </w:r>
      <w:r w:rsidR="00BA69CA" w:rsidRPr="00B557E8">
        <w:rPr>
          <w:rFonts w:eastAsia="EUAlbertina-Bold-Identity-H"/>
          <w:color w:val="000000" w:themeColor="text1"/>
          <w:szCs w:val="24"/>
          <w:lang w:eastAsia="lv-LV"/>
        </w:rPr>
        <w:tab/>
      </w:r>
      <w:r w:rsidRPr="00B557E8">
        <w:rPr>
          <w:rFonts w:eastAsia="EUAlbertina-Bold-Identity-H"/>
          <w:color w:val="000000" w:themeColor="text1"/>
          <w:szCs w:val="24"/>
          <w:lang w:eastAsia="lv-LV"/>
        </w:rPr>
        <w:tab/>
      </w:r>
      <w:r w:rsidR="00BA69CA" w:rsidRPr="00B557E8">
        <w:rPr>
          <w:rFonts w:eastAsia="EUAlbertina-Bold-Identity-H"/>
          <w:color w:val="000000" w:themeColor="text1"/>
          <w:szCs w:val="24"/>
          <w:lang w:eastAsia="lv-LV"/>
        </w:rPr>
        <w:t>Sabie</w:t>
      </w:r>
      <w:r w:rsidR="006B263C" w:rsidRPr="00B557E8">
        <w:rPr>
          <w:rFonts w:eastAsia="EUAlbertina-Bold-Identity-H"/>
          <w:color w:val="000000" w:themeColor="text1"/>
          <w:szCs w:val="24"/>
          <w:lang w:eastAsia="lv-LV"/>
        </w:rPr>
        <w:t>drība ar ierobežotu atbildību „</w:t>
      </w:r>
      <w:r w:rsidR="00BA69CA" w:rsidRPr="00B557E8">
        <w:rPr>
          <w:rFonts w:eastAsia="EUAlbertina-Bold-Identity-H"/>
          <w:color w:val="000000" w:themeColor="text1"/>
          <w:szCs w:val="24"/>
          <w:lang w:eastAsia="lv-LV"/>
        </w:rPr>
        <w:t xml:space="preserve">Latvijas garantiju aģentūra” </w:t>
      </w:r>
    </w:p>
    <w:p w:rsidR="00BA69CA" w:rsidRPr="00B557E8" w:rsidRDefault="00813AEB" w:rsidP="00B557E8">
      <w:pPr>
        <w:tabs>
          <w:tab w:val="left" w:pos="1276"/>
          <w:tab w:val="left" w:pos="1418"/>
          <w:tab w:val="left" w:pos="2127"/>
        </w:tabs>
        <w:spacing w:line="276" w:lineRule="auto"/>
        <w:rPr>
          <w:color w:val="000000" w:themeColor="text1"/>
          <w:szCs w:val="24"/>
          <w:lang w:eastAsia="x-none"/>
        </w:rPr>
      </w:pPr>
      <w:r w:rsidRPr="00B557E8">
        <w:rPr>
          <w:rFonts w:eastAsia="EUAlbertina-Bold-Identity-H"/>
          <w:color w:val="000000" w:themeColor="text1"/>
          <w:szCs w:val="24"/>
          <w:lang w:eastAsia="lv-LV"/>
        </w:rPr>
        <w:t>LM</w:t>
      </w:r>
      <w:r w:rsidRPr="00B557E8">
        <w:rPr>
          <w:rFonts w:eastAsia="EUAlbertina-Bold-Identity-H"/>
          <w:color w:val="000000" w:themeColor="text1"/>
          <w:szCs w:val="24"/>
          <w:lang w:eastAsia="lv-LV"/>
        </w:rPr>
        <w:tab/>
      </w:r>
      <w:r w:rsidR="00BA69CA" w:rsidRPr="00B557E8">
        <w:rPr>
          <w:rFonts w:eastAsia="EUAlbertina-Bold-Identity-H"/>
          <w:color w:val="000000" w:themeColor="text1"/>
          <w:szCs w:val="24"/>
          <w:lang w:eastAsia="lv-LV"/>
        </w:rPr>
        <w:t>-</w:t>
      </w:r>
      <w:r w:rsidRPr="00B557E8">
        <w:rPr>
          <w:rFonts w:eastAsia="EUAlbertina-Bold-Identity-H"/>
          <w:color w:val="000000" w:themeColor="text1"/>
          <w:szCs w:val="24"/>
          <w:lang w:eastAsia="lv-LV"/>
        </w:rPr>
        <w:tab/>
      </w:r>
      <w:r w:rsidR="00BA69CA" w:rsidRPr="00B557E8">
        <w:rPr>
          <w:rFonts w:eastAsia="EUAlbertina-Bold-Identity-H"/>
          <w:color w:val="000000" w:themeColor="text1"/>
          <w:szCs w:val="24"/>
          <w:lang w:eastAsia="lv-LV"/>
        </w:rPr>
        <w:t xml:space="preserve"> </w:t>
      </w:r>
      <w:r w:rsidR="00BA69CA" w:rsidRPr="00B557E8">
        <w:rPr>
          <w:rFonts w:eastAsia="EUAlbertina-Bold-Identity-H"/>
          <w:color w:val="000000" w:themeColor="text1"/>
          <w:szCs w:val="24"/>
          <w:lang w:eastAsia="lv-LV"/>
        </w:rPr>
        <w:tab/>
      </w:r>
      <w:r w:rsidR="00BA69CA" w:rsidRPr="00B557E8">
        <w:rPr>
          <w:color w:val="000000" w:themeColor="text1"/>
          <w:szCs w:val="24"/>
          <w:lang w:eastAsia="x-none"/>
        </w:rPr>
        <w:t>Labklājības ministrija</w:t>
      </w:r>
    </w:p>
    <w:p w:rsidR="00BA69CA" w:rsidRPr="00B557E8" w:rsidRDefault="00813AEB" w:rsidP="00B557E8">
      <w:pPr>
        <w:tabs>
          <w:tab w:val="left" w:pos="1276"/>
          <w:tab w:val="left" w:pos="1418"/>
          <w:tab w:val="left" w:pos="2127"/>
        </w:tabs>
        <w:spacing w:line="276" w:lineRule="auto"/>
        <w:rPr>
          <w:color w:val="000000" w:themeColor="text1"/>
          <w:szCs w:val="24"/>
          <w:lang w:eastAsia="x-none"/>
        </w:rPr>
      </w:pPr>
      <w:r w:rsidRPr="00B557E8">
        <w:rPr>
          <w:color w:val="000000" w:themeColor="text1"/>
          <w:szCs w:val="24"/>
          <w:lang w:eastAsia="x-none"/>
        </w:rPr>
        <w:t xml:space="preserve">MK </w:t>
      </w:r>
      <w:r w:rsidRPr="00B557E8">
        <w:rPr>
          <w:color w:val="000000" w:themeColor="text1"/>
          <w:szCs w:val="24"/>
          <w:lang w:eastAsia="x-none"/>
        </w:rPr>
        <w:tab/>
      </w:r>
      <w:r w:rsidR="00BA69CA" w:rsidRPr="00B557E8">
        <w:rPr>
          <w:color w:val="000000" w:themeColor="text1"/>
          <w:szCs w:val="24"/>
          <w:lang w:eastAsia="x-none"/>
        </w:rPr>
        <w:t>-</w:t>
      </w:r>
      <w:r w:rsidRPr="00B557E8">
        <w:rPr>
          <w:color w:val="000000" w:themeColor="text1"/>
          <w:szCs w:val="24"/>
          <w:lang w:eastAsia="x-none"/>
        </w:rPr>
        <w:tab/>
      </w:r>
      <w:r w:rsidR="00BA69CA" w:rsidRPr="00B557E8">
        <w:rPr>
          <w:color w:val="000000" w:themeColor="text1"/>
          <w:szCs w:val="24"/>
          <w:lang w:eastAsia="x-none"/>
        </w:rPr>
        <w:t xml:space="preserve"> </w:t>
      </w:r>
      <w:r w:rsidR="00BA69CA" w:rsidRPr="00B557E8">
        <w:rPr>
          <w:color w:val="000000" w:themeColor="text1"/>
          <w:szCs w:val="24"/>
          <w:lang w:eastAsia="x-none"/>
        </w:rPr>
        <w:tab/>
        <w:t>Ministru kabinets</w:t>
      </w:r>
    </w:p>
    <w:p w:rsidR="00BA69CA" w:rsidRPr="00B557E8" w:rsidRDefault="00813AEB" w:rsidP="00B557E8">
      <w:pPr>
        <w:tabs>
          <w:tab w:val="left" w:pos="1276"/>
          <w:tab w:val="left" w:pos="1418"/>
          <w:tab w:val="left" w:pos="2127"/>
        </w:tabs>
        <w:spacing w:line="276" w:lineRule="auto"/>
        <w:rPr>
          <w:color w:val="000000" w:themeColor="text1"/>
          <w:szCs w:val="24"/>
          <w:lang w:eastAsia="x-none"/>
        </w:rPr>
      </w:pPr>
      <w:r w:rsidRPr="00B557E8">
        <w:rPr>
          <w:color w:val="000000" w:themeColor="text1"/>
          <w:szCs w:val="24"/>
          <w:lang w:eastAsia="x-none"/>
        </w:rPr>
        <w:t>MVK</w:t>
      </w:r>
      <w:r w:rsidRPr="00B557E8">
        <w:rPr>
          <w:color w:val="000000" w:themeColor="text1"/>
          <w:szCs w:val="24"/>
          <w:lang w:eastAsia="x-none"/>
        </w:rPr>
        <w:tab/>
      </w:r>
      <w:r w:rsidR="00BA69CA" w:rsidRPr="00B557E8">
        <w:rPr>
          <w:color w:val="000000" w:themeColor="text1"/>
          <w:szCs w:val="24"/>
          <w:lang w:eastAsia="x-none"/>
        </w:rPr>
        <w:t xml:space="preserve">- </w:t>
      </w:r>
      <w:r w:rsidR="00BA69CA" w:rsidRPr="00B557E8">
        <w:rPr>
          <w:color w:val="000000" w:themeColor="text1"/>
          <w:szCs w:val="24"/>
          <w:lang w:eastAsia="x-none"/>
        </w:rPr>
        <w:tab/>
      </w:r>
      <w:r w:rsidRPr="00B557E8">
        <w:rPr>
          <w:color w:val="000000" w:themeColor="text1"/>
          <w:szCs w:val="24"/>
          <w:lang w:eastAsia="x-none"/>
        </w:rPr>
        <w:tab/>
      </w:r>
      <w:r w:rsidR="00BA69CA" w:rsidRPr="00B557E8">
        <w:rPr>
          <w:color w:val="000000" w:themeColor="text1"/>
          <w:szCs w:val="24"/>
          <w:lang w:eastAsia="x-none"/>
        </w:rPr>
        <w:t>Mazie un vidējie komersanti</w:t>
      </w:r>
    </w:p>
    <w:p w:rsidR="00BA69CA" w:rsidRPr="00B557E8" w:rsidRDefault="00813AEB" w:rsidP="00B557E8">
      <w:pPr>
        <w:tabs>
          <w:tab w:val="left" w:pos="1276"/>
          <w:tab w:val="left" w:pos="1418"/>
          <w:tab w:val="left" w:pos="2127"/>
        </w:tabs>
        <w:spacing w:line="276" w:lineRule="auto"/>
        <w:rPr>
          <w:color w:val="000000" w:themeColor="text1"/>
          <w:szCs w:val="24"/>
          <w:lang w:eastAsia="x-none"/>
        </w:rPr>
      </w:pPr>
      <w:r w:rsidRPr="00B557E8">
        <w:rPr>
          <w:color w:val="000000" w:themeColor="text1"/>
          <w:szCs w:val="24"/>
          <w:lang w:eastAsia="x-none"/>
        </w:rPr>
        <w:t>NVO</w:t>
      </w:r>
      <w:r w:rsidRPr="00B557E8">
        <w:rPr>
          <w:color w:val="000000" w:themeColor="text1"/>
          <w:szCs w:val="24"/>
          <w:lang w:eastAsia="x-none"/>
        </w:rPr>
        <w:tab/>
      </w:r>
      <w:r w:rsidR="00F86F93" w:rsidRPr="00B557E8">
        <w:rPr>
          <w:color w:val="000000" w:themeColor="text1"/>
          <w:szCs w:val="24"/>
          <w:lang w:eastAsia="x-none"/>
        </w:rPr>
        <w:t xml:space="preserve">- </w:t>
      </w:r>
      <w:r w:rsidR="00F86F93" w:rsidRPr="00B557E8">
        <w:rPr>
          <w:color w:val="000000" w:themeColor="text1"/>
          <w:szCs w:val="24"/>
          <w:lang w:eastAsia="x-none"/>
        </w:rPr>
        <w:tab/>
      </w:r>
      <w:r w:rsidRPr="00B557E8">
        <w:rPr>
          <w:color w:val="000000" w:themeColor="text1"/>
          <w:szCs w:val="24"/>
          <w:lang w:eastAsia="x-none"/>
        </w:rPr>
        <w:tab/>
      </w:r>
      <w:r w:rsidR="00F86F93" w:rsidRPr="00B557E8">
        <w:rPr>
          <w:color w:val="000000" w:themeColor="text1"/>
          <w:szCs w:val="24"/>
          <w:lang w:eastAsia="x-none"/>
        </w:rPr>
        <w:t>Nevalstiskā organizācija</w:t>
      </w:r>
    </w:p>
    <w:p w:rsidR="00891B3A" w:rsidRPr="00B557E8" w:rsidRDefault="00891B3A" w:rsidP="00B557E8">
      <w:pPr>
        <w:tabs>
          <w:tab w:val="left" w:pos="2694"/>
          <w:tab w:val="left" w:pos="3261"/>
        </w:tabs>
        <w:spacing w:line="276" w:lineRule="auto"/>
        <w:rPr>
          <w:color w:val="000000" w:themeColor="text1"/>
          <w:szCs w:val="24"/>
          <w:lang w:eastAsia="x-none"/>
        </w:rPr>
      </w:pPr>
      <w:r w:rsidRPr="00B557E8">
        <w:rPr>
          <w:color w:val="000000" w:themeColor="text1"/>
          <w:szCs w:val="24"/>
          <w:lang w:eastAsia="x-none"/>
        </w:rPr>
        <w:t>Saprašanās memorands</w:t>
      </w:r>
      <w:r w:rsidRPr="00B557E8">
        <w:rPr>
          <w:color w:val="000000" w:themeColor="text1"/>
          <w:szCs w:val="24"/>
          <w:lang w:eastAsia="x-none"/>
        </w:rPr>
        <w:tab/>
        <w:t xml:space="preserve">- </w:t>
      </w:r>
      <w:r w:rsidRPr="00B557E8">
        <w:rPr>
          <w:color w:val="000000" w:themeColor="text1"/>
          <w:szCs w:val="24"/>
          <w:lang w:eastAsia="x-none"/>
        </w:rPr>
        <w:tab/>
        <w:t>2009.gada 28.janvāra Saprašanās memorands starp</w:t>
      </w:r>
    </w:p>
    <w:p w:rsidR="00891B3A" w:rsidRPr="00B557E8" w:rsidRDefault="00891B3A" w:rsidP="00B557E8">
      <w:pPr>
        <w:tabs>
          <w:tab w:val="left" w:pos="2694"/>
          <w:tab w:val="left" w:pos="3261"/>
        </w:tabs>
        <w:spacing w:line="276" w:lineRule="auto"/>
        <w:rPr>
          <w:color w:val="000000" w:themeColor="text1"/>
          <w:szCs w:val="24"/>
          <w:lang w:eastAsia="x-none"/>
        </w:rPr>
      </w:pPr>
      <w:r w:rsidRPr="00B557E8">
        <w:rPr>
          <w:color w:val="000000" w:themeColor="text1"/>
          <w:szCs w:val="24"/>
          <w:lang w:eastAsia="x-none"/>
        </w:rPr>
        <w:tab/>
      </w:r>
      <w:r w:rsidRPr="00B557E8">
        <w:rPr>
          <w:color w:val="000000" w:themeColor="text1"/>
          <w:szCs w:val="24"/>
          <w:lang w:eastAsia="x-none"/>
        </w:rPr>
        <w:tab/>
        <w:t>Eiropas Kopienu un Latvijas Republiku un tā papildinājumi</w:t>
      </w:r>
    </w:p>
    <w:p w:rsidR="00BA69CA" w:rsidRPr="00B557E8" w:rsidRDefault="00813AEB" w:rsidP="00B557E8">
      <w:pPr>
        <w:tabs>
          <w:tab w:val="left" w:pos="1276"/>
          <w:tab w:val="left" w:pos="1418"/>
          <w:tab w:val="left" w:pos="2127"/>
        </w:tabs>
        <w:spacing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SM</w:t>
      </w:r>
      <w:r w:rsidRPr="00B557E8">
        <w:rPr>
          <w:rFonts w:eastAsia="EUAlbertina-Bold-Identity-H"/>
          <w:color w:val="000000" w:themeColor="text1"/>
          <w:szCs w:val="24"/>
          <w:lang w:eastAsia="lv-LV"/>
        </w:rPr>
        <w:tab/>
      </w:r>
      <w:r w:rsidR="00BA69CA" w:rsidRPr="00B557E8">
        <w:rPr>
          <w:rFonts w:eastAsia="EUAlbertina-Bold-Identity-H"/>
          <w:color w:val="000000" w:themeColor="text1"/>
          <w:szCs w:val="24"/>
          <w:lang w:eastAsia="lv-LV"/>
        </w:rPr>
        <w:t xml:space="preserve">- </w:t>
      </w:r>
      <w:r w:rsidR="00BA69CA" w:rsidRPr="00B557E8">
        <w:rPr>
          <w:rFonts w:eastAsia="EUAlbertina-Bold-Identity-H"/>
          <w:color w:val="000000" w:themeColor="text1"/>
          <w:szCs w:val="24"/>
          <w:lang w:eastAsia="lv-LV"/>
        </w:rPr>
        <w:tab/>
      </w:r>
      <w:r w:rsidRPr="00B557E8">
        <w:rPr>
          <w:rFonts w:eastAsia="EUAlbertina-Bold-Identity-H"/>
          <w:color w:val="000000" w:themeColor="text1"/>
          <w:szCs w:val="24"/>
          <w:lang w:eastAsia="lv-LV"/>
        </w:rPr>
        <w:tab/>
      </w:r>
      <w:r w:rsidR="00BA69CA" w:rsidRPr="00B557E8">
        <w:rPr>
          <w:rFonts w:eastAsia="EUAlbertina-Bold-Identity-H"/>
          <w:color w:val="000000" w:themeColor="text1"/>
          <w:szCs w:val="24"/>
          <w:lang w:eastAsia="lv-LV"/>
        </w:rPr>
        <w:t>Satiksmes ministrija</w:t>
      </w:r>
    </w:p>
    <w:p w:rsidR="00BA69CA" w:rsidRPr="00B557E8" w:rsidRDefault="00813AEB" w:rsidP="00B557E8">
      <w:pPr>
        <w:tabs>
          <w:tab w:val="left" w:pos="1276"/>
          <w:tab w:val="left" w:pos="1418"/>
          <w:tab w:val="left" w:pos="2127"/>
        </w:tabs>
        <w:spacing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SI </w:t>
      </w:r>
      <w:r w:rsidRPr="00B557E8">
        <w:rPr>
          <w:rFonts w:eastAsia="EUAlbertina-Bold-Identity-H"/>
          <w:color w:val="000000" w:themeColor="text1"/>
          <w:szCs w:val="24"/>
          <w:lang w:eastAsia="lv-LV"/>
        </w:rPr>
        <w:tab/>
      </w:r>
      <w:r w:rsidR="00BA69CA" w:rsidRPr="00B557E8">
        <w:rPr>
          <w:rFonts w:eastAsia="EUAlbertina-Bold-Identity-H"/>
          <w:color w:val="000000" w:themeColor="text1"/>
          <w:szCs w:val="24"/>
          <w:lang w:eastAsia="lv-LV"/>
        </w:rPr>
        <w:t xml:space="preserve">- </w:t>
      </w:r>
      <w:r w:rsidRPr="00B557E8">
        <w:rPr>
          <w:rFonts w:eastAsia="EUAlbertina-Bold-Identity-H"/>
          <w:color w:val="000000" w:themeColor="text1"/>
          <w:szCs w:val="24"/>
          <w:lang w:eastAsia="lv-LV"/>
        </w:rPr>
        <w:tab/>
      </w:r>
      <w:r w:rsidR="00BA69CA" w:rsidRPr="00B557E8">
        <w:rPr>
          <w:rFonts w:eastAsia="EUAlbertina-Bold-Identity-H"/>
          <w:color w:val="000000" w:themeColor="text1"/>
          <w:szCs w:val="24"/>
          <w:lang w:eastAsia="lv-LV"/>
        </w:rPr>
        <w:tab/>
        <w:t>Sadarbības iestāde</w:t>
      </w:r>
    </w:p>
    <w:p w:rsidR="00891B3A" w:rsidRPr="00B557E8" w:rsidRDefault="00891B3A" w:rsidP="00B557E8">
      <w:pPr>
        <w:tabs>
          <w:tab w:val="left" w:pos="2694"/>
          <w:tab w:val="left" w:pos="3261"/>
        </w:tabs>
        <w:spacing w:line="276" w:lineRule="auto"/>
        <w:rPr>
          <w:color w:val="000000" w:themeColor="text1"/>
          <w:szCs w:val="24"/>
          <w:lang w:eastAsia="x-none"/>
        </w:rPr>
      </w:pPr>
      <w:r w:rsidRPr="00B557E8">
        <w:rPr>
          <w:color w:val="000000" w:themeColor="text1"/>
          <w:szCs w:val="24"/>
          <w:lang w:eastAsia="x-none"/>
        </w:rPr>
        <w:t>Šveices programma</w:t>
      </w:r>
      <w:r w:rsidRPr="00B557E8">
        <w:rPr>
          <w:color w:val="000000" w:themeColor="text1"/>
          <w:szCs w:val="24"/>
          <w:lang w:eastAsia="x-none"/>
        </w:rPr>
        <w:tab/>
        <w:t xml:space="preserve">- </w:t>
      </w:r>
      <w:r w:rsidRPr="00B557E8">
        <w:rPr>
          <w:color w:val="000000" w:themeColor="text1"/>
          <w:szCs w:val="24"/>
          <w:lang w:eastAsia="x-none"/>
        </w:rPr>
        <w:tab/>
        <w:t>Latvijas un Šveices sadarbības programma</w:t>
      </w:r>
    </w:p>
    <w:p w:rsidR="00BA69CA" w:rsidRPr="00B557E8" w:rsidRDefault="006147B6" w:rsidP="00B557E8">
      <w:pPr>
        <w:tabs>
          <w:tab w:val="left" w:pos="1276"/>
          <w:tab w:val="left" w:pos="1418"/>
          <w:tab w:val="left" w:pos="2127"/>
        </w:tabs>
        <w:spacing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TM</w:t>
      </w:r>
      <w:r w:rsidRPr="00B557E8">
        <w:rPr>
          <w:rFonts w:eastAsia="EUAlbertina-Bold-Identity-H"/>
          <w:color w:val="000000" w:themeColor="text1"/>
          <w:szCs w:val="24"/>
          <w:lang w:eastAsia="lv-LV"/>
        </w:rPr>
        <w:tab/>
      </w:r>
      <w:r w:rsidR="00BA69CA" w:rsidRPr="00B557E8">
        <w:rPr>
          <w:rFonts w:eastAsia="EUAlbertina-Bold-Identity-H"/>
          <w:color w:val="000000" w:themeColor="text1"/>
          <w:szCs w:val="24"/>
          <w:lang w:eastAsia="lv-LV"/>
        </w:rPr>
        <w:t xml:space="preserve">- </w:t>
      </w:r>
      <w:r w:rsidR="00BA69CA" w:rsidRPr="00B557E8">
        <w:rPr>
          <w:rFonts w:eastAsia="EUAlbertina-Bold-Identity-H"/>
          <w:color w:val="000000" w:themeColor="text1"/>
          <w:szCs w:val="24"/>
          <w:lang w:eastAsia="lv-LV"/>
        </w:rPr>
        <w:tab/>
      </w:r>
      <w:r w:rsidRPr="00B557E8">
        <w:rPr>
          <w:rFonts w:eastAsia="EUAlbertina-Bold-Identity-H"/>
          <w:color w:val="000000" w:themeColor="text1"/>
          <w:szCs w:val="24"/>
          <w:lang w:eastAsia="lv-LV"/>
        </w:rPr>
        <w:tab/>
      </w:r>
      <w:r w:rsidR="00BA69CA" w:rsidRPr="00B557E8">
        <w:rPr>
          <w:rFonts w:eastAsia="EUAlbertina-Bold-Identity-H"/>
          <w:color w:val="000000" w:themeColor="text1"/>
          <w:szCs w:val="24"/>
          <w:lang w:eastAsia="lv-LV"/>
        </w:rPr>
        <w:t>Tieslietu ministrija</w:t>
      </w:r>
    </w:p>
    <w:p w:rsidR="00BA69CA" w:rsidRPr="00B557E8" w:rsidRDefault="006147B6" w:rsidP="00B557E8">
      <w:pPr>
        <w:tabs>
          <w:tab w:val="left" w:pos="1276"/>
          <w:tab w:val="left" w:pos="1418"/>
          <w:tab w:val="left" w:pos="2127"/>
        </w:tabs>
        <w:spacing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TP</w:t>
      </w:r>
      <w:r w:rsidRPr="00B557E8">
        <w:rPr>
          <w:rFonts w:eastAsia="EUAlbertina-Bold-Identity-H"/>
          <w:color w:val="000000" w:themeColor="text1"/>
          <w:szCs w:val="24"/>
          <w:lang w:eastAsia="lv-LV"/>
        </w:rPr>
        <w:tab/>
      </w:r>
      <w:r w:rsidR="00BA69CA" w:rsidRPr="00B557E8">
        <w:rPr>
          <w:rFonts w:eastAsia="EUAlbertina-Bold-Identity-H"/>
          <w:color w:val="000000" w:themeColor="text1"/>
          <w:szCs w:val="24"/>
          <w:lang w:eastAsia="lv-LV"/>
        </w:rPr>
        <w:t xml:space="preserve">- </w:t>
      </w:r>
      <w:r w:rsidR="00BA69CA" w:rsidRPr="00B557E8">
        <w:rPr>
          <w:rFonts w:eastAsia="EUAlbertina-Bold-Identity-H"/>
          <w:color w:val="000000" w:themeColor="text1"/>
          <w:szCs w:val="24"/>
          <w:lang w:eastAsia="lv-LV"/>
        </w:rPr>
        <w:tab/>
      </w:r>
      <w:r w:rsidRPr="00B557E8">
        <w:rPr>
          <w:rFonts w:eastAsia="EUAlbertina-Bold-Identity-H"/>
          <w:color w:val="000000" w:themeColor="text1"/>
          <w:szCs w:val="24"/>
          <w:lang w:eastAsia="lv-LV"/>
        </w:rPr>
        <w:tab/>
      </w:r>
      <w:r w:rsidR="00BA69CA" w:rsidRPr="00B557E8">
        <w:rPr>
          <w:color w:val="000000" w:themeColor="text1"/>
          <w:szCs w:val="24"/>
          <w:lang w:eastAsia="x-none"/>
        </w:rPr>
        <w:t>Tehniskā palīdzība</w:t>
      </w:r>
    </w:p>
    <w:p w:rsidR="00BA69CA" w:rsidRPr="00B557E8" w:rsidRDefault="006147B6" w:rsidP="00B557E8">
      <w:pPr>
        <w:tabs>
          <w:tab w:val="left" w:pos="1276"/>
          <w:tab w:val="left" w:pos="1418"/>
          <w:tab w:val="left" w:pos="2127"/>
        </w:tabs>
        <w:spacing w:line="276" w:lineRule="auto"/>
        <w:rPr>
          <w:color w:val="000000" w:themeColor="text1"/>
          <w:szCs w:val="24"/>
          <w:lang w:eastAsia="x-none"/>
        </w:rPr>
      </w:pPr>
      <w:r w:rsidRPr="00B557E8">
        <w:rPr>
          <w:rFonts w:eastAsia="EUAlbertina-Bold-Identity-H"/>
          <w:color w:val="000000" w:themeColor="text1"/>
          <w:szCs w:val="24"/>
          <w:lang w:eastAsia="lv-LV"/>
        </w:rPr>
        <w:t>VARAM</w:t>
      </w:r>
      <w:r w:rsidRPr="00B557E8">
        <w:rPr>
          <w:rFonts w:eastAsia="EUAlbertina-Bold-Identity-H"/>
          <w:color w:val="000000" w:themeColor="text1"/>
          <w:szCs w:val="24"/>
          <w:lang w:eastAsia="lv-LV"/>
        </w:rPr>
        <w:tab/>
      </w:r>
      <w:r w:rsidR="00BA69CA" w:rsidRPr="00B557E8">
        <w:rPr>
          <w:rFonts w:eastAsia="EUAlbertina-Bold-Identity-H"/>
          <w:color w:val="000000" w:themeColor="text1"/>
          <w:szCs w:val="24"/>
          <w:lang w:eastAsia="lv-LV"/>
        </w:rPr>
        <w:t xml:space="preserve">- </w:t>
      </w:r>
      <w:r w:rsidR="00BA69CA" w:rsidRPr="00B557E8">
        <w:rPr>
          <w:rFonts w:eastAsia="EUAlbertina-Bold-Identity-H"/>
          <w:color w:val="000000" w:themeColor="text1"/>
          <w:szCs w:val="24"/>
          <w:lang w:eastAsia="lv-LV"/>
        </w:rPr>
        <w:tab/>
      </w:r>
      <w:r w:rsidRPr="00B557E8">
        <w:rPr>
          <w:rFonts w:eastAsia="EUAlbertina-Bold-Identity-H"/>
          <w:color w:val="000000" w:themeColor="text1"/>
          <w:szCs w:val="24"/>
          <w:lang w:eastAsia="lv-LV"/>
        </w:rPr>
        <w:tab/>
      </w:r>
      <w:r w:rsidR="00BA69CA" w:rsidRPr="00B557E8">
        <w:rPr>
          <w:color w:val="000000" w:themeColor="text1"/>
          <w:szCs w:val="24"/>
          <w:lang w:eastAsia="x-none"/>
        </w:rPr>
        <w:t>Vides aizsardzības un reģionālās attīstības ministrija</w:t>
      </w:r>
    </w:p>
    <w:p w:rsidR="0053690D" w:rsidRPr="00B557E8" w:rsidRDefault="006147B6" w:rsidP="00B557E8">
      <w:pPr>
        <w:tabs>
          <w:tab w:val="left" w:pos="1276"/>
          <w:tab w:val="left" w:pos="1418"/>
          <w:tab w:val="left" w:pos="2127"/>
        </w:tabs>
        <w:spacing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VEC</w:t>
      </w:r>
      <w:r w:rsidRPr="00B557E8">
        <w:rPr>
          <w:rFonts w:eastAsia="EUAlbertina-Bold-Identity-H"/>
          <w:color w:val="000000" w:themeColor="text1"/>
          <w:szCs w:val="24"/>
          <w:lang w:eastAsia="lv-LV"/>
        </w:rPr>
        <w:tab/>
      </w:r>
      <w:r w:rsidR="0053690D" w:rsidRPr="00B557E8">
        <w:rPr>
          <w:rFonts w:eastAsia="EUAlbertina-Bold-Identity-H"/>
          <w:color w:val="000000" w:themeColor="text1"/>
          <w:szCs w:val="24"/>
          <w:lang w:eastAsia="lv-LV"/>
        </w:rPr>
        <w:t xml:space="preserve">- </w:t>
      </w:r>
      <w:r w:rsidR="0053690D" w:rsidRPr="00B557E8">
        <w:rPr>
          <w:rFonts w:eastAsia="EUAlbertina-Bold-Identity-H"/>
          <w:color w:val="000000" w:themeColor="text1"/>
          <w:szCs w:val="24"/>
          <w:lang w:eastAsia="lv-LV"/>
        </w:rPr>
        <w:tab/>
      </w:r>
      <w:r w:rsidRPr="00B557E8">
        <w:rPr>
          <w:rFonts w:eastAsia="EUAlbertina-Bold-Identity-H"/>
          <w:color w:val="000000" w:themeColor="text1"/>
          <w:szCs w:val="24"/>
          <w:lang w:eastAsia="lv-LV"/>
        </w:rPr>
        <w:tab/>
      </w:r>
      <w:r w:rsidR="0053690D" w:rsidRPr="00B557E8">
        <w:rPr>
          <w:rFonts w:eastAsia="EUAlbertina-Bold-Identity-H"/>
          <w:color w:val="000000" w:themeColor="text1"/>
          <w:szCs w:val="24"/>
          <w:lang w:eastAsia="lv-LV"/>
        </w:rPr>
        <w:t>Veselības ekonomikas centrs</w:t>
      </w:r>
    </w:p>
    <w:p w:rsidR="00BA69CA" w:rsidRPr="00B557E8" w:rsidRDefault="00813AEB" w:rsidP="00B557E8">
      <w:pPr>
        <w:tabs>
          <w:tab w:val="left" w:pos="1276"/>
          <w:tab w:val="left" w:pos="2127"/>
        </w:tabs>
        <w:spacing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VI</w:t>
      </w:r>
      <w:r w:rsidRPr="00B557E8">
        <w:rPr>
          <w:rFonts w:eastAsia="EUAlbertina-Bold-Identity-H"/>
          <w:color w:val="000000" w:themeColor="text1"/>
          <w:szCs w:val="24"/>
          <w:lang w:eastAsia="lv-LV"/>
        </w:rPr>
        <w:tab/>
      </w:r>
      <w:r w:rsidR="00BA69CA" w:rsidRPr="00B557E8">
        <w:rPr>
          <w:rFonts w:eastAsia="EUAlbertina-Bold-Identity-H"/>
          <w:color w:val="000000" w:themeColor="text1"/>
          <w:szCs w:val="24"/>
          <w:lang w:eastAsia="lv-LV"/>
        </w:rPr>
        <w:t xml:space="preserve">- </w:t>
      </w:r>
      <w:r w:rsidR="00BA69CA" w:rsidRPr="00B557E8">
        <w:rPr>
          <w:rFonts w:eastAsia="EUAlbertina-Bold-Identity-H"/>
          <w:color w:val="000000" w:themeColor="text1"/>
          <w:szCs w:val="24"/>
          <w:lang w:eastAsia="lv-LV"/>
        </w:rPr>
        <w:tab/>
      </w:r>
      <w:r w:rsidR="00374474" w:rsidRPr="00B557E8">
        <w:rPr>
          <w:rFonts w:eastAsia="EUAlbertina-Bold-Identity-H"/>
          <w:color w:val="000000" w:themeColor="text1"/>
          <w:szCs w:val="24"/>
          <w:lang w:eastAsia="lv-LV"/>
        </w:rPr>
        <w:t>ES fondu</w:t>
      </w:r>
      <w:r w:rsidR="00772BA7" w:rsidRPr="00B557E8">
        <w:rPr>
          <w:rFonts w:eastAsia="EUAlbertina-Bold-Identity-H"/>
          <w:color w:val="000000" w:themeColor="text1"/>
          <w:szCs w:val="24"/>
          <w:lang w:eastAsia="lv-LV"/>
        </w:rPr>
        <w:t xml:space="preserve">, EEZ/Norvēģis finansu instrumentu un </w:t>
      </w:r>
      <w:r w:rsidRPr="00B557E8">
        <w:rPr>
          <w:rFonts w:eastAsia="EUAlbertina-Bold-Identity-H"/>
          <w:color w:val="000000" w:themeColor="text1"/>
          <w:szCs w:val="24"/>
          <w:lang w:eastAsia="lv-LV"/>
        </w:rPr>
        <w:t xml:space="preserve">Šveices programmas  </w:t>
      </w:r>
      <w:r w:rsidRPr="00B557E8">
        <w:rPr>
          <w:rFonts w:eastAsia="EUAlbertina-Bold-Identity-H"/>
          <w:color w:val="000000" w:themeColor="text1"/>
          <w:szCs w:val="24"/>
          <w:lang w:eastAsia="lv-LV"/>
        </w:rPr>
        <w:tab/>
      </w:r>
      <w:r w:rsidRPr="00B557E8">
        <w:rPr>
          <w:rFonts w:eastAsia="EUAlbertina-Bold-Identity-H"/>
          <w:color w:val="000000" w:themeColor="text1"/>
          <w:szCs w:val="24"/>
          <w:lang w:eastAsia="lv-LV"/>
        </w:rPr>
        <w:tab/>
      </w:r>
      <w:r w:rsidR="00374474" w:rsidRPr="00B557E8">
        <w:rPr>
          <w:rFonts w:eastAsia="EUAlbertina-Bold-Identity-H"/>
          <w:color w:val="000000" w:themeColor="text1"/>
          <w:szCs w:val="24"/>
          <w:lang w:eastAsia="lv-LV"/>
        </w:rPr>
        <w:t>v</w:t>
      </w:r>
      <w:r w:rsidR="00BA69CA" w:rsidRPr="00B557E8">
        <w:rPr>
          <w:rFonts w:eastAsia="EUAlbertina-Bold-Identity-H"/>
          <w:color w:val="000000" w:themeColor="text1"/>
          <w:szCs w:val="24"/>
          <w:lang w:eastAsia="lv-LV"/>
        </w:rPr>
        <w:t>adošā iestāde</w:t>
      </w:r>
    </w:p>
    <w:p w:rsidR="006B263C" w:rsidRPr="00B557E8" w:rsidRDefault="006147B6" w:rsidP="00B557E8">
      <w:pPr>
        <w:tabs>
          <w:tab w:val="left" w:pos="1276"/>
          <w:tab w:val="left" w:pos="1418"/>
          <w:tab w:val="left" w:pos="2127"/>
        </w:tabs>
        <w:spacing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VIS</w:t>
      </w:r>
      <w:r w:rsidRPr="00B557E8">
        <w:rPr>
          <w:rFonts w:eastAsia="EUAlbertina-Bold-Identity-H"/>
          <w:color w:val="000000" w:themeColor="text1"/>
          <w:szCs w:val="24"/>
          <w:lang w:eastAsia="lv-LV"/>
        </w:rPr>
        <w:tab/>
      </w:r>
      <w:r w:rsidR="006B263C" w:rsidRPr="00B557E8">
        <w:rPr>
          <w:rFonts w:eastAsia="EUAlbertina-Bold-Identity-H"/>
          <w:color w:val="000000" w:themeColor="text1"/>
          <w:szCs w:val="24"/>
          <w:lang w:eastAsia="lv-LV"/>
        </w:rPr>
        <w:t xml:space="preserve">- </w:t>
      </w:r>
      <w:r w:rsidRPr="00B557E8">
        <w:rPr>
          <w:rFonts w:eastAsia="EUAlbertina-Bold-Identity-H"/>
          <w:color w:val="000000" w:themeColor="text1"/>
          <w:szCs w:val="24"/>
          <w:lang w:eastAsia="lv-LV"/>
        </w:rPr>
        <w:tab/>
      </w:r>
      <w:r w:rsidR="006B263C" w:rsidRPr="00B557E8">
        <w:rPr>
          <w:rFonts w:eastAsia="EUAlbertina-Bold-Identity-H"/>
          <w:color w:val="000000" w:themeColor="text1"/>
          <w:szCs w:val="24"/>
          <w:lang w:eastAsia="lv-LV"/>
        </w:rPr>
        <w:tab/>
        <w:t xml:space="preserve">ES </w:t>
      </w:r>
      <w:r w:rsidR="00F86F93" w:rsidRPr="00B557E8">
        <w:rPr>
          <w:rFonts w:eastAsia="EUAlbertina-Bold-Identity-H"/>
          <w:color w:val="000000" w:themeColor="text1"/>
          <w:szCs w:val="24"/>
          <w:lang w:eastAsia="lv-LV"/>
        </w:rPr>
        <w:t>fondu</w:t>
      </w:r>
      <w:r w:rsidR="006B263C" w:rsidRPr="00B557E8">
        <w:rPr>
          <w:rFonts w:eastAsia="EUAlbertina-Bold-Identity-H"/>
          <w:color w:val="000000" w:themeColor="text1"/>
          <w:szCs w:val="24"/>
          <w:lang w:eastAsia="lv-LV"/>
        </w:rPr>
        <w:t xml:space="preserve"> vadības informācijas sistēmas</w:t>
      </w:r>
    </w:p>
    <w:p w:rsidR="00B96482" w:rsidRPr="00B557E8" w:rsidRDefault="006147B6" w:rsidP="00B557E8">
      <w:pPr>
        <w:tabs>
          <w:tab w:val="left" w:pos="1276"/>
          <w:tab w:val="left" w:pos="1418"/>
          <w:tab w:val="left" w:pos="2127"/>
        </w:tabs>
        <w:spacing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VKS</w:t>
      </w:r>
      <w:r w:rsidRPr="00B557E8">
        <w:rPr>
          <w:rFonts w:eastAsia="EUAlbertina-Bold-Identity-H"/>
          <w:color w:val="000000" w:themeColor="text1"/>
          <w:szCs w:val="24"/>
          <w:lang w:eastAsia="lv-LV"/>
        </w:rPr>
        <w:tab/>
      </w:r>
      <w:r w:rsidR="00B96482" w:rsidRPr="00B557E8">
        <w:rPr>
          <w:rFonts w:eastAsia="EUAlbertina-Bold-Identity-H"/>
          <w:color w:val="000000" w:themeColor="text1"/>
          <w:szCs w:val="24"/>
          <w:lang w:eastAsia="lv-LV"/>
        </w:rPr>
        <w:t xml:space="preserve">- </w:t>
      </w:r>
      <w:r w:rsidR="00B96482" w:rsidRPr="00B557E8">
        <w:rPr>
          <w:rFonts w:eastAsia="EUAlbertina-Bold-Identity-H"/>
          <w:color w:val="000000" w:themeColor="text1"/>
          <w:szCs w:val="24"/>
          <w:lang w:eastAsia="lv-LV"/>
        </w:rPr>
        <w:tab/>
      </w:r>
      <w:r w:rsidRPr="00B557E8">
        <w:rPr>
          <w:rFonts w:eastAsia="EUAlbertina-Bold-Identity-H"/>
          <w:color w:val="000000" w:themeColor="text1"/>
          <w:szCs w:val="24"/>
          <w:lang w:eastAsia="lv-LV"/>
        </w:rPr>
        <w:tab/>
      </w:r>
      <w:r w:rsidR="00B96482" w:rsidRPr="00B557E8">
        <w:rPr>
          <w:rFonts w:eastAsia="EUAlbertina-Bold-Identity-H"/>
          <w:color w:val="000000" w:themeColor="text1"/>
          <w:szCs w:val="24"/>
          <w:lang w:eastAsia="lv-LV"/>
        </w:rPr>
        <w:t>Vadības un kontroles sistēma</w:t>
      </w:r>
    </w:p>
    <w:p w:rsidR="00BA69CA" w:rsidRPr="00B557E8" w:rsidRDefault="006147B6" w:rsidP="00B557E8">
      <w:pPr>
        <w:tabs>
          <w:tab w:val="left" w:pos="1276"/>
          <w:tab w:val="left" w:pos="1418"/>
          <w:tab w:val="left" w:pos="2127"/>
        </w:tabs>
        <w:spacing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VM</w:t>
      </w:r>
      <w:r w:rsidRPr="00B557E8">
        <w:rPr>
          <w:rFonts w:eastAsia="EUAlbertina-Bold-Identity-H"/>
          <w:color w:val="000000" w:themeColor="text1"/>
          <w:szCs w:val="24"/>
          <w:lang w:eastAsia="lv-LV"/>
        </w:rPr>
        <w:tab/>
      </w:r>
      <w:r w:rsidR="00BA69CA" w:rsidRPr="00B557E8">
        <w:rPr>
          <w:rFonts w:eastAsia="EUAlbertina-Bold-Identity-H"/>
          <w:color w:val="000000" w:themeColor="text1"/>
          <w:szCs w:val="24"/>
          <w:lang w:eastAsia="lv-LV"/>
        </w:rPr>
        <w:t xml:space="preserve">- </w:t>
      </w:r>
      <w:r w:rsidR="00BA69CA" w:rsidRPr="00B557E8">
        <w:rPr>
          <w:rFonts w:eastAsia="EUAlbertina-Bold-Identity-H"/>
          <w:color w:val="000000" w:themeColor="text1"/>
          <w:szCs w:val="24"/>
          <w:lang w:eastAsia="lv-LV"/>
        </w:rPr>
        <w:tab/>
      </w:r>
      <w:r w:rsidRPr="00B557E8">
        <w:rPr>
          <w:rFonts w:eastAsia="EUAlbertina-Bold-Identity-H"/>
          <w:color w:val="000000" w:themeColor="text1"/>
          <w:szCs w:val="24"/>
          <w:lang w:eastAsia="lv-LV"/>
        </w:rPr>
        <w:tab/>
      </w:r>
      <w:r w:rsidR="00BA69CA" w:rsidRPr="00B557E8">
        <w:rPr>
          <w:rFonts w:eastAsia="EUAlbertina-Bold-Identity-H"/>
          <w:color w:val="000000" w:themeColor="text1"/>
          <w:szCs w:val="24"/>
          <w:lang w:eastAsia="lv-LV"/>
        </w:rPr>
        <w:t>Veselības ministrija</w:t>
      </w:r>
    </w:p>
    <w:p w:rsidR="00162C84" w:rsidRPr="00B557E8" w:rsidRDefault="00162C84" w:rsidP="00B557E8">
      <w:pPr>
        <w:tabs>
          <w:tab w:val="left" w:pos="1276"/>
          <w:tab w:val="left" w:pos="1418"/>
          <w:tab w:val="left" w:pos="2127"/>
        </w:tabs>
        <w:spacing w:line="276" w:lineRule="auto"/>
        <w:rPr>
          <w:color w:val="000000" w:themeColor="text1"/>
          <w:szCs w:val="24"/>
        </w:rPr>
      </w:pPr>
      <w:r w:rsidRPr="00B557E8">
        <w:rPr>
          <w:color w:val="000000" w:themeColor="text1"/>
          <w:szCs w:val="24"/>
        </w:rPr>
        <w:lastRenderedPageBreak/>
        <w:t>VPP</w:t>
      </w:r>
      <w:r w:rsidR="00813AEB" w:rsidRPr="00B557E8">
        <w:rPr>
          <w:color w:val="000000" w:themeColor="text1"/>
          <w:szCs w:val="24"/>
        </w:rPr>
        <w:tab/>
        <w:t>-</w:t>
      </w:r>
      <w:r w:rsidRPr="00B557E8">
        <w:rPr>
          <w:color w:val="000000" w:themeColor="text1"/>
          <w:szCs w:val="24"/>
        </w:rPr>
        <w:t xml:space="preserve"> </w:t>
      </w:r>
      <w:r w:rsidR="00813AEB" w:rsidRPr="00B557E8">
        <w:rPr>
          <w:color w:val="000000" w:themeColor="text1"/>
          <w:szCs w:val="24"/>
        </w:rPr>
        <w:tab/>
      </w:r>
      <w:r w:rsidR="006147B6" w:rsidRPr="00B557E8">
        <w:rPr>
          <w:color w:val="000000" w:themeColor="text1"/>
          <w:szCs w:val="24"/>
        </w:rPr>
        <w:tab/>
      </w:r>
      <w:r w:rsidR="00FE7C30" w:rsidRPr="00B557E8">
        <w:rPr>
          <w:color w:val="000000" w:themeColor="text1"/>
          <w:szCs w:val="24"/>
        </w:rPr>
        <w:t>v</w:t>
      </w:r>
      <w:r w:rsidRPr="00B557E8">
        <w:rPr>
          <w:color w:val="000000" w:themeColor="text1"/>
          <w:szCs w:val="24"/>
        </w:rPr>
        <w:t>alsts un privātā partnerība</w:t>
      </w:r>
    </w:p>
    <w:p w:rsidR="00BA69CA" w:rsidRPr="00B557E8" w:rsidRDefault="006147B6" w:rsidP="00B557E8">
      <w:pPr>
        <w:tabs>
          <w:tab w:val="left" w:pos="1276"/>
          <w:tab w:val="left" w:pos="1418"/>
          <w:tab w:val="left" w:pos="2127"/>
        </w:tabs>
        <w:spacing w:line="276" w:lineRule="auto"/>
        <w:rPr>
          <w:rFonts w:eastAsia="EUAlbertina-Bold-Identity-H"/>
          <w:color w:val="000000" w:themeColor="text1"/>
          <w:szCs w:val="24"/>
          <w:lang w:eastAsia="lv-LV"/>
        </w:rPr>
      </w:pPr>
      <w:r w:rsidRPr="00B557E8">
        <w:rPr>
          <w:color w:val="000000" w:themeColor="text1"/>
          <w:szCs w:val="24"/>
        </w:rPr>
        <w:t>VSS</w:t>
      </w:r>
      <w:r w:rsidRPr="00B557E8">
        <w:rPr>
          <w:color w:val="000000" w:themeColor="text1"/>
          <w:szCs w:val="24"/>
        </w:rPr>
        <w:tab/>
      </w:r>
      <w:r w:rsidR="00BA69CA" w:rsidRPr="00B557E8">
        <w:rPr>
          <w:color w:val="000000" w:themeColor="text1"/>
          <w:szCs w:val="24"/>
        </w:rPr>
        <w:t xml:space="preserve">- </w:t>
      </w:r>
      <w:r w:rsidR="00BA69CA" w:rsidRPr="00B557E8">
        <w:rPr>
          <w:color w:val="000000" w:themeColor="text1"/>
          <w:szCs w:val="24"/>
        </w:rPr>
        <w:tab/>
      </w:r>
      <w:r w:rsidRPr="00B557E8">
        <w:rPr>
          <w:color w:val="000000" w:themeColor="text1"/>
          <w:szCs w:val="24"/>
        </w:rPr>
        <w:tab/>
      </w:r>
      <w:r w:rsidR="00BA69CA" w:rsidRPr="00B557E8">
        <w:rPr>
          <w:rFonts w:eastAsia="EUAlbertina-Bold-Identity-H"/>
          <w:color w:val="000000" w:themeColor="text1"/>
          <w:szCs w:val="24"/>
          <w:lang w:eastAsia="lv-LV"/>
        </w:rPr>
        <w:t>Valsts sekretāru sanāksme</w:t>
      </w:r>
    </w:p>
    <w:p w:rsidR="00BA69CA" w:rsidRPr="00B557E8" w:rsidRDefault="006147B6" w:rsidP="00B557E8">
      <w:pPr>
        <w:tabs>
          <w:tab w:val="left" w:pos="1276"/>
          <w:tab w:val="left" w:pos="1418"/>
          <w:tab w:val="left" w:pos="2127"/>
        </w:tabs>
        <w:spacing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ZM</w:t>
      </w:r>
      <w:r w:rsidRPr="00B557E8">
        <w:rPr>
          <w:rFonts w:eastAsia="EUAlbertina-Bold-Identity-H"/>
          <w:color w:val="000000" w:themeColor="text1"/>
          <w:szCs w:val="24"/>
          <w:lang w:eastAsia="lv-LV"/>
        </w:rPr>
        <w:tab/>
      </w:r>
      <w:r w:rsidR="00BA69CA" w:rsidRPr="00B557E8">
        <w:rPr>
          <w:rFonts w:eastAsia="EUAlbertina-Bold-Identity-H"/>
          <w:color w:val="000000" w:themeColor="text1"/>
          <w:szCs w:val="24"/>
          <w:lang w:eastAsia="lv-LV"/>
        </w:rPr>
        <w:t xml:space="preserve">- </w:t>
      </w:r>
      <w:r w:rsidR="00BA69CA" w:rsidRPr="00B557E8">
        <w:rPr>
          <w:rFonts w:eastAsia="EUAlbertina-Bold-Identity-H"/>
          <w:color w:val="000000" w:themeColor="text1"/>
          <w:szCs w:val="24"/>
          <w:lang w:eastAsia="lv-LV"/>
        </w:rPr>
        <w:tab/>
      </w:r>
      <w:r w:rsidRPr="00B557E8">
        <w:rPr>
          <w:rFonts w:eastAsia="EUAlbertina-Bold-Identity-H"/>
          <w:color w:val="000000" w:themeColor="text1"/>
          <w:szCs w:val="24"/>
          <w:lang w:eastAsia="lv-LV"/>
        </w:rPr>
        <w:tab/>
      </w:r>
      <w:r w:rsidR="00BA69CA" w:rsidRPr="00B557E8">
        <w:rPr>
          <w:rFonts w:eastAsia="EUAlbertina-Bold-Identity-H"/>
          <w:color w:val="000000" w:themeColor="text1"/>
          <w:szCs w:val="24"/>
          <w:lang w:eastAsia="lv-LV"/>
        </w:rPr>
        <w:t>Zemkopības ministrija</w:t>
      </w:r>
    </w:p>
    <w:p w:rsidR="00891B3A" w:rsidRPr="00B557E8" w:rsidRDefault="00891B3A" w:rsidP="00B557E8">
      <w:pPr>
        <w:tabs>
          <w:tab w:val="left" w:pos="2410"/>
          <w:tab w:val="left" w:pos="2835"/>
        </w:tabs>
        <w:spacing w:line="276" w:lineRule="auto"/>
        <w:rPr>
          <w:color w:val="000000" w:themeColor="text1"/>
          <w:szCs w:val="24"/>
          <w:lang w:eastAsia="x-none"/>
        </w:rPr>
      </w:pPr>
      <w:r w:rsidRPr="00B557E8">
        <w:rPr>
          <w:color w:val="000000" w:themeColor="text1"/>
          <w:szCs w:val="24"/>
          <w:lang w:eastAsia="x-none"/>
        </w:rPr>
        <w:t>80.00.00 programma</w:t>
      </w:r>
      <w:r w:rsidRPr="00B557E8">
        <w:rPr>
          <w:color w:val="000000" w:themeColor="text1"/>
          <w:szCs w:val="24"/>
          <w:lang w:eastAsia="x-none"/>
        </w:rPr>
        <w:tab/>
        <w:t xml:space="preserve">- </w:t>
      </w:r>
      <w:r w:rsidRPr="00B557E8">
        <w:rPr>
          <w:color w:val="000000" w:themeColor="text1"/>
          <w:szCs w:val="24"/>
          <w:lang w:eastAsia="x-none"/>
        </w:rPr>
        <w:tab/>
      </w:r>
      <w:r w:rsidRPr="00B557E8">
        <w:rPr>
          <w:rFonts w:eastAsia="EUAlbertina-Bold-Identity-H"/>
          <w:color w:val="000000" w:themeColor="text1"/>
          <w:szCs w:val="24"/>
          <w:lang w:eastAsia="lv-LV"/>
        </w:rPr>
        <w:t xml:space="preserve">valsts budžeta programmas 80.00.00 „Nesadalītais </w:t>
      </w:r>
      <w:r w:rsidRPr="00B557E8">
        <w:rPr>
          <w:color w:val="000000" w:themeColor="text1"/>
          <w:szCs w:val="24"/>
          <w:lang w:eastAsia="x-none"/>
        </w:rPr>
        <w:t xml:space="preserve">finansējums </w:t>
      </w:r>
    </w:p>
    <w:p w:rsidR="00891B3A" w:rsidRPr="00B557E8" w:rsidRDefault="00891B3A" w:rsidP="00B557E8">
      <w:pPr>
        <w:tabs>
          <w:tab w:val="left" w:pos="2410"/>
          <w:tab w:val="left" w:pos="2835"/>
        </w:tabs>
        <w:spacing w:line="276" w:lineRule="auto"/>
        <w:rPr>
          <w:color w:val="000000" w:themeColor="text1"/>
          <w:szCs w:val="24"/>
          <w:lang w:eastAsia="x-none"/>
        </w:rPr>
      </w:pPr>
      <w:r w:rsidRPr="00B557E8">
        <w:rPr>
          <w:color w:val="000000" w:themeColor="text1"/>
          <w:szCs w:val="24"/>
          <w:lang w:eastAsia="x-none"/>
        </w:rPr>
        <w:tab/>
      </w:r>
      <w:r w:rsidRPr="00B557E8">
        <w:rPr>
          <w:color w:val="000000" w:themeColor="text1"/>
          <w:szCs w:val="24"/>
          <w:lang w:eastAsia="x-none"/>
        </w:rPr>
        <w:tab/>
        <w:t>Eiropas Savienības politiku instrumentu un pārējās ārvalstu</w:t>
      </w:r>
    </w:p>
    <w:p w:rsidR="00891B3A" w:rsidRPr="00B557E8" w:rsidRDefault="00891B3A" w:rsidP="00B557E8">
      <w:pPr>
        <w:tabs>
          <w:tab w:val="left" w:pos="2410"/>
          <w:tab w:val="left" w:pos="2835"/>
        </w:tabs>
        <w:spacing w:line="276" w:lineRule="auto"/>
        <w:rPr>
          <w:color w:val="000000" w:themeColor="text1"/>
          <w:szCs w:val="24"/>
          <w:lang w:eastAsia="x-none"/>
        </w:rPr>
      </w:pPr>
      <w:r w:rsidRPr="00B557E8">
        <w:rPr>
          <w:color w:val="000000" w:themeColor="text1"/>
          <w:szCs w:val="24"/>
          <w:lang w:eastAsia="x-none"/>
        </w:rPr>
        <w:tab/>
      </w:r>
      <w:r w:rsidRPr="00B557E8">
        <w:rPr>
          <w:color w:val="000000" w:themeColor="text1"/>
          <w:szCs w:val="24"/>
          <w:lang w:eastAsia="x-none"/>
        </w:rPr>
        <w:tab/>
        <w:t xml:space="preserve">finanšu palīdzības līdzfinansēto projektu un pasākumu </w:t>
      </w:r>
    </w:p>
    <w:p w:rsidR="00891B3A" w:rsidRPr="00B557E8" w:rsidRDefault="00891B3A" w:rsidP="00B557E8">
      <w:pPr>
        <w:tabs>
          <w:tab w:val="left" w:pos="2410"/>
          <w:tab w:val="left" w:pos="2835"/>
        </w:tabs>
        <w:spacing w:line="276" w:lineRule="auto"/>
        <w:rPr>
          <w:rFonts w:eastAsia="EUAlbertina-Bold-Identity-H"/>
          <w:color w:val="000000" w:themeColor="text1"/>
          <w:szCs w:val="24"/>
          <w:lang w:eastAsia="lv-LV"/>
        </w:rPr>
      </w:pPr>
      <w:r w:rsidRPr="00B557E8">
        <w:rPr>
          <w:color w:val="000000" w:themeColor="text1"/>
          <w:szCs w:val="24"/>
          <w:lang w:eastAsia="x-none"/>
        </w:rPr>
        <w:tab/>
      </w:r>
      <w:r w:rsidRPr="00B557E8">
        <w:rPr>
          <w:color w:val="000000" w:themeColor="text1"/>
          <w:szCs w:val="24"/>
          <w:lang w:eastAsia="x-none"/>
        </w:rPr>
        <w:tab/>
        <w:t>īstenošanai”</w:t>
      </w:r>
    </w:p>
    <w:p w:rsidR="00891B3A" w:rsidRPr="00B557E8" w:rsidRDefault="00891B3A" w:rsidP="00B557E8">
      <w:pPr>
        <w:tabs>
          <w:tab w:val="left" w:pos="2410"/>
          <w:tab w:val="left" w:pos="2835"/>
        </w:tabs>
        <w:spacing w:before="120" w:after="120" w:line="276" w:lineRule="auto"/>
        <w:rPr>
          <w:color w:val="000000" w:themeColor="text1"/>
          <w:szCs w:val="24"/>
          <w:lang w:eastAsia="x-none"/>
        </w:rPr>
      </w:pPr>
    </w:p>
    <w:p w:rsidR="00FF16DA" w:rsidRPr="00B557E8" w:rsidRDefault="00FF16DA" w:rsidP="00B557E8">
      <w:pPr>
        <w:tabs>
          <w:tab w:val="left" w:pos="3686"/>
          <w:tab w:val="left" w:pos="3969"/>
        </w:tabs>
        <w:spacing w:before="120" w:after="120" w:line="276" w:lineRule="auto"/>
        <w:rPr>
          <w:rFonts w:eastAsia="EUAlbertina-Bold-Identity-H"/>
          <w:color w:val="000000" w:themeColor="text1"/>
          <w:szCs w:val="24"/>
          <w:lang w:eastAsia="lv-LV"/>
        </w:rPr>
      </w:pPr>
    </w:p>
    <w:p w:rsidR="00EB11F9" w:rsidRPr="00B557E8" w:rsidRDefault="00EB11F9" w:rsidP="00B557E8">
      <w:pPr>
        <w:spacing w:before="120" w:after="120" w:line="276" w:lineRule="auto"/>
        <w:rPr>
          <w:b/>
          <w:bCs/>
          <w:color w:val="000000" w:themeColor="text1"/>
          <w:kern w:val="32"/>
          <w:szCs w:val="24"/>
          <w:lang w:eastAsia="x-none"/>
        </w:rPr>
      </w:pPr>
      <w:r w:rsidRPr="00B557E8">
        <w:rPr>
          <w:color w:val="000000" w:themeColor="text1"/>
          <w:szCs w:val="24"/>
        </w:rPr>
        <w:br w:type="page"/>
      </w:r>
    </w:p>
    <w:p w:rsidR="00FF4209" w:rsidRPr="00B557E8" w:rsidRDefault="00FF4209" w:rsidP="00B557E8">
      <w:pPr>
        <w:pStyle w:val="1lmenis"/>
        <w:numPr>
          <w:ilvl w:val="0"/>
          <w:numId w:val="0"/>
        </w:numPr>
        <w:spacing w:before="120" w:after="120" w:line="276" w:lineRule="auto"/>
        <w:ind w:left="491"/>
        <w:rPr>
          <w:rFonts w:ascii="Times New Roman" w:hAnsi="Times New Roman"/>
          <w:color w:val="000000" w:themeColor="text1"/>
          <w:sz w:val="24"/>
          <w:szCs w:val="24"/>
          <w:lang w:val="lv-LV"/>
        </w:rPr>
      </w:pPr>
      <w:bookmarkStart w:id="8" w:name="_Toc308774228"/>
      <w:r w:rsidRPr="00B557E8">
        <w:rPr>
          <w:rFonts w:ascii="Times New Roman" w:hAnsi="Times New Roman"/>
          <w:color w:val="000000" w:themeColor="text1"/>
          <w:sz w:val="24"/>
          <w:szCs w:val="24"/>
          <w:lang w:val="lv-LV"/>
        </w:rPr>
        <w:lastRenderedPageBreak/>
        <w:t>Kopsavilkums</w:t>
      </w:r>
      <w:bookmarkEnd w:id="6"/>
      <w:bookmarkEnd w:id="7"/>
      <w:bookmarkEnd w:id="8"/>
    </w:p>
    <w:p w:rsidR="006A631E" w:rsidRPr="00B557E8" w:rsidRDefault="00084B74" w:rsidP="00B557E8">
      <w:pPr>
        <w:spacing w:before="120" w:after="120" w:line="276" w:lineRule="auto"/>
        <w:rPr>
          <w:color w:val="000000" w:themeColor="text1"/>
          <w:szCs w:val="24"/>
        </w:rPr>
      </w:pPr>
      <w:r w:rsidRPr="00B557E8">
        <w:rPr>
          <w:color w:val="000000" w:themeColor="text1"/>
          <w:szCs w:val="24"/>
        </w:rPr>
        <w:t xml:space="preserve">2007.-2013.gada plānošanas periodā līdz 2011.gada 30.septembrim </w:t>
      </w:r>
      <w:r w:rsidR="00A742B0" w:rsidRPr="00B557E8">
        <w:rPr>
          <w:color w:val="000000" w:themeColor="text1"/>
          <w:szCs w:val="24"/>
        </w:rPr>
        <w:t xml:space="preserve">no kopā pieejamā publiskā finansējuma </w:t>
      </w:r>
      <w:r w:rsidR="005D10B3" w:rsidRPr="00B557E8">
        <w:rPr>
          <w:color w:val="000000" w:themeColor="text1"/>
          <w:szCs w:val="24"/>
        </w:rPr>
        <w:t>ES fondu</w:t>
      </w:r>
      <w:r w:rsidRPr="00B557E8">
        <w:rPr>
          <w:color w:val="000000" w:themeColor="text1"/>
          <w:szCs w:val="24"/>
        </w:rPr>
        <w:t xml:space="preserve"> projekti apstiprināti par 2 681,1 milj. latu jeb par 84,2%, noslēgti līgumi ar finansējuma saņēmējiem par 2 562,2 </w:t>
      </w:r>
      <w:proofErr w:type="spellStart"/>
      <w:r w:rsidRPr="00B557E8">
        <w:rPr>
          <w:color w:val="000000" w:themeColor="text1"/>
          <w:szCs w:val="24"/>
        </w:rPr>
        <w:t>milj</w:t>
      </w:r>
      <w:proofErr w:type="spellEnd"/>
      <w:r w:rsidRPr="00B557E8">
        <w:rPr>
          <w:color w:val="000000" w:themeColor="text1"/>
          <w:szCs w:val="24"/>
        </w:rPr>
        <w:t xml:space="preserve">. latu jeb 80,5% un finansējuma saņēmējiem izmaksāti 1 180,5 </w:t>
      </w:r>
      <w:proofErr w:type="spellStart"/>
      <w:r w:rsidRPr="00B557E8">
        <w:rPr>
          <w:color w:val="000000" w:themeColor="text1"/>
          <w:szCs w:val="24"/>
        </w:rPr>
        <w:t>milj</w:t>
      </w:r>
      <w:proofErr w:type="spellEnd"/>
      <w:r w:rsidRPr="00B557E8">
        <w:rPr>
          <w:color w:val="000000" w:themeColor="text1"/>
          <w:szCs w:val="24"/>
        </w:rPr>
        <w:t xml:space="preserve">. latu jeb 37,1%. </w:t>
      </w:r>
      <w:r w:rsidR="006A631E" w:rsidRPr="00B557E8">
        <w:rPr>
          <w:color w:val="000000" w:themeColor="text1"/>
          <w:szCs w:val="24"/>
        </w:rPr>
        <w:t>Ņemot vērā, ka, salīdzinot ar iepriekšējo pārskata periodu</w:t>
      </w:r>
      <w:r w:rsidR="00F86F93" w:rsidRPr="00B557E8">
        <w:rPr>
          <w:color w:val="000000" w:themeColor="text1"/>
          <w:szCs w:val="24"/>
        </w:rPr>
        <w:t>,</w:t>
      </w:r>
      <w:r w:rsidR="006A631E" w:rsidRPr="00B557E8">
        <w:rPr>
          <w:color w:val="000000" w:themeColor="text1"/>
          <w:szCs w:val="24"/>
        </w:rPr>
        <w:t xml:space="preserve"> ir </w:t>
      </w:r>
      <w:r w:rsidR="00F86F93" w:rsidRPr="00B557E8">
        <w:rPr>
          <w:color w:val="000000" w:themeColor="text1"/>
          <w:szCs w:val="24"/>
        </w:rPr>
        <w:t>vērojams 3,5% progress maksājumiem</w:t>
      </w:r>
      <w:r w:rsidR="006A631E" w:rsidRPr="00B557E8">
        <w:rPr>
          <w:color w:val="000000" w:themeColor="text1"/>
          <w:szCs w:val="24"/>
        </w:rPr>
        <w:t xml:space="preserve"> finansējuma saņēmējiem, 3,2% progress apstiprinātajiem projektiem, kopumā ES fondu apguves progress ir vērtējams kā apmierinošs.</w:t>
      </w:r>
      <w:r w:rsidR="000E457B" w:rsidRPr="00B557E8">
        <w:rPr>
          <w:color w:val="000000" w:themeColor="text1"/>
          <w:szCs w:val="24"/>
        </w:rPr>
        <w:t xml:space="preserve"> </w:t>
      </w:r>
      <w:r w:rsidR="00161556" w:rsidRPr="00B557E8">
        <w:rPr>
          <w:color w:val="000000" w:themeColor="text1"/>
          <w:szCs w:val="24"/>
        </w:rPr>
        <w:t>N</w:t>
      </w:r>
      <w:r w:rsidR="00FF56A3" w:rsidRPr="00B557E8">
        <w:rPr>
          <w:color w:val="000000" w:themeColor="text1"/>
          <w:szCs w:val="24"/>
        </w:rPr>
        <w:t xml:space="preserve">o EK saņemto maksājumu apjoma </w:t>
      </w:r>
      <w:r w:rsidR="000E457B" w:rsidRPr="00B557E8">
        <w:rPr>
          <w:color w:val="000000" w:themeColor="text1"/>
          <w:szCs w:val="24"/>
        </w:rPr>
        <w:t>Latvija ierindojas trešajā</w:t>
      </w:r>
      <w:r w:rsidR="00200A60" w:rsidRPr="00B557E8">
        <w:rPr>
          <w:color w:val="000000" w:themeColor="text1"/>
          <w:szCs w:val="24"/>
        </w:rPr>
        <w:t xml:space="preserve"> vietā starp jaunajām ES dalībvalstī</w:t>
      </w:r>
      <w:r w:rsidR="00F340D4" w:rsidRPr="00B557E8">
        <w:rPr>
          <w:color w:val="000000" w:themeColor="text1"/>
          <w:szCs w:val="24"/>
        </w:rPr>
        <w:t>m</w:t>
      </w:r>
      <w:r w:rsidR="00200A60" w:rsidRPr="00B557E8">
        <w:rPr>
          <w:color w:val="000000" w:themeColor="text1"/>
          <w:szCs w:val="24"/>
        </w:rPr>
        <w:t>.</w:t>
      </w:r>
    </w:p>
    <w:p w:rsidR="003029D1" w:rsidRPr="00B557E8" w:rsidRDefault="00161556" w:rsidP="00B557E8">
      <w:pPr>
        <w:spacing w:before="120" w:after="120" w:line="276" w:lineRule="auto"/>
        <w:rPr>
          <w:color w:val="000000" w:themeColor="text1"/>
          <w:szCs w:val="24"/>
        </w:rPr>
      </w:pPr>
      <w:r w:rsidRPr="00B557E8">
        <w:rPr>
          <w:color w:val="000000" w:themeColor="text1"/>
          <w:szCs w:val="24"/>
        </w:rPr>
        <w:t xml:space="preserve">Lai arī lielākā daļa ministriju atpaliek no 2011.gada apguves plāniem, vidēji </w:t>
      </w:r>
      <w:r w:rsidR="00084B74" w:rsidRPr="00B557E8">
        <w:rPr>
          <w:color w:val="000000" w:themeColor="text1"/>
          <w:szCs w:val="24"/>
        </w:rPr>
        <w:t xml:space="preserve">apgūstot tikai 73,0% no </w:t>
      </w:r>
      <w:r w:rsidR="006A631E" w:rsidRPr="00B557E8">
        <w:rPr>
          <w:color w:val="000000" w:themeColor="text1"/>
          <w:szCs w:val="24"/>
        </w:rPr>
        <w:t xml:space="preserve">plānotā. Tomēr </w:t>
      </w:r>
      <w:r w:rsidRPr="00B557E8">
        <w:rPr>
          <w:color w:val="000000" w:themeColor="text1"/>
          <w:szCs w:val="24"/>
        </w:rPr>
        <w:t xml:space="preserve">plānots, ka kopumā Latvija izpildīs finanšu apguves 2011.gada saistības pret EK un valdības </w:t>
      </w:r>
      <w:proofErr w:type="spellStart"/>
      <w:r w:rsidRPr="00B557E8">
        <w:rPr>
          <w:color w:val="000000" w:themeColor="text1"/>
          <w:szCs w:val="24"/>
        </w:rPr>
        <w:t>š.g</w:t>
      </w:r>
      <w:proofErr w:type="spellEnd"/>
      <w:r w:rsidRPr="00B557E8">
        <w:rPr>
          <w:color w:val="000000" w:themeColor="text1"/>
          <w:szCs w:val="24"/>
        </w:rPr>
        <w:t>. 8.marta sēdē noteikto ambiciozo apguves</w:t>
      </w:r>
      <w:r w:rsidR="006A631E" w:rsidRPr="00B557E8">
        <w:rPr>
          <w:color w:val="000000" w:themeColor="text1"/>
          <w:szCs w:val="24"/>
        </w:rPr>
        <w:t xml:space="preserve"> </w:t>
      </w:r>
      <w:r w:rsidRPr="00B557E8">
        <w:rPr>
          <w:color w:val="000000" w:themeColor="text1"/>
          <w:szCs w:val="24"/>
        </w:rPr>
        <w:t xml:space="preserve">mērķu neizpilde varētu būt </w:t>
      </w:r>
      <w:r w:rsidR="003F2110" w:rsidRPr="00B557E8">
        <w:rPr>
          <w:color w:val="000000" w:themeColor="text1"/>
          <w:szCs w:val="24"/>
        </w:rPr>
        <w:t>2</w:t>
      </w:r>
      <w:r w:rsidR="00F86F93" w:rsidRPr="00B557E8">
        <w:rPr>
          <w:color w:val="000000" w:themeColor="text1"/>
          <w:szCs w:val="24"/>
        </w:rPr>
        <w:t xml:space="preserve"> – 5</w:t>
      </w:r>
      <w:r w:rsidR="003F2110" w:rsidRPr="00B557E8">
        <w:rPr>
          <w:color w:val="000000" w:themeColor="text1"/>
          <w:szCs w:val="24"/>
        </w:rPr>
        <w:t>%.</w:t>
      </w:r>
      <w:r w:rsidR="003029D1" w:rsidRPr="00B557E8">
        <w:rPr>
          <w:color w:val="000000" w:themeColor="text1"/>
          <w:szCs w:val="24"/>
        </w:rPr>
        <w:t xml:space="preserve"> </w:t>
      </w:r>
      <w:r w:rsidRPr="00B557E8">
        <w:rPr>
          <w:color w:val="000000" w:themeColor="text1"/>
          <w:szCs w:val="24"/>
        </w:rPr>
        <w:t xml:space="preserve">Savukārt no valsts budžetā ieplānotā finansējuma apjoma (648 </w:t>
      </w:r>
      <w:proofErr w:type="spellStart"/>
      <w:r w:rsidRPr="00B557E8">
        <w:rPr>
          <w:color w:val="000000" w:themeColor="text1"/>
          <w:szCs w:val="24"/>
        </w:rPr>
        <w:t>milj</w:t>
      </w:r>
      <w:proofErr w:type="spellEnd"/>
      <w:r w:rsidRPr="00B557E8">
        <w:rPr>
          <w:color w:val="000000" w:themeColor="text1"/>
          <w:szCs w:val="24"/>
        </w:rPr>
        <w:t xml:space="preserve">. latu) neizlietoti varētu palikt apmēram </w:t>
      </w:r>
      <w:r w:rsidR="00A13801" w:rsidRPr="00B557E8">
        <w:rPr>
          <w:color w:val="000000" w:themeColor="text1"/>
          <w:szCs w:val="24"/>
        </w:rPr>
        <w:t>6</w:t>
      </w:r>
      <w:r w:rsidR="00827767" w:rsidRPr="00B557E8">
        <w:rPr>
          <w:color w:val="000000" w:themeColor="text1"/>
          <w:szCs w:val="24"/>
        </w:rPr>
        <w:t>2</w:t>
      </w:r>
      <w:r w:rsidRPr="00B557E8">
        <w:rPr>
          <w:color w:val="000000" w:themeColor="text1"/>
          <w:szCs w:val="24"/>
        </w:rPr>
        <w:t xml:space="preserve"> </w:t>
      </w:r>
      <w:proofErr w:type="spellStart"/>
      <w:r w:rsidRPr="00B557E8">
        <w:rPr>
          <w:color w:val="000000" w:themeColor="text1"/>
          <w:szCs w:val="24"/>
        </w:rPr>
        <w:t>milj</w:t>
      </w:r>
      <w:proofErr w:type="spellEnd"/>
      <w:r w:rsidRPr="00B557E8">
        <w:rPr>
          <w:color w:val="000000" w:themeColor="text1"/>
          <w:szCs w:val="24"/>
        </w:rPr>
        <w:t xml:space="preserve">. latu. </w:t>
      </w:r>
      <w:r w:rsidR="003029D1" w:rsidRPr="00B557E8">
        <w:rPr>
          <w:color w:val="000000" w:themeColor="text1"/>
          <w:szCs w:val="24"/>
        </w:rPr>
        <w:t>Šobrīd lielākā finanšu apguves plānu neizpilde vērojama transporta</w:t>
      </w:r>
      <w:r w:rsidR="008674DE" w:rsidRPr="00B557E8">
        <w:rPr>
          <w:color w:val="000000" w:themeColor="text1"/>
          <w:szCs w:val="24"/>
        </w:rPr>
        <w:t xml:space="preserve"> jomā. </w:t>
      </w:r>
      <w:r w:rsidR="003029D1" w:rsidRPr="00B557E8">
        <w:rPr>
          <w:color w:val="000000" w:themeColor="text1"/>
          <w:szCs w:val="24"/>
        </w:rPr>
        <w:t>Finanšu apguves plānu neizpildes galvenokārt saistītas ar problēmām iepirkumos un to pārsūdzībām.</w:t>
      </w:r>
    </w:p>
    <w:p w:rsidR="00084B74" w:rsidRPr="00B557E8" w:rsidRDefault="00EC312B" w:rsidP="00B557E8">
      <w:pPr>
        <w:spacing w:before="120" w:after="120" w:line="276" w:lineRule="auto"/>
        <w:rPr>
          <w:color w:val="000000" w:themeColor="text1"/>
          <w:szCs w:val="24"/>
        </w:rPr>
      </w:pPr>
      <w:r w:rsidRPr="00B557E8">
        <w:rPr>
          <w:color w:val="000000" w:themeColor="text1"/>
          <w:szCs w:val="24"/>
        </w:rPr>
        <w:t>Galvenās problēmas, kas kavējušas lielo projektu ieviešanu, ir problēmas iepirkumos (</w:t>
      </w:r>
      <w:r w:rsidR="003A7427" w:rsidRPr="00B557E8">
        <w:rPr>
          <w:color w:val="000000" w:themeColor="text1"/>
          <w:szCs w:val="24"/>
        </w:rPr>
        <w:t>piemēram, pārsūdzības projektos „Infrastruktūras attīstība Krievu salā ostas aktivitāšu pārcelšanai no pilsētas centra (Rīgas brīvosta)” un „Rīgas piepilsētas dzelzceļa pasažieru pārvadājumu sistēmas modernizācija un dīzeļvilcienu ritošā sastāva atjaunošana”) un</w:t>
      </w:r>
      <w:r w:rsidRPr="00B557E8">
        <w:rPr>
          <w:color w:val="000000" w:themeColor="text1"/>
          <w:szCs w:val="24"/>
        </w:rPr>
        <w:t xml:space="preserve"> zemju atsavināšanas problēmas</w:t>
      </w:r>
      <w:r w:rsidR="003A7427" w:rsidRPr="00B557E8">
        <w:rPr>
          <w:color w:val="000000" w:themeColor="text1"/>
          <w:szCs w:val="24"/>
        </w:rPr>
        <w:t xml:space="preserve"> („Autoceļa E22 posma Rīga (Tīnūži) – Koknese būvniecība”, „Autoceļa E22 posma Ludza-Terehova būvniecība”). Šo projektu problēmu dēļ ir būtiskas novirzes no finansējuma saņēmēju maksājumu grafika, kas apstiprināts 2010.gadā</w:t>
      </w:r>
      <w:r w:rsidR="00526050" w:rsidRPr="00B557E8">
        <w:rPr>
          <w:color w:val="000000" w:themeColor="text1"/>
          <w:szCs w:val="24"/>
        </w:rPr>
        <w:t xml:space="preserve"> ES fondu uzraudzības komitejā</w:t>
      </w:r>
      <w:r w:rsidR="003A7427" w:rsidRPr="00B557E8">
        <w:rPr>
          <w:color w:val="000000" w:themeColor="text1"/>
          <w:szCs w:val="24"/>
        </w:rPr>
        <w:t xml:space="preserve">. </w:t>
      </w:r>
    </w:p>
    <w:p w:rsidR="006B09FF" w:rsidRPr="00B557E8" w:rsidRDefault="00084B74" w:rsidP="00B557E8">
      <w:pPr>
        <w:pStyle w:val="ListParagraph"/>
        <w:spacing w:before="120" w:after="120"/>
        <w:ind w:left="0"/>
        <w:contextualSpacing w:val="0"/>
        <w:jc w:val="both"/>
        <w:rPr>
          <w:rFonts w:ascii="Times New Roman" w:eastAsia="EUAlbertina-Bold-Identity-H" w:hAnsi="Times New Roman"/>
          <w:color w:val="000000" w:themeColor="text1"/>
          <w:sz w:val="24"/>
          <w:szCs w:val="24"/>
          <w:lang w:eastAsia="lv-LV"/>
        </w:rPr>
      </w:pPr>
      <w:r w:rsidRPr="00B557E8">
        <w:rPr>
          <w:rFonts w:ascii="Times New Roman" w:eastAsia="EUAlbertina-Bold-Identity-H" w:hAnsi="Times New Roman"/>
          <w:color w:val="000000" w:themeColor="text1"/>
          <w:sz w:val="24"/>
          <w:szCs w:val="24"/>
          <w:lang w:eastAsia="lv-LV"/>
        </w:rPr>
        <w:t xml:space="preserve">Līdz ceturkšņa beigām </w:t>
      </w:r>
      <w:r w:rsidR="005D10B3" w:rsidRPr="00B557E8">
        <w:rPr>
          <w:rFonts w:ascii="Times New Roman" w:eastAsia="EUAlbertina-Bold-Identity-H" w:hAnsi="Times New Roman"/>
          <w:color w:val="000000" w:themeColor="text1"/>
          <w:sz w:val="24"/>
          <w:szCs w:val="24"/>
          <w:lang w:eastAsia="lv-LV"/>
        </w:rPr>
        <w:t xml:space="preserve">EK </w:t>
      </w:r>
      <w:r w:rsidRPr="00B557E8">
        <w:rPr>
          <w:rFonts w:ascii="Times New Roman" w:eastAsia="EUAlbertina-Bold-Identity-H" w:hAnsi="Times New Roman"/>
          <w:color w:val="000000" w:themeColor="text1"/>
          <w:sz w:val="24"/>
          <w:szCs w:val="24"/>
          <w:lang w:eastAsia="lv-LV"/>
        </w:rPr>
        <w:t>iesniegti grozījumi</w:t>
      </w:r>
      <w:r w:rsidR="00200A60" w:rsidRPr="00B557E8">
        <w:rPr>
          <w:rFonts w:ascii="Times New Roman" w:eastAsia="EUAlbertina-Bold-Identity-H" w:hAnsi="Times New Roman"/>
          <w:color w:val="000000" w:themeColor="text1"/>
          <w:sz w:val="24"/>
          <w:szCs w:val="24"/>
          <w:lang w:eastAsia="lv-LV"/>
        </w:rPr>
        <w:t xml:space="preserve"> plānošanas dokumentos, lai apstiprinātu ERAF finansējuma pārdali 22,8 </w:t>
      </w:r>
      <w:proofErr w:type="spellStart"/>
      <w:r w:rsidR="00200A60" w:rsidRPr="00B557E8">
        <w:rPr>
          <w:rFonts w:ascii="Times New Roman" w:eastAsia="EUAlbertina-Bold-Identity-H" w:hAnsi="Times New Roman"/>
          <w:color w:val="000000" w:themeColor="text1"/>
          <w:sz w:val="24"/>
          <w:szCs w:val="24"/>
          <w:lang w:eastAsia="lv-LV"/>
        </w:rPr>
        <w:t>milj</w:t>
      </w:r>
      <w:proofErr w:type="spellEnd"/>
      <w:r w:rsidR="00200A60" w:rsidRPr="00B557E8">
        <w:rPr>
          <w:rFonts w:ascii="Times New Roman" w:eastAsia="EUAlbertina-Bold-Identity-H" w:hAnsi="Times New Roman"/>
          <w:color w:val="000000" w:themeColor="text1"/>
          <w:sz w:val="24"/>
          <w:szCs w:val="24"/>
          <w:lang w:eastAsia="lv-LV"/>
        </w:rPr>
        <w:t xml:space="preserve">. latu apmērā </w:t>
      </w:r>
      <w:r w:rsidRPr="00B557E8">
        <w:rPr>
          <w:rFonts w:ascii="Times New Roman" w:eastAsia="EUAlbertina-Bold-Identity-H" w:hAnsi="Times New Roman"/>
          <w:color w:val="000000" w:themeColor="text1"/>
          <w:sz w:val="24"/>
          <w:szCs w:val="24"/>
          <w:lang w:eastAsia="lv-LV"/>
        </w:rPr>
        <w:t>no darbības programmas „Uzņēmējdarbība un inovācijas” uz darbības programmu “Cilvēkresursi un nodarbinātība”,</w:t>
      </w:r>
      <w:r w:rsidR="00200A60" w:rsidRPr="00B557E8">
        <w:rPr>
          <w:rFonts w:ascii="Times New Roman" w:eastAsia="EUAlbertina-Bold-Identity-H" w:hAnsi="Times New Roman"/>
          <w:color w:val="000000" w:themeColor="text1"/>
          <w:sz w:val="24"/>
          <w:szCs w:val="24"/>
          <w:lang w:eastAsia="lv-LV"/>
        </w:rPr>
        <w:t xml:space="preserve"> kā arī citas iekšējās pārdales,</w:t>
      </w:r>
      <w:r w:rsidRPr="00B557E8">
        <w:rPr>
          <w:rFonts w:ascii="Times New Roman" w:eastAsia="EUAlbertina-Bold-Identity-H" w:hAnsi="Times New Roman"/>
          <w:color w:val="000000" w:themeColor="text1"/>
          <w:sz w:val="24"/>
          <w:szCs w:val="24"/>
          <w:lang w:eastAsia="lv-LV"/>
        </w:rPr>
        <w:t xml:space="preserve"> tās aktīvo darba tirgus pasākum</w:t>
      </w:r>
      <w:r w:rsidR="00200A60" w:rsidRPr="00B557E8">
        <w:rPr>
          <w:rFonts w:ascii="Times New Roman" w:eastAsia="EUAlbertina-Bold-Identity-H" w:hAnsi="Times New Roman"/>
          <w:color w:val="000000" w:themeColor="text1"/>
          <w:sz w:val="24"/>
          <w:szCs w:val="24"/>
          <w:lang w:eastAsia="lv-LV"/>
        </w:rPr>
        <w:t>u īstenošanai 2012.</w:t>
      </w:r>
      <w:r w:rsidR="00F86F93" w:rsidRPr="00B557E8">
        <w:rPr>
          <w:rFonts w:ascii="Times New Roman" w:eastAsia="EUAlbertina-Bold-Identity-H" w:hAnsi="Times New Roman"/>
          <w:color w:val="000000" w:themeColor="text1"/>
          <w:sz w:val="24"/>
          <w:szCs w:val="24"/>
          <w:lang w:eastAsia="lv-LV"/>
        </w:rPr>
        <w:t xml:space="preserve"> </w:t>
      </w:r>
      <w:r w:rsidR="00200A60" w:rsidRPr="00B557E8">
        <w:rPr>
          <w:rFonts w:ascii="Times New Roman" w:eastAsia="EUAlbertina-Bold-Identity-H" w:hAnsi="Times New Roman"/>
          <w:color w:val="000000" w:themeColor="text1"/>
          <w:sz w:val="24"/>
          <w:szCs w:val="24"/>
          <w:lang w:eastAsia="lv-LV"/>
        </w:rPr>
        <w:t>un 2013.gadā</w:t>
      </w:r>
      <w:r w:rsidR="002C2536" w:rsidRPr="00B557E8">
        <w:rPr>
          <w:rFonts w:ascii="Times New Roman" w:eastAsia="EUAlbertina-Bold-Identity-H" w:hAnsi="Times New Roman"/>
          <w:color w:val="000000" w:themeColor="text1"/>
          <w:sz w:val="24"/>
          <w:szCs w:val="24"/>
          <w:lang w:eastAsia="lv-LV"/>
        </w:rPr>
        <w:t>, kopā</w:t>
      </w:r>
      <w:r w:rsidR="00200A60" w:rsidRPr="00B557E8">
        <w:rPr>
          <w:rFonts w:ascii="Times New Roman" w:eastAsia="EUAlbertina-Bold-Identity-H" w:hAnsi="Times New Roman"/>
          <w:color w:val="000000" w:themeColor="text1"/>
          <w:sz w:val="24"/>
          <w:szCs w:val="24"/>
          <w:lang w:eastAsia="lv-LV"/>
        </w:rPr>
        <w:t xml:space="preserve"> </w:t>
      </w:r>
      <w:r w:rsidR="002C2536" w:rsidRPr="00B557E8">
        <w:rPr>
          <w:rFonts w:ascii="Times New Roman" w:eastAsia="EUAlbertina-Bold-Identity-H" w:hAnsi="Times New Roman"/>
          <w:color w:val="000000" w:themeColor="text1"/>
          <w:sz w:val="24"/>
          <w:szCs w:val="24"/>
          <w:lang w:eastAsia="lv-LV"/>
        </w:rPr>
        <w:t xml:space="preserve">37,1 </w:t>
      </w:r>
      <w:proofErr w:type="spellStart"/>
      <w:r w:rsidR="002C2536" w:rsidRPr="00B557E8">
        <w:rPr>
          <w:rFonts w:ascii="Times New Roman" w:eastAsia="EUAlbertina-Bold-Identity-H" w:hAnsi="Times New Roman"/>
          <w:color w:val="000000" w:themeColor="text1"/>
          <w:sz w:val="24"/>
          <w:szCs w:val="24"/>
          <w:lang w:eastAsia="lv-LV"/>
        </w:rPr>
        <w:t>milj</w:t>
      </w:r>
      <w:proofErr w:type="spellEnd"/>
      <w:r w:rsidR="002C2536" w:rsidRPr="00B557E8">
        <w:rPr>
          <w:rFonts w:ascii="Times New Roman" w:eastAsia="EUAlbertina-Bold-Identity-H" w:hAnsi="Times New Roman"/>
          <w:color w:val="000000" w:themeColor="text1"/>
          <w:sz w:val="24"/>
          <w:szCs w:val="24"/>
          <w:lang w:eastAsia="lv-LV"/>
        </w:rPr>
        <w:t>. latu apmērā.</w:t>
      </w:r>
      <w:r w:rsidR="009E52C6" w:rsidRPr="00B557E8">
        <w:rPr>
          <w:rFonts w:ascii="Times New Roman" w:eastAsia="EUAlbertina-Bold-Identity-H" w:hAnsi="Times New Roman"/>
          <w:color w:val="000000" w:themeColor="text1"/>
          <w:sz w:val="24"/>
          <w:szCs w:val="24"/>
          <w:lang w:eastAsia="lv-LV"/>
        </w:rPr>
        <w:t xml:space="preserve"> </w:t>
      </w:r>
      <w:r w:rsidR="00E21D24" w:rsidRPr="00B557E8">
        <w:rPr>
          <w:rFonts w:ascii="Times New Roman" w:eastAsia="EUAlbertina-Bold-Identity-H" w:hAnsi="Times New Roman"/>
          <w:color w:val="000000" w:themeColor="text1"/>
          <w:sz w:val="24"/>
          <w:szCs w:val="24"/>
          <w:lang w:eastAsia="lv-LV"/>
        </w:rPr>
        <w:t>Veikta</w:t>
      </w:r>
      <w:r w:rsidR="009946D9" w:rsidRPr="00B557E8">
        <w:rPr>
          <w:rFonts w:ascii="Times New Roman" w:eastAsia="EUAlbertina-Bold-Identity-H" w:hAnsi="Times New Roman"/>
          <w:color w:val="000000" w:themeColor="text1"/>
          <w:sz w:val="24"/>
          <w:szCs w:val="24"/>
          <w:lang w:eastAsia="lv-LV"/>
        </w:rPr>
        <w:t xml:space="preserve"> arī</w:t>
      </w:r>
      <w:r w:rsidRPr="00B557E8">
        <w:rPr>
          <w:rFonts w:ascii="Times New Roman" w:eastAsia="EUAlbertina-Bold-Identity-H" w:hAnsi="Times New Roman"/>
          <w:color w:val="000000" w:themeColor="text1"/>
          <w:sz w:val="24"/>
          <w:szCs w:val="24"/>
          <w:lang w:eastAsia="lv-LV"/>
        </w:rPr>
        <w:t xml:space="preserve"> ES fondu līdzekļu pārstrukturēšan</w:t>
      </w:r>
      <w:r w:rsidR="009E52C6" w:rsidRPr="00B557E8">
        <w:rPr>
          <w:rFonts w:ascii="Times New Roman" w:eastAsia="EUAlbertina-Bold-Identity-H" w:hAnsi="Times New Roman"/>
          <w:color w:val="000000" w:themeColor="text1"/>
          <w:sz w:val="24"/>
          <w:szCs w:val="24"/>
          <w:lang w:eastAsia="lv-LV"/>
        </w:rPr>
        <w:t xml:space="preserve">a, </w:t>
      </w:r>
      <w:r w:rsidRPr="00B557E8">
        <w:rPr>
          <w:rFonts w:ascii="Times New Roman" w:eastAsia="EUAlbertina-Bold-Identity-H" w:hAnsi="Times New Roman"/>
          <w:color w:val="000000" w:themeColor="text1"/>
          <w:sz w:val="24"/>
          <w:szCs w:val="24"/>
          <w:lang w:eastAsia="lv-LV"/>
        </w:rPr>
        <w:t>to efektīv</w:t>
      </w:r>
      <w:r w:rsidR="009E52C6" w:rsidRPr="00B557E8">
        <w:rPr>
          <w:rFonts w:ascii="Times New Roman" w:eastAsia="EUAlbertina-Bold-Identity-H" w:hAnsi="Times New Roman"/>
          <w:color w:val="000000" w:themeColor="text1"/>
          <w:sz w:val="24"/>
          <w:szCs w:val="24"/>
          <w:lang w:eastAsia="lv-LV"/>
        </w:rPr>
        <w:t>a</w:t>
      </w:r>
      <w:r w:rsidRPr="00B557E8">
        <w:rPr>
          <w:rFonts w:ascii="Times New Roman" w:eastAsia="EUAlbertina-Bold-Identity-H" w:hAnsi="Times New Roman"/>
          <w:color w:val="000000" w:themeColor="text1"/>
          <w:sz w:val="24"/>
          <w:szCs w:val="24"/>
          <w:lang w:eastAsia="lv-LV"/>
        </w:rPr>
        <w:t xml:space="preserve"> </w:t>
      </w:r>
      <w:r w:rsidR="009E52C6" w:rsidRPr="00B557E8">
        <w:rPr>
          <w:rFonts w:ascii="Times New Roman" w:eastAsia="EUAlbertina-Bold-Identity-H" w:hAnsi="Times New Roman"/>
          <w:color w:val="000000" w:themeColor="text1"/>
          <w:sz w:val="24"/>
          <w:szCs w:val="24"/>
          <w:lang w:eastAsia="lv-LV"/>
        </w:rPr>
        <w:t xml:space="preserve">ieguldījumu </w:t>
      </w:r>
      <w:r w:rsidRPr="00B557E8">
        <w:rPr>
          <w:rFonts w:ascii="Times New Roman" w:eastAsia="EUAlbertina-Bold-Identity-H" w:hAnsi="Times New Roman"/>
          <w:color w:val="000000" w:themeColor="text1"/>
          <w:sz w:val="24"/>
          <w:szCs w:val="24"/>
          <w:lang w:eastAsia="lv-LV"/>
        </w:rPr>
        <w:t>novirzīšan</w:t>
      </w:r>
      <w:r w:rsidR="009E52C6" w:rsidRPr="00B557E8">
        <w:rPr>
          <w:rFonts w:ascii="Times New Roman" w:eastAsia="EUAlbertina-Bold-Identity-H" w:hAnsi="Times New Roman"/>
          <w:color w:val="000000" w:themeColor="text1"/>
          <w:sz w:val="24"/>
          <w:szCs w:val="24"/>
          <w:lang w:eastAsia="lv-LV"/>
        </w:rPr>
        <w:t>a</w:t>
      </w:r>
      <w:r w:rsidRPr="00B557E8">
        <w:rPr>
          <w:rFonts w:ascii="Times New Roman" w:eastAsia="EUAlbertina-Bold-Identity-H" w:hAnsi="Times New Roman"/>
          <w:color w:val="000000" w:themeColor="text1"/>
          <w:sz w:val="24"/>
          <w:szCs w:val="24"/>
          <w:lang w:eastAsia="lv-LV"/>
        </w:rPr>
        <w:t xml:space="preserve"> tautsai</w:t>
      </w:r>
      <w:r w:rsidR="009E52C6" w:rsidRPr="00B557E8">
        <w:rPr>
          <w:rFonts w:ascii="Times New Roman" w:eastAsia="EUAlbertina-Bold-Identity-H" w:hAnsi="Times New Roman"/>
          <w:color w:val="000000" w:themeColor="text1"/>
          <w:sz w:val="24"/>
          <w:szCs w:val="24"/>
          <w:lang w:eastAsia="lv-LV"/>
        </w:rPr>
        <w:t xml:space="preserve">mniecībā, </w:t>
      </w:r>
      <w:proofErr w:type="spellStart"/>
      <w:r w:rsidR="009946D9" w:rsidRPr="00B557E8">
        <w:rPr>
          <w:rFonts w:ascii="Times New Roman" w:eastAsia="EUAlbertina-Bold-Identity-H" w:hAnsi="Times New Roman"/>
          <w:color w:val="000000" w:themeColor="text1"/>
          <w:sz w:val="24"/>
          <w:szCs w:val="24"/>
          <w:lang w:eastAsia="lv-LV"/>
        </w:rPr>
        <w:t>t.sk</w:t>
      </w:r>
      <w:proofErr w:type="spellEnd"/>
      <w:r w:rsidR="009946D9" w:rsidRPr="00B557E8">
        <w:rPr>
          <w:rFonts w:ascii="Times New Roman" w:eastAsia="EUAlbertina-Bold-Identity-H" w:hAnsi="Times New Roman"/>
          <w:color w:val="000000" w:themeColor="text1"/>
          <w:sz w:val="24"/>
          <w:szCs w:val="24"/>
          <w:lang w:eastAsia="lv-LV"/>
        </w:rPr>
        <w:t>.</w:t>
      </w:r>
      <w:r w:rsidR="009E52C6" w:rsidRPr="00B557E8">
        <w:rPr>
          <w:rFonts w:ascii="Times New Roman" w:eastAsia="EUAlbertina-Bold-Identity-H" w:hAnsi="Times New Roman"/>
          <w:color w:val="000000" w:themeColor="text1"/>
          <w:sz w:val="24"/>
          <w:szCs w:val="24"/>
          <w:lang w:eastAsia="lv-LV"/>
        </w:rPr>
        <w:t xml:space="preserve"> </w:t>
      </w:r>
      <w:r w:rsidRPr="00B557E8">
        <w:rPr>
          <w:rFonts w:ascii="Times New Roman" w:eastAsia="EUAlbertina-Bold-Identity-H" w:hAnsi="Times New Roman"/>
          <w:color w:val="000000" w:themeColor="text1"/>
          <w:sz w:val="24"/>
          <w:szCs w:val="24"/>
          <w:lang w:eastAsia="lv-LV"/>
        </w:rPr>
        <w:t>pārskata periodā pārdalīts papildu ERAF finansējums mājokļu sil</w:t>
      </w:r>
      <w:bookmarkStart w:id="9" w:name="_Toc276049970"/>
      <w:bookmarkStart w:id="10" w:name="_Toc283655975"/>
      <w:r w:rsidR="009E52C6" w:rsidRPr="00B557E8">
        <w:rPr>
          <w:rFonts w:ascii="Times New Roman" w:eastAsia="EUAlbertina-Bold-Identity-H" w:hAnsi="Times New Roman"/>
          <w:color w:val="000000" w:themeColor="text1"/>
          <w:sz w:val="24"/>
          <w:szCs w:val="24"/>
          <w:lang w:eastAsia="lv-LV"/>
        </w:rPr>
        <w:t>tināšanai.</w:t>
      </w:r>
    </w:p>
    <w:p w:rsidR="009E52C6" w:rsidRPr="00B557E8" w:rsidRDefault="00DA1BEE" w:rsidP="00B557E8">
      <w:pPr>
        <w:spacing w:before="120" w:after="120" w:line="276" w:lineRule="auto"/>
        <w:rPr>
          <w:color w:val="000000" w:themeColor="text1"/>
          <w:szCs w:val="24"/>
        </w:rPr>
      </w:pPr>
      <w:r w:rsidRPr="00B557E8">
        <w:rPr>
          <w:color w:val="000000" w:themeColor="text1"/>
          <w:szCs w:val="24"/>
        </w:rPr>
        <w:t xml:space="preserve">Pēc </w:t>
      </w:r>
      <w:proofErr w:type="spellStart"/>
      <w:r w:rsidRPr="00B557E8">
        <w:rPr>
          <w:color w:val="000000" w:themeColor="text1"/>
          <w:szCs w:val="24"/>
        </w:rPr>
        <w:t>š.g</w:t>
      </w:r>
      <w:proofErr w:type="spellEnd"/>
      <w:r w:rsidRPr="00B557E8">
        <w:rPr>
          <w:color w:val="000000" w:themeColor="text1"/>
          <w:szCs w:val="24"/>
        </w:rPr>
        <w:t xml:space="preserve">. 15.septembrī notikušās ES fondu uzraudzības komitejas fiksēta EK </w:t>
      </w:r>
      <w:r w:rsidR="009E52C6" w:rsidRPr="00B557E8">
        <w:rPr>
          <w:color w:val="000000" w:themeColor="text1"/>
          <w:szCs w:val="24"/>
        </w:rPr>
        <w:t xml:space="preserve">stingra </w:t>
      </w:r>
      <w:r w:rsidRPr="00B557E8">
        <w:rPr>
          <w:color w:val="000000" w:themeColor="text1"/>
          <w:szCs w:val="24"/>
        </w:rPr>
        <w:t>nostāja par to, ka šobrīd apstiprināšanā esoš</w:t>
      </w:r>
      <w:r w:rsidR="000E457B" w:rsidRPr="00B557E8">
        <w:rPr>
          <w:color w:val="000000" w:themeColor="text1"/>
          <w:szCs w:val="24"/>
        </w:rPr>
        <w:t>ajie</w:t>
      </w:r>
      <w:r w:rsidR="009E52C6" w:rsidRPr="00B557E8">
        <w:rPr>
          <w:color w:val="000000" w:themeColor="text1"/>
          <w:szCs w:val="24"/>
        </w:rPr>
        <w:t>m darbības programmu grozījumiem</w:t>
      </w:r>
      <w:r w:rsidRPr="00B557E8">
        <w:rPr>
          <w:color w:val="000000" w:themeColor="text1"/>
          <w:szCs w:val="24"/>
        </w:rPr>
        <w:t xml:space="preserve"> </w:t>
      </w:r>
      <w:r w:rsidR="009E52C6" w:rsidRPr="00B557E8">
        <w:rPr>
          <w:color w:val="000000" w:themeColor="text1"/>
          <w:szCs w:val="24"/>
        </w:rPr>
        <w:t>jābūt pēdējiem līdz plānošanas perioda beigām.</w:t>
      </w:r>
    </w:p>
    <w:p w:rsidR="0098368C" w:rsidRPr="00B557E8" w:rsidRDefault="00EC3FF5"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2007.-2013.gada plānošanas periodā līdz 2011.gada 30.septembrim konstatēto neatbilstību summa ir </w:t>
      </w:r>
      <w:r w:rsidR="00E24408" w:rsidRPr="00B557E8">
        <w:rPr>
          <w:rFonts w:eastAsia="EUAlbertina-Bold-Identity-H"/>
          <w:color w:val="000000" w:themeColor="text1"/>
          <w:szCs w:val="24"/>
          <w:lang w:eastAsia="lv-LV"/>
        </w:rPr>
        <w:t>9,7</w:t>
      </w:r>
      <w:r w:rsidRPr="00B557E8">
        <w:rPr>
          <w:rFonts w:eastAsia="EUAlbertina-Bold-Identity-H"/>
          <w:color w:val="000000" w:themeColor="text1"/>
          <w:szCs w:val="24"/>
          <w:lang w:eastAsia="lv-LV"/>
        </w:rPr>
        <w:t xml:space="preserve">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xml:space="preserve">. latu jeb </w:t>
      </w:r>
      <w:r w:rsidR="00E24408" w:rsidRPr="00B557E8">
        <w:rPr>
          <w:rFonts w:eastAsia="EUAlbertina-Bold-Identity-H"/>
          <w:color w:val="000000" w:themeColor="text1"/>
          <w:szCs w:val="24"/>
          <w:lang w:eastAsia="lv-LV"/>
        </w:rPr>
        <w:t>0,7</w:t>
      </w:r>
      <w:r w:rsidRPr="00B557E8">
        <w:rPr>
          <w:rFonts w:eastAsia="EUAlbertina-Bold-Identity-H"/>
          <w:color w:val="000000" w:themeColor="text1"/>
          <w:szCs w:val="24"/>
          <w:lang w:eastAsia="lv-LV"/>
        </w:rPr>
        <w:t>% no kopējā finansējuma saņēmēju piep</w:t>
      </w:r>
      <w:r w:rsidR="00F86F93" w:rsidRPr="00B557E8">
        <w:rPr>
          <w:rFonts w:eastAsia="EUAlbertina-Bold-Identity-H"/>
          <w:color w:val="000000" w:themeColor="text1"/>
          <w:szCs w:val="24"/>
          <w:lang w:eastAsia="lv-LV"/>
        </w:rPr>
        <w:t>rasītā finansējuma (1,3 miljardi</w:t>
      </w:r>
      <w:r w:rsidRPr="00B557E8">
        <w:rPr>
          <w:rFonts w:eastAsia="EUAlbertina-Bold-Identity-H"/>
          <w:color w:val="000000" w:themeColor="text1"/>
          <w:szCs w:val="24"/>
          <w:lang w:eastAsia="lv-LV"/>
        </w:rPr>
        <w:t xml:space="preserve"> latu). </w:t>
      </w:r>
      <w:r w:rsidR="00F8147A" w:rsidRPr="00B557E8">
        <w:rPr>
          <w:rFonts w:eastAsia="EUAlbertina-Bold-Identity-H"/>
          <w:color w:val="000000" w:themeColor="text1"/>
          <w:szCs w:val="24"/>
          <w:lang w:eastAsia="lv-LV"/>
        </w:rPr>
        <w:t>Salīdzinājumā ar konstatētajām neatbilstībām līdz 2011.gada otrā ceturkšņa beigām neatbilstību apjoms līdz  2011.gada trešā ceturkšņa beigām ir pieaudzis</w:t>
      </w:r>
      <w:r w:rsidR="00470990" w:rsidRPr="00B557E8">
        <w:rPr>
          <w:rFonts w:eastAsia="EUAlbertina-Bold-Identity-H"/>
          <w:color w:val="000000" w:themeColor="text1"/>
          <w:szCs w:val="24"/>
          <w:lang w:eastAsia="lv-LV"/>
        </w:rPr>
        <w:t xml:space="preserve"> par</w:t>
      </w:r>
      <w:r w:rsidR="00F8147A" w:rsidRPr="00B557E8">
        <w:rPr>
          <w:rFonts w:eastAsia="EUAlbertina-Bold-Identity-H"/>
          <w:color w:val="000000" w:themeColor="text1"/>
          <w:szCs w:val="24"/>
          <w:lang w:eastAsia="lv-LV"/>
        </w:rPr>
        <w:t xml:space="preserve"> </w:t>
      </w:r>
      <w:r w:rsidR="00470990" w:rsidRPr="00B557E8">
        <w:rPr>
          <w:rFonts w:eastAsia="EUAlbertina-Bold-Identity-H"/>
          <w:color w:val="000000" w:themeColor="text1"/>
          <w:szCs w:val="24"/>
          <w:lang w:eastAsia="lv-LV"/>
        </w:rPr>
        <w:t xml:space="preserve">1,8 </w:t>
      </w:r>
      <w:proofErr w:type="spellStart"/>
      <w:r w:rsidR="00470990" w:rsidRPr="00B557E8">
        <w:rPr>
          <w:rFonts w:eastAsia="EUAlbertina-Bold-Identity-H"/>
          <w:color w:val="000000" w:themeColor="text1"/>
          <w:szCs w:val="24"/>
          <w:lang w:eastAsia="lv-LV"/>
        </w:rPr>
        <w:t>milj</w:t>
      </w:r>
      <w:proofErr w:type="spellEnd"/>
      <w:r w:rsidR="00470990" w:rsidRPr="00B557E8">
        <w:rPr>
          <w:rFonts w:eastAsia="EUAlbertina-Bold-Identity-H"/>
          <w:color w:val="000000" w:themeColor="text1"/>
          <w:szCs w:val="24"/>
          <w:lang w:eastAsia="lv-LV"/>
        </w:rPr>
        <w:t>. latu jeb 59,5%.</w:t>
      </w:r>
      <w:r w:rsidR="00F8147A" w:rsidRPr="00B557E8">
        <w:rPr>
          <w:rFonts w:eastAsia="EUAlbertina-Bold-Identity-H"/>
          <w:color w:val="000000" w:themeColor="text1"/>
          <w:szCs w:val="24"/>
          <w:lang w:eastAsia="lv-LV"/>
        </w:rPr>
        <w:t xml:space="preserve">. Tas skaidrojams ar neatbilstību konstatēšanu finansiāli apjomīgos projektos, un to, ka šajā ceturksnī ievērojamam skaitam projektu veiktas maksājumu pārbaudes. </w:t>
      </w:r>
      <w:r w:rsidRPr="00B557E8">
        <w:rPr>
          <w:rFonts w:eastAsia="EUAlbertina-Bold-Identity-H"/>
          <w:color w:val="000000" w:themeColor="text1"/>
          <w:szCs w:val="24"/>
          <w:lang w:eastAsia="lv-LV"/>
        </w:rPr>
        <w:t xml:space="preserve">Kopumā secināms, ka būtiskākie neatbilstību rašanās iemesli joprojām ir pārkāpumi publiskā iepirkuma procedūrās, finansējuma saņēmēju saimnieciskās darbības neveikšana, kā arī aktivitāšu </w:t>
      </w:r>
      <w:r w:rsidRPr="00B557E8">
        <w:rPr>
          <w:rFonts w:eastAsia="EUAlbertina-Bold-Identity-H"/>
          <w:color w:val="000000" w:themeColor="text1"/>
          <w:szCs w:val="24"/>
          <w:lang w:eastAsia="lv-LV"/>
        </w:rPr>
        <w:lastRenderedPageBreak/>
        <w:t>īstenošanas</w:t>
      </w:r>
      <w:r w:rsidR="0098368C" w:rsidRPr="00B557E8">
        <w:rPr>
          <w:color w:val="000000" w:themeColor="text1"/>
          <w:szCs w:val="24"/>
        </w:rPr>
        <w:t xml:space="preserve"> </w:t>
      </w:r>
      <w:r w:rsidR="0098368C" w:rsidRPr="00B557E8">
        <w:rPr>
          <w:rFonts w:eastAsia="EUAlbertina-Bold-Identity-H"/>
          <w:color w:val="000000" w:themeColor="text1"/>
          <w:szCs w:val="24"/>
          <w:lang w:eastAsia="lv-LV"/>
        </w:rPr>
        <w:t>vai projekta</w:t>
      </w:r>
      <w:r w:rsidRPr="00B557E8">
        <w:rPr>
          <w:rFonts w:eastAsia="EUAlbertina-Bold-Identity-H"/>
          <w:color w:val="000000" w:themeColor="text1"/>
          <w:szCs w:val="24"/>
          <w:lang w:eastAsia="lv-LV"/>
        </w:rPr>
        <w:t xml:space="preserve"> nosacījumu </w:t>
      </w:r>
      <w:r w:rsidR="0098368C" w:rsidRPr="00B557E8">
        <w:rPr>
          <w:rFonts w:eastAsia="EUAlbertina-Bold-Identity-H"/>
          <w:color w:val="000000" w:themeColor="text1"/>
          <w:szCs w:val="24"/>
          <w:lang w:eastAsia="lv-LV"/>
        </w:rPr>
        <w:t>neizpilde</w:t>
      </w:r>
      <w:r w:rsidRPr="00B557E8">
        <w:rPr>
          <w:rFonts w:eastAsia="EUAlbertina-Bold-Identity-H"/>
          <w:color w:val="000000" w:themeColor="text1"/>
          <w:szCs w:val="24"/>
          <w:lang w:eastAsia="lv-LV"/>
        </w:rPr>
        <w:t>, tāpēc</w:t>
      </w:r>
      <w:r w:rsidR="0098368C" w:rsidRPr="00B557E8">
        <w:rPr>
          <w:rFonts w:eastAsia="EUAlbertina-Bold-Identity-H"/>
          <w:color w:val="000000" w:themeColor="text1"/>
          <w:szCs w:val="24"/>
          <w:lang w:eastAsia="lv-LV"/>
        </w:rPr>
        <w:t xml:space="preserve">, </w:t>
      </w:r>
      <w:r w:rsidR="00F86F93" w:rsidRPr="00B557E8">
        <w:rPr>
          <w:rFonts w:eastAsia="EUAlbertina-Bold-Identity-H"/>
          <w:color w:val="000000" w:themeColor="text1"/>
          <w:szCs w:val="24"/>
          <w:lang w:eastAsia="lv-LV"/>
        </w:rPr>
        <w:t xml:space="preserve">sākot ar 2012.gadu </w:t>
      </w:r>
      <w:r w:rsidRPr="00B557E8">
        <w:rPr>
          <w:rFonts w:eastAsia="EUAlbertina-Bold-Identity-H"/>
          <w:color w:val="000000" w:themeColor="text1"/>
          <w:szCs w:val="24"/>
          <w:lang w:eastAsia="lv-LV"/>
        </w:rPr>
        <w:t xml:space="preserve">plānots pastiprināt iepirkuma </w:t>
      </w:r>
      <w:proofErr w:type="spellStart"/>
      <w:r w:rsidRPr="00B557E8">
        <w:rPr>
          <w:rFonts w:eastAsia="EUAlbertina-Bold-Identity-H"/>
          <w:color w:val="000000" w:themeColor="text1"/>
          <w:szCs w:val="24"/>
          <w:lang w:eastAsia="lv-LV"/>
        </w:rPr>
        <w:t>pirmspārbaužu</w:t>
      </w:r>
      <w:proofErr w:type="spellEnd"/>
      <w:r w:rsidRPr="00B557E8">
        <w:rPr>
          <w:rFonts w:eastAsia="EUAlbertina-Bold-Identity-H"/>
          <w:color w:val="000000" w:themeColor="text1"/>
          <w:szCs w:val="24"/>
          <w:lang w:eastAsia="lv-LV"/>
        </w:rPr>
        <w:t xml:space="preserve"> kontroles. </w:t>
      </w:r>
    </w:p>
    <w:p w:rsidR="00EC3FF5" w:rsidRPr="00B557E8" w:rsidRDefault="0098368C" w:rsidP="00B557E8">
      <w:pPr>
        <w:spacing w:before="120" w:after="120" w:line="276" w:lineRule="auto"/>
        <w:rPr>
          <w:color w:val="000000" w:themeColor="text1"/>
          <w:szCs w:val="24"/>
        </w:rPr>
      </w:pPr>
      <w:proofErr w:type="spellStart"/>
      <w:r w:rsidRPr="00B557E8">
        <w:rPr>
          <w:color w:val="000000" w:themeColor="text1"/>
          <w:szCs w:val="24"/>
        </w:rPr>
        <w:t>Š.g</w:t>
      </w:r>
      <w:proofErr w:type="spellEnd"/>
      <w:r w:rsidRPr="00B557E8">
        <w:rPr>
          <w:color w:val="000000" w:themeColor="text1"/>
          <w:szCs w:val="24"/>
        </w:rPr>
        <w:t xml:space="preserve">. 6. oktobrī EK publicēja ES fondu regulu priekšlikumus 2014.-2020.gada plānošanas periodam. FM ir sagatavojusi laika grafiku darbam ar Kohēzijas politikas nākotnes jautājumiem, saskaņā ar kuru nākamajā ceturksnī plānots aktīvi risināt Latvijai svarīgos jautājumus Kohēzijas politikas ietvaros, sagatavojot sākotnējās pozīcijas par regulu priekšlikumiem un paust Latvijas nostāju Neformālajā ministru sanāksmē, kas norisināsies </w:t>
      </w:r>
      <w:proofErr w:type="spellStart"/>
      <w:r w:rsidRPr="00B557E8">
        <w:rPr>
          <w:color w:val="000000" w:themeColor="text1"/>
          <w:szCs w:val="24"/>
        </w:rPr>
        <w:t>š.g</w:t>
      </w:r>
      <w:proofErr w:type="spellEnd"/>
      <w:r w:rsidRPr="00B557E8">
        <w:rPr>
          <w:color w:val="000000" w:themeColor="text1"/>
          <w:szCs w:val="24"/>
        </w:rPr>
        <w:t>. 24. – 25.novembrī.</w:t>
      </w:r>
    </w:p>
    <w:p w:rsidR="0098368C" w:rsidRPr="00B557E8" w:rsidRDefault="0098368C" w:rsidP="00B557E8">
      <w:pPr>
        <w:spacing w:before="120" w:after="120" w:line="276" w:lineRule="auto"/>
        <w:rPr>
          <w:color w:val="000000" w:themeColor="text1"/>
          <w:szCs w:val="24"/>
        </w:rPr>
      </w:pPr>
      <w:r w:rsidRPr="00B557E8">
        <w:rPr>
          <w:color w:val="000000" w:themeColor="text1"/>
          <w:szCs w:val="24"/>
        </w:rPr>
        <w:t xml:space="preserve">Notiek aktīva gatavošanās EEZ finanšu instrumenta un Norvēģijas finanšu instrumenta 2009.-2014.gada plānošanas perioda finansējuma apguves uzsākšanai. Ministrijas, kas ir programmu apsaimniekotāji, izstrādā programmu iesniegumu projektus. Pēc programmu iesniegumu projektu atbalstīšanas MK, programmu iesniegumu projekti tiks virzīti iesniegšanai </w:t>
      </w:r>
      <w:proofErr w:type="spellStart"/>
      <w:r w:rsidRPr="00B557E8">
        <w:rPr>
          <w:color w:val="000000" w:themeColor="text1"/>
          <w:szCs w:val="24"/>
        </w:rPr>
        <w:t>donorvalstīm</w:t>
      </w:r>
      <w:proofErr w:type="spellEnd"/>
      <w:r w:rsidRPr="00B557E8">
        <w:rPr>
          <w:color w:val="000000" w:themeColor="text1"/>
          <w:szCs w:val="24"/>
        </w:rPr>
        <w:t xml:space="preserve">, un plānots, ka Latvija būs viena no pirmajām saņēmējvalstīm, kas </w:t>
      </w:r>
      <w:r w:rsidR="00F224CC" w:rsidRPr="00B557E8">
        <w:rPr>
          <w:color w:val="000000" w:themeColor="text1"/>
          <w:szCs w:val="24"/>
        </w:rPr>
        <w:t xml:space="preserve">to izdarīs. Tomēr, ņemot vērā to, </w:t>
      </w:r>
      <w:r w:rsidRPr="00B557E8">
        <w:rPr>
          <w:color w:val="000000" w:themeColor="text1"/>
          <w:szCs w:val="24"/>
        </w:rPr>
        <w:t xml:space="preserve">ka gandrīz visās programmās ir iesaistīti </w:t>
      </w:r>
      <w:proofErr w:type="spellStart"/>
      <w:r w:rsidRPr="00B557E8">
        <w:rPr>
          <w:color w:val="000000" w:themeColor="text1"/>
          <w:szCs w:val="24"/>
        </w:rPr>
        <w:t>donorvalstu</w:t>
      </w:r>
      <w:proofErr w:type="spellEnd"/>
      <w:r w:rsidRPr="00B557E8">
        <w:rPr>
          <w:color w:val="000000" w:themeColor="text1"/>
          <w:szCs w:val="24"/>
        </w:rPr>
        <w:t xml:space="preserve"> partneri, programmu apsaimniekotāji kavē termiņus programmu iesniegumu projektu iesniegšanai VSS un MK, līdz ar to paliek arvien mazāk laika programmu iesniegumu iesniegšanai </w:t>
      </w:r>
      <w:proofErr w:type="spellStart"/>
      <w:r w:rsidRPr="00B557E8">
        <w:rPr>
          <w:color w:val="000000" w:themeColor="text1"/>
          <w:szCs w:val="24"/>
        </w:rPr>
        <w:t>donorvalstīm</w:t>
      </w:r>
      <w:proofErr w:type="spellEnd"/>
      <w:r w:rsidRPr="00B557E8">
        <w:rPr>
          <w:color w:val="000000" w:themeColor="text1"/>
          <w:szCs w:val="24"/>
        </w:rPr>
        <w:t xml:space="preserve"> (saskaņā ar </w:t>
      </w:r>
      <w:proofErr w:type="spellStart"/>
      <w:r w:rsidRPr="00B557E8">
        <w:rPr>
          <w:color w:val="000000" w:themeColor="text1"/>
          <w:szCs w:val="24"/>
        </w:rPr>
        <w:t>donorvalstu</w:t>
      </w:r>
      <w:proofErr w:type="spellEnd"/>
      <w:r w:rsidRPr="00B557E8">
        <w:rPr>
          <w:color w:val="000000" w:themeColor="text1"/>
          <w:szCs w:val="24"/>
        </w:rPr>
        <w:t xml:space="preserve"> noteikumiem Norvēģijas finanšu instrumentam iesniegšanas termiņš ir </w:t>
      </w:r>
      <w:proofErr w:type="spellStart"/>
      <w:r w:rsidRPr="00B557E8">
        <w:rPr>
          <w:color w:val="000000" w:themeColor="text1"/>
          <w:szCs w:val="24"/>
        </w:rPr>
        <w:t>š.g</w:t>
      </w:r>
      <w:proofErr w:type="spellEnd"/>
      <w:r w:rsidRPr="00B557E8">
        <w:rPr>
          <w:color w:val="000000" w:themeColor="text1"/>
          <w:szCs w:val="24"/>
        </w:rPr>
        <w:t>. 29.decembris un EEZ finanšu instrumentam – 2012.gada 9.februāris).</w:t>
      </w:r>
    </w:p>
    <w:p w:rsidR="009459F7" w:rsidRPr="00B557E8" w:rsidRDefault="005D10B3" w:rsidP="00B557E8">
      <w:pPr>
        <w:spacing w:before="120" w:after="120" w:line="276" w:lineRule="auto"/>
        <w:rPr>
          <w:color w:val="000000" w:themeColor="text1"/>
          <w:szCs w:val="24"/>
        </w:rPr>
      </w:pPr>
      <w:r w:rsidRPr="00B557E8">
        <w:rPr>
          <w:color w:val="000000" w:themeColor="text1"/>
          <w:szCs w:val="24"/>
        </w:rPr>
        <w:t xml:space="preserve">Ņemot vērā </w:t>
      </w:r>
      <w:r w:rsidR="00992D2E" w:rsidRPr="00B557E8">
        <w:rPr>
          <w:color w:val="000000" w:themeColor="text1"/>
          <w:szCs w:val="24"/>
        </w:rPr>
        <w:t xml:space="preserve">VI veiktās vadības un kontroles sistēmas darbības un ES fondu apguves risku </w:t>
      </w:r>
      <w:r w:rsidR="00641137" w:rsidRPr="00B557E8">
        <w:rPr>
          <w:color w:val="000000" w:themeColor="text1"/>
          <w:szCs w:val="24"/>
        </w:rPr>
        <w:t>analīzi</w:t>
      </w:r>
      <w:r w:rsidR="0037449A" w:rsidRPr="00B557E8">
        <w:rPr>
          <w:color w:val="000000" w:themeColor="text1"/>
          <w:szCs w:val="24"/>
        </w:rPr>
        <w:t>, snieg</w:t>
      </w:r>
      <w:r w:rsidR="00FA3467" w:rsidRPr="00B557E8">
        <w:rPr>
          <w:color w:val="000000" w:themeColor="text1"/>
          <w:szCs w:val="24"/>
        </w:rPr>
        <w:t>ts priekšlikum</w:t>
      </w:r>
      <w:r w:rsidR="00641137" w:rsidRPr="00B557E8">
        <w:rPr>
          <w:color w:val="000000" w:themeColor="text1"/>
          <w:szCs w:val="24"/>
        </w:rPr>
        <w:t>s ES fondu ieviešanas, uzraudzības un vadības sistēmas uzlabošanai, paredz</w:t>
      </w:r>
      <w:r w:rsidR="0037449A" w:rsidRPr="00B557E8">
        <w:rPr>
          <w:color w:val="000000" w:themeColor="text1"/>
          <w:szCs w:val="24"/>
        </w:rPr>
        <w:t>ot</w:t>
      </w:r>
      <w:r w:rsidR="00641137" w:rsidRPr="00B557E8">
        <w:rPr>
          <w:color w:val="000000" w:themeColor="text1"/>
          <w:szCs w:val="24"/>
        </w:rPr>
        <w:t xml:space="preserve"> </w:t>
      </w:r>
      <w:r w:rsidR="0037449A" w:rsidRPr="00B557E8">
        <w:rPr>
          <w:color w:val="000000" w:themeColor="text1"/>
          <w:szCs w:val="24"/>
        </w:rPr>
        <w:t>šādu</w:t>
      </w:r>
      <w:r w:rsidR="00641137" w:rsidRPr="00B557E8">
        <w:rPr>
          <w:color w:val="000000" w:themeColor="text1"/>
          <w:szCs w:val="24"/>
        </w:rPr>
        <w:t xml:space="preserve"> turpmāko rīcību:</w:t>
      </w:r>
    </w:p>
    <w:p w:rsidR="00E21D24" w:rsidRPr="00B557E8" w:rsidRDefault="00F224CC" w:rsidP="00B557E8">
      <w:pPr>
        <w:numPr>
          <w:ilvl w:val="0"/>
          <w:numId w:val="25"/>
        </w:numPr>
        <w:spacing w:before="120" w:after="120" w:line="276" w:lineRule="auto"/>
        <w:rPr>
          <w:rFonts w:eastAsia="EUAlbertina-Bold-Identity-H"/>
          <w:i/>
          <w:color w:val="000000" w:themeColor="text1"/>
          <w:szCs w:val="24"/>
          <w:lang w:eastAsia="lv-LV"/>
        </w:rPr>
      </w:pPr>
      <w:r w:rsidRPr="00B557E8">
        <w:rPr>
          <w:rFonts w:eastAsia="EUAlbertina-Bold-Identity-H"/>
          <w:color w:val="000000" w:themeColor="text1"/>
          <w:szCs w:val="24"/>
          <w:lang w:eastAsia="lv-LV"/>
        </w:rPr>
        <w:t xml:space="preserve">Ņemot vērā būtiskus projektu ieviešanas grafiku kavējumus un to, ka laika, lai šajā plānošanas periodā uzsāktu un pabeigtu apjomīgus un sarežģītus infrastruktūras projektus, vairs nav daudz, nepieciešams izvērtēt turpmāko rīcību attiecībā uz </w:t>
      </w:r>
      <w:r w:rsidR="00657B4A" w:rsidRPr="00B557E8">
        <w:rPr>
          <w:rFonts w:eastAsia="EUAlbertina-Bold-Identity-H"/>
          <w:color w:val="000000" w:themeColor="text1"/>
          <w:szCs w:val="24"/>
          <w:lang w:eastAsia="lv-LV"/>
        </w:rPr>
        <w:t>iekavētajiem lielajiem projektiem, lai nezaudētu ES fondu finansējumu un nepieciešamības gadījumā to izmantot</w:t>
      </w:r>
      <w:r w:rsidR="0037449A" w:rsidRPr="00B557E8">
        <w:rPr>
          <w:rFonts w:eastAsia="EUAlbertina-Bold-Identity-H"/>
          <w:color w:val="000000" w:themeColor="text1"/>
          <w:szCs w:val="24"/>
          <w:lang w:eastAsia="lv-LV"/>
        </w:rPr>
        <w:t>u</w:t>
      </w:r>
      <w:r w:rsidR="00657B4A" w:rsidRPr="00B557E8">
        <w:rPr>
          <w:rFonts w:eastAsia="EUAlbertina-Bold-Identity-H"/>
          <w:color w:val="000000" w:themeColor="text1"/>
          <w:szCs w:val="24"/>
          <w:lang w:eastAsia="lv-LV"/>
        </w:rPr>
        <w:t xml:space="preserve"> citu </w:t>
      </w:r>
      <w:r w:rsidRPr="00B557E8">
        <w:rPr>
          <w:rFonts w:eastAsia="EUAlbertina-Bold-Identity-H"/>
          <w:color w:val="000000" w:themeColor="text1"/>
          <w:szCs w:val="24"/>
          <w:lang w:eastAsia="lv-LV"/>
        </w:rPr>
        <w:t>projektu/</w:t>
      </w:r>
      <w:r w:rsidR="00657B4A" w:rsidRPr="00B557E8">
        <w:rPr>
          <w:rFonts w:eastAsia="EUAlbertina-Bold-Identity-H"/>
          <w:color w:val="000000" w:themeColor="text1"/>
          <w:szCs w:val="24"/>
          <w:lang w:eastAsia="lv-LV"/>
        </w:rPr>
        <w:t>aktivitāšu īstenošanai</w:t>
      </w:r>
      <w:r w:rsidRPr="00B557E8">
        <w:rPr>
          <w:rFonts w:eastAsia="EUAlbertina-Bold-Identity-H"/>
          <w:color w:val="000000" w:themeColor="text1"/>
          <w:szCs w:val="24"/>
          <w:lang w:eastAsia="lv-LV"/>
        </w:rPr>
        <w:t>.</w:t>
      </w:r>
      <w:r w:rsidR="00657B4A" w:rsidRPr="00B557E8">
        <w:rPr>
          <w:rFonts w:eastAsia="EUAlbertina-Bold-Identity-H"/>
          <w:color w:val="000000" w:themeColor="text1"/>
          <w:szCs w:val="24"/>
          <w:lang w:eastAsia="lv-LV"/>
        </w:rPr>
        <w:t xml:space="preserve"> </w:t>
      </w:r>
      <w:r w:rsidRPr="00B557E8">
        <w:rPr>
          <w:rFonts w:eastAsia="EUAlbertina-Bold-Identity-H"/>
          <w:color w:val="000000" w:themeColor="text1"/>
          <w:szCs w:val="24"/>
          <w:lang w:eastAsia="lv-LV"/>
        </w:rPr>
        <w:t xml:space="preserve">Attiecīgi, ziņojums ierosina </w:t>
      </w:r>
      <w:r w:rsidR="00EC3FF5" w:rsidRPr="00B557E8">
        <w:rPr>
          <w:rFonts w:eastAsia="EUAlbertina-Bold-Identity-H"/>
          <w:color w:val="000000" w:themeColor="text1"/>
          <w:szCs w:val="24"/>
          <w:lang w:eastAsia="lv-LV"/>
        </w:rPr>
        <w:t>SM</w:t>
      </w:r>
      <w:r w:rsidR="00E21D24" w:rsidRPr="00B557E8">
        <w:rPr>
          <w:rFonts w:eastAsia="EUAlbertina-Bold-Identity-H"/>
          <w:color w:val="000000" w:themeColor="text1"/>
          <w:szCs w:val="24"/>
          <w:lang w:eastAsia="lv-LV"/>
        </w:rPr>
        <w:t xml:space="preserve"> ziņot </w:t>
      </w:r>
      <w:r w:rsidR="00EC3FF5" w:rsidRPr="00B557E8">
        <w:rPr>
          <w:rFonts w:eastAsia="EUAlbertina-Bold-Identity-H"/>
          <w:color w:val="000000" w:themeColor="text1"/>
          <w:szCs w:val="24"/>
          <w:lang w:eastAsia="lv-LV"/>
        </w:rPr>
        <w:t>MK</w:t>
      </w:r>
      <w:r w:rsidR="00E21D24" w:rsidRPr="00B557E8">
        <w:rPr>
          <w:rFonts w:eastAsia="EUAlbertina-Bold-Identity-H"/>
          <w:color w:val="000000" w:themeColor="text1"/>
          <w:szCs w:val="24"/>
          <w:lang w:eastAsia="lv-LV"/>
        </w:rPr>
        <w:t xml:space="preserve"> par </w:t>
      </w:r>
      <w:r w:rsidR="0005043D" w:rsidRPr="00B557E8">
        <w:rPr>
          <w:rFonts w:eastAsia="EUAlbertina-Bold-Identity-H"/>
          <w:color w:val="000000" w:themeColor="text1"/>
          <w:szCs w:val="24"/>
          <w:lang w:eastAsia="lv-LV"/>
        </w:rPr>
        <w:t xml:space="preserve">projekta </w:t>
      </w:r>
      <w:r w:rsidR="00E21D24" w:rsidRPr="00B557E8">
        <w:rPr>
          <w:rFonts w:eastAsia="EUAlbertina-Bold-Identity-H"/>
          <w:color w:val="000000" w:themeColor="text1"/>
          <w:szCs w:val="24"/>
          <w:lang w:eastAsia="lv-LV"/>
        </w:rPr>
        <w:t>„Infrastruktūras attīstība Krievu salā ostas aktivitāšu pārcelšanai no pilsētas centra” statusu un rīcību, lai nodrošinātu projektu pabeigšanu noteiktajos termi</w:t>
      </w:r>
      <w:r w:rsidR="000E457B" w:rsidRPr="00B557E8">
        <w:rPr>
          <w:rFonts w:eastAsia="EUAlbertina-Bold-Identity-H"/>
          <w:color w:val="000000" w:themeColor="text1"/>
          <w:szCs w:val="24"/>
          <w:lang w:eastAsia="lv-LV"/>
        </w:rPr>
        <w:t>ņ</w:t>
      </w:r>
      <w:r w:rsidR="00E21D24" w:rsidRPr="00B557E8">
        <w:rPr>
          <w:rFonts w:eastAsia="EUAlbertina-Bold-Identity-H"/>
          <w:color w:val="000000" w:themeColor="text1"/>
          <w:szCs w:val="24"/>
          <w:lang w:eastAsia="lv-LV"/>
        </w:rPr>
        <w:t>os, izvērtējot iespējamos riskus.</w:t>
      </w:r>
    </w:p>
    <w:p w:rsidR="007A3232" w:rsidRPr="00B557E8" w:rsidRDefault="007A3232" w:rsidP="00B557E8">
      <w:pPr>
        <w:numPr>
          <w:ilvl w:val="0"/>
          <w:numId w:val="25"/>
        </w:numPr>
        <w:spacing w:before="120" w:after="120" w:line="276" w:lineRule="auto"/>
        <w:rPr>
          <w:rFonts w:eastAsia="EUAlbertina-Bold-Identity-H"/>
          <w:i/>
          <w:color w:val="000000" w:themeColor="text1"/>
          <w:szCs w:val="24"/>
          <w:lang w:eastAsia="lv-LV"/>
        </w:rPr>
      </w:pPr>
      <w:r w:rsidRPr="00B557E8">
        <w:rPr>
          <w:rFonts w:eastAsia="EUAlbertina-Bold-Identity-H"/>
          <w:color w:val="000000" w:themeColor="text1"/>
          <w:szCs w:val="24"/>
          <w:lang w:eastAsia="lv-LV"/>
        </w:rPr>
        <w:t xml:space="preserve">Lai 2009.-2014.gada perioda Norvēģijas finanšu instrumenta piešķirtā finansējuma ietvaros un atbilstoši Latvijas interesēm un prioritātēm </w:t>
      </w:r>
      <w:r w:rsidR="00651F42" w:rsidRPr="00B557E8">
        <w:rPr>
          <w:rFonts w:eastAsia="EUAlbertina-Bold-Identity-H"/>
          <w:color w:val="000000" w:themeColor="text1"/>
          <w:szCs w:val="24"/>
          <w:lang w:eastAsia="lv-LV"/>
        </w:rPr>
        <w:t xml:space="preserve">ieviestu un Norvēģijas institūcijas – </w:t>
      </w:r>
      <w:proofErr w:type="spellStart"/>
      <w:r w:rsidR="00651F42" w:rsidRPr="00B557E8">
        <w:rPr>
          <w:rFonts w:eastAsia="EUAlbertina-Bold-Identity-H"/>
          <w:color w:val="000000" w:themeColor="text1"/>
          <w:szCs w:val="24"/>
          <w:lang w:eastAsia="lv-LV"/>
        </w:rPr>
        <w:t>Innovation</w:t>
      </w:r>
      <w:proofErr w:type="spellEnd"/>
      <w:r w:rsidR="00651F42" w:rsidRPr="00B557E8">
        <w:rPr>
          <w:rFonts w:eastAsia="EUAlbertina-Bold-Identity-H"/>
          <w:color w:val="000000" w:themeColor="text1"/>
          <w:szCs w:val="24"/>
          <w:lang w:eastAsia="lv-LV"/>
        </w:rPr>
        <w:t xml:space="preserve"> </w:t>
      </w:r>
      <w:proofErr w:type="spellStart"/>
      <w:r w:rsidR="00651F42" w:rsidRPr="00B557E8">
        <w:rPr>
          <w:rFonts w:eastAsia="EUAlbertina-Bold-Identity-H"/>
          <w:color w:val="000000" w:themeColor="text1"/>
          <w:szCs w:val="24"/>
          <w:lang w:eastAsia="lv-LV"/>
        </w:rPr>
        <w:t>Norway</w:t>
      </w:r>
      <w:proofErr w:type="spellEnd"/>
      <w:r w:rsidR="006B2D01" w:rsidRPr="00B557E8">
        <w:rPr>
          <w:rFonts w:eastAsia="EUAlbertina-Bold-Identity-H"/>
          <w:color w:val="000000" w:themeColor="text1"/>
          <w:szCs w:val="24"/>
          <w:lang w:eastAsia="lv-LV"/>
        </w:rPr>
        <w:t>,</w:t>
      </w:r>
      <w:r w:rsidR="00651F42" w:rsidRPr="00B557E8">
        <w:rPr>
          <w:rFonts w:eastAsia="EUAlbertina-Bold-Identity-H"/>
          <w:color w:val="000000" w:themeColor="text1"/>
          <w:szCs w:val="24"/>
          <w:lang w:eastAsia="lv-LV"/>
        </w:rPr>
        <w:t xml:space="preserve"> īstenotu </w:t>
      </w:r>
      <w:r w:rsidRPr="00B557E8">
        <w:rPr>
          <w:rFonts w:eastAsia="EUAlbertina-Bold-Identity-H"/>
          <w:color w:val="000000" w:themeColor="text1"/>
          <w:szCs w:val="24"/>
          <w:lang w:eastAsia="lv-LV"/>
        </w:rPr>
        <w:t>programm</w:t>
      </w:r>
      <w:r w:rsidR="00651F42" w:rsidRPr="00B557E8">
        <w:rPr>
          <w:rFonts w:eastAsia="EUAlbertina-Bold-Identity-H"/>
          <w:color w:val="000000" w:themeColor="text1"/>
          <w:szCs w:val="24"/>
          <w:lang w:eastAsia="lv-LV"/>
        </w:rPr>
        <w:t>u</w:t>
      </w:r>
      <w:r w:rsidRPr="00B557E8">
        <w:rPr>
          <w:rFonts w:eastAsia="EUAlbertina-Bold-Identity-H"/>
          <w:color w:val="000000" w:themeColor="text1"/>
          <w:szCs w:val="24"/>
          <w:lang w:eastAsia="lv-LV"/>
        </w:rPr>
        <w:t xml:space="preserve"> „Globālais fonds cienīga darba un trīspusējās sadarbības veicināšanai” </w:t>
      </w:r>
      <w:r w:rsidR="00651F42" w:rsidRPr="00B557E8">
        <w:rPr>
          <w:rFonts w:eastAsia="EUAlbertina-Bold-Identity-H"/>
          <w:color w:val="000000" w:themeColor="text1"/>
          <w:szCs w:val="24"/>
          <w:lang w:eastAsia="lv-LV"/>
        </w:rPr>
        <w:t xml:space="preserve">un lai nodrošinātu tās kvalitatīvu īstenošanu, </w:t>
      </w:r>
      <w:r w:rsidRPr="00B557E8">
        <w:rPr>
          <w:rFonts w:eastAsia="EUAlbertina-Bold-Identity-H"/>
          <w:color w:val="000000" w:themeColor="text1"/>
          <w:szCs w:val="24"/>
          <w:lang w:eastAsia="lv-LV"/>
        </w:rPr>
        <w:t xml:space="preserve">nepieciešams piesaistīt </w:t>
      </w:r>
      <w:r w:rsidR="00EC3FF5" w:rsidRPr="00B557E8">
        <w:rPr>
          <w:rFonts w:eastAsia="EUAlbertina-Bold-Identity-H"/>
          <w:color w:val="000000" w:themeColor="text1"/>
          <w:szCs w:val="24"/>
          <w:lang w:eastAsia="lv-LV"/>
        </w:rPr>
        <w:t>LM</w:t>
      </w:r>
      <w:r w:rsidRPr="00B557E8">
        <w:rPr>
          <w:rFonts w:eastAsia="EUAlbertina-Bold-Identity-H"/>
          <w:color w:val="000000" w:themeColor="text1"/>
          <w:szCs w:val="24"/>
          <w:lang w:eastAsia="lv-LV"/>
        </w:rPr>
        <w:t xml:space="preserve"> kā atbildīgo nozares ministriju cienīga darba un trīspusējās sadarbības jautājumos, jo Latvija kā saņēmējvalsts ir tiesīga iesaistīties programmas īstenošanā. </w:t>
      </w:r>
      <w:r w:rsidR="00EC3FF5" w:rsidRPr="00B557E8">
        <w:rPr>
          <w:rFonts w:eastAsia="EUAlbertina-Bold-Identity-H"/>
          <w:color w:val="000000" w:themeColor="text1"/>
          <w:szCs w:val="24"/>
          <w:lang w:eastAsia="lv-LV"/>
        </w:rPr>
        <w:t xml:space="preserve">Tādejādi tiks </w:t>
      </w:r>
      <w:r w:rsidR="00651F42" w:rsidRPr="00B557E8">
        <w:rPr>
          <w:rFonts w:eastAsia="EUAlbertina-Bold-Identity-H"/>
          <w:color w:val="000000" w:themeColor="text1"/>
          <w:szCs w:val="24"/>
          <w:lang w:eastAsia="lv-LV"/>
        </w:rPr>
        <w:t xml:space="preserve">rosināts noteikt </w:t>
      </w:r>
      <w:r w:rsidR="00EC3FF5" w:rsidRPr="00B557E8">
        <w:rPr>
          <w:rFonts w:eastAsia="EUAlbertina-Bold-Identity-H"/>
          <w:color w:val="000000" w:themeColor="text1"/>
          <w:szCs w:val="24"/>
          <w:lang w:eastAsia="lv-LV"/>
        </w:rPr>
        <w:t>LM</w:t>
      </w:r>
      <w:r w:rsidRPr="00B557E8">
        <w:rPr>
          <w:rFonts w:eastAsia="EUAlbertina-Bold-Identity-H"/>
          <w:color w:val="000000" w:themeColor="text1"/>
          <w:szCs w:val="24"/>
          <w:lang w:eastAsia="lv-LV"/>
        </w:rPr>
        <w:t xml:space="preserve"> kā atbildīgo nozares ministriju par 2009.-2014.gada perioda Norvēģijas finanšu instrumenta finansēto programmu „Globālais fonds cienīga darba un trīspusējās sadarbības veicināšanai”. </w:t>
      </w:r>
      <w:r w:rsidR="00EC3FF5" w:rsidRPr="00B557E8">
        <w:rPr>
          <w:rFonts w:eastAsia="EUAlbertina-Bold-Identity-H"/>
          <w:color w:val="000000" w:themeColor="text1"/>
          <w:szCs w:val="24"/>
          <w:lang w:eastAsia="lv-LV"/>
        </w:rPr>
        <w:t xml:space="preserve">LM </w:t>
      </w:r>
      <w:r w:rsidRPr="00B557E8">
        <w:rPr>
          <w:rFonts w:eastAsia="EUAlbertina-Bold-Identity-H"/>
          <w:color w:val="000000" w:themeColor="text1"/>
          <w:szCs w:val="24"/>
          <w:lang w:eastAsia="lv-LV"/>
        </w:rPr>
        <w:t xml:space="preserve"> pēc </w:t>
      </w:r>
      <w:r w:rsidR="00EC3FF5" w:rsidRPr="00B557E8">
        <w:rPr>
          <w:rFonts w:eastAsia="EUAlbertina-Bold-Identity-H"/>
          <w:color w:val="000000" w:themeColor="text1"/>
          <w:szCs w:val="24"/>
          <w:lang w:eastAsia="lv-LV"/>
        </w:rPr>
        <w:t>FM</w:t>
      </w:r>
      <w:r w:rsidRPr="00B557E8">
        <w:rPr>
          <w:rFonts w:eastAsia="EUAlbertina-Bold-Identity-H"/>
          <w:color w:val="000000" w:themeColor="text1"/>
          <w:szCs w:val="24"/>
          <w:lang w:eastAsia="lv-LV"/>
        </w:rPr>
        <w:t xml:space="preserve"> pieprasījuma</w:t>
      </w:r>
      <w:r w:rsidR="00EC3FF5" w:rsidRPr="00B557E8">
        <w:rPr>
          <w:rFonts w:eastAsia="EUAlbertina-Bold-Identity-H"/>
          <w:color w:val="000000" w:themeColor="text1"/>
          <w:szCs w:val="24"/>
          <w:lang w:eastAsia="lv-LV"/>
        </w:rPr>
        <w:t xml:space="preserve"> būs</w:t>
      </w:r>
      <w:r w:rsidRPr="00B557E8">
        <w:rPr>
          <w:rFonts w:eastAsia="EUAlbertina-Bold-Identity-H"/>
          <w:color w:val="000000" w:themeColor="text1"/>
          <w:szCs w:val="24"/>
          <w:lang w:eastAsia="lv-LV"/>
        </w:rPr>
        <w:t xml:space="preserve"> </w:t>
      </w:r>
      <w:r w:rsidR="00EC3FF5" w:rsidRPr="00B557E8">
        <w:rPr>
          <w:rFonts w:eastAsia="EUAlbertina-Bold-Identity-H"/>
          <w:color w:val="000000" w:themeColor="text1"/>
          <w:szCs w:val="24"/>
          <w:lang w:eastAsia="lv-LV"/>
        </w:rPr>
        <w:t>jā</w:t>
      </w:r>
      <w:r w:rsidRPr="00B557E8">
        <w:rPr>
          <w:rFonts w:eastAsia="EUAlbertina-Bold-Identity-H"/>
          <w:color w:val="000000" w:themeColor="text1"/>
          <w:szCs w:val="24"/>
          <w:lang w:eastAsia="lv-LV"/>
        </w:rPr>
        <w:t>iesnie</w:t>
      </w:r>
      <w:r w:rsidR="00EC3FF5" w:rsidRPr="00B557E8">
        <w:rPr>
          <w:rFonts w:eastAsia="EUAlbertina-Bold-Identity-H"/>
          <w:color w:val="000000" w:themeColor="text1"/>
          <w:szCs w:val="24"/>
          <w:lang w:eastAsia="lv-LV"/>
        </w:rPr>
        <w:t>dz</w:t>
      </w:r>
      <w:r w:rsidRPr="00B557E8">
        <w:rPr>
          <w:rFonts w:eastAsia="EUAlbertina-Bold-Identity-H"/>
          <w:color w:val="000000" w:themeColor="text1"/>
          <w:szCs w:val="24"/>
          <w:lang w:eastAsia="lv-LV"/>
        </w:rPr>
        <w:t xml:space="preserve"> nozares viedokli par programmas īstenošanas jautājumiem.</w:t>
      </w:r>
    </w:p>
    <w:p w:rsidR="00F224CC" w:rsidRPr="00B557E8" w:rsidRDefault="00F224CC" w:rsidP="00B557E8">
      <w:pPr>
        <w:numPr>
          <w:ilvl w:val="0"/>
          <w:numId w:val="25"/>
        </w:num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Pamatojoties uz ESF ikgadējā sanāksmē </w:t>
      </w:r>
      <w:proofErr w:type="spellStart"/>
      <w:r w:rsidRPr="00B557E8">
        <w:rPr>
          <w:rFonts w:eastAsia="EUAlbertina-Bold-Identity-H"/>
          <w:color w:val="000000" w:themeColor="text1"/>
          <w:szCs w:val="24"/>
          <w:lang w:eastAsia="lv-LV"/>
        </w:rPr>
        <w:t>š.g</w:t>
      </w:r>
      <w:proofErr w:type="spellEnd"/>
      <w:r w:rsidRPr="00B557E8">
        <w:rPr>
          <w:rFonts w:eastAsia="EUAlbertina-Bold-Identity-H"/>
          <w:color w:val="000000" w:themeColor="text1"/>
          <w:szCs w:val="24"/>
          <w:lang w:eastAsia="lv-LV"/>
        </w:rPr>
        <w:t xml:space="preserve">. 14. oktobrī pausto  EK nostāju un uzdevumu Vadošajai iestādei līdz </w:t>
      </w:r>
      <w:proofErr w:type="spellStart"/>
      <w:r w:rsidRPr="00B557E8">
        <w:rPr>
          <w:rFonts w:eastAsia="EUAlbertina-Bold-Identity-H"/>
          <w:color w:val="000000" w:themeColor="text1"/>
          <w:szCs w:val="24"/>
          <w:lang w:eastAsia="lv-LV"/>
        </w:rPr>
        <w:t>š.g</w:t>
      </w:r>
      <w:proofErr w:type="spellEnd"/>
      <w:r w:rsidRPr="00B557E8">
        <w:rPr>
          <w:rFonts w:eastAsia="EUAlbertina-Bold-Identity-H"/>
          <w:color w:val="000000" w:themeColor="text1"/>
          <w:szCs w:val="24"/>
          <w:lang w:eastAsia="lv-LV"/>
        </w:rPr>
        <w:t xml:space="preserve">. beigām ierosināt valdības līmenī izskatīt jautājumu par ES fondu līdzfinansēto aktivitāšu ietvaros veikto izvērtējumu un pētījumu </w:t>
      </w:r>
      <w:r w:rsidRPr="00B557E8">
        <w:rPr>
          <w:rFonts w:eastAsia="EUAlbertina-Bold-Identity-H"/>
          <w:color w:val="000000" w:themeColor="text1"/>
          <w:szCs w:val="24"/>
          <w:lang w:eastAsia="lv-LV"/>
        </w:rPr>
        <w:lastRenderedPageBreak/>
        <w:t>statusu, pielietojumu, lietderību un ilgtspēju</w:t>
      </w:r>
      <w:r w:rsidR="00255D72" w:rsidRPr="00B557E8">
        <w:rPr>
          <w:rFonts w:eastAsia="EUAlbertina-Bold-Identity-H"/>
          <w:color w:val="000000" w:themeColor="text1"/>
          <w:szCs w:val="24"/>
          <w:lang w:eastAsia="lv-LV"/>
        </w:rPr>
        <w:t>,</w:t>
      </w:r>
      <w:r w:rsidRPr="00B557E8">
        <w:rPr>
          <w:rFonts w:eastAsia="EUAlbertina-Bold-Identity-H"/>
          <w:color w:val="000000" w:themeColor="text1"/>
          <w:szCs w:val="24"/>
          <w:lang w:eastAsia="lv-LV"/>
        </w:rPr>
        <w:t xml:space="preserve"> un lemtu par atlikušā finansējuma maksimāli efektīvu izlietojumu, uzdot Valsts kancelejai sadarbībā ar </w:t>
      </w:r>
      <w:r w:rsidR="00255D72" w:rsidRPr="00B557E8">
        <w:rPr>
          <w:rFonts w:eastAsia="EUAlbertina-Bold-Identity-H"/>
          <w:color w:val="000000" w:themeColor="text1"/>
          <w:szCs w:val="24"/>
          <w:lang w:eastAsia="lv-LV"/>
        </w:rPr>
        <w:t>FM</w:t>
      </w:r>
      <w:r w:rsidR="00255D72" w:rsidRPr="00B557E8">
        <w:rPr>
          <w:color w:val="000000" w:themeColor="text1"/>
          <w:szCs w:val="24"/>
        </w:rPr>
        <w:t xml:space="preserve"> </w:t>
      </w:r>
      <w:r w:rsidR="00255D72" w:rsidRPr="00B557E8">
        <w:rPr>
          <w:rFonts w:eastAsia="EUAlbertina-Bold-Identity-H"/>
          <w:color w:val="000000" w:themeColor="text1"/>
          <w:szCs w:val="24"/>
          <w:lang w:eastAsia="lv-LV"/>
        </w:rPr>
        <w:t>apkopot un izvērtēt minēto informāciju, kā arī</w:t>
      </w:r>
      <w:r w:rsidRPr="00B557E8">
        <w:rPr>
          <w:rFonts w:eastAsia="EUAlbertina-Bold-Identity-H"/>
          <w:color w:val="000000" w:themeColor="text1"/>
          <w:szCs w:val="24"/>
          <w:lang w:eastAsia="lv-LV"/>
        </w:rPr>
        <w:t xml:space="preserve"> nodrošināt priekšlikumu sagatavošanu </w:t>
      </w:r>
      <w:r w:rsidR="00255D72" w:rsidRPr="00B557E8">
        <w:rPr>
          <w:rFonts w:eastAsia="EUAlbertina-Bold-Identity-H"/>
          <w:color w:val="000000" w:themeColor="text1"/>
          <w:szCs w:val="24"/>
          <w:lang w:eastAsia="lv-LV"/>
        </w:rPr>
        <w:t xml:space="preserve">MK </w:t>
      </w:r>
      <w:r w:rsidRPr="00B557E8">
        <w:rPr>
          <w:rFonts w:eastAsia="EUAlbertina-Bold-Identity-H"/>
          <w:color w:val="000000" w:themeColor="text1"/>
          <w:szCs w:val="24"/>
          <w:lang w:eastAsia="lv-LV"/>
        </w:rPr>
        <w:t>turpmākai rīcībai.</w:t>
      </w:r>
    </w:p>
    <w:p w:rsidR="00DF350E" w:rsidRPr="00B557E8" w:rsidRDefault="00DF350E" w:rsidP="00B557E8">
      <w:pPr>
        <w:numPr>
          <w:ilvl w:val="0"/>
          <w:numId w:val="25"/>
        </w:num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Lai pilnveidotu neatbilstību administrēšanu un nodrošinātu vienotu praksi proporcionālās finanšu korekcijas piemērošanā, turpmāk reizi ceturksnī neatbilstību darba grupā, kurā piedalās VI, AI, SI, sertifikācijas iestādes un revīzijas iestādes pārstāvji, analizēs konstatētos neatbilstību gadījumos, kuros AI un SI piemērījušas finanšu korekcijas saskaņā ar VI vadlīnijām „Vadlīnijas par finanšu korekciju piemērošanu Eiropas Savienības fondu finansētajos projektos”. FM turpina darbu, lai izstrādātu priekšlikumus situācijas risināšanai attiecībā uz uzņēmuma līgumu ar ES fondu finansējuma saņēmēju esošajiem vai bijušajiem darbiniekiem un civildienesta ierēdņiem slēgšanas ierobežošanu, lai pēc iespējas novērstu neatbilstoši veikto izdevumu rašanās risku interešu konflikta dēļ. Detalizētu informāciju skatīt informatīvā ziņojuma sadaļā „ES fondu ieviešanas sistēmas uzraudzība un pilnveidošana”. Tāpat FM turpina īpaši uzraudzīt  budžeta iestādes, kas ir ES fondu projektu finansējuma saņēmēji un kuru projektos ir konstatētas neatbilstības. Attiecīgi katru ceturksni FM pieprasa iestādēm sniegt informāciju par konstatētajām neatbilstībām budžeta iestāžu īstenotajos ES fondu projektos un atbilstoši ierosināto dienesta izmeklēšanu un disciplinārlietu skaitu. </w:t>
      </w:r>
    </w:p>
    <w:p w:rsidR="00657B4A" w:rsidRPr="00B557E8" w:rsidRDefault="00657B4A" w:rsidP="00B557E8">
      <w:pPr>
        <w:numPr>
          <w:ilvl w:val="0"/>
          <w:numId w:val="25"/>
        </w:num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br w:type="page"/>
      </w:r>
    </w:p>
    <w:p w:rsidR="004B7C6E" w:rsidRPr="00B557E8" w:rsidRDefault="00FD5EA9" w:rsidP="00B557E8">
      <w:pPr>
        <w:pStyle w:val="1lmenis"/>
        <w:spacing w:before="120" w:after="120" w:line="276" w:lineRule="auto"/>
        <w:ind w:left="851"/>
        <w:rPr>
          <w:rFonts w:ascii="Times New Roman" w:hAnsi="Times New Roman"/>
          <w:color w:val="000000" w:themeColor="text1"/>
          <w:sz w:val="24"/>
          <w:szCs w:val="24"/>
          <w:lang w:val="lv-LV"/>
        </w:rPr>
      </w:pPr>
      <w:bookmarkStart w:id="11" w:name="_Toc290449011"/>
      <w:bookmarkStart w:id="12" w:name="_Toc308774229"/>
      <w:r w:rsidRPr="00B557E8">
        <w:rPr>
          <w:rFonts w:ascii="Times New Roman" w:hAnsi="Times New Roman"/>
          <w:color w:val="000000" w:themeColor="text1"/>
          <w:sz w:val="24"/>
          <w:szCs w:val="24"/>
          <w:lang w:val="lv-LV"/>
        </w:rPr>
        <w:lastRenderedPageBreak/>
        <w:t>2007.-2013.gada plānošanas perioda ES fond</w:t>
      </w:r>
      <w:r w:rsidR="00637F32" w:rsidRPr="00B557E8">
        <w:rPr>
          <w:rFonts w:ascii="Times New Roman" w:hAnsi="Times New Roman"/>
          <w:color w:val="000000" w:themeColor="text1"/>
          <w:sz w:val="24"/>
          <w:szCs w:val="24"/>
          <w:lang w:val="lv-LV"/>
        </w:rPr>
        <w:t>u</w:t>
      </w:r>
      <w:r w:rsidRPr="00B557E8">
        <w:rPr>
          <w:rFonts w:ascii="Times New Roman" w:hAnsi="Times New Roman"/>
          <w:color w:val="000000" w:themeColor="text1"/>
          <w:sz w:val="24"/>
          <w:szCs w:val="24"/>
          <w:lang w:val="lv-LV"/>
        </w:rPr>
        <w:t xml:space="preserve"> apguve</w:t>
      </w:r>
      <w:bookmarkEnd w:id="11"/>
      <w:bookmarkEnd w:id="12"/>
    </w:p>
    <w:p w:rsidR="00A12973" w:rsidRPr="00B557E8" w:rsidRDefault="001E3C5A" w:rsidP="00B557E8">
      <w:pPr>
        <w:pStyle w:val="2lmenis"/>
        <w:numPr>
          <w:ilvl w:val="1"/>
          <w:numId w:val="2"/>
        </w:numPr>
        <w:spacing w:before="120" w:after="120" w:line="276" w:lineRule="auto"/>
        <w:ind w:left="1276" w:hanging="425"/>
        <w:jc w:val="both"/>
        <w:rPr>
          <w:color w:val="000000" w:themeColor="text1"/>
          <w:sz w:val="24"/>
          <w:szCs w:val="24"/>
          <w:lang w:val="lv-LV"/>
        </w:rPr>
      </w:pPr>
      <w:r w:rsidRPr="00B557E8">
        <w:rPr>
          <w:color w:val="000000" w:themeColor="text1"/>
          <w:sz w:val="24"/>
          <w:szCs w:val="24"/>
          <w:lang w:val="lv-LV"/>
        </w:rPr>
        <w:t xml:space="preserve"> </w:t>
      </w:r>
      <w:bookmarkStart w:id="13" w:name="_Toc308774230"/>
      <w:r w:rsidR="00A12973" w:rsidRPr="00B557E8">
        <w:rPr>
          <w:color w:val="000000" w:themeColor="text1"/>
          <w:sz w:val="24"/>
          <w:szCs w:val="24"/>
          <w:lang w:val="lv-LV"/>
        </w:rPr>
        <w:t>Darbības programmu un darbības programmu papildinājumu grozījumi</w:t>
      </w:r>
      <w:bookmarkEnd w:id="13"/>
    </w:p>
    <w:p w:rsidR="006F4AF2" w:rsidRPr="00B557E8" w:rsidRDefault="00A12973" w:rsidP="00B557E8">
      <w:pPr>
        <w:spacing w:before="120" w:after="120" w:line="276" w:lineRule="auto"/>
        <w:rPr>
          <w:color w:val="000000" w:themeColor="text1"/>
          <w:szCs w:val="24"/>
        </w:rPr>
      </w:pPr>
      <w:r w:rsidRPr="00B557E8">
        <w:rPr>
          <w:color w:val="000000" w:themeColor="text1"/>
          <w:szCs w:val="24"/>
        </w:rPr>
        <w:t xml:space="preserve">Lai nodrošinātu efektīvu un operatīvu ES fondu apguvi, kā arī lai reaģētu uz pārmaiņām sociāli ekonomiskajā situācijā valstī un nozaru politikās, nozaru ministrijas un </w:t>
      </w:r>
      <w:r w:rsidR="0009646D" w:rsidRPr="00B557E8">
        <w:rPr>
          <w:color w:val="000000" w:themeColor="text1"/>
          <w:szCs w:val="24"/>
        </w:rPr>
        <w:t>FM</w:t>
      </w:r>
      <w:r w:rsidRPr="00B557E8">
        <w:rPr>
          <w:color w:val="000000" w:themeColor="text1"/>
          <w:szCs w:val="24"/>
        </w:rPr>
        <w:t xml:space="preserve"> ir veikušas </w:t>
      </w:r>
      <w:r w:rsidR="00D34BE3" w:rsidRPr="00B557E8">
        <w:rPr>
          <w:color w:val="000000" w:themeColor="text1"/>
          <w:szCs w:val="24"/>
        </w:rPr>
        <w:t xml:space="preserve">vairākus </w:t>
      </w:r>
      <w:r w:rsidRPr="00B557E8">
        <w:rPr>
          <w:color w:val="000000" w:themeColor="text1"/>
          <w:szCs w:val="24"/>
        </w:rPr>
        <w:t>nepieciešamos grozījumus plānošanas dokumentos – darbības programmās un darb</w:t>
      </w:r>
      <w:r w:rsidR="00657B4A" w:rsidRPr="00B557E8">
        <w:rPr>
          <w:color w:val="000000" w:themeColor="text1"/>
          <w:szCs w:val="24"/>
        </w:rPr>
        <w:t>ības programmas papildinājumos.</w:t>
      </w:r>
    </w:p>
    <w:p w:rsidR="0070174B" w:rsidRPr="00B557E8" w:rsidRDefault="00F3490B" w:rsidP="00B557E8">
      <w:pPr>
        <w:spacing w:before="120" w:after="120" w:line="276" w:lineRule="auto"/>
        <w:rPr>
          <w:b/>
          <w:color w:val="000000" w:themeColor="text1"/>
          <w:szCs w:val="24"/>
        </w:rPr>
      </w:pPr>
      <w:r w:rsidRPr="00B557E8">
        <w:rPr>
          <w:b/>
          <w:color w:val="000000" w:themeColor="text1"/>
          <w:szCs w:val="24"/>
        </w:rPr>
        <w:t>1</w:t>
      </w:r>
      <w:r w:rsidR="00D57740" w:rsidRPr="00B557E8">
        <w:rPr>
          <w:b/>
          <w:color w:val="000000" w:themeColor="text1"/>
          <w:szCs w:val="24"/>
        </w:rPr>
        <w:t>.1.</w:t>
      </w:r>
      <w:r w:rsidR="002532B5" w:rsidRPr="00B557E8">
        <w:rPr>
          <w:b/>
          <w:color w:val="000000" w:themeColor="text1"/>
          <w:szCs w:val="24"/>
        </w:rPr>
        <w:t xml:space="preserve">1. </w:t>
      </w:r>
      <w:r w:rsidR="00A12973" w:rsidRPr="00B557E8">
        <w:rPr>
          <w:b/>
          <w:color w:val="000000" w:themeColor="text1"/>
          <w:szCs w:val="24"/>
        </w:rPr>
        <w:t>Darbības programma „Cilvēkresursi un nodar</w:t>
      </w:r>
      <w:r w:rsidR="00006F67" w:rsidRPr="00B557E8">
        <w:rPr>
          <w:b/>
          <w:color w:val="000000" w:themeColor="text1"/>
          <w:szCs w:val="24"/>
        </w:rPr>
        <w:t xml:space="preserve">binātība” un tās papildinājums </w:t>
      </w:r>
    </w:p>
    <w:p w:rsidR="00526F3A" w:rsidRPr="00B557E8" w:rsidRDefault="00526F3A" w:rsidP="00B557E8">
      <w:pPr>
        <w:pStyle w:val="ListParagraph"/>
        <w:numPr>
          <w:ilvl w:val="0"/>
          <w:numId w:val="61"/>
        </w:numPr>
        <w:suppressAutoHyphens/>
        <w:autoSpaceDN w:val="0"/>
        <w:spacing w:before="120" w:after="120"/>
        <w:jc w:val="both"/>
        <w:textAlignment w:val="baseline"/>
        <w:rPr>
          <w:rFonts w:ascii="Times New Roman" w:hAnsi="Times New Roman"/>
          <w:color w:val="000000" w:themeColor="text1"/>
          <w:sz w:val="24"/>
          <w:szCs w:val="24"/>
        </w:rPr>
      </w:pPr>
      <w:r w:rsidRPr="00B557E8">
        <w:rPr>
          <w:rFonts w:ascii="Times New Roman" w:hAnsi="Times New Roman"/>
          <w:color w:val="000000" w:themeColor="text1"/>
          <w:sz w:val="24"/>
          <w:szCs w:val="24"/>
        </w:rPr>
        <w:t xml:space="preserve">2011.gada 12.septembrī ar </w:t>
      </w:r>
      <w:r w:rsidR="00CA2CBE" w:rsidRPr="00B557E8">
        <w:rPr>
          <w:rFonts w:ascii="Times New Roman" w:hAnsi="Times New Roman"/>
          <w:color w:val="000000" w:themeColor="text1"/>
          <w:sz w:val="24"/>
          <w:szCs w:val="24"/>
        </w:rPr>
        <w:t>MK</w:t>
      </w:r>
      <w:r w:rsidRPr="00B557E8">
        <w:rPr>
          <w:rFonts w:ascii="Times New Roman" w:hAnsi="Times New Roman"/>
          <w:color w:val="000000" w:themeColor="text1"/>
          <w:sz w:val="24"/>
          <w:szCs w:val="24"/>
        </w:rPr>
        <w:t xml:space="preserve"> rīkojumu Nr.444 apstiprināti grozījumi darbības programmas „Cilvēkresursi un nodarbinātība” papildinājumā, paredzot, ka 1.3.1.5.aktivitātes</w:t>
      </w:r>
      <w:r w:rsidR="00CA2CBE" w:rsidRPr="00B557E8">
        <w:rPr>
          <w:rFonts w:ascii="Times New Roman" w:hAnsi="Times New Roman"/>
          <w:color w:val="000000" w:themeColor="text1"/>
          <w:sz w:val="24"/>
          <w:szCs w:val="24"/>
        </w:rPr>
        <w:t xml:space="preserve"> </w:t>
      </w:r>
      <w:r w:rsidRPr="00B557E8">
        <w:rPr>
          <w:rFonts w:ascii="Times New Roman" w:hAnsi="Times New Roman"/>
          <w:color w:val="000000" w:themeColor="text1"/>
          <w:sz w:val="24"/>
          <w:szCs w:val="24"/>
        </w:rPr>
        <w:t xml:space="preserve">„Vietējo nodarbinātības veicināšanas pasākumu plānu ieviešanas atbalsts” otrās kārtas ietvaros </w:t>
      </w:r>
      <w:r w:rsidR="00EC520E" w:rsidRPr="00B557E8">
        <w:rPr>
          <w:rFonts w:ascii="Times New Roman" w:hAnsi="Times New Roman"/>
          <w:color w:val="000000" w:themeColor="text1"/>
          <w:sz w:val="24"/>
          <w:szCs w:val="24"/>
        </w:rPr>
        <w:t xml:space="preserve">ar 2012.gada 1.janvāri </w:t>
      </w:r>
      <w:r w:rsidRPr="00B557E8">
        <w:rPr>
          <w:rFonts w:ascii="Times New Roman" w:hAnsi="Times New Roman"/>
          <w:color w:val="000000" w:themeColor="text1"/>
          <w:sz w:val="24"/>
          <w:szCs w:val="24"/>
        </w:rPr>
        <w:t xml:space="preserve">tiks īstenoti algoti pagaidu sabiedriskie darbi un aktivitātes mērķa grupa būs ilgstošie, vismaz </w:t>
      </w:r>
      <w:r w:rsidR="00F86F93" w:rsidRPr="00B557E8">
        <w:rPr>
          <w:rFonts w:ascii="Times New Roman" w:hAnsi="Times New Roman"/>
          <w:color w:val="000000" w:themeColor="text1"/>
          <w:sz w:val="24"/>
          <w:szCs w:val="24"/>
        </w:rPr>
        <w:t>sešus</w:t>
      </w:r>
      <w:r w:rsidRPr="00B557E8">
        <w:rPr>
          <w:rFonts w:ascii="Times New Roman" w:hAnsi="Times New Roman"/>
          <w:color w:val="000000" w:themeColor="text1"/>
          <w:sz w:val="24"/>
          <w:szCs w:val="24"/>
        </w:rPr>
        <w:t xml:space="preserve"> mēnešus reģistrēti bezdarbnieki. </w:t>
      </w:r>
      <w:r w:rsidR="00DC5830" w:rsidRPr="00B557E8">
        <w:rPr>
          <w:rFonts w:ascii="Times New Roman" w:hAnsi="Times New Roman"/>
          <w:color w:val="000000" w:themeColor="text1"/>
          <w:sz w:val="24"/>
          <w:szCs w:val="24"/>
        </w:rPr>
        <w:t>2011.gada 15.septembrī ES fondu uzraudzības komitejas sēdē tika apstiprināti projektu iesniegumu vērtēšanas kritēriji</w:t>
      </w:r>
      <w:r w:rsidR="00EC520E" w:rsidRPr="00B557E8">
        <w:rPr>
          <w:rFonts w:ascii="Times New Roman" w:hAnsi="Times New Roman"/>
          <w:color w:val="000000" w:themeColor="text1"/>
          <w:sz w:val="24"/>
          <w:szCs w:val="24"/>
        </w:rPr>
        <w:t>.</w:t>
      </w:r>
      <w:r w:rsidR="00DC5830" w:rsidRPr="00B557E8">
        <w:rPr>
          <w:rFonts w:ascii="Times New Roman" w:hAnsi="Times New Roman"/>
          <w:color w:val="000000" w:themeColor="text1"/>
          <w:sz w:val="24"/>
          <w:szCs w:val="24"/>
        </w:rPr>
        <w:t xml:space="preserve"> </w:t>
      </w:r>
    </w:p>
    <w:p w:rsidR="00EC520E" w:rsidRPr="00B557E8" w:rsidRDefault="00EC520E" w:rsidP="00B557E8">
      <w:pPr>
        <w:pStyle w:val="ListParagraph"/>
        <w:numPr>
          <w:ilvl w:val="0"/>
          <w:numId w:val="61"/>
        </w:numPr>
        <w:suppressAutoHyphens/>
        <w:autoSpaceDN w:val="0"/>
        <w:spacing w:before="120" w:after="120"/>
        <w:jc w:val="both"/>
        <w:textAlignment w:val="baseline"/>
        <w:rPr>
          <w:rFonts w:ascii="Times New Roman" w:hAnsi="Times New Roman"/>
          <w:color w:val="000000" w:themeColor="text1"/>
          <w:sz w:val="24"/>
          <w:szCs w:val="24"/>
        </w:rPr>
      </w:pPr>
      <w:r w:rsidRPr="00B557E8">
        <w:rPr>
          <w:rFonts w:ascii="Times New Roman" w:hAnsi="Times New Roman"/>
          <w:color w:val="000000" w:themeColor="text1"/>
          <w:sz w:val="24"/>
          <w:szCs w:val="24"/>
        </w:rPr>
        <w:t xml:space="preserve">2011.gada 27.septembrī MK apstiprināja grozījumus darbības programmas „Cilvēkresursi un nodarbinātība” papildinājumā, </w:t>
      </w:r>
      <w:r w:rsidR="00F86F93" w:rsidRPr="00B557E8">
        <w:rPr>
          <w:rFonts w:ascii="Times New Roman" w:hAnsi="Times New Roman"/>
          <w:color w:val="000000" w:themeColor="text1"/>
          <w:sz w:val="24"/>
          <w:szCs w:val="24"/>
        </w:rPr>
        <w:t>paredzot finansējuma pārdali no</w:t>
      </w:r>
      <w:r w:rsidRPr="00B557E8">
        <w:rPr>
          <w:rFonts w:ascii="Times New Roman" w:hAnsi="Times New Roman"/>
          <w:color w:val="000000" w:themeColor="text1"/>
          <w:sz w:val="24"/>
          <w:szCs w:val="24"/>
        </w:rPr>
        <w:t xml:space="preserve"> 1.5.3.2.aktivitātes „Plānošanas reģionu un vietējo pašvaldību attīstības plānošanas kapacitātes paaugstināšana” uz 1.5.3.1.aktivitāti „Speciālistu piesaiste plānošanas reģioniem, pilsētām un novadiem” 14</w:t>
      </w:r>
      <w:r w:rsidR="00412193" w:rsidRPr="00B557E8">
        <w:rPr>
          <w:rFonts w:ascii="Times New Roman" w:hAnsi="Times New Roman"/>
          <w:color w:val="000000" w:themeColor="text1"/>
          <w:sz w:val="24"/>
          <w:szCs w:val="24"/>
        </w:rPr>
        <w:t>,8</w:t>
      </w:r>
      <w:r w:rsidRPr="00B557E8">
        <w:rPr>
          <w:rFonts w:ascii="Times New Roman" w:hAnsi="Times New Roman"/>
          <w:color w:val="000000" w:themeColor="text1"/>
          <w:sz w:val="24"/>
          <w:szCs w:val="24"/>
        </w:rPr>
        <w:t xml:space="preserve"> </w:t>
      </w:r>
      <w:proofErr w:type="spellStart"/>
      <w:r w:rsidR="00412193" w:rsidRPr="00B557E8">
        <w:rPr>
          <w:rFonts w:ascii="Times New Roman" w:hAnsi="Times New Roman"/>
          <w:color w:val="000000" w:themeColor="text1"/>
          <w:sz w:val="24"/>
          <w:szCs w:val="24"/>
        </w:rPr>
        <w:t>tūkst</w:t>
      </w:r>
      <w:proofErr w:type="spellEnd"/>
      <w:r w:rsidR="00412193" w:rsidRPr="00B557E8">
        <w:rPr>
          <w:rFonts w:ascii="Times New Roman" w:hAnsi="Times New Roman"/>
          <w:color w:val="000000" w:themeColor="text1"/>
          <w:sz w:val="24"/>
          <w:szCs w:val="24"/>
        </w:rPr>
        <w:t>.</w:t>
      </w:r>
      <w:r w:rsidRPr="00B557E8">
        <w:rPr>
          <w:rFonts w:ascii="Times New Roman" w:hAnsi="Times New Roman"/>
          <w:color w:val="000000" w:themeColor="text1"/>
          <w:sz w:val="24"/>
          <w:szCs w:val="24"/>
        </w:rPr>
        <w:t xml:space="preserve"> latu apmērā, lai </w:t>
      </w:r>
      <w:r w:rsidR="00F86F93" w:rsidRPr="00B557E8">
        <w:rPr>
          <w:rFonts w:ascii="Times New Roman" w:hAnsi="Times New Roman"/>
          <w:color w:val="000000" w:themeColor="text1"/>
          <w:sz w:val="24"/>
          <w:szCs w:val="24"/>
        </w:rPr>
        <w:t>nodrošinātu finansējumu papildu</w:t>
      </w:r>
      <w:r w:rsidRPr="00B557E8">
        <w:rPr>
          <w:rFonts w:ascii="Times New Roman" w:hAnsi="Times New Roman"/>
          <w:color w:val="000000" w:themeColor="text1"/>
          <w:sz w:val="24"/>
          <w:szCs w:val="24"/>
        </w:rPr>
        <w:t xml:space="preserve"> projektu iesniegumu apstiprināšanai, veicinot speciālistu piesaisti pašvaldībās.</w:t>
      </w:r>
    </w:p>
    <w:p w:rsidR="00526F3A" w:rsidRPr="00B557E8" w:rsidRDefault="00526F3A" w:rsidP="00B557E8">
      <w:pPr>
        <w:pStyle w:val="ListParagraph"/>
        <w:numPr>
          <w:ilvl w:val="0"/>
          <w:numId w:val="61"/>
        </w:numPr>
        <w:suppressAutoHyphens/>
        <w:autoSpaceDN w:val="0"/>
        <w:spacing w:before="120" w:after="120"/>
        <w:jc w:val="both"/>
        <w:textAlignment w:val="baseline"/>
        <w:rPr>
          <w:rFonts w:ascii="Times New Roman" w:hAnsi="Times New Roman"/>
          <w:color w:val="000000" w:themeColor="text1"/>
          <w:sz w:val="24"/>
          <w:szCs w:val="24"/>
        </w:rPr>
      </w:pPr>
      <w:r w:rsidRPr="00B557E8">
        <w:rPr>
          <w:rFonts w:ascii="Times New Roman" w:hAnsi="Times New Roman"/>
          <w:color w:val="000000" w:themeColor="text1"/>
          <w:sz w:val="24"/>
          <w:szCs w:val="24"/>
        </w:rPr>
        <w:t>2011.gada 28.septembrī ar MK rīkojumu Nr.486 apstiprināti grozījumi darbības programmā „Cilvēkresursi un nodarbinātība”, paredzot šādus grozījumus:</w:t>
      </w:r>
    </w:p>
    <w:p w:rsidR="00526F3A" w:rsidRPr="00B557E8" w:rsidRDefault="00526F3A" w:rsidP="00B557E8">
      <w:pPr>
        <w:pStyle w:val="ListParagraph"/>
        <w:numPr>
          <w:ilvl w:val="0"/>
          <w:numId w:val="41"/>
        </w:numPr>
        <w:spacing w:before="120" w:after="120"/>
        <w:ind w:right="141"/>
        <w:jc w:val="both"/>
        <w:rPr>
          <w:rFonts w:ascii="Times New Roman" w:hAnsi="Times New Roman"/>
          <w:color w:val="000000" w:themeColor="text1"/>
          <w:sz w:val="24"/>
          <w:szCs w:val="24"/>
          <w:lang w:eastAsia="x-none"/>
        </w:rPr>
      </w:pPr>
      <w:r w:rsidRPr="00B557E8">
        <w:rPr>
          <w:rFonts w:ascii="Times New Roman" w:hAnsi="Times New Roman"/>
          <w:color w:val="000000" w:themeColor="text1"/>
          <w:sz w:val="24"/>
          <w:szCs w:val="24"/>
          <w:lang w:eastAsia="x-none"/>
        </w:rPr>
        <w:t>Pārdalīt</w:t>
      </w:r>
      <w:r w:rsidR="00EC520E" w:rsidRPr="00B557E8">
        <w:rPr>
          <w:rFonts w:ascii="Times New Roman" w:hAnsi="Times New Roman"/>
          <w:color w:val="000000" w:themeColor="text1"/>
          <w:sz w:val="24"/>
          <w:szCs w:val="24"/>
          <w:lang w:eastAsia="x-none"/>
        </w:rPr>
        <w:t>s</w:t>
      </w:r>
      <w:r w:rsidRPr="00B557E8">
        <w:rPr>
          <w:rFonts w:ascii="Times New Roman" w:hAnsi="Times New Roman"/>
          <w:color w:val="000000" w:themeColor="text1"/>
          <w:sz w:val="24"/>
          <w:szCs w:val="24"/>
          <w:lang w:eastAsia="x-none"/>
        </w:rPr>
        <w:t xml:space="preserve"> finansējum</w:t>
      </w:r>
      <w:r w:rsidR="00EC520E" w:rsidRPr="00B557E8">
        <w:rPr>
          <w:rFonts w:ascii="Times New Roman" w:hAnsi="Times New Roman"/>
          <w:color w:val="000000" w:themeColor="text1"/>
          <w:sz w:val="24"/>
          <w:szCs w:val="24"/>
          <w:lang w:eastAsia="x-none"/>
        </w:rPr>
        <w:t>s</w:t>
      </w:r>
      <w:r w:rsidR="00412193" w:rsidRPr="00B557E8">
        <w:rPr>
          <w:rFonts w:ascii="Times New Roman" w:hAnsi="Times New Roman"/>
          <w:color w:val="000000" w:themeColor="text1"/>
          <w:sz w:val="24"/>
          <w:szCs w:val="24"/>
          <w:lang w:eastAsia="x-none"/>
        </w:rPr>
        <w:t xml:space="preserve"> 5,3 </w:t>
      </w:r>
      <w:proofErr w:type="spellStart"/>
      <w:r w:rsidR="00412193" w:rsidRPr="00B557E8">
        <w:rPr>
          <w:rFonts w:ascii="Times New Roman" w:hAnsi="Times New Roman"/>
          <w:color w:val="000000" w:themeColor="text1"/>
          <w:sz w:val="24"/>
          <w:szCs w:val="24"/>
          <w:lang w:eastAsia="x-none"/>
        </w:rPr>
        <w:t>milj</w:t>
      </w:r>
      <w:proofErr w:type="spellEnd"/>
      <w:r w:rsidR="00412193" w:rsidRPr="00B557E8">
        <w:rPr>
          <w:rFonts w:ascii="Times New Roman" w:hAnsi="Times New Roman"/>
          <w:color w:val="000000" w:themeColor="text1"/>
          <w:sz w:val="24"/>
          <w:szCs w:val="24"/>
          <w:lang w:eastAsia="x-none"/>
        </w:rPr>
        <w:t xml:space="preserve">. </w:t>
      </w:r>
      <w:r w:rsidR="00BF1645" w:rsidRPr="00B557E8">
        <w:rPr>
          <w:rFonts w:ascii="Times New Roman" w:hAnsi="Times New Roman"/>
          <w:color w:val="000000" w:themeColor="text1"/>
          <w:sz w:val="24"/>
          <w:szCs w:val="24"/>
          <w:lang w:eastAsia="x-none"/>
        </w:rPr>
        <w:t>latu</w:t>
      </w:r>
      <w:r w:rsidRPr="00B557E8">
        <w:rPr>
          <w:rFonts w:ascii="Times New Roman" w:hAnsi="Times New Roman"/>
          <w:color w:val="000000" w:themeColor="text1"/>
          <w:sz w:val="24"/>
          <w:szCs w:val="24"/>
          <w:lang w:eastAsia="x-none"/>
        </w:rPr>
        <w:t xml:space="preserve"> apmērā</w:t>
      </w:r>
      <w:r w:rsidR="0009646D" w:rsidRPr="00B557E8">
        <w:rPr>
          <w:rFonts w:ascii="Times New Roman" w:hAnsi="Times New Roman"/>
          <w:color w:val="000000" w:themeColor="text1"/>
          <w:sz w:val="24"/>
          <w:szCs w:val="24"/>
          <w:lang w:eastAsia="x-none"/>
        </w:rPr>
        <w:t xml:space="preserve"> no</w:t>
      </w:r>
      <w:r w:rsidRPr="00B557E8">
        <w:rPr>
          <w:rFonts w:ascii="Times New Roman" w:hAnsi="Times New Roman"/>
          <w:color w:val="000000" w:themeColor="text1"/>
          <w:sz w:val="24"/>
          <w:szCs w:val="24"/>
          <w:lang w:eastAsia="x-none"/>
        </w:rPr>
        <w:t xml:space="preserve"> </w:t>
      </w:r>
      <w:r w:rsidR="00CA2CBE" w:rsidRPr="00B557E8">
        <w:rPr>
          <w:rFonts w:ascii="Times New Roman" w:hAnsi="Times New Roman"/>
          <w:color w:val="000000" w:themeColor="text1"/>
          <w:sz w:val="24"/>
          <w:szCs w:val="24"/>
          <w:lang w:eastAsia="x-none"/>
        </w:rPr>
        <w:t>IZM</w:t>
      </w:r>
      <w:r w:rsidRPr="00B557E8">
        <w:rPr>
          <w:rFonts w:ascii="Times New Roman" w:hAnsi="Times New Roman"/>
          <w:color w:val="000000" w:themeColor="text1"/>
          <w:sz w:val="24"/>
          <w:szCs w:val="24"/>
          <w:lang w:eastAsia="x-none"/>
        </w:rPr>
        <w:t xml:space="preserve"> </w:t>
      </w:r>
      <w:proofErr w:type="spellStart"/>
      <w:r w:rsidRPr="00B557E8">
        <w:rPr>
          <w:rFonts w:ascii="Times New Roman" w:hAnsi="Times New Roman"/>
          <w:color w:val="000000" w:themeColor="text1"/>
          <w:sz w:val="24"/>
          <w:szCs w:val="24"/>
          <w:lang w:eastAsia="x-none"/>
        </w:rPr>
        <w:t>pārziņā</w:t>
      </w:r>
      <w:proofErr w:type="spellEnd"/>
      <w:r w:rsidRPr="00B557E8">
        <w:rPr>
          <w:rFonts w:ascii="Times New Roman" w:hAnsi="Times New Roman"/>
          <w:color w:val="000000" w:themeColor="text1"/>
          <w:sz w:val="24"/>
          <w:szCs w:val="24"/>
          <w:lang w:eastAsia="x-none"/>
        </w:rPr>
        <w:t xml:space="preserve"> esošo </w:t>
      </w:r>
      <w:r w:rsidR="00BF1645" w:rsidRPr="00B557E8">
        <w:rPr>
          <w:rFonts w:ascii="Times New Roman" w:hAnsi="Times New Roman"/>
          <w:color w:val="000000" w:themeColor="text1"/>
          <w:sz w:val="24"/>
          <w:szCs w:val="24"/>
          <w:lang w:eastAsia="x-none"/>
        </w:rPr>
        <w:t>darbības programmas</w:t>
      </w:r>
      <w:r w:rsidRPr="00B557E8">
        <w:rPr>
          <w:rFonts w:ascii="Times New Roman" w:hAnsi="Times New Roman"/>
          <w:color w:val="000000" w:themeColor="text1"/>
          <w:sz w:val="24"/>
          <w:szCs w:val="24"/>
          <w:lang w:eastAsia="x-none"/>
        </w:rPr>
        <w:t xml:space="preserve"> aktivitāšu neapgūtajiem līdzekļiem 1.1.1.2.aktivitātes „Cilvēkresursu piesaiste zinātnei” otrās projektu iesniegumu atlases kārta</w:t>
      </w:r>
      <w:r w:rsidR="00F86F93" w:rsidRPr="00B557E8">
        <w:rPr>
          <w:rFonts w:ascii="Times New Roman" w:hAnsi="Times New Roman"/>
          <w:color w:val="000000" w:themeColor="text1"/>
          <w:sz w:val="24"/>
          <w:szCs w:val="24"/>
          <w:lang w:eastAsia="x-none"/>
        </w:rPr>
        <w:t>s īstenošanai. Tā kā tuvākajos trīs</w:t>
      </w:r>
      <w:r w:rsidRPr="00B557E8">
        <w:rPr>
          <w:rFonts w:ascii="Times New Roman" w:hAnsi="Times New Roman"/>
          <w:color w:val="000000" w:themeColor="text1"/>
          <w:sz w:val="24"/>
          <w:szCs w:val="24"/>
          <w:lang w:eastAsia="x-none"/>
        </w:rPr>
        <w:t xml:space="preserve"> gados Latvijā doktora zinātnisko grādu iegūs līdz 860 personām, ir nepieciešams arī pēc 2012.gada nodrošināt ESF atbalstu darba vietu izveidei jaunajiem zinātniekiem, kā arī veicināt speciālistu atgriešanos, kas pašlaik strādā vai studē doktorantūrā ārvalstu augstskolās un zinātniskajos institūtos</w:t>
      </w:r>
      <w:r w:rsidR="0039301C" w:rsidRPr="00B557E8">
        <w:rPr>
          <w:rFonts w:ascii="Times New Roman" w:hAnsi="Times New Roman"/>
          <w:color w:val="000000" w:themeColor="text1"/>
          <w:sz w:val="24"/>
          <w:szCs w:val="24"/>
          <w:lang w:eastAsia="x-none"/>
        </w:rPr>
        <w:t>;</w:t>
      </w:r>
    </w:p>
    <w:p w:rsidR="00526F3A" w:rsidRPr="00B557E8" w:rsidRDefault="00526F3A" w:rsidP="00B557E8">
      <w:pPr>
        <w:pStyle w:val="ListParagraph"/>
        <w:numPr>
          <w:ilvl w:val="0"/>
          <w:numId w:val="41"/>
        </w:numPr>
        <w:spacing w:before="120" w:after="120"/>
        <w:ind w:right="141"/>
        <w:jc w:val="both"/>
        <w:rPr>
          <w:rFonts w:ascii="Times New Roman" w:hAnsi="Times New Roman"/>
          <w:color w:val="000000" w:themeColor="text1"/>
          <w:sz w:val="24"/>
          <w:szCs w:val="24"/>
          <w:lang w:eastAsia="x-none"/>
        </w:rPr>
      </w:pPr>
      <w:r w:rsidRPr="00B557E8">
        <w:rPr>
          <w:rFonts w:ascii="Times New Roman" w:hAnsi="Times New Roman"/>
          <w:color w:val="000000" w:themeColor="text1"/>
          <w:sz w:val="24"/>
          <w:szCs w:val="24"/>
          <w:lang w:eastAsia="x-none"/>
        </w:rPr>
        <w:t>Piešķirt</w:t>
      </w:r>
      <w:r w:rsidR="00EC520E" w:rsidRPr="00B557E8">
        <w:rPr>
          <w:rFonts w:ascii="Times New Roman" w:hAnsi="Times New Roman"/>
          <w:color w:val="000000" w:themeColor="text1"/>
          <w:sz w:val="24"/>
          <w:szCs w:val="24"/>
          <w:lang w:eastAsia="x-none"/>
        </w:rPr>
        <w:t>s</w:t>
      </w:r>
      <w:r w:rsidRPr="00B557E8">
        <w:rPr>
          <w:rFonts w:ascii="Times New Roman" w:hAnsi="Times New Roman"/>
          <w:color w:val="000000" w:themeColor="text1"/>
          <w:sz w:val="24"/>
          <w:szCs w:val="24"/>
          <w:lang w:eastAsia="x-none"/>
        </w:rPr>
        <w:t xml:space="preserve"> </w:t>
      </w:r>
      <w:r w:rsidR="00CA2CBE" w:rsidRPr="00B557E8">
        <w:rPr>
          <w:rFonts w:ascii="Times New Roman" w:hAnsi="Times New Roman"/>
          <w:color w:val="000000" w:themeColor="text1"/>
          <w:sz w:val="24"/>
          <w:szCs w:val="24"/>
          <w:lang w:eastAsia="x-none"/>
        </w:rPr>
        <w:t xml:space="preserve">LM </w:t>
      </w:r>
      <w:proofErr w:type="spellStart"/>
      <w:r w:rsidRPr="00B557E8">
        <w:rPr>
          <w:rFonts w:ascii="Times New Roman" w:hAnsi="Times New Roman"/>
          <w:color w:val="000000" w:themeColor="text1"/>
          <w:sz w:val="24"/>
          <w:szCs w:val="24"/>
          <w:lang w:eastAsia="x-none"/>
        </w:rPr>
        <w:t>pārziņā</w:t>
      </w:r>
      <w:proofErr w:type="spellEnd"/>
      <w:r w:rsidRPr="00B557E8">
        <w:rPr>
          <w:rFonts w:ascii="Times New Roman" w:hAnsi="Times New Roman"/>
          <w:color w:val="000000" w:themeColor="text1"/>
          <w:sz w:val="24"/>
          <w:szCs w:val="24"/>
          <w:lang w:eastAsia="x-none"/>
        </w:rPr>
        <w:t xml:space="preserve"> esošajai </w:t>
      </w:r>
      <w:r w:rsidR="00BF1645" w:rsidRPr="00B557E8">
        <w:rPr>
          <w:rFonts w:ascii="Times New Roman" w:hAnsi="Times New Roman"/>
          <w:color w:val="000000" w:themeColor="text1"/>
          <w:sz w:val="24"/>
          <w:szCs w:val="24"/>
          <w:lang w:eastAsia="x-none"/>
        </w:rPr>
        <w:t>darbības programmas</w:t>
      </w:r>
      <w:r w:rsidRPr="00B557E8">
        <w:rPr>
          <w:rFonts w:ascii="Times New Roman" w:hAnsi="Times New Roman"/>
          <w:color w:val="000000" w:themeColor="text1"/>
          <w:sz w:val="24"/>
          <w:szCs w:val="24"/>
          <w:lang w:eastAsia="x-none"/>
        </w:rPr>
        <w:t xml:space="preserve"> papildinājuma  1.3.1.1.3.apakšaktivitātei „Bezdarbnieku un darba meklētāju apmācība” papildu  ESF finansējum</w:t>
      </w:r>
      <w:r w:rsidR="00EC520E" w:rsidRPr="00B557E8">
        <w:rPr>
          <w:rFonts w:ascii="Times New Roman" w:hAnsi="Times New Roman"/>
          <w:color w:val="000000" w:themeColor="text1"/>
          <w:sz w:val="24"/>
          <w:szCs w:val="24"/>
          <w:lang w:eastAsia="x-none"/>
        </w:rPr>
        <w:t>s</w:t>
      </w:r>
      <w:r w:rsidR="00412193" w:rsidRPr="00B557E8">
        <w:rPr>
          <w:rFonts w:ascii="Times New Roman" w:hAnsi="Times New Roman"/>
          <w:color w:val="000000" w:themeColor="text1"/>
          <w:sz w:val="24"/>
          <w:szCs w:val="24"/>
          <w:lang w:eastAsia="x-none"/>
        </w:rPr>
        <w:t xml:space="preserve"> 11,2 </w:t>
      </w:r>
      <w:proofErr w:type="spellStart"/>
      <w:r w:rsidR="00412193" w:rsidRPr="00B557E8">
        <w:rPr>
          <w:rFonts w:ascii="Times New Roman" w:hAnsi="Times New Roman"/>
          <w:color w:val="000000" w:themeColor="text1"/>
          <w:sz w:val="24"/>
          <w:szCs w:val="24"/>
          <w:lang w:eastAsia="x-none"/>
        </w:rPr>
        <w:t>milj</w:t>
      </w:r>
      <w:proofErr w:type="spellEnd"/>
      <w:r w:rsidR="00412193" w:rsidRPr="00B557E8">
        <w:rPr>
          <w:rFonts w:ascii="Times New Roman" w:hAnsi="Times New Roman"/>
          <w:color w:val="000000" w:themeColor="text1"/>
          <w:sz w:val="24"/>
          <w:szCs w:val="24"/>
          <w:lang w:eastAsia="x-none"/>
        </w:rPr>
        <w:t>.</w:t>
      </w:r>
      <w:r w:rsidRPr="00B557E8">
        <w:rPr>
          <w:rFonts w:ascii="Times New Roman" w:hAnsi="Times New Roman"/>
          <w:color w:val="000000" w:themeColor="text1"/>
          <w:sz w:val="24"/>
          <w:szCs w:val="24"/>
          <w:lang w:eastAsia="x-none"/>
        </w:rPr>
        <w:t xml:space="preserve"> </w:t>
      </w:r>
      <w:r w:rsidR="00BF1645" w:rsidRPr="00B557E8">
        <w:rPr>
          <w:rFonts w:ascii="Times New Roman" w:hAnsi="Times New Roman"/>
          <w:color w:val="000000" w:themeColor="text1"/>
          <w:sz w:val="24"/>
          <w:szCs w:val="24"/>
          <w:lang w:eastAsia="x-none"/>
        </w:rPr>
        <w:t>latu</w:t>
      </w:r>
      <w:r w:rsidRPr="00B557E8">
        <w:rPr>
          <w:rFonts w:ascii="Times New Roman" w:hAnsi="Times New Roman"/>
          <w:color w:val="000000" w:themeColor="text1"/>
          <w:sz w:val="24"/>
          <w:szCs w:val="24"/>
          <w:lang w:eastAsia="x-none"/>
        </w:rPr>
        <w:t xml:space="preserve"> apmērā bezdarbnieku apmācībām pēc darba devēju pieprasījuma Latvijas prioritārajās nozarēs</w:t>
      </w:r>
      <w:r w:rsidR="0039301C" w:rsidRPr="00B557E8">
        <w:rPr>
          <w:rFonts w:ascii="Times New Roman" w:hAnsi="Times New Roman"/>
          <w:color w:val="000000" w:themeColor="text1"/>
          <w:sz w:val="24"/>
          <w:szCs w:val="24"/>
          <w:lang w:eastAsia="x-none"/>
        </w:rPr>
        <w:t>;</w:t>
      </w:r>
      <w:r w:rsidRPr="00B557E8">
        <w:rPr>
          <w:rFonts w:ascii="Times New Roman" w:hAnsi="Times New Roman"/>
          <w:color w:val="000000" w:themeColor="text1"/>
          <w:sz w:val="24"/>
          <w:szCs w:val="24"/>
          <w:lang w:eastAsia="x-none"/>
        </w:rPr>
        <w:t xml:space="preserve"> </w:t>
      </w:r>
    </w:p>
    <w:p w:rsidR="0070174B" w:rsidRPr="00B557E8" w:rsidRDefault="00526F3A" w:rsidP="00B557E8">
      <w:pPr>
        <w:pStyle w:val="ListParagraph"/>
        <w:numPr>
          <w:ilvl w:val="0"/>
          <w:numId w:val="41"/>
        </w:numPr>
        <w:spacing w:before="120" w:after="120"/>
        <w:ind w:right="141"/>
        <w:jc w:val="both"/>
        <w:rPr>
          <w:rFonts w:ascii="Times New Roman" w:hAnsi="Times New Roman"/>
          <w:color w:val="000000" w:themeColor="text1"/>
          <w:sz w:val="24"/>
          <w:szCs w:val="24"/>
          <w:lang w:eastAsia="x-none"/>
        </w:rPr>
      </w:pPr>
      <w:r w:rsidRPr="00B557E8">
        <w:rPr>
          <w:rFonts w:ascii="Times New Roman" w:hAnsi="Times New Roman"/>
          <w:color w:val="000000" w:themeColor="text1"/>
          <w:sz w:val="24"/>
          <w:szCs w:val="24"/>
          <w:lang w:eastAsia="x-none"/>
        </w:rPr>
        <w:t>Piešķirt</w:t>
      </w:r>
      <w:r w:rsidR="00EC520E" w:rsidRPr="00B557E8">
        <w:rPr>
          <w:rFonts w:ascii="Times New Roman" w:hAnsi="Times New Roman"/>
          <w:color w:val="000000" w:themeColor="text1"/>
          <w:sz w:val="24"/>
          <w:szCs w:val="24"/>
          <w:lang w:eastAsia="x-none"/>
        </w:rPr>
        <w:t>s</w:t>
      </w:r>
      <w:r w:rsidRPr="00B557E8">
        <w:rPr>
          <w:rFonts w:ascii="Times New Roman" w:hAnsi="Times New Roman"/>
          <w:color w:val="000000" w:themeColor="text1"/>
          <w:sz w:val="24"/>
          <w:szCs w:val="24"/>
          <w:lang w:eastAsia="x-none"/>
        </w:rPr>
        <w:t xml:space="preserve"> </w:t>
      </w:r>
      <w:r w:rsidR="0009646D" w:rsidRPr="00B557E8">
        <w:rPr>
          <w:rFonts w:ascii="Times New Roman" w:hAnsi="Times New Roman"/>
          <w:color w:val="000000" w:themeColor="text1"/>
          <w:sz w:val="24"/>
          <w:szCs w:val="24"/>
          <w:lang w:eastAsia="x-none"/>
        </w:rPr>
        <w:t>LM</w:t>
      </w:r>
      <w:r w:rsidRPr="00B557E8">
        <w:rPr>
          <w:rFonts w:ascii="Times New Roman" w:hAnsi="Times New Roman"/>
          <w:color w:val="000000" w:themeColor="text1"/>
          <w:sz w:val="24"/>
          <w:szCs w:val="24"/>
          <w:lang w:eastAsia="x-none"/>
        </w:rPr>
        <w:t xml:space="preserve"> </w:t>
      </w:r>
      <w:proofErr w:type="spellStart"/>
      <w:r w:rsidRPr="00B557E8">
        <w:rPr>
          <w:rFonts w:ascii="Times New Roman" w:hAnsi="Times New Roman"/>
          <w:color w:val="000000" w:themeColor="text1"/>
          <w:sz w:val="24"/>
          <w:szCs w:val="24"/>
          <w:lang w:eastAsia="x-none"/>
        </w:rPr>
        <w:t>pārziņā</w:t>
      </w:r>
      <w:proofErr w:type="spellEnd"/>
      <w:r w:rsidRPr="00B557E8">
        <w:rPr>
          <w:rFonts w:ascii="Times New Roman" w:hAnsi="Times New Roman"/>
          <w:color w:val="000000" w:themeColor="text1"/>
          <w:sz w:val="24"/>
          <w:szCs w:val="24"/>
          <w:lang w:eastAsia="x-none"/>
        </w:rPr>
        <w:t xml:space="preserve"> esošajiem aktīvā darba tirgus politikas pasākumiem  papildu finansējum</w:t>
      </w:r>
      <w:r w:rsidR="00EC520E" w:rsidRPr="00B557E8">
        <w:rPr>
          <w:rFonts w:ascii="Times New Roman" w:hAnsi="Times New Roman"/>
          <w:color w:val="000000" w:themeColor="text1"/>
          <w:sz w:val="24"/>
          <w:szCs w:val="24"/>
          <w:lang w:eastAsia="x-none"/>
        </w:rPr>
        <w:t>s</w:t>
      </w:r>
      <w:r w:rsidR="00412193" w:rsidRPr="00B557E8">
        <w:rPr>
          <w:rFonts w:ascii="Times New Roman" w:hAnsi="Times New Roman"/>
          <w:color w:val="000000" w:themeColor="text1"/>
          <w:sz w:val="24"/>
          <w:szCs w:val="24"/>
          <w:lang w:eastAsia="x-none"/>
        </w:rPr>
        <w:t xml:space="preserve">  25,9 </w:t>
      </w:r>
      <w:proofErr w:type="spellStart"/>
      <w:r w:rsidR="00412193" w:rsidRPr="00B557E8">
        <w:rPr>
          <w:rFonts w:ascii="Times New Roman" w:hAnsi="Times New Roman"/>
          <w:color w:val="000000" w:themeColor="text1"/>
          <w:sz w:val="24"/>
          <w:szCs w:val="24"/>
          <w:lang w:eastAsia="x-none"/>
        </w:rPr>
        <w:t>milj</w:t>
      </w:r>
      <w:proofErr w:type="spellEnd"/>
      <w:r w:rsidR="00412193" w:rsidRPr="00B557E8">
        <w:rPr>
          <w:rFonts w:ascii="Times New Roman" w:hAnsi="Times New Roman"/>
          <w:color w:val="000000" w:themeColor="text1"/>
          <w:sz w:val="24"/>
          <w:szCs w:val="24"/>
          <w:lang w:eastAsia="x-none"/>
        </w:rPr>
        <w:t>.</w:t>
      </w:r>
      <w:r w:rsidRPr="00B557E8">
        <w:rPr>
          <w:rFonts w:ascii="Times New Roman" w:hAnsi="Times New Roman"/>
          <w:color w:val="000000" w:themeColor="text1"/>
          <w:sz w:val="24"/>
          <w:szCs w:val="24"/>
          <w:lang w:eastAsia="x-none"/>
        </w:rPr>
        <w:t xml:space="preserve"> </w:t>
      </w:r>
      <w:r w:rsidR="00BF1645" w:rsidRPr="00B557E8">
        <w:rPr>
          <w:rFonts w:ascii="Times New Roman" w:hAnsi="Times New Roman"/>
          <w:color w:val="000000" w:themeColor="text1"/>
          <w:sz w:val="24"/>
          <w:szCs w:val="24"/>
          <w:lang w:eastAsia="x-none"/>
        </w:rPr>
        <w:t>latu</w:t>
      </w:r>
      <w:r w:rsidRPr="00B557E8">
        <w:rPr>
          <w:rFonts w:ascii="Times New Roman" w:hAnsi="Times New Roman"/>
          <w:color w:val="000000" w:themeColor="text1"/>
          <w:sz w:val="24"/>
          <w:szCs w:val="24"/>
          <w:lang w:eastAsia="x-none"/>
        </w:rPr>
        <w:t xml:space="preserve"> apmērā (</w:t>
      </w:r>
      <w:proofErr w:type="spellStart"/>
      <w:r w:rsidRPr="00B557E8">
        <w:rPr>
          <w:rFonts w:ascii="Times New Roman" w:hAnsi="Times New Roman"/>
          <w:color w:val="000000" w:themeColor="text1"/>
          <w:sz w:val="24"/>
          <w:szCs w:val="24"/>
          <w:lang w:eastAsia="x-none"/>
        </w:rPr>
        <w:t>t.sk</w:t>
      </w:r>
      <w:proofErr w:type="spellEnd"/>
      <w:r w:rsidR="0009646D" w:rsidRPr="00B557E8">
        <w:rPr>
          <w:rFonts w:ascii="Times New Roman" w:hAnsi="Times New Roman"/>
          <w:color w:val="000000" w:themeColor="text1"/>
          <w:sz w:val="24"/>
          <w:szCs w:val="24"/>
          <w:lang w:eastAsia="x-none"/>
        </w:rPr>
        <w:t>. ERAF</w:t>
      </w:r>
      <w:r w:rsidRPr="00B557E8">
        <w:rPr>
          <w:rFonts w:ascii="Times New Roman" w:hAnsi="Times New Roman"/>
          <w:color w:val="000000" w:themeColor="text1"/>
          <w:sz w:val="24"/>
          <w:szCs w:val="24"/>
          <w:lang w:eastAsia="x-none"/>
        </w:rPr>
        <w:t xml:space="preserve"> finansējum</w:t>
      </w:r>
      <w:r w:rsidR="00EC520E" w:rsidRPr="00B557E8">
        <w:rPr>
          <w:rFonts w:ascii="Times New Roman" w:hAnsi="Times New Roman"/>
          <w:color w:val="000000" w:themeColor="text1"/>
          <w:sz w:val="24"/>
          <w:szCs w:val="24"/>
          <w:lang w:eastAsia="x-none"/>
        </w:rPr>
        <w:t>s</w:t>
      </w:r>
      <w:r w:rsidRPr="00B557E8">
        <w:rPr>
          <w:rFonts w:ascii="Times New Roman" w:hAnsi="Times New Roman"/>
          <w:color w:val="000000" w:themeColor="text1"/>
          <w:sz w:val="24"/>
          <w:szCs w:val="24"/>
          <w:lang w:eastAsia="x-none"/>
        </w:rPr>
        <w:t xml:space="preserve"> </w:t>
      </w:r>
      <w:r w:rsidR="00412193" w:rsidRPr="00B557E8">
        <w:rPr>
          <w:rFonts w:ascii="Times New Roman" w:hAnsi="Times New Roman"/>
          <w:color w:val="000000" w:themeColor="text1"/>
          <w:sz w:val="24"/>
          <w:szCs w:val="24"/>
          <w:lang w:eastAsia="x-none"/>
        </w:rPr>
        <w:t xml:space="preserve">22,8 </w:t>
      </w:r>
      <w:proofErr w:type="spellStart"/>
      <w:r w:rsidR="00412193" w:rsidRPr="00B557E8">
        <w:rPr>
          <w:rFonts w:ascii="Times New Roman" w:hAnsi="Times New Roman"/>
          <w:color w:val="000000" w:themeColor="text1"/>
          <w:sz w:val="24"/>
          <w:szCs w:val="24"/>
          <w:lang w:eastAsia="x-none"/>
        </w:rPr>
        <w:t>milj</w:t>
      </w:r>
      <w:proofErr w:type="spellEnd"/>
      <w:r w:rsidR="00412193" w:rsidRPr="00B557E8">
        <w:rPr>
          <w:rFonts w:ascii="Times New Roman" w:hAnsi="Times New Roman"/>
          <w:color w:val="000000" w:themeColor="text1"/>
          <w:sz w:val="24"/>
          <w:szCs w:val="24"/>
          <w:lang w:eastAsia="x-none"/>
        </w:rPr>
        <w:t>.</w:t>
      </w:r>
      <w:r w:rsidRPr="00B557E8">
        <w:rPr>
          <w:rFonts w:ascii="Times New Roman" w:hAnsi="Times New Roman"/>
          <w:color w:val="000000" w:themeColor="text1"/>
          <w:sz w:val="24"/>
          <w:szCs w:val="24"/>
          <w:lang w:eastAsia="x-none"/>
        </w:rPr>
        <w:t xml:space="preserve"> </w:t>
      </w:r>
      <w:r w:rsidR="00BF1645" w:rsidRPr="00B557E8">
        <w:rPr>
          <w:rFonts w:ascii="Times New Roman" w:hAnsi="Times New Roman"/>
          <w:color w:val="000000" w:themeColor="text1"/>
          <w:sz w:val="24"/>
          <w:szCs w:val="24"/>
          <w:lang w:eastAsia="x-none"/>
        </w:rPr>
        <w:t>latu</w:t>
      </w:r>
      <w:r w:rsidRPr="00B557E8">
        <w:rPr>
          <w:rFonts w:ascii="Times New Roman" w:hAnsi="Times New Roman"/>
          <w:color w:val="000000" w:themeColor="text1"/>
          <w:sz w:val="24"/>
          <w:szCs w:val="24"/>
          <w:lang w:eastAsia="x-none"/>
        </w:rPr>
        <w:t xml:space="preserve"> apmērā no darbības programmas „Uzņēmējdarbība un inovācijas”), tādējādi ekonomiskās krīzes apstākļos nodrošinot papildus finansējumu bezdarbnieku un darba meklētāju apmācībām un viņu aktivēšanas pasākumiem</w:t>
      </w:r>
      <w:r w:rsidR="00F86F93" w:rsidRPr="00B557E8">
        <w:rPr>
          <w:rFonts w:ascii="Times New Roman" w:hAnsi="Times New Roman"/>
          <w:color w:val="000000" w:themeColor="text1"/>
          <w:sz w:val="24"/>
          <w:szCs w:val="24"/>
          <w:lang w:eastAsia="x-none"/>
        </w:rPr>
        <w:t>.</w:t>
      </w:r>
    </w:p>
    <w:p w:rsidR="00A12973" w:rsidRPr="00B557E8" w:rsidRDefault="00F3490B" w:rsidP="00B557E8">
      <w:pPr>
        <w:spacing w:before="120" w:after="120" w:line="276" w:lineRule="auto"/>
        <w:rPr>
          <w:b/>
          <w:iCs/>
          <w:color w:val="000000" w:themeColor="text1"/>
          <w:szCs w:val="24"/>
        </w:rPr>
      </w:pPr>
      <w:r w:rsidRPr="00B557E8">
        <w:rPr>
          <w:b/>
          <w:iCs/>
          <w:color w:val="000000" w:themeColor="text1"/>
          <w:szCs w:val="24"/>
        </w:rPr>
        <w:t>1</w:t>
      </w:r>
      <w:r w:rsidR="002532B5" w:rsidRPr="00B557E8">
        <w:rPr>
          <w:b/>
          <w:iCs/>
          <w:color w:val="000000" w:themeColor="text1"/>
          <w:szCs w:val="24"/>
        </w:rPr>
        <w:t xml:space="preserve">.1.2. </w:t>
      </w:r>
      <w:r w:rsidR="00A12973" w:rsidRPr="00B557E8">
        <w:rPr>
          <w:b/>
          <w:iCs/>
          <w:color w:val="000000" w:themeColor="text1"/>
          <w:szCs w:val="24"/>
        </w:rPr>
        <w:t xml:space="preserve">Darbības programma „Uzņēmējdarbība un inovācijas” un tās papildinājums </w:t>
      </w:r>
    </w:p>
    <w:p w:rsidR="00017679" w:rsidRPr="00B557E8" w:rsidRDefault="00017679" w:rsidP="00B557E8">
      <w:pPr>
        <w:pStyle w:val="ListParagraph"/>
        <w:numPr>
          <w:ilvl w:val="0"/>
          <w:numId w:val="62"/>
        </w:numPr>
        <w:suppressAutoHyphens/>
        <w:autoSpaceDN w:val="0"/>
        <w:spacing w:before="120" w:after="120"/>
        <w:jc w:val="both"/>
        <w:textAlignment w:val="baseline"/>
        <w:rPr>
          <w:rFonts w:ascii="Times New Roman" w:hAnsi="Times New Roman"/>
          <w:color w:val="000000" w:themeColor="text1"/>
          <w:sz w:val="24"/>
          <w:szCs w:val="24"/>
        </w:rPr>
      </w:pPr>
      <w:r w:rsidRPr="00B557E8">
        <w:rPr>
          <w:rFonts w:ascii="Times New Roman" w:hAnsi="Times New Roman"/>
          <w:color w:val="000000" w:themeColor="text1"/>
          <w:sz w:val="24"/>
          <w:szCs w:val="24"/>
        </w:rPr>
        <w:t xml:space="preserve">Lai veicinātu finanšu resursu pieejamību komersantiem, kā arī sniegtu atbalstu zinātnes attīstībai </w:t>
      </w:r>
      <w:r w:rsidR="00446387" w:rsidRPr="00B557E8">
        <w:rPr>
          <w:rFonts w:ascii="Times New Roman" w:hAnsi="Times New Roman"/>
          <w:color w:val="000000" w:themeColor="text1"/>
          <w:sz w:val="24"/>
          <w:szCs w:val="24"/>
        </w:rPr>
        <w:t>MK</w:t>
      </w:r>
      <w:r w:rsidRPr="00B557E8">
        <w:rPr>
          <w:rFonts w:ascii="Times New Roman" w:hAnsi="Times New Roman"/>
          <w:color w:val="000000" w:themeColor="text1"/>
          <w:sz w:val="24"/>
          <w:szCs w:val="24"/>
        </w:rPr>
        <w:t xml:space="preserve"> 2011.gada 14.jūnija sēdē tika apstiprināti grozījumi darbības programmas </w:t>
      </w:r>
      <w:r w:rsidRPr="00B557E8">
        <w:rPr>
          <w:rFonts w:ascii="Times New Roman" w:hAnsi="Times New Roman"/>
          <w:color w:val="000000" w:themeColor="text1"/>
          <w:sz w:val="24"/>
          <w:szCs w:val="24"/>
        </w:rPr>
        <w:lastRenderedPageBreak/>
        <w:t xml:space="preserve">„Uzņēmējdarbība un inovācijas” papildinājumā (MK 2011.gada </w:t>
      </w:r>
      <w:r w:rsidR="00F86F93" w:rsidRPr="00B557E8">
        <w:rPr>
          <w:rFonts w:ascii="Times New Roman" w:hAnsi="Times New Roman"/>
          <w:color w:val="000000" w:themeColor="text1"/>
          <w:sz w:val="24"/>
          <w:szCs w:val="24"/>
        </w:rPr>
        <w:t>5.jūlija rīkojums Nr.</w:t>
      </w:r>
      <w:r w:rsidR="000E457B" w:rsidRPr="00B557E8">
        <w:rPr>
          <w:rFonts w:ascii="Times New Roman" w:hAnsi="Times New Roman"/>
          <w:color w:val="000000" w:themeColor="text1"/>
          <w:sz w:val="24"/>
          <w:szCs w:val="24"/>
        </w:rPr>
        <w:t>296), kas</w:t>
      </w:r>
      <w:r w:rsidRPr="00B557E8">
        <w:rPr>
          <w:rFonts w:ascii="Times New Roman" w:hAnsi="Times New Roman"/>
          <w:color w:val="000000" w:themeColor="text1"/>
          <w:sz w:val="24"/>
          <w:szCs w:val="24"/>
        </w:rPr>
        <w:t xml:space="preserve"> paredz veikt finansējuma pārdales prioritāšu ietvaros, novirzot: </w:t>
      </w:r>
    </w:p>
    <w:p w:rsidR="00017679" w:rsidRPr="00B557E8" w:rsidRDefault="00017679" w:rsidP="00B557E8">
      <w:pPr>
        <w:numPr>
          <w:ilvl w:val="0"/>
          <w:numId w:val="55"/>
        </w:numPr>
        <w:spacing w:before="120" w:after="120" w:line="276" w:lineRule="auto"/>
        <w:ind w:left="851" w:hanging="425"/>
        <w:rPr>
          <w:color w:val="000000" w:themeColor="text1"/>
          <w:szCs w:val="24"/>
          <w:lang w:eastAsia="lv-LV"/>
        </w:rPr>
      </w:pPr>
      <w:r w:rsidRPr="00B557E8">
        <w:rPr>
          <w:color w:val="000000" w:themeColor="text1"/>
          <w:szCs w:val="24"/>
          <w:lang w:eastAsia="lv-LV"/>
        </w:rPr>
        <w:t>2.2.1.3.aktivitātes „Garantijas komersantu konkurētspējas uzlabošanai” ietvaros pieejamo ERAF finansējumu  10</w:t>
      </w:r>
      <w:r w:rsidR="00412193" w:rsidRPr="00B557E8">
        <w:rPr>
          <w:color w:val="000000" w:themeColor="text1"/>
          <w:szCs w:val="24"/>
          <w:lang w:eastAsia="lv-LV"/>
        </w:rPr>
        <w:t xml:space="preserve">,7 </w:t>
      </w:r>
      <w:proofErr w:type="spellStart"/>
      <w:r w:rsidR="00412193" w:rsidRPr="00B557E8">
        <w:rPr>
          <w:color w:val="000000" w:themeColor="text1"/>
          <w:szCs w:val="24"/>
          <w:lang w:eastAsia="lv-LV"/>
        </w:rPr>
        <w:t>milj.</w:t>
      </w:r>
      <w:r w:rsidRPr="00B557E8">
        <w:rPr>
          <w:color w:val="000000" w:themeColor="text1"/>
          <w:szCs w:val="24"/>
          <w:lang w:eastAsia="lv-LV"/>
        </w:rPr>
        <w:t> </w:t>
      </w:r>
      <w:r w:rsidR="00412193" w:rsidRPr="00B557E8">
        <w:rPr>
          <w:color w:val="000000" w:themeColor="text1"/>
          <w:szCs w:val="24"/>
          <w:lang w:eastAsia="lv-LV"/>
        </w:rPr>
        <w:t>latu</w:t>
      </w:r>
      <w:proofErr w:type="spellEnd"/>
      <w:r w:rsidRPr="00B557E8">
        <w:rPr>
          <w:color w:val="000000" w:themeColor="text1"/>
          <w:szCs w:val="24"/>
          <w:lang w:eastAsia="lv-LV"/>
        </w:rPr>
        <w:t xml:space="preserve"> apmērā un valsts budžeta finansējumu 7</w:t>
      </w:r>
      <w:r w:rsidR="00412193" w:rsidRPr="00B557E8">
        <w:rPr>
          <w:color w:val="000000" w:themeColor="text1"/>
          <w:szCs w:val="24"/>
          <w:lang w:eastAsia="lv-LV"/>
        </w:rPr>
        <w:t>,1</w:t>
      </w:r>
      <w:r w:rsidRPr="00B557E8">
        <w:rPr>
          <w:color w:val="000000" w:themeColor="text1"/>
          <w:szCs w:val="24"/>
          <w:lang w:eastAsia="lv-LV"/>
        </w:rPr>
        <w:t> latu apmērā 2.2.1.4.2.apakšaktivitātes „</w:t>
      </w:r>
      <w:proofErr w:type="spellStart"/>
      <w:r w:rsidRPr="00B557E8">
        <w:rPr>
          <w:color w:val="000000" w:themeColor="text1"/>
          <w:szCs w:val="24"/>
          <w:lang w:eastAsia="lv-LV"/>
        </w:rPr>
        <w:t>Mezanīna</w:t>
      </w:r>
      <w:proofErr w:type="spellEnd"/>
      <w:r w:rsidRPr="00B557E8">
        <w:rPr>
          <w:color w:val="000000" w:themeColor="text1"/>
          <w:szCs w:val="24"/>
          <w:lang w:eastAsia="lv-LV"/>
        </w:rPr>
        <w:t xml:space="preserve"> aizdevumi investīcijām komersantu konkurētspējas uzlabošanai”  īstenošanai (samazināts </w:t>
      </w:r>
      <w:proofErr w:type="spellStart"/>
      <w:r w:rsidRPr="00B557E8">
        <w:rPr>
          <w:color w:val="000000" w:themeColor="text1"/>
          <w:szCs w:val="24"/>
          <w:lang w:eastAsia="lv-LV"/>
        </w:rPr>
        <w:t>apakšaktivitātes</w:t>
      </w:r>
      <w:proofErr w:type="spellEnd"/>
      <w:r w:rsidRPr="00B557E8">
        <w:rPr>
          <w:color w:val="000000" w:themeColor="text1"/>
          <w:szCs w:val="24"/>
          <w:lang w:eastAsia="lv-LV"/>
        </w:rPr>
        <w:t xml:space="preserve"> ietvaros pieejamais finansējums);</w:t>
      </w:r>
    </w:p>
    <w:p w:rsidR="00017679" w:rsidRPr="00B557E8" w:rsidRDefault="00017679" w:rsidP="00B557E8">
      <w:pPr>
        <w:numPr>
          <w:ilvl w:val="0"/>
          <w:numId w:val="55"/>
        </w:numPr>
        <w:spacing w:before="120" w:after="120" w:line="276" w:lineRule="auto"/>
        <w:ind w:left="851" w:hanging="425"/>
        <w:rPr>
          <w:color w:val="000000" w:themeColor="text1"/>
          <w:szCs w:val="24"/>
          <w:lang w:eastAsia="lv-LV"/>
        </w:rPr>
      </w:pPr>
      <w:r w:rsidRPr="00B557E8">
        <w:rPr>
          <w:color w:val="000000" w:themeColor="text1"/>
          <w:szCs w:val="24"/>
          <w:lang w:eastAsia="lv-LV"/>
        </w:rPr>
        <w:t xml:space="preserve">2.3.1.2.aktivitātes „Pasākumi motivācijas celšanai inovācijām un uzņēmējdarbības uzsākšanai” ietvaros pieejamo ERAF finansējumu 440 latu apmērā un 2.3.2.2.aktivitātes „Atbalsts ieguldījumiem </w:t>
      </w:r>
      <w:proofErr w:type="spellStart"/>
      <w:r w:rsidRPr="00B557E8">
        <w:rPr>
          <w:color w:val="000000" w:themeColor="text1"/>
          <w:szCs w:val="24"/>
          <w:lang w:eastAsia="lv-LV"/>
        </w:rPr>
        <w:t>mikro</w:t>
      </w:r>
      <w:proofErr w:type="spellEnd"/>
      <w:r w:rsidRPr="00B557E8">
        <w:rPr>
          <w:color w:val="000000" w:themeColor="text1"/>
          <w:szCs w:val="24"/>
          <w:lang w:eastAsia="lv-LV"/>
        </w:rPr>
        <w:t>, maziem un vidējiem komersantiem īpaši atbalstāmajās teritorijās (ĪAT)” ERAF finansējumu 3</w:t>
      </w:r>
      <w:r w:rsidR="00412193" w:rsidRPr="00B557E8">
        <w:rPr>
          <w:color w:val="000000" w:themeColor="text1"/>
          <w:szCs w:val="24"/>
          <w:lang w:eastAsia="lv-LV"/>
        </w:rPr>
        <w:t xml:space="preserve">,4 </w:t>
      </w:r>
      <w:proofErr w:type="spellStart"/>
      <w:r w:rsidR="00412193" w:rsidRPr="00B557E8">
        <w:rPr>
          <w:color w:val="000000" w:themeColor="text1"/>
          <w:szCs w:val="24"/>
          <w:lang w:eastAsia="lv-LV"/>
        </w:rPr>
        <w:t>milj</w:t>
      </w:r>
      <w:proofErr w:type="spellEnd"/>
      <w:r w:rsidR="00412193" w:rsidRPr="00B557E8">
        <w:rPr>
          <w:color w:val="000000" w:themeColor="text1"/>
          <w:szCs w:val="24"/>
          <w:lang w:eastAsia="lv-LV"/>
        </w:rPr>
        <w:t>.</w:t>
      </w:r>
      <w:r w:rsidRPr="00B557E8">
        <w:rPr>
          <w:color w:val="000000" w:themeColor="text1"/>
          <w:szCs w:val="24"/>
          <w:lang w:eastAsia="lv-LV"/>
        </w:rPr>
        <w:t xml:space="preserve"> latu apmērā 2.3.2.3.aktivitātes „Klasteru programma” īstenošanai;</w:t>
      </w:r>
    </w:p>
    <w:p w:rsidR="00017679" w:rsidRPr="00B557E8" w:rsidRDefault="00017679" w:rsidP="00B557E8">
      <w:pPr>
        <w:numPr>
          <w:ilvl w:val="0"/>
          <w:numId w:val="55"/>
        </w:numPr>
        <w:spacing w:before="120" w:after="120" w:line="276" w:lineRule="auto"/>
        <w:ind w:left="851" w:hanging="425"/>
        <w:rPr>
          <w:color w:val="000000" w:themeColor="text1"/>
          <w:szCs w:val="24"/>
          <w:lang w:eastAsia="lv-LV"/>
        </w:rPr>
      </w:pPr>
      <w:r w:rsidRPr="00B557E8">
        <w:rPr>
          <w:color w:val="000000" w:themeColor="text1"/>
          <w:szCs w:val="24"/>
          <w:lang w:eastAsia="lv-LV"/>
        </w:rPr>
        <w:t>2.1.1.1.aktivitātes „Atbalsts zinātnei un pētniecībai” pirmās projektu iesniegumu atlases kār</w:t>
      </w:r>
      <w:r w:rsidR="00412193" w:rsidRPr="00B557E8">
        <w:rPr>
          <w:color w:val="000000" w:themeColor="text1"/>
          <w:szCs w:val="24"/>
          <w:lang w:eastAsia="lv-LV"/>
        </w:rPr>
        <w:t xml:space="preserve">tas ERAF finansējuma atlikumu 2,5 </w:t>
      </w:r>
      <w:proofErr w:type="spellStart"/>
      <w:r w:rsidR="00412193" w:rsidRPr="00B557E8">
        <w:rPr>
          <w:color w:val="000000" w:themeColor="text1"/>
          <w:szCs w:val="24"/>
          <w:lang w:eastAsia="lv-LV"/>
        </w:rPr>
        <w:t>milj</w:t>
      </w:r>
      <w:proofErr w:type="spellEnd"/>
      <w:r w:rsidR="00412193" w:rsidRPr="00B557E8">
        <w:rPr>
          <w:color w:val="000000" w:themeColor="text1"/>
          <w:szCs w:val="24"/>
          <w:lang w:eastAsia="lv-LV"/>
        </w:rPr>
        <w:t xml:space="preserve">. </w:t>
      </w:r>
      <w:r w:rsidRPr="00B557E8">
        <w:rPr>
          <w:color w:val="000000" w:themeColor="text1"/>
          <w:szCs w:val="24"/>
          <w:lang w:eastAsia="lv-LV"/>
        </w:rPr>
        <w:t>latu apmērā un 2.1.1.2.aktivitātes „Atbalsts starptautiskās sadarbības projektiem zinātnē un tehnoloģijās (EUREKA, 7.</w:t>
      </w:r>
      <w:r w:rsidR="007A71F0" w:rsidRPr="00B557E8">
        <w:rPr>
          <w:color w:val="000000" w:themeColor="text1"/>
          <w:szCs w:val="24"/>
          <w:lang w:eastAsia="lv-LV"/>
        </w:rPr>
        <w:t xml:space="preserve">Ietvara programma </w:t>
      </w:r>
      <w:r w:rsidRPr="00B557E8">
        <w:rPr>
          <w:color w:val="000000" w:themeColor="text1"/>
          <w:szCs w:val="24"/>
          <w:lang w:eastAsia="lv-LV"/>
        </w:rPr>
        <w:t>un citi)” ERAF finansējumu 553</w:t>
      </w:r>
      <w:r w:rsidR="00412193" w:rsidRPr="00B557E8">
        <w:rPr>
          <w:color w:val="000000" w:themeColor="text1"/>
          <w:szCs w:val="24"/>
          <w:lang w:eastAsia="lv-LV"/>
        </w:rPr>
        <w:t xml:space="preserve">,1 </w:t>
      </w:r>
      <w:proofErr w:type="spellStart"/>
      <w:r w:rsidR="00412193" w:rsidRPr="00B557E8">
        <w:rPr>
          <w:color w:val="000000" w:themeColor="text1"/>
          <w:szCs w:val="24"/>
          <w:lang w:eastAsia="lv-LV"/>
        </w:rPr>
        <w:t>tūkst</w:t>
      </w:r>
      <w:proofErr w:type="spellEnd"/>
      <w:r w:rsidR="00412193" w:rsidRPr="00B557E8">
        <w:rPr>
          <w:color w:val="000000" w:themeColor="text1"/>
          <w:szCs w:val="24"/>
          <w:lang w:eastAsia="lv-LV"/>
        </w:rPr>
        <w:t>.</w:t>
      </w:r>
      <w:r w:rsidRPr="00B557E8">
        <w:rPr>
          <w:color w:val="000000" w:themeColor="text1"/>
          <w:szCs w:val="24"/>
          <w:lang w:eastAsia="lv-LV"/>
        </w:rPr>
        <w:t xml:space="preserve"> </w:t>
      </w:r>
      <w:r w:rsidR="00412193" w:rsidRPr="00B557E8">
        <w:rPr>
          <w:color w:val="000000" w:themeColor="text1"/>
          <w:szCs w:val="24"/>
          <w:lang w:eastAsia="lv-LV"/>
        </w:rPr>
        <w:t xml:space="preserve">latu </w:t>
      </w:r>
      <w:r w:rsidRPr="00B557E8">
        <w:rPr>
          <w:color w:val="000000" w:themeColor="text1"/>
          <w:szCs w:val="24"/>
          <w:lang w:eastAsia="lv-LV"/>
        </w:rPr>
        <w:t>apmērā 2.1.1.1.aktivitātes „Atbalsts zinātnei un pētniecībai” projektu iesniegumu atlases otrās kārtas īstenošanai;</w:t>
      </w:r>
    </w:p>
    <w:p w:rsidR="00017679" w:rsidRPr="00B557E8" w:rsidRDefault="00017679" w:rsidP="00B557E8">
      <w:pPr>
        <w:numPr>
          <w:ilvl w:val="0"/>
          <w:numId w:val="55"/>
        </w:numPr>
        <w:spacing w:before="120" w:after="120" w:line="276" w:lineRule="auto"/>
        <w:ind w:left="851" w:hanging="425"/>
        <w:rPr>
          <w:color w:val="000000" w:themeColor="text1"/>
          <w:szCs w:val="24"/>
          <w:lang w:eastAsia="lv-LV"/>
        </w:rPr>
      </w:pPr>
      <w:r w:rsidRPr="00B557E8">
        <w:rPr>
          <w:color w:val="000000" w:themeColor="text1"/>
          <w:szCs w:val="24"/>
          <w:lang w:eastAsia="lv-LV"/>
        </w:rPr>
        <w:t>2.1.2.4.aktivitātes „Augstas pievienotās vērtības investīcijas” projektu iesniegumu atlases pirmās kārtas ERAF finansējuma atlikumu 4</w:t>
      </w:r>
      <w:r w:rsidR="00412193" w:rsidRPr="00B557E8">
        <w:rPr>
          <w:color w:val="000000" w:themeColor="text1"/>
          <w:szCs w:val="24"/>
          <w:lang w:eastAsia="lv-LV"/>
        </w:rPr>
        <w:t xml:space="preserve">,8 </w:t>
      </w:r>
      <w:proofErr w:type="spellStart"/>
      <w:r w:rsidR="00412193" w:rsidRPr="00B557E8">
        <w:rPr>
          <w:color w:val="000000" w:themeColor="text1"/>
          <w:szCs w:val="24"/>
          <w:lang w:eastAsia="lv-LV"/>
        </w:rPr>
        <w:t>milj</w:t>
      </w:r>
      <w:proofErr w:type="spellEnd"/>
      <w:r w:rsidR="00412193" w:rsidRPr="00B557E8">
        <w:rPr>
          <w:color w:val="000000" w:themeColor="text1"/>
          <w:szCs w:val="24"/>
          <w:lang w:eastAsia="lv-LV"/>
        </w:rPr>
        <w:t>.</w:t>
      </w:r>
      <w:r w:rsidRPr="00B557E8">
        <w:rPr>
          <w:color w:val="000000" w:themeColor="text1"/>
          <w:szCs w:val="24"/>
          <w:lang w:eastAsia="lv-LV"/>
        </w:rPr>
        <w:t xml:space="preserve"> latu apmērā, 2.1.2.1.1.apakšaktivitātes „Kompetences centri” ietvaros pieejamo ERAF finansējuma atlikumu 398 latu apmērā, 2.1.2.1.2.apakšaktivitātes „Tehnoloģiju pārneses kontaktpunkti” ietvaros pieejamo ERAF finansējuma atlikumu 11</w:t>
      </w:r>
      <w:r w:rsidR="00412193" w:rsidRPr="00B557E8">
        <w:rPr>
          <w:color w:val="000000" w:themeColor="text1"/>
          <w:szCs w:val="24"/>
          <w:lang w:eastAsia="lv-LV"/>
        </w:rPr>
        <w:t>,9 tūks.</w:t>
      </w:r>
      <w:r w:rsidRPr="00B557E8">
        <w:rPr>
          <w:color w:val="000000" w:themeColor="text1"/>
          <w:szCs w:val="24"/>
          <w:lang w:eastAsia="lv-LV"/>
        </w:rPr>
        <w:t xml:space="preserve"> latu apmērā, 2.1.2.2.3.apakšaktivitātes „Jaunu produktu un tehnoloģiju izstrāde - atbalsts rūpnieciskā īpašuma tiesību nostiprināšanai” ietvaros pieejamo ERAF finansējuma atlikumu 28</w:t>
      </w:r>
      <w:r w:rsidR="00F86F93" w:rsidRPr="00B557E8">
        <w:rPr>
          <w:color w:val="000000" w:themeColor="text1"/>
          <w:szCs w:val="24"/>
          <w:lang w:eastAsia="lv-LV"/>
        </w:rPr>
        <w:t>,4 tūkst.</w:t>
      </w:r>
      <w:r w:rsidRPr="00B557E8">
        <w:rPr>
          <w:color w:val="000000" w:themeColor="text1"/>
          <w:szCs w:val="24"/>
          <w:lang w:eastAsia="lv-LV"/>
        </w:rPr>
        <w:t xml:space="preserve"> latu apmērā un 2.1.2.2.1.apakšaktivitātes „Jaunu produktu un tehnoloģiju izstrāde” ietvaros pieeja</w:t>
      </w:r>
      <w:r w:rsidR="00412193" w:rsidRPr="00B557E8">
        <w:rPr>
          <w:color w:val="000000" w:themeColor="text1"/>
          <w:szCs w:val="24"/>
          <w:lang w:eastAsia="lv-LV"/>
        </w:rPr>
        <w:t xml:space="preserve">mo ERAF finansējuma atlikumu 801,9 </w:t>
      </w:r>
      <w:proofErr w:type="spellStart"/>
      <w:r w:rsidR="00412193" w:rsidRPr="00B557E8">
        <w:rPr>
          <w:color w:val="000000" w:themeColor="text1"/>
          <w:szCs w:val="24"/>
          <w:lang w:eastAsia="lv-LV"/>
        </w:rPr>
        <w:t>tūkst</w:t>
      </w:r>
      <w:proofErr w:type="spellEnd"/>
      <w:r w:rsidR="00412193" w:rsidRPr="00B557E8">
        <w:rPr>
          <w:color w:val="000000" w:themeColor="text1"/>
          <w:szCs w:val="24"/>
          <w:lang w:eastAsia="lv-LV"/>
        </w:rPr>
        <w:t>.</w:t>
      </w:r>
      <w:r w:rsidRPr="00B557E8">
        <w:rPr>
          <w:color w:val="000000" w:themeColor="text1"/>
          <w:szCs w:val="24"/>
          <w:lang w:eastAsia="lv-LV"/>
        </w:rPr>
        <w:t>  lat</w:t>
      </w:r>
      <w:r w:rsidR="00F86F93" w:rsidRPr="00B557E8">
        <w:rPr>
          <w:color w:val="000000" w:themeColor="text1"/>
          <w:szCs w:val="24"/>
          <w:lang w:eastAsia="lv-LV"/>
        </w:rPr>
        <w:t>u</w:t>
      </w:r>
      <w:r w:rsidRPr="00B557E8">
        <w:rPr>
          <w:color w:val="000000" w:themeColor="text1"/>
          <w:szCs w:val="24"/>
          <w:lang w:eastAsia="lv-LV"/>
        </w:rPr>
        <w:t xml:space="preserve"> apmērā 2.1.2.4.aktivitātes „Augstas pievienotās vērtības investīcijas” projektu iesniegumu atlases otrās kārtas īstenošanai;</w:t>
      </w:r>
    </w:p>
    <w:p w:rsidR="00017679" w:rsidRPr="00B557E8" w:rsidRDefault="00017679" w:rsidP="00B557E8">
      <w:pPr>
        <w:numPr>
          <w:ilvl w:val="0"/>
          <w:numId w:val="55"/>
        </w:numPr>
        <w:spacing w:before="120" w:after="120" w:line="276" w:lineRule="auto"/>
        <w:ind w:left="851" w:hanging="425"/>
        <w:rPr>
          <w:color w:val="000000" w:themeColor="text1"/>
          <w:szCs w:val="24"/>
          <w:lang w:eastAsia="lv-LV"/>
        </w:rPr>
      </w:pPr>
      <w:r w:rsidRPr="00B557E8">
        <w:rPr>
          <w:color w:val="000000" w:themeColor="text1"/>
          <w:szCs w:val="24"/>
          <w:lang w:eastAsia="lv-LV"/>
        </w:rPr>
        <w:t>2.1.2.4.aktivitātes „Augstas pievienotās vērtības investīcijas” projektu iesniegumu atlases pirmās kārtas ERAF finansējuma atlikumu 2</w:t>
      </w:r>
      <w:r w:rsidR="000E457B" w:rsidRPr="00B557E8">
        <w:rPr>
          <w:color w:val="000000" w:themeColor="text1"/>
          <w:szCs w:val="24"/>
          <w:lang w:eastAsia="lv-LV"/>
        </w:rPr>
        <w:t>,0</w:t>
      </w:r>
      <w:r w:rsidRPr="00B557E8">
        <w:rPr>
          <w:color w:val="000000" w:themeColor="text1"/>
          <w:szCs w:val="24"/>
          <w:lang w:eastAsia="lv-LV"/>
        </w:rPr>
        <w:t xml:space="preserve"> </w:t>
      </w:r>
      <w:proofErr w:type="spellStart"/>
      <w:r w:rsidR="00412193" w:rsidRPr="00B557E8">
        <w:rPr>
          <w:color w:val="000000" w:themeColor="text1"/>
          <w:szCs w:val="24"/>
          <w:lang w:eastAsia="lv-LV"/>
        </w:rPr>
        <w:t>milj</w:t>
      </w:r>
      <w:proofErr w:type="spellEnd"/>
      <w:r w:rsidR="00412193" w:rsidRPr="00B557E8">
        <w:rPr>
          <w:color w:val="000000" w:themeColor="text1"/>
          <w:szCs w:val="24"/>
          <w:lang w:eastAsia="lv-LV"/>
        </w:rPr>
        <w:t>.</w:t>
      </w:r>
      <w:r w:rsidRPr="00B557E8">
        <w:rPr>
          <w:color w:val="000000" w:themeColor="text1"/>
          <w:szCs w:val="24"/>
          <w:lang w:eastAsia="lv-LV"/>
        </w:rPr>
        <w:t xml:space="preserve"> latu apmērā </w:t>
      </w:r>
      <w:r w:rsidRPr="00B557E8">
        <w:rPr>
          <w:color w:val="000000" w:themeColor="text1"/>
          <w:szCs w:val="24"/>
        </w:rPr>
        <w:t>2.1.2.2.4.apakšaktivitātes „MVK jaunu produktu un tehnoloģiju attīstības programma” īstenošanai.</w:t>
      </w:r>
    </w:p>
    <w:p w:rsidR="00017679" w:rsidRPr="00B557E8" w:rsidRDefault="00017679" w:rsidP="00B557E8">
      <w:pPr>
        <w:pStyle w:val="ListParagraph"/>
        <w:numPr>
          <w:ilvl w:val="0"/>
          <w:numId w:val="62"/>
        </w:numPr>
        <w:suppressAutoHyphens/>
        <w:autoSpaceDN w:val="0"/>
        <w:spacing w:before="120" w:after="120"/>
        <w:jc w:val="both"/>
        <w:textAlignment w:val="baseline"/>
        <w:rPr>
          <w:rFonts w:ascii="Times New Roman" w:hAnsi="Times New Roman"/>
          <w:color w:val="000000" w:themeColor="text1"/>
          <w:sz w:val="24"/>
          <w:szCs w:val="24"/>
        </w:rPr>
      </w:pPr>
      <w:r w:rsidRPr="00B557E8">
        <w:rPr>
          <w:rFonts w:ascii="Times New Roman" w:hAnsi="Times New Roman"/>
          <w:color w:val="000000" w:themeColor="text1"/>
          <w:sz w:val="24"/>
          <w:szCs w:val="24"/>
        </w:rPr>
        <w:t xml:space="preserve">Lai nodrošinātu </w:t>
      </w:r>
      <w:r w:rsidR="00885215" w:rsidRPr="00B557E8">
        <w:rPr>
          <w:rFonts w:ascii="Times New Roman" w:hAnsi="Times New Roman"/>
          <w:color w:val="000000" w:themeColor="text1"/>
          <w:sz w:val="24"/>
          <w:szCs w:val="24"/>
        </w:rPr>
        <w:t>ES fondu</w:t>
      </w:r>
      <w:r w:rsidRPr="00B557E8">
        <w:rPr>
          <w:rFonts w:ascii="Times New Roman" w:hAnsi="Times New Roman"/>
          <w:color w:val="000000" w:themeColor="text1"/>
          <w:sz w:val="24"/>
          <w:szCs w:val="24"/>
        </w:rPr>
        <w:t xml:space="preserve"> līdzekļu pārstrukturēšanu un to efektīvāku novirzīšanu tautsaimniecībā, kā arī, lai izpildītu Papildu saprašanās memorand</w:t>
      </w:r>
      <w:r w:rsidR="00F86F93" w:rsidRPr="00B557E8">
        <w:rPr>
          <w:rFonts w:ascii="Times New Roman" w:hAnsi="Times New Roman"/>
          <w:color w:val="000000" w:themeColor="text1"/>
          <w:sz w:val="24"/>
          <w:szCs w:val="24"/>
        </w:rPr>
        <w:t>ā</w:t>
      </w:r>
      <w:r w:rsidRPr="00B557E8">
        <w:rPr>
          <w:rFonts w:ascii="Times New Roman" w:hAnsi="Times New Roman"/>
          <w:color w:val="000000" w:themeColor="text1"/>
          <w:sz w:val="24"/>
          <w:szCs w:val="24"/>
        </w:rPr>
        <w:t xml:space="preserve"> (Saprašanās memoranda trešais papildinājums) doto uzdevumu strukturālo jautājumu un reformu jomā  –  izstrādāt un īstenot Ārvalstu tiešo investīc</w:t>
      </w:r>
      <w:r w:rsidR="00F86F93" w:rsidRPr="00B557E8">
        <w:rPr>
          <w:rFonts w:ascii="Times New Roman" w:hAnsi="Times New Roman"/>
          <w:color w:val="000000" w:themeColor="text1"/>
          <w:sz w:val="24"/>
          <w:szCs w:val="24"/>
        </w:rPr>
        <w:t xml:space="preserve">iju piesaistes stratēģiju 2011. - </w:t>
      </w:r>
      <w:r w:rsidRPr="00B557E8">
        <w:rPr>
          <w:rFonts w:ascii="Times New Roman" w:hAnsi="Times New Roman"/>
          <w:color w:val="000000" w:themeColor="text1"/>
          <w:sz w:val="24"/>
          <w:szCs w:val="24"/>
        </w:rPr>
        <w:t xml:space="preserve">2015.gadam, </w:t>
      </w:r>
      <w:r w:rsidR="00446387" w:rsidRPr="00B557E8">
        <w:rPr>
          <w:rFonts w:ascii="Times New Roman" w:hAnsi="Times New Roman"/>
          <w:color w:val="000000" w:themeColor="text1"/>
          <w:sz w:val="24"/>
          <w:szCs w:val="24"/>
        </w:rPr>
        <w:t>MK</w:t>
      </w:r>
      <w:r w:rsidRPr="00B557E8">
        <w:rPr>
          <w:rFonts w:ascii="Times New Roman" w:hAnsi="Times New Roman"/>
          <w:color w:val="000000" w:themeColor="text1"/>
          <w:sz w:val="24"/>
          <w:szCs w:val="24"/>
        </w:rPr>
        <w:t xml:space="preserve"> 2011.gada 5.septembrī ar rīkojumu Nr.425 apstiprināja grozījumus darbības programmā „Uzņēmējdarbība un inovācijas”, kas paredz:</w:t>
      </w:r>
    </w:p>
    <w:p w:rsidR="00017679" w:rsidRPr="00B557E8" w:rsidRDefault="00017679" w:rsidP="00B557E8">
      <w:pPr>
        <w:numPr>
          <w:ilvl w:val="0"/>
          <w:numId w:val="56"/>
        </w:numPr>
        <w:spacing w:before="120" w:after="120" w:line="276" w:lineRule="auto"/>
        <w:rPr>
          <w:color w:val="000000" w:themeColor="text1"/>
          <w:szCs w:val="24"/>
          <w:lang w:eastAsia="lv-LV"/>
        </w:rPr>
      </w:pPr>
      <w:r w:rsidRPr="00B557E8">
        <w:rPr>
          <w:color w:val="000000" w:themeColor="text1"/>
          <w:szCs w:val="24"/>
          <w:lang w:eastAsia="lv-LV"/>
        </w:rPr>
        <w:t xml:space="preserve">precizēt 2.3.1.pasākuma „Uzņēmējdarbības atbalsta aktivitātes” mērķi, kā arī atbilstoši  precizēt 2.3.1.1.aktivitātes  „Ārējo tirgu apgūšana un ārvalstu investīciju piesaiste” </w:t>
      </w:r>
      <w:r w:rsidRPr="00B557E8">
        <w:rPr>
          <w:color w:val="000000" w:themeColor="text1"/>
          <w:szCs w:val="24"/>
          <w:lang w:eastAsia="lv-LV"/>
        </w:rPr>
        <w:lastRenderedPageBreak/>
        <w:t>nosaukumu un mērķi, lai aktivitātes ietvaros varētu finansēt ārvalstu investīciju piesaistes pasākumus</w:t>
      </w:r>
      <w:r w:rsidR="0039301C" w:rsidRPr="00B557E8">
        <w:rPr>
          <w:color w:val="000000" w:themeColor="text1"/>
          <w:szCs w:val="24"/>
          <w:lang w:eastAsia="lv-LV"/>
        </w:rPr>
        <w:t>;</w:t>
      </w:r>
    </w:p>
    <w:p w:rsidR="00017679" w:rsidRPr="00B557E8" w:rsidRDefault="00017679" w:rsidP="00B557E8">
      <w:pPr>
        <w:numPr>
          <w:ilvl w:val="0"/>
          <w:numId w:val="56"/>
        </w:numPr>
        <w:spacing w:before="120" w:after="120" w:line="276" w:lineRule="auto"/>
        <w:ind w:left="851" w:hanging="425"/>
        <w:rPr>
          <w:color w:val="000000" w:themeColor="text1"/>
          <w:szCs w:val="24"/>
          <w:lang w:eastAsia="lv-LV"/>
        </w:rPr>
      </w:pPr>
      <w:r w:rsidRPr="00B557E8">
        <w:rPr>
          <w:color w:val="000000" w:themeColor="text1"/>
          <w:szCs w:val="24"/>
          <w:lang w:eastAsia="lv-LV"/>
        </w:rPr>
        <w:t>veikt grozījumus finanšu plānā, pārdalot ERAF finansējumu 22</w:t>
      </w:r>
      <w:r w:rsidR="00412193" w:rsidRPr="00B557E8">
        <w:rPr>
          <w:color w:val="000000" w:themeColor="text1"/>
          <w:szCs w:val="24"/>
          <w:lang w:eastAsia="lv-LV"/>
        </w:rPr>
        <w:t>,8</w:t>
      </w:r>
      <w:r w:rsidRPr="00B557E8">
        <w:rPr>
          <w:color w:val="000000" w:themeColor="text1"/>
          <w:szCs w:val="24"/>
          <w:lang w:eastAsia="lv-LV"/>
        </w:rPr>
        <w:t> </w:t>
      </w:r>
      <w:r w:rsidR="00412193" w:rsidRPr="00B557E8">
        <w:rPr>
          <w:color w:val="000000" w:themeColor="text1"/>
          <w:szCs w:val="24"/>
          <w:lang w:eastAsia="lv-LV"/>
        </w:rPr>
        <w:t>milj.</w:t>
      </w:r>
      <w:r w:rsidRPr="00B557E8">
        <w:rPr>
          <w:color w:val="000000" w:themeColor="text1"/>
          <w:szCs w:val="24"/>
          <w:lang w:eastAsia="lv-LV"/>
        </w:rPr>
        <w:t xml:space="preserve"> latu  apmērā no </w:t>
      </w:r>
      <w:r w:rsidR="00412193" w:rsidRPr="00B557E8">
        <w:rPr>
          <w:color w:val="000000" w:themeColor="text1"/>
          <w:szCs w:val="24"/>
          <w:lang w:eastAsia="lv-LV"/>
        </w:rPr>
        <w:t>darbības programmas</w:t>
      </w:r>
      <w:r w:rsidRPr="00B557E8">
        <w:rPr>
          <w:color w:val="000000" w:themeColor="text1"/>
          <w:szCs w:val="24"/>
          <w:lang w:eastAsia="lv-LV"/>
        </w:rPr>
        <w:t xml:space="preserve"> „Uzņēmējdarbība un inovācijas” 2.2.prioritātes „Finanšu pieejamība” </w:t>
      </w:r>
      <w:r w:rsidR="00446387" w:rsidRPr="00B557E8">
        <w:rPr>
          <w:color w:val="000000" w:themeColor="text1"/>
          <w:szCs w:val="24"/>
          <w:lang w:eastAsia="lv-LV"/>
        </w:rPr>
        <w:t>LM</w:t>
      </w:r>
      <w:r w:rsidRPr="00B557E8">
        <w:rPr>
          <w:color w:val="000000" w:themeColor="text1"/>
          <w:szCs w:val="24"/>
          <w:lang w:eastAsia="lv-LV"/>
        </w:rPr>
        <w:t xml:space="preserve"> </w:t>
      </w:r>
      <w:proofErr w:type="spellStart"/>
      <w:r w:rsidRPr="00B557E8">
        <w:rPr>
          <w:color w:val="000000" w:themeColor="text1"/>
          <w:szCs w:val="24"/>
          <w:lang w:eastAsia="lv-LV"/>
        </w:rPr>
        <w:t>pārziņā</w:t>
      </w:r>
      <w:proofErr w:type="spellEnd"/>
      <w:r w:rsidRPr="00B557E8">
        <w:rPr>
          <w:color w:val="000000" w:themeColor="text1"/>
          <w:szCs w:val="24"/>
          <w:lang w:eastAsia="lv-LV"/>
        </w:rPr>
        <w:t xml:space="preserve"> esošo </w:t>
      </w:r>
      <w:r w:rsidR="00412193" w:rsidRPr="00B557E8">
        <w:rPr>
          <w:color w:val="000000" w:themeColor="text1"/>
          <w:szCs w:val="24"/>
          <w:lang w:eastAsia="lv-LV"/>
        </w:rPr>
        <w:t>darbības programmu</w:t>
      </w:r>
      <w:r w:rsidRPr="00B557E8">
        <w:rPr>
          <w:color w:val="000000" w:themeColor="text1"/>
          <w:szCs w:val="24"/>
          <w:lang w:eastAsia="lv-LV"/>
        </w:rPr>
        <w:t xml:space="preserve"> „Cilvēkresursi un nodarbinātība” aktīvo darba tirgus pasākumu īstenošanai 2012.</w:t>
      </w:r>
      <w:r w:rsidR="00F86F93" w:rsidRPr="00B557E8">
        <w:rPr>
          <w:color w:val="000000" w:themeColor="text1"/>
          <w:szCs w:val="24"/>
          <w:lang w:eastAsia="lv-LV"/>
        </w:rPr>
        <w:t xml:space="preserve"> </w:t>
      </w:r>
      <w:r w:rsidRPr="00B557E8">
        <w:rPr>
          <w:color w:val="000000" w:themeColor="text1"/>
          <w:szCs w:val="24"/>
          <w:lang w:eastAsia="lv-LV"/>
        </w:rPr>
        <w:t>un 2013.gadā</w:t>
      </w:r>
      <w:r w:rsidR="0039301C" w:rsidRPr="00B557E8">
        <w:rPr>
          <w:color w:val="000000" w:themeColor="text1"/>
          <w:szCs w:val="24"/>
          <w:lang w:eastAsia="lv-LV"/>
        </w:rPr>
        <w:t>.</w:t>
      </w:r>
    </w:p>
    <w:p w:rsidR="00017679" w:rsidRPr="00B557E8" w:rsidRDefault="00F86F93" w:rsidP="00B557E8">
      <w:pPr>
        <w:pStyle w:val="ListParagraph"/>
        <w:numPr>
          <w:ilvl w:val="0"/>
          <w:numId w:val="62"/>
        </w:numPr>
        <w:suppressAutoHyphens/>
        <w:autoSpaceDN w:val="0"/>
        <w:spacing w:before="120" w:after="120"/>
        <w:jc w:val="both"/>
        <w:textAlignment w:val="baseline"/>
        <w:rPr>
          <w:rFonts w:ascii="Times New Roman" w:hAnsi="Times New Roman"/>
          <w:color w:val="000000" w:themeColor="text1"/>
          <w:sz w:val="24"/>
          <w:szCs w:val="24"/>
        </w:rPr>
      </w:pPr>
      <w:r w:rsidRPr="00B557E8">
        <w:rPr>
          <w:rFonts w:ascii="Times New Roman" w:hAnsi="Times New Roman"/>
          <w:color w:val="000000" w:themeColor="text1"/>
          <w:sz w:val="24"/>
          <w:szCs w:val="24"/>
        </w:rPr>
        <w:t xml:space="preserve">2011.gada ceturtajā </w:t>
      </w:r>
      <w:r w:rsidR="00017679" w:rsidRPr="00B557E8">
        <w:rPr>
          <w:rFonts w:ascii="Times New Roman" w:hAnsi="Times New Roman"/>
          <w:color w:val="000000" w:themeColor="text1"/>
          <w:sz w:val="24"/>
          <w:szCs w:val="24"/>
        </w:rPr>
        <w:t>ceturksnī Būtiskākie</w:t>
      </w:r>
      <w:r w:rsidR="006D0BF1" w:rsidRPr="00B557E8">
        <w:rPr>
          <w:rFonts w:ascii="Times New Roman" w:hAnsi="Times New Roman"/>
          <w:color w:val="000000" w:themeColor="text1"/>
          <w:sz w:val="24"/>
          <w:szCs w:val="24"/>
        </w:rPr>
        <w:t xml:space="preserve"> plānotie</w:t>
      </w:r>
      <w:r w:rsidR="00017679" w:rsidRPr="00B557E8">
        <w:rPr>
          <w:rFonts w:ascii="Times New Roman" w:hAnsi="Times New Roman"/>
          <w:color w:val="000000" w:themeColor="text1"/>
          <w:sz w:val="24"/>
          <w:szCs w:val="24"/>
        </w:rPr>
        <w:t xml:space="preserve"> pasākumi </w:t>
      </w:r>
      <w:r w:rsidR="006D0BF1" w:rsidRPr="00B557E8">
        <w:rPr>
          <w:rFonts w:ascii="Times New Roman" w:hAnsi="Times New Roman"/>
          <w:color w:val="000000" w:themeColor="text1"/>
          <w:sz w:val="24"/>
          <w:szCs w:val="24"/>
        </w:rPr>
        <w:t>darbības programmas</w:t>
      </w:r>
      <w:r w:rsidR="00017679" w:rsidRPr="00B557E8">
        <w:rPr>
          <w:rFonts w:ascii="Times New Roman" w:hAnsi="Times New Roman"/>
          <w:color w:val="000000" w:themeColor="text1"/>
          <w:sz w:val="24"/>
          <w:szCs w:val="24"/>
        </w:rPr>
        <w:t xml:space="preserve"> „Uzņēmējd</w:t>
      </w:r>
      <w:r w:rsidR="006D0BF1" w:rsidRPr="00B557E8">
        <w:rPr>
          <w:rFonts w:ascii="Times New Roman" w:hAnsi="Times New Roman"/>
          <w:color w:val="000000" w:themeColor="text1"/>
          <w:sz w:val="24"/>
          <w:szCs w:val="24"/>
        </w:rPr>
        <w:t>arbība un inovācijas” ietvaros:</w:t>
      </w:r>
    </w:p>
    <w:p w:rsidR="00017679" w:rsidRPr="00B557E8" w:rsidRDefault="00017679" w:rsidP="00B557E8">
      <w:pPr>
        <w:numPr>
          <w:ilvl w:val="0"/>
          <w:numId w:val="84"/>
        </w:numPr>
        <w:spacing w:before="120" w:after="120" w:line="276" w:lineRule="auto"/>
        <w:rPr>
          <w:color w:val="000000" w:themeColor="text1"/>
          <w:szCs w:val="24"/>
          <w:lang w:eastAsia="lv-LV"/>
        </w:rPr>
      </w:pPr>
      <w:r w:rsidRPr="00B557E8">
        <w:rPr>
          <w:color w:val="000000" w:themeColor="text1"/>
          <w:szCs w:val="24"/>
          <w:lang w:eastAsia="lv-LV"/>
        </w:rPr>
        <w:t xml:space="preserve">Apstiprināt MK noteikumus par 2.2.1.1.aktivitātes „Ieguldījumu fonds investīcijām garantijās, paaugstināta riska aizdevumos, riska kapitāla fondos un cita veida finanšu instrumentos” īstenošanu (izskatīts MK </w:t>
      </w:r>
      <w:proofErr w:type="spellStart"/>
      <w:r w:rsidRPr="00B557E8">
        <w:rPr>
          <w:color w:val="000000" w:themeColor="text1"/>
          <w:szCs w:val="24"/>
          <w:lang w:eastAsia="lv-LV"/>
        </w:rPr>
        <w:t>š.g</w:t>
      </w:r>
      <w:proofErr w:type="spellEnd"/>
      <w:r w:rsidRPr="00B557E8">
        <w:rPr>
          <w:color w:val="000000" w:themeColor="text1"/>
          <w:szCs w:val="24"/>
          <w:lang w:eastAsia="lv-LV"/>
        </w:rPr>
        <w:t xml:space="preserve">. 19.oktobra sēdē). Noteikumu projekts izstrādāts atbilstoši 2011.gada 9.augustā </w:t>
      </w:r>
      <w:r w:rsidR="006B263C" w:rsidRPr="00B557E8">
        <w:rPr>
          <w:color w:val="000000" w:themeColor="text1"/>
          <w:szCs w:val="24"/>
          <w:lang w:eastAsia="lv-LV"/>
        </w:rPr>
        <w:t>MK</w:t>
      </w:r>
      <w:r w:rsidRPr="00B557E8">
        <w:rPr>
          <w:color w:val="000000" w:themeColor="text1"/>
          <w:szCs w:val="24"/>
          <w:lang w:eastAsia="lv-LV"/>
        </w:rPr>
        <w:t xml:space="preserve"> apstiprinātajai ERAF ieguldījumu fonda ieviešanas koncepcijai (</w:t>
      </w:r>
      <w:r w:rsidR="006B263C" w:rsidRPr="00B557E8">
        <w:rPr>
          <w:color w:val="000000" w:themeColor="text1"/>
          <w:szCs w:val="24"/>
          <w:lang w:eastAsia="lv-LV"/>
        </w:rPr>
        <w:t>MK</w:t>
      </w:r>
      <w:r w:rsidRPr="00B557E8">
        <w:rPr>
          <w:color w:val="000000" w:themeColor="text1"/>
          <w:szCs w:val="24"/>
          <w:lang w:eastAsia="lv-LV"/>
        </w:rPr>
        <w:t xml:space="preserve"> 2011.gada 22.augusta rīkojums Nr.399), saskaņā ar ko ar 2012.gada 1.janvāri </w:t>
      </w:r>
      <w:r w:rsidR="00F86F93" w:rsidRPr="00B557E8">
        <w:rPr>
          <w:color w:val="000000" w:themeColor="text1"/>
          <w:szCs w:val="24"/>
          <w:lang w:eastAsia="lv-LV"/>
        </w:rPr>
        <w:t>EIF</w:t>
      </w:r>
      <w:r w:rsidRPr="00B557E8">
        <w:rPr>
          <w:color w:val="000000" w:themeColor="text1"/>
          <w:szCs w:val="24"/>
          <w:lang w:eastAsia="lv-LV"/>
        </w:rPr>
        <w:t xml:space="preserve"> ieguldījumu fonda ieviešanas funkcijas ir paredzēts nodot </w:t>
      </w:r>
      <w:r w:rsidR="0053690D" w:rsidRPr="00B557E8">
        <w:rPr>
          <w:color w:val="000000" w:themeColor="text1"/>
          <w:szCs w:val="24"/>
          <w:lang w:eastAsia="lv-LV"/>
        </w:rPr>
        <w:t>LGA</w:t>
      </w:r>
      <w:r w:rsidR="006D0BF1" w:rsidRPr="00B557E8">
        <w:rPr>
          <w:color w:val="000000" w:themeColor="text1"/>
          <w:szCs w:val="24"/>
          <w:lang w:eastAsia="lv-LV"/>
        </w:rPr>
        <w:t>;</w:t>
      </w:r>
    </w:p>
    <w:p w:rsidR="00A72377" w:rsidRPr="00B557E8" w:rsidRDefault="000E457B" w:rsidP="00B557E8">
      <w:pPr>
        <w:numPr>
          <w:ilvl w:val="0"/>
          <w:numId w:val="84"/>
        </w:numPr>
        <w:spacing w:before="120" w:after="120" w:line="276" w:lineRule="auto"/>
        <w:rPr>
          <w:color w:val="000000" w:themeColor="text1"/>
          <w:szCs w:val="24"/>
          <w:lang w:eastAsia="lv-LV"/>
        </w:rPr>
      </w:pPr>
      <w:r w:rsidRPr="00B557E8">
        <w:rPr>
          <w:color w:val="000000" w:themeColor="text1"/>
          <w:szCs w:val="24"/>
          <w:lang w:eastAsia="lv-LV"/>
        </w:rPr>
        <w:t xml:space="preserve">2.2.1.4.2. </w:t>
      </w:r>
      <w:proofErr w:type="spellStart"/>
      <w:r w:rsidR="00017679" w:rsidRPr="00B557E8">
        <w:rPr>
          <w:color w:val="000000" w:themeColor="text1"/>
          <w:szCs w:val="24"/>
          <w:lang w:eastAsia="lv-LV"/>
        </w:rPr>
        <w:t>pakšaktivitātes</w:t>
      </w:r>
      <w:proofErr w:type="spellEnd"/>
      <w:r w:rsidR="00017679" w:rsidRPr="00B557E8">
        <w:rPr>
          <w:color w:val="000000" w:themeColor="text1"/>
          <w:szCs w:val="24"/>
          <w:lang w:eastAsia="lv-LV"/>
        </w:rPr>
        <w:t xml:space="preserve"> „</w:t>
      </w:r>
      <w:proofErr w:type="spellStart"/>
      <w:r w:rsidR="00017679" w:rsidRPr="00B557E8">
        <w:rPr>
          <w:color w:val="000000" w:themeColor="text1"/>
          <w:szCs w:val="24"/>
          <w:lang w:eastAsia="lv-LV"/>
        </w:rPr>
        <w:t>Mezanīna</w:t>
      </w:r>
      <w:proofErr w:type="spellEnd"/>
      <w:r w:rsidR="00017679" w:rsidRPr="00B557E8">
        <w:rPr>
          <w:color w:val="000000" w:themeColor="text1"/>
          <w:szCs w:val="24"/>
          <w:lang w:eastAsia="lv-LV"/>
        </w:rPr>
        <w:t xml:space="preserve"> aizdevumi investīcijām komersantu konkurētspējas uzlabošanai” ietvaros parakstīt līgumu par projekta īstenošanu ar </w:t>
      </w:r>
      <w:r w:rsidR="0053690D" w:rsidRPr="00B557E8">
        <w:rPr>
          <w:color w:val="000000" w:themeColor="text1"/>
          <w:szCs w:val="24"/>
          <w:lang w:eastAsia="lv-LV"/>
        </w:rPr>
        <w:t>LGA</w:t>
      </w:r>
      <w:r w:rsidR="00017679" w:rsidRPr="00B557E8">
        <w:rPr>
          <w:color w:val="000000" w:themeColor="text1"/>
          <w:szCs w:val="24"/>
          <w:lang w:eastAsia="lv-LV"/>
        </w:rPr>
        <w:t xml:space="preserve"> par visu </w:t>
      </w:r>
      <w:proofErr w:type="spellStart"/>
      <w:r w:rsidR="00017679" w:rsidRPr="00B557E8">
        <w:rPr>
          <w:color w:val="000000" w:themeColor="text1"/>
          <w:szCs w:val="24"/>
          <w:lang w:eastAsia="lv-LV"/>
        </w:rPr>
        <w:t>apakšaktivitātes</w:t>
      </w:r>
      <w:proofErr w:type="spellEnd"/>
      <w:r w:rsidR="00017679" w:rsidRPr="00B557E8">
        <w:rPr>
          <w:color w:val="000000" w:themeColor="text1"/>
          <w:szCs w:val="24"/>
          <w:lang w:eastAsia="lv-LV"/>
        </w:rPr>
        <w:t xml:space="preserve"> ietvaros pieejamo finansējumu.</w:t>
      </w:r>
    </w:p>
    <w:p w:rsidR="00CE51F5" w:rsidRPr="00B557E8" w:rsidRDefault="00CE51F5" w:rsidP="00B557E8">
      <w:pPr>
        <w:pStyle w:val="BodyTextIndent"/>
        <w:spacing w:before="120" w:line="276" w:lineRule="auto"/>
        <w:ind w:left="0"/>
        <w:rPr>
          <w:b/>
          <w:iCs/>
          <w:color w:val="000000" w:themeColor="text1"/>
          <w:szCs w:val="24"/>
          <w:lang w:val="lv-LV"/>
        </w:rPr>
      </w:pPr>
      <w:r w:rsidRPr="00B557E8">
        <w:rPr>
          <w:b/>
          <w:iCs/>
          <w:color w:val="000000" w:themeColor="text1"/>
          <w:szCs w:val="24"/>
          <w:lang w:val="lv-LV"/>
        </w:rPr>
        <w:t>1.1.3. Darbības programma „</w:t>
      </w:r>
      <w:r w:rsidR="00906730" w:rsidRPr="00B557E8">
        <w:rPr>
          <w:b/>
          <w:color w:val="000000" w:themeColor="text1"/>
          <w:szCs w:val="24"/>
          <w:lang w:val="lv-LV"/>
        </w:rPr>
        <w:t>Infrastruktūra un pakalpojumi</w:t>
      </w:r>
      <w:r w:rsidRPr="00B557E8">
        <w:rPr>
          <w:b/>
          <w:iCs/>
          <w:color w:val="000000" w:themeColor="text1"/>
          <w:szCs w:val="24"/>
          <w:lang w:val="lv-LV"/>
        </w:rPr>
        <w:t>” un tās papildinājums</w:t>
      </w:r>
    </w:p>
    <w:p w:rsidR="006D0BF1" w:rsidRPr="00B557E8" w:rsidRDefault="006D0BF1" w:rsidP="00B557E8">
      <w:pPr>
        <w:pStyle w:val="ListParagraph"/>
        <w:numPr>
          <w:ilvl w:val="0"/>
          <w:numId w:val="58"/>
        </w:numPr>
        <w:suppressAutoHyphens/>
        <w:autoSpaceDN w:val="0"/>
        <w:spacing w:before="120" w:after="120"/>
        <w:jc w:val="both"/>
        <w:textAlignment w:val="baseline"/>
        <w:rPr>
          <w:rFonts w:ascii="Times New Roman" w:hAnsi="Times New Roman"/>
          <w:color w:val="000000" w:themeColor="text1"/>
          <w:sz w:val="24"/>
          <w:szCs w:val="24"/>
        </w:rPr>
      </w:pPr>
      <w:r w:rsidRPr="00B557E8">
        <w:rPr>
          <w:rFonts w:ascii="Times New Roman" w:hAnsi="Times New Roman"/>
          <w:color w:val="000000" w:themeColor="text1"/>
          <w:sz w:val="24"/>
          <w:szCs w:val="24"/>
        </w:rPr>
        <w:t xml:space="preserve">2011.gada </w:t>
      </w:r>
      <w:r w:rsidR="00F86F93" w:rsidRPr="00B557E8">
        <w:rPr>
          <w:rFonts w:ascii="Times New Roman" w:hAnsi="Times New Roman"/>
          <w:color w:val="000000" w:themeColor="text1"/>
          <w:sz w:val="24"/>
          <w:szCs w:val="24"/>
        </w:rPr>
        <w:t xml:space="preserve">trešajā </w:t>
      </w:r>
      <w:r w:rsidRPr="00B557E8">
        <w:rPr>
          <w:rFonts w:ascii="Times New Roman" w:hAnsi="Times New Roman"/>
          <w:color w:val="000000" w:themeColor="text1"/>
          <w:sz w:val="24"/>
          <w:szCs w:val="24"/>
        </w:rPr>
        <w:t xml:space="preserve">ceturksnī veikti grozījumi darbības programmas „Infrastruktūra un pakalpojumi” papildinājumā, pārdalot 3.4.4.1.aktivitātei „Daudzdzīvokļu māju </w:t>
      </w:r>
      <w:proofErr w:type="spellStart"/>
      <w:r w:rsidRPr="00B557E8">
        <w:rPr>
          <w:rFonts w:ascii="Times New Roman" w:hAnsi="Times New Roman"/>
          <w:color w:val="000000" w:themeColor="text1"/>
          <w:sz w:val="24"/>
          <w:szCs w:val="24"/>
        </w:rPr>
        <w:t>siltumnoturības</w:t>
      </w:r>
      <w:proofErr w:type="spellEnd"/>
      <w:r w:rsidRPr="00B557E8">
        <w:rPr>
          <w:rFonts w:ascii="Times New Roman" w:hAnsi="Times New Roman"/>
          <w:color w:val="000000" w:themeColor="text1"/>
          <w:sz w:val="24"/>
          <w:szCs w:val="24"/>
        </w:rPr>
        <w:t xml:space="preserve"> uzlabošanas pasākumi” (turpmāk – 3.4.4.1.aktivitāte) 3.4.2.1.1.apakšaktivitātes „Valsts nozīmes pilsētbūvniecības pieminekļu saglabāšana, atjaunošana un infrastruktūras pielāgošana tūrisma produktu attīstībai”, 3.4.2.1.2.apakšaktivitātes „Nacionālās nozīmes </w:t>
      </w:r>
      <w:proofErr w:type="spellStart"/>
      <w:r w:rsidRPr="00B557E8">
        <w:rPr>
          <w:rFonts w:ascii="Times New Roman" w:hAnsi="Times New Roman"/>
          <w:color w:val="000000" w:themeColor="text1"/>
          <w:sz w:val="24"/>
          <w:szCs w:val="24"/>
        </w:rPr>
        <w:t>velotūrisma</w:t>
      </w:r>
      <w:proofErr w:type="spellEnd"/>
      <w:r w:rsidRPr="00B557E8">
        <w:rPr>
          <w:rFonts w:ascii="Times New Roman" w:hAnsi="Times New Roman"/>
          <w:color w:val="000000" w:themeColor="text1"/>
          <w:sz w:val="24"/>
          <w:szCs w:val="24"/>
        </w:rPr>
        <w:t xml:space="preserve"> produktu attīstība” un 3.4.4.2.aktivitātes „Sociālo dzīvojamo māju </w:t>
      </w:r>
      <w:proofErr w:type="spellStart"/>
      <w:r w:rsidRPr="00B557E8">
        <w:rPr>
          <w:rFonts w:ascii="Times New Roman" w:hAnsi="Times New Roman"/>
          <w:color w:val="000000" w:themeColor="text1"/>
          <w:sz w:val="24"/>
          <w:szCs w:val="24"/>
        </w:rPr>
        <w:t>siltumnoturības</w:t>
      </w:r>
      <w:proofErr w:type="spellEnd"/>
      <w:r w:rsidRPr="00B557E8">
        <w:rPr>
          <w:rFonts w:ascii="Times New Roman" w:hAnsi="Times New Roman"/>
          <w:color w:val="000000" w:themeColor="text1"/>
          <w:sz w:val="24"/>
          <w:szCs w:val="24"/>
        </w:rPr>
        <w:t xml:space="preserve"> uzlabošanas pasākumi” ietvaros radušos ERAF finansējuma ietaupījumu 3,4 </w:t>
      </w:r>
      <w:proofErr w:type="spellStart"/>
      <w:r w:rsidRPr="00B557E8">
        <w:rPr>
          <w:rFonts w:ascii="Times New Roman" w:hAnsi="Times New Roman"/>
          <w:color w:val="000000" w:themeColor="text1"/>
          <w:sz w:val="24"/>
          <w:szCs w:val="24"/>
        </w:rPr>
        <w:t>milj</w:t>
      </w:r>
      <w:proofErr w:type="spellEnd"/>
      <w:r w:rsidRPr="00B557E8">
        <w:rPr>
          <w:rFonts w:ascii="Times New Roman" w:hAnsi="Times New Roman"/>
          <w:color w:val="000000" w:themeColor="text1"/>
          <w:sz w:val="24"/>
          <w:szCs w:val="24"/>
        </w:rPr>
        <w:t>. latu apmērā. Ņemot vērā, ka vidējais ERAF finansējuma apjoms vienam projektam 3.4.4.1.aktivitā</w:t>
      </w:r>
      <w:r w:rsidR="00F86F93" w:rsidRPr="00B557E8">
        <w:rPr>
          <w:rFonts w:ascii="Times New Roman" w:hAnsi="Times New Roman"/>
          <w:color w:val="000000" w:themeColor="text1"/>
          <w:sz w:val="24"/>
          <w:szCs w:val="24"/>
        </w:rPr>
        <w:t xml:space="preserve">tes ietvaros ir 53,8 </w:t>
      </w:r>
      <w:proofErr w:type="spellStart"/>
      <w:r w:rsidR="00F86F93" w:rsidRPr="00B557E8">
        <w:rPr>
          <w:rFonts w:ascii="Times New Roman" w:hAnsi="Times New Roman"/>
          <w:color w:val="000000" w:themeColor="text1"/>
          <w:sz w:val="24"/>
          <w:szCs w:val="24"/>
        </w:rPr>
        <w:t>tūkst</w:t>
      </w:r>
      <w:proofErr w:type="spellEnd"/>
      <w:r w:rsidR="00F86F93" w:rsidRPr="00B557E8">
        <w:rPr>
          <w:rFonts w:ascii="Times New Roman" w:hAnsi="Times New Roman"/>
          <w:color w:val="000000" w:themeColor="text1"/>
          <w:sz w:val="24"/>
          <w:szCs w:val="24"/>
        </w:rPr>
        <w:t>. latu</w:t>
      </w:r>
      <w:r w:rsidRPr="00B557E8">
        <w:rPr>
          <w:rFonts w:ascii="Times New Roman" w:hAnsi="Times New Roman"/>
          <w:color w:val="000000" w:themeColor="text1"/>
          <w:sz w:val="24"/>
          <w:szCs w:val="24"/>
        </w:rPr>
        <w:t>, 3.4.4.1.aktivitātes ietvaros plānots papildu īstenot vēl 63 projektus, kas paredz daudzdzīvokļu dzīvojamo māju renovāciju.</w:t>
      </w:r>
    </w:p>
    <w:p w:rsidR="00906730" w:rsidRPr="00B557E8" w:rsidRDefault="006D0BF1" w:rsidP="00B557E8">
      <w:pPr>
        <w:pStyle w:val="ListParagraph"/>
        <w:numPr>
          <w:ilvl w:val="0"/>
          <w:numId w:val="58"/>
        </w:numPr>
        <w:suppressAutoHyphens/>
        <w:autoSpaceDN w:val="0"/>
        <w:spacing w:before="120" w:after="120"/>
        <w:jc w:val="both"/>
        <w:textAlignment w:val="baseline"/>
        <w:rPr>
          <w:rFonts w:ascii="Times New Roman" w:hAnsi="Times New Roman"/>
          <w:color w:val="000000" w:themeColor="text1"/>
          <w:sz w:val="24"/>
          <w:szCs w:val="24"/>
        </w:rPr>
      </w:pPr>
      <w:r w:rsidRPr="00B557E8">
        <w:rPr>
          <w:rFonts w:ascii="Times New Roman" w:hAnsi="Times New Roman"/>
          <w:color w:val="000000" w:themeColor="text1"/>
          <w:sz w:val="24"/>
          <w:szCs w:val="24"/>
        </w:rPr>
        <w:t xml:space="preserve">Attiecībā uz iepriekšējā ziņojumā norādīto, kas paredzēja pārskata periodā izvērtēt 3.2.2.2.aktivitātes „Publisko interneta pieejas punktu attīstība” </w:t>
      </w:r>
      <w:r w:rsidRPr="00B557E8">
        <w:rPr>
          <w:rFonts w:ascii="Times New Roman" w:hAnsi="Times New Roman"/>
          <w:color w:val="000000" w:themeColor="text1"/>
          <w:sz w:val="24"/>
          <w:szCs w:val="24"/>
        </w:rPr>
        <w:br/>
        <w:t>un 3.2.2.3.aktivitātes „Elektronisko sakaru pakalpojumu vienlīdzīgas pieejamības nodrošināšana visā valsts teritorijā (platjoslas tīkla attīstība)” īstenošanas progresu un atbilstību Saprašanās memorandā noteiktajam Ekonomikas politikas kritērijam</w:t>
      </w:r>
      <w:r w:rsidRPr="00B557E8">
        <w:rPr>
          <w:rFonts w:ascii="Times New Roman" w:hAnsi="Times New Roman"/>
          <w:color w:val="000000" w:themeColor="text1"/>
          <w:sz w:val="24"/>
          <w:szCs w:val="24"/>
          <w:vertAlign w:val="superscript"/>
        </w:rPr>
        <w:footnoteReference w:id="1"/>
      </w:r>
      <w:r w:rsidRPr="00B557E8">
        <w:rPr>
          <w:rFonts w:ascii="Times New Roman" w:hAnsi="Times New Roman"/>
          <w:color w:val="000000" w:themeColor="text1"/>
          <w:sz w:val="24"/>
          <w:szCs w:val="24"/>
        </w:rPr>
        <w:t>, vēršam uzmanību, ka Koalīcijas partneru darba grupas par ES fondu jautājumiem 2011.gada 5.septembra sēdē tika panākta vienošanās par 3.2.2.2.aktivitātes</w:t>
      </w:r>
      <w:r w:rsidR="00491D67" w:rsidRPr="00B557E8">
        <w:rPr>
          <w:rFonts w:ascii="Times New Roman" w:hAnsi="Times New Roman"/>
          <w:color w:val="000000" w:themeColor="text1"/>
          <w:sz w:val="24"/>
          <w:szCs w:val="24"/>
        </w:rPr>
        <w:t xml:space="preserve"> „Publisko interneta pieejas punktu attīstība”</w:t>
      </w:r>
      <w:r w:rsidRPr="00B557E8">
        <w:rPr>
          <w:rFonts w:ascii="Times New Roman" w:hAnsi="Times New Roman"/>
          <w:color w:val="000000" w:themeColor="text1"/>
          <w:sz w:val="24"/>
          <w:szCs w:val="24"/>
        </w:rPr>
        <w:t>, kā arī 3.2.2.3.aktivitātes</w:t>
      </w:r>
      <w:r w:rsidR="00491D67" w:rsidRPr="00B557E8">
        <w:rPr>
          <w:rFonts w:ascii="Times New Roman" w:hAnsi="Times New Roman"/>
          <w:color w:val="000000" w:themeColor="text1"/>
          <w:sz w:val="24"/>
          <w:szCs w:val="24"/>
        </w:rPr>
        <w:t xml:space="preserve"> „Elektronisko sakaru pakalpojumu vienlīdzīgas pieejamības nodrošināšana visā valsts teritorijā (platjoslas tīkla attīstība)”</w:t>
      </w:r>
      <w:r w:rsidRPr="00B557E8">
        <w:rPr>
          <w:rFonts w:ascii="Times New Roman" w:hAnsi="Times New Roman"/>
          <w:color w:val="000000" w:themeColor="text1"/>
          <w:sz w:val="24"/>
          <w:szCs w:val="24"/>
        </w:rPr>
        <w:t xml:space="preserve">, izvirzot </w:t>
      </w:r>
      <w:r w:rsidRPr="00B557E8">
        <w:rPr>
          <w:rFonts w:ascii="Times New Roman" w:hAnsi="Times New Roman"/>
          <w:color w:val="000000" w:themeColor="text1"/>
          <w:sz w:val="24"/>
          <w:szCs w:val="24"/>
        </w:rPr>
        <w:lastRenderedPageBreak/>
        <w:t xml:space="preserve">nosacījumu, ka 3.2.2.3.aktivitātes </w:t>
      </w:r>
      <w:r w:rsidR="00491D67" w:rsidRPr="00B557E8">
        <w:rPr>
          <w:rFonts w:ascii="Times New Roman" w:hAnsi="Times New Roman"/>
          <w:color w:val="000000" w:themeColor="text1"/>
          <w:sz w:val="24"/>
          <w:szCs w:val="24"/>
        </w:rPr>
        <w:t xml:space="preserve">„Elektronisko sakaru pakalpojumu vienlīdzīgas pieejamības nodrošināšana visā valsts teritorijā (platjoslas tīkla attīstība)” </w:t>
      </w:r>
      <w:r w:rsidRPr="00B557E8">
        <w:rPr>
          <w:rFonts w:ascii="Times New Roman" w:hAnsi="Times New Roman"/>
          <w:color w:val="000000" w:themeColor="text1"/>
          <w:sz w:val="24"/>
          <w:szCs w:val="24"/>
        </w:rPr>
        <w:t>tālāka īstenošana ir atbalstām pēc pozitīva EK lēmuma par valsts atbalsta paziņojumu par platjoslu tīklu attīstību Latvijā, tālāku īstenošanu.</w:t>
      </w:r>
    </w:p>
    <w:p w:rsidR="008E4A66" w:rsidRPr="00B557E8" w:rsidRDefault="008E4A66" w:rsidP="00B557E8">
      <w:pPr>
        <w:pStyle w:val="BodyTextIndent"/>
        <w:spacing w:before="120" w:line="276" w:lineRule="auto"/>
        <w:ind w:left="0"/>
        <w:rPr>
          <w:b/>
          <w:iCs/>
          <w:color w:val="000000" w:themeColor="text1"/>
          <w:szCs w:val="24"/>
          <w:lang w:val="lv-LV"/>
        </w:rPr>
      </w:pPr>
      <w:r w:rsidRPr="00B557E8">
        <w:rPr>
          <w:b/>
          <w:iCs/>
          <w:color w:val="000000" w:themeColor="text1"/>
          <w:szCs w:val="24"/>
          <w:lang w:val="lv-LV"/>
        </w:rPr>
        <w:t xml:space="preserve">1.1.4. Tehniskā palīdzība </w:t>
      </w:r>
    </w:p>
    <w:p w:rsidR="008E4A66" w:rsidRPr="00B557E8" w:rsidRDefault="008E4A66" w:rsidP="00B557E8">
      <w:pPr>
        <w:spacing w:before="120" w:after="120" w:line="276" w:lineRule="auto"/>
        <w:rPr>
          <w:rFonts w:eastAsia="EUAlbertina-Bold-Identity-H"/>
          <w:color w:val="000000" w:themeColor="text1"/>
          <w:szCs w:val="24"/>
        </w:rPr>
      </w:pPr>
      <w:r w:rsidRPr="00B557E8">
        <w:rPr>
          <w:rFonts w:eastAsia="EUAlbertina-Bold-Identity-H"/>
          <w:color w:val="000000" w:themeColor="text1"/>
          <w:szCs w:val="24"/>
        </w:rPr>
        <w:t xml:space="preserve">Ar mērķi nodrošināt ES fondu līdzekļu pārstrukturēšanu un to efektīvāku novirzīšanu tautsaimniecībā, lai izpildītu Papildu saprašanās memoranda (Saprašanās memoranda trešais papildinājums) doto uzdevumu strukturālo jautājumu un reformu jomā, tika </w:t>
      </w:r>
      <w:r w:rsidR="00334BA5" w:rsidRPr="00B557E8">
        <w:rPr>
          <w:rFonts w:eastAsia="EUAlbertina-Bold-Identity-H"/>
          <w:color w:val="000000" w:themeColor="text1"/>
          <w:szCs w:val="24"/>
        </w:rPr>
        <w:t xml:space="preserve">noteikta </w:t>
      </w:r>
      <w:r w:rsidRPr="00B557E8">
        <w:rPr>
          <w:rFonts w:eastAsia="EUAlbertina-Bold-Identity-H"/>
          <w:color w:val="000000" w:themeColor="text1"/>
          <w:szCs w:val="24"/>
        </w:rPr>
        <w:t>TP izmaksu nosacījumu vienkāršošan</w:t>
      </w:r>
      <w:r w:rsidR="00F86F93" w:rsidRPr="00B557E8">
        <w:rPr>
          <w:rFonts w:eastAsia="EUAlbertina-Bold-Identity-H"/>
          <w:color w:val="000000" w:themeColor="text1"/>
          <w:szCs w:val="24"/>
        </w:rPr>
        <w:t>a</w:t>
      </w:r>
      <w:r w:rsidRPr="00B557E8">
        <w:rPr>
          <w:rFonts w:eastAsia="EUAlbertina-Bold-Identity-H"/>
          <w:color w:val="000000" w:themeColor="text1"/>
          <w:szCs w:val="24"/>
        </w:rPr>
        <w:t>, nosakot, ka TP aktivitātes izmaksas ir kopīgas visu darbības programmu izmaksām un tās tiek noteiktas un deklarētas proporcionāli, balstoties uz īpatsvaru, kas noteikts nacionālā līmeņa dokumentos,  nemainot kopējais pieejamais TP finansējums (</w:t>
      </w:r>
      <w:r w:rsidR="00412193" w:rsidRPr="00B557E8">
        <w:rPr>
          <w:rFonts w:eastAsia="EUAlbertina-Bold-Identity-H"/>
          <w:color w:val="000000" w:themeColor="text1"/>
          <w:szCs w:val="24"/>
        </w:rPr>
        <w:t>darbības programmas</w:t>
      </w:r>
      <w:r w:rsidRPr="00B557E8">
        <w:rPr>
          <w:rFonts w:eastAsia="EUAlbertina-Bold-Identity-H"/>
          <w:color w:val="000000" w:themeColor="text1"/>
          <w:szCs w:val="24"/>
        </w:rPr>
        <w:t xml:space="preserve"> papildināta ar jaunu sadaļu „Uzdevumu deklarēšana” un 416.1 punktu).</w:t>
      </w:r>
    </w:p>
    <w:p w:rsidR="00637F32" w:rsidRPr="00B557E8" w:rsidRDefault="00B83810" w:rsidP="00B557E8">
      <w:pPr>
        <w:pStyle w:val="2lmenis"/>
        <w:numPr>
          <w:ilvl w:val="1"/>
          <w:numId w:val="2"/>
        </w:numPr>
        <w:spacing w:before="120" w:after="120" w:line="276" w:lineRule="auto"/>
        <w:ind w:left="1276" w:hanging="425"/>
        <w:jc w:val="both"/>
        <w:rPr>
          <w:color w:val="000000" w:themeColor="text1"/>
          <w:sz w:val="24"/>
          <w:szCs w:val="24"/>
          <w:lang w:val="lv-LV"/>
        </w:rPr>
      </w:pPr>
      <w:bookmarkStart w:id="14" w:name="_Toc308774231"/>
      <w:r w:rsidRPr="00B557E8">
        <w:rPr>
          <w:color w:val="000000" w:themeColor="text1"/>
          <w:sz w:val="24"/>
          <w:szCs w:val="24"/>
          <w:lang w:val="lv-LV"/>
        </w:rPr>
        <w:t>Projektu iesniegumu a</w:t>
      </w:r>
      <w:r w:rsidR="0039301C" w:rsidRPr="00B557E8">
        <w:rPr>
          <w:color w:val="000000" w:themeColor="text1"/>
          <w:sz w:val="24"/>
          <w:szCs w:val="24"/>
          <w:lang w:val="lv-LV"/>
        </w:rPr>
        <w:t>tlases darbības programmās</w:t>
      </w:r>
      <w:bookmarkEnd w:id="14"/>
    </w:p>
    <w:p w:rsidR="00637F32" w:rsidRPr="00B557E8" w:rsidRDefault="00B83810" w:rsidP="00B557E8">
      <w:pPr>
        <w:pStyle w:val="BodyTextIndent"/>
        <w:numPr>
          <w:ilvl w:val="2"/>
          <w:numId w:val="2"/>
        </w:numPr>
        <w:spacing w:before="120" w:line="276" w:lineRule="auto"/>
        <w:rPr>
          <w:b/>
          <w:iCs/>
          <w:color w:val="000000" w:themeColor="text1"/>
          <w:szCs w:val="24"/>
          <w:lang w:val="lv-LV"/>
        </w:rPr>
      </w:pPr>
      <w:r w:rsidRPr="00B557E8">
        <w:rPr>
          <w:b/>
          <w:color w:val="000000" w:themeColor="text1"/>
          <w:szCs w:val="24"/>
          <w:lang w:val="lv-LV"/>
        </w:rPr>
        <w:t>Projektu iesniegumu a</w:t>
      </w:r>
      <w:r w:rsidR="00EE61BC" w:rsidRPr="00B557E8">
        <w:rPr>
          <w:b/>
          <w:iCs/>
          <w:color w:val="000000" w:themeColor="text1"/>
          <w:szCs w:val="24"/>
          <w:lang w:val="lv-LV"/>
        </w:rPr>
        <w:t>tlases darbības programmā</w:t>
      </w:r>
      <w:r w:rsidR="0039301C" w:rsidRPr="00B557E8">
        <w:rPr>
          <w:b/>
          <w:iCs/>
          <w:color w:val="000000" w:themeColor="text1"/>
          <w:szCs w:val="24"/>
          <w:lang w:val="lv-LV"/>
        </w:rPr>
        <w:t xml:space="preserve"> „Cilvēkresursi un nodarbinātība” </w:t>
      </w:r>
    </w:p>
    <w:p w:rsidR="0039301C" w:rsidRPr="00B557E8" w:rsidRDefault="0039301C" w:rsidP="00B557E8">
      <w:pPr>
        <w:spacing w:before="120" w:after="120" w:line="276" w:lineRule="auto"/>
        <w:rPr>
          <w:rFonts w:eastAsia="EUAlbertina-Bold-Identity-H"/>
          <w:color w:val="000000" w:themeColor="text1"/>
          <w:szCs w:val="24"/>
        </w:rPr>
      </w:pPr>
      <w:r w:rsidRPr="00B557E8">
        <w:rPr>
          <w:rFonts w:eastAsia="EUAlbertina-Bold-Identity-H"/>
          <w:color w:val="000000" w:themeColor="text1"/>
          <w:szCs w:val="24"/>
        </w:rPr>
        <w:t xml:space="preserve">2011. gada </w:t>
      </w:r>
      <w:r w:rsidR="00F86F93" w:rsidRPr="00B557E8">
        <w:rPr>
          <w:rFonts w:eastAsia="EUAlbertina-Bold-Identity-H"/>
          <w:color w:val="000000" w:themeColor="text1"/>
          <w:szCs w:val="24"/>
        </w:rPr>
        <w:t xml:space="preserve">trešajā </w:t>
      </w:r>
      <w:r w:rsidRPr="00B557E8">
        <w:rPr>
          <w:rFonts w:eastAsia="EUAlbertina-Bold-Identity-H"/>
          <w:color w:val="000000" w:themeColor="text1"/>
          <w:szCs w:val="24"/>
        </w:rPr>
        <w:t>ceturksnī tika izsludinātas projektu iesniegumu atlases par kopējo ESF finansējumu 2</w:t>
      </w:r>
      <w:r w:rsidR="0053690D" w:rsidRPr="00B557E8">
        <w:rPr>
          <w:rFonts w:eastAsia="EUAlbertina-Bold-Identity-H"/>
          <w:color w:val="000000" w:themeColor="text1"/>
          <w:szCs w:val="24"/>
        </w:rPr>
        <w:t>,</w:t>
      </w:r>
      <w:r w:rsidRPr="00B557E8">
        <w:rPr>
          <w:rFonts w:eastAsia="EUAlbertina-Bold-Identity-H"/>
          <w:color w:val="000000" w:themeColor="text1"/>
          <w:szCs w:val="24"/>
        </w:rPr>
        <w:t xml:space="preserve">6 </w:t>
      </w:r>
      <w:proofErr w:type="spellStart"/>
      <w:r w:rsidRPr="00B557E8">
        <w:rPr>
          <w:rFonts w:eastAsia="EUAlbertina-Bold-Identity-H"/>
          <w:color w:val="000000" w:themeColor="text1"/>
          <w:szCs w:val="24"/>
        </w:rPr>
        <w:t>milj</w:t>
      </w:r>
      <w:proofErr w:type="spellEnd"/>
      <w:r w:rsidRPr="00B557E8">
        <w:rPr>
          <w:rFonts w:eastAsia="EUAlbertina-Bold-Identity-H"/>
          <w:color w:val="000000" w:themeColor="text1"/>
          <w:szCs w:val="24"/>
        </w:rPr>
        <w:t>.</w:t>
      </w:r>
      <w:r w:rsidR="0053690D" w:rsidRPr="00B557E8">
        <w:rPr>
          <w:rFonts w:eastAsia="EUAlbertina-Bold-Identity-H"/>
          <w:color w:val="000000" w:themeColor="text1"/>
          <w:szCs w:val="24"/>
        </w:rPr>
        <w:t xml:space="preserve"> </w:t>
      </w:r>
      <w:r w:rsidRPr="00B557E8">
        <w:rPr>
          <w:rFonts w:eastAsia="EUAlbertina-Bold-Identity-H"/>
          <w:color w:val="000000" w:themeColor="text1"/>
          <w:szCs w:val="24"/>
        </w:rPr>
        <w:t xml:space="preserve">latu apmērā šādās </w:t>
      </w:r>
      <w:proofErr w:type="spellStart"/>
      <w:r w:rsidRPr="00B557E8">
        <w:rPr>
          <w:rFonts w:eastAsia="EUAlbertina-Bold-Identity-H"/>
          <w:color w:val="000000" w:themeColor="text1"/>
          <w:szCs w:val="24"/>
        </w:rPr>
        <w:t>apakšaktivitātēs</w:t>
      </w:r>
      <w:proofErr w:type="spellEnd"/>
      <w:r w:rsidRPr="00B557E8">
        <w:rPr>
          <w:rFonts w:eastAsia="EUAlbertina-Bold-Identity-H"/>
          <w:color w:val="000000" w:themeColor="text1"/>
          <w:szCs w:val="24"/>
        </w:rPr>
        <w:t xml:space="preserve">: 1.1.2.1.2.apakšaktivitātē „Atbalsts doktora studiju programmu īstenošanai” (pieejamais ESF finansējums 1,9 </w:t>
      </w:r>
      <w:proofErr w:type="spellStart"/>
      <w:r w:rsidRPr="00B557E8">
        <w:rPr>
          <w:rFonts w:eastAsia="EUAlbertina-Bold-Identity-H"/>
          <w:color w:val="000000" w:themeColor="text1"/>
          <w:szCs w:val="24"/>
        </w:rPr>
        <w:t>milj</w:t>
      </w:r>
      <w:proofErr w:type="spellEnd"/>
      <w:r w:rsidRPr="00B557E8">
        <w:rPr>
          <w:rFonts w:eastAsia="EUAlbertina-Bold-Identity-H"/>
          <w:color w:val="000000" w:themeColor="text1"/>
          <w:szCs w:val="24"/>
        </w:rPr>
        <w:t xml:space="preserve">. latu) un 1.5.2.2.3.apakšaktivitātē „Atbalsts nevalstiskajām organizācijām un pašvaldībām kapacitātes stiprināšanā </w:t>
      </w:r>
      <w:r w:rsidR="00EC322F" w:rsidRPr="00B557E8">
        <w:rPr>
          <w:rFonts w:eastAsia="EUAlbertina-Bold-Identity-H"/>
          <w:color w:val="000000" w:themeColor="text1"/>
          <w:szCs w:val="24"/>
          <w:lang w:eastAsia="lv-LV"/>
        </w:rPr>
        <w:t xml:space="preserve">ES </w:t>
      </w:r>
      <w:r w:rsidRPr="00B557E8">
        <w:rPr>
          <w:rFonts w:eastAsia="EUAlbertina-Bold-Identity-H"/>
          <w:color w:val="000000" w:themeColor="text1"/>
          <w:szCs w:val="24"/>
        </w:rPr>
        <w:t xml:space="preserve">politiku instrumentu un pārējās ārvalstu finanšu palīdzības līdzfinansēto projektu un pasākumu īstenošanai” (pieejamais ESF finansējums 700 </w:t>
      </w:r>
      <w:proofErr w:type="spellStart"/>
      <w:r w:rsidRPr="00B557E8">
        <w:rPr>
          <w:rFonts w:eastAsia="EUAlbertina-Bold-Identity-H"/>
          <w:color w:val="000000" w:themeColor="text1"/>
          <w:szCs w:val="24"/>
        </w:rPr>
        <w:t>tūkst</w:t>
      </w:r>
      <w:proofErr w:type="spellEnd"/>
      <w:r w:rsidRPr="00B557E8">
        <w:rPr>
          <w:rFonts w:eastAsia="EUAlbertina-Bold-Identity-H"/>
          <w:color w:val="000000" w:themeColor="text1"/>
          <w:szCs w:val="24"/>
        </w:rPr>
        <w:t xml:space="preserve">. latu). </w:t>
      </w:r>
    </w:p>
    <w:p w:rsidR="0039301C" w:rsidRPr="00B557E8" w:rsidRDefault="0039301C" w:rsidP="00B557E8">
      <w:pPr>
        <w:spacing w:before="120" w:after="120" w:line="276" w:lineRule="auto"/>
        <w:rPr>
          <w:rFonts w:eastAsia="EUAlbertina-Bold-Identity-H"/>
          <w:color w:val="000000" w:themeColor="text1"/>
          <w:szCs w:val="24"/>
        </w:rPr>
      </w:pPr>
      <w:r w:rsidRPr="00B557E8">
        <w:rPr>
          <w:rFonts w:eastAsia="EUAlbertina-Bold-Identity-H"/>
          <w:color w:val="000000" w:themeColor="text1"/>
          <w:szCs w:val="24"/>
        </w:rPr>
        <w:t xml:space="preserve">2011.gada </w:t>
      </w:r>
      <w:r w:rsidR="00F86F93" w:rsidRPr="00B557E8">
        <w:rPr>
          <w:rFonts w:eastAsia="EUAlbertina-Bold-Identity-H"/>
          <w:color w:val="000000" w:themeColor="text1"/>
          <w:szCs w:val="24"/>
        </w:rPr>
        <w:t xml:space="preserve">ceturtajā </w:t>
      </w:r>
      <w:r w:rsidRPr="00B557E8">
        <w:rPr>
          <w:rFonts w:eastAsia="EUAlbertina-Bold-Identity-H"/>
          <w:color w:val="000000" w:themeColor="text1"/>
          <w:szCs w:val="24"/>
        </w:rPr>
        <w:t xml:space="preserve">ceturksnī plānots izsludināt projektu iesniegumu atlases konkursu  1.3.1.1.1. </w:t>
      </w:r>
      <w:proofErr w:type="spellStart"/>
      <w:r w:rsidRPr="00B557E8">
        <w:rPr>
          <w:rFonts w:eastAsia="EUAlbertina-Bold-Identity-H"/>
          <w:color w:val="000000" w:themeColor="text1"/>
          <w:szCs w:val="24"/>
        </w:rPr>
        <w:t>apakšaktivitātes</w:t>
      </w:r>
      <w:proofErr w:type="spellEnd"/>
      <w:r w:rsidRPr="00B557E8">
        <w:rPr>
          <w:rFonts w:eastAsia="EUAlbertina-Bold-Identity-H"/>
          <w:color w:val="000000" w:themeColor="text1"/>
          <w:szCs w:val="24"/>
        </w:rPr>
        <w:t xml:space="preserve"> „Atbalsts nodarbināto apmācībām komersantu konkurētspējas veicināšanai - atbalsts partnerībās organizētām apmācībām” 3.kārtai </w:t>
      </w:r>
      <w:r w:rsidR="0095438C" w:rsidRPr="00B557E8">
        <w:rPr>
          <w:rFonts w:eastAsia="EUAlbertina-Bold-Identity-H"/>
          <w:color w:val="000000" w:themeColor="text1"/>
          <w:szCs w:val="24"/>
        </w:rPr>
        <w:t xml:space="preserve">(pieejamais ESF finansējums 1,1 </w:t>
      </w:r>
      <w:proofErr w:type="spellStart"/>
      <w:r w:rsidRPr="00B557E8">
        <w:rPr>
          <w:rFonts w:eastAsia="EUAlbertina-Bold-Identity-H"/>
          <w:color w:val="000000" w:themeColor="text1"/>
          <w:szCs w:val="24"/>
        </w:rPr>
        <w:t>milj</w:t>
      </w:r>
      <w:proofErr w:type="spellEnd"/>
      <w:r w:rsidRPr="00B557E8">
        <w:rPr>
          <w:rFonts w:eastAsia="EUAlbertina-Bold-Identity-H"/>
          <w:color w:val="000000" w:themeColor="text1"/>
          <w:szCs w:val="24"/>
        </w:rPr>
        <w:t>. latu) un 1.3.1.1.6.apakšaktivitātē „Atbalsts darba vietu radīšanai” (pieejamais ESF finansējum</w:t>
      </w:r>
      <w:r w:rsidR="003E54FB" w:rsidRPr="00B557E8">
        <w:rPr>
          <w:rFonts w:eastAsia="EUAlbertina-Bold-Identity-H"/>
          <w:color w:val="000000" w:themeColor="text1"/>
          <w:szCs w:val="24"/>
        </w:rPr>
        <w:t>s 3</w:t>
      </w:r>
      <w:r w:rsidR="00F86F93" w:rsidRPr="00B557E8">
        <w:rPr>
          <w:rFonts w:eastAsia="EUAlbertina-Bold-Identity-H"/>
          <w:color w:val="000000" w:themeColor="text1"/>
          <w:szCs w:val="24"/>
        </w:rPr>
        <w:t>,0</w:t>
      </w:r>
      <w:r w:rsidR="003E54FB" w:rsidRPr="00B557E8">
        <w:rPr>
          <w:rFonts w:eastAsia="EUAlbertina-Bold-Identity-H"/>
          <w:color w:val="000000" w:themeColor="text1"/>
          <w:szCs w:val="24"/>
        </w:rPr>
        <w:t xml:space="preserve"> </w:t>
      </w:r>
      <w:proofErr w:type="spellStart"/>
      <w:r w:rsidR="003E54FB" w:rsidRPr="00B557E8">
        <w:rPr>
          <w:rFonts w:eastAsia="EUAlbertina-Bold-Identity-H"/>
          <w:color w:val="000000" w:themeColor="text1"/>
          <w:szCs w:val="24"/>
        </w:rPr>
        <w:t>milj</w:t>
      </w:r>
      <w:proofErr w:type="spellEnd"/>
      <w:r w:rsidR="003E54FB" w:rsidRPr="00B557E8">
        <w:rPr>
          <w:rFonts w:eastAsia="EUAlbertina-Bold-Identity-H"/>
          <w:color w:val="000000" w:themeColor="text1"/>
          <w:szCs w:val="24"/>
        </w:rPr>
        <w:t>. latu). Tādējādi kopējā projektu konkursos izsludināmā</w:t>
      </w:r>
      <w:r w:rsidRPr="00B557E8">
        <w:rPr>
          <w:rFonts w:eastAsia="EUAlbertina-Bold-Identity-H"/>
          <w:color w:val="000000" w:themeColor="text1"/>
          <w:szCs w:val="24"/>
        </w:rPr>
        <w:t xml:space="preserve"> summa sastāda 4</w:t>
      </w:r>
      <w:r w:rsidR="00F86F93" w:rsidRPr="00B557E8">
        <w:rPr>
          <w:rFonts w:eastAsia="EUAlbertina-Bold-Identity-H"/>
          <w:color w:val="000000" w:themeColor="text1"/>
          <w:szCs w:val="24"/>
        </w:rPr>
        <w:t>,</w:t>
      </w:r>
      <w:r w:rsidRPr="00B557E8">
        <w:rPr>
          <w:rFonts w:eastAsia="EUAlbertina-Bold-Identity-H"/>
          <w:color w:val="000000" w:themeColor="text1"/>
          <w:szCs w:val="24"/>
        </w:rPr>
        <w:t xml:space="preserve">1 </w:t>
      </w:r>
      <w:proofErr w:type="spellStart"/>
      <w:r w:rsidRPr="00B557E8">
        <w:rPr>
          <w:rFonts w:eastAsia="EUAlbertina-Bold-Identity-H"/>
          <w:color w:val="000000" w:themeColor="text1"/>
          <w:szCs w:val="24"/>
        </w:rPr>
        <w:t>milj</w:t>
      </w:r>
      <w:proofErr w:type="spellEnd"/>
      <w:r w:rsidRPr="00B557E8">
        <w:rPr>
          <w:rFonts w:eastAsia="EUAlbertina-Bold-Identity-H"/>
          <w:color w:val="000000" w:themeColor="text1"/>
          <w:szCs w:val="24"/>
        </w:rPr>
        <w:t>. latu.</w:t>
      </w:r>
    </w:p>
    <w:p w:rsidR="0039301C" w:rsidRPr="00B557E8" w:rsidRDefault="00B83810" w:rsidP="00B557E8">
      <w:pPr>
        <w:pStyle w:val="BodyTextIndent"/>
        <w:numPr>
          <w:ilvl w:val="2"/>
          <w:numId w:val="2"/>
        </w:numPr>
        <w:spacing w:before="120" w:line="276" w:lineRule="auto"/>
        <w:rPr>
          <w:b/>
          <w:iCs/>
          <w:color w:val="000000" w:themeColor="text1"/>
          <w:szCs w:val="24"/>
          <w:lang w:val="lv-LV"/>
        </w:rPr>
      </w:pPr>
      <w:r w:rsidRPr="00B557E8">
        <w:rPr>
          <w:b/>
          <w:color w:val="000000" w:themeColor="text1"/>
          <w:szCs w:val="24"/>
          <w:lang w:val="lv-LV"/>
        </w:rPr>
        <w:t>Projektu iesniegumu a</w:t>
      </w:r>
      <w:r w:rsidR="00EE61BC" w:rsidRPr="00B557E8">
        <w:rPr>
          <w:b/>
          <w:iCs/>
          <w:color w:val="000000" w:themeColor="text1"/>
          <w:szCs w:val="24"/>
          <w:lang w:val="lv-LV"/>
        </w:rPr>
        <w:t xml:space="preserve">tlases darbības programmā </w:t>
      </w:r>
      <w:r w:rsidR="0039301C" w:rsidRPr="00B557E8">
        <w:rPr>
          <w:b/>
          <w:iCs/>
          <w:color w:val="000000" w:themeColor="text1"/>
          <w:szCs w:val="24"/>
          <w:lang w:val="lv-LV"/>
        </w:rPr>
        <w:t xml:space="preserve">„Uzņēmējdarbība un inovācijas” </w:t>
      </w:r>
    </w:p>
    <w:p w:rsidR="00EE61BC" w:rsidRPr="00B557E8" w:rsidRDefault="0044283D" w:rsidP="00B557E8">
      <w:pPr>
        <w:spacing w:before="120" w:after="120" w:line="276" w:lineRule="auto"/>
        <w:rPr>
          <w:rFonts w:eastAsia="EUAlbertina-Bold-Identity-H"/>
          <w:color w:val="000000" w:themeColor="text1"/>
          <w:szCs w:val="24"/>
        </w:rPr>
      </w:pPr>
      <w:r w:rsidRPr="00B557E8">
        <w:rPr>
          <w:rFonts w:eastAsia="EUAlbertina-Bold-Identity-H"/>
          <w:color w:val="000000" w:themeColor="text1"/>
          <w:szCs w:val="24"/>
        </w:rPr>
        <w:t xml:space="preserve">Neskaitot tās projektu iesniegumu atlases kārtas, kas uzsāktas iepriekšējos pārskata periodos un tikušas turpinātas 2011.gada </w:t>
      </w:r>
      <w:r w:rsidR="00715B76" w:rsidRPr="00B557E8">
        <w:rPr>
          <w:rFonts w:eastAsia="EUAlbertina-Bold-Identity-H"/>
          <w:color w:val="000000" w:themeColor="text1"/>
          <w:szCs w:val="24"/>
        </w:rPr>
        <w:t>trešajā ceturksnī. T</w:t>
      </w:r>
      <w:r w:rsidRPr="00B557E8">
        <w:rPr>
          <w:rFonts w:eastAsia="EUAlbertina-Bold-Identity-H"/>
          <w:color w:val="000000" w:themeColor="text1"/>
          <w:szCs w:val="24"/>
        </w:rPr>
        <w:t xml:space="preserve">rešajā ceturksnī darbības programmas ietvaros tika izsludināta projektu iesniegumu atlase </w:t>
      </w:r>
      <w:proofErr w:type="spellStart"/>
      <w:r w:rsidRPr="00B557E8">
        <w:rPr>
          <w:rFonts w:eastAsia="EUAlbertina-Bold-Identity-H"/>
          <w:color w:val="000000" w:themeColor="text1"/>
          <w:szCs w:val="24"/>
        </w:rPr>
        <w:t>apakšaktivitātes</w:t>
      </w:r>
      <w:proofErr w:type="spellEnd"/>
      <w:r w:rsidRPr="00B557E8">
        <w:rPr>
          <w:rFonts w:eastAsia="EUAlbertina-Bold-Identity-H"/>
          <w:color w:val="000000" w:themeColor="text1"/>
          <w:szCs w:val="24"/>
        </w:rPr>
        <w:t xml:space="preserve"> „</w:t>
      </w:r>
      <w:proofErr w:type="spellStart"/>
      <w:r w:rsidRPr="00B557E8">
        <w:rPr>
          <w:rFonts w:eastAsia="EUAlbertina-Bold-Identity-H"/>
          <w:color w:val="000000" w:themeColor="text1"/>
          <w:szCs w:val="24"/>
        </w:rPr>
        <w:t>Mezanīna</w:t>
      </w:r>
      <w:proofErr w:type="spellEnd"/>
      <w:r w:rsidRPr="00B557E8">
        <w:rPr>
          <w:rFonts w:eastAsia="EUAlbertina-Bold-Identity-H"/>
          <w:color w:val="000000" w:themeColor="text1"/>
          <w:szCs w:val="24"/>
        </w:rPr>
        <w:t xml:space="preserve"> aizdevumi investīcijām komersa</w:t>
      </w:r>
      <w:r w:rsidR="00715B76" w:rsidRPr="00B557E8">
        <w:rPr>
          <w:rFonts w:eastAsia="EUAlbertina-Bold-Identity-H"/>
          <w:color w:val="000000" w:themeColor="text1"/>
          <w:szCs w:val="24"/>
        </w:rPr>
        <w:t xml:space="preserve">ntu konkurētspējas uzlabošanai” </w:t>
      </w:r>
      <w:r w:rsidRPr="00B557E8">
        <w:rPr>
          <w:rFonts w:eastAsia="EUAlbertina-Bold-Identity-H"/>
          <w:color w:val="000000" w:themeColor="text1"/>
          <w:szCs w:val="24"/>
        </w:rPr>
        <w:t>par kopējo ERAF finansējumu 10,</w:t>
      </w:r>
      <w:r w:rsidR="00F86F93" w:rsidRPr="00B557E8">
        <w:rPr>
          <w:rFonts w:eastAsia="EUAlbertina-Bold-Identity-H"/>
          <w:color w:val="000000" w:themeColor="text1"/>
          <w:szCs w:val="24"/>
        </w:rPr>
        <w:t>7</w:t>
      </w:r>
      <w:r w:rsidR="0095438C" w:rsidRPr="00B557E8">
        <w:rPr>
          <w:rFonts w:eastAsia="EUAlbertina-Bold-Identity-H"/>
          <w:color w:val="000000" w:themeColor="text1"/>
          <w:szCs w:val="24"/>
        </w:rPr>
        <w:t> </w:t>
      </w:r>
      <w:r w:rsidR="00F735D9" w:rsidRPr="00B557E8">
        <w:rPr>
          <w:rFonts w:eastAsia="EUAlbertina-Bold-Identity-H"/>
          <w:color w:val="000000" w:themeColor="text1"/>
          <w:szCs w:val="24"/>
        </w:rPr>
        <w:t xml:space="preserve">milj. </w:t>
      </w:r>
      <w:r w:rsidR="00EE61BC" w:rsidRPr="00B557E8">
        <w:rPr>
          <w:rFonts w:eastAsia="EUAlbertina-Bold-Identity-H"/>
          <w:color w:val="000000" w:themeColor="text1"/>
          <w:szCs w:val="24"/>
        </w:rPr>
        <w:t>latu:</w:t>
      </w:r>
    </w:p>
    <w:p w:rsidR="0039301C" w:rsidRPr="00B557E8" w:rsidRDefault="0039301C" w:rsidP="00B557E8">
      <w:pPr>
        <w:pStyle w:val="ListParagraph"/>
        <w:numPr>
          <w:ilvl w:val="0"/>
          <w:numId w:val="64"/>
        </w:numPr>
        <w:suppressAutoHyphens/>
        <w:autoSpaceDN w:val="0"/>
        <w:spacing w:before="120" w:after="120"/>
        <w:jc w:val="both"/>
        <w:textAlignment w:val="baseline"/>
        <w:rPr>
          <w:rFonts w:ascii="Times New Roman" w:hAnsi="Times New Roman"/>
          <w:color w:val="000000" w:themeColor="text1"/>
          <w:sz w:val="24"/>
          <w:szCs w:val="24"/>
        </w:rPr>
      </w:pPr>
      <w:r w:rsidRPr="00B557E8">
        <w:rPr>
          <w:rFonts w:ascii="Times New Roman" w:hAnsi="Times New Roman"/>
          <w:color w:val="000000" w:themeColor="text1"/>
          <w:sz w:val="24"/>
          <w:szCs w:val="24"/>
        </w:rPr>
        <w:t xml:space="preserve">Pārskata periodā turpinājās 2.3.1.1.1. </w:t>
      </w:r>
      <w:proofErr w:type="spellStart"/>
      <w:r w:rsidRPr="00B557E8">
        <w:rPr>
          <w:rFonts w:ascii="Times New Roman" w:hAnsi="Times New Roman"/>
          <w:color w:val="000000" w:themeColor="text1"/>
          <w:sz w:val="24"/>
          <w:szCs w:val="24"/>
        </w:rPr>
        <w:t>apakšaktivitātes</w:t>
      </w:r>
      <w:proofErr w:type="spellEnd"/>
      <w:r w:rsidRPr="00B557E8">
        <w:rPr>
          <w:rFonts w:ascii="Times New Roman" w:hAnsi="Times New Roman"/>
          <w:color w:val="000000" w:themeColor="text1"/>
          <w:sz w:val="24"/>
          <w:szCs w:val="24"/>
        </w:rPr>
        <w:t xml:space="preserve"> „Ārējo tirgu apgūšana – ārējais mārketings” projektu iesniegumu pieņemšana. </w:t>
      </w:r>
      <w:proofErr w:type="spellStart"/>
      <w:r w:rsidRPr="00B557E8">
        <w:rPr>
          <w:rFonts w:ascii="Times New Roman" w:hAnsi="Times New Roman"/>
          <w:color w:val="000000" w:themeColor="text1"/>
          <w:sz w:val="24"/>
          <w:szCs w:val="24"/>
        </w:rPr>
        <w:t>Apakšaktivitātes</w:t>
      </w:r>
      <w:proofErr w:type="spellEnd"/>
      <w:r w:rsidRPr="00B557E8">
        <w:rPr>
          <w:rFonts w:ascii="Times New Roman" w:hAnsi="Times New Roman"/>
          <w:color w:val="000000" w:themeColor="text1"/>
          <w:sz w:val="24"/>
          <w:szCs w:val="24"/>
        </w:rPr>
        <w:t xml:space="preserve"> mērķis ir atbalstīt ar ieiešanu ārvalstu tirgos saistītās aktivitātes - ārējo mārketingu ārvalstīs un pasākumus, kas sekmē komersantu iekļaušanos starptautiskajās piegāžu ķēdēs, veicina Latvijas komersantu dalību starptautiskās izstādēs un tirdzniecības misijās. </w:t>
      </w:r>
      <w:proofErr w:type="spellStart"/>
      <w:r w:rsidRPr="00B557E8">
        <w:rPr>
          <w:rFonts w:ascii="Times New Roman" w:hAnsi="Times New Roman"/>
          <w:color w:val="000000" w:themeColor="text1"/>
          <w:sz w:val="24"/>
          <w:szCs w:val="24"/>
        </w:rPr>
        <w:t>Apakšaktivitātes</w:t>
      </w:r>
      <w:proofErr w:type="spellEnd"/>
      <w:r w:rsidRPr="00B557E8">
        <w:rPr>
          <w:rFonts w:ascii="Times New Roman" w:hAnsi="Times New Roman"/>
          <w:color w:val="000000" w:themeColor="text1"/>
          <w:sz w:val="24"/>
          <w:szCs w:val="24"/>
        </w:rPr>
        <w:t xml:space="preserve"> ietvaros pieejamais ERAF finansējums ir  14,7 </w:t>
      </w:r>
      <w:proofErr w:type="spellStart"/>
      <w:r w:rsidRPr="00B557E8">
        <w:rPr>
          <w:rFonts w:ascii="Times New Roman" w:hAnsi="Times New Roman"/>
          <w:color w:val="000000" w:themeColor="text1"/>
          <w:sz w:val="24"/>
          <w:szCs w:val="24"/>
        </w:rPr>
        <w:t>milj</w:t>
      </w:r>
      <w:proofErr w:type="spellEnd"/>
      <w:r w:rsidRPr="00B557E8">
        <w:rPr>
          <w:rFonts w:ascii="Times New Roman" w:hAnsi="Times New Roman"/>
          <w:color w:val="000000" w:themeColor="text1"/>
          <w:sz w:val="24"/>
          <w:szCs w:val="24"/>
        </w:rPr>
        <w:t>. latu</w:t>
      </w:r>
      <w:r w:rsidR="00885215" w:rsidRPr="00B557E8">
        <w:rPr>
          <w:rFonts w:ascii="Times New Roman" w:hAnsi="Times New Roman"/>
          <w:color w:val="000000" w:themeColor="text1"/>
          <w:sz w:val="24"/>
          <w:szCs w:val="24"/>
        </w:rPr>
        <w:t>;</w:t>
      </w:r>
    </w:p>
    <w:p w:rsidR="0039301C" w:rsidRPr="00B557E8" w:rsidRDefault="00C77FCE" w:rsidP="00B557E8">
      <w:pPr>
        <w:pStyle w:val="ListParagraph"/>
        <w:numPr>
          <w:ilvl w:val="0"/>
          <w:numId w:val="64"/>
        </w:numPr>
        <w:suppressAutoHyphens/>
        <w:autoSpaceDN w:val="0"/>
        <w:spacing w:before="120" w:after="120"/>
        <w:jc w:val="both"/>
        <w:textAlignment w:val="baseline"/>
        <w:rPr>
          <w:rFonts w:ascii="Times New Roman" w:hAnsi="Times New Roman"/>
          <w:color w:val="000000" w:themeColor="text1"/>
          <w:sz w:val="24"/>
          <w:szCs w:val="24"/>
        </w:rPr>
      </w:pPr>
      <w:r w:rsidRPr="00B557E8">
        <w:rPr>
          <w:rFonts w:ascii="Times New Roman" w:hAnsi="Times New Roman"/>
          <w:color w:val="000000" w:themeColor="text1"/>
          <w:sz w:val="24"/>
          <w:szCs w:val="24"/>
        </w:rPr>
        <w:lastRenderedPageBreak/>
        <w:t xml:space="preserve">2011.gada 19.septembrī noslēdzās projektu iesniegumu iesniegšana 2.1.1.3.1. </w:t>
      </w:r>
      <w:proofErr w:type="spellStart"/>
      <w:r w:rsidRPr="00B557E8">
        <w:rPr>
          <w:rFonts w:ascii="Times New Roman" w:hAnsi="Times New Roman"/>
          <w:color w:val="000000" w:themeColor="text1"/>
          <w:sz w:val="24"/>
          <w:szCs w:val="24"/>
        </w:rPr>
        <w:t>apakšaktivitātes</w:t>
      </w:r>
      <w:proofErr w:type="spellEnd"/>
      <w:r w:rsidRPr="00B557E8">
        <w:rPr>
          <w:rFonts w:ascii="Times New Roman" w:hAnsi="Times New Roman"/>
          <w:color w:val="000000" w:themeColor="text1"/>
          <w:sz w:val="24"/>
          <w:szCs w:val="24"/>
        </w:rPr>
        <w:t xml:space="preserve"> „Zinātnes infrastruktūras attīstība” otrās projektu iesniegumu atlases kārtas ietvaros, kuras mērķis ir attīstīt pētniecības infrastruktūru, lai veicinātu komercdarbību pētniecības pakalpojumu sektorā un sekmētu zināšanu pārnesi tautsaimniecībā un augstākas </w:t>
      </w:r>
      <w:proofErr w:type="spellStart"/>
      <w:r w:rsidRPr="00B557E8">
        <w:rPr>
          <w:rFonts w:ascii="Times New Roman" w:hAnsi="Times New Roman"/>
          <w:color w:val="000000" w:themeColor="text1"/>
          <w:sz w:val="24"/>
          <w:szCs w:val="24"/>
        </w:rPr>
        <w:t>eksportspējas</w:t>
      </w:r>
      <w:proofErr w:type="spellEnd"/>
      <w:r w:rsidRPr="00B557E8">
        <w:rPr>
          <w:rFonts w:ascii="Times New Roman" w:hAnsi="Times New Roman"/>
          <w:color w:val="000000" w:themeColor="text1"/>
          <w:sz w:val="24"/>
          <w:szCs w:val="24"/>
        </w:rPr>
        <w:t xml:space="preserve"> produktu ražošanu. Atlases ietvaros iesniegti 29 projektu iesniegumi par ERAF</w:t>
      </w:r>
      <w:r w:rsidRPr="00B557E8" w:rsidDel="00131E05">
        <w:rPr>
          <w:rFonts w:ascii="Times New Roman" w:hAnsi="Times New Roman"/>
          <w:color w:val="000000" w:themeColor="text1"/>
          <w:sz w:val="24"/>
          <w:szCs w:val="24"/>
        </w:rPr>
        <w:t xml:space="preserve"> </w:t>
      </w:r>
      <w:r w:rsidRPr="00B557E8">
        <w:rPr>
          <w:rFonts w:ascii="Times New Roman" w:hAnsi="Times New Roman"/>
          <w:color w:val="000000" w:themeColor="text1"/>
          <w:sz w:val="24"/>
          <w:szCs w:val="24"/>
        </w:rPr>
        <w:t>finansējumu 103,</w:t>
      </w:r>
      <w:r w:rsidR="0056254C" w:rsidRPr="00B557E8">
        <w:rPr>
          <w:rFonts w:ascii="Times New Roman" w:hAnsi="Times New Roman"/>
          <w:color w:val="000000" w:themeColor="text1"/>
          <w:sz w:val="24"/>
          <w:szCs w:val="24"/>
        </w:rPr>
        <w:t>1</w:t>
      </w:r>
      <w:r w:rsidRPr="00B557E8">
        <w:rPr>
          <w:rFonts w:ascii="Times New Roman" w:hAnsi="Times New Roman"/>
          <w:color w:val="000000" w:themeColor="text1"/>
          <w:sz w:val="24"/>
          <w:szCs w:val="24"/>
        </w:rPr>
        <w:t xml:space="preserve"> </w:t>
      </w:r>
      <w:proofErr w:type="spellStart"/>
      <w:r w:rsidRPr="00B557E8">
        <w:rPr>
          <w:rFonts w:ascii="Times New Roman" w:hAnsi="Times New Roman"/>
          <w:color w:val="000000" w:themeColor="text1"/>
          <w:sz w:val="24"/>
          <w:szCs w:val="24"/>
        </w:rPr>
        <w:t>milj</w:t>
      </w:r>
      <w:proofErr w:type="spellEnd"/>
      <w:r w:rsidRPr="00B557E8">
        <w:rPr>
          <w:rFonts w:ascii="Times New Roman" w:hAnsi="Times New Roman"/>
          <w:color w:val="000000" w:themeColor="text1"/>
          <w:sz w:val="24"/>
          <w:szCs w:val="24"/>
        </w:rPr>
        <w:t xml:space="preserve">. </w:t>
      </w:r>
      <w:r w:rsidR="00783230" w:rsidRPr="00B557E8">
        <w:rPr>
          <w:rFonts w:ascii="Times New Roman" w:hAnsi="Times New Roman"/>
          <w:color w:val="000000" w:themeColor="text1"/>
          <w:sz w:val="24"/>
          <w:szCs w:val="24"/>
        </w:rPr>
        <w:t>latu</w:t>
      </w:r>
      <w:r w:rsidRPr="00B557E8">
        <w:rPr>
          <w:rFonts w:ascii="Times New Roman" w:hAnsi="Times New Roman"/>
          <w:color w:val="000000" w:themeColor="text1"/>
          <w:sz w:val="24"/>
          <w:szCs w:val="24"/>
        </w:rPr>
        <w:t>;</w:t>
      </w:r>
    </w:p>
    <w:p w:rsidR="00F735D9" w:rsidRPr="00B557E8" w:rsidRDefault="0039301C" w:rsidP="00B557E8">
      <w:pPr>
        <w:pStyle w:val="ListParagraph"/>
        <w:numPr>
          <w:ilvl w:val="0"/>
          <w:numId w:val="64"/>
        </w:numPr>
        <w:suppressAutoHyphens/>
        <w:autoSpaceDN w:val="0"/>
        <w:spacing w:before="120" w:after="120"/>
        <w:jc w:val="both"/>
        <w:textAlignment w:val="baseline"/>
        <w:rPr>
          <w:rFonts w:ascii="Times New Roman" w:hAnsi="Times New Roman"/>
          <w:color w:val="000000" w:themeColor="text1"/>
          <w:sz w:val="24"/>
          <w:szCs w:val="24"/>
        </w:rPr>
      </w:pPr>
      <w:r w:rsidRPr="00B557E8">
        <w:rPr>
          <w:rFonts w:ascii="Times New Roman" w:hAnsi="Times New Roman"/>
          <w:color w:val="000000" w:themeColor="text1"/>
          <w:sz w:val="24"/>
          <w:szCs w:val="24"/>
        </w:rPr>
        <w:t xml:space="preserve">2011.gada 22.augustā uzsākta </w:t>
      </w:r>
      <w:proofErr w:type="spellStart"/>
      <w:r w:rsidRPr="00B557E8">
        <w:rPr>
          <w:rFonts w:ascii="Times New Roman" w:hAnsi="Times New Roman"/>
          <w:color w:val="000000" w:themeColor="text1"/>
          <w:sz w:val="24"/>
          <w:szCs w:val="24"/>
        </w:rPr>
        <w:t>apakšaktivitātes</w:t>
      </w:r>
      <w:proofErr w:type="spellEnd"/>
      <w:r w:rsidRPr="00B557E8">
        <w:rPr>
          <w:rFonts w:ascii="Times New Roman" w:hAnsi="Times New Roman"/>
          <w:color w:val="000000" w:themeColor="text1"/>
          <w:sz w:val="24"/>
          <w:szCs w:val="24"/>
        </w:rPr>
        <w:t xml:space="preserve"> 2.2.1.4.2.„Mezanīna aizdevumi investīcijām komersantu konkurētspējas uzlabošanai” ierobežota projektu iesniegumu atlase. </w:t>
      </w:r>
      <w:proofErr w:type="spellStart"/>
      <w:r w:rsidRPr="00B557E8">
        <w:rPr>
          <w:rFonts w:ascii="Times New Roman" w:hAnsi="Times New Roman"/>
          <w:color w:val="000000" w:themeColor="text1"/>
          <w:sz w:val="24"/>
          <w:szCs w:val="24"/>
        </w:rPr>
        <w:t>Apakšaktivitātes</w:t>
      </w:r>
      <w:proofErr w:type="spellEnd"/>
      <w:r w:rsidRPr="00B557E8">
        <w:rPr>
          <w:rFonts w:ascii="Times New Roman" w:hAnsi="Times New Roman"/>
          <w:color w:val="000000" w:themeColor="text1"/>
          <w:sz w:val="24"/>
          <w:szCs w:val="24"/>
        </w:rPr>
        <w:t xml:space="preserve"> mērķis ir nodrošināt komersantiem pieeju finansējumam komercdarbības attīstībai un ES fondu projektu ieviešanai, saņemot aizdevumus situācijās, kad komersanta rīcībā esošais pašu kapitāls nav pietiekams kredītresursu piesaistei nepieciešamajā apjomā, kā arī veicināt Latvijas komersantu konkurētspēju, sekmēt jaunu tirgu apgūšanu un nostiprināšanos esošajos. </w:t>
      </w:r>
      <w:proofErr w:type="spellStart"/>
      <w:r w:rsidRPr="00B557E8">
        <w:rPr>
          <w:rFonts w:ascii="Times New Roman" w:hAnsi="Times New Roman"/>
          <w:color w:val="000000" w:themeColor="text1"/>
          <w:sz w:val="24"/>
          <w:szCs w:val="24"/>
        </w:rPr>
        <w:t>Apakšaktivitātes</w:t>
      </w:r>
      <w:proofErr w:type="spellEnd"/>
      <w:r w:rsidRPr="00B557E8">
        <w:rPr>
          <w:rFonts w:ascii="Times New Roman" w:hAnsi="Times New Roman"/>
          <w:color w:val="000000" w:themeColor="text1"/>
          <w:sz w:val="24"/>
          <w:szCs w:val="24"/>
        </w:rPr>
        <w:t xml:space="preserve"> ietvaros pieejamais ERAF finansējums ir  10,7 </w:t>
      </w:r>
      <w:proofErr w:type="spellStart"/>
      <w:r w:rsidRPr="00B557E8">
        <w:rPr>
          <w:rFonts w:ascii="Times New Roman" w:hAnsi="Times New Roman"/>
          <w:color w:val="000000" w:themeColor="text1"/>
          <w:sz w:val="24"/>
          <w:szCs w:val="24"/>
        </w:rPr>
        <w:t>milj</w:t>
      </w:r>
      <w:proofErr w:type="spellEnd"/>
      <w:r w:rsidRPr="00B557E8">
        <w:rPr>
          <w:rFonts w:ascii="Times New Roman" w:hAnsi="Times New Roman"/>
          <w:color w:val="000000" w:themeColor="text1"/>
          <w:sz w:val="24"/>
          <w:szCs w:val="24"/>
        </w:rPr>
        <w:t xml:space="preserve">. latu. Pārskata periodā atlases ietvaros ir apstiprināts </w:t>
      </w:r>
      <w:r w:rsidR="0053690D" w:rsidRPr="00B557E8">
        <w:rPr>
          <w:rFonts w:ascii="Times New Roman" w:hAnsi="Times New Roman"/>
          <w:color w:val="000000" w:themeColor="text1"/>
          <w:sz w:val="24"/>
          <w:szCs w:val="24"/>
        </w:rPr>
        <w:t>LGA</w:t>
      </w:r>
      <w:r w:rsidRPr="00B557E8">
        <w:rPr>
          <w:rFonts w:ascii="Times New Roman" w:hAnsi="Times New Roman"/>
          <w:color w:val="000000" w:themeColor="text1"/>
          <w:sz w:val="24"/>
          <w:szCs w:val="24"/>
        </w:rPr>
        <w:t xml:space="preserve"> iesniegtais projekts par visu </w:t>
      </w:r>
      <w:proofErr w:type="spellStart"/>
      <w:r w:rsidRPr="00B557E8">
        <w:rPr>
          <w:rFonts w:ascii="Times New Roman" w:hAnsi="Times New Roman"/>
          <w:color w:val="000000" w:themeColor="text1"/>
          <w:sz w:val="24"/>
          <w:szCs w:val="24"/>
        </w:rPr>
        <w:t>apakšaktivitātes</w:t>
      </w:r>
      <w:proofErr w:type="spellEnd"/>
      <w:r w:rsidRPr="00B557E8">
        <w:rPr>
          <w:rFonts w:ascii="Times New Roman" w:hAnsi="Times New Roman"/>
          <w:color w:val="000000" w:themeColor="text1"/>
          <w:sz w:val="24"/>
          <w:szCs w:val="24"/>
        </w:rPr>
        <w:t xml:space="preserve"> ietvaros pieejamo finansējumu</w:t>
      </w:r>
      <w:r w:rsidR="00EE61BC" w:rsidRPr="00B557E8">
        <w:rPr>
          <w:rFonts w:ascii="Times New Roman" w:hAnsi="Times New Roman"/>
          <w:color w:val="000000" w:themeColor="text1"/>
          <w:sz w:val="24"/>
          <w:szCs w:val="24"/>
        </w:rPr>
        <w:t>.</w:t>
      </w:r>
    </w:p>
    <w:p w:rsidR="00EE61BC" w:rsidRPr="00B557E8" w:rsidRDefault="00EE61BC" w:rsidP="00B557E8">
      <w:pPr>
        <w:spacing w:before="120" w:after="120" w:line="276" w:lineRule="auto"/>
        <w:rPr>
          <w:rFonts w:eastAsia="EUAlbertina-Bold-Identity-H"/>
          <w:color w:val="000000" w:themeColor="text1"/>
          <w:szCs w:val="24"/>
        </w:rPr>
      </w:pPr>
      <w:r w:rsidRPr="00B557E8">
        <w:rPr>
          <w:rFonts w:eastAsia="EUAlbertina-Bold-Identity-H"/>
          <w:color w:val="000000" w:themeColor="text1"/>
          <w:szCs w:val="24"/>
        </w:rPr>
        <w:t xml:space="preserve">Un šī gada ceturtajā ceturksnī  ERAF finansējuma ietvaros  ir plānots izsludināt projekta iesnieguma atlases kārtas par kopējo summu 31,6 </w:t>
      </w:r>
      <w:proofErr w:type="spellStart"/>
      <w:r w:rsidRPr="00B557E8">
        <w:rPr>
          <w:rFonts w:eastAsia="EUAlbertina-Bold-Identity-H"/>
          <w:color w:val="000000" w:themeColor="text1"/>
          <w:szCs w:val="24"/>
        </w:rPr>
        <w:t>milj</w:t>
      </w:r>
      <w:proofErr w:type="spellEnd"/>
      <w:r w:rsidRPr="00B557E8">
        <w:rPr>
          <w:rFonts w:eastAsia="EUAlbertina-Bold-Identity-H"/>
          <w:color w:val="000000" w:themeColor="text1"/>
          <w:szCs w:val="24"/>
        </w:rPr>
        <w:t xml:space="preserve"> latu, kurā ir iekļauts aktivitātes „Augstas pievienotās vērtības investīcijas” papildus aktivitātei piešķirtais attiecināmo </w:t>
      </w:r>
      <w:proofErr w:type="spellStart"/>
      <w:r w:rsidRPr="00B557E8">
        <w:rPr>
          <w:rFonts w:eastAsia="EUAlbertina-Bold-Identity-H"/>
          <w:color w:val="000000" w:themeColor="text1"/>
          <w:szCs w:val="24"/>
        </w:rPr>
        <w:t>virssaistību</w:t>
      </w:r>
      <w:proofErr w:type="spellEnd"/>
      <w:r w:rsidRPr="00B557E8">
        <w:rPr>
          <w:rFonts w:eastAsia="EUAlbertina-Bold-Identity-H"/>
          <w:color w:val="000000" w:themeColor="text1"/>
          <w:szCs w:val="24"/>
        </w:rPr>
        <w:t xml:space="preserve"> finans</w:t>
      </w:r>
      <w:r w:rsidR="009B3BF5" w:rsidRPr="00B557E8">
        <w:rPr>
          <w:rFonts w:eastAsia="EUAlbertina-Bold-Identity-H"/>
          <w:color w:val="000000" w:themeColor="text1"/>
          <w:szCs w:val="24"/>
        </w:rPr>
        <w:t>ējums 13,</w:t>
      </w:r>
      <w:r w:rsidRPr="00B557E8">
        <w:rPr>
          <w:rFonts w:eastAsia="EUAlbertina-Bold-Identity-H"/>
          <w:color w:val="000000" w:themeColor="text1"/>
          <w:szCs w:val="24"/>
        </w:rPr>
        <w:t xml:space="preserve">1 </w:t>
      </w:r>
      <w:proofErr w:type="spellStart"/>
      <w:r w:rsidRPr="00B557E8">
        <w:rPr>
          <w:rFonts w:eastAsia="EUAlbertina-Bold-Identity-H"/>
          <w:color w:val="000000" w:themeColor="text1"/>
          <w:szCs w:val="24"/>
        </w:rPr>
        <w:t>milj</w:t>
      </w:r>
      <w:proofErr w:type="spellEnd"/>
      <w:r w:rsidRPr="00B557E8">
        <w:rPr>
          <w:rFonts w:eastAsia="EUAlbertina-Bold-Identity-H"/>
          <w:color w:val="000000" w:themeColor="text1"/>
          <w:szCs w:val="24"/>
        </w:rPr>
        <w:t>. latu apmērā:</w:t>
      </w:r>
    </w:p>
    <w:p w:rsidR="0039301C" w:rsidRPr="00B557E8" w:rsidRDefault="0039301C" w:rsidP="00B557E8">
      <w:pPr>
        <w:pStyle w:val="ListParagraph"/>
        <w:numPr>
          <w:ilvl w:val="0"/>
          <w:numId w:val="98"/>
        </w:numPr>
        <w:suppressAutoHyphens/>
        <w:autoSpaceDN w:val="0"/>
        <w:spacing w:before="120" w:after="120"/>
        <w:jc w:val="both"/>
        <w:textAlignment w:val="baseline"/>
        <w:rPr>
          <w:rFonts w:ascii="Times New Roman" w:hAnsi="Times New Roman"/>
          <w:color w:val="000000" w:themeColor="text1"/>
          <w:sz w:val="24"/>
          <w:szCs w:val="24"/>
        </w:rPr>
      </w:pPr>
      <w:r w:rsidRPr="00B557E8">
        <w:rPr>
          <w:rFonts w:ascii="Times New Roman" w:hAnsi="Times New Roman"/>
          <w:color w:val="000000" w:themeColor="text1"/>
          <w:sz w:val="24"/>
          <w:szCs w:val="24"/>
        </w:rPr>
        <w:t xml:space="preserve">Izsludināt projektu iesniegumu atlasi 2.1.2.2.4. </w:t>
      </w:r>
      <w:proofErr w:type="spellStart"/>
      <w:r w:rsidRPr="00B557E8">
        <w:rPr>
          <w:rFonts w:ascii="Times New Roman" w:hAnsi="Times New Roman"/>
          <w:color w:val="000000" w:themeColor="text1"/>
          <w:sz w:val="24"/>
          <w:szCs w:val="24"/>
        </w:rPr>
        <w:t>apakšaktivitātes</w:t>
      </w:r>
      <w:proofErr w:type="spellEnd"/>
      <w:r w:rsidRPr="00B557E8">
        <w:rPr>
          <w:rFonts w:ascii="Times New Roman" w:hAnsi="Times New Roman"/>
          <w:color w:val="000000" w:themeColor="text1"/>
          <w:sz w:val="24"/>
          <w:szCs w:val="24"/>
        </w:rPr>
        <w:t xml:space="preserve"> „MVK jaunu produktu un tehnoloģiju attīstības programma” ietvaros;</w:t>
      </w:r>
    </w:p>
    <w:p w:rsidR="0039301C" w:rsidRPr="00B557E8" w:rsidRDefault="0039301C" w:rsidP="00B557E8">
      <w:pPr>
        <w:pStyle w:val="ListParagraph"/>
        <w:numPr>
          <w:ilvl w:val="0"/>
          <w:numId w:val="98"/>
        </w:numPr>
        <w:suppressAutoHyphens/>
        <w:autoSpaceDN w:val="0"/>
        <w:spacing w:before="120" w:after="120"/>
        <w:jc w:val="both"/>
        <w:textAlignment w:val="baseline"/>
        <w:rPr>
          <w:rFonts w:ascii="Times New Roman" w:hAnsi="Times New Roman"/>
          <w:color w:val="000000" w:themeColor="text1"/>
          <w:sz w:val="24"/>
          <w:szCs w:val="24"/>
        </w:rPr>
      </w:pPr>
      <w:r w:rsidRPr="00B557E8">
        <w:rPr>
          <w:rFonts w:ascii="Times New Roman" w:hAnsi="Times New Roman"/>
          <w:color w:val="000000" w:themeColor="text1"/>
          <w:sz w:val="24"/>
          <w:szCs w:val="24"/>
        </w:rPr>
        <w:t>Izsludināt projektu iesniegumu atlases otro kārtu 2.1.2.4. aktivitātes „Augstas pievienotās vērtības investīcijas” ietvaros;</w:t>
      </w:r>
    </w:p>
    <w:p w:rsidR="0039301C" w:rsidRPr="00B557E8" w:rsidRDefault="0039301C" w:rsidP="00B557E8">
      <w:pPr>
        <w:pStyle w:val="ListParagraph"/>
        <w:numPr>
          <w:ilvl w:val="0"/>
          <w:numId w:val="98"/>
        </w:numPr>
        <w:suppressAutoHyphens/>
        <w:autoSpaceDN w:val="0"/>
        <w:spacing w:before="120" w:after="120"/>
        <w:jc w:val="both"/>
        <w:textAlignment w:val="baseline"/>
        <w:rPr>
          <w:rFonts w:ascii="Times New Roman" w:hAnsi="Times New Roman"/>
          <w:color w:val="000000" w:themeColor="text1"/>
          <w:sz w:val="24"/>
          <w:szCs w:val="24"/>
        </w:rPr>
      </w:pPr>
      <w:r w:rsidRPr="00B557E8">
        <w:rPr>
          <w:rFonts w:ascii="Times New Roman" w:hAnsi="Times New Roman"/>
          <w:color w:val="000000" w:themeColor="text1"/>
          <w:sz w:val="24"/>
          <w:szCs w:val="24"/>
        </w:rPr>
        <w:t>Izsludināt projektu iesniegumu atlasi 2.3.2.3.aktivitāte</w:t>
      </w:r>
      <w:r w:rsidR="00EE61BC" w:rsidRPr="00B557E8">
        <w:rPr>
          <w:rFonts w:ascii="Times New Roman" w:hAnsi="Times New Roman"/>
          <w:color w:val="000000" w:themeColor="text1"/>
          <w:sz w:val="24"/>
          <w:szCs w:val="24"/>
        </w:rPr>
        <w:t>s „Klasteru programma” ietvaros.</w:t>
      </w:r>
    </w:p>
    <w:p w:rsidR="0039301C" w:rsidRPr="00B557E8" w:rsidRDefault="00B83810" w:rsidP="00B557E8">
      <w:pPr>
        <w:pStyle w:val="BodyTextIndent"/>
        <w:numPr>
          <w:ilvl w:val="2"/>
          <w:numId w:val="2"/>
        </w:numPr>
        <w:spacing w:before="120" w:line="276" w:lineRule="auto"/>
        <w:rPr>
          <w:b/>
          <w:iCs/>
          <w:color w:val="000000" w:themeColor="text1"/>
          <w:szCs w:val="24"/>
          <w:lang w:val="lv-LV"/>
        </w:rPr>
      </w:pPr>
      <w:r w:rsidRPr="00B557E8">
        <w:rPr>
          <w:b/>
          <w:color w:val="000000" w:themeColor="text1"/>
          <w:szCs w:val="24"/>
          <w:lang w:val="lv-LV"/>
        </w:rPr>
        <w:t>Projektu iesniegumu a</w:t>
      </w:r>
      <w:r w:rsidR="00EE61BC" w:rsidRPr="00B557E8">
        <w:rPr>
          <w:b/>
          <w:iCs/>
          <w:color w:val="000000" w:themeColor="text1"/>
          <w:szCs w:val="24"/>
          <w:lang w:val="lv-LV"/>
        </w:rPr>
        <w:t xml:space="preserve">tlases darbības programmā </w:t>
      </w:r>
      <w:r w:rsidR="0039301C" w:rsidRPr="00B557E8">
        <w:rPr>
          <w:b/>
          <w:iCs/>
          <w:color w:val="000000" w:themeColor="text1"/>
          <w:szCs w:val="24"/>
          <w:lang w:val="lv-LV"/>
        </w:rPr>
        <w:t xml:space="preserve">„Infrastruktūra un pakalpojumi” </w:t>
      </w:r>
    </w:p>
    <w:p w:rsidR="001B2149" w:rsidRPr="00B557E8" w:rsidRDefault="001B2149" w:rsidP="00B557E8">
      <w:pPr>
        <w:numPr>
          <w:ilvl w:val="0"/>
          <w:numId w:val="80"/>
        </w:numPr>
        <w:autoSpaceDN w:val="0"/>
        <w:spacing w:before="120" w:after="120" w:line="276" w:lineRule="auto"/>
        <w:contextualSpacing/>
        <w:textAlignment w:val="baseline"/>
        <w:rPr>
          <w:color w:val="000000" w:themeColor="text1"/>
          <w:szCs w:val="24"/>
          <w:lang w:eastAsia="lv-LV"/>
        </w:rPr>
      </w:pPr>
      <w:r w:rsidRPr="00B557E8">
        <w:rPr>
          <w:color w:val="000000" w:themeColor="text1"/>
          <w:szCs w:val="24"/>
          <w:lang w:eastAsia="lv-LV"/>
        </w:rPr>
        <w:t xml:space="preserve">2011.gada trešajā ceturksnī darbības programmas „Infrastruktūra un pakalpojumi” ietvaros tika izsludinātas projektu iesniegumu atlases par kopējo ERAF finansējumu 123,6 </w:t>
      </w:r>
      <w:proofErr w:type="spellStart"/>
      <w:r w:rsidRPr="00B557E8">
        <w:rPr>
          <w:color w:val="000000" w:themeColor="text1"/>
          <w:szCs w:val="24"/>
          <w:lang w:eastAsia="lv-LV"/>
        </w:rPr>
        <w:t>milj</w:t>
      </w:r>
      <w:proofErr w:type="spellEnd"/>
      <w:r w:rsidRPr="00B557E8">
        <w:rPr>
          <w:color w:val="000000" w:themeColor="text1"/>
          <w:szCs w:val="24"/>
          <w:lang w:eastAsia="lv-LV"/>
        </w:rPr>
        <w:t>. latu apmērā, attiecīgi:</w:t>
      </w:r>
    </w:p>
    <w:p w:rsidR="001B2149" w:rsidRPr="00B557E8" w:rsidRDefault="001B2149" w:rsidP="00B557E8">
      <w:pPr>
        <w:numPr>
          <w:ilvl w:val="0"/>
          <w:numId w:val="81"/>
        </w:numPr>
        <w:spacing w:before="120" w:after="120" w:line="276" w:lineRule="auto"/>
        <w:rPr>
          <w:color w:val="000000" w:themeColor="text1"/>
          <w:szCs w:val="24"/>
          <w:lang w:eastAsia="lv-LV"/>
        </w:rPr>
      </w:pPr>
      <w:r w:rsidRPr="00B557E8">
        <w:rPr>
          <w:color w:val="000000" w:themeColor="text1"/>
          <w:szCs w:val="24"/>
          <w:lang w:eastAsia="lv-LV"/>
        </w:rPr>
        <w:t xml:space="preserve">turpinās 3.1.5.3.1.apakšaktivitātes „Stacionārās veselības aprūpes attīstība” trešās projektu iesniegumu atlases kārtas projektu iesniegumu atlase (pieejamais ERAF finansējums ir 50,4 </w:t>
      </w:r>
      <w:proofErr w:type="spellStart"/>
      <w:r w:rsidRPr="00B557E8">
        <w:rPr>
          <w:color w:val="000000" w:themeColor="text1"/>
          <w:szCs w:val="24"/>
          <w:lang w:eastAsia="lv-LV"/>
        </w:rPr>
        <w:t>milj</w:t>
      </w:r>
      <w:proofErr w:type="spellEnd"/>
      <w:r w:rsidRPr="00B557E8">
        <w:rPr>
          <w:color w:val="000000" w:themeColor="text1"/>
          <w:szCs w:val="24"/>
          <w:lang w:eastAsia="lv-LV"/>
        </w:rPr>
        <w:t>. latu)  ar mērķi optimizēt stacionārās veselības aprūpes pakalpojumu sniedzēju tīklu, paaugstinot veselības aprūpes pakalpojuma kvalitāti, tādējādi nodrošinot ātru un efektīvu ārstēšanu, racionālu un efektīvu veselības aprūpes resursu izvietojumu un izlietojumu;</w:t>
      </w:r>
    </w:p>
    <w:p w:rsidR="001B2149" w:rsidRPr="00B557E8" w:rsidRDefault="001B2149" w:rsidP="00B557E8">
      <w:pPr>
        <w:numPr>
          <w:ilvl w:val="0"/>
          <w:numId w:val="81"/>
        </w:numPr>
        <w:spacing w:before="120" w:after="120" w:line="276" w:lineRule="auto"/>
        <w:ind w:left="851" w:hanging="425"/>
        <w:rPr>
          <w:color w:val="000000" w:themeColor="text1"/>
          <w:szCs w:val="24"/>
          <w:lang w:eastAsia="lv-LV"/>
        </w:rPr>
      </w:pPr>
      <w:r w:rsidRPr="00B557E8">
        <w:rPr>
          <w:color w:val="000000" w:themeColor="text1"/>
          <w:szCs w:val="24"/>
          <w:lang w:eastAsia="lv-LV"/>
        </w:rPr>
        <w:t xml:space="preserve">turpinās 3.2.2.1.1.apakšaktivitātes „Informācijas sistēmu un elektronisko pakalpojumu attīstība” (turpmāk – 3.2.2.1.1.apakšaktivitāte) otrās projektu iesniegumu atlases kārtas projektu iesniegumu atlase (pieejamais ERAF finansējums ir 36,5 </w:t>
      </w:r>
      <w:proofErr w:type="spellStart"/>
      <w:r w:rsidRPr="00B557E8">
        <w:rPr>
          <w:color w:val="000000" w:themeColor="text1"/>
          <w:szCs w:val="24"/>
          <w:lang w:eastAsia="lv-LV"/>
        </w:rPr>
        <w:t>milj</w:t>
      </w:r>
      <w:proofErr w:type="spellEnd"/>
      <w:r w:rsidRPr="00B557E8">
        <w:rPr>
          <w:color w:val="000000" w:themeColor="text1"/>
          <w:szCs w:val="24"/>
          <w:lang w:eastAsia="lv-LV"/>
        </w:rPr>
        <w:t>. latu) ar mērķi</w:t>
      </w:r>
      <w:r w:rsidR="00F86F93" w:rsidRPr="00B557E8">
        <w:rPr>
          <w:color w:val="000000" w:themeColor="text1"/>
          <w:szCs w:val="24"/>
          <w:lang w:eastAsia="lv-LV"/>
        </w:rPr>
        <w:t>,</w:t>
      </w:r>
      <w:r w:rsidRPr="00B557E8">
        <w:rPr>
          <w:color w:val="000000" w:themeColor="text1"/>
          <w:szCs w:val="24"/>
          <w:lang w:eastAsia="lv-LV"/>
        </w:rPr>
        <w:t xml:space="preserve"> efektīvi izmantojot informāciju komunikāciju tehnoloģiju iespējas, uzlabot publiskās pārvaldes efektivitāti, veicināt publisko pakalpojumu elektronizāciju, attīstību, pieejamību un kvalitāti, samazināt administratīvo slogu uz iedzīvotājiem un komersantiem, palielināt iespējas iedzīvotājiem iesaistīties sabiedriskajos procesos, attīstīt informācijas sistēmas, nodrošinot tehnisko bāzi e-pakalpojumu attīstībai un </w:t>
      </w:r>
      <w:r w:rsidRPr="00B557E8">
        <w:rPr>
          <w:color w:val="000000" w:themeColor="text1"/>
          <w:szCs w:val="24"/>
          <w:lang w:eastAsia="lv-LV"/>
        </w:rPr>
        <w:lastRenderedPageBreak/>
        <w:t>uzlabojot informācijas apriti.  Saskaņā ar Koalīcijas partneru darba grupas par ES fondu jautājumiem 2011.gada 17.augusta lēmumu VARAM ir jāsagatavo papildu informāciju par visu 3.2.2.1.1.apakšaktivitātes īstenošanas un plānošanas procesā esošo projektu statusu vai īstenošanas etapu;</w:t>
      </w:r>
    </w:p>
    <w:p w:rsidR="001B2149" w:rsidRPr="00B557E8" w:rsidRDefault="001B2149" w:rsidP="00B557E8">
      <w:pPr>
        <w:numPr>
          <w:ilvl w:val="0"/>
          <w:numId w:val="81"/>
        </w:numPr>
        <w:spacing w:before="120" w:after="120" w:line="276" w:lineRule="auto"/>
        <w:ind w:left="851" w:hanging="425"/>
        <w:rPr>
          <w:color w:val="000000" w:themeColor="text1"/>
          <w:szCs w:val="24"/>
          <w:lang w:eastAsia="lv-LV"/>
        </w:rPr>
      </w:pPr>
      <w:r w:rsidRPr="00B557E8">
        <w:rPr>
          <w:color w:val="000000" w:themeColor="text1"/>
          <w:szCs w:val="24"/>
          <w:lang w:eastAsia="lv-LV"/>
        </w:rPr>
        <w:t xml:space="preserve">izsludināta 3.4.3.3.aktivitātes „Atbalsts kultūras pieminekļu privātīpašniekiem kultūras pieminekļu saglabāšanā un to sociālekonomiskā potenciāla efektīvā izmantošanā” otrā projektu iesniegumu atlases kārta (pieejamais ERAF finansējums ir 1,3 </w:t>
      </w:r>
      <w:proofErr w:type="spellStart"/>
      <w:r w:rsidRPr="00B557E8">
        <w:rPr>
          <w:color w:val="000000" w:themeColor="text1"/>
          <w:szCs w:val="24"/>
          <w:lang w:eastAsia="lv-LV"/>
        </w:rPr>
        <w:t>milj</w:t>
      </w:r>
      <w:proofErr w:type="spellEnd"/>
      <w:r w:rsidRPr="00B557E8">
        <w:rPr>
          <w:color w:val="000000" w:themeColor="text1"/>
          <w:szCs w:val="24"/>
          <w:lang w:eastAsia="lv-LV"/>
        </w:rPr>
        <w:t xml:space="preserve">. latu) ar mērķi nodrošināt tādu kultūras pieminekļu saglabāšanu, pieejamību sabiedrībai un sociālekonomisku izmantošanu, kas atrodas privātīpašumā un nodrošina nozīmīgas publiskas funkcijas; </w:t>
      </w:r>
    </w:p>
    <w:p w:rsidR="001B2149" w:rsidRPr="00B557E8" w:rsidRDefault="001B2149" w:rsidP="00B557E8">
      <w:pPr>
        <w:numPr>
          <w:ilvl w:val="0"/>
          <w:numId w:val="81"/>
        </w:numPr>
        <w:spacing w:before="120" w:after="120" w:line="276" w:lineRule="auto"/>
        <w:ind w:left="851" w:hanging="425"/>
        <w:rPr>
          <w:color w:val="000000" w:themeColor="text1"/>
          <w:szCs w:val="24"/>
          <w:lang w:eastAsia="lv-LV"/>
        </w:rPr>
      </w:pPr>
      <w:r w:rsidRPr="00B557E8">
        <w:rPr>
          <w:color w:val="000000" w:themeColor="text1"/>
          <w:szCs w:val="24"/>
          <w:lang w:eastAsia="lv-LV"/>
        </w:rPr>
        <w:t xml:space="preserve">turpinās 3.4.4.1.aktivitātes „Daudzdzīvokļu māju </w:t>
      </w:r>
      <w:proofErr w:type="spellStart"/>
      <w:r w:rsidRPr="00B557E8">
        <w:rPr>
          <w:color w:val="000000" w:themeColor="text1"/>
          <w:szCs w:val="24"/>
          <w:lang w:eastAsia="lv-LV"/>
        </w:rPr>
        <w:t>siltumnoturības</w:t>
      </w:r>
      <w:proofErr w:type="spellEnd"/>
      <w:r w:rsidRPr="00B557E8">
        <w:rPr>
          <w:color w:val="000000" w:themeColor="text1"/>
          <w:szCs w:val="24"/>
          <w:lang w:eastAsia="lv-LV"/>
        </w:rPr>
        <w:t xml:space="preserve"> uzlabošanas pasākumi” devītās projektu iesniegumu atlases kārtas projektu iesniegumu atlase (pieejamais ERAF finansējums ir 27,3 </w:t>
      </w:r>
      <w:proofErr w:type="spellStart"/>
      <w:r w:rsidRPr="00B557E8">
        <w:rPr>
          <w:color w:val="000000" w:themeColor="text1"/>
          <w:szCs w:val="24"/>
          <w:lang w:eastAsia="lv-LV"/>
        </w:rPr>
        <w:t>milj</w:t>
      </w:r>
      <w:proofErr w:type="spellEnd"/>
      <w:r w:rsidRPr="00B557E8">
        <w:rPr>
          <w:color w:val="000000" w:themeColor="text1"/>
          <w:szCs w:val="24"/>
          <w:lang w:eastAsia="lv-LV"/>
        </w:rPr>
        <w:t>. latu) ar mērķi nodrošināt mājokļu energoefektivitātes paaugstināšanu daudzdzīvokļu mājās, lai nodrošinātu dzīvojamā fonda ilgtspēju un energoresursu efektīvu izmantošanu;</w:t>
      </w:r>
    </w:p>
    <w:p w:rsidR="001B2149" w:rsidRPr="00B557E8" w:rsidRDefault="001B2149" w:rsidP="00B557E8">
      <w:pPr>
        <w:numPr>
          <w:ilvl w:val="0"/>
          <w:numId w:val="81"/>
        </w:numPr>
        <w:spacing w:before="120" w:after="120" w:line="276" w:lineRule="auto"/>
        <w:ind w:left="851" w:hanging="425"/>
        <w:rPr>
          <w:color w:val="000000" w:themeColor="text1"/>
          <w:szCs w:val="24"/>
          <w:lang w:eastAsia="lv-LV"/>
        </w:rPr>
      </w:pPr>
      <w:r w:rsidRPr="00B557E8">
        <w:rPr>
          <w:color w:val="000000" w:themeColor="text1"/>
          <w:szCs w:val="24"/>
          <w:lang w:eastAsia="lv-LV"/>
        </w:rPr>
        <w:t xml:space="preserve">turpinās 3.6.2.1.aktivitātes „Atbalsts novadu pašvaldību kompleksai attīstībai” projektu iesniegumu atlase  (pieejamais ERAF finansējumus ir 8,1 </w:t>
      </w:r>
      <w:proofErr w:type="spellStart"/>
      <w:r w:rsidRPr="00B557E8">
        <w:rPr>
          <w:color w:val="000000" w:themeColor="text1"/>
          <w:szCs w:val="24"/>
          <w:lang w:eastAsia="lv-LV"/>
        </w:rPr>
        <w:t>milj</w:t>
      </w:r>
      <w:proofErr w:type="spellEnd"/>
      <w:r w:rsidRPr="00B557E8">
        <w:rPr>
          <w:color w:val="000000" w:themeColor="text1"/>
          <w:szCs w:val="24"/>
          <w:lang w:eastAsia="lv-LV"/>
        </w:rPr>
        <w:t>. latu). Pēc projektu ideju saskaņošanas VARAM izveidotajā Koordinācijas pado</w:t>
      </w:r>
      <w:r w:rsidR="00F86F93" w:rsidRPr="00B557E8">
        <w:rPr>
          <w:color w:val="000000" w:themeColor="text1"/>
          <w:szCs w:val="24"/>
          <w:lang w:eastAsia="lv-LV"/>
        </w:rPr>
        <w:t xml:space="preserve">mē  projektu iesniedzēji tiek </w:t>
      </w:r>
      <w:r w:rsidRPr="00B557E8">
        <w:rPr>
          <w:color w:val="000000" w:themeColor="text1"/>
          <w:szCs w:val="24"/>
          <w:lang w:eastAsia="lv-LV"/>
        </w:rPr>
        <w:t xml:space="preserve">aicināti iesniegt projektus plūstošā secībā atbilstoši tiem noteiktai ERAF kvotai. Mērķi – veicināt lielāko (pēc iedzīvotāju skaita) novadu attīstības centru konkurētspējas nostiprināšanu un funkcionālo saišu veidošanu starp attīstības centriem un to piegulošajām teritorijām, kuriem jāiekļaujas kopējā nacionālas un reģionālas nozīmes attīstības centru tīklā un tas jāpapildina saskaņā ar integrētām pašvaldību attīstības programmām, sniedzot atbalstu uzņēmējdarbības infrastruktūras (dabas un fiziskās vides) sakārtošanai, kā arī publisko pakalpojumu pieejamības un iedzīvotāju mobilitātes sekmēšanai. </w:t>
      </w:r>
    </w:p>
    <w:p w:rsidR="001B2149" w:rsidRPr="00B557E8" w:rsidRDefault="001B2149" w:rsidP="00B557E8">
      <w:pPr>
        <w:numPr>
          <w:ilvl w:val="0"/>
          <w:numId w:val="80"/>
        </w:numPr>
        <w:autoSpaceDN w:val="0"/>
        <w:spacing w:before="120" w:after="120" w:line="276" w:lineRule="auto"/>
        <w:contextualSpacing/>
        <w:textAlignment w:val="baseline"/>
        <w:rPr>
          <w:color w:val="000000" w:themeColor="text1"/>
          <w:szCs w:val="24"/>
          <w:lang w:eastAsia="lv-LV"/>
        </w:rPr>
      </w:pPr>
      <w:r w:rsidRPr="00B557E8">
        <w:rPr>
          <w:color w:val="000000" w:themeColor="text1"/>
          <w:szCs w:val="24"/>
          <w:lang w:eastAsia="lv-LV"/>
        </w:rPr>
        <w:t xml:space="preserve">2011.gada ceturtajā ceturksnī plānots izsludināt šādas projektu iesniegumu atlases par kopējo ERAF finansējumu 71,0 </w:t>
      </w:r>
      <w:proofErr w:type="spellStart"/>
      <w:r w:rsidRPr="00B557E8">
        <w:rPr>
          <w:color w:val="000000" w:themeColor="text1"/>
          <w:szCs w:val="24"/>
          <w:lang w:eastAsia="lv-LV"/>
        </w:rPr>
        <w:t>milj</w:t>
      </w:r>
      <w:proofErr w:type="spellEnd"/>
      <w:r w:rsidRPr="00B557E8">
        <w:rPr>
          <w:color w:val="000000" w:themeColor="text1"/>
          <w:szCs w:val="24"/>
          <w:lang w:eastAsia="lv-LV"/>
        </w:rPr>
        <w:t>.</w:t>
      </w:r>
      <w:r w:rsidRPr="00B557E8">
        <w:rPr>
          <w:b/>
          <w:bCs/>
          <w:i/>
          <w:iCs/>
          <w:color w:val="000000" w:themeColor="text1"/>
          <w:szCs w:val="24"/>
          <w:lang w:eastAsia="lv-LV"/>
        </w:rPr>
        <w:t xml:space="preserve"> </w:t>
      </w:r>
      <w:r w:rsidRPr="00B557E8">
        <w:rPr>
          <w:color w:val="000000" w:themeColor="text1"/>
          <w:szCs w:val="24"/>
          <w:lang w:eastAsia="lv-LV"/>
        </w:rPr>
        <w:t xml:space="preserve">latu apmērā un KF finansējumu 56,1 </w:t>
      </w:r>
      <w:proofErr w:type="spellStart"/>
      <w:r w:rsidRPr="00B557E8">
        <w:rPr>
          <w:color w:val="000000" w:themeColor="text1"/>
          <w:szCs w:val="24"/>
          <w:lang w:eastAsia="lv-LV"/>
        </w:rPr>
        <w:t>milj</w:t>
      </w:r>
      <w:proofErr w:type="spellEnd"/>
      <w:r w:rsidRPr="00B557E8">
        <w:rPr>
          <w:color w:val="000000" w:themeColor="text1"/>
          <w:szCs w:val="24"/>
          <w:lang w:eastAsia="lv-LV"/>
        </w:rPr>
        <w:t>.</w:t>
      </w:r>
      <w:r w:rsidRPr="00B557E8">
        <w:rPr>
          <w:b/>
          <w:bCs/>
          <w:i/>
          <w:iCs/>
          <w:color w:val="000000" w:themeColor="text1"/>
          <w:szCs w:val="24"/>
          <w:lang w:eastAsia="lv-LV"/>
        </w:rPr>
        <w:t xml:space="preserve"> </w:t>
      </w:r>
      <w:r w:rsidRPr="00B557E8">
        <w:rPr>
          <w:color w:val="000000" w:themeColor="text1"/>
          <w:szCs w:val="24"/>
          <w:lang w:eastAsia="lv-LV"/>
        </w:rPr>
        <w:t>latu apmērā:</w:t>
      </w:r>
    </w:p>
    <w:p w:rsidR="001B2149" w:rsidRPr="00B557E8" w:rsidRDefault="001B2149" w:rsidP="00B557E8">
      <w:pPr>
        <w:numPr>
          <w:ilvl w:val="0"/>
          <w:numId w:val="82"/>
        </w:numPr>
        <w:spacing w:before="120" w:after="120" w:line="276" w:lineRule="auto"/>
        <w:rPr>
          <w:color w:val="000000" w:themeColor="text1"/>
          <w:szCs w:val="24"/>
          <w:lang w:eastAsia="lv-LV"/>
        </w:rPr>
      </w:pPr>
      <w:r w:rsidRPr="00B557E8">
        <w:rPr>
          <w:color w:val="000000" w:themeColor="text1"/>
          <w:szCs w:val="24"/>
          <w:lang w:eastAsia="lv-LV"/>
        </w:rPr>
        <w:t xml:space="preserve">3.1.5.1.1.apakšaktivitātē „Ģimenes ārstu tīkla attīstība” otro projektu iesniegumu atlases kārtu (pieejamais ERAF finansējums ir 1,1 </w:t>
      </w:r>
      <w:proofErr w:type="spellStart"/>
      <w:r w:rsidRPr="00B557E8">
        <w:rPr>
          <w:color w:val="000000" w:themeColor="text1"/>
          <w:szCs w:val="24"/>
          <w:lang w:eastAsia="lv-LV"/>
        </w:rPr>
        <w:t>milj</w:t>
      </w:r>
      <w:proofErr w:type="spellEnd"/>
      <w:r w:rsidRPr="00B557E8">
        <w:rPr>
          <w:color w:val="000000" w:themeColor="text1"/>
          <w:szCs w:val="24"/>
          <w:lang w:eastAsia="lv-LV"/>
        </w:rPr>
        <w:t xml:space="preserve">. latu) ar mērķi sakārtot ambulatorās veselības aprūpes pakalpojumu sniedzēju infrastruktūru, uzlabojot ģimenes ārstu pieejamību pašvaldību teritorijās, tādējādi materiāltehniski nodrošinot un pilnveidojot primārās veselības aprūpes sniedzēju tīklu; </w:t>
      </w:r>
    </w:p>
    <w:p w:rsidR="001B2149" w:rsidRPr="00B557E8" w:rsidRDefault="001B2149" w:rsidP="00B557E8">
      <w:pPr>
        <w:numPr>
          <w:ilvl w:val="0"/>
          <w:numId w:val="82"/>
        </w:numPr>
        <w:spacing w:before="120" w:after="120" w:line="276" w:lineRule="auto"/>
        <w:ind w:left="851" w:hanging="425"/>
        <w:rPr>
          <w:color w:val="000000" w:themeColor="text1"/>
          <w:szCs w:val="24"/>
          <w:lang w:eastAsia="lv-LV"/>
        </w:rPr>
      </w:pPr>
      <w:r w:rsidRPr="00B557E8">
        <w:rPr>
          <w:color w:val="000000" w:themeColor="text1"/>
          <w:szCs w:val="24"/>
          <w:lang w:eastAsia="lv-LV"/>
        </w:rPr>
        <w:t xml:space="preserve">3.2.1.1.aktivitātē „Valsts 1.šķiras autoceļu maršrutu sakārtošana” trešo projektu iesniegumu atlases kārtu (pieejamais ERAF finansējums ir 15,7 </w:t>
      </w:r>
      <w:proofErr w:type="spellStart"/>
      <w:r w:rsidRPr="00B557E8">
        <w:rPr>
          <w:color w:val="000000" w:themeColor="text1"/>
          <w:szCs w:val="24"/>
          <w:lang w:eastAsia="lv-LV"/>
        </w:rPr>
        <w:t>milj</w:t>
      </w:r>
      <w:proofErr w:type="spellEnd"/>
      <w:r w:rsidRPr="00B557E8">
        <w:rPr>
          <w:color w:val="000000" w:themeColor="text1"/>
          <w:szCs w:val="24"/>
          <w:lang w:eastAsia="lv-LV"/>
        </w:rPr>
        <w:t>. latu) ar mērķi nodrošināt komfortablu un drošu satiksmi valsts 1.šķiras autoceļu tīklā, asfaltējot ceļus ar grants segumu (tajā skaitā, veicot ceļu posmos ietilpstošo tiltu rekonstrukciju), kas nodrošina attīstības centru savienojumu vai to savienojumu ar valsts galvenajiem autoceļiem, priekšroku dodot autoceļiem ar lielāku satiksmes intensitāti;</w:t>
      </w:r>
    </w:p>
    <w:p w:rsidR="001B2149" w:rsidRPr="00B557E8" w:rsidRDefault="001B2149" w:rsidP="00B557E8">
      <w:pPr>
        <w:numPr>
          <w:ilvl w:val="0"/>
          <w:numId w:val="82"/>
        </w:numPr>
        <w:spacing w:before="120" w:after="120" w:line="276" w:lineRule="auto"/>
        <w:rPr>
          <w:color w:val="000000" w:themeColor="text1"/>
          <w:szCs w:val="24"/>
          <w:lang w:eastAsia="lv-LV"/>
        </w:rPr>
      </w:pPr>
      <w:r w:rsidRPr="00B557E8">
        <w:rPr>
          <w:color w:val="000000" w:themeColor="text1"/>
          <w:szCs w:val="24"/>
          <w:lang w:eastAsia="lv-LV"/>
        </w:rPr>
        <w:t xml:space="preserve">3.2.1.2.aktivitātē </w:t>
      </w:r>
      <w:r w:rsidR="00491D67" w:rsidRPr="00B557E8">
        <w:rPr>
          <w:color w:val="000000" w:themeColor="text1"/>
          <w:szCs w:val="24"/>
          <w:lang w:eastAsia="lv-LV"/>
        </w:rPr>
        <w:t>„</w:t>
      </w:r>
      <w:proofErr w:type="spellStart"/>
      <w:r w:rsidR="00F340D4" w:rsidRPr="00B557E8">
        <w:rPr>
          <w:color w:val="000000" w:themeColor="text1"/>
          <w:szCs w:val="24"/>
          <w:lang w:eastAsia="lv-LV"/>
        </w:rPr>
        <w:t>Tranzītielu</w:t>
      </w:r>
      <w:proofErr w:type="spellEnd"/>
      <w:r w:rsidR="00F340D4" w:rsidRPr="00B557E8">
        <w:rPr>
          <w:color w:val="000000" w:themeColor="text1"/>
          <w:szCs w:val="24"/>
          <w:lang w:eastAsia="lv-LV"/>
        </w:rPr>
        <w:t xml:space="preserve"> sakārtošana pilsētu teritorijās</w:t>
      </w:r>
      <w:r w:rsidR="00491D67" w:rsidRPr="00B557E8">
        <w:rPr>
          <w:color w:val="000000" w:themeColor="text1"/>
          <w:szCs w:val="24"/>
          <w:lang w:eastAsia="lv-LV"/>
        </w:rPr>
        <w:t>”</w:t>
      </w:r>
      <w:r w:rsidR="00F340D4" w:rsidRPr="00B557E8">
        <w:rPr>
          <w:color w:val="000000" w:themeColor="text1"/>
          <w:szCs w:val="24"/>
          <w:lang w:eastAsia="lv-LV"/>
        </w:rPr>
        <w:t xml:space="preserve"> </w:t>
      </w:r>
      <w:r w:rsidRPr="00B557E8">
        <w:rPr>
          <w:color w:val="000000" w:themeColor="text1"/>
          <w:szCs w:val="24"/>
          <w:lang w:eastAsia="lv-LV"/>
        </w:rPr>
        <w:t>trešo projektu iesniegumu atlases kārtu (pie</w:t>
      </w:r>
      <w:r w:rsidR="0095438C" w:rsidRPr="00B557E8">
        <w:rPr>
          <w:color w:val="000000" w:themeColor="text1"/>
          <w:szCs w:val="24"/>
          <w:lang w:eastAsia="lv-LV"/>
        </w:rPr>
        <w:t xml:space="preserve">ejamais ERAF finansējums ir 8,9 </w:t>
      </w:r>
      <w:proofErr w:type="spellStart"/>
      <w:r w:rsidRPr="00B557E8">
        <w:rPr>
          <w:color w:val="000000" w:themeColor="text1"/>
          <w:szCs w:val="24"/>
          <w:lang w:eastAsia="lv-LV"/>
        </w:rPr>
        <w:t>milj</w:t>
      </w:r>
      <w:proofErr w:type="spellEnd"/>
      <w:r w:rsidRPr="00B557E8">
        <w:rPr>
          <w:color w:val="000000" w:themeColor="text1"/>
          <w:szCs w:val="24"/>
          <w:lang w:eastAsia="lv-LV"/>
        </w:rPr>
        <w:t xml:space="preserve">. latu) ar mērķi nodrošināt </w:t>
      </w:r>
      <w:r w:rsidRPr="00B557E8">
        <w:rPr>
          <w:color w:val="000000" w:themeColor="text1"/>
          <w:szCs w:val="24"/>
          <w:lang w:eastAsia="lv-LV"/>
        </w:rPr>
        <w:lastRenderedPageBreak/>
        <w:t xml:space="preserve">komfortablu un drošu satiksmi pilsētu </w:t>
      </w:r>
      <w:proofErr w:type="spellStart"/>
      <w:r w:rsidRPr="00B557E8">
        <w:rPr>
          <w:color w:val="000000" w:themeColor="text1"/>
          <w:szCs w:val="24"/>
          <w:lang w:eastAsia="lv-LV"/>
        </w:rPr>
        <w:t>tranzītielās</w:t>
      </w:r>
      <w:proofErr w:type="spellEnd"/>
      <w:r w:rsidRPr="00B557E8">
        <w:rPr>
          <w:color w:val="000000" w:themeColor="text1"/>
          <w:szCs w:val="24"/>
          <w:lang w:eastAsia="lv-LV"/>
        </w:rPr>
        <w:t xml:space="preserve">, rekonstruējot un attīstot pilsētu </w:t>
      </w:r>
      <w:proofErr w:type="spellStart"/>
      <w:r w:rsidRPr="00B557E8">
        <w:rPr>
          <w:color w:val="000000" w:themeColor="text1"/>
          <w:szCs w:val="24"/>
          <w:lang w:eastAsia="lv-LV"/>
        </w:rPr>
        <w:t>tranzītielas</w:t>
      </w:r>
      <w:proofErr w:type="spellEnd"/>
      <w:r w:rsidRPr="00B557E8">
        <w:rPr>
          <w:color w:val="000000" w:themeColor="text1"/>
          <w:szCs w:val="24"/>
          <w:lang w:eastAsia="lv-LV"/>
        </w:rPr>
        <w:t xml:space="preserve"> valsts galveno vai 1.šķiras autoceļu maršrutos vietās, kur esošā infrastruktūra ir nolietojusies (piemēram, sabrukušie ielu posmi) vai nespēj nodrošināt pieaugošo transporta plūsmu;</w:t>
      </w:r>
    </w:p>
    <w:p w:rsidR="001B2149" w:rsidRPr="00B557E8" w:rsidRDefault="001B2149" w:rsidP="00B557E8">
      <w:pPr>
        <w:numPr>
          <w:ilvl w:val="0"/>
          <w:numId w:val="82"/>
        </w:numPr>
        <w:spacing w:before="120" w:after="120" w:line="276" w:lineRule="auto"/>
        <w:ind w:left="851" w:hanging="425"/>
        <w:rPr>
          <w:color w:val="000000" w:themeColor="text1"/>
          <w:szCs w:val="24"/>
          <w:lang w:eastAsia="lv-LV"/>
        </w:rPr>
      </w:pPr>
      <w:r w:rsidRPr="00B557E8">
        <w:rPr>
          <w:color w:val="000000" w:themeColor="text1"/>
          <w:szCs w:val="24"/>
          <w:lang w:eastAsia="lv-LV"/>
        </w:rPr>
        <w:t>3.2.1.3.2.apakšaktivitātē „Satiksmes drošības uzlabojumi</w:t>
      </w:r>
      <w:r w:rsidR="0095438C" w:rsidRPr="00B557E8">
        <w:rPr>
          <w:color w:val="000000" w:themeColor="text1"/>
          <w:szCs w:val="24"/>
          <w:lang w:eastAsia="lv-LV"/>
        </w:rPr>
        <w:t xml:space="preserve"> </w:t>
      </w:r>
      <w:proofErr w:type="spellStart"/>
      <w:r w:rsidR="0095438C" w:rsidRPr="00B557E8">
        <w:rPr>
          <w:color w:val="000000" w:themeColor="text1"/>
          <w:szCs w:val="24"/>
          <w:lang w:eastAsia="lv-LV"/>
        </w:rPr>
        <w:t>Rīgā” </w:t>
      </w:r>
      <w:r w:rsidRPr="00B557E8">
        <w:rPr>
          <w:color w:val="000000" w:themeColor="text1"/>
          <w:szCs w:val="24"/>
          <w:lang w:eastAsia="lv-LV"/>
        </w:rPr>
        <w:t>otro</w:t>
      </w:r>
      <w:proofErr w:type="spellEnd"/>
      <w:r w:rsidRPr="00B557E8">
        <w:rPr>
          <w:color w:val="000000" w:themeColor="text1"/>
          <w:szCs w:val="24"/>
          <w:lang w:eastAsia="lv-LV"/>
        </w:rPr>
        <w:t xml:space="preserve"> projektu iesniegumu atlases kārtu (pieejamais ERAF finansējums ir 3,2 </w:t>
      </w:r>
      <w:proofErr w:type="spellStart"/>
      <w:r w:rsidRPr="00B557E8">
        <w:rPr>
          <w:color w:val="000000" w:themeColor="text1"/>
          <w:szCs w:val="24"/>
          <w:lang w:eastAsia="lv-LV"/>
        </w:rPr>
        <w:t>milj</w:t>
      </w:r>
      <w:proofErr w:type="spellEnd"/>
      <w:r w:rsidRPr="00B557E8">
        <w:rPr>
          <w:color w:val="000000" w:themeColor="text1"/>
          <w:szCs w:val="24"/>
          <w:lang w:eastAsia="lv-LV"/>
        </w:rPr>
        <w:t xml:space="preserve">. latu) ar mērķi uzlabot satiksmes drošību Rīgā, likvidējot „melnos punktus” jeb satiksmes drošībai bīstamās vietas un uzlabojot satiksmes vadības un kontroles sistēmu (luksofori, ceļa zīmes </w:t>
      </w:r>
      <w:proofErr w:type="spellStart"/>
      <w:r w:rsidRPr="00B557E8">
        <w:rPr>
          <w:color w:val="000000" w:themeColor="text1"/>
          <w:szCs w:val="24"/>
          <w:lang w:eastAsia="lv-LV"/>
        </w:rPr>
        <w:t>utt</w:t>
      </w:r>
      <w:proofErr w:type="spellEnd"/>
      <w:r w:rsidRPr="00B557E8">
        <w:rPr>
          <w:color w:val="000000" w:themeColor="text1"/>
          <w:szCs w:val="24"/>
          <w:lang w:eastAsia="lv-LV"/>
        </w:rPr>
        <w:t xml:space="preserve">.), lai panāktu satiksmes drošības līmeņa uzlabošanos. Piemēram, krustojumu pārbūve un </w:t>
      </w:r>
      <w:proofErr w:type="spellStart"/>
      <w:r w:rsidRPr="00B557E8">
        <w:rPr>
          <w:color w:val="000000" w:themeColor="text1"/>
          <w:szCs w:val="24"/>
          <w:lang w:eastAsia="lv-LV"/>
        </w:rPr>
        <w:t>energoefektīva</w:t>
      </w:r>
      <w:proofErr w:type="spellEnd"/>
      <w:r w:rsidRPr="00B557E8">
        <w:rPr>
          <w:color w:val="000000" w:themeColor="text1"/>
          <w:szCs w:val="24"/>
          <w:lang w:eastAsia="lv-LV"/>
        </w:rPr>
        <w:t xml:space="preserve"> ielu apgaismošana, luksoforu uzstādīšana un to vadības un kontroles sistēmas pilnveidošana, gājēju celiņu un gājēju pāreju ierīkošana;</w:t>
      </w:r>
    </w:p>
    <w:p w:rsidR="001B2149" w:rsidRPr="00B557E8" w:rsidRDefault="001B2149" w:rsidP="00B557E8">
      <w:pPr>
        <w:numPr>
          <w:ilvl w:val="0"/>
          <w:numId w:val="82"/>
        </w:numPr>
        <w:spacing w:before="120" w:after="120" w:line="276" w:lineRule="auto"/>
        <w:rPr>
          <w:color w:val="000000" w:themeColor="text1"/>
          <w:szCs w:val="24"/>
          <w:lang w:eastAsia="lv-LV"/>
        </w:rPr>
      </w:pPr>
      <w:r w:rsidRPr="00B557E8">
        <w:rPr>
          <w:color w:val="000000" w:themeColor="text1"/>
          <w:szCs w:val="24"/>
          <w:lang w:eastAsia="lv-LV"/>
        </w:rPr>
        <w:t>3.2.2.3.aktivitātē</w:t>
      </w:r>
      <w:r w:rsidR="0095438C" w:rsidRPr="00B557E8">
        <w:rPr>
          <w:color w:val="000000" w:themeColor="text1"/>
          <w:szCs w:val="24"/>
          <w:lang w:eastAsia="lv-LV"/>
        </w:rPr>
        <w:t xml:space="preserve"> </w:t>
      </w:r>
      <w:r w:rsidR="00491D67" w:rsidRPr="00B557E8">
        <w:rPr>
          <w:color w:val="000000" w:themeColor="text1"/>
          <w:szCs w:val="24"/>
          <w:lang w:eastAsia="lv-LV"/>
        </w:rPr>
        <w:t>„</w:t>
      </w:r>
      <w:r w:rsidR="00F340D4" w:rsidRPr="00B557E8">
        <w:rPr>
          <w:color w:val="000000" w:themeColor="text1"/>
          <w:szCs w:val="24"/>
          <w:lang w:eastAsia="lv-LV"/>
        </w:rPr>
        <w:t>Elektronisko sakaru pakalpojumu vienlīdzīgas pieejamības nodrošināšana visā valsts teritorijā (platjoslas tīkla attīstība)</w:t>
      </w:r>
      <w:r w:rsidR="00491D67" w:rsidRPr="00B557E8">
        <w:rPr>
          <w:color w:val="000000" w:themeColor="text1"/>
          <w:szCs w:val="24"/>
          <w:lang w:eastAsia="lv-LV"/>
        </w:rPr>
        <w:t>”</w:t>
      </w:r>
      <w:r w:rsidRPr="00B557E8">
        <w:rPr>
          <w:color w:val="000000" w:themeColor="text1"/>
          <w:szCs w:val="24"/>
          <w:lang w:eastAsia="lv-LV"/>
        </w:rPr>
        <w:t xml:space="preserve"> (pieejamais ERAF finansējums ir 16,2 </w:t>
      </w:r>
      <w:proofErr w:type="spellStart"/>
      <w:r w:rsidRPr="00B557E8">
        <w:rPr>
          <w:color w:val="000000" w:themeColor="text1"/>
          <w:szCs w:val="24"/>
          <w:lang w:eastAsia="lv-LV"/>
        </w:rPr>
        <w:t>milj</w:t>
      </w:r>
      <w:proofErr w:type="spellEnd"/>
      <w:r w:rsidRPr="00B557E8">
        <w:rPr>
          <w:color w:val="000000" w:themeColor="text1"/>
          <w:szCs w:val="24"/>
          <w:lang w:eastAsia="lv-LV"/>
        </w:rPr>
        <w:t xml:space="preserve">. latu) ar mērķi nodrošināt iedzīvotājiem, komercsabiedrībām un publiskās pārvaldes iestādēm un citiem lietotājiem visā valsts teritorijā ērtu, ātru un kvalitatīvu piekļuvi publiskai informācijai, publiskās pārvaldes un komercpakalpojumiem, izmantojot elektronisko sakaru pakalpojumus vai nodrošinot infrastruktūru platjoslu tīkla attīstībai visā valsts teritorijā, sniedzot atbalstu pakalpojuma sniedzēja veiktajām investīcijām; </w:t>
      </w:r>
    </w:p>
    <w:p w:rsidR="001B2149" w:rsidRPr="00B557E8" w:rsidRDefault="001B2149" w:rsidP="00B557E8">
      <w:pPr>
        <w:numPr>
          <w:ilvl w:val="0"/>
          <w:numId w:val="82"/>
        </w:numPr>
        <w:spacing w:before="120" w:after="120" w:line="276" w:lineRule="auto"/>
        <w:ind w:left="851" w:hanging="425"/>
        <w:rPr>
          <w:color w:val="000000" w:themeColor="text1"/>
          <w:szCs w:val="24"/>
          <w:lang w:eastAsia="lv-LV"/>
        </w:rPr>
      </w:pPr>
      <w:r w:rsidRPr="00B557E8">
        <w:rPr>
          <w:color w:val="000000" w:themeColor="text1"/>
          <w:szCs w:val="24"/>
          <w:lang w:eastAsia="lv-LV"/>
        </w:rPr>
        <w:t xml:space="preserve">3.3.1.4.aktivitātē „Lidostu infrastruktūras attīstība” otro projektu iesniegumu atlases kārtu (pieejamais KF finansējums ir 4,3 </w:t>
      </w:r>
      <w:proofErr w:type="spellStart"/>
      <w:r w:rsidRPr="00B557E8">
        <w:rPr>
          <w:color w:val="000000" w:themeColor="text1"/>
          <w:szCs w:val="24"/>
          <w:lang w:eastAsia="lv-LV"/>
        </w:rPr>
        <w:t>milj</w:t>
      </w:r>
      <w:proofErr w:type="spellEnd"/>
      <w:r w:rsidRPr="00B557E8">
        <w:rPr>
          <w:color w:val="000000" w:themeColor="text1"/>
          <w:szCs w:val="24"/>
          <w:lang w:eastAsia="lv-LV"/>
        </w:rPr>
        <w:t xml:space="preserve">. latu) ar mērķi nodrošināt drošu, efektīvu, augošam pārvadājumu apjomam atbilstoša gaisa transporta infrastruktūru; </w:t>
      </w:r>
    </w:p>
    <w:p w:rsidR="001B2149" w:rsidRPr="00B557E8" w:rsidRDefault="001B2149" w:rsidP="00B557E8">
      <w:pPr>
        <w:numPr>
          <w:ilvl w:val="0"/>
          <w:numId w:val="82"/>
        </w:numPr>
        <w:spacing w:before="120" w:after="120" w:line="276" w:lineRule="auto"/>
        <w:ind w:left="851" w:hanging="425"/>
        <w:rPr>
          <w:color w:val="000000" w:themeColor="text1"/>
          <w:szCs w:val="24"/>
          <w:lang w:eastAsia="lv-LV"/>
        </w:rPr>
      </w:pPr>
      <w:r w:rsidRPr="00B557E8">
        <w:rPr>
          <w:color w:val="000000" w:themeColor="text1"/>
          <w:szCs w:val="24"/>
          <w:lang w:eastAsia="lv-LV"/>
        </w:rPr>
        <w:t xml:space="preserve">3.3.1.6.aktivitātē „Liepājas </w:t>
      </w:r>
      <w:proofErr w:type="spellStart"/>
      <w:r w:rsidRPr="00B557E8">
        <w:rPr>
          <w:color w:val="000000" w:themeColor="text1"/>
          <w:szCs w:val="24"/>
          <w:lang w:eastAsia="lv-LV"/>
        </w:rPr>
        <w:t>karaostas</w:t>
      </w:r>
      <w:proofErr w:type="spellEnd"/>
      <w:r w:rsidRPr="00B557E8">
        <w:rPr>
          <w:color w:val="000000" w:themeColor="text1"/>
          <w:szCs w:val="24"/>
          <w:lang w:eastAsia="lv-LV"/>
        </w:rPr>
        <w:t xml:space="preserve"> ilgtspējīgas attīstības priekšnoteikumu nodrošināšana” atkārtoti nosūtīt uzaicinājumu projekta iesniedzējam iesniegt projekta iesniegumu (pieejamais KF finansējums ir 11,0 </w:t>
      </w:r>
      <w:proofErr w:type="spellStart"/>
      <w:r w:rsidRPr="00B557E8">
        <w:rPr>
          <w:color w:val="000000" w:themeColor="text1"/>
          <w:szCs w:val="24"/>
          <w:lang w:eastAsia="lv-LV"/>
        </w:rPr>
        <w:t>milj</w:t>
      </w:r>
      <w:proofErr w:type="spellEnd"/>
      <w:r w:rsidRPr="00B557E8">
        <w:rPr>
          <w:color w:val="000000" w:themeColor="text1"/>
          <w:szCs w:val="24"/>
          <w:lang w:eastAsia="lv-LV"/>
        </w:rPr>
        <w:t xml:space="preserve">. latu) ar mērķi  nodrošināt piekrastes teritorijas ilgtspējīgu apsaimniekošanu, nodrošinot vēsturiski piesārņotā </w:t>
      </w:r>
      <w:proofErr w:type="spellStart"/>
      <w:r w:rsidRPr="00B557E8">
        <w:rPr>
          <w:color w:val="000000" w:themeColor="text1"/>
          <w:szCs w:val="24"/>
          <w:lang w:eastAsia="lv-LV"/>
        </w:rPr>
        <w:t>Kar</w:t>
      </w:r>
      <w:r w:rsidR="00334BA5" w:rsidRPr="00B557E8">
        <w:rPr>
          <w:color w:val="000000" w:themeColor="text1"/>
          <w:szCs w:val="24"/>
          <w:lang w:eastAsia="lv-LV"/>
        </w:rPr>
        <w:t>a</w:t>
      </w:r>
      <w:r w:rsidRPr="00B557E8">
        <w:rPr>
          <w:color w:val="000000" w:themeColor="text1"/>
          <w:szCs w:val="24"/>
          <w:lang w:eastAsia="lv-LV"/>
        </w:rPr>
        <w:t>ostas</w:t>
      </w:r>
      <w:proofErr w:type="spellEnd"/>
      <w:r w:rsidRPr="00B557E8">
        <w:rPr>
          <w:color w:val="000000" w:themeColor="text1"/>
          <w:szCs w:val="24"/>
          <w:lang w:eastAsia="lv-LV"/>
        </w:rPr>
        <w:t xml:space="preserve"> kanāla sanāciju saskaņā </w:t>
      </w:r>
      <w:r w:rsidR="00F86F93" w:rsidRPr="00B557E8">
        <w:rPr>
          <w:color w:val="000000" w:themeColor="text1"/>
          <w:szCs w:val="24"/>
          <w:lang w:eastAsia="lv-LV"/>
        </w:rPr>
        <w:t>ar Baltijas jūras rīcības plānu;</w:t>
      </w:r>
      <w:r w:rsidRPr="00B557E8">
        <w:rPr>
          <w:color w:val="000000" w:themeColor="text1"/>
          <w:szCs w:val="24"/>
          <w:lang w:eastAsia="lv-LV"/>
        </w:rPr>
        <w:t xml:space="preserve"> </w:t>
      </w:r>
    </w:p>
    <w:p w:rsidR="001B2149" w:rsidRPr="00B557E8" w:rsidRDefault="001B2149" w:rsidP="00B557E8">
      <w:pPr>
        <w:numPr>
          <w:ilvl w:val="0"/>
          <w:numId w:val="82"/>
        </w:numPr>
        <w:spacing w:before="120" w:after="120" w:line="276" w:lineRule="auto"/>
        <w:ind w:left="851" w:hanging="425"/>
        <w:rPr>
          <w:color w:val="000000" w:themeColor="text1"/>
          <w:szCs w:val="24"/>
          <w:lang w:eastAsia="lv-LV"/>
        </w:rPr>
      </w:pPr>
      <w:r w:rsidRPr="00B557E8">
        <w:rPr>
          <w:color w:val="000000" w:themeColor="text1"/>
          <w:szCs w:val="24"/>
          <w:lang w:eastAsia="lv-LV"/>
        </w:rPr>
        <w:t xml:space="preserve">3.4.1.1.aktivitātē „Ūdenssaimniecības attīstības apdzīvotās vietās ar iedzīvotāju skaitu līdz 2000” sesto projektu iesniegumu atlases kārtu (pieejamais ERAF finansējums ir 5,8 </w:t>
      </w:r>
      <w:proofErr w:type="spellStart"/>
      <w:r w:rsidRPr="00B557E8">
        <w:rPr>
          <w:color w:val="000000" w:themeColor="text1"/>
          <w:szCs w:val="24"/>
          <w:lang w:eastAsia="lv-LV"/>
        </w:rPr>
        <w:t>milj</w:t>
      </w:r>
      <w:proofErr w:type="spellEnd"/>
      <w:r w:rsidRPr="00B557E8">
        <w:rPr>
          <w:color w:val="000000" w:themeColor="text1"/>
          <w:szCs w:val="24"/>
          <w:lang w:eastAsia="lv-LV"/>
        </w:rPr>
        <w:t xml:space="preserve">. latu) ar mērķi uzlabot ūdensapgādes un notekūdeņu savākšanas un attīrīšanas kvalitātes uzlabošanu un pakalpojumu pieejamības paplašināšanu, nodrošinot kvalitatīvu dzīves vidi, samazinot vides piesārņojumu un ūdenstilpju eitrofikāciju, sekmējot ūdens resursu racionālu izmantošanu; </w:t>
      </w:r>
    </w:p>
    <w:p w:rsidR="001B2149" w:rsidRPr="00B557E8" w:rsidRDefault="001B2149" w:rsidP="00B557E8">
      <w:pPr>
        <w:numPr>
          <w:ilvl w:val="0"/>
          <w:numId w:val="82"/>
        </w:numPr>
        <w:spacing w:before="120" w:after="120" w:line="276" w:lineRule="auto"/>
        <w:ind w:left="851" w:hanging="425"/>
        <w:rPr>
          <w:color w:val="000000" w:themeColor="text1"/>
          <w:szCs w:val="24"/>
          <w:lang w:eastAsia="lv-LV"/>
        </w:rPr>
      </w:pPr>
      <w:r w:rsidRPr="00B557E8">
        <w:rPr>
          <w:color w:val="000000" w:themeColor="text1"/>
          <w:szCs w:val="24"/>
          <w:lang w:eastAsia="lv-LV"/>
        </w:rPr>
        <w:t xml:space="preserve">3.4.1.4.aktivitātē „Vēsturiski piesārņoto vietu sanācija” pirmās  projektu iesniegumu atlases kārtas trešo uzaicinājumu (pieejamais ERAF finansējums ir 5,2 </w:t>
      </w:r>
      <w:proofErr w:type="spellStart"/>
      <w:r w:rsidRPr="00B557E8">
        <w:rPr>
          <w:color w:val="000000" w:themeColor="text1"/>
          <w:szCs w:val="24"/>
          <w:lang w:eastAsia="lv-LV"/>
        </w:rPr>
        <w:t>milj</w:t>
      </w:r>
      <w:proofErr w:type="spellEnd"/>
      <w:r w:rsidRPr="00B557E8">
        <w:rPr>
          <w:color w:val="000000" w:themeColor="text1"/>
          <w:szCs w:val="24"/>
          <w:lang w:eastAsia="lv-LV"/>
        </w:rPr>
        <w:t>. latu) ar mērķi panākt augsnes, grunts, pazemes un virszemes ūdeņu kvalitātes uzlabošanu, kā arī atjaunot un uzlabot vides kvalitāti piesārņotajās vietās, novērst iedzīvotāju veselības apdraudējumu;</w:t>
      </w:r>
    </w:p>
    <w:p w:rsidR="001B2149" w:rsidRPr="00B557E8" w:rsidRDefault="001B2149" w:rsidP="00B557E8">
      <w:pPr>
        <w:numPr>
          <w:ilvl w:val="0"/>
          <w:numId w:val="82"/>
        </w:numPr>
        <w:spacing w:before="120" w:after="120" w:line="276" w:lineRule="auto"/>
        <w:ind w:left="851" w:hanging="425"/>
        <w:rPr>
          <w:color w:val="000000" w:themeColor="text1"/>
          <w:szCs w:val="24"/>
          <w:lang w:eastAsia="lv-LV"/>
        </w:rPr>
      </w:pPr>
      <w:r w:rsidRPr="00B557E8">
        <w:rPr>
          <w:color w:val="000000" w:themeColor="text1"/>
          <w:szCs w:val="24"/>
          <w:lang w:eastAsia="lv-LV"/>
        </w:rPr>
        <w:t xml:space="preserve">3.4.1.5.1.apakšaktivitātē „Plūdu risku samazināšana grūti prognozējamu vižņu-ledus parādību gadījumos” otro projektu iesniegumu atlases kārtu (pieejamais ERAF finansējums ir 3,7 </w:t>
      </w:r>
      <w:proofErr w:type="spellStart"/>
      <w:r w:rsidRPr="00B557E8">
        <w:rPr>
          <w:color w:val="000000" w:themeColor="text1"/>
          <w:szCs w:val="24"/>
          <w:lang w:eastAsia="lv-LV"/>
        </w:rPr>
        <w:t>milj</w:t>
      </w:r>
      <w:proofErr w:type="spellEnd"/>
      <w:r w:rsidRPr="00B557E8">
        <w:rPr>
          <w:color w:val="000000" w:themeColor="text1"/>
          <w:szCs w:val="24"/>
          <w:lang w:eastAsia="lv-LV"/>
        </w:rPr>
        <w:t>. latu) ar mērķi samazināt plūdu risku teritorijās, kas atbilst plūdu risku novērtēšanas un pārvaldības nacionālās programmas 1 B kritērijam;</w:t>
      </w:r>
    </w:p>
    <w:p w:rsidR="001B2149" w:rsidRPr="00B557E8" w:rsidRDefault="001B2149" w:rsidP="00B557E8">
      <w:pPr>
        <w:numPr>
          <w:ilvl w:val="0"/>
          <w:numId w:val="82"/>
        </w:numPr>
        <w:spacing w:before="120" w:after="120" w:line="276" w:lineRule="auto"/>
        <w:ind w:left="851" w:hanging="425"/>
        <w:rPr>
          <w:color w:val="000000" w:themeColor="text1"/>
          <w:szCs w:val="24"/>
          <w:lang w:eastAsia="lv-LV"/>
        </w:rPr>
      </w:pPr>
      <w:r w:rsidRPr="00B557E8">
        <w:rPr>
          <w:color w:val="000000" w:themeColor="text1"/>
          <w:szCs w:val="24"/>
          <w:lang w:eastAsia="lv-LV"/>
        </w:rPr>
        <w:lastRenderedPageBreak/>
        <w:t xml:space="preserve">3.5.1.2.1.apakšaktivitātē „Normatīvo aktu prasībām neatbilstošo izgāztuvju rekultivācija” papildu projektu iesniegumu atlases kārtu (pieejamais KF finansējums ir 7,7 </w:t>
      </w:r>
      <w:proofErr w:type="spellStart"/>
      <w:r w:rsidRPr="00B557E8">
        <w:rPr>
          <w:color w:val="000000" w:themeColor="text1"/>
          <w:szCs w:val="24"/>
          <w:lang w:eastAsia="lv-LV"/>
        </w:rPr>
        <w:t>milj</w:t>
      </w:r>
      <w:proofErr w:type="spellEnd"/>
      <w:r w:rsidRPr="00B557E8">
        <w:rPr>
          <w:color w:val="000000" w:themeColor="text1"/>
          <w:szCs w:val="24"/>
          <w:lang w:eastAsia="lv-LV"/>
        </w:rPr>
        <w:t>. latu) ar mērķi samazināt negatīvo ietekmi uz vidi, ko rada atkritumi un vides aizsardzības prasībām neatbilstošās izgāztuves;</w:t>
      </w:r>
    </w:p>
    <w:p w:rsidR="001B2149" w:rsidRPr="00B557E8" w:rsidRDefault="001B2149" w:rsidP="00B557E8">
      <w:pPr>
        <w:numPr>
          <w:ilvl w:val="0"/>
          <w:numId w:val="82"/>
        </w:numPr>
        <w:spacing w:before="120" w:after="120" w:line="276" w:lineRule="auto"/>
        <w:ind w:left="851" w:hanging="425"/>
        <w:rPr>
          <w:color w:val="000000" w:themeColor="text1"/>
          <w:szCs w:val="24"/>
          <w:lang w:eastAsia="lv-LV"/>
        </w:rPr>
      </w:pPr>
      <w:r w:rsidRPr="00B557E8">
        <w:rPr>
          <w:color w:val="000000" w:themeColor="text1"/>
          <w:szCs w:val="24"/>
          <w:lang w:eastAsia="lv-LV"/>
        </w:rPr>
        <w:t xml:space="preserve">3.5.1.2.2.apakšaktivitātē „Reģionālu atkritumu apsaimniekošanas sistēmas attīstība” otrās projektu iesniegumu atlases kārtas otro uzsaukumu un trešās kārtas uzsaukumu (pieejamais KF finansējums ir 1,9 </w:t>
      </w:r>
      <w:proofErr w:type="spellStart"/>
      <w:r w:rsidRPr="00B557E8">
        <w:rPr>
          <w:color w:val="000000" w:themeColor="text1"/>
          <w:szCs w:val="24"/>
          <w:lang w:eastAsia="lv-LV"/>
        </w:rPr>
        <w:t>milj</w:t>
      </w:r>
      <w:proofErr w:type="spellEnd"/>
      <w:r w:rsidRPr="00B557E8">
        <w:rPr>
          <w:color w:val="000000" w:themeColor="text1"/>
          <w:szCs w:val="24"/>
          <w:lang w:eastAsia="lv-LV"/>
        </w:rPr>
        <w:t xml:space="preserve">. latu) ar mērķi izveidot ilgtspējīgu atkritumu apsaimniekošanas sistēmu, nodrošinot atkritumu apglabāšanu un apstrādi cilvēku veselībai un videi drošā veidā, un nodrošinot sadzīves atkritumu apsaimniekošanas pakalpojumu pieejamību pilsētās 100 procentu un lauku teritorijās 80 procentu iedzīvotāju; </w:t>
      </w:r>
    </w:p>
    <w:p w:rsidR="001B2149" w:rsidRPr="00B557E8" w:rsidRDefault="001B2149" w:rsidP="00B557E8">
      <w:pPr>
        <w:numPr>
          <w:ilvl w:val="0"/>
          <w:numId w:val="82"/>
        </w:numPr>
        <w:spacing w:before="120" w:after="120" w:line="276" w:lineRule="auto"/>
        <w:ind w:left="851" w:hanging="425"/>
        <w:rPr>
          <w:color w:val="000000" w:themeColor="text1"/>
          <w:szCs w:val="24"/>
          <w:lang w:eastAsia="lv-LV"/>
        </w:rPr>
      </w:pPr>
      <w:r w:rsidRPr="00B557E8">
        <w:rPr>
          <w:color w:val="000000" w:themeColor="text1"/>
          <w:szCs w:val="24"/>
          <w:lang w:eastAsia="lv-LV"/>
        </w:rPr>
        <w:t xml:space="preserve">3.5.1.3.aktivitātē „Infrastruktūras izveide </w:t>
      </w:r>
      <w:proofErr w:type="spellStart"/>
      <w:r w:rsidRPr="00B557E8">
        <w:rPr>
          <w:color w:val="000000" w:themeColor="text1"/>
          <w:szCs w:val="24"/>
          <w:lang w:eastAsia="lv-LV"/>
        </w:rPr>
        <w:t>Natura</w:t>
      </w:r>
      <w:proofErr w:type="spellEnd"/>
      <w:r w:rsidRPr="00B557E8">
        <w:rPr>
          <w:color w:val="000000" w:themeColor="text1"/>
          <w:szCs w:val="24"/>
          <w:lang w:eastAsia="lv-LV"/>
        </w:rPr>
        <w:t xml:space="preserve"> 2000 teritorijās” otro projektu iesniegumu atlases kārtu (pieejamais KF finansējums ir 1,8 </w:t>
      </w:r>
      <w:proofErr w:type="spellStart"/>
      <w:r w:rsidRPr="00B557E8">
        <w:rPr>
          <w:color w:val="000000" w:themeColor="text1"/>
          <w:szCs w:val="24"/>
          <w:lang w:eastAsia="lv-LV"/>
        </w:rPr>
        <w:t>milj</w:t>
      </w:r>
      <w:proofErr w:type="spellEnd"/>
      <w:r w:rsidRPr="00B557E8">
        <w:rPr>
          <w:color w:val="000000" w:themeColor="text1"/>
          <w:szCs w:val="24"/>
          <w:lang w:eastAsia="lv-LV"/>
        </w:rPr>
        <w:t xml:space="preserve">. latu) ar mērķi saglabāt Latvijas dabas vides kvalitāti atbilstoši </w:t>
      </w:r>
      <w:r w:rsidR="00EC322F" w:rsidRPr="00B557E8">
        <w:rPr>
          <w:rFonts w:eastAsia="EUAlbertina-Bold-Identity-H"/>
          <w:color w:val="000000" w:themeColor="text1"/>
          <w:szCs w:val="24"/>
          <w:lang w:eastAsia="lv-LV"/>
        </w:rPr>
        <w:t>ES</w:t>
      </w:r>
      <w:r w:rsidRPr="00B557E8">
        <w:rPr>
          <w:color w:val="000000" w:themeColor="text1"/>
          <w:szCs w:val="24"/>
          <w:lang w:eastAsia="lv-LV"/>
        </w:rPr>
        <w:t xml:space="preserve"> direktīvu prasībām, valsts starptautiskajām saistībām un vietējām vajadzībām; novērst esošos un nākotnes draudus dabas vērtībām, vienlaikus nodrošinot maksimāli efektīvu resursu izlietojumu dabas vērtību saglabāšanā un atjaunošanā;</w:t>
      </w:r>
    </w:p>
    <w:p w:rsidR="00491D67" w:rsidRPr="00B557E8" w:rsidRDefault="001B2149" w:rsidP="00B557E8">
      <w:pPr>
        <w:numPr>
          <w:ilvl w:val="0"/>
          <w:numId w:val="82"/>
        </w:numPr>
        <w:spacing w:before="120" w:after="120" w:line="276" w:lineRule="auto"/>
        <w:ind w:left="851" w:hanging="425"/>
        <w:rPr>
          <w:color w:val="000000" w:themeColor="text1"/>
          <w:szCs w:val="24"/>
          <w:lang w:eastAsia="lv-LV"/>
        </w:rPr>
      </w:pPr>
      <w:r w:rsidRPr="00B557E8">
        <w:rPr>
          <w:color w:val="000000" w:themeColor="text1"/>
          <w:szCs w:val="24"/>
          <w:lang w:eastAsia="lv-LV"/>
        </w:rPr>
        <w:t xml:space="preserve">3.5.2.1.1.apakšaktivitātē „Pasākumi centralizētās siltumapgādes sistēmu efektivitātes paaugstināšanai” trešo projektu iesniegumu atlases kārtu (pieejamais KF finansējums ir 16,4 </w:t>
      </w:r>
      <w:proofErr w:type="spellStart"/>
      <w:r w:rsidRPr="00B557E8">
        <w:rPr>
          <w:color w:val="000000" w:themeColor="text1"/>
          <w:szCs w:val="24"/>
          <w:lang w:eastAsia="lv-LV"/>
        </w:rPr>
        <w:t>milj</w:t>
      </w:r>
      <w:proofErr w:type="spellEnd"/>
      <w:r w:rsidRPr="00B557E8">
        <w:rPr>
          <w:color w:val="000000" w:themeColor="text1"/>
          <w:szCs w:val="24"/>
          <w:lang w:eastAsia="lv-LV"/>
        </w:rPr>
        <w:t>. latu) ar mērķi būtiski paaugstināt siltumenerģijas ražošanas efektivitāti, samazināt siltumenerģijas zudumus pārvades un sadales sistēmās un sekmēt fosilo kurināmo veidu aizvietošanu ar atjaunojamajiem kurināmajiem;</w:t>
      </w:r>
    </w:p>
    <w:p w:rsidR="00491D67" w:rsidRPr="00B557E8" w:rsidRDefault="001B2149" w:rsidP="00B557E8">
      <w:pPr>
        <w:numPr>
          <w:ilvl w:val="0"/>
          <w:numId w:val="82"/>
        </w:numPr>
        <w:spacing w:before="120" w:after="120" w:line="276" w:lineRule="auto"/>
        <w:ind w:left="851" w:hanging="425"/>
        <w:rPr>
          <w:color w:val="000000" w:themeColor="text1"/>
          <w:szCs w:val="24"/>
          <w:lang w:eastAsia="lv-LV"/>
        </w:rPr>
      </w:pPr>
      <w:r w:rsidRPr="00B557E8">
        <w:rPr>
          <w:color w:val="000000" w:themeColor="text1"/>
          <w:szCs w:val="24"/>
          <w:lang w:eastAsia="lv-LV"/>
        </w:rPr>
        <w:t xml:space="preserve">3.5.2.1.2.apakšaktivitātē „Pasākumi uzņēmumu siltumapgādes sistēmu efektivitātes paaugstināšanai” (pieejamais KF finansējums ir 13,0 </w:t>
      </w:r>
      <w:proofErr w:type="spellStart"/>
      <w:r w:rsidRPr="00B557E8">
        <w:rPr>
          <w:color w:val="000000" w:themeColor="text1"/>
          <w:szCs w:val="24"/>
          <w:lang w:eastAsia="lv-LV"/>
        </w:rPr>
        <w:t>milj</w:t>
      </w:r>
      <w:proofErr w:type="spellEnd"/>
      <w:r w:rsidRPr="00B557E8">
        <w:rPr>
          <w:color w:val="000000" w:themeColor="text1"/>
          <w:szCs w:val="24"/>
          <w:lang w:eastAsia="lv-LV"/>
        </w:rPr>
        <w:t>. latu) ar mērķi būtiski paaugstināt siltumenerģijas ražošanas efektivitāti, veicinot tādas siltumenerģijas izmantošanu industriālajā ražošanā, kas ražota, izmantojot atjaunojamos energoresursus;</w:t>
      </w:r>
    </w:p>
    <w:p w:rsidR="006B263C" w:rsidRPr="00B557E8" w:rsidRDefault="001B2149" w:rsidP="00B557E8">
      <w:pPr>
        <w:numPr>
          <w:ilvl w:val="0"/>
          <w:numId w:val="82"/>
        </w:numPr>
        <w:spacing w:before="120" w:after="120" w:line="276" w:lineRule="auto"/>
        <w:ind w:left="851" w:hanging="425"/>
        <w:rPr>
          <w:b/>
          <w:iCs/>
          <w:color w:val="000000" w:themeColor="text1"/>
          <w:szCs w:val="24"/>
          <w:lang w:eastAsia="x-none"/>
        </w:rPr>
      </w:pPr>
      <w:r w:rsidRPr="00B557E8">
        <w:rPr>
          <w:color w:val="000000" w:themeColor="text1"/>
          <w:szCs w:val="24"/>
          <w:lang w:eastAsia="lv-LV"/>
        </w:rPr>
        <w:t xml:space="preserve">3.6.1.1.aktivitātē „Nacionālas un reģionālas nozīmes attīstības centru izaugsmes veicināšana līdzsvarotai valsts attīstībai” ceturto projektu iesniegumu atlases kārtu  (pieejamais ERAF finansējums ir 11,2 </w:t>
      </w:r>
      <w:proofErr w:type="spellStart"/>
      <w:r w:rsidRPr="00B557E8">
        <w:rPr>
          <w:color w:val="000000" w:themeColor="text1"/>
          <w:szCs w:val="24"/>
          <w:lang w:eastAsia="lv-LV"/>
        </w:rPr>
        <w:t>milj</w:t>
      </w:r>
      <w:proofErr w:type="spellEnd"/>
      <w:r w:rsidRPr="00B557E8">
        <w:rPr>
          <w:color w:val="000000" w:themeColor="text1"/>
          <w:szCs w:val="24"/>
          <w:lang w:eastAsia="lv-LV"/>
        </w:rPr>
        <w:t xml:space="preserve">. latu). Projektu iesniedzēji tiek uzaicināti iesniegt projektus atbilstoši tiem noteiktai ERAF kvotai ar mērķi nodrošināt noteiktu nacionālas un reģionālas nozīmes attīstības centru (pilsētu) izaugsmi, sniedzot atbalstu projektu īstenošanai pilsētvides un </w:t>
      </w:r>
      <w:proofErr w:type="spellStart"/>
      <w:r w:rsidRPr="00B557E8">
        <w:rPr>
          <w:color w:val="000000" w:themeColor="text1"/>
          <w:szCs w:val="24"/>
          <w:lang w:eastAsia="lv-LV"/>
        </w:rPr>
        <w:t>pilsētreģionu</w:t>
      </w:r>
      <w:proofErr w:type="spellEnd"/>
      <w:r w:rsidRPr="00B557E8">
        <w:rPr>
          <w:color w:val="000000" w:themeColor="text1"/>
          <w:szCs w:val="24"/>
          <w:lang w:eastAsia="lv-LV"/>
        </w:rPr>
        <w:t xml:space="preserve"> konkurētspējas, sasniedzamības/pieejamības un pievilcības attīstībai saskaņā ar integrētām pašvaldību attīstības programmām.</w:t>
      </w:r>
      <w:r w:rsidR="006B263C" w:rsidRPr="00B557E8">
        <w:rPr>
          <w:color w:val="000000" w:themeColor="text1"/>
          <w:szCs w:val="24"/>
        </w:rPr>
        <w:br w:type="page"/>
      </w:r>
    </w:p>
    <w:p w:rsidR="00156D50" w:rsidRPr="00B557E8" w:rsidRDefault="00D877AA" w:rsidP="00B557E8">
      <w:pPr>
        <w:pStyle w:val="2lmenis"/>
        <w:numPr>
          <w:ilvl w:val="1"/>
          <w:numId w:val="2"/>
        </w:numPr>
        <w:spacing w:before="120" w:after="120" w:line="276" w:lineRule="auto"/>
        <w:ind w:left="1276" w:hanging="425"/>
        <w:jc w:val="both"/>
        <w:rPr>
          <w:color w:val="000000" w:themeColor="text1"/>
          <w:sz w:val="24"/>
          <w:szCs w:val="24"/>
          <w:lang w:val="lv-LV"/>
        </w:rPr>
      </w:pPr>
      <w:bookmarkStart w:id="15" w:name="_Toc308774232"/>
      <w:r w:rsidRPr="00B557E8">
        <w:rPr>
          <w:color w:val="000000" w:themeColor="text1"/>
          <w:sz w:val="24"/>
          <w:szCs w:val="24"/>
          <w:lang w:val="lv-LV"/>
        </w:rPr>
        <w:lastRenderedPageBreak/>
        <w:t xml:space="preserve">ES struktūrfondu un </w:t>
      </w:r>
      <w:r w:rsidR="006B263C" w:rsidRPr="00B557E8">
        <w:rPr>
          <w:color w:val="000000" w:themeColor="text1"/>
          <w:sz w:val="24"/>
          <w:szCs w:val="24"/>
          <w:lang w:val="lv-LV"/>
        </w:rPr>
        <w:t>KF</w:t>
      </w:r>
      <w:r w:rsidRPr="00B557E8">
        <w:rPr>
          <w:color w:val="000000" w:themeColor="text1"/>
          <w:sz w:val="24"/>
          <w:szCs w:val="24"/>
          <w:lang w:val="lv-LV"/>
        </w:rPr>
        <w:t xml:space="preserve"> finanšu apguve</w:t>
      </w:r>
      <w:bookmarkEnd w:id="15"/>
      <w:r w:rsidR="003E6F9F" w:rsidRPr="00B557E8">
        <w:rPr>
          <w:color w:val="000000" w:themeColor="text1"/>
          <w:sz w:val="24"/>
          <w:szCs w:val="24"/>
          <w:lang w:val="lv-LV"/>
        </w:rPr>
        <w:t xml:space="preserve"> </w:t>
      </w:r>
    </w:p>
    <w:p w:rsidR="00F231E9" w:rsidRPr="00B557E8" w:rsidRDefault="003E7597" w:rsidP="00B557E8">
      <w:pPr>
        <w:spacing w:before="120" w:after="120" w:line="276" w:lineRule="auto"/>
        <w:rPr>
          <w:b/>
          <w:iCs/>
          <w:color w:val="000000" w:themeColor="text1"/>
          <w:szCs w:val="24"/>
        </w:rPr>
      </w:pPr>
      <w:r w:rsidRPr="00B557E8">
        <w:rPr>
          <w:b/>
          <w:iCs/>
          <w:color w:val="000000" w:themeColor="text1"/>
          <w:szCs w:val="24"/>
        </w:rPr>
        <w:t>1.</w:t>
      </w:r>
      <w:r w:rsidR="00017679" w:rsidRPr="00B557E8">
        <w:rPr>
          <w:b/>
          <w:iCs/>
          <w:color w:val="000000" w:themeColor="text1"/>
          <w:szCs w:val="24"/>
        </w:rPr>
        <w:t>3</w:t>
      </w:r>
      <w:r w:rsidRPr="00B557E8">
        <w:rPr>
          <w:b/>
          <w:iCs/>
          <w:color w:val="000000" w:themeColor="text1"/>
          <w:szCs w:val="24"/>
        </w:rPr>
        <w:t xml:space="preserve">.1. </w:t>
      </w:r>
      <w:r w:rsidR="00AF4B5E" w:rsidRPr="00B557E8">
        <w:rPr>
          <w:b/>
          <w:iCs/>
          <w:color w:val="000000" w:themeColor="text1"/>
          <w:szCs w:val="24"/>
        </w:rPr>
        <w:t xml:space="preserve">ES struktūrfondu un </w:t>
      </w:r>
      <w:r w:rsidR="006B263C" w:rsidRPr="00B557E8">
        <w:rPr>
          <w:b/>
          <w:iCs/>
          <w:color w:val="000000" w:themeColor="text1"/>
          <w:szCs w:val="24"/>
        </w:rPr>
        <w:t>KF</w:t>
      </w:r>
      <w:r w:rsidR="00AF4B5E" w:rsidRPr="00B557E8">
        <w:rPr>
          <w:b/>
          <w:iCs/>
          <w:color w:val="000000" w:themeColor="text1"/>
          <w:szCs w:val="24"/>
        </w:rPr>
        <w:t xml:space="preserve"> </w:t>
      </w:r>
      <w:r w:rsidR="00462CEF" w:rsidRPr="00B557E8">
        <w:rPr>
          <w:b/>
          <w:iCs/>
          <w:color w:val="000000" w:themeColor="text1"/>
          <w:szCs w:val="24"/>
        </w:rPr>
        <w:t>finanšu apguves mērķu un prognožu sasniegšana</w:t>
      </w:r>
      <w:bookmarkEnd w:id="9"/>
      <w:bookmarkEnd w:id="10"/>
    </w:p>
    <w:p w:rsidR="001E53C0" w:rsidRPr="00B557E8" w:rsidRDefault="00EE2147" w:rsidP="00B557E8">
      <w:pPr>
        <w:spacing w:before="120" w:after="120" w:line="276" w:lineRule="auto"/>
        <w:rPr>
          <w:rFonts w:eastAsia="EUAlbertina-Bold-Identity-H"/>
          <w:color w:val="000000" w:themeColor="text1"/>
          <w:szCs w:val="24"/>
        </w:rPr>
      </w:pPr>
      <w:r w:rsidRPr="00B557E8">
        <w:rPr>
          <w:rFonts w:eastAsia="EUAlbertina-Bold-Identity-H"/>
          <w:color w:val="000000" w:themeColor="text1"/>
          <w:szCs w:val="24"/>
        </w:rPr>
        <w:t>Līdz 2011.gada 30.septembrim kopumā ES fondu apguve ir vērtējama kā apmierinoša. Ņemot vērā, ka, salīdzinot 2011.gada otro ceturksni ar</w:t>
      </w:r>
      <w:r w:rsidR="00F86F93" w:rsidRPr="00B557E8">
        <w:rPr>
          <w:rFonts w:eastAsia="EUAlbertina-Bold-Identity-H"/>
          <w:color w:val="000000" w:themeColor="text1"/>
          <w:szCs w:val="24"/>
        </w:rPr>
        <w:t xml:space="preserve"> pārskata periodu līdz 2011.gada 30.</w:t>
      </w:r>
      <w:r w:rsidRPr="00B557E8">
        <w:rPr>
          <w:rFonts w:eastAsia="EUAlbertina-Bold-Identity-H"/>
          <w:color w:val="000000" w:themeColor="text1"/>
          <w:szCs w:val="24"/>
        </w:rPr>
        <w:t>septembrim, ir vērojams progress veikto maksājumu finansējuma saņēmējiem apjomam, kas pieaudzis par 3,5%</w:t>
      </w:r>
      <w:r w:rsidR="00334BA5" w:rsidRPr="00B557E8">
        <w:rPr>
          <w:rFonts w:eastAsia="EUAlbertina-Bold-Identity-H"/>
          <w:color w:val="000000" w:themeColor="text1"/>
          <w:szCs w:val="24"/>
        </w:rPr>
        <w:t>. L</w:t>
      </w:r>
      <w:r w:rsidRPr="00B557E8">
        <w:rPr>
          <w:rFonts w:eastAsia="EUAlbertina-Bold-Identity-H"/>
          <w:color w:val="000000" w:themeColor="text1"/>
          <w:szCs w:val="24"/>
        </w:rPr>
        <w:t xml:space="preserve">īdzvērtīgs progress trešajā ceturksnī ir bijis arī apstiprinātiem projektiem, to apjoms salīdzinājumā ar iepriekšējo ceturksni ir pieaudzis par 3,2%, taču ES fondu apguves progress nav </w:t>
      </w:r>
      <w:r w:rsidR="00334BA5" w:rsidRPr="00B557E8">
        <w:rPr>
          <w:rFonts w:eastAsia="EUAlbertina-Bold-Identity-H"/>
          <w:color w:val="000000" w:themeColor="text1"/>
          <w:szCs w:val="24"/>
        </w:rPr>
        <w:t>teicam</w:t>
      </w:r>
      <w:r w:rsidRPr="00B557E8">
        <w:rPr>
          <w:rFonts w:eastAsia="EUAlbertina-Bold-Identity-H"/>
          <w:color w:val="000000" w:themeColor="text1"/>
          <w:szCs w:val="24"/>
        </w:rPr>
        <w:t>s, jo ministrijas nav pildījušas savus noteiktos plānus, apgūstot tikai 73,0% no paredzētā maksājumu apjoma finansējuma saņēmējiem.</w:t>
      </w:r>
    </w:p>
    <w:p w:rsidR="001E53C0" w:rsidRPr="00B557E8" w:rsidRDefault="001E53C0" w:rsidP="00B557E8">
      <w:pPr>
        <w:spacing w:before="120" w:after="120" w:line="276" w:lineRule="auto"/>
        <w:rPr>
          <w:rFonts w:eastAsia="EUAlbertina-Bold-Identity-H"/>
          <w:color w:val="000000" w:themeColor="text1"/>
          <w:szCs w:val="24"/>
        </w:rPr>
      </w:pPr>
      <w:r w:rsidRPr="00B557E8">
        <w:rPr>
          <w:rFonts w:eastAsia="EUAlbertina-Bold-Identity-H"/>
          <w:color w:val="000000" w:themeColor="text1"/>
          <w:szCs w:val="24"/>
        </w:rPr>
        <w:t xml:space="preserve">Detalizētu informāciju skatīt </w:t>
      </w:r>
      <w:r w:rsidRPr="00B557E8">
        <w:rPr>
          <w:rFonts w:eastAsia="EUAlbertina-Bold-Identity-H"/>
          <w:color w:val="000000" w:themeColor="text1"/>
          <w:szCs w:val="24"/>
          <w:u w:val="single"/>
        </w:rPr>
        <w:t>grafikā Nr.1 un pielikumā Nr.1</w:t>
      </w:r>
      <w:r w:rsidRPr="00B557E8">
        <w:rPr>
          <w:rFonts w:eastAsia="EUAlbertina-Bold-Identity-H"/>
          <w:color w:val="000000" w:themeColor="text1"/>
          <w:szCs w:val="24"/>
        </w:rPr>
        <w:t xml:space="preserve"> „2007.-2013.gada plānošanas perioda vispārīgā ES fondu apguve līdz 30.</w:t>
      </w:r>
      <w:r w:rsidR="00C931A9" w:rsidRPr="00B557E8">
        <w:rPr>
          <w:rFonts w:eastAsia="EUAlbertina-Bold-Identity-H"/>
          <w:color w:val="000000" w:themeColor="text1"/>
          <w:szCs w:val="24"/>
        </w:rPr>
        <w:t>09</w:t>
      </w:r>
      <w:r w:rsidRPr="00B557E8">
        <w:rPr>
          <w:rFonts w:eastAsia="EUAlbertina-Bold-Identity-H"/>
          <w:color w:val="000000" w:themeColor="text1"/>
          <w:szCs w:val="24"/>
        </w:rPr>
        <w:t>.2011.”</w:t>
      </w:r>
    </w:p>
    <w:p w:rsidR="001E53C0" w:rsidRPr="00B557E8" w:rsidRDefault="001E53C0" w:rsidP="00B557E8">
      <w:pPr>
        <w:tabs>
          <w:tab w:val="left" w:pos="426"/>
        </w:tabs>
        <w:spacing w:before="120" w:after="120" w:line="276" w:lineRule="auto"/>
        <w:rPr>
          <w:rFonts w:eastAsia="EUAlbertina-Bold-Identity-H"/>
          <w:noProof/>
          <w:color w:val="000000" w:themeColor="text1"/>
          <w:szCs w:val="24"/>
          <w:lang w:eastAsia="lv-LV"/>
        </w:rPr>
      </w:pPr>
      <w:r w:rsidRPr="00B557E8">
        <w:rPr>
          <w:rFonts w:eastAsia="EUAlbertina-Bold-Identity-H"/>
          <w:color w:val="000000" w:themeColor="text1"/>
          <w:szCs w:val="24"/>
          <w:lang w:eastAsia="lv-LV"/>
        </w:rPr>
        <w:t xml:space="preserve">Grafiks Nr.1 </w:t>
      </w:r>
      <w:r w:rsidRPr="00B557E8">
        <w:rPr>
          <w:rFonts w:eastAsia="EUAlbertina-Bold-Identity-H"/>
          <w:i/>
          <w:color w:val="000000" w:themeColor="text1"/>
          <w:szCs w:val="24"/>
        </w:rPr>
        <w:t xml:space="preserve">„ES fondu finanšu apguve līdz </w:t>
      </w:r>
      <w:r w:rsidR="005414B6" w:rsidRPr="00B557E8">
        <w:rPr>
          <w:rFonts w:eastAsia="EUAlbertina-Bold-Identity-H"/>
          <w:i/>
          <w:color w:val="000000" w:themeColor="text1"/>
          <w:szCs w:val="24"/>
        </w:rPr>
        <w:t>30.09</w:t>
      </w:r>
      <w:r w:rsidRPr="00B557E8">
        <w:rPr>
          <w:rFonts w:eastAsia="EUAlbertina-Bold-Identity-H"/>
          <w:i/>
          <w:color w:val="000000" w:themeColor="text1"/>
          <w:szCs w:val="24"/>
        </w:rPr>
        <w:t>.2011., publiskais attie</w:t>
      </w:r>
      <w:r w:rsidR="00412193" w:rsidRPr="00B557E8">
        <w:rPr>
          <w:rFonts w:eastAsia="EUAlbertina-Bold-Identity-H"/>
          <w:i/>
          <w:color w:val="000000" w:themeColor="text1"/>
          <w:szCs w:val="24"/>
        </w:rPr>
        <w:t xml:space="preserve">cināmais finansējums; </w:t>
      </w:r>
      <w:proofErr w:type="spellStart"/>
      <w:r w:rsidR="00412193" w:rsidRPr="00B557E8">
        <w:rPr>
          <w:rFonts w:eastAsia="EUAlbertina-Bold-Identity-H"/>
          <w:i/>
          <w:color w:val="000000" w:themeColor="text1"/>
          <w:szCs w:val="24"/>
        </w:rPr>
        <w:t>milj</w:t>
      </w:r>
      <w:proofErr w:type="spellEnd"/>
      <w:r w:rsidR="00412193" w:rsidRPr="00B557E8">
        <w:rPr>
          <w:rFonts w:eastAsia="EUAlbertina-Bold-Identity-H"/>
          <w:i/>
          <w:color w:val="000000" w:themeColor="text1"/>
          <w:szCs w:val="24"/>
        </w:rPr>
        <w:t>. LVL (</w:t>
      </w:r>
      <w:r w:rsidRPr="00B557E8">
        <w:rPr>
          <w:rFonts w:eastAsia="EUAlbertina-Bold-Identity-H"/>
          <w:i/>
          <w:color w:val="000000" w:themeColor="text1"/>
          <w:szCs w:val="24"/>
        </w:rPr>
        <w:t xml:space="preserve"> % no kopā pieejamā publiskā finansējuma</w:t>
      </w:r>
      <w:r w:rsidR="00412193" w:rsidRPr="00B557E8">
        <w:rPr>
          <w:rFonts w:eastAsia="EUAlbertina-Bold-Identity-H"/>
          <w:i/>
          <w:color w:val="000000" w:themeColor="text1"/>
          <w:szCs w:val="24"/>
        </w:rPr>
        <w:t>)</w:t>
      </w:r>
      <w:r w:rsidRPr="00B557E8">
        <w:rPr>
          <w:rFonts w:eastAsia="EUAlbertina-Bold-Identity-H"/>
          <w:i/>
          <w:color w:val="000000" w:themeColor="text1"/>
          <w:szCs w:val="24"/>
        </w:rPr>
        <w:t xml:space="preserve">; </w:t>
      </w:r>
      <w:r w:rsidRPr="00B557E8">
        <w:rPr>
          <w:i/>
          <w:color w:val="000000" w:themeColor="text1"/>
          <w:szCs w:val="24"/>
        </w:rPr>
        <w:t xml:space="preserve">% progress pret datiem uz </w:t>
      </w:r>
      <w:r w:rsidR="005414B6" w:rsidRPr="00B557E8">
        <w:rPr>
          <w:i/>
          <w:color w:val="000000" w:themeColor="text1"/>
          <w:szCs w:val="24"/>
        </w:rPr>
        <w:t>30.06</w:t>
      </w:r>
      <w:r w:rsidRPr="00B557E8">
        <w:rPr>
          <w:i/>
          <w:color w:val="000000" w:themeColor="text1"/>
          <w:szCs w:val="24"/>
        </w:rPr>
        <w:t>.2011.</w:t>
      </w:r>
      <w:r w:rsidRPr="00B557E8">
        <w:rPr>
          <w:rFonts w:eastAsia="EUAlbertina-Bold-Identity-H"/>
          <w:i/>
          <w:color w:val="000000" w:themeColor="text1"/>
          <w:szCs w:val="24"/>
        </w:rPr>
        <w:t>”</w:t>
      </w:r>
      <w:r w:rsidRPr="00B557E8">
        <w:rPr>
          <w:rFonts w:eastAsia="EUAlbertina-Bold-Identity-H"/>
          <w:noProof/>
          <w:color w:val="000000" w:themeColor="text1"/>
          <w:szCs w:val="24"/>
          <w:lang w:eastAsia="lv-LV"/>
        </w:rPr>
        <w:tab/>
      </w:r>
    </w:p>
    <w:p w:rsidR="001E53C0" w:rsidRPr="00B557E8" w:rsidRDefault="00FC0350" w:rsidP="00B557E8">
      <w:pPr>
        <w:spacing w:before="120" w:after="120" w:line="276" w:lineRule="auto"/>
        <w:rPr>
          <w:color w:val="000000" w:themeColor="text1"/>
          <w:szCs w:val="24"/>
          <w:highlight w:val="yellow"/>
        </w:rPr>
      </w:pPr>
      <w:r w:rsidRPr="00B557E8">
        <w:rPr>
          <w:noProof/>
          <w:color w:val="000000" w:themeColor="text1"/>
          <w:szCs w:val="24"/>
          <w:lang w:eastAsia="lv-LV"/>
        </w:rPr>
        <w:drawing>
          <wp:inline distT="0" distB="0" distL="0" distR="0" wp14:anchorId="3B8AC237" wp14:editId="55498CF3">
            <wp:extent cx="5947257" cy="184343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E2147" w:rsidRPr="00B557E8" w:rsidRDefault="00EE2147" w:rsidP="00B557E8">
      <w:pPr>
        <w:spacing w:before="120" w:after="120" w:line="276" w:lineRule="auto"/>
        <w:rPr>
          <w:b/>
          <w:bCs/>
          <w:color w:val="000000" w:themeColor="text1"/>
          <w:szCs w:val="24"/>
          <w:lang w:eastAsia="lv-LV"/>
        </w:rPr>
      </w:pPr>
      <w:r w:rsidRPr="00B557E8">
        <w:rPr>
          <w:iCs/>
          <w:color w:val="000000" w:themeColor="text1"/>
          <w:szCs w:val="24"/>
        </w:rPr>
        <w:t>2011.gada 8.martā tika apstiprināti atbildīgo ministriju finanšu apguves mērķi, nosakot, ka 2011.gada laikā AI nodrošina maksājumus finansējuma saņēmējiem par ES fondu daļu kopā vismaz 511,5 latu apmērā.</w:t>
      </w:r>
    </w:p>
    <w:p w:rsidR="0083211A" w:rsidRPr="00B557E8" w:rsidRDefault="00EE2147" w:rsidP="00B557E8">
      <w:pPr>
        <w:spacing w:before="120" w:after="120" w:line="276" w:lineRule="auto"/>
        <w:rPr>
          <w:color w:val="000000" w:themeColor="text1"/>
          <w:szCs w:val="24"/>
          <w:lang w:eastAsia="lv-LV"/>
        </w:rPr>
      </w:pPr>
      <w:r w:rsidRPr="00B557E8">
        <w:rPr>
          <w:color w:val="000000" w:themeColor="text1"/>
          <w:szCs w:val="24"/>
          <w:lang w:eastAsia="lv-LV"/>
        </w:rPr>
        <w:t xml:space="preserve">Šie apguves mērķi izriet no 2011.gadā pieejamā budžeta finansējuma  </w:t>
      </w:r>
      <w:r w:rsidR="00432AC7" w:rsidRPr="00B557E8">
        <w:rPr>
          <w:color w:val="000000" w:themeColor="text1"/>
          <w:szCs w:val="24"/>
          <w:lang w:eastAsia="lv-LV"/>
        </w:rPr>
        <w:t>(</w:t>
      </w:r>
      <w:r w:rsidRPr="00B557E8">
        <w:rPr>
          <w:color w:val="000000" w:themeColor="text1"/>
          <w:szCs w:val="24"/>
          <w:lang w:eastAsia="lv-LV"/>
        </w:rPr>
        <w:t xml:space="preserve">~648 </w:t>
      </w:r>
      <w:proofErr w:type="spellStart"/>
      <w:r w:rsidRPr="00B557E8">
        <w:rPr>
          <w:color w:val="000000" w:themeColor="text1"/>
          <w:szCs w:val="24"/>
          <w:lang w:eastAsia="lv-LV"/>
        </w:rPr>
        <w:t>milj</w:t>
      </w:r>
      <w:proofErr w:type="spellEnd"/>
      <w:r w:rsidRPr="00B557E8">
        <w:rPr>
          <w:color w:val="000000" w:themeColor="text1"/>
          <w:szCs w:val="24"/>
          <w:lang w:eastAsia="lv-LV"/>
        </w:rPr>
        <w:t>. latu</w:t>
      </w:r>
      <w:r w:rsidR="00334BA5" w:rsidRPr="00B557E8">
        <w:rPr>
          <w:color w:val="000000" w:themeColor="text1"/>
          <w:szCs w:val="24"/>
          <w:lang w:eastAsia="lv-LV"/>
        </w:rPr>
        <w:t xml:space="preserve"> apm</w:t>
      </w:r>
      <w:r w:rsidR="006C39CA" w:rsidRPr="00B557E8">
        <w:rPr>
          <w:color w:val="000000" w:themeColor="text1"/>
          <w:szCs w:val="24"/>
          <w:lang w:eastAsia="lv-LV"/>
        </w:rPr>
        <w:t>ērā</w:t>
      </w:r>
      <w:r w:rsidR="00432AC7" w:rsidRPr="00B557E8">
        <w:rPr>
          <w:color w:val="000000" w:themeColor="text1"/>
          <w:szCs w:val="24"/>
          <w:lang w:eastAsia="lv-LV"/>
        </w:rPr>
        <w:t>)</w:t>
      </w:r>
      <w:r w:rsidRPr="00B557E8">
        <w:rPr>
          <w:color w:val="000000" w:themeColor="text1"/>
          <w:szCs w:val="24"/>
          <w:lang w:eastAsia="lv-LV"/>
        </w:rPr>
        <w:t xml:space="preserve">, kas ļauj pārpildīt Saprašanās memorandā noteiktās saistības 2011.gadam par 23,1% (detalizētu informāciju skatīt </w:t>
      </w:r>
      <w:r w:rsidRPr="00B557E8">
        <w:rPr>
          <w:color w:val="000000" w:themeColor="text1"/>
          <w:szCs w:val="24"/>
          <w:u w:val="single"/>
          <w:lang w:eastAsia="lv-LV"/>
        </w:rPr>
        <w:t>pielikumā Nr.2</w:t>
      </w:r>
      <w:r w:rsidRPr="00B557E8">
        <w:rPr>
          <w:color w:val="000000" w:themeColor="text1"/>
          <w:szCs w:val="24"/>
          <w:lang w:eastAsia="lv-LV"/>
        </w:rPr>
        <w:t xml:space="preserve"> „Finanšu apguves mērķa un prognožu izpilde līdz </w:t>
      </w:r>
      <w:r w:rsidR="00432AC7" w:rsidRPr="00B557E8">
        <w:rPr>
          <w:rFonts w:eastAsia="EUAlbertina-Bold-Identity-H"/>
          <w:color w:val="000000" w:themeColor="text1"/>
          <w:szCs w:val="24"/>
        </w:rPr>
        <w:t>30.09.2011.</w:t>
      </w:r>
      <w:r w:rsidRPr="00B557E8">
        <w:rPr>
          <w:color w:val="000000" w:themeColor="text1"/>
          <w:szCs w:val="24"/>
          <w:lang w:eastAsia="lv-LV"/>
        </w:rPr>
        <w:t>” un</w:t>
      </w:r>
      <w:r w:rsidRPr="00B557E8">
        <w:rPr>
          <w:color w:val="000000" w:themeColor="text1"/>
          <w:szCs w:val="24"/>
          <w:u w:val="single"/>
          <w:lang w:eastAsia="lv-LV"/>
        </w:rPr>
        <w:t xml:space="preserve"> grafikā Nr.2</w:t>
      </w:r>
      <w:r w:rsidRPr="00B557E8">
        <w:rPr>
          <w:color w:val="000000" w:themeColor="text1"/>
          <w:szCs w:val="24"/>
          <w:lang w:eastAsia="lv-LV"/>
        </w:rPr>
        <w:t>).</w:t>
      </w:r>
    </w:p>
    <w:p w:rsidR="00334BA5" w:rsidRPr="00B557E8" w:rsidRDefault="00334BA5"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2011.gada trešajā ceturksnī mērķu izpilde joprojām nav apmierinoša, lielākā daļa ministriju pārskata periodā nav pildījušas savus noteiktos plānus. Trešajā ceturksnī ir apgūti tikai 48,4% no AI 2011.gada plāna. LM ir tuvu sava plāna izpildei, </w:t>
      </w:r>
      <w:proofErr w:type="spellStart"/>
      <w:r w:rsidRPr="00B557E8">
        <w:rPr>
          <w:rFonts w:eastAsia="EUAlbertina-Bold-Identity-H"/>
          <w:color w:val="000000" w:themeColor="text1"/>
          <w:szCs w:val="24"/>
          <w:lang w:eastAsia="lv-LV"/>
        </w:rPr>
        <w:t>t.i</w:t>
      </w:r>
      <w:proofErr w:type="spellEnd"/>
      <w:r w:rsidRPr="00B557E8">
        <w:rPr>
          <w:rFonts w:eastAsia="EUAlbertina-Bold-Identity-H"/>
          <w:color w:val="000000" w:themeColor="text1"/>
          <w:szCs w:val="24"/>
          <w:lang w:eastAsia="lv-LV"/>
        </w:rPr>
        <w:t>., 98,1%</w:t>
      </w:r>
      <w:r w:rsidR="006C39CA" w:rsidRPr="00B557E8">
        <w:rPr>
          <w:rFonts w:eastAsia="EUAlbertina-Bold-Identity-H"/>
          <w:color w:val="000000" w:themeColor="text1"/>
          <w:szCs w:val="24"/>
          <w:lang w:eastAsia="lv-LV"/>
        </w:rPr>
        <w:t>, s</w:t>
      </w:r>
      <w:r w:rsidRPr="00B557E8">
        <w:rPr>
          <w:rFonts w:eastAsia="EUAlbertina-Bold-Identity-H"/>
          <w:color w:val="000000" w:themeColor="text1"/>
          <w:szCs w:val="24"/>
          <w:lang w:eastAsia="lv-LV"/>
        </w:rPr>
        <w:t xml:space="preserve">avukārt SM ir izpildījusi tikai 27,2% no sava plāna. </w:t>
      </w:r>
    </w:p>
    <w:p w:rsidR="00334BA5" w:rsidRPr="00B557E8" w:rsidRDefault="00334BA5" w:rsidP="00B557E8">
      <w:pPr>
        <w:spacing w:before="120" w:after="120" w:line="276" w:lineRule="auto"/>
        <w:rPr>
          <w:color w:val="000000" w:themeColor="text1"/>
          <w:szCs w:val="24"/>
        </w:rPr>
      </w:pPr>
      <w:r w:rsidRPr="00B557E8">
        <w:rPr>
          <w:rFonts w:eastAsia="EUAlbertina-Bold-Identity-H"/>
          <w:color w:val="000000" w:themeColor="text1"/>
          <w:szCs w:val="24"/>
          <w:lang w:eastAsia="lv-LV"/>
        </w:rPr>
        <w:t xml:space="preserve">Pēc jaunākajām prognozēm ir indikācija, ka atsevišķas AI neizpildīs 8.marta </w:t>
      </w:r>
      <w:proofErr w:type="spellStart"/>
      <w:r w:rsidRPr="00B557E8">
        <w:rPr>
          <w:rFonts w:eastAsia="EUAlbertina-Bold-Identity-H"/>
          <w:color w:val="000000" w:themeColor="text1"/>
          <w:szCs w:val="24"/>
          <w:lang w:eastAsia="lv-LV"/>
        </w:rPr>
        <w:t>protokollēmumā</w:t>
      </w:r>
      <w:proofErr w:type="spellEnd"/>
      <w:r w:rsidRPr="00B557E8">
        <w:rPr>
          <w:rFonts w:eastAsia="EUAlbertina-Bold-Identity-H"/>
          <w:color w:val="000000" w:themeColor="text1"/>
          <w:szCs w:val="24"/>
          <w:lang w:eastAsia="lv-LV"/>
        </w:rPr>
        <w:t xml:space="preserve"> apstiprinātos mērķus. Šī gada 23.septembrī tika apzinātas AI un SI ar lūgumu </w:t>
      </w:r>
      <w:r w:rsidRPr="00B557E8">
        <w:rPr>
          <w:color w:val="000000" w:themeColor="text1"/>
          <w:szCs w:val="24"/>
        </w:rPr>
        <w:t>sniegt FM informāciju par plānotajiem maksājumiem finansējuma saņēmējiem līdz gada beigām.</w:t>
      </w:r>
    </w:p>
    <w:p w:rsidR="00334BA5" w:rsidRPr="00B557E8" w:rsidRDefault="00334BA5" w:rsidP="00B557E8">
      <w:pPr>
        <w:spacing w:before="120" w:after="120" w:line="276" w:lineRule="auto"/>
        <w:rPr>
          <w:color w:val="000000" w:themeColor="text1"/>
          <w:szCs w:val="24"/>
        </w:rPr>
      </w:pPr>
      <w:r w:rsidRPr="00B557E8">
        <w:rPr>
          <w:rFonts w:eastAsia="EUAlbertina-Bold-Identity-H"/>
          <w:color w:val="000000" w:themeColor="text1"/>
          <w:szCs w:val="24"/>
          <w:lang w:eastAsia="lv-LV"/>
        </w:rPr>
        <w:t xml:space="preserve">Vērtējot AI un SI pieteiktās AI plāna izmaiņas, kopumā ir vērojams mērķa izpildes samazinājums par </w:t>
      </w:r>
      <w:r w:rsidR="00470BF9" w:rsidRPr="00B557E8">
        <w:rPr>
          <w:rFonts w:eastAsia="EUAlbertina-Bold-Identity-H"/>
          <w:color w:val="000000" w:themeColor="text1"/>
          <w:szCs w:val="24"/>
          <w:lang w:eastAsia="lv-LV"/>
        </w:rPr>
        <w:t>22</w:t>
      </w:r>
      <w:r w:rsidR="0056254C" w:rsidRPr="00B557E8">
        <w:rPr>
          <w:rFonts w:eastAsia="EUAlbertina-Bold-Identity-H"/>
          <w:color w:val="000000" w:themeColor="text1"/>
          <w:szCs w:val="24"/>
          <w:lang w:eastAsia="lv-LV"/>
        </w:rPr>
        <w:t>,</w:t>
      </w:r>
      <w:r w:rsidR="00470BF9" w:rsidRPr="00B557E8">
        <w:rPr>
          <w:rFonts w:eastAsia="EUAlbertina-Bold-Identity-H"/>
          <w:color w:val="000000" w:themeColor="text1"/>
          <w:szCs w:val="24"/>
          <w:lang w:eastAsia="lv-LV"/>
        </w:rPr>
        <w:t>3</w:t>
      </w:r>
      <w:r w:rsidRPr="00B557E8">
        <w:rPr>
          <w:rFonts w:eastAsia="EUAlbertina-Bold-Identity-H"/>
          <w:color w:val="000000" w:themeColor="text1"/>
          <w:szCs w:val="24"/>
          <w:lang w:eastAsia="lv-LV"/>
        </w:rPr>
        <w:t xml:space="preserve">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latu (</w:t>
      </w:r>
      <w:r w:rsidR="00470BF9" w:rsidRPr="00B557E8">
        <w:rPr>
          <w:rFonts w:eastAsia="EUAlbertina-Bold-Identity-H"/>
          <w:color w:val="000000" w:themeColor="text1"/>
          <w:szCs w:val="24"/>
          <w:lang w:eastAsia="lv-LV"/>
        </w:rPr>
        <w:t>4.4</w:t>
      </w:r>
      <w:r w:rsidRPr="00B557E8">
        <w:rPr>
          <w:rFonts w:eastAsia="EUAlbertina-Bold-Identity-H"/>
          <w:color w:val="000000" w:themeColor="text1"/>
          <w:szCs w:val="24"/>
          <w:lang w:eastAsia="lv-LV"/>
        </w:rPr>
        <w:t xml:space="preserve">% no AI apstiprinātā mērķa 2011.gadam).  </w:t>
      </w:r>
      <w:r w:rsidRPr="00B557E8">
        <w:rPr>
          <w:color w:val="000000" w:themeColor="text1"/>
          <w:szCs w:val="24"/>
        </w:rPr>
        <w:t xml:space="preserve">LM un VM paredz, ka 2011.gada AI plāns tiks pārsniegts attiecīgi par 7,5 un 1,4 </w:t>
      </w:r>
      <w:proofErr w:type="spellStart"/>
      <w:r w:rsidRPr="00B557E8">
        <w:rPr>
          <w:color w:val="000000" w:themeColor="text1"/>
          <w:szCs w:val="24"/>
        </w:rPr>
        <w:t>milj</w:t>
      </w:r>
      <w:proofErr w:type="spellEnd"/>
      <w:r w:rsidRPr="00B557E8">
        <w:rPr>
          <w:color w:val="000000" w:themeColor="text1"/>
          <w:szCs w:val="24"/>
        </w:rPr>
        <w:t xml:space="preserve">. latu. Savukārt </w:t>
      </w:r>
      <w:r w:rsidRPr="00B557E8">
        <w:rPr>
          <w:color w:val="000000" w:themeColor="text1"/>
          <w:szCs w:val="24"/>
        </w:rPr>
        <w:lastRenderedPageBreak/>
        <w:t xml:space="preserve">VARAM par 2,4 </w:t>
      </w:r>
      <w:proofErr w:type="spellStart"/>
      <w:r w:rsidRPr="00B557E8">
        <w:rPr>
          <w:color w:val="000000" w:themeColor="text1"/>
          <w:szCs w:val="24"/>
        </w:rPr>
        <w:t>milj</w:t>
      </w:r>
      <w:proofErr w:type="spellEnd"/>
      <w:r w:rsidRPr="00B557E8">
        <w:rPr>
          <w:color w:val="000000" w:themeColor="text1"/>
          <w:szCs w:val="24"/>
        </w:rPr>
        <w:t xml:space="preserve">. latu, IZM par 5,7 </w:t>
      </w:r>
      <w:proofErr w:type="spellStart"/>
      <w:r w:rsidRPr="00B557E8">
        <w:rPr>
          <w:color w:val="000000" w:themeColor="text1"/>
          <w:szCs w:val="24"/>
        </w:rPr>
        <w:t>milj</w:t>
      </w:r>
      <w:proofErr w:type="spellEnd"/>
      <w:r w:rsidRPr="00B557E8">
        <w:rPr>
          <w:color w:val="000000" w:themeColor="text1"/>
          <w:szCs w:val="24"/>
        </w:rPr>
        <w:t xml:space="preserve">. latu un EM par 9,2 </w:t>
      </w:r>
      <w:proofErr w:type="spellStart"/>
      <w:r w:rsidRPr="00B557E8">
        <w:rPr>
          <w:color w:val="000000" w:themeColor="text1"/>
          <w:szCs w:val="24"/>
        </w:rPr>
        <w:t>milj</w:t>
      </w:r>
      <w:proofErr w:type="spellEnd"/>
      <w:r w:rsidRPr="00B557E8">
        <w:rPr>
          <w:color w:val="000000" w:themeColor="text1"/>
          <w:szCs w:val="24"/>
        </w:rPr>
        <w:t xml:space="preserve">. latu paredz plānoto maksājumu finansējuma saņēmējiem neizpildi. </w:t>
      </w:r>
    </w:p>
    <w:p w:rsidR="001E53C0" w:rsidRPr="00B557E8" w:rsidRDefault="001E53C0" w:rsidP="00B557E8">
      <w:pPr>
        <w:spacing w:before="120" w:after="120" w:line="276" w:lineRule="auto"/>
        <w:rPr>
          <w:i/>
          <w:color w:val="000000" w:themeColor="text1"/>
          <w:szCs w:val="24"/>
          <w:lang w:eastAsia="lv-LV"/>
        </w:rPr>
      </w:pPr>
      <w:r w:rsidRPr="00B557E8">
        <w:rPr>
          <w:color w:val="000000" w:themeColor="text1"/>
          <w:szCs w:val="24"/>
          <w:lang w:eastAsia="lv-LV"/>
        </w:rPr>
        <w:t xml:space="preserve">Grafiks Nr.2 </w:t>
      </w:r>
      <w:r w:rsidRPr="00B557E8">
        <w:rPr>
          <w:i/>
          <w:color w:val="000000" w:themeColor="text1"/>
          <w:szCs w:val="24"/>
          <w:lang w:eastAsia="lv-LV"/>
        </w:rPr>
        <w:t xml:space="preserve">„Atbildīgo iestāžu apguves mērķis 2011.gadam salīdzinājumā ar Saprašanās </w:t>
      </w:r>
      <w:r w:rsidR="00C7715C" w:rsidRPr="00B557E8">
        <w:rPr>
          <w:i/>
          <w:color w:val="000000" w:themeColor="text1"/>
          <w:szCs w:val="24"/>
          <w:lang w:eastAsia="lv-LV"/>
        </w:rPr>
        <w:t>m</w:t>
      </w:r>
      <w:r w:rsidRPr="00B557E8">
        <w:rPr>
          <w:i/>
          <w:color w:val="000000" w:themeColor="text1"/>
          <w:szCs w:val="24"/>
          <w:lang w:eastAsia="lv-LV"/>
        </w:rPr>
        <w:t>emorandā noteiktām saistībām</w:t>
      </w:r>
      <w:r w:rsidR="003466DC" w:rsidRPr="00B557E8">
        <w:rPr>
          <w:i/>
          <w:color w:val="000000" w:themeColor="text1"/>
          <w:szCs w:val="24"/>
          <w:lang w:eastAsia="lv-LV"/>
        </w:rPr>
        <w:t xml:space="preserve"> mēnešu griezumā</w:t>
      </w:r>
      <w:r w:rsidRPr="00B557E8">
        <w:rPr>
          <w:i/>
          <w:color w:val="000000" w:themeColor="text1"/>
          <w:szCs w:val="24"/>
          <w:lang w:eastAsia="lv-LV"/>
        </w:rPr>
        <w:t>;</w:t>
      </w:r>
      <w:r w:rsidR="005720BF" w:rsidRPr="00B557E8">
        <w:rPr>
          <w:i/>
          <w:color w:val="000000" w:themeColor="text1"/>
          <w:szCs w:val="24"/>
          <w:lang w:eastAsia="lv-LV"/>
        </w:rPr>
        <w:t xml:space="preserve"> ES fondu griezumā,</w:t>
      </w:r>
      <w:r w:rsidRPr="00B557E8">
        <w:rPr>
          <w:i/>
          <w:color w:val="000000" w:themeColor="text1"/>
          <w:szCs w:val="24"/>
          <w:lang w:eastAsia="lv-LV"/>
        </w:rPr>
        <w:t xml:space="preserve"> </w:t>
      </w:r>
      <w:proofErr w:type="spellStart"/>
      <w:r w:rsidRPr="00B557E8">
        <w:rPr>
          <w:i/>
          <w:color w:val="000000" w:themeColor="text1"/>
          <w:szCs w:val="24"/>
          <w:lang w:eastAsia="lv-LV"/>
        </w:rPr>
        <w:t>milj</w:t>
      </w:r>
      <w:proofErr w:type="spellEnd"/>
      <w:r w:rsidRPr="00B557E8">
        <w:rPr>
          <w:i/>
          <w:color w:val="000000" w:themeColor="text1"/>
          <w:szCs w:val="24"/>
          <w:lang w:eastAsia="lv-LV"/>
        </w:rPr>
        <w:t>. LVL</w:t>
      </w:r>
      <w:r w:rsidR="00BD44F1" w:rsidRPr="00B557E8">
        <w:rPr>
          <w:i/>
          <w:color w:val="000000" w:themeColor="text1"/>
          <w:szCs w:val="24"/>
          <w:lang w:eastAsia="lv-LV"/>
        </w:rPr>
        <w:t>.</w:t>
      </w:r>
      <w:r w:rsidRPr="00B557E8">
        <w:rPr>
          <w:i/>
          <w:color w:val="000000" w:themeColor="text1"/>
          <w:szCs w:val="24"/>
          <w:lang w:eastAsia="lv-LV"/>
        </w:rPr>
        <w:t>”</w:t>
      </w:r>
    </w:p>
    <w:p w:rsidR="001E53C0" w:rsidRPr="00B557E8" w:rsidRDefault="00656A97" w:rsidP="00B557E8">
      <w:pPr>
        <w:spacing w:before="120" w:after="120" w:line="276" w:lineRule="auto"/>
        <w:rPr>
          <w:color w:val="000000" w:themeColor="text1"/>
          <w:szCs w:val="24"/>
          <w:highlight w:val="yellow"/>
          <w:lang w:eastAsia="lv-LV"/>
        </w:rPr>
      </w:pPr>
      <w:r w:rsidRPr="00B557E8">
        <w:rPr>
          <w:noProof/>
          <w:color w:val="000000" w:themeColor="text1"/>
          <w:szCs w:val="24"/>
          <w:lang w:eastAsia="lv-LV"/>
        </w:rPr>
        <w:drawing>
          <wp:inline distT="0" distB="0" distL="0" distR="0" wp14:anchorId="01B11F5F" wp14:editId="030D31DE">
            <wp:extent cx="5486400" cy="2337759"/>
            <wp:effectExtent l="0" t="0" r="0"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50C23" w:rsidRPr="00B557E8" w:rsidRDefault="00E50C23" w:rsidP="00B557E8">
      <w:pPr>
        <w:spacing w:before="120" w:after="120" w:line="276" w:lineRule="auto"/>
        <w:rPr>
          <w:color w:val="000000" w:themeColor="text1"/>
          <w:szCs w:val="24"/>
          <w:lang w:eastAsia="lv-LV"/>
        </w:rPr>
      </w:pPr>
      <w:bookmarkStart w:id="16" w:name="_Toc276049975"/>
      <w:r w:rsidRPr="00B557E8">
        <w:rPr>
          <w:color w:val="000000" w:themeColor="text1"/>
          <w:szCs w:val="24"/>
          <w:lang w:eastAsia="lv-LV"/>
        </w:rPr>
        <w:t xml:space="preserve">Grafiks Nr.3 </w:t>
      </w:r>
      <w:r w:rsidRPr="00B557E8">
        <w:rPr>
          <w:i/>
          <w:color w:val="000000" w:themeColor="text1"/>
          <w:szCs w:val="24"/>
          <w:lang w:eastAsia="lv-LV"/>
        </w:rPr>
        <w:t>„Atbildīgo iestāžu 2011.gada apstiprinātie mērķ</w:t>
      </w:r>
      <w:r w:rsidR="00432AC7" w:rsidRPr="00B557E8">
        <w:rPr>
          <w:i/>
          <w:color w:val="000000" w:themeColor="text1"/>
          <w:szCs w:val="24"/>
          <w:lang w:eastAsia="lv-LV"/>
        </w:rPr>
        <w:t>i, plānotā apguve līdz 31.12.20</w:t>
      </w:r>
      <w:r w:rsidRPr="00B557E8">
        <w:rPr>
          <w:i/>
          <w:color w:val="000000" w:themeColor="text1"/>
          <w:szCs w:val="24"/>
          <w:lang w:eastAsia="lv-LV"/>
        </w:rPr>
        <w:t xml:space="preserve">11. un izpilde </w:t>
      </w:r>
      <w:r w:rsidRPr="00B557E8">
        <w:rPr>
          <w:rFonts w:eastAsia="EUAlbertina-Bold-Identity-H"/>
          <w:i/>
          <w:color w:val="000000" w:themeColor="text1"/>
          <w:szCs w:val="24"/>
        </w:rPr>
        <w:t xml:space="preserve">līdz 30.09.2011.; </w:t>
      </w:r>
      <w:proofErr w:type="spellStart"/>
      <w:r w:rsidRPr="00B557E8">
        <w:rPr>
          <w:i/>
          <w:color w:val="000000" w:themeColor="text1"/>
          <w:szCs w:val="24"/>
          <w:lang w:eastAsia="lv-LV"/>
        </w:rPr>
        <w:t>milj</w:t>
      </w:r>
      <w:proofErr w:type="spellEnd"/>
      <w:r w:rsidRPr="00B557E8">
        <w:rPr>
          <w:i/>
          <w:color w:val="000000" w:themeColor="text1"/>
          <w:szCs w:val="24"/>
          <w:lang w:eastAsia="lv-LV"/>
        </w:rPr>
        <w:t>. LVL; % no AI apstiprinātiem mērķiem.</w:t>
      </w:r>
      <w:r w:rsidRPr="00B557E8">
        <w:rPr>
          <w:rFonts w:eastAsia="EUAlbertina-Bold-Identity-H"/>
          <w:i/>
          <w:color w:val="000000" w:themeColor="text1"/>
          <w:szCs w:val="24"/>
        </w:rPr>
        <w:t xml:space="preserve">” </w:t>
      </w:r>
      <w:r w:rsidRPr="00B557E8">
        <w:rPr>
          <w:i/>
          <w:color w:val="000000" w:themeColor="text1"/>
          <w:szCs w:val="24"/>
          <w:lang w:eastAsia="lv-LV"/>
        </w:rPr>
        <w:t xml:space="preserve"> </w:t>
      </w:r>
    </w:p>
    <w:p w:rsidR="00E50C23" w:rsidRPr="00B557E8" w:rsidRDefault="00950486" w:rsidP="00B557E8">
      <w:pPr>
        <w:spacing w:before="120" w:after="120" w:line="276" w:lineRule="auto"/>
        <w:rPr>
          <w:color w:val="000000" w:themeColor="text1"/>
          <w:szCs w:val="24"/>
          <w:highlight w:val="yellow"/>
        </w:rPr>
      </w:pPr>
      <w:r w:rsidRPr="00B557E8">
        <w:rPr>
          <w:noProof/>
          <w:color w:val="000000" w:themeColor="text1"/>
          <w:szCs w:val="24"/>
          <w:lang w:eastAsia="lv-LV"/>
        </w:rPr>
        <w:drawing>
          <wp:inline distT="0" distB="0" distL="0" distR="0" wp14:anchorId="2C3EC787" wp14:editId="7F794127">
            <wp:extent cx="5788324" cy="4925683"/>
            <wp:effectExtent l="0" t="0" r="3175" b="889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50C23" w:rsidRPr="00B557E8" w:rsidRDefault="00E50C23" w:rsidP="00B557E8">
      <w:pPr>
        <w:spacing w:before="120" w:after="120" w:line="276" w:lineRule="auto"/>
        <w:rPr>
          <w:color w:val="000000" w:themeColor="text1"/>
          <w:szCs w:val="24"/>
        </w:rPr>
      </w:pPr>
      <w:r w:rsidRPr="00B557E8">
        <w:rPr>
          <w:rFonts w:eastAsia="EUAlbertina-Bold-Identity-H"/>
          <w:color w:val="000000" w:themeColor="text1"/>
          <w:szCs w:val="24"/>
          <w:lang w:eastAsia="lv-LV"/>
        </w:rPr>
        <w:lastRenderedPageBreak/>
        <w:t xml:space="preserve">Analizējot fondu griezumā, secināms, ka vienīgi ERAF ir plānojams mērķa samazinājums par </w:t>
      </w:r>
      <w:r w:rsidR="00B75318" w:rsidRPr="00B557E8">
        <w:rPr>
          <w:rFonts w:eastAsia="EUAlbertina-Bold-Identity-H"/>
          <w:color w:val="000000" w:themeColor="text1"/>
          <w:szCs w:val="24"/>
          <w:lang w:eastAsia="lv-LV"/>
        </w:rPr>
        <w:t>16</w:t>
      </w:r>
      <w:r w:rsidR="0056254C" w:rsidRPr="00B557E8">
        <w:rPr>
          <w:rFonts w:eastAsia="EUAlbertina-Bold-Identity-H"/>
          <w:color w:val="000000" w:themeColor="text1"/>
          <w:szCs w:val="24"/>
          <w:lang w:eastAsia="lv-LV"/>
        </w:rPr>
        <w:t>,</w:t>
      </w:r>
      <w:r w:rsidR="00B75318" w:rsidRPr="00B557E8">
        <w:rPr>
          <w:rFonts w:eastAsia="EUAlbertina-Bold-Identity-H"/>
          <w:color w:val="000000" w:themeColor="text1"/>
          <w:szCs w:val="24"/>
          <w:lang w:eastAsia="lv-LV"/>
        </w:rPr>
        <w:t>2</w:t>
      </w:r>
      <w:r w:rsidRPr="00B557E8">
        <w:rPr>
          <w:rFonts w:eastAsia="EUAlbertina-Bold-Identity-H"/>
          <w:color w:val="000000" w:themeColor="text1"/>
          <w:szCs w:val="24"/>
          <w:lang w:eastAsia="lv-LV"/>
        </w:rPr>
        <w:t xml:space="preserve">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latu</w:t>
      </w:r>
      <w:r w:rsidR="00B75318" w:rsidRPr="00B557E8">
        <w:rPr>
          <w:rFonts w:eastAsia="EUAlbertina-Bold-Identity-H"/>
          <w:color w:val="000000" w:themeColor="text1"/>
          <w:szCs w:val="24"/>
          <w:lang w:eastAsia="lv-LV"/>
        </w:rPr>
        <w:t xml:space="preserve"> un KF – 13</w:t>
      </w:r>
      <w:r w:rsidR="0056254C" w:rsidRPr="00B557E8">
        <w:rPr>
          <w:rFonts w:eastAsia="EUAlbertina-Bold-Identity-H"/>
          <w:color w:val="000000" w:themeColor="text1"/>
          <w:szCs w:val="24"/>
          <w:lang w:eastAsia="lv-LV"/>
        </w:rPr>
        <w:t>,</w:t>
      </w:r>
      <w:r w:rsidR="00B75318" w:rsidRPr="00B557E8">
        <w:rPr>
          <w:rFonts w:eastAsia="EUAlbertina-Bold-Identity-H"/>
          <w:color w:val="000000" w:themeColor="text1"/>
          <w:szCs w:val="24"/>
          <w:lang w:eastAsia="lv-LV"/>
        </w:rPr>
        <w:t xml:space="preserve">9 </w:t>
      </w:r>
      <w:proofErr w:type="spellStart"/>
      <w:r w:rsidR="00B75318" w:rsidRPr="00B557E8">
        <w:rPr>
          <w:rFonts w:eastAsia="EUAlbertina-Bold-Identity-H"/>
          <w:color w:val="000000" w:themeColor="text1"/>
          <w:szCs w:val="24"/>
          <w:lang w:eastAsia="lv-LV"/>
        </w:rPr>
        <w:t>milj</w:t>
      </w:r>
      <w:proofErr w:type="spellEnd"/>
      <w:r w:rsidR="00B75318" w:rsidRPr="00B557E8">
        <w:rPr>
          <w:rFonts w:eastAsia="EUAlbertina-Bold-Identity-H"/>
          <w:color w:val="000000" w:themeColor="text1"/>
          <w:szCs w:val="24"/>
          <w:lang w:eastAsia="lv-LV"/>
        </w:rPr>
        <w:t>. latu</w:t>
      </w:r>
      <w:r w:rsidRPr="00B557E8">
        <w:rPr>
          <w:rFonts w:eastAsia="EUAlbertina-Bold-Identity-H"/>
          <w:color w:val="000000" w:themeColor="text1"/>
          <w:szCs w:val="24"/>
          <w:lang w:eastAsia="lv-LV"/>
        </w:rPr>
        <w:t xml:space="preserve">, savukārt ESF palielina plānu attiecīgi par 7,8 un 2,8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w:t>
      </w:r>
      <w:r w:rsidR="00432AC7" w:rsidRPr="00B557E8">
        <w:rPr>
          <w:rFonts w:eastAsia="EUAlbertina-Bold-Identity-H"/>
          <w:color w:val="000000" w:themeColor="text1"/>
          <w:szCs w:val="24"/>
          <w:lang w:eastAsia="lv-LV"/>
        </w:rPr>
        <w:t xml:space="preserve"> </w:t>
      </w:r>
      <w:r w:rsidRPr="00B557E8">
        <w:rPr>
          <w:rFonts w:eastAsia="EUAlbertina-Bold-Identity-H"/>
          <w:color w:val="000000" w:themeColor="text1"/>
          <w:szCs w:val="24"/>
          <w:lang w:eastAsia="lv-LV"/>
        </w:rPr>
        <w:t>latu. Lai arī ministriju pieteiktās izmaiņas negatīvi ietekmē AI apguves mērķu sasniegšanu, Saprašanās memorandā noteiktās saistības vēl aizvien plānots izpildīt pilnībā.</w:t>
      </w:r>
    </w:p>
    <w:p w:rsidR="00E50C23" w:rsidRPr="00B557E8" w:rsidRDefault="00E50C23" w:rsidP="00B557E8">
      <w:pPr>
        <w:spacing w:before="120" w:after="120" w:line="276" w:lineRule="auto"/>
        <w:rPr>
          <w:color w:val="000000" w:themeColor="text1"/>
          <w:szCs w:val="24"/>
        </w:rPr>
      </w:pPr>
      <w:r w:rsidRPr="00B557E8">
        <w:rPr>
          <w:rFonts w:eastAsia="EUAlbertina-Bold-Identity-H"/>
          <w:color w:val="000000" w:themeColor="text1"/>
          <w:szCs w:val="24"/>
          <w:lang w:eastAsia="lv-LV"/>
        </w:rPr>
        <w:t xml:space="preserve">Informācija par AI apstiprinātiem 2011.gada mērķiem, precizētajām prognozēm un to izpildi līdz </w:t>
      </w:r>
      <w:r w:rsidR="00432AC7" w:rsidRPr="00B557E8">
        <w:rPr>
          <w:rFonts w:eastAsia="EUAlbertina-Bold-Identity-H"/>
          <w:color w:val="000000" w:themeColor="text1"/>
          <w:szCs w:val="24"/>
          <w:lang w:eastAsia="lv-LV"/>
        </w:rPr>
        <w:t>2011.gada 30.septembrim</w:t>
      </w:r>
      <w:r w:rsidRPr="00B557E8">
        <w:rPr>
          <w:rFonts w:eastAsia="EUAlbertina-Bold-Identity-H"/>
          <w:color w:val="000000" w:themeColor="text1"/>
          <w:szCs w:val="24"/>
          <w:lang w:eastAsia="lv-LV"/>
        </w:rPr>
        <w:t xml:space="preserve"> sniegta </w:t>
      </w:r>
      <w:r w:rsidRPr="00B557E8">
        <w:rPr>
          <w:rFonts w:eastAsia="EUAlbertina-Bold-Identity-H"/>
          <w:color w:val="000000" w:themeColor="text1"/>
          <w:szCs w:val="24"/>
          <w:u w:val="single"/>
          <w:lang w:eastAsia="lv-LV"/>
        </w:rPr>
        <w:t>grafikā Nr.3.</w:t>
      </w:r>
    </w:p>
    <w:p w:rsidR="00E50C23" w:rsidRPr="00B557E8" w:rsidRDefault="00E50C23"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Sīkāka apguves analīze un mērķu neizpildes iemesli sniegti 1.4. sadaļā. „Publisko resursu ieguldījums un sasniegtie rezultāti”.</w:t>
      </w:r>
    </w:p>
    <w:p w:rsidR="00E50C23" w:rsidRPr="00B557E8" w:rsidRDefault="00E50C23" w:rsidP="00B557E8">
      <w:pPr>
        <w:spacing w:before="120" w:after="120" w:line="276" w:lineRule="auto"/>
        <w:rPr>
          <w:b/>
          <w:iCs/>
          <w:color w:val="000000" w:themeColor="text1"/>
          <w:szCs w:val="24"/>
        </w:rPr>
      </w:pPr>
      <w:r w:rsidRPr="00B557E8">
        <w:rPr>
          <w:b/>
          <w:iCs/>
          <w:color w:val="000000" w:themeColor="text1"/>
          <w:szCs w:val="24"/>
        </w:rPr>
        <w:t>1.3.2. ES fondu valsts budžeta apguve</w:t>
      </w:r>
    </w:p>
    <w:p w:rsidR="004D604C" w:rsidRPr="00EF688C" w:rsidRDefault="004D604C" w:rsidP="004D604C">
      <w:pPr>
        <w:spacing w:before="120" w:after="120" w:line="276" w:lineRule="auto"/>
        <w:rPr>
          <w:rFonts w:eastAsia="EUAlbertina-Bold-Identity-H"/>
          <w:color w:val="000000" w:themeColor="text1"/>
          <w:szCs w:val="24"/>
          <w:lang w:eastAsia="lv-LV"/>
        </w:rPr>
      </w:pPr>
      <w:r w:rsidRPr="00EF688C">
        <w:rPr>
          <w:rFonts w:eastAsia="EUAlbertina-Bold-Identity-H"/>
          <w:color w:val="000000" w:themeColor="text1"/>
          <w:szCs w:val="24"/>
          <w:lang w:eastAsia="lv-LV"/>
        </w:rPr>
        <w:t xml:space="preserve">Saskaņā ar MK 2011.gada 23.augusta protokola Nr.49 25.§ 7.punktu, ir apkopota informācija par prognozētajiem valsts budžeta līdzekļu atlikumiem. Uz 2011.gada 6.oktobri 80.00.00 programmu kopējais atlikums ir 61,0 </w:t>
      </w:r>
      <w:proofErr w:type="spellStart"/>
      <w:r w:rsidRPr="00EF688C">
        <w:rPr>
          <w:rFonts w:eastAsia="EUAlbertina-Bold-Identity-H"/>
          <w:color w:val="000000" w:themeColor="text1"/>
          <w:szCs w:val="24"/>
          <w:lang w:eastAsia="lv-LV"/>
        </w:rPr>
        <w:t>milj</w:t>
      </w:r>
      <w:proofErr w:type="spellEnd"/>
      <w:r w:rsidRPr="00EF688C">
        <w:rPr>
          <w:rFonts w:eastAsia="EUAlbertina-Bold-Identity-H"/>
          <w:color w:val="000000" w:themeColor="text1"/>
          <w:szCs w:val="24"/>
          <w:lang w:eastAsia="lv-LV"/>
        </w:rPr>
        <w:t>. latu:</w:t>
      </w:r>
    </w:p>
    <w:p w:rsidR="004D604C" w:rsidRPr="00EF688C" w:rsidRDefault="004D604C" w:rsidP="004D604C">
      <w:pPr>
        <w:pStyle w:val="ListParagraph"/>
        <w:numPr>
          <w:ilvl w:val="0"/>
          <w:numId w:val="96"/>
        </w:numPr>
        <w:spacing w:before="120" w:after="120"/>
        <w:jc w:val="both"/>
        <w:rPr>
          <w:rFonts w:ascii="Times New Roman" w:eastAsia="EUAlbertina-Bold-Identity-H" w:hAnsi="Times New Roman"/>
          <w:color w:val="000000" w:themeColor="text1"/>
          <w:sz w:val="24"/>
          <w:szCs w:val="24"/>
          <w:lang w:eastAsia="lv-LV"/>
        </w:rPr>
      </w:pPr>
      <w:r w:rsidRPr="00EF688C">
        <w:rPr>
          <w:rFonts w:ascii="Times New Roman" w:eastAsia="EUAlbertina-Bold-Identity-H" w:hAnsi="Times New Roman"/>
          <w:color w:val="000000" w:themeColor="text1"/>
          <w:sz w:val="24"/>
          <w:szCs w:val="24"/>
          <w:lang w:eastAsia="lv-LV"/>
        </w:rPr>
        <w:t xml:space="preserve">No tiem ES fondiem apmēram 26 </w:t>
      </w:r>
      <w:proofErr w:type="spellStart"/>
      <w:r w:rsidRPr="00EF688C">
        <w:rPr>
          <w:rFonts w:ascii="Times New Roman" w:eastAsia="EUAlbertina-Bold-Identity-H" w:hAnsi="Times New Roman"/>
          <w:color w:val="000000" w:themeColor="text1"/>
          <w:sz w:val="24"/>
          <w:szCs w:val="24"/>
          <w:lang w:eastAsia="lv-LV"/>
        </w:rPr>
        <w:t>milj</w:t>
      </w:r>
      <w:proofErr w:type="spellEnd"/>
      <w:r w:rsidRPr="00EF688C">
        <w:rPr>
          <w:rFonts w:ascii="Times New Roman" w:eastAsia="EUAlbertina-Bold-Identity-H" w:hAnsi="Times New Roman"/>
          <w:color w:val="000000" w:themeColor="text1"/>
          <w:sz w:val="24"/>
          <w:szCs w:val="24"/>
          <w:lang w:eastAsia="lv-LV"/>
        </w:rPr>
        <w:t xml:space="preserve">. latu (tai skaitā </w:t>
      </w:r>
      <w:proofErr w:type="spellStart"/>
      <w:r w:rsidRPr="00EF688C">
        <w:rPr>
          <w:rFonts w:ascii="Times New Roman" w:eastAsia="EUAlbertina-Bold-Identity-H" w:hAnsi="Times New Roman"/>
          <w:color w:val="000000" w:themeColor="text1"/>
          <w:sz w:val="24"/>
          <w:szCs w:val="24"/>
          <w:lang w:eastAsia="lv-LV"/>
        </w:rPr>
        <w:t>š.g</w:t>
      </w:r>
      <w:proofErr w:type="spellEnd"/>
      <w:r w:rsidRPr="00EF688C">
        <w:rPr>
          <w:rFonts w:ascii="Times New Roman" w:eastAsia="EUAlbertina-Bold-Identity-H" w:hAnsi="Times New Roman"/>
          <w:color w:val="000000" w:themeColor="text1"/>
          <w:sz w:val="24"/>
          <w:szCs w:val="24"/>
          <w:lang w:eastAsia="lv-LV"/>
        </w:rPr>
        <w:t xml:space="preserve">. trešajā ceturksnī uz 80.00.00 programmu pārdalīti ES fondu projektiem plānotie līdzekļi 20,5 </w:t>
      </w:r>
      <w:proofErr w:type="spellStart"/>
      <w:r w:rsidRPr="00EF688C">
        <w:rPr>
          <w:rFonts w:ascii="Times New Roman" w:eastAsia="EUAlbertina-Bold-Identity-H" w:hAnsi="Times New Roman"/>
          <w:color w:val="000000" w:themeColor="text1"/>
          <w:sz w:val="24"/>
          <w:szCs w:val="24"/>
          <w:lang w:eastAsia="lv-LV"/>
        </w:rPr>
        <w:t>milj</w:t>
      </w:r>
      <w:proofErr w:type="spellEnd"/>
      <w:r w:rsidRPr="00EF688C">
        <w:rPr>
          <w:rFonts w:ascii="Times New Roman" w:eastAsia="EUAlbertina-Bold-Identity-H" w:hAnsi="Times New Roman"/>
          <w:color w:val="000000" w:themeColor="text1"/>
          <w:sz w:val="24"/>
          <w:szCs w:val="24"/>
          <w:lang w:eastAsia="lv-LV"/>
        </w:rPr>
        <w:t>. latu apmērā);</w:t>
      </w:r>
    </w:p>
    <w:p w:rsidR="004D604C" w:rsidRPr="004D604C" w:rsidRDefault="004D604C" w:rsidP="004D604C">
      <w:pPr>
        <w:pStyle w:val="ListParagraph"/>
        <w:numPr>
          <w:ilvl w:val="0"/>
          <w:numId w:val="96"/>
        </w:numPr>
        <w:spacing w:before="120" w:after="120"/>
        <w:jc w:val="both"/>
        <w:rPr>
          <w:rFonts w:ascii="Times New Roman" w:eastAsia="EUAlbertina-Bold-Identity-H" w:hAnsi="Times New Roman"/>
          <w:color w:val="000000" w:themeColor="text1"/>
          <w:sz w:val="24"/>
          <w:szCs w:val="24"/>
          <w:lang w:eastAsia="lv-LV"/>
        </w:rPr>
      </w:pPr>
      <w:r w:rsidRPr="00EF688C">
        <w:rPr>
          <w:rFonts w:ascii="Times New Roman" w:eastAsia="EUAlbertina-Bold-Identity-H" w:hAnsi="Times New Roman"/>
          <w:color w:val="000000" w:themeColor="text1"/>
          <w:sz w:val="24"/>
          <w:szCs w:val="24"/>
          <w:lang w:eastAsia="lv-LV"/>
        </w:rPr>
        <w:t xml:space="preserve">Pārējais 80.00.00 </w:t>
      </w:r>
      <w:r w:rsidRPr="004D604C">
        <w:rPr>
          <w:rFonts w:ascii="Times New Roman" w:eastAsia="EUAlbertina-Bold-Identity-H" w:hAnsi="Times New Roman"/>
          <w:color w:val="000000" w:themeColor="text1"/>
          <w:sz w:val="24"/>
          <w:szCs w:val="24"/>
          <w:lang w:eastAsia="lv-LV"/>
        </w:rPr>
        <w:t xml:space="preserve">programmas atlikums 35 </w:t>
      </w:r>
      <w:proofErr w:type="spellStart"/>
      <w:r w:rsidRPr="004D604C">
        <w:rPr>
          <w:rFonts w:ascii="Times New Roman" w:eastAsia="EUAlbertina-Bold-Identity-H" w:hAnsi="Times New Roman"/>
          <w:color w:val="000000" w:themeColor="text1"/>
          <w:sz w:val="24"/>
          <w:szCs w:val="24"/>
          <w:lang w:eastAsia="lv-LV"/>
        </w:rPr>
        <w:t>milj</w:t>
      </w:r>
      <w:proofErr w:type="spellEnd"/>
      <w:r w:rsidRPr="004D604C">
        <w:rPr>
          <w:rFonts w:ascii="Times New Roman" w:eastAsia="EUAlbertina-Bold-Identity-H" w:hAnsi="Times New Roman"/>
          <w:color w:val="000000" w:themeColor="text1"/>
          <w:sz w:val="24"/>
          <w:szCs w:val="24"/>
          <w:lang w:eastAsia="lv-LV"/>
        </w:rPr>
        <w:t xml:space="preserve">. latu apmērā ir neizlietotais finansējums citu ārvalstu finanšu palīdzības ietvaros, </w:t>
      </w:r>
      <w:proofErr w:type="spellStart"/>
      <w:r w:rsidRPr="004D604C">
        <w:rPr>
          <w:rFonts w:ascii="Times New Roman" w:eastAsia="EUAlbertina-Bold-Identity-H" w:hAnsi="Times New Roman"/>
          <w:color w:val="000000" w:themeColor="text1"/>
          <w:sz w:val="24"/>
          <w:szCs w:val="24"/>
          <w:lang w:eastAsia="lv-LV"/>
        </w:rPr>
        <w:t>t.sk</w:t>
      </w:r>
      <w:proofErr w:type="spellEnd"/>
      <w:r w:rsidRPr="004D604C">
        <w:rPr>
          <w:rFonts w:ascii="Times New Roman" w:eastAsia="EUAlbertina-Bold-Identity-H" w:hAnsi="Times New Roman"/>
          <w:color w:val="000000" w:themeColor="text1"/>
          <w:sz w:val="24"/>
          <w:szCs w:val="24"/>
          <w:lang w:eastAsia="lv-LV"/>
        </w:rPr>
        <w:t xml:space="preserve">. Šveices programmai 3,3 </w:t>
      </w:r>
      <w:proofErr w:type="spellStart"/>
      <w:r w:rsidRPr="004D604C">
        <w:rPr>
          <w:rFonts w:ascii="Times New Roman" w:eastAsia="EUAlbertina-Bold-Identity-H" w:hAnsi="Times New Roman"/>
          <w:color w:val="000000" w:themeColor="text1"/>
          <w:sz w:val="24"/>
          <w:szCs w:val="24"/>
          <w:lang w:eastAsia="lv-LV"/>
        </w:rPr>
        <w:t>milj</w:t>
      </w:r>
      <w:proofErr w:type="spellEnd"/>
      <w:r w:rsidRPr="004D604C">
        <w:rPr>
          <w:rFonts w:ascii="Times New Roman" w:eastAsia="EUAlbertina-Bold-Identity-H" w:hAnsi="Times New Roman"/>
          <w:color w:val="000000" w:themeColor="text1"/>
          <w:sz w:val="24"/>
          <w:szCs w:val="24"/>
          <w:lang w:eastAsia="lv-LV"/>
        </w:rPr>
        <w:t xml:space="preserve">. latu un EEZ finanšu instrumenta un Norvēģijas finanšu instrumentu ietvaros 178,6 </w:t>
      </w:r>
      <w:proofErr w:type="spellStart"/>
      <w:r w:rsidRPr="004D604C">
        <w:rPr>
          <w:rFonts w:ascii="Times New Roman" w:eastAsia="EUAlbertina-Bold-Identity-H" w:hAnsi="Times New Roman"/>
          <w:color w:val="000000" w:themeColor="text1"/>
          <w:sz w:val="24"/>
          <w:szCs w:val="24"/>
          <w:lang w:eastAsia="lv-LV"/>
        </w:rPr>
        <w:t>tūkst</w:t>
      </w:r>
      <w:proofErr w:type="spellEnd"/>
      <w:r w:rsidRPr="004D604C">
        <w:rPr>
          <w:rFonts w:ascii="Times New Roman" w:eastAsia="EUAlbertina-Bold-Identity-H" w:hAnsi="Times New Roman"/>
          <w:color w:val="000000" w:themeColor="text1"/>
          <w:sz w:val="24"/>
          <w:szCs w:val="24"/>
          <w:lang w:eastAsia="lv-LV"/>
        </w:rPr>
        <w:t>. latu;</w:t>
      </w:r>
    </w:p>
    <w:p w:rsidR="004D604C" w:rsidRPr="004D604C" w:rsidRDefault="004D604C" w:rsidP="004D604C">
      <w:pPr>
        <w:pStyle w:val="ListParagraph"/>
        <w:numPr>
          <w:ilvl w:val="0"/>
          <w:numId w:val="96"/>
        </w:numPr>
        <w:spacing w:before="120" w:after="120"/>
        <w:jc w:val="both"/>
        <w:rPr>
          <w:rFonts w:ascii="Times New Roman" w:eastAsia="EUAlbertina-Bold-Identity-H" w:hAnsi="Times New Roman"/>
          <w:color w:val="000000" w:themeColor="text1"/>
          <w:sz w:val="24"/>
          <w:szCs w:val="24"/>
          <w:lang w:eastAsia="lv-LV"/>
        </w:rPr>
      </w:pPr>
      <w:r w:rsidRPr="004D604C">
        <w:rPr>
          <w:rFonts w:ascii="Times New Roman" w:eastAsia="EUAlbertina-Bold-Identity-H" w:hAnsi="Times New Roman"/>
          <w:color w:val="000000" w:themeColor="text1"/>
          <w:sz w:val="24"/>
          <w:szCs w:val="24"/>
          <w:lang w:eastAsia="lv-LV"/>
        </w:rPr>
        <w:t xml:space="preserve">Papildus iestādes plāno atdot 36.8 </w:t>
      </w:r>
      <w:proofErr w:type="spellStart"/>
      <w:r w:rsidRPr="004D604C">
        <w:rPr>
          <w:rFonts w:ascii="Times New Roman" w:eastAsia="EUAlbertina-Bold-Identity-H" w:hAnsi="Times New Roman"/>
          <w:color w:val="000000" w:themeColor="text1"/>
          <w:sz w:val="24"/>
          <w:szCs w:val="24"/>
          <w:lang w:eastAsia="lv-LV"/>
        </w:rPr>
        <w:t>milj</w:t>
      </w:r>
      <w:proofErr w:type="spellEnd"/>
      <w:r w:rsidRPr="004D604C">
        <w:rPr>
          <w:rFonts w:ascii="Times New Roman" w:eastAsia="EUAlbertina-Bold-Identity-H" w:hAnsi="Times New Roman"/>
          <w:color w:val="000000" w:themeColor="text1"/>
          <w:sz w:val="24"/>
          <w:szCs w:val="24"/>
          <w:lang w:eastAsia="lv-LV"/>
        </w:rPr>
        <w:t xml:space="preserve">. latu, </w:t>
      </w:r>
      <w:proofErr w:type="spellStart"/>
      <w:r w:rsidRPr="004D604C">
        <w:rPr>
          <w:rFonts w:ascii="Times New Roman" w:eastAsia="EUAlbertina-Bold-Identity-H" w:hAnsi="Times New Roman"/>
          <w:color w:val="000000" w:themeColor="text1"/>
          <w:sz w:val="24"/>
          <w:szCs w:val="24"/>
          <w:lang w:eastAsia="lv-LV"/>
        </w:rPr>
        <w:t>t.sk</w:t>
      </w:r>
      <w:proofErr w:type="spellEnd"/>
      <w:r w:rsidRPr="004D604C">
        <w:rPr>
          <w:rFonts w:ascii="Times New Roman" w:eastAsia="EUAlbertina-Bold-Identity-H" w:hAnsi="Times New Roman"/>
          <w:color w:val="000000" w:themeColor="text1"/>
          <w:sz w:val="24"/>
          <w:szCs w:val="24"/>
          <w:lang w:eastAsia="lv-LV"/>
        </w:rPr>
        <w:t xml:space="preserve">. SM – </w:t>
      </w:r>
      <w:r w:rsidRPr="004D604C">
        <w:rPr>
          <w:rFonts w:ascii="Times New Roman" w:hAnsi="Times New Roman"/>
          <w:color w:val="000000"/>
          <w:sz w:val="24"/>
          <w:szCs w:val="24"/>
        </w:rPr>
        <w:t xml:space="preserve">29,5 </w:t>
      </w:r>
      <w:proofErr w:type="spellStart"/>
      <w:r w:rsidRPr="004D604C">
        <w:rPr>
          <w:rFonts w:ascii="Times New Roman" w:eastAsia="EUAlbertina-Bold-Identity-H" w:hAnsi="Times New Roman"/>
          <w:color w:val="000000" w:themeColor="text1"/>
          <w:sz w:val="24"/>
          <w:szCs w:val="24"/>
          <w:lang w:eastAsia="lv-LV"/>
        </w:rPr>
        <w:t>milj</w:t>
      </w:r>
      <w:proofErr w:type="spellEnd"/>
      <w:r w:rsidRPr="004D604C">
        <w:rPr>
          <w:rFonts w:ascii="Times New Roman" w:eastAsia="EUAlbertina-Bold-Identity-H" w:hAnsi="Times New Roman"/>
          <w:color w:val="000000" w:themeColor="text1"/>
          <w:sz w:val="24"/>
          <w:szCs w:val="24"/>
          <w:lang w:eastAsia="lv-LV"/>
        </w:rPr>
        <w:t xml:space="preserve">. latu, IZM – 4,9 </w:t>
      </w:r>
      <w:proofErr w:type="spellStart"/>
      <w:r w:rsidRPr="004D604C">
        <w:rPr>
          <w:rFonts w:ascii="Times New Roman" w:eastAsia="EUAlbertina-Bold-Identity-H" w:hAnsi="Times New Roman"/>
          <w:color w:val="000000" w:themeColor="text1"/>
          <w:sz w:val="24"/>
          <w:szCs w:val="24"/>
          <w:lang w:eastAsia="lv-LV"/>
        </w:rPr>
        <w:t>milj</w:t>
      </w:r>
      <w:proofErr w:type="spellEnd"/>
      <w:r w:rsidRPr="004D604C">
        <w:rPr>
          <w:rFonts w:ascii="Times New Roman" w:eastAsia="EUAlbertina-Bold-Identity-H" w:hAnsi="Times New Roman"/>
          <w:color w:val="000000" w:themeColor="text1"/>
          <w:sz w:val="24"/>
          <w:szCs w:val="24"/>
          <w:lang w:eastAsia="lv-LV"/>
        </w:rPr>
        <w:t xml:space="preserve">. latu,  VM – 1,7 </w:t>
      </w:r>
      <w:proofErr w:type="spellStart"/>
      <w:r w:rsidRPr="004D604C">
        <w:rPr>
          <w:rFonts w:ascii="Times New Roman" w:eastAsia="EUAlbertina-Bold-Identity-H" w:hAnsi="Times New Roman"/>
          <w:color w:val="000000" w:themeColor="text1"/>
          <w:sz w:val="24"/>
          <w:szCs w:val="24"/>
          <w:lang w:eastAsia="lv-LV"/>
        </w:rPr>
        <w:t>milj</w:t>
      </w:r>
      <w:proofErr w:type="spellEnd"/>
      <w:r w:rsidRPr="004D604C">
        <w:rPr>
          <w:rFonts w:ascii="Times New Roman" w:eastAsia="EUAlbertina-Bold-Identity-H" w:hAnsi="Times New Roman"/>
          <w:color w:val="000000" w:themeColor="text1"/>
          <w:sz w:val="24"/>
          <w:szCs w:val="24"/>
          <w:lang w:eastAsia="lv-LV"/>
        </w:rPr>
        <w:t xml:space="preserve">. latu, LM – 0,5 </w:t>
      </w:r>
      <w:proofErr w:type="spellStart"/>
      <w:r w:rsidRPr="004D604C">
        <w:rPr>
          <w:rFonts w:ascii="Times New Roman" w:eastAsia="EUAlbertina-Bold-Identity-H" w:hAnsi="Times New Roman"/>
          <w:color w:val="000000" w:themeColor="text1"/>
          <w:sz w:val="24"/>
          <w:szCs w:val="24"/>
          <w:lang w:eastAsia="lv-LV"/>
        </w:rPr>
        <w:t>milj</w:t>
      </w:r>
      <w:proofErr w:type="spellEnd"/>
      <w:r w:rsidRPr="004D604C">
        <w:rPr>
          <w:rFonts w:ascii="Times New Roman" w:eastAsia="EUAlbertina-Bold-Identity-H" w:hAnsi="Times New Roman"/>
          <w:color w:val="000000" w:themeColor="text1"/>
          <w:sz w:val="24"/>
          <w:szCs w:val="24"/>
          <w:lang w:eastAsia="lv-LV"/>
        </w:rPr>
        <w:t xml:space="preserve">. latu, KM un TM kopā 0,2 </w:t>
      </w:r>
      <w:proofErr w:type="spellStart"/>
      <w:r w:rsidRPr="004D604C">
        <w:rPr>
          <w:rFonts w:ascii="Times New Roman" w:eastAsia="EUAlbertina-Bold-Identity-H" w:hAnsi="Times New Roman"/>
          <w:color w:val="000000" w:themeColor="text1"/>
          <w:sz w:val="24"/>
          <w:szCs w:val="24"/>
          <w:lang w:eastAsia="lv-LV"/>
        </w:rPr>
        <w:t>milj</w:t>
      </w:r>
      <w:proofErr w:type="spellEnd"/>
      <w:r w:rsidRPr="004D604C">
        <w:rPr>
          <w:rFonts w:ascii="Times New Roman" w:eastAsia="EUAlbertina-Bold-Identity-H" w:hAnsi="Times New Roman"/>
          <w:color w:val="000000" w:themeColor="text1"/>
          <w:sz w:val="24"/>
          <w:szCs w:val="24"/>
          <w:lang w:eastAsia="lv-LV"/>
        </w:rPr>
        <w:t xml:space="preserve">. latu; </w:t>
      </w:r>
    </w:p>
    <w:p w:rsidR="004D604C" w:rsidRPr="004D604C" w:rsidRDefault="004D604C" w:rsidP="004D604C">
      <w:pPr>
        <w:pStyle w:val="ListParagraph"/>
        <w:numPr>
          <w:ilvl w:val="0"/>
          <w:numId w:val="96"/>
        </w:numPr>
        <w:spacing w:before="120" w:after="120"/>
        <w:jc w:val="both"/>
        <w:rPr>
          <w:rFonts w:ascii="Times New Roman" w:eastAsia="EUAlbertina-Bold-Identity-H" w:hAnsi="Times New Roman"/>
          <w:color w:val="000000" w:themeColor="text1"/>
          <w:sz w:val="24"/>
          <w:szCs w:val="24"/>
          <w:lang w:eastAsia="lv-LV"/>
        </w:rPr>
      </w:pPr>
      <w:r w:rsidRPr="004D604C">
        <w:rPr>
          <w:rFonts w:ascii="Times New Roman" w:eastAsia="EUAlbertina-Bold-Identity-H" w:hAnsi="Times New Roman"/>
          <w:color w:val="000000" w:themeColor="text1"/>
          <w:sz w:val="24"/>
          <w:szCs w:val="24"/>
          <w:lang w:eastAsia="lv-LV"/>
        </w:rPr>
        <w:t xml:space="preserve">Līdz ar to pašlaik ES fondu projektiem pieejamā finansējuma kopējais iespējamais atlikums 80.00.00 programmā sasniedzis 63 </w:t>
      </w:r>
      <w:proofErr w:type="spellStart"/>
      <w:r w:rsidRPr="004D604C">
        <w:rPr>
          <w:rFonts w:ascii="Times New Roman" w:eastAsia="EUAlbertina-Bold-Identity-H" w:hAnsi="Times New Roman"/>
          <w:color w:val="000000" w:themeColor="text1"/>
          <w:sz w:val="24"/>
          <w:szCs w:val="24"/>
          <w:lang w:eastAsia="lv-LV"/>
        </w:rPr>
        <w:t>milj</w:t>
      </w:r>
      <w:proofErr w:type="spellEnd"/>
      <w:r w:rsidRPr="004D604C">
        <w:rPr>
          <w:rFonts w:ascii="Times New Roman" w:eastAsia="EUAlbertina-Bold-Identity-H" w:hAnsi="Times New Roman"/>
          <w:color w:val="000000" w:themeColor="text1"/>
          <w:sz w:val="24"/>
          <w:szCs w:val="24"/>
          <w:lang w:eastAsia="lv-LV"/>
        </w:rPr>
        <w:t xml:space="preserve">. latu. </w:t>
      </w:r>
    </w:p>
    <w:p w:rsidR="00E50C23" w:rsidRPr="00B557E8" w:rsidRDefault="00E50C23" w:rsidP="00B557E8">
      <w:pPr>
        <w:spacing w:before="120" w:after="120" w:line="276" w:lineRule="auto"/>
        <w:rPr>
          <w:rFonts w:eastAsia="EUAlbertina-Bold-Identity-H"/>
          <w:color w:val="000000" w:themeColor="text1"/>
          <w:szCs w:val="24"/>
          <w:lang w:eastAsia="lv-LV"/>
        </w:rPr>
      </w:pPr>
      <w:bookmarkStart w:id="17" w:name="_GoBack"/>
      <w:bookmarkEnd w:id="17"/>
      <w:r w:rsidRPr="00B557E8">
        <w:rPr>
          <w:rFonts w:eastAsia="EUAlbertina-Bold-Identity-H"/>
          <w:color w:val="000000" w:themeColor="text1"/>
          <w:szCs w:val="24"/>
          <w:lang w:eastAsia="lv-LV"/>
        </w:rPr>
        <w:t xml:space="preserve">Apzinot situāciju ar AI, secināts, ka nodrošināt pilnvērtīga finansējuma apguvi 648,6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latu apmērā ES fondu projektos atbilstoši Valdības rīcības plānam ir maz iespējams. 80.00.00 programmā brīvos līdzekļus (</w:t>
      </w:r>
      <w:proofErr w:type="spellStart"/>
      <w:r w:rsidRPr="00B557E8">
        <w:rPr>
          <w:rFonts w:eastAsia="EUAlbertina-Bold-Identity-H"/>
          <w:color w:val="000000" w:themeColor="text1"/>
          <w:szCs w:val="24"/>
          <w:lang w:eastAsia="lv-LV"/>
        </w:rPr>
        <w:t>t.sk</w:t>
      </w:r>
      <w:proofErr w:type="spellEnd"/>
      <w:r w:rsidRPr="00B557E8">
        <w:rPr>
          <w:rFonts w:eastAsia="EUAlbertina-Bold-Identity-H"/>
          <w:color w:val="000000" w:themeColor="text1"/>
          <w:szCs w:val="24"/>
          <w:lang w:eastAsia="lv-LV"/>
        </w:rPr>
        <w:t xml:space="preserve">. ES fondiem rezervētos) ir iespējams izmantot citu fondu ietvaros (piemēram, ZM </w:t>
      </w:r>
      <w:proofErr w:type="spellStart"/>
      <w:r w:rsidRPr="00B557E8">
        <w:rPr>
          <w:rFonts w:eastAsia="EUAlbertina-Bold-Identity-H"/>
          <w:color w:val="000000" w:themeColor="text1"/>
          <w:szCs w:val="24"/>
          <w:lang w:eastAsia="lv-LV"/>
        </w:rPr>
        <w:t>pārziņā</w:t>
      </w:r>
      <w:proofErr w:type="spellEnd"/>
      <w:r w:rsidRPr="00B557E8">
        <w:rPr>
          <w:rFonts w:eastAsia="EUAlbertina-Bold-Identity-H"/>
          <w:color w:val="000000" w:themeColor="text1"/>
          <w:szCs w:val="24"/>
          <w:lang w:eastAsia="lv-LV"/>
        </w:rPr>
        <w:t xml:space="preserve"> esošajos lauksaimniecības fondos). Nav lietderīgi izmaksāt pieejamo budžeta finansējumu avansos projektiem, kam nav pietiekama gatavība apgūt finansējumu. </w:t>
      </w:r>
    </w:p>
    <w:p w:rsidR="00E50C23" w:rsidRPr="00B557E8" w:rsidRDefault="00E50C23"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FM, katru mēnesi ziņojot Valsts sekretāru sanāksmēs, aicinājusi AI </w:t>
      </w:r>
      <w:proofErr w:type="spellStart"/>
      <w:r w:rsidRPr="00B557E8">
        <w:rPr>
          <w:rFonts w:eastAsia="EUAlbertina-Bold-Identity-H"/>
          <w:color w:val="000000" w:themeColor="text1"/>
          <w:szCs w:val="24"/>
          <w:lang w:eastAsia="lv-LV"/>
        </w:rPr>
        <w:t>proaktīvi</w:t>
      </w:r>
      <w:proofErr w:type="spellEnd"/>
      <w:r w:rsidRPr="00B557E8">
        <w:rPr>
          <w:rFonts w:eastAsia="EUAlbertina-Bold-Identity-H"/>
          <w:color w:val="000000" w:themeColor="text1"/>
          <w:szCs w:val="24"/>
          <w:lang w:eastAsia="lv-LV"/>
        </w:rPr>
        <w:t xml:space="preserve"> strādāt ar klientiem, maksimāli ātri izskatīt maksājumu pieprasījumus, kā arī pārstrukturēt līdzekļus starp projektiem un aktivitātēm, lai nodrošinātu ministriju budžetos jau esošā finansējuma izlietojumu pilnā apmērā. </w:t>
      </w:r>
    </w:p>
    <w:p w:rsidR="00E50C23" w:rsidRPr="00B557E8" w:rsidRDefault="00E50C23" w:rsidP="00B557E8">
      <w:pPr>
        <w:spacing w:before="120" w:after="120" w:line="276" w:lineRule="auto"/>
        <w:rPr>
          <w:b/>
          <w:iCs/>
          <w:color w:val="000000" w:themeColor="text1"/>
          <w:szCs w:val="24"/>
        </w:rPr>
      </w:pPr>
      <w:r w:rsidRPr="00B557E8">
        <w:rPr>
          <w:b/>
          <w:iCs/>
          <w:color w:val="000000" w:themeColor="text1"/>
          <w:szCs w:val="24"/>
        </w:rPr>
        <w:t xml:space="preserve">1.3.3. Prognozes </w:t>
      </w:r>
      <w:r w:rsidR="008B7D7E" w:rsidRPr="00B557E8">
        <w:rPr>
          <w:b/>
          <w:iCs/>
          <w:color w:val="000000" w:themeColor="text1"/>
          <w:szCs w:val="24"/>
        </w:rPr>
        <w:t xml:space="preserve">un mērķi </w:t>
      </w:r>
      <w:r w:rsidRPr="00B557E8">
        <w:rPr>
          <w:b/>
          <w:iCs/>
          <w:color w:val="000000" w:themeColor="text1"/>
          <w:szCs w:val="24"/>
        </w:rPr>
        <w:t>2012.gadam</w:t>
      </w:r>
    </w:p>
    <w:p w:rsidR="00E357CF" w:rsidRPr="00B557E8" w:rsidRDefault="00E50C23"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Saskaņā ar MK 2011.gada 28.marta sēdes protokola Nr.19 2.§ „Par valsts budžeta bāzes izdevumiem 2012. – 2</w:t>
      </w:r>
      <w:r w:rsidR="0061320F" w:rsidRPr="00B557E8">
        <w:rPr>
          <w:rFonts w:eastAsia="EUAlbertina-Bold-Identity-H"/>
          <w:color w:val="000000" w:themeColor="text1"/>
          <w:szCs w:val="24"/>
          <w:lang w:eastAsia="lv-LV"/>
        </w:rPr>
        <w:t>014.gadam”  2012.gadā ES fondu projektu finansēšanai</w:t>
      </w:r>
      <w:r w:rsidRPr="00B557E8">
        <w:rPr>
          <w:rFonts w:eastAsia="EUAlbertina-Bold-Identity-H"/>
          <w:color w:val="000000" w:themeColor="text1"/>
          <w:szCs w:val="24"/>
          <w:lang w:eastAsia="lv-LV"/>
        </w:rPr>
        <w:t xml:space="preserve"> ir plānoti 581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xml:space="preserve">. latu </w:t>
      </w:r>
      <w:r w:rsidR="006C39CA" w:rsidRPr="00B557E8">
        <w:rPr>
          <w:rFonts w:eastAsia="EUAlbertina-Bold-Identity-H"/>
          <w:color w:val="000000" w:themeColor="text1"/>
          <w:szCs w:val="24"/>
          <w:lang w:eastAsia="lv-LV"/>
        </w:rPr>
        <w:t>un</w:t>
      </w:r>
      <w:r w:rsidR="00E357CF" w:rsidRPr="00B557E8">
        <w:rPr>
          <w:rFonts w:eastAsia="EUAlbertina-Bold-Identity-H"/>
          <w:color w:val="000000" w:themeColor="text1"/>
          <w:szCs w:val="24"/>
          <w:lang w:eastAsia="lv-LV"/>
        </w:rPr>
        <w:t xml:space="preserve"> VI uzskata, ka minētais finansējuma apmērs ir pietiekams visu būtiskāko izdevumu veikšanai. </w:t>
      </w:r>
    </w:p>
    <w:p w:rsidR="008C4F79" w:rsidRPr="00B557E8" w:rsidRDefault="00007DCD"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Lai novērtētu aktuālās ministriju vajadzības 2012.gada budžeta pieprasījumam, pēc VI lūguma ministrijas </w:t>
      </w:r>
      <w:r w:rsidR="00E357CF" w:rsidRPr="00B557E8">
        <w:rPr>
          <w:rFonts w:eastAsia="EUAlbertina-Bold-Identity-H"/>
          <w:color w:val="000000" w:themeColor="text1"/>
          <w:szCs w:val="24"/>
          <w:lang w:eastAsia="lv-LV"/>
        </w:rPr>
        <w:t>sniedza informāciju par nepieciešamo budžetu 2012.</w:t>
      </w:r>
      <w:r w:rsidR="00D4350F" w:rsidRPr="00B557E8">
        <w:rPr>
          <w:rFonts w:eastAsia="EUAlbertina-Bold-Identity-H"/>
          <w:color w:val="000000" w:themeColor="text1"/>
          <w:szCs w:val="24"/>
          <w:lang w:eastAsia="lv-LV"/>
        </w:rPr>
        <w:t>gadam</w:t>
      </w:r>
      <w:r w:rsidR="00E357CF" w:rsidRPr="00B557E8">
        <w:rPr>
          <w:rFonts w:eastAsia="EUAlbertina-Bold-Identity-H"/>
          <w:color w:val="000000" w:themeColor="text1"/>
          <w:szCs w:val="24"/>
          <w:lang w:eastAsia="lv-LV"/>
        </w:rPr>
        <w:t xml:space="preserve"> un tur</w:t>
      </w:r>
      <w:r w:rsidR="003F384F" w:rsidRPr="00B557E8">
        <w:rPr>
          <w:rFonts w:eastAsia="EUAlbertina-Bold-Identity-H"/>
          <w:color w:val="000000" w:themeColor="text1"/>
          <w:szCs w:val="24"/>
          <w:lang w:eastAsia="lv-LV"/>
        </w:rPr>
        <w:t>p</w:t>
      </w:r>
      <w:r w:rsidR="00E357CF" w:rsidRPr="00B557E8">
        <w:rPr>
          <w:rFonts w:eastAsia="EUAlbertina-Bold-Identity-H"/>
          <w:color w:val="000000" w:themeColor="text1"/>
          <w:szCs w:val="24"/>
          <w:lang w:eastAsia="lv-LV"/>
        </w:rPr>
        <w:t>mākiem gadiem, kā arī avansu izlietojuma prognozēm.</w:t>
      </w:r>
      <w:r w:rsidR="008C4F79" w:rsidRPr="00B557E8">
        <w:rPr>
          <w:rFonts w:eastAsia="EUAlbertina-Bold-Identity-H"/>
          <w:color w:val="000000" w:themeColor="text1"/>
          <w:szCs w:val="24"/>
          <w:lang w:eastAsia="lv-LV"/>
        </w:rPr>
        <w:t xml:space="preserve"> Ministrijas plāno, ka 2012.gadā valsts budžetā būtu </w:t>
      </w:r>
      <w:r w:rsidR="008C4F79" w:rsidRPr="00B557E8">
        <w:rPr>
          <w:rFonts w:eastAsia="EUAlbertina-Bold-Identity-H"/>
          <w:color w:val="000000" w:themeColor="text1"/>
          <w:szCs w:val="24"/>
          <w:lang w:eastAsia="lv-LV"/>
        </w:rPr>
        <w:lastRenderedPageBreak/>
        <w:t>nepieciešams finansējums maksājumiem finansējuma saņēmējiem 60</w:t>
      </w:r>
      <w:r w:rsidR="0055765E" w:rsidRPr="00B557E8">
        <w:rPr>
          <w:rFonts w:eastAsia="EUAlbertina-Bold-Identity-H"/>
          <w:color w:val="000000" w:themeColor="text1"/>
          <w:szCs w:val="24"/>
          <w:lang w:eastAsia="lv-LV"/>
        </w:rPr>
        <w:t>8</w:t>
      </w:r>
      <w:r w:rsidR="008C4F79" w:rsidRPr="00B557E8">
        <w:rPr>
          <w:rFonts w:eastAsia="EUAlbertina-Bold-Identity-H"/>
          <w:color w:val="000000" w:themeColor="text1"/>
          <w:szCs w:val="24"/>
          <w:lang w:eastAsia="lv-LV"/>
        </w:rPr>
        <w:t xml:space="preserve"> </w:t>
      </w:r>
      <w:proofErr w:type="spellStart"/>
      <w:r w:rsidR="008C4F79" w:rsidRPr="00B557E8">
        <w:rPr>
          <w:rFonts w:eastAsia="EUAlbertina-Bold-Identity-H"/>
          <w:color w:val="000000" w:themeColor="text1"/>
          <w:szCs w:val="24"/>
          <w:lang w:eastAsia="lv-LV"/>
        </w:rPr>
        <w:t>milj</w:t>
      </w:r>
      <w:proofErr w:type="spellEnd"/>
      <w:r w:rsidR="008C4F79" w:rsidRPr="00B557E8">
        <w:rPr>
          <w:rFonts w:eastAsia="EUAlbertina-Bold-Identity-H"/>
          <w:color w:val="000000" w:themeColor="text1"/>
          <w:szCs w:val="24"/>
          <w:lang w:eastAsia="lv-LV"/>
        </w:rPr>
        <w:t>. latu apmērā</w:t>
      </w:r>
      <w:r w:rsidR="0062512F" w:rsidRPr="00B557E8">
        <w:rPr>
          <w:rStyle w:val="FootnoteReference"/>
          <w:rFonts w:eastAsia="EUAlbertina-Bold-Identity-H"/>
          <w:color w:val="000000" w:themeColor="text1"/>
          <w:szCs w:val="24"/>
          <w:lang w:eastAsia="lv-LV"/>
        </w:rPr>
        <w:footnoteReference w:id="2"/>
      </w:r>
      <w:r w:rsidR="00E5437E" w:rsidRPr="00B557E8">
        <w:rPr>
          <w:rFonts w:eastAsia="EUAlbertina-Bold-Identity-H"/>
          <w:color w:val="000000" w:themeColor="text1"/>
          <w:szCs w:val="24"/>
          <w:lang w:eastAsia="lv-LV"/>
        </w:rPr>
        <w:t xml:space="preserve">. Lielākā </w:t>
      </w:r>
      <w:r w:rsidR="008C4F79" w:rsidRPr="00B557E8">
        <w:rPr>
          <w:rFonts w:eastAsia="EUAlbertina-Bold-Identity-H"/>
          <w:color w:val="000000" w:themeColor="text1"/>
          <w:szCs w:val="24"/>
          <w:lang w:eastAsia="lv-LV"/>
        </w:rPr>
        <w:t>daļa no šī finansējuma jau ir paredzēta budžeta ilgtermiņa saistībās</w:t>
      </w:r>
      <w:r w:rsidR="00E5437E" w:rsidRPr="00B557E8">
        <w:rPr>
          <w:rFonts w:eastAsia="EUAlbertina-Bold-Identity-H"/>
          <w:color w:val="000000" w:themeColor="text1"/>
          <w:szCs w:val="24"/>
          <w:lang w:eastAsia="lv-LV"/>
        </w:rPr>
        <w:t xml:space="preserve"> saskaņā MK 01.11.2011.protokolu Nr.62 57.§</w:t>
      </w:r>
      <w:r w:rsidRPr="00B557E8">
        <w:rPr>
          <w:rFonts w:eastAsia="EUAlbertina-Bold-Identity-H"/>
          <w:color w:val="000000" w:themeColor="text1"/>
          <w:szCs w:val="24"/>
          <w:lang w:eastAsia="lv-LV"/>
        </w:rPr>
        <w:t>. T</w:t>
      </w:r>
      <w:r w:rsidR="00694626" w:rsidRPr="00B557E8">
        <w:rPr>
          <w:rFonts w:eastAsia="EUAlbertina-Bold-Identity-H"/>
          <w:color w:val="000000" w:themeColor="text1"/>
          <w:szCs w:val="24"/>
          <w:lang w:eastAsia="lv-LV"/>
        </w:rPr>
        <w:t>omēr</w:t>
      </w:r>
      <w:r w:rsidRPr="00B557E8">
        <w:rPr>
          <w:rFonts w:eastAsia="EUAlbertina-Bold-Identity-H"/>
          <w:color w:val="000000" w:themeColor="text1"/>
          <w:szCs w:val="24"/>
          <w:lang w:eastAsia="lv-LV"/>
        </w:rPr>
        <w:t>,</w:t>
      </w:r>
      <w:r w:rsidR="00694626" w:rsidRPr="00B557E8">
        <w:rPr>
          <w:rFonts w:eastAsia="EUAlbertina-Bold-Identity-H"/>
          <w:color w:val="000000" w:themeColor="text1"/>
          <w:szCs w:val="24"/>
          <w:lang w:eastAsia="lv-LV"/>
        </w:rPr>
        <w:t xml:space="preserve"> ņemot vērā esošo situāciju ar budžeta neizpildi </w:t>
      </w:r>
      <w:r w:rsidR="00D4350F" w:rsidRPr="00B557E8">
        <w:rPr>
          <w:rFonts w:eastAsia="EUAlbertina-Bold-Identity-H"/>
          <w:color w:val="000000" w:themeColor="text1"/>
          <w:szCs w:val="24"/>
          <w:lang w:eastAsia="lv-LV"/>
        </w:rPr>
        <w:t>katra iepriekšēj</w:t>
      </w:r>
      <w:r w:rsidR="0001152F" w:rsidRPr="00B557E8">
        <w:rPr>
          <w:rFonts w:eastAsia="EUAlbertina-Bold-Identity-H"/>
          <w:color w:val="000000" w:themeColor="text1"/>
          <w:szCs w:val="24"/>
          <w:lang w:eastAsia="lv-LV"/>
        </w:rPr>
        <w:t>ā gada</w:t>
      </w:r>
      <w:r w:rsidR="00D4350F" w:rsidRPr="00B557E8">
        <w:rPr>
          <w:rFonts w:eastAsia="EUAlbertina-Bold-Identity-H"/>
          <w:color w:val="000000" w:themeColor="text1"/>
          <w:szCs w:val="24"/>
          <w:lang w:eastAsia="lv-LV"/>
        </w:rPr>
        <w:t xml:space="preserve"> ietvaros</w:t>
      </w:r>
      <w:r w:rsidRPr="00B557E8">
        <w:rPr>
          <w:rFonts w:eastAsia="EUAlbertina-Bold-Identity-H"/>
          <w:color w:val="000000" w:themeColor="text1"/>
          <w:szCs w:val="24"/>
          <w:lang w:eastAsia="lv-LV"/>
        </w:rPr>
        <w:t xml:space="preserve"> un arī plānoto </w:t>
      </w:r>
      <w:r w:rsidR="00694626" w:rsidRPr="00B557E8">
        <w:rPr>
          <w:rFonts w:eastAsia="EUAlbertina-Bold-Identity-H"/>
          <w:color w:val="000000" w:themeColor="text1"/>
          <w:szCs w:val="24"/>
          <w:lang w:eastAsia="lv-LV"/>
        </w:rPr>
        <w:t xml:space="preserve">2011.gadā, VI </w:t>
      </w:r>
      <w:r w:rsidRPr="00B557E8">
        <w:rPr>
          <w:rFonts w:eastAsia="EUAlbertina-Bold-Identity-H"/>
          <w:color w:val="000000" w:themeColor="text1"/>
          <w:szCs w:val="24"/>
          <w:lang w:eastAsia="lv-LV"/>
        </w:rPr>
        <w:t xml:space="preserve">prognozē, ka jau MK 2011.gada </w:t>
      </w:r>
      <w:r w:rsidR="00E5437E" w:rsidRPr="00B557E8">
        <w:rPr>
          <w:rFonts w:eastAsia="EUAlbertina-Bold-Identity-H"/>
          <w:color w:val="000000" w:themeColor="text1"/>
          <w:szCs w:val="24"/>
          <w:lang w:eastAsia="lv-LV"/>
        </w:rPr>
        <w:t>1</w:t>
      </w:r>
      <w:r w:rsidRPr="00B557E8">
        <w:rPr>
          <w:rFonts w:eastAsia="EUAlbertina-Bold-Identity-H"/>
          <w:color w:val="000000" w:themeColor="text1"/>
          <w:szCs w:val="24"/>
          <w:lang w:eastAsia="lv-LV"/>
        </w:rPr>
        <w:t>.</w:t>
      </w:r>
      <w:r w:rsidR="00E5437E" w:rsidRPr="00B557E8">
        <w:rPr>
          <w:rFonts w:eastAsia="EUAlbertina-Bold-Identity-H"/>
          <w:color w:val="000000" w:themeColor="text1"/>
          <w:szCs w:val="24"/>
          <w:lang w:eastAsia="lv-LV"/>
        </w:rPr>
        <w:t>novembra</w:t>
      </w:r>
      <w:r w:rsidRPr="00B557E8">
        <w:rPr>
          <w:rFonts w:eastAsia="EUAlbertina-Bold-Identity-H"/>
          <w:color w:val="000000" w:themeColor="text1"/>
          <w:szCs w:val="24"/>
          <w:lang w:eastAsia="lv-LV"/>
        </w:rPr>
        <w:t xml:space="preserve"> sēdē apstiprinātie 581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w:t>
      </w:r>
      <w:r w:rsidR="007D381E" w:rsidRPr="00B557E8">
        <w:rPr>
          <w:rFonts w:eastAsia="EUAlbertina-Bold-Identity-H"/>
          <w:color w:val="000000" w:themeColor="text1"/>
          <w:szCs w:val="24"/>
          <w:lang w:eastAsia="lv-LV"/>
        </w:rPr>
        <w:t xml:space="preserve"> latu ir pietiekošs finansējums </w:t>
      </w:r>
      <w:r w:rsidR="007D381E" w:rsidRPr="00B557E8">
        <w:rPr>
          <w:color w:val="000000" w:themeColor="text1"/>
          <w:szCs w:val="24"/>
        </w:rPr>
        <w:t xml:space="preserve">(skatīt </w:t>
      </w:r>
      <w:r w:rsidR="007D381E" w:rsidRPr="00B557E8">
        <w:rPr>
          <w:color w:val="000000" w:themeColor="text1"/>
          <w:szCs w:val="24"/>
          <w:u w:val="single"/>
        </w:rPr>
        <w:t>grafiku Nr.4</w:t>
      </w:r>
      <w:r w:rsidR="007D381E" w:rsidRPr="00B557E8">
        <w:rPr>
          <w:color w:val="000000" w:themeColor="text1"/>
          <w:szCs w:val="24"/>
        </w:rPr>
        <w:t>).</w:t>
      </w:r>
    </w:p>
    <w:p w:rsidR="004A2934" w:rsidRPr="00B557E8" w:rsidRDefault="003F384F" w:rsidP="00B557E8">
      <w:pPr>
        <w:spacing w:before="120" w:after="120" w:line="276" w:lineRule="auto"/>
        <w:rPr>
          <w:rFonts w:eastAsia="EUAlbertina-Bold-Identity-H"/>
          <w:i/>
          <w:color w:val="000000" w:themeColor="text1"/>
          <w:szCs w:val="24"/>
        </w:rPr>
      </w:pPr>
      <w:r w:rsidRPr="00B557E8">
        <w:rPr>
          <w:color w:val="000000" w:themeColor="text1"/>
          <w:szCs w:val="24"/>
          <w:lang w:eastAsia="lv-LV"/>
        </w:rPr>
        <w:t xml:space="preserve">Grafiks Nr.4 </w:t>
      </w:r>
      <w:r w:rsidRPr="00B557E8">
        <w:rPr>
          <w:i/>
          <w:color w:val="000000" w:themeColor="text1"/>
          <w:szCs w:val="24"/>
          <w:lang w:eastAsia="lv-LV"/>
        </w:rPr>
        <w:t xml:space="preserve">„Atbildīgo iestāžu 2012.gada plānotais budžets, </w:t>
      </w:r>
      <w:proofErr w:type="spellStart"/>
      <w:r w:rsidRPr="00B557E8">
        <w:rPr>
          <w:i/>
          <w:color w:val="000000" w:themeColor="text1"/>
          <w:szCs w:val="24"/>
          <w:lang w:eastAsia="lv-LV"/>
        </w:rPr>
        <w:t>milj</w:t>
      </w:r>
      <w:proofErr w:type="spellEnd"/>
      <w:r w:rsidRPr="00B557E8">
        <w:rPr>
          <w:i/>
          <w:color w:val="000000" w:themeColor="text1"/>
          <w:szCs w:val="24"/>
          <w:lang w:eastAsia="lv-LV"/>
        </w:rPr>
        <w:t>. LVL</w:t>
      </w:r>
      <w:r w:rsidR="00BD44F1" w:rsidRPr="00B557E8">
        <w:rPr>
          <w:i/>
          <w:color w:val="000000" w:themeColor="text1"/>
          <w:szCs w:val="24"/>
          <w:lang w:eastAsia="lv-LV"/>
        </w:rPr>
        <w:t>.</w:t>
      </w:r>
      <w:r w:rsidRPr="00B557E8">
        <w:rPr>
          <w:rFonts w:eastAsia="EUAlbertina-Bold-Identity-H"/>
          <w:i/>
          <w:color w:val="000000" w:themeColor="text1"/>
          <w:szCs w:val="24"/>
        </w:rPr>
        <w:t>”</w:t>
      </w:r>
    </w:p>
    <w:p w:rsidR="003F384F" w:rsidRPr="00B557E8" w:rsidRDefault="0062512F" w:rsidP="00B557E8">
      <w:pPr>
        <w:spacing w:before="120" w:after="120" w:line="276" w:lineRule="auto"/>
        <w:rPr>
          <w:rFonts w:eastAsia="EUAlbertina-Bold-Identity-H"/>
          <w:color w:val="000000" w:themeColor="text1"/>
          <w:szCs w:val="24"/>
          <w:lang w:eastAsia="lv-LV"/>
        </w:rPr>
      </w:pPr>
      <w:r w:rsidRPr="00B557E8">
        <w:rPr>
          <w:noProof/>
          <w:color w:val="000000" w:themeColor="text1"/>
          <w:szCs w:val="24"/>
          <w:lang w:eastAsia="lv-LV"/>
        </w:rPr>
        <mc:AlternateContent>
          <mc:Choice Requires="wps">
            <w:drawing>
              <wp:anchor distT="0" distB="0" distL="114300" distR="114300" simplePos="0" relativeHeight="251661312" behindDoc="0" locked="0" layoutInCell="1" allowOverlap="1" wp14:anchorId="69C579CA" wp14:editId="57DE278D">
                <wp:simplePos x="0" y="0"/>
                <wp:positionH relativeFrom="column">
                  <wp:posOffset>4130040</wp:posOffset>
                </wp:positionH>
                <wp:positionV relativeFrom="paragraph">
                  <wp:posOffset>29210</wp:posOffset>
                </wp:positionV>
                <wp:extent cx="1578610" cy="1060450"/>
                <wp:effectExtent l="0" t="0" r="21590" b="25400"/>
                <wp:wrapNone/>
                <wp:docPr id="2" name="TextBox 1"/>
                <wp:cNvGraphicFramePr/>
                <a:graphic xmlns:a="http://schemas.openxmlformats.org/drawingml/2006/main">
                  <a:graphicData uri="http://schemas.microsoft.com/office/word/2010/wordprocessingShape">
                    <wps:wsp>
                      <wps:cNvSpPr txBox="1"/>
                      <wps:spPr bwMode="auto">
                        <a:xfrm>
                          <a:off x="0" y="0"/>
                          <a:ext cx="1578610" cy="10604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B47A28" w:rsidRPr="00B557E8" w:rsidRDefault="00B47A28" w:rsidP="004525B3">
                            <w:pPr>
                              <w:pStyle w:val="NormalWeb"/>
                              <w:spacing w:before="0" w:beforeAutospacing="0" w:after="0" w:afterAutospacing="0"/>
                              <w:rPr>
                                <w:sz w:val="20"/>
                                <w:szCs w:val="20"/>
                                <w:lang w:val="lv-LV"/>
                              </w:rPr>
                            </w:pPr>
                            <w:r w:rsidRPr="00B557E8">
                              <w:rPr>
                                <w:color w:val="000000" w:themeColor="dark1"/>
                                <w:sz w:val="20"/>
                                <w:szCs w:val="20"/>
                                <w:lang w:val="lv-LV"/>
                              </w:rPr>
                              <w:t xml:space="preserve">       </w:t>
                            </w:r>
                            <w:r w:rsidRPr="00B557E8">
                              <w:rPr>
                                <w:bCs/>
                                <w:color w:val="000000" w:themeColor="dark1"/>
                                <w:sz w:val="20"/>
                                <w:szCs w:val="20"/>
                                <w:lang w:val="lv-LV"/>
                              </w:rPr>
                              <w:t xml:space="preserve">Kopā - </w:t>
                            </w:r>
                            <w:r w:rsidRPr="00B557E8">
                              <w:rPr>
                                <w:rFonts w:asciiTheme="minorHAnsi" w:hAnsi="Calibri" w:cstheme="minorBidi"/>
                                <w:bCs/>
                                <w:color w:val="000000" w:themeColor="dark1"/>
                                <w:sz w:val="20"/>
                                <w:szCs w:val="20"/>
                                <w:lang w:val="lv-LV"/>
                              </w:rPr>
                              <w:t>581</w:t>
                            </w:r>
                            <w:r w:rsidRPr="00B557E8">
                              <w:rPr>
                                <w:bCs/>
                                <w:color w:val="000000" w:themeColor="dark1"/>
                                <w:sz w:val="20"/>
                                <w:szCs w:val="20"/>
                                <w:lang w:val="lv-LV"/>
                              </w:rPr>
                              <w:t xml:space="preserve"> </w:t>
                            </w:r>
                            <w:proofErr w:type="spellStart"/>
                            <w:r w:rsidRPr="00B557E8">
                              <w:rPr>
                                <w:bCs/>
                                <w:color w:val="000000" w:themeColor="dark1"/>
                                <w:sz w:val="20"/>
                                <w:szCs w:val="20"/>
                                <w:lang w:val="lv-LV"/>
                              </w:rPr>
                              <w:t>milj</w:t>
                            </w:r>
                            <w:proofErr w:type="spellEnd"/>
                            <w:r w:rsidRPr="00B557E8">
                              <w:rPr>
                                <w:bCs/>
                                <w:color w:val="000000" w:themeColor="dark1"/>
                                <w:sz w:val="20"/>
                                <w:szCs w:val="20"/>
                                <w:lang w:val="lv-LV"/>
                              </w:rPr>
                              <w:t xml:space="preserve">. latu,   </w:t>
                            </w:r>
                            <w:proofErr w:type="spellStart"/>
                            <w:r w:rsidRPr="00B557E8">
                              <w:rPr>
                                <w:bCs/>
                                <w:color w:val="000000" w:themeColor="dark1"/>
                                <w:sz w:val="20"/>
                                <w:szCs w:val="20"/>
                                <w:lang w:val="lv-LV"/>
                              </w:rPr>
                              <w:t>t.sk</w:t>
                            </w:r>
                            <w:proofErr w:type="spellEnd"/>
                            <w:r w:rsidRPr="00B557E8">
                              <w:rPr>
                                <w:bCs/>
                                <w:color w:val="000000" w:themeColor="dark1"/>
                                <w:sz w:val="20"/>
                                <w:szCs w:val="20"/>
                                <w:lang w:val="lv-LV"/>
                              </w:rPr>
                              <w:t xml:space="preserve">. 516 </w:t>
                            </w:r>
                            <w:proofErr w:type="spellStart"/>
                            <w:r w:rsidRPr="00B557E8">
                              <w:rPr>
                                <w:bCs/>
                                <w:color w:val="000000" w:themeColor="dark1"/>
                                <w:sz w:val="20"/>
                                <w:szCs w:val="20"/>
                                <w:lang w:val="lv-LV"/>
                              </w:rPr>
                              <w:t>milj</w:t>
                            </w:r>
                            <w:proofErr w:type="spellEnd"/>
                            <w:r w:rsidRPr="00B557E8">
                              <w:rPr>
                                <w:bCs/>
                                <w:color w:val="000000" w:themeColor="dark1"/>
                                <w:sz w:val="20"/>
                                <w:szCs w:val="20"/>
                                <w:lang w:val="lv-LV"/>
                              </w:rPr>
                              <w:t xml:space="preserve">. latu bāzē un 65 </w:t>
                            </w:r>
                            <w:proofErr w:type="spellStart"/>
                            <w:r w:rsidRPr="00B557E8">
                              <w:rPr>
                                <w:bCs/>
                                <w:color w:val="000000" w:themeColor="dark1"/>
                                <w:sz w:val="20"/>
                                <w:szCs w:val="20"/>
                                <w:lang w:val="lv-LV"/>
                              </w:rPr>
                              <w:t>milj</w:t>
                            </w:r>
                            <w:proofErr w:type="spellEnd"/>
                            <w:r w:rsidRPr="00B557E8">
                              <w:rPr>
                                <w:bCs/>
                                <w:color w:val="000000" w:themeColor="dark1"/>
                                <w:sz w:val="20"/>
                                <w:szCs w:val="20"/>
                                <w:lang w:val="lv-LV"/>
                              </w:rPr>
                              <w:t>. latu nesadalītais finansējums</w:t>
                            </w:r>
                          </w:p>
                          <w:p w:rsidR="00B47A28" w:rsidRPr="00B557E8" w:rsidRDefault="00B47A28" w:rsidP="004525B3">
                            <w:pPr>
                              <w:pStyle w:val="NormalWeb"/>
                              <w:spacing w:before="0" w:beforeAutospacing="0" w:after="0" w:afterAutospacing="0"/>
                              <w:rPr>
                                <w:lang w:val="lv-LV"/>
                              </w:rPr>
                            </w:pPr>
                            <w:r w:rsidRPr="00B557E8">
                              <w:rPr>
                                <w:color w:val="000000" w:themeColor="dark1"/>
                                <w:sz w:val="20"/>
                                <w:szCs w:val="20"/>
                                <w:lang w:val="lv-LV"/>
                              </w:rPr>
                              <w:t xml:space="preserve">        </w:t>
                            </w:r>
                            <w:r w:rsidRPr="00B557E8">
                              <w:rPr>
                                <w:bCs/>
                                <w:color w:val="000000" w:themeColor="dark1"/>
                                <w:sz w:val="20"/>
                                <w:szCs w:val="20"/>
                                <w:lang w:val="lv-LV"/>
                              </w:rPr>
                              <w:t xml:space="preserve">Kopā -  </w:t>
                            </w:r>
                            <w:r w:rsidRPr="00B557E8">
                              <w:rPr>
                                <w:rFonts w:asciiTheme="minorHAnsi" w:hAnsi="Calibri" w:cstheme="minorBidi"/>
                                <w:bCs/>
                                <w:color w:val="000000" w:themeColor="dark1"/>
                                <w:sz w:val="20"/>
                                <w:szCs w:val="20"/>
                                <w:lang w:val="lv-LV"/>
                              </w:rPr>
                              <w:t xml:space="preserve">608 </w:t>
                            </w:r>
                            <w:proofErr w:type="spellStart"/>
                            <w:r w:rsidRPr="00B557E8">
                              <w:rPr>
                                <w:bCs/>
                                <w:color w:val="000000" w:themeColor="dark1"/>
                                <w:sz w:val="20"/>
                                <w:szCs w:val="20"/>
                                <w:lang w:val="lv-LV"/>
                              </w:rPr>
                              <w:t>milj</w:t>
                            </w:r>
                            <w:proofErr w:type="spellEnd"/>
                            <w:r w:rsidRPr="00B557E8">
                              <w:rPr>
                                <w:bCs/>
                                <w:color w:val="000000" w:themeColor="dark1"/>
                                <w:sz w:val="20"/>
                                <w:szCs w:val="20"/>
                                <w:lang w:val="lv-LV"/>
                              </w:rPr>
                              <w:t>.</w:t>
                            </w:r>
                            <w:r w:rsidRPr="00B557E8">
                              <w:rPr>
                                <w:b/>
                                <w:bCs/>
                                <w:color w:val="000000" w:themeColor="dark1"/>
                                <w:sz w:val="22"/>
                                <w:szCs w:val="22"/>
                                <w:lang w:val="lv-LV"/>
                              </w:rPr>
                              <w:t xml:space="preserve"> </w:t>
                            </w:r>
                            <w:r w:rsidRPr="00B557E8">
                              <w:rPr>
                                <w:bCs/>
                                <w:color w:val="000000" w:themeColor="dark1"/>
                                <w:sz w:val="22"/>
                                <w:szCs w:val="22"/>
                                <w:lang w:val="lv-LV"/>
                              </w:rPr>
                              <w:t>latu</w:t>
                            </w:r>
                            <w:r w:rsidRPr="00B557E8">
                              <w:rPr>
                                <w:bCs/>
                                <w:color w:val="000000" w:themeColor="dark1"/>
                                <w:sz w:val="22"/>
                                <w:szCs w:val="22"/>
                                <w:vertAlign w:val="superscript"/>
                                <w:lang w:val="lv-LV"/>
                              </w:rPr>
                              <w:t>2</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 o:spid="_x0000_s1026" type="#_x0000_t202" style="position:absolute;left:0;text-align:left;margin-left:325.2pt;margin-top:2.3pt;width:124.3pt;height: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" fillcolor="white [3201]" strokecolor="#7f7f7f [1601]">
                <v:textbox>
                  <w:txbxContent>
                    <w:p w:rsidR="00B47A28" w:rsidRPr="00B557E8" w:rsidRDefault="00B47A28" w:rsidP="004525B3">
                      <w:pPr>
                        <w:pStyle w:val="NormalWeb"/>
                        <w:spacing w:before="0" w:beforeAutospacing="0" w:after="0" w:afterAutospacing="0"/>
                        <w:rPr>
                          <w:sz w:val="20"/>
                          <w:szCs w:val="20"/>
                          <w:lang w:val="lv-LV"/>
                        </w:rPr>
                      </w:pPr>
                      <w:r w:rsidRPr="00B557E8">
                        <w:rPr>
                          <w:color w:val="000000" w:themeColor="dark1"/>
                          <w:sz w:val="20"/>
                          <w:szCs w:val="20"/>
                          <w:lang w:val="lv-LV"/>
                        </w:rPr>
                        <w:t xml:space="preserve">       </w:t>
                      </w:r>
                      <w:r w:rsidRPr="00B557E8">
                        <w:rPr>
                          <w:bCs/>
                          <w:color w:val="000000" w:themeColor="dark1"/>
                          <w:sz w:val="20"/>
                          <w:szCs w:val="20"/>
                          <w:lang w:val="lv-LV"/>
                        </w:rPr>
                        <w:t xml:space="preserve">Kopā - </w:t>
                      </w:r>
                      <w:r w:rsidRPr="00B557E8">
                        <w:rPr>
                          <w:rFonts w:asciiTheme="minorHAnsi" w:hAnsi="Calibri" w:cstheme="minorBidi"/>
                          <w:bCs/>
                          <w:color w:val="000000" w:themeColor="dark1"/>
                          <w:sz w:val="20"/>
                          <w:szCs w:val="20"/>
                          <w:lang w:val="lv-LV"/>
                        </w:rPr>
                        <w:t>581</w:t>
                      </w:r>
                      <w:r w:rsidRPr="00B557E8">
                        <w:rPr>
                          <w:bCs/>
                          <w:color w:val="000000" w:themeColor="dark1"/>
                          <w:sz w:val="20"/>
                          <w:szCs w:val="20"/>
                          <w:lang w:val="lv-LV"/>
                        </w:rPr>
                        <w:t xml:space="preserve"> </w:t>
                      </w:r>
                      <w:proofErr w:type="spellStart"/>
                      <w:r w:rsidRPr="00B557E8">
                        <w:rPr>
                          <w:bCs/>
                          <w:color w:val="000000" w:themeColor="dark1"/>
                          <w:sz w:val="20"/>
                          <w:szCs w:val="20"/>
                          <w:lang w:val="lv-LV"/>
                        </w:rPr>
                        <w:t>milj</w:t>
                      </w:r>
                      <w:proofErr w:type="spellEnd"/>
                      <w:r w:rsidRPr="00B557E8">
                        <w:rPr>
                          <w:bCs/>
                          <w:color w:val="000000" w:themeColor="dark1"/>
                          <w:sz w:val="20"/>
                          <w:szCs w:val="20"/>
                          <w:lang w:val="lv-LV"/>
                        </w:rPr>
                        <w:t xml:space="preserve">. latu,   </w:t>
                      </w:r>
                      <w:proofErr w:type="spellStart"/>
                      <w:r w:rsidRPr="00B557E8">
                        <w:rPr>
                          <w:bCs/>
                          <w:color w:val="000000" w:themeColor="dark1"/>
                          <w:sz w:val="20"/>
                          <w:szCs w:val="20"/>
                          <w:lang w:val="lv-LV"/>
                        </w:rPr>
                        <w:t>t.sk</w:t>
                      </w:r>
                      <w:proofErr w:type="spellEnd"/>
                      <w:r w:rsidRPr="00B557E8">
                        <w:rPr>
                          <w:bCs/>
                          <w:color w:val="000000" w:themeColor="dark1"/>
                          <w:sz w:val="20"/>
                          <w:szCs w:val="20"/>
                          <w:lang w:val="lv-LV"/>
                        </w:rPr>
                        <w:t xml:space="preserve">. 516 </w:t>
                      </w:r>
                      <w:proofErr w:type="spellStart"/>
                      <w:r w:rsidRPr="00B557E8">
                        <w:rPr>
                          <w:bCs/>
                          <w:color w:val="000000" w:themeColor="dark1"/>
                          <w:sz w:val="20"/>
                          <w:szCs w:val="20"/>
                          <w:lang w:val="lv-LV"/>
                        </w:rPr>
                        <w:t>milj</w:t>
                      </w:r>
                      <w:proofErr w:type="spellEnd"/>
                      <w:r w:rsidRPr="00B557E8">
                        <w:rPr>
                          <w:bCs/>
                          <w:color w:val="000000" w:themeColor="dark1"/>
                          <w:sz w:val="20"/>
                          <w:szCs w:val="20"/>
                          <w:lang w:val="lv-LV"/>
                        </w:rPr>
                        <w:t xml:space="preserve">. latu bāzē un 65 </w:t>
                      </w:r>
                      <w:proofErr w:type="spellStart"/>
                      <w:r w:rsidRPr="00B557E8">
                        <w:rPr>
                          <w:bCs/>
                          <w:color w:val="000000" w:themeColor="dark1"/>
                          <w:sz w:val="20"/>
                          <w:szCs w:val="20"/>
                          <w:lang w:val="lv-LV"/>
                        </w:rPr>
                        <w:t>milj</w:t>
                      </w:r>
                      <w:proofErr w:type="spellEnd"/>
                      <w:r w:rsidRPr="00B557E8">
                        <w:rPr>
                          <w:bCs/>
                          <w:color w:val="000000" w:themeColor="dark1"/>
                          <w:sz w:val="20"/>
                          <w:szCs w:val="20"/>
                          <w:lang w:val="lv-LV"/>
                        </w:rPr>
                        <w:t>. latu nesadalītais finansējums</w:t>
                      </w:r>
                    </w:p>
                    <w:p w:rsidR="00B47A28" w:rsidRPr="00B557E8" w:rsidRDefault="00B47A28" w:rsidP="004525B3">
                      <w:pPr>
                        <w:pStyle w:val="NormalWeb"/>
                        <w:spacing w:before="0" w:beforeAutospacing="0" w:after="0" w:afterAutospacing="0"/>
                        <w:rPr>
                          <w:lang w:val="lv-LV"/>
                        </w:rPr>
                      </w:pPr>
                      <w:r w:rsidRPr="00B557E8">
                        <w:rPr>
                          <w:color w:val="000000" w:themeColor="dark1"/>
                          <w:sz w:val="20"/>
                          <w:szCs w:val="20"/>
                          <w:lang w:val="lv-LV"/>
                        </w:rPr>
                        <w:t xml:space="preserve">        </w:t>
                      </w:r>
                      <w:r w:rsidRPr="00B557E8">
                        <w:rPr>
                          <w:bCs/>
                          <w:color w:val="000000" w:themeColor="dark1"/>
                          <w:sz w:val="20"/>
                          <w:szCs w:val="20"/>
                          <w:lang w:val="lv-LV"/>
                        </w:rPr>
                        <w:t xml:space="preserve">Kopā -  </w:t>
                      </w:r>
                      <w:r w:rsidRPr="00B557E8">
                        <w:rPr>
                          <w:rFonts w:asciiTheme="minorHAnsi" w:hAnsi="Calibri" w:cstheme="minorBidi"/>
                          <w:bCs/>
                          <w:color w:val="000000" w:themeColor="dark1"/>
                          <w:sz w:val="20"/>
                          <w:szCs w:val="20"/>
                          <w:lang w:val="lv-LV"/>
                        </w:rPr>
                        <w:t xml:space="preserve">608 </w:t>
                      </w:r>
                      <w:proofErr w:type="spellStart"/>
                      <w:r w:rsidRPr="00B557E8">
                        <w:rPr>
                          <w:bCs/>
                          <w:color w:val="000000" w:themeColor="dark1"/>
                          <w:sz w:val="20"/>
                          <w:szCs w:val="20"/>
                          <w:lang w:val="lv-LV"/>
                        </w:rPr>
                        <w:t>milj</w:t>
                      </w:r>
                      <w:proofErr w:type="spellEnd"/>
                      <w:r w:rsidRPr="00B557E8">
                        <w:rPr>
                          <w:bCs/>
                          <w:color w:val="000000" w:themeColor="dark1"/>
                          <w:sz w:val="20"/>
                          <w:szCs w:val="20"/>
                          <w:lang w:val="lv-LV"/>
                        </w:rPr>
                        <w:t>.</w:t>
                      </w:r>
                      <w:r w:rsidRPr="00B557E8">
                        <w:rPr>
                          <w:b/>
                          <w:bCs/>
                          <w:color w:val="000000" w:themeColor="dark1"/>
                          <w:sz w:val="22"/>
                          <w:szCs w:val="22"/>
                          <w:lang w:val="lv-LV"/>
                        </w:rPr>
                        <w:t xml:space="preserve"> </w:t>
                      </w:r>
                      <w:r w:rsidRPr="00B557E8">
                        <w:rPr>
                          <w:bCs/>
                          <w:color w:val="000000" w:themeColor="dark1"/>
                          <w:sz w:val="22"/>
                          <w:szCs w:val="22"/>
                          <w:lang w:val="lv-LV"/>
                        </w:rPr>
                        <w:t>latu</w:t>
                      </w:r>
                      <w:r w:rsidRPr="00B557E8">
                        <w:rPr>
                          <w:bCs/>
                          <w:color w:val="000000" w:themeColor="dark1"/>
                          <w:sz w:val="22"/>
                          <w:szCs w:val="22"/>
                          <w:vertAlign w:val="superscript"/>
                          <w:lang w:val="lv-LV"/>
                        </w:rPr>
                        <w:t>2</w:t>
                      </w:r>
                    </w:p>
                  </w:txbxContent>
                </v:textbox>
              </v:shape>
            </w:pict>
          </mc:Fallback>
        </mc:AlternateContent>
      </w:r>
      <w:r w:rsidRPr="00B557E8">
        <w:rPr>
          <w:noProof/>
          <w:color w:val="000000" w:themeColor="text1"/>
          <w:szCs w:val="24"/>
          <w:lang w:eastAsia="lv-LV"/>
        </w:rPr>
        <mc:AlternateContent>
          <mc:Choice Requires="wps">
            <w:drawing>
              <wp:anchor distT="0" distB="0" distL="114300" distR="114300" simplePos="0" relativeHeight="251663360" behindDoc="0" locked="0" layoutInCell="1" allowOverlap="1" wp14:anchorId="00A03F04" wp14:editId="1E9E3A6C">
                <wp:simplePos x="0" y="0"/>
                <wp:positionH relativeFrom="column">
                  <wp:posOffset>4248785</wp:posOffset>
                </wp:positionH>
                <wp:positionV relativeFrom="paragraph">
                  <wp:posOffset>702310</wp:posOffset>
                </wp:positionV>
                <wp:extent cx="142240" cy="132715"/>
                <wp:effectExtent l="0" t="0" r="0" b="635"/>
                <wp:wrapNone/>
                <wp:docPr id="21" name="Rectangle 2"/>
                <wp:cNvGraphicFramePr/>
                <a:graphic xmlns:a="http://schemas.openxmlformats.org/drawingml/2006/main">
                  <a:graphicData uri="http://schemas.microsoft.com/office/word/2010/wordprocessingShape">
                    <wps:wsp>
                      <wps:cNvSpPr/>
                      <wps:spPr bwMode="auto">
                        <a:xfrm flipH="1">
                          <a:off x="0" y="0"/>
                          <a:ext cx="142240" cy="13271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id="Rectangle 2" o:spid="_x0000_s1026" style="position:absolute;margin-left:334.55pt;margin-top:55.3pt;width:11.2pt;height:10.45pt;flip:x;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" fillcolor="#4f81bd [3204]" stroked="f" strokeweight="2pt"/>
            </w:pict>
          </mc:Fallback>
        </mc:AlternateContent>
      </w:r>
      <w:r w:rsidRPr="00B557E8">
        <w:rPr>
          <w:noProof/>
          <w:color w:val="000000" w:themeColor="text1"/>
          <w:szCs w:val="24"/>
          <w:lang w:eastAsia="lv-LV"/>
        </w:rPr>
        <mc:AlternateContent>
          <mc:Choice Requires="wps">
            <w:drawing>
              <wp:anchor distT="0" distB="0" distL="114300" distR="114300" simplePos="0" relativeHeight="251662336" behindDoc="0" locked="0" layoutInCell="1" allowOverlap="1" wp14:anchorId="3733FD07" wp14:editId="607ED8EF">
                <wp:simplePos x="0" y="0"/>
                <wp:positionH relativeFrom="column">
                  <wp:posOffset>4248150</wp:posOffset>
                </wp:positionH>
                <wp:positionV relativeFrom="paragraph">
                  <wp:posOffset>85090</wp:posOffset>
                </wp:positionV>
                <wp:extent cx="133350" cy="123825"/>
                <wp:effectExtent l="0" t="0" r="0" b="9525"/>
                <wp:wrapNone/>
                <wp:docPr id="5" name="Rectangle 4"/>
                <wp:cNvGraphicFramePr/>
                <a:graphic xmlns:a="http://schemas.openxmlformats.org/drawingml/2006/main">
                  <a:graphicData uri="http://schemas.microsoft.com/office/word/2010/wordprocessingShape">
                    <wps:wsp>
                      <wps:cNvSpPr/>
                      <wps:spPr bwMode="auto">
                        <a:xfrm>
                          <a:off x="0" y="0"/>
                          <a:ext cx="133350" cy="123825"/>
                        </a:xfrm>
                        <a:prstGeom prst="rect">
                          <a:avLst/>
                        </a:prstGeom>
                        <a:solidFill>
                          <a:srgbClr val="CA5942"/>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id="Rectangle 4" o:spid="_x0000_s1026" style="position:absolute;margin-left:334.5pt;margin-top:6.7pt;width:10.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" fillcolor="#ca5942" stroked="f" strokeweight="2pt"/>
            </w:pict>
          </mc:Fallback>
        </mc:AlternateContent>
      </w:r>
      <w:r w:rsidR="004525B3" w:rsidRPr="00B557E8">
        <w:rPr>
          <w:noProof/>
          <w:color w:val="000000" w:themeColor="text1"/>
          <w:szCs w:val="24"/>
          <w:lang w:eastAsia="lv-LV"/>
        </w:rPr>
        <w:drawing>
          <wp:inline distT="0" distB="0" distL="0" distR="0" wp14:anchorId="7D5533D2" wp14:editId="48B1E7D0">
            <wp:extent cx="5943600" cy="2410460"/>
            <wp:effectExtent l="0" t="0" r="0" b="889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5765E" w:rsidRPr="00B557E8" w:rsidRDefault="0055765E" w:rsidP="00B557E8">
      <w:pPr>
        <w:spacing w:before="120" w:after="120" w:line="276" w:lineRule="auto"/>
        <w:rPr>
          <w:i/>
          <w:color w:val="000000" w:themeColor="text1"/>
          <w:szCs w:val="24"/>
          <w:lang w:eastAsia="lv-LV"/>
        </w:rPr>
      </w:pPr>
      <w:r w:rsidRPr="00B557E8">
        <w:rPr>
          <w:color w:val="000000" w:themeColor="text1"/>
          <w:szCs w:val="24"/>
          <w:lang w:eastAsia="lv-LV"/>
        </w:rPr>
        <w:t xml:space="preserve">Grafiks Nr.5 </w:t>
      </w:r>
      <w:r w:rsidRPr="00B557E8">
        <w:rPr>
          <w:i/>
          <w:color w:val="000000" w:themeColor="text1"/>
          <w:szCs w:val="24"/>
          <w:lang w:eastAsia="lv-LV"/>
        </w:rPr>
        <w:t xml:space="preserve">„Informācija par ES fondu ietvaros plānotajiem maksājumiem un avansa izlietojumu, </w:t>
      </w:r>
      <w:proofErr w:type="spellStart"/>
      <w:r w:rsidRPr="00B557E8">
        <w:rPr>
          <w:i/>
          <w:color w:val="000000" w:themeColor="text1"/>
          <w:szCs w:val="24"/>
          <w:lang w:eastAsia="lv-LV"/>
        </w:rPr>
        <w:t>milj</w:t>
      </w:r>
      <w:proofErr w:type="spellEnd"/>
      <w:r w:rsidRPr="00B557E8">
        <w:rPr>
          <w:i/>
          <w:color w:val="000000" w:themeColor="text1"/>
          <w:szCs w:val="24"/>
          <w:lang w:eastAsia="lv-LV"/>
        </w:rPr>
        <w:t>. LVL.</w:t>
      </w:r>
      <w:r w:rsidRPr="00B557E8">
        <w:rPr>
          <w:rFonts w:eastAsia="EUAlbertina-Bold-Identity-H"/>
          <w:i/>
          <w:color w:val="000000" w:themeColor="text1"/>
          <w:szCs w:val="24"/>
        </w:rPr>
        <w:t xml:space="preserve">” </w:t>
      </w:r>
      <w:r w:rsidRPr="00B557E8">
        <w:rPr>
          <w:i/>
          <w:color w:val="000000" w:themeColor="text1"/>
          <w:szCs w:val="24"/>
          <w:lang w:eastAsia="lv-LV"/>
        </w:rPr>
        <w:t xml:space="preserve"> </w:t>
      </w:r>
    </w:p>
    <w:p w:rsidR="0055765E" w:rsidRPr="00B557E8" w:rsidRDefault="0055765E" w:rsidP="00B557E8">
      <w:pPr>
        <w:spacing w:before="120" w:after="120" w:line="276" w:lineRule="auto"/>
        <w:rPr>
          <w:rFonts w:eastAsia="EUAlbertina-Bold-Identity-H"/>
          <w:color w:val="000000" w:themeColor="text1"/>
          <w:szCs w:val="24"/>
          <w:lang w:eastAsia="lv-LV"/>
        </w:rPr>
      </w:pPr>
      <w:r w:rsidRPr="00B557E8">
        <w:rPr>
          <w:noProof/>
          <w:color w:val="000000" w:themeColor="text1"/>
          <w:szCs w:val="24"/>
          <w:lang w:eastAsia="lv-LV"/>
        </w:rPr>
        <w:drawing>
          <wp:inline distT="0" distB="0" distL="0" distR="0" wp14:anchorId="6C16FF63" wp14:editId="49505739">
            <wp:extent cx="5274259" cy="1828800"/>
            <wp:effectExtent l="0" t="0" r="3175"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4350F" w:rsidRPr="00B557E8" w:rsidRDefault="00D4350F"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Plānots, ka uz 2011.gada beigām avansu apjoms, par kuriem nav iesniegts starpposma un/vai noslēguma maksājums, ar kuru tiek deklarēta avansā izmaksātā summa, bet jauns maksājums netiek veikts („nedzēsta" avansa maksājuma summu), būs apmēram 340,2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xml:space="preserve">. latu, no kuriem 80% izmaksāti līdz </w:t>
      </w:r>
      <w:r w:rsidR="0001152F" w:rsidRPr="00B557E8">
        <w:rPr>
          <w:rFonts w:eastAsia="EUAlbertina-Bold-Identity-H"/>
          <w:color w:val="000000" w:themeColor="text1"/>
          <w:szCs w:val="24"/>
          <w:lang w:eastAsia="lv-LV"/>
        </w:rPr>
        <w:t>2010.gada 31.decembrim</w:t>
      </w:r>
      <w:r w:rsidRPr="00B557E8">
        <w:rPr>
          <w:rFonts w:eastAsia="EUAlbertina-Bold-Identity-H"/>
          <w:color w:val="000000" w:themeColor="text1"/>
          <w:szCs w:val="24"/>
          <w:lang w:eastAsia="lv-LV"/>
        </w:rPr>
        <w:t>. Ņemot vērā ministriju iesniegtās prognozes, ir jāsecina, ka par lielāko avansu apjomu norēķini</w:t>
      </w:r>
      <w:r w:rsidRPr="00B557E8">
        <w:rPr>
          <w:rStyle w:val="FootnoteReference"/>
          <w:rFonts w:eastAsia="EUAlbertina-Bold-Identity-H"/>
          <w:color w:val="000000" w:themeColor="text1"/>
          <w:szCs w:val="24"/>
          <w:lang w:eastAsia="lv-LV"/>
        </w:rPr>
        <w:footnoteReference w:id="3"/>
      </w:r>
      <w:r w:rsidRPr="00B557E8">
        <w:rPr>
          <w:rFonts w:eastAsia="EUAlbertina-Bold-Identity-H"/>
          <w:color w:val="000000" w:themeColor="text1"/>
          <w:szCs w:val="24"/>
          <w:lang w:eastAsia="lv-LV"/>
        </w:rPr>
        <w:t xml:space="preserve"> plānoti 2012.gadā – 157,2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xml:space="preserve">. latu apmērā, taču arī 2013. un 2014.g. plānoti ievērojami norēķini – attiecīgi 95,8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latu un 80,</w:t>
      </w:r>
      <w:r w:rsidR="007D381E" w:rsidRPr="00B557E8">
        <w:rPr>
          <w:rFonts w:eastAsia="EUAlbertina-Bold-Identity-H"/>
          <w:color w:val="000000" w:themeColor="text1"/>
          <w:szCs w:val="24"/>
          <w:lang w:eastAsia="lv-LV"/>
        </w:rPr>
        <w:t xml:space="preserve">4 </w:t>
      </w:r>
      <w:proofErr w:type="spellStart"/>
      <w:r w:rsidR="007D381E" w:rsidRPr="00B557E8">
        <w:rPr>
          <w:rFonts w:eastAsia="EUAlbertina-Bold-Identity-H"/>
          <w:color w:val="000000" w:themeColor="text1"/>
          <w:szCs w:val="24"/>
          <w:lang w:eastAsia="lv-LV"/>
        </w:rPr>
        <w:t>milj</w:t>
      </w:r>
      <w:proofErr w:type="spellEnd"/>
      <w:r w:rsidR="007D381E" w:rsidRPr="00B557E8">
        <w:rPr>
          <w:rFonts w:eastAsia="EUAlbertina-Bold-Identity-H"/>
          <w:color w:val="000000" w:themeColor="text1"/>
          <w:szCs w:val="24"/>
          <w:lang w:eastAsia="lv-LV"/>
        </w:rPr>
        <w:t xml:space="preserve">. latu apmērā </w:t>
      </w:r>
      <w:r w:rsidR="007D381E" w:rsidRPr="00B557E8">
        <w:rPr>
          <w:color w:val="000000" w:themeColor="text1"/>
          <w:szCs w:val="24"/>
        </w:rPr>
        <w:t xml:space="preserve">(skatīt </w:t>
      </w:r>
      <w:r w:rsidR="007D381E" w:rsidRPr="00B557E8">
        <w:rPr>
          <w:color w:val="000000" w:themeColor="text1"/>
          <w:szCs w:val="24"/>
          <w:u w:val="single"/>
        </w:rPr>
        <w:t>grafiku Nr.5</w:t>
      </w:r>
      <w:r w:rsidR="007D381E" w:rsidRPr="00B557E8">
        <w:rPr>
          <w:color w:val="000000" w:themeColor="text1"/>
          <w:szCs w:val="24"/>
        </w:rPr>
        <w:t>).</w:t>
      </w:r>
    </w:p>
    <w:p w:rsidR="00A31531" w:rsidRPr="00B557E8" w:rsidRDefault="00A31531" w:rsidP="00B557E8">
      <w:pPr>
        <w:pStyle w:val="2lmenis"/>
        <w:numPr>
          <w:ilvl w:val="1"/>
          <w:numId w:val="2"/>
        </w:numPr>
        <w:spacing w:before="120" w:after="120" w:line="276" w:lineRule="auto"/>
        <w:ind w:left="1276" w:hanging="425"/>
        <w:jc w:val="both"/>
        <w:rPr>
          <w:color w:val="000000" w:themeColor="text1"/>
          <w:sz w:val="24"/>
          <w:szCs w:val="24"/>
          <w:lang w:val="lv-LV"/>
        </w:rPr>
      </w:pPr>
      <w:bookmarkStart w:id="18" w:name="_Toc308774233"/>
      <w:r w:rsidRPr="00B557E8">
        <w:rPr>
          <w:color w:val="000000" w:themeColor="text1"/>
          <w:sz w:val="24"/>
          <w:szCs w:val="24"/>
          <w:lang w:val="lv-LV"/>
        </w:rPr>
        <w:lastRenderedPageBreak/>
        <w:t>Publisko resursu ieguldījums un sasniegtie rezultāti</w:t>
      </w:r>
      <w:bookmarkEnd w:id="18"/>
    </w:p>
    <w:p w:rsidR="004B48A2" w:rsidRPr="00B557E8" w:rsidRDefault="00D068FA" w:rsidP="00B557E8">
      <w:pPr>
        <w:spacing w:before="120" w:after="120" w:line="276" w:lineRule="auto"/>
        <w:rPr>
          <w:b/>
          <w:iCs/>
          <w:color w:val="000000" w:themeColor="text1"/>
          <w:szCs w:val="24"/>
        </w:rPr>
      </w:pPr>
      <w:bookmarkStart w:id="19" w:name="_Toc276049976"/>
      <w:bookmarkEnd w:id="16"/>
      <w:r w:rsidRPr="00B557E8">
        <w:rPr>
          <w:b/>
          <w:iCs/>
          <w:color w:val="000000" w:themeColor="text1"/>
          <w:szCs w:val="24"/>
        </w:rPr>
        <w:t>1.</w:t>
      </w:r>
      <w:r w:rsidR="00017679" w:rsidRPr="00B557E8">
        <w:rPr>
          <w:b/>
          <w:iCs/>
          <w:color w:val="000000" w:themeColor="text1"/>
          <w:szCs w:val="24"/>
        </w:rPr>
        <w:t>4</w:t>
      </w:r>
      <w:r w:rsidRPr="00B557E8">
        <w:rPr>
          <w:b/>
          <w:iCs/>
          <w:color w:val="000000" w:themeColor="text1"/>
          <w:szCs w:val="24"/>
        </w:rPr>
        <w:t xml:space="preserve">.1. </w:t>
      </w:r>
      <w:r w:rsidR="004B48A2" w:rsidRPr="00B557E8">
        <w:rPr>
          <w:b/>
          <w:iCs/>
          <w:color w:val="000000" w:themeColor="text1"/>
          <w:szCs w:val="24"/>
        </w:rPr>
        <w:t>Darbības programma „Cilvēkresursi un nodarbinātība”</w:t>
      </w:r>
      <w:bookmarkEnd w:id="19"/>
    </w:p>
    <w:p w:rsidR="007D1DCA" w:rsidRPr="00B557E8" w:rsidRDefault="00FC4561" w:rsidP="00B557E8">
      <w:pPr>
        <w:spacing w:before="120" w:after="120" w:line="276" w:lineRule="auto"/>
        <w:rPr>
          <w:color w:val="000000" w:themeColor="text1"/>
          <w:szCs w:val="24"/>
        </w:rPr>
      </w:pPr>
      <w:r w:rsidRPr="00B557E8">
        <w:rPr>
          <w:color w:val="000000" w:themeColor="text1"/>
          <w:szCs w:val="24"/>
        </w:rPr>
        <w:t>No ESF līdzfinansētajām aktivitātēm pārskata periodā ieviešana visstraujāk virzījusies sociālās iekļaušanas aktivitātēs, kā arī augstākās izglītības un zinātnes atbalsta aktivitātēs, kur pieaudzis gan noslēgto līgumu skaits, gan finansējuma saņēmējiem veikto maksājumu apjoms.</w:t>
      </w:r>
      <w:r w:rsidR="00AC09D1" w:rsidRPr="00B557E8">
        <w:rPr>
          <w:color w:val="000000" w:themeColor="text1"/>
          <w:szCs w:val="24"/>
        </w:rPr>
        <w:t xml:space="preserve"> </w:t>
      </w:r>
      <w:r w:rsidR="008B6287" w:rsidRPr="00B557E8">
        <w:rPr>
          <w:color w:val="000000" w:themeColor="text1"/>
          <w:szCs w:val="24"/>
        </w:rPr>
        <w:t xml:space="preserve"> </w:t>
      </w:r>
      <w:r w:rsidR="00EF40EE" w:rsidRPr="00B557E8">
        <w:rPr>
          <w:color w:val="000000" w:themeColor="text1"/>
          <w:szCs w:val="24"/>
        </w:rPr>
        <w:t>(</w:t>
      </w:r>
      <w:r w:rsidR="000913FD" w:rsidRPr="00B557E8">
        <w:rPr>
          <w:color w:val="000000" w:themeColor="text1"/>
          <w:szCs w:val="24"/>
        </w:rPr>
        <w:t>skatīt</w:t>
      </w:r>
      <w:r w:rsidR="00EF40EE" w:rsidRPr="00B557E8">
        <w:rPr>
          <w:color w:val="000000" w:themeColor="text1"/>
          <w:szCs w:val="24"/>
        </w:rPr>
        <w:t xml:space="preserve"> </w:t>
      </w:r>
      <w:r w:rsidR="00EF40EE" w:rsidRPr="00B557E8">
        <w:rPr>
          <w:color w:val="000000" w:themeColor="text1"/>
          <w:szCs w:val="24"/>
          <w:u w:val="single"/>
        </w:rPr>
        <w:t>grafiku Nr.</w:t>
      </w:r>
      <w:r w:rsidR="00BD44F1" w:rsidRPr="00B557E8">
        <w:rPr>
          <w:color w:val="000000" w:themeColor="text1"/>
          <w:szCs w:val="24"/>
          <w:u w:val="single"/>
        </w:rPr>
        <w:t>6</w:t>
      </w:r>
      <w:r w:rsidR="00EF40EE" w:rsidRPr="00B557E8">
        <w:rPr>
          <w:color w:val="000000" w:themeColor="text1"/>
          <w:szCs w:val="24"/>
        </w:rPr>
        <w:t>)</w:t>
      </w:r>
    </w:p>
    <w:p w:rsidR="00C1489E" w:rsidRPr="00B557E8" w:rsidRDefault="00427D80" w:rsidP="00B557E8">
      <w:pPr>
        <w:spacing w:before="120" w:after="120" w:line="276" w:lineRule="auto"/>
        <w:rPr>
          <w:color w:val="000000" w:themeColor="text1"/>
          <w:szCs w:val="24"/>
          <w:lang w:eastAsia="lv-LV"/>
        </w:rPr>
      </w:pPr>
      <w:r w:rsidRPr="00B557E8">
        <w:rPr>
          <w:color w:val="000000" w:themeColor="text1"/>
          <w:szCs w:val="24"/>
          <w:lang w:eastAsia="lv-LV"/>
        </w:rPr>
        <w:t>Grafiks Nr.</w:t>
      </w:r>
      <w:r w:rsidR="00BD44F1" w:rsidRPr="00B557E8">
        <w:rPr>
          <w:color w:val="000000" w:themeColor="text1"/>
          <w:szCs w:val="24"/>
          <w:lang w:eastAsia="lv-LV"/>
        </w:rPr>
        <w:t>6</w:t>
      </w:r>
      <w:r w:rsidRPr="00B557E8">
        <w:rPr>
          <w:i/>
          <w:iCs/>
          <w:color w:val="000000" w:themeColor="text1"/>
          <w:szCs w:val="24"/>
          <w:lang w:eastAsia="lv-LV"/>
        </w:rPr>
        <w:t xml:space="preserve"> „ES fondu finanšu apguve </w:t>
      </w:r>
      <w:r w:rsidR="007E1064" w:rsidRPr="00B557E8">
        <w:rPr>
          <w:rFonts w:eastAsia="EUAlbertina-Bold-Identity-H"/>
          <w:i/>
          <w:color w:val="000000" w:themeColor="text1"/>
          <w:szCs w:val="24"/>
        </w:rPr>
        <w:t>līdz 30.09.2011.</w:t>
      </w:r>
      <w:r w:rsidR="0001152F" w:rsidRPr="00B557E8">
        <w:rPr>
          <w:rFonts w:eastAsia="EUAlbertina-Bold-Identity-H"/>
          <w:i/>
          <w:color w:val="000000" w:themeColor="text1"/>
          <w:szCs w:val="24"/>
        </w:rPr>
        <w:t xml:space="preserve"> </w:t>
      </w:r>
      <w:r w:rsidRPr="00B557E8">
        <w:rPr>
          <w:i/>
          <w:iCs/>
          <w:color w:val="000000" w:themeColor="text1"/>
          <w:szCs w:val="24"/>
          <w:lang w:eastAsia="lv-LV"/>
        </w:rPr>
        <w:t xml:space="preserve">darbības programmā „Cilvēkresursi un nodarbinātība; </w:t>
      </w:r>
      <w:proofErr w:type="spellStart"/>
      <w:r w:rsidRPr="00B557E8">
        <w:rPr>
          <w:i/>
          <w:iCs/>
          <w:color w:val="000000" w:themeColor="text1"/>
          <w:szCs w:val="24"/>
          <w:lang w:eastAsia="lv-LV"/>
        </w:rPr>
        <w:t>milj</w:t>
      </w:r>
      <w:proofErr w:type="spellEnd"/>
      <w:r w:rsidRPr="00B557E8">
        <w:rPr>
          <w:i/>
          <w:iCs/>
          <w:color w:val="000000" w:themeColor="text1"/>
          <w:szCs w:val="24"/>
          <w:lang w:eastAsia="lv-LV"/>
        </w:rPr>
        <w:t xml:space="preserve">. LVL (% no pieejamā publiskā finansējuma); % progress pret datiem uz </w:t>
      </w:r>
      <w:r w:rsidR="007E1064" w:rsidRPr="00B557E8">
        <w:rPr>
          <w:i/>
          <w:iCs/>
          <w:color w:val="000000" w:themeColor="text1"/>
          <w:szCs w:val="24"/>
          <w:lang w:eastAsia="lv-LV"/>
        </w:rPr>
        <w:t>30.06</w:t>
      </w:r>
      <w:r w:rsidRPr="00B557E8">
        <w:rPr>
          <w:i/>
          <w:iCs/>
          <w:color w:val="000000" w:themeColor="text1"/>
          <w:szCs w:val="24"/>
          <w:lang w:eastAsia="lv-LV"/>
        </w:rPr>
        <w:t>.2011.</w:t>
      </w:r>
      <w:r w:rsidR="00CA1C99" w:rsidRPr="00B557E8">
        <w:rPr>
          <w:i/>
          <w:iCs/>
          <w:color w:val="000000" w:themeColor="text1"/>
          <w:szCs w:val="24"/>
          <w:lang w:eastAsia="lv-LV"/>
        </w:rPr>
        <w:t>”</w:t>
      </w:r>
    </w:p>
    <w:p w:rsidR="004B48A2" w:rsidRPr="00B557E8" w:rsidRDefault="00CA1C99" w:rsidP="00B557E8">
      <w:pPr>
        <w:spacing w:before="120" w:after="120" w:line="276" w:lineRule="auto"/>
        <w:rPr>
          <w:color w:val="000000" w:themeColor="text1"/>
          <w:szCs w:val="24"/>
          <w:highlight w:val="yellow"/>
          <w:lang w:eastAsia="lv-LV"/>
        </w:rPr>
      </w:pPr>
      <w:r w:rsidRPr="00B557E8">
        <w:rPr>
          <w:noProof/>
          <w:color w:val="000000" w:themeColor="text1"/>
          <w:szCs w:val="24"/>
          <w:lang w:eastAsia="lv-LV"/>
        </w:rPr>
        <w:drawing>
          <wp:inline distT="0" distB="0" distL="0" distR="0" wp14:anchorId="2A2F12E1" wp14:editId="6AF40E2A">
            <wp:extent cx="6056986" cy="5201107"/>
            <wp:effectExtent l="0" t="0" r="127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A1C99" w:rsidRPr="00B557E8" w:rsidRDefault="00CA1C99" w:rsidP="00B557E8">
      <w:pPr>
        <w:spacing w:before="120" w:after="120" w:line="276" w:lineRule="auto"/>
        <w:rPr>
          <w:i/>
          <w:color w:val="000000" w:themeColor="text1"/>
          <w:szCs w:val="24"/>
        </w:rPr>
      </w:pPr>
      <w:r w:rsidRPr="00B557E8">
        <w:rPr>
          <w:color w:val="000000" w:themeColor="text1"/>
          <w:szCs w:val="24"/>
        </w:rPr>
        <w:t xml:space="preserve">* </w:t>
      </w:r>
      <w:r w:rsidRPr="00B557E8">
        <w:rPr>
          <w:i/>
          <w:color w:val="000000" w:themeColor="text1"/>
          <w:szCs w:val="24"/>
        </w:rPr>
        <w:t xml:space="preserve">ESF apguves salīdzinoši zemais progress grafikā skaidrojams ar </w:t>
      </w:r>
      <w:proofErr w:type="spellStart"/>
      <w:r w:rsidRPr="00B557E8">
        <w:rPr>
          <w:i/>
          <w:color w:val="000000" w:themeColor="text1"/>
          <w:szCs w:val="24"/>
        </w:rPr>
        <w:t>virssaistību</w:t>
      </w:r>
      <w:proofErr w:type="spellEnd"/>
      <w:r w:rsidRPr="00B557E8">
        <w:rPr>
          <w:i/>
          <w:color w:val="000000" w:themeColor="text1"/>
          <w:szCs w:val="24"/>
        </w:rPr>
        <w:t xml:space="preserve"> izmaiņām prioritātē „Nodarbinātības veicināšana un veselība darbā”, kā arī konceptuāli apstiprināto finansējuma pārdali no 2.darbības programmas, reālie apguves skaitļi nav samazinājušies.</w:t>
      </w:r>
    </w:p>
    <w:p w:rsidR="00200CAA" w:rsidRPr="00B557E8" w:rsidRDefault="00E140E6" w:rsidP="00B557E8">
      <w:pPr>
        <w:spacing w:before="120" w:after="120" w:line="276" w:lineRule="auto"/>
        <w:rPr>
          <w:color w:val="000000" w:themeColor="text1"/>
          <w:szCs w:val="24"/>
        </w:rPr>
      </w:pPr>
      <w:r w:rsidRPr="00B557E8">
        <w:rPr>
          <w:color w:val="000000" w:themeColor="text1"/>
          <w:szCs w:val="24"/>
        </w:rPr>
        <w:t>MK</w:t>
      </w:r>
      <w:r w:rsidR="00FC4561" w:rsidRPr="00B557E8">
        <w:rPr>
          <w:color w:val="000000" w:themeColor="text1"/>
          <w:szCs w:val="24"/>
        </w:rPr>
        <w:t xml:space="preserve"> </w:t>
      </w:r>
      <w:proofErr w:type="spellStart"/>
      <w:r w:rsidR="00FC4561" w:rsidRPr="00B557E8">
        <w:rPr>
          <w:color w:val="000000" w:themeColor="text1"/>
          <w:szCs w:val="24"/>
        </w:rPr>
        <w:t>š.g</w:t>
      </w:r>
      <w:proofErr w:type="spellEnd"/>
      <w:r w:rsidR="00FC4561" w:rsidRPr="00B557E8">
        <w:rPr>
          <w:color w:val="000000" w:themeColor="text1"/>
          <w:szCs w:val="24"/>
        </w:rPr>
        <w:t>. 20. septembra sēdē darbības programma „Cilvēkresursi un nodarbinātība” grozījumu ietvaros apstiprinātais  papildu finansējums aktīvā darba tirgus poli</w:t>
      </w:r>
      <w:r w:rsidR="004F38BA" w:rsidRPr="00B557E8">
        <w:rPr>
          <w:color w:val="000000" w:themeColor="text1"/>
          <w:szCs w:val="24"/>
        </w:rPr>
        <w:t>tikas pasākumu īstenošanai 30,3</w:t>
      </w:r>
      <w:r w:rsidR="00FC4561" w:rsidRPr="00B557E8">
        <w:rPr>
          <w:color w:val="000000" w:themeColor="text1"/>
          <w:szCs w:val="24"/>
        </w:rPr>
        <w:t xml:space="preserve"> </w:t>
      </w:r>
      <w:proofErr w:type="spellStart"/>
      <w:r w:rsidR="00FC4561" w:rsidRPr="00B557E8">
        <w:rPr>
          <w:color w:val="000000" w:themeColor="text1"/>
          <w:szCs w:val="24"/>
        </w:rPr>
        <w:t>milj</w:t>
      </w:r>
      <w:proofErr w:type="spellEnd"/>
      <w:r w:rsidR="00FC4561" w:rsidRPr="00B557E8">
        <w:rPr>
          <w:color w:val="000000" w:themeColor="text1"/>
          <w:szCs w:val="24"/>
        </w:rPr>
        <w:t>.</w:t>
      </w:r>
      <w:r w:rsidR="004F38BA" w:rsidRPr="00B557E8">
        <w:rPr>
          <w:color w:val="000000" w:themeColor="text1"/>
          <w:szCs w:val="24"/>
        </w:rPr>
        <w:t xml:space="preserve"> </w:t>
      </w:r>
      <w:r w:rsidR="00FC4561" w:rsidRPr="00B557E8">
        <w:rPr>
          <w:color w:val="000000" w:themeColor="text1"/>
          <w:szCs w:val="24"/>
        </w:rPr>
        <w:t>latu  apmērā dod iespēju nodrošināt nodarbinātības veicināšanas pasākumu veiksmīgu turpināšanu un īstenošanas pēctecību 2011. un 2012. gadā.</w:t>
      </w:r>
      <w:r w:rsidR="00766B52" w:rsidRPr="00B557E8">
        <w:rPr>
          <w:color w:val="000000" w:themeColor="text1"/>
          <w:szCs w:val="24"/>
        </w:rPr>
        <w:t xml:space="preserve"> </w:t>
      </w:r>
    </w:p>
    <w:p w:rsidR="00AC09D1" w:rsidRPr="00B557E8" w:rsidRDefault="00FC4561" w:rsidP="00B557E8">
      <w:pPr>
        <w:shd w:val="clear" w:color="auto" w:fill="FFFFFF"/>
        <w:spacing w:before="120" w:after="120" w:line="276" w:lineRule="auto"/>
        <w:rPr>
          <w:b/>
          <w:color w:val="000000" w:themeColor="text1"/>
          <w:szCs w:val="24"/>
        </w:rPr>
      </w:pPr>
      <w:r w:rsidRPr="00B557E8">
        <w:rPr>
          <w:b/>
          <w:color w:val="000000" w:themeColor="text1"/>
          <w:szCs w:val="24"/>
        </w:rPr>
        <w:lastRenderedPageBreak/>
        <w:t xml:space="preserve"> </w:t>
      </w:r>
      <w:r w:rsidR="00AC09D1" w:rsidRPr="00B557E8">
        <w:rPr>
          <w:b/>
          <w:color w:val="000000" w:themeColor="text1"/>
          <w:szCs w:val="24"/>
        </w:rPr>
        <w:t>„Augstākā izglītība un zinātne”</w:t>
      </w:r>
    </w:p>
    <w:p w:rsidR="00FC4561" w:rsidRPr="00B557E8" w:rsidRDefault="00FC4561" w:rsidP="00B557E8">
      <w:pPr>
        <w:spacing w:before="120" w:after="120" w:line="276" w:lineRule="auto"/>
        <w:rPr>
          <w:color w:val="000000" w:themeColor="text1"/>
          <w:szCs w:val="24"/>
        </w:rPr>
      </w:pPr>
      <w:r w:rsidRPr="00B557E8">
        <w:rPr>
          <w:color w:val="000000" w:themeColor="text1"/>
          <w:szCs w:val="24"/>
        </w:rPr>
        <w:t xml:space="preserve">Prioritāte ir vērsta uz augstākās izglītības kvalitātes un pieejamības uzlabošanu, motivācijas veicināšanu zinātniskajai darbībai un cilvēkresursu piesaisti augstākai izglītībai, zinātnei un pētniecībai un tās mērķis ir nodrošināt augsti kvalificētu speciālistu sagatavošanu tautsaimniecības attīstībai svarīgās nozarēs un nostiprināt cilvēku potenciālu zinātnes un pētniecības attīstībai, uzlabojot augstākās izglītības kvalitāti un pieejamību, piesaistot cilvēkresursus augstākai izglītībai, zinātnei un pētniecībai, palielinot studējošo skaitu maģistra un doktora studijās un veicinot motivāciju zinātniskajai darbībai. </w:t>
      </w:r>
    </w:p>
    <w:p w:rsidR="00FC4561" w:rsidRPr="00B557E8" w:rsidRDefault="00FC4561" w:rsidP="00B557E8">
      <w:pPr>
        <w:spacing w:before="120" w:after="120" w:line="276" w:lineRule="auto"/>
        <w:rPr>
          <w:color w:val="000000" w:themeColor="text1"/>
          <w:szCs w:val="24"/>
        </w:rPr>
      </w:pPr>
      <w:r w:rsidRPr="00B557E8">
        <w:rPr>
          <w:color w:val="000000" w:themeColor="text1"/>
          <w:szCs w:val="24"/>
        </w:rPr>
        <w:t xml:space="preserve">Pārskata periodā aktivitāšu ieviešana kopumā ir noritējusi sekmīgi, budžeta izpilde vērtējama kā stabila, tāpat kā finansējuma apguve, kas prioritātes </w:t>
      </w:r>
      <w:r w:rsidR="0001152F" w:rsidRPr="00B557E8">
        <w:rPr>
          <w:color w:val="000000" w:themeColor="text1"/>
          <w:szCs w:val="24"/>
        </w:rPr>
        <w:t>ietvaros norit atbilstoši 2011.</w:t>
      </w:r>
      <w:r w:rsidRPr="00B557E8">
        <w:rPr>
          <w:color w:val="000000" w:themeColor="text1"/>
          <w:szCs w:val="24"/>
        </w:rPr>
        <w:t xml:space="preserve">gadam plānotajam mērķim, un būtiskas neizpildes nav paredzamas. </w:t>
      </w:r>
    </w:p>
    <w:p w:rsidR="00FC4561" w:rsidRPr="00B557E8" w:rsidRDefault="00FC4561" w:rsidP="00B557E8">
      <w:pPr>
        <w:spacing w:before="120" w:after="120" w:line="276" w:lineRule="auto"/>
        <w:rPr>
          <w:color w:val="000000" w:themeColor="text1"/>
          <w:szCs w:val="24"/>
        </w:rPr>
      </w:pPr>
      <w:r w:rsidRPr="00B557E8">
        <w:rPr>
          <w:color w:val="000000" w:themeColor="text1"/>
          <w:szCs w:val="24"/>
        </w:rPr>
        <w:t xml:space="preserve">Arī rādītāju izpildē sasniegtais progress kopumā ir vērtējams pozitīvi, un tas ir proporcionāls sasniegtajam finanšu progresam. </w:t>
      </w:r>
      <w:r w:rsidR="00570DB0" w:rsidRPr="00B557E8">
        <w:rPr>
          <w:color w:val="000000" w:themeColor="text1"/>
          <w:szCs w:val="24"/>
        </w:rPr>
        <w:t xml:space="preserve">Doktorantu atbalsta aktivitātē līdz 2011.gada 30.septembrim ESF atbalstu saņēmušo doktorantūras studentu skaits ir pieaudzis par 24 doktorantiem, </w:t>
      </w:r>
      <w:proofErr w:type="spellStart"/>
      <w:r w:rsidR="00570DB0" w:rsidRPr="00B557E8">
        <w:rPr>
          <w:color w:val="000000" w:themeColor="text1"/>
          <w:szCs w:val="24"/>
        </w:rPr>
        <w:t>t.i</w:t>
      </w:r>
      <w:proofErr w:type="spellEnd"/>
      <w:r w:rsidR="00570DB0" w:rsidRPr="00B557E8">
        <w:rPr>
          <w:color w:val="000000" w:themeColor="text1"/>
          <w:szCs w:val="24"/>
        </w:rPr>
        <w:t xml:space="preserve">., ja uz </w:t>
      </w:r>
      <w:proofErr w:type="spellStart"/>
      <w:r w:rsidR="00570DB0" w:rsidRPr="00B557E8">
        <w:rPr>
          <w:color w:val="000000" w:themeColor="text1"/>
          <w:szCs w:val="24"/>
        </w:rPr>
        <w:t>š.g</w:t>
      </w:r>
      <w:proofErr w:type="spellEnd"/>
      <w:r w:rsidR="00570DB0" w:rsidRPr="00B557E8">
        <w:rPr>
          <w:color w:val="000000" w:themeColor="text1"/>
          <w:szCs w:val="24"/>
        </w:rPr>
        <w:t>. 1.jūliju atbalstu bija saņēmuši 1346, tad šobrīd tās ir</w:t>
      </w:r>
      <w:r w:rsidR="00DA0E10" w:rsidRPr="00B557E8">
        <w:rPr>
          <w:color w:val="000000" w:themeColor="text1"/>
          <w:szCs w:val="24"/>
        </w:rPr>
        <w:t xml:space="preserve"> </w:t>
      </w:r>
      <w:r w:rsidR="00570DB0" w:rsidRPr="00B557E8">
        <w:rPr>
          <w:color w:val="000000" w:themeColor="text1"/>
          <w:szCs w:val="24"/>
        </w:rPr>
        <w:t>1370 personas, kas ir 39,0% no doktorantu skaita laikā no 2009.gada, kad tika uzsākts ESF atbalsts doktorantiem šajā plānošanas periodā, līdz 2011.gadam (3 509). Savukārt ESF atbalstu saņēmušo maģistrantu skaits ir saglabājies līdzšinējā līmenī – līdz 2011.gada 30.septembrim ESF atbalstu ir saņēmuši 1024 maģistranti jeb 8,06% no kopējā (12 703) valstī 2010./2011.akadēmiskajā gadā studējošo maģistrantu skaita</w:t>
      </w:r>
      <w:r w:rsidRPr="00B557E8">
        <w:rPr>
          <w:color w:val="000000" w:themeColor="text1"/>
          <w:szCs w:val="24"/>
        </w:rPr>
        <w:t>.</w:t>
      </w:r>
    </w:p>
    <w:p w:rsidR="00AC09D1" w:rsidRPr="00B557E8" w:rsidRDefault="00FC4561" w:rsidP="00B557E8">
      <w:pPr>
        <w:spacing w:before="120" w:after="120" w:line="276" w:lineRule="auto"/>
        <w:rPr>
          <w:color w:val="000000" w:themeColor="text1"/>
          <w:szCs w:val="24"/>
        </w:rPr>
      </w:pPr>
      <w:r w:rsidRPr="00B557E8">
        <w:rPr>
          <w:color w:val="000000" w:themeColor="text1"/>
          <w:szCs w:val="24"/>
        </w:rPr>
        <w:t>Tomēr, ņemot vērā faktu, ka ESF atbalsts maģistrantūras un doktorantūras studentiem būs pieejams arī jaunajā akadēmiskajā mācību gadā, sagaidāms, ka ESF atbalstu saņēmušo doktorantu un maģistrantu skaits turpinās pieaugt arī nākamajos pārskata periodos.</w:t>
      </w:r>
    </w:p>
    <w:p w:rsidR="00AC09D1" w:rsidRPr="00B557E8" w:rsidRDefault="00AC09D1" w:rsidP="00B557E8">
      <w:pPr>
        <w:spacing w:before="120" w:after="120" w:line="276" w:lineRule="auto"/>
        <w:rPr>
          <w:b/>
          <w:color w:val="000000" w:themeColor="text1"/>
          <w:szCs w:val="24"/>
        </w:rPr>
      </w:pPr>
      <w:r w:rsidRPr="00B557E8">
        <w:rPr>
          <w:b/>
          <w:color w:val="000000" w:themeColor="text1"/>
          <w:szCs w:val="24"/>
        </w:rPr>
        <w:t>„Izglītība un prasmes”</w:t>
      </w:r>
    </w:p>
    <w:p w:rsidR="00FC4561" w:rsidRPr="00B557E8" w:rsidRDefault="00FC4561" w:rsidP="00B557E8">
      <w:pPr>
        <w:spacing w:before="120" w:after="120" w:line="276" w:lineRule="auto"/>
        <w:rPr>
          <w:color w:val="000000" w:themeColor="text1"/>
          <w:szCs w:val="24"/>
        </w:rPr>
      </w:pPr>
      <w:r w:rsidRPr="00B557E8">
        <w:rPr>
          <w:color w:val="000000" w:themeColor="text1"/>
          <w:szCs w:val="24"/>
        </w:rPr>
        <w:t>Prioritātes mērķis ir nodrošināt zinoša, prasmīga un darba tirgus prasībām atbilstoša darbaspēka sagatavošanu, uzlabojot izglītības kvalitāti un pieejamību, sniedzot iespējas attīstīt un papildināt zināšanas visām sabiedrības grupām mūža garumā, kā arī stiprinot izglītībā un mūžizglītībā iesaistīto institūciju kapacitāti un uzlabojot sadarbību izglītības politikas veidošanā un īstenošanā.</w:t>
      </w:r>
    </w:p>
    <w:p w:rsidR="00FC4561" w:rsidRPr="00B557E8" w:rsidRDefault="00FC4561" w:rsidP="00B557E8">
      <w:pPr>
        <w:spacing w:before="120" w:after="120" w:line="276" w:lineRule="auto"/>
        <w:rPr>
          <w:color w:val="000000" w:themeColor="text1"/>
          <w:szCs w:val="24"/>
        </w:rPr>
      </w:pPr>
      <w:r w:rsidRPr="00B557E8">
        <w:rPr>
          <w:color w:val="000000" w:themeColor="text1"/>
          <w:szCs w:val="24"/>
        </w:rPr>
        <w:t xml:space="preserve">Līdz pārskata perioda beigām vairākās </w:t>
      </w:r>
      <w:r w:rsidR="00076C0A" w:rsidRPr="00B557E8">
        <w:rPr>
          <w:color w:val="000000" w:themeColor="text1"/>
          <w:szCs w:val="24"/>
        </w:rPr>
        <w:t>IZM</w:t>
      </w:r>
      <w:r w:rsidRPr="00B557E8">
        <w:rPr>
          <w:color w:val="000000" w:themeColor="text1"/>
          <w:szCs w:val="24"/>
        </w:rPr>
        <w:t xml:space="preserve"> </w:t>
      </w:r>
      <w:proofErr w:type="spellStart"/>
      <w:r w:rsidRPr="00B557E8">
        <w:rPr>
          <w:color w:val="000000" w:themeColor="text1"/>
          <w:szCs w:val="24"/>
        </w:rPr>
        <w:t>pārziņā</w:t>
      </w:r>
      <w:proofErr w:type="spellEnd"/>
      <w:r w:rsidRPr="00B557E8">
        <w:rPr>
          <w:color w:val="000000" w:themeColor="text1"/>
          <w:szCs w:val="24"/>
        </w:rPr>
        <w:t xml:space="preserve"> esošajās profesionāl</w:t>
      </w:r>
      <w:r w:rsidR="000B75C3" w:rsidRPr="00B557E8">
        <w:rPr>
          <w:color w:val="000000" w:themeColor="text1"/>
          <w:szCs w:val="24"/>
        </w:rPr>
        <w:t>ās</w:t>
      </w:r>
      <w:r w:rsidRPr="00B557E8">
        <w:rPr>
          <w:color w:val="000000" w:themeColor="text1"/>
          <w:szCs w:val="24"/>
        </w:rPr>
        <w:t xml:space="preserve"> izglītības atbalsta aktivitātēs ir konstatētas problēmas ar budžeta izpildi apguvi, </w:t>
      </w:r>
      <w:proofErr w:type="spellStart"/>
      <w:r w:rsidRPr="00B557E8">
        <w:rPr>
          <w:color w:val="000000" w:themeColor="text1"/>
          <w:szCs w:val="24"/>
        </w:rPr>
        <w:t>t.sk</w:t>
      </w:r>
      <w:proofErr w:type="spellEnd"/>
      <w:r w:rsidRPr="00B557E8">
        <w:rPr>
          <w:color w:val="000000" w:themeColor="text1"/>
          <w:szCs w:val="24"/>
        </w:rPr>
        <w:t>., attiecībā uz atmaksām un avansiem pašvaldībām, un kavējumi lielākoties ir saistīti ar problēmām iepirkum</w:t>
      </w:r>
      <w:r w:rsidR="0001152F" w:rsidRPr="00B557E8">
        <w:rPr>
          <w:color w:val="000000" w:themeColor="text1"/>
          <w:szCs w:val="24"/>
        </w:rPr>
        <w:t>o</w:t>
      </w:r>
      <w:r w:rsidRPr="00B557E8">
        <w:rPr>
          <w:color w:val="000000" w:themeColor="text1"/>
          <w:szCs w:val="24"/>
        </w:rPr>
        <w:t xml:space="preserve">s, kā rezultātā ir aizkavējusies aktivitāšu realizācijas uzsākšana un pastāv termiņu neizpildes riski. Minētie kavējumi un iepirkuma problēmas profesionālo skolu aktivitātēs negatīvi ietekmē arī 2011.gada finansējuma apguves mērķu izpildi, tādēļ, lai risinātu šo situāciju, </w:t>
      </w:r>
      <w:r w:rsidR="00076C0A" w:rsidRPr="00B557E8">
        <w:rPr>
          <w:color w:val="000000" w:themeColor="text1"/>
          <w:szCs w:val="24"/>
        </w:rPr>
        <w:t>IZM</w:t>
      </w:r>
      <w:r w:rsidR="000B75C3" w:rsidRPr="00B557E8">
        <w:rPr>
          <w:color w:val="000000" w:themeColor="text1"/>
          <w:szCs w:val="24"/>
        </w:rPr>
        <w:t xml:space="preserve"> plāno</w:t>
      </w:r>
      <w:r w:rsidRPr="00B557E8">
        <w:rPr>
          <w:color w:val="000000" w:themeColor="text1"/>
          <w:szCs w:val="24"/>
        </w:rPr>
        <w:t xml:space="preserve"> veik</w:t>
      </w:r>
      <w:r w:rsidR="000B75C3" w:rsidRPr="00B557E8">
        <w:rPr>
          <w:color w:val="000000" w:themeColor="text1"/>
          <w:szCs w:val="24"/>
        </w:rPr>
        <w:t>t</w:t>
      </w:r>
      <w:r w:rsidRPr="00B557E8">
        <w:rPr>
          <w:color w:val="000000" w:themeColor="text1"/>
          <w:szCs w:val="24"/>
        </w:rPr>
        <w:t xml:space="preserve"> pārdales aktivitāšu ietvaros un grozījumus aktivitāšu finansēšanas plānos.</w:t>
      </w:r>
    </w:p>
    <w:p w:rsidR="00FC4561" w:rsidRPr="00B557E8" w:rsidRDefault="00FC4561" w:rsidP="00B557E8">
      <w:pPr>
        <w:spacing w:before="120" w:after="120" w:line="276" w:lineRule="auto"/>
        <w:rPr>
          <w:color w:val="000000" w:themeColor="text1"/>
          <w:szCs w:val="24"/>
        </w:rPr>
      </w:pPr>
      <w:r w:rsidRPr="00B557E8">
        <w:rPr>
          <w:color w:val="000000" w:themeColor="text1"/>
          <w:szCs w:val="24"/>
        </w:rPr>
        <w:t xml:space="preserve">Minētās iepirkumu problēmas un kavējumi atsevišķās profesionālās izglītības atbalsta aktivitātēs ir negatīvi ietekmējušas arī </w:t>
      </w:r>
      <w:r w:rsidR="000B75C3" w:rsidRPr="00B557E8">
        <w:rPr>
          <w:color w:val="000000" w:themeColor="text1"/>
          <w:szCs w:val="24"/>
        </w:rPr>
        <w:t xml:space="preserve"> </w:t>
      </w:r>
      <w:r w:rsidRPr="00B557E8">
        <w:rPr>
          <w:color w:val="000000" w:themeColor="text1"/>
          <w:szCs w:val="24"/>
        </w:rPr>
        <w:t xml:space="preserve">rādītāju </w:t>
      </w:r>
      <w:r w:rsidR="000B75C3" w:rsidRPr="00B557E8">
        <w:rPr>
          <w:color w:val="000000" w:themeColor="text1"/>
          <w:szCs w:val="24"/>
        </w:rPr>
        <w:t>sasniegšanu attiecībā uz atbalstīto institūciju skaitu</w:t>
      </w:r>
      <w:r w:rsidRPr="00B557E8">
        <w:rPr>
          <w:color w:val="000000" w:themeColor="text1"/>
          <w:szCs w:val="24"/>
        </w:rPr>
        <w:t xml:space="preserve">. Vienlaikus jāatzīmē, ka šobrīd jau ir uzsākta problemātisko aktivitāšu ieviešana, tādēļ sagaidāms, ka rādītāju vērtības pieaugums būs vērojams turpmākajos pārskata periodos, un šobrīd nav plānots samazināt kopējās sasniedzamās rādītāju vērtības. </w:t>
      </w:r>
    </w:p>
    <w:p w:rsidR="00AC09D1" w:rsidRPr="00B557E8" w:rsidRDefault="00FC4561" w:rsidP="00B557E8">
      <w:pPr>
        <w:spacing w:before="120" w:after="120" w:line="276" w:lineRule="auto"/>
        <w:rPr>
          <w:color w:val="000000" w:themeColor="text1"/>
          <w:szCs w:val="24"/>
        </w:rPr>
      </w:pPr>
      <w:r w:rsidRPr="00B557E8">
        <w:rPr>
          <w:color w:val="000000" w:themeColor="text1"/>
          <w:szCs w:val="24"/>
        </w:rPr>
        <w:lastRenderedPageBreak/>
        <w:t xml:space="preserve">Tai pat laikā vairākās citās </w:t>
      </w:r>
      <w:r w:rsidR="00076C0A" w:rsidRPr="00B557E8">
        <w:rPr>
          <w:color w:val="000000" w:themeColor="text1"/>
          <w:szCs w:val="24"/>
        </w:rPr>
        <w:t>IZM</w:t>
      </w:r>
      <w:r w:rsidRPr="00B557E8">
        <w:rPr>
          <w:color w:val="000000" w:themeColor="text1"/>
          <w:szCs w:val="24"/>
        </w:rPr>
        <w:t xml:space="preserve"> </w:t>
      </w:r>
      <w:proofErr w:type="spellStart"/>
      <w:r w:rsidRPr="00B557E8">
        <w:rPr>
          <w:color w:val="000000" w:themeColor="text1"/>
          <w:szCs w:val="24"/>
        </w:rPr>
        <w:t>pārziņā</w:t>
      </w:r>
      <w:proofErr w:type="spellEnd"/>
      <w:r w:rsidRPr="00B557E8">
        <w:rPr>
          <w:color w:val="000000" w:themeColor="text1"/>
          <w:szCs w:val="24"/>
        </w:rPr>
        <w:t xml:space="preserve"> esošajās aktivitātēs līdz 2011.gada 30.septembrim aktivitāšu ieviešana ir noritējusi sekmīgi un rādītāju vērtība turpinās pieaugs arī nākamajos pārskata periodos. Piemēram, līdz 2011.gada 30.septembrim kopumā 28 226 vispārējās un profesionālās izglītības pedagogi ir saņēmuši atbalstu izglītības kvalitātes nodrošināšanai un pedagogu konkurētspējas veicināšanai izglītības sistēmas optimizācijas apstākļos, un 40 963 jaunieši ir saņēmuši ESF </w:t>
      </w:r>
      <w:proofErr w:type="spellStart"/>
      <w:r w:rsidRPr="00B557E8">
        <w:rPr>
          <w:color w:val="000000" w:themeColor="text1"/>
          <w:szCs w:val="24"/>
        </w:rPr>
        <w:t>mērķstipendijas</w:t>
      </w:r>
      <w:proofErr w:type="spellEnd"/>
      <w:r w:rsidRPr="00B557E8">
        <w:rPr>
          <w:color w:val="000000" w:themeColor="text1"/>
          <w:szCs w:val="24"/>
        </w:rPr>
        <w:t xml:space="preserve"> studijām profesionālās izglītības programmās. Ņemot vērā faktu, ka ESF atbalsts </w:t>
      </w:r>
      <w:proofErr w:type="spellStart"/>
      <w:r w:rsidRPr="00B557E8">
        <w:rPr>
          <w:color w:val="000000" w:themeColor="text1"/>
          <w:szCs w:val="24"/>
        </w:rPr>
        <w:t>mērķstipendiju</w:t>
      </w:r>
      <w:proofErr w:type="spellEnd"/>
      <w:r w:rsidRPr="00B557E8">
        <w:rPr>
          <w:color w:val="000000" w:themeColor="text1"/>
          <w:szCs w:val="24"/>
        </w:rPr>
        <w:t xml:space="preserve"> veidā profesionālās izglītības pedagogiem, kā arī profesionālās izglītības, </w:t>
      </w:r>
      <w:proofErr w:type="spellStart"/>
      <w:r w:rsidRPr="00B557E8">
        <w:rPr>
          <w:color w:val="000000" w:themeColor="text1"/>
          <w:szCs w:val="24"/>
        </w:rPr>
        <w:t>t.sk</w:t>
      </w:r>
      <w:proofErr w:type="spellEnd"/>
      <w:r w:rsidRPr="00B557E8">
        <w:rPr>
          <w:color w:val="000000" w:themeColor="text1"/>
          <w:szCs w:val="24"/>
        </w:rPr>
        <w:t>., sākotnējās profesionālās izglītības programmās studējošajiem jauniešiem būs pieejams arī jaunajā 2011./2012.akadēmiskajā mācību gadā, sagaidāms, ka ESF atbalstu saņēmušo pedagogu un izglītojamo skaits turpinās pieaugt arī nākamajos pārskata periodos.</w:t>
      </w:r>
    </w:p>
    <w:p w:rsidR="00AC09D1" w:rsidRPr="00B557E8" w:rsidRDefault="00AC09D1" w:rsidP="00B557E8">
      <w:pPr>
        <w:spacing w:before="120" w:after="120" w:line="276" w:lineRule="auto"/>
        <w:rPr>
          <w:b/>
          <w:color w:val="000000" w:themeColor="text1"/>
          <w:szCs w:val="24"/>
        </w:rPr>
      </w:pPr>
      <w:r w:rsidRPr="00B557E8">
        <w:rPr>
          <w:b/>
          <w:color w:val="000000" w:themeColor="text1"/>
          <w:szCs w:val="24"/>
        </w:rPr>
        <w:t>„Nodarbinātības veicināšana un veselība darbā”</w:t>
      </w:r>
    </w:p>
    <w:p w:rsidR="00FC4561" w:rsidRPr="00B557E8" w:rsidRDefault="00FC4561" w:rsidP="00B557E8">
      <w:pPr>
        <w:spacing w:before="120" w:after="120" w:line="276" w:lineRule="auto"/>
        <w:rPr>
          <w:color w:val="000000" w:themeColor="text1"/>
          <w:szCs w:val="24"/>
        </w:rPr>
      </w:pPr>
      <w:r w:rsidRPr="00B557E8">
        <w:rPr>
          <w:color w:val="000000" w:themeColor="text1"/>
          <w:szCs w:val="24"/>
        </w:rPr>
        <w:t xml:space="preserve">Prioritāte ir vērsta uz iedzīvotāju sekmīgu iekļaušanu un noturēšanu darbaspēka tirgū, ar aktīvo nodarbinātības pasākumu un citu instrumentu atbalstu nodrošinot tiem nepieciešamās prasmes, paaugstinot darba drošību un līdztiesību darba tirgū, kā arī uzlabojot darbaspēka veselības stāvokli. Prioritātes mērķis ir veicināt iedzīvotāju sekmīgu iekļaušanos un noturēšanos darbaspēka tirgū, nodrošinot prasmes, paaugstinot drošību, veicinot līdztiesību un veselību. </w:t>
      </w:r>
    </w:p>
    <w:p w:rsidR="000B75C3" w:rsidRPr="00B557E8" w:rsidRDefault="00FC4561" w:rsidP="00B557E8">
      <w:pPr>
        <w:spacing w:before="120" w:after="120" w:line="276" w:lineRule="auto"/>
        <w:rPr>
          <w:color w:val="000000" w:themeColor="text1"/>
          <w:szCs w:val="24"/>
        </w:rPr>
      </w:pPr>
      <w:r w:rsidRPr="00B557E8">
        <w:rPr>
          <w:color w:val="000000" w:themeColor="text1"/>
          <w:szCs w:val="24"/>
        </w:rPr>
        <w:t xml:space="preserve">Nodarbinātības veicināšanas jomā kopumā budžeta izpilde vērtējama kā laba un </w:t>
      </w:r>
      <w:r w:rsidR="00076C0A" w:rsidRPr="00B557E8">
        <w:rPr>
          <w:color w:val="000000" w:themeColor="text1"/>
          <w:szCs w:val="24"/>
        </w:rPr>
        <w:t>LM</w:t>
      </w:r>
      <w:r w:rsidRPr="00B557E8">
        <w:rPr>
          <w:color w:val="000000" w:themeColor="text1"/>
          <w:szCs w:val="24"/>
        </w:rPr>
        <w:t xml:space="preserve"> administrētajās aktivitātēs arī finansējum</w:t>
      </w:r>
      <w:r w:rsidR="0001152F" w:rsidRPr="00B557E8">
        <w:rPr>
          <w:color w:val="000000" w:themeColor="text1"/>
          <w:szCs w:val="24"/>
        </w:rPr>
        <w:t>a apguve norit atbilstoši 2011.</w:t>
      </w:r>
      <w:r w:rsidRPr="00B557E8">
        <w:rPr>
          <w:color w:val="000000" w:themeColor="text1"/>
          <w:szCs w:val="24"/>
        </w:rPr>
        <w:t>gadam plānotajam mērķim</w:t>
      </w:r>
      <w:r w:rsidR="000B75C3" w:rsidRPr="00B557E8">
        <w:rPr>
          <w:color w:val="000000" w:themeColor="text1"/>
          <w:szCs w:val="24"/>
        </w:rPr>
        <w:t>.</w:t>
      </w:r>
    </w:p>
    <w:p w:rsidR="00FC4561" w:rsidRPr="00B557E8" w:rsidRDefault="000B75C3" w:rsidP="00B557E8">
      <w:pPr>
        <w:spacing w:before="120" w:after="120" w:line="276" w:lineRule="auto"/>
        <w:rPr>
          <w:color w:val="000000" w:themeColor="text1"/>
          <w:szCs w:val="24"/>
        </w:rPr>
      </w:pPr>
      <w:r w:rsidRPr="00B557E8">
        <w:rPr>
          <w:color w:val="000000" w:themeColor="text1"/>
          <w:szCs w:val="24"/>
        </w:rPr>
        <w:t>S</w:t>
      </w:r>
      <w:r w:rsidR="00FC4561" w:rsidRPr="00B557E8">
        <w:rPr>
          <w:color w:val="000000" w:themeColor="text1"/>
          <w:szCs w:val="24"/>
        </w:rPr>
        <w:t xml:space="preserve">avukārt </w:t>
      </w:r>
      <w:r w:rsidR="00076C0A" w:rsidRPr="00B557E8">
        <w:rPr>
          <w:color w:val="000000" w:themeColor="text1"/>
          <w:szCs w:val="24"/>
        </w:rPr>
        <w:t>EM</w:t>
      </w:r>
      <w:r w:rsidR="00FC4561" w:rsidRPr="00B557E8">
        <w:rPr>
          <w:color w:val="000000" w:themeColor="text1"/>
          <w:szCs w:val="24"/>
        </w:rPr>
        <w:t xml:space="preserve"> administrētajās aktivitātēs mērķa izpildi nevar uzskatīt par apmierinošu, pastāv risks par gada mērķa neizpildi, kas tiek skaidrots ar ieilgušām iepirkuma procedūrām, kā arī ilgstošu starpposma maksājumu izvērtēšanu, ņemot vērā lielo partneru skaitu aktivitāšu ietvaros īstenotajos projektos. Līdz 30. septembrim gada mērķa izpilde </w:t>
      </w:r>
      <w:r w:rsidR="00076C0A" w:rsidRPr="00B557E8">
        <w:rPr>
          <w:color w:val="000000" w:themeColor="text1"/>
          <w:szCs w:val="24"/>
        </w:rPr>
        <w:t>EM</w:t>
      </w:r>
      <w:r w:rsidR="00FC4561" w:rsidRPr="00B557E8">
        <w:rPr>
          <w:color w:val="000000" w:themeColor="text1"/>
          <w:szCs w:val="24"/>
        </w:rPr>
        <w:t xml:space="preserve"> administrētajās aktivitātēs sasniedz 55%.</w:t>
      </w:r>
    </w:p>
    <w:p w:rsidR="00FC4561" w:rsidRPr="00B557E8" w:rsidRDefault="00FC4561" w:rsidP="00B557E8">
      <w:pPr>
        <w:spacing w:before="120" w:after="120" w:line="276" w:lineRule="auto"/>
        <w:rPr>
          <w:color w:val="000000" w:themeColor="text1"/>
          <w:szCs w:val="24"/>
        </w:rPr>
      </w:pPr>
      <w:r w:rsidRPr="00B557E8">
        <w:rPr>
          <w:color w:val="000000" w:themeColor="text1"/>
          <w:szCs w:val="24"/>
        </w:rPr>
        <w:t xml:space="preserve">Pārskata periodā turpināja pieaugt vietējo nodarbinātības veicināšanas pasākumu plānu ieviešanu (80 latu stipendiju programmā), iesaistīto personu skaits, sasniedzot </w:t>
      </w:r>
      <w:r w:rsidR="00F3729F" w:rsidRPr="00B557E8">
        <w:rPr>
          <w:color w:val="000000" w:themeColor="text1"/>
          <w:szCs w:val="24"/>
        </w:rPr>
        <w:t xml:space="preserve">114 629 </w:t>
      </w:r>
      <w:r w:rsidRPr="00B557E8">
        <w:rPr>
          <w:color w:val="000000" w:themeColor="text1"/>
          <w:szCs w:val="24"/>
        </w:rPr>
        <w:t xml:space="preserve">jeb 83% no plānotās </w:t>
      </w:r>
      <w:r w:rsidR="000B75C3" w:rsidRPr="00B557E8">
        <w:rPr>
          <w:color w:val="000000" w:themeColor="text1"/>
          <w:szCs w:val="24"/>
        </w:rPr>
        <w:t xml:space="preserve">gala </w:t>
      </w:r>
      <w:r w:rsidRPr="00B557E8">
        <w:rPr>
          <w:color w:val="000000" w:themeColor="text1"/>
          <w:szCs w:val="24"/>
        </w:rPr>
        <w:t>vērtības, kas pārskata periodā tika precizēta</w:t>
      </w:r>
      <w:r w:rsidR="000B75C3" w:rsidRPr="00B557E8">
        <w:rPr>
          <w:color w:val="000000" w:themeColor="text1"/>
          <w:szCs w:val="24"/>
        </w:rPr>
        <w:t>, palielinot pieejamā finansējuma apjomu</w:t>
      </w:r>
      <w:r w:rsidRPr="00B557E8">
        <w:rPr>
          <w:color w:val="000000" w:themeColor="text1"/>
          <w:szCs w:val="24"/>
        </w:rPr>
        <w:t xml:space="preserve">. Minēto programmu paredzēts noslēgt 2011.gada </w:t>
      </w:r>
      <w:r w:rsidR="00715B76" w:rsidRPr="00B557E8">
        <w:rPr>
          <w:color w:val="000000" w:themeColor="text1"/>
          <w:szCs w:val="24"/>
        </w:rPr>
        <w:t xml:space="preserve">ceturtajā </w:t>
      </w:r>
      <w:r w:rsidRPr="00B557E8">
        <w:rPr>
          <w:color w:val="000000" w:themeColor="text1"/>
          <w:szCs w:val="24"/>
        </w:rPr>
        <w:t xml:space="preserve">ceturksnī un šobrīd tiek izstrādāta jauna programmas algotiem sabiedriskajiem darbiem. Nozīmīgs rādītāju sasniegšanas progress jāatzīmē arī citās </w:t>
      </w:r>
      <w:r w:rsidR="00076C0A" w:rsidRPr="00B557E8">
        <w:rPr>
          <w:color w:val="000000" w:themeColor="text1"/>
          <w:szCs w:val="24"/>
        </w:rPr>
        <w:t>LM</w:t>
      </w:r>
      <w:r w:rsidRPr="00B557E8">
        <w:rPr>
          <w:color w:val="000000" w:themeColor="text1"/>
          <w:szCs w:val="24"/>
        </w:rPr>
        <w:t xml:space="preserve"> </w:t>
      </w:r>
      <w:proofErr w:type="spellStart"/>
      <w:r w:rsidRPr="00B557E8">
        <w:rPr>
          <w:color w:val="000000" w:themeColor="text1"/>
          <w:szCs w:val="24"/>
        </w:rPr>
        <w:t>pārziņā</w:t>
      </w:r>
      <w:proofErr w:type="spellEnd"/>
      <w:r w:rsidRPr="00B557E8">
        <w:rPr>
          <w:color w:val="000000" w:themeColor="text1"/>
          <w:szCs w:val="24"/>
        </w:rPr>
        <w:t xml:space="preserve"> esošajās nodarbinātības veicināšanas aktivitātēs. Līdz septembra beigām modulārās apmācībās, pārkvalifikācijas un tālākizglītības pasākumos atbalstu saņēmuši 88 </w:t>
      </w:r>
      <w:r w:rsidR="00996D86" w:rsidRPr="00B557E8">
        <w:rPr>
          <w:color w:val="000000" w:themeColor="text1"/>
          <w:szCs w:val="24"/>
        </w:rPr>
        <w:t xml:space="preserve">090 </w:t>
      </w:r>
      <w:r w:rsidRPr="00B557E8">
        <w:rPr>
          <w:color w:val="000000" w:themeColor="text1"/>
          <w:szCs w:val="24"/>
        </w:rPr>
        <w:t xml:space="preserve">bezdarbnieki un darba meklētāji jeb 74% no plānotās </w:t>
      </w:r>
      <w:r w:rsidR="000B75C3" w:rsidRPr="00B557E8">
        <w:rPr>
          <w:color w:val="000000" w:themeColor="text1"/>
          <w:szCs w:val="24"/>
        </w:rPr>
        <w:t xml:space="preserve">gala </w:t>
      </w:r>
      <w:r w:rsidRPr="00B557E8">
        <w:rPr>
          <w:color w:val="000000" w:themeColor="text1"/>
          <w:szCs w:val="24"/>
        </w:rPr>
        <w:t>rādītāja vērtības 2013. gadam, kas pārskata periodā tika paaugstināta, ņemot vērā pieprasījumu pēc aktīvās darba tirgus politikas pasākumiem</w:t>
      </w:r>
      <w:r w:rsidR="000B75C3" w:rsidRPr="00B557E8">
        <w:rPr>
          <w:color w:val="000000" w:themeColor="text1"/>
          <w:szCs w:val="24"/>
        </w:rPr>
        <w:t xml:space="preserve"> un pieejamo papildu finansējumu</w:t>
      </w:r>
      <w:r w:rsidRPr="00B557E8">
        <w:rPr>
          <w:color w:val="000000" w:themeColor="text1"/>
          <w:szCs w:val="24"/>
        </w:rPr>
        <w:t>.</w:t>
      </w:r>
    </w:p>
    <w:p w:rsidR="00FC4561" w:rsidRPr="00B557E8" w:rsidRDefault="00FC4561" w:rsidP="00B557E8">
      <w:pPr>
        <w:spacing w:before="120" w:after="120" w:line="276" w:lineRule="auto"/>
        <w:rPr>
          <w:color w:val="000000" w:themeColor="text1"/>
          <w:szCs w:val="24"/>
          <w:u w:val="single"/>
        </w:rPr>
      </w:pPr>
      <w:r w:rsidRPr="00B557E8">
        <w:rPr>
          <w:color w:val="000000" w:themeColor="text1"/>
          <w:szCs w:val="24"/>
          <w:u w:val="single"/>
        </w:rPr>
        <w:t xml:space="preserve">Instruments uzņēmējdarbības un </w:t>
      </w:r>
      <w:proofErr w:type="spellStart"/>
      <w:r w:rsidRPr="00B557E8">
        <w:rPr>
          <w:color w:val="000000" w:themeColor="text1"/>
          <w:szCs w:val="24"/>
          <w:u w:val="single"/>
        </w:rPr>
        <w:t>pašnodarbinātības</w:t>
      </w:r>
      <w:proofErr w:type="spellEnd"/>
      <w:r w:rsidRPr="00B557E8">
        <w:rPr>
          <w:color w:val="000000" w:themeColor="text1"/>
          <w:szCs w:val="24"/>
          <w:u w:val="single"/>
        </w:rPr>
        <w:t xml:space="preserve"> veicināšanai</w:t>
      </w:r>
    </w:p>
    <w:p w:rsidR="00FC4561" w:rsidRPr="00B557E8" w:rsidRDefault="00FC4561" w:rsidP="00B557E8">
      <w:pPr>
        <w:spacing w:before="120" w:after="120" w:line="276" w:lineRule="auto"/>
        <w:rPr>
          <w:color w:val="000000" w:themeColor="text1"/>
          <w:szCs w:val="24"/>
        </w:rPr>
      </w:pPr>
      <w:r w:rsidRPr="00B557E8">
        <w:rPr>
          <w:color w:val="000000" w:themeColor="text1"/>
          <w:szCs w:val="24"/>
        </w:rPr>
        <w:t>Ar L</w:t>
      </w:r>
      <w:r w:rsidR="000B75C3" w:rsidRPr="00B557E8">
        <w:rPr>
          <w:color w:val="000000" w:themeColor="text1"/>
          <w:szCs w:val="24"/>
        </w:rPr>
        <w:t>HZB</w:t>
      </w:r>
      <w:r w:rsidRPr="00B557E8">
        <w:rPr>
          <w:color w:val="000000" w:themeColor="text1"/>
          <w:szCs w:val="24"/>
        </w:rPr>
        <w:t xml:space="preserve"> starpniecību potenciālajiem komersantiem un pašnodarbinātajiem, kā arī jaundibinātajiem komersantiem tiek sniegts ESF atbalsts uzņēmējdarbības un </w:t>
      </w:r>
      <w:proofErr w:type="spellStart"/>
      <w:r w:rsidRPr="00B557E8">
        <w:rPr>
          <w:color w:val="000000" w:themeColor="text1"/>
          <w:szCs w:val="24"/>
        </w:rPr>
        <w:t>pašnodarbinātības</w:t>
      </w:r>
      <w:proofErr w:type="spellEnd"/>
      <w:r w:rsidRPr="00B557E8">
        <w:rPr>
          <w:color w:val="000000" w:themeColor="text1"/>
          <w:szCs w:val="24"/>
        </w:rPr>
        <w:t xml:space="preserve"> veicināšanai – programmas „Atbalsts uzņēmējdarbības un </w:t>
      </w:r>
      <w:proofErr w:type="spellStart"/>
      <w:r w:rsidRPr="00B557E8">
        <w:rPr>
          <w:color w:val="000000" w:themeColor="text1"/>
          <w:szCs w:val="24"/>
        </w:rPr>
        <w:t>pašnodarbinātības</w:t>
      </w:r>
      <w:proofErr w:type="spellEnd"/>
      <w:r w:rsidRPr="00B557E8">
        <w:rPr>
          <w:color w:val="000000" w:themeColor="text1"/>
          <w:szCs w:val="24"/>
        </w:rPr>
        <w:t xml:space="preserve"> uzsākšanai” ietvaros. Atbalsta programmas finansējums ir 23,0 </w:t>
      </w:r>
      <w:proofErr w:type="spellStart"/>
      <w:r w:rsidRPr="00B557E8">
        <w:rPr>
          <w:color w:val="000000" w:themeColor="text1"/>
          <w:szCs w:val="24"/>
        </w:rPr>
        <w:t>milj</w:t>
      </w:r>
      <w:proofErr w:type="spellEnd"/>
      <w:r w:rsidRPr="00B557E8">
        <w:rPr>
          <w:color w:val="000000" w:themeColor="text1"/>
          <w:szCs w:val="24"/>
        </w:rPr>
        <w:t xml:space="preserve">. latu – 12,2 </w:t>
      </w:r>
      <w:proofErr w:type="spellStart"/>
      <w:r w:rsidRPr="00B557E8">
        <w:rPr>
          <w:color w:val="000000" w:themeColor="text1"/>
          <w:szCs w:val="24"/>
        </w:rPr>
        <w:t>milj</w:t>
      </w:r>
      <w:proofErr w:type="spellEnd"/>
      <w:r w:rsidRPr="00B557E8">
        <w:rPr>
          <w:color w:val="000000" w:themeColor="text1"/>
          <w:szCs w:val="24"/>
        </w:rPr>
        <w:t xml:space="preserve">. latu ESF finansējums, 2,1 </w:t>
      </w:r>
      <w:proofErr w:type="spellStart"/>
      <w:r w:rsidRPr="00B557E8">
        <w:rPr>
          <w:color w:val="000000" w:themeColor="text1"/>
          <w:szCs w:val="24"/>
        </w:rPr>
        <w:t>milj</w:t>
      </w:r>
      <w:proofErr w:type="spellEnd"/>
      <w:r w:rsidRPr="00B557E8">
        <w:rPr>
          <w:color w:val="000000" w:themeColor="text1"/>
          <w:szCs w:val="24"/>
        </w:rPr>
        <w:t xml:space="preserve">. latu valsts budžeta finansējums un 8,7 </w:t>
      </w:r>
      <w:proofErr w:type="spellStart"/>
      <w:r w:rsidRPr="00B557E8">
        <w:rPr>
          <w:color w:val="000000" w:themeColor="text1"/>
          <w:szCs w:val="24"/>
        </w:rPr>
        <w:t>milj</w:t>
      </w:r>
      <w:proofErr w:type="spellEnd"/>
      <w:r w:rsidRPr="00B557E8">
        <w:rPr>
          <w:color w:val="000000" w:themeColor="text1"/>
          <w:szCs w:val="24"/>
        </w:rPr>
        <w:t xml:space="preserve">. latu ir LHZB papildu līdzfinansējums. </w:t>
      </w:r>
      <w:r w:rsidR="00E57857" w:rsidRPr="00B557E8">
        <w:rPr>
          <w:color w:val="000000" w:themeColor="text1"/>
          <w:szCs w:val="24"/>
        </w:rPr>
        <w:lastRenderedPageBreak/>
        <w:t>16</w:t>
      </w:r>
      <w:r w:rsidRPr="00B557E8">
        <w:rPr>
          <w:color w:val="000000" w:themeColor="text1"/>
          <w:szCs w:val="24"/>
        </w:rPr>
        <w:t xml:space="preserve">,5 </w:t>
      </w:r>
      <w:proofErr w:type="spellStart"/>
      <w:r w:rsidRPr="00B557E8">
        <w:rPr>
          <w:color w:val="000000" w:themeColor="text1"/>
          <w:szCs w:val="24"/>
        </w:rPr>
        <w:t>milj</w:t>
      </w:r>
      <w:proofErr w:type="spellEnd"/>
      <w:r w:rsidRPr="00B557E8">
        <w:rPr>
          <w:color w:val="000000" w:themeColor="text1"/>
          <w:szCs w:val="24"/>
        </w:rPr>
        <w:t>. latu paredzēti aizdevumu nodrošināšanai, 4</w:t>
      </w:r>
      <w:r w:rsidR="00E57857" w:rsidRPr="00B557E8">
        <w:rPr>
          <w:color w:val="000000" w:themeColor="text1"/>
          <w:szCs w:val="24"/>
        </w:rPr>
        <w:t>,3</w:t>
      </w:r>
      <w:r w:rsidRPr="00B557E8">
        <w:rPr>
          <w:color w:val="000000" w:themeColor="text1"/>
          <w:szCs w:val="24"/>
        </w:rPr>
        <w:t xml:space="preserve"> </w:t>
      </w:r>
      <w:proofErr w:type="spellStart"/>
      <w:r w:rsidRPr="00B557E8">
        <w:rPr>
          <w:color w:val="000000" w:themeColor="text1"/>
          <w:szCs w:val="24"/>
        </w:rPr>
        <w:t>milj</w:t>
      </w:r>
      <w:proofErr w:type="spellEnd"/>
      <w:r w:rsidRPr="00B557E8">
        <w:rPr>
          <w:color w:val="000000" w:themeColor="text1"/>
          <w:szCs w:val="24"/>
        </w:rPr>
        <w:t xml:space="preserve">. latu grantu izsniegšanai, 0,6 </w:t>
      </w:r>
      <w:proofErr w:type="spellStart"/>
      <w:r w:rsidRPr="00B557E8">
        <w:rPr>
          <w:color w:val="000000" w:themeColor="text1"/>
          <w:szCs w:val="24"/>
        </w:rPr>
        <w:t>milj</w:t>
      </w:r>
      <w:proofErr w:type="spellEnd"/>
      <w:r w:rsidRPr="00B557E8">
        <w:rPr>
          <w:color w:val="000000" w:themeColor="text1"/>
          <w:szCs w:val="24"/>
        </w:rPr>
        <w:t xml:space="preserve">. latu jauno komersantu apmācībai un 1,6 </w:t>
      </w:r>
      <w:proofErr w:type="spellStart"/>
      <w:r w:rsidRPr="00B557E8">
        <w:rPr>
          <w:color w:val="000000" w:themeColor="text1"/>
          <w:szCs w:val="24"/>
        </w:rPr>
        <w:t>milj</w:t>
      </w:r>
      <w:proofErr w:type="spellEnd"/>
      <w:r w:rsidRPr="00B557E8">
        <w:rPr>
          <w:color w:val="000000" w:themeColor="text1"/>
          <w:szCs w:val="24"/>
        </w:rPr>
        <w:t>. latu aizdevumu fonda darbības nodrošināšanai.</w:t>
      </w:r>
    </w:p>
    <w:p w:rsidR="00FC4561" w:rsidRPr="00B557E8" w:rsidRDefault="00FC4561" w:rsidP="00B557E8">
      <w:pPr>
        <w:spacing w:before="120" w:after="120" w:line="276" w:lineRule="auto"/>
        <w:rPr>
          <w:color w:val="000000" w:themeColor="text1"/>
          <w:szCs w:val="24"/>
        </w:rPr>
      </w:pPr>
      <w:r w:rsidRPr="00B557E8">
        <w:rPr>
          <w:color w:val="000000" w:themeColor="text1"/>
          <w:szCs w:val="24"/>
        </w:rPr>
        <w:t xml:space="preserve">Projekta ietvaros atbalsts tiek sniegts jaunizveidotiem un līdz </w:t>
      </w:r>
      <w:r w:rsidR="0001152F" w:rsidRPr="00B557E8">
        <w:rPr>
          <w:color w:val="000000" w:themeColor="text1"/>
          <w:szCs w:val="24"/>
        </w:rPr>
        <w:t>trīs</w:t>
      </w:r>
      <w:r w:rsidRPr="00B557E8">
        <w:rPr>
          <w:color w:val="000000" w:themeColor="text1"/>
          <w:szCs w:val="24"/>
        </w:rPr>
        <w:t xml:space="preserve"> gadu</w:t>
      </w:r>
      <w:r w:rsidR="003B10DB" w:rsidRPr="00B557E8">
        <w:rPr>
          <w:color w:val="000000" w:themeColor="text1"/>
          <w:szCs w:val="24"/>
        </w:rPr>
        <w:t>s</w:t>
      </w:r>
      <w:r w:rsidRPr="00B557E8">
        <w:rPr>
          <w:color w:val="000000" w:themeColor="text1"/>
          <w:szCs w:val="24"/>
        </w:rPr>
        <w:t xml:space="preserve"> veciem uzņēmumiem, kuru biznesa plāni nepārsniedz 60 </w:t>
      </w:r>
      <w:proofErr w:type="spellStart"/>
      <w:r w:rsidRPr="00B557E8">
        <w:rPr>
          <w:color w:val="000000" w:themeColor="text1"/>
          <w:szCs w:val="24"/>
        </w:rPr>
        <w:t>tūkst</w:t>
      </w:r>
      <w:proofErr w:type="spellEnd"/>
      <w:r w:rsidRPr="00B557E8">
        <w:rPr>
          <w:color w:val="000000" w:themeColor="text1"/>
          <w:szCs w:val="24"/>
        </w:rPr>
        <w:t>. latu. Kopumā programmas ietvaros plānots sniegt konsultācijas 1200 potenciālajiem komersantiem, apmācības 900 potenciālajiem komersantiem un sniegt finansiālu atbalstu 600 jaunajiem komersantiem. Programma tiek īstenota no 2009.gada 21.augusta līdz 2015.gada 30.jūnijam.</w:t>
      </w:r>
    </w:p>
    <w:p w:rsidR="00FC4561" w:rsidRPr="00B557E8" w:rsidRDefault="004A1F43" w:rsidP="00B557E8">
      <w:pPr>
        <w:spacing w:before="120" w:after="120" w:line="276" w:lineRule="auto"/>
        <w:rPr>
          <w:color w:val="000000" w:themeColor="text1"/>
          <w:szCs w:val="24"/>
        </w:rPr>
      </w:pPr>
      <w:r w:rsidRPr="00B557E8">
        <w:rPr>
          <w:color w:val="000000" w:themeColor="text1"/>
          <w:szCs w:val="24"/>
        </w:rPr>
        <w:t xml:space="preserve">Līdz 2011.gada 30.septembrim parakstītas vienošanās par dalību programmā </w:t>
      </w:r>
      <w:r w:rsidR="00C5415E" w:rsidRPr="00B557E8">
        <w:rPr>
          <w:color w:val="000000" w:themeColor="text1"/>
          <w:szCs w:val="24"/>
        </w:rPr>
        <w:t xml:space="preserve">8,3 </w:t>
      </w:r>
      <w:proofErr w:type="spellStart"/>
      <w:r w:rsidRPr="00B557E8">
        <w:rPr>
          <w:color w:val="000000" w:themeColor="text1"/>
          <w:szCs w:val="24"/>
        </w:rPr>
        <w:t>milj</w:t>
      </w:r>
      <w:proofErr w:type="spellEnd"/>
      <w:r w:rsidRPr="00B557E8">
        <w:rPr>
          <w:color w:val="000000" w:themeColor="text1"/>
          <w:szCs w:val="24"/>
        </w:rPr>
        <w:t>. latu apmērā, v</w:t>
      </w:r>
      <w:r w:rsidR="00C5415E" w:rsidRPr="00B557E8">
        <w:rPr>
          <w:color w:val="000000" w:themeColor="text1"/>
          <w:szCs w:val="24"/>
        </w:rPr>
        <w:t>eikti maksājumi 6,9</w:t>
      </w:r>
      <w:r w:rsidRPr="00B557E8">
        <w:rPr>
          <w:color w:val="000000" w:themeColor="text1"/>
          <w:szCs w:val="24"/>
        </w:rPr>
        <w:t xml:space="preserve">  </w:t>
      </w:r>
      <w:proofErr w:type="spellStart"/>
      <w:r w:rsidRPr="00B557E8">
        <w:rPr>
          <w:color w:val="000000" w:themeColor="text1"/>
          <w:szCs w:val="24"/>
        </w:rPr>
        <w:t>milj</w:t>
      </w:r>
      <w:proofErr w:type="spellEnd"/>
      <w:r w:rsidRPr="00B557E8">
        <w:rPr>
          <w:color w:val="000000" w:themeColor="text1"/>
          <w:szCs w:val="24"/>
        </w:rPr>
        <w:t xml:space="preserve">. latu apjomā; izsniegti 482 aizdevumi un granti. Vidējais aizdevuma apjoms ir 13,9 </w:t>
      </w:r>
      <w:proofErr w:type="spellStart"/>
      <w:r w:rsidRPr="00B557E8">
        <w:rPr>
          <w:color w:val="000000" w:themeColor="text1"/>
          <w:szCs w:val="24"/>
        </w:rPr>
        <w:t>tūkst</w:t>
      </w:r>
      <w:proofErr w:type="spellEnd"/>
      <w:r w:rsidRPr="00B557E8">
        <w:rPr>
          <w:color w:val="000000" w:themeColor="text1"/>
          <w:szCs w:val="24"/>
        </w:rPr>
        <w:t xml:space="preserve">. latu, kas skaidrojams ar atbalsta programmas nosacījumiem – aizdevumiem līdz 17,5 </w:t>
      </w:r>
      <w:proofErr w:type="spellStart"/>
      <w:r w:rsidRPr="00B557E8">
        <w:rPr>
          <w:color w:val="000000" w:themeColor="text1"/>
          <w:szCs w:val="24"/>
        </w:rPr>
        <w:t>tūkst</w:t>
      </w:r>
      <w:proofErr w:type="spellEnd"/>
      <w:r w:rsidRPr="00B557E8">
        <w:rPr>
          <w:color w:val="000000" w:themeColor="text1"/>
          <w:szCs w:val="24"/>
        </w:rPr>
        <w:t>. latu nav aizdevuma nodrošinājuma prasību, turklāt jaunie uzņēmēji, uzsākot uzņēmējdarbību, dod priekšroku nelieliem aizdevumiem, tādējādi mazinot risku iespējamās neveiksmes gadījumā.</w:t>
      </w:r>
    </w:p>
    <w:p w:rsidR="00FC4561" w:rsidRPr="00B557E8" w:rsidRDefault="00FC4561" w:rsidP="00B557E8">
      <w:pPr>
        <w:spacing w:before="120" w:after="120" w:line="276" w:lineRule="auto"/>
        <w:rPr>
          <w:color w:val="000000" w:themeColor="text1"/>
          <w:szCs w:val="24"/>
        </w:rPr>
      </w:pPr>
      <w:r w:rsidRPr="00B557E8">
        <w:rPr>
          <w:color w:val="000000" w:themeColor="text1"/>
          <w:szCs w:val="24"/>
        </w:rPr>
        <w:t>Tabula Nr.</w:t>
      </w:r>
      <w:r w:rsidR="00BD44F1" w:rsidRPr="00B557E8">
        <w:rPr>
          <w:color w:val="000000" w:themeColor="text1"/>
          <w:szCs w:val="24"/>
        </w:rPr>
        <w:t>1</w:t>
      </w:r>
      <w:r w:rsidRPr="00B557E8">
        <w:rPr>
          <w:i/>
          <w:iCs/>
          <w:color w:val="000000" w:themeColor="text1"/>
          <w:szCs w:val="24"/>
        </w:rPr>
        <w:t xml:space="preserve"> „Finanšu apguves progress aktivitātes „Atbalsts uzņēmējdarbības un </w:t>
      </w:r>
      <w:proofErr w:type="spellStart"/>
      <w:r w:rsidRPr="00B557E8">
        <w:rPr>
          <w:i/>
          <w:iCs/>
          <w:color w:val="000000" w:themeColor="text1"/>
          <w:szCs w:val="24"/>
        </w:rPr>
        <w:t>pašnodarbinātības</w:t>
      </w:r>
      <w:proofErr w:type="spellEnd"/>
      <w:r w:rsidRPr="00B557E8">
        <w:rPr>
          <w:i/>
          <w:iCs/>
          <w:color w:val="000000" w:themeColor="text1"/>
          <w:szCs w:val="24"/>
        </w:rPr>
        <w:t xml:space="preserve"> uzsākšanai</w:t>
      </w:r>
      <w:r w:rsidR="00E57857" w:rsidRPr="00B557E8">
        <w:rPr>
          <w:i/>
          <w:iCs/>
          <w:color w:val="000000" w:themeColor="text1"/>
          <w:szCs w:val="24"/>
        </w:rPr>
        <w:t xml:space="preserve"> pret kopējo aktivitātei pieejamo finansējumu</w:t>
      </w:r>
      <w:r w:rsidRPr="00B557E8">
        <w:rPr>
          <w:i/>
          <w:iCs/>
          <w:color w:val="000000" w:themeColor="text1"/>
          <w:szCs w:val="24"/>
        </w:rPr>
        <w:t>” ietvaros; LVL</w:t>
      </w:r>
      <w:r w:rsidR="00BD44F1" w:rsidRPr="00B557E8">
        <w:rPr>
          <w:i/>
          <w:iCs/>
          <w:color w:val="000000" w:themeColor="text1"/>
          <w:szCs w:val="24"/>
        </w:rPr>
        <w:t>.</w:t>
      </w:r>
      <w:r w:rsidRPr="00B557E8">
        <w:rPr>
          <w:i/>
          <w:iCs/>
          <w:color w:val="000000" w:themeColor="text1"/>
          <w:szCs w:val="24"/>
        </w:rPr>
        <w:t>”</w:t>
      </w:r>
    </w:p>
    <w:tbl>
      <w:tblPr>
        <w:tblW w:w="9377" w:type="dxa"/>
        <w:jc w:val="center"/>
        <w:tblLayout w:type="fixed"/>
        <w:tblLook w:val="04A0" w:firstRow="1" w:lastRow="0" w:firstColumn="1" w:lastColumn="0" w:noHBand="0" w:noVBand="1"/>
      </w:tblPr>
      <w:tblGrid>
        <w:gridCol w:w="1149"/>
        <w:gridCol w:w="1134"/>
        <w:gridCol w:w="709"/>
        <w:gridCol w:w="1017"/>
        <w:gridCol w:w="850"/>
        <w:gridCol w:w="968"/>
        <w:gridCol w:w="709"/>
        <w:gridCol w:w="1017"/>
        <w:gridCol w:w="850"/>
        <w:gridCol w:w="974"/>
      </w:tblGrid>
      <w:tr w:rsidR="00B557E8" w:rsidRPr="00B557E8" w:rsidTr="00614290">
        <w:trPr>
          <w:cantSplit/>
          <w:trHeight w:val="300"/>
          <w:jc w:val="center"/>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743D" w:rsidRPr="00B557E8" w:rsidRDefault="00CC743D" w:rsidP="00B557E8">
            <w:pPr>
              <w:spacing w:line="276" w:lineRule="auto"/>
              <w:rPr>
                <w:color w:val="000000" w:themeColor="text1"/>
                <w:sz w:val="20"/>
                <w:lang w:eastAsia="lv-LV"/>
              </w:rPr>
            </w:pPr>
            <w:r w:rsidRPr="00B557E8">
              <w:rPr>
                <w:color w:val="000000" w:themeColor="text1"/>
                <w:sz w:val="20"/>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6E3BC"/>
            <w:noWrap/>
            <w:vAlign w:val="center"/>
            <w:hideMark/>
          </w:tcPr>
          <w:p w:rsidR="00CC743D" w:rsidRPr="00B557E8" w:rsidRDefault="00CC743D" w:rsidP="00B557E8">
            <w:pPr>
              <w:spacing w:line="276" w:lineRule="auto"/>
              <w:rPr>
                <w:b/>
                <w:bCs/>
                <w:color w:val="000000" w:themeColor="text1"/>
                <w:sz w:val="20"/>
                <w:lang w:eastAsia="lv-LV"/>
              </w:rPr>
            </w:pPr>
            <w:r w:rsidRPr="00B557E8">
              <w:rPr>
                <w:b/>
                <w:bCs/>
                <w:color w:val="000000" w:themeColor="text1"/>
                <w:sz w:val="20"/>
                <w:lang w:eastAsia="lv-LV"/>
              </w:rPr>
              <w:t xml:space="preserve">Kopējais </w:t>
            </w:r>
            <w:proofErr w:type="spellStart"/>
            <w:r w:rsidRPr="00B557E8">
              <w:rPr>
                <w:b/>
                <w:bCs/>
                <w:color w:val="000000" w:themeColor="text1"/>
                <w:sz w:val="20"/>
                <w:lang w:eastAsia="lv-LV"/>
              </w:rPr>
              <w:t>finan-sējums</w:t>
            </w:r>
            <w:proofErr w:type="spellEnd"/>
            <w:r w:rsidRPr="00B557E8">
              <w:rPr>
                <w:b/>
                <w:bCs/>
                <w:color w:val="000000" w:themeColor="text1"/>
                <w:sz w:val="20"/>
                <w:lang w:eastAsia="lv-LV"/>
              </w:rPr>
              <w:t xml:space="preserve"> </w:t>
            </w:r>
          </w:p>
        </w:tc>
        <w:tc>
          <w:tcPr>
            <w:tcW w:w="3544" w:type="dxa"/>
            <w:gridSpan w:val="4"/>
            <w:tcBorders>
              <w:top w:val="single" w:sz="4" w:space="0" w:color="auto"/>
              <w:left w:val="nil"/>
              <w:bottom w:val="single" w:sz="4" w:space="0" w:color="auto"/>
              <w:right w:val="single" w:sz="4" w:space="0" w:color="auto"/>
            </w:tcBorders>
            <w:shd w:val="clear" w:color="000000" w:fill="D6E3BC"/>
            <w:vAlign w:val="center"/>
            <w:hideMark/>
          </w:tcPr>
          <w:p w:rsidR="00CC743D" w:rsidRPr="00B557E8" w:rsidRDefault="00CC743D" w:rsidP="00B557E8">
            <w:pPr>
              <w:spacing w:line="276" w:lineRule="auto"/>
              <w:rPr>
                <w:b/>
                <w:bCs/>
                <w:color w:val="000000" w:themeColor="text1"/>
                <w:sz w:val="20"/>
                <w:lang w:eastAsia="lv-LV"/>
              </w:rPr>
            </w:pPr>
            <w:r w:rsidRPr="00B557E8">
              <w:rPr>
                <w:b/>
                <w:bCs/>
                <w:color w:val="000000" w:themeColor="text1"/>
                <w:sz w:val="20"/>
                <w:lang w:eastAsia="lv-LV"/>
              </w:rPr>
              <w:t xml:space="preserve">Apstiprināti projekti </w:t>
            </w:r>
          </w:p>
        </w:tc>
        <w:tc>
          <w:tcPr>
            <w:tcW w:w="3550" w:type="dxa"/>
            <w:gridSpan w:val="4"/>
            <w:tcBorders>
              <w:top w:val="single" w:sz="4" w:space="0" w:color="auto"/>
              <w:left w:val="nil"/>
              <w:bottom w:val="single" w:sz="4" w:space="0" w:color="auto"/>
              <w:right w:val="single" w:sz="4" w:space="0" w:color="auto"/>
            </w:tcBorders>
            <w:shd w:val="clear" w:color="000000" w:fill="D6E3BC"/>
            <w:vAlign w:val="center"/>
            <w:hideMark/>
          </w:tcPr>
          <w:p w:rsidR="00CC743D" w:rsidRPr="00B557E8" w:rsidRDefault="00CC743D" w:rsidP="00B557E8">
            <w:pPr>
              <w:spacing w:line="276" w:lineRule="auto"/>
              <w:rPr>
                <w:b/>
                <w:bCs/>
                <w:color w:val="000000" w:themeColor="text1"/>
                <w:sz w:val="20"/>
                <w:lang w:eastAsia="lv-LV"/>
              </w:rPr>
            </w:pPr>
            <w:r w:rsidRPr="00B557E8">
              <w:rPr>
                <w:b/>
                <w:bCs/>
                <w:color w:val="000000" w:themeColor="text1"/>
                <w:sz w:val="20"/>
                <w:lang w:eastAsia="lv-LV"/>
              </w:rPr>
              <w:t xml:space="preserve">Noslēgti līgumi </w:t>
            </w:r>
          </w:p>
        </w:tc>
      </w:tr>
      <w:tr w:rsidR="00B557E8" w:rsidRPr="00B557E8" w:rsidTr="00614290">
        <w:trPr>
          <w:cantSplit/>
          <w:trHeight w:val="2040"/>
          <w:jc w:val="center"/>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CC743D" w:rsidRPr="00B557E8" w:rsidRDefault="00CC743D" w:rsidP="00B557E8">
            <w:pPr>
              <w:spacing w:line="276" w:lineRule="auto"/>
              <w:rPr>
                <w:color w:val="000000" w:themeColor="text1"/>
                <w:sz w:val="2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C743D" w:rsidRPr="00B557E8" w:rsidRDefault="00CC743D" w:rsidP="00B557E8">
            <w:pPr>
              <w:spacing w:line="276" w:lineRule="auto"/>
              <w:rPr>
                <w:b/>
                <w:bCs/>
                <w:color w:val="000000" w:themeColor="text1"/>
                <w:sz w:val="20"/>
                <w:lang w:eastAsia="lv-LV"/>
              </w:rPr>
            </w:pPr>
          </w:p>
        </w:tc>
        <w:tc>
          <w:tcPr>
            <w:tcW w:w="709" w:type="dxa"/>
            <w:tcBorders>
              <w:top w:val="nil"/>
              <w:left w:val="nil"/>
              <w:bottom w:val="single" w:sz="4" w:space="0" w:color="auto"/>
              <w:right w:val="single" w:sz="4" w:space="0" w:color="auto"/>
            </w:tcBorders>
            <w:shd w:val="clear" w:color="000000" w:fill="E6EED5"/>
            <w:vAlign w:val="center"/>
            <w:hideMark/>
          </w:tcPr>
          <w:p w:rsidR="00CC743D" w:rsidRPr="00B557E8" w:rsidRDefault="00CC743D" w:rsidP="00B557E8">
            <w:pPr>
              <w:spacing w:line="276" w:lineRule="auto"/>
              <w:rPr>
                <w:color w:val="000000" w:themeColor="text1"/>
                <w:sz w:val="20"/>
                <w:lang w:eastAsia="lv-LV"/>
              </w:rPr>
            </w:pPr>
            <w:r w:rsidRPr="00B557E8">
              <w:rPr>
                <w:rFonts w:eastAsia="Calibri"/>
                <w:color w:val="000000" w:themeColor="text1"/>
                <w:sz w:val="20"/>
                <w:lang w:eastAsia="lv-LV"/>
              </w:rPr>
              <w:t>Skaits</w:t>
            </w:r>
          </w:p>
        </w:tc>
        <w:tc>
          <w:tcPr>
            <w:tcW w:w="1017" w:type="dxa"/>
            <w:tcBorders>
              <w:top w:val="nil"/>
              <w:left w:val="nil"/>
              <w:bottom w:val="single" w:sz="4" w:space="0" w:color="auto"/>
              <w:right w:val="single" w:sz="4" w:space="0" w:color="auto"/>
            </w:tcBorders>
            <w:shd w:val="clear" w:color="000000" w:fill="E6EED5"/>
            <w:vAlign w:val="center"/>
            <w:hideMark/>
          </w:tcPr>
          <w:p w:rsidR="00CC743D" w:rsidRPr="00B557E8" w:rsidRDefault="00CC743D" w:rsidP="00B557E8">
            <w:pPr>
              <w:spacing w:line="276" w:lineRule="auto"/>
              <w:rPr>
                <w:color w:val="000000" w:themeColor="text1"/>
                <w:sz w:val="20"/>
                <w:lang w:eastAsia="lv-LV"/>
              </w:rPr>
            </w:pPr>
            <w:r w:rsidRPr="00B557E8">
              <w:rPr>
                <w:rFonts w:eastAsia="Calibri"/>
                <w:color w:val="000000" w:themeColor="text1"/>
                <w:sz w:val="20"/>
                <w:lang w:eastAsia="lv-LV"/>
              </w:rPr>
              <w:t xml:space="preserve">Kopējais </w:t>
            </w:r>
            <w:proofErr w:type="spellStart"/>
            <w:r w:rsidRPr="00B557E8">
              <w:rPr>
                <w:rFonts w:eastAsia="Calibri"/>
                <w:color w:val="000000" w:themeColor="text1"/>
                <w:sz w:val="20"/>
                <w:lang w:eastAsia="lv-LV"/>
              </w:rPr>
              <w:t>finan-sējums</w:t>
            </w:r>
            <w:proofErr w:type="spellEnd"/>
            <w:r w:rsidRPr="00B557E8">
              <w:rPr>
                <w:rFonts w:eastAsia="Calibri"/>
                <w:color w:val="000000" w:themeColor="text1"/>
                <w:sz w:val="20"/>
                <w:lang w:eastAsia="lv-LV"/>
              </w:rPr>
              <w:t xml:space="preserve"> </w:t>
            </w:r>
          </w:p>
        </w:tc>
        <w:tc>
          <w:tcPr>
            <w:tcW w:w="850" w:type="dxa"/>
            <w:tcBorders>
              <w:top w:val="nil"/>
              <w:left w:val="nil"/>
              <w:bottom w:val="single" w:sz="4" w:space="0" w:color="auto"/>
              <w:right w:val="single" w:sz="4" w:space="0" w:color="auto"/>
            </w:tcBorders>
            <w:shd w:val="clear" w:color="000000" w:fill="E6EED5"/>
            <w:vAlign w:val="center"/>
            <w:hideMark/>
          </w:tcPr>
          <w:p w:rsidR="00CC743D" w:rsidRPr="00B557E8" w:rsidRDefault="00CC743D" w:rsidP="00B557E8">
            <w:pPr>
              <w:spacing w:line="276" w:lineRule="auto"/>
              <w:rPr>
                <w:color w:val="000000" w:themeColor="text1"/>
                <w:sz w:val="20"/>
                <w:lang w:eastAsia="lv-LV"/>
              </w:rPr>
            </w:pPr>
            <w:r w:rsidRPr="00B557E8">
              <w:rPr>
                <w:rFonts w:eastAsia="Calibri"/>
                <w:color w:val="000000" w:themeColor="text1"/>
                <w:sz w:val="20"/>
                <w:lang w:eastAsia="lv-LV"/>
              </w:rPr>
              <w:t>% no pie</w:t>
            </w:r>
            <w:r w:rsidR="00614290" w:rsidRPr="00B557E8">
              <w:rPr>
                <w:rFonts w:eastAsia="Calibri"/>
                <w:color w:val="000000" w:themeColor="text1"/>
                <w:sz w:val="20"/>
                <w:lang w:eastAsia="lv-LV"/>
              </w:rPr>
              <w:t>-</w:t>
            </w:r>
            <w:r w:rsidRPr="00B557E8">
              <w:rPr>
                <w:rFonts w:eastAsia="Calibri"/>
                <w:color w:val="000000" w:themeColor="text1"/>
                <w:sz w:val="20"/>
                <w:lang w:eastAsia="lv-LV"/>
              </w:rPr>
              <w:t xml:space="preserve">ejamā </w:t>
            </w:r>
            <w:proofErr w:type="spellStart"/>
            <w:r w:rsidRPr="00B557E8">
              <w:rPr>
                <w:rFonts w:eastAsia="Calibri"/>
                <w:color w:val="000000" w:themeColor="text1"/>
                <w:sz w:val="20"/>
                <w:lang w:eastAsia="lv-LV"/>
              </w:rPr>
              <w:t>finan-sējuma</w:t>
            </w:r>
            <w:proofErr w:type="spellEnd"/>
          </w:p>
        </w:tc>
        <w:tc>
          <w:tcPr>
            <w:tcW w:w="968" w:type="dxa"/>
            <w:tcBorders>
              <w:top w:val="nil"/>
              <w:left w:val="nil"/>
              <w:bottom w:val="single" w:sz="4" w:space="0" w:color="auto"/>
              <w:right w:val="single" w:sz="4" w:space="0" w:color="auto"/>
            </w:tcBorders>
            <w:shd w:val="clear" w:color="000000" w:fill="E6EED5"/>
            <w:vAlign w:val="center"/>
            <w:hideMark/>
          </w:tcPr>
          <w:p w:rsidR="00CC743D" w:rsidRPr="00B557E8" w:rsidRDefault="00CC743D" w:rsidP="00B557E8">
            <w:pPr>
              <w:spacing w:line="276" w:lineRule="auto"/>
              <w:rPr>
                <w:color w:val="000000" w:themeColor="text1"/>
                <w:sz w:val="20"/>
                <w:lang w:eastAsia="lv-LV"/>
              </w:rPr>
            </w:pPr>
            <w:r w:rsidRPr="00B557E8">
              <w:rPr>
                <w:rFonts w:eastAsia="Calibri"/>
                <w:color w:val="000000" w:themeColor="text1"/>
                <w:sz w:val="20"/>
                <w:lang w:eastAsia="lv-LV"/>
              </w:rPr>
              <w:t xml:space="preserve">Progress pret datiem uz 31.03. 2011.; % no pieejamā </w:t>
            </w:r>
            <w:proofErr w:type="spellStart"/>
            <w:r w:rsidRPr="00B557E8">
              <w:rPr>
                <w:rFonts w:eastAsia="Calibri"/>
                <w:color w:val="000000" w:themeColor="text1"/>
                <w:sz w:val="20"/>
                <w:lang w:eastAsia="lv-LV"/>
              </w:rPr>
              <w:t>finan-sējuma</w:t>
            </w:r>
            <w:proofErr w:type="spellEnd"/>
          </w:p>
        </w:tc>
        <w:tc>
          <w:tcPr>
            <w:tcW w:w="709" w:type="dxa"/>
            <w:tcBorders>
              <w:top w:val="nil"/>
              <w:left w:val="nil"/>
              <w:bottom w:val="single" w:sz="4" w:space="0" w:color="auto"/>
              <w:right w:val="single" w:sz="4" w:space="0" w:color="auto"/>
            </w:tcBorders>
            <w:shd w:val="clear" w:color="000000" w:fill="E6EED5"/>
            <w:vAlign w:val="center"/>
            <w:hideMark/>
          </w:tcPr>
          <w:p w:rsidR="00CC743D" w:rsidRPr="00B557E8" w:rsidRDefault="00CC743D" w:rsidP="00B557E8">
            <w:pPr>
              <w:spacing w:line="276" w:lineRule="auto"/>
              <w:rPr>
                <w:color w:val="000000" w:themeColor="text1"/>
                <w:sz w:val="20"/>
                <w:lang w:eastAsia="lv-LV"/>
              </w:rPr>
            </w:pPr>
            <w:r w:rsidRPr="00B557E8">
              <w:rPr>
                <w:rFonts w:eastAsia="Calibri"/>
                <w:color w:val="000000" w:themeColor="text1"/>
                <w:sz w:val="20"/>
                <w:lang w:eastAsia="lv-LV"/>
              </w:rPr>
              <w:t>Skaits</w:t>
            </w:r>
          </w:p>
        </w:tc>
        <w:tc>
          <w:tcPr>
            <w:tcW w:w="1017" w:type="dxa"/>
            <w:tcBorders>
              <w:top w:val="nil"/>
              <w:left w:val="nil"/>
              <w:bottom w:val="single" w:sz="4" w:space="0" w:color="auto"/>
              <w:right w:val="single" w:sz="4" w:space="0" w:color="auto"/>
            </w:tcBorders>
            <w:shd w:val="clear" w:color="000000" w:fill="E6EED5"/>
            <w:vAlign w:val="center"/>
            <w:hideMark/>
          </w:tcPr>
          <w:p w:rsidR="00CC743D" w:rsidRPr="00B557E8" w:rsidRDefault="00CC743D" w:rsidP="00B557E8">
            <w:pPr>
              <w:spacing w:line="276" w:lineRule="auto"/>
              <w:rPr>
                <w:color w:val="000000" w:themeColor="text1"/>
                <w:sz w:val="20"/>
                <w:lang w:eastAsia="lv-LV"/>
              </w:rPr>
            </w:pPr>
            <w:r w:rsidRPr="00B557E8">
              <w:rPr>
                <w:rFonts w:eastAsia="Calibri"/>
                <w:color w:val="000000" w:themeColor="text1"/>
                <w:sz w:val="20"/>
                <w:lang w:eastAsia="lv-LV"/>
              </w:rPr>
              <w:t xml:space="preserve">Kopējais </w:t>
            </w:r>
            <w:proofErr w:type="spellStart"/>
            <w:r w:rsidRPr="00B557E8">
              <w:rPr>
                <w:rFonts w:eastAsia="Calibri"/>
                <w:color w:val="000000" w:themeColor="text1"/>
                <w:sz w:val="20"/>
                <w:lang w:eastAsia="lv-LV"/>
              </w:rPr>
              <w:t>finan-sējums</w:t>
            </w:r>
            <w:proofErr w:type="spellEnd"/>
            <w:r w:rsidRPr="00B557E8">
              <w:rPr>
                <w:rFonts w:eastAsia="Calibri"/>
                <w:color w:val="000000" w:themeColor="text1"/>
                <w:sz w:val="20"/>
                <w:lang w:eastAsia="lv-LV"/>
              </w:rPr>
              <w:t xml:space="preserve"> </w:t>
            </w:r>
          </w:p>
        </w:tc>
        <w:tc>
          <w:tcPr>
            <w:tcW w:w="850" w:type="dxa"/>
            <w:tcBorders>
              <w:top w:val="nil"/>
              <w:left w:val="nil"/>
              <w:bottom w:val="single" w:sz="4" w:space="0" w:color="auto"/>
              <w:right w:val="single" w:sz="4" w:space="0" w:color="auto"/>
            </w:tcBorders>
            <w:shd w:val="clear" w:color="000000" w:fill="E6EED5"/>
            <w:noWrap/>
            <w:vAlign w:val="center"/>
            <w:hideMark/>
          </w:tcPr>
          <w:p w:rsidR="00CC743D" w:rsidRPr="00B557E8" w:rsidRDefault="00CC743D" w:rsidP="00B557E8">
            <w:pPr>
              <w:spacing w:line="276" w:lineRule="auto"/>
              <w:rPr>
                <w:color w:val="000000" w:themeColor="text1"/>
                <w:sz w:val="20"/>
                <w:lang w:eastAsia="lv-LV"/>
              </w:rPr>
            </w:pPr>
            <w:r w:rsidRPr="00B557E8">
              <w:rPr>
                <w:rFonts w:eastAsia="Calibri"/>
                <w:color w:val="000000" w:themeColor="text1"/>
                <w:sz w:val="20"/>
                <w:lang w:eastAsia="lv-LV"/>
              </w:rPr>
              <w:t>% no pie</w:t>
            </w:r>
            <w:r w:rsidR="00614290" w:rsidRPr="00B557E8">
              <w:rPr>
                <w:rFonts w:eastAsia="Calibri"/>
                <w:color w:val="000000" w:themeColor="text1"/>
                <w:sz w:val="20"/>
                <w:lang w:eastAsia="lv-LV"/>
              </w:rPr>
              <w:t>-</w:t>
            </w:r>
            <w:r w:rsidRPr="00B557E8">
              <w:rPr>
                <w:rFonts w:eastAsia="Calibri"/>
                <w:color w:val="000000" w:themeColor="text1"/>
                <w:sz w:val="20"/>
                <w:lang w:eastAsia="lv-LV"/>
              </w:rPr>
              <w:t xml:space="preserve">ejamā </w:t>
            </w:r>
            <w:proofErr w:type="spellStart"/>
            <w:r w:rsidRPr="00B557E8">
              <w:rPr>
                <w:rFonts w:eastAsia="Calibri"/>
                <w:color w:val="000000" w:themeColor="text1"/>
                <w:sz w:val="20"/>
                <w:lang w:eastAsia="lv-LV"/>
              </w:rPr>
              <w:t>finan-sējuma</w:t>
            </w:r>
            <w:proofErr w:type="spellEnd"/>
          </w:p>
        </w:tc>
        <w:tc>
          <w:tcPr>
            <w:tcW w:w="974" w:type="dxa"/>
            <w:tcBorders>
              <w:top w:val="nil"/>
              <w:left w:val="nil"/>
              <w:bottom w:val="single" w:sz="4" w:space="0" w:color="auto"/>
              <w:right w:val="single" w:sz="4" w:space="0" w:color="auto"/>
            </w:tcBorders>
            <w:shd w:val="clear" w:color="000000" w:fill="E6EED5"/>
            <w:vAlign w:val="center"/>
            <w:hideMark/>
          </w:tcPr>
          <w:p w:rsidR="00CC743D" w:rsidRPr="00B557E8" w:rsidRDefault="00CC743D" w:rsidP="00B557E8">
            <w:pPr>
              <w:spacing w:line="276" w:lineRule="auto"/>
              <w:rPr>
                <w:color w:val="000000" w:themeColor="text1"/>
                <w:sz w:val="20"/>
                <w:lang w:eastAsia="lv-LV"/>
              </w:rPr>
            </w:pPr>
            <w:r w:rsidRPr="00B557E8">
              <w:rPr>
                <w:rFonts w:eastAsia="Calibri"/>
                <w:color w:val="000000" w:themeColor="text1"/>
                <w:sz w:val="20"/>
                <w:lang w:eastAsia="lv-LV"/>
              </w:rPr>
              <w:t xml:space="preserve">Progress pret datiem uz 31.03.2011.; % no prioritātē pieejamā </w:t>
            </w:r>
            <w:proofErr w:type="spellStart"/>
            <w:r w:rsidRPr="00B557E8">
              <w:rPr>
                <w:rFonts w:eastAsia="Calibri"/>
                <w:color w:val="000000" w:themeColor="text1"/>
                <w:sz w:val="20"/>
                <w:lang w:eastAsia="lv-LV"/>
              </w:rPr>
              <w:t>finan-sējuma</w:t>
            </w:r>
            <w:proofErr w:type="spellEnd"/>
          </w:p>
        </w:tc>
      </w:tr>
      <w:tr w:rsidR="00B557E8" w:rsidRPr="00B557E8" w:rsidTr="00614290">
        <w:trPr>
          <w:cantSplit/>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CC743D" w:rsidRPr="00B557E8" w:rsidRDefault="00CC743D" w:rsidP="00B557E8">
            <w:pPr>
              <w:spacing w:line="276" w:lineRule="auto"/>
              <w:rPr>
                <w:b/>
                <w:bCs/>
                <w:color w:val="000000" w:themeColor="text1"/>
                <w:sz w:val="20"/>
                <w:lang w:eastAsia="lv-LV"/>
              </w:rPr>
            </w:pPr>
            <w:r w:rsidRPr="00B557E8">
              <w:rPr>
                <w:b/>
                <w:bCs/>
                <w:color w:val="000000" w:themeColor="text1"/>
                <w:sz w:val="20"/>
                <w:lang w:eastAsia="lv-LV"/>
              </w:rPr>
              <w:t>Aizdevumi</w:t>
            </w:r>
          </w:p>
        </w:tc>
        <w:tc>
          <w:tcPr>
            <w:tcW w:w="1134" w:type="dxa"/>
            <w:tcBorders>
              <w:top w:val="nil"/>
              <w:left w:val="nil"/>
              <w:bottom w:val="single" w:sz="4" w:space="0" w:color="auto"/>
              <w:right w:val="single" w:sz="4" w:space="0" w:color="auto"/>
            </w:tcBorders>
            <w:shd w:val="clear" w:color="auto" w:fill="auto"/>
            <w:noWrap/>
            <w:vAlign w:val="center"/>
            <w:hideMark/>
          </w:tcPr>
          <w:p w:rsidR="00CC743D" w:rsidRPr="00B557E8" w:rsidRDefault="00CC743D" w:rsidP="00B557E8">
            <w:pPr>
              <w:spacing w:line="276" w:lineRule="auto"/>
              <w:rPr>
                <w:color w:val="000000" w:themeColor="text1"/>
                <w:sz w:val="20"/>
                <w:lang w:eastAsia="lv-LV"/>
              </w:rPr>
            </w:pPr>
            <w:r w:rsidRPr="00B557E8">
              <w:rPr>
                <w:color w:val="000000" w:themeColor="text1"/>
                <w:sz w:val="20"/>
                <w:lang w:eastAsia="lv-LV"/>
              </w:rPr>
              <w:t xml:space="preserve">16 480 000 </w:t>
            </w:r>
          </w:p>
        </w:tc>
        <w:tc>
          <w:tcPr>
            <w:tcW w:w="709" w:type="dxa"/>
            <w:tcBorders>
              <w:top w:val="nil"/>
              <w:left w:val="nil"/>
              <w:bottom w:val="single" w:sz="4" w:space="0" w:color="auto"/>
              <w:right w:val="single" w:sz="4" w:space="0" w:color="auto"/>
            </w:tcBorders>
            <w:shd w:val="clear" w:color="auto" w:fill="auto"/>
            <w:noWrap/>
            <w:vAlign w:val="center"/>
            <w:hideMark/>
          </w:tcPr>
          <w:p w:rsidR="00CC743D" w:rsidRPr="00B557E8" w:rsidRDefault="00CC743D" w:rsidP="00B557E8">
            <w:pPr>
              <w:spacing w:line="276" w:lineRule="auto"/>
              <w:rPr>
                <w:color w:val="000000" w:themeColor="text1"/>
                <w:sz w:val="20"/>
                <w:highlight w:val="yellow"/>
                <w:lang w:eastAsia="lv-LV"/>
              </w:rPr>
            </w:pPr>
            <w:r w:rsidRPr="00B557E8">
              <w:rPr>
                <w:color w:val="000000" w:themeColor="text1"/>
                <w:sz w:val="20"/>
                <w:lang w:eastAsia="lv-LV"/>
              </w:rPr>
              <w:t xml:space="preserve">540 </w:t>
            </w:r>
          </w:p>
        </w:tc>
        <w:tc>
          <w:tcPr>
            <w:tcW w:w="1017" w:type="dxa"/>
            <w:tcBorders>
              <w:top w:val="nil"/>
              <w:left w:val="nil"/>
              <w:bottom w:val="single" w:sz="4" w:space="0" w:color="auto"/>
              <w:right w:val="single" w:sz="4" w:space="0" w:color="auto"/>
            </w:tcBorders>
            <w:shd w:val="clear" w:color="auto" w:fill="auto"/>
            <w:noWrap/>
            <w:vAlign w:val="center"/>
            <w:hideMark/>
          </w:tcPr>
          <w:p w:rsidR="00CC743D" w:rsidRPr="00B557E8" w:rsidRDefault="00CC743D" w:rsidP="00B557E8">
            <w:pPr>
              <w:spacing w:line="276" w:lineRule="auto"/>
              <w:rPr>
                <w:color w:val="000000" w:themeColor="text1"/>
                <w:sz w:val="20"/>
                <w:lang w:eastAsia="lv-LV"/>
              </w:rPr>
            </w:pPr>
            <w:r w:rsidRPr="00B557E8">
              <w:rPr>
                <w:color w:val="000000" w:themeColor="text1"/>
                <w:sz w:val="20"/>
                <w:lang w:eastAsia="lv-LV"/>
              </w:rPr>
              <w:t xml:space="preserve">6 584 277 </w:t>
            </w:r>
          </w:p>
        </w:tc>
        <w:tc>
          <w:tcPr>
            <w:tcW w:w="850" w:type="dxa"/>
            <w:tcBorders>
              <w:top w:val="nil"/>
              <w:left w:val="nil"/>
              <w:bottom w:val="single" w:sz="4" w:space="0" w:color="auto"/>
              <w:right w:val="single" w:sz="4" w:space="0" w:color="auto"/>
            </w:tcBorders>
            <w:shd w:val="clear" w:color="auto" w:fill="auto"/>
            <w:noWrap/>
            <w:vAlign w:val="center"/>
            <w:hideMark/>
          </w:tcPr>
          <w:p w:rsidR="00CC743D" w:rsidRPr="00B557E8" w:rsidRDefault="00CC743D" w:rsidP="00B557E8">
            <w:pPr>
              <w:spacing w:line="276" w:lineRule="auto"/>
              <w:rPr>
                <w:color w:val="000000" w:themeColor="text1"/>
                <w:sz w:val="20"/>
                <w:lang w:eastAsia="lv-LV"/>
              </w:rPr>
            </w:pPr>
            <w:r w:rsidRPr="00B557E8">
              <w:rPr>
                <w:color w:val="000000" w:themeColor="text1"/>
                <w:sz w:val="20"/>
                <w:lang w:eastAsia="lv-LV"/>
              </w:rPr>
              <w:t>40,0%</w:t>
            </w:r>
          </w:p>
        </w:tc>
        <w:tc>
          <w:tcPr>
            <w:tcW w:w="968" w:type="dxa"/>
            <w:tcBorders>
              <w:top w:val="nil"/>
              <w:left w:val="nil"/>
              <w:bottom w:val="single" w:sz="4" w:space="0" w:color="auto"/>
              <w:right w:val="single" w:sz="4" w:space="0" w:color="auto"/>
            </w:tcBorders>
            <w:shd w:val="clear" w:color="auto" w:fill="auto"/>
            <w:noWrap/>
            <w:vAlign w:val="center"/>
            <w:hideMark/>
          </w:tcPr>
          <w:p w:rsidR="00CC743D" w:rsidRPr="00B557E8" w:rsidRDefault="00CC743D" w:rsidP="00B557E8">
            <w:pPr>
              <w:spacing w:line="276" w:lineRule="auto"/>
              <w:rPr>
                <w:color w:val="000000" w:themeColor="text1"/>
                <w:sz w:val="20"/>
                <w:lang w:eastAsia="lv-LV"/>
              </w:rPr>
            </w:pPr>
            <w:r w:rsidRPr="00B557E8">
              <w:rPr>
                <w:color w:val="000000" w:themeColor="text1"/>
                <w:sz w:val="20"/>
                <w:lang w:eastAsia="lv-LV"/>
              </w:rPr>
              <w:t>4,5%</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743D" w:rsidRPr="00B557E8" w:rsidRDefault="00CC743D" w:rsidP="00B557E8">
            <w:pPr>
              <w:spacing w:line="276" w:lineRule="auto"/>
              <w:rPr>
                <w:color w:val="000000" w:themeColor="text1"/>
                <w:sz w:val="20"/>
                <w:highlight w:val="yellow"/>
                <w:lang w:eastAsia="lv-LV"/>
              </w:rPr>
            </w:pPr>
            <w:r w:rsidRPr="00B557E8">
              <w:rPr>
                <w:color w:val="000000" w:themeColor="text1"/>
                <w:sz w:val="20"/>
                <w:highlight w:val="yellow"/>
                <w:lang w:eastAsia="lv-LV"/>
              </w:rPr>
              <w:t xml:space="preserve">        </w:t>
            </w:r>
            <w:r w:rsidRPr="00B557E8">
              <w:rPr>
                <w:color w:val="000000" w:themeColor="text1"/>
                <w:sz w:val="20"/>
                <w:lang w:eastAsia="lv-LV"/>
              </w:rPr>
              <w:t xml:space="preserve">504 </w:t>
            </w:r>
          </w:p>
        </w:tc>
        <w:tc>
          <w:tcPr>
            <w:tcW w:w="1017" w:type="dxa"/>
            <w:tcBorders>
              <w:top w:val="nil"/>
              <w:left w:val="nil"/>
              <w:bottom w:val="single" w:sz="4" w:space="0" w:color="auto"/>
              <w:right w:val="single" w:sz="4" w:space="0" w:color="auto"/>
            </w:tcBorders>
            <w:shd w:val="clear" w:color="auto" w:fill="auto"/>
            <w:noWrap/>
            <w:vAlign w:val="center"/>
            <w:hideMark/>
          </w:tcPr>
          <w:p w:rsidR="00CC743D" w:rsidRPr="00B557E8" w:rsidRDefault="00CC743D" w:rsidP="00B557E8">
            <w:pPr>
              <w:spacing w:line="276" w:lineRule="auto"/>
              <w:rPr>
                <w:color w:val="000000" w:themeColor="text1"/>
                <w:sz w:val="20"/>
                <w:lang w:eastAsia="lv-LV"/>
              </w:rPr>
            </w:pPr>
            <w:r w:rsidRPr="00B557E8">
              <w:rPr>
                <w:color w:val="000000" w:themeColor="text1"/>
                <w:sz w:val="20"/>
                <w:lang w:eastAsia="lv-LV"/>
              </w:rPr>
              <w:t xml:space="preserve">6 257 121 </w:t>
            </w:r>
          </w:p>
        </w:tc>
        <w:tc>
          <w:tcPr>
            <w:tcW w:w="850" w:type="dxa"/>
            <w:tcBorders>
              <w:top w:val="nil"/>
              <w:left w:val="nil"/>
              <w:bottom w:val="single" w:sz="4" w:space="0" w:color="auto"/>
              <w:right w:val="single" w:sz="4" w:space="0" w:color="auto"/>
            </w:tcBorders>
            <w:shd w:val="clear" w:color="auto" w:fill="auto"/>
            <w:noWrap/>
            <w:vAlign w:val="center"/>
            <w:hideMark/>
          </w:tcPr>
          <w:p w:rsidR="00CC743D" w:rsidRPr="00B557E8" w:rsidRDefault="00CC743D" w:rsidP="00B557E8">
            <w:pPr>
              <w:spacing w:line="276" w:lineRule="auto"/>
              <w:rPr>
                <w:color w:val="000000" w:themeColor="text1"/>
                <w:sz w:val="20"/>
                <w:lang w:eastAsia="lv-LV"/>
              </w:rPr>
            </w:pPr>
            <w:r w:rsidRPr="00B557E8">
              <w:rPr>
                <w:color w:val="000000" w:themeColor="text1"/>
                <w:sz w:val="20"/>
                <w:lang w:eastAsia="lv-LV"/>
              </w:rPr>
              <w:t>38,0%</w:t>
            </w:r>
          </w:p>
        </w:tc>
        <w:tc>
          <w:tcPr>
            <w:tcW w:w="974" w:type="dxa"/>
            <w:tcBorders>
              <w:top w:val="nil"/>
              <w:left w:val="nil"/>
              <w:bottom w:val="single" w:sz="4" w:space="0" w:color="auto"/>
              <w:right w:val="single" w:sz="4" w:space="0" w:color="auto"/>
            </w:tcBorders>
            <w:shd w:val="clear" w:color="auto" w:fill="auto"/>
            <w:noWrap/>
            <w:vAlign w:val="center"/>
            <w:hideMark/>
          </w:tcPr>
          <w:p w:rsidR="00CC743D" w:rsidRPr="00B557E8" w:rsidRDefault="00CC743D" w:rsidP="00B557E8">
            <w:pPr>
              <w:spacing w:line="276" w:lineRule="auto"/>
              <w:rPr>
                <w:color w:val="000000" w:themeColor="text1"/>
                <w:sz w:val="20"/>
                <w:lang w:eastAsia="lv-LV"/>
              </w:rPr>
            </w:pPr>
            <w:r w:rsidRPr="00B557E8">
              <w:rPr>
                <w:color w:val="000000" w:themeColor="text1"/>
                <w:sz w:val="20"/>
                <w:lang w:eastAsia="lv-LV"/>
              </w:rPr>
              <w:t>4,0%</w:t>
            </w:r>
          </w:p>
        </w:tc>
      </w:tr>
      <w:tr w:rsidR="00B557E8" w:rsidRPr="00B557E8" w:rsidTr="00614290">
        <w:trPr>
          <w:cantSplit/>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CC743D" w:rsidRPr="00B557E8" w:rsidRDefault="00CC743D" w:rsidP="00B557E8">
            <w:pPr>
              <w:spacing w:line="276" w:lineRule="auto"/>
              <w:rPr>
                <w:b/>
                <w:bCs/>
                <w:color w:val="000000" w:themeColor="text1"/>
                <w:sz w:val="20"/>
                <w:lang w:eastAsia="lv-LV"/>
              </w:rPr>
            </w:pPr>
            <w:r w:rsidRPr="00B557E8">
              <w:rPr>
                <w:b/>
                <w:bCs/>
                <w:color w:val="000000" w:themeColor="text1"/>
                <w:sz w:val="20"/>
                <w:lang w:eastAsia="lv-LV"/>
              </w:rPr>
              <w:t>Granti</w:t>
            </w:r>
          </w:p>
        </w:tc>
        <w:tc>
          <w:tcPr>
            <w:tcW w:w="1134" w:type="dxa"/>
            <w:tcBorders>
              <w:top w:val="nil"/>
              <w:left w:val="nil"/>
              <w:bottom w:val="single" w:sz="4" w:space="0" w:color="auto"/>
              <w:right w:val="single" w:sz="4" w:space="0" w:color="auto"/>
            </w:tcBorders>
            <w:shd w:val="clear" w:color="auto" w:fill="auto"/>
            <w:noWrap/>
            <w:vAlign w:val="center"/>
            <w:hideMark/>
          </w:tcPr>
          <w:p w:rsidR="00CC743D" w:rsidRPr="00B557E8" w:rsidRDefault="00E65D1D" w:rsidP="00B557E8">
            <w:pPr>
              <w:spacing w:line="276" w:lineRule="auto"/>
              <w:rPr>
                <w:color w:val="000000" w:themeColor="text1"/>
                <w:sz w:val="20"/>
                <w:lang w:eastAsia="lv-LV"/>
              </w:rPr>
            </w:pPr>
            <w:r w:rsidRPr="00B557E8">
              <w:rPr>
                <w:color w:val="000000" w:themeColor="text1"/>
                <w:sz w:val="20"/>
                <w:lang w:eastAsia="lv-LV"/>
              </w:rPr>
              <w:t xml:space="preserve">4 </w:t>
            </w:r>
            <w:r w:rsidR="00CC743D" w:rsidRPr="00B557E8">
              <w:rPr>
                <w:color w:val="000000" w:themeColor="text1"/>
                <w:sz w:val="20"/>
                <w:lang w:eastAsia="lv-LV"/>
              </w:rPr>
              <w:t xml:space="preserve">318 000 </w:t>
            </w:r>
          </w:p>
        </w:tc>
        <w:tc>
          <w:tcPr>
            <w:tcW w:w="709" w:type="dxa"/>
            <w:tcBorders>
              <w:top w:val="nil"/>
              <w:left w:val="nil"/>
              <w:bottom w:val="single" w:sz="4" w:space="0" w:color="auto"/>
              <w:right w:val="single" w:sz="4" w:space="0" w:color="auto"/>
            </w:tcBorders>
            <w:shd w:val="clear" w:color="auto" w:fill="auto"/>
            <w:noWrap/>
            <w:vAlign w:val="center"/>
            <w:hideMark/>
          </w:tcPr>
          <w:p w:rsidR="00CC743D" w:rsidRPr="00B557E8" w:rsidRDefault="00CC743D" w:rsidP="00B557E8">
            <w:pPr>
              <w:spacing w:line="276" w:lineRule="auto"/>
              <w:rPr>
                <w:color w:val="000000" w:themeColor="text1"/>
                <w:sz w:val="20"/>
                <w:highlight w:val="yellow"/>
                <w:lang w:eastAsia="lv-LV"/>
              </w:rPr>
            </w:pPr>
            <w:r w:rsidRPr="00B557E8">
              <w:rPr>
                <w:color w:val="000000" w:themeColor="text1"/>
                <w:sz w:val="20"/>
                <w:lang w:eastAsia="lv-LV"/>
              </w:rPr>
              <w:t xml:space="preserve">491 </w:t>
            </w:r>
          </w:p>
        </w:tc>
        <w:tc>
          <w:tcPr>
            <w:tcW w:w="1017" w:type="dxa"/>
            <w:tcBorders>
              <w:top w:val="nil"/>
              <w:left w:val="nil"/>
              <w:bottom w:val="single" w:sz="4" w:space="0" w:color="auto"/>
              <w:right w:val="single" w:sz="4" w:space="0" w:color="auto"/>
            </w:tcBorders>
            <w:shd w:val="clear" w:color="auto" w:fill="auto"/>
            <w:noWrap/>
            <w:vAlign w:val="center"/>
            <w:hideMark/>
          </w:tcPr>
          <w:p w:rsidR="00CC743D" w:rsidRPr="00B557E8" w:rsidRDefault="00CC743D" w:rsidP="00B557E8">
            <w:pPr>
              <w:spacing w:line="276" w:lineRule="auto"/>
              <w:rPr>
                <w:color w:val="000000" w:themeColor="text1"/>
                <w:sz w:val="20"/>
                <w:lang w:eastAsia="lv-LV"/>
              </w:rPr>
            </w:pPr>
            <w:r w:rsidRPr="00B557E8">
              <w:rPr>
                <w:color w:val="000000" w:themeColor="text1"/>
                <w:sz w:val="20"/>
                <w:lang w:eastAsia="lv-LV"/>
              </w:rPr>
              <w:t xml:space="preserve">2 184 182 </w:t>
            </w:r>
          </w:p>
        </w:tc>
        <w:tc>
          <w:tcPr>
            <w:tcW w:w="850" w:type="dxa"/>
            <w:tcBorders>
              <w:top w:val="nil"/>
              <w:left w:val="nil"/>
              <w:bottom w:val="single" w:sz="4" w:space="0" w:color="auto"/>
              <w:right w:val="single" w:sz="4" w:space="0" w:color="auto"/>
            </w:tcBorders>
            <w:shd w:val="clear" w:color="auto" w:fill="auto"/>
            <w:noWrap/>
            <w:vAlign w:val="center"/>
            <w:hideMark/>
          </w:tcPr>
          <w:p w:rsidR="00CC743D" w:rsidRPr="00B557E8" w:rsidRDefault="00CC743D" w:rsidP="00B557E8">
            <w:pPr>
              <w:spacing w:line="276" w:lineRule="auto"/>
              <w:rPr>
                <w:color w:val="000000" w:themeColor="text1"/>
                <w:sz w:val="20"/>
                <w:lang w:eastAsia="lv-LV"/>
              </w:rPr>
            </w:pPr>
            <w:r w:rsidRPr="00B557E8">
              <w:rPr>
                <w:color w:val="000000" w:themeColor="text1"/>
                <w:sz w:val="20"/>
                <w:lang w:eastAsia="lv-LV"/>
              </w:rPr>
              <w:t>50,6%</w:t>
            </w:r>
          </w:p>
        </w:tc>
        <w:tc>
          <w:tcPr>
            <w:tcW w:w="968" w:type="dxa"/>
            <w:tcBorders>
              <w:top w:val="nil"/>
              <w:left w:val="nil"/>
              <w:bottom w:val="single" w:sz="4" w:space="0" w:color="auto"/>
              <w:right w:val="single" w:sz="4" w:space="0" w:color="auto"/>
            </w:tcBorders>
            <w:shd w:val="clear" w:color="auto" w:fill="auto"/>
            <w:noWrap/>
            <w:vAlign w:val="center"/>
            <w:hideMark/>
          </w:tcPr>
          <w:p w:rsidR="00CC743D" w:rsidRPr="00B557E8" w:rsidRDefault="00CC743D" w:rsidP="00B557E8">
            <w:pPr>
              <w:spacing w:line="276" w:lineRule="auto"/>
              <w:rPr>
                <w:color w:val="000000" w:themeColor="text1"/>
                <w:sz w:val="20"/>
                <w:lang w:eastAsia="lv-LV"/>
              </w:rPr>
            </w:pPr>
            <w:r w:rsidRPr="00B557E8">
              <w:rPr>
                <w:color w:val="000000" w:themeColor="text1"/>
                <w:sz w:val="20"/>
                <w:lang w:eastAsia="lv-LV"/>
              </w:rPr>
              <w:t>5,9%</w:t>
            </w:r>
          </w:p>
        </w:tc>
        <w:tc>
          <w:tcPr>
            <w:tcW w:w="709" w:type="dxa"/>
            <w:vMerge/>
            <w:tcBorders>
              <w:top w:val="nil"/>
              <w:left w:val="single" w:sz="4" w:space="0" w:color="auto"/>
              <w:bottom w:val="single" w:sz="4" w:space="0" w:color="auto"/>
              <w:right w:val="single" w:sz="4" w:space="0" w:color="auto"/>
            </w:tcBorders>
            <w:vAlign w:val="center"/>
            <w:hideMark/>
          </w:tcPr>
          <w:p w:rsidR="00CC743D" w:rsidRPr="00B557E8" w:rsidRDefault="00CC743D" w:rsidP="00B557E8">
            <w:pPr>
              <w:spacing w:line="276" w:lineRule="auto"/>
              <w:rPr>
                <w:color w:val="000000" w:themeColor="text1"/>
                <w:sz w:val="20"/>
                <w:highlight w:val="yellow"/>
                <w:lang w:eastAsia="lv-LV"/>
              </w:rPr>
            </w:pPr>
          </w:p>
        </w:tc>
        <w:tc>
          <w:tcPr>
            <w:tcW w:w="1017" w:type="dxa"/>
            <w:tcBorders>
              <w:top w:val="nil"/>
              <w:left w:val="nil"/>
              <w:bottom w:val="single" w:sz="4" w:space="0" w:color="auto"/>
              <w:right w:val="single" w:sz="4" w:space="0" w:color="auto"/>
            </w:tcBorders>
            <w:shd w:val="clear" w:color="auto" w:fill="auto"/>
            <w:noWrap/>
            <w:vAlign w:val="center"/>
            <w:hideMark/>
          </w:tcPr>
          <w:p w:rsidR="00CC743D" w:rsidRPr="00B557E8" w:rsidRDefault="00CC743D" w:rsidP="00B557E8">
            <w:pPr>
              <w:spacing w:line="276" w:lineRule="auto"/>
              <w:rPr>
                <w:color w:val="000000" w:themeColor="text1"/>
                <w:sz w:val="20"/>
                <w:lang w:eastAsia="lv-LV"/>
              </w:rPr>
            </w:pPr>
            <w:r w:rsidRPr="00B557E8">
              <w:rPr>
                <w:color w:val="000000" w:themeColor="text1"/>
                <w:sz w:val="20"/>
                <w:lang w:eastAsia="lv-LV"/>
              </w:rPr>
              <w:t xml:space="preserve">2 039 371 </w:t>
            </w:r>
          </w:p>
        </w:tc>
        <w:tc>
          <w:tcPr>
            <w:tcW w:w="850" w:type="dxa"/>
            <w:tcBorders>
              <w:top w:val="nil"/>
              <w:left w:val="nil"/>
              <w:bottom w:val="single" w:sz="4" w:space="0" w:color="auto"/>
              <w:right w:val="single" w:sz="4" w:space="0" w:color="auto"/>
            </w:tcBorders>
            <w:shd w:val="clear" w:color="auto" w:fill="auto"/>
            <w:noWrap/>
            <w:vAlign w:val="center"/>
            <w:hideMark/>
          </w:tcPr>
          <w:p w:rsidR="00CC743D" w:rsidRPr="00B557E8" w:rsidRDefault="00CC743D" w:rsidP="00B557E8">
            <w:pPr>
              <w:spacing w:line="276" w:lineRule="auto"/>
              <w:rPr>
                <w:color w:val="000000" w:themeColor="text1"/>
                <w:sz w:val="20"/>
                <w:lang w:eastAsia="lv-LV"/>
              </w:rPr>
            </w:pPr>
            <w:r w:rsidRPr="00B557E8">
              <w:rPr>
                <w:color w:val="000000" w:themeColor="text1"/>
                <w:sz w:val="20"/>
                <w:lang w:eastAsia="lv-LV"/>
              </w:rPr>
              <w:t>47,2%</w:t>
            </w:r>
          </w:p>
        </w:tc>
        <w:tc>
          <w:tcPr>
            <w:tcW w:w="974" w:type="dxa"/>
            <w:tcBorders>
              <w:top w:val="nil"/>
              <w:left w:val="nil"/>
              <w:bottom w:val="single" w:sz="4" w:space="0" w:color="auto"/>
              <w:right w:val="single" w:sz="4" w:space="0" w:color="auto"/>
            </w:tcBorders>
            <w:shd w:val="clear" w:color="auto" w:fill="auto"/>
            <w:noWrap/>
            <w:vAlign w:val="center"/>
            <w:hideMark/>
          </w:tcPr>
          <w:p w:rsidR="00CC743D" w:rsidRPr="00B557E8" w:rsidRDefault="00CC743D" w:rsidP="00B557E8">
            <w:pPr>
              <w:spacing w:line="276" w:lineRule="auto"/>
              <w:rPr>
                <w:color w:val="000000" w:themeColor="text1"/>
                <w:sz w:val="20"/>
                <w:lang w:eastAsia="lv-LV"/>
              </w:rPr>
            </w:pPr>
            <w:r w:rsidRPr="00B557E8">
              <w:rPr>
                <w:color w:val="000000" w:themeColor="text1"/>
                <w:sz w:val="20"/>
                <w:lang w:eastAsia="lv-LV"/>
              </w:rPr>
              <w:t>4,9%</w:t>
            </w:r>
          </w:p>
        </w:tc>
      </w:tr>
      <w:tr w:rsidR="00B557E8" w:rsidRPr="00B557E8" w:rsidTr="00614290">
        <w:trPr>
          <w:cantSplit/>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CC743D" w:rsidRPr="00B557E8" w:rsidRDefault="00CC743D" w:rsidP="00B557E8">
            <w:pPr>
              <w:spacing w:line="276" w:lineRule="auto"/>
              <w:rPr>
                <w:b/>
                <w:bCs/>
                <w:color w:val="000000" w:themeColor="text1"/>
                <w:sz w:val="20"/>
                <w:lang w:eastAsia="lv-LV"/>
              </w:rPr>
            </w:pPr>
            <w:r w:rsidRPr="00B557E8">
              <w:rPr>
                <w:b/>
                <w:bCs/>
                <w:color w:val="000000" w:themeColor="text1"/>
                <w:sz w:val="20"/>
                <w:lang w:eastAsia="lv-LV"/>
              </w:rPr>
              <w:t xml:space="preserve">Kopā </w:t>
            </w:r>
          </w:p>
        </w:tc>
        <w:tc>
          <w:tcPr>
            <w:tcW w:w="1134" w:type="dxa"/>
            <w:tcBorders>
              <w:top w:val="nil"/>
              <w:left w:val="nil"/>
              <w:bottom w:val="single" w:sz="4" w:space="0" w:color="auto"/>
              <w:right w:val="single" w:sz="4" w:space="0" w:color="auto"/>
            </w:tcBorders>
            <w:shd w:val="clear" w:color="auto" w:fill="auto"/>
            <w:noWrap/>
            <w:vAlign w:val="center"/>
            <w:hideMark/>
          </w:tcPr>
          <w:p w:rsidR="00CC743D" w:rsidRPr="00B557E8" w:rsidRDefault="00CC743D" w:rsidP="00B557E8">
            <w:pPr>
              <w:spacing w:line="276" w:lineRule="auto"/>
              <w:rPr>
                <w:color w:val="000000" w:themeColor="text1"/>
                <w:sz w:val="20"/>
                <w:lang w:eastAsia="lv-LV"/>
              </w:rPr>
            </w:pPr>
            <w:r w:rsidRPr="00B557E8">
              <w:rPr>
                <w:color w:val="000000" w:themeColor="text1"/>
                <w:sz w:val="20"/>
                <w:lang w:eastAsia="lv-LV"/>
              </w:rPr>
              <w:t xml:space="preserve">20 798 000 </w:t>
            </w:r>
          </w:p>
        </w:tc>
        <w:tc>
          <w:tcPr>
            <w:tcW w:w="709" w:type="dxa"/>
            <w:tcBorders>
              <w:top w:val="nil"/>
              <w:left w:val="nil"/>
              <w:bottom w:val="single" w:sz="4" w:space="0" w:color="auto"/>
              <w:right w:val="single" w:sz="4" w:space="0" w:color="auto"/>
            </w:tcBorders>
            <w:shd w:val="clear" w:color="auto" w:fill="auto"/>
            <w:noWrap/>
            <w:vAlign w:val="center"/>
            <w:hideMark/>
          </w:tcPr>
          <w:p w:rsidR="00CC743D" w:rsidRPr="00B557E8" w:rsidRDefault="00CC743D" w:rsidP="00B557E8">
            <w:pPr>
              <w:spacing w:line="276" w:lineRule="auto"/>
              <w:rPr>
                <w:color w:val="000000" w:themeColor="text1"/>
                <w:sz w:val="20"/>
                <w:highlight w:val="yellow"/>
                <w:lang w:eastAsia="lv-LV"/>
              </w:rPr>
            </w:pPr>
            <w:r w:rsidRPr="00B557E8">
              <w:rPr>
                <w:color w:val="000000" w:themeColor="text1"/>
                <w:sz w:val="20"/>
                <w:lang w:eastAsia="lv-LV"/>
              </w:rPr>
              <w:t xml:space="preserve">1 031 </w:t>
            </w:r>
          </w:p>
        </w:tc>
        <w:tc>
          <w:tcPr>
            <w:tcW w:w="1017" w:type="dxa"/>
            <w:tcBorders>
              <w:top w:val="nil"/>
              <w:left w:val="nil"/>
              <w:bottom w:val="single" w:sz="4" w:space="0" w:color="auto"/>
              <w:right w:val="single" w:sz="4" w:space="0" w:color="auto"/>
            </w:tcBorders>
            <w:shd w:val="clear" w:color="auto" w:fill="auto"/>
            <w:noWrap/>
            <w:vAlign w:val="center"/>
            <w:hideMark/>
          </w:tcPr>
          <w:p w:rsidR="00CC743D" w:rsidRPr="00B557E8" w:rsidRDefault="00CC743D" w:rsidP="00B557E8">
            <w:pPr>
              <w:spacing w:line="276" w:lineRule="auto"/>
              <w:rPr>
                <w:color w:val="000000" w:themeColor="text1"/>
                <w:sz w:val="20"/>
                <w:lang w:eastAsia="lv-LV"/>
              </w:rPr>
            </w:pPr>
            <w:r w:rsidRPr="00B557E8">
              <w:rPr>
                <w:color w:val="000000" w:themeColor="text1"/>
                <w:sz w:val="20"/>
                <w:lang w:eastAsia="lv-LV"/>
              </w:rPr>
              <w:t xml:space="preserve">8 768 460 </w:t>
            </w:r>
          </w:p>
        </w:tc>
        <w:tc>
          <w:tcPr>
            <w:tcW w:w="850" w:type="dxa"/>
            <w:tcBorders>
              <w:top w:val="nil"/>
              <w:left w:val="nil"/>
              <w:bottom w:val="single" w:sz="4" w:space="0" w:color="auto"/>
              <w:right w:val="single" w:sz="4" w:space="0" w:color="auto"/>
            </w:tcBorders>
            <w:shd w:val="clear" w:color="auto" w:fill="auto"/>
            <w:noWrap/>
            <w:vAlign w:val="center"/>
            <w:hideMark/>
          </w:tcPr>
          <w:p w:rsidR="00CC743D" w:rsidRPr="00B557E8" w:rsidRDefault="00CC743D" w:rsidP="00B557E8">
            <w:pPr>
              <w:spacing w:line="276" w:lineRule="auto"/>
              <w:rPr>
                <w:color w:val="000000" w:themeColor="text1"/>
                <w:sz w:val="20"/>
                <w:lang w:eastAsia="lv-LV"/>
              </w:rPr>
            </w:pPr>
            <w:r w:rsidRPr="00B557E8">
              <w:rPr>
                <w:color w:val="000000" w:themeColor="text1"/>
                <w:sz w:val="20"/>
                <w:lang w:eastAsia="lv-LV"/>
              </w:rPr>
              <w:t>42,2%</w:t>
            </w:r>
          </w:p>
        </w:tc>
        <w:tc>
          <w:tcPr>
            <w:tcW w:w="968" w:type="dxa"/>
            <w:tcBorders>
              <w:top w:val="nil"/>
              <w:left w:val="nil"/>
              <w:bottom w:val="single" w:sz="4" w:space="0" w:color="auto"/>
              <w:right w:val="single" w:sz="4" w:space="0" w:color="auto"/>
            </w:tcBorders>
            <w:shd w:val="clear" w:color="auto" w:fill="auto"/>
            <w:noWrap/>
            <w:vAlign w:val="center"/>
            <w:hideMark/>
          </w:tcPr>
          <w:p w:rsidR="00CC743D" w:rsidRPr="00B557E8" w:rsidRDefault="00CC743D" w:rsidP="00B557E8">
            <w:pPr>
              <w:spacing w:line="276" w:lineRule="auto"/>
              <w:rPr>
                <w:color w:val="000000" w:themeColor="text1"/>
                <w:sz w:val="20"/>
                <w:lang w:eastAsia="lv-LV"/>
              </w:rPr>
            </w:pPr>
            <w:r w:rsidRPr="00B557E8">
              <w:rPr>
                <w:color w:val="000000" w:themeColor="text1"/>
                <w:sz w:val="20"/>
                <w:lang w:eastAsia="lv-LV"/>
              </w:rPr>
              <w:t>4,8%</w:t>
            </w:r>
          </w:p>
        </w:tc>
        <w:tc>
          <w:tcPr>
            <w:tcW w:w="709" w:type="dxa"/>
            <w:tcBorders>
              <w:top w:val="nil"/>
              <w:left w:val="nil"/>
              <w:bottom w:val="single" w:sz="4" w:space="0" w:color="auto"/>
              <w:right w:val="single" w:sz="4" w:space="0" w:color="auto"/>
            </w:tcBorders>
            <w:shd w:val="clear" w:color="auto" w:fill="auto"/>
            <w:noWrap/>
            <w:vAlign w:val="center"/>
            <w:hideMark/>
          </w:tcPr>
          <w:p w:rsidR="00CC743D" w:rsidRPr="00B557E8" w:rsidRDefault="00CC743D" w:rsidP="00B557E8">
            <w:pPr>
              <w:spacing w:line="276" w:lineRule="auto"/>
              <w:rPr>
                <w:color w:val="000000" w:themeColor="text1"/>
                <w:sz w:val="20"/>
                <w:highlight w:val="yellow"/>
                <w:lang w:eastAsia="lv-LV"/>
              </w:rPr>
            </w:pPr>
            <w:r w:rsidRPr="00B557E8">
              <w:rPr>
                <w:color w:val="000000" w:themeColor="text1"/>
                <w:sz w:val="20"/>
                <w:highlight w:val="yellow"/>
                <w:lang w:eastAsia="lv-LV"/>
              </w:rPr>
              <w:t xml:space="preserve">        </w:t>
            </w:r>
            <w:r w:rsidRPr="00B557E8">
              <w:rPr>
                <w:color w:val="000000" w:themeColor="text1"/>
                <w:sz w:val="20"/>
                <w:lang w:eastAsia="lv-LV"/>
              </w:rPr>
              <w:t>504</w:t>
            </w:r>
            <w:r w:rsidRPr="00B557E8">
              <w:rPr>
                <w:color w:val="000000" w:themeColor="text1"/>
                <w:sz w:val="20"/>
                <w:highlight w:val="yellow"/>
                <w:lang w:eastAsia="lv-LV"/>
              </w:rPr>
              <w:t xml:space="preserve"> </w:t>
            </w:r>
          </w:p>
        </w:tc>
        <w:tc>
          <w:tcPr>
            <w:tcW w:w="1017" w:type="dxa"/>
            <w:tcBorders>
              <w:top w:val="nil"/>
              <w:left w:val="nil"/>
              <w:bottom w:val="single" w:sz="4" w:space="0" w:color="auto"/>
              <w:right w:val="single" w:sz="4" w:space="0" w:color="auto"/>
            </w:tcBorders>
            <w:shd w:val="clear" w:color="auto" w:fill="auto"/>
            <w:noWrap/>
            <w:vAlign w:val="center"/>
            <w:hideMark/>
          </w:tcPr>
          <w:p w:rsidR="00CC743D" w:rsidRPr="00B557E8" w:rsidRDefault="00CC743D" w:rsidP="00B557E8">
            <w:pPr>
              <w:spacing w:line="276" w:lineRule="auto"/>
              <w:rPr>
                <w:color w:val="000000" w:themeColor="text1"/>
                <w:sz w:val="20"/>
                <w:lang w:eastAsia="lv-LV"/>
              </w:rPr>
            </w:pPr>
            <w:r w:rsidRPr="00B557E8">
              <w:rPr>
                <w:color w:val="000000" w:themeColor="text1"/>
                <w:sz w:val="20"/>
                <w:lang w:eastAsia="lv-LV"/>
              </w:rPr>
              <w:t xml:space="preserve">8 296 492 </w:t>
            </w:r>
          </w:p>
        </w:tc>
        <w:tc>
          <w:tcPr>
            <w:tcW w:w="850" w:type="dxa"/>
            <w:tcBorders>
              <w:top w:val="nil"/>
              <w:left w:val="nil"/>
              <w:bottom w:val="single" w:sz="4" w:space="0" w:color="auto"/>
              <w:right w:val="single" w:sz="4" w:space="0" w:color="auto"/>
            </w:tcBorders>
            <w:shd w:val="clear" w:color="auto" w:fill="auto"/>
            <w:noWrap/>
            <w:vAlign w:val="center"/>
            <w:hideMark/>
          </w:tcPr>
          <w:p w:rsidR="00CC743D" w:rsidRPr="00B557E8" w:rsidRDefault="00CC743D" w:rsidP="00B557E8">
            <w:pPr>
              <w:spacing w:line="276" w:lineRule="auto"/>
              <w:rPr>
                <w:color w:val="000000" w:themeColor="text1"/>
                <w:sz w:val="20"/>
                <w:lang w:eastAsia="lv-LV"/>
              </w:rPr>
            </w:pPr>
            <w:r w:rsidRPr="00B557E8">
              <w:rPr>
                <w:color w:val="000000" w:themeColor="text1"/>
                <w:sz w:val="20"/>
                <w:lang w:eastAsia="lv-LV"/>
              </w:rPr>
              <w:t>39,9%</w:t>
            </w:r>
          </w:p>
        </w:tc>
        <w:tc>
          <w:tcPr>
            <w:tcW w:w="974" w:type="dxa"/>
            <w:tcBorders>
              <w:top w:val="nil"/>
              <w:left w:val="nil"/>
              <w:bottom w:val="single" w:sz="4" w:space="0" w:color="auto"/>
              <w:right w:val="single" w:sz="4" w:space="0" w:color="auto"/>
            </w:tcBorders>
            <w:shd w:val="clear" w:color="auto" w:fill="auto"/>
            <w:noWrap/>
            <w:vAlign w:val="center"/>
            <w:hideMark/>
          </w:tcPr>
          <w:p w:rsidR="00CC743D" w:rsidRPr="00B557E8" w:rsidRDefault="00CC743D" w:rsidP="00B557E8">
            <w:pPr>
              <w:spacing w:line="276" w:lineRule="auto"/>
              <w:rPr>
                <w:color w:val="000000" w:themeColor="text1"/>
                <w:sz w:val="20"/>
                <w:lang w:eastAsia="lv-LV"/>
              </w:rPr>
            </w:pPr>
            <w:r w:rsidRPr="00B557E8">
              <w:rPr>
                <w:color w:val="000000" w:themeColor="text1"/>
                <w:sz w:val="20"/>
                <w:lang w:eastAsia="lv-LV"/>
              </w:rPr>
              <w:t>4,2%</w:t>
            </w:r>
          </w:p>
        </w:tc>
      </w:tr>
    </w:tbl>
    <w:p w:rsidR="0060249B" w:rsidRPr="00B557E8" w:rsidRDefault="002B2DE2" w:rsidP="00B557E8">
      <w:pPr>
        <w:pStyle w:val="NormalWeb"/>
        <w:spacing w:before="120" w:beforeAutospacing="0" w:after="120" w:afterAutospacing="0" w:line="276" w:lineRule="auto"/>
        <w:jc w:val="both"/>
        <w:rPr>
          <w:color w:val="000000" w:themeColor="text1"/>
          <w:lang w:val="lv-LV"/>
        </w:rPr>
      </w:pPr>
      <w:r w:rsidRPr="00B557E8">
        <w:rPr>
          <w:color w:val="000000" w:themeColor="text1"/>
          <w:lang w:val="lv-LV"/>
        </w:rPr>
        <w:t>Atbalsta saņēmēju sadalījums pa reģioniem ir salīdzinoš</w:t>
      </w:r>
      <w:r w:rsidR="00AF2087" w:rsidRPr="00B557E8">
        <w:rPr>
          <w:color w:val="000000" w:themeColor="text1"/>
          <w:lang w:val="lv-LV"/>
        </w:rPr>
        <w:t>i</w:t>
      </w:r>
      <w:r w:rsidRPr="00B557E8">
        <w:rPr>
          <w:color w:val="000000" w:themeColor="text1"/>
          <w:lang w:val="lv-LV"/>
        </w:rPr>
        <w:t xml:space="preserve"> vienmērīgs un proporcionāls reģionu lielumam, savukārt Rīgas reģionā atbalsta saņēmēju skaits ir lielāks nekā pārējos reģionos, kas skaidrojams ar lielāku iedzīvotāju skaitu Rīgas reģionā, līdz ar to lielāku interesi no potenciālo komersantu puses par programmas piedāvātajām iespējām. </w:t>
      </w:r>
    </w:p>
    <w:p w:rsidR="00B557E8" w:rsidRDefault="00B557E8">
      <w:pPr>
        <w:jc w:val="left"/>
        <w:rPr>
          <w:color w:val="000000" w:themeColor="text1"/>
          <w:szCs w:val="24"/>
        </w:rPr>
      </w:pPr>
      <w:r>
        <w:rPr>
          <w:color w:val="000000" w:themeColor="text1"/>
          <w:szCs w:val="24"/>
        </w:rPr>
        <w:br w:type="page"/>
      </w:r>
    </w:p>
    <w:p w:rsidR="002B2DE2" w:rsidRPr="00B557E8" w:rsidRDefault="002B2DE2" w:rsidP="00B557E8">
      <w:pPr>
        <w:spacing w:before="120" w:after="120" w:line="276" w:lineRule="auto"/>
        <w:jc w:val="left"/>
        <w:rPr>
          <w:color w:val="000000" w:themeColor="text1"/>
          <w:szCs w:val="24"/>
        </w:rPr>
      </w:pPr>
      <w:r w:rsidRPr="00B557E8">
        <w:rPr>
          <w:color w:val="000000" w:themeColor="text1"/>
          <w:szCs w:val="24"/>
        </w:rPr>
        <w:lastRenderedPageBreak/>
        <w:t>Grafiks Nr.</w:t>
      </w:r>
      <w:r w:rsidR="00EC7B49" w:rsidRPr="00B557E8">
        <w:rPr>
          <w:color w:val="000000" w:themeColor="text1"/>
          <w:szCs w:val="24"/>
        </w:rPr>
        <w:t>7</w:t>
      </w:r>
      <w:r w:rsidRPr="00B557E8">
        <w:rPr>
          <w:color w:val="000000" w:themeColor="text1"/>
          <w:szCs w:val="24"/>
        </w:rPr>
        <w:t xml:space="preserve"> </w:t>
      </w:r>
      <w:r w:rsidRPr="00B557E8">
        <w:rPr>
          <w:i/>
          <w:color w:val="000000" w:themeColor="text1"/>
          <w:szCs w:val="24"/>
        </w:rPr>
        <w:t xml:space="preserve">„Programmas „Atbalsts uzņēmējdarbības un </w:t>
      </w:r>
      <w:proofErr w:type="spellStart"/>
      <w:r w:rsidRPr="00B557E8">
        <w:rPr>
          <w:i/>
          <w:color w:val="000000" w:themeColor="text1"/>
          <w:szCs w:val="24"/>
        </w:rPr>
        <w:t>pašnodarbinātības</w:t>
      </w:r>
      <w:proofErr w:type="spellEnd"/>
      <w:r w:rsidRPr="00B557E8">
        <w:rPr>
          <w:i/>
          <w:color w:val="000000" w:themeColor="text1"/>
          <w:szCs w:val="24"/>
        </w:rPr>
        <w:t xml:space="preserve"> uzsākšanai” ietvaros līdz 30.09.2011 atbalstītie komersanti dalījumā pa reģioniem</w:t>
      </w:r>
      <w:r w:rsidR="00AF2087" w:rsidRPr="00B557E8">
        <w:rPr>
          <w:i/>
          <w:color w:val="000000" w:themeColor="text1"/>
          <w:szCs w:val="24"/>
        </w:rPr>
        <w:t>,%</w:t>
      </w:r>
      <w:r w:rsidR="00B557E8">
        <w:rPr>
          <w:i/>
          <w:color w:val="000000" w:themeColor="text1"/>
          <w:szCs w:val="24"/>
        </w:rPr>
        <w:t>.</w:t>
      </w:r>
      <w:r w:rsidRPr="00B557E8">
        <w:rPr>
          <w:i/>
          <w:color w:val="000000" w:themeColor="text1"/>
          <w:szCs w:val="24"/>
        </w:rPr>
        <w:t>”</w:t>
      </w:r>
    </w:p>
    <w:p w:rsidR="002B2DE2" w:rsidRPr="00B557E8" w:rsidRDefault="00AF2087" w:rsidP="00B557E8">
      <w:pPr>
        <w:spacing w:before="120" w:after="120" w:line="276" w:lineRule="auto"/>
        <w:jc w:val="center"/>
        <w:rPr>
          <w:color w:val="000000" w:themeColor="text1"/>
          <w:szCs w:val="24"/>
        </w:rPr>
      </w:pPr>
      <w:r w:rsidRPr="00B557E8">
        <w:rPr>
          <w:noProof/>
          <w:color w:val="000000" w:themeColor="text1"/>
          <w:szCs w:val="24"/>
          <w:lang w:eastAsia="lv-LV"/>
        </w:rPr>
        <w:drawing>
          <wp:inline distT="0" distB="0" distL="0" distR="0" wp14:anchorId="2FD04597" wp14:editId="640A6DB9">
            <wp:extent cx="2969971" cy="1521562"/>
            <wp:effectExtent l="19050" t="38100" r="40005" b="25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C09D1" w:rsidRPr="00B557E8" w:rsidRDefault="00B557E8" w:rsidP="00B557E8">
      <w:pPr>
        <w:spacing w:before="120" w:after="120" w:line="276" w:lineRule="auto"/>
        <w:rPr>
          <w:b/>
          <w:color w:val="000000" w:themeColor="text1"/>
          <w:szCs w:val="24"/>
        </w:rPr>
      </w:pPr>
      <w:r w:rsidRPr="00B557E8">
        <w:rPr>
          <w:b/>
          <w:color w:val="000000" w:themeColor="text1"/>
          <w:szCs w:val="24"/>
        </w:rPr>
        <w:t xml:space="preserve"> </w:t>
      </w:r>
      <w:r w:rsidR="00AC09D1" w:rsidRPr="00B557E8">
        <w:rPr>
          <w:b/>
          <w:color w:val="000000" w:themeColor="text1"/>
          <w:szCs w:val="24"/>
        </w:rPr>
        <w:t>„Sociālās iekļaušanas veicināšana”</w:t>
      </w:r>
    </w:p>
    <w:p w:rsidR="00FC4561" w:rsidRPr="00B557E8" w:rsidRDefault="00FC4561" w:rsidP="00B557E8">
      <w:pPr>
        <w:spacing w:before="120" w:after="120" w:line="276" w:lineRule="auto"/>
        <w:rPr>
          <w:color w:val="000000" w:themeColor="text1"/>
          <w:szCs w:val="24"/>
        </w:rPr>
      </w:pPr>
      <w:r w:rsidRPr="00B557E8">
        <w:rPr>
          <w:color w:val="000000" w:themeColor="text1"/>
          <w:szCs w:val="24"/>
        </w:rPr>
        <w:t xml:space="preserve">Prioritāte ir vērsta uz nabadzības un sociālās atstumtības risku mazināšanu, atbalstot sociālās iekļaušanas pasākumus un veicinot iekļaujoša darba tirgus attīstību. </w:t>
      </w:r>
    </w:p>
    <w:p w:rsidR="00FC4561" w:rsidRPr="00B557E8" w:rsidRDefault="00FC4561" w:rsidP="00B557E8">
      <w:pPr>
        <w:spacing w:before="120" w:after="120" w:line="276" w:lineRule="auto"/>
        <w:rPr>
          <w:color w:val="000000" w:themeColor="text1"/>
          <w:szCs w:val="24"/>
        </w:rPr>
      </w:pPr>
      <w:r w:rsidRPr="00B557E8">
        <w:rPr>
          <w:color w:val="000000" w:themeColor="text1"/>
          <w:szCs w:val="24"/>
        </w:rPr>
        <w:t>Pasākumā kopumā 2011.gada budžeta plāna izpilde vērtējama laba un pilnībā norit saskaņā ar plānoto arī pasākuma ietvaros ieviešamo aktivitāšu finansējuma apguves mērķa 2011.gadam izpilde notiek saskaņā ar plānoto un vērtējama kā laba.</w:t>
      </w:r>
    </w:p>
    <w:p w:rsidR="00FC4561" w:rsidRPr="00B557E8" w:rsidRDefault="00FC4561" w:rsidP="00B557E8">
      <w:pPr>
        <w:pStyle w:val="Default"/>
        <w:spacing w:before="120" w:after="120" w:line="276" w:lineRule="auto"/>
        <w:jc w:val="both"/>
        <w:rPr>
          <w:color w:val="000000" w:themeColor="text1"/>
        </w:rPr>
      </w:pPr>
      <w:r w:rsidRPr="00B557E8">
        <w:rPr>
          <w:color w:val="000000" w:themeColor="text1"/>
        </w:rPr>
        <w:t xml:space="preserve">Pārskata periodā turpinājās sociālās rehabilitācijas un institūcijām alternatīvu sociālās aprūpes pakalpojumu attīstībai reģionos iesniegto projektu atlase un iesniegumu vērtēšana. Finansējuma saņēmēji ir sociālo pakalpojumu reģistrā kā sociālās aprūpes vai sociālās rehabilitācijas pakalpojumu sniedzēji reģistrētas privāto tiesību juridiskās personas, kā arī pašvaldības, pašvaldību institūcijas un valsts institūcijas. </w:t>
      </w:r>
    </w:p>
    <w:p w:rsidR="00AC09D1" w:rsidRPr="00B557E8" w:rsidRDefault="00FC4561" w:rsidP="00B557E8">
      <w:pPr>
        <w:pStyle w:val="Default"/>
        <w:spacing w:before="120" w:after="120" w:line="276" w:lineRule="auto"/>
        <w:jc w:val="both"/>
        <w:rPr>
          <w:color w:val="000000" w:themeColor="text1"/>
          <w:highlight w:val="yellow"/>
        </w:rPr>
      </w:pPr>
      <w:r w:rsidRPr="00B557E8">
        <w:rPr>
          <w:color w:val="000000" w:themeColor="text1"/>
        </w:rPr>
        <w:t>Līdz pārskata perioda beigām kompleksos atbalsta pasākumos, tajā skaitā darba prakšu vietu izveide jauniešiem un karjeras konsultācijas, atbalstu saņēmušo iedzīvotāju skaits sasniedzis 24 195 personas, kas pārsniedz periodam plānoto.</w:t>
      </w:r>
      <w:r w:rsidR="00AC09D1" w:rsidRPr="00B557E8">
        <w:rPr>
          <w:color w:val="000000" w:themeColor="text1"/>
          <w:highlight w:val="yellow"/>
        </w:rPr>
        <w:t xml:space="preserve"> </w:t>
      </w:r>
    </w:p>
    <w:p w:rsidR="00AC09D1" w:rsidRPr="00B557E8" w:rsidRDefault="00AC09D1" w:rsidP="00B557E8">
      <w:pPr>
        <w:spacing w:before="120" w:after="120" w:line="276" w:lineRule="auto"/>
        <w:rPr>
          <w:b/>
          <w:color w:val="000000" w:themeColor="text1"/>
          <w:szCs w:val="24"/>
        </w:rPr>
      </w:pPr>
      <w:r w:rsidRPr="00B557E8">
        <w:rPr>
          <w:b/>
          <w:color w:val="000000" w:themeColor="text1"/>
          <w:szCs w:val="24"/>
        </w:rPr>
        <w:t>„Administratīvās kapacitātes stiprināšana”</w:t>
      </w:r>
    </w:p>
    <w:p w:rsidR="00FC4561" w:rsidRPr="00B557E8" w:rsidRDefault="00FC4561" w:rsidP="00B557E8">
      <w:pPr>
        <w:pStyle w:val="Default"/>
        <w:spacing w:before="120" w:after="120" w:line="276" w:lineRule="auto"/>
        <w:jc w:val="both"/>
        <w:rPr>
          <w:color w:val="000000" w:themeColor="text1"/>
        </w:rPr>
      </w:pPr>
      <w:r w:rsidRPr="00B557E8">
        <w:rPr>
          <w:color w:val="000000" w:themeColor="text1"/>
        </w:rPr>
        <w:t xml:space="preserve">Prioritāte ir vērsta uz valsts, reģionālā un vietējā līmeņa pārvaldes institūciju kapacitātes stiprināšanu, paaugstinot to efektivitāti un pienesumu valsts ekonomiskai un sociālai izaugsmei, kā arī veicinot valsts, reģionālā un vietējā līmeņa pārvaldes institūciju, sociālo partneru un NVO savstarpējo sadarbību labākas, uz sabiedrības vajadzībām vērstas politikas veidošanā un ieviešanā, kā arī efektīvas un caurskatāmas publiskās pārvaldes veidošanā. </w:t>
      </w:r>
    </w:p>
    <w:p w:rsidR="00E31F68" w:rsidRPr="00B557E8" w:rsidRDefault="00FC4561" w:rsidP="00B557E8">
      <w:pPr>
        <w:pStyle w:val="Default"/>
        <w:spacing w:before="120" w:after="120" w:line="276" w:lineRule="auto"/>
        <w:jc w:val="both"/>
        <w:rPr>
          <w:color w:val="000000" w:themeColor="text1"/>
        </w:rPr>
      </w:pPr>
      <w:r w:rsidRPr="00B557E8">
        <w:rPr>
          <w:color w:val="000000" w:themeColor="text1"/>
        </w:rPr>
        <w:t xml:space="preserve">Pārskata periodā kopumā administratīvās kapacitātes atbalsta aktivitāšu ieviešanas progress ir uzlabojies Valsts kancelejas </w:t>
      </w:r>
      <w:proofErr w:type="spellStart"/>
      <w:r w:rsidRPr="00B557E8">
        <w:rPr>
          <w:color w:val="000000" w:themeColor="text1"/>
        </w:rPr>
        <w:t>pārziņā</w:t>
      </w:r>
      <w:proofErr w:type="spellEnd"/>
      <w:r w:rsidRPr="00B557E8">
        <w:rPr>
          <w:color w:val="000000" w:themeColor="text1"/>
        </w:rPr>
        <w:t xml:space="preserve"> esošajās aktivitātēs attiecībā uz veiktajiem maksājumiem finansējuma saņēmējiem (maksājumu apjoms pieaudzis par 6%). </w:t>
      </w:r>
      <w:r w:rsidR="00076C0A" w:rsidRPr="00B557E8">
        <w:rPr>
          <w:color w:val="000000" w:themeColor="text1"/>
        </w:rPr>
        <w:t>VARAM</w:t>
      </w:r>
      <w:r w:rsidRPr="00B557E8">
        <w:rPr>
          <w:color w:val="000000" w:themeColor="text1"/>
        </w:rPr>
        <w:t xml:space="preserve"> īstenotāj</w:t>
      </w:r>
      <w:r w:rsidR="00E31F68" w:rsidRPr="00B557E8">
        <w:rPr>
          <w:color w:val="000000" w:themeColor="text1"/>
        </w:rPr>
        <w:t>ā</w:t>
      </w:r>
      <w:r w:rsidRPr="00B557E8">
        <w:rPr>
          <w:color w:val="000000" w:themeColor="text1"/>
        </w:rPr>
        <w:t>s aktivitātēs ieviešanas progress bijis salīdzinoši lēnāks (1,8%), kas galvenokārt skaidrojams</w:t>
      </w:r>
      <w:r w:rsidR="00E31F68" w:rsidRPr="00B557E8">
        <w:rPr>
          <w:color w:val="000000" w:themeColor="text1"/>
        </w:rPr>
        <w:t xml:space="preserve"> ar</w:t>
      </w:r>
      <w:r w:rsidRPr="00B557E8">
        <w:rPr>
          <w:color w:val="000000" w:themeColor="text1"/>
        </w:rPr>
        <w:t xml:space="preserve"> nepieciešamību pārskatīt un izvērtēt atbalstāmo profesiju sarakstu</w:t>
      </w:r>
      <w:r w:rsidR="00E31F68" w:rsidRPr="00B557E8">
        <w:rPr>
          <w:color w:val="000000" w:themeColor="text1"/>
        </w:rPr>
        <w:t xml:space="preserve"> </w:t>
      </w:r>
      <w:r w:rsidRPr="00B557E8">
        <w:rPr>
          <w:color w:val="000000" w:themeColor="text1"/>
        </w:rPr>
        <w:t>speciālistu piesaistes plānošanas reģionu un vietējo pašvaldību kapacitātes paaugstināšanas aktivitātē.</w:t>
      </w:r>
      <w:r w:rsidR="00BC44C9" w:rsidRPr="00B557E8">
        <w:rPr>
          <w:color w:val="000000" w:themeColor="text1"/>
        </w:rPr>
        <w:t xml:space="preserve"> </w:t>
      </w:r>
      <w:r w:rsidR="00E31F68" w:rsidRPr="00B557E8">
        <w:rPr>
          <w:color w:val="000000" w:themeColor="text1"/>
        </w:rPr>
        <w:t>Savukārt plānošanas un vietējo pašvaldību attīstības plānošanas kapacitātes paaugstināšanas  aktivitātes ietvaros atbilstoši noslēgtajiem iepirkuma līgumiem maksājumi pakalpojuma sniedzējiem tiek veikti pēc visu darbu pabeigšanas vai kā starpposma maksājums par konkrēti izpildītiem pakalpojumiem.</w:t>
      </w:r>
    </w:p>
    <w:p w:rsidR="0076789C" w:rsidRPr="00B557E8" w:rsidRDefault="000B28B8" w:rsidP="00B557E8">
      <w:pPr>
        <w:spacing w:before="120" w:after="120" w:line="276" w:lineRule="auto"/>
        <w:rPr>
          <w:color w:val="000000" w:themeColor="text1"/>
          <w:szCs w:val="24"/>
          <w:lang w:eastAsia="lv-LV"/>
        </w:rPr>
      </w:pPr>
      <w:r w:rsidRPr="00B557E8">
        <w:rPr>
          <w:color w:val="000000" w:themeColor="text1"/>
          <w:szCs w:val="24"/>
        </w:rPr>
        <w:lastRenderedPageBreak/>
        <w:t>Strukturālo reformu īstenošanas un analītisko spēju stiprināšanas projektos, k</w:t>
      </w:r>
      <w:r w:rsidR="00055941" w:rsidRPr="00B557E8">
        <w:rPr>
          <w:color w:val="000000" w:themeColor="text1"/>
          <w:szCs w:val="24"/>
        </w:rPr>
        <w:t>urus</w:t>
      </w:r>
      <w:r w:rsidRPr="00B557E8">
        <w:rPr>
          <w:color w:val="000000" w:themeColor="text1"/>
          <w:szCs w:val="24"/>
        </w:rPr>
        <w:t xml:space="preserve"> īsteno Valsts kanceleja un </w:t>
      </w:r>
      <w:r w:rsidR="008F27FF" w:rsidRPr="00B557E8">
        <w:rPr>
          <w:color w:val="000000" w:themeColor="text1"/>
          <w:szCs w:val="24"/>
        </w:rPr>
        <w:t>FM</w:t>
      </w:r>
      <w:r w:rsidR="00055941" w:rsidRPr="00B557E8">
        <w:rPr>
          <w:color w:val="000000" w:themeColor="text1"/>
          <w:szCs w:val="24"/>
        </w:rPr>
        <w:t>,</w:t>
      </w:r>
      <w:r w:rsidRPr="00B557E8">
        <w:rPr>
          <w:color w:val="000000" w:themeColor="text1"/>
          <w:szCs w:val="24"/>
        </w:rPr>
        <w:t xml:space="preserve"> visstraujākais progress sasniegts apmācību aktivitātēs</w:t>
      </w:r>
      <w:r w:rsidR="0076789C" w:rsidRPr="00B557E8">
        <w:rPr>
          <w:color w:val="000000" w:themeColor="text1"/>
          <w:szCs w:val="24"/>
          <w:lang w:eastAsia="lv-LV"/>
        </w:rPr>
        <w:t>, kurās tematiskais loks aptver finanšu vadības un makroekonomiskas analīzi</w:t>
      </w:r>
      <w:r w:rsidR="00055941" w:rsidRPr="00B557E8">
        <w:rPr>
          <w:color w:val="000000" w:themeColor="text1"/>
          <w:szCs w:val="24"/>
          <w:lang w:eastAsia="lv-LV"/>
        </w:rPr>
        <w:t xml:space="preserve"> (tautsaimniecības analīze, fiskālā politika, finanšu un tirgus politika, valsts budžeta un publisko finanšu vadības politika)</w:t>
      </w:r>
      <w:r w:rsidR="0076789C" w:rsidRPr="00B557E8">
        <w:rPr>
          <w:color w:val="000000" w:themeColor="text1"/>
          <w:szCs w:val="24"/>
          <w:lang w:eastAsia="lv-LV"/>
        </w:rPr>
        <w:t>,</w:t>
      </w:r>
      <w:r w:rsidR="00055941" w:rsidRPr="00B557E8">
        <w:rPr>
          <w:color w:val="000000" w:themeColor="text1"/>
          <w:szCs w:val="24"/>
          <w:lang w:eastAsia="lv-LV"/>
        </w:rPr>
        <w:t xml:space="preserve"> kā arī</w:t>
      </w:r>
      <w:r w:rsidR="0076789C" w:rsidRPr="00B557E8">
        <w:rPr>
          <w:color w:val="000000" w:themeColor="text1"/>
          <w:szCs w:val="24"/>
          <w:lang w:eastAsia="lv-LV"/>
        </w:rPr>
        <w:t xml:space="preserve"> v</w:t>
      </w:r>
      <w:r w:rsidR="0076789C" w:rsidRPr="00B557E8">
        <w:rPr>
          <w:snapToGrid w:val="0"/>
          <w:color w:val="000000" w:themeColor="text1"/>
          <w:szCs w:val="24"/>
        </w:rPr>
        <w:t>alsts pārvaldes darbinieku</w:t>
      </w:r>
      <w:r w:rsidR="00055941" w:rsidRPr="00B557E8">
        <w:rPr>
          <w:snapToGrid w:val="0"/>
          <w:color w:val="000000" w:themeColor="text1"/>
          <w:szCs w:val="24"/>
        </w:rPr>
        <w:t xml:space="preserve"> novērtēšanas sistēmas ieviešanu, apmācīto darbinieku un</w:t>
      </w:r>
      <w:r w:rsidR="006365F2" w:rsidRPr="00B557E8">
        <w:rPr>
          <w:snapToGrid w:val="0"/>
          <w:color w:val="000000" w:themeColor="text1"/>
          <w:szCs w:val="24"/>
        </w:rPr>
        <w:t xml:space="preserve"> ierēdņu skaits sasniedzis 726 jeb</w:t>
      </w:r>
      <w:r w:rsidR="00055941" w:rsidRPr="00B557E8">
        <w:rPr>
          <w:snapToGrid w:val="0"/>
          <w:color w:val="000000" w:themeColor="text1"/>
          <w:szCs w:val="24"/>
        </w:rPr>
        <w:t xml:space="preserve"> </w:t>
      </w:r>
      <w:r w:rsidR="006365F2" w:rsidRPr="00B557E8">
        <w:rPr>
          <w:snapToGrid w:val="0"/>
          <w:color w:val="000000" w:themeColor="text1"/>
          <w:szCs w:val="24"/>
        </w:rPr>
        <w:t xml:space="preserve">13% no 2013. gadam noteiktās vērtības.  </w:t>
      </w:r>
    </w:p>
    <w:p w:rsidR="001C1733" w:rsidRPr="00B557E8" w:rsidRDefault="001C1733" w:rsidP="00B557E8">
      <w:pPr>
        <w:pStyle w:val="Default"/>
        <w:spacing w:before="120" w:after="120" w:line="276" w:lineRule="auto"/>
        <w:jc w:val="both"/>
        <w:rPr>
          <w:color w:val="000000" w:themeColor="text1"/>
        </w:rPr>
      </w:pPr>
      <w:r w:rsidRPr="00B557E8">
        <w:rPr>
          <w:color w:val="000000" w:themeColor="text1"/>
        </w:rPr>
        <w:t>Informāciju par aktivitātes „</w:t>
      </w:r>
      <w:r w:rsidR="008F27FF" w:rsidRPr="00B557E8">
        <w:rPr>
          <w:color w:val="000000" w:themeColor="text1"/>
        </w:rPr>
        <w:t>TP</w:t>
      </w:r>
      <w:r w:rsidRPr="00B557E8">
        <w:rPr>
          <w:color w:val="000000" w:themeColor="text1"/>
        </w:rPr>
        <w:t>” īstenošanu lūdzam skatīt sadaļā 1.4. „</w:t>
      </w:r>
      <w:r w:rsidR="008F27FF" w:rsidRPr="00B557E8">
        <w:rPr>
          <w:color w:val="000000" w:themeColor="text1"/>
        </w:rPr>
        <w:t>TP</w:t>
      </w:r>
      <w:r w:rsidRPr="00B557E8">
        <w:rPr>
          <w:color w:val="000000" w:themeColor="text1"/>
        </w:rPr>
        <w:t xml:space="preserve"> aktivitāšu īstenošana”.</w:t>
      </w:r>
    </w:p>
    <w:p w:rsidR="00FF4209" w:rsidRPr="00B557E8" w:rsidRDefault="001215E7" w:rsidP="00B557E8">
      <w:pPr>
        <w:spacing w:before="120" w:after="120" w:line="276" w:lineRule="auto"/>
        <w:rPr>
          <w:b/>
          <w:color w:val="000000" w:themeColor="text1"/>
          <w:szCs w:val="24"/>
        </w:rPr>
      </w:pPr>
      <w:bookmarkStart w:id="20" w:name="_Toc276049977"/>
      <w:r w:rsidRPr="00B557E8">
        <w:rPr>
          <w:b/>
          <w:color w:val="000000" w:themeColor="text1"/>
          <w:szCs w:val="24"/>
        </w:rPr>
        <w:t>1.</w:t>
      </w:r>
      <w:r w:rsidR="00017679" w:rsidRPr="00B557E8">
        <w:rPr>
          <w:b/>
          <w:color w:val="000000" w:themeColor="text1"/>
          <w:szCs w:val="24"/>
        </w:rPr>
        <w:t>4</w:t>
      </w:r>
      <w:r w:rsidRPr="00B557E8">
        <w:rPr>
          <w:b/>
          <w:color w:val="000000" w:themeColor="text1"/>
          <w:szCs w:val="24"/>
        </w:rPr>
        <w:t xml:space="preserve">.2. </w:t>
      </w:r>
      <w:r w:rsidR="00FF4209" w:rsidRPr="00B557E8">
        <w:rPr>
          <w:b/>
          <w:color w:val="000000" w:themeColor="text1"/>
          <w:szCs w:val="24"/>
        </w:rPr>
        <w:t>Darbības programma „Uzņēmējdarbība un inovācijas”</w:t>
      </w:r>
      <w:bookmarkEnd w:id="20"/>
    </w:p>
    <w:p w:rsidR="00865FDD" w:rsidRPr="00B557E8" w:rsidRDefault="00865FDD" w:rsidP="00B557E8">
      <w:pPr>
        <w:pStyle w:val="Default"/>
        <w:spacing w:before="120" w:after="120" w:line="276" w:lineRule="auto"/>
        <w:jc w:val="both"/>
        <w:rPr>
          <w:color w:val="000000" w:themeColor="text1"/>
        </w:rPr>
      </w:pPr>
      <w:r w:rsidRPr="00B557E8">
        <w:rPr>
          <w:color w:val="000000" w:themeColor="text1"/>
        </w:rPr>
        <w:t>Pārskata periodā aktivitāšu ieviešana nav apmierinoša, par ko liecina apstiprināto projektu un noslēgto līgumu apjoma samazināšanās un nepietiekamā līmenī sasniegtais plānoto mērķu (gan maksājumiem finanšu saņēmējiem, gan budžeta izpildes, gan arī uzraudzības rādītāju) apjoms (</w:t>
      </w:r>
      <w:proofErr w:type="spellStart"/>
      <w:r w:rsidRPr="00B557E8">
        <w:rPr>
          <w:color w:val="000000" w:themeColor="text1"/>
        </w:rPr>
        <w:t>detālāku</w:t>
      </w:r>
      <w:proofErr w:type="spellEnd"/>
      <w:r w:rsidRPr="00B557E8">
        <w:rPr>
          <w:color w:val="000000" w:themeColor="text1"/>
        </w:rPr>
        <w:t xml:space="preserve"> izklāstu aktivitāšu līmenī skatīt pie prioritāšu apraksta). Apstiprināto projektu apjoma samazināšanās prioritātes „Zinātne un inovācijas” ietvaros saistīta galvenokārt ar veiktiem grozījumiem vienošanās par projektu īstenošanu saskaņā ar grozījumiem </w:t>
      </w:r>
      <w:r w:rsidR="00E65D1D" w:rsidRPr="00B557E8">
        <w:rPr>
          <w:color w:val="000000" w:themeColor="text1"/>
        </w:rPr>
        <w:t>MK</w:t>
      </w:r>
      <w:r w:rsidRPr="00B557E8">
        <w:rPr>
          <w:color w:val="000000" w:themeColor="text1"/>
        </w:rPr>
        <w:t xml:space="preserve"> noteikumos par aktivitātes „Atbalsts starptautiskās sadarbības projektiem zinātnē un tehnoloģijās (EUREKA, </w:t>
      </w:r>
      <w:r w:rsidR="007A71F0" w:rsidRPr="00B557E8">
        <w:rPr>
          <w:color w:val="000000" w:themeColor="text1"/>
        </w:rPr>
        <w:t>7</w:t>
      </w:r>
      <w:r w:rsidR="004C693B" w:rsidRPr="00B557E8">
        <w:rPr>
          <w:color w:val="000000" w:themeColor="text1"/>
        </w:rPr>
        <w:t>.</w:t>
      </w:r>
      <w:r w:rsidR="007A71F0" w:rsidRPr="00B557E8">
        <w:rPr>
          <w:color w:val="000000" w:themeColor="text1"/>
        </w:rPr>
        <w:t xml:space="preserve">Ietvara programma </w:t>
      </w:r>
      <w:r w:rsidRPr="00B557E8">
        <w:rPr>
          <w:color w:val="000000" w:themeColor="text1"/>
        </w:rPr>
        <w:t xml:space="preserve">un citi)” īstenošanu, kā arī attiecināmo izmaksu precizēšanu. Apguves regress prioritātes „Uzņēmējdarbības veicināšana” ietvaros skaidrojams ar pastāvīgu līgumu laušanu, projektu īstenošanas termiņu pagarinājumu un attiecināmo izmaksu samazinājumu lielākoties aktivitātes „Atbalsts ieguldījumiem </w:t>
      </w:r>
      <w:proofErr w:type="spellStart"/>
      <w:r w:rsidRPr="00B557E8">
        <w:rPr>
          <w:color w:val="000000" w:themeColor="text1"/>
        </w:rPr>
        <w:t>mikro</w:t>
      </w:r>
      <w:proofErr w:type="spellEnd"/>
      <w:r w:rsidRPr="00B557E8">
        <w:rPr>
          <w:color w:val="000000" w:themeColor="text1"/>
        </w:rPr>
        <w:t xml:space="preserve">, maziem un vidējiem komersantiem īpaši atbalstāmajās teritorijās” ietvaros. Informāciju par finansējuma apguvi skatīt </w:t>
      </w:r>
      <w:r w:rsidRPr="00B557E8">
        <w:rPr>
          <w:color w:val="000000" w:themeColor="text1"/>
          <w:u w:val="single"/>
        </w:rPr>
        <w:t>grafikā Nr.</w:t>
      </w:r>
      <w:r w:rsidR="00EC7B49" w:rsidRPr="00B557E8">
        <w:rPr>
          <w:color w:val="000000" w:themeColor="text1"/>
          <w:u w:val="single"/>
        </w:rPr>
        <w:t>8</w:t>
      </w:r>
      <w:r w:rsidRPr="00B557E8">
        <w:rPr>
          <w:color w:val="000000" w:themeColor="text1"/>
          <w:u w:val="single"/>
        </w:rPr>
        <w:t>.</w:t>
      </w:r>
    </w:p>
    <w:p w:rsidR="001E53C0" w:rsidRPr="00B557E8" w:rsidRDefault="001E53C0" w:rsidP="00B557E8">
      <w:pPr>
        <w:spacing w:before="120" w:after="120" w:line="276" w:lineRule="auto"/>
        <w:jc w:val="left"/>
        <w:rPr>
          <w:color w:val="000000" w:themeColor="text1"/>
          <w:szCs w:val="24"/>
        </w:rPr>
      </w:pPr>
      <w:r w:rsidRPr="00B557E8">
        <w:rPr>
          <w:color w:val="000000" w:themeColor="text1"/>
          <w:szCs w:val="24"/>
        </w:rPr>
        <w:t>Grafiks Nr.</w:t>
      </w:r>
      <w:r w:rsidR="00EC7B49" w:rsidRPr="00B557E8">
        <w:rPr>
          <w:color w:val="000000" w:themeColor="text1"/>
          <w:szCs w:val="24"/>
        </w:rPr>
        <w:t>8</w:t>
      </w:r>
      <w:r w:rsidRPr="00B557E8">
        <w:rPr>
          <w:i/>
          <w:color w:val="000000" w:themeColor="text1"/>
          <w:szCs w:val="24"/>
        </w:rPr>
        <w:t xml:space="preserve"> „ES fondu finanšu apguve darbības programmā „Uzņēmējdarbība un inovācijas; </w:t>
      </w:r>
      <w:proofErr w:type="spellStart"/>
      <w:r w:rsidRPr="00B557E8">
        <w:rPr>
          <w:i/>
          <w:color w:val="000000" w:themeColor="text1"/>
          <w:szCs w:val="24"/>
        </w:rPr>
        <w:t>milj</w:t>
      </w:r>
      <w:proofErr w:type="spellEnd"/>
      <w:r w:rsidRPr="00B557E8">
        <w:rPr>
          <w:i/>
          <w:color w:val="000000" w:themeColor="text1"/>
          <w:szCs w:val="24"/>
        </w:rPr>
        <w:t xml:space="preserve">. LVL, (% no pieejamā publiskā finansējuma); % progress pret datiem uz </w:t>
      </w:r>
      <w:r w:rsidR="009B7106" w:rsidRPr="00B557E8">
        <w:rPr>
          <w:i/>
          <w:color w:val="000000" w:themeColor="text1"/>
          <w:szCs w:val="24"/>
        </w:rPr>
        <w:t>30.06</w:t>
      </w:r>
      <w:r w:rsidRPr="00B557E8">
        <w:rPr>
          <w:i/>
          <w:color w:val="000000" w:themeColor="text1"/>
          <w:szCs w:val="24"/>
        </w:rPr>
        <w:t>.2011.”</w:t>
      </w:r>
    </w:p>
    <w:p w:rsidR="001E53C0" w:rsidRPr="00B557E8" w:rsidRDefault="009B7106" w:rsidP="00B557E8">
      <w:pPr>
        <w:spacing w:before="120" w:after="120" w:line="276" w:lineRule="auto"/>
        <w:ind w:left="-284"/>
        <w:rPr>
          <w:noProof/>
          <w:color w:val="000000" w:themeColor="text1"/>
          <w:szCs w:val="24"/>
          <w:highlight w:val="yellow"/>
          <w:lang w:eastAsia="lv-LV"/>
        </w:rPr>
      </w:pPr>
      <w:r w:rsidRPr="00B557E8">
        <w:rPr>
          <w:noProof/>
          <w:color w:val="000000" w:themeColor="text1"/>
          <w:szCs w:val="24"/>
          <w:lang w:eastAsia="lv-LV"/>
        </w:rPr>
        <w:drawing>
          <wp:inline distT="0" distB="0" distL="0" distR="0" wp14:anchorId="7F203110" wp14:editId="1107315F">
            <wp:extent cx="6108192" cy="3825850"/>
            <wp:effectExtent l="0" t="0" r="6985" b="381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F2087" w:rsidRPr="00B557E8" w:rsidRDefault="00AF2087" w:rsidP="00B557E8">
      <w:pPr>
        <w:pStyle w:val="NormalWeb"/>
        <w:spacing w:before="120" w:beforeAutospacing="0" w:after="120" w:afterAutospacing="0" w:line="276" w:lineRule="auto"/>
        <w:jc w:val="both"/>
        <w:rPr>
          <w:i/>
          <w:color w:val="000000" w:themeColor="text1"/>
          <w:lang w:val="lv-LV"/>
        </w:rPr>
      </w:pPr>
      <w:r w:rsidRPr="00B557E8">
        <w:rPr>
          <w:i/>
          <w:color w:val="000000" w:themeColor="text1"/>
          <w:lang w:val="lv-LV"/>
        </w:rPr>
        <w:lastRenderedPageBreak/>
        <w:t xml:space="preserve">*Detalizēta informācija par apguves progresu prioritātē „ Finanšu pieejamība” sniegta apakšpunktā „Finanšu pieejamība” un grafikā Nr.9. </w:t>
      </w:r>
    </w:p>
    <w:p w:rsidR="001E53C0" w:rsidRPr="00B557E8" w:rsidRDefault="00085493" w:rsidP="00B557E8">
      <w:pPr>
        <w:spacing w:before="120" w:after="120" w:line="276" w:lineRule="auto"/>
        <w:rPr>
          <w:b/>
          <w:color w:val="000000" w:themeColor="text1"/>
          <w:szCs w:val="24"/>
        </w:rPr>
      </w:pPr>
      <w:r w:rsidRPr="00B557E8">
        <w:rPr>
          <w:b/>
          <w:color w:val="000000" w:themeColor="text1"/>
          <w:szCs w:val="24"/>
        </w:rPr>
        <w:t xml:space="preserve"> </w:t>
      </w:r>
      <w:r w:rsidR="001E53C0" w:rsidRPr="00B557E8">
        <w:rPr>
          <w:b/>
          <w:color w:val="000000" w:themeColor="text1"/>
          <w:szCs w:val="24"/>
        </w:rPr>
        <w:t xml:space="preserve">„Zinātne un inovācijas” </w:t>
      </w:r>
    </w:p>
    <w:p w:rsidR="00AF2087" w:rsidRPr="00B557E8" w:rsidRDefault="007A1743" w:rsidP="00B557E8">
      <w:pPr>
        <w:pStyle w:val="NormalWeb"/>
        <w:spacing w:before="120" w:beforeAutospacing="0" w:after="120" w:afterAutospacing="0" w:line="276" w:lineRule="auto"/>
        <w:jc w:val="both"/>
        <w:rPr>
          <w:color w:val="000000" w:themeColor="text1"/>
          <w:lang w:val="lv-LV"/>
        </w:rPr>
      </w:pPr>
      <w:r w:rsidRPr="00B557E8">
        <w:rPr>
          <w:color w:val="000000" w:themeColor="text1"/>
          <w:lang w:val="lv-LV"/>
        </w:rPr>
        <w:t xml:space="preserve">Prioritāte vērsta uz valsts zinātnes un pētniecības potenciāla nostiprināšanu, starptautiskās konkurētspējas palielināšanu, kā arī zināšanu pārneses un to </w:t>
      </w:r>
      <w:proofErr w:type="spellStart"/>
      <w:r w:rsidRPr="00B557E8">
        <w:rPr>
          <w:color w:val="000000" w:themeColor="text1"/>
          <w:lang w:val="lv-LV"/>
        </w:rPr>
        <w:t>komercializācijas</w:t>
      </w:r>
      <w:proofErr w:type="spellEnd"/>
      <w:r w:rsidRPr="00B557E8">
        <w:rPr>
          <w:color w:val="000000" w:themeColor="text1"/>
          <w:lang w:val="lv-LV"/>
        </w:rPr>
        <w:t xml:space="preserve"> veicināšanu. Šie mērķi sasniedzami, investējot zinātnes un pētniecības centru aprīkojumā, pētniecības veicināšanā, izveidojot zināšanu pārneses infrastruktūru un atbalsta mehānismus.</w:t>
      </w:r>
      <w:r w:rsidR="001E53C0" w:rsidRPr="00B557E8">
        <w:rPr>
          <w:color w:val="000000" w:themeColor="text1"/>
          <w:lang w:val="lv-LV"/>
        </w:rPr>
        <w:t xml:space="preserve"> </w:t>
      </w:r>
    </w:p>
    <w:p w:rsidR="001E53C0" w:rsidRPr="00B557E8" w:rsidRDefault="001E53C0" w:rsidP="00B557E8">
      <w:pPr>
        <w:pStyle w:val="Default"/>
        <w:spacing w:before="120" w:after="120" w:line="276" w:lineRule="auto"/>
        <w:jc w:val="both"/>
        <w:rPr>
          <w:color w:val="000000" w:themeColor="text1"/>
          <w:u w:val="single"/>
        </w:rPr>
      </w:pPr>
      <w:r w:rsidRPr="00B557E8">
        <w:rPr>
          <w:color w:val="000000" w:themeColor="text1"/>
          <w:u w:val="single"/>
        </w:rPr>
        <w:t>Zinātne, pētniecība, attīstība</w:t>
      </w:r>
    </w:p>
    <w:p w:rsidR="00B6630F" w:rsidRPr="00B557E8" w:rsidRDefault="00B6630F" w:rsidP="00B557E8">
      <w:pPr>
        <w:pStyle w:val="NormalWeb"/>
        <w:spacing w:before="120" w:beforeAutospacing="0" w:after="120" w:afterAutospacing="0" w:line="276" w:lineRule="auto"/>
        <w:jc w:val="both"/>
        <w:rPr>
          <w:color w:val="000000" w:themeColor="text1"/>
          <w:lang w:val="lv-LV"/>
        </w:rPr>
      </w:pPr>
      <w:r w:rsidRPr="00B557E8">
        <w:rPr>
          <w:color w:val="000000" w:themeColor="text1"/>
          <w:lang w:val="lv-LV"/>
        </w:rPr>
        <w:t>Kopumā zinātnes un pētniecības aktivitāšu ieviešana pārskata ceturksnī nav bijusi atbilstoši plānotajam, pasākuma „ Zinātne, pētniecība un attīstība” ietvaros finansējuma saņēmējiem ir izmaksāti tikai 35,6% no IZM noteiktā 2011.gada 30.septembra mērķiem.</w:t>
      </w:r>
      <w:r w:rsidR="00337ACF" w:rsidRPr="00B557E8">
        <w:rPr>
          <w:color w:val="000000" w:themeColor="text1"/>
          <w:lang w:val="lv-LV"/>
        </w:rPr>
        <w:t xml:space="preserve"> Atbilstoši IZM sniegtajai informācijai</w:t>
      </w:r>
      <w:r w:rsidRPr="00B557E8">
        <w:rPr>
          <w:color w:val="000000" w:themeColor="text1"/>
          <w:lang w:val="lv-LV"/>
        </w:rPr>
        <w:t xml:space="preserve"> </w:t>
      </w:r>
      <w:r w:rsidR="00337ACF" w:rsidRPr="00B557E8">
        <w:rPr>
          <w:color w:val="000000" w:themeColor="text1"/>
          <w:lang w:val="lv-LV"/>
        </w:rPr>
        <w:t>p</w:t>
      </w:r>
      <w:r w:rsidRPr="00B557E8">
        <w:rPr>
          <w:color w:val="000000" w:themeColor="text1"/>
          <w:lang w:val="lv-LV"/>
        </w:rPr>
        <w:t xml:space="preserve">amatojums mērķu neizpildei ir ar iepirkuma procedūru veikšanu saistīti </w:t>
      </w:r>
      <w:proofErr w:type="spellStart"/>
      <w:r w:rsidRPr="00B557E8">
        <w:rPr>
          <w:color w:val="000000" w:themeColor="text1"/>
          <w:lang w:val="lv-LV"/>
        </w:rPr>
        <w:t>problēmjautājumi</w:t>
      </w:r>
      <w:proofErr w:type="spellEnd"/>
      <w:r w:rsidRPr="00B557E8">
        <w:rPr>
          <w:color w:val="000000" w:themeColor="text1"/>
          <w:lang w:val="lv-LV"/>
        </w:rPr>
        <w:t>. Šobrīd notiek ļoti aktīvs darbs pie aktivitāšu ieviešanas, kā rezultātā iespējams pasākuma</w:t>
      </w:r>
      <w:r w:rsidR="001B5FA1" w:rsidRPr="00B557E8">
        <w:rPr>
          <w:color w:val="000000" w:themeColor="text1"/>
          <w:lang w:val="lv-LV"/>
        </w:rPr>
        <w:t xml:space="preserve"> mērķi 2011.gadā tiks sasniegti līdz ar gada pēdējo mēnesi.</w:t>
      </w:r>
    </w:p>
    <w:p w:rsidR="00B6630F" w:rsidRPr="00B557E8" w:rsidRDefault="00B6630F" w:rsidP="00B557E8">
      <w:pPr>
        <w:pStyle w:val="NormalWeb"/>
        <w:spacing w:before="120" w:beforeAutospacing="0" w:after="120" w:afterAutospacing="0" w:line="276" w:lineRule="auto"/>
        <w:jc w:val="both"/>
        <w:rPr>
          <w:color w:val="000000" w:themeColor="text1"/>
          <w:lang w:val="lv-LV"/>
        </w:rPr>
      </w:pPr>
      <w:r w:rsidRPr="00B557E8">
        <w:rPr>
          <w:color w:val="000000" w:themeColor="text1"/>
          <w:lang w:val="lv-LV"/>
        </w:rPr>
        <w:t xml:space="preserve">Pasākuma „Zinātne, pētniecība un attīstība" ietvaros tiek īstenota aktivitāte „Atbalsts zinātnei un pētniecībai”, kuras mērķis ir atbalstīt praktiskas ievirzes pētniecības projektus, kuri sekmētu zinātnes un ražošanas integrāciju un pētniecības rezultātu ieviešanu atbilstoši valstī noteiktajiem prioritārajiem zinātnes virzieniem:  2010.–2013.gadā - enerģija un vide, inovatīvie materiāli un tehnoloģijas, nacionālā identitāte, sabiedrības veselība, vietējo resursu ilgtspējīga izmantošana – jauni produkti un tehnoloģijas. Aktivitātē kopš 2010.gada beigām norit 122 projektu īstenošana, kuru noslēgto līgumu apjoms ir 92,4 % no kopējā aktivitātei paredzētā ERAF finansējuma, savukārt izmaksāts finansējuma saņēmējiem jau 24,8 % no ERAF finansējuma. Salīdzinot ar iepriekšējo ceturksni noslēgto līgumu apjoms samazinājies par 0,7 % dēļ lauztiem līgumiem, bet maksājumu finansējuma saņēmējiem progress ir 3,8 %. </w:t>
      </w:r>
      <w:r w:rsidR="003A4E9F" w:rsidRPr="00B557E8">
        <w:rPr>
          <w:color w:val="000000" w:themeColor="text1"/>
          <w:lang w:val="lv-LV"/>
        </w:rPr>
        <w:t>Visvairāk  noslēgto līgumu par projektu īstenošanu ir farmācijas, rūpniecības (tai skaitā, iekārtas, aparāti un instrumenti), lauksaimniecības un mežsaimniecības nozarēs, kur projektu ietvaros paredzēts veikt rūpnieciskos pētījumus, lai iegūtu zināšanas jaunu produktu vai tehnoloģiju izstrādei, kā arī veikt eksperimentālās izstrādes, lai izstrādātu jaunu produktu (preces vai pakalpojumi) vai jaunu tehnoloģiju prototipus, un nostiprināt tiesības uz rūpnieciskā īpašuma tiesību objektiem (patentu pieteikumi, augu šķirņu reģistrēšana).</w:t>
      </w:r>
    </w:p>
    <w:p w:rsidR="00B6630F" w:rsidRPr="00B557E8" w:rsidRDefault="00B6630F" w:rsidP="00B557E8">
      <w:pPr>
        <w:pStyle w:val="NormalWeb"/>
        <w:spacing w:before="120" w:beforeAutospacing="0" w:after="120" w:afterAutospacing="0" w:line="276" w:lineRule="auto"/>
        <w:jc w:val="both"/>
        <w:rPr>
          <w:color w:val="000000" w:themeColor="text1"/>
          <w:lang w:val="lv-LV"/>
        </w:rPr>
      </w:pPr>
      <w:r w:rsidRPr="00B557E8">
        <w:rPr>
          <w:color w:val="000000" w:themeColor="text1"/>
          <w:lang w:val="lv-LV"/>
        </w:rPr>
        <w:t>Pārskata periodā aktivitātē „Atbalsts starptautiskās sadarbības projektiem zinātnē un tehnoloģijās” kopš 2010.gada beigām norit 20 projektu īstenošana. Aktivitātes ietvaros noslēgto līgumu un izmaksātā finansējuma progress</w:t>
      </w:r>
      <w:r w:rsidR="00337ACF" w:rsidRPr="00B557E8">
        <w:rPr>
          <w:color w:val="000000" w:themeColor="text1"/>
          <w:lang w:val="lv-LV"/>
        </w:rPr>
        <w:t xml:space="preserve"> ir teorētiski</w:t>
      </w:r>
      <w:r w:rsidRPr="00B557E8">
        <w:rPr>
          <w:color w:val="000000" w:themeColor="text1"/>
          <w:lang w:val="lv-LV"/>
        </w:rPr>
        <w:t xml:space="preserve"> palielinājies</w:t>
      </w:r>
      <w:r w:rsidR="00337ACF" w:rsidRPr="00B557E8">
        <w:rPr>
          <w:color w:val="000000" w:themeColor="text1"/>
          <w:lang w:val="lv-LV"/>
        </w:rPr>
        <w:t>.</w:t>
      </w:r>
      <w:r w:rsidRPr="00B557E8">
        <w:rPr>
          <w:color w:val="000000" w:themeColor="text1"/>
          <w:lang w:val="lv-LV"/>
        </w:rPr>
        <w:t xml:space="preserve"> </w:t>
      </w:r>
      <w:r w:rsidR="004F0CF0" w:rsidRPr="00B557E8">
        <w:rPr>
          <w:color w:val="000000" w:themeColor="text1"/>
          <w:lang w:val="lv-LV"/>
        </w:rPr>
        <w:t xml:space="preserve">Aktivitātes </w:t>
      </w:r>
      <w:r w:rsidRPr="00B557E8">
        <w:rPr>
          <w:color w:val="000000" w:themeColor="text1"/>
          <w:lang w:val="lv-LV"/>
        </w:rPr>
        <w:t>ES fondu finansējuma</w:t>
      </w:r>
      <w:r w:rsidR="004F0CF0" w:rsidRPr="00B557E8">
        <w:rPr>
          <w:color w:val="000000" w:themeColor="text1"/>
          <w:lang w:val="lv-LV"/>
        </w:rPr>
        <w:t xml:space="preserve"> atlikums pārdalīts „Atbalsts zinātnei un pētniecībai” aktivitātes projektu iesniegumu atlases otrās kārtas īstenošanai,</w:t>
      </w:r>
      <w:r w:rsidRPr="00B557E8">
        <w:rPr>
          <w:color w:val="000000" w:themeColor="text1"/>
          <w:lang w:val="lv-LV"/>
        </w:rPr>
        <w:t xml:space="preserve"> attiecīgi noslēgto līgumu un izmaksātā finansējuma apjoms ir 94,9% un 33,8% no ERAF finansējuma. Aktivitāšu „Atbalsts zinātnei un pētniecībai” un „Atbalsts starptautiskās sadarbības projektiem zinātnē un tehnoloģijās” ietvaros zinātniskās institūcijas, kuras ir reģistrētas zinātnisko institūciju reģistrā, saņems konkrēto pētījumu veikšanai nepieciešamo aprīkojumu un iespēju piedalīties zinātniskos kongresos, kā arī valsts zinātniskajām institūcijām - starptautiskās izstādēs, gadatirgos, tādējādi veicinot Latvijas zinātnes atpazīstamību ES un pasaulē, kā arī tiks nodrošināta zinātnisko institūciju kapacitātes </w:t>
      </w:r>
      <w:r w:rsidRPr="00B557E8">
        <w:rPr>
          <w:color w:val="000000" w:themeColor="text1"/>
          <w:lang w:val="lv-LV"/>
        </w:rPr>
        <w:lastRenderedPageBreak/>
        <w:t>attīstība, sekmēta projektu īstenošana, jaunu sadarbības projektu izstrāde un dalība tehnoloģiskajās platformās.</w:t>
      </w:r>
    </w:p>
    <w:p w:rsidR="00B6630F" w:rsidRPr="00B557E8" w:rsidRDefault="00B6630F" w:rsidP="00B557E8">
      <w:pPr>
        <w:pStyle w:val="NormalWeb"/>
        <w:spacing w:before="120" w:beforeAutospacing="0" w:after="120" w:afterAutospacing="0" w:line="276" w:lineRule="auto"/>
        <w:jc w:val="both"/>
        <w:rPr>
          <w:color w:val="000000" w:themeColor="text1"/>
          <w:lang w:val="lv-LV"/>
        </w:rPr>
      </w:pPr>
      <w:r w:rsidRPr="00B557E8">
        <w:rPr>
          <w:color w:val="000000" w:themeColor="text1"/>
          <w:lang w:val="lv-LV"/>
        </w:rPr>
        <w:t xml:space="preserve">2011.gada 14.janvārī ierobežotam projektu iesniegumu iesniedzēju lokam tika nosūtīti deviņi uzaicinājumi iesniegt projektu iesniegumus </w:t>
      </w:r>
      <w:proofErr w:type="spellStart"/>
      <w:r w:rsidRPr="00B557E8">
        <w:rPr>
          <w:color w:val="000000" w:themeColor="text1"/>
          <w:lang w:val="lv-LV"/>
        </w:rPr>
        <w:t>apakšaktivitātes</w:t>
      </w:r>
      <w:proofErr w:type="spellEnd"/>
      <w:r w:rsidRPr="00B557E8">
        <w:rPr>
          <w:color w:val="000000" w:themeColor="text1"/>
          <w:lang w:val="lv-LV"/>
        </w:rPr>
        <w:t xml:space="preserve"> „Zinātnes infrastruktūras attīstība” pirmās projektu iesniegumu atlases kārtas ietvaros, par projekta iesniegumu iesniegšanas termiņu nosakot 2011.gada 19.jūliju. Minētajā termiņā tika iesniegti deviņi projektu iesniegumi. 2011.gada 3.oktobrī, minētās projektu iesniegumu atlases ietvaros, IZM kā ES fondu </w:t>
      </w:r>
      <w:r w:rsidR="00374474" w:rsidRPr="00B557E8">
        <w:rPr>
          <w:color w:val="000000" w:themeColor="text1"/>
          <w:lang w:val="lv-LV"/>
        </w:rPr>
        <w:t>AI</w:t>
      </w:r>
      <w:r w:rsidRPr="00B557E8">
        <w:rPr>
          <w:color w:val="000000" w:themeColor="text1"/>
          <w:lang w:val="lv-LV"/>
        </w:rPr>
        <w:t xml:space="preserve"> pieņēma deviņus lēmumus par projektu iesniegumu apstiprināšanu ar nosacījumiem, kā termiņu lēmumos noteikto nosacīju izpildei nosakot 2011.gada 26.oktobri. Līgumus plānots noslēgt un uzsākt projektu ieviešanu jau 2011.gada novembrī un decembrī, to ietvaros plānots atbalstīt 9 valsts nozīmes pētniecības centru izveidi. Vienlaikus 2011.gada 15.jūnijā IZM izsludināja </w:t>
      </w:r>
      <w:proofErr w:type="spellStart"/>
      <w:r w:rsidRPr="00B557E8">
        <w:rPr>
          <w:color w:val="000000" w:themeColor="text1"/>
          <w:lang w:val="lv-LV"/>
        </w:rPr>
        <w:t>apakšaktivitātes</w:t>
      </w:r>
      <w:proofErr w:type="spellEnd"/>
      <w:r w:rsidRPr="00B557E8">
        <w:rPr>
          <w:color w:val="000000" w:themeColor="text1"/>
          <w:lang w:val="lv-LV"/>
        </w:rPr>
        <w:t xml:space="preserve"> „Zinātnes infrastruktūras attīstība” otro projektu iesniegumu atlases kārtu (atklāta atlase), par projekta iesniegumu termiņu nosakot 2011.gada 19.septembri. Minētajā termiņā tika iesniegti 29 projektu iesniegumi un dotajā brīdī </w:t>
      </w:r>
      <w:r w:rsidR="00374474" w:rsidRPr="00B557E8">
        <w:rPr>
          <w:color w:val="000000" w:themeColor="text1"/>
          <w:lang w:val="lv-LV"/>
        </w:rPr>
        <w:t>AI</w:t>
      </w:r>
      <w:r w:rsidRPr="00B557E8">
        <w:rPr>
          <w:color w:val="000000" w:themeColor="text1"/>
          <w:lang w:val="lv-LV"/>
        </w:rPr>
        <w:t xml:space="preserve"> veic minēto projektu iesniegumu vērtēšanu. </w:t>
      </w:r>
      <w:r w:rsidR="00374474" w:rsidRPr="00B557E8">
        <w:rPr>
          <w:color w:val="000000" w:themeColor="text1"/>
          <w:lang w:val="lv-LV"/>
        </w:rPr>
        <w:t>AI</w:t>
      </w:r>
      <w:r w:rsidRPr="00B557E8">
        <w:rPr>
          <w:color w:val="000000" w:themeColor="text1"/>
          <w:lang w:val="lv-LV"/>
        </w:rPr>
        <w:t xml:space="preserve"> lēmumi par projektu iesniegumu apstiprināšanu, apstiprināšanu ar nosacījumiem vai noraidīšanu tiks pieņemti ne vēlāk kā līdz 2011.gada 19.decembrim, bet slēgti līgumi – sākot ar 2012.gada martu. Šīs </w:t>
      </w:r>
      <w:proofErr w:type="spellStart"/>
      <w:r w:rsidRPr="00B557E8">
        <w:rPr>
          <w:color w:val="000000" w:themeColor="text1"/>
          <w:lang w:val="lv-LV"/>
        </w:rPr>
        <w:t>apakšaktivitātes</w:t>
      </w:r>
      <w:proofErr w:type="spellEnd"/>
      <w:r w:rsidRPr="00B557E8">
        <w:rPr>
          <w:color w:val="000000" w:themeColor="text1"/>
          <w:lang w:val="lv-LV"/>
        </w:rPr>
        <w:t xml:space="preserve"> ietvaros tiks izveidota mūsdienīga materiāltehniskā bāze pētniecības aktivitātēm valsts nozīmes pētniecības centros, tādējādi sekmējot pētniecības intelektuālā potenciāla attīstību, kā arī attīstīta pētniecības infrastruktūra, lai veicinātu komercdarbību pētniecības pakalpojumu sektorā un sekmētu zināšanu pārnesi tautsaimniecībā. </w:t>
      </w:r>
    </w:p>
    <w:p w:rsidR="007A1743" w:rsidRPr="00B557E8" w:rsidRDefault="00B6630F" w:rsidP="00B557E8">
      <w:pPr>
        <w:pStyle w:val="NormalWeb"/>
        <w:spacing w:before="120" w:beforeAutospacing="0" w:after="120" w:afterAutospacing="0" w:line="276" w:lineRule="auto"/>
        <w:jc w:val="both"/>
        <w:rPr>
          <w:color w:val="000000" w:themeColor="text1"/>
          <w:lang w:val="lv-LV"/>
        </w:rPr>
      </w:pPr>
      <w:r w:rsidRPr="00B557E8">
        <w:rPr>
          <w:color w:val="000000" w:themeColor="text1"/>
          <w:lang w:val="lv-LV"/>
        </w:rPr>
        <w:t xml:space="preserve">Pārskata periodā </w:t>
      </w:r>
      <w:proofErr w:type="spellStart"/>
      <w:r w:rsidRPr="00B557E8">
        <w:rPr>
          <w:color w:val="000000" w:themeColor="text1"/>
          <w:lang w:val="lv-LV"/>
        </w:rPr>
        <w:t>apakšaktivitātē</w:t>
      </w:r>
      <w:proofErr w:type="spellEnd"/>
      <w:r w:rsidRPr="00B557E8">
        <w:rPr>
          <w:color w:val="000000" w:themeColor="text1"/>
          <w:lang w:val="lv-LV"/>
        </w:rPr>
        <w:t xml:space="preserve"> „Informācijas tehnoloģiju infrastruktūras un informācijas sistēmu uzlabošana zinātniskajai darbībai” projektu iesniedzējam IZM tika apmaksāti pirmie starpposma maksājuma pieprasījumi, izmaksājot ERAF finansējumu 1,8% apmērā no kopējā ES fondu piešķīruma aktivitātei. </w:t>
      </w:r>
      <w:proofErr w:type="spellStart"/>
      <w:r w:rsidRPr="00B557E8">
        <w:rPr>
          <w:color w:val="000000" w:themeColor="text1"/>
          <w:lang w:val="lv-LV"/>
        </w:rPr>
        <w:t>Apakšaktivitātes</w:t>
      </w:r>
      <w:proofErr w:type="spellEnd"/>
      <w:r w:rsidRPr="00B557E8">
        <w:rPr>
          <w:color w:val="000000" w:themeColor="text1"/>
          <w:lang w:val="lv-LV"/>
        </w:rPr>
        <w:t xml:space="preserve"> ietvaros plānots izveidot vienotus Latvijas akadēmiskā pamattīkla pārvaldības un akadēmiskos standartus, atbilstoši ES rekomendācijām izveidot optisko dzīslu akadēmisko pamattīklu, kas savieno galvenos izglītības, zinātnes un inovāciju attīstības centrus, un izveidot vienotu tīkla pakalpojuma vadības un datu centru.</w:t>
      </w:r>
    </w:p>
    <w:p w:rsidR="001E53C0" w:rsidRPr="00B557E8" w:rsidRDefault="001E53C0" w:rsidP="00B557E8">
      <w:pPr>
        <w:pStyle w:val="Default"/>
        <w:spacing w:before="120" w:after="120" w:line="276" w:lineRule="auto"/>
        <w:jc w:val="both"/>
        <w:rPr>
          <w:color w:val="000000" w:themeColor="text1"/>
          <w:u w:val="single"/>
        </w:rPr>
      </w:pPr>
      <w:r w:rsidRPr="00B557E8">
        <w:rPr>
          <w:color w:val="000000" w:themeColor="text1"/>
          <w:u w:val="single"/>
        </w:rPr>
        <w:t>Inovācijas</w:t>
      </w:r>
    </w:p>
    <w:p w:rsidR="00865FDD" w:rsidRPr="00B557E8" w:rsidRDefault="00865FDD" w:rsidP="00B557E8">
      <w:pPr>
        <w:pStyle w:val="NormalWeb"/>
        <w:spacing w:before="120" w:beforeAutospacing="0" w:after="120" w:afterAutospacing="0" w:line="276" w:lineRule="auto"/>
        <w:jc w:val="both"/>
        <w:rPr>
          <w:color w:val="000000" w:themeColor="text1"/>
          <w:lang w:val="lv-LV"/>
        </w:rPr>
      </w:pPr>
      <w:r w:rsidRPr="00B557E8">
        <w:rPr>
          <w:color w:val="000000" w:themeColor="text1"/>
          <w:lang w:val="lv-LV"/>
        </w:rPr>
        <w:t xml:space="preserve">Lai gan aktivitātes „Kompetences centri” ieviešana norit samērā veiksmīgi, ņemot vērā apguves rādītājus un mērķa izpildi, kur veiktie maksājumi finansējuma saņēmējiem uz 2011.gada 30.septembri pārsniedz plānoto apjomu par 300%, kas skaidrojams ar deklarējamo avansu izmaksu veikšanu visos kompetences centros, tomēr pārskata periodā </w:t>
      </w:r>
      <w:r w:rsidR="00E65D1D" w:rsidRPr="00B557E8">
        <w:rPr>
          <w:color w:val="000000" w:themeColor="text1"/>
          <w:lang w:val="lv-LV"/>
        </w:rPr>
        <w:t>konstatēti būtiski izdevumu</w:t>
      </w:r>
      <w:r w:rsidRPr="00B557E8">
        <w:rPr>
          <w:color w:val="000000" w:themeColor="text1"/>
          <w:lang w:val="lv-LV"/>
        </w:rPr>
        <w:t xml:space="preserve"> </w:t>
      </w:r>
      <w:proofErr w:type="spellStart"/>
      <w:r w:rsidRPr="00B557E8">
        <w:rPr>
          <w:color w:val="000000" w:themeColor="text1"/>
          <w:lang w:val="lv-LV"/>
        </w:rPr>
        <w:t>attiecināmības</w:t>
      </w:r>
      <w:proofErr w:type="spellEnd"/>
      <w:r w:rsidRPr="00B557E8">
        <w:rPr>
          <w:color w:val="000000" w:themeColor="text1"/>
          <w:lang w:val="lv-LV"/>
        </w:rPr>
        <w:t xml:space="preserve"> riski</w:t>
      </w:r>
      <w:r w:rsidR="00E65D1D" w:rsidRPr="00B557E8">
        <w:rPr>
          <w:color w:val="000000" w:themeColor="text1"/>
          <w:lang w:val="lv-LV"/>
        </w:rPr>
        <w:t>.</w:t>
      </w:r>
      <w:r w:rsidRPr="00B557E8">
        <w:rPr>
          <w:color w:val="000000" w:themeColor="text1"/>
          <w:lang w:val="lv-LV"/>
        </w:rPr>
        <w:t xml:space="preserve"> Aktivitātes ietvaros veiktajās iepirkumu procedūrās regulāri kā vienīgie pretendenti piesakās finansējuma saņēmēju sadarbības partneri, kas var radīt interešu konfliktu un ierobežot brīvas konkurences nodrošināšanu. Ņemot vērā radušos situāciju, </w:t>
      </w:r>
      <w:r w:rsidR="006C39CA" w:rsidRPr="00B557E8">
        <w:rPr>
          <w:color w:val="000000" w:themeColor="text1"/>
          <w:lang w:val="lv-LV"/>
        </w:rPr>
        <w:t>VI</w:t>
      </w:r>
      <w:r w:rsidRPr="00B557E8">
        <w:rPr>
          <w:color w:val="000000" w:themeColor="text1"/>
          <w:lang w:val="lv-LV"/>
        </w:rPr>
        <w:t xml:space="preserve"> ar </w:t>
      </w:r>
      <w:proofErr w:type="spellStart"/>
      <w:r w:rsidRPr="00B557E8">
        <w:rPr>
          <w:color w:val="000000" w:themeColor="text1"/>
          <w:lang w:val="lv-LV"/>
        </w:rPr>
        <w:t>š.g</w:t>
      </w:r>
      <w:proofErr w:type="spellEnd"/>
      <w:r w:rsidRPr="00B557E8">
        <w:rPr>
          <w:color w:val="000000" w:themeColor="text1"/>
          <w:lang w:val="lv-LV"/>
        </w:rPr>
        <w:t xml:space="preserve">. 18.augusta vēstuli ir lūgusi LIAA un Valsts kasi kā maksājumu iestādi un sertifikācijas iestādi nekavējoties uz laiku apturēt maksājumu veikšanu finansējuma saņēmējiem gadījumos, kad projektu ietvaros uzvarētājs ir kompetences centra dalībnieks, līdz brīdim, kad būs skaidrs </w:t>
      </w:r>
      <w:r w:rsidR="006C39CA" w:rsidRPr="00B557E8">
        <w:rPr>
          <w:color w:val="000000" w:themeColor="text1"/>
          <w:lang w:val="lv-LV"/>
        </w:rPr>
        <w:t>VI</w:t>
      </w:r>
      <w:r w:rsidRPr="00B557E8">
        <w:rPr>
          <w:color w:val="000000" w:themeColor="text1"/>
          <w:lang w:val="lv-LV"/>
        </w:rPr>
        <w:t xml:space="preserve"> atzinums. Lai novērstu iespējamo interešu konfliktu, ir panākta vienošanās izstrādāt vadlīnijas, kurās būs noteikti visi nepieciešamie kritēriji sekmīgai kompetences centru darbības nodrošināšanai un nosacījumi iepirkumu procedūru veikšanai, ievērojot EK un Latvijas Republikas normatīvajos aktos noteikto, tai skaitā ES normatīvajos aktos definētos publiskā </w:t>
      </w:r>
      <w:r w:rsidRPr="00B557E8">
        <w:rPr>
          <w:color w:val="000000" w:themeColor="text1"/>
          <w:lang w:val="lv-LV"/>
        </w:rPr>
        <w:lastRenderedPageBreak/>
        <w:t>iepirkuma principus (</w:t>
      </w:r>
      <w:proofErr w:type="spellStart"/>
      <w:r w:rsidRPr="00B557E8">
        <w:rPr>
          <w:color w:val="000000" w:themeColor="text1"/>
          <w:lang w:val="lv-LV"/>
        </w:rPr>
        <w:t>pārredzamība</w:t>
      </w:r>
      <w:proofErr w:type="spellEnd"/>
      <w:r w:rsidRPr="00B557E8">
        <w:rPr>
          <w:color w:val="000000" w:themeColor="text1"/>
          <w:lang w:val="lv-LV"/>
        </w:rPr>
        <w:t xml:space="preserve">, proporcionalitāte, vienlīdzīga attieksme, </w:t>
      </w:r>
      <w:proofErr w:type="spellStart"/>
      <w:r w:rsidRPr="00B557E8">
        <w:rPr>
          <w:color w:val="000000" w:themeColor="text1"/>
          <w:lang w:val="lv-LV"/>
        </w:rPr>
        <w:t>nediskriminācija</w:t>
      </w:r>
      <w:proofErr w:type="spellEnd"/>
      <w:r w:rsidRPr="00B557E8">
        <w:rPr>
          <w:color w:val="000000" w:themeColor="text1"/>
          <w:lang w:val="lv-LV"/>
        </w:rPr>
        <w:t xml:space="preserve">, pakalpojumu sniegšanas brīvība un godīga, brīva, netraucēta konkurence, kā arī iespējami plašu konkursu rīkošana). MK noteikumos par aktivitātes „Kompetences centri” īstenošanu tiks </w:t>
      </w:r>
      <w:r w:rsidR="00D87637" w:rsidRPr="00B557E8">
        <w:rPr>
          <w:color w:val="000000" w:themeColor="text1"/>
          <w:lang w:val="lv-LV"/>
        </w:rPr>
        <w:t>iestrādāta atsauce uz vadlīnijām</w:t>
      </w:r>
      <w:r w:rsidRPr="00B557E8">
        <w:rPr>
          <w:color w:val="000000" w:themeColor="text1"/>
          <w:lang w:val="lv-LV"/>
        </w:rPr>
        <w:t xml:space="preserve">, </w:t>
      </w:r>
      <w:r w:rsidR="00D87637" w:rsidRPr="00B557E8">
        <w:rPr>
          <w:color w:val="000000" w:themeColor="text1"/>
          <w:lang w:val="lv-LV"/>
        </w:rPr>
        <w:t xml:space="preserve">tajās </w:t>
      </w:r>
      <w:r w:rsidRPr="00B557E8">
        <w:rPr>
          <w:color w:val="000000" w:themeColor="text1"/>
          <w:lang w:val="lv-LV"/>
        </w:rPr>
        <w:t>iestrādājot nosacījumus caurspīdīgai iepirkumu procedūru veikšanai</w:t>
      </w:r>
      <w:r w:rsidR="00D87637" w:rsidRPr="00B557E8">
        <w:rPr>
          <w:color w:val="000000" w:themeColor="text1"/>
          <w:lang w:val="lv-LV"/>
        </w:rPr>
        <w:t>.</w:t>
      </w:r>
    </w:p>
    <w:p w:rsidR="00865FDD" w:rsidRPr="00B557E8" w:rsidRDefault="00865FDD" w:rsidP="00B557E8">
      <w:pPr>
        <w:pStyle w:val="NormalWeb"/>
        <w:spacing w:before="120" w:beforeAutospacing="0" w:after="120" w:afterAutospacing="0" w:line="276" w:lineRule="auto"/>
        <w:jc w:val="both"/>
        <w:rPr>
          <w:color w:val="000000" w:themeColor="text1"/>
          <w:lang w:val="lv-LV"/>
        </w:rPr>
      </w:pPr>
      <w:r w:rsidRPr="00B557E8">
        <w:rPr>
          <w:color w:val="000000" w:themeColor="text1"/>
          <w:lang w:val="lv-LV"/>
        </w:rPr>
        <w:t xml:space="preserve">Aktivitātē „Jaunu produktu un tehnoloģiju izstrāde”, kuras ietvaros tiek atbalstīti jauni, nozīmīgi uzlaboti produkti vai tehnoloģiju izstrāde, tai skaitā, patentēšana un ieviešana ražošanā, līdzīgi kā iepriekšējā pārskata periodā ieviešanas progress nedaudz atpaliek no plānotā. Līdz pārskata perioda beigām nevienā no aktivitātes trīs </w:t>
      </w:r>
      <w:proofErr w:type="spellStart"/>
      <w:r w:rsidRPr="00B557E8">
        <w:rPr>
          <w:color w:val="000000" w:themeColor="text1"/>
          <w:lang w:val="lv-LV"/>
        </w:rPr>
        <w:t>apakšaktivitātēm</w:t>
      </w:r>
      <w:proofErr w:type="spellEnd"/>
      <w:r w:rsidRPr="00B557E8">
        <w:rPr>
          <w:color w:val="000000" w:themeColor="text1"/>
          <w:lang w:val="lv-LV"/>
        </w:rPr>
        <w:t xml:space="preserve"> nav pilnībā sasniegts mērķis maksājumiem finansējuma saņēmējiem. Kopumā aktivitātes ieviešanas galvenie kavējošie iemesli ir komersantu nepietekamā sadarbība ar zinātniskajām institūcijām un attiecināmo izmaksu samazināšana projektos, kas skaidrojama ar iegādāto iekārtu faktisko izmaksu nesakritību ar sākotnēji projekta ietvaros plānotajām izmaksām, kuras parasti ir augstākas. </w:t>
      </w:r>
    </w:p>
    <w:p w:rsidR="00865FDD" w:rsidRPr="00B557E8" w:rsidRDefault="00865FDD" w:rsidP="00B557E8">
      <w:pPr>
        <w:pStyle w:val="NormalWeb"/>
        <w:spacing w:before="120" w:beforeAutospacing="0" w:after="120" w:afterAutospacing="0" w:line="276" w:lineRule="auto"/>
        <w:jc w:val="both"/>
        <w:rPr>
          <w:color w:val="000000" w:themeColor="text1"/>
          <w:lang w:val="lv-LV"/>
        </w:rPr>
      </w:pPr>
      <w:r w:rsidRPr="00B557E8">
        <w:rPr>
          <w:color w:val="000000" w:themeColor="text1"/>
          <w:lang w:val="lv-LV"/>
        </w:rPr>
        <w:t>Arī aktivitātes „Augstas pievienotās vērtības investīcijas” ieviešana nesokas tik labi kā plānots, par ko liecina gan nesasniegtie maksājumu finansējuma saņēmējiem mērķi, gan arī vairāki lauzti līgumi. Grūtības aktivitātes ieviešanā rada komersantu nespēja piesaistīt nepieciešamo ārējo finansējumu projektu īstenošanai.</w:t>
      </w:r>
    </w:p>
    <w:p w:rsidR="00865FDD" w:rsidRPr="00B557E8" w:rsidRDefault="00865FDD" w:rsidP="00B557E8">
      <w:pPr>
        <w:pStyle w:val="NormalWeb"/>
        <w:spacing w:before="120" w:beforeAutospacing="0" w:after="120" w:afterAutospacing="0" w:line="276" w:lineRule="auto"/>
        <w:jc w:val="both"/>
        <w:rPr>
          <w:color w:val="000000" w:themeColor="text1"/>
          <w:lang w:val="lv-LV"/>
        </w:rPr>
      </w:pPr>
      <w:r w:rsidRPr="00B557E8">
        <w:rPr>
          <w:color w:val="000000" w:themeColor="text1"/>
          <w:lang w:val="lv-LV"/>
        </w:rPr>
        <w:t>Pasākuma ietvaros lielākā daļa rādītāju vēl nav sasniegti. Atsevišķās aktivitātēs („Tehnoloģiju pārneses kontaktpunkti”, „Jaunu produktu un tehnoloģiju izstrāde” un „Jaunu produktu un tehnoloģiju izstrāde – atbalsts jaunu produktu ieviešanai ražošanā”) uz pārskata perioda beigām ir izpildīts rādītājs „Piesaistītais privātā sektora finansējums pētniecībai un attīstībai”, taču pasākuma līmenī šis rādītājs sasniegts tikai par 5% no 2013.gada plāna. Citi rādītāji ir izpildīti par mazāk nekā 50% no 2013.gada plāna vai nav izpildīti vispār, galvenokārt tādēļ, ka vairākās aktivitātēs projekti vēl nav pabeigti.</w:t>
      </w:r>
    </w:p>
    <w:p w:rsidR="00865FDD" w:rsidRPr="00B557E8" w:rsidRDefault="00865FDD" w:rsidP="00B557E8">
      <w:pPr>
        <w:pStyle w:val="NormalWeb"/>
        <w:spacing w:before="120" w:beforeAutospacing="0" w:after="120" w:afterAutospacing="0" w:line="276" w:lineRule="auto"/>
        <w:jc w:val="both"/>
        <w:rPr>
          <w:color w:val="000000" w:themeColor="text1"/>
          <w:lang w:val="lv-LV"/>
        </w:rPr>
      </w:pPr>
      <w:r w:rsidRPr="00B557E8">
        <w:rPr>
          <w:color w:val="000000" w:themeColor="text1"/>
          <w:lang w:val="lv-LV"/>
        </w:rPr>
        <w:t>Pārskata periodā pasākuma ietvaros EM atdevusi budžeta līdzekļus uz 80.00.00 programmu no šādām aktivitātēm:</w:t>
      </w:r>
    </w:p>
    <w:p w:rsidR="00865FDD" w:rsidRPr="00B557E8" w:rsidRDefault="00865FDD" w:rsidP="00B557E8">
      <w:pPr>
        <w:pStyle w:val="ListParagraph"/>
        <w:numPr>
          <w:ilvl w:val="0"/>
          <w:numId w:val="23"/>
        </w:numPr>
        <w:spacing w:before="120" w:after="120"/>
        <w:jc w:val="both"/>
        <w:rPr>
          <w:rFonts w:ascii="Times New Roman" w:hAnsi="Times New Roman"/>
          <w:color w:val="000000" w:themeColor="text1"/>
          <w:sz w:val="24"/>
          <w:szCs w:val="24"/>
          <w:lang w:eastAsia="lv-LV"/>
        </w:rPr>
      </w:pPr>
      <w:r w:rsidRPr="00B557E8">
        <w:rPr>
          <w:rFonts w:ascii="Times New Roman" w:hAnsi="Times New Roman"/>
          <w:color w:val="000000" w:themeColor="text1"/>
          <w:sz w:val="24"/>
          <w:szCs w:val="24"/>
          <w:lang w:eastAsia="lv-LV"/>
        </w:rPr>
        <w:t>no aktivitātes „Augstas pievienotās vērtības investīcijas” – 4</w:t>
      </w:r>
      <w:r w:rsidR="007654B9" w:rsidRPr="00B557E8">
        <w:rPr>
          <w:rFonts w:ascii="Times New Roman" w:hAnsi="Times New Roman"/>
          <w:color w:val="000000" w:themeColor="text1"/>
          <w:sz w:val="24"/>
          <w:szCs w:val="24"/>
          <w:lang w:eastAsia="lv-LV"/>
        </w:rPr>
        <w:t>,7</w:t>
      </w:r>
      <w:r w:rsidRPr="00B557E8">
        <w:rPr>
          <w:rFonts w:ascii="Times New Roman" w:hAnsi="Times New Roman"/>
          <w:color w:val="000000" w:themeColor="text1"/>
          <w:sz w:val="24"/>
          <w:szCs w:val="24"/>
          <w:lang w:eastAsia="lv-LV"/>
        </w:rPr>
        <w:t> </w:t>
      </w:r>
      <w:r w:rsidR="007654B9" w:rsidRPr="00B557E8">
        <w:rPr>
          <w:rFonts w:ascii="Times New Roman" w:hAnsi="Times New Roman"/>
          <w:color w:val="000000" w:themeColor="text1"/>
          <w:sz w:val="24"/>
          <w:szCs w:val="24"/>
          <w:lang w:eastAsia="lv-LV"/>
        </w:rPr>
        <w:t>milj.</w:t>
      </w:r>
      <w:r w:rsidRPr="00B557E8">
        <w:rPr>
          <w:rFonts w:ascii="Times New Roman" w:hAnsi="Times New Roman"/>
          <w:color w:val="000000" w:themeColor="text1"/>
          <w:sz w:val="24"/>
          <w:szCs w:val="24"/>
          <w:lang w:eastAsia="lv-LV"/>
        </w:rPr>
        <w:t xml:space="preserve"> latu apmērā;</w:t>
      </w:r>
    </w:p>
    <w:p w:rsidR="001E53C0" w:rsidRPr="00B557E8" w:rsidRDefault="00865FDD" w:rsidP="00B557E8">
      <w:pPr>
        <w:pStyle w:val="ListParagraph"/>
        <w:numPr>
          <w:ilvl w:val="0"/>
          <w:numId w:val="23"/>
        </w:numPr>
        <w:spacing w:before="120" w:after="120"/>
        <w:jc w:val="both"/>
        <w:rPr>
          <w:rFonts w:ascii="Times New Roman" w:hAnsi="Times New Roman"/>
          <w:color w:val="000000" w:themeColor="text1"/>
          <w:sz w:val="24"/>
          <w:szCs w:val="24"/>
          <w:lang w:eastAsia="lv-LV"/>
        </w:rPr>
      </w:pPr>
      <w:r w:rsidRPr="00B557E8">
        <w:rPr>
          <w:rFonts w:ascii="Times New Roman" w:hAnsi="Times New Roman"/>
          <w:color w:val="000000" w:themeColor="text1"/>
          <w:sz w:val="24"/>
          <w:szCs w:val="24"/>
          <w:lang w:eastAsia="lv-LV"/>
        </w:rPr>
        <w:t xml:space="preserve">no aktivitātes „Jaunu produktu un tehnoloģiju izstrāde” – </w:t>
      </w:r>
      <w:r w:rsidR="007654B9" w:rsidRPr="00B557E8">
        <w:rPr>
          <w:rFonts w:ascii="Times New Roman" w:hAnsi="Times New Roman"/>
          <w:color w:val="000000" w:themeColor="text1"/>
          <w:sz w:val="24"/>
          <w:szCs w:val="24"/>
          <w:lang w:eastAsia="lv-LV"/>
        </w:rPr>
        <w:t xml:space="preserve">733,2 </w:t>
      </w:r>
      <w:proofErr w:type="spellStart"/>
      <w:r w:rsidR="007654B9" w:rsidRPr="00B557E8">
        <w:rPr>
          <w:rFonts w:ascii="Times New Roman" w:hAnsi="Times New Roman"/>
          <w:color w:val="000000" w:themeColor="text1"/>
          <w:sz w:val="24"/>
          <w:szCs w:val="24"/>
          <w:lang w:eastAsia="lv-LV"/>
        </w:rPr>
        <w:t>tūkst</w:t>
      </w:r>
      <w:proofErr w:type="spellEnd"/>
      <w:r w:rsidR="007654B9" w:rsidRPr="00B557E8">
        <w:rPr>
          <w:rFonts w:ascii="Times New Roman" w:hAnsi="Times New Roman"/>
          <w:color w:val="000000" w:themeColor="text1"/>
          <w:sz w:val="24"/>
          <w:szCs w:val="24"/>
          <w:lang w:eastAsia="lv-LV"/>
        </w:rPr>
        <w:t>.</w:t>
      </w:r>
      <w:r w:rsidRPr="00B557E8">
        <w:rPr>
          <w:rFonts w:ascii="Times New Roman" w:hAnsi="Times New Roman"/>
          <w:color w:val="000000" w:themeColor="text1"/>
          <w:sz w:val="24"/>
          <w:szCs w:val="24"/>
          <w:lang w:eastAsia="lv-LV"/>
        </w:rPr>
        <w:t xml:space="preserve"> latu apmērā. </w:t>
      </w:r>
      <w:r w:rsidR="001E53C0" w:rsidRPr="00B557E8">
        <w:rPr>
          <w:rFonts w:ascii="Times New Roman" w:hAnsi="Times New Roman"/>
          <w:color w:val="000000" w:themeColor="text1"/>
          <w:sz w:val="24"/>
          <w:szCs w:val="24"/>
          <w:lang w:eastAsia="lv-LV"/>
        </w:rPr>
        <w:t xml:space="preserve"> </w:t>
      </w:r>
    </w:p>
    <w:p w:rsidR="001E53C0" w:rsidRPr="00B557E8" w:rsidRDefault="00250B0F" w:rsidP="00B557E8">
      <w:pPr>
        <w:spacing w:before="120" w:after="120" w:line="276" w:lineRule="auto"/>
        <w:rPr>
          <w:b/>
          <w:color w:val="000000" w:themeColor="text1"/>
          <w:szCs w:val="24"/>
        </w:rPr>
      </w:pPr>
      <w:r w:rsidRPr="00B557E8">
        <w:rPr>
          <w:b/>
          <w:color w:val="000000" w:themeColor="text1"/>
          <w:szCs w:val="24"/>
        </w:rPr>
        <w:t xml:space="preserve"> </w:t>
      </w:r>
      <w:r w:rsidR="001E53C0" w:rsidRPr="00B557E8">
        <w:rPr>
          <w:b/>
          <w:color w:val="000000" w:themeColor="text1"/>
          <w:szCs w:val="24"/>
        </w:rPr>
        <w:t xml:space="preserve">„Finanšu pieejamība” </w:t>
      </w:r>
    </w:p>
    <w:p w:rsidR="00865FDD" w:rsidRPr="00B557E8" w:rsidRDefault="00865FDD" w:rsidP="00B557E8">
      <w:pPr>
        <w:spacing w:before="120" w:after="120" w:line="276" w:lineRule="auto"/>
        <w:rPr>
          <w:color w:val="000000" w:themeColor="text1"/>
          <w:szCs w:val="24"/>
          <w:lang w:eastAsia="lv-LV"/>
        </w:rPr>
      </w:pPr>
      <w:r w:rsidRPr="00B557E8">
        <w:rPr>
          <w:color w:val="000000" w:themeColor="text1"/>
          <w:szCs w:val="24"/>
          <w:lang w:eastAsia="lv-LV"/>
        </w:rPr>
        <w:t>Prioritāte vērsta uz finansējuma pieejamības veicināšanu uzņēmējdarbības attīstībai. Mērķis sasniedzams ar aptverošu finanšu instrumentu realizēšanu, kas ietver garantiju, aizdevumu, riska kapitāla un citu finanšu instrumentu klāstu, kurus ievieš LHZB, LGA, EIF.</w:t>
      </w:r>
    </w:p>
    <w:p w:rsidR="00B557E8" w:rsidRDefault="00B557E8">
      <w:pPr>
        <w:jc w:val="left"/>
        <w:rPr>
          <w:rFonts w:eastAsia="Calibri"/>
          <w:color w:val="000000" w:themeColor="text1"/>
          <w:szCs w:val="24"/>
        </w:rPr>
      </w:pPr>
      <w:r>
        <w:rPr>
          <w:rFonts w:eastAsia="Calibri"/>
          <w:color w:val="000000" w:themeColor="text1"/>
          <w:szCs w:val="24"/>
        </w:rPr>
        <w:br w:type="page"/>
      </w:r>
    </w:p>
    <w:p w:rsidR="00865FDD" w:rsidRPr="00B557E8" w:rsidRDefault="00865FDD" w:rsidP="00B557E8">
      <w:pPr>
        <w:spacing w:before="120" w:after="120" w:line="276" w:lineRule="auto"/>
        <w:rPr>
          <w:rFonts w:eastAsia="Calibri"/>
          <w:i/>
          <w:color w:val="000000" w:themeColor="text1"/>
          <w:szCs w:val="24"/>
        </w:rPr>
      </w:pPr>
      <w:r w:rsidRPr="00B557E8">
        <w:rPr>
          <w:rFonts w:eastAsia="Calibri"/>
          <w:color w:val="000000" w:themeColor="text1"/>
          <w:szCs w:val="24"/>
        </w:rPr>
        <w:lastRenderedPageBreak/>
        <w:t>Grafiks Nr.</w:t>
      </w:r>
      <w:r w:rsidR="00EC7B49" w:rsidRPr="00B557E8">
        <w:rPr>
          <w:rFonts w:eastAsia="Calibri"/>
          <w:color w:val="000000" w:themeColor="text1"/>
          <w:szCs w:val="24"/>
        </w:rPr>
        <w:t>9</w:t>
      </w:r>
      <w:r w:rsidRPr="00B557E8">
        <w:rPr>
          <w:rFonts w:eastAsia="Calibri"/>
          <w:color w:val="000000" w:themeColor="text1"/>
          <w:szCs w:val="24"/>
        </w:rPr>
        <w:t xml:space="preserve"> </w:t>
      </w:r>
      <w:r w:rsidRPr="00B557E8">
        <w:rPr>
          <w:rFonts w:eastAsia="Calibri"/>
          <w:i/>
          <w:color w:val="000000" w:themeColor="text1"/>
          <w:szCs w:val="24"/>
        </w:rPr>
        <w:t xml:space="preserve">„Finanšu apguves progress 2.2.1. pasākuma „Finanšu resursu pieejamība" ietvaros; </w:t>
      </w:r>
      <w:proofErr w:type="spellStart"/>
      <w:r w:rsidRPr="00B557E8">
        <w:rPr>
          <w:i/>
          <w:color w:val="000000" w:themeColor="text1"/>
          <w:szCs w:val="24"/>
        </w:rPr>
        <w:t>milj</w:t>
      </w:r>
      <w:proofErr w:type="spellEnd"/>
      <w:r w:rsidRPr="00B557E8">
        <w:rPr>
          <w:i/>
          <w:color w:val="000000" w:themeColor="text1"/>
          <w:szCs w:val="24"/>
        </w:rPr>
        <w:t>. LVL, (% no pieejamā publiskā finansējuma); % progress pret datiem uz 30.06.2011.</w:t>
      </w:r>
      <w:r w:rsidRPr="00B557E8">
        <w:rPr>
          <w:rFonts w:eastAsia="Calibri"/>
          <w:i/>
          <w:color w:val="000000" w:themeColor="text1"/>
          <w:szCs w:val="24"/>
        </w:rPr>
        <w:t>”</w:t>
      </w:r>
    </w:p>
    <w:p w:rsidR="00865FDD" w:rsidRPr="00B557E8" w:rsidRDefault="00865FDD" w:rsidP="00B557E8">
      <w:pPr>
        <w:spacing w:before="120" w:after="120" w:line="276" w:lineRule="auto"/>
        <w:ind w:right="181"/>
        <w:rPr>
          <w:noProof/>
          <w:color w:val="000000" w:themeColor="text1"/>
          <w:szCs w:val="24"/>
          <w:lang w:eastAsia="lv-LV"/>
        </w:rPr>
      </w:pPr>
      <w:r w:rsidRPr="00B557E8">
        <w:rPr>
          <w:noProof/>
          <w:color w:val="000000" w:themeColor="text1"/>
          <w:szCs w:val="24"/>
          <w:lang w:eastAsia="lv-LV"/>
        </w:rPr>
        <w:drawing>
          <wp:inline distT="0" distB="0" distL="0" distR="0" wp14:anchorId="5BFDB50B" wp14:editId="2F17554B">
            <wp:extent cx="5793638" cy="1799540"/>
            <wp:effectExtent l="0" t="1905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87637" w:rsidRPr="00B557E8" w:rsidRDefault="00D87637" w:rsidP="00B557E8">
      <w:pPr>
        <w:spacing w:before="120" w:after="120" w:line="276" w:lineRule="auto"/>
        <w:rPr>
          <w:color w:val="000000" w:themeColor="text1"/>
          <w:szCs w:val="24"/>
          <w:u w:val="single"/>
        </w:rPr>
      </w:pPr>
      <w:r w:rsidRPr="00B557E8">
        <w:rPr>
          <w:color w:val="000000" w:themeColor="text1"/>
          <w:szCs w:val="24"/>
        </w:rPr>
        <w:t xml:space="preserve">Kopumā finanšu instrumentu ieviešana nenotiek tik veiksmīgi kā cerēts. Līdz 2011.gada 3.ceturkšņa beigām ir noslēgti līgumi ar komersantiem par mazāk nekā vienu ceturto daļu no pieejamā finansējuma. Sīkāka informācija par finanšu instrumentu ieviešanas progresu ir sniegta dalījumā pa finanšu instrumentiem zemāk, kā arī </w:t>
      </w:r>
      <w:r w:rsidRPr="00B557E8">
        <w:rPr>
          <w:color w:val="000000" w:themeColor="text1"/>
          <w:szCs w:val="24"/>
          <w:u w:val="single"/>
        </w:rPr>
        <w:t>grafikā Nr.9.</w:t>
      </w:r>
    </w:p>
    <w:p w:rsidR="00865FDD" w:rsidRPr="00B557E8" w:rsidRDefault="00865FDD" w:rsidP="00B557E8">
      <w:pPr>
        <w:autoSpaceDE w:val="0"/>
        <w:autoSpaceDN w:val="0"/>
        <w:adjustRightInd w:val="0"/>
        <w:spacing w:before="120" w:after="120" w:line="276" w:lineRule="auto"/>
        <w:rPr>
          <w:color w:val="000000" w:themeColor="text1"/>
          <w:szCs w:val="24"/>
          <w:lang w:eastAsia="lv-LV"/>
        </w:rPr>
      </w:pPr>
      <w:r w:rsidRPr="00B557E8">
        <w:rPr>
          <w:color w:val="000000" w:themeColor="text1"/>
          <w:szCs w:val="24"/>
          <w:lang w:eastAsia="lv-LV"/>
        </w:rPr>
        <w:t>Finansējuma pieejamības nodrošināšanai uzņēmumiem ir izveidoti sekojoši finanšu instrumenti ERAF ietvaros:</w:t>
      </w:r>
    </w:p>
    <w:p w:rsidR="00865FDD" w:rsidRPr="00B557E8" w:rsidRDefault="00865FDD" w:rsidP="00B557E8">
      <w:pPr>
        <w:pStyle w:val="NormalWeb"/>
        <w:numPr>
          <w:ilvl w:val="0"/>
          <w:numId w:val="4"/>
        </w:numPr>
        <w:spacing w:before="120" w:beforeAutospacing="0" w:after="120" w:afterAutospacing="0" w:line="276" w:lineRule="auto"/>
        <w:jc w:val="both"/>
        <w:rPr>
          <w:rFonts w:eastAsia="Calibri"/>
          <w:color w:val="000000" w:themeColor="text1"/>
          <w:lang w:val="lv-LV"/>
        </w:rPr>
      </w:pPr>
      <w:r w:rsidRPr="00B557E8">
        <w:rPr>
          <w:b/>
          <w:color w:val="000000" w:themeColor="text1"/>
          <w:lang w:val="lv-LV"/>
        </w:rPr>
        <w:t>„Ieguldījumu fonds investīcijām garantijās, paaugstināta riska aizdevumos, riska</w:t>
      </w:r>
      <w:r w:rsidRPr="00B557E8">
        <w:rPr>
          <w:rFonts w:eastAsia="Calibri"/>
          <w:color w:val="000000" w:themeColor="text1"/>
          <w:lang w:val="lv-LV"/>
        </w:rPr>
        <w:t xml:space="preserve"> </w:t>
      </w:r>
      <w:r w:rsidRPr="00B557E8">
        <w:rPr>
          <w:rFonts w:eastAsia="Calibri"/>
          <w:b/>
          <w:color w:val="000000" w:themeColor="text1"/>
          <w:lang w:val="lv-LV"/>
        </w:rPr>
        <w:t>kapitāla fondos un cita veida finanšu instrumentos”</w:t>
      </w:r>
      <w:r w:rsidRPr="00B557E8">
        <w:rPr>
          <w:rFonts w:eastAsia="Calibri"/>
          <w:color w:val="000000" w:themeColor="text1"/>
          <w:lang w:val="lv-LV"/>
        </w:rPr>
        <w:t xml:space="preserve"> kopš 2008.gada finansējuma pārvaldītājs ir EIF. </w:t>
      </w:r>
      <w:r w:rsidRPr="00B557E8">
        <w:rPr>
          <w:color w:val="000000" w:themeColor="text1"/>
          <w:lang w:val="lv-LV" w:eastAsia="lv-LV"/>
        </w:rPr>
        <w:t>Ieguldījuma fonda finansējuma apguve nav apmierinoša, kā arī investīcijās nav vērojams vēlamais progress. Līdz 2011.gada 30.septembrim ir noslēgti riska kapitāla investīciju līgumi tikai par 11,4% no aktivitātei piešķirtā ES fondu finansējuma. Taču EIF skaidro, ka tas ir riska kapitāla investīciju ieviešanai atbilstošs temps, to pamatojot ar ilgstošo un padziļināto investīciju projektu izpētes posmu.</w:t>
      </w:r>
    </w:p>
    <w:p w:rsidR="00865FDD" w:rsidRPr="00B557E8" w:rsidRDefault="00865FDD" w:rsidP="00B557E8">
      <w:pPr>
        <w:spacing w:before="120" w:after="120" w:line="276" w:lineRule="auto"/>
        <w:rPr>
          <w:color w:val="000000" w:themeColor="text1"/>
          <w:szCs w:val="24"/>
        </w:rPr>
      </w:pPr>
      <w:r w:rsidRPr="00B557E8">
        <w:rPr>
          <w:color w:val="000000" w:themeColor="text1"/>
          <w:szCs w:val="24"/>
        </w:rPr>
        <w:t>Tabula Nr.</w:t>
      </w:r>
      <w:r w:rsidR="00C13D44" w:rsidRPr="00B557E8">
        <w:rPr>
          <w:color w:val="000000" w:themeColor="text1"/>
          <w:szCs w:val="24"/>
        </w:rPr>
        <w:t>2</w:t>
      </w:r>
      <w:r w:rsidRPr="00B557E8">
        <w:rPr>
          <w:color w:val="000000" w:themeColor="text1"/>
          <w:szCs w:val="24"/>
        </w:rPr>
        <w:t xml:space="preserve"> </w:t>
      </w:r>
      <w:r w:rsidRPr="00B557E8">
        <w:rPr>
          <w:rFonts w:eastAsia="Calibri"/>
          <w:i/>
          <w:color w:val="000000" w:themeColor="text1"/>
          <w:szCs w:val="24"/>
        </w:rPr>
        <w:t>„Finanšu apguves progress aktivitātes „Ieguldījumu fonds investīcijām garantijās, paaugstināta riska aizdevumos, riska kapitāla fondos un cita veida finanšu instrumentos</w:t>
      </w:r>
      <w:r w:rsidRPr="00B557E8">
        <w:rPr>
          <w:bCs/>
          <w:i/>
          <w:color w:val="000000" w:themeColor="text1"/>
          <w:szCs w:val="24"/>
        </w:rPr>
        <w:t>”</w:t>
      </w:r>
      <w:r w:rsidRPr="00B557E8">
        <w:rPr>
          <w:rFonts w:eastAsia="Calibri"/>
          <w:i/>
          <w:color w:val="000000" w:themeColor="text1"/>
          <w:szCs w:val="24"/>
        </w:rPr>
        <w:t xml:space="preserve"> ietvaros; kopējais finansējums  LVL.”</w:t>
      </w:r>
    </w:p>
    <w:tbl>
      <w:tblPr>
        <w:tblW w:w="8100" w:type="dxa"/>
        <w:jc w:val="center"/>
        <w:tblInd w:w="93" w:type="dxa"/>
        <w:tblLook w:val="04A0" w:firstRow="1" w:lastRow="0" w:firstColumn="1" w:lastColumn="0" w:noHBand="0" w:noVBand="1"/>
      </w:tblPr>
      <w:tblGrid>
        <w:gridCol w:w="2280"/>
        <w:gridCol w:w="1250"/>
        <w:gridCol w:w="705"/>
        <w:gridCol w:w="1205"/>
        <w:gridCol w:w="1320"/>
        <w:gridCol w:w="1340"/>
      </w:tblGrid>
      <w:tr w:rsidR="00B557E8" w:rsidRPr="00B557E8" w:rsidTr="007654B9">
        <w:trPr>
          <w:cantSplit/>
          <w:trHeight w:val="510"/>
          <w:jc w:val="center"/>
        </w:trPr>
        <w:tc>
          <w:tcPr>
            <w:tcW w:w="2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FDD" w:rsidRPr="00B557E8" w:rsidRDefault="00865FDD" w:rsidP="00B557E8">
            <w:pPr>
              <w:spacing w:line="276" w:lineRule="auto"/>
              <w:rPr>
                <w:b/>
                <w:bCs/>
                <w:color w:val="000000" w:themeColor="text1"/>
                <w:sz w:val="20"/>
                <w:lang w:eastAsia="lv-LV"/>
              </w:rPr>
            </w:pPr>
            <w:r w:rsidRPr="00B557E8">
              <w:rPr>
                <w:b/>
                <w:bCs/>
                <w:color w:val="000000" w:themeColor="text1"/>
                <w:sz w:val="20"/>
                <w:lang w:eastAsia="lv-LV"/>
              </w:rPr>
              <w:t> </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D6E3BC"/>
            <w:vAlign w:val="center"/>
            <w:hideMark/>
          </w:tcPr>
          <w:p w:rsidR="00865FDD" w:rsidRPr="00B557E8" w:rsidRDefault="00865FDD" w:rsidP="00B557E8">
            <w:pPr>
              <w:spacing w:line="276" w:lineRule="auto"/>
              <w:rPr>
                <w:b/>
                <w:bCs/>
                <w:color w:val="000000" w:themeColor="text1"/>
                <w:sz w:val="20"/>
                <w:lang w:eastAsia="lv-LV"/>
              </w:rPr>
            </w:pPr>
            <w:r w:rsidRPr="00B557E8">
              <w:rPr>
                <w:b/>
                <w:bCs/>
                <w:color w:val="000000" w:themeColor="text1"/>
                <w:sz w:val="20"/>
                <w:lang w:eastAsia="lv-LV"/>
              </w:rPr>
              <w:t xml:space="preserve">Kopējais finansējums (ieskaitot finanšu </w:t>
            </w:r>
            <w:proofErr w:type="spellStart"/>
            <w:r w:rsidRPr="00B557E8">
              <w:rPr>
                <w:b/>
                <w:bCs/>
                <w:color w:val="000000" w:themeColor="text1"/>
                <w:sz w:val="20"/>
                <w:lang w:eastAsia="lv-LV"/>
              </w:rPr>
              <w:t>starpinst</w:t>
            </w:r>
            <w:proofErr w:type="spellEnd"/>
            <w:r w:rsidRPr="00B557E8">
              <w:rPr>
                <w:b/>
                <w:bCs/>
                <w:color w:val="000000" w:themeColor="text1"/>
                <w:sz w:val="20"/>
                <w:lang w:eastAsia="lv-LV"/>
              </w:rPr>
              <w:t xml:space="preserve">. </w:t>
            </w:r>
            <w:proofErr w:type="spellStart"/>
            <w:r w:rsidRPr="00B557E8">
              <w:rPr>
                <w:b/>
                <w:bCs/>
                <w:color w:val="000000" w:themeColor="text1"/>
                <w:sz w:val="20"/>
                <w:lang w:eastAsia="lv-LV"/>
              </w:rPr>
              <w:t>līdzfin</w:t>
            </w:r>
            <w:proofErr w:type="spellEnd"/>
            <w:r w:rsidRPr="00B557E8">
              <w:rPr>
                <w:b/>
                <w:bCs/>
                <w:color w:val="000000" w:themeColor="text1"/>
                <w:sz w:val="20"/>
                <w:lang w:eastAsia="lv-LV"/>
              </w:rPr>
              <w:t>.)</w:t>
            </w:r>
          </w:p>
        </w:tc>
        <w:tc>
          <w:tcPr>
            <w:tcW w:w="4580" w:type="dxa"/>
            <w:gridSpan w:val="4"/>
            <w:tcBorders>
              <w:top w:val="single" w:sz="4" w:space="0" w:color="auto"/>
              <w:left w:val="nil"/>
              <w:bottom w:val="single" w:sz="4" w:space="0" w:color="auto"/>
              <w:right w:val="single" w:sz="4" w:space="0" w:color="auto"/>
            </w:tcBorders>
            <w:shd w:val="clear" w:color="000000" w:fill="D6E3BC"/>
            <w:vAlign w:val="center"/>
            <w:hideMark/>
          </w:tcPr>
          <w:p w:rsidR="00865FDD" w:rsidRPr="00B557E8" w:rsidRDefault="00865FDD" w:rsidP="00B557E8">
            <w:pPr>
              <w:spacing w:line="276" w:lineRule="auto"/>
              <w:rPr>
                <w:b/>
                <w:bCs/>
                <w:color w:val="000000" w:themeColor="text1"/>
                <w:sz w:val="20"/>
                <w:lang w:eastAsia="lv-LV"/>
              </w:rPr>
            </w:pPr>
            <w:r w:rsidRPr="00B557E8">
              <w:rPr>
                <w:b/>
                <w:bCs/>
                <w:color w:val="000000" w:themeColor="text1"/>
                <w:sz w:val="20"/>
                <w:lang w:eastAsia="lv-LV"/>
              </w:rPr>
              <w:t xml:space="preserve">Noslēgti līgumi (ieskaitot finanšu </w:t>
            </w:r>
            <w:proofErr w:type="spellStart"/>
            <w:r w:rsidRPr="00B557E8">
              <w:rPr>
                <w:b/>
                <w:bCs/>
                <w:color w:val="000000" w:themeColor="text1"/>
                <w:sz w:val="20"/>
                <w:lang w:eastAsia="lv-LV"/>
              </w:rPr>
              <w:t>starpinst</w:t>
            </w:r>
            <w:proofErr w:type="spellEnd"/>
            <w:r w:rsidRPr="00B557E8">
              <w:rPr>
                <w:b/>
                <w:bCs/>
                <w:color w:val="000000" w:themeColor="text1"/>
                <w:sz w:val="20"/>
                <w:lang w:eastAsia="lv-LV"/>
              </w:rPr>
              <w:t xml:space="preserve">. </w:t>
            </w:r>
            <w:proofErr w:type="spellStart"/>
            <w:r w:rsidRPr="00B557E8">
              <w:rPr>
                <w:b/>
                <w:bCs/>
                <w:color w:val="000000" w:themeColor="text1"/>
                <w:sz w:val="20"/>
                <w:lang w:eastAsia="lv-LV"/>
              </w:rPr>
              <w:t>līdzfin</w:t>
            </w:r>
            <w:proofErr w:type="spellEnd"/>
            <w:r w:rsidRPr="00B557E8">
              <w:rPr>
                <w:b/>
                <w:bCs/>
                <w:color w:val="000000" w:themeColor="text1"/>
                <w:sz w:val="20"/>
                <w:lang w:eastAsia="lv-LV"/>
              </w:rPr>
              <w:t>.)</w:t>
            </w:r>
          </w:p>
        </w:tc>
      </w:tr>
      <w:tr w:rsidR="00B557E8" w:rsidRPr="00B557E8" w:rsidTr="007654B9">
        <w:trPr>
          <w:cantSplit/>
          <w:trHeight w:val="1530"/>
          <w:jc w:val="center"/>
        </w:trPr>
        <w:tc>
          <w:tcPr>
            <w:tcW w:w="2280" w:type="dxa"/>
            <w:vMerge/>
            <w:tcBorders>
              <w:top w:val="single" w:sz="4" w:space="0" w:color="auto"/>
              <w:left w:val="single" w:sz="4" w:space="0" w:color="auto"/>
              <w:bottom w:val="single" w:sz="4" w:space="0" w:color="auto"/>
              <w:right w:val="single" w:sz="4" w:space="0" w:color="auto"/>
            </w:tcBorders>
            <w:vAlign w:val="center"/>
            <w:hideMark/>
          </w:tcPr>
          <w:p w:rsidR="00865FDD" w:rsidRPr="00B557E8" w:rsidRDefault="00865FDD" w:rsidP="00B557E8">
            <w:pPr>
              <w:spacing w:line="276" w:lineRule="auto"/>
              <w:rPr>
                <w:b/>
                <w:bCs/>
                <w:color w:val="000000" w:themeColor="text1"/>
                <w:sz w:val="20"/>
                <w:lang w:eastAsia="lv-LV"/>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865FDD" w:rsidRPr="00B557E8" w:rsidRDefault="00865FDD" w:rsidP="00B557E8">
            <w:pPr>
              <w:spacing w:line="276" w:lineRule="auto"/>
              <w:rPr>
                <w:b/>
                <w:bCs/>
                <w:color w:val="000000" w:themeColor="text1"/>
                <w:sz w:val="20"/>
                <w:lang w:eastAsia="lv-LV"/>
              </w:rPr>
            </w:pPr>
          </w:p>
        </w:tc>
        <w:tc>
          <w:tcPr>
            <w:tcW w:w="620" w:type="dxa"/>
            <w:tcBorders>
              <w:top w:val="nil"/>
              <w:left w:val="nil"/>
              <w:bottom w:val="single" w:sz="4" w:space="0" w:color="auto"/>
              <w:right w:val="single" w:sz="4" w:space="0" w:color="auto"/>
            </w:tcBorders>
            <w:shd w:val="clear" w:color="000000" w:fill="E6EED5"/>
            <w:vAlign w:val="center"/>
            <w:hideMark/>
          </w:tcPr>
          <w:p w:rsidR="00865FDD" w:rsidRPr="00B557E8" w:rsidRDefault="00865FDD" w:rsidP="00B557E8">
            <w:pPr>
              <w:spacing w:line="276" w:lineRule="auto"/>
              <w:rPr>
                <w:color w:val="000000" w:themeColor="text1"/>
                <w:sz w:val="20"/>
                <w:lang w:eastAsia="lv-LV"/>
              </w:rPr>
            </w:pPr>
            <w:r w:rsidRPr="00B557E8">
              <w:rPr>
                <w:color w:val="000000" w:themeColor="text1"/>
                <w:sz w:val="20"/>
                <w:lang w:eastAsia="lv-LV"/>
              </w:rPr>
              <w:t>Skaits</w:t>
            </w:r>
          </w:p>
        </w:tc>
        <w:tc>
          <w:tcPr>
            <w:tcW w:w="1220" w:type="dxa"/>
            <w:tcBorders>
              <w:top w:val="nil"/>
              <w:left w:val="nil"/>
              <w:bottom w:val="single" w:sz="4" w:space="0" w:color="auto"/>
              <w:right w:val="single" w:sz="4" w:space="0" w:color="auto"/>
            </w:tcBorders>
            <w:shd w:val="clear" w:color="000000" w:fill="E6EED5"/>
            <w:vAlign w:val="center"/>
            <w:hideMark/>
          </w:tcPr>
          <w:p w:rsidR="00865FDD" w:rsidRPr="00B557E8" w:rsidRDefault="00865FDD" w:rsidP="00B557E8">
            <w:pPr>
              <w:spacing w:line="276" w:lineRule="auto"/>
              <w:rPr>
                <w:color w:val="000000" w:themeColor="text1"/>
                <w:sz w:val="20"/>
                <w:lang w:eastAsia="lv-LV"/>
              </w:rPr>
            </w:pPr>
            <w:r w:rsidRPr="00B557E8">
              <w:rPr>
                <w:color w:val="000000" w:themeColor="text1"/>
                <w:sz w:val="20"/>
                <w:lang w:eastAsia="lv-LV"/>
              </w:rPr>
              <w:t xml:space="preserve">Kopējais finansējums </w:t>
            </w:r>
          </w:p>
        </w:tc>
        <w:tc>
          <w:tcPr>
            <w:tcW w:w="1320" w:type="dxa"/>
            <w:tcBorders>
              <w:top w:val="nil"/>
              <w:left w:val="nil"/>
              <w:bottom w:val="single" w:sz="4" w:space="0" w:color="auto"/>
              <w:right w:val="single" w:sz="4" w:space="0" w:color="auto"/>
            </w:tcBorders>
            <w:shd w:val="clear" w:color="000000" w:fill="E6EED5"/>
            <w:vAlign w:val="center"/>
            <w:hideMark/>
          </w:tcPr>
          <w:p w:rsidR="00865FDD" w:rsidRPr="00B557E8" w:rsidRDefault="00865FDD" w:rsidP="00B557E8">
            <w:pPr>
              <w:spacing w:line="276" w:lineRule="auto"/>
              <w:rPr>
                <w:color w:val="000000" w:themeColor="text1"/>
                <w:sz w:val="20"/>
                <w:lang w:eastAsia="lv-LV"/>
              </w:rPr>
            </w:pPr>
            <w:r w:rsidRPr="00B557E8">
              <w:rPr>
                <w:color w:val="000000" w:themeColor="text1"/>
                <w:sz w:val="20"/>
                <w:lang w:eastAsia="lv-LV"/>
              </w:rPr>
              <w:t>% no pieejamā finansējuma</w:t>
            </w:r>
          </w:p>
        </w:tc>
        <w:tc>
          <w:tcPr>
            <w:tcW w:w="1420" w:type="dxa"/>
            <w:tcBorders>
              <w:top w:val="nil"/>
              <w:left w:val="nil"/>
              <w:bottom w:val="single" w:sz="4" w:space="0" w:color="auto"/>
              <w:right w:val="single" w:sz="4" w:space="0" w:color="auto"/>
            </w:tcBorders>
            <w:shd w:val="clear" w:color="000000" w:fill="E6EED5"/>
            <w:vAlign w:val="center"/>
            <w:hideMark/>
          </w:tcPr>
          <w:p w:rsidR="00865FDD" w:rsidRPr="00B557E8" w:rsidRDefault="00865FDD" w:rsidP="00B557E8">
            <w:pPr>
              <w:spacing w:line="276" w:lineRule="auto"/>
              <w:rPr>
                <w:color w:val="000000" w:themeColor="text1"/>
                <w:sz w:val="20"/>
                <w:lang w:eastAsia="lv-LV"/>
              </w:rPr>
            </w:pPr>
            <w:r w:rsidRPr="00B557E8">
              <w:rPr>
                <w:color w:val="000000" w:themeColor="text1"/>
                <w:sz w:val="20"/>
                <w:lang w:eastAsia="lv-LV"/>
              </w:rPr>
              <w:t>Progress pret datiem uz 30.06.2011.; % no pieejamā finansējuma</w:t>
            </w:r>
          </w:p>
        </w:tc>
      </w:tr>
      <w:tr w:rsidR="00B557E8" w:rsidRPr="00B557E8" w:rsidTr="007654B9">
        <w:trPr>
          <w:cantSplit/>
          <w:trHeight w:val="315"/>
          <w:jc w:val="center"/>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865FDD" w:rsidRPr="00B557E8" w:rsidRDefault="00865FDD" w:rsidP="00B557E8">
            <w:pPr>
              <w:spacing w:line="276" w:lineRule="auto"/>
              <w:rPr>
                <w:b/>
                <w:bCs/>
                <w:color w:val="000000" w:themeColor="text1"/>
                <w:sz w:val="20"/>
                <w:lang w:eastAsia="lv-LV"/>
              </w:rPr>
            </w:pPr>
            <w:r w:rsidRPr="00B557E8">
              <w:rPr>
                <w:b/>
                <w:bCs/>
                <w:color w:val="000000" w:themeColor="text1"/>
                <w:sz w:val="20"/>
                <w:lang w:eastAsia="lv-LV"/>
              </w:rPr>
              <w:t>Aizdevumu instrumenti</w:t>
            </w:r>
          </w:p>
        </w:tc>
        <w:tc>
          <w:tcPr>
            <w:tcW w:w="1240" w:type="dxa"/>
            <w:tcBorders>
              <w:top w:val="nil"/>
              <w:left w:val="nil"/>
              <w:bottom w:val="single" w:sz="4" w:space="0" w:color="auto"/>
              <w:right w:val="single" w:sz="4" w:space="0" w:color="auto"/>
            </w:tcBorders>
            <w:shd w:val="clear" w:color="auto" w:fill="auto"/>
            <w:vAlign w:val="center"/>
            <w:hideMark/>
          </w:tcPr>
          <w:p w:rsidR="00865FDD" w:rsidRPr="00B557E8" w:rsidRDefault="00865FDD" w:rsidP="00B557E8">
            <w:pPr>
              <w:spacing w:line="276" w:lineRule="auto"/>
              <w:rPr>
                <w:color w:val="000000" w:themeColor="text1"/>
                <w:sz w:val="20"/>
                <w:lang w:eastAsia="lv-LV"/>
              </w:rPr>
            </w:pPr>
            <w:r w:rsidRPr="00B557E8">
              <w:rPr>
                <w:color w:val="000000" w:themeColor="text1"/>
                <w:sz w:val="20"/>
                <w:lang w:eastAsia="lv-LV"/>
              </w:rPr>
              <w:t>61</w:t>
            </w:r>
            <w:r w:rsidR="00D87637" w:rsidRPr="00B557E8">
              <w:rPr>
                <w:color w:val="000000" w:themeColor="text1"/>
                <w:sz w:val="20"/>
                <w:lang w:eastAsia="lv-LV"/>
              </w:rPr>
              <w:t xml:space="preserve"> </w:t>
            </w:r>
            <w:r w:rsidRPr="00B557E8">
              <w:rPr>
                <w:color w:val="000000" w:themeColor="text1"/>
                <w:sz w:val="20"/>
                <w:lang w:eastAsia="lv-LV"/>
              </w:rPr>
              <w:t>846</w:t>
            </w:r>
            <w:r w:rsidR="00D87637" w:rsidRPr="00B557E8">
              <w:rPr>
                <w:color w:val="000000" w:themeColor="text1"/>
                <w:sz w:val="20"/>
                <w:lang w:eastAsia="lv-LV"/>
              </w:rPr>
              <w:t xml:space="preserve"> </w:t>
            </w:r>
            <w:r w:rsidRPr="00B557E8">
              <w:rPr>
                <w:color w:val="000000" w:themeColor="text1"/>
                <w:sz w:val="20"/>
                <w:lang w:eastAsia="lv-LV"/>
              </w:rPr>
              <w:t>752</w:t>
            </w:r>
          </w:p>
        </w:tc>
        <w:tc>
          <w:tcPr>
            <w:tcW w:w="620" w:type="dxa"/>
            <w:tcBorders>
              <w:top w:val="nil"/>
              <w:left w:val="nil"/>
              <w:bottom w:val="single" w:sz="4" w:space="0" w:color="auto"/>
              <w:right w:val="single" w:sz="4" w:space="0" w:color="auto"/>
            </w:tcBorders>
            <w:shd w:val="clear" w:color="auto" w:fill="auto"/>
            <w:vAlign w:val="center"/>
            <w:hideMark/>
          </w:tcPr>
          <w:p w:rsidR="00865FDD" w:rsidRPr="00B557E8" w:rsidRDefault="00865FDD" w:rsidP="00B557E8">
            <w:pPr>
              <w:spacing w:line="276" w:lineRule="auto"/>
              <w:rPr>
                <w:color w:val="000000" w:themeColor="text1"/>
                <w:sz w:val="20"/>
                <w:lang w:eastAsia="lv-LV"/>
              </w:rPr>
            </w:pPr>
            <w:r w:rsidRPr="00B557E8">
              <w:rPr>
                <w:color w:val="000000" w:themeColor="text1"/>
                <w:sz w:val="20"/>
                <w:lang w:eastAsia="lv-LV"/>
              </w:rPr>
              <w:t>25</w:t>
            </w:r>
          </w:p>
        </w:tc>
        <w:tc>
          <w:tcPr>
            <w:tcW w:w="1220" w:type="dxa"/>
            <w:tcBorders>
              <w:top w:val="nil"/>
              <w:left w:val="nil"/>
              <w:bottom w:val="single" w:sz="4" w:space="0" w:color="auto"/>
              <w:right w:val="single" w:sz="4" w:space="0" w:color="auto"/>
            </w:tcBorders>
            <w:shd w:val="clear" w:color="auto" w:fill="auto"/>
            <w:vAlign w:val="center"/>
            <w:hideMark/>
          </w:tcPr>
          <w:p w:rsidR="00865FDD" w:rsidRPr="00B557E8" w:rsidRDefault="00865FDD" w:rsidP="00B557E8">
            <w:pPr>
              <w:spacing w:line="276" w:lineRule="auto"/>
              <w:rPr>
                <w:color w:val="000000" w:themeColor="text1"/>
                <w:sz w:val="20"/>
                <w:lang w:eastAsia="lv-LV"/>
              </w:rPr>
            </w:pPr>
            <w:r w:rsidRPr="00B557E8">
              <w:rPr>
                <w:color w:val="000000" w:themeColor="text1"/>
                <w:sz w:val="20"/>
                <w:lang w:eastAsia="lv-LV"/>
              </w:rPr>
              <w:t>8</w:t>
            </w:r>
            <w:r w:rsidR="00D87637" w:rsidRPr="00B557E8">
              <w:rPr>
                <w:color w:val="000000" w:themeColor="text1"/>
                <w:sz w:val="20"/>
                <w:lang w:eastAsia="lv-LV"/>
              </w:rPr>
              <w:t xml:space="preserve"> </w:t>
            </w:r>
            <w:r w:rsidRPr="00B557E8">
              <w:rPr>
                <w:color w:val="000000" w:themeColor="text1"/>
                <w:sz w:val="20"/>
                <w:lang w:eastAsia="lv-LV"/>
              </w:rPr>
              <w:t>539</w:t>
            </w:r>
            <w:r w:rsidR="00D87637" w:rsidRPr="00B557E8">
              <w:rPr>
                <w:color w:val="000000" w:themeColor="text1"/>
                <w:sz w:val="20"/>
                <w:lang w:eastAsia="lv-LV"/>
              </w:rPr>
              <w:t xml:space="preserve"> </w:t>
            </w:r>
            <w:r w:rsidRPr="00B557E8">
              <w:rPr>
                <w:color w:val="000000" w:themeColor="text1"/>
                <w:sz w:val="20"/>
                <w:lang w:eastAsia="lv-LV"/>
              </w:rPr>
              <w:t>069</w:t>
            </w:r>
          </w:p>
        </w:tc>
        <w:tc>
          <w:tcPr>
            <w:tcW w:w="1320" w:type="dxa"/>
            <w:tcBorders>
              <w:top w:val="nil"/>
              <w:left w:val="nil"/>
              <w:bottom w:val="single" w:sz="4" w:space="0" w:color="auto"/>
              <w:right w:val="single" w:sz="4" w:space="0" w:color="auto"/>
            </w:tcBorders>
            <w:shd w:val="clear" w:color="auto" w:fill="auto"/>
            <w:noWrap/>
            <w:vAlign w:val="center"/>
            <w:hideMark/>
          </w:tcPr>
          <w:p w:rsidR="00865FDD" w:rsidRPr="00B557E8" w:rsidRDefault="00865FDD" w:rsidP="00B557E8">
            <w:pPr>
              <w:spacing w:line="276" w:lineRule="auto"/>
              <w:rPr>
                <w:color w:val="000000" w:themeColor="text1"/>
                <w:sz w:val="20"/>
                <w:lang w:eastAsia="lv-LV"/>
              </w:rPr>
            </w:pPr>
            <w:r w:rsidRPr="00B557E8">
              <w:rPr>
                <w:rFonts w:eastAsia="Calibri"/>
                <w:color w:val="000000" w:themeColor="text1"/>
                <w:sz w:val="20"/>
                <w:lang w:eastAsia="lv-LV"/>
              </w:rPr>
              <w:t>13,8%</w:t>
            </w:r>
          </w:p>
        </w:tc>
        <w:tc>
          <w:tcPr>
            <w:tcW w:w="1420" w:type="dxa"/>
            <w:tcBorders>
              <w:top w:val="nil"/>
              <w:left w:val="nil"/>
              <w:bottom w:val="single" w:sz="4" w:space="0" w:color="auto"/>
              <w:right w:val="single" w:sz="4" w:space="0" w:color="auto"/>
            </w:tcBorders>
            <w:shd w:val="clear" w:color="auto" w:fill="auto"/>
            <w:vAlign w:val="center"/>
            <w:hideMark/>
          </w:tcPr>
          <w:p w:rsidR="00865FDD" w:rsidRPr="00B557E8" w:rsidRDefault="00865FDD" w:rsidP="00B557E8">
            <w:pPr>
              <w:spacing w:line="276" w:lineRule="auto"/>
              <w:rPr>
                <w:color w:val="000000" w:themeColor="text1"/>
                <w:sz w:val="20"/>
                <w:lang w:eastAsia="lv-LV"/>
              </w:rPr>
            </w:pPr>
            <w:r w:rsidRPr="00B557E8">
              <w:rPr>
                <w:rFonts w:eastAsia="Calibri"/>
                <w:color w:val="000000" w:themeColor="text1"/>
                <w:sz w:val="20"/>
                <w:lang w:eastAsia="lv-LV"/>
              </w:rPr>
              <w:t>10,1%</w:t>
            </w:r>
          </w:p>
        </w:tc>
      </w:tr>
      <w:tr w:rsidR="00B557E8" w:rsidRPr="00B557E8" w:rsidTr="007654B9">
        <w:trPr>
          <w:cantSplit/>
          <w:trHeight w:val="315"/>
          <w:jc w:val="center"/>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865FDD" w:rsidRPr="00B557E8" w:rsidRDefault="00865FDD" w:rsidP="00B557E8">
            <w:pPr>
              <w:spacing w:line="276" w:lineRule="auto"/>
              <w:rPr>
                <w:b/>
                <w:bCs/>
                <w:color w:val="000000" w:themeColor="text1"/>
                <w:sz w:val="20"/>
                <w:lang w:eastAsia="lv-LV"/>
              </w:rPr>
            </w:pPr>
            <w:r w:rsidRPr="00B557E8">
              <w:rPr>
                <w:b/>
                <w:bCs/>
                <w:color w:val="000000" w:themeColor="text1"/>
                <w:sz w:val="20"/>
                <w:lang w:eastAsia="lv-LV"/>
              </w:rPr>
              <w:t>Riska kapitāls</w:t>
            </w:r>
          </w:p>
        </w:tc>
        <w:tc>
          <w:tcPr>
            <w:tcW w:w="1240" w:type="dxa"/>
            <w:tcBorders>
              <w:top w:val="nil"/>
              <w:left w:val="nil"/>
              <w:bottom w:val="single" w:sz="4" w:space="0" w:color="auto"/>
              <w:right w:val="single" w:sz="4" w:space="0" w:color="auto"/>
            </w:tcBorders>
            <w:shd w:val="clear" w:color="auto" w:fill="auto"/>
            <w:vAlign w:val="center"/>
            <w:hideMark/>
          </w:tcPr>
          <w:p w:rsidR="00865FDD" w:rsidRPr="00B557E8" w:rsidRDefault="00865FDD" w:rsidP="00B557E8">
            <w:pPr>
              <w:spacing w:line="276" w:lineRule="auto"/>
              <w:rPr>
                <w:color w:val="000000" w:themeColor="text1"/>
                <w:sz w:val="20"/>
                <w:lang w:eastAsia="lv-LV"/>
              </w:rPr>
            </w:pPr>
            <w:r w:rsidRPr="00B557E8">
              <w:rPr>
                <w:color w:val="000000" w:themeColor="text1"/>
                <w:sz w:val="20"/>
                <w:lang w:eastAsia="lv-LV"/>
              </w:rPr>
              <w:t>35</w:t>
            </w:r>
            <w:r w:rsidR="00D87637" w:rsidRPr="00B557E8">
              <w:rPr>
                <w:color w:val="000000" w:themeColor="text1"/>
                <w:sz w:val="20"/>
                <w:lang w:eastAsia="lv-LV"/>
              </w:rPr>
              <w:t xml:space="preserve"> </w:t>
            </w:r>
            <w:r w:rsidRPr="00B557E8">
              <w:rPr>
                <w:color w:val="000000" w:themeColor="text1"/>
                <w:sz w:val="20"/>
                <w:lang w:eastAsia="lv-LV"/>
              </w:rPr>
              <w:t>465</w:t>
            </w:r>
            <w:r w:rsidR="00D87637" w:rsidRPr="00B557E8">
              <w:rPr>
                <w:color w:val="000000" w:themeColor="text1"/>
                <w:sz w:val="20"/>
                <w:lang w:eastAsia="lv-LV"/>
              </w:rPr>
              <w:t xml:space="preserve"> </w:t>
            </w:r>
            <w:r w:rsidRPr="00B557E8">
              <w:rPr>
                <w:color w:val="000000" w:themeColor="text1"/>
                <w:sz w:val="20"/>
                <w:lang w:eastAsia="lv-LV"/>
              </w:rPr>
              <w:t>378</w:t>
            </w:r>
          </w:p>
        </w:tc>
        <w:tc>
          <w:tcPr>
            <w:tcW w:w="620" w:type="dxa"/>
            <w:tcBorders>
              <w:top w:val="nil"/>
              <w:left w:val="nil"/>
              <w:bottom w:val="single" w:sz="4" w:space="0" w:color="auto"/>
              <w:right w:val="single" w:sz="4" w:space="0" w:color="auto"/>
            </w:tcBorders>
            <w:shd w:val="clear" w:color="auto" w:fill="auto"/>
            <w:vAlign w:val="center"/>
            <w:hideMark/>
          </w:tcPr>
          <w:p w:rsidR="00865FDD" w:rsidRPr="00B557E8" w:rsidRDefault="00865FDD" w:rsidP="00B557E8">
            <w:pPr>
              <w:spacing w:line="276" w:lineRule="auto"/>
              <w:rPr>
                <w:color w:val="000000" w:themeColor="text1"/>
                <w:sz w:val="20"/>
                <w:lang w:eastAsia="lv-LV"/>
              </w:rPr>
            </w:pPr>
            <w:r w:rsidRPr="00B557E8">
              <w:rPr>
                <w:color w:val="000000" w:themeColor="text1"/>
                <w:sz w:val="20"/>
                <w:lang w:eastAsia="lv-LV"/>
              </w:rPr>
              <w:t>10</w:t>
            </w:r>
          </w:p>
        </w:tc>
        <w:tc>
          <w:tcPr>
            <w:tcW w:w="1220" w:type="dxa"/>
            <w:tcBorders>
              <w:top w:val="nil"/>
              <w:left w:val="nil"/>
              <w:bottom w:val="single" w:sz="4" w:space="0" w:color="auto"/>
              <w:right w:val="single" w:sz="4" w:space="0" w:color="auto"/>
            </w:tcBorders>
            <w:shd w:val="clear" w:color="auto" w:fill="auto"/>
            <w:vAlign w:val="center"/>
            <w:hideMark/>
          </w:tcPr>
          <w:p w:rsidR="00865FDD" w:rsidRPr="00B557E8" w:rsidRDefault="00865FDD" w:rsidP="00B557E8">
            <w:pPr>
              <w:spacing w:line="276" w:lineRule="auto"/>
              <w:rPr>
                <w:color w:val="000000" w:themeColor="text1"/>
                <w:sz w:val="20"/>
                <w:lang w:eastAsia="lv-LV"/>
              </w:rPr>
            </w:pPr>
            <w:r w:rsidRPr="00B557E8">
              <w:rPr>
                <w:color w:val="000000" w:themeColor="text1"/>
                <w:sz w:val="20"/>
                <w:lang w:eastAsia="lv-LV"/>
              </w:rPr>
              <w:t>3</w:t>
            </w:r>
            <w:r w:rsidR="00D87637" w:rsidRPr="00B557E8">
              <w:rPr>
                <w:color w:val="000000" w:themeColor="text1"/>
                <w:sz w:val="20"/>
                <w:lang w:eastAsia="lv-LV"/>
              </w:rPr>
              <w:t xml:space="preserve"> </w:t>
            </w:r>
            <w:r w:rsidRPr="00B557E8">
              <w:rPr>
                <w:color w:val="000000" w:themeColor="text1"/>
                <w:sz w:val="20"/>
                <w:lang w:eastAsia="lv-LV"/>
              </w:rPr>
              <w:t>795</w:t>
            </w:r>
            <w:r w:rsidR="00D87637" w:rsidRPr="00B557E8">
              <w:rPr>
                <w:color w:val="000000" w:themeColor="text1"/>
                <w:sz w:val="20"/>
                <w:lang w:eastAsia="lv-LV"/>
              </w:rPr>
              <w:t xml:space="preserve"> </w:t>
            </w:r>
            <w:r w:rsidRPr="00B557E8">
              <w:rPr>
                <w:color w:val="000000" w:themeColor="text1"/>
                <w:sz w:val="20"/>
                <w:lang w:eastAsia="lv-LV"/>
              </w:rPr>
              <w:t>142</w:t>
            </w:r>
          </w:p>
        </w:tc>
        <w:tc>
          <w:tcPr>
            <w:tcW w:w="1320" w:type="dxa"/>
            <w:tcBorders>
              <w:top w:val="nil"/>
              <w:left w:val="nil"/>
              <w:bottom w:val="single" w:sz="4" w:space="0" w:color="auto"/>
              <w:right w:val="single" w:sz="4" w:space="0" w:color="auto"/>
            </w:tcBorders>
            <w:shd w:val="clear" w:color="auto" w:fill="auto"/>
            <w:noWrap/>
            <w:vAlign w:val="center"/>
            <w:hideMark/>
          </w:tcPr>
          <w:p w:rsidR="00865FDD" w:rsidRPr="00B557E8" w:rsidRDefault="00865FDD" w:rsidP="00B557E8">
            <w:pPr>
              <w:spacing w:line="276" w:lineRule="auto"/>
              <w:rPr>
                <w:color w:val="000000" w:themeColor="text1"/>
                <w:sz w:val="20"/>
                <w:lang w:eastAsia="lv-LV"/>
              </w:rPr>
            </w:pPr>
            <w:r w:rsidRPr="00B557E8">
              <w:rPr>
                <w:rFonts w:eastAsia="Calibri"/>
                <w:color w:val="000000" w:themeColor="text1"/>
                <w:sz w:val="20"/>
                <w:lang w:eastAsia="lv-LV"/>
              </w:rPr>
              <w:t>10,7%</w:t>
            </w:r>
          </w:p>
        </w:tc>
        <w:tc>
          <w:tcPr>
            <w:tcW w:w="1420" w:type="dxa"/>
            <w:tcBorders>
              <w:top w:val="nil"/>
              <w:left w:val="nil"/>
              <w:bottom w:val="single" w:sz="4" w:space="0" w:color="auto"/>
              <w:right w:val="single" w:sz="4" w:space="0" w:color="auto"/>
            </w:tcBorders>
            <w:shd w:val="clear" w:color="auto" w:fill="auto"/>
            <w:vAlign w:val="center"/>
            <w:hideMark/>
          </w:tcPr>
          <w:p w:rsidR="00865FDD" w:rsidRPr="00B557E8" w:rsidRDefault="00865FDD" w:rsidP="00B557E8">
            <w:pPr>
              <w:spacing w:line="276" w:lineRule="auto"/>
              <w:rPr>
                <w:color w:val="000000" w:themeColor="text1"/>
                <w:sz w:val="20"/>
                <w:lang w:eastAsia="lv-LV"/>
              </w:rPr>
            </w:pPr>
            <w:r w:rsidRPr="00B557E8">
              <w:rPr>
                <w:rFonts w:eastAsia="Calibri"/>
                <w:color w:val="000000" w:themeColor="text1"/>
                <w:sz w:val="20"/>
                <w:lang w:eastAsia="lv-LV"/>
              </w:rPr>
              <w:t>0,0%</w:t>
            </w:r>
          </w:p>
        </w:tc>
      </w:tr>
      <w:tr w:rsidR="00B557E8" w:rsidRPr="00B557E8" w:rsidTr="007654B9">
        <w:trPr>
          <w:cantSplit/>
          <w:trHeight w:val="315"/>
          <w:jc w:val="center"/>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865FDD" w:rsidRPr="00B557E8" w:rsidRDefault="00865FDD" w:rsidP="00B557E8">
            <w:pPr>
              <w:spacing w:line="276" w:lineRule="auto"/>
              <w:rPr>
                <w:b/>
                <w:bCs/>
                <w:color w:val="000000" w:themeColor="text1"/>
                <w:sz w:val="20"/>
                <w:lang w:eastAsia="lv-LV"/>
              </w:rPr>
            </w:pPr>
            <w:r w:rsidRPr="00B557E8">
              <w:rPr>
                <w:b/>
                <w:bCs/>
                <w:color w:val="000000" w:themeColor="text1"/>
                <w:sz w:val="20"/>
                <w:lang w:eastAsia="lv-LV"/>
              </w:rPr>
              <w:t>Kopā</w:t>
            </w:r>
          </w:p>
        </w:tc>
        <w:tc>
          <w:tcPr>
            <w:tcW w:w="1240" w:type="dxa"/>
            <w:tcBorders>
              <w:top w:val="nil"/>
              <w:left w:val="nil"/>
              <w:bottom w:val="single" w:sz="4" w:space="0" w:color="auto"/>
              <w:right w:val="single" w:sz="4" w:space="0" w:color="auto"/>
            </w:tcBorders>
            <w:shd w:val="clear" w:color="auto" w:fill="auto"/>
            <w:vAlign w:val="center"/>
            <w:hideMark/>
          </w:tcPr>
          <w:p w:rsidR="00865FDD" w:rsidRPr="00B557E8" w:rsidRDefault="00865FDD" w:rsidP="00B557E8">
            <w:pPr>
              <w:spacing w:line="276" w:lineRule="auto"/>
              <w:rPr>
                <w:color w:val="000000" w:themeColor="text1"/>
                <w:sz w:val="20"/>
                <w:lang w:eastAsia="lv-LV"/>
              </w:rPr>
            </w:pPr>
            <w:r w:rsidRPr="00B557E8">
              <w:rPr>
                <w:color w:val="000000" w:themeColor="text1"/>
                <w:sz w:val="20"/>
                <w:lang w:eastAsia="lv-LV"/>
              </w:rPr>
              <w:t>97</w:t>
            </w:r>
            <w:r w:rsidR="00D87637" w:rsidRPr="00B557E8">
              <w:rPr>
                <w:color w:val="000000" w:themeColor="text1"/>
                <w:sz w:val="20"/>
                <w:lang w:eastAsia="lv-LV"/>
              </w:rPr>
              <w:t xml:space="preserve"> </w:t>
            </w:r>
            <w:r w:rsidRPr="00B557E8">
              <w:rPr>
                <w:color w:val="000000" w:themeColor="text1"/>
                <w:sz w:val="20"/>
                <w:lang w:eastAsia="lv-LV"/>
              </w:rPr>
              <w:t>312</w:t>
            </w:r>
            <w:r w:rsidR="00D87637" w:rsidRPr="00B557E8">
              <w:rPr>
                <w:color w:val="000000" w:themeColor="text1"/>
                <w:sz w:val="20"/>
                <w:lang w:eastAsia="lv-LV"/>
              </w:rPr>
              <w:t xml:space="preserve"> </w:t>
            </w:r>
            <w:r w:rsidRPr="00B557E8">
              <w:rPr>
                <w:color w:val="000000" w:themeColor="text1"/>
                <w:sz w:val="20"/>
                <w:lang w:eastAsia="lv-LV"/>
              </w:rPr>
              <w:t>130</w:t>
            </w:r>
          </w:p>
        </w:tc>
        <w:tc>
          <w:tcPr>
            <w:tcW w:w="620" w:type="dxa"/>
            <w:tcBorders>
              <w:top w:val="nil"/>
              <w:left w:val="nil"/>
              <w:bottom w:val="single" w:sz="4" w:space="0" w:color="auto"/>
              <w:right w:val="single" w:sz="4" w:space="0" w:color="auto"/>
            </w:tcBorders>
            <w:shd w:val="clear" w:color="auto" w:fill="auto"/>
            <w:vAlign w:val="center"/>
            <w:hideMark/>
          </w:tcPr>
          <w:p w:rsidR="00865FDD" w:rsidRPr="00B557E8" w:rsidRDefault="00865FDD" w:rsidP="00B557E8">
            <w:pPr>
              <w:spacing w:line="276" w:lineRule="auto"/>
              <w:rPr>
                <w:color w:val="000000" w:themeColor="text1"/>
                <w:sz w:val="20"/>
                <w:lang w:eastAsia="lv-LV"/>
              </w:rPr>
            </w:pPr>
            <w:r w:rsidRPr="00B557E8">
              <w:rPr>
                <w:color w:val="000000" w:themeColor="text1"/>
                <w:sz w:val="20"/>
                <w:lang w:eastAsia="lv-LV"/>
              </w:rPr>
              <w:t>35</w:t>
            </w:r>
          </w:p>
        </w:tc>
        <w:tc>
          <w:tcPr>
            <w:tcW w:w="1220" w:type="dxa"/>
            <w:tcBorders>
              <w:top w:val="nil"/>
              <w:left w:val="nil"/>
              <w:bottom w:val="single" w:sz="4" w:space="0" w:color="auto"/>
              <w:right w:val="single" w:sz="4" w:space="0" w:color="auto"/>
            </w:tcBorders>
            <w:shd w:val="clear" w:color="auto" w:fill="auto"/>
            <w:vAlign w:val="center"/>
            <w:hideMark/>
          </w:tcPr>
          <w:p w:rsidR="00865FDD" w:rsidRPr="00B557E8" w:rsidRDefault="00865FDD" w:rsidP="00B557E8">
            <w:pPr>
              <w:spacing w:line="276" w:lineRule="auto"/>
              <w:rPr>
                <w:color w:val="000000" w:themeColor="text1"/>
                <w:sz w:val="20"/>
                <w:lang w:eastAsia="lv-LV"/>
              </w:rPr>
            </w:pPr>
            <w:r w:rsidRPr="00B557E8">
              <w:rPr>
                <w:color w:val="000000" w:themeColor="text1"/>
                <w:sz w:val="20"/>
                <w:lang w:eastAsia="lv-LV"/>
              </w:rPr>
              <w:t>12</w:t>
            </w:r>
            <w:r w:rsidR="00D87637" w:rsidRPr="00B557E8">
              <w:rPr>
                <w:color w:val="000000" w:themeColor="text1"/>
                <w:sz w:val="20"/>
                <w:lang w:eastAsia="lv-LV"/>
              </w:rPr>
              <w:t xml:space="preserve"> </w:t>
            </w:r>
            <w:r w:rsidRPr="00B557E8">
              <w:rPr>
                <w:color w:val="000000" w:themeColor="text1"/>
                <w:sz w:val="20"/>
                <w:lang w:eastAsia="lv-LV"/>
              </w:rPr>
              <w:t>334</w:t>
            </w:r>
            <w:r w:rsidR="00D87637" w:rsidRPr="00B557E8">
              <w:rPr>
                <w:color w:val="000000" w:themeColor="text1"/>
                <w:sz w:val="20"/>
                <w:lang w:eastAsia="lv-LV"/>
              </w:rPr>
              <w:t xml:space="preserve"> </w:t>
            </w:r>
            <w:r w:rsidRPr="00B557E8">
              <w:rPr>
                <w:color w:val="000000" w:themeColor="text1"/>
                <w:sz w:val="20"/>
                <w:lang w:eastAsia="lv-LV"/>
              </w:rPr>
              <w:t>210</w:t>
            </w:r>
          </w:p>
        </w:tc>
        <w:tc>
          <w:tcPr>
            <w:tcW w:w="1320" w:type="dxa"/>
            <w:tcBorders>
              <w:top w:val="nil"/>
              <w:left w:val="nil"/>
              <w:bottom w:val="single" w:sz="4" w:space="0" w:color="auto"/>
              <w:right w:val="single" w:sz="4" w:space="0" w:color="auto"/>
            </w:tcBorders>
            <w:shd w:val="clear" w:color="auto" w:fill="auto"/>
            <w:noWrap/>
            <w:vAlign w:val="center"/>
            <w:hideMark/>
          </w:tcPr>
          <w:p w:rsidR="00865FDD" w:rsidRPr="00B557E8" w:rsidRDefault="00865FDD" w:rsidP="00B557E8">
            <w:pPr>
              <w:spacing w:line="276" w:lineRule="auto"/>
              <w:rPr>
                <w:color w:val="000000" w:themeColor="text1"/>
                <w:sz w:val="20"/>
                <w:lang w:eastAsia="lv-LV"/>
              </w:rPr>
            </w:pPr>
            <w:r w:rsidRPr="00B557E8">
              <w:rPr>
                <w:rFonts w:eastAsia="Calibri"/>
                <w:color w:val="000000" w:themeColor="text1"/>
                <w:sz w:val="20"/>
                <w:lang w:eastAsia="lv-LV"/>
              </w:rPr>
              <w:t>12,7%</w:t>
            </w:r>
          </w:p>
        </w:tc>
        <w:tc>
          <w:tcPr>
            <w:tcW w:w="1420" w:type="dxa"/>
            <w:tcBorders>
              <w:top w:val="nil"/>
              <w:left w:val="nil"/>
              <w:bottom w:val="single" w:sz="4" w:space="0" w:color="auto"/>
              <w:right w:val="single" w:sz="4" w:space="0" w:color="auto"/>
            </w:tcBorders>
            <w:shd w:val="clear" w:color="auto" w:fill="auto"/>
            <w:vAlign w:val="center"/>
            <w:hideMark/>
          </w:tcPr>
          <w:p w:rsidR="00865FDD" w:rsidRPr="00B557E8" w:rsidRDefault="00865FDD" w:rsidP="00B557E8">
            <w:pPr>
              <w:spacing w:line="276" w:lineRule="auto"/>
              <w:rPr>
                <w:color w:val="000000" w:themeColor="text1"/>
                <w:sz w:val="20"/>
                <w:lang w:eastAsia="lv-LV"/>
              </w:rPr>
            </w:pPr>
            <w:r w:rsidRPr="00B557E8">
              <w:rPr>
                <w:rFonts w:eastAsia="Calibri"/>
                <w:color w:val="000000" w:themeColor="text1"/>
                <w:sz w:val="20"/>
                <w:lang w:eastAsia="lv-LV"/>
              </w:rPr>
              <w:t>6,7%</w:t>
            </w:r>
          </w:p>
        </w:tc>
      </w:tr>
    </w:tbl>
    <w:p w:rsidR="00B557E8" w:rsidRDefault="00B557E8" w:rsidP="00B557E8">
      <w:pPr>
        <w:spacing w:before="120" w:after="120" w:line="276" w:lineRule="auto"/>
        <w:ind w:right="181"/>
        <w:rPr>
          <w:rFonts w:eastAsia="Calibri"/>
          <w:color w:val="000000" w:themeColor="text1"/>
          <w:szCs w:val="24"/>
        </w:rPr>
      </w:pPr>
    </w:p>
    <w:p w:rsidR="00B557E8" w:rsidRDefault="00B557E8">
      <w:pPr>
        <w:jc w:val="left"/>
        <w:rPr>
          <w:rFonts w:eastAsia="Calibri"/>
          <w:color w:val="000000" w:themeColor="text1"/>
          <w:szCs w:val="24"/>
        </w:rPr>
      </w:pPr>
      <w:r>
        <w:rPr>
          <w:rFonts w:eastAsia="Calibri"/>
          <w:color w:val="000000" w:themeColor="text1"/>
          <w:szCs w:val="24"/>
        </w:rPr>
        <w:br w:type="page"/>
      </w:r>
    </w:p>
    <w:p w:rsidR="00865FDD" w:rsidRPr="00B557E8" w:rsidRDefault="00865FDD" w:rsidP="00B557E8">
      <w:pPr>
        <w:spacing w:before="120" w:after="120" w:line="276" w:lineRule="auto"/>
        <w:ind w:right="181"/>
        <w:rPr>
          <w:rFonts w:eastAsia="Calibri"/>
          <w:i/>
          <w:color w:val="000000" w:themeColor="text1"/>
          <w:szCs w:val="24"/>
        </w:rPr>
      </w:pPr>
      <w:r w:rsidRPr="00B557E8">
        <w:rPr>
          <w:rFonts w:eastAsia="Calibri"/>
          <w:color w:val="000000" w:themeColor="text1"/>
          <w:szCs w:val="24"/>
        </w:rPr>
        <w:lastRenderedPageBreak/>
        <w:t>Grafiks Nr.</w:t>
      </w:r>
      <w:r w:rsidR="00EC7B49" w:rsidRPr="00B557E8">
        <w:rPr>
          <w:rFonts w:eastAsia="Calibri"/>
          <w:color w:val="000000" w:themeColor="text1"/>
          <w:szCs w:val="24"/>
        </w:rPr>
        <w:t>10</w:t>
      </w:r>
      <w:r w:rsidR="00D87637" w:rsidRPr="00B557E8">
        <w:rPr>
          <w:rFonts w:eastAsia="Calibri"/>
          <w:color w:val="000000" w:themeColor="text1"/>
          <w:szCs w:val="24"/>
        </w:rPr>
        <w:t xml:space="preserve"> </w:t>
      </w:r>
      <w:r w:rsidRPr="00B557E8">
        <w:rPr>
          <w:rFonts w:eastAsia="Calibri"/>
          <w:i/>
          <w:color w:val="000000" w:themeColor="text1"/>
          <w:szCs w:val="24"/>
        </w:rPr>
        <w:t>„2.2.1.1. aktivitātes ietvaros plānotie maksājumi/ investīcijas līdz 31.12.2011. un veiktie maksājumi/ investīc</w:t>
      </w:r>
      <w:r w:rsidR="00D87637" w:rsidRPr="00B557E8">
        <w:rPr>
          <w:rFonts w:eastAsia="Calibri"/>
          <w:i/>
          <w:color w:val="000000" w:themeColor="text1"/>
          <w:szCs w:val="24"/>
        </w:rPr>
        <w:t>ijas līdz 30.09.2011. kumulatīvi (k</w:t>
      </w:r>
      <w:r w:rsidRPr="00B557E8">
        <w:rPr>
          <w:rFonts w:eastAsia="Calibri"/>
          <w:i/>
          <w:color w:val="000000" w:themeColor="text1"/>
          <w:szCs w:val="24"/>
        </w:rPr>
        <w:t xml:space="preserve">opējais finansējums (ieskaitot finanšu starpinstitūciju līdzfinansējumu) </w:t>
      </w:r>
      <w:proofErr w:type="spellStart"/>
      <w:r w:rsidRPr="00B557E8">
        <w:rPr>
          <w:rFonts w:eastAsia="Calibri"/>
          <w:i/>
          <w:color w:val="000000" w:themeColor="text1"/>
          <w:szCs w:val="24"/>
        </w:rPr>
        <w:t>milj</w:t>
      </w:r>
      <w:proofErr w:type="spellEnd"/>
      <w:r w:rsidR="00D87637" w:rsidRPr="00B557E8">
        <w:rPr>
          <w:rFonts w:eastAsia="Calibri"/>
          <w:i/>
          <w:color w:val="000000" w:themeColor="text1"/>
          <w:szCs w:val="24"/>
        </w:rPr>
        <w:t>. LVL, % no plānotā finansējuma).</w:t>
      </w:r>
      <w:r w:rsidRPr="00B557E8">
        <w:rPr>
          <w:rFonts w:eastAsia="Calibri"/>
          <w:i/>
          <w:color w:val="000000" w:themeColor="text1"/>
          <w:szCs w:val="24"/>
        </w:rPr>
        <w:t>”</w:t>
      </w:r>
    </w:p>
    <w:p w:rsidR="00865FDD" w:rsidRPr="00B557E8" w:rsidRDefault="00865FDD" w:rsidP="00B557E8">
      <w:pPr>
        <w:pStyle w:val="NormalWeb"/>
        <w:spacing w:before="120" w:beforeAutospacing="0" w:after="120" w:afterAutospacing="0" w:line="276" w:lineRule="auto"/>
        <w:jc w:val="center"/>
        <w:rPr>
          <w:color w:val="000000" w:themeColor="text1"/>
          <w:lang w:val="lv-LV"/>
        </w:rPr>
      </w:pPr>
      <w:r w:rsidRPr="00B557E8">
        <w:rPr>
          <w:noProof/>
          <w:color w:val="000000" w:themeColor="text1"/>
          <w:lang w:val="lv-LV" w:eastAsia="lv-LV"/>
        </w:rPr>
        <w:drawing>
          <wp:inline distT="0" distB="0" distL="0" distR="0" wp14:anchorId="2D2FE01C" wp14:editId="20B55F0D">
            <wp:extent cx="3767328" cy="1755648"/>
            <wp:effectExtent l="0" t="0" r="508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87637" w:rsidRPr="00B557E8" w:rsidRDefault="00D87637" w:rsidP="00B557E8">
      <w:pPr>
        <w:pStyle w:val="NormalWeb"/>
        <w:spacing w:before="120" w:beforeAutospacing="0" w:after="120" w:afterAutospacing="0" w:line="276" w:lineRule="auto"/>
        <w:jc w:val="both"/>
        <w:rPr>
          <w:color w:val="000000" w:themeColor="text1"/>
          <w:lang w:val="lv-LV"/>
        </w:rPr>
      </w:pPr>
      <w:r w:rsidRPr="00B557E8">
        <w:rPr>
          <w:color w:val="000000" w:themeColor="text1"/>
          <w:lang w:val="lv-LV"/>
        </w:rPr>
        <w:t xml:space="preserve">Kopumā ieguldījumu fonda ieviešanas progress 2011.gadā ir apmierinošs. Līdz 2011.gada 3.ceturkšņa beigām ir izpildīti 90,1% no EIF plānotajām investīcijām, veikti maksājumi komersantiem / investīcijas 6,4 </w:t>
      </w:r>
      <w:proofErr w:type="spellStart"/>
      <w:r w:rsidRPr="00B557E8">
        <w:rPr>
          <w:color w:val="000000" w:themeColor="text1"/>
          <w:lang w:val="lv-LV"/>
        </w:rPr>
        <w:t>milj</w:t>
      </w:r>
      <w:proofErr w:type="spellEnd"/>
      <w:r w:rsidRPr="00B557E8">
        <w:rPr>
          <w:color w:val="000000" w:themeColor="text1"/>
          <w:lang w:val="lv-LV"/>
        </w:rPr>
        <w:t>. latu apmērā.  (skatīt grafiku Nr.10)</w:t>
      </w:r>
    </w:p>
    <w:p w:rsidR="00865FDD" w:rsidRPr="00B557E8" w:rsidRDefault="00865FDD" w:rsidP="00B557E8">
      <w:pPr>
        <w:pStyle w:val="NormalWeb"/>
        <w:spacing w:before="120" w:beforeAutospacing="0" w:after="120" w:afterAutospacing="0" w:line="276" w:lineRule="auto"/>
        <w:jc w:val="both"/>
        <w:rPr>
          <w:color w:val="000000" w:themeColor="text1"/>
          <w:lang w:val="lv-LV"/>
        </w:rPr>
      </w:pPr>
      <w:proofErr w:type="spellStart"/>
      <w:r w:rsidRPr="00B557E8">
        <w:rPr>
          <w:color w:val="000000" w:themeColor="text1"/>
          <w:lang w:val="lv-LV"/>
        </w:rPr>
        <w:t>Š.g</w:t>
      </w:r>
      <w:proofErr w:type="spellEnd"/>
      <w:r w:rsidRPr="00B557E8">
        <w:rPr>
          <w:color w:val="000000" w:themeColor="text1"/>
          <w:lang w:val="lv-LV"/>
        </w:rPr>
        <w:t xml:space="preserve">. 3.oktobra Ieguldījuma fonda uzraudzības padomes sēdē tika lemts par sēklas investīciju apjoma palielināšanu no 100 līdz 200 </w:t>
      </w:r>
      <w:proofErr w:type="spellStart"/>
      <w:r w:rsidRPr="00B557E8">
        <w:rPr>
          <w:color w:val="000000" w:themeColor="text1"/>
          <w:lang w:val="lv-LV"/>
        </w:rPr>
        <w:t>tūkst</w:t>
      </w:r>
      <w:proofErr w:type="spellEnd"/>
      <w:r w:rsidRPr="00B557E8">
        <w:rPr>
          <w:color w:val="000000" w:themeColor="text1"/>
          <w:lang w:val="lv-LV"/>
        </w:rPr>
        <w:t>. eiro, kas veicinātu investīciju apjoma pieaugumu.</w:t>
      </w:r>
    </w:p>
    <w:p w:rsidR="00865FDD" w:rsidRPr="00B557E8" w:rsidRDefault="00865FDD" w:rsidP="00B557E8">
      <w:pPr>
        <w:pStyle w:val="Default"/>
        <w:numPr>
          <w:ilvl w:val="0"/>
          <w:numId w:val="4"/>
        </w:numPr>
        <w:spacing w:before="120" w:after="120" w:line="276" w:lineRule="auto"/>
        <w:jc w:val="both"/>
        <w:rPr>
          <w:color w:val="000000" w:themeColor="text1"/>
        </w:rPr>
      </w:pPr>
      <w:r w:rsidRPr="00B557E8">
        <w:rPr>
          <w:rFonts w:eastAsia="Times New Roman"/>
          <w:b/>
          <w:color w:val="000000" w:themeColor="text1"/>
          <w:lang w:eastAsia="en-US"/>
        </w:rPr>
        <w:t xml:space="preserve">„Garantijas komersantu konkurētspējas uzlabošanai”  </w:t>
      </w:r>
      <w:r w:rsidRPr="00B557E8">
        <w:rPr>
          <w:color w:val="000000" w:themeColor="text1"/>
        </w:rPr>
        <w:t xml:space="preserve">finansējuma pārvaldītājs ir LGA. Šīs aktivitātes ietvaros tiek izsniegtas konkurētspējas un eksporta garantijas. Kopumā veikto investīciju apjoms ir apmierinošs un jau 232 no izsniegtajām garantijām par kopējo apjomu 27 </w:t>
      </w:r>
      <w:proofErr w:type="spellStart"/>
      <w:r w:rsidRPr="00B557E8">
        <w:rPr>
          <w:color w:val="000000" w:themeColor="text1"/>
        </w:rPr>
        <w:t>milj</w:t>
      </w:r>
      <w:proofErr w:type="spellEnd"/>
      <w:r w:rsidRPr="00B557E8">
        <w:rPr>
          <w:color w:val="000000" w:themeColor="text1"/>
        </w:rPr>
        <w:t xml:space="preserve">. latu ir beidzies garantijas termiņš. Detalizētāka informācija sniegta </w:t>
      </w:r>
      <w:r w:rsidRPr="00B557E8">
        <w:rPr>
          <w:color w:val="000000" w:themeColor="text1"/>
          <w:u w:val="single"/>
        </w:rPr>
        <w:t>tabulā Nr.</w:t>
      </w:r>
      <w:r w:rsidR="00C13D44" w:rsidRPr="00B557E8">
        <w:rPr>
          <w:color w:val="000000" w:themeColor="text1"/>
          <w:u w:val="single"/>
        </w:rPr>
        <w:t>3</w:t>
      </w:r>
      <w:r w:rsidRPr="00B557E8">
        <w:rPr>
          <w:color w:val="000000" w:themeColor="text1"/>
          <w:u w:val="single"/>
        </w:rPr>
        <w:t>.</w:t>
      </w:r>
      <w:r w:rsidRPr="00B557E8">
        <w:rPr>
          <w:color w:val="000000" w:themeColor="text1"/>
        </w:rPr>
        <w:t xml:space="preserve"> </w:t>
      </w:r>
    </w:p>
    <w:p w:rsidR="00865FDD" w:rsidRPr="00B557E8" w:rsidRDefault="00865FDD" w:rsidP="00B557E8">
      <w:pPr>
        <w:spacing w:before="120" w:after="120" w:line="276" w:lineRule="auto"/>
        <w:rPr>
          <w:color w:val="000000" w:themeColor="text1"/>
          <w:szCs w:val="24"/>
        </w:rPr>
      </w:pPr>
      <w:r w:rsidRPr="00B557E8">
        <w:rPr>
          <w:color w:val="000000" w:themeColor="text1"/>
          <w:szCs w:val="24"/>
        </w:rPr>
        <w:t>Tabula Nr.</w:t>
      </w:r>
      <w:r w:rsidR="00C13D44" w:rsidRPr="00B557E8">
        <w:rPr>
          <w:color w:val="000000" w:themeColor="text1"/>
          <w:szCs w:val="24"/>
        </w:rPr>
        <w:t>3</w:t>
      </w:r>
      <w:r w:rsidRPr="00B557E8">
        <w:rPr>
          <w:color w:val="000000" w:themeColor="text1"/>
          <w:szCs w:val="24"/>
        </w:rPr>
        <w:t xml:space="preserve"> </w:t>
      </w:r>
      <w:r w:rsidRPr="00B557E8">
        <w:rPr>
          <w:rFonts w:eastAsia="Calibri"/>
          <w:i/>
          <w:color w:val="000000" w:themeColor="text1"/>
          <w:szCs w:val="24"/>
        </w:rPr>
        <w:t>„Finanšu apguves progress aktivitātes „</w:t>
      </w:r>
      <w:r w:rsidRPr="00B557E8">
        <w:rPr>
          <w:bCs/>
          <w:i/>
          <w:color w:val="000000" w:themeColor="text1"/>
          <w:szCs w:val="24"/>
        </w:rPr>
        <w:t>Garantijas komersantu konkurētspējas uzlabošanai”</w:t>
      </w:r>
      <w:r w:rsidRPr="00B557E8">
        <w:rPr>
          <w:rFonts w:eastAsia="Calibri"/>
          <w:i/>
          <w:color w:val="000000" w:themeColor="text1"/>
          <w:szCs w:val="24"/>
        </w:rPr>
        <w:t xml:space="preserve"> ietvaros; LVL.”</w:t>
      </w:r>
    </w:p>
    <w:tbl>
      <w:tblPr>
        <w:tblW w:w="9287" w:type="dxa"/>
        <w:jc w:val="center"/>
        <w:tblLayout w:type="fixed"/>
        <w:tblLook w:val="04A0" w:firstRow="1" w:lastRow="0" w:firstColumn="1" w:lastColumn="0" w:noHBand="0" w:noVBand="1"/>
      </w:tblPr>
      <w:tblGrid>
        <w:gridCol w:w="1082"/>
        <w:gridCol w:w="996"/>
        <w:gridCol w:w="724"/>
        <w:gridCol w:w="992"/>
        <w:gridCol w:w="885"/>
        <w:gridCol w:w="1118"/>
        <w:gridCol w:w="690"/>
        <w:gridCol w:w="819"/>
        <w:gridCol w:w="863"/>
        <w:gridCol w:w="1118"/>
      </w:tblGrid>
      <w:tr w:rsidR="00B557E8" w:rsidRPr="00B557E8" w:rsidTr="004F5DF1">
        <w:trPr>
          <w:cantSplit/>
          <w:trHeight w:val="522"/>
          <w:jc w:val="center"/>
        </w:trPr>
        <w:tc>
          <w:tcPr>
            <w:tcW w:w="10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FDD" w:rsidRPr="00B557E8" w:rsidRDefault="00865FDD" w:rsidP="00B557E8">
            <w:pPr>
              <w:spacing w:line="276" w:lineRule="auto"/>
              <w:rPr>
                <w:b/>
                <w:bCs/>
                <w:color w:val="000000" w:themeColor="text1"/>
                <w:sz w:val="18"/>
                <w:szCs w:val="18"/>
                <w:lang w:eastAsia="lv-LV"/>
              </w:rPr>
            </w:pPr>
            <w:r w:rsidRPr="00B557E8">
              <w:rPr>
                <w:b/>
                <w:bCs/>
                <w:color w:val="000000" w:themeColor="text1"/>
                <w:sz w:val="18"/>
                <w:szCs w:val="18"/>
                <w:lang w:eastAsia="lv-LV"/>
              </w:rPr>
              <w:t> </w:t>
            </w:r>
          </w:p>
        </w:tc>
        <w:tc>
          <w:tcPr>
            <w:tcW w:w="996" w:type="dxa"/>
            <w:vMerge w:val="restart"/>
            <w:tcBorders>
              <w:top w:val="single" w:sz="4" w:space="0" w:color="auto"/>
              <w:left w:val="single" w:sz="4" w:space="0" w:color="auto"/>
              <w:bottom w:val="single" w:sz="4" w:space="0" w:color="auto"/>
              <w:right w:val="single" w:sz="4" w:space="0" w:color="auto"/>
            </w:tcBorders>
            <w:shd w:val="clear" w:color="000000" w:fill="D6E3BC"/>
            <w:vAlign w:val="center"/>
            <w:hideMark/>
          </w:tcPr>
          <w:p w:rsidR="00865FDD" w:rsidRPr="00B557E8" w:rsidRDefault="00865FDD" w:rsidP="00B557E8">
            <w:pPr>
              <w:spacing w:line="276" w:lineRule="auto"/>
              <w:rPr>
                <w:b/>
                <w:bCs/>
                <w:color w:val="000000" w:themeColor="text1"/>
                <w:sz w:val="18"/>
                <w:szCs w:val="18"/>
                <w:lang w:eastAsia="lv-LV"/>
              </w:rPr>
            </w:pPr>
            <w:r w:rsidRPr="00B557E8">
              <w:rPr>
                <w:b/>
                <w:bCs/>
                <w:color w:val="000000" w:themeColor="text1"/>
                <w:sz w:val="18"/>
                <w:szCs w:val="18"/>
                <w:lang w:eastAsia="lv-LV"/>
              </w:rPr>
              <w:t xml:space="preserve">Kopējais </w:t>
            </w:r>
            <w:proofErr w:type="spellStart"/>
            <w:r w:rsidRPr="00B557E8">
              <w:rPr>
                <w:b/>
                <w:bCs/>
                <w:color w:val="000000" w:themeColor="text1"/>
                <w:sz w:val="18"/>
                <w:szCs w:val="18"/>
                <w:lang w:eastAsia="lv-LV"/>
              </w:rPr>
              <w:t>finan-sējums</w:t>
            </w:r>
            <w:proofErr w:type="spellEnd"/>
            <w:r w:rsidRPr="00B557E8">
              <w:rPr>
                <w:b/>
                <w:bCs/>
                <w:color w:val="000000" w:themeColor="text1"/>
                <w:sz w:val="18"/>
                <w:szCs w:val="18"/>
                <w:lang w:eastAsia="lv-LV"/>
              </w:rPr>
              <w:t xml:space="preserve"> (ieskaitot finanšu </w:t>
            </w:r>
            <w:proofErr w:type="spellStart"/>
            <w:r w:rsidRPr="00B557E8">
              <w:rPr>
                <w:b/>
                <w:bCs/>
                <w:color w:val="000000" w:themeColor="text1"/>
                <w:sz w:val="18"/>
                <w:szCs w:val="18"/>
                <w:lang w:eastAsia="lv-LV"/>
              </w:rPr>
              <w:t>starpinst</w:t>
            </w:r>
            <w:proofErr w:type="spellEnd"/>
            <w:r w:rsidRPr="00B557E8">
              <w:rPr>
                <w:b/>
                <w:bCs/>
                <w:color w:val="000000" w:themeColor="text1"/>
                <w:sz w:val="18"/>
                <w:szCs w:val="18"/>
                <w:lang w:eastAsia="lv-LV"/>
              </w:rPr>
              <w:t xml:space="preserve">. </w:t>
            </w:r>
            <w:proofErr w:type="spellStart"/>
            <w:r w:rsidRPr="00B557E8">
              <w:rPr>
                <w:b/>
                <w:bCs/>
                <w:color w:val="000000" w:themeColor="text1"/>
                <w:sz w:val="18"/>
                <w:szCs w:val="18"/>
                <w:lang w:eastAsia="lv-LV"/>
              </w:rPr>
              <w:t>līdzfin</w:t>
            </w:r>
            <w:proofErr w:type="spellEnd"/>
            <w:r w:rsidRPr="00B557E8">
              <w:rPr>
                <w:b/>
                <w:bCs/>
                <w:color w:val="000000" w:themeColor="text1"/>
                <w:sz w:val="18"/>
                <w:szCs w:val="18"/>
                <w:lang w:eastAsia="lv-LV"/>
              </w:rPr>
              <w:t>.)</w:t>
            </w:r>
          </w:p>
        </w:tc>
        <w:tc>
          <w:tcPr>
            <w:tcW w:w="3719" w:type="dxa"/>
            <w:gridSpan w:val="4"/>
            <w:tcBorders>
              <w:top w:val="single" w:sz="4" w:space="0" w:color="auto"/>
              <w:left w:val="nil"/>
              <w:bottom w:val="single" w:sz="4" w:space="0" w:color="auto"/>
              <w:right w:val="single" w:sz="4" w:space="0" w:color="auto"/>
            </w:tcBorders>
            <w:shd w:val="clear" w:color="000000" w:fill="D6E3BC"/>
            <w:vAlign w:val="center"/>
            <w:hideMark/>
          </w:tcPr>
          <w:p w:rsidR="00865FDD" w:rsidRPr="00B557E8" w:rsidRDefault="00865FDD" w:rsidP="00B557E8">
            <w:pPr>
              <w:spacing w:line="276" w:lineRule="auto"/>
              <w:rPr>
                <w:b/>
                <w:bCs/>
                <w:color w:val="000000" w:themeColor="text1"/>
                <w:sz w:val="18"/>
                <w:szCs w:val="18"/>
                <w:lang w:eastAsia="lv-LV"/>
              </w:rPr>
            </w:pPr>
            <w:r w:rsidRPr="00B557E8">
              <w:rPr>
                <w:b/>
                <w:bCs/>
                <w:color w:val="000000" w:themeColor="text1"/>
                <w:sz w:val="18"/>
                <w:szCs w:val="18"/>
                <w:lang w:eastAsia="lv-LV"/>
              </w:rPr>
              <w:t xml:space="preserve">Apstiprināti projekti (ieskaitot finanšu </w:t>
            </w:r>
            <w:proofErr w:type="spellStart"/>
            <w:r w:rsidRPr="00B557E8">
              <w:rPr>
                <w:b/>
                <w:bCs/>
                <w:color w:val="000000" w:themeColor="text1"/>
                <w:sz w:val="18"/>
                <w:szCs w:val="18"/>
                <w:lang w:eastAsia="lv-LV"/>
              </w:rPr>
              <w:t>starpinst</w:t>
            </w:r>
            <w:proofErr w:type="spellEnd"/>
            <w:r w:rsidRPr="00B557E8">
              <w:rPr>
                <w:b/>
                <w:bCs/>
                <w:color w:val="000000" w:themeColor="text1"/>
                <w:sz w:val="18"/>
                <w:szCs w:val="18"/>
                <w:lang w:eastAsia="lv-LV"/>
              </w:rPr>
              <w:t xml:space="preserve">. </w:t>
            </w:r>
            <w:proofErr w:type="spellStart"/>
            <w:r w:rsidRPr="00B557E8">
              <w:rPr>
                <w:b/>
                <w:bCs/>
                <w:color w:val="000000" w:themeColor="text1"/>
                <w:sz w:val="18"/>
                <w:szCs w:val="18"/>
                <w:lang w:eastAsia="lv-LV"/>
              </w:rPr>
              <w:t>līdzfin</w:t>
            </w:r>
            <w:proofErr w:type="spellEnd"/>
            <w:r w:rsidRPr="00B557E8">
              <w:rPr>
                <w:b/>
                <w:bCs/>
                <w:color w:val="000000" w:themeColor="text1"/>
                <w:sz w:val="18"/>
                <w:szCs w:val="18"/>
                <w:lang w:eastAsia="lv-LV"/>
              </w:rPr>
              <w:t>.)</w:t>
            </w:r>
          </w:p>
        </w:tc>
        <w:tc>
          <w:tcPr>
            <w:tcW w:w="3490" w:type="dxa"/>
            <w:gridSpan w:val="4"/>
            <w:tcBorders>
              <w:top w:val="single" w:sz="4" w:space="0" w:color="auto"/>
              <w:left w:val="nil"/>
              <w:bottom w:val="single" w:sz="4" w:space="0" w:color="auto"/>
              <w:right w:val="single" w:sz="4" w:space="0" w:color="auto"/>
            </w:tcBorders>
            <w:shd w:val="clear" w:color="000000" w:fill="D6E3BC"/>
            <w:vAlign w:val="center"/>
            <w:hideMark/>
          </w:tcPr>
          <w:p w:rsidR="00865FDD" w:rsidRPr="00B557E8" w:rsidRDefault="00865FDD" w:rsidP="00B557E8">
            <w:pPr>
              <w:spacing w:line="276" w:lineRule="auto"/>
              <w:rPr>
                <w:b/>
                <w:bCs/>
                <w:color w:val="000000" w:themeColor="text1"/>
                <w:sz w:val="18"/>
                <w:szCs w:val="18"/>
                <w:lang w:eastAsia="lv-LV"/>
              </w:rPr>
            </w:pPr>
            <w:r w:rsidRPr="00B557E8">
              <w:rPr>
                <w:b/>
                <w:bCs/>
                <w:color w:val="000000" w:themeColor="text1"/>
                <w:sz w:val="18"/>
                <w:szCs w:val="18"/>
                <w:lang w:eastAsia="lv-LV"/>
              </w:rPr>
              <w:t xml:space="preserve">Noslēgti līgumi (ieskaitot finanšu </w:t>
            </w:r>
            <w:proofErr w:type="spellStart"/>
            <w:r w:rsidRPr="00B557E8">
              <w:rPr>
                <w:b/>
                <w:bCs/>
                <w:color w:val="000000" w:themeColor="text1"/>
                <w:sz w:val="18"/>
                <w:szCs w:val="18"/>
                <w:lang w:eastAsia="lv-LV"/>
              </w:rPr>
              <w:t>starpinst</w:t>
            </w:r>
            <w:proofErr w:type="spellEnd"/>
            <w:r w:rsidRPr="00B557E8">
              <w:rPr>
                <w:b/>
                <w:bCs/>
                <w:color w:val="000000" w:themeColor="text1"/>
                <w:sz w:val="18"/>
                <w:szCs w:val="18"/>
                <w:lang w:eastAsia="lv-LV"/>
              </w:rPr>
              <w:t xml:space="preserve">. </w:t>
            </w:r>
            <w:proofErr w:type="spellStart"/>
            <w:r w:rsidRPr="00B557E8">
              <w:rPr>
                <w:b/>
                <w:bCs/>
                <w:color w:val="000000" w:themeColor="text1"/>
                <w:sz w:val="18"/>
                <w:szCs w:val="18"/>
                <w:lang w:eastAsia="lv-LV"/>
              </w:rPr>
              <w:t>līdzfin</w:t>
            </w:r>
            <w:proofErr w:type="spellEnd"/>
            <w:r w:rsidRPr="00B557E8">
              <w:rPr>
                <w:b/>
                <w:bCs/>
                <w:color w:val="000000" w:themeColor="text1"/>
                <w:sz w:val="18"/>
                <w:szCs w:val="18"/>
                <w:lang w:eastAsia="lv-LV"/>
              </w:rPr>
              <w:t>.)</w:t>
            </w:r>
          </w:p>
        </w:tc>
      </w:tr>
      <w:tr w:rsidR="00B557E8" w:rsidRPr="00B557E8" w:rsidTr="003B2E97">
        <w:trPr>
          <w:cantSplit/>
          <w:trHeight w:val="1956"/>
          <w:jc w:val="center"/>
        </w:trPr>
        <w:tc>
          <w:tcPr>
            <w:tcW w:w="1082" w:type="dxa"/>
            <w:vMerge/>
            <w:tcBorders>
              <w:top w:val="single" w:sz="4" w:space="0" w:color="auto"/>
              <w:left w:val="single" w:sz="4" w:space="0" w:color="auto"/>
              <w:bottom w:val="single" w:sz="4" w:space="0" w:color="auto"/>
              <w:right w:val="single" w:sz="4" w:space="0" w:color="auto"/>
            </w:tcBorders>
            <w:vAlign w:val="center"/>
            <w:hideMark/>
          </w:tcPr>
          <w:p w:rsidR="00865FDD" w:rsidRPr="00B557E8" w:rsidRDefault="00865FDD" w:rsidP="00B557E8">
            <w:pPr>
              <w:spacing w:line="276" w:lineRule="auto"/>
              <w:rPr>
                <w:b/>
                <w:bCs/>
                <w:color w:val="000000" w:themeColor="text1"/>
                <w:sz w:val="18"/>
                <w:szCs w:val="18"/>
                <w:lang w:eastAsia="lv-LV"/>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865FDD" w:rsidRPr="00B557E8" w:rsidRDefault="00865FDD" w:rsidP="00B557E8">
            <w:pPr>
              <w:spacing w:line="276" w:lineRule="auto"/>
              <w:rPr>
                <w:b/>
                <w:bCs/>
                <w:color w:val="000000" w:themeColor="text1"/>
                <w:sz w:val="18"/>
                <w:szCs w:val="18"/>
                <w:lang w:eastAsia="lv-LV"/>
              </w:rPr>
            </w:pPr>
          </w:p>
        </w:tc>
        <w:tc>
          <w:tcPr>
            <w:tcW w:w="724" w:type="dxa"/>
            <w:tcBorders>
              <w:top w:val="nil"/>
              <w:left w:val="nil"/>
              <w:bottom w:val="single" w:sz="4" w:space="0" w:color="auto"/>
              <w:right w:val="single" w:sz="4" w:space="0" w:color="auto"/>
            </w:tcBorders>
            <w:shd w:val="clear" w:color="000000" w:fill="E6EED5"/>
            <w:vAlign w:val="center"/>
            <w:hideMark/>
          </w:tcPr>
          <w:p w:rsidR="00865FDD" w:rsidRPr="00B557E8" w:rsidRDefault="00865FDD" w:rsidP="00B557E8">
            <w:pPr>
              <w:spacing w:line="276" w:lineRule="auto"/>
              <w:rPr>
                <w:color w:val="000000" w:themeColor="text1"/>
                <w:sz w:val="18"/>
                <w:szCs w:val="18"/>
                <w:lang w:eastAsia="lv-LV"/>
              </w:rPr>
            </w:pPr>
            <w:r w:rsidRPr="00B557E8">
              <w:rPr>
                <w:color w:val="000000" w:themeColor="text1"/>
                <w:sz w:val="18"/>
                <w:szCs w:val="18"/>
                <w:lang w:eastAsia="lv-LV"/>
              </w:rPr>
              <w:t>Skaits</w:t>
            </w:r>
          </w:p>
        </w:tc>
        <w:tc>
          <w:tcPr>
            <w:tcW w:w="992" w:type="dxa"/>
            <w:tcBorders>
              <w:top w:val="nil"/>
              <w:left w:val="nil"/>
              <w:bottom w:val="single" w:sz="4" w:space="0" w:color="auto"/>
              <w:right w:val="single" w:sz="4" w:space="0" w:color="auto"/>
            </w:tcBorders>
            <w:shd w:val="clear" w:color="000000" w:fill="E6EED5"/>
            <w:vAlign w:val="center"/>
            <w:hideMark/>
          </w:tcPr>
          <w:p w:rsidR="00865FDD" w:rsidRPr="00B557E8" w:rsidRDefault="00865FDD" w:rsidP="00B557E8">
            <w:pPr>
              <w:spacing w:line="276" w:lineRule="auto"/>
              <w:rPr>
                <w:color w:val="000000" w:themeColor="text1"/>
                <w:sz w:val="18"/>
                <w:szCs w:val="18"/>
                <w:lang w:eastAsia="lv-LV"/>
              </w:rPr>
            </w:pPr>
            <w:r w:rsidRPr="00B557E8">
              <w:rPr>
                <w:color w:val="000000" w:themeColor="text1"/>
                <w:sz w:val="18"/>
                <w:szCs w:val="18"/>
                <w:lang w:eastAsia="lv-LV"/>
              </w:rPr>
              <w:t xml:space="preserve">Kopējais </w:t>
            </w:r>
            <w:proofErr w:type="spellStart"/>
            <w:r w:rsidRPr="00B557E8">
              <w:rPr>
                <w:color w:val="000000" w:themeColor="text1"/>
                <w:sz w:val="18"/>
                <w:szCs w:val="18"/>
                <w:lang w:eastAsia="lv-LV"/>
              </w:rPr>
              <w:t>finan-sējums</w:t>
            </w:r>
            <w:proofErr w:type="spellEnd"/>
            <w:r w:rsidRPr="00B557E8">
              <w:rPr>
                <w:color w:val="000000" w:themeColor="text1"/>
                <w:sz w:val="18"/>
                <w:szCs w:val="18"/>
                <w:lang w:eastAsia="lv-LV"/>
              </w:rPr>
              <w:t xml:space="preserve"> </w:t>
            </w:r>
          </w:p>
        </w:tc>
        <w:tc>
          <w:tcPr>
            <w:tcW w:w="885" w:type="dxa"/>
            <w:tcBorders>
              <w:top w:val="nil"/>
              <w:left w:val="nil"/>
              <w:bottom w:val="single" w:sz="4" w:space="0" w:color="auto"/>
              <w:right w:val="single" w:sz="4" w:space="0" w:color="auto"/>
            </w:tcBorders>
            <w:shd w:val="clear" w:color="000000" w:fill="E6EED5"/>
            <w:vAlign w:val="center"/>
            <w:hideMark/>
          </w:tcPr>
          <w:p w:rsidR="00865FDD" w:rsidRPr="00B557E8" w:rsidRDefault="00865FDD" w:rsidP="00B557E8">
            <w:pPr>
              <w:spacing w:line="276" w:lineRule="auto"/>
              <w:rPr>
                <w:color w:val="000000" w:themeColor="text1"/>
                <w:sz w:val="18"/>
                <w:szCs w:val="18"/>
                <w:lang w:eastAsia="lv-LV"/>
              </w:rPr>
            </w:pPr>
            <w:r w:rsidRPr="00B557E8">
              <w:rPr>
                <w:color w:val="000000" w:themeColor="text1"/>
                <w:sz w:val="18"/>
                <w:szCs w:val="18"/>
                <w:lang w:eastAsia="lv-LV"/>
              </w:rPr>
              <w:t>% no pie</w:t>
            </w:r>
            <w:r w:rsidR="004F5DF1" w:rsidRPr="00B557E8">
              <w:rPr>
                <w:color w:val="000000" w:themeColor="text1"/>
                <w:sz w:val="18"/>
                <w:szCs w:val="18"/>
                <w:lang w:eastAsia="lv-LV"/>
              </w:rPr>
              <w:t>-</w:t>
            </w:r>
            <w:r w:rsidRPr="00B557E8">
              <w:rPr>
                <w:color w:val="000000" w:themeColor="text1"/>
                <w:sz w:val="18"/>
                <w:szCs w:val="18"/>
                <w:lang w:eastAsia="lv-LV"/>
              </w:rPr>
              <w:t>ejamā finansējuma</w:t>
            </w:r>
          </w:p>
        </w:tc>
        <w:tc>
          <w:tcPr>
            <w:tcW w:w="1118" w:type="dxa"/>
            <w:tcBorders>
              <w:top w:val="nil"/>
              <w:left w:val="nil"/>
              <w:bottom w:val="single" w:sz="4" w:space="0" w:color="auto"/>
              <w:right w:val="single" w:sz="4" w:space="0" w:color="auto"/>
            </w:tcBorders>
            <w:shd w:val="clear" w:color="000000" w:fill="E6EED5"/>
            <w:vAlign w:val="center"/>
            <w:hideMark/>
          </w:tcPr>
          <w:p w:rsidR="00865FDD" w:rsidRPr="00B557E8" w:rsidRDefault="00865FDD" w:rsidP="00B557E8">
            <w:pPr>
              <w:spacing w:line="276" w:lineRule="auto"/>
              <w:rPr>
                <w:color w:val="000000" w:themeColor="text1"/>
                <w:sz w:val="18"/>
                <w:szCs w:val="18"/>
                <w:lang w:eastAsia="lv-LV"/>
              </w:rPr>
            </w:pPr>
            <w:r w:rsidRPr="00B557E8">
              <w:rPr>
                <w:color w:val="000000" w:themeColor="text1"/>
                <w:sz w:val="18"/>
                <w:szCs w:val="18"/>
                <w:lang w:eastAsia="lv-LV"/>
              </w:rPr>
              <w:t xml:space="preserve">Progress pret datiem uz 30.06.2011.; % no pieejamā </w:t>
            </w:r>
            <w:proofErr w:type="spellStart"/>
            <w:r w:rsidRPr="00B557E8">
              <w:rPr>
                <w:color w:val="000000" w:themeColor="text1"/>
                <w:sz w:val="18"/>
                <w:szCs w:val="18"/>
                <w:lang w:eastAsia="lv-LV"/>
              </w:rPr>
              <w:t>finan-sējuma</w:t>
            </w:r>
            <w:proofErr w:type="spellEnd"/>
          </w:p>
        </w:tc>
        <w:tc>
          <w:tcPr>
            <w:tcW w:w="690" w:type="dxa"/>
            <w:tcBorders>
              <w:top w:val="nil"/>
              <w:left w:val="nil"/>
              <w:bottom w:val="single" w:sz="4" w:space="0" w:color="auto"/>
              <w:right w:val="single" w:sz="4" w:space="0" w:color="auto"/>
            </w:tcBorders>
            <w:shd w:val="clear" w:color="000000" w:fill="E6EED5"/>
            <w:vAlign w:val="center"/>
            <w:hideMark/>
          </w:tcPr>
          <w:p w:rsidR="00865FDD" w:rsidRPr="00B557E8" w:rsidRDefault="00865FDD" w:rsidP="00B557E8">
            <w:pPr>
              <w:spacing w:line="276" w:lineRule="auto"/>
              <w:rPr>
                <w:color w:val="000000" w:themeColor="text1"/>
                <w:sz w:val="18"/>
                <w:szCs w:val="18"/>
                <w:lang w:eastAsia="lv-LV"/>
              </w:rPr>
            </w:pPr>
            <w:r w:rsidRPr="00B557E8">
              <w:rPr>
                <w:color w:val="000000" w:themeColor="text1"/>
                <w:sz w:val="18"/>
                <w:szCs w:val="18"/>
                <w:lang w:eastAsia="lv-LV"/>
              </w:rPr>
              <w:t>Skaits</w:t>
            </w:r>
          </w:p>
        </w:tc>
        <w:tc>
          <w:tcPr>
            <w:tcW w:w="819" w:type="dxa"/>
            <w:tcBorders>
              <w:top w:val="nil"/>
              <w:left w:val="nil"/>
              <w:bottom w:val="single" w:sz="4" w:space="0" w:color="auto"/>
              <w:right w:val="single" w:sz="4" w:space="0" w:color="auto"/>
            </w:tcBorders>
            <w:shd w:val="clear" w:color="000000" w:fill="E6EED5"/>
            <w:vAlign w:val="center"/>
            <w:hideMark/>
          </w:tcPr>
          <w:p w:rsidR="00865FDD" w:rsidRPr="00B557E8" w:rsidRDefault="00865FDD" w:rsidP="00B557E8">
            <w:pPr>
              <w:spacing w:line="276" w:lineRule="auto"/>
              <w:rPr>
                <w:color w:val="000000" w:themeColor="text1"/>
                <w:sz w:val="18"/>
                <w:szCs w:val="18"/>
                <w:lang w:eastAsia="lv-LV"/>
              </w:rPr>
            </w:pPr>
            <w:r w:rsidRPr="00B557E8">
              <w:rPr>
                <w:color w:val="000000" w:themeColor="text1"/>
                <w:sz w:val="18"/>
                <w:szCs w:val="18"/>
                <w:lang w:eastAsia="lv-LV"/>
              </w:rPr>
              <w:t>Kopē</w:t>
            </w:r>
            <w:r w:rsidR="004F5DF1" w:rsidRPr="00B557E8">
              <w:rPr>
                <w:color w:val="000000" w:themeColor="text1"/>
                <w:sz w:val="18"/>
                <w:szCs w:val="18"/>
                <w:lang w:eastAsia="lv-LV"/>
              </w:rPr>
              <w:t>-</w:t>
            </w:r>
            <w:proofErr w:type="spellStart"/>
            <w:r w:rsidRPr="00B557E8">
              <w:rPr>
                <w:color w:val="000000" w:themeColor="text1"/>
                <w:sz w:val="18"/>
                <w:szCs w:val="18"/>
                <w:lang w:eastAsia="lv-LV"/>
              </w:rPr>
              <w:t>jais</w:t>
            </w:r>
            <w:proofErr w:type="spellEnd"/>
            <w:r w:rsidRPr="00B557E8">
              <w:rPr>
                <w:color w:val="000000" w:themeColor="text1"/>
                <w:sz w:val="18"/>
                <w:szCs w:val="18"/>
                <w:lang w:eastAsia="lv-LV"/>
              </w:rPr>
              <w:t xml:space="preserve"> </w:t>
            </w:r>
            <w:proofErr w:type="spellStart"/>
            <w:r w:rsidRPr="00B557E8">
              <w:rPr>
                <w:color w:val="000000" w:themeColor="text1"/>
                <w:sz w:val="18"/>
                <w:szCs w:val="18"/>
                <w:lang w:eastAsia="lv-LV"/>
              </w:rPr>
              <w:t>finan-sējums</w:t>
            </w:r>
            <w:proofErr w:type="spellEnd"/>
            <w:r w:rsidRPr="00B557E8">
              <w:rPr>
                <w:color w:val="000000" w:themeColor="text1"/>
                <w:sz w:val="18"/>
                <w:szCs w:val="18"/>
                <w:lang w:eastAsia="lv-LV"/>
              </w:rPr>
              <w:t xml:space="preserve"> </w:t>
            </w:r>
          </w:p>
        </w:tc>
        <w:tc>
          <w:tcPr>
            <w:tcW w:w="863" w:type="dxa"/>
            <w:tcBorders>
              <w:top w:val="nil"/>
              <w:left w:val="nil"/>
              <w:bottom w:val="single" w:sz="4" w:space="0" w:color="auto"/>
              <w:right w:val="single" w:sz="4" w:space="0" w:color="auto"/>
            </w:tcBorders>
            <w:shd w:val="clear" w:color="000000" w:fill="E6EED5"/>
            <w:vAlign w:val="center"/>
            <w:hideMark/>
          </w:tcPr>
          <w:p w:rsidR="00865FDD" w:rsidRPr="00B557E8" w:rsidRDefault="00865FDD" w:rsidP="00B557E8">
            <w:pPr>
              <w:spacing w:line="276" w:lineRule="auto"/>
              <w:rPr>
                <w:color w:val="000000" w:themeColor="text1"/>
                <w:sz w:val="18"/>
                <w:szCs w:val="18"/>
                <w:lang w:eastAsia="lv-LV"/>
              </w:rPr>
            </w:pPr>
            <w:r w:rsidRPr="00B557E8">
              <w:rPr>
                <w:color w:val="000000" w:themeColor="text1"/>
                <w:sz w:val="18"/>
                <w:szCs w:val="18"/>
                <w:lang w:eastAsia="lv-LV"/>
              </w:rPr>
              <w:t>% no pie</w:t>
            </w:r>
            <w:r w:rsidR="004F5DF1" w:rsidRPr="00B557E8">
              <w:rPr>
                <w:color w:val="000000" w:themeColor="text1"/>
                <w:sz w:val="18"/>
                <w:szCs w:val="18"/>
                <w:lang w:eastAsia="lv-LV"/>
              </w:rPr>
              <w:t>-</w:t>
            </w:r>
            <w:r w:rsidRPr="00B557E8">
              <w:rPr>
                <w:color w:val="000000" w:themeColor="text1"/>
                <w:sz w:val="18"/>
                <w:szCs w:val="18"/>
                <w:lang w:eastAsia="lv-LV"/>
              </w:rPr>
              <w:t xml:space="preserve">ejamā </w:t>
            </w:r>
            <w:proofErr w:type="spellStart"/>
            <w:r w:rsidRPr="00B557E8">
              <w:rPr>
                <w:color w:val="000000" w:themeColor="text1"/>
                <w:sz w:val="18"/>
                <w:szCs w:val="18"/>
                <w:lang w:eastAsia="lv-LV"/>
              </w:rPr>
              <w:t>finan-sējuma</w:t>
            </w:r>
            <w:proofErr w:type="spellEnd"/>
          </w:p>
        </w:tc>
        <w:tc>
          <w:tcPr>
            <w:tcW w:w="1118" w:type="dxa"/>
            <w:tcBorders>
              <w:top w:val="nil"/>
              <w:left w:val="nil"/>
              <w:bottom w:val="single" w:sz="4" w:space="0" w:color="auto"/>
              <w:right w:val="single" w:sz="4" w:space="0" w:color="auto"/>
            </w:tcBorders>
            <w:shd w:val="clear" w:color="000000" w:fill="E6EED5"/>
            <w:vAlign w:val="center"/>
            <w:hideMark/>
          </w:tcPr>
          <w:p w:rsidR="00865FDD" w:rsidRPr="00B557E8" w:rsidRDefault="00865FDD" w:rsidP="00B557E8">
            <w:pPr>
              <w:spacing w:line="276" w:lineRule="auto"/>
              <w:rPr>
                <w:color w:val="000000" w:themeColor="text1"/>
                <w:sz w:val="18"/>
                <w:szCs w:val="18"/>
                <w:lang w:eastAsia="lv-LV"/>
              </w:rPr>
            </w:pPr>
            <w:r w:rsidRPr="00B557E8">
              <w:rPr>
                <w:color w:val="000000" w:themeColor="text1"/>
                <w:sz w:val="18"/>
                <w:szCs w:val="18"/>
                <w:lang w:eastAsia="lv-LV"/>
              </w:rPr>
              <w:t xml:space="preserve">Progress pret datiem uz 30.06.2011.; % no pieejamā </w:t>
            </w:r>
            <w:proofErr w:type="spellStart"/>
            <w:r w:rsidRPr="00B557E8">
              <w:rPr>
                <w:color w:val="000000" w:themeColor="text1"/>
                <w:sz w:val="18"/>
                <w:szCs w:val="18"/>
                <w:lang w:eastAsia="lv-LV"/>
              </w:rPr>
              <w:t>finan-sējuma</w:t>
            </w:r>
            <w:proofErr w:type="spellEnd"/>
          </w:p>
        </w:tc>
      </w:tr>
      <w:tr w:rsidR="00B557E8" w:rsidRPr="00B557E8" w:rsidTr="004F5DF1">
        <w:trPr>
          <w:cantSplit/>
          <w:trHeight w:val="307"/>
          <w:jc w:val="center"/>
        </w:trPr>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865FDD" w:rsidRPr="00B557E8" w:rsidRDefault="00865FDD" w:rsidP="00B557E8">
            <w:pPr>
              <w:spacing w:line="276" w:lineRule="auto"/>
              <w:rPr>
                <w:b/>
                <w:bCs/>
                <w:color w:val="000000" w:themeColor="text1"/>
                <w:sz w:val="18"/>
                <w:szCs w:val="18"/>
                <w:lang w:eastAsia="lv-LV"/>
              </w:rPr>
            </w:pPr>
            <w:r w:rsidRPr="00B557E8">
              <w:rPr>
                <w:b/>
                <w:bCs/>
                <w:color w:val="000000" w:themeColor="text1"/>
                <w:sz w:val="18"/>
                <w:szCs w:val="18"/>
                <w:lang w:eastAsia="lv-LV"/>
              </w:rPr>
              <w:t>Konkurēt</w:t>
            </w:r>
            <w:r w:rsidR="004F5DF1" w:rsidRPr="00B557E8">
              <w:rPr>
                <w:b/>
                <w:bCs/>
                <w:color w:val="000000" w:themeColor="text1"/>
                <w:sz w:val="18"/>
                <w:szCs w:val="18"/>
                <w:lang w:eastAsia="lv-LV"/>
              </w:rPr>
              <w:t>-</w:t>
            </w:r>
            <w:r w:rsidRPr="00B557E8">
              <w:rPr>
                <w:b/>
                <w:bCs/>
                <w:color w:val="000000" w:themeColor="text1"/>
                <w:sz w:val="18"/>
                <w:szCs w:val="18"/>
                <w:lang w:eastAsia="lv-LV"/>
              </w:rPr>
              <w:t>spējas garantijas*</w:t>
            </w:r>
          </w:p>
        </w:tc>
        <w:tc>
          <w:tcPr>
            <w:tcW w:w="996" w:type="dxa"/>
            <w:tcBorders>
              <w:top w:val="nil"/>
              <w:left w:val="nil"/>
              <w:bottom w:val="single" w:sz="4" w:space="0" w:color="auto"/>
              <w:right w:val="single" w:sz="4" w:space="0" w:color="auto"/>
            </w:tcBorders>
            <w:shd w:val="clear" w:color="auto" w:fill="auto"/>
            <w:noWrap/>
            <w:vAlign w:val="center"/>
            <w:hideMark/>
          </w:tcPr>
          <w:p w:rsidR="00865FDD" w:rsidRPr="00B557E8" w:rsidRDefault="00865FDD" w:rsidP="00B557E8">
            <w:pPr>
              <w:spacing w:line="276" w:lineRule="auto"/>
              <w:rPr>
                <w:color w:val="000000" w:themeColor="text1"/>
                <w:sz w:val="18"/>
                <w:szCs w:val="18"/>
                <w:lang w:eastAsia="lv-LV"/>
              </w:rPr>
            </w:pPr>
            <w:r w:rsidRPr="00B557E8">
              <w:rPr>
                <w:color w:val="000000" w:themeColor="text1"/>
                <w:sz w:val="18"/>
                <w:szCs w:val="18"/>
                <w:lang w:eastAsia="lv-LV"/>
              </w:rPr>
              <w:t>40 544 547</w:t>
            </w:r>
          </w:p>
        </w:tc>
        <w:tc>
          <w:tcPr>
            <w:tcW w:w="724" w:type="dxa"/>
            <w:tcBorders>
              <w:top w:val="nil"/>
              <w:left w:val="nil"/>
              <w:bottom w:val="single" w:sz="4" w:space="0" w:color="auto"/>
              <w:right w:val="single" w:sz="4" w:space="0" w:color="auto"/>
            </w:tcBorders>
            <w:shd w:val="clear" w:color="auto" w:fill="auto"/>
            <w:vAlign w:val="center"/>
            <w:hideMark/>
          </w:tcPr>
          <w:p w:rsidR="00865FDD" w:rsidRPr="00B557E8" w:rsidRDefault="00865FDD" w:rsidP="00B557E8">
            <w:pPr>
              <w:spacing w:line="276" w:lineRule="auto"/>
              <w:rPr>
                <w:color w:val="000000" w:themeColor="text1"/>
                <w:sz w:val="18"/>
                <w:szCs w:val="18"/>
                <w:lang w:eastAsia="lv-LV"/>
              </w:rPr>
            </w:pPr>
            <w:r w:rsidRPr="00B557E8">
              <w:rPr>
                <w:color w:val="000000" w:themeColor="text1"/>
                <w:sz w:val="18"/>
                <w:szCs w:val="18"/>
                <w:lang w:eastAsia="lv-LV"/>
              </w:rPr>
              <w:t>848</w:t>
            </w:r>
          </w:p>
        </w:tc>
        <w:tc>
          <w:tcPr>
            <w:tcW w:w="992" w:type="dxa"/>
            <w:tcBorders>
              <w:top w:val="nil"/>
              <w:left w:val="nil"/>
              <w:bottom w:val="single" w:sz="4" w:space="0" w:color="auto"/>
              <w:right w:val="single" w:sz="4" w:space="0" w:color="auto"/>
            </w:tcBorders>
            <w:shd w:val="clear" w:color="auto" w:fill="auto"/>
            <w:vAlign w:val="center"/>
            <w:hideMark/>
          </w:tcPr>
          <w:p w:rsidR="00865FDD" w:rsidRPr="00B557E8" w:rsidRDefault="00865FDD" w:rsidP="00B557E8">
            <w:pPr>
              <w:spacing w:line="276" w:lineRule="auto"/>
              <w:rPr>
                <w:color w:val="000000" w:themeColor="text1"/>
                <w:sz w:val="18"/>
                <w:szCs w:val="18"/>
                <w:lang w:eastAsia="lv-LV"/>
              </w:rPr>
            </w:pPr>
            <w:r w:rsidRPr="00B557E8">
              <w:rPr>
                <w:color w:val="000000" w:themeColor="text1"/>
                <w:sz w:val="18"/>
                <w:szCs w:val="18"/>
                <w:lang w:eastAsia="lv-LV"/>
              </w:rPr>
              <w:t>108 541 948</w:t>
            </w:r>
          </w:p>
        </w:tc>
        <w:tc>
          <w:tcPr>
            <w:tcW w:w="885" w:type="dxa"/>
            <w:tcBorders>
              <w:top w:val="nil"/>
              <w:left w:val="nil"/>
              <w:bottom w:val="single" w:sz="4" w:space="0" w:color="auto"/>
              <w:right w:val="single" w:sz="4" w:space="0" w:color="auto"/>
            </w:tcBorders>
            <w:shd w:val="clear" w:color="auto" w:fill="auto"/>
            <w:vAlign w:val="center"/>
            <w:hideMark/>
          </w:tcPr>
          <w:p w:rsidR="00865FDD" w:rsidRPr="00B557E8" w:rsidRDefault="00865FDD" w:rsidP="00B557E8">
            <w:pPr>
              <w:spacing w:line="276" w:lineRule="auto"/>
              <w:rPr>
                <w:color w:val="000000" w:themeColor="text1"/>
                <w:sz w:val="18"/>
                <w:szCs w:val="18"/>
                <w:lang w:eastAsia="lv-LV"/>
              </w:rPr>
            </w:pPr>
            <w:r w:rsidRPr="00B557E8">
              <w:rPr>
                <w:color w:val="000000" w:themeColor="text1"/>
                <w:sz w:val="18"/>
                <w:szCs w:val="18"/>
                <w:lang w:eastAsia="lv-LV"/>
              </w:rPr>
              <w:t>89,2%</w:t>
            </w:r>
          </w:p>
        </w:tc>
        <w:tc>
          <w:tcPr>
            <w:tcW w:w="1118" w:type="dxa"/>
            <w:tcBorders>
              <w:top w:val="nil"/>
              <w:left w:val="nil"/>
              <w:bottom w:val="single" w:sz="4" w:space="0" w:color="auto"/>
              <w:right w:val="single" w:sz="4" w:space="0" w:color="auto"/>
            </w:tcBorders>
            <w:shd w:val="clear" w:color="auto" w:fill="auto"/>
            <w:vAlign w:val="center"/>
            <w:hideMark/>
          </w:tcPr>
          <w:p w:rsidR="00865FDD" w:rsidRPr="00B557E8" w:rsidRDefault="00865FDD" w:rsidP="00B557E8">
            <w:pPr>
              <w:spacing w:line="276" w:lineRule="auto"/>
              <w:rPr>
                <w:color w:val="000000" w:themeColor="text1"/>
                <w:sz w:val="18"/>
                <w:szCs w:val="18"/>
                <w:lang w:eastAsia="lv-LV"/>
              </w:rPr>
            </w:pPr>
            <w:r w:rsidRPr="00B557E8">
              <w:rPr>
                <w:color w:val="000000" w:themeColor="text1"/>
                <w:sz w:val="18"/>
                <w:szCs w:val="18"/>
                <w:lang w:eastAsia="lv-LV"/>
              </w:rPr>
              <w:t>4,9%</w:t>
            </w:r>
          </w:p>
        </w:tc>
        <w:tc>
          <w:tcPr>
            <w:tcW w:w="690" w:type="dxa"/>
            <w:tcBorders>
              <w:top w:val="nil"/>
              <w:left w:val="nil"/>
              <w:bottom w:val="single" w:sz="4" w:space="0" w:color="auto"/>
              <w:right w:val="single" w:sz="4" w:space="0" w:color="auto"/>
            </w:tcBorders>
            <w:shd w:val="clear" w:color="auto" w:fill="auto"/>
            <w:noWrap/>
            <w:vAlign w:val="center"/>
            <w:hideMark/>
          </w:tcPr>
          <w:p w:rsidR="00865FDD" w:rsidRPr="00B557E8" w:rsidRDefault="00865FDD" w:rsidP="00B557E8">
            <w:pPr>
              <w:spacing w:line="276" w:lineRule="auto"/>
              <w:rPr>
                <w:color w:val="000000" w:themeColor="text1"/>
                <w:sz w:val="18"/>
                <w:szCs w:val="18"/>
                <w:lang w:eastAsia="lv-LV"/>
              </w:rPr>
            </w:pPr>
            <w:r w:rsidRPr="00B557E8">
              <w:rPr>
                <w:color w:val="000000" w:themeColor="text1"/>
                <w:sz w:val="18"/>
                <w:szCs w:val="18"/>
                <w:lang w:eastAsia="lv-LV"/>
              </w:rPr>
              <w:t>526</w:t>
            </w:r>
          </w:p>
        </w:tc>
        <w:tc>
          <w:tcPr>
            <w:tcW w:w="819" w:type="dxa"/>
            <w:tcBorders>
              <w:top w:val="nil"/>
              <w:left w:val="nil"/>
              <w:bottom w:val="single" w:sz="4" w:space="0" w:color="auto"/>
              <w:right w:val="single" w:sz="4" w:space="0" w:color="auto"/>
            </w:tcBorders>
            <w:shd w:val="clear" w:color="auto" w:fill="auto"/>
            <w:noWrap/>
            <w:vAlign w:val="center"/>
            <w:hideMark/>
          </w:tcPr>
          <w:p w:rsidR="00865FDD" w:rsidRPr="00B557E8" w:rsidRDefault="00865FDD" w:rsidP="00B557E8">
            <w:pPr>
              <w:spacing w:line="276" w:lineRule="auto"/>
              <w:rPr>
                <w:color w:val="000000" w:themeColor="text1"/>
                <w:sz w:val="18"/>
                <w:szCs w:val="18"/>
                <w:lang w:eastAsia="lv-LV"/>
              </w:rPr>
            </w:pPr>
            <w:r w:rsidRPr="00B557E8">
              <w:rPr>
                <w:color w:val="000000" w:themeColor="text1"/>
                <w:sz w:val="18"/>
                <w:szCs w:val="18"/>
                <w:lang w:eastAsia="lv-LV"/>
              </w:rPr>
              <w:t>85 491 212</w:t>
            </w:r>
          </w:p>
        </w:tc>
        <w:tc>
          <w:tcPr>
            <w:tcW w:w="863" w:type="dxa"/>
            <w:tcBorders>
              <w:top w:val="nil"/>
              <w:left w:val="nil"/>
              <w:bottom w:val="single" w:sz="4" w:space="0" w:color="auto"/>
              <w:right w:val="single" w:sz="4" w:space="0" w:color="auto"/>
            </w:tcBorders>
            <w:shd w:val="clear" w:color="auto" w:fill="auto"/>
            <w:noWrap/>
            <w:vAlign w:val="center"/>
            <w:hideMark/>
          </w:tcPr>
          <w:p w:rsidR="00865FDD" w:rsidRPr="00B557E8" w:rsidRDefault="00865FDD" w:rsidP="00B557E8">
            <w:pPr>
              <w:spacing w:line="276" w:lineRule="auto"/>
              <w:rPr>
                <w:color w:val="000000" w:themeColor="text1"/>
                <w:sz w:val="18"/>
                <w:szCs w:val="18"/>
                <w:lang w:eastAsia="lv-LV"/>
              </w:rPr>
            </w:pPr>
            <w:r w:rsidRPr="00B557E8">
              <w:rPr>
                <w:color w:val="000000" w:themeColor="text1"/>
                <w:sz w:val="18"/>
                <w:szCs w:val="18"/>
                <w:lang w:eastAsia="lv-LV"/>
              </w:rPr>
              <w:t>70,3%</w:t>
            </w:r>
          </w:p>
        </w:tc>
        <w:tc>
          <w:tcPr>
            <w:tcW w:w="1118" w:type="dxa"/>
            <w:tcBorders>
              <w:top w:val="nil"/>
              <w:left w:val="nil"/>
              <w:bottom w:val="single" w:sz="4" w:space="0" w:color="auto"/>
              <w:right w:val="single" w:sz="4" w:space="0" w:color="auto"/>
            </w:tcBorders>
            <w:shd w:val="clear" w:color="auto" w:fill="auto"/>
            <w:vAlign w:val="center"/>
            <w:hideMark/>
          </w:tcPr>
          <w:p w:rsidR="00865FDD" w:rsidRPr="00B557E8" w:rsidRDefault="00865FDD" w:rsidP="00B557E8">
            <w:pPr>
              <w:spacing w:line="276" w:lineRule="auto"/>
              <w:rPr>
                <w:color w:val="000000" w:themeColor="text1"/>
                <w:sz w:val="18"/>
                <w:szCs w:val="18"/>
                <w:lang w:eastAsia="lv-LV"/>
              </w:rPr>
            </w:pPr>
            <w:r w:rsidRPr="00B557E8">
              <w:rPr>
                <w:color w:val="000000" w:themeColor="text1"/>
                <w:sz w:val="18"/>
                <w:szCs w:val="18"/>
                <w:lang w:eastAsia="lv-LV"/>
              </w:rPr>
              <w:t>3,8%</w:t>
            </w:r>
          </w:p>
        </w:tc>
      </w:tr>
      <w:tr w:rsidR="00B557E8" w:rsidRPr="00B557E8" w:rsidTr="004F5DF1">
        <w:trPr>
          <w:cantSplit/>
          <w:trHeight w:val="307"/>
          <w:jc w:val="center"/>
        </w:trPr>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865FDD" w:rsidRPr="00B557E8" w:rsidRDefault="00865FDD" w:rsidP="00B557E8">
            <w:pPr>
              <w:spacing w:line="276" w:lineRule="auto"/>
              <w:rPr>
                <w:b/>
                <w:bCs/>
                <w:color w:val="000000" w:themeColor="text1"/>
                <w:sz w:val="18"/>
                <w:szCs w:val="18"/>
                <w:lang w:eastAsia="lv-LV"/>
              </w:rPr>
            </w:pPr>
            <w:r w:rsidRPr="00B557E8">
              <w:rPr>
                <w:b/>
                <w:bCs/>
                <w:color w:val="000000" w:themeColor="text1"/>
                <w:sz w:val="18"/>
                <w:szCs w:val="18"/>
                <w:lang w:eastAsia="lv-LV"/>
              </w:rPr>
              <w:t>Eksporta garantijas</w:t>
            </w:r>
          </w:p>
        </w:tc>
        <w:tc>
          <w:tcPr>
            <w:tcW w:w="996" w:type="dxa"/>
            <w:tcBorders>
              <w:top w:val="nil"/>
              <w:left w:val="nil"/>
              <w:bottom w:val="single" w:sz="4" w:space="0" w:color="auto"/>
              <w:right w:val="single" w:sz="4" w:space="0" w:color="auto"/>
            </w:tcBorders>
            <w:shd w:val="clear" w:color="auto" w:fill="auto"/>
            <w:noWrap/>
            <w:vAlign w:val="center"/>
            <w:hideMark/>
          </w:tcPr>
          <w:p w:rsidR="00865FDD" w:rsidRPr="00B557E8" w:rsidRDefault="00865FDD" w:rsidP="00B557E8">
            <w:pPr>
              <w:spacing w:line="276" w:lineRule="auto"/>
              <w:rPr>
                <w:color w:val="000000" w:themeColor="text1"/>
                <w:sz w:val="18"/>
                <w:szCs w:val="18"/>
                <w:lang w:eastAsia="lv-LV"/>
              </w:rPr>
            </w:pPr>
            <w:r w:rsidRPr="00B557E8">
              <w:rPr>
                <w:color w:val="000000" w:themeColor="text1"/>
                <w:sz w:val="18"/>
                <w:szCs w:val="18"/>
                <w:lang w:eastAsia="lv-LV"/>
              </w:rPr>
              <w:t>20 000 000</w:t>
            </w:r>
          </w:p>
        </w:tc>
        <w:tc>
          <w:tcPr>
            <w:tcW w:w="724" w:type="dxa"/>
            <w:tcBorders>
              <w:top w:val="nil"/>
              <w:left w:val="nil"/>
              <w:bottom w:val="single" w:sz="4" w:space="0" w:color="auto"/>
              <w:right w:val="single" w:sz="4" w:space="0" w:color="auto"/>
            </w:tcBorders>
            <w:shd w:val="clear" w:color="auto" w:fill="auto"/>
            <w:vAlign w:val="center"/>
            <w:hideMark/>
          </w:tcPr>
          <w:p w:rsidR="00865FDD" w:rsidRPr="00B557E8" w:rsidRDefault="00865FDD" w:rsidP="00B557E8">
            <w:pPr>
              <w:spacing w:line="276" w:lineRule="auto"/>
              <w:rPr>
                <w:color w:val="000000" w:themeColor="text1"/>
                <w:sz w:val="18"/>
                <w:szCs w:val="18"/>
                <w:lang w:eastAsia="lv-LV"/>
              </w:rPr>
            </w:pPr>
            <w:r w:rsidRPr="00B557E8">
              <w:rPr>
                <w:color w:val="000000" w:themeColor="text1"/>
                <w:sz w:val="18"/>
                <w:szCs w:val="18"/>
                <w:lang w:eastAsia="lv-LV"/>
              </w:rPr>
              <w:t>95</w:t>
            </w:r>
          </w:p>
        </w:tc>
        <w:tc>
          <w:tcPr>
            <w:tcW w:w="992" w:type="dxa"/>
            <w:tcBorders>
              <w:top w:val="nil"/>
              <w:left w:val="nil"/>
              <w:bottom w:val="single" w:sz="4" w:space="0" w:color="auto"/>
              <w:right w:val="single" w:sz="4" w:space="0" w:color="auto"/>
            </w:tcBorders>
            <w:shd w:val="clear" w:color="auto" w:fill="auto"/>
            <w:vAlign w:val="center"/>
            <w:hideMark/>
          </w:tcPr>
          <w:p w:rsidR="00865FDD" w:rsidRPr="00B557E8" w:rsidRDefault="00865FDD" w:rsidP="00B557E8">
            <w:pPr>
              <w:spacing w:line="276" w:lineRule="auto"/>
              <w:rPr>
                <w:color w:val="000000" w:themeColor="text1"/>
                <w:sz w:val="18"/>
                <w:szCs w:val="18"/>
                <w:lang w:eastAsia="lv-LV"/>
              </w:rPr>
            </w:pPr>
            <w:r w:rsidRPr="00B557E8">
              <w:rPr>
                <w:color w:val="000000" w:themeColor="text1"/>
                <w:sz w:val="18"/>
                <w:szCs w:val="18"/>
                <w:lang w:eastAsia="lv-LV"/>
              </w:rPr>
              <w:t>4 663 752</w:t>
            </w:r>
          </w:p>
        </w:tc>
        <w:tc>
          <w:tcPr>
            <w:tcW w:w="885" w:type="dxa"/>
            <w:tcBorders>
              <w:top w:val="nil"/>
              <w:left w:val="nil"/>
              <w:bottom w:val="single" w:sz="4" w:space="0" w:color="auto"/>
              <w:right w:val="single" w:sz="4" w:space="0" w:color="auto"/>
            </w:tcBorders>
            <w:shd w:val="clear" w:color="auto" w:fill="auto"/>
            <w:vAlign w:val="center"/>
            <w:hideMark/>
          </w:tcPr>
          <w:p w:rsidR="00865FDD" w:rsidRPr="00B557E8" w:rsidRDefault="00865FDD" w:rsidP="00B557E8">
            <w:pPr>
              <w:spacing w:line="276" w:lineRule="auto"/>
              <w:rPr>
                <w:color w:val="000000" w:themeColor="text1"/>
                <w:sz w:val="18"/>
                <w:szCs w:val="18"/>
                <w:lang w:eastAsia="lv-LV"/>
              </w:rPr>
            </w:pPr>
            <w:r w:rsidRPr="00B557E8">
              <w:rPr>
                <w:color w:val="000000" w:themeColor="text1"/>
                <w:sz w:val="18"/>
                <w:szCs w:val="18"/>
                <w:lang w:eastAsia="lv-LV"/>
              </w:rPr>
              <w:t>23,3%</w:t>
            </w:r>
          </w:p>
        </w:tc>
        <w:tc>
          <w:tcPr>
            <w:tcW w:w="1118" w:type="dxa"/>
            <w:tcBorders>
              <w:top w:val="nil"/>
              <w:left w:val="nil"/>
              <w:bottom w:val="single" w:sz="4" w:space="0" w:color="auto"/>
              <w:right w:val="single" w:sz="4" w:space="0" w:color="auto"/>
            </w:tcBorders>
            <w:shd w:val="clear" w:color="auto" w:fill="auto"/>
            <w:vAlign w:val="center"/>
            <w:hideMark/>
          </w:tcPr>
          <w:p w:rsidR="00865FDD" w:rsidRPr="00B557E8" w:rsidRDefault="00865FDD" w:rsidP="00B557E8">
            <w:pPr>
              <w:spacing w:line="276" w:lineRule="auto"/>
              <w:rPr>
                <w:color w:val="000000" w:themeColor="text1"/>
                <w:sz w:val="18"/>
                <w:szCs w:val="18"/>
                <w:lang w:eastAsia="lv-LV"/>
              </w:rPr>
            </w:pPr>
            <w:r w:rsidRPr="00B557E8">
              <w:rPr>
                <w:color w:val="000000" w:themeColor="text1"/>
                <w:sz w:val="18"/>
                <w:szCs w:val="18"/>
                <w:lang w:eastAsia="lv-LV"/>
              </w:rPr>
              <w:t>15,1%</w:t>
            </w:r>
          </w:p>
        </w:tc>
        <w:tc>
          <w:tcPr>
            <w:tcW w:w="690" w:type="dxa"/>
            <w:tcBorders>
              <w:top w:val="nil"/>
              <w:left w:val="nil"/>
              <w:bottom w:val="single" w:sz="4" w:space="0" w:color="auto"/>
              <w:right w:val="single" w:sz="4" w:space="0" w:color="auto"/>
            </w:tcBorders>
            <w:shd w:val="clear" w:color="auto" w:fill="auto"/>
            <w:noWrap/>
            <w:vAlign w:val="center"/>
            <w:hideMark/>
          </w:tcPr>
          <w:p w:rsidR="00865FDD" w:rsidRPr="00B557E8" w:rsidRDefault="00865FDD" w:rsidP="00B557E8">
            <w:pPr>
              <w:spacing w:line="276" w:lineRule="auto"/>
              <w:rPr>
                <w:color w:val="000000" w:themeColor="text1"/>
                <w:sz w:val="18"/>
                <w:szCs w:val="18"/>
                <w:lang w:eastAsia="lv-LV"/>
              </w:rPr>
            </w:pPr>
            <w:r w:rsidRPr="00B557E8">
              <w:rPr>
                <w:color w:val="000000" w:themeColor="text1"/>
                <w:sz w:val="18"/>
                <w:szCs w:val="18"/>
                <w:lang w:eastAsia="lv-LV"/>
              </w:rPr>
              <w:t>70</w:t>
            </w:r>
          </w:p>
        </w:tc>
        <w:tc>
          <w:tcPr>
            <w:tcW w:w="819" w:type="dxa"/>
            <w:tcBorders>
              <w:top w:val="nil"/>
              <w:left w:val="nil"/>
              <w:bottom w:val="single" w:sz="4" w:space="0" w:color="auto"/>
              <w:right w:val="single" w:sz="4" w:space="0" w:color="auto"/>
            </w:tcBorders>
            <w:shd w:val="clear" w:color="auto" w:fill="auto"/>
            <w:noWrap/>
            <w:vAlign w:val="center"/>
            <w:hideMark/>
          </w:tcPr>
          <w:p w:rsidR="00865FDD" w:rsidRPr="00B557E8" w:rsidRDefault="00865FDD" w:rsidP="00B557E8">
            <w:pPr>
              <w:spacing w:line="276" w:lineRule="auto"/>
              <w:rPr>
                <w:color w:val="000000" w:themeColor="text1"/>
                <w:sz w:val="18"/>
                <w:szCs w:val="18"/>
                <w:lang w:eastAsia="lv-LV"/>
              </w:rPr>
            </w:pPr>
            <w:r w:rsidRPr="00B557E8">
              <w:rPr>
                <w:color w:val="000000" w:themeColor="text1"/>
                <w:sz w:val="18"/>
                <w:szCs w:val="18"/>
                <w:lang w:eastAsia="lv-LV"/>
              </w:rPr>
              <w:t>4 040 726</w:t>
            </w:r>
          </w:p>
        </w:tc>
        <w:tc>
          <w:tcPr>
            <w:tcW w:w="863" w:type="dxa"/>
            <w:tcBorders>
              <w:top w:val="nil"/>
              <w:left w:val="nil"/>
              <w:bottom w:val="single" w:sz="4" w:space="0" w:color="auto"/>
              <w:right w:val="single" w:sz="4" w:space="0" w:color="auto"/>
            </w:tcBorders>
            <w:shd w:val="clear" w:color="auto" w:fill="auto"/>
            <w:noWrap/>
            <w:vAlign w:val="center"/>
            <w:hideMark/>
          </w:tcPr>
          <w:p w:rsidR="00865FDD" w:rsidRPr="00B557E8" w:rsidRDefault="00865FDD" w:rsidP="00B557E8">
            <w:pPr>
              <w:spacing w:line="276" w:lineRule="auto"/>
              <w:rPr>
                <w:color w:val="000000" w:themeColor="text1"/>
                <w:sz w:val="18"/>
                <w:szCs w:val="18"/>
                <w:lang w:eastAsia="lv-LV"/>
              </w:rPr>
            </w:pPr>
            <w:r w:rsidRPr="00B557E8">
              <w:rPr>
                <w:color w:val="000000" w:themeColor="text1"/>
                <w:sz w:val="18"/>
                <w:szCs w:val="18"/>
                <w:lang w:eastAsia="lv-LV"/>
              </w:rPr>
              <w:t>20,2%</w:t>
            </w:r>
          </w:p>
        </w:tc>
        <w:tc>
          <w:tcPr>
            <w:tcW w:w="1118" w:type="dxa"/>
            <w:tcBorders>
              <w:top w:val="nil"/>
              <w:left w:val="nil"/>
              <w:bottom w:val="single" w:sz="4" w:space="0" w:color="auto"/>
              <w:right w:val="single" w:sz="4" w:space="0" w:color="auto"/>
            </w:tcBorders>
            <w:shd w:val="clear" w:color="auto" w:fill="auto"/>
            <w:vAlign w:val="center"/>
            <w:hideMark/>
          </w:tcPr>
          <w:p w:rsidR="00865FDD" w:rsidRPr="00B557E8" w:rsidRDefault="00865FDD" w:rsidP="00B557E8">
            <w:pPr>
              <w:spacing w:line="276" w:lineRule="auto"/>
              <w:rPr>
                <w:color w:val="000000" w:themeColor="text1"/>
                <w:sz w:val="18"/>
                <w:szCs w:val="18"/>
                <w:lang w:eastAsia="lv-LV"/>
              </w:rPr>
            </w:pPr>
            <w:r w:rsidRPr="00B557E8">
              <w:rPr>
                <w:color w:val="000000" w:themeColor="text1"/>
                <w:sz w:val="18"/>
                <w:szCs w:val="18"/>
                <w:lang w:eastAsia="lv-LV"/>
              </w:rPr>
              <w:t>13,8%</w:t>
            </w:r>
          </w:p>
        </w:tc>
      </w:tr>
      <w:tr w:rsidR="00B557E8" w:rsidRPr="00B557E8" w:rsidTr="004F5DF1">
        <w:trPr>
          <w:cantSplit/>
          <w:trHeight w:val="307"/>
          <w:jc w:val="center"/>
        </w:trPr>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865FDD" w:rsidRPr="00B557E8" w:rsidRDefault="00865FDD" w:rsidP="00B557E8">
            <w:pPr>
              <w:spacing w:line="276" w:lineRule="auto"/>
              <w:rPr>
                <w:b/>
                <w:bCs/>
                <w:color w:val="000000" w:themeColor="text1"/>
                <w:sz w:val="18"/>
                <w:szCs w:val="18"/>
                <w:lang w:eastAsia="lv-LV"/>
              </w:rPr>
            </w:pPr>
            <w:r w:rsidRPr="00B557E8">
              <w:rPr>
                <w:b/>
                <w:bCs/>
                <w:color w:val="000000" w:themeColor="text1"/>
                <w:sz w:val="18"/>
                <w:szCs w:val="18"/>
                <w:lang w:eastAsia="lv-LV"/>
              </w:rPr>
              <w:t>Kopā</w:t>
            </w:r>
          </w:p>
        </w:tc>
        <w:tc>
          <w:tcPr>
            <w:tcW w:w="996" w:type="dxa"/>
            <w:tcBorders>
              <w:top w:val="nil"/>
              <w:left w:val="nil"/>
              <w:bottom w:val="single" w:sz="4" w:space="0" w:color="auto"/>
              <w:right w:val="single" w:sz="4" w:space="0" w:color="auto"/>
            </w:tcBorders>
            <w:shd w:val="clear" w:color="auto" w:fill="auto"/>
            <w:noWrap/>
            <w:vAlign w:val="center"/>
            <w:hideMark/>
          </w:tcPr>
          <w:p w:rsidR="00865FDD" w:rsidRPr="00B557E8" w:rsidRDefault="00865FDD" w:rsidP="00B557E8">
            <w:pPr>
              <w:spacing w:line="276" w:lineRule="auto"/>
              <w:rPr>
                <w:color w:val="000000" w:themeColor="text1"/>
                <w:sz w:val="18"/>
                <w:szCs w:val="18"/>
                <w:lang w:eastAsia="lv-LV"/>
              </w:rPr>
            </w:pPr>
            <w:r w:rsidRPr="00B557E8">
              <w:rPr>
                <w:color w:val="000000" w:themeColor="text1"/>
                <w:sz w:val="18"/>
                <w:szCs w:val="18"/>
                <w:lang w:eastAsia="lv-LV"/>
              </w:rPr>
              <w:t>60 544 547</w:t>
            </w:r>
          </w:p>
        </w:tc>
        <w:tc>
          <w:tcPr>
            <w:tcW w:w="724" w:type="dxa"/>
            <w:tcBorders>
              <w:top w:val="nil"/>
              <w:left w:val="nil"/>
              <w:bottom w:val="single" w:sz="4" w:space="0" w:color="auto"/>
              <w:right w:val="single" w:sz="4" w:space="0" w:color="auto"/>
            </w:tcBorders>
            <w:shd w:val="clear" w:color="auto" w:fill="auto"/>
            <w:noWrap/>
            <w:vAlign w:val="center"/>
            <w:hideMark/>
          </w:tcPr>
          <w:p w:rsidR="00865FDD" w:rsidRPr="00B557E8" w:rsidRDefault="00865FDD" w:rsidP="00B557E8">
            <w:pPr>
              <w:spacing w:line="276" w:lineRule="auto"/>
              <w:rPr>
                <w:color w:val="000000" w:themeColor="text1"/>
                <w:sz w:val="18"/>
                <w:szCs w:val="18"/>
                <w:lang w:eastAsia="lv-LV"/>
              </w:rPr>
            </w:pPr>
            <w:r w:rsidRPr="00B557E8">
              <w:rPr>
                <w:color w:val="000000" w:themeColor="text1"/>
                <w:sz w:val="18"/>
                <w:szCs w:val="18"/>
                <w:lang w:eastAsia="lv-LV"/>
              </w:rPr>
              <w:t>943</w:t>
            </w:r>
          </w:p>
        </w:tc>
        <w:tc>
          <w:tcPr>
            <w:tcW w:w="992" w:type="dxa"/>
            <w:tcBorders>
              <w:top w:val="nil"/>
              <w:left w:val="nil"/>
              <w:bottom w:val="single" w:sz="4" w:space="0" w:color="auto"/>
              <w:right w:val="single" w:sz="4" w:space="0" w:color="auto"/>
            </w:tcBorders>
            <w:shd w:val="clear" w:color="auto" w:fill="auto"/>
            <w:noWrap/>
            <w:vAlign w:val="center"/>
            <w:hideMark/>
          </w:tcPr>
          <w:p w:rsidR="00865FDD" w:rsidRPr="00B557E8" w:rsidRDefault="00865FDD" w:rsidP="00B557E8">
            <w:pPr>
              <w:spacing w:line="276" w:lineRule="auto"/>
              <w:rPr>
                <w:color w:val="000000" w:themeColor="text1"/>
                <w:sz w:val="18"/>
                <w:szCs w:val="18"/>
                <w:lang w:eastAsia="lv-LV"/>
              </w:rPr>
            </w:pPr>
            <w:r w:rsidRPr="00B557E8">
              <w:rPr>
                <w:color w:val="000000" w:themeColor="text1"/>
                <w:sz w:val="18"/>
                <w:szCs w:val="18"/>
                <w:lang w:eastAsia="lv-LV"/>
              </w:rPr>
              <w:t>113 205 700</w:t>
            </w:r>
          </w:p>
        </w:tc>
        <w:tc>
          <w:tcPr>
            <w:tcW w:w="885" w:type="dxa"/>
            <w:tcBorders>
              <w:top w:val="nil"/>
              <w:left w:val="nil"/>
              <w:bottom w:val="single" w:sz="4" w:space="0" w:color="auto"/>
              <w:right w:val="single" w:sz="4" w:space="0" w:color="auto"/>
            </w:tcBorders>
            <w:shd w:val="clear" w:color="auto" w:fill="auto"/>
            <w:noWrap/>
            <w:vAlign w:val="center"/>
            <w:hideMark/>
          </w:tcPr>
          <w:p w:rsidR="00865FDD" w:rsidRPr="00B557E8" w:rsidRDefault="00865FDD" w:rsidP="00B557E8">
            <w:pPr>
              <w:spacing w:line="276" w:lineRule="auto"/>
              <w:rPr>
                <w:color w:val="000000" w:themeColor="text1"/>
                <w:sz w:val="18"/>
                <w:szCs w:val="18"/>
                <w:lang w:eastAsia="lv-LV"/>
              </w:rPr>
            </w:pPr>
            <w:r w:rsidRPr="00B557E8">
              <w:rPr>
                <w:color w:val="000000" w:themeColor="text1"/>
                <w:sz w:val="18"/>
                <w:szCs w:val="18"/>
                <w:lang w:eastAsia="lv-LV"/>
              </w:rPr>
              <w:t>67,5%</w:t>
            </w:r>
          </w:p>
        </w:tc>
        <w:tc>
          <w:tcPr>
            <w:tcW w:w="1118" w:type="dxa"/>
            <w:tcBorders>
              <w:top w:val="nil"/>
              <w:left w:val="nil"/>
              <w:bottom w:val="single" w:sz="4" w:space="0" w:color="auto"/>
              <w:right w:val="single" w:sz="4" w:space="0" w:color="auto"/>
            </w:tcBorders>
            <w:shd w:val="clear" w:color="auto" w:fill="auto"/>
            <w:vAlign w:val="center"/>
            <w:hideMark/>
          </w:tcPr>
          <w:p w:rsidR="00865FDD" w:rsidRPr="00B557E8" w:rsidRDefault="00865FDD" w:rsidP="00B557E8">
            <w:pPr>
              <w:spacing w:line="276" w:lineRule="auto"/>
              <w:rPr>
                <w:color w:val="000000" w:themeColor="text1"/>
                <w:sz w:val="18"/>
                <w:szCs w:val="18"/>
                <w:lang w:eastAsia="lv-LV"/>
              </w:rPr>
            </w:pPr>
            <w:r w:rsidRPr="00B557E8">
              <w:rPr>
                <w:color w:val="000000" w:themeColor="text1"/>
                <w:sz w:val="18"/>
                <w:szCs w:val="18"/>
                <w:lang w:eastAsia="lv-LV"/>
              </w:rPr>
              <w:t>2,8%</w:t>
            </w:r>
          </w:p>
        </w:tc>
        <w:tc>
          <w:tcPr>
            <w:tcW w:w="690" w:type="dxa"/>
            <w:tcBorders>
              <w:top w:val="nil"/>
              <w:left w:val="nil"/>
              <w:bottom w:val="single" w:sz="4" w:space="0" w:color="auto"/>
              <w:right w:val="single" w:sz="4" w:space="0" w:color="auto"/>
            </w:tcBorders>
            <w:shd w:val="clear" w:color="auto" w:fill="auto"/>
            <w:noWrap/>
            <w:vAlign w:val="center"/>
            <w:hideMark/>
          </w:tcPr>
          <w:p w:rsidR="00865FDD" w:rsidRPr="00B557E8" w:rsidRDefault="00865FDD" w:rsidP="00B557E8">
            <w:pPr>
              <w:spacing w:line="276" w:lineRule="auto"/>
              <w:rPr>
                <w:color w:val="000000" w:themeColor="text1"/>
                <w:sz w:val="18"/>
                <w:szCs w:val="18"/>
                <w:lang w:eastAsia="lv-LV"/>
              </w:rPr>
            </w:pPr>
            <w:r w:rsidRPr="00B557E8">
              <w:rPr>
                <w:color w:val="000000" w:themeColor="text1"/>
                <w:sz w:val="18"/>
                <w:szCs w:val="18"/>
                <w:lang w:eastAsia="lv-LV"/>
              </w:rPr>
              <w:t>596</w:t>
            </w:r>
          </w:p>
        </w:tc>
        <w:tc>
          <w:tcPr>
            <w:tcW w:w="819" w:type="dxa"/>
            <w:tcBorders>
              <w:top w:val="nil"/>
              <w:left w:val="nil"/>
              <w:bottom w:val="single" w:sz="4" w:space="0" w:color="auto"/>
              <w:right w:val="single" w:sz="4" w:space="0" w:color="auto"/>
            </w:tcBorders>
            <w:shd w:val="clear" w:color="auto" w:fill="auto"/>
            <w:noWrap/>
            <w:vAlign w:val="center"/>
            <w:hideMark/>
          </w:tcPr>
          <w:p w:rsidR="00865FDD" w:rsidRPr="00B557E8" w:rsidRDefault="00865FDD" w:rsidP="00B557E8">
            <w:pPr>
              <w:spacing w:line="276" w:lineRule="auto"/>
              <w:rPr>
                <w:color w:val="000000" w:themeColor="text1"/>
                <w:sz w:val="18"/>
                <w:szCs w:val="18"/>
                <w:lang w:eastAsia="lv-LV"/>
              </w:rPr>
            </w:pPr>
            <w:r w:rsidRPr="00B557E8">
              <w:rPr>
                <w:color w:val="000000" w:themeColor="text1"/>
                <w:sz w:val="18"/>
                <w:szCs w:val="18"/>
                <w:lang w:eastAsia="lv-LV"/>
              </w:rPr>
              <w:t>89 531 938</w:t>
            </w:r>
          </w:p>
        </w:tc>
        <w:tc>
          <w:tcPr>
            <w:tcW w:w="863" w:type="dxa"/>
            <w:tcBorders>
              <w:top w:val="nil"/>
              <w:left w:val="nil"/>
              <w:bottom w:val="single" w:sz="4" w:space="0" w:color="auto"/>
              <w:right w:val="single" w:sz="4" w:space="0" w:color="auto"/>
            </w:tcBorders>
            <w:shd w:val="clear" w:color="auto" w:fill="auto"/>
            <w:noWrap/>
            <w:vAlign w:val="center"/>
            <w:hideMark/>
          </w:tcPr>
          <w:p w:rsidR="00865FDD" w:rsidRPr="00B557E8" w:rsidRDefault="00865FDD" w:rsidP="00B557E8">
            <w:pPr>
              <w:spacing w:line="276" w:lineRule="auto"/>
              <w:rPr>
                <w:color w:val="000000" w:themeColor="text1"/>
                <w:sz w:val="18"/>
                <w:szCs w:val="18"/>
                <w:lang w:eastAsia="lv-LV"/>
              </w:rPr>
            </w:pPr>
            <w:r w:rsidRPr="00B557E8">
              <w:rPr>
                <w:color w:val="000000" w:themeColor="text1"/>
                <w:sz w:val="18"/>
                <w:szCs w:val="18"/>
                <w:lang w:eastAsia="lv-LV"/>
              </w:rPr>
              <w:t>53,7%</w:t>
            </w:r>
          </w:p>
        </w:tc>
        <w:tc>
          <w:tcPr>
            <w:tcW w:w="1118" w:type="dxa"/>
            <w:tcBorders>
              <w:top w:val="nil"/>
              <w:left w:val="nil"/>
              <w:bottom w:val="single" w:sz="4" w:space="0" w:color="auto"/>
              <w:right w:val="single" w:sz="4" w:space="0" w:color="auto"/>
            </w:tcBorders>
            <w:shd w:val="clear" w:color="auto" w:fill="auto"/>
            <w:vAlign w:val="center"/>
            <w:hideMark/>
          </w:tcPr>
          <w:p w:rsidR="00865FDD" w:rsidRPr="00B557E8" w:rsidRDefault="00865FDD" w:rsidP="00B557E8">
            <w:pPr>
              <w:spacing w:line="276" w:lineRule="auto"/>
              <w:rPr>
                <w:color w:val="000000" w:themeColor="text1"/>
                <w:sz w:val="18"/>
                <w:szCs w:val="18"/>
                <w:lang w:eastAsia="lv-LV"/>
              </w:rPr>
            </w:pPr>
            <w:r w:rsidRPr="00B557E8">
              <w:rPr>
                <w:color w:val="000000" w:themeColor="text1"/>
                <w:sz w:val="18"/>
                <w:szCs w:val="18"/>
                <w:lang w:eastAsia="lv-LV"/>
              </w:rPr>
              <w:t>2,8%</w:t>
            </w:r>
          </w:p>
        </w:tc>
      </w:tr>
    </w:tbl>
    <w:p w:rsidR="00865FDD" w:rsidRPr="00B557E8" w:rsidRDefault="00865FDD" w:rsidP="00B557E8">
      <w:pPr>
        <w:pStyle w:val="NormalWeb"/>
        <w:spacing w:before="120" w:beforeAutospacing="0" w:after="120" w:afterAutospacing="0" w:line="276" w:lineRule="auto"/>
        <w:jc w:val="both"/>
        <w:rPr>
          <w:i/>
          <w:color w:val="000000" w:themeColor="text1"/>
          <w:lang w:val="lv-LV"/>
        </w:rPr>
      </w:pPr>
      <w:r w:rsidRPr="00B557E8">
        <w:rPr>
          <w:i/>
          <w:color w:val="000000" w:themeColor="text1"/>
          <w:lang w:val="lv-LV"/>
        </w:rPr>
        <w:t>*Tiek izmantots multiplikators 3.</w:t>
      </w:r>
    </w:p>
    <w:p w:rsidR="00865FDD" w:rsidRPr="00B557E8" w:rsidRDefault="00865FDD" w:rsidP="00B557E8">
      <w:pPr>
        <w:pStyle w:val="NormalWeb"/>
        <w:spacing w:before="120" w:beforeAutospacing="0" w:after="120" w:afterAutospacing="0" w:line="276" w:lineRule="auto"/>
        <w:jc w:val="both"/>
        <w:rPr>
          <w:color w:val="000000" w:themeColor="text1"/>
          <w:lang w:val="lv-LV"/>
        </w:rPr>
      </w:pPr>
      <w:r w:rsidRPr="00B557E8">
        <w:rPr>
          <w:color w:val="000000" w:themeColor="text1"/>
          <w:lang w:val="lv-LV"/>
        </w:rPr>
        <w:t xml:space="preserve">LGA ir plānojusi līdz 2011.gada beigām sniegt garantijas 142,3 </w:t>
      </w:r>
      <w:proofErr w:type="spellStart"/>
      <w:r w:rsidRPr="00B557E8">
        <w:rPr>
          <w:color w:val="000000" w:themeColor="text1"/>
          <w:lang w:val="lv-LV"/>
        </w:rPr>
        <w:t>milj</w:t>
      </w:r>
      <w:proofErr w:type="spellEnd"/>
      <w:r w:rsidRPr="00B557E8">
        <w:rPr>
          <w:color w:val="000000" w:themeColor="text1"/>
          <w:lang w:val="lv-LV"/>
        </w:rPr>
        <w:t xml:space="preserve">. latu apmērā, taču līdz </w:t>
      </w:r>
      <w:proofErr w:type="spellStart"/>
      <w:r w:rsidRPr="00B557E8">
        <w:rPr>
          <w:color w:val="000000" w:themeColor="text1"/>
          <w:lang w:val="lv-LV"/>
        </w:rPr>
        <w:t>š.g</w:t>
      </w:r>
      <w:proofErr w:type="spellEnd"/>
      <w:r w:rsidRPr="00B557E8">
        <w:rPr>
          <w:color w:val="000000" w:themeColor="text1"/>
          <w:lang w:val="lv-LV"/>
        </w:rPr>
        <w:t xml:space="preserve">. 3.ceturkšņa noslēgumam ir izpildīti tikai 62,9% no plānotā, ir noslēgti garantiju līgumi par 89,5 </w:t>
      </w:r>
      <w:proofErr w:type="spellStart"/>
      <w:r w:rsidRPr="00B557E8">
        <w:rPr>
          <w:color w:val="000000" w:themeColor="text1"/>
          <w:lang w:val="lv-LV"/>
        </w:rPr>
        <w:t>milj</w:t>
      </w:r>
      <w:proofErr w:type="spellEnd"/>
      <w:r w:rsidRPr="00B557E8">
        <w:rPr>
          <w:color w:val="000000" w:themeColor="text1"/>
          <w:lang w:val="lv-LV"/>
        </w:rPr>
        <w:t>. latu. (</w:t>
      </w:r>
      <w:r w:rsidRPr="00B557E8">
        <w:rPr>
          <w:color w:val="000000" w:themeColor="text1"/>
          <w:u w:val="single"/>
          <w:lang w:val="lv-LV"/>
        </w:rPr>
        <w:t>skatīt grafiku Nr.</w:t>
      </w:r>
      <w:r w:rsidR="00C13D44" w:rsidRPr="00B557E8">
        <w:rPr>
          <w:color w:val="000000" w:themeColor="text1"/>
          <w:u w:val="single"/>
          <w:lang w:val="lv-LV"/>
        </w:rPr>
        <w:t>1</w:t>
      </w:r>
      <w:r w:rsidR="00EC7B49" w:rsidRPr="00B557E8">
        <w:rPr>
          <w:color w:val="000000" w:themeColor="text1"/>
          <w:u w:val="single"/>
          <w:lang w:val="lv-LV"/>
        </w:rPr>
        <w:t>1</w:t>
      </w:r>
      <w:r w:rsidRPr="00B557E8">
        <w:rPr>
          <w:color w:val="000000" w:themeColor="text1"/>
          <w:lang w:val="lv-LV"/>
        </w:rPr>
        <w:t>)</w:t>
      </w:r>
    </w:p>
    <w:p w:rsidR="00865FDD" w:rsidRPr="00B557E8" w:rsidRDefault="00865FDD" w:rsidP="00B557E8">
      <w:pPr>
        <w:spacing w:before="120" w:after="120" w:line="276" w:lineRule="auto"/>
        <w:ind w:right="181"/>
        <w:rPr>
          <w:rFonts w:eastAsia="Calibri"/>
          <w:color w:val="000000" w:themeColor="text1"/>
          <w:szCs w:val="24"/>
        </w:rPr>
      </w:pPr>
      <w:r w:rsidRPr="00B557E8">
        <w:rPr>
          <w:rFonts w:eastAsia="Calibri"/>
          <w:color w:val="000000" w:themeColor="text1"/>
          <w:szCs w:val="24"/>
        </w:rPr>
        <w:lastRenderedPageBreak/>
        <w:t>Grafiks Nr.</w:t>
      </w:r>
      <w:r w:rsidR="00C13D44" w:rsidRPr="00B557E8">
        <w:rPr>
          <w:rFonts w:eastAsia="Calibri"/>
          <w:color w:val="000000" w:themeColor="text1"/>
          <w:szCs w:val="24"/>
        </w:rPr>
        <w:t>1</w:t>
      </w:r>
      <w:r w:rsidR="00EC7B49" w:rsidRPr="00B557E8">
        <w:rPr>
          <w:rFonts w:eastAsia="Calibri"/>
          <w:color w:val="000000" w:themeColor="text1"/>
          <w:szCs w:val="24"/>
        </w:rPr>
        <w:t>1</w:t>
      </w:r>
      <w:r w:rsidRPr="00B557E8">
        <w:rPr>
          <w:rFonts w:eastAsia="Calibri"/>
          <w:color w:val="000000" w:themeColor="text1"/>
          <w:szCs w:val="24"/>
        </w:rPr>
        <w:t xml:space="preserve"> </w:t>
      </w:r>
      <w:r w:rsidRPr="00B557E8">
        <w:rPr>
          <w:rFonts w:eastAsia="Calibri"/>
          <w:i/>
          <w:color w:val="000000" w:themeColor="text1"/>
          <w:szCs w:val="24"/>
        </w:rPr>
        <w:t xml:space="preserve">„2.2.1.3. aktivitātes "Garantijas komersantu konkurētspējas uzlabošanai" ietvaros plānotais līdz 31.12.2011. un reālais izsniegto garantiju apjoms līdz 30.09.2011. kumulatīvi; Kopējais finansējums (ieskaitot finanšu starpinstitūciju līdzfinansējumu) </w:t>
      </w:r>
      <w:proofErr w:type="spellStart"/>
      <w:r w:rsidRPr="00B557E8">
        <w:rPr>
          <w:rFonts w:eastAsia="Calibri"/>
          <w:i/>
          <w:color w:val="000000" w:themeColor="text1"/>
          <w:szCs w:val="24"/>
        </w:rPr>
        <w:t>milj</w:t>
      </w:r>
      <w:proofErr w:type="spellEnd"/>
      <w:r w:rsidRPr="00B557E8">
        <w:rPr>
          <w:rFonts w:eastAsia="Calibri"/>
          <w:i/>
          <w:color w:val="000000" w:themeColor="text1"/>
          <w:szCs w:val="24"/>
        </w:rPr>
        <w:t xml:space="preserve">. LVL, % no plānotā finansējuma.” </w:t>
      </w:r>
    </w:p>
    <w:p w:rsidR="00865FDD" w:rsidRPr="00B557E8" w:rsidRDefault="00865FDD" w:rsidP="00B557E8">
      <w:pPr>
        <w:spacing w:before="120" w:after="120" w:line="276" w:lineRule="auto"/>
        <w:ind w:left="720" w:right="181"/>
        <w:jc w:val="center"/>
        <w:rPr>
          <w:color w:val="000000" w:themeColor="text1"/>
          <w:szCs w:val="24"/>
          <w:lang w:eastAsia="lv-LV"/>
        </w:rPr>
      </w:pPr>
      <w:r w:rsidRPr="00B557E8">
        <w:rPr>
          <w:noProof/>
          <w:color w:val="000000" w:themeColor="text1"/>
          <w:szCs w:val="24"/>
          <w:lang w:eastAsia="lv-LV"/>
        </w:rPr>
        <w:drawing>
          <wp:inline distT="0" distB="0" distL="0" distR="0" wp14:anchorId="690C3722" wp14:editId="14AC0326">
            <wp:extent cx="3482035" cy="1931213"/>
            <wp:effectExtent l="0" t="0" r="444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048E1" w:rsidRPr="00B557E8" w:rsidRDefault="00865FDD" w:rsidP="00B557E8">
      <w:pPr>
        <w:pStyle w:val="NormalWeb"/>
        <w:spacing w:before="120" w:beforeAutospacing="0" w:after="120" w:afterAutospacing="0" w:line="276" w:lineRule="auto"/>
        <w:jc w:val="both"/>
        <w:rPr>
          <w:color w:val="000000" w:themeColor="text1"/>
          <w:lang w:val="lv-LV"/>
        </w:rPr>
      </w:pPr>
      <w:r w:rsidRPr="00B557E8">
        <w:rPr>
          <w:color w:val="000000" w:themeColor="text1"/>
          <w:lang w:val="lv-LV"/>
        </w:rPr>
        <w:t xml:space="preserve">Lielāko daļu jeb 66% izsniegtā finansējuma „Garantijas komersantu konkurētspējas uzlabošanai” finanšu instrumenta ietvaros saņēmuši apstrādes rūpniecības nozares uzņēmumi, savukārt citu nozaru uzņēmumu īpatsvars izsniegto garantiju apjomā svārstās no 3% līdz 8%. Sadalījumā pa reģioniem lielākā daļa garantiju ir izsniegtas uzņēmumiem, kas darbojas Rīgā, savukārt mazākā daļa, </w:t>
      </w:r>
      <w:proofErr w:type="spellStart"/>
      <w:r w:rsidRPr="00B557E8">
        <w:rPr>
          <w:color w:val="000000" w:themeColor="text1"/>
          <w:lang w:val="lv-LV"/>
        </w:rPr>
        <w:t>t.i</w:t>
      </w:r>
      <w:proofErr w:type="spellEnd"/>
      <w:r w:rsidRPr="00B557E8">
        <w:rPr>
          <w:color w:val="000000" w:themeColor="text1"/>
          <w:lang w:val="lv-LV"/>
        </w:rPr>
        <w:t>., 2% no izsniegto garantiju apjoma, ir sniegtas Latgales reģiona uzņēmumiem. (</w:t>
      </w:r>
      <w:r w:rsidRPr="00B557E8">
        <w:rPr>
          <w:color w:val="000000" w:themeColor="text1"/>
          <w:u w:val="single"/>
          <w:lang w:val="lv-LV"/>
        </w:rPr>
        <w:t>skatīt grafiku Nr.</w:t>
      </w:r>
      <w:r w:rsidR="00C13D44" w:rsidRPr="00B557E8">
        <w:rPr>
          <w:color w:val="000000" w:themeColor="text1"/>
          <w:u w:val="single"/>
          <w:lang w:val="lv-LV"/>
        </w:rPr>
        <w:t>1</w:t>
      </w:r>
      <w:r w:rsidR="00EC7B49" w:rsidRPr="00B557E8">
        <w:rPr>
          <w:color w:val="000000" w:themeColor="text1"/>
          <w:u w:val="single"/>
          <w:lang w:val="lv-LV"/>
        </w:rPr>
        <w:t>2</w:t>
      </w:r>
      <w:r w:rsidR="007654B9" w:rsidRPr="00B557E8">
        <w:rPr>
          <w:color w:val="000000" w:themeColor="text1"/>
          <w:lang w:val="lv-LV"/>
        </w:rPr>
        <w:t>)</w:t>
      </w:r>
    </w:p>
    <w:p w:rsidR="00865FDD" w:rsidRPr="00B557E8" w:rsidRDefault="00865FDD" w:rsidP="00B557E8">
      <w:pPr>
        <w:spacing w:before="120" w:after="120" w:line="276" w:lineRule="auto"/>
        <w:rPr>
          <w:rFonts w:eastAsia="Calibri"/>
          <w:i/>
          <w:color w:val="000000" w:themeColor="text1"/>
          <w:szCs w:val="24"/>
        </w:rPr>
      </w:pPr>
      <w:r w:rsidRPr="00B557E8">
        <w:rPr>
          <w:rFonts w:eastAsia="Calibri"/>
          <w:color w:val="000000" w:themeColor="text1"/>
          <w:szCs w:val="24"/>
        </w:rPr>
        <w:t>Grafiks Nr.</w:t>
      </w:r>
      <w:r w:rsidR="00C13D44" w:rsidRPr="00B557E8">
        <w:rPr>
          <w:rFonts w:eastAsia="Calibri"/>
          <w:color w:val="000000" w:themeColor="text1"/>
          <w:szCs w:val="24"/>
        </w:rPr>
        <w:t>1</w:t>
      </w:r>
      <w:r w:rsidR="00EC7B49" w:rsidRPr="00B557E8">
        <w:rPr>
          <w:rFonts w:eastAsia="Calibri"/>
          <w:color w:val="000000" w:themeColor="text1"/>
          <w:szCs w:val="24"/>
        </w:rPr>
        <w:t>2</w:t>
      </w:r>
      <w:r w:rsidRPr="00B557E8">
        <w:rPr>
          <w:rFonts w:eastAsia="Calibri"/>
          <w:color w:val="000000" w:themeColor="text1"/>
          <w:szCs w:val="24"/>
        </w:rPr>
        <w:t xml:space="preserve"> </w:t>
      </w:r>
      <w:r w:rsidRPr="00B557E8">
        <w:rPr>
          <w:rFonts w:eastAsia="Calibri"/>
          <w:i/>
          <w:color w:val="000000" w:themeColor="text1"/>
          <w:szCs w:val="24"/>
        </w:rPr>
        <w:t>„Izsniegto garantiju sadalījums pa reģioniem pēc garantiju apjoma, %</w:t>
      </w:r>
      <w:r w:rsidR="00C13D44" w:rsidRPr="00B557E8">
        <w:rPr>
          <w:rFonts w:eastAsia="Calibri"/>
          <w:i/>
          <w:color w:val="000000" w:themeColor="text1"/>
          <w:szCs w:val="24"/>
        </w:rPr>
        <w:t>.</w:t>
      </w:r>
      <w:r w:rsidRPr="00B557E8">
        <w:rPr>
          <w:rFonts w:eastAsia="Calibri"/>
          <w:i/>
          <w:color w:val="000000" w:themeColor="text1"/>
          <w:szCs w:val="24"/>
        </w:rPr>
        <w:t xml:space="preserve"> </w:t>
      </w:r>
      <w:r w:rsidRPr="00B557E8">
        <w:rPr>
          <w:rStyle w:val="FootnoteReference"/>
          <w:rFonts w:eastAsia="Calibri"/>
          <w:i/>
          <w:color w:val="000000" w:themeColor="text1"/>
          <w:szCs w:val="24"/>
        </w:rPr>
        <w:footnoteReference w:id="4"/>
      </w:r>
      <w:r w:rsidRPr="00B557E8">
        <w:rPr>
          <w:rFonts w:eastAsia="Calibri"/>
          <w:i/>
          <w:color w:val="000000" w:themeColor="text1"/>
          <w:szCs w:val="24"/>
        </w:rPr>
        <w:t>”</w:t>
      </w:r>
    </w:p>
    <w:p w:rsidR="00865FDD" w:rsidRPr="00B557E8" w:rsidRDefault="00865FDD" w:rsidP="00B557E8">
      <w:pPr>
        <w:spacing w:before="120" w:after="120" w:line="276" w:lineRule="auto"/>
        <w:jc w:val="center"/>
        <w:rPr>
          <w:color w:val="000000" w:themeColor="text1"/>
          <w:szCs w:val="24"/>
        </w:rPr>
      </w:pPr>
      <w:r w:rsidRPr="00B557E8">
        <w:rPr>
          <w:noProof/>
          <w:color w:val="000000" w:themeColor="text1"/>
          <w:szCs w:val="24"/>
          <w:lang w:eastAsia="lv-LV"/>
        </w:rPr>
        <w:drawing>
          <wp:inline distT="0" distB="0" distL="0" distR="0" wp14:anchorId="26017C95" wp14:editId="22152750">
            <wp:extent cx="4118458" cy="1506931"/>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65FDD" w:rsidRPr="00B557E8" w:rsidRDefault="00865FDD" w:rsidP="00B557E8">
      <w:pPr>
        <w:pStyle w:val="Default"/>
        <w:numPr>
          <w:ilvl w:val="0"/>
          <w:numId w:val="4"/>
        </w:numPr>
        <w:spacing w:before="120" w:after="120" w:line="276" w:lineRule="auto"/>
        <w:jc w:val="both"/>
        <w:rPr>
          <w:rFonts w:eastAsia="Times New Roman"/>
          <w:color w:val="000000" w:themeColor="text1"/>
          <w:lang w:eastAsia="en-US"/>
        </w:rPr>
      </w:pPr>
      <w:r w:rsidRPr="00B557E8">
        <w:rPr>
          <w:rFonts w:eastAsia="Times New Roman"/>
          <w:b/>
          <w:color w:val="000000" w:themeColor="text1"/>
          <w:lang w:eastAsia="en-US"/>
        </w:rPr>
        <w:t xml:space="preserve">„Aizdevumi komersantu konkurētspējas uzlabošanai” </w:t>
      </w:r>
      <w:r w:rsidRPr="00B557E8">
        <w:rPr>
          <w:rFonts w:eastAsia="Times New Roman"/>
          <w:color w:val="000000" w:themeColor="text1"/>
          <w:lang w:eastAsia="en-US"/>
        </w:rPr>
        <w:t xml:space="preserve">nodrošina aizdevumu izsniegšanu komersantiem. Aktivitāti līdz šim ieviesa tikai LHZB, savukārt kopš </w:t>
      </w:r>
      <w:proofErr w:type="spellStart"/>
      <w:r w:rsidRPr="00B557E8">
        <w:rPr>
          <w:rFonts w:eastAsia="Times New Roman"/>
          <w:color w:val="000000" w:themeColor="text1"/>
          <w:lang w:eastAsia="en-US"/>
        </w:rPr>
        <w:t>apakšaktivitātes</w:t>
      </w:r>
      <w:proofErr w:type="spellEnd"/>
      <w:r w:rsidRPr="00B557E8">
        <w:rPr>
          <w:rFonts w:eastAsia="Times New Roman"/>
          <w:color w:val="000000" w:themeColor="text1"/>
          <w:lang w:eastAsia="en-US"/>
        </w:rPr>
        <w:t xml:space="preserve"> „</w:t>
      </w:r>
      <w:proofErr w:type="spellStart"/>
      <w:r w:rsidRPr="00B557E8">
        <w:rPr>
          <w:rFonts w:eastAsia="Times New Roman"/>
          <w:color w:val="000000" w:themeColor="text1"/>
          <w:lang w:eastAsia="en-US"/>
        </w:rPr>
        <w:t>Mezanīna</w:t>
      </w:r>
      <w:proofErr w:type="spellEnd"/>
      <w:r w:rsidRPr="00B557E8">
        <w:rPr>
          <w:rFonts w:eastAsia="Times New Roman"/>
          <w:color w:val="000000" w:themeColor="text1"/>
          <w:lang w:eastAsia="en-US"/>
        </w:rPr>
        <w:t xml:space="preserve"> aizdevumi investīcijām komersantu konkurētspējas uzlabošanai” ieviešanas aizdevumu instrumenta ieviesējs ir arī LGA. </w:t>
      </w:r>
      <w:proofErr w:type="spellStart"/>
      <w:r w:rsidRPr="00B557E8">
        <w:rPr>
          <w:rFonts w:eastAsia="Times New Roman"/>
          <w:color w:val="000000" w:themeColor="text1"/>
          <w:lang w:eastAsia="en-US"/>
        </w:rPr>
        <w:t>Apakšaktivitātē</w:t>
      </w:r>
      <w:proofErr w:type="spellEnd"/>
      <w:r w:rsidRPr="00B557E8">
        <w:rPr>
          <w:rFonts w:eastAsia="Times New Roman"/>
          <w:color w:val="000000" w:themeColor="text1"/>
          <w:lang w:eastAsia="en-US"/>
        </w:rPr>
        <w:t xml:space="preserve"> „</w:t>
      </w:r>
      <w:proofErr w:type="spellStart"/>
      <w:r w:rsidRPr="00B557E8">
        <w:rPr>
          <w:rFonts w:eastAsia="Times New Roman"/>
          <w:color w:val="000000" w:themeColor="text1"/>
          <w:lang w:eastAsia="en-US"/>
        </w:rPr>
        <w:t>Mezanīna</w:t>
      </w:r>
      <w:proofErr w:type="spellEnd"/>
      <w:r w:rsidRPr="00B557E8">
        <w:rPr>
          <w:rFonts w:eastAsia="Times New Roman"/>
          <w:color w:val="000000" w:themeColor="text1"/>
          <w:lang w:eastAsia="en-US"/>
        </w:rPr>
        <w:t xml:space="preserve"> aizdevumi investīcijām komersantu konkurētspējas uzlabošanai” 2011.gada 22.augustā tika uzsākta projektu iesniegumu pieņemšanas pirmā kārta par17,7 </w:t>
      </w:r>
      <w:proofErr w:type="spellStart"/>
      <w:r w:rsidRPr="00B557E8">
        <w:rPr>
          <w:rFonts w:eastAsia="Times New Roman"/>
          <w:color w:val="000000" w:themeColor="text1"/>
          <w:lang w:eastAsia="en-US"/>
        </w:rPr>
        <w:t>milj</w:t>
      </w:r>
      <w:proofErr w:type="spellEnd"/>
      <w:r w:rsidRPr="00B557E8">
        <w:rPr>
          <w:rFonts w:eastAsia="Times New Roman"/>
          <w:color w:val="000000" w:themeColor="text1"/>
          <w:lang w:eastAsia="en-US"/>
        </w:rPr>
        <w:t xml:space="preserve">. latu publiskā finansējuma, no kuriem 10,7 </w:t>
      </w:r>
      <w:proofErr w:type="spellStart"/>
      <w:r w:rsidRPr="00B557E8">
        <w:rPr>
          <w:rFonts w:eastAsia="Times New Roman"/>
          <w:color w:val="000000" w:themeColor="text1"/>
          <w:lang w:eastAsia="en-US"/>
        </w:rPr>
        <w:t>milj</w:t>
      </w:r>
      <w:proofErr w:type="spellEnd"/>
      <w:r w:rsidRPr="00B557E8">
        <w:rPr>
          <w:rFonts w:eastAsia="Times New Roman"/>
          <w:color w:val="000000" w:themeColor="text1"/>
          <w:lang w:eastAsia="en-US"/>
        </w:rPr>
        <w:t>. latu ir ERAF finansējums.</w:t>
      </w:r>
    </w:p>
    <w:p w:rsidR="00865FDD" w:rsidRPr="00B557E8" w:rsidRDefault="00865FDD" w:rsidP="00B557E8">
      <w:pPr>
        <w:pStyle w:val="NormalWeb"/>
        <w:spacing w:before="120" w:beforeAutospacing="0" w:after="120" w:afterAutospacing="0" w:line="276" w:lineRule="auto"/>
        <w:jc w:val="both"/>
        <w:rPr>
          <w:color w:val="000000" w:themeColor="text1"/>
          <w:lang w:val="lv-LV"/>
        </w:rPr>
      </w:pPr>
      <w:r w:rsidRPr="00B557E8">
        <w:rPr>
          <w:color w:val="000000" w:themeColor="text1"/>
          <w:lang w:val="lv-LV"/>
        </w:rPr>
        <w:t>Finanšu resursu apguve ir ļoti laba. Līdz 2011.gada 3.ceturkšņa beigām ir apstiprināti projekti par 117,7% no kopējā finansējuma un ir vērojams progress par 10,07% no pieejamā kopējā finansējuma.</w:t>
      </w:r>
      <w:r w:rsidR="00966184" w:rsidRPr="00B557E8">
        <w:rPr>
          <w:color w:val="000000" w:themeColor="text1"/>
          <w:lang w:val="lv-LV"/>
        </w:rPr>
        <w:t xml:space="preserve"> </w:t>
      </w:r>
      <w:r w:rsidRPr="00B557E8">
        <w:rPr>
          <w:color w:val="000000" w:themeColor="text1"/>
          <w:lang w:val="lv-LV"/>
        </w:rPr>
        <w:t xml:space="preserve"> (</w:t>
      </w:r>
      <w:r w:rsidRPr="00B557E8">
        <w:rPr>
          <w:color w:val="000000" w:themeColor="text1"/>
          <w:u w:val="single"/>
          <w:lang w:val="lv-LV"/>
        </w:rPr>
        <w:t>skatīt tabulu Nr.</w:t>
      </w:r>
      <w:r w:rsidR="00C13D44" w:rsidRPr="00B557E8">
        <w:rPr>
          <w:color w:val="000000" w:themeColor="text1"/>
          <w:u w:val="single"/>
          <w:lang w:val="lv-LV"/>
        </w:rPr>
        <w:t>4</w:t>
      </w:r>
      <w:r w:rsidRPr="00B557E8">
        <w:rPr>
          <w:color w:val="000000" w:themeColor="text1"/>
          <w:lang w:val="lv-LV"/>
        </w:rPr>
        <w:t>)</w:t>
      </w:r>
      <w:r w:rsidR="00966184" w:rsidRPr="00B557E8">
        <w:rPr>
          <w:color w:val="000000" w:themeColor="text1"/>
          <w:lang w:val="lv-LV"/>
        </w:rPr>
        <w:t xml:space="preserve"> Sakarā ar </w:t>
      </w:r>
      <w:r w:rsidR="00D53222" w:rsidRPr="00B557E8">
        <w:rPr>
          <w:color w:val="000000" w:themeColor="text1"/>
          <w:lang w:val="lv-LV"/>
        </w:rPr>
        <w:t>to, ka p</w:t>
      </w:r>
      <w:r w:rsidR="00966184" w:rsidRPr="00B557E8">
        <w:rPr>
          <w:color w:val="000000" w:themeColor="text1"/>
          <w:lang w:val="lv-LV"/>
        </w:rPr>
        <w:t>rogrammas ietvaros ir izveidots Aizdevumu fonds, kura resursi tiek izmantoti aizdevumu sniegšanai</w:t>
      </w:r>
      <w:r w:rsidR="00D53222" w:rsidRPr="00B557E8">
        <w:rPr>
          <w:color w:val="000000" w:themeColor="text1"/>
          <w:lang w:val="lv-LV"/>
        </w:rPr>
        <w:t xml:space="preserve">, ir iespējams uzņemties </w:t>
      </w:r>
      <w:proofErr w:type="spellStart"/>
      <w:r w:rsidR="00D53222" w:rsidRPr="00B557E8">
        <w:rPr>
          <w:color w:val="000000" w:themeColor="text1"/>
          <w:lang w:val="lv-LV"/>
        </w:rPr>
        <w:t>virssaistības</w:t>
      </w:r>
      <w:proofErr w:type="spellEnd"/>
      <w:r w:rsidR="00D53222" w:rsidRPr="00B557E8">
        <w:rPr>
          <w:color w:val="000000" w:themeColor="text1"/>
          <w:lang w:val="lv-LV"/>
        </w:rPr>
        <w:t xml:space="preserve"> un sasniegt tik lielu apstiprināto projektu procentu</w:t>
      </w:r>
      <w:r w:rsidR="00966184" w:rsidRPr="00B557E8">
        <w:rPr>
          <w:color w:val="000000" w:themeColor="text1"/>
          <w:lang w:val="lv-LV"/>
        </w:rPr>
        <w:t xml:space="preserve">. Atbilstoši </w:t>
      </w:r>
      <w:r w:rsidR="00D53222" w:rsidRPr="00B557E8">
        <w:rPr>
          <w:color w:val="000000" w:themeColor="text1"/>
          <w:lang w:val="lv-LV"/>
        </w:rPr>
        <w:t>EM</w:t>
      </w:r>
      <w:r w:rsidR="00966184" w:rsidRPr="00B557E8">
        <w:rPr>
          <w:color w:val="000000" w:themeColor="text1"/>
          <w:lang w:val="lv-LV"/>
        </w:rPr>
        <w:t xml:space="preserve"> un </w:t>
      </w:r>
      <w:r w:rsidR="00D53222" w:rsidRPr="00B557E8">
        <w:rPr>
          <w:color w:val="000000" w:themeColor="text1"/>
          <w:lang w:val="lv-LV"/>
        </w:rPr>
        <w:t>LHZB</w:t>
      </w:r>
      <w:r w:rsidR="00966184" w:rsidRPr="00B557E8">
        <w:rPr>
          <w:color w:val="000000" w:themeColor="text1"/>
          <w:lang w:val="lv-LV"/>
        </w:rPr>
        <w:t xml:space="preserve"> par programmas </w:t>
      </w:r>
      <w:r w:rsidR="00966184" w:rsidRPr="00B557E8">
        <w:rPr>
          <w:color w:val="000000" w:themeColor="text1"/>
          <w:lang w:val="lv-LV"/>
        </w:rPr>
        <w:lastRenderedPageBreak/>
        <w:t>īstenošanu noslēgtajam līgumam finansējuma saņēmējam (</w:t>
      </w:r>
      <w:r w:rsidR="00D53222" w:rsidRPr="00B557E8">
        <w:rPr>
          <w:color w:val="000000" w:themeColor="text1"/>
          <w:lang w:val="lv-LV"/>
        </w:rPr>
        <w:t>LHZB</w:t>
      </w:r>
      <w:r w:rsidR="00966184" w:rsidRPr="00B557E8">
        <w:rPr>
          <w:color w:val="000000" w:themeColor="text1"/>
          <w:lang w:val="lv-LV"/>
        </w:rPr>
        <w:t>) ir pienākums brīvos līdzekļus ieguldīt ar mērķi palielināt Aizdevumu fonda apjomu. Aizdevumu fondam veidojas ieņēmumi no aizdevumos neizsniegto brīvo līdzekļu izvietošanas, procentu ieņēmumiem no izsniegtajiem aizdevumiem, kā arī komisijas maksām, līgumsodiem un ieņēmumiem, kas iegūti aizdevumu atgūšanas rezultātā. Katra programmas īstenošanas finanšu gada beigās daļa no minētajiem Aizdevumu fonda ienākumiem tiek ieguldīti Aizdevumu fondā, attiecīgi palielinot resursus, kas paredzēti aizdevumu sniegšanai, tā ļaujot piešķirt aizdevumus par lielāku kopsummu, nekā sākotnēji fondā ieguldītais resursu apjoms.</w:t>
      </w:r>
    </w:p>
    <w:p w:rsidR="00D87637" w:rsidRPr="00B557E8" w:rsidRDefault="00D87637" w:rsidP="00B557E8">
      <w:pPr>
        <w:pStyle w:val="NormalWeb"/>
        <w:spacing w:before="120" w:beforeAutospacing="0" w:after="120" w:afterAutospacing="0" w:line="276" w:lineRule="auto"/>
        <w:jc w:val="both"/>
        <w:rPr>
          <w:color w:val="000000" w:themeColor="text1"/>
          <w:lang w:val="lv-LV"/>
        </w:rPr>
      </w:pPr>
      <w:r w:rsidRPr="00B557E8">
        <w:rPr>
          <w:color w:val="000000" w:themeColor="text1"/>
          <w:lang w:val="lv-LV"/>
        </w:rPr>
        <w:t>Savukārt 2011.gada plāna izpilde nesokas labi, jo līdz 2011.gada 30.septembrim ir izpildīti tikai 58% no plānotā veikto maksājumu apjoma. (</w:t>
      </w:r>
      <w:r w:rsidRPr="00B557E8">
        <w:rPr>
          <w:color w:val="000000" w:themeColor="text1"/>
          <w:u w:val="single"/>
          <w:lang w:val="lv-LV"/>
        </w:rPr>
        <w:t>skatīt grafiku nr.13</w:t>
      </w:r>
      <w:r w:rsidRPr="00B557E8">
        <w:rPr>
          <w:color w:val="000000" w:themeColor="text1"/>
          <w:lang w:val="lv-LV"/>
        </w:rPr>
        <w:t>)</w:t>
      </w:r>
    </w:p>
    <w:p w:rsidR="00865FDD" w:rsidRPr="00B557E8" w:rsidRDefault="00865FDD" w:rsidP="00B557E8">
      <w:pPr>
        <w:spacing w:before="120" w:after="120" w:line="276" w:lineRule="auto"/>
        <w:rPr>
          <w:color w:val="000000" w:themeColor="text1"/>
          <w:szCs w:val="24"/>
        </w:rPr>
      </w:pPr>
      <w:r w:rsidRPr="00B557E8">
        <w:rPr>
          <w:color w:val="000000" w:themeColor="text1"/>
          <w:szCs w:val="24"/>
        </w:rPr>
        <w:t>Tabula Nr.</w:t>
      </w:r>
      <w:r w:rsidR="00C13D44" w:rsidRPr="00B557E8">
        <w:rPr>
          <w:color w:val="000000" w:themeColor="text1"/>
          <w:szCs w:val="24"/>
        </w:rPr>
        <w:t>4</w:t>
      </w:r>
      <w:r w:rsidRPr="00B557E8">
        <w:rPr>
          <w:i/>
          <w:color w:val="000000" w:themeColor="text1"/>
          <w:szCs w:val="24"/>
        </w:rPr>
        <w:t xml:space="preserve"> </w:t>
      </w:r>
      <w:r w:rsidRPr="00B557E8">
        <w:rPr>
          <w:rFonts w:eastAsia="Calibri"/>
          <w:i/>
          <w:color w:val="000000" w:themeColor="text1"/>
          <w:szCs w:val="24"/>
        </w:rPr>
        <w:t xml:space="preserve">„Finanšu apguves progress aktivitātes </w:t>
      </w:r>
      <w:r w:rsidRPr="00B557E8">
        <w:rPr>
          <w:i/>
          <w:color w:val="000000" w:themeColor="text1"/>
          <w:szCs w:val="24"/>
        </w:rPr>
        <w:t>„Aizdevumi komersantu konkurētspējas uzlabošanai</w:t>
      </w:r>
      <w:r w:rsidRPr="00B557E8">
        <w:rPr>
          <w:bCs/>
          <w:i/>
          <w:color w:val="000000" w:themeColor="text1"/>
          <w:szCs w:val="24"/>
        </w:rPr>
        <w:t>”</w:t>
      </w:r>
      <w:r w:rsidRPr="00B557E8">
        <w:rPr>
          <w:rFonts w:eastAsia="Calibri"/>
          <w:i/>
          <w:color w:val="000000" w:themeColor="text1"/>
          <w:szCs w:val="24"/>
        </w:rPr>
        <w:t xml:space="preserve"> ietvaros; LVL”</w:t>
      </w:r>
    </w:p>
    <w:tbl>
      <w:tblPr>
        <w:tblW w:w="9341" w:type="dxa"/>
        <w:jc w:val="center"/>
        <w:tblLayout w:type="fixed"/>
        <w:tblLook w:val="04A0" w:firstRow="1" w:lastRow="0" w:firstColumn="1" w:lastColumn="0" w:noHBand="0" w:noVBand="1"/>
      </w:tblPr>
      <w:tblGrid>
        <w:gridCol w:w="1000"/>
        <w:gridCol w:w="1050"/>
        <w:gridCol w:w="709"/>
        <w:gridCol w:w="1134"/>
        <w:gridCol w:w="850"/>
        <w:gridCol w:w="992"/>
        <w:gridCol w:w="709"/>
        <w:gridCol w:w="1134"/>
        <w:gridCol w:w="851"/>
        <w:gridCol w:w="912"/>
      </w:tblGrid>
      <w:tr w:rsidR="00B557E8" w:rsidRPr="003B2E97" w:rsidTr="00AF2087">
        <w:trPr>
          <w:cantSplit/>
          <w:trHeight w:val="532"/>
          <w:jc w:val="center"/>
        </w:trPr>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FDD" w:rsidRPr="003B2E97" w:rsidRDefault="00865FDD" w:rsidP="00B557E8">
            <w:pPr>
              <w:spacing w:before="120" w:after="120" w:line="276" w:lineRule="auto"/>
              <w:rPr>
                <w:b/>
                <w:bCs/>
                <w:color w:val="000000" w:themeColor="text1"/>
                <w:sz w:val="20"/>
                <w:lang w:eastAsia="lv-LV"/>
              </w:rPr>
            </w:pPr>
            <w:r w:rsidRPr="003B2E97">
              <w:rPr>
                <w:b/>
                <w:bCs/>
                <w:color w:val="000000" w:themeColor="text1"/>
                <w:sz w:val="20"/>
                <w:lang w:eastAsia="lv-LV"/>
              </w:rPr>
              <w:t> </w:t>
            </w:r>
          </w:p>
        </w:tc>
        <w:tc>
          <w:tcPr>
            <w:tcW w:w="1050" w:type="dxa"/>
            <w:vMerge w:val="restart"/>
            <w:tcBorders>
              <w:top w:val="single" w:sz="4" w:space="0" w:color="auto"/>
              <w:left w:val="single" w:sz="4" w:space="0" w:color="auto"/>
              <w:bottom w:val="single" w:sz="4" w:space="0" w:color="auto"/>
              <w:right w:val="single" w:sz="4" w:space="0" w:color="auto"/>
            </w:tcBorders>
            <w:shd w:val="clear" w:color="000000" w:fill="D6E3BC"/>
            <w:vAlign w:val="center"/>
            <w:hideMark/>
          </w:tcPr>
          <w:p w:rsidR="00865FDD" w:rsidRPr="003B2E97" w:rsidRDefault="00865FDD" w:rsidP="00B557E8">
            <w:pPr>
              <w:spacing w:before="120" w:after="120" w:line="276" w:lineRule="auto"/>
              <w:rPr>
                <w:b/>
                <w:bCs/>
                <w:color w:val="000000" w:themeColor="text1"/>
                <w:sz w:val="20"/>
                <w:lang w:eastAsia="lv-LV"/>
              </w:rPr>
            </w:pPr>
            <w:r w:rsidRPr="003B2E97">
              <w:rPr>
                <w:b/>
                <w:bCs/>
                <w:color w:val="000000" w:themeColor="text1"/>
                <w:sz w:val="20"/>
                <w:lang w:eastAsia="lv-LV"/>
              </w:rPr>
              <w:t xml:space="preserve">Kopējais </w:t>
            </w:r>
            <w:proofErr w:type="spellStart"/>
            <w:r w:rsidRPr="003B2E97">
              <w:rPr>
                <w:b/>
                <w:bCs/>
                <w:color w:val="000000" w:themeColor="text1"/>
                <w:sz w:val="20"/>
                <w:lang w:eastAsia="lv-LV"/>
              </w:rPr>
              <w:t>finan-sējums</w:t>
            </w:r>
            <w:proofErr w:type="spellEnd"/>
            <w:r w:rsidRPr="003B2E97">
              <w:rPr>
                <w:b/>
                <w:bCs/>
                <w:color w:val="000000" w:themeColor="text1"/>
                <w:sz w:val="20"/>
                <w:lang w:eastAsia="lv-LV"/>
              </w:rPr>
              <w:t xml:space="preserve"> (ieskaitot finanšu </w:t>
            </w:r>
            <w:proofErr w:type="spellStart"/>
            <w:r w:rsidRPr="003B2E97">
              <w:rPr>
                <w:b/>
                <w:bCs/>
                <w:color w:val="000000" w:themeColor="text1"/>
                <w:sz w:val="20"/>
                <w:lang w:eastAsia="lv-LV"/>
              </w:rPr>
              <w:t>starpinst</w:t>
            </w:r>
            <w:proofErr w:type="spellEnd"/>
            <w:r w:rsidRPr="003B2E97">
              <w:rPr>
                <w:b/>
                <w:bCs/>
                <w:color w:val="000000" w:themeColor="text1"/>
                <w:sz w:val="20"/>
                <w:lang w:eastAsia="lv-LV"/>
              </w:rPr>
              <w:t xml:space="preserve">. </w:t>
            </w:r>
            <w:proofErr w:type="spellStart"/>
            <w:r w:rsidRPr="003B2E97">
              <w:rPr>
                <w:b/>
                <w:bCs/>
                <w:color w:val="000000" w:themeColor="text1"/>
                <w:sz w:val="20"/>
                <w:lang w:eastAsia="lv-LV"/>
              </w:rPr>
              <w:t>līdzfin</w:t>
            </w:r>
            <w:proofErr w:type="spellEnd"/>
            <w:r w:rsidRPr="003B2E97">
              <w:rPr>
                <w:b/>
                <w:bCs/>
                <w:color w:val="000000" w:themeColor="text1"/>
                <w:sz w:val="20"/>
                <w:lang w:eastAsia="lv-LV"/>
              </w:rPr>
              <w:t>.)</w:t>
            </w:r>
          </w:p>
        </w:tc>
        <w:tc>
          <w:tcPr>
            <w:tcW w:w="3685" w:type="dxa"/>
            <w:gridSpan w:val="4"/>
            <w:tcBorders>
              <w:top w:val="single" w:sz="4" w:space="0" w:color="auto"/>
              <w:left w:val="nil"/>
              <w:bottom w:val="single" w:sz="4" w:space="0" w:color="auto"/>
              <w:right w:val="single" w:sz="4" w:space="0" w:color="auto"/>
            </w:tcBorders>
            <w:shd w:val="clear" w:color="000000" w:fill="D6E3BC"/>
            <w:vAlign w:val="center"/>
            <w:hideMark/>
          </w:tcPr>
          <w:p w:rsidR="00865FDD" w:rsidRPr="003B2E97" w:rsidRDefault="00865FDD" w:rsidP="00B557E8">
            <w:pPr>
              <w:spacing w:before="120" w:after="120" w:line="276" w:lineRule="auto"/>
              <w:rPr>
                <w:b/>
                <w:bCs/>
                <w:color w:val="000000" w:themeColor="text1"/>
                <w:sz w:val="20"/>
                <w:lang w:eastAsia="lv-LV"/>
              </w:rPr>
            </w:pPr>
            <w:r w:rsidRPr="003B2E97">
              <w:rPr>
                <w:b/>
                <w:bCs/>
                <w:color w:val="000000" w:themeColor="text1"/>
                <w:sz w:val="20"/>
                <w:lang w:eastAsia="lv-LV"/>
              </w:rPr>
              <w:t xml:space="preserve">Apstiprināti projekti (ieskaitot finanšu </w:t>
            </w:r>
            <w:proofErr w:type="spellStart"/>
            <w:r w:rsidRPr="003B2E97">
              <w:rPr>
                <w:b/>
                <w:bCs/>
                <w:color w:val="000000" w:themeColor="text1"/>
                <w:sz w:val="20"/>
                <w:lang w:eastAsia="lv-LV"/>
              </w:rPr>
              <w:t>starpinst</w:t>
            </w:r>
            <w:proofErr w:type="spellEnd"/>
            <w:r w:rsidRPr="003B2E97">
              <w:rPr>
                <w:b/>
                <w:bCs/>
                <w:color w:val="000000" w:themeColor="text1"/>
                <w:sz w:val="20"/>
                <w:lang w:eastAsia="lv-LV"/>
              </w:rPr>
              <w:t xml:space="preserve">. </w:t>
            </w:r>
            <w:proofErr w:type="spellStart"/>
            <w:r w:rsidRPr="003B2E97">
              <w:rPr>
                <w:b/>
                <w:bCs/>
                <w:color w:val="000000" w:themeColor="text1"/>
                <w:sz w:val="20"/>
                <w:lang w:eastAsia="lv-LV"/>
              </w:rPr>
              <w:t>līdzfin</w:t>
            </w:r>
            <w:proofErr w:type="spellEnd"/>
            <w:r w:rsidRPr="003B2E97">
              <w:rPr>
                <w:b/>
                <w:bCs/>
                <w:color w:val="000000" w:themeColor="text1"/>
                <w:sz w:val="20"/>
                <w:lang w:eastAsia="lv-LV"/>
              </w:rPr>
              <w:t>.)</w:t>
            </w:r>
          </w:p>
        </w:tc>
        <w:tc>
          <w:tcPr>
            <w:tcW w:w="3606" w:type="dxa"/>
            <w:gridSpan w:val="4"/>
            <w:tcBorders>
              <w:top w:val="single" w:sz="4" w:space="0" w:color="auto"/>
              <w:left w:val="nil"/>
              <w:bottom w:val="single" w:sz="4" w:space="0" w:color="auto"/>
              <w:right w:val="single" w:sz="4" w:space="0" w:color="auto"/>
            </w:tcBorders>
            <w:shd w:val="clear" w:color="000000" w:fill="D6E3BC"/>
            <w:vAlign w:val="center"/>
            <w:hideMark/>
          </w:tcPr>
          <w:p w:rsidR="00865FDD" w:rsidRPr="003B2E97" w:rsidRDefault="00865FDD" w:rsidP="00B557E8">
            <w:pPr>
              <w:spacing w:before="120" w:after="120" w:line="276" w:lineRule="auto"/>
              <w:rPr>
                <w:b/>
                <w:bCs/>
                <w:color w:val="000000" w:themeColor="text1"/>
                <w:sz w:val="20"/>
                <w:lang w:eastAsia="lv-LV"/>
              </w:rPr>
            </w:pPr>
            <w:r w:rsidRPr="003B2E97">
              <w:rPr>
                <w:b/>
                <w:bCs/>
                <w:color w:val="000000" w:themeColor="text1"/>
                <w:sz w:val="20"/>
                <w:lang w:eastAsia="lv-LV"/>
              </w:rPr>
              <w:t xml:space="preserve">Noslēgti līgumi (ieskaitot finanšu </w:t>
            </w:r>
            <w:proofErr w:type="spellStart"/>
            <w:r w:rsidRPr="003B2E97">
              <w:rPr>
                <w:b/>
                <w:bCs/>
                <w:color w:val="000000" w:themeColor="text1"/>
                <w:sz w:val="20"/>
                <w:lang w:eastAsia="lv-LV"/>
              </w:rPr>
              <w:t>starpinst</w:t>
            </w:r>
            <w:proofErr w:type="spellEnd"/>
            <w:r w:rsidRPr="003B2E97">
              <w:rPr>
                <w:b/>
                <w:bCs/>
                <w:color w:val="000000" w:themeColor="text1"/>
                <w:sz w:val="20"/>
                <w:lang w:eastAsia="lv-LV"/>
              </w:rPr>
              <w:t xml:space="preserve">. </w:t>
            </w:r>
            <w:proofErr w:type="spellStart"/>
            <w:r w:rsidRPr="003B2E97">
              <w:rPr>
                <w:b/>
                <w:bCs/>
                <w:color w:val="000000" w:themeColor="text1"/>
                <w:sz w:val="20"/>
                <w:lang w:eastAsia="lv-LV"/>
              </w:rPr>
              <w:t>līdzfin</w:t>
            </w:r>
            <w:proofErr w:type="spellEnd"/>
            <w:r w:rsidRPr="003B2E97">
              <w:rPr>
                <w:b/>
                <w:bCs/>
                <w:color w:val="000000" w:themeColor="text1"/>
                <w:sz w:val="20"/>
                <w:lang w:eastAsia="lv-LV"/>
              </w:rPr>
              <w:t>.)</w:t>
            </w:r>
          </w:p>
        </w:tc>
      </w:tr>
      <w:tr w:rsidR="00B557E8" w:rsidRPr="003B2E97" w:rsidTr="003B2E97">
        <w:trPr>
          <w:cantSplit/>
          <w:trHeight w:val="2979"/>
          <w:jc w:val="center"/>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865FDD" w:rsidRPr="003B2E97" w:rsidRDefault="00865FDD" w:rsidP="00B557E8">
            <w:pPr>
              <w:spacing w:before="120" w:after="120" w:line="276" w:lineRule="auto"/>
              <w:rPr>
                <w:b/>
                <w:bCs/>
                <w:color w:val="000000" w:themeColor="text1"/>
                <w:sz w:val="20"/>
                <w:lang w:eastAsia="lv-LV"/>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865FDD" w:rsidRPr="003B2E97" w:rsidRDefault="00865FDD" w:rsidP="00B557E8">
            <w:pPr>
              <w:spacing w:before="120" w:after="120" w:line="276" w:lineRule="auto"/>
              <w:rPr>
                <w:b/>
                <w:bCs/>
                <w:color w:val="000000" w:themeColor="text1"/>
                <w:sz w:val="20"/>
                <w:lang w:eastAsia="lv-LV"/>
              </w:rPr>
            </w:pPr>
          </w:p>
        </w:tc>
        <w:tc>
          <w:tcPr>
            <w:tcW w:w="709" w:type="dxa"/>
            <w:tcBorders>
              <w:top w:val="nil"/>
              <w:left w:val="nil"/>
              <w:bottom w:val="single" w:sz="4" w:space="0" w:color="auto"/>
              <w:right w:val="single" w:sz="4" w:space="0" w:color="auto"/>
            </w:tcBorders>
            <w:shd w:val="clear" w:color="000000" w:fill="E6EED5"/>
            <w:vAlign w:val="center"/>
            <w:hideMark/>
          </w:tcPr>
          <w:p w:rsidR="00865FDD" w:rsidRPr="003B2E97" w:rsidRDefault="00865FDD" w:rsidP="00B557E8">
            <w:pPr>
              <w:spacing w:before="120" w:after="120" w:line="276" w:lineRule="auto"/>
              <w:rPr>
                <w:color w:val="000000" w:themeColor="text1"/>
                <w:sz w:val="20"/>
                <w:lang w:eastAsia="lv-LV"/>
              </w:rPr>
            </w:pPr>
            <w:r w:rsidRPr="003B2E97">
              <w:rPr>
                <w:color w:val="000000" w:themeColor="text1"/>
                <w:sz w:val="20"/>
                <w:lang w:eastAsia="lv-LV"/>
              </w:rPr>
              <w:t>Skaits</w:t>
            </w:r>
          </w:p>
        </w:tc>
        <w:tc>
          <w:tcPr>
            <w:tcW w:w="1134" w:type="dxa"/>
            <w:tcBorders>
              <w:top w:val="nil"/>
              <w:left w:val="nil"/>
              <w:bottom w:val="single" w:sz="4" w:space="0" w:color="auto"/>
              <w:right w:val="single" w:sz="4" w:space="0" w:color="auto"/>
            </w:tcBorders>
            <w:shd w:val="clear" w:color="000000" w:fill="E6EED5"/>
            <w:vAlign w:val="center"/>
            <w:hideMark/>
          </w:tcPr>
          <w:p w:rsidR="00865FDD" w:rsidRPr="003B2E97" w:rsidRDefault="00865FDD" w:rsidP="00B557E8">
            <w:pPr>
              <w:spacing w:before="120" w:after="120" w:line="276" w:lineRule="auto"/>
              <w:rPr>
                <w:color w:val="000000" w:themeColor="text1"/>
                <w:sz w:val="20"/>
                <w:lang w:eastAsia="lv-LV"/>
              </w:rPr>
            </w:pPr>
            <w:r w:rsidRPr="003B2E97">
              <w:rPr>
                <w:color w:val="000000" w:themeColor="text1"/>
                <w:sz w:val="20"/>
                <w:lang w:eastAsia="lv-LV"/>
              </w:rPr>
              <w:t xml:space="preserve">Kopējais </w:t>
            </w:r>
            <w:proofErr w:type="spellStart"/>
            <w:r w:rsidRPr="003B2E97">
              <w:rPr>
                <w:color w:val="000000" w:themeColor="text1"/>
                <w:sz w:val="20"/>
                <w:lang w:eastAsia="lv-LV"/>
              </w:rPr>
              <w:t>finan-sējums</w:t>
            </w:r>
            <w:proofErr w:type="spellEnd"/>
            <w:r w:rsidRPr="003B2E97">
              <w:rPr>
                <w:color w:val="000000" w:themeColor="text1"/>
                <w:sz w:val="20"/>
                <w:lang w:eastAsia="lv-LV"/>
              </w:rPr>
              <w:t xml:space="preserve"> </w:t>
            </w:r>
          </w:p>
        </w:tc>
        <w:tc>
          <w:tcPr>
            <w:tcW w:w="850" w:type="dxa"/>
            <w:tcBorders>
              <w:top w:val="nil"/>
              <w:left w:val="nil"/>
              <w:bottom w:val="single" w:sz="4" w:space="0" w:color="auto"/>
              <w:right w:val="single" w:sz="4" w:space="0" w:color="auto"/>
            </w:tcBorders>
            <w:shd w:val="clear" w:color="000000" w:fill="E6EED5"/>
            <w:vAlign w:val="center"/>
            <w:hideMark/>
          </w:tcPr>
          <w:p w:rsidR="00865FDD" w:rsidRPr="003B2E97" w:rsidRDefault="00865FDD" w:rsidP="00B557E8">
            <w:pPr>
              <w:spacing w:before="120" w:after="120" w:line="276" w:lineRule="auto"/>
              <w:rPr>
                <w:color w:val="000000" w:themeColor="text1"/>
                <w:sz w:val="20"/>
                <w:lang w:eastAsia="lv-LV"/>
              </w:rPr>
            </w:pPr>
            <w:r w:rsidRPr="003B2E97">
              <w:rPr>
                <w:color w:val="000000" w:themeColor="text1"/>
                <w:sz w:val="20"/>
                <w:lang w:eastAsia="lv-LV"/>
              </w:rPr>
              <w:t>% no pie</w:t>
            </w:r>
            <w:r w:rsidR="004A3F90" w:rsidRPr="003B2E97">
              <w:rPr>
                <w:color w:val="000000" w:themeColor="text1"/>
                <w:sz w:val="20"/>
                <w:lang w:eastAsia="lv-LV"/>
              </w:rPr>
              <w:t>-</w:t>
            </w:r>
            <w:r w:rsidRPr="003B2E97">
              <w:rPr>
                <w:color w:val="000000" w:themeColor="text1"/>
                <w:sz w:val="20"/>
                <w:lang w:eastAsia="lv-LV"/>
              </w:rPr>
              <w:t xml:space="preserve">ejamā </w:t>
            </w:r>
            <w:proofErr w:type="spellStart"/>
            <w:r w:rsidRPr="003B2E97">
              <w:rPr>
                <w:color w:val="000000" w:themeColor="text1"/>
                <w:sz w:val="20"/>
                <w:lang w:eastAsia="lv-LV"/>
              </w:rPr>
              <w:t>finan-sējuma</w:t>
            </w:r>
            <w:proofErr w:type="spellEnd"/>
          </w:p>
        </w:tc>
        <w:tc>
          <w:tcPr>
            <w:tcW w:w="992" w:type="dxa"/>
            <w:tcBorders>
              <w:top w:val="nil"/>
              <w:left w:val="nil"/>
              <w:bottom w:val="single" w:sz="4" w:space="0" w:color="auto"/>
              <w:right w:val="single" w:sz="4" w:space="0" w:color="auto"/>
            </w:tcBorders>
            <w:shd w:val="clear" w:color="000000" w:fill="E6EED5"/>
            <w:vAlign w:val="center"/>
            <w:hideMark/>
          </w:tcPr>
          <w:p w:rsidR="00865FDD" w:rsidRPr="003B2E97" w:rsidRDefault="00865FDD" w:rsidP="00B557E8">
            <w:pPr>
              <w:spacing w:before="120" w:after="120" w:line="276" w:lineRule="auto"/>
              <w:rPr>
                <w:color w:val="000000" w:themeColor="text1"/>
                <w:sz w:val="20"/>
                <w:lang w:eastAsia="lv-LV"/>
              </w:rPr>
            </w:pPr>
            <w:r w:rsidRPr="003B2E97">
              <w:rPr>
                <w:color w:val="000000" w:themeColor="text1"/>
                <w:sz w:val="20"/>
                <w:lang w:eastAsia="lv-LV"/>
              </w:rPr>
              <w:t>Progress pret datiem uz 30.06.2011.; % no pieejamā finansējuma</w:t>
            </w:r>
          </w:p>
        </w:tc>
        <w:tc>
          <w:tcPr>
            <w:tcW w:w="709" w:type="dxa"/>
            <w:tcBorders>
              <w:top w:val="nil"/>
              <w:left w:val="nil"/>
              <w:bottom w:val="single" w:sz="4" w:space="0" w:color="auto"/>
              <w:right w:val="single" w:sz="4" w:space="0" w:color="auto"/>
            </w:tcBorders>
            <w:shd w:val="clear" w:color="000000" w:fill="E6EED5"/>
            <w:vAlign w:val="center"/>
            <w:hideMark/>
          </w:tcPr>
          <w:p w:rsidR="00865FDD" w:rsidRPr="003B2E97" w:rsidRDefault="00865FDD" w:rsidP="00B557E8">
            <w:pPr>
              <w:spacing w:before="120" w:after="120" w:line="276" w:lineRule="auto"/>
              <w:rPr>
                <w:color w:val="000000" w:themeColor="text1"/>
                <w:sz w:val="20"/>
                <w:lang w:eastAsia="lv-LV"/>
              </w:rPr>
            </w:pPr>
            <w:r w:rsidRPr="003B2E97">
              <w:rPr>
                <w:color w:val="000000" w:themeColor="text1"/>
                <w:sz w:val="20"/>
                <w:lang w:eastAsia="lv-LV"/>
              </w:rPr>
              <w:t>Skaits</w:t>
            </w:r>
          </w:p>
        </w:tc>
        <w:tc>
          <w:tcPr>
            <w:tcW w:w="1134" w:type="dxa"/>
            <w:tcBorders>
              <w:top w:val="nil"/>
              <w:left w:val="nil"/>
              <w:bottom w:val="single" w:sz="4" w:space="0" w:color="auto"/>
              <w:right w:val="single" w:sz="4" w:space="0" w:color="auto"/>
            </w:tcBorders>
            <w:shd w:val="clear" w:color="000000" w:fill="E6EED5"/>
            <w:vAlign w:val="center"/>
            <w:hideMark/>
          </w:tcPr>
          <w:p w:rsidR="00865FDD" w:rsidRPr="003B2E97" w:rsidRDefault="00865FDD" w:rsidP="00B557E8">
            <w:pPr>
              <w:spacing w:before="120" w:after="120" w:line="276" w:lineRule="auto"/>
              <w:rPr>
                <w:color w:val="000000" w:themeColor="text1"/>
                <w:sz w:val="20"/>
                <w:lang w:eastAsia="lv-LV"/>
              </w:rPr>
            </w:pPr>
            <w:r w:rsidRPr="003B2E97">
              <w:rPr>
                <w:color w:val="000000" w:themeColor="text1"/>
                <w:sz w:val="20"/>
                <w:lang w:eastAsia="lv-LV"/>
              </w:rPr>
              <w:t xml:space="preserve">Kopējais </w:t>
            </w:r>
            <w:proofErr w:type="spellStart"/>
            <w:r w:rsidRPr="003B2E97">
              <w:rPr>
                <w:color w:val="000000" w:themeColor="text1"/>
                <w:sz w:val="20"/>
                <w:lang w:eastAsia="lv-LV"/>
              </w:rPr>
              <w:t>finan-sējums</w:t>
            </w:r>
            <w:proofErr w:type="spellEnd"/>
            <w:r w:rsidRPr="003B2E97">
              <w:rPr>
                <w:color w:val="000000" w:themeColor="text1"/>
                <w:sz w:val="20"/>
                <w:lang w:eastAsia="lv-LV"/>
              </w:rPr>
              <w:t xml:space="preserve"> </w:t>
            </w:r>
          </w:p>
        </w:tc>
        <w:tc>
          <w:tcPr>
            <w:tcW w:w="851" w:type="dxa"/>
            <w:tcBorders>
              <w:top w:val="nil"/>
              <w:left w:val="nil"/>
              <w:bottom w:val="single" w:sz="4" w:space="0" w:color="auto"/>
              <w:right w:val="single" w:sz="4" w:space="0" w:color="auto"/>
            </w:tcBorders>
            <w:shd w:val="clear" w:color="000000" w:fill="E6EED5"/>
            <w:vAlign w:val="center"/>
            <w:hideMark/>
          </w:tcPr>
          <w:p w:rsidR="00865FDD" w:rsidRPr="003B2E97" w:rsidRDefault="00865FDD" w:rsidP="00B557E8">
            <w:pPr>
              <w:spacing w:before="120" w:after="120" w:line="276" w:lineRule="auto"/>
              <w:rPr>
                <w:color w:val="000000" w:themeColor="text1"/>
                <w:sz w:val="20"/>
                <w:lang w:eastAsia="lv-LV"/>
              </w:rPr>
            </w:pPr>
            <w:r w:rsidRPr="003B2E97">
              <w:rPr>
                <w:color w:val="000000" w:themeColor="text1"/>
                <w:sz w:val="20"/>
                <w:lang w:eastAsia="lv-LV"/>
              </w:rPr>
              <w:t>% no pie</w:t>
            </w:r>
            <w:r w:rsidR="004A3F90" w:rsidRPr="003B2E97">
              <w:rPr>
                <w:color w:val="000000" w:themeColor="text1"/>
                <w:sz w:val="20"/>
                <w:lang w:eastAsia="lv-LV"/>
              </w:rPr>
              <w:t>-</w:t>
            </w:r>
            <w:r w:rsidRPr="003B2E97">
              <w:rPr>
                <w:color w:val="000000" w:themeColor="text1"/>
                <w:sz w:val="20"/>
                <w:lang w:eastAsia="lv-LV"/>
              </w:rPr>
              <w:t xml:space="preserve">ejamā </w:t>
            </w:r>
            <w:proofErr w:type="spellStart"/>
            <w:r w:rsidRPr="003B2E97">
              <w:rPr>
                <w:color w:val="000000" w:themeColor="text1"/>
                <w:sz w:val="20"/>
                <w:lang w:eastAsia="lv-LV"/>
              </w:rPr>
              <w:t>finan</w:t>
            </w:r>
            <w:r w:rsidR="004A3F90" w:rsidRPr="003B2E97">
              <w:rPr>
                <w:color w:val="000000" w:themeColor="text1"/>
                <w:sz w:val="20"/>
                <w:lang w:eastAsia="lv-LV"/>
              </w:rPr>
              <w:t>-</w:t>
            </w:r>
            <w:r w:rsidRPr="003B2E97">
              <w:rPr>
                <w:color w:val="000000" w:themeColor="text1"/>
                <w:sz w:val="20"/>
                <w:lang w:eastAsia="lv-LV"/>
              </w:rPr>
              <w:t>sējuma</w:t>
            </w:r>
            <w:proofErr w:type="spellEnd"/>
          </w:p>
        </w:tc>
        <w:tc>
          <w:tcPr>
            <w:tcW w:w="912" w:type="dxa"/>
            <w:tcBorders>
              <w:top w:val="nil"/>
              <w:left w:val="nil"/>
              <w:bottom w:val="single" w:sz="4" w:space="0" w:color="auto"/>
              <w:right w:val="single" w:sz="4" w:space="0" w:color="auto"/>
            </w:tcBorders>
            <w:shd w:val="clear" w:color="000000" w:fill="E6EED5"/>
            <w:vAlign w:val="center"/>
            <w:hideMark/>
          </w:tcPr>
          <w:p w:rsidR="00865FDD" w:rsidRPr="003B2E97" w:rsidRDefault="00865FDD" w:rsidP="00B557E8">
            <w:pPr>
              <w:spacing w:before="120" w:after="120" w:line="276" w:lineRule="auto"/>
              <w:rPr>
                <w:color w:val="000000" w:themeColor="text1"/>
                <w:sz w:val="20"/>
                <w:lang w:eastAsia="lv-LV"/>
              </w:rPr>
            </w:pPr>
            <w:r w:rsidRPr="003B2E97">
              <w:rPr>
                <w:color w:val="000000" w:themeColor="text1"/>
                <w:sz w:val="20"/>
                <w:lang w:eastAsia="lv-LV"/>
              </w:rPr>
              <w:t>Progress pret datiem uz 30.06.2011.; % no pieejamā finansējuma</w:t>
            </w:r>
          </w:p>
        </w:tc>
      </w:tr>
      <w:tr w:rsidR="00B557E8" w:rsidRPr="003B2E97" w:rsidTr="00AF2087">
        <w:trPr>
          <w:cantSplit/>
          <w:trHeight w:val="313"/>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865FDD" w:rsidRPr="003B2E97" w:rsidRDefault="00865FDD" w:rsidP="00B557E8">
            <w:pPr>
              <w:spacing w:before="120" w:after="120" w:line="276" w:lineRule="auto"/>
              <w:rPr>
                <w:b/>
                <w:bCs/>
                <w:color w:val="000000" w:themeColor="text1"/>
                <w:sz w:val="20"/>
                <w:lang w:eastAsia="lv-LV"/>
              </w:rPr>
            </w:pPr>
            <w:r w:rsidRPr="003B2E97">
              <w:rPr>
                <w:b/>
                <w:bCs/>
                <w:color w:val="000000" w:themeColor="text1"/>
                <w:sz w:val="20"/>
                <w:lang w:eastAsia="lv-LV"/>
              </w:rPr>
              <w:t>Aiz</w:t>
            </w:r>
            <w:r w:rsidR="004F5DF1" w:rsidRPr="003B2E97">
              <w:rPr>
                <w:b/>
                <w:bCs/>
                <w:color w:val="000000" w:themeColor="text1"/>
                <w:sz w:val="20"/>
                <w:lang w:eastAsia="lv-LV"/>
              </w:rPr>
              <w:t>-</w:t>
            </w:r>
            <w:r w:rsidRPr="003B2E97">
              <w:rPr>
                <w:b/>
                <w:bCs/>
                <w:color w:val="000000" w:themeColor="text1"/>
                <w:sz w:val="20"/>
                <w:lang w:eastAsia="lv-LV"/>
              </w:rPr>
              <w:t>devumi</w:t>
            </w:r>
          </w:p>
        </w:tc>
        <w:tc>
          <w:tcPr>
            <w:tcW w:w="1050" w:type="dxa"/>
            <w:tcBorders>
              <w:top w:val="nil"/>
              <w:left w:val="nil"/>
              <w:bottom w:val="single" w:sz="4" w:space="0" w:color="auto"/>
              <w:right w:val="single" w:sz="4" w:space="0" w:color="auto"/>
            </w:tcBorders>
            <w:shd w:val="clear" w:color="auto" w:fill="auto"/>
            <w:noWrap/>
            <w:vAlign w:val="center"/>
            <w:hideMark/>
          </w:tcPr>
          <w:p w:rsidR="00865FDD" w:rsidRPr="003B2E97" w:rsidRDefault="00865FDD" w:rsidP="00B557E8">
            <w:pPr>
              <w:spacing w:before="120" w:after="120" w:line="276" w:lineRule="auto"/>
              <w:rPr>
                <w:color w:val="000000" w:themeColor="text1"/>
                <w:sz w:val="20"/>
                <w:lang w:eastAsia="lv-LV"/>
              </w:rPr>
            </w:pPr>
            <w:r w:rsidRPr="003B2E97">
              <w:rPr>
                <w:color w:val="000000" w:themeColor="text1"/>
                <w:sz w:val="20"/>
                <w:lang w:eastAsia="lv-LV"/>
              </w:rPr>
              <w:t>58 500 000</w:t>
            </w:r>
          </w:p>
        </w:tc>
        <w:tc>
          <w:tcPr>
            <w:tcW w:w="709" w:type="dxa"/>
            <w:tcBorders>
              <w:top w:val="nil"/>
              <w:left w:val="nil"/>
              <w:bottom w:val="single" w:sz="4" w:space="0" w:color="auto"/>
              <w:right w:val="single" w:sz="4" w:space="0" w:color="auto"/>
            </w:tcBorders>
            <w:shd w:val="clear" w:color="auto" w:fill="auto"/>
            <w:vAlign w:val="center"/>
            <w:hideMark/>
          </w:tcPr>
          <w:p w:rsidR="00865FDD" w:rsidRPr="003B2E97" w:rsidRDefault="00865FDD" w:rsidP="00B557E8">
            <w:pPr>
              <w:spacing w:before="120" w:after="120" w:line="276" w:lineRule="auto"/>
              <w:rPr>
                <w:color w:val="000000" w:themeColor="text1"/>
                <w:sz w:val="20"/>
                <w:lang w:eastAsia="lv-LV"/>
              </w:rPr>
            </w:pPr>
            <w:r w:rsidRPr="003B2E97">
              <w:rPr>
                <w:color w:val="000000" w:themeColor="text1"/>
                <w:sz w:val="20"/>
                <w:lang w:eastAsia="lv-LV"/>
              </w:rPr>
              <w:t>64</w:t>
            </w:r>
          </w:p>
        </w:tc>
        <w:tc>
          <w:tcPr>
            <w:tcW w:w="1134" w:type="dxa"/>
            <w:tcBorders>
              <w:top w:val="nil"/>
              <w:left w:val="nil"/>
              <w:bottom w:val="single" w:sz="4" w:space="0" w:color="auto"/>
              <w:right w:val="single" w:sz="4" w:space="0" w:color="auto"/>
            </w:tcBorders>
            <w:shd w:val="clear" w:color="auto" w:fill="auto"/>
            <w:noWrap/>
            <w:vAlign w:val="center"/>
            <w:hideMark/>
          </w:tcPr>
          <w:p w:rsidR="00865FDD" w:rsidRPr="003B2E97" w:rsidRDefault="00865FDD" w:rsidP="00B557E8">
            <w:pPr>
              <w:spacing w:before="120" w:after="120" w:line="276" w:lineRule="auto"/>
              <w:rPr>
                <w:color w:val="000000" w:themeColor="text1"/>
                <w:sz w:val="20"/>
                <w:lang w:eastAsia="lv-LV"/>
              </w:rPr>
            </w:pPr>
            <w:r w:rsidRPr="003B2E97">
              <w:rPr>
                <w:color w:val="000000" w:themeColor="text1"/>
                <w:sz w:val="20"/>
                <w:lang w:eastAsia="lv-LV"/>
              </w:rPr>
              <w:t>68 870 781</w:t>
            </w:r>
          </w:p>
        </w:tc>
        <w:tc>
          <w:tcPr>
            <w:tcW w:w="850" w:type="dxa"/>
            <w:tcBorders>
              <w:top w:val="nil"/>
              <w:left w:val="nil"/>
              <w:bottom w:val="single" w:sz="4" w:space="0" w:color="auto"/>
              <w:right w:val="single" w:sz="4" w:space="0" w:color="auto"/>
            </w:tcBorders>
            <w:shd w:val="clear" w:color="auto" w:fill="auto"/>
            <w:vAlign w:val="center"/>
            <w:hideMark/>
          </w:tcPr>
          <w:p w:rsidR="00865FDD" w:rsidRPr="003B2E97" w:rsidRDefault="00865FDD" w:rsidP="00B557E8">
            <w:pPr>
              <w:spacing w:before="120" w:after="120" w:line="276" w:lineRule="auto"/>
              <w:rPr>
                <w:color w:val="000000" w:themeColor="text1"/>
                <w:sz w:val="20"/>
                <w:lang w:eastAsia="lv-LV"/>
              </w:rPr>
            </w:pPr>
            <w:r w:rsidRPr="003B2E97">
              <w:rPr>
                <w:color w:val="000000" w:themeColor="text1"/>
                <w:sz w:val="20"/>
                <w:lang w:eastAsia="lv-LV"/>
              </w:rPr>
              <w:t>117,7%</w:t>
            </w:r>
          </w:p>
        </w:tc>
        <w:tc>
          <w:tcPr>
            <w:tcW w:w="992" w:type="dxa"/>
            <w:tcBorders>
              <w:top w:val="nil"/>
              <w:left w:val="nil"/>
              <w:bottom w:val="single" w:sz="4" w:space="0" w:color="auto"/>
              <w:right w:val="single" w:sz="4" w:space="0" w:color="auto"/>
            </w:tcBorders>
            <w:shd w:val="clear" w:color="auto" w:fill="auto"/>
            <w:vAlign w:val="center"/>
            <w:hideMark/>
          </w:tcPr>
          <w:p w:rsidR="00865FDD" w:rsidRPr="003B2E97" w:rsidRDefault="00865FDD" w:rsidP="00B557E8">
            <w:pPr>
              <w:spacing w:before="120" w:after="120" w:line="276" w:lineRule="auto"/>
              <w:rPr>
                <w:color w:val="000000" w:themeColor="text1"/>
                <w:sz w:val="20"/>
                <w:lang w:eastAsia="lv-LV"/>
              </w:rPr>
            </w:pPr>
            <w:r w:rsidRPr="003B2E97">
              <w:rPr>
                <w:color w:val="000000" w:themeColor="text1"/>
                <w:sz w:val="20"/>
                <w:lang w:eastAsia="lv-LV"/>
              </w:rPr>
              <w:t>10,07%</w:t>
            </w:r>
          </w:p>
        </w:tc>
        <w:tc>
          <w:tcPr>
            <w:tcW w:w="709" w:type="dxa"/>
            <w:tcBorders>
              <w:top w:val="nil"/>
              <w:left w:val="nil"/>
              <w:bottom w:val="single" w:sz="4" w:space="0" w:color="auto"/>
              <w:right w:val="single" w:sz="4" w:space="0" w:color="auto"/>
            </w:tcBorders>
            <w:shd w:val="clear" w:color="auto" w:fill="auto"/>
            <w:vAlign w:val="center"/>
            <w:hideMark/>
          </w:tcPr>
          <w:p w:rsidR="00865FDD" w:rsidRPr="003B2E97" w:rsidRDefault="00865FDD" w:rsidP="00B557E8">
            <w:pPr>
              <w:spacing w:before="120" w:after="120" w:line="276" w:lineRule="auto"/>
              <w:rPr>
                <w:color w:val="000000" w:themeColor="text1"/>
                <w:sz w:val="20"/>
                <w:lang w:eastAsia="lv-LV"/>
              </w:rPr>
            </w:pPr>
            <w:r w:rsidRPr="003B2E97">
              <w:rPr>
                <w:color w:val="000000" w:themeColor="text1"/>
                <w:sz w:val="20"/>
                <w:lang w:eastAsia="lv-LV"/>
              </w:rPr>
              <w:t>44</w:t>
            </w:r>
          </w:p>
        </w:tc>
        <w:tc>
          <w:tcPr>
            <w:tcW w:w="1134" w:type="dxa"/>
            <w:tcBorders>
              <w:top w:val="nil"/>
              <w:left w:val="nil"/>
              <w:bottom w:val="single" w:sz="4" w:space="0" w:color="auto"/>
              <w:right w:val="single" w:sz="4" w:space="0" w:color="auto"/>
            </w:tcBorders>
            <w:shd w:val="clear" w:color="auto" w:fill="auto"/>
            <w:noWrap/>
            <w:vAlign w:val="center"/>
            <w:hideMark/>
          </w:tcPr>
          <w:p w:rsidR="00865FDD" w:rsidRPr="003B2E97" w:rsidRDefault="00865FDD" w:rsidP="00B557E8">
            <w:pPr>
              <w:spacing w:before="120" w:after="120" w:line="276" w:lineRule="auto"/>
              <w:rPr>
                <w:color w:val="000000" w:themeColor="text1"/>
                <w:sz w:val="20"/>
                <w:lang w:eastAsia="lv-LV"/>
              </w:rPr>
            </w:pPr>
            <w:r w:rsidRPr="003B2E97">
              <w:rPr>
                <w:color w:val="000000" w:themeColor="text1"/>
                <w:sz w:val="20"/>
                <w:lang w:eastAsia="lv-LV"/>
              </w:rPr>
              <w:t>43 271 154</w:t>
            </w:r>
          </w:p>
        </w:tc>
        <w:tc>
          <w:tcPr>
            <w:tcW w:w="851" w:type="dxa"/>
            <w:tcBorders>
              <w:top w:val="nil"/>
              <w:left w:val="nil"/>
              <w:bottom w:val="single" w:sz="4" w:space="0" w:color="auto"/>
              <w:right w:val="single" w:sz="4" w:space="0" w:color="auto"/>
            </w:tcBorders>
            <w:shd w:val="clear" w:color="auto" w:fill="auto"/>
            <w:noWrap/>
            <w:vAlign w:val="center"/>
            <w:hideMark/>
          </w:tcPr>
          <w:p w:rsidR="00865FDD" w:rsidRPr="003B2E97" w:rsidRDefault="00865FDD" w:rsidP="00B557E8">
            <w:pPr>
              <w:spacing w:before="120" w:after="120" w:line="276" w:lineRule="auto"/>
              <w:rPr>
                <w:color w:val="000000" w:themeColor="text1"/>
                <w:sz w:val="20"/>
                <w:lang w:eastAsia="lv-LV"/>
              </w:rPr>
            </w:pPr>
            <w:r w:rsidRPr="003B2E97">
              <w:rPr>
                <w:color w:val="000000" w:themeColor="text1"/>
                <w:sz w:val="20"/>
                <w:lang w:eastAsia="lv-LV"/>
              </w:rPr>
              <w:t>74,0%</w:t>
            </w:r>
          </w:p>
        </w:tc>
        <w:tc>
          <w:tcPr>
            <w:tcW w:w="912" w:type="dxa"/>
            <w:tcBorders>
              <w:top w:val="nil"/>
              <w:left w:val="nil"/>
              <w:bottom w:val="single" w:sz="4" w:space="0" w:color="auto"/>
              <w:right w:val="single" w:sz="4" w:space="0" w:color="auto"/>
            </w:tcBorders>
            <w:shd w:val="clear" w:color="auto" w:fill="auto"/>
            <w:vAlign w:val="center"/>
            <w:hideMark/>
          </w:tcPr>
          <w:p w:rsidR="00865FDD" w:rsidRPr="003B2E97" w:rsidRDefault="00865FDD" w:rsidP="00B557E8">
            <w:pPr>
              <w:spacing w:before="120" w:after="120" w:line="276" w:lineRule="auto"/>
              <w:rPr>
                <w:color w:val="000000" w:themeColor="text1"/>
                <w:sz w:val="20"/>
                <w:lang w:eastAsia="lv-LV"/>
              </w:rPr>
            </w:pPr>
            <w:r w:rsidRPr="003B2E97">
              <w:rPr>
                <w:color w:val="000000" w:themeColor="text1"/>
                <w:sz w:val="20"/>
                <w:lang w:eastAsia="lv-LV"/>
              </w:rPr>
              <w:t>5,56%</w:t>
            </w:r>
          </w:p>
        </w:tc>
      </w:tr>
    </w:tbl>
    <w:p w:rsidR="00865FDD" w:rsidRPr="00B557E8" w:rsidRDefault="00865FDD" w:rsidP="00B557E8">
      <w:pPr>
        <w:pStyle w:val="NormalWeb"/>
        <w:spacing w:before="120" w:beforeAutospacing="0" w:after="120" w:afterAutospacing="0" w:line="276" w:lineRule="auto"/>
        <w:jc w:val="both"/>
        <w:rPr>
          <w:color w:val="000000" w:themeColor="text1"/>
          <w:lang w:val="lv-LV"/>
        </w:rPr>
      </w:pPr>
      <w:r w:rsidRPr="00B557E8">
        <w:rPr>
          <w:color w:val="000000" w:themeColor="text1"/>
          <w:lang w:val="lv-LV"/>
        </w:rPr>
        <w:t>Grafiks Nr.</w:t>
      </w:r>
      <w:r w:rsidR="00C13D44" w:rsidRPr="00B557E8">
        <w:rPr>
          <w:color w:val="000000" w:themeColor="text1"/>
          <w:lang w:val="lv-LV"/>
        </w:rPr>
        <w:t>1</w:t>
      </w:r>
      <w:r w:rsidR="00EC7B49" w:rsidRPr="00B557E8">
        <w:rPr>
          <w:color w:val="000000" w:themeColor="text1"/>
          <w:lang w:val="lv-LV"/>
        </w:rPr>
        <w:t>3</w:t>
      </w:r>
      <w:r w:rsidRPr="00B557E8">
        <w:rPr>
          <w:color w:val="000000" w:themeColor="text1"/>
          <w:lang w:val="lv-LV"/>
        </w:rPr>
        <w:t xml:space="preserve"> „2.2.1.4. aktivitātes </w:t>
      </w:r>
      <w:r w:rsidRPr="00B557E8">
        <w:rPr>
          <w:i/>
          <w:color w:val="000000" w:themeColor="text1"/>
          <w:lang w:val="lv-LV"/>
        </w:rPr>
        <w:t xml:space="preserve">"Aizdevumi komersantu konkurētspējas uzlabošanai" ietvaros plānoto aizdevumu apjoms līdz 31.12.2011. un izsniegto aizdevumu apjoms līdz 30.09.2011. kumulatīvi; Kopējais finansējums </w:t>
      </w:r>
      <w:r w:rsidRPr="00B557E8">
        <w:rPr>
          <w:rFonts w:eastAsia="Calibri"/>
          <w:i/>
          <w:color w:val="000000" w:themeColor="text1"/>
          <w:lang w:val="lv-LV"/>
        </w:rPr>
        <w:t xml:space="preserve">(ieskaitot finanšu starpinstitūciju līdzfinansējumu) </w:t>
      </w:r>
      <w:proofErr w:type="spellStart"/>
      <w:r w:rsidRPr="00B557E8">
        <w:rPr>
          <w:i/>
          <w:color w:val="000000" w:themeColor="text1"/>
          <w:lang w:val="lv-LV"/>
        </w:rPr>
        <w:t>milj</w:t>
      </w:r>
      <w:proofErr w:type="spellEnd"/>
      <w:r w:rsidRPr="00B557E8">
        <w:rPr>
          <w:i/>
          <w:color w:val="000000" w:themeColor="text1"/>
          <w:lang w:val="lv-LV"/>
        </w:rPr>
        <w:t>. LVL, % no plānotā finansējuma.”</w:t>
      </w:r>
      <w:r w:rsidRPr="00B557E8">
        <w:rPr>
          <w:color w:val="000000" w:themeColor="text1"/>
          <w:lang w:val="lv-LV"/>
        </w:rPr>
        <w:t xml:space="preserve"> </w:t>
      </w:r>
    </w:p>
    <w:p w:rsidR="00865FDD" w:rsidRPr="00B557E8" w:rsidRDefault="00865FDD" w:rsidP="00B557E8">
      <w:pPr>
        <w:spacing w:before="120" w:after="120" w:line="276" w:lineRule="auto"/>
        <w:ind w:left="720" w:right="181"/>
        <w:jc w:val="center"/>
        <w:rPr>
          <w:noProof/>
          <w:color w:val="000000" w:themeColor="text1"/>
          <w:szCs w:val="24"/>
          <w:lang w:eastAsia="lv-LV"/>
        </w:rPr>
      </w:pPr>
      <w:r w:rsidRPr="00B557E8">
        <w:rPr>
          <w:noProof/>
          <w:color w:val="000000" w:themeColor="text1"/>
          <w:szCs w:val="24"/>
          <w:lang w:eastAsia="lv-LV"/>
        </w:rPr>
        <w:drawing>
          <wp:inline distT="0" distB="0" distL="0" distR="0" wp14:anchorId="2091F0F8" wp14:editId="19D629D2">
            <wp:extent cx="3800723" cy="1836751"/>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C36E6" w:rsidRPr="00B557E8" w:rsidRDefault="006C36E6" w:rsidP="00B557E8">
      <w:pPr>
        <w:pStyle w:val="NormalWeb"/>
        <w:spacing w:before="120" w:beforeAutospacing="0" w:after="120" w:afterAutospacing="0" w:line="276" w:lineRule="auto"/>
        <w:jc w:val="both"/>
        <w:rPr>
          <w:color w:val="000000" w:themeColor="text1"/>
          <w:lang w:val="lv-LV"/>
        </w:rPr>
      </w:pPr>
      <w:r w:rsidRPr="00B557E8">
        <w:rPr>
          <w:color w:val="000000" w:themeColor="text1"/>
          <w:lang w:val="lv-LV"/>
        </w:rPr>
        <w:t xml:space="preserve">Reģionālās politikas ģenerāldirektorāta (turpmāk - DG REGIO) auditori no 2011.gada 3.oktobra līdz 7.oktorbim veikuši </w:t>
      </w:r>
      <w:proofErr w:type="spellStart"/>
      <w:r w:rsidRPr="00B557E8">
        <w:rPr>
          <w:color w:val="000000" w:themeColor="text1"/>
          <w:lang w:val="lv-LV"/>
        </w:rPr>
        <w:t>pēcauditu</w:t>
      </w:r>
      <w:proofErr w:type="spellEnd"/>
      <w:r w:rsidRPr="00B557E8">
        <w:rPr>
          <w:color w:val="000000" w:themeColor="text1"/>
          <w:lang w:val="lv-LV"/>
        </w:rPr>
        <w:t xml:space="preserve"> Nr.2011/LV/REGIO/J2/976/1 pie revīzijas </w:t>
      </w:r>
      <w:r w:rsidRPr="00B557E8">
        <w:rPr>
          <w:color w:val="000000" w:themeColor="text1"/>
          <w:lang w:val="lv-LV"/>
        </w:rPr>
        <w:lastRenderedPageBreak/>
        <w:t>iestādes, tai skaitā, saistībā arī ar revīzijas iestādes DG REGIO uzdevumā veikto speciālo auditu, lai noteiktu neatbilstoši izsniegto garantiju un aizdevumu apjomu.  Tā rezultātā darbības programmas „Uzņēmējdarbība un inovācijas” 2.2.1.3.aktivitātes „Garantijas komersantu konkurētspējas uzlabošanai” un 2.2.1.4.aktivitātes „Aizdevumi komersantu konkurētspējas uzlabošanai” ietvaros revīzijas iestāde norādījusi, ka par neattiecināmām uzskatāmi izsniegtie aizdevumi un garantij</w:t>
      </w:r>
      <w:r w:rsidR="005170E0" w:rsidRPr="00B557E8">
        <w:rPr>
          <w:color w:val="000000" w:themeColor="text1"/>
          <w:lang w:val="lv-LV"/>
        </w:rPr>
        <w:t>as 49,78 miljoni latu apmērā. LGA</w:t>
      </w:r>
      <w:r w:rsidRPr="00B557E8">
        <w:rPr>
          <w:color w:val="000000" w:themeColor="text1"/>
          <w:lang w:val="lv-LV"/>
        </w:rPr>
        <w:t xml:space="preserve"> – neattiecināmi – 47 miljoni latu un </w:t>
      </w:r>
      <w:r w:rsidR="005170E0" w:rsidRPr="00B557E8">
        <w:rPr>
          <w:color w:val="000000" w:themeColor="text1"/>
          <w:lang w:val="lv-LV"/>
        </w:rPr>
        <w:t>LHZB</w:t>
      </w:r>
      <w:r w:rsidRPr="00B557E8">
        <w:rPr>
          <w:color w:val="000000" w:themeColor="text1"/>
          <w:lang w:val="lv-LV"/>
        </w:rPr>
        <w:t xml:space="preserve"> neattiecināmi - 3,9 miljoni eiro (2,78 miljoni latu). </w:t>
      </w:r>
    </w:p>
    <w:p w:rsidR="006C36E6" w:rsidRPr="00B557E8" w:rsidRDefault="006C36E6" w:rsidP="00B557E8">
      <w:pPr>
        <w:pStyle w:val="NormalWeb"/>
        <w:spacing w:before="120" w:beforeAutospacing="0" w:after="120" w:afterAutospacing="0" w:line="276" w:lineRule="auto"/>
        <w:jc w:val="both"/>
        <w:rPr>
          <w:color w:val="000000" w:themeColor="text1"/>
          <w:lang w:val="lv-LV"/>
        </w:rPr>
      </w:pPr>
      <w:r w:rsidRPr="00B557E8">
        <w:rPr>
          <w:color w:val="000000" w:themeColor="text1"/>
          <w:lang w:val="lv-LV"/>
        </w:rPr>
        <w:t xml:space="preserve">FM sadarbībā ar EM kā </w:t>
      </w:r>
      <w:r w:rsidR="00374474" w:rsidRPr="00B557E8">
        <w:rPr>
          <w:color w:val="000000" w:themeColor="text1"/>
          <w:lang w:val="lv-LV"/>
        </w:rPr>
        <w:t>AI</w:t>
      </w:r>
      <w:r w:rsidRPr="00B557E8">
        <w:rPr>
          <w:color w:val="000000" w:themeColor="text1"/>
          <w:lang w:val="lv-LV"/>
        </w:rPr>
        <w:t xml:space="preserve"> ir veikusi vairāku darbību kompleksu, lai mazinātu neatbilstoši veikto izdevumu rašanās risku finanšu instrumentu aktivitātēs. FM ir izstrādājusi arī rīcības plānu revīzijas iestādes speciālā audita</w:t>
      </w:r>
      <w:r w:rsidRPr="00B557E8">
        <w:rPr>
          <w:color w:val="000000" w:themeColor="text1"/>
          <w:lang w:val="lv-LV"/>
        </w:rPr>
        <w:footnoteReference w:id="5"/>
      </w:r>
      <w:r w:rsidRPr="00B557E8">
        <w:rPr>
          <w:color w:val="000000" w:themeColor="text1"/>
          <w:lang w:val="lv-LV"/>
        </w:rPr>
        <w:t xml:space="preserve"> laikā atklāto trūkumu darbības programmas „Uzņēmējdarbība un inovācijas” 2.2.1.3.aktivitātes „Garantijas komersantu konkurētspējas uzlabošanai” un 2.2.1.4.aktivitātes „Aizdevumi komersantu konkurētspējas uzlabošanai” ietvaros novēršanas un ieteikumu ieviešanas plānu. Īstenojot rīcības plānu, FM kā kompetentā iestāde Latvijā par valsts atbalsta jautājumiem 2011.gada augustā ir iesniegusi DG COMP valsts atbalsta programmu par sešiem LHZB gadījumiem, lai gūtu pārliecību, ka revīzijas iestādes piemērotie kritēriji nav pārlieku ierobežojoši un lai saņemtu DG COMP atzinumu par sešu uzņēmumu</w:t>
      </w:r>
      <w:r w:rsidRPr="00B557E8">
        <w:rPr>
          <w:color w:val="000000" w:themeColor="text1"/>
          <w:vertAlign w:val="superscript"/>
          <w:lang w:val="lv-LV"/>
        </w:rPr>
        <w:footnoteReference w:id="6"/>
      </w:r>
      <w:r w:rsidRPr="00B557E8">
        <w:rPr>
          <w:color w:val="000000" w:themeColor="text1"/>
          <w:lang w:val="lv-LV"/>
        </w:rPr>
        <w:t>, kuriem LHZB izsniegusi aizdevumus un kuri saskaņā ar revīzijas iestādes audita ziņojumā</w:t>
      </w:r>
      <w:r w:rsidRPr="00B557E8">
        <w:rPr>
          <w:color w:val="000000" w:themeColor="text1"/>
          <w:lang w:val="lv-LV"/>
        </w:rPr>
        <w:footnoteReference w:id="7"/>
      </w:r>
      <w:r w:rsidRPr="00B557E8">
        <w:rPr>
          <w:color w:val="000000" w:themeColor="text1"/>
          <w:lang w:val="lv-LV"/>
        </w:rPr>
        <w:t xml:space="preserve"> norādīto atzīstami par grūtībās nonākušiem, atbilstību grūtībās nonākuša uzņēmuma definīcijai. FM, EM un LHZB pārstāvji 2011.gada oktobra sākumā piedalījās  sanāksmē EK Konkurences direktorāta (turpmāk – DG COMP) un DG REGIO pārstāvjiem, lai pārrunātu jautājumus, kas saistīti ar  EK paziņoto valsts atbalsta pasākumu: LHZB notifikācija par atbalsta programmu „Kredīti konkurētspējas veicināšanai” (lieta 2011/N; SA 33554) un to atbilstību Kopienas 2004.gada 10.oktobra Pamatnostādnēm par valsts atbalstu grūtības nonākušu uzņēmumu glābšanai un  pārstrukturēšanai (turpmāk - Pamatnostādnes), tas ir, vai uzņēmumi uzskatāmi par grūtībās nonākušiem. DG COMP norādīja, ka grūtībās nonākuša uzņēmuma definēšana ir katras dalībvalsts atbildība, turklāt vērtēšana jāveic atbilstoši nacionālajiem normatīvajiem aktiem (attiecībā par uzņēmumu atbilstību Maksātnespējas likumam), vienlaicīgi nodrošinot atbilstību ES tiesību aktiem, </w:t>
      </w:r>
      <w:proofErr w:type="spellStart"/>
      <w:r w:rsidRPr="00B557E8">
        <w:rPr>
          <w:color w:val="000000" w:themeColor="text1"/>
          <w:lang w:val="lv-LV"/>
        </w:rPr>
        <w:t>t.sk</w:t>
      </w:r>
      <w:proofErr w:type="spellEnd"/>
      <w:r w:rsidRPr="00B557E8">
        <w:rPr>
          <w:color w:val="000000" w:themeColor="text1"/>
          <w:lang w:val="lv-LV"/>
        </w:rPr>
        <w:t xml:space="preserve">., Pamatnostādnēm. Līdz ar to </w:t>
      </w:r>
      <w:r w:rsidR="006C39CA" w:rsidRPr="00B557E8">
        <w:rPr>
          <w:color w:val="000000" w:themeColor="text1"/>
          <w:lang w:val="lv-LV"/>
        </w:rPr>
        <w:t>VI</w:t>
      </w:r>
      <w:r w:rsidRPr="00B557E8">
        <w:rPr>
          <w:color w:val="000000" w:themeColor="text1"/>
          <w:lang w:val="lv-LV"/>
        </w:rPr>
        <w:t xml:space="preserve"> pilnveido metodiku, lai tā atbilstu nacionālajiem tiesību aktiem, tas ir, Maksātnespējas likumam un Pamatnostādnēm. Tāpat arī turpinās diskusija ar DG COMP par Pamatnostādņu piemērošanu un labo praksi grūtībās nonākuša uzņēmuma noteikšanai. Papildus tam </w:t>
      </w:r>
      <w:r w:rsidR="006C39CA" w:rsidRPr="00B557E8">
        <w:rPr>
          <w:color w:val="000000" w:themeColor="text1"/>
          <w:lang w:val="lv-LV"/>
        </w:rPr>
        <w:t>VI</w:t>
      </w:r>
      <w:r w:rsidRPr="00B557E8">
        <w:rPr>
          <w:color w:val="000000" w:themeColor="text1"/>
          <w:lang w:val="lv-LV"/>
        </w:rPr>
        <w:t xml:space="preserve"> šobrīd pārvērtē arī izsniegto aizdevumu un garantiju atbilstību </w:t>
      </w:r>
      <w:r w:rsidR="006C39CA" w:rsidRPr="00B557E8">
        <w:rPr>
          <w:color w:val="000000" w:themeColor="text1"/>
          <w:lang w:val="lv-LV"/>
        </w:rPr>
        <w:t>VI</w:t>
      </w:r>
      <w:r w:rsidRPr="00B557E8">
        <w:rPr>
          <w:color w:val="000000" w:themeColor="text1"/>
          <w:lang w:val="lv-LV"/>
        </w:rPr>
        <w:t xml:space="preserve"> metodikai, lai noteiktu neatbilstoši veikto izdevumu apjomu. </w:t>
      </w:r>
    </w:p>
    <w:p w:rsidR="006C36E6" w:rsidRPr="00B557E8" w:rsidRDefault="006C36E6" w:rsidP="00B557E8">
      <w:pPr>
        <w:pStyle w:val="NormalWeb"/>
        <w:spacing w:before="120" w:beforeAutospacing="0" w:after="120" w:afterAutospacing="0" w:line="276" w:lineRule="auto"/>
        <w:jc w:val="both"/>
        <w:rPr>
          <w:color w:val="000000" w:themeColor="text1"/>
          <w:lang w:val="lv-LV"/>
        </w:rPr>
      </w:pPr>
      <w:r w:rsidRPr="00B557E8">
        <w:rPr>
          <w:color w:val="000000" w:themeColor="text1"/>
          <w:lang w:val="lv-LV"/>
        </w:rPr>
        <w:t xml:space="preserve">FM turpina ieviest augstāk minēto rīcības plānu, lai nodrošinātu atbilstošu finanšu vadības instrumentu ieviešanu, maksimāli ierobežoti neatbilstoši veikto izdevumu rašanās risku un atjaunotu maksājumus no </w:t>
      </w:r>
      <w:r w:rsidR="00EC322F" w:rsidRPr="00B557E8">
        <w:rPr>
          <w:color w:val="000000" w:themeColor="text1"/>
          <w:lang w:val="lv-LV"/>
        </w:rPr>
        <w:t>EK</w:t>
      </w:r>
      <w:r w:rsidRPr="00B557E8">
        <w:rPr>
          <w:color w:val="000000" w:themeColor="text1"/>
          <w:lang w:val="lv-LV"/>
        </w:rPr>
        <w:t xml:space="preserve"> darbības programmas „Uzņēmējdarbība un inovācijas” 2.2.prioritātē „Finanšu pieejamība” jau līdz 2011.gada beigām. </w:t>
      </w:r>
    </w:p>
    <w:p w:rsidR="001E53C0" w:rsidRPr="00B557E8" w:rsidRDefault="006C36E6" w:rsidP="00B557E8">
      <w:pPr>
        <w:spacing w:before="120" w:after="120" w:line="276" w:lineRule="auto"/>
        <w:rPr>
          <w:b/>
          <w:color w:val="000000" w:themeColor="text1"/>
          <w:szCs w:val="24"/>
        </w:rPr>
      </w:pPr>
      <w:r w:rsidRPr="00B557E8">
        <w:rPr>
          <w:b/>
          <w:color w:val="000000" w:themeColor="text1"/>
          <w:szCs w:val="24"/>
        </w:rPr>
        <w:lastRenderedPageBreak/>
        <w:t xml:space="preserve"> </w:t>
      </w:r>
      <w:r w:rsidR="001E53C0" w:rsidRPr="00B557E8">
        <w:rPr>
          <w:b/>
          <w:color w:val="000000" w:themeColor="text1"/>
          <w:szCs w:val="24"/>
        </w:rPr>
        <w:t>„Uzņēmējdarbības veicināšana”</w:t>
      </w:r>
    </w:p>
    <w:p w:rsidR="001C1733" w:rsidRPr="00B557E8" w:rsidRDefault="001C1733" w:rsidP="00B557E8">
      <w:pPr>
        <w:pStyle w:val="NormalWeb"/>
        <w:spacing w:before="120" w:beforeAutospacing="0" w:after="120" w:afterAutospacing="0" w:line="276" w:lineRule="auto"/>
        <w:jc w:val="both"/>
        <w:rPr>
          <w:color w:val="000000" w:themeColor="text1"/>
          <w:lang w:val="lv-LV"/>
        </w:rPr>
      </w:pPr>
      <w:bookmarkStart w:id="21" w:name="_Toc276049978"/>
      <w:r w:rsidRPr="00B557E8">
        <w:rPr>
          <w:color w:val="000000" w:themeColor="text1"/>
          <w:lang w:val="lv-LV"/>
        </w:rPr>
        <w:t xml:space="preserve">Prioritātes ieviešana 2011.gada </w:t>
      </w:r>
      <w:r w:rsidR="00715B76" w:rsidRPr="00B557E8">
        <w:rPr>
          <w:color w:val="000000" w:themeColor="text1"/>
          <w:lang w:val="lv-LV"/>
        </w:rPr>
        <w:t xml:space="preserve">trešajā </w:t>
      </w:r>
      <w:r w:rsidRPr="00B557E8">
        <w:rPr>
          <w:color w:val="000000" w:themeColor="text1"/>
          <w:lang w:val="lv-LV"/>
        </w:rPr>
        <w:t xml:space="preserve">ceturksnī līdzīgi kā iepriekšējā pārskata periodā nesokas tik veiksmīgi kā plānots, par ko liecina līgumu pastāvīga laušana atsevišķās aktivitātēs un līdz ar to arī pilnā apjomā nesasniegtie mērķi maksājumiem finansējuma saņēmējiem. Līgumu laušanas galvenais iemesls ir nekvalitatīva projektu īstenošana, kas ietver arī noslēgto līgumu nosacījumu pārkāpumus un iegādāto iekārtu cenu neatbilstību tirgus situācijai. </w:t>
      </w:r>
    </w:p>
    <w:p w:rsidR="001C1733" w:rsidRPr="00B557E8" w:rsidRDefault="001C1733" w:rsidP="00B557E8">
      <w:pPr>
        <w:pStyle w:val="NormalWeb"/>
        <w:spacing w:before="120" w:beforeAutospacing="0" w:after="120" w:afterAutospacing="0" w:line="276" w:lineRule="auto"/>
        <w:jc w:val="both"/>
        <w:rPr>
          <w:color w:val="000000" w:themeColor="text1"/>
          <w:lang w:val="lv-LV"/>
        </w:rPr>
      </w:pPr>
      <w:r w:rsidRPr="00B557E8">
        <w:rPr>
          <w:color w:val="000000" w:themeColor="text1"/>
          <w:lang w:val="lv-LV"/>
        </w:rPr>
        <w:t xml:space="preserve">Budžeta izpilde nepietiekamā līmenī vērojama praktiski visās prioritātes aktivitātēs, jo īpaši aktivitātē "Atbalsts ieguldījumiem </w:t>
      </w:r>
      <w:proofErr w:type="spellStart"/>
      <w:r w:rsidRPr="00B557E8">
        <w:rPr>
          <w:color w:val="000000" w:themeColor="text1"/>
          <w:lang w:val="lv-LV"/>
        </w:rPr>
        <w:t>mikro</w:t>
      </w:r>
      <w:proofErr w:type="spellEnd"/>
      <w:r w:rsidRPr="00B557E8">
        <w:rPr>
          <w:color w:val="000000" w:themeColor="text1"/>
          <w:lang w:val="lv-LV"/>
        </w:rPr>
        <w:t xml:space="preserve">, maziem un vidējiem komersantiem īpaši atbalstāmajās teritorijās (ĪAT)", kuras mērķis attiecībā uz veiktajiem maksājumiem finansējuma saņēmējiem uz pārskata perioda beigām sasniegts par 39,3% no septembrī plānotā. Vājā mērķa izpilde skaidrojama ar nekvalitatīvi sagatavotiem projektu iesniegumiem, kā arī ar regulāro līgumu laušanu. Ņemot vērā lauzto līgumu apjomu, pastāv risks, ka aktivitāte var netikt ieviesta atbilstoši plānotajam. </w:t>
      </w:r>
    </w:p>
    <w:p w:rsidR="001C1733" w:rsidRPr="00B557E8" w:rsidRDefault="001C1733" w:rsidP="00B557E8">
      <w:pPr>
        <w:pStyle w:val="NormalWeb"/>
        <w:spacing w:before="120" w:beforeAutospacing="0" w:after="120" w:afterAutospacing="0" w:line="276" w:lineRule="auto"/>
        <w:jc w:val="both"/>
        <w:rPr>
          <w:color w:val="000000" w:themeColor="text1"/>
          <w:lang w:val="lv-LV"/>
        </w:rPr>
      </w:pPr>
      <w:r w:rsidRPr="00B557E8">
        <w:rPr>
          <w:color w:val="000000" w:themeColor="text1"/>
          <w:lang w:val="lv-LV"/>
        </w:rPr>
        <w:t xml:space="preserve">Aktivitātē „Ārējo tirgu apgūšana – nozaru starptautiskās konkurētspējas stiprināšana” - mērķis veiktajiem maksājumiem finansējuma saņēmējiem uz 2011.gada septembra beigām sasniegts vien par 27,0% no septembrī plānotā. Zemā mērķa izpilde skaidrojama ar lielo konkursa dalībnieku skaitu, kā arī nepieciešamo saskaņojumu veikšanas rezultātā aizkavējās pārstāvniecību Ukrainā un Baltkrievijā atvēršana. Arī izdevumi plānotājām izstādēm tika veikti vēlāk nekā sākotnēji paredzēts. Rezultātā </w:t>
      </w:r>
      <w:r w:rsidR="00374474" w:rsidRPr="00B557E8">
        <w:rPr>
          <w:color w:val="000000" w:themeColor="text1"/>
          <w:lang w:val="lv-LV"/>
        </w:rPr>
        <w:t>SI</w:t>
      </w:r>
      <w:r w:rsidRPr="00B557E8">
        <w:rPr>
          <w:color w:val="000000" w:themeColor="text1"/>
          <w:lang w:val="lv-LV"/>
        </w:rPr>
        <w:t xml:space="preserve"> iesniegti grozījumi finansēšanas plānos.</w:t>
      </w:r>
    </w:p>
    <w:p w:rsidR="001C1733" w:rsidRPr="00B557E8" w:rsidRDefault="0053690D" w:rsidP="00B557E8">
      <w:pPr>
        <w:pStyle w:val="NormalWeb"/>
        <w:spacing w:before="120" w:beforeAutospacing="0" w:after="120" w:afterAutospacing="0" w:line="276" w:lineRule="auto"/>
        <w:jc w:val="both"/>
        <w:rPr>
          <w:color w:val="000000" w:themeColor="text1"/>
          <w:lang w:val="lv-LV"/>
        </w:rPr>
      </w:pPr>
      <w:r w:rsidRPr="00B557E8">
        <w:rPr>
          <w:color w:val="000000" w:themeColor="text1"/>
          <w:lang w:val="lv-LV"/>
        </w:rPr>
        <w:t xml:space="preserve">LIAA </w:t>
      </w:r>
      <w:r w:rsidR="001C1733" w:rsidRPr="00B557E8">
        <w:rPr>
          <w:color w:val="000000" w:themeColor="text1"/>
          <w:lang w:val="lv-LV"/>
        </w:rPr>
        <w:t>īstenotās aktivitātes „Pasākumi motivācijas celšanai inovācijām un uzņēmējdarbības uzsākšanai” ietvaros pārskata periodā īstenoti vairāki izglītojoši, uz uzņēmējdarbības attīstības veicināšanu vērsti pasākumi:</w:t>
      </w:r>
    </w:p>
    <w:p w:rsidR="001C1733" w:rsidRPr="00B557E8" w:rsidRDefault="001C1733" w:rsidP="00B557E8">
      <w:pPr>
        <w:pStyle w:val="Default"/>
        <w:numPr>
          <w:ilvl w:val="0"/>
          <w:numId w:val="68"/>
        </w:numPr>
        <w:spacing w:before="120" w:after="120" w:line="276" w:lineRule="auto"/>
        <w:jc w:val="both"/>
        <w:rPr>
          <w:rFonts w:eastAsia="Times New Roman"/>
          <w:color w:val="000000" w:themeColor="text1"/>
          <w:lang w:eastAsia="en-US"/>
        </w:rPr>
      </w:pPr>
      <w:r w:rsidRPr="00B557E8">
        <w:rPr>
          <w:rFonts w:eastAsia="Times New Roman"/>
          <w:color w:val="000000" w:themeColor="text1"/>
          <w:lang w:eastAsia="en-US"/>
        </w:rPr>
        <w:t xml:space="preserve">Uzsākta „Skolēnu mācību uzņēmumu pasākumu” organizēšana; </w:t>
      </w:r>
    </w:p>
    <w:p w:rsidR="001C1733" w:rsidRPr="00B557E8" w:rsidRDefault="001C1733" w:rsidP="00B557E8">
      <w:pPr>
        <w:pStyle w:val="Default"/>
        <w:numPr>
          <w:ilvl w:val="0"/>
          <w:numId w:val="68"/>
        </w:numPr>
        <w:spacing w:before="120" w:after="120" w:line="276" w:lineRule="auto"/>
        <w:jc w:val="both"/>
        <w:rPr>
          <w:rFonts w:eastAsia="Times New Roman"/>
          <w:color w:val="000000" w:themeColor="text1"/>
          <w:lang w:eastAsia="en-US"/>
        </w:rPr>
      </w:pPr>
      <w:r w:rsidRPr="00B557E8">
        <w:rPr>
          <w:rFonts w:eastAsia="Times New Roman"/>
          <w:color w:val="000000" w:themeColor="text1"/>
          <w:lang w:eastAsia="en-US"/>
        </w:rPr>
        <w:t>Organizēti pedagogu izglītošanas pasākumi, kuru ietvaros notika trīs vienāda satura semināri, kurus kopumā apmeklēja 142 dalībnieki;</w:t>
      </w:r>
    </w:p>
    <w:p w:rsidR="001C1733" w:rsidRPr="00B557E8" w:rsidRDefault="001C1733" w:rsidP="00B557E8">
      <w:pPr>
        <w:pStyle w:val="Default"/>
        <w:numPr>
          <w:ilvl w:val="0"/>
          <w:numId w:val="68"/>
        </w:numPr>
        <w:spacing w:before="120" w:after="120" w:line="276" w:lineRule="auto"/>
        <w:jc w:val="both"/>
        <w:rPr>
          <w:rFonts w:eastAsia="Times New Roman"/>
          <w:color w:val="000000" w:themeColor="text1"/>
          <w:lang w:eastAsia="en-US"/>
        </w:rPr>
      </w:pPr>
      <w:r w:rsidRPr="00B557E8">
        <w:rPr>
          <w:rFonts w:eastAsia="Times New Roman"/>
          <w:color w:val="000000" w:themeColor="text1"/>
          <w:lang w:eastAsia="en-US"/>
        </w:rPr>
        <w:t>Skolēnu vizītes uzņēmumos, kā ietvaros septembrī apmeklēti tādi uzņēmumi kā SIA „Hanzas elektronika”, SIA „</w:t>
      </w:r>
      <w:proofErr w:type="spellStart"/>
      <w:r w:rsidRPr="00B557E8">
        <w:rPr>
          <w:rFonts w:eastAsia="Times New Roman"/>
          <w:color w:val="000000" w:themeColor="text1"/>
          <w:lang w:eastAsia="en-US"/>
        </w:rPr>
        <w:t>Signum</w:t>
      </w:r>
      <w:proofErr w:type="spellEnd"/>
      <w:r w:rsidRPr="00B557E8">
        <w:rPr>
          <w:rFonts w:eastAsia="Times New Roman"/>
          <w:color w:val="000000" w:themeColor="text1"/>
          <w:lang w:eastAsia="en-US"/>
        </w:rPr>
        <w:t>”, SIA „</w:t>
      </w:r>
      <w:proofErr w:type="spellStart"/>
      <w:r w:rsidRPr="00B557E8">
        <w:rPr>
          <w:rFonts w:eastAsia="Times New Roman"/>
          <w:color w:val="000000" w:themeColor="text1"/>
          <w:lang w:eastAsia="en-US"/>
        </w:rPr>
        <w:t>PeriPer</w:t>
      </w:r>
      <w:proofErr w:type="spellEnd"/>
      <w:r w:rsidRPr="00B557E8">
        <w:rPr>
          <w:rFonts w:eastAsia="Times New Roman"/>
          <w:color w:val="000000" w:themeColor="text1"/>
          <w:lang w:eastAsia="en-US"/>
        </w:rPr>
        <w:t>”, SIA „Rūjienas saldējums” un SIA „</w:t>
      </w:r>
      <w:proofErr w:type="spellStart"/>
      <w:r w:rsidRPr="00B557E8">
        <w:rPr>
          <w:rFonts w:eastAsia="Times New Roman"/>
          <w:color w:val="000000" w:themeColor="text1"/>
          <w:lang w:eastAsia="en-US"/>
        </w:rPr>
        <w:t>Baltic</w:t>
      </w:r>
      <w:proofErr w:type="spellEnd"/>
      <w:r w:rsidRPr="00B557E8">
        <w:rPr>
          <w:rFonts w:eastAsia="Times New Roman"/>
          <w:color w:val="000000" w:themeColor="text1"/>
          <w:lang w:eastAsia="en-US"/>
        </w:rPr>
        <w:t xml:space="preserve"> </w:t>
      </w:r>
      <w:proofErr w:type="spellStart"/>
      <w:r w:rsidRPr="00B557E8">
        <w:rPr>
          <w:rFonts w:eastAsia="Times New Roman"/>
          <w:color w:val="000000" w:themeColor="text1"/>
          <w:lang w:eastAsia="en-US"/>
        </w:rPr>
        <w:t>Candles</w:t>
      </w:r>
      <w:proofErr w:type="spellEnd"/>
      <w:r w:rsidRPr="00B557E8">
        <w:rPr>
          <w:rFonts w:eastAsia="Times New Roman"/>
          <w:color w:val="000000" w:themeColor="text1"/>
          <w:lang w:eastAsia="en-US"/>
        </w:rPr>
        <w:t>”, kuros skolēni iepazīstināti ar uzņēmējdarbības vidi un ar pieejamā atbalsta iespējām uzņēmējdarbības uzsākšanai attiecīgajā reģionā;</w:t>
      </w:r>
    </w:p>
    <w:p w:rsidR="001C1733" w:rsidRPr="00B557E8" w:rsidRDefault="001C1733" w:rsidP="00B557E8">
      <w:pPr>
        <w:pStyle w:val="Default"/>
        <w:numPr>
          <w:ilvl w:val="0"/>
          <w:numId w:val="68"/>
        </w:numPr>
        <w:spacing w:before="120" w:after="120" w:line="276" w:lineRule="auto"/>
        <w:jc w:val="both"/>
        <w:rPr>
          <w:rFonts w:eastAsia="Times New Roman"/>
          <w:color w:val="000000" w:themeColor="text1"/>
          <w:lang w:eastAsia="en-US"/>
        </w:rPr>
      </w:pPr>
      <w:r w:rsidRPr="00B557E8">
        <w:rPr>
          <w:rFonts w:eastAsia="Times New Roman"/>
          <w:color w:val="000000" w:themeColor="text1"/>
          <w:lang w:eastAsia="en-US"/>
        </w:rPr>
        <w:t xml:space="preserve">Ideju Kauss – 2011.gada 13.septembrī oficiāli tika atklāta konkursa 2.kārta, kurā piedalījās dalībnieki, eksperti, organizētāju, </w:t>
      </w:r>
      <w:proofErr w:type="spellStart"/>
      <w:r w:rsidRPr="00B557E8">
        <w:rPr>
          <w:rFonts w:eastAsia="Times New Roman"/>
          <w:color w:val="000000" w:themeColor="text1"/>
          <w:lang w:eastAsia="en-US"/>
        </w:rPr>
        <w:t>rīkotājpartnera</w:t>
      </w:r>
      <w:proofErr w:type="spellEnd"/>
      <w:r w:rsidRPr="00B557E8">
        <w:rPr>
          <w:rFonts w:eastAsia="Times New Roman"/>
          <w:color w:val="000000" w:themeColor="text1"/>
          <w:lang w:eastAsia="en-US"/>
        </w:rPr>
        <w:t xml:space="preserve"> un stratēģisko partneru pārstāvji;</w:t>
      </w:r>
    </w:p>
    <w:p w:rsidR="001C1733" w:rsidRPr="00B557E8" w:rsidRDefault="001C1733" w:rsidP="00B557E8">
      <w:pPr>
        <w:pStyle w:val="Default"/>
        <w:numPr>
          <w:ilvl w:val="0"/>
          <w:numId w:val="68"/>
        </w:numPr>
        <w:spacing w:before="120" w:after="120" w:line="276" w:lineRule="auto"/>
        <w:jc w:val="both"/>
        <w:rPr>
          <w:rFonts w:eastAsia="Times New Roman"/>
          <w:color w:val="000000" w:themeColor="text1"/>
          <w:lang w:eastAsia="en-US"/>
        </w:rPr>
      </w:pPr>
      <w:proofErr w:type="spellStart"/>
      <w:r w:rsidRPr="00B557E8">
        <w:rPr>
          <w:rFonts w:eastAsia="Times New Roman"/>
          <w:color w:val="000000" w:themeColor="text1"/>
          <w:lang w:eastAsia="en-US"/>
        </w:rPr>
        <w:t>Mentoringa</w:t>
      </w:r>
      <w:proofErr w:type="spellEnd"/>
      <w:r w:rsidRPr="00B557E8">
        <w:rPr>
          <w:rFonts w:eastAsia="Times New Roman"/>
          <w:color w:val="000000" w:themeColor="text1"/>
          <w:lang w:eastAsia="en-US"/>
        </w:rPr>
        <w:t xml:space="preserve"> programma, kurā savu dalību kopumā pieteica 40 uzņēmumi, bet apstiprināti tika 20 uzņēmumi. Programma tika realizēta no 2011.gada marta līdz augustam. Tās īstenošanas laikā dalībniekiem tika organizēti četri tematiskie semināri (paredzēto trīs vietā). 2011.gada 22.augustā tika organizēts programmas noslēguma pasākums, kurā piedalījās 40 dalībnieki (</w:t>
      </w:r>
      <w:proofErr w:type="spellStart"/>
      <w:r w:rsidRPr="00B557E8">
        <w:rPr>
          <w:rFonts w:eastAsia="Times New Roman"/>
          <w:color w:val="000000" w:themeColor="text1"/>
          <w:lang w:eastAsia="en-US"/>
        </w:rPr>
        <w:t>t.sk</w:t>
      </w:r>
      <w:proofErr w:type="spellEnd"/>
      <w:r w:rsidRPr="00B557E8">
        <w:rPr>
          <w:rFonts w:eastAsia="Times New Roman"/>
          <w:color w:val="000000" w:themeColor="text1"/>
          <w:lang w:eastAsia="en-US"/>
        </w:rPr>
        <w:t xml:space="preserve">. pieredzes pārņēmēji un </w:t>
      </w:r>
      <w:proofErr w:type="spellStart"/>
      <w:r w:rsidRPr="00B557E8">
        <w:rPr>
          <w:rFonts w:eastAsia="Times New Roman"/>
          <w:color w:val="000000" w:themeColor="text1"/>
          <w:lang w:eastAsia="en-US"/>
        </w:rPr>
        <w:t>mentori</w:t>
      </w:r>
      <w:proofErr w:type="spellEnd"/>
      <w:r w:rsidRPr="00B557E8">
        <w:rPr>
          <w:rFonts w:eastAsia="Times New Roman"/>
          <w:color w:val="000000" w:themeColor="text1"/>
          <w:lang w:eastAsia="en-US"/>
        </w:rPr>
        <w:t>).</w:t>
      </w:r>
    </w:p>
    <w:p w:rsidR="001C1733" w:rsidRPr="00B557E8" w:rsidRDefault="001C1733" w:rsidP="00B557E8">
      <w:pPr>
        <w:pStyle w:val="NormalWeb"/>
        <w:spacing w:before="120" w:beforeAutospacing="0" w:after="120" w:afterAutospacing="0" w:line="276" w:lineRule="auto"/>
        <w:jc w:val="both"/>
        <w:rPr>
          <w:color w:val="000000" w:themeColor="text1"/>
          <w:lang w:val="lv-LV"/>
        </w:rPr>
      </w:pPr>
      <w:r w:rsidRPr="00B557E8">
        <w:rPr>
          <w:color w:val="000000" w:themeColor="text1"/>
          <w:lang w:val="lv-LV"/>
        </w:rPr>
        <w:t xml:space="preserve">Savukārt attiecībā uz rādītāju izpildi prioritātē vairāki rādītāji pārsniedz gala plānu, piemēram, uz ārējo tirgu apgūšanu vērsto atbalstīto projektu skaits, motivācijas programmās iesaistīto personu skaits, ekonomiski aktīvo uzņēmumu skaits, kas saņēmuši atbalstu biznesa inkubatoros. Efektīvākās aktivitātes rādītāju sasniegšanas ziņā ir „Pasākumi motivācijas celšanai inovācijām un uzņēmējdarbības uzsākšanai” un „Biznesa inkubatori”.  </w:t>
      </w:r>
    </w:p>
    <w:p w:rsidR="001E53C0" w:rsidRPr="00B557E8" w:rsidRDefault="001C1733" w:rsidP="00B557E8">
      <w:pPr>
        <w:pStyle w:val="NormalWeb"/>
        <w:spacing w:before="120" w:beforeAutospacing="0" w:after="120" w:afterAutospacing="0" w:line="276" w:lineRule="auto"/>
        <w:jc w:val="both"/>
        <w:rPr>
          <w:color w:val="000000" w:themeColor="text1"/>
          <w:lang w:val="lv-LV"/>
        </w:rPr>
      </w:pPr>
      <w:r w:rsidRPr="00B557E8">
        <w:rPr>
          <w:color w:val="000000" w:themeColor="text1"/>
          <w:lang w:val="lv-LV"/>
        </w:rPr>
        <w:lastRenderedPageBreak/>
        <w:t>Informāciju par aktivitātes „</w:t>
      </w:r>
      <w:r w:rsidR="008F27FF" w:rsidRPr="00B557E8">
        <w:rPr>
          <w:color w:val="000000" w:themeColor="text1"/>
          <w:lang w:val="lv-LV"/>
        </w:rPr>
        <w:t>TP</w:t>
      </w:r>
      <w:r w:rsidRPr="00B557E8">
        <w:rPr>
          <w:color w:val="000000" w:themeColor="text1"/>
          <w:lang w:val="lv-LV"/>
        </w:rPr>
        <w:t>” īstenošanu lūdzam skatīt sadaļā 1.4. „Tehniskās palīdzības aktivitāšu īstenošana”.</w:t>
      </w:r>
      <w:r w:rsidR="007A1743" w:rsidRPr="00B557E8">
        <w:rPr>
          <w:color w:val="000000" w:themeColor="text1"/>
          <w:lang w:val="lv-LV"/>
        </w:rPr>
        <w:t xml:space="preserve"> </w:t>
      </w:r>
      <w:r w:rsidR="001E53C0" w:rsidRPr="00B557E8">
        <w:rPr>
          <w:color w:val="000000" w:themeColor="text1"/>
          <w:lang w:val="lv-LV"/>
        </w:rPr>
        <w:t xml:space="preserve"> </w:t>
      </w:r>
    </w:p>
    <w:p w:rsidR="001E53C0" w:rsidRPr="00B557E8" w:rsidRDefault="001E53C0" w:rsidP="00B557E8">
      <w:pPr>
        <w:spacing w:before="120" w:after="120" w:line="276" w:lineRule="auto"/>
        <w:rPr>
          <w:b/>
          <w:color w:val="000000" w:themeColor="text1"/>
          <w:szCs w:val="24"/>
        </w:rPr>
      </w:pPr>
      <w:r w:rsidRPr="00B557E8">
        <w:rPr>
          <w:b/>
          <w:color w:val="000000" w:themeColor="text1"/>
          <w:szCs w:val="24"/>
        </w:rPr>
        <w:t>1.</w:t>
      </w:r>
      <w:r w:rsidR="00017679" w:rsidRPr="00B557E8">
        <w:rPr>
          <w:b/>
          <w:color w:val="000000" w:themeColor="text1"/>
          <w:szCs w:val="24"/>
        </w:rPr>
        <w:t>4</w:t>
      </w:r>
      <w:r w:rsidRPr="00B557E8">
        <w:rPr>
          <w:b/>
          <w:color w:val="000000" w:themeColor="text1"/>
          <w:szCs w:val="24"/>
        </w:rPr>
        <w:t xml:space="preserve">.3. Darbības programma </w:t>
      </w:r>
      <w:bookmarkEnd w:id="21"/>
      <w:r w:rsidRPr="00B557E8">
        <w:rPr>
          <w:b/>
          <w:color w:val="000000" w:themeColor="text1"/>
          <w:szCs w:val="24"/>
        </w:rPr>
        <w:t>„Infrastruktūra un pakalpojumi”</w:t>
      </w:r>
    </w:p>
    <w:p w:rsidR="00F45D55" w:rsidRPr="00B557E8" w:rsidRDefault="00F45D55" w:rsidP="00B557E8">
      <w:pPr>
        <w:spacing w:before="120" w:after="120" w:line="276" w:lineRule="auto"/>
        <w:rPr>
          <w:color w:val="000000" w:themeColor="text1"/>
          <w:szCs w:val="24"/>
        </w:rPr>
      </w:pPr>
      <w:r w:rsidRPr="00B557E8">
        <w:rPr>
          <w:color w:val="000000" w:themeColor="text1"/>
          <w:szCs w:val="24"/>
        </w:rPr>
        <w:t>Kopumā darbības programmas ietvaros ir bijis lielākais progress attiecībā uz apstiprināto projektu un noslēgto līgumu progresu, salīdzinot ar pārējām darbības programmām, galvenokārt, veselības</w:t>
      </w:r>
      <w:r w:rsidR="0061320F" w:rsidRPr="00B557E8">
        <w:rPr>
          <w:color w:val="000000" w:themeColor="text1"/>
          <w:szCs w:val="24"/>
        </w:rPr>
        <w:t xml:space="preserve"> infrastruktūras</w:t>
      </w:r>
      <w:r w:rsidRPr="00B557E8">
        <w:rPr>
          <w:color w:val="000000" w:themeColor="text1"/>
          <w:szCs w:val="24"/>
        </w:rPr>
        <w:t xml:space="preserve"> un </w:t>
      </w:r>
      <w:proofErr w:type="spellStart"/>
      <w:r w:rsidRPr="00B557E8">
        <w:rPr>
          <w:color w:val="000000" w:themeColor="text1"/>
          <w:szCs w:val="24"/>
        </w:rPr>
        <w:t>policentriskas</w:t>
      </w:r>
      <w:proofErr w:type="spellEnd"/>
      <w:r w:rsidRPr="00B557E8">
        <w:rPr>
          <w:color w:val="000000" w:themeColor="text1"/>
          <w:szCs w:val="24"/>
        </w:rPr>
        <w:t xml:space="preserve"> attīstības jomās. Lai gan</w:t>
      </w:r>
      <w:r w:rsidR="005B25C8" w:rsidRPr="00B557E8">
        <w:rPr>
          <w:color w:val="000000" w:themeColor="text1"/>
          <w:szCs w:val="24"/>
        </w:rPr>
        <w:t xml:space="preserve"> maksājumi 2011.gada 3.cetruksnī</w:t>
      </w:r>
      <w:r w:rsidRPr="00B557E8">
        <w:rPr>
          <w:color w:val="000000" w:themeColor="text1"/>
          <w:szCs w:val="24"/>
        </w:rPr>
        <w:t xml:space="preserve"> darbības programmas ietvaros veikti par vairāk nekā 75</w:t>
      </w:r>
      <w:r w:rsidR="0056254C" w:rsidRPr="00B557E8">
        <w:rPr>
          <w:color w:val="000000" w:themeColor="text1"/>
          <w:szCs w:val="24"/>
        </w:rPr>
        <w:t>,</w:t>
      </w:r>
      <w:r w:rsidRPr="00B557E8">
        <w:rPr>
          <w:color w:val="000000" w:themeColor="text1"/>
          <w:szCs w:val="24"/>
        </w:rPr>
        <w:t xml:space="preserve">5 </w:t>
      </w:r>
      <w:proofErr w:type="spellStart"/>
      <w:r w:rsidRPr="00B557E8">
        <w:rPr>
          <w:color w:val="000000" w:themeColor="text1"/>
          <w:szCs w:val="24"/>
        </w:rPr>
        <w:t>milj</w:t>
      </w:r>
      <w:proofErr w:type="spellEnd"/>
      <w:r w:rsidRPr="00B557E8">
        <w:rPr>
          <w:color w:val="000000" w:themeColor="text1"/>
          <w:szCs w:val="24"/>
        </w:rPr>
        <w:t>. latu publiskā finansējuma, taču maksājumi ir mazāki nekā finanšu apguves mērķ</w:t>
      </w:r>
      <w:r w:rsidR="005B25C8" w:rsidRPr="00B557E8">
        <w:rPr>
          <w:color w:val="000000" w:themeColor="text1"/>
          <w:szCs w:val="24"/>
        </w:rPr>
        <w:t>ī noteiktie</w:t>
      </w:r>
      <w:r w:rsidRPr="00B557E8">
        <w:rPr>
          <w:color w:val="000000" w:themeColor="text1"/>
          <w:szCs w:val="24"/>
        </w:rPr>
        <w:t xml:space="preserve">.  </w:t>
      </w:r>
    </w:p>
    <w:p w:rsidR="00F45D55" w:rsidRPr="00B557E8" w:rsidRDefault="00F45D55" w:rsidP="00B557E8">
      <w:pPr>
        <w:spacing w:before="120" w:after="120" w:line="276" w:lineRule="auto"/>
        <w:rPr>
          <w:color w:val="000000" w:themeColor="text1"/>
          <w:szCs w:val="24"/>
        </w:rPr>
      </w:pPr>
      <w:r w:rsidRPr="00B557E8">
        <w:rPr>
          <w:color w:val="000000" w:themeColor="text1"/>
          <w:szCs w:val="24"/>
        </w:rPr>
        <w:t xml:space="preserve">Ņemot vērā sezonalitātes ietekmi uz infrastruktūras projektiem, </w:t>
      </w:r>
      <w:r w:rsidR="005B25C8" w:rsidRPr="00B557E8">
        <w:rPr>
          <w:color w:val="000000" w:themeColor="text1"/>
          <w:szCs w:val="24"/>
        </w:rPr>
        <w:t xml:space="preserve">AI plāno </w:t>
      </w:r>
      <w:r w:rsidRPr="00B557E8">
        <w:rPr>
          <w:color w:val="000000" w:themeColor="text1"/>
          <w:szCs w:val="24"/>
        </w:rPr>
        <w:t>nozīmīg</w:t>
      </w:r>
      <w:r w:rsidR="005B25C8" w:rsidRPr="00B557E8">
        <w:rPr>
          <w:color w:val="000000" w:themeColor="text1"/>
          <w:szCs w:val="24"/>
        </w:rPr>
        <w:t>u</w:t>
      </w:r>
      <w:r w:rsidRPr="00B557E8">
        <w:rPr>
          <w:color w:val="000000" w:themeColor="text1"/>
          <w:szCs w:val="24"/>
        </w:rPr>
        <w:t xml:space="preserve"> progres</w:t>
      </w:r>
      <w:r w:rsidR="005B25C8" w:rsidRPr="00B557E8">
        <w:rPr>
          <w:color w:val="000000" w:themeColor="text1"/>
          <w:szCs w:val="24"/>
        </w:rPr>
        <w:t>u</w:t>
      </w:r>
      <w:r w:rsidRPr="00B557E8">
        <w:rPr>
          <w:color w:val="000000" w:themeColor="text1"/>
          <w:szCs w:val="24"/>
        </w:rPr>
        <w:t xml:space="preserve"> maksājumu veikšanā 2011.gada novembrī un decembrī, kad finansējuma saņēmēji atskaitī</w:t>
      </w:r>
      <w:r w:rsidR="005B25C8" w:rsidRPr="00B557E8">
        <w:rPr>
          <w:color w:val="000000" w:themeColor="text1"/>
          <w:szCs w:val="24"/>
        </w:rPr>
        <w:t>s</w:t>
      </w:r>
      <w:r w:rsidRPr="00B557E8">
        <w:rPr>
          <w:color w:val="000000" w:themeColor="text1"/>
          <w:szCs w:val="24"/>
        </w:rPr>
        <w:t xml:space="preserve">ies par vasaras un rudens mēnešos paveiktajiem darbiem. </w:t>
      </w:r>
    </w:p>
    <w:p w:rsidR="001E53C0" w:rsidRPr="00B557E8" w:rsidRDefault="00F45D55" w:rsidP="00B557E8">
      <w:pPr>
        <w:spacing w:before="120" w:after="120" w:line="276" w:lineRule="auto"/>
        <w:rPr>
          <w:color w:val="000000" w:themeColor="text1"/>
          <w:szCs w:val="24"/>
          <w:highlight w:val="yellow"/>
        </w:rPr>
      </w:pPr>
      <w:r w:rsidRPr="00B557E8">
        <w:rPr>
          <w:color w:val="000000" w:themeColor="text1"/>
          <w:szCs w:val="24"/>
        </w:rPr>
        <w:t>Galvenie projektu ieviešanu kavējošie faktori joprojām ir iepirkumu problēmas (sūdzības, iepirkumu beigšanās bez rezultātiem, problēmas  iepirkumu procedūras norisē) un pieaugošs sadārdzinājums autoceļu būvniecības un ūdenssaimniecības projektos.</w:t>
      </w:r>
    </w:p>
    <w:p w:rsidR="003B2E97" w:rsidRDefault="003B2E97">
      <w:pPr>
        <w:jc w:val="left"/>
        <w:rPr>
          <w:color w:val="000000" w:themeColor="text1"/>
          <w:szCs w:val="24"/>
        </w:rPr>
      </w:pPr>
      <w:r>
        <w:rPr>
          <w:color w:val="000000" w:themeColor="text1"/>
          <w:szCs w:val="24"/>
        </w:rPr>
        <w:br w:type="page"/>
      </w:r>
    </w:p>
    <w:p w:rsidR="003B2E97" w:rsidRDefault="001E53C0" w:rsidP="00B557E8">
      <w:pPr>
        <w:spacing w:before="120" w:after="120" w:line="276" w:lineRule="auto"/>
        <w:rPr>
          <w:color w:val="000000" w:themeColor="text1"/>
          <w:szCs w:val="24"/>
        </w:rPr>
      </w:pPr>
      <w:r w:rsidRPr="00B557E8">
        <w:rPr>
          <w:color w:val="000000" w:themeColor="text1"/>
          <w:szCs w:val="24"/>
        </w:rPr>
        <w:lastRenderedPageBreak/>
        <w:t>Grafiks Nr.</w:t>
      </w:r>
      <w:r w:rsidR="00814B1D" w:rsidRPr="00B557E8">
        <w:rPr>
          <w:color w:val="000000" w:themeColor="text1"/>
          <w:szCs w:val="24"/>
        </w:rPr>
        <w:t>1</w:t>
      </w:r>
      <w:r w:rsidR="00EC7B49" w:rsidRPr="00B557E8">
        <w:rPr>
          <w:color w:val="000000" w:themeColor="text1"/>
          <w:szCs w:val="24"/>
        </w:rPr>
        <w:t>4</w:t>
      </w:r>
      <w:r w:rsidRPr="00B557E8">
        <w:rPr>
          <w:i/>
          <w:color w:val="000000" w:themeColor="text1"/>
          <w:szCs w:val="24"/>
        </w:rPr>
        <w:t xml:space="preserve"> „ES fondu finanšu apguve darbības programmā „Infrastruktūra un pakalpojumi; </w:t>
      </w:r>
      <w:proofErr w:type="spellStart"/>
      <w:r w:rsidRPr="00B557E8">
        <w:rPr>
          <w:i/>
          <w:color w:val="000000" w:themeColor="text1"/>
          <w:szCs w:val="24"/>
        </w:rPr>
        <w:t>milj</w:t>
      </w:r>
      <w:proofErr w:type="spellEnd"/>
      <w:r w:rsidRPr="00B557E8">
        <w:rPr>
          <w:i/>
          <w:color w:val="000000" w:themeColor="text1"/>
          <w:szCs w:val="24"/>
        </w:rPr>
        <w:t xml:space="preserve">. LVL, (% no pieejamā publiskā finansējuma); % progress pret datiem uz </w:t>
      </w:r>
      <w:bookmarkStart w:id="22" w:name="_MailAutoSig"/>
      <w:r w:rsidR="003B2E97">
        <w:rPr>
          <w:i/>
          <w:color w:val="000000" w:themeColor="text1"/>
          <w:szCs w:val="24"/>
        </w:rPr>
        <w:t xml:space="preserve">31.03.2011.” </w:t>
      </w:r>
      <w:bookmarkEnd w:id="22"/>
    </w:p>
    <w:p w:rsidR="005048E1" w:rsidRPr="003B2E97" w:rsidRDefault="003A4BB5" w:rsidP="00B557E8">
      <w:pPr>
        <w:spacing w:before="120" w:after="120" w:line="276" w:lineRule="auto"/>
        <w:rPr>
          <w:color w:val="000000" w:themeColor="text1"/>
          <w:szCs w:val="24"/>
        </w:rPr>
      </w:pPr>
      <w:r w:rsidRPr="00B557E8">
        <w:rPr>
          <w:noProof/>
          <w:color w:val="000000" w:themeColor="text1"/>
          <w:szCs w:val="24"/>
          <w:lang w:eastAsia="lv-LV"/>
        </w:rPr>
        <w:drawing>
          <wp:inline distT="0" distB="0" distL="0" distR="0" wp14:anchorId="16A720E3" wp14:editId="24A56EB9">
            <wp:extent cx="6042355" cy="5310835"/>
            <wp:effectExtent l="0" t="0" r="0" b="444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E53C0" w:rsidRPr="00B557E8" w:rsidRDefault="001E53C0" w:rsidP="00B557E8">
      <w:pPr>
        <w:pStyle w:val="NoSpacing"/>
        <w:spacing w:before="120" w:after="120" w:line="276" w:lineRule="auto"/>
        <w:jc w:val="both"/>
        <w:rPr>
          <w:b/>
          <w:color w:val="000000" w:themeColor="text1"/>
        </w:rPr>
      </w:pPr>
      <w:r w:rsidRPr="00B557E8">
        <w:rPr>
          <w:b/>
          <w:color w:val="000000" w:themeColor="text1"/>
        </w:rPr>
        <w:t>„Infrastruktūra cilvēku kapitāla nostiprināšanai”</w:t>
      </w:r>
    </w:p>
    <w:p w:rsidR="00F45D55" w:rsidRPr="00B557E8" w:rsidRDefault="00F45D55" w:rsidP="00B557E8">
      <w:pPr>
        <w:pStyle w:val="Default"/>
        <w:spacing w:before="120" w:after="120" w:line="276" w:lineRule="auto"/>
        <w:jc w:val="both"/>
        <w:rPr>
          <w:color w:val="000000" w:themeColor="text1"/>
        </w:rPr>
      </w:pPr>
      <w:r w:rsidRPr="00B557E8">
        <w:rPr>
          <w:color w:val="000000" w:themeColor="text1"/>
        </w:rPr>
        <w:t xml:space="preserve">Prioritāte vērsta uz mūsdienīgas un augstas kvalitātes pakalpojumu nodrošināšanu izglītības, nodarbinātības, sociālās un veselības aprūpes jomās, atbalstu pamatā novirzot infrastruktūras un aprīkojuma uzlabošanai. </w:t>
      </w:r>
    </w:p>
    <w:p w:rsidR="00F45D55" w:rsidRPr="00B557E8" w:rsidRDefault="00F45D55" w:rsidP="00B557E8">
      <w:pPr>
        <w:spacing w:before="120" w:after="120" w:line="276" w:lineRule="auto"/>
        <w:rPr>
          <w:color w:val="000000" w:themeColor="text1"/>
          <w:szCs w:val="24"/>
        </w:rPr>
      </w:pPr>
      <w:r w:rsidRPr="00B557E8">
        <w:rPr>
          <w:color w:val="000000" w:themeColor="text1"/>
          <w:szCs w:val="24"/>
        </w:rPr>
        <w:t xml:space="preserve">Prioritātes ietvaros pārskata periodā </w:t>
      </w:r>
      <w:r w:rsidR="00846D42" w:rsidRPr="00B557E8">
        <w:rPr>
          <w:color w:val="000000" w:themeColor="text1"/>
          <w:szCs w:val="24"/>
        </w:rPr>
        <w:t xml:space="preserve">ir </w:t>
      </w:r>
      <w:r w:rsidRPr="00B557E8">
        <w:rPr>
          <w:color w:val="000000" w:themeColor="text1"/>
          <w:szCs w:val="24"/>
        </w:rPr>
        <w:t xml:space="preserve">vērojams būtisks progress apstiprināto projektu ziņā, </w:t>
      </w:r>
      <w:r w:rsidR="00846D42" w:rsidRPr="00B557E8">
        <w:rPr>
          <w:color w:val="000000" w:themeColor="text1"/>
          <w:szCs w:val="24"/>
        </w:rPr>
        <w:t>pārsvarā uz</w:t>
      </w:r>
      <w:r w:rsidRPr="00B557E8">
        <w:rPr>
          <w:color w:val="000000" w:themeColor="text1"/>
          <w:szCs w:val="24"/>
        </w:rPr>
        <w:t xml:space="preserve"> veselības aprūpes infrastruktūr</w:t>
      </w:r>
      <w:r w:rsidR="00846D42" w:rsidRPr="00B557E8">
        <w:rPr>
          <w:color w:val="000000" w:themeColor="text1"/>
          <w:szCs w:val="24"/>
        </w:rPr>
        <w:t xml:space="preserve">as </w:t>
      </w:r>
      <w:r w:rsidRPr="00B557E8">
        <w:rPr>
          <w:color w:val="000000" w:themeColor="text1"/>
          <w:szCs w:val="24"/>
        </w:rPr>
        <w:t>aktivitā</w:t>
      </w:r>
      <w:r w:rsidR="00846D42" w:rsidRPr="00B557E8">
        <w:rPr>
          <w:color w:val="000000" w:themeColor="text1"/>
          <w:szCs w:val="24"/>
        </w:rPr>
        <w:t>šu rēķina</w:t>
      </w:r>
      <w:r w:rsidRPr="00B557E8">
        <w:rPr>
          <w:color w:val="000000" w:themeColor="text1"/>
          <w:szCs w:val="24"/>
        </w:rPr>
        <w:t>.</w:t>
      </w:r>
      <w:r w:rsidR="002C4C64" w:rsidRPr="00B557E8">
        <w:rPr>
          <w:color w:val="000000" w:themeColor="text1"/>
          <w:szCs w:val="24"/>
        </w:rPr>
        <w:t xml:space="preserve"> Apstiprināto projektu summa pārsniedz piešķirto finansējumu, jo finansējuma saņēmējiem bija iespēja ieguldīt vairāk finansējuma nekā noteikts, kas finansējuma saņēmējiem deva papildus punktus, lai projekts tiktu apstiprināts.</w:t>
      </w:r>
    </w:p>
    <w:p w:rsidR="00F45D55" w:rsidRPr="00B557E8" w:rsidRDefault="00F45D55" w:rsidP="00B557E8">
      <w:pPr>
        <w:spacing w:before="120" w:after="120" w:line="276" w:lineRule="auto"/>
        <w:rPr>
          <w:color w:val="000000" w:themeColor="text1"/>
          <w:szCs w:val="24"/>
        </w:rPr>
      </w:pPr>
      <w:r w:rsidRPr="00B557E8">
        <w:rPr>
          <w:color w:val="000000" w:themeColor="text1"/>
          <w:szCs w:val="24"/>
        </w:rPr>
        <w:t>Attiecībā uz maksājumiem finansējuma saņēmējiem, pozitīvi vērtējams progress aktivitātēs, kas saistītas ar vispārējās izglītības infrastruktūras uzlabošanu, kurās ceturkšņa ietvaros veikti  maksājumi finansējuma saņēmējiem par 6</w:t>
      </w:r>
      <w:r w:rsidR="007654B9" w:rsidRPr="00B557E8">
        <w:rPr>
          <w:color w:val="000000" w:themeColor="text1"/>
          <w:szCs w:val="24"/>
        </w:rPr>
        <w:t>,</w:t>
      </w:r>
      <w:r w:rsidRPr="00B557E8">
        <w:rPr>
          <w:color w:val="000000" w:themeColor="text1"/>
          <w:szCs w:val="24"/>
        </w:rPr>
        <w:t xml:space="preserve">9% jeb vairāk kā 2 </w:t>
      </w:r>
      <w:proofErr w:type="spellStart"/>
      <w:r w:rsidRPr="00B557E8">
        <w:rPr>
          <w:color w:val="000000" w:themeColor="text1"/>
          <w:szCs w:val="24"/>
        </w:rPr>
        <w:t>milj</w:t>
      </w:r>
      <w:proofErr w:type="spellEnd"/>
      <w:r w:rsidRPr="00B557E8">
        <w:rPr>
          <w:color w:val="000000" w:themeColor="text1"/>
          <w:szCs w:val="24"/>
        </w:rPr>
        <w:t>. latu.</w:t>
      </w:r>
    </w:p>
    <w:p w:rsidR="00F45D55" w:rsidRPr="00B557E8" w:rsidRDefault="00F45D55" w:rsidP="00B557E8">
      <w:pPr>
        <w:spacing w:before="120" w:after="120" w:line="276" w:lineRule="auto"/>
        <w:rPr>
          <w:color w:val="000000" w:themeColor="text1"/>
          <w:szCs w:val="24"/>
        </w:rPr>
      </w:pPr>
      <w:r w:rsidRPr="00B557E8">
        <w:rPr>
          <w:b/>
          <w:color w:val="000000" w:themeColor="text1"/>
          <w:szCs w:val="24"/>
        </w:rPr>
        <w:lastRenderedPageBreak/>
        <w:t>Izglītības jomā</w:t>
      </w:r>
      <w:r w:rsidRPr="00B557E8">
        <w:rPr>
          <w:color w:val="000000" w:themeColor="text1"/>
          <w:szCs w:val="24"/>
        </w:rPr>
        <w:t xml:space="preserve"> </w:t>
      </w:r>
      <w:r w:rsidR="00715B76" w:rsidRPr="00B557E8">
        <w:rPr>
          <w:color w:val="000000" w:themeColor="text1"/>
          <w:szCs w:val="24"/>
        </w:rPr>
        <w:t xml:space="preserve">trešajā </w:t>
      </w:r>
      <w:r w:rsidRPr="00B557E8">
        <w:rPr>
          <w:color w:val="000000" w:themeColor="text1"/>
          <w:szCs w:val="24"/>
        </w:rPr>
        <w:t>ceturksnī projektu ietvaros turpinājušies remonta un labiekārtošanas darbi izglītības iestādēs, jaunu iepirkumu veikšana. Pozitīvi vērtējams fakts, ka pārskata periodā vēl 11 iestādēs tika pabeigta dabaszinātņu kabinetu modernizācija, vienā iestādē telpas pielāgotas skolēniem ar funkcionāliem traucējumiem, divās speciālajās izglītības iestādēs uzlabota infrastruktūra un mācību vide, tādejādi padarot mācību procesu skolās gan kvalitatīvāku, gan pieejamāku. Vērtējot kopējo izglītības jomā noteiktā mērķa maksājumiem finansējuma saņēmējiem izpildi, secināms, k</w:t>
      </w:r>
      <w:r w:rsidR="0061320F" w:rsidRPr="00B557E8">
        <w:rPr>
          <w:color w:val="000000" w:themeColor="text1"/>
          <w:szCs w:val="24"/>
        </w:rPr>
        <w:t>a</w:t>
      </w:r>
      <w:r w:rsidRPr="00B557E8">
        <w:rPr>
          <w:color w:val="000000" w:themeColor="text1"/>
          <w:szCs w:val="24"/>
        </w:rPr>
        <w:t xml:space="preserve"> uz 2011.gada 3.ceturkšņa beigām tas nav izpildīts pat par pusi no plānotā, neskatoties uz to, ka iestādes izdevumus pa mēnešiem plānoja ļoti piesardzīgi un nenoteica pārlieku lielus izpildes mērķus. Lielākā neizpilde (86,7%) vērojama profesionālās izglītības infrastruktūras projektos. Savukārt citos prioritātes pasākumos, kas saistīti ar veselības infrastruktūras un vispārējās izglītības infrastruktūras uzlabošanu, maksājumi finansējuma saņēmējiem veikti gandrīz par visu uz pārskata perioda beigām plānoto summu. Galvenie kavējumu iemesli ir iepirkumu problēmas, kā arī konstatētas neatbilstības projektu ietvaros.</w:t>
      </w:r>
    </w:p>
    <w:p w:rsidR="00CD7CBC" w:rsidRPr="00B557E8" w:rsidRDefault="00374474" w:rsidP="00B557E8">
      <w:pPr>
        <w:spacing w:before="120" w:after="120" w:line="276" w:lineRule="auto"/>
        <w:rPr>
          <w:color w:val="000000" w:themeColor="text1"/>
          <w:szCs w:val="24"/>
          <w:highlight w:val="yellow"/>
        </w:rPr>
      </w:pPr>
      <w:r w:rsidRPr="00B557E8">
        <w:rPr>
          <w:color w:val="000000" w:themeColor="text1"/>
          <w:szCs w:val="24"/>
        </w:rPr>
        <w:t>AI</w:t>
      </w:r>
      <w:r w:rsidR="009C17EE" w:rsidRPr="00B557E8">
        <w:rPr>
          <w:color w:val="000000" w:themeColor="text1"/>
          <w:szCs w:val="24"/>
        </w:rPr>
        <w:t xml:space="preserve"> (</w:t>
      </w:r>
      <w:proofErr w:type="spellStart"/>
      <w:r w:rsidR="009C17EE" w:rsidRPr="00B557E8">
        <w:rPr>
          <w:color w:val="000000" w:themeColor="text1"/>
          <w:szCs w:val="24"/>
        </w:rPr>
        <w:t>piem</w:t>
      </w:r>
      <w:proofErr w:type="spellEnd"/>
      <w:r w:rsidR="009C17EE" w:rsidRPr="00B557E8">
        <w:rPr>
          <w:color w:val="000000" w:themeColor="text1"/>
          <w:szCs w:val="24"/>
        </w:rPr>
        <w:t>. IZM)</w:t>
      </w:r>
      <w:r w:rsidR="00CD7CBC" w:rsidRPr="00B557E8">
        <w:rPr>
          <w:color w:val="000000" w:themeColor="text1"/>
          <w:szCs w:val="24"/>
        </w:rPr>
        <w:t xml:space="preserve"> </w:t>
      </w:r>
      <w:r w:rsidR="009C17EE" w:rsidRPr="00B557E8">
        <w:rPr>
          <w:color w:val="000000" w:themeColor="text1"/>
          <w:szCs w:val="24"/>
        </w:rPr>
        <w:t>skaidro, ka tās</w:t>
      </w:r>
      <w:r w:rsidR="00CD7CBC" w:rsidRPr="00B557E8">
        <w:rPr>
          <w:color w:val="000000" w:themeColor="text1"/>
          <w:szCs w:val="24"/>
        </w:rPr>
        <w:t xml:space="preserve"> ievērojami pastiprinājušas finansējuma saņēmēju veikto iepirkumu uzraudzību, tādejādi preventīvi mazinot neatbilstoši veikto izdevumu rašanos, kas ilgtermiņā uzlabos apguves apjomus</w:t>
      </w:r>
      <w:r w:rsidR="009C17EE" w:rsidRPr="00B557E8">
        <w:rPr>
          <w:color w:val="000000" w:themeColor="text1"/>
          <w:szCs w:val="24"/>
        </w:rPr>
        <w:t>, tomēr kavē</w:t>
      </w:r>
      <w:r w:rsidR="0061320F" w:rsidRPr="00B557E8">
        <w:rPr>
          <w:color w:val="000000" w:themeColor="text1"/>
          <w:szCs w:val="24"/>
        </w:rPr>
        <w:t>ja</w:t>
      </w:r>
      <w:r w:rsidR="009C17EE" w:rsidRPr="00B557E8">
        <w:rPr>
          <w:color w:val="000000" w:themeColor="text1"/>
          <w:szCs w:val="24"/>
        </w:rPr>
        <w:t xml:space="preserve"> maksājumu veikšanu</w:t>
      </w:r>
      <w:r w:rsidR="0061320F" w:rsidRPr="00B557E8">
        <w:rPr>
          <w:color w:val="000000" w:themeColor="text1"/>
          <w:szCs w:val="24"/>
        </w:rPr>
        <w:t xml:space="preserve"> pārskata periodā</w:t>
      </w:r>
      <w:r w:rsidR="00CD7CBC" w:rsidRPr="00B557E8">
        <w:rPr>
          <w:color w:val="000000" w:themeColor="text1"/>
          <w:szCs w:val="24"/>
        </w:rPr>
        <w:t>.</w:t>
      </w:r>
    </w:p>
    <w:p w:rsidR="00F45D55" w:rsidRPr="00B557E8" w:rsidRDefault="00F45D55" w:rsidP="00B557E8">
      <w:pPr>
        <w:spacing w:before="120" w:after="120" w:line="276" w:lineRule="auto"/>
        <w:rPr>
          <w:color w:val="000000" w:themeColor="text1"/>
          <w:szCs w:val="24"/>
        </w:rPr>
      </w:pPr>
      <w:r w:rsidRPr="00B557E8">
        <w:rPr>
          <w:color w:val="000000" w:themeColor="text1"/>
          <w:szCs w:val="24"/>
        </w:rPr>
        <w:t xml:space="preserve">Vienlaikus jāatzīmē, ka 2011.gada </w:t>
      </w:r>
      <w:r w:rsidR="00715B76" w:rsidRPr="00B557E8">
        <w:rPr>
          <w:color w:val="000000" w:themeColor="text1"/>
          <w:szCs w:val="24"/>
        </w:rPr>
        <w:t xml:space="preserve">trešajā </w:t>
      </w:r>
      <w:r w:rsidRPr="00B557E8">
        <w:rPr>
          <w:color w:val="000000" w:themeColor="text1"/>
          <w:szCs w:val="24"/>
        </w:rPr>
        <w:t xml:space="preserve">ceturksnī papildus jau konstatētajam riskam, ka  </w:t>
      </w:r>
      <w:r w:rsidR="0061320F" w:rsidRPr="00B557E8">
        <w:rPr>
          <w:color w:val="000000" w:themeColor="text1"/>
          <w:szCs w:val="24"/>
        </w:rPr>
        <w:t xml:space="preserve">nebūs nodrošināta </w:t>
      </w:r>
      <w:r w:rsidRPr="00B557E8">
        <w:rPr>
          <w:color w:val="000000" w:themeColor="text1"/>
          <w:szCs w:val="24"/>
        </w:rPr>
        <w:t xml:space="preserve">ES fondu projektu ietvaros sasniegto rezultātu ilgtspēja, tika konstatēts potenciāls neatbilstoši veikto izdevumu risks saistībā ar papildus veicamajiem darbiem un sadārdzinājumu profesionālo izglītības iestāžu infrastruktūras uzlabošanas projektos. </w:t>
      </w:r>
      <w:r w:rsidR="006C39CA" w:rsidRPr="00B557E8">
        <w:rPr>
          <w:color w:val="000000" w:themeColor="text1"/>
          <w:szCs w:val="24"/>
        </w:rPr>
        <w:t>VI</w:t>
      </w:r>
      <w:r w:rsidRPr="00B557E8">
        <w:rPr>
          <w:color w:val="000000" w:themeColor="text1"/>
          <w:szCs w:val="24"/>
        </w:rPr>
        <w:t xml:space="preserve"> ir lūgusi IZM kā </w:t>
      </w:r>
      <w:r w:rsidR="00374474" w:rsidRPr="00B557E8">
        <w:rPr>
          <w:color w:val="000000" w:themeColor="text1"/>
          <w:szCs w:val="24"/>
        </w:rPr>
        <w:t>AI</w:t>
      </w:r>
      <w:r w:rsidRPr="00B557E8">
        <w:rPr>
          <w:color w:val="000000" w:themeColor="text1"/>
          <w:szCs w:val="24"/>
        </w:rPr>
        <w:t xml:space="preserve"> par ERAF līdzfinansētajām izglītības infrastruktūras aktivitātēm informēt par rīcības plānu un veicamiem pasākumiem, lai šī plānotā reorganizācija noritētu </w:t>
      </w:r>
      <w:r w:rsidR="009C17EE" w:rsidRPr="00B557E8">
        <w:rPr>
          <w:color w:val="000000" w:themeColor="text1"/>
          <w:szCs w:val="24"/>
        </w:rPr>
        <w:t>bez</w:t>
      </w:r>
      <w:r w:rsidRPr="00B557E8">
        <w:rPr>
          <w:color w:val="000000" w:themeColor="text1"/>
          <w:szCs w:val="24"/>
        </w:rPr>
        <w:t xml:space="preserve"> zaudējumiem valsts budžetam, tai skaitā ES fondu projektu ietvaros nenotiktu nelietderīga līdzekļu izmantošana un nerastos neattiecināmie izdevumi.</w:t>
      </w:r>
    </w:p>
    <w:p w:rsidR="00F45D55" w:rsidRPr="00B557E8" w:rsidRDefault="00F45D55" w:rsidP="00B557E8">
      <w:pPr>
        <w:spacing w:before="120" w:after="120" w:line="276" w:lineRule="auto"/>
        <w:rPr>
          <w:color w:val="000000" w:themeColor="text1"/>
          <w:szCs w:val="24"/>
        </w:rPr>
      </w:pPr>
      <w:r w:rsidRPr="00B557E8">
        <w:rPr>
          <w:color w:val="000000" w:themeColor="text1"/>
          <w:szCs w:val="24"/>
        </w:rPr>
        <w:t>Pasākuma „</w:t>
      </w:r>
      <w:r w:rsidRPr="00B557E8">
        <w:rPr>
          <w:b/>
          <w:color w:val="000000" w:themeColor="text1"/>
          <w:szCs w:val="24"/>
        </w:rPr>
        <w:t>Veselības aprūpes infrastruktūra</w:t>
      </w:r>
      <w:r w:rsidRPr="00B557E8">
        <w:rPr>
          <w:color w:val="000000" w:themeColor="text1"/>
          <w:szCs w:val="24"/>
        </w:rPr>
        <w:t xml:space="preserve">” ietvaros kā lielāko progresu var nosaukt līgumu par 117 projektu īstenošanu noslēgšanu uz ģimenes ārstu tīkla attīstību vērstajā aktivitātē. Kā vēl vienu pozitīvu faktu var minēt 13 projektu par stacionārās veselības aprūpes iestāžu infrastruktūras attīstību par kopējo summu 50 </w:t>
      </w:r>
      <w:proofErr w:type="spellStart"/>
      <w:r w:rsidRPr="00B557E8">
        <w:rPr>
          <w:color w:val="000000" w:themeColor="text1"/>
          <w:szCs w:val="24"/>
        </w:rPr>
        <w:t>milj</w:t>
      </w:r>
      <w:proofErr w:type="spellEnd"/>
      <w:r w:rsidRPr="00B557E8">
        <w:rPr>
          <w:color w:val="000000" w:themeColor="text1"/>
          <w:szCs w:val="24"/>
        </w:rPr>
        <w:t>. latu jeb 41% no ES fondu pieejamā finansējuma</w:t>
      </w:r>
      <w:r w:rsidR="003258B6" w:rsidRPr="00B557E8">
        <w:rPr>
          <w:color w:val="000000" w:themeColor="text1"/>
          <w:szCs w:val="24"/>
        </w:rPr>
        <w:t xml:space="preserve"> apstiprināšanu</w:t>
      </w:r>
      <w:r w:rsidR="00A7328A" w:rsidRPr="00B557E8">
        <w:rPr>
          <w:color w:val="000000" w:themeColor="text1"/>
          <w:szCs w:val="24"/>
        </w:rPr>
        <w:t>.</w:t>
      </w:r>
    </w:p>
    <w:p w:rsidR="00F45D55" w:rsidRPr="00B557E8" w:rsidRDefault="00F45D55" w:rsidP="00B557E8">
      <w:pPr>
        <w:spacing w:before="120" w:after="120" w:line="276" w:lineRule="auto"/>
        <w:rPr>
          <w:color w:val="000000" w:themeColor="text1"/>
          <w:szCs w:val="24"/>
        </w:rPr>
      </w:pPr>
      <w:r w:rsidRPr="00B557E8">
        <w:rPr>
          <w:b/>
          <w:color w:val="000000" w:themeColor="text1"/>
          <w:szCs w:val="24"/>
        </w:rPr>
        <w:t>Nodarbinātības un sociālo pakalpojumu infrastruktūras</w:t>
      </w:r>
      <w:r w:rsidRPr="00B557E8">
        <w:rPr>
          <w:color w:val="000000" w:themeColor="text1"/>
          <w:szCs w:val="24"/>
        </w:rPr>
        <w:t xml:space="preserve"> aktivitāšu ietvaros jau līdz pārskata perioda sākumam apstiprināti projekti un noslēgti līgumi par visu piešķirto finansējumu, savukārt maksājumi finansējuma saņēmējiem veikti par 73%. </w:t>
      </w:r>
    </w:p>
    <w:p w:rsidR="00F45D55" w:rsidRPr="00B557E8" w:rsidRDefault="00F45D55" w:rsidP="00B557E8">
      <w:pPr>
        <w:spacing w:before="120" w:after="120" w:line="276" w:lineRule="auto"/>
        <w:rPr>
          <w:color w:val="000000" w:themeColor="text1"/>
          <w:szCs w:val="24"/>
        </w:rPr>
      </w:pPr>
      <w:r w:rsidRPr="00B557E8">
        <w:rPr>
          <w:color w:val="000000" w:themeColor="text1"/>
          <w:szCs w:val="24"/>
        </w:rPr>
        <w:t xml:space="preserve">Pozitīvi atzīmējams progress darba tirgus institūciju infrastruktūras pilnveidošanas aktivitātē, kur veikto maksājumu summa pārskata periodā palielinājusies par 9% un kopā ir </w:t>
      </w:r>
      <w:r w:rsidR="00C9221F" w:rsidRPr="00B557E8">
        <w:rPr>
          <w:color w:val="000000" w:themeColor="text1"/>
          <w:szCs w:val="24"/>
        </w:rPr>
        <w:t>90</w:t>
      </w:r>
      <w:r w:rsidRPr="00B557E8">
        <w:rPr>
          <w:color w:val="000000" w:themeColor="text1"/>
          <w:szCs w:val="24"/>
        </w:rPr>
        <w:t xml:space="preserve">% no aktivitātei piešķirtā finansējuma. </w:t>
      </w:r>
    </w:p>
    <w:p w:rsidR="00F45D55" w:rsidRPr="00B557E8" w:rsidRDefault="00F45D55" w:rsidP="00B557E8">
      <w:pPr>
        <w:pStyle w:val="NoSpacing"/>
        <w:spacing w:before="120" w:after="120" w:line="276" w:lineRule="auto"/>
        <w:jc w:val="both"/>
        <w:rPr>
          <w:color w:val="000000" w:themeColor="text1"/>
        </w:rPr>
      </w:pPr>
      <w:r w:rsidRPr="00B557E8">
        <w:rPr>
          <w:color w:val="000000" w:themeColor="text1"/>
        </w:rPr>
        <w:t xml:space="preserve">Savukārt, uz pirmsskolas izglītības iestāžu infrastruktūras attīstību nacionālās un reģionālas nozīmes attīstības centros vērstajā aktivitātē 2011.gada </w:t>
      </w:r>
      <w:r w:rsidR="00715B76" w:rsidRPr="00B557E8">
        <w:rPr>
          <w:color w:val="000000" w:themeColor="text1"/>
        </w:rPr>
        <w:t>trešajā</w:t>
      </w:r>
      <w:r w:rsidRPr="00B557E8">
        <w:rPr>
          <w:color w:val="000000" w:themeColor="text1"/>
        </w:rPr>
        <w:t xml:space="preserve"> ceturksnī tika pabeigts </w:t>
      </w:r>
      <w:r w:rsidR="00A7328A" w:rsidRPr="00B557E8">
        <w:rPr>
          <w:color w:val="000000" w:themeColor="text1"/>
        </w:rPr>
        <w:t xml:space="preserve">vēl viens </w:t>
      </w:r>
      <w:r w:rsidRPr="00B557E8">
        <w:rPr>
          <w:color w:val="000000" w:themeColor="text1"/>
        </w:rPr>
        <w:t xml:space="preserve">projekts </w:t>
      </w:r>
      <w:r w:rsidR="00A7328A" w:rsidRPr="00B557E8">
        <w:rPr>
          <w:color w:val="000000" w:themeColor="text1"/>
        </w:rPr>
        <w:t>Liepājā, l</w:t>
      </w:r>
      <w:r w:rsidRPr="00B557E8">
        <w:rPr>
          <w:color w:val="000000" w:themeColor="text1"/>
        </w:rPr>
        <w:t>īdz ar to</w:t>
      </w:r>
      <w:r w:rsidR="00A7328A" w:rsidRPr="00B557E8">
        <w:rPr>
          <w:color w:val="000000" w:themeColor="text1"/>
        </w:rPr>
        <w:t xml:space="preserve"> </w:t>
      </w:r>
      <w:r w:rsidRPr="00B557E8">
        <w:rPr>
          <w:color w:val="000000" w:themeColor="text1"/>
        </w:rPr>
        <w:t>līdz 2011.gada 30.septembrim</w:t>
      </w:r>
      <w:r w:rsidR="00A7328A" w:rsidRPr="00B557E8">
        <w:rPr>
          <w:color w:val="000000" w:themeColor="text1"/>
        </w:rPr>
        <w:t xml:space="preserve"> kopumā</w:t>
      </w:r>
      <w:r w:rsidRPr="00B557E8">
        <w:rPr>
          <w:color w:val="000000" w:themeColor="text1"/>
        </w:rPr>
        <w:t xml:space="preserve"> tika renovētas vai labiekārtotas jau 37 pirmsskolas izglītības iestādes jeb 308% no </w:t>
      </w:r>
      <w:r w:rsidR="003258B6" w:rsidRPr="00B557E8">
        <w:rPr>
          <w:color w:val="000000" w:themeColor="text1"/>
        </w:rPr>
        <w:t>gala</w:t>
      </w:r>
      <w:r w:rsidRPr="00B557E8">
        <w:rPr>
          <w:color w:val="000000" w:themeColor="text1"/>
        </w:rPr>
        <w:t xml:space="preserve"> mērķa, kā arī paplašinātas vai uzceltas 12 pirmsskolas izglītības iestādes jeb 63% no ga</w:t>
      </w:r>
      <w:r w:rsidR="003258B6" w:rsidRPr="00B557E8">
        <w:rPr>
          <w:color w:val="000000" w:themeColor="text1"/>
        </w:rPr>
        <w:t>l</w:t>
      </w:r>
      <w:r w:rsidRPr="00B557E8">
        <w:rPr>
          <w:color w:val="000000" w:themeColor="text1"/>
        </w:rPr>
        <w:t xml:space="preserve">a mērķa. Mērķa pārsniegšana bija iespējama projektu izdevumu samazināšanas dēļ un par pieejamo finansējumu bija iespējams </w:t>
      </w:r>
      <w:r w:rsidRPr="00B557E8">
        <w:rPr>
          <w:color w:val="000000" w:themeColor="text1"/>
        </w:rPr>
        <w:lastRenderedPageBreak/>
        <w:t>īstenot vairāk projektu nekā sākotnēji bija plānots.</w:t>
      </w:r>
      <w:r w:rsidR="00A7328A" w:rsidRPr="00B557E8">
        <w:rPr>
          <w:color w:val="000000" w:themeColor="text1"/>
        </w:rPr>
        <w:t xml:space="preserve"> Attiecīgi </w:t>
      </w:r>
      <w:r w:rsidRPr="00B557E8">
        <w:rPr>
          <w:color w:val="000000" w:themeColor="text1"/>
        </w:rPr>
        <w:t xml:space="preserve">ir palielinājies arī jaunradīto vietu skaits pirmsskolas izglītības iestādēs, nekā sākotnēji bija plānots un attiecīgi samazinājās bērnu skaits rindās uz vietām pirmsskolas izglītības iestādēs reģionos. Bērnu skaita rindās uz vietām pirmsskolas izglītības iestādēs samazināšanās plānošanas reģionos ir 15,25%, kas veido 190% no </w:t>
      </w:r>
      <w:r w:rsidR="003258B6" w:rsidRPr="00B557E8">
        <w:rPr>
          <w:color w:val="000000" w:themeColor="text1"/>
        </w:rPr>
        <w:t>gala</w:t>
      </w:r>
      <w:r w:rsidRPr="00B557E8">
        <w:rPr>
          <w:color w:val="000000" w:themeColor="text1"/>
        </w:rPr>
        <w:t xml:space="preserve"> mērķa. </w:t>
      </w:r>
      <w:r w:rsidR="00DD7A6E" w:rsidRPr="00B557E8">
        <w:rPr>
          <w:color w:val="000000" w:themeColor="text1"/>
        </w:rPr>
        <w:t xml:space="preserve">Ņemot vērā, ka aktivitātes plānotie mērķi ir sasniegti, ar </w:t>
      </w:r>
      <w:r w:rsidR="006B263C" w:rsidRPr="00B557E8">
        <w:rPr>
          <w:color w:val="000000" w:themeColor="text1"/>
        </w:rPr>
        <w:t>MK</w:t>
      </w:r>
      <w:r w:rsidR="00DD7A6E" w:rsidRPr="00B557E8">
        <w:rPr>
          <w:color w:val="000000" w:themeColor="text1"/>
        </w:rPr>
        <w:t xml:space="preserve"> </w:t>
      </w:r>
      <w:proofErr w:type="spellStart"/>
      <w:r w:rsidR="00DD7A6E" w:rsidRPr="00B557E8">
        <w:rPr>
          <w:color w:val="000000" w:themeColor="text1"/>
        </w:rPr>
        <w:t>š.g</w:t>
      </w:r>
      <w:proofErr w:type="spellEnd"/>
      <w:r w:rsidR="00DD7A6E" w:rsidRPr="00B557E8">
        <w:rPr>
          <w:color w:val="000000" w:themeColor="text1"/>
        </w:rPr>
        <w:t>. 5.jūlija rīkojumu aktivitāte</w:t>
      </w:r>
      <w:r w:rsidR="005A1D22" w:rsidRPr="00B557E8">
        <w:rPr>
          <w:color w:val="000000" w:themeColor="text1"/>
        </w:rPr>
        <w:t>s</w:t>
      </w:r>
      <w:r w:rsidR="00DD7A6E" w:rsidRPr="00B557E8">
        <w:rPr>
          <w:color w:val="000000" w:themeColor="text1"/>
        </w:rPr>
        <w:t xml:space="preserve"> atlikušais publiskais finansējums 86 </w:t>
      </w:r>
      <w:proofErr w:type="spellStart"/>
      <w:r w:rsidR="005A1D22" w:rsidRPr="00B557E8">
        <w:rPr>
          <w:color w:val="000000" w:themeColor="text1"/>
        </w:rPr>
        <w:t>tūkst</w:t>
      </w:r>
      <w:proofErr w:type="spellEnd"/>
      <w:r w:rsidR="005A1D22" w:rsidRPr="00B557E8">
        <w:rPr>
          <w:color w:val="000000" w:themeColor="text1"/>
        </w:rPr>
        <w:t>.</w:t>
      </w:r>
      <w:r w:rsidR="00DD7A6E" w:rsidRPr="00B557E8">
        <w:rPr>
          <w:color w:val="000000" w:themeColor="text1"/>
        </w:rPr>
        <w:t xml:space="preserve"> latu apmērā tika pārdalīts aktivitātei</w:t>
      </w:r>
      <w:r w:rsidR="005A1D22" w:rsidRPr="00B557E8">
        <w:rPr>
          <w:color w:val="000000" w:themeColor="text1"/>
        </w:rPr>
        <w:t xml:space="preserve">, kas vērsta uz </w:t>
      </w:r>
      <w:r w:rsidR="00DD7A6E" w:rsidRPr="00B557E8">
        <w:rPr>
          <w:color w:val="000000" w:themeColor="text1"/>
        </w:rPr>
        <w:t xml:space="preserve"> </w:t>
      </w:r>
      <w:r w:rsidR="005A1D22" w:rsidRPr="00B557E8">
        <w:rPr>
          <w:color w:val="000000" w:themeColor="text1"/>
        </w:rPr>
        <w:t>m</w:t>
      </w:r>
      <w:r w:rsidR="00DD7A6E" w:rsidRPr="00B557E8">
        <w:rPr>
          <w:color w:val="000000" w:themeColor="text1"/>
        </w:rPr>
        <w:t>ācību aprīkojuma modernizācij</w:t>
      </w:r>
      <w:r w:rsidR="005A1D22" w:rsidRPr="00B557E8">
        <w:rPr>
          <w:color w:val="000000" w:themeColor="text1"/>
        </w:rPr>
        <w:t>u</w:t>
      </w:r>
      <w:r w:rsidR="00DD7A6E" w:rsidRPr="00B557E8">
        <w:rPr>
          <w:color w:val="000000" w:themeColor="text1"/>
        </w:rPr>
        <w:t xml:space="preserve"> un infrastruktūras uzlabošan</w:t>
      </w:r>
      <w:r w:rsidR="005A1D22" w:rsidRPr="00B557E8">
        <w:rPr>
          <w:color w:val="000000" w:themeColor="text1"/>
        </w:rPr>
        <w:t>u</w:t>
      </w:r>
      <w:r w:rsidR="00DD7A6E" w:rsidRPr="00B557E8">
        <w:rPr>
          <w:color w:val="000000" w:themeColor="text1"/>
        </w:rPr>
        <w:t xml:space="preserve"> profesionālās izglītības programmu īstenošanai.  </w:t>
      </w:r>
      <w:r w:rsidRPr="00B557E8">
        <w:rPr>
          <w:color w:val="000000" w:themeColor="text1"/>
        </w:rPr>
        <w:t xml:space="preserve">Minētas aktivitātes ietvaros tika konstatēts risks projektu pabeigšanai noteiktajā - triju gadu termiņā, jo, ņemot vērā nepieciešamību pārtraukt noslēgtos būvdarbu līgumus līgumsaistību neizpildes dēļ no būvdarbu veicēju puses vai iestājušās būvdarbu veicēju maksātnespējas dēļ, ir jāveic atkārtotas būvdarbu iepirkuma procedūras. Tāpat projektu īstenošanas termiņi netiek ievēroti, jo aizkavējas citu saistīto ES fondu aktivitāšu projektu ieviešana, atbilstoši nepieciešamībai ievērot noteiktu būvdarbu veikšanas secību. </w:t>
      </w:r>
      <w:r w:rsidR="006C39CA" w:rsidRPr="00B557E8">
        <w:rPr>
          <w:color w:val="000000" w:themeColor="text1"/>
        </w:rPr>
        <w:t xml:space="preserve">VI </w:t>
      </w:r>
      <w:r w:rsidRPr="00B557E8">
        <w:rPr>
          <w:color w:val="000000" w:themeColor="text1"/>
        </w:rPr>
        <w:t>ir sagatavojusi priekšlikumus grozījumiem normatīvajos aktos, paredzot nosacījumus projektu pagarināšanai virs MK noteikumos par aktivitātes īstenošanu noteiktajos termiņos.</w:t>
      </w:r>
    </w:p>
    <w:p w:rsidR="001E53C0" w:rsidRPr="00B557E8" w:rsidRDefault="00CE01B4" w:rsidP="00B557E8">
      <w:pPr>
        <w:pStyle w:val="NoSpacing"/>
        <w:spacing w:before="120" w:after="120" w:line="276" w:lineRule="auto"/>
        <w:jc w:val="both"/>
        <w:rPr>
          <w:color w:val="000000" w:themeColor="text1"/>
          <w:highlight w:val="yellow"/>
        </w:rPr>
      </w:pPr>
      <w:r w:rsidRPr="00B557E8">
        <w:rPr>
          <w:color w:val="000000" w:themeColor="text1"/>
        </w:rPr>
        <w:t>Attiecībā uz aktivitāti, kas vērsta uz a</w:t>
      </w:r>
      <w:r w:rsidR="00F45D55" w:rsidRPr="00B557E8">
        <w:rPr>
          <w:color w:val="000000" w:themeColor="text1"/>
        </w:rPr>
        <w:t>tbalst</w:t>
      </w:r>
      <w:r w:rsidRPr="00B557E8">
        <w:rPr>
          <w:color w:val="000000" w:themeColor="text1"/>
        </w:rPr>
        <w:t>u</w:t>
      </w:r>
      <w:r w:rsidR="00F45D55" w:rsidRPr="00B557E8">
        <w:rPr>
          <w:color w:val="000000" w:themeColor="text1"/>
        </w:rPr>
        <w:t xml:space="preserve"> alternatīvās aprūpes pakalpojumu pieejamības attīstībai</w:t>
      </w:r>
      <w:r w:rsidRPr="00B557E8">
        <w:rPr>
          <w:color w:val="000000" w:themeColor="text1"/>
        </w:rPr>
        <w:t xml:space="preserve">, jāatzīmē, ka </w:t>
      </w:r>
      <w:r w:rsidR="00F45D55" w:rsidRPr="00B557E8">
        <w:rPr>
          <w:color w:val="000000" w:themeColor="text1"/>
        </w:rPr>
        <w:t xml:space="preserve">līdz 2011.gada 30.septembrim kopumā </w:t>
      </w:r>
      <w:r w:rsidRPr="00B557E8">
        <w:rPr>
          <w:color w:val="000000" w:themeColor="text1"/>
        </w:rPr>
        <w:t xml:space="preserve">jau </w:t>
      </w:r>
      <w:r w:rsidR="00F45D55" w:rsidRPr="00B557E8">
        <w:rPr>
          <w:color w:val="000000" w:themeColor="text1"/>
        </w:rPr>
        <w:t>ir renovēti vai rekonstruēti 22 alternatīvās aprūpes centri</w:t>
      </w:r>
      <w:r w:rsidRPr="00B557E8">
        <w:rPr>
          <w:color w:val="000000" w:themeColor="text1"/>
        </w:rPr>
        <w:t xml:space="preserve"> (</w:t>
      </w:r>
      <w:r w:rsidR="00F45D55" w:rsidRPr="00B557E8">
        <w:rPr>
          <w:color w:val="000000" w:themeColor="text1"/>
        </w:rPr>
        <w:t xml:space="preserve">169% no </w:t>
      </w:r>
      <w:r w:rsidR="005A1D22" w:rsidRPr="00B557E8">
        <w:rPr>
          <w:color w:val="000000" w:themeColor="text1"/>
        </w:rPr>
        <w:t>gala</w:t>
      </w:r>
      <w:r w:rsidR="00F45D55" w:rsidRPr="00B557E8">
        <w:rPr>
          <w:color w:val="000000" w:themeColor="text1"/>
        </w:rPr>
        <w:t xml:space="preserve"> mērķa</w:t>
      </w:r>
      <w:r w:rsidRPr="00B557E8">
        <w:rPr>
          <w:color w:val="000000" w:themeColor="text1"/>
        </w:rPr>
        <w:t>)</w:t>
      </w:r>
      <w:r w:rsidR="009E153B" w:rsidRPr="00B557E8">
        <w:rPr>
          <w:color w:val="000000" w:themeColor="text1"/>
        </w:rPr>
        <w:t xml:space="preserve">, kā arī </w:t>
      </w:r>
      <w:r w:rsidRPr="00B557E8">
        <w:rPr>
          <w:color w:val="000000" w:themeColor="text1"/>
        </w:rPr>
        <w:t>turpinās</w:t>
      </w:r>
      <w:r w:rsidR="009E153B" w:rsidRPr="00B557E8">
        <w:rPr>
          <w:color w:val="000000" w:themeColor="text1"/>
        </w:rPr>
        <w:t xml:space="preserve"> vēl tr</w:t>
      </w:r>
      <w:r w:rsidRPr="00B557E8">
        <w:rPr>
          <w:color w:val="000000" w:themeColor="text1"/>
        </w:rPr>
        <w:t>iju</w:t>
      </w:r>
      <w:r w:rsidR="009E153B" w:rsidRPr="00B557E8">
        <w:rPr>
          <w:color w:val="000000" w:themeColor="text1"/>
        </w:rPr>
        <w:t xml:space="preserve"> projektu īstenošana.</w:t>
      </w:r>
      <w:r w:rsidR="00F45D55" w:rsidRPr="00B557E8">
        <w:rPr>
          <w:color w:val="000000" w:themeColor="text1"/>
        </w:rPr>
        <w:t xml:space="preserve"> Mērķa pārsniegšana bija iespējama projektu izdevumu samazināšanas dēļ</w:t>
      </w:r>
      <w:r w:rsidR="009E153B" w:rsidRPr="00B557E8">
        <w:rPr>
          <w:color w:val="000000" w:themeColor="text1"/>
        </w:rPr>
        <w:t xml:space="preserve">. Ņemot vērā, ka aktivitātes plānotie mērķi ir sasniegti, ar </w:t>
      </w:r>
      <w:r w:rsidR="00D87637" w:rsidRPr="00B557E8">
        <w:rPr>
          <w:color w:val="000000" w:themeColor="text1"/>
        </w:rPr>
        <w:t>MK</w:t>
      </w:r>
      <w:r w:rsidR="009E153B" w:rsidRPr="00B557E8">
        <w:rPr>
          <w:color w:val="000000" w:themeColor="text1"/>
        </w:rPr>
        <w:t xml:space="preserve"> </w:t>
      </w:r>
      <w:proofErr w:type="spellStart"/>
      <w:r w:rsidR="009E153B" w:rsidRPr="00B557E8">
        <w:rPr>
          <w:color w:val="000000" w:themeColor="text1"/>
        </w:rPr>
        <w:t>š.g</w:t>
      </w:r>
      <w:proofErr w:type="spellEnd"/>
      <w:r w:rsidR="009E153B" w:rsidRPr="00B557E8">
        <w:rPr>
          <w:color w:val="000000" w:themeColor="text1"/>
        </w:rPr>
        <w:t>. 5.jūlija rīkojumu aktivitāte</w:t>
      </w:r>
      <w:r w:rsidRPr="00B557E8">
        <w:rPr>
          <w:color w:val="000000" w:themeColor="text1"/>
        </w:rPr>
        <w:t>s</w:t>
      </w:r>
      <w:r w:rsidR="009E153B" w:rsidRPr="00B557E8">
        <w:rPr>
          <w:color w:val="000000" w:themeColor="text1"/>
        </w:rPr>
        <w:t xml:space="preserve"> atlikušais publiskais finansējums </w:t>
      </w:r>
      <w:r w:rsidRPr="00B557E8">
        <w:rPr>
          <w:color w:val="000000" w:themeColor="text1"/>
        </w:rPr>
        <w:t>0</w:t>
      </w:r>
      <w:r w:rsidR="007654B9" w:rsidRPr="00B557E8">
        <w:rPr>
          <w:color w:val="000000" w:themeColor="text1"/>
        </w:rPr>
        <w:t>,</w:t>
      </w:r>
      <w:r w:rsidRPr="00B557E8">
        <w:rPr>
          <w:color w:val="000000" w:themeColor="text1"/>
        </w:rPr>
        <w:t xml:space="preserve">7 </w:t>
      </w:r>
      <w:proofErr w:type="spellStart"/>
      <w:r w:rsidRPr="00B557E8">
        <w:rPr>
          <w:color w:val="000000" w:themeColor="text1"/>
        </w:rPr>
        <w:t>milj</w:t>
      </w:r>
      <w:proofErr w:type="spellEnd"/>
      <w:r w:rsidRPr="00B557E8">
        <w:rPr>
          <w:color w:val="000000" w:themeColor="text1"/>
        </w:rPr>
        <w:t>.</w:t>
      </w:r>
      <w:r w:rsidR="0056254C" w:rsidRPr="00B557E8">
        <w:rPr>
          <w:color w:val="000000" w:themeColor="text1"/>
        </w:rPr>
        <w:t xml:space="preserve"> </w:t>
      </w:r>
      <w:r w:rsidR="009E153B" w:rsidRPr="00B557E8">
        <w:rPr>
          <w:color w:val="000000" w:themeColor="text1"/>
        </w:rPr>
        <w:t xml:space="preserve">latu apmērā tika </w:t>
      </w:r>
      <w:r w:rsidRPr="00B557E8">
        <w:rPr>
          <w:color w:val="000000" w:themeColor="text1"/>
        </w:rPr>
        <w:t>pārdalīts aktivitātei, kas vērsta uz  mācību aprīkojuma modernizāciju un infrastruktūras uzlabošanu profesionālās izglītības programmu īstenošanai</w:t>
      </w:r>
      <w:r w:rsidR="009E153B" w:rsidRPr="00B557E8">
        <w:rPr>
          <w:color w:val="000000" w:themeColor="text1"/>
        </w:rPr>
        <w:t xml:space="preserve">.  </w:t>
      </w:r>
    </w:p>
    <w:p w:rsidR="001E53C0" w:rsidRPr="00B557E8" w:rsidRDefault="001E53C0" w:rsidP="00B557E8">
      <w:pPr>
        <w:pStyle w:val="NoSpacing"/>
        <w:spacing w:before="120" w:after="120" w:line="276" w:lineRule="auto"/>
        <w:jc w:val="both"/>
        <w:rPr>
          <w:b/>
          <w:color w:val="000000" w:themeColor="text1"/>
        </w:rPr>
      </w:pPr>
      <w:r w:rsidRPr="00B557E8">
        <w:rPr>
          <w:b/>
          <w:color w:val="000000" w:themeColor="text1"/>
        </w:rPr>
        <w:t>„Teritoriju pieejamības un sasniedzamības veicināšana”</w:t>
      </w:r>
    </w:p>
    <w:p w:rsidR="00F45D55" w:rsidRPr="00B557E8" w:rsidRDefault="00F45D55" w:rsidP="00B557E8">
      <w:pPr>
        <w:spacing w:before="120" w:after="120" w:line="276" w:lineRule="auto"/>
        <w:rPr>
          <w:color w:val="000000" w:themeColor="text1"/>
          <w:szCs w:val="24"/>
        </w:rPr>
      </w:pPr>
      <w:r w:rsidRPr="00B557E8">
        <w:rPr>
          <w:color w:val="000000" w:themeColor="text1"/>
          <w:szCs w:val="24"/>
        </w:rPr>
        <w:t xml:space="preserve">Prioritāte vērsta uz dažādu valsts teritorijas daļu sasniedzamību un pakalpojumu pieejamību iedzīvotājiem, to panākot ar informācijas komunikācijas tehnoloģiju attīstību, elektroniskās pārvaldes ieviešanu un reģionālās nozīmes transporta savienojumu uzlabošanu. </w:t>
      </w:r>
    </w:p>
    <w:p w:rsidR="00F45D55" w:rsidRPr="00B557E8" w:rsidRDefault="00F45D55" w:rsidP="00B557E8">
      <w:pPr>
        <w:spacing w:before="120" w:after="120" w:line="276" w:lineRule="auto"/>
        <w:rPr>
          <w:color w:val="000000" w:themeColor="text1"/>
          <w:szCs w:val="24"/>
        </w:rPr>
      </w:pPr>
      <w:r w:rsidRPr="00B557E8">
        <w:rPr>
          <w:color w:val="000000" w:themeColor="text1"/>
          <w:szCs w:val="24"/>
        </w:rPr>
        <w:t xml:space="preserve">Prioritātes ietvaros </w:t>
      </w:r>
      <w:proofErr w:type="spellStart"/>
      <w:r w:rsidRPr="00B557E8">
        <w:rPr>
          <w:color w:val="000000" w:themeColor="text1"/>
          <w:szCs w:val="24"/>
        </w:rPr>
        <w:t>š.g</w:t>
      </w:r>
      <w:proofErr w:type="spellEnd"/>
      <w:r w:rsidRPr="00B557E8">
        <w:rPr>
          <w:color w:val="000000" w:themeColor="text1"/>
          <w:szCs w:val="24"/>
        </w:rPr>
        <w:t xml:space="preserve">. </w:t>
      </w:r>
      <w:r w:rsidR="00715B76" w:rsidRPr="00B557E8">
        <w:rPr>
          <w:color w:val="000000" w:themeColor="text1"/>
          <w:szCs w:val="24"/>
        </w:rPr>
        <w:t xml:space="preserve">trešajā </w:t>
      </w:r>
      <w:r w:rsidR="00325D87" w:rsidRPr="00B557E8">
        <w:rPr>
          <w:color w:val="000000" w:themeColor="text1"/>
          <w:szCs w:val="24"/>
        </w:rPr>
        <w:t>ceturksnī</w:t>
      </w:r>
      <w:r w:rsidRPr="00B557E8">
        <w:rPr>
          <w:color w:val="000000" w:themeColor="text1"/>
          <w:szCs w:val="24"/>
        </w:rPr>
        <w:t xml:space="preserve"> kopumā ir samazinājusies apstiprināto projektu un noslēgto līgumu summa, jo ir samazinājušās to projektu izmaksas, </w:t>
      </w:r>
      <w:r w:rsidR="00325D87" w:rsidRPr="00B557E8">
        <w:rPr>
          <w:color w:val="000000" w:themeColor="text1"/>
          <w:szCs w:val="24"/>
        </w:rPr>
        <w:t xml:space="preserve">kuri tika apstiprināti </w:t>
      </w:r>
      <w:r w:rsidRPr="00B557E8">
        <w:rPr>
          <w:color w:val="000000" w:themeColor="text1"/>
          <w:szCs w:val="24"/>
        </w:rPr>
        <w:t xml:space="preserve"> 2008.gadā, līdz ar </w:t>
      </w:r>
      <w:r w:rsidR="00846D42" w:rsidRPr="00B557E8">
        <w:rPr>
          <w:color w:val="000000" w:themeColor="text1"/>
          <w:szCs w:val="24"/>
        </w:rPr>
        <w:t>to ir</w:t>
      </w:r>
      <w:r w:rsidRPr="00B557E8">
        <w:rPr>
          <w:color w:val="000000" w:themeColor="text1"/>
          <w:szCs w:val="24"/>
        </w:rPr>
        <w:t xml:space="preserve"> iespēja palielināt noasfaltēto ceļu apjomu.   </w:t>
      </w:r>
    </w:p>
    <w:p w:rsidR="00F45D55" w:rsidRPr="00B557E8" w:rsidRDefault="00F45D55" w:rsidP="00B557E8">
      <w:pPr>
        <w:spacing w:before="120" w:after="120" w:line="276" w:lineRule="auto"/>
        <w:rPr>
          <w:color w:val="000000" w:themeColor="text1"/>
          <w:szCs w:val="24"/>
        </w:rPr>
      </w:pPr>
      <w:r w:rsidRPr="00B557E8">
        <w:rPr>
          <w:color w:val="000000" w:themeColor="text1"/>
          <w:szCs w:val="24"/>
        </w:rPr>
        <w:t xml:space="preserve">Veikto maksājumu finansējuma saņēmējiem apmērs </w:t>
      </w:r>
      <w:proofErr w:type="spellStart"/>
      <w:r w:rsidRPr="00B557E8">
        <w:rPr>
          <w:color w:val="000000" w:themeColor="text1"/>
          <w:szCs w:val="24"/>
        </w:rPr>
        <w:t>š.g</w:t>
      </w:r>
      <w:proofErr w:type="spellEnd"/>
      <w:r w:rsidRPr="00B557E8">
        <w:rPr>
          <w:color w:val="000000" w:themeColor="text1"/>
          <w:szCs w:val="24"/>
        </w:rPr>
        <w:t xml:space="preserve">. 3.cetruksnī ir vērtējams pozitīvi, jo progress ir lielāks nekā vidēji darbības programmā. Lielākie maksājumi </w:t>
      </w:r>
      <w:proofErr w:type="spellStart"/>
      <w:r w:rsidRPr="00B557E8">
        <w:rPr>
          <w:color w:val="000000" w:themeColor="text1"/>
          <w:szCs w:val="24"/>
        </w:rPr>
        <w:t>š.g</w:t>
      </w:r>
      <w:proofErr w:type="spellEnd"/>
      <w:r w:rsidRPr="00B557E8">
        <w:rPr>
          <w:color w:val="000000" w:themeColor="text1"/>
          <w:szCs w:val="24"/>
        </w:rPr>
        <w:t xml:space="preserve">. </w:t>
      </w:r>
      <w:r w:rsidR="00715B76" w:rsidRPr="00B557E8">
        <w:rPr>
          <w:color w:val="000000" w:themeColor="text1"/>
          <w:szCs w:val="24"/>
        </w:rPr>
        <w:t>trešajā</w:t>
      </w:r>
      <w:r w:rsidRPr="00B557E8">
        <w:rPr>
          <w:color w:val="000000" w:themeColor="text1"/>
          <w:szCs w:val="24"/>
        </w:rPr>
        <w:t xml:space="preserve"> ceturksnī veikti </w:t>
      </w:r>
      <w:proofErr w:type="spellStart"/>
      <w:r w:rsidRPr="00B557E8">
        <w:rPr>
          <w:color w:val="000000" w:themeColor="text1"/>
          <w:szCs w:val="24"/>
        </w:rPr>
        <w:t>tranzītielu</w:t>
      </w:r>
      <w:proofErr w:type="spellEnd"/>
      <w:r w:rsidRPr="00B557E8">
        <w:rPr>
          <w:color w:val="000000" w:themeColor="text1"/>
          <w:szCs w:val="24"/>
        </w:rPr>
        <w:t xml:space="preserve"> sakārtošanas un valsts 1.šķiras autoceļu sakārtošanas projektos un projektos, kas saistīti ar informāciju sistēmu un ele</w:t>
      </w:r>
      <w:r w:rsidR="00325D87" w:rsidRPr="00B557E8">
        <w:rPr>
          <w:color w:val="000000" w:themeColor="text1"/>
          <w:szCs w:val="24"/>
        </w:rPr>
        <w:t xml:space="preserve">ktronisko pakalpojumu attīstību, lai gan ir bijis plānoti vēl lielāki maksājumi, par ko liecina budžeta neizpilde </w:t>
      </w:r>
      <w:proofErr w:type="spellStart"/>
      <w:r w:rsidR="00325D87" w:rsidRPr="00B557E8">
        <w:rPr>
          <w:color w:val="000000" w:themeColor="text1"/>
          <w:szCs w:val="24"/>
        </w:rPr>
        <w:t>tranzītielu</w:t>
      </w:r>
      <w:proofErr w:type="spellEnd"/>
      <w:r w:rsidR="00325D87" w:rsidRPr="00B557E8">
        <w:rPr>
          <w:color w:val="000000" w:themeColor="text1"/>
          <w:szCs w:val="24"/>
        </w:rPr>
        <w:t xml:space="preserve"> sakārtošanas projektos gandrīz 6 </w:t>
      </w:r>
      <w:proofErr w:type="spellStart"/>
      <w:r w:rsidR="00325D87" w:rsidRPr="00B557E8">
        <w:rPr>
          <w:color w:val="000000" w:themeColor="text1"/>
          <w:szCs w:val="24"/>
        </w:rPr>
        <w:t>milj</w:t>
      </w:r>
      <w:proofErr w:type="spellEnd"/>
      <w:r w:rsidR="00325D87" w:rsidRPr="00B557E8">
        <w:rPr>
          <w:color w:val="000000" w:themeColor="text1"/>
          <w:szCs w:val="24"/>
        </w:rPr>
        <w:t>. latu apmērā.</w:t>
      </w:r>
    </w:p>
    <w:p w:rsidR="00F45D55" w:rsidRPr="00B557E8" w:rsidRDefault="00F45D55" w:rsidP="00B557E8">
      <w:pPr>
        <w:spacing w:before="120" w:after="120" w:line="276" w:lineRule="auto"/>
        <w:rPr>
          <w:color w:val="000000" w:themeColor="text1"/>
          <w:szCs w:val="24"/>
        </w:rPr>
      </w:pPr>
      <w:r w:rsidRPr="00B557E8">
        <w:rPr>
          <w:color w:val="000000" w:themeColor="text1"/>
          <w:szCs w:val="24"/>
        </w:rPr>
        <w:t xml:space="preserve">Satiksmes infrastruktūras jomā projektu ieviešanu kavējušas problēmas iepirkumos (pārsūdzības, nepilnīgas iepirkuma dokumentācijas, kuras tikušas pārstrādātas un uzlabotas un iepirkums ticis izsludināts atkāroti) tāpat kā pagājušā periodā, kā ir bijušas problēmas ar zemju atsavināšanu un </w:t>
      </w:r>
      <w:r w:rsidR="00450084" w:rsidRPr="00B557E8">
        <w:rPr>
          <w:color w:val="000000" w:themeColor="text1"/>
          <w:szCs w:val="24"/>
        </w:rPr>
        <w:t>cenu svārstībām</w:t>
      </w:r>
      <w:r w:rsidR="004F5F73" w:rsidRPr="00B557E8">
        <w:rPr>
          <w:color w:val="000000" w:themeColor="text1"/>
          <w:szCs w:val="24"/>
        </w:rPr>
        <w:t>.</w:t>
      </w:r>
      <w:r w:rsidRPr="00B557E8">
        <w:rPr>
          <w:color w:val="000000" w:themeColor="text1"/>
          <w:szCs w:val="24"/>
        </w:rPr>
        <w:t xml:space="preserve"> </w:t>
      </w:r>
      <w:r w:rsidR="00D416AF" w:rsidRPr="00B557E8">
        <w:rPr>
          <w:color w:val="000000" w:themeColor="text1"/>
          <w:szCs w:val="24"/>
        </w:rPr>
        <w:t>SM</w:t>
      </w:r>
      <w:r w:rsidRPr="00B557E8">
        <w:rPr>
          <w:color w:val="000000" w:themeColor="text1"/>
          <w:szCs w:val="24"/>
        </w:rPr>
        <w:t xml:space="preserve"> sadarbībā ar VAS „Latvijas valsts ceļi”  ir iesniegusi </w:t>
      </w:r>
      <w:r w:rsidR="00D416AF" w:rsidRPr="00B557E8">
        <w:rPr>
          <w:color w:val="000000" w:themeColor="text1"/>
          <w:szCs w:val="24"/>
        </w:rPr>
        <w:t>FM</w:t>
      </w:r>
      <w:r w:rsidRPr="00B557E8">
        <w:rPr>
          <w:color w:val="000000" w:themeColor="text1"/>
          <w:szCs w:val="24"/>
        </w:rPr>
        <w:t xml:space="preserve"> priekšlikumus par izmaiņām ceļu būves izmaksu indeksa aprēķina metodoloģijā, jo būvniecības </w:t>
      </w:r>
      <w:r w:rsidRPr="00B557E8">
        <w:rPr>
          <w:color w:val="000000" w:themeColor="text1"/>
          <w:szCs w:val="24"/>
        </w:rPr>
        <w:lastRenderedPageBreak/>
        <w:t xml:space="preserve">līgumos ietvertais Centrālais Statistikas pārvaldes apstiprinātais inflācijas koeficients neatspoguļo pilnībā reālās cenu izmaiņas autoceļu būvniecības tirgū, ko </w:t>
      </w:r>
      <w:r w:rsidR="004F5DF1" w:rsidRPr="00B557E8">
        <w:rPr>
          <w:color w:val="000000" w:themeColor="text1"/>
          <w:szCs w:val="24"/>
        </w:rPr>
        <w:t>FM</w:t>
      </w:r>
      <w:r w:rsidRPr="00B557E8">
        <w:rPr>
          <w:color w:val="000000" w:themeColor="text1"/>
          <w:szCs w:val="24"/>
        </w:rPr>
        <w:t xml:space="preserve"> pašlaik izvērtē. </w:t>
      </w:r>
    </w:p>
    <w:p w:rsidR="00F45D55" w:rsidRPr="00B557E8" w:rsidRDefault="00F45D55" w:rsidP="00B557E8">
      <w:pPr>
        <w:spacing w:before="120" w:after="120" w:line="276" w:lineRule="auto"/>
        <w:rPr>
          <w:color w:val="000000" w:themeColor="text1"/>
          <w:szCs w:val="24"/>
        </w:rPr>
      </w:pPr>
      <w:r w:rsidRPr="00B557E8">
        <w:rPr>
          <w:color w:val="000000" w:themeColor="text1"/>
          <w:szCs w:val="24"/>
        </w:rPr>
        <w:t xml:space="preserve">Fizisko rādītāju progress šajā ceturksnī nav bijis, jo nav nodoti ekspluatācijā ceļu posmi vai objekti. </w:t>
      </w:r>
      <w:r w:rsidR="004F5F73" w:rsidRPr="00B557E8">
        <w:rPr>
          <w:color w:val="000000" w:themeColor="text1"/>
          <w:szCs w:val="24"/>
        </w:rPr>
        <w:t xml:space="preserve">Kopumā, ņemot vērā apstiprinātos projektus un plānotos projektus, visus rādītājus plānots sasniegt vai pat pārsniegt, izņemot tajās aktivitātēs, kuru finansējums ir pārdalīts citu aktivitāšu īstenošanai. </w:t>
      </w:r>
      <w:r w:rsidRPr="00B557E8">
        <w:rPr>
          <w:color w:val="000000" w:themeColor="text1"/>
          <w:szCs w:val="24"/>
        </w:rPr>
        <w:t xml:space="preserve">Ņemot vērā, ka radītāji transporta jomā par sasniegtiem tiek uzskatīti tikai pēc pilnīgas projekta pabeigšanas, tikai tad arī varēs izvērtēt kopējo ES fondu ietekmi uz transporta nozari un ekonomisko labumu, ko ES fondi snieguši. </w:t>
      </w:r>
    </w:p>
    <w:p w:rsidR="00F45D55" w:rsidRPr="00B557E8" w:rsidRDefault="006B263C" w:rsidP="00B557E8">
      <w:pPr>
        <w:spacing w:before="120" w:after="120" w:line="276" w:lineRule="auto"/>
        <w:rPr>
          <w:color w:val="000000" w:themeColor="text1"/>
          <w:szCs w:val="24"/>
        </w:rPr>
      </w:pPr>
      <w:r w:rsidRPr="00B557E8">
        <w:rPr>
          <w:b/>
          <w:color w:val="000000" w:themeColor="text1"/>
          <w:szCs w:val="24"/>
        </w:rPr>
        <w:t>IKT</w:t>
      </w:r>
      <w:r w:rsidR="00F45D55" w:rsidRPr="00B557E8">
        <w:rPr>
          <w:b/>
          <w:color w:val="000000" w:themeColor="text1"/>
          <w:szCs w:val="24"/>
        </w:rPr>
        <w:t xml:space="preserve"> nozares </w:t>
      </w:r>
      <w:r w:rsidR="00F45D55" w:rsidRPr="00B557E8">
        <w:rPr>
          <w:color w:val="000000" w:themeColor="text1"/>
          <w:szCs w:val="24"/>
        </w:rPr>
        <w:t xml:space="preserve">projektos </w:t>
      </w:r>
      <w:r w:rsidR="00715B76" w:rsidRPr="00B557E8">
        <w:rPr>
          <w:color w:val="000000" w:themeColor="text1"/>
          <w:szCs w:val="24"/>
        </w:rPr>
        <w:t xml:space="preserve">trešajā </w:t>
      </w:r>
      <w:r w:rsidR="00F45D55" w:rsidRPr="00B557E8">
        <w:rPr>
          <w:color w:val="000000" w:themeColor="text1"/>
          <w:szCs w:val="24"/>
        </w:rPr>
        <w:t>ceturksnī nav vērojams būtisks progress. Pirmie sasniegtie rezultāti aktivitātē, kas saistīta ar informācijas sistēmu un elektronisko pakalpojumu izveidi, plānoti šā gada beigās, kad noslēgsies vairāku projektu īstenošana.</w:t>
      </w:r>
    </w:p>
    <w:p w:rsidR="00F45D55" w:rsidRPr="00B557E8" w:rsidRDefault="00F45D55" w:rsidP="00B557E8">
      <w:pPr>
        <w:spacing w:before="120" w:after="120" w:line="276" w:lineRule="auto"/>
        <w:rPr>
          <w:color w:val="000000" w:themeColor="text1"/>
          <w:szCs w:val="24"/>
        </w:rPr>
      </w:pPr>
      <w:r w:rsidRPr="00B557E8">
        <w:rPr>
          <w:color w:val="000000" w:themeColor="text1"/>
          <w:szCs w:val="24"/>
        </w:rPr>
        <w:t xml:space="preserve">Progress veikto maksājumu finansējuma saņēmējiem apjomā vērojams tikai </w:t>
      </w:r>
      <w:proofErr w:type="spellStart"/>
      <w:r w:rsidRPr="00B557E8">
        <w:rPr>
          <w:color w:val="000000" w:themeColor="text1"/>
          <w:szCs w:val="24"/>
        </w:rPr>
        <w:t>apakšaktivitātē</w:t>
      </w:r>
      <w:proofErr w:type="spellEnd"/>
      <w:r w:rsidRPr="00B557E8">
        <w:rPr>
          <w:color w:val="000000" w:themeColor="text1"/>
          <w:szCs w:val="24"/>
        </w:rPr>
        <w:t>, kas saistīta ar informāciju sistēmu un elektronisko pakalpojumu attīstību, kur maksājumi finansējuma saņēmējiem ceturkšņa ietvaros veikti par vairāk kā 4</w:t>
      </w:r>
      <w:r w:rsidR="007654B9" w:rsidRPr="00B557E8">
        <w:rPr>
          <w:color w:val="000000" w:themeColor="text1"/>
          <w:szCs w:val="24"/>
        </w:rPr>
        <w:t>,</w:t>
      </w:r>
      <w:r w:rsidRPr="00B557E8">
        <w:rPr>
          <w:color w:val="000000" w:themeColor="text1"/>
          <w:szCs w:val="24"/>
        </w:rPr>
        <w:t xml:space="preserve">5 </w:t>
      </w:r>
      <w:proofErr w:type="spellStart"/>
      <w:r w:rsidRPr="00B557E8">
        <w:rPr>
          <w:color w:val="000000" w:themeColor="text1"/>
          <w:szCs w:val="24"/>
        </w:rPr>
        <w:t>milj</w:t>
      </w:r>
      <w:proofErr w:type="spellEnd"/>
      <w:r w:rsidRPr="00B557E8">
        <w:rPr>
          <w:color w:val="000000" w:themeColor="text1"/>
          <w:szCs w:val="24"/>
        </w:rPr>
        <w:t>. latu jeb 4</w:t>
      </w:r>
      <w:r w:rsidR="007654B9" w:rsidRPr="00B557E8">
        <w:rPr>
          <w:color w:val="000000" w:themeColor="text1"/>
          <w:szCs w:val="24"/>
        </w:rPr>
        <w:t>,</w:t>
      </w:r>
      <w:r w:rsidRPr="00B557E8">
        <w:rPr>
          <w:color w:val="000000" w:themeColor="text1"/>
          <w:szCs w:val="24"/>
        </w:rPr>
        <w:t xml:space="preserve">7% no </w:t>
      </w:r>
      <w:proofErr w:type="spellStart"/>
      <w:r w:rsidRPr="00B557E8">
        <w:rPr>
          <w:color w:val="000000" w:themeColor="text1"/>
          <w:szCs w:val="24"/>
        </w:rPr>
        <w:t>apakšaktivitātei</w:t>
      </w:r>
      <w:proofErr w:type="spellEnd"/>
      <w:r w:rsidRPr="00B557E8">
        <w:rPr>
          <w:color w:val="000000" w:themeColor="text1"/>
          <w:szCs w:val="24"/>
        </w:rPr>
        <w:t xml:space="preserve"> pieejamā publiskā finansējuma.</w:t>
      </w:r>
    </w:p>
    <w:p w:rsidR="00F45D55" w:rsidRPr="00B557E8" w:rsidRDefault="00F45D55" w:rsidP="00B557E8">
      <w:pPr>
        <w:spacing w:before="120" w:after="120" w:line="276" w:lineRule="auto"/>
        <w:rPr>
          <w:color w:val="000000" w:themeColor="text1"/>
          <w:szCs w:val="24"/>
        </w:rPr>
      </w:pPr>
      <w:r w:rsidRPr="00B557E8">
        <w:rPr>
          <w:color w:val="000000" w:themeColor="text1"/>
          <w:szCs w:val="24"/>
        </w:rPr>
        <w:t>Kā galveno aktivitāšu projektu ieviešanas kavējošos faktorus arī šajā ceturksnī var minēt iepirkumu problēmas (pārsūdzības, problēmas ar iepirkuma dokumentāciju saistībā ar  iepirkumu ietvaros izvirzītajām nozarei specifiskajām prasībām).</w:t>
      </w:r>
    </w:p>
    <w:p w:rsidR="00F45D55" w:rsidRPr="00B557E8" w:rsidRDefault="00F45D55" w:rsidP="00B557E8">
      <w:pPr>
        <w:spacing w:before="120" w:after="120" w:line="276" w:lineRule="auto"/>
        <w:rPr>
          <w:color w:val="000000" w:themeColor="text1"/>
          <w:szCs w:val="24"/>
        </w:rPr>
      </w:pPr>
      <w:r w:rsidRPr="00B557E8">
        <w:rPr>
          <w:color w:val="000000" w:themeColor="text1"/>
          <w:szCs w:val="24"/>
        </w:rPr>
        <w:t xml:space="preserve">Kontekstā ar problēmām iepirkumos, būtiski kavējas aktivitātes, kas vērsta uz izglītības iestāžu modernizēšanu ar datortehniku, īstenošana. Pārskata periodā noslēdzies atkārtoti izsludinātais centralizētais datortehnikas iepirkums, kas paredz datortehnikas un multimediju iekārtu iegādi vairāk kā 700 Latvijas skolām. Uzsākta tehnikas vienību piegāde un plānots, ka ievērojama daļa tehnikas tiks piegādāta un uzstādīta </w:t>
      </w:r>
      <w:proofErr w:type="spellStart"/>
      <w:r w:rsidRPr="00B557E8">
        <w:rPr>
          <w:color w:val="000000" w:themeColor="text1"/>
          <w:szCs w:val="24"/>
        </w:rPr>
        <w:t>š.g</w:t>
      </w:r>
      <w:proofErr w:type="spellEnd"/>
      <w:r w:rsidRPr="00B557E8">
        <w:rPr>
          <w:color w:val="000000" w:themeColor="text1"/>
          <w:szCs w:val="24"/>
        </w:rPr>
        <w:t xml:space="preserve">. </w:t>
      </w:r>
      <w:r w:rsidR="00715B76" w:rsidRPr="00B557E8">
        <w:rPr>
          <w:color w:val="000000" w:themeColor="text1"/>
          <w:szCs w:val="24"/>
        </w:rPr>
        <w:t xml:space="preserve">ceturtajā </w:t>
      </w:r>
      <w:r w:rsidRPr="00B557E8">
        <w:rPr>
          <w:color w:val="000000" w:themeColor="text1"/>
          <w:szCs w:val="24"/>
        </w:rPr>
        <w:t xml:space="preserve">ceturksnī. Ņemot vērā iepirkumu problēmas, kā arī gūto ietaupījumu rezultātā, atsevišķos projektos netiek izpildīts arī kopējais maksājumu finansējuma saņēmējiem veikšanas plāns. </w:t>
      </w:r>
    </w:p>
    <w:p w:rsidR="00F45D55" w:rsidRPr="00B557E8" w:rsidRDefault="00F45D55" w:rsidP="00B557E8">
      <w:pPr>
        <w:spacing w:before="120" w:after="120" w:line="276" w:lineRule="auto"/>
        <w:rPr>
          <w:color w:val="000000" w:themeColor="text1"/>
          <w:szCs w:val="24"/>
        </w:rPr>
      </w:pPr>
      <w:r w:rsidRPr="00B557E8">
        <w:rPr>
          <w:color w:val="000000" w:themeColor="text1"/>
          <w:szCs w:val="24"/>
        </w:rPr>
        <w:t xml:space="preserve">Pārskata periodā MK apstiprināti aktivitātes īstenošanas noteikumi, kuras ietvaros tiks realizēts projekts ar mērķi paaugstināt piekļuves iespējas internetam pēc iespējas plašākām sabiedrības grupām, veicinot piekļuvi publiskās pārvaldes un komercsabiedrību piedāvātajiem elektroniskajiem </w:t>
      </w:r>
      <w:proofErr w:type="spellStart"/>
      <w:r w:rsidRPr="00B557E8">
        <w:rPr>
          <w:color w:val="000000" w:themeColor="text1"/>
          <w:szCs w:val="24"/>
        </w:rPr>
        <w:t>u.c</w:t>
      </w:r>
      <w:proofErr w:type="spellEnd"/>
      <w:r w:rsidRPr="00B557E8">
        <w:rPr>
          <w:color w:val="000000" w:themeColor="text1"/>
          <w:szCs w:val="24"/>
        </w:rPr>
        <w:t xml:space="preserve">. pakalpojumiem un informācijai, lai veicinātu iedzīvotāju iekļaušanos sabiedrības sociālajos, ekonomiskajos un kultūras procesos un uzlabotu viņu dzīves kvalitāti. Kopējais aktivitātei pieejamais finansējums ir 3 </w:t>
      </w:r>
      <w:proofErr w:type="spellStart"/>
      <w:r w:rsidRPr="00B557E8">
        <w:rPr>
          <w:color w:val="000000" w:themeColor="text1"/>
          <w:szCs w:val="24"/>
        </w:rPr>
        <w:t>milj</w:t>
      </w:r>
      <w:proofErr w:type="spellEnd"/>
      <w:r w:rsidRPr="00B557E8">
        <w:rPr>
          <w:color w:val="000000" w:themeColor="text1"/>
          <w:szCs w:val="24"/>
        </w:rPr>
        <w:t>. latu. Atlasi par ar elektronisko sakaru vienlī</w:t>
      </w:r>
      <w:r w:rsidR="00D416AF" w:rsidRPr="00B557E8">
        <w:rPr>
          <w:color w:val="000000" w:themeColor="text1"/>
          <w:szCs w:val="24"/>
        </w:rPr>
        <w:t>dzīgas pieejamības nodrošināšanu</w:t>
      </w:r>
      <w:r w:rsidRPr="00B557E8">
        <w:rPr>
          <w:color w:val="000000" w:themeColor="text1"/>
          <w:szCs w:val="24"/>
        </w:rPr>
        <w:t xml:space="preserve"> visā valsts teritorijā (platjoslas tīkla attīstību) plānots uzsākt pēc lēmuma par valsts atbalsta saskaņošanu ar </w:t>
      </w:r>
      <w:r w:rsidR="00BC3551" w:rsidRPr="00B557E8">
        <w:rPr>
          <w:color w:val="000000" w:themeColor="text1"/>
          <w:szCs w:val="24"/>
        </w:rPr>
        <w:t>EK</w:t>
      </w:r>
      <w:r w:rsidRPr="00B557E8">
        <w:rPr>
          <w:color w:val="000000" w:themeColor="text1"/>
          <w:szCs w:val="24"/>
        </w:rPr>
        <w:t xml:space="preserve"> saņemšanas (provizoriski pēc </w:t>
      </w:r>
      <w:r w:rsidR="00374474" w:rsidRPr="00B557E8">
        <w:rPr>
          <w:color w:val="000000" w:themeColor="text1"/>
          <w:szCs w:val="24"/>
        </w:rPr>
        <w:t>AI</w:t>
      </w:r>
      <w:r w:rsidRPr="00B557E8">
        <w:rPr>
          <w:color w:val="000000" w:themeColor="text1"/>
          <w:szCs w:val="24"/>
        </w:rPr>
        <w:t xml:space="preserve"> prognozēm </w:t>
      </w:r>
      <w:r w:rsidR="00715B76" w:rsidRPr="00B557E8">
        <w:rPr>
          <w:color w:val="000000" w:themeColor="text1"/>
          <w:szCs w:val="24"/>
        </w:rPr>
        <w:t xml:space="preserve">ceturtajā </w:t>
      </w:r>
      <w:r w:rsidRPr="00B557E8">
        <w:rPr>
          <w:color w:val="000000" w:themeColor="text1"/>
          <w:szCs w:val="24"/>
        </w:rPr>
        <w:t>ceturksnī).</w:t>
      </w:r>
    </w:p>
    <w:p w:rsidR="001E53C0" w:rsidRPr="00B557E8" w:rsidRDefault="00F45D55" w:rsidP="00B557E8">
      <w:pPr>
        <w:spacing w:before="120" w:after="120" w:line="276" w:lineRule="auto"/>
        <w:rPr>
          <w:color w:val="000000" w:themeColor="text1"/>
          <w:szCs w:val="24"/>
          <w:highlight w:val="yellow"/>
        </w:rPr>
      </w:pPr>
      <w:r w:rsidRPr="00B557E8">
        <w:rPr>
          <w:color w:val="000000" w:themeColor="text1"/>
          <w:szCs w:val="24"/>
        </w:rPr>
        <w:t xml:space="preserve">Pārskata periodā VARAM </w:t>
      </w:r>
      <w:r w:rsidR="00D416AF" w:rsidRPr="00B557E8">
        <w:rPr>
          <w:color w:val="000000" w:themeColor="text1"/>
          <w:szCs w:val="24"/>
        </w:rPr>
        <w:t xml:space="preserve">nav </w:t>
      </w:r>
      <w:r w:rsidRPr="00B557E8">
        <w:rPr>
          <w:color w:val="000000" w:themeColor="text1"/>
          <w:szCs w:val="24"/>
        </w:rPr>
        <w:t>veik</w:t>
      </w:r>
      <w:r w:rsidR="00D92BE9" w:rsidRPr="00B557E8">
        <w:rPr>
          <w:color w:val="000000" w:themeColor="text1"/>
          <w:szCs w:val="24"/>
        </w:rPr>
        <w:t>u</w:t>
      </w:r>
      <w:r w:rsidR="00D416AF" w:rsidRPr="00B557E8">
        <w:rPr>
          <w:color w:val="000000" w:themeColor="text1"/>
          <w:szCs w:val="24"/>
        </w:rPr>
        <w:t>si</w:t>
      </w:r>
      <w:r w:rsidRPr="00B557E8">
        <w:rPr>
          <w:color w:val="000000" w:themeColor="text1"/>
          <w:szCs w:val="24"/>
        </w:rPr>
        <w:t xml:space="preserve"> ar valsts informāciju sistēmu un e-pakalpojumu izveidi saistīto, projektu izvērtējumu</w:t>
      </w:r>
      <w:r w:rsidR="00D416AF" w:rsidRPr="00B557E8">
        <w:rPr>
          <w:color w:val="000000" w:themeColor="text1"/>
          <w:szCs w:val="24"/>
        </w:rPr>
        <w:t xml:space="preserve"> atbilstoši </w:t>
      </w:r>
      <w:r w:rsidRPr="00B557E8">
        <w:rPr>
          <w:color w:val="000000" w:themeColor="text1"/>
          <w:szCs w:val="24"/>
        </w:rPr>
        <w:t>Koalīcijas partiju Sadarbības padomes darba grupas par ES fondu jautājumiem (</w:t>
      </w:r>
      <w:r w:rsidR="009C5193" w:rsidRPr="00B557E8">
        <w:rPr>
          <w:color w:val="000000" w:themeColor="text1"/>
          <w:szCs w:val="24"/>
        </w:rPr>
        <w:t xml:space="preserve">turpmāk - </w:t>
      </w:r>
      <w:r w:rsidRPr="00B557E8">
        <w:rPr>
          <w:color w:val="000000" w:themeColor="text1"/>
          <w:szCs w:val="24"/>
        </w:rPr>
        <w:t>KDG) 01.13.2011., 02.17.2011., 21.04.2011., 17.08.2011.)</w:t>
      </w:r>
      <w:r w:rsidR="00D416AF" w:rsidRPr="00B557E8">
        <w:rPr>
          <w:color w:val="000000" w:themeColor="text1"/>
          <w:szCs w:val="24"/>
        </w:rPr>
        <w:t xml:space="preserve"> </w:t>
      </w:r>
      <w:r w:rsidR="00D92BE9" w:rsidRPr="00B557E8">
        <w:rPr>
          <w:color w:val="000000" w:themeColor="text1"/>
          <w:szCs w:val="24"/>
        </w:rPr>
        <w:t xml:space="preserve">sēdēs </w:t>
      </w:r>
      <w:r w:rsidR="00D416AF" w:rsidRPr="00B557E8">
        <w:rPr>
          <w:color w:val="000000" w:themeColor="text1"/>
          <w:szCs w:val="24"/>
        </w:rPr>
        <w:t>lemtajam</w:t>
      </w:r>
      <w:r w:rsidRPr="00B557E8">
        <w:rPr>
          <w:color w:val="000000" w:themeColor="text1"/>
          <w:szCs w:val="24"/>
        </w:rPr>
        <w:t>.</w:t>
      </w:r>
      <w:r w:rsidR="00D416AF" w:rsidRPr="00B557E8">
        <w:rPr>
          <w:color w:val="000000" w:themeColor="text1"/>
          <w:szCs w:val="24"/>
        </w:rPr>
        <w:t xml:space="preserve"> VARAM plāno </w:t>
      </w:r>
      <w:r w:rsidR="00250F9F" w:rsidRPr="00B557E8">
        <w:rPr>
          <w:color w:val="000000" w:themeColor="text1"/>
          <w:szCs w:val="24"/>
        </w:rPr>
        <w:t xml:space="preserve">izvērtēt projektus </w:t>
      </w:r>
      <w:r w:rsidR="00BC3551" w:rsidRPr="00B557E8">
        <w:rPr>
          <w:color w:val="000000" w:themeColor="text1"/>
          <w:szCs w:val="24"/>
        </w:rPr>
        <w:t xml:space="preserve">līdz </w:t>
      </w:r>
      <w:proofErr w:type="spellStart"/>
      <w:r w:rsidR="00250F9F" w:rsidRPr="00B557E8">
        <w:rPr>
          <w:color w:val="000000" w:themeColor="text1"/>
          <w:szCs w:val="24"/>
        </w:rPr>
        <w:t>š.g</w:t>
      </w:r>
      <w:proofErr w:type="spellEnd"/>
      <w:r w:rsidR="00250F9F" w:rsidRPr="00B557E8">
        <w:rPr>
          <w:color w:val="000000" w:themeColor="text1"/>
          <w:szCs w:val="24"/>
        </w:rPr>
        <w:t xml:space="preserve">. 11.novembrim un pēc izvērtēšanas iesniegt ziņojumu </w:t>
      </w:r>
      <w:r w:rsidR="00BC3551" w:rsidRPr="00B557E8">
        <w:rPr>
          <w:color w:val="000000" w:themeColor="text1"/>
          <w:szCs w:val="24"/>
        </w:rPr>
        <w:t xml:space="preserve">uz </w:t>
      </w:r>
      <w:r w:rsidR="00250F9F" w:rsidRPr="00B557E8">
        <w:rPr>
          <w:color w:val="000000" w:themeColor="text1"/>
          <w:szCs w:val="24"/>
        </w:rPr>
        <w:t>Valsts sekretāru sanāksm</w:t>
      </w:r>
      <w:r w:rsidR="00BC3551" w:rsidRPr="00B557E8">
        <w:rPr>
          <w:color w:val="000000" w:themeColor="text1"/>
          <w:szCs w:val="24"/>
        </w:rPr>
        <w:t>i</w:t>
      </w:r>
      <w:r w:rsidR="00250F9F" w:rsidRPr="00B557E8">
        <w:rPr>
          <w:color w:val="000000" w:themeColor="text1"/>
          <w:szCs w:val="24"/>
        </w:rPr>
        <w:t xml:space="preserve">. </w:t>
      </w:r>
    </w:p>
    <w:p w:rsidR="003B2E97" w:rsidRDefault="003B2E97">
      <w:pPr>
        <w:jc w:val="left"/>
        <w:rPr>
          <w:rFonts w:eastAsia="Calibri"/>
          <w:b/>
          <w:color w:val="000000" w:themeColor="text1"/>
          <w:szCs w:val="24"/>
          <w:lang w:eastAsia="lv-LV"/>
        </w:rPr>
      </w:pPr>
      <w:r>
        <w:rPr>
          <w:b/>
          <w:color w:val="000000" w:themeColor="text1"/>
        </w:rPr>
        <w:br w:type="page"/>
      </w:r>
    </w:p>
    <w:p w:rsidR="001E53C0" w:rsidRPr="00B557E8" w:rsidRDefault="001E53C0" w:rsidP="00B557E8">
      <w:pPr>
        <w:pStyle w:val="NoSpacing"/>
        <w:spacing w:before="120" w:after="120" w:line="276" w:lineRule="auto"/>
        <w:jc w:val="both"/>
        <w:rPr>
          <w:b/>
          <w:color w:val="000000" w:themeColor="text1"/>
        </w:rPr>
      </w:pPr>
      <w:r w:rsidRPr="00B557E8">
        <w:rPr>
          <w:b/>
          <w:color w:val="000000" w:themeColor="text1"/>
        </w:rPr>
        <w:lastRenderedPageBreak/>
        <w:t>„Eiropas nozīmes transporta tīklu attīstība un ilgtspējīga transporta veicināšana”</w:t>
      </w:r>
    </w:p>
    <w:p w:rsidR="00F45D55" w:rsidRPr="00B557E8" w:rsidRDefault="00F45D55" w:rsidP="00B557E8">
      <w:pPr>
        <w:spacing w:before="120" w:after="120" w:line="276" w:lineRule="auto"/>
        <w:rPr>
          <w:color w:val="000000" w:themeColor="text1"/>
          <w:szCs w:val="24"/>
        </w:rPr>
      </w:pPr>
      <w:r w:rsidRPr="00B557E8">
        <w:rPr>
          <w:color w:val="000000" w:themeColor="text1"/>
          <w:szCs w:val="24"/>
        </w:rPr>
        <w:t xml:space="preserve">Prioritāte vērsta uz valsts un atsevišķu valsts teritorijas daļu sasniedzamības uzlabošanu, pilnveidojot transporta infrastruktūru, kā arī veicinot videi draudzīgas transporta sistēmu attīstību. </w:t>
      </w:r>
    </w:p>
    <w:p w:rsidR="00F45D55" w:rsidRPr="00B557E8" w:rsidRDefault="00F45D55" w:rsidP="00B557E8">
      <w:pPr>
        <w:pStyle w:val="NormalWeb"/>
        <w:tabs>
          <w:tab w:val="left" w:pos="284"/>
        </w:tabs>
        <w:spacing w:before="120" w:beforeAutospacing="0" w:after="120" w:afterAutospacing="0" w:line="276" w:lineRule="auto"/>
        <w:jc w:val="both"/>
        <w:rPr>
          <w:rFonts w:eastAsia="Calibri"/>
          <w:color w:val="000000" w:themeColor="text1"/>
          <w:lang w:val="lv-LV"/>
        </w:rPr>
      </w:pPr>
      <w:r w:rsidRPr="00B557E8">
        <w:rPr>
          <w:rFonts w:eastAsia="Calibri"/>
          <w:color w:val="000000" w:themeColor="text1"/>
          <w:lang w:val="lv-LV"/>
        </w:rPr>
        <w:t xml:space="preserve">Darbības programmas ietvaros šī ir viena no prioritātēm, kur jau iepriekšējos pārskata periodos līgumi par projektu īstenošanu noslēgti par gandrīz visu pieejamo finansējumu. Kopumā prioritātes ietvaros veikti maksājumi finansējuma saņēmējiem par vairāk kā piekto daļu no prioritātei pieejamā finansējuma, taču </w:t>
      </w:r>
      <w:proofErr w:type="spellStart"/>
      <w:r w:rsidRPr="00B557E8">
        <w:rPr>
          <w:rFonts w:eastAsia="Calibri"/>
          <w:color w:val="000000" w:themeColor="text1"/>
          <w:lang w:val="lv-LV"/>
        </w:rPr>
        <w:t>š.g</w:t>
      </w:r>
      <w:proofErr w:type="spellEnd"/>
      <w:r w:rsidRPr="00B557E8">
        <w:rPr>
          <w:rFonts w:eastAsia="Calibri"/>
          <w:color w:val="000000" w:themeColor="text1"/>
          <w:lang w:val="lv-LV"/>
        </w:rPr>
        <w:t xml:space="preserve">. </w:t>
      </w:r>
      <w:r w:rsidR="00715B76" w:rsidRPr="00B557E8">
        <w:rPr>
          <w:color w:val="000000" w:themeColor="text1"/>
          <w:lang w:val="lv-LV"/>
        </w:rPr>
        <w:t xml:space="preserve">trešajā </w:t>
      </w:r>
      <w:r w:rsidRPr="00B557E8">
        <w:rPr>
          <w:rFonts w:eastAsia="Calibri"/>
          <w:color w:val="000000" w:themeColor="text1"/>
          <w:lang w:val="lv-LV"/>
        </w:rPr>
        <w:t xml:space="preserve">ceturksnī prioritātē ir viszemākais veikto maksājumu progress. Lielākā daļa no 2011.gada </w:t>
      </w:r>
      <w:r w:rsidR="00715B76" w:rsidRPr="00B557E8">
        <w:rPr>
          <w:color w:val="000000" w:themeColor="text1"/>
          <w:lang w:val="lv-LV"/>
        </w:rPr>
        <w:t xml:space="preserve">trešajā </w:t>
      </w:r>
      <w:r w:rsidRPr="00B557E8">
        <w:rPr>
          <w:rFonts w:eastAsia="Calibri"/>
          <w:color w:val="000000" w:themeColor="text1"/>
          <w:lang w:val="lv-LV"/>
        </w:rPr>
        <w:t>ceturksnī veiktajiem maksājumi</w:t>
      </w:r>
      <w:r w:rsidR="00D92BE9" w:rsidRPr="00B557E8">
        <w:rPr>
          <w:rFonts w:eastAsia="Calibri"/>
          <w:color w:val="000000" w:themeColor="text1"/>
          <w:lang w:val="lv-LV"/>
        </w:rPr>
        <w:t>em</w:t>
      </w:r>
      <w:r w:rsidRPr="00B557E8">
        <w:rPr>
          <w:rFonts w:eastAsia="Calibri"/>
          <w:color w:val="000000" w:themeColor="text1"/>
          <w:lang w:val="lv-LV"/>
        </w:rPr>
        <w:t xml:space="preserve"> ir TEN-T autoceļu tīkla uzlabojumu projektos. </w:t>
      </w:r>
      <w:r w:rsidR="001F475C" w:rsidRPr="00B557E8">
        <w:rPr>
          <w:rFonts w:eastAsia="Calibri"/>
          <w:color w:val="000000" w:themeColor="text1"/>
          <w:lang w:val="lv-LV"/>
        </w:rPr>
        <w:t>Tāpat šajā prioritātē ir vislielākā budžeta neizpilde, uz 2011.gada 30.septembri tā ir 26</w:t>
      </w:r>
      <w:r w:rsidR="003E7821" w:rsidRPr="00B557E8">
        <w:rPr>
          <w:rFonts w:eastAsia="Calibri"/>
          <w:color w:val="000000" w:themeColor="text1"/>
          <w:lang w:val="lv-LV"/>
        </w:rPr>
        <w:t>,</w:t>
      </w:r>
      <w:r w:rsidR="001F475C" w:rsidRPr="00B557E8">
        <w:rPr>
          <w:rFonts w:eastAsia="Calibri"/>
          <w:color w:val="000000" w:themeColor="text1"/>
          <w:lang w:val="lv-LV"/>
        </w:rPr>
        <w:t xml:space="preserve">6 </w:t>
      </w:r>
      <w:proofErr w:type="spellStart"/>
      <w:r w:rsidR="001F475C" w:rsidRPr="00B557E8">
        <w:rPr>
          <w:rFonts w:eastAsia="Calibri"/>
          <w:color w:val="000000" w:themeColor="text1"/>
          <w:lang w:val="lv-LV"/>
        </w:rPr>
        <w:t>milj</w:t>
      </w:r>
      <w:proofErr w:type="spellEnd"/>
      <w:r w:rsidR="001F475C" w:rsidRPr="00B557E8">
        <w:rPr>
          <w:rFonts w:eastAsia="Calibri"/>
          <w:color w:val="000000" w:themeColor="text1"/>
          <w:lang w:val="lv-LV"/>
        </w:rPr>
        <w:t>. latu apmērā.</w:t>
      </w:r>
    </w:p>
    <w:p w:rsidR="00F45D55" w:rsidRPr="00B557E8" w:rsidRDefault="00F45D55" w:rsidP="00B557E8">
      <w:pPr>
        <w:spacing w:before="120" w:after="120" w:line="276" w:lineRule="auto"/>
        <w:rPr>
          <w:color w:val="000000" w:themeColor="text1"/>
          <w:szCs w:val="24"/>
          <w:lang w:eastAsia="lv-LV"/>
        </w:rPr>
      </w:pPr>
      <w:r w:rsidRPr="00B557E8">
        <w:rPr>
          <w:color w:val="000000" w:themeColor="text1"/>
          <w:szCs w:val="24"/>
          <w:lang w:eastAsia="lv-LV"/>
        </w:rPr>
        <w:t>Galvenās problēmas prioritātes projektu īstenošanā, tāpat kā pagājušā ceturksnī, saistītas ar iepirkuma problēmām un būvniecības izmaksu kāpumu. Papildu informāciju skatīt sadaļā „Teritoriju pieejamības un sasniedzamības veicināšana”.</w:t>
      </w:r>
    </w:p>
    <w:p w:rsidR="00F45D55" w:rsidRPr="00B557E8" w:rsidRDefault="00F45D55" w:rsidP="00B557E8">
      <w:pPr>
        <w:spacing w:before="120" w:after="120" w:line="276" w:lineRule="auto"/>
        <w:rPr>
          <w:color w:val="000000" w:themeColor="text1"/>
          <w:szCs w:val="24"/>
        </w:rPr>
      </w:pPr>
      <w:r w:rsidRPr="00B557E8">
        <w:rPr>
          <w:color w:val="000000" w:themeColor="text1"/>
          <w:szCs w:val="24"/>
        </w:rPr>
        <w:t>Fizisko rādītāju progress šajā ceturksnī nav bijis, jo nav nodoti ekspluatācijā ceļu posmi vai objekti. Ņemot vērā, ka radītāji transporta jomā par sasniegtiem tiek uzskatīti pēc pilnīgas projekta pabeigšanas, tikai tad arī varēs izvērtēt kopējo ES fondu ietekmi uz transporta nozari un ekonomisko labumu, ko ES fondi snieguši</w:t>
      </w:r>
      <w:r w:rsidR="00D416AF" w:rsidRPr="00B557E8">
        <w:rPr>
          <w:color w:val="000000" w:themeColor="text1"/>
          <w:szCs w:val="24"/>
        </w:rPr>
        <w:t>.</w:t>
      </w:r>
      <w:r w:rsidR="00BB18A1" w:rsidRPr="00B557E8">
        <w:rPr>
          <w:color w:val="000000" w:themeColor="text1"/>
          <w:szCs w:val="24"/>
        </w:rPr>
        <w:t xml:space="preserve"> Kopumā, ņemot vērā apstiprinātos un plānotos projektus, visus rādītājus plānots sasniegt vai pat pārsniegt</w:t>
      </w:r>
      <w:r w:rsidR="00BB18A1" w:rsidRPr="00B557E8">
        <w:rPr>
          <w:rStyle w:val="CommentReference"/>
          <w:color w:val="000000" w:themeColor="text1"/>
          <w:sz w:val="24"/>
          <w:szCs w:val="24"/>
          <w:lang w:eastAsia="x-none"/>
        </w:rPr>
        <w:t>.</w:t>
      </w:r>
    </w:p>
    <w:p w:rsidR="001E53C0" w:rsidRPr="00B557E8" w:rsidRDefault="00F45D55" w:rsidP="00B557E8">
      <w:pPr>
        <w:spacing w:before="120" w:after="120" w:line="276" w:lineRule="auto"/>
        <w:rPr>
          <w:rFonts w:eastAsia="Calibri"/>
          <w:color w:val="000000" w:themeColor="text1"/>
          <w:szCs w:val="24"/>
        </w:rPr>
      </w:pPr>
      <w:r w:rsidRPr="00B557E8">
        <w:rPr>
          <w:rFonts w:eastAsia="Calibri"/>
          <w:color w:val="000000" w:themeColor="text1"/>
          <w:szCs w:val="24"/>
        </w:rPr>
        <w:t>Ņemot vērā, ka 55,4% no prioritātes finansējuma atvēlēts lielajiem projektiem, prioritātes īstenošanas gaita lielā mērā atkarīga no lielo projektu ieviešanas progresa, par kuriem vairāk informācijas sniegts šī ziņojuma 1.</w:t>
      </w:r>
      <w:r w:rsidR="00BD133C" w:rsidRPr="00B557E8">
        <w:rPr>
          <w:rFonts w:eastAsia="Calibri"/>
          <w:color w:val="000000" w:themeColor="text1"/>
          <w:szCs w:val="24"/>
        </w:rPr>
        <w:t>4</w:t>
      </w:r>
      <w:r w:rsidRPr="00B557E8">
        <w:rPr>
          <w:rFonts w:eastAsia="Calibri"/>
          <w:color w:val="000000" w:themeColor="text1"/>
          <w:szCs w:val="24"/>
        </w:rPr>
        <w:t>.4.sadaļā „Lielo projektu īstenošana”.</w:t>
      </w:r>
    </w:p>
    <w:p w:rsidR="001E53C0" w:rsidRPr="00B557E8" w:rsidRDefault="001E53C0" w:rsidP="00B557E8">
      <w:pPr>
        <w:pStyle w:val="NoSpacing"/>
        <w:spacing w:before="120" w:after="120" w:line="276" w:lineRule="auto"/>
        <w:jc w:val="both"/>
        <w:rPr>
          <w:b/>
          <w:color w:val="000000" w:themeColor="text1"/>
        </w:rPr>
      </w:pPr>
      <w:r w:rsidRPr="00B557E8">
        <w:rPr>
          <w:b/>
          <w:color w:val="000000" w:themeColor="text1"/>
        </w:rPr>
        <w:t>„Kvalitatīvas vides dzīvei un ekonomiskai aktivitātei nodrošināšana”</w:t>
      </w:r>
    </w:p>
    <w:p w:rsidR="00F45D55" w:rsidRPr="00B557E8" w:rsidRDefault="00F45D55" w:rsidP="00B557E8">
      <w:pPr>
        <w:spacing w:before="120" w:after="120" w:line="276" w:lineRule="auto"/>
        <w:rPr>
          <w:color w:val="000000" w:themeColor="text1"/>
          <w:szCs w:val="24"/>
        </w:rPr>
      </w:pPr>
      <w:r w:rsidRPr="00B557E8">
        <w:rPr>
          <w:color w:val="000000" w:themeColor="text1"/>
          <w:szCs w:val="24"/>
        </w:rPr>
        <w:t xml:space="preserve">ERAF līdzfinansēta prioritāte vērsta uz nepieciešamo priekšnosacījumu veidošanu ekonomiskai aktivitātei, kā arī dzīves kvalitātes rādītāju uzlabošanai dažādās valsts teritorijas daļās, investējot vides infrastruktūrā un pakalpojumos, dabas un kultūras mantojuma saglabāšanā, tūrisma produktu attīstībā. </w:t>
      </w:r>
    </w:p>
    <w:p w:rsidR="00F45D55" w:rsidRPr="00B557E8" w:rsidRDefault="00F45D55" w:rsidP="00B557E8">
      <w:pPr>
        <w:spacing w:before="120" w:after="120" w:line="276" w:lineRule="auto"/>
        <w:rPr>
          <w:color w:val="000000" w:themeColor="text1"/>
          <w:szCs w:val="24"/>
        </w:rPr>
      </w:pPr>
      <w:r w:rsidRPr="00B557E8">
        <w:rPr>
          <w:color w:val="000000" w:themeColor="text1"/>
          <w:szCs w:val="24"/>
        </w:rPr>
        <w:t xml:space="preserve">Prioritātes ietvaros ir apstiprināti projekti par 72% no prioritātei pieejamā publiskā finansējuma un noslēgti līgumi par 58%. Vidēji progress, salīdzinot ar iepriekšējo ceturksni apstiprināto un noslēgto līgumu ziņā, ir 7%. </w:t>
      </w:r>
    </w:p>
    <w:p w:rsidR="00F45D55" w:rsidRPr="00B557E8" w:rsidRDefault="00F45D55" w:rsidP="00B557E8">
      <w:pPr>
        <w:spacing w:before="120" w:after="120" w:line="276" w:lineRule="auto"/>
        <w:rPr>
          <w:color w:val="000000" w:themeColor="text1"/>
          <w:szCs w:val="24"/>
        </w:rPr>
      </w:pPr>
      <w:proofErr w:type="spellStart"/>
      <w:r w:rsidRPr="00B557E8">
        <w:rPr>
          <w:color w:val="000000" w:themeColor="text1"/>
          <w:szCs w:val="24"/>
        </w:rPr>
        <w:t>Š.g</w:t>
      </w:r>
      <w:proofErr w:type="spellEnd"/>
      <w:r w:rsidRPr="00B557E8">
        <w:rPr>
          <w:color w:val="000000" w:themeColor="text1"/>
          <w:szCs w:val="24"/>
        </w:rPr>
        <w:t xml:space="preserve">. septembrī ir apstiprināts projekts par bioloģiskās daudzveidības saglabāšanas </w:t>
      </w:r>
      <w:proofErr w:type="spellStart"/>
      <w:r w:rsidRPr="00B557E8">
        <w:rPr>
          <w:color w:val="000000" w:themeColor="text1"/>
          <w:szCs w:val="24"/>
        </w:rPr>
        <w:t>ex-situ</w:t>
      </w:r>
      <w:proofErr w:type="spellEnd"/>
      <w:r w:rsidRPr="00B557E8">
        <w:rPr>
          <w:color w:val="000000" w:themeColor="text1"/>
          <w:szCs w:val="24"/>
        </w:rPr>
        <w:t xml:space="preserve"> infrastruktūras izveidi (100% apmērā no aktivitātei pieejamā finansējuma). Diezgan ievērojams progress ceturksnī ir aktivitātei, kas saistīta ar  ūdenssaimniecības infrastruktūras attīstību apdzīvotās vietās ar iedzīvotāju skaitu līdz 2000, kuras ietvaros </w:t>
      </w:r>
      <w:r w:rsidR="003B10DB" w:rsidRPr="00B557E8">
        <w:rPr>
          <w:color w:val="000000" w:themeColor="text1"/>
          <w:szCs w:val="24"/>
        </w:rPr>
        <w:t xml:space="preserve">trešajā </w:t>
      </w:r>
      <w:r w:rsidR="00D416AF" w:rsidRPr="00B557E8">
        <w:rPr>
          <w:color w:val="000000" w:themeColor="text1"/>
          <w:szCs w:val="24"/>
        </w:rPr>
        <w:t xml:space="preserve">ceturksnī </w:t>
      </w:r>
      <w:r w:rsidRPr="00B557E8">
        <w:rPr>
          <w:color w:val="000000" w:themeColor="text1"/>
          <w:szCs w:val="24"/>
        </w:rPr>
        <w:t>ir apstiprināti 89 projekti, kā arī noslēgti līgumi par 50 projektu īstenošanu.</w:t>
      </w:r>
      <w:r w:rsidR="00BC3551" w:rsidRPr="00B557E8">
        <w:rPr>
          <w:color w:val="000000" w:themeColor="text1"/>
          <w:szCs w:val="24"/>
        </w:rPr>
        <w:t xml:space="preserve"> </w:t>
      </w:r>
      <w:r w:rsidRPr="00B557E8">
        <w:rPr>
          <w:color w:val="000000" w:themeColor="text1"/>
          <w:szCs w:val="24"/>
        </w:rPr>
        <w:t xml:space="preserve">Vērā ņemams progress noslēgto līgumu ziņā </w:t>
      </w:r>
      <w:r w:rsidR="00BC3551" w:rsidRPr="00B557E8">
        <w:rPr>
          <w:color w:val="000000" w:themeColor="text1"/>
          <w:szCs w:val="24"/>
        </w:rPr>
        <w:t>sasniegts arī</w:t>
      </w:r>
      <w:r w:rsidRPr="00B557E8">
        <w:rPr>
          <w:color w:val="000000" w:themeColor="text1"/>
          <w:szCs w:val="24"/>
        </w:rPr>
        <w:t xml:space="preserve"> mājokļu energoefektivitātes jomā, kurā ceturksnī apstiprināti 173 projekti un noslēgti 123 līgumi.</w:t>
      </w:r>
    </w:p>
    <w:p w:rsidR="00F45D55" w:rsidRPr="00B557E8" w:rsidRDefault="0017378E" w:rsidP="00B557E8">
      <w:pPr>
        <w:spacing w:before="120" w:after="120" w:line="276" w:lineRule="auto"/>
        <w:rPr>
          <w:color w:val="000000" w:themeColor="text1"/>
          <w:szCs w:val="24"/>
        </w:rPr>
      </w:pPr>
      <w:r w:rsidRPr="00B557E8">
        <w:rPr>
          <w:color w:val="000000" w:themeColor="text1"/>
          <w:szCs w:val="24"/>
        </w:rPr>
        <w:t>Progress veikto maksājumu ziņā prioritātes ietvaros ir diezgan ievērojams, jo veikti maksājumi finansējuma saņēmējiem 50</w:t>
      </w:r>
      <w:r w:rsidR="003E7821" w:rsidRPr="00B557E8">
        <w:rPr>
          <w:color w:val="000000" w:themeColor="text1"/>
          <w:szCs w:val="24"/>
        </w:rPr>
        <w:t>,</w:t>
      </w:r>
      <w:r w:rsidRPr="00B557E8">
        <w:rPr>
          <w:color w:val="000000" w:themeColor="text1"/>
          <w:szCs w:val="24"/>
        </w:rPr>
        <w:t xml:space="preserve">4 </w:t>
      </w:r>
      <w:proofErr w:type="spellStart"/>
      <w:r w:rsidRPr="00B557E8">
        <w:rPr>
          <w:color w:val="000000" w:themeColor="text1"/>
          <w:szCs w:val="24"/>
        </w:rPr>
        <w:t>milj</w:t>
      </w:r>
      <w:proofErr w:type="spellEnd"/>
      <w:r w:rsidRPr="00B557E8">
        <w:rPr>
          <w:color w:val="000000" w:themeColor="text1"/>
          <w:szCs w:val="24"/>
        </w:rPr>
        <w:t xml:space="preserve">. latu apmērā </w:t>
      </w:r>
      <w:r w:rsidR="002B0705" w:rsidRPr="00B557E8">
        <w:rPr>
          <w:color w:val="000000" w:themeColor="text1"/>
          <w:szCs w:val="24"/>
        </w:rPr>
        <w:t>(</w:t>
      </w:r>
      <w:r w:rsidRPr="00B557E8">
        <w:rPr>
          <w:color w:val="000000" w:themeColor="text1"/>
          <w:szCs w:val="24"/>
        </w:rPr>
        <w:t>20%</w:t>
      </w:r>
      <w:r w:rsidR="002B0705" w:rsidRPr="00B557E8">
        <w:rPr>
          <w:color w:val="000000" w:themeColor="text1"/>
          <w:szCs w:val="24"/>
        </w:rPr>
        <w:t>)</w:t>
      </w:r>
      <w:r w:rsidRPr="00B557E8">
        <w:rPr>
          <w:color w:val="000000" w:themeColor="text1"/>
          <w:szCs w:val="24"/>
        </w:rPr>
        <w:t xml:space="preserve">. </w:t>
      </w:r>
      <w:r w:rsidR="00F45D55" w:rsidRPr="00B557E8">
        <w:rPr>
          <w:color w:val="000000" w:themeColor="text1"/>
          <w:szCs w:val="24"/>
        </w:rPr>
        <w:t>Lielākais progress ir vērojams vides pasākumā, jo īpaši izceļamas aktivitātes, kas saistītas ar vēsturiski piesārņoto vietu sanāciju un hidrotehnisko būvju rekonstrukciju plūdu draudu risku novēršanai.</w:t>
      </w:r>
    </w:p>
    <w:p w:rsidR="00F45D55" w:rsidRPr="00B557E8" w:rsidRDefault="00F45D55" w:rsidP="00B557E8">
      <w:pPr>
        <w:spacing w:before="120" w:after="120" w:line="276" w:lineRule="auto"/>
        <w:rPr>
          <w:color w:val="000000" w:themeColor="text1"/>
          <w:szCs w:val="24"/>
        </w:rPr>
      </w:pPr>
      <w:r w:rsidRPr="00B557E8">
        <w:rPr>
          <w:color w:val="000000" w:themeColor="text1"/>
          <w:szCs w:val="24"/>
        </w:rPr>
        <w:lastRenderedPageBreak/>
        <w:t xml:space="preserve">Mājokļu energoefektivitātes uzlabošanas jomā ar ERAF palīdzību 2011.gada </w:t>
      </w:r>
      <w:r w:rsidR="003B10DB" w:rsidRPr="00B557E8">
        <w:rPr>
          <w:color w:val="000000" w:themeColor="text1"/>
          <w:szCs w:val="24"/>
        </w:rPr>
        <w:t>trešajā</w:t>
      </w:r>
      <w:r w:rsidRPr="00B557E8">
        <w:rPr>
          <w:color w:val="000000" w:themeColor="text1"/>
          <w:szCs w:val="24"/>
        </w:rPr>
        <w:t xml:space="preserve"> ceturksnī tika pabeigta 8 daudzdzīvokļu māju siltināšana</w:t>
      </w:r>
      <w:r w:rsidR="00DC25BF" w:rsidRPr="00B557E8">
        <w:rPr>
          <w:color w:val="000000" w:themeColor="text1"/>
          <w:szCs w:val="24"/>
        </w:rPr>
        <w:t>, l</w:t>
      </w:r>
      <w:r w:rsidRPr="00B557E8">
        <w:rPr>
          <w:color w:val="000000" w:themeColor="text1"/>
          <w:szCs w:val="24"/>
        </w:rPr>
        <w:t xml:space="preserve">īdz ar to līdz 2011.gada </w:t>
      </w:r>
      <w:r w:rsidR="003B10DB" w:rsidRPr="00B557E8">
        <w:rPr>
          <w:color w:val="000000" w:themeColor="text1"/>
          <w:szCs w:val="24"/>
        </w:rPr>
        <w:t>trešā</w:t>
      </w:r>
      <w:r w:rsidRPr="00B557E8">
        <w:rPr>
          <w:color w:val="000000" w:themeColor="text1"/>
          <w:szCs w:val="24"/>
        </w:rPr>
        <w:t xml:space="preserve"> ceturkšņa beigām 46 daudzdzīvokļu mājās un 12 sociālajās mājās ir pabeigta energoefektivitātes uzlabošana, noslēgti </w:t>
      </w:r>
      <w:r w:rsidR="00DC25BF" w:rsidRPr="00B557E8">
        <w:rPr>
          <w:color w:val="000000" w:themeColor="text1"/>
          <w:szCs w:val="24"/>
        </w:rPr>
        <w:t xml:space="preserve">līgumi </w:t>
      </w:r>
      <w:r w:rsidRPr="00B557E8">
        <w:rPr>
          <w:color w:val="000000" w:themeColor="text1"/>
          <w:szCs w:val="24"/>
        </w:rPr>
        <w:t xml:space="preserve">vēl par </w:t>
      </w:r>
      <w:r w:rsidR="00DC25BF" w:rsidRPr="00B557E8">
        <w:rPr>
          <w:color w:val="000000" w:themeColor="text1"/>
          <w:szCs w:val="24"/>
        </w:rPr>
        <w:t xml:space="preserve">277 </w:t>
      </w:r>
      <w:r w:rsidRPr="00B557E8">
        <w:rPr>
          <w:color w:val="000000" w:themeColor="text1"/>
          <w:szCs w:val="24"/>
        </w:rPr>
        <w:t>daudzdzīvokļu māju un 47 sociālo māju energoefektivitātes uzlabošanu.</w:t>
      </w:r>
      <w:r w:rsidR="00DC25BF" w:rsidRPr="00B557E8">
        <w:rPr>
          <w:color w:val="000000" w:themeColor="text1"/>
          <w:szCs w:val="24"/>
        </w:rPr>
        <w:t xml:space="preserve"> </w:t>
      </w:r>
      <w:r w:rsidRPr="00B557E8">
        <w:rPr>
          <w:color w:val="000000" w:themeColor="text1"/>
          <w:szCs w:val="24"/>
        </w:rPr>
        <w:t>Siltumenerģijas patēriņa samazinājums atbalstītajās daudzdzīvokļu mājās: 50,4%, līdz ar to ga</w:t>
      </w:r>
      <w:r w:rsidR="00D416AF" w:rsidRPr="00B557E8">
        <w:rPr>
          <w:color w:val="000000" w:themeColor="text1"/>
          <w:szCs w:val="24"/>
        </w:rPr>
        <w:t>l</w:t>
      </w:r>
      <w:r w:rsidRPr="00B557E8">
        <w:rPr>
          <w:color w:val="000000" w:themeColor="text1"/>
          <w:szCs w:val="24"/>
        </w:rPr>
        <w:t xml:space="preserve">a mērķis izpildīts par 335%. Rādītāja vērtība daudzdzīvokļu mājās pārsniedza </w:t>
      </w:r>
      <w:r w:rsidR="00DC25BF" w:rsidRPr="00B557E8">
        <w:rPr>
          <w:color w:val="000000" w:themeColor="text1"/>
          <w:szCs w:val="24"/>
        </w:rPr>
        <w:t>gala</w:t>
      </w:r>
      <w:r w:rsidRPr="00B557E8">
        <w:rPr>
          <w:color w:val="000000" w:themeColor="text1"/>
          <w:szCs w:val="24"/>
        </w:rPr>
        <w:t xml:space="preserve"> mērķi, jo nosakot plānoto rādītāja vērtību, nebija plānots, ka finansējuma saņēmēji, neskatoties uz lielākajām izmaksām, veiks kompleksā vairākus energoefektivitātes pasākumus, tādējādi nodrošinot lielāko siltumenerģijas patēriņa ietaupījumu.  </w:t>
      </w:r>
      <w:r w:rsidR="004E6C2A" w:rsidRPr="00B557E8">
        <w:rPr>
          <w:color w:val="000000" w:themeColor="text1"/>
          <w:szCs w:val="24"/>
        </w:rPr>
        <w:t>R</w:t>
      </w:r>
      <w:r w:rsidRPr="00B557E8">
        <w:rPr>
          <w:color w:val="000000" w:themeColor="text1"/>
          <w:szCs w:val="24"/>
        </w:rPr>
        <w:t>ādītāja vērtība tiek aktualizēta katru gadu, ņemot vērā siltumenerģijas patēriņa izmaiņas visos pabeigtajos aktivitātes projektos.</w:t>
      </w:r>
    </w:p>
    <w:p w:rsidR="001E53C0" w:rsidRPr="00B557E8" w:rsidRDefault="00F45D55" w:rsidP="00B557E8">
      <w:pPr>
        <w:spacing w:before="120" w:after="120" w:line="276" w:lineRule="auto"/>
        <w:rPr>
          <w:color w:val="000000" w:themeColor="text1"/>
          <w:szCs w:val="24"/>
          <w:highlight w:val="yellow"/>
        </w:rPr>
      </w:pPr>
      <w:r w:rsidRPr="00B557E8">
        <w:rPr>
          <w:color w:val="000000" w:themeColor="text1"/>
          <w:szCs w:val="24"/>
          <w:lang w:eastAsia="lv-LV"/>
        </w:rPr>
        <w:t>Mājokļu energoefektivitātes uzlabošanas jomā ir konstatētas šādas problēmas: tiek veiktas iepirkuma procedūras, neievērojot normatīvo aktu prasības, kā rezultātā notiek ilga iepirkuma procedūras saskaņošana, īpaši publiskajiem iepirkumiem, un vairumā gadījumu tiek noteikta finanšu korekcija projekta attiecināmajām izmaksām. Finansējuma saņēmēji savlaicīgi neiesniedz iepirkuma plānus, un daudzos gadījumos netiek izsludinātas iepirkuma procedūras 3 mēnešu laikā no līguma noslēgšanas. Nekvalitatīvi aizpildītas projekta iesnieguma veidlapas, jo tiek norādīti jau veikti renovācijas darbi, kas tiek konstatēts pirmslīguma pārbaudēs. Projekta īstenošana ir cieši saistīta ar būvniecības darbu sezonu, kas ietekmē projekta īstenošanas ilgumu, kā arī ierosinātos līguma termiņa pagarinājumus.</w:t>
      </w:r>
      <w:r w:rsidR="00DC25BF" w:rsidRPr="00B557E8">
        <w:rPr>
          <w:color w:val="000000" w:themeColor="text1"/>
          <w:szCs w:val="24"/>
          <w:lang w:eastAsia="lv-LV"/>
        </w:rPr>
        <w:t xml:space="preserve"> </w:t>
      </w:r>
      <w:r w:rsidRPr="00B557E8">
        <w:rPr>
          <w:color w:val="000000" w:themeColor="text1"/>
          <w:szCs w:val="24"/>
        </w:rPr>
        <w:t>Lai atrisinātu iepriekš minētās problēmas,</w:t>
      </w:r>
      <w:r w:rsidRPr="00B557E8">
        <w:rPr>
          <w:b/>
          <w:color w:val="000000" w:themeColor="text1"/>
          <w:szCs w:val="24"/>
        </w:rPr>
        <w:t xml:space="preserve"> </w:t>
      </w:r>
      <w:r w:rsidR="00374474" w:rsidRPr="00B557E8">
        <w:rPr>
          <w:color w:val="000000" w:themeColor="text1"/>
          <w:szCs w:val="24"/>
        </w:rPr>
        <w:t>SI</w:t>
      </w:r>
      <w:r w:rsidRPr="00B557E8">
        <w:rPr>
          <w:color w:val="000000" w:themeColor="text1"/>
          <w:szCs w:val="24"/>
        </w:rPr>
        <w:t xml:space="preserve"> papildus dalībai reģionālajos semināros informatīvās kampaņas „Dzīvo siltāk!” ietvaros, organizē seminārus, kuros finansējuma saņēmējiem tiek sniegta informācija par dokumentācijas sagatavošanu un noformēšanu, turpmākajām darbībām, kuras nepieciešamas veiksmīgai projekta īstenošanai.</w:t>
      </w:r>
      <w:r w:rsidR="001E53C0" w:rsidRPr="00B557E8">
        <w:rPr>
          <w:color w:val="000000" w:themeColor="text1"/>
          <w:szCs w:val="24"/>
          <w:highlight w:val="yellow"/>
        </w:rPr>
        <w:t xml:space="preserve"> </w:t>
      </w:r>
    </w:p>
    <w:p w:rsidR="001E53C0" w:rsidRPr="00B557E8" w:rsidRDefault="001E53C0" w:rsidP="00B557E8">
      <w:pPr>
        <w:pStyle w:val="NoSpacing"/>
        <w:spacing w:before="120" w:after="120" w:line="276" w:lineRule="auto"/>
        <w:jc w:val="both"/>
        <w:rPr>
          <w:b/>
          <w:color w:val="000000" w:themeColor="text1"/>
        </w:rPr>
      </w:pPr>
      <w:r w:rsidRPr="00B557E8">
        <w:rPr>
          <w:b/>
          <w:color w:val="000000" w:themeColor="text1"/>
        </w:rPr>
        <w:t xml:space="preserve"> „Vides infrastruktūras un videi draudzīgas enerģētikas veicināšana”</w:t>
      </w:r>
    </w:p>
    <w:p w:rsidR="00F45D55" w:rsidRPr="00B557E8" w:rsidRDefault="00F45D55" w:rsidP="00B557E8">
      <w:pPr>
        <w:spacing w:before="120" w:after="120" w:line="276" w:lineRule="auto"/>
        <w:rPr>
          <w:color w:val="000000" w:themeColor="text1"/>
          <w:szCs w:val="24"/>
        </w:rPr>
      </w:pPr>
      <w:r w:rsidRPr="00B557E8">
        <w:rPr>
          <w:color w:val="000000" w:themeColor="text1"/>
          <w:szCs w:val="24"/>
        </w:rPr>
        <w:t xml:space="preserve">Prioritāte vērsta uz videi draudzīgu attīstības priekšnoteikumu radīšanu, pilnveidojot vides un dabas aizsardzības infrastruktūru, kā arī ar energoefektivitātes paaugstināšanu un atjaunojamo energoresursu izmantošanu centralizētās siltumapgādes </w:t>
      </w:r>
      <w:r w:rsidRPr="00B557E8">
        <w:rPr>
          <w:iCs/>
          <w:color w:val="000000" w:themeColor="text1"/>
          <w:szCs w:val="24"/>
        </w:rPr>
        <w:t>pakalpojumos</w:t>
      </w:r>
      <w:r w:rsidRPr="00B557E8">
        <w:rPr>
          <w:color w:val="000000" w:themeColor="text1"/>
          <w:szCs w:val="24"/>
        </w:rPr>
        <w:t xml:space="preserve">. Prioritāte tiek īstenota, investējot vides, enerģijas ražošanas un apgādes infrastruktūrā. </w:t>
      </w:r>
    </w:p>
    <w:p w:rsidR="00F45D55" w:rsidRPr="00B557E8" w:rsidRDefault="00F45D55" w:rsidP="00B557E8">
      <w:pPr>
        <w:spacing w:before="120" w:after="120" w:line="276" w:lineRule="auto"/>
        <w:rPr>
          <w:color w:val="000000" w:themeColor="text1"/>
          <w:szCs w:val="24"/>
        </w:rPr>
      </w:pPr>
      <w:r w:rsidRPr="00B557E8">
        <w:rPr>
          <w:color w:val="000000" w:themeColor="text1"/>
          <w:szCs w:val="24"/>
        </w:rPr>
        <w:t>Kopumā prioritātes ietvaros šajā ceturksnī salīdzinājumā ar iepriekšējo pārskata periodu ir vērojams progress gan projektu apstiprināšanā, gan līgumu par projektu īstenošanu noslēgšanā. Prioritātes ietvaros ir apstiprināti projekti par 76</w:t>
      </w:r>
      <w:r w:rsidR="003E7821" w:rsidRPr="00B557E8">
        <w:rPr>
          <w:color w:val="000000" w:themeColor="text1"/>
          <w:szCs w:val="24"/>
        </w:rPr>
        <w:t>,</w:t>
      </w:r>
      <w:r w:rsidRPr="00B557E8">
        <w:rPr>
          <w:color w:val="000000" w:themeColor="text1"/>
          <w:szCs w:val="24"/>
        </w:rPr>
        <w:t>2% no prioritātei pieejamā publiskā finansējuma un noslēgti līgumi par 73</w:t>
      </w:r>
      <w:r w:rsidR="003E7821" w:rsidRPr="00B557E8">
        <w:rPr>
          <w:color w:val="000000" w:themeColor="text1"/>
          <w:szCs w:val="24"/>
        </w:rPr>
        <w:t>,</w:t>
      </w:r>
      <w:r w:rsidRPr="00B557E8">
        <w:rPr>
          <w:color w:val="000000" w:themeColor="text1"/>
          <w:szCs w:val="24"/>
        </w:rPr>
        <w:t xml:space="preserve">5%. </w:t>
      </w:r>
      <w:proofErr w:type="spellStart"/>
      <w:r w:rsidR="00C166B5" w:rsidRPr="00B557E8">
        <w:rPr>
          <w:color w:val="000000" w:themeColor="text1"/>
          <w:szCs w:val="24"/>
        </w:rPr>
        <w:t>Š.g</w:t>
      </w:r>
      <w:proofErr w:type="spellEnd"/>
      <w:r w:rsidR="00C166B5" w:rsidRPr="00B557E8">
        <w:rPr>
          <w:color w:val="000000" w:themeColor="text1"/>
          <w:szCs w:val="24"/>
        </w:rPr>
        <w:t xml:space="preserve">. </w:t>
      </w:r>
      <w:r w:rsidR="003B10DB" w:rsidRPr="00B557E8">
        <w:rPr>
          <w:color w:val="000000" w:themeColor="text1"/>
          <w:szCs w:val="24"/>
        </w:rPr>
        <w:t xml:space="preserve">trešajā </w:t>
      </w:r>
      <w:r w:rsidR="00C166B5" w:rsidRPr="00B557E8">
        <w:rPr>
          <w:color w:val="000000" w:themeColor="text1"/>
          <w:szCs w:val="24"/>
        </w:rPr>
        <w:t>c</w:t>
      </w:r>
      <w:r w:rsidRPr="00B557E8">
        <w:rPr>
          <w:color w:val="000000" w:themeColor="text1"/>
          <w:szCs w:val="24"/>
        </w:rPr>
        <w:t xml:space="preserve">eturksnī ir apstiprināti 24 projekti, </w:t>
      </w:r>
      <w:r w:rsidR="00C166B5" w:rsidRPr="00B557E8">
        <w:rPr>
          <w:color w:val="000000" w:themeColor="text1"/>
          <w:szCs w:val="24"/>
        </w:rPr>
        <w:t>no tiem lielāka daļa a</w:t>
      </w:r>
      <w:r w:rsidRPr="00B557E8">
        <w:rPr>
          <w:color w:val="000000" w:themeColor="text1"/>
          <w:szCs w:val="24"/>
        </w:rPr>
        <w:t xml:space="preserve">ktivitātēs, kas ir vērstās uz atkritumu apsaimniekošanas sistēmu attīstību </w:t>
      </w:r>
      <w:r w:rsidR="00C166B5" w:rsidRPr="00B557E8">
        <w:rPr>
          <w:color w:val="000000" w:themeColor="text1"/>
          <w:szCs w:val="24"/>
        </w:rPr>
        <w:t>un</w:t>
      </w:r>
      <w:r w:rsidRPr="00B557E8">
        <w:rPr>
          <w:color w:val="000000" w:themeColor="text1"/>
          <w:szCs w:val="24"/>
        </w:rPr>
        <w:t xml:space="preserve"> ūdenssaimniecības infrastruktūras attīstību </w:t>
      </w:r>
      <w:proofErr w:type="spellStart"/>
      <w:r w:rsidRPr="00B557E8">
        <w:rPr>
          <w:color w:val="000000" w:themeColor="text1"/>
          <w:szCs w:val="24"/>
        </w:rPr>
        <w:t>aglomerācijās</w:t>
      </w:r>
      <w:proofErr w:type="spellEnd"/>
      <w:r w:rsidRPr="00B557E8">
        <w:rPr>
          <w:color w:val="000000" w:themeColor="text1"/>
          <w:szCs w:val="24"/>
        </w:rPr>
        <w:t xml:space="preserve"> ar cilvēku ekvivalentu lielāku par 2000 ceturksnī.</w:t>
      </w:r>
    </w:p>
    <w:p w:rsidR="00F45D55" w:rsidRPr="00B557E8" w:rsidRDefault="00F45D55" w:rsidP="00B557E8">
      <w:pPr>
        <w:spacing w:before="120" w:after="120" w:line="276" w:lineRule="auto"/>
        <w:rPr>
          <w:color w:val="000000" w:themeColor="text1"/>
          <w:szCs w:val="24"/>
        </w:rPr>
      </w:pPr>
      <w:r w:rsidRPr="00B557E8">
        <w:rPr>
          <w:color w:val="000000" w:themeColor="text1"/>
          <w:szCs w:val="24"/>
        </w:rPr>
        <w:t xml:space="preserve">Gandrīz visās pasākuma aktivitātēs ir plānoti grozījumi </w:t>
      </w:r>
      <w:r w:rsidR="00C166B5" w:rsidRPr="00B557E8">
        <w:rPr>
          <w:color w:val="000000" w:themeColor="text1"/>
          <w:szCs w:val="24"/>
        </w:rPr>
        <w:t>MK</w:t>
      </w:r>
      <w:r w:rsidRPr="00B557E8">
        <w:rPr>
          <w:color w:val="000000" w:themeColor="text1"/>
          <w:szCs w:val="24"/>
        </w:rPr>
        <w:t xml:space="preserve"> noteikumos par aktivitāšu īstenošanu, paredzot jaunas iesniegumu atlases kārtas, kas ir saistīts ar ietaupījuma izmantošanu iepriekšējās kārtās.  </w:t>
      </w:r>
    </w:p>
    <w:p w:rsidR="00F45D55" w:rsidRPr="00B557E8" w:rsidRDefault="00F45D55" w:rsidP="00B557E8">
      <w:pPr>
        <w:spacing w:before="120" w:after="120" w:line="276" w:lineRule="auto"/>
        <w:rPr>
          <w:color w:val="000000" w:themeColor="text1"/>
          <w:szCs w:val="24"/>
        </w:rPr>
      </w:pPr>
      <w:r w:rsidRPr="00B557E8">
        <w:rPr>
          <w:color w:val="000000" w:themeColor="text1"/>
          <w:szCs w:val="24"/>
        </w:rPr>
        <w:t xml:space="preserve">Prioritātes ietvaros kopumā veikto maksājumu finansējuma saņēmējiem ir vairāk par 50% no pieejamā finansējuma. Progress veikto maksājumu ziņā šajā pārskata periodā ir ievērojami lielāks, salīdzinot ar iepriekšējo ceturksni, ņemot vērā aktīvāku būvdarbu veikšanu un līdzekļu </w:t>
      </w:r>
      <w:r w:rsidRPr="00B557E8">
        <w:rPr>
          <w:color w:val="000000" w:themeColor="text1"/>
          <w:szCs w:val="24"/>
        </w:rPr>
        <w:lastRenderedPageBreak/>
        <w:t>apgūšanu līdz ar prioritātes projektu ietvaros veicamo darbu specifiku un sezonalitāti un ir 16</w:t>
      </w:r>
      <w:r w:rsidR="003E7821" w:rsidRPr="00B557E8">
        <w:rPr>
          <w:color w:val="000000" w:themeColor="text1"/>
          <w:szCs w:val="24"/>
        </w:rPr>
        <w:t>,</w:t>
      </w:r>
      <w:r w:rsidRPr="00B557E8">
        <w:rPr>
          <w:color w:val="000000" w:themeColor="text1"/>
          <w:szCs w:val="24"/>
        </w:rPr>
        <w:t xml:space="preserve">4 </w:t>
      </w:r>
      <w:proofErr w:type="spellStart"/>
      <w:r w:rsidRPr="00B557E8">
        <w:rPr>
          <w:color w:val="000000" w:themeColor="text1"/>
          <w:szCs w:val="24"/>
        </w:rPr>
        <w:t>milj</w:t>
      </w:r>
      <w:proofErr w:type="spellEnd"/>
      <w:r w:rsidRPr="00B557E8">
        <w:rPr>
          <w:color w:val="000000" w:themeColor="text1"/>
          <w:szCs w:val="24"/>
        </w:rPr>
        <w:t>.</w:t>
      </w:r>
      <w:r w:rsidR="003B10DB" w:rsidRPr="00B557E8">
        <w:rPr>
          <w:color w:val="000000" w:themeColor="text1"/>
          <w:szCs w:val="24"/>
        </w:rPr>
        <w:t xml:space="preserve"> </w:t>
      </w:r>
      <w:r w:rsidRPr="00B557E8">
        <w:rPr>
          <w:color w:val="000000" w:themeColor="text1"/>
          <w:szCs w:val="24"/>
        </w:rPr>
        <w:t xml:space="preserve">latu (3% no pieejamā finansējuma), kas ir divas reizes vairāk nekā </w:t>
      </w:r>
      <w:r w:rsidR="003B10DB" w:rsidRPr="00B557E8">
        <w:rPr>
          <w:color w:val="000000" w:themeColor="text1"/>
          <w:szCs w:val="24"/>
        </w:rPr>
        <w:t xml:space="preserve">otrajā </w:t>
      </w:r>
      <w:r w:rsidRPr="00B557E8">
        <w:rPr>
          <w:color w:val="000000" w:themeColor="text1"/>
          <w:szCs w:val="24"/>
        </w:rPr>
        <w:t xml:space="preserve">ceturksnī. </w:t>
      </w:r>
    </w:p>
    <w:p w:rsidR="004C693B" w:rsidRPr="00B557E8" w:rsidRDefault="00D92BE9" w:rsidP="00B557E8">
      <w:pPr>
        <w:pStyle w:val="NoSpacing"/>
        <w:spacing w:before="120" w:after="120" w:line="276" w:lineRule="auto"/>
        <w:jc w:val="both"/>
        <w:rPr>
          <w:color w:val="000000" w:themeColor="text1"/>
        </w:rPr>
      </w:pPr>
      <w:r w:rsidRPr="00B557E8">
        <w:rPr>
          <w:color w:val="000000" w:themeColor="text1"/>
        </w:rPr>
        <w:t xml:space="preserve">Enerģētikas jomā </w:t>
      </w:r>
      <w:proofErr w:type="spellStart"/>
      <w:r w:rsidR="00DC76B2" w:rsidRPr="00B557E8">
        <w:rPr>
          <w:color w:val="000000" w:themeColor="text1"/>
        </w:rPr>
        <w:t>apakšaktivitātē</w:t>
      </w:r>
      <w:proofErr w:type="spellEnd"/>
      <w:r w:rsidRPr="00B557E8">
        <w:rPr>
          <w:color w:val="000000" w:themeColor="text1"/>
        </w:rPr>
        <w:t>, kas vērsta uz ce</w:t>
      </w:r>
      <w:r w:rsidR="00DC76B2" w:rsidRPr="00B557E8">
        <w:rPr>
          <w:color w:val="000000" w:themeColor="text1"/>
        </w:rPr>
        <w:t>ntralizētās siltumapgādes sistēmu efektivitātes paaugstināšan</w:t>
      </w:r>
      <w:r w:rsidRPr="00B557E8">
        <w:rPr>
          <w:color w:val="000000" w:themeColor="text1"/>
        </w:rPr>
        <w:t xml:space="preserve">u, </w:t>
      </w:r>
      <w:r w:rsidR="00DC76B2" w:rsidRPr="00B557E8">
        <w:rPr>
          <w:color w:val="000000" w:themeColor="text1"/>
        </w:rPr>
        <w:t xml:space="preserve"> 2011.gada 3.ceturksnī noslēdzās viens projekts, bet turpinās  26 proje</w:t>
      </w:r>
      <w:r w:rsidRPr="00B557E8">
        <w:rPr>
          <w:color w:val="000000" w:themeColor="text1"/>
        </w:rPr>
        <w:t xml:space="preserve">ktu īstenošana. Savukārt </w:t>
      </w:r>
      <w:r w:rsidR="00DC76B2" w:rsidRPr="00B557E8">
        <w:rPr>
          <w:color w:val="000000" w:themeColor="text1"/>
        </w:rPr>
        <w:t>aktivitātē</w:t>
      </w:r>
      <w:r w:rsidRPr="00B557E8">
        <w:rPr>
          <w:color w:val="000000" w:themeColor="text1"/>
        </w:rPr>
        <w:t>, kas vērsta uz a</w:t>
      </w:r>
      <w:r w:rsidR="00DC76B2" w:rsidRPr="00B557E8">
        <w:rPr>
          <w:color w:val="000000" w:themeColor="text1"/>
        </w:rPr>
        <w:t>tjaunojamo energoresursu izmantojošu koģenerācijas elektrostaciju attīstīb</w:t>
      </w:r>
      <w:r w:rsidRPr="00B557E8">
        <w:rPr>
          <w:color w:val="000000" w:themeColor="text1"/>
        </w:rPr>
        <w:t xml:space="preserve">u, </w:t>
      </w:r>
      <w:r w:rsidR="00DC76B2" w:rsidRPr="00B557E8">
        <w:rPr>
          <w:color w:val="000000" w:themeColor="text1"/>
        </w:rPr>
        <w:t>līdz 2011.gada 3.ceturkšņa beigām turpinās 10 projektu īstenošana.</w:t>
      </w:r>
    </w:p>
    <w:p w:rsidR="001E53C0" w:rsidRPr="00B557E8" w:rsidRDefault="001E53C0" w:rsidP="00B557E8">
      <w:pPr>
        <w:pStyle w:val="NoSpacing"/>
        <w:spacing w:before="120" w:after="120" w:line="276" w:lineRule="auto"/>
        <w:jc w:val="both"/>
        <w:rPr>
          <w:b/>
          <w:color w:val="000000" w:themeColor="text1"/>
        </w:rPr>
      </w:pPr>
      <w:r w:rsidRPr="00B557E8">
        <w:rPr>
          <w:b/>
          <w:color w:val="000000" w:themeColor="text1"/>
        </w:rPr>
        <w:t>„</w:t>
      </w:r>
      <w:proofErr w:type="spellStart"/>
      <w:r w:rsidRPr="00B557E8">
        <w:rPr>
          <w:b/>
          <w:color w:val="000000" w:themeColor="text1"/>
        </w:rPr>
        <w:t>Policentriska</w:t>
      </w:r>
      <w:proofErr w:type="spellEnd"/>
      <w:r w:rsidRPr="00B557E8">
        <w:rPr>
          <w:b/>
          <w:color w:val="000000" w:themeColor="text1"/>
        </w:rPr>
        <w:t xml:space="preserve"> attīstība”</w:t>
      </w:r>
    </w:p>
    <w:p w:rsidR="00F45D55" w:rsidRPr="00B557E8" w:rsidRDefault="00F45D55" w:rsidP="00B557E8">
      <w:pPr>
        <w:spacing w:before="120" w:after="120" w:line="276" w:lineRule="auto"/>
        <w:rPr>
          <w:color w:val="000000" w:themeColor="text1"/>
          <w:szCs w:val="24"/>
        </w:rPr>
      </w:pPr>
      <w:bookmarkStart w:id="23" w:name="_Toc276049982"/>
      <w:r w:rsidRPr="00B557E8">
        <w:rPr>
          <w:color w:val="000000" w:themeColor="text1"/>
          <w:szCs w:val="24"/>
        </w:rPr>
        <w:t xml:space="preserve">Prioritātes mērķis ir veicināt valsts </w:t>
      </w:r>
      <w:proofErr w:type="spellStart"/>
      <w:r w:rsidRPr="00B557E8">
        <w:rPr>
          <w:color w:val="000000" w:themeColor="text1"/>
          <w:szCs w:val="24"/>
        </w:rPr>
        <w:t>policentrisku</w:t>
      </w:r>
      <w:proofErr w:type="spellEnd"/>
      <w:r w:rsidRPr="00B557E8">
        <w:rPr>
          <w:color w:val="000000" w:themeColor="text1"/>
          <w:szCs w:val="24"/>
        </w:rPr>
        <w:t xml:space="preserve"> attīstību, sniedzot atbalstu pilsētvides un </w:t>
      </w:r>
      <w:proofErr w:type="spellStart"/>
      <w:r w:rsidRPr="00B557E8">
        <w:rPr>
          <w:color w:val="000000" w:themeColor="text1"/>
          <w:szCs w:val="24"/>
        </w:rPr>
        <w:t>pilsētreģionu</w:t>
      </w:r>
      <w:proofErr w:type="spellEnd"/>
      <w:r w:rsidRPr="00B557E8">
        <w:rPr>
          <w:color w:val="000000" w:themeColor="text1"/>
          <w:szCs w:val="24"/>
        </w:rPr>
        <w:t xml:space="preserve"> konkurētspējas, pieejamības un pievilcības faktoru attīstībai saskaņā ar integrētām pašvaldību attīstības programmām. </w:t>
      </w:r>
      <w:r w:rsidR="00621E09" w:rsidRPr="00B557E8">
        <w:rPr>
          <w:color w:val="000000" w:themeColor="text1"/>
          <w:szCs w:val="24"/>
        </w:rPr>
        <w:t>L</w:t>
      </w:r>
      <w:r w:rsidRPr="00B557E8">
        <w:rPr>
          <w:color w:val="000000" w:themeColor="text1"/>
          <w:szCs w:val="24"/>
        </w:rPr>
        <w:t xml:space="preserve">īdz 2011.gada 30.septembrim tika apstiprināti projekti par publisko finansējumu 204,4 </w:t>
      </w:r>
      <w:proofErr w:type="spellStart"/>
      <w:r w:rsidRPr="00B557E8">
        <w:rPr>
          <w:color w:val="000000" w:themeColor="text1"/>
          <w:szCs w:val="24"/>
        </w:rPr>
        <w:t>milj</w:t>
      </w:r>
      <w:proofErr w:type="spellEnd"/>
      <w:r w:rsidRPr="00B557E8">
        <w:rPr>
          <w:color w:val="000000" w:themeColor="text1"/>
          <w:szCs w:val="24"/>
        </w:rPr>
        <w:t xml:space="preserve">. latu apmērā jeb 90% no prioritātei pieejamā publiskā finansējuma, pārskata periodā progress apstiprinātajiem projektiem ir 14,4% no prioritātes publiskā finansējuma. 2011.gada </w:t>
      </w:r>
      <w:r w:rsidR="003B10DB" w:rsidRPr="00B557E8">
        <w:rPr>
          <w:color w:val="000000" w:themeColor="text1"/>
          <w:szCs w:val="24"/>
        </w:rPr>
        <w:t>trešajā</w:t>
      </w:r>
      <w:r w:rsidRPr="00B557E8">
        <w:rPr>
          <w:color w:val="000000" w:themeColor="text1"/>
          <w:szCs w:val="24"/>
        </w:rPr>
        <w:t xml:space="preserve"> ceturksnī notika vairāku projektu īstenošana, kuru rezultātā tiek veikta Latvijas pilsētu ielu rekonstrukcija un infrastruktūras uzlabošana, kultūrizglītības centru ēku izveide vai rekonstrukcija un aprīkojuma iegāde, bibliotēku un muzeju rekonstrukcija </w:t>
      </w:r>
      <w:proofErr w:type="spellStart"/>
      <w:r w:rsidRPr="00B557E8">
        <w:rPr>
          <w:color w:val="000000" w:themeColor="text1"/>
          <w:szCs w:val="24"/>
        </w:rPr>
        <w:t>u.c</w:t>
      </w:r>
      <w:proofErr w:type="spellEnd"/>
      <w:r w:rsidRPr="00B557E8">
        <w:rPr>
          <w:color w:val="000000" w:themeColor="text1"/>
          <w:szCs w:val="24"/>
        </w:rPr>
        <w:t>.</w:t>
      </w:r>
    </w:p>
    <w:p w:rsidR="00F45D55" w:rsidRPr="00B557E8" w:rsidRDefault="004E6C2A" w:rsidP="00B557E8">
      <w:pPr>
        <w:spacing w:before="120" w:after="120" w:line="276" w:lineRule="auto"/>
        <w:rPr>
          <w:color w:val="000000" w:themeColor="text1"/>
          <w:szCs w:val="24"/>
          <w:highlight w:val="yellow"/>
        </w:rPr>
      </w:pPr>
      <w:r w:rsidRPr="00B557E8">
        <w:rPr>
          <w:color w:val="000000" w:themeColor="text1"/>
          <w:szCs w:val="24"/>
        </w:rPr>
        <w:t>L</w:t>
      </w:r>
      <w:r w:rsidR="00F45D55" w:rsidRPr="00B557E8">
        <w:rPr>
          <w:color w:val="000000" w:themeColor="text1"/>
          <w:szCs w:val="24"/>
        </w:rPr>
        <w:t xml:space="preserve">īdz 2011.gada 30.septembrim tika veikti maksājumi par publisko finansējumu 120,2 </w:t>
      </w:r>
      <w:proofErr w:type="spellStart"/>
      <w:r w:rsidR="00F45D55" w:rsidRPr="00B557E8">
        <w:rPr>
          <w:color w:val="000000" w:themeColor="text1"/>
          <w:szCs w:val="24"/>
        </w:rPr>
        <w:t>milj</w:t>
      </w:r>
      <w:proofErr w:type="spellEnd"/>
      <w:r w:rsidR="00F45D55" w:rsidRPr="00B557E8">
        <w:rPr>
          <w:color w:val="000000" w:themeColor="text1"/>
          <w:szCs w:val="24"/>
        </w:rPr>
        <w:t>. latu apmērā jeb 53% no prioritātei publiskā finansējuma, pārskata periodā prioritātē progress veiktajiem maksājumiem ir 6% no prioritātei pieejamā publiskā finansējuma</w:t>
      </w:r>
      <w:r w:rsidR="00621E09" w:rsidRPr="00B557E8">
        <w:rPr>
          <w:color w:val="000000" w:themeColor="text1"/>
          <w:szCs w:val="24"/>
        </w:rPr>
        <w:t xml:space="preserve">, izpildot pārskata perioda </w:t>
      </w:r>
      <w:r w:rsidR="00F45D55" w:rsidRPr="00B557E8">
        <w:rPr>
          <w:color w:val="000000" w:themeColor="text1"/>
          <w:szCs w:val="24"/>
        </w:rPr>
        <w:t xml:space="preserve">finanšu apguves mērķi par 96%. </w:t>
      </w:r>
    </w:p>
    <w:p w:rsidR="00F45D55" w:rsidRPr="00B557E8" w:rsidRDefault="00F45D55" w:rsidP="00B557E8">
      <w:pPr>
        <w:spacing w:before="120" w:after="120" w:line="276" w:lineRule="auto"/>
        <w:rPr>
          <w:color w:val="000000" w:themeColor="text1"/>
          <w:szCs w:val="24"/>
        </w:rPr>
      </w:pPr>
      <w:r w:rsidRPr="00B557E8">
        <w:rPr>
          <w:rStyle w:val="spelle"/>
          <w:color w:val="000000" w:themeColor="text1"/>
          <w:szCs w:val="24"/>
        </w:rPr>
        <w:t>G</w:t>
      </w:r>
      <w:r w:rsidR="00D92BE9" w:rsidRPr="00B557E8">
        <w:rPr>
          <w:color w:val="000000" w:themeColor="text1"/>
          <w:szCs w:val="24"/>
        </w:rPr>
        <w:t>alvenais projektu īstenošanu kavējošais faktors</w:t>
      </w:r>
      <w:r w:rsidRPr="00B557E8">
        <w:rPr>
          <w:color w:val="000000" w:themeColor="text1"/>
          <w:szCs w:val="24"/>
        </w:rPr>
        <w:t xml:space="preserve"> ir </w:t>
      </w:r>
      <w:r w:rsidR="00D92BE9" w:rsidRPr="00B557E8">
        <w:rPr>
          <w:color w:val="000000" w:themeColor="text1"/>
          <w:szCs w:val="24"/>
        </w:rPr>
        <w:t>problēmas</w:t>
      </w:r>
      <w:r w:rsidRPr="00B557E8">
        <w:rPr>
          <w:color w:val="000000" w:themeColor="text1"/>
          <w:szCs w:val="24"/>
        </w:rPr>
        <w:t xml:space="preserve"> iepirkumu jomā, </w:t>
      </w:r>
      <w:r w:rsidR="00D92BE9" w:rsidRPr="00B557E8">
        <w:rPr>
          <w:color w:val="000000" w:themeColor="text1"/>
          <w:szCs w:val="24"/>
        </w:rPr>
        <w:t>tai skaitā iesniegtās sūdzības par iepirkumiem.</w:t>
      </w:r>
    </w:p>
    <w:p w:rsidR="00A0014B" w:rsidRPr="00B557E8" w:rsidRDefault="003B55FD" w:rsidP="00B557E8">
      <w:pPr>
        <w:spacing w:before="120" w:after="120" w:line="276" w:lineRule="auto"/>
        <w:rPr>
          <w:color w:val="000000" w:themeColor="text1"/>
          <w:szCs w:val="24"/>
        </w:rPr>
      </w:pPr>
      <w:r w:rsidRPr="00B557E8">
        <w:rPr>
          <w:rStyle w:val="spelle"/>
          <w:color w:val="000000" w:themeColor="text1"/>
          <w:szCs w:val="24"/>
        </w:rPr>
        <w:t xml:space="preserve">VRAA, veicot aktivitātes, kas vērstas uz nacionālas un reģionālas nozīmes attīstības centru izaugsmes veicināšanu līdzsvarotai valsts attīstībai, projektu uzraudzību, saņēmusi informāciju, ka atsevišķi finansējuma saņēmēji nespēs īstenot projektus aktivitātes ietvaros noteiktajā projektu maksimālajā īstenošanas termiņā – trīs gadi – būvdarbu veicēju maksātnespējas dēļ, būvdarbu līgumu laušanas un atkārtotu iepirkumu procedūru dēļ. </w:t>
      </w:r>
      <w:r w:rsidR="00F45D55" w:rsidRPr="00B557E8">
        <w:rPr>
          <w:rStyle w:val="spelle"/>
          <w:color w:val="000000" w:themeColor="text1"/>
          <w:szCs w:val="24"/>
        </w:rPr>
        <w:t xml:space="preserve">Tāpat projektu īstenošanas termiņi netiek ievēroti, jo aizkavējas citu saistīto ES fondu aktivitāšu projektu ieviešana, atbilstoši </w:t>
      </w:r>
      <w:r w:rsidR="00F45D55" w:rsidRPr="00B557E8">
        <w:rPr>
          <w:color w:val="000000" w:themeColor="text1"/>
          <w:szCs w:val="24"/>
        </w:rPr>
        <w:t>nepieciešamībai ievērot noteiktu būvdarbu veikšanas secību.</w:t>
      </w:r>
    </w:p>
    <w:p w:rsidR="0073321C" w:rsidRPr="00B557E8" w:rsidRDefault="0073321C" w:rsidP="00B557E8">
      <w:pPr>
        <w:spacing w:before="120" w:after="120" w:line="276" w:lineRule="auto"/>
        <w:rPr>
          <w:b/>
          <w:color w:val="000000" w:themeColor="text1"/>
          <w:szCs w:val="24"/>
        </w:rPr>
      </w:pPr>
      <w:r w:rsidRPr="00B557E8">
        <w:rPr>
          <w:b/>
          <w:color w:val="000000" w:themeColor="text1"/>
          <w:szCs w:val="24"/>
        </w:rPr>
        <w:t>1.4.4. Lielo projektu īstenošana</w:t>
      </w:r>
    </w:p>
    <w:p w:rsidR="0073321C" w:rsidRPr="00B557E8" w:rsidRDefault="0073321C" w:rsidP="00B557E8">
      <w:pPr>
        <w:spacing w:before="120" w:after="120" w:line="276" w:lineRule="auto"/>
        <w:rPr>
          <w:color w:val="000000" w:themeColor="text1"/>
          <w:szCs w:val="24"/>
        </w:rPr>
      </w:pPr>
      <w:r w:rsidRPr="00B557E8">
        <w:rPr>
          <w:color w:val="000000" w:themeColor="text1"/>
          <w:szCs w:val="24"/>
        </w:rPr>
        <w:t xml:space="preserve">No 7 plānotajiem lielajiem projektiem līdz 2011.gada 30.septembrim EK ir apstiprinājusi 6 lielos projektus – „Otrā sliežu ceļa būvniecība Skrīveri-Krustpils (Rīga – Krustpils iecirknis)”, „Autoceļa E22 posma Rīga (Tīnūži) – Koknese būvniecība”, „Autoceļa E22 posma Ludza-Terehova būvniecība”, „Rīgas piepilsētas dzelzceļa pasažieru pārvadājumu sistēmas modernizācija un dīzeļvilcienu ritošā sastāva atjaunošana” „Vēsturiski piesārņoto vietu „Inčukalna </w:t>
      </w:r>
      <w:proofErr w:type="spellStart"/>
      <w:r w:rsidRPr="00B557E8">
        <w:rPr>
          <w:color w:val="000000" w:themeColor="text1"/>
          <w:szCs w:val="24"/>
        </w:rPr>
        <w:t>sērskābā</w:t>
      </w:r>
      <w:proofErr w:type="spellEnd"/>
      <w:r w:rsidRPr="00B557E8">
        <w:rPr>
          <w:color w:val="000000" w:themeColor="text1"/>
          <w:szCs w:val="24"/>
        </w:rPr>
        <w:t xml:space="preserve"> gudrona dīķa” sanācijas darbi” un „Infrastruktūras attīstība lidostā „Rīga”</w:t>
      </w:r>
      <w:r w:rsidR="00A13E93" w:rsidRPr="00B557E8">
        <w:rPr>
          <w:color w:val="000000" w:themeColor="text1"/>
          <w:szCs w:val="24"/>
        </w:rPr>
        <w:t>”</w:t>
      </w:r>
      <w:r w:rsidRPr="00B557E8">
        <w:rPr>
          <w:color w:val="000000" w:themeColor="text1"/>
          <w:szCs w:val="24"/>
        </w:rPr>
        <w:t xml:space="preserve"> par kopējo finansējumu 66,9 </w:t>
      </w:r>
      <w:proofErr w:type="spellStart"/>
      <w:r w:rsidRPr="00B557E8">
        <w:rPr>
          <w:color w:val="000000" w:themeColor="text1"/>
          <w:szCs w:val="24"/>
        </w:rPr>
        <w:t>milj</w:t>
      </w:r>
      <w:proofErr w:type="spellEnd"/>
      <w:r w:rsidRPr="00B557E8">
        <w:rPr>
          <w:color w:val="000000" w:themeColor="text1"/>
          <w:szCs w:val="24"/>
        </w:rPr>
        <w:t xml:space="preserve">. latu. Pēdējais projekts, kuru vēl EK nav apstiprinājusi, ir „Infrastruktūras attīstība Krievu salā ostas aktivitāšu pārcelšanai no pilsētas centra (Rīgas brīvostas teritorija)”. </w:t>
      </w:r>
    </w:p>
    <w:p w:rsidR="0073321C" w:rsidRPr="00B557E8" w:rsidRDefault="00B040D6" w:rsidP="00B557E8">
      <w:pPr>
        <w:spacing w:before="120" w:after="120" w:line="276" w:lineRule="auto"/>
        <w:rPr>
          <w:color w:val="000000" w:themeColor="text1"/>
          <w:szCs w:val="24"/>
        </w:rPr>
      </w:pPr>
      <w:r w:rsidRPr="00B557E8">
        <w:rPr>
          <w:color w:val="000000" w:themeColor="text1"/>
          <w:szCs w:val="24"/>
        </w:rPr>
        <w:lastRenderedPageBreak/>
        <w:t xml:space="preserve">Lielo projektu ietvaros kopējās plānotās attiecināmās izmaksas ir 554,1 </w:t>
      </w:r>
      <w:proofErr w:type="spellStart"/>
      <w:r w:rsidRPr="00B557E8">
        <w:rPr>
          <w:color w:val="000000" w:themeColor="text1"/>
          <w:szCs w:val="24"/>
        </w:rPr>
        <w:t>milj</w:t>
      </w:r>
      <w:proofErr w:type="spellEnd"/>
      <w:r w:rsidRPr="00B557E8">
        <w:rPr>
          <w:color w:val="000000" w:themeColor="text1"/>
          <w:szCs w:val="24"/>
        </w:rPr>
        <w:t xml:space="preserve">. latu, no tā plānotais ES fondu līdzfinansējums ir 385,2 </w:t>
      </w:r>
      <w:proofErr w:type="spellStart"/>
      <w:r w:rsidRPr="00B557E8">
        <w:rPr>
          <w:color w:val="000000" w:themeColor="text1"/>
          <w:szCs w:val="24"/>
        </w:rPr>
        <w:t>milj</w:t>
      </w:r>
      <w:proofErr w:type="spellEnd"/>
      <w:r w:rsidRPr="00B557E8">
        <w:rPr>
          <w:color w:val="000000" w:themeColor="text1"/>
          <w:szCs w:val="24"/>
        </w:rPr>
        <w:t xml:space="preserve">. latu. Līdz 2011.gada 30.septembrim lielo projektu ietvaros ir veikti attiecināmie izdevumi (avansa un starpposma maksājumi) par kopējo summu 115,5 </w:t>
      </w:r>
      <w:proofErr w:type="spellStart"/>
      <w:r w:rsidRPr="00B557E8">
        <w:rPr>
          <w:color w:val="000000" w:themeColor="text1"/>
          <w:szCs w:val="24"/>
        </w:rPr>
        <w:t>milj</w:t>
      </w:r>
      <w:proofErr w:type="spellEnd"/>
      <w:r w:rsidRPr="00B557E8">
        <w:rPr>
          <w:color w:val="000000" w:themeColor="text1"/>
          <w:szCs w:val="24"/>
        </w:rPr>
        <w:t xml:space="preserve">. latu jeb 20,8% no kopējām attiecināmajām izmaksām, </w:t>
      </w:r>
      <w:proofErr w:type="spellStart"/>
      <w:r w:rsidRPr="00B557E8">
        <w:rPr>
          <w:color w:val="000000" w:themeColor="text1"/>
          <w:szCs w:val="24"/>
        </w:rPr>
        <w:t>t.sk</w:t>
      </w:r>
      <w:proofErr w:type="spellEnd"/>
      <w:r w:rsidRPr="00B557E8">
        <w:rPr>
          <w:color w:val="000000" w:themeColor="text1"/>
          <w:szCs w:val="24"/>
        </w:rPr>
        <w:t xml:space="preserve">. maksājumi no ES fondu finansējuma 91,5 </w:t>
      </w:r>
      <w:proofErr w:type="spellStart"/>
      <w:r w:rsidRPr="00B557E8">
        <w:rPr>
          <w:color w:val="000000" w:themeColor="text1"/>
          <w:szCs w:val="24"/>
        </w:rPr>
        <w:t>milj</w:t>
      </w:r>
      <w:proofErr w:type="spellEnd"/>
      <w:r w:rsidRPr="00B557E8">
        <w:rPr>
          <w:color w:val="000000" w:themeColor="text1"/>
          <w:szCs w:val="24"/>
        </w:rPr>
        <w:t>. latu jeb 28,7% no plānotajiem ES fondu izdevumiem.</w:t>
      </w:r>
    </w:p>
    <w:p w:rsidR="0073321C" w:rsidRPr="00B557E8" w:rsidRDefault="0073321C" w:rsidP="00B557E8">
      <w:pPr>
        <w:spacing w:before="120" w:after="120" w:line="276" w:lineRule="auto"/>
        <w:rPr>
          <w:i/>
          <w:color w:val="000000" w:themeColor="text1"/>
          <w:szCs w:val="24"/>
        </w:rPr>
      </w:pPr>
      <w:r w:rsidRPr="00B557E8">
        <w:rPr>
          <w:color w:val="000000" w:themeColor="text1"/>
          <w:szCs w:val="24"/>
        </w:rPr>
        <w:t>Grafiks Nr.1</w:t>
      </w:r>
      <w:r w:rsidR="00EC7B49" w:rsidRPr="00B557E8">
        <w:rPr>
          <w:color w:val="000000" w:themeColor="text1"/>
          <w:szCs w:val="24"/>
        </w:rPr>
        <w:t>5</w:t>
      </w:r>
      <w:r w:rsidRPr="00B557E8">
        <w:rPr>
          <w:color w:val="000000" w:themeColor="text1"/>
          <w:szCs w:val="24"/>
        </w:rPr>
        <w:t xml:space="preserve"> </w:t>
      </w:r>
      <w:r w:rsidR="00B040D6" w:rsidRPr="00B557E8">
        <w:rPr>
          <w:color w:val="000000" w:themeColor="text1"/>
          <w:szCs w:val="24"/>
        </w:rPr>
        <w:t>„</w:t>
      </w:r>
      <w:r w:rsidRPr="00B557E8">
        <w:rPr>
          <w:i/>
          <w:color w:val="000000" w:themeColor="text1"/>
          <w:szCs w:val="24"/>
        </w:rPr>
        <w:t>Lielo projektu (2007.-2013.) KF finansējuma apguves mērķis, aktualizēta</w:t>
      </w:r>
      <w:r w:rsidR="009B3BF5" w:rsidRPr="00B557E8">
        <w:rPr>
          <w:i/>
          <w:color w:val="000000" w:themeColor="text1"/>
          <w:szCs w:val="24"/>
        </w:rPr>
        <w:t xml:space="preserve">is mērķis un izpilde </w:t>
      </w:r>
      <w:proofErr w:type="spellStart"/>
      <w:r w:rsidR="009B3BF5" w:rsidRPr="00B557E8">
        <w:rPr>
          <w:i/>
          <w:color w:val="000000" w:themeColor="text1"/>
          <w:szCs w:val="24"/>
        </w:rPr>
        <w:t>milj</w:t>
      </w:r>
      <w:proofErr w:type="spellEnd"/>
      <w:r w:rsidR="009B3BF5" w:rsidRPr="00B557E8">
        <w:rPr>
          <w:i/>
          <w:color w:val="000000" w:themeColor="text1"/>
          <w:szCs w:val="24"/>
        </w:rPr>
        <w:t>.</w:t>
      </w:r>
      <w:r w:rsidR="00B040D6" w:rsidRPr="00B557E8">
        <w:rPr>
          <w:i/>
          <w:color w:val="000000" w:themeColor="text1"/>
          <w:szCs w:val="24"/>
        </w:rPr>
        <w:t xml:space="preserve"> LVL.”</w:t>
      </w:r>
    </w:p>
    <w:p w:rsidR="0073321C" w:rsidRPr="00B557E8" w:rsidRDefault="0073321C" w:rsidP="00B557E8">
      <w:pPr>
        <w:spacing w:before="120" w:after="120" w:line="276" w:lineRule="auto"/>
        <w:rPr>
          <w:color w:val="000000" w:themeColor="text1"/>
          <w:szCs w:val="24"/>
        </w:rPr>
      </w:pPr>
      <w:r w:rsidRPr="00B557E8">
        <w:rPr>
          <w:noProof/>
          <w:color w:val="000000" w:themeColor="text1"/>
          <w:szCs w:val="24"/>
          <w:lang w:eastAsia="lv-LV"/>
        </w:rPr>
        <w:drawing>
          <wp:inline distT="0" distB="0" distL="0" distR="0" wp14:anchorId="74ADABE4" wp14:editId="45A84B01">
            <wp:extent cx="5486400" cy="2526030"/>
            <wp:effectExtent l="0" t="0" r="0" b="76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3321C" w:rsidRPr="00B557E8" w:rsidRDefault="0073321C" w:rsidP="00B557E8">
      <w:pPr>
        <w:spacing w:before="120" w:after="120" w:line="276" w:lineRule="auto"/>
        <w:rPr>
          <w:color w:val="000000" w:themeColor="text1"/>
          <w:szCs w:val="24"/>
        </w:rPr>
      </w:pPr>
      <w:r w:rsidRPr="00B557E8">
        <w:rPr>
          <w:color w:val="000000" w:themeColor="text1"/>
          <w:szCs w:val="24"/>
        </w:rPr>
        <w:t xml:space="preserve">Vislielākās  atkāpes plānotā apguves mērķa izpildē 2011.gadā līdz </w:t>
      </w:r>
      <w:r w:rsidR="003B10DB" w:rsidRPr="00B557E8">
        <w:rPr>
          <w:color w:val="000000" w:themeColor="text1"/>
          <w:szCs w:val="24"/>
        </w:rPr>
        <w:t xml:space="preserve">trešajam </w:t>
      </w:r>
      <w:r w:rsidRPr="00B557E8">
        <w:rPr>
          <w:color w:val="000000" w:themeColor="text1"/>
          <w:szCs w:val="24"/>
        </w:rPr>
        <w:t>ceturksnim ir vērojamas satiksmes sektora projektiem „Otrā sliežu ceļa būvniecība Skrīveri- Krustpils (Rīga- Krustpils</w:t>
      </w:r>
      <w:r w:rsidR="00D92BE9" w:rsidRPr="00B557E8">
        <w:rPr>
          <w:color w:val="000000" w:themeColor="text1"/>
          <w:szCs w:val="24"/>
        </w:rPr>
        <w:t xml:space="preserve"> </w:t>
      </w:r>
      <w:r w:rsidRPr="00B557E8">
        <w:rPr>
          <w:color w:val="000000" w:themeColor="text1"/>
          <w:szCs w:val="24"/>
        </w:rPr>
        <w:t xml:space="preserve">iecirknis)”,  „Infrastruktūras attīstība lidostā „Rīgā”  un Autoceļa E22 posma Rīga (Tīnūži)- Koknese  būvniecība”, kā arī ”Infrastruktūras attīstība Krievu salā ostas aktivitāšu pārcelšanai no pilsētas centra (Rīgas brīvosta)” un „Rīgas piepilsētas dzelzceļa pasažieru pārvadājumu sistēmas modernizācija un dīzeļvilcienu ritošā sastāva atjaunošana” saistībā ar iepirkumu problēmām. </w:t>
      </w:r>
    </w:p>
    <w:p w:rsidR="0073321C" w:rsidRPr="00B557E8" w:rsidRDefault="0073321C" w:rsidP="00B557E8">
      <w:pPr>
        <w:spacing w:before="120" w:after="120" w:line="276" w:lineRule="auto"/>
        <w:rPr>
          <w:color w:val="000000" w:themeColor="text1"/>
          <w:szCs w:val="24"/>
        </w:rPr>
      </w:pPr>
      <w:r w:rsidRPr="00B557E8">
        <w:rPr>
          <w:color w:val="000000" w:themeColor="text1"/>
          <w:szCs w:val="24"/>
        </w:rPr>
        <w:t xml:space="preserve">Pēc </w:t>
      </w:r>
      <w:r w:rsidR="00374474" w:rsidRPr="00B557E8">
        <w:rPr>
          <w:color w:val="000000" w:themeColor="text1"/>
          <w:szCs w:val="24"/>
        </w:rPr>
        <w:t>AI</w:t>
      </w:r>
      <w:r w:rsidRPr="00B557E8">
        <w:rPr>
          <w:color w:val="000000" w:themeColor="text1"/>
          <w:szCs w:val="24"/>
        </w:rPr>
        <w:t xml:space="preserve"> prognozēm mērķa apguve 2011.gadam faktiski būs mazāka par 43% nekā sākotnēji tika plānots, savukārt 2012.gadā par 28% mazāka. Šobrīd notiek sarunas starp </w:t>
      </w:r>
      <w:r w:rsidR="008F27FF" w:rsidRPr="00B557E8">
        <w:rPr>
          <w:color w:val="000000" w:themeColor="text1"/>
          <w:szCs w:val="24"/>
        </w:rPr>
        <w:t>VI</w:t>
      </w:r>
      <w:r w:rsidRPr="00B557E8">
        <w:rPr>
          <w:color w:val="000000" w:themeColor="text1"/>
          <w:szCs w:val="24"/>
        </w:rPr>
        <w:t xml:space="preserve"> un </w:t>
      </w:r>
      <w:r w:rsidR="00374474" w:rsidRPr="00B557E8">
        <w:rPr>
          <w:color w:val="000000" w:themeColor="text1"/>
          <w:szCs w:val="24"/>
        </w:rPr>
        <w:t>AI</w:t>
      </w:r>
      <w:r w:rsidRPr="00B557E8">
        <w:rPr>
          <w:color w:val="000000" w:themeColor="text1"/>
          <w:szCs w:val="24"/>
        </w:rPr>
        <w:t xml:space="preserve"> par lielo projektu apguves mērķa pārskatīšanu, </w:t>
      </w:r>
      <w:proofErr w:type="spellStart"/>
      <w:r w:rsidRPr="00B557E8">
        <w:rPr>
          <w:color w:val="000000" w:themeColor="text1"/>
          <w:szCs w:val="24"/>
        </w:rPr>
        <w:t>t.sk</w:t>
      </w:r>
      <w:proofErr w:type="spellEnd"/>
      <w:r w:rsidRPr="00B557E8">
        <w:rPr>
          <w:color w:val="000000" w:themeColor="text1"/>
          <w:szCs w:val="24"/>
        </w:rPr>
        <w:t xml:space="preserve">. 2011.gada noteiktā apguves mērķa kompensēšanu 2012.gadā, jo 2010.gada 24.novembrī 2007.-2013.gada plānošanas perioda ES fondu uzraudzības komitejas apstiprinātais lielo projektu apguves mērķis 2011.gadam netiks sasniegts, kā arī varētu mainīties finansējuma sadalījums pa gadiem līdz 2015.gadam. </w:t>
      </w:r>
    </w:p>
    <w:p w:rsidR="0073321C" w:rsidRPr="00B557E8" w:rsidRDefault="0073321C" w:rsidP="00B557E8">
      <w:pPr>
        <w:spacing w:before="120" w:after="120" w:line="276" w:lineRule="auto"/>
        <w:rPr>
          <w:color w:val="000000" w:themeColor="text1"/>
          <w:szCs w:val="24"/>
        </w:rPr>
      </w:pPr>
      <w:r w:rsidRPr="00B557E8">
        <w:rPr>
          <w:color w:val="000000" w:themeColor="text1"/>
          <w:szCs w:val="24"/>
        </w:rPr>
        <w:t xml:space="preserve">Savukārt, analizējot maksājumu progresu atsevišķās jomās, jāatzīmē, ka 2011.gada </w:t>
      </w:r>
      <w:r w:rsidR="003B10DB" w:rsidRPr="00B557E8">
        <w:rPr>
          <w:color w:val="000000" w:themeColor="text1"/>
          <w:szCs w:val="24"/>
        </w:rPr>
        <w:t xml:space="preserve">trešajā </w:t>
      </w:r>
      <w:r w:rsidRPr="00B557E8">
        <w:rPr>
          <w:color w:val="000000" w:themeColor="text1"/>
          <w:szCs w:val="24"/>
        </w:rPr>
        <w:t xml:space="preserve">ceturksnī satiksmes nozares lielo projektu ietvaros finansējuma saņēmējiem ir veikti maksājumi 3,5 </w:t>
      </w:r>
      <w:proofErr w:type="spellStart"/>
      <w:r w:rsidRPr="00B557E8">
        <w:rPr>
          <w:color w:val="000000" w:themeColor="text1"/>
          <w:szCs w:val="24"/>
        </w:rPr>
        <w:t>milj</w:t>
      </w:r>
      <w:proofErr w:type="spellEnd"/>
      <w:r w:rsidRPr="00B557E8">
        <w:rPr>
          <w:color w:val="000000" w:themeColor="text1"/>
          <w:szCs w:val="24"/>
        </w:rPr>
        <w:t xml:space="preserve">. latu apmērā, kas ir tikai 24,%. Kavējumi mērķa apguvē ir saistīti ar projekta „Infrastruktūras attīstība lidostā „Rīga”” ietvaros projektēšanas līguma noslēgšanas aizkavēšanos. Projektos „Autoceļa E22 posma Rīga (Tīnūži) – Koknese būvniecība”, „Autoceļa E22 posma Ludza-Terehova būvniecība” plānoto līdzekļu apguvi kavēja juridiskās problēmas saistībā ar būvniecībai nepieciešamo zemju iegādi (būs nepieciešams veikt to piespiedu atsavināšanu), kā arī būvniecības procesa plānoto termiņu novirzes rezultātā uzņēmēji nav iesnieguši rēķinus apmaksai, kā tas sākotnēji tika plānots. Daļu no finansējumu plānots apgūt 2011.gada 4. ceturksnī. </w:t>
      </w:r>
    </w:p>
    <w:p w:rsidR="0073321C" w:rsidRPr="00B557E8" w:rsidRDefault="0073321C" w:rsidP="00B557E8">
      <w:pPr>
        <w:spacing w:before="120" w:after="120" w:line="276" w:lineRule="auto"/>
        <w:rPr>
          <w:color w:val="000000" w:themeColor="text1"/>
          <w:szCs w:val="24"/>
        </w:rPr>
      </w:pPr>
      <w:r w:rsidRPr="00B557E8">
        <w:rPr>
          <w:color w:val="000000" w:themeColor="text1"/>
          <w:szCs w:val="24"/>
        </w:rPr>
        <w:lastRenderedPageBreak/>
        <w:t xml:space="preserve">Vides nozares lielā projekta ietvaros līdz 2011.gada </w:t>
      </w:r>
      <w:r w:rsidR="003B10DB" w:rsidRPr="00B557E8">
        <w:rPr>
          <w:color w:val="000000" w:themeColor="text1"/>
          <w:szCs w:val="24"/>
        </w:rPr>
        <w:t xml:space="preserve">trešajam </w:t>
      </w:r>
      <w:r w:rsidRPr="00B557E8">
        <w:rPr>
          <w:color w:val="000000" w:themeColor="text1"/>
          <w:szCs w:val="24"/>
        </w:rPr>
        <w:t>ceturksnim ir veikti maksājumi 3</w:t>
      </w:r>
      <w:r w:rsidR="003B10DB" w:rsidRPr="00B557E8">
        <w:rPr>
          <w:color w:val="000000" w:themeColor="text1"/>
          <w:szCs w:val="24"/>
        </w:rPr>
        <w:t>,</w:t>
      </w:r>
      <w:r w:rsidRPr="00B557E8">
        <w:rPr>
          <w:color w:val="000000" w:themeColor="text1"/>
          <w:szCs w:val="24"/>
        </w:rPr>
        <w:t xml:space="preserve">1 </w:t>
      </w:r>
      <w:proofErr w:type="spellStart"/>
      <w:r w:rsidRPr="00B557E8">
        <w:rPr>
          <w:color w:val="000000" w:themeColor="text1"/>
          <w:szCs w:val="24"/>
        </w:rPr>
        <w:t>milj</w:t>
      </w:r>
      <w:proofErr w:type="spellEnd"/>
      <w:r w:rsidRPr="00B557E8">
        <w:rPr>
          <w:color w:val="000000" w:themeColor="text1"/>
          <w:szCs w:val="24"/>
        </w:rPr>
        <w:t>. latu apmērā, kas ir 70 % no plānotās ES fondu finansējuma apguves šajā laika periodā. Saskaņā ar VARAM sākotnēji plāno</w:t>
      </w:r>
      <w:r w:rsidR="00E439AE" w:rsidRPr="00B557E8">
        <w:rPr>
          <w:color w:val="000000" w:themeColor="text1"/>
          <w:szCs w:val="24"/>
        </w:rPr>
        <w:t xml:space="preserve">to </w:t>
      </w:r>
      <w:r w:rsidRPr="00B557E8">
        <w:rPr>
          <w:color w:val="000000" w:themeColor="text1"/>
          <w:szCs w:val="24"/>
        </w:rPr>
        <w:t>a</w:t>
      </w:r>
      <w:r w:rsidR="00E439AE" w:rsidRPr="00B557E8">
        <w:rPr>
          <w:color w:val="000000" w:themeColor="text1"/>
          <w:szCs w:val="24"/>
        </w:rPr>
        <w:t>pguves mērķi</w:t>
      </w:r>
      <w:r w:rsidRPr="00B557E8">
        <w:rPr>
          <w:color w:val="000000" w:themeColor="text1"/>
          <w:szCs w:val="24"/>
        </w:rPr>
        <w:t xml:space="preserve"> </w:t>
      </w:r>
      <w:r w:rsidR="00001243" w:rsidRPr="00B557E8">
        <w:rPr>
          <w:color w:val="000000" w:themeColor="text1"/>
          <w:szCs w:val="24"/>
        </w:rPr>
        <w:t xml:space="preserve">2001.gadam </w:t>
      </w:r>
      <w:r w:rsidR="00E439AE" w:rsidRPr="00B557E8">
        <w:rPr>
          <w:color w:val="000000" w:themeColor="text1"/>
          <w:szCs w:val="24"/>
        </w:rPr>
        <w:t xml:space="preserve">to </w:t>
      </w:r>
      <w:r w:rsidRPr="00B557E8">
        <w:rPr>
          <w:color w:val="000000" w:themeColor="text1"/>
          <w:szCs w:val="24"/>
        </w:rPr>
        <w:t xml:space="preserve">nebūs iespējams izpildīt pat paātrinātā režīmā, ņemot vērā projekta specifiku (sarežģītu tehnoloģisko procesu), līdz ar to tas 2011.gadā </w:t>
      </w:r>
      <w:r w:rsidR="00E439AE" w:rsidRPr="00B557E8">
        <w:rPr>
          <w:color w:val="000000" w:themeColor="text1"/>
          <w:szCs w:val="24"/>
        </w:rPr>
        <w:t>ir samazināts</w:t>
      </w:r>
      <w:r w:rsidRPr="00B557E8">
        <w:rPr>
          <w:color w:val="000000" w:themeColor="text1"/>
          <w:szCs w:val="24"/>
        </w:rPr>
        <w:t xml:space="preserve"> par 24%. Ņemot vērā, ka EK lēmumā projekta beigu datums ir noteikts indikatīvi, </w:t>
      </w:r>
      <w:proofErr w:type="spellStart"/>
      <w:r w:rsidRPr="00B557E8">
        <w:rPr>
          <w:color w:val="000000" w:themeColor="text1"/>
          <w:szCs w:val="24"/>
        </w:rPr>
        <w:t>t.i</w:t>
      </w:r>
      <w:proofErr w:type="spellEnd"/>
      <w:r w:rsidRPr="00B557E8">
        <w:rPr>
          <w:color w:val="000000" w:themeColor="text1"/>
          <w:szCs w:val="24"/>
        </w:rPr>
        <w:t xml:space="preserve">. līdz 2013.gada beigām, plānots pagarinājums, jo projektā veicamo būvdarbu </w:t>
      </w:r>
      <w:r w:rsidR="00001243" w:rsidRPr="00B557E8">
        <w:rPr>
          <w:color w:val="000000" w:themeColor="text1"/>
          <w:szCs w:val="24"/>
        </w:rPr>
        <w:t xml:space="preserve">un </w:t>
      </w:r>
      <w:r w:rsidRPr="00B557E8">
        <w:rPr>
          <w:color w:val="000000" w:themeColor="text1"/>
          <w:szCs w:val="24"/>
        </w:rPr>
        <w:t>uzraudzības līgumi tika noslēgti 2010.gada 24.septembrī un tos īstenot paredzēts 2015.gada janvārim</w:t>
      </w:r>
      <w:r w:rsidR="00001243" w:rsidRPr="00B557E8">
        <w:rPr>
          <w:color w:val="000000" w:themeColor="text1"/>
          <w:szCs w:val="24"/>
        </w:rPr>
        <w:t>.</w:t>
      </w:r>
      <w:r w:rsidRPr="00B557E8">
        <w:rPr>
          <w:color w:val="000000" w:themeColor="text1"/>
          <w:szCs w:val="24"/>
        </w:rPr>
        <w:t xml:space="preserve"> </w:t>
      </w:r>
    </w:p>
    <w:p w:rsidR="0073321C" w:rsidRPr="00B557E8" w:rsidRDefault="0073321C" w:rsidP="00B557E8">
      <w:pPr>
        <w:spacing w:before="120" w:after="120" w:line="276" w:lineRule="auto"/>
        <w:rPr>
          <w:color w:val="000000" w:themeColor="text1"/>
          <w:szCs w:val="24"/>
        </w:rPr>
      </w:pPr>
      <w:r w:rsidRPr="00B557E8">
        <w:rPr>
          <w:color w:val="000000" w:themeColor="text1"/>
          <w:szCs w:val="24"/>
        </w:rPr>
        <w:t xml:space="preserve">Visos 7 lielajos projektos ir izsludinātas plānotās būvdarbu un būvdarbu uzraudzības iepirkumu procedūras. Lielo projektu ietvaros iepirkumu līgumu slēgšana notiek jau no 2007.gada un lielākā daļa no paredzētajiem līgumiem līdz 2010.gada beigām ir jau noslēgti. Dažu iepirkumu līgumu slēgšana turpinās arī 2011.gadā. Jāpiebilst, ka iepirkumu procedūru laikā pasūtītāji saskaras ar vairākām problēmām, kas aizkavē līgumu noslēgšanu. Piemēram, projekta „Rīgas piepilsētas dzelzceļa pasažieru pārvadājumu sistēmas modernizācija un dīzeļvilcienu ritošā sastāva atjaunošana” iepirkumā tika saņemtas </w:t>
      </w:r>
      <w:r w:rsidR="00EC5785" w:rsidRPr="00B557E8">
        <w:rPr>
          <w:color w:val="000000" w:themeColor="text1"/>
          <w:szCs w:val="24"/>
        </w:rPr>
        <w:t xml:space="preserve">liels skaits jautājumu un </w:t>
      </w:r>
      <w:r w:rsidRPr="00B557E8">
        <w:rPr>
          <w:color w:val="000000" w:themeColor="text1"/>
          <w:szCs w:val="24"/>
        </w:rPr>
        <w:t>vairākas sūdzības no pretendentiem par iepirkum</w:t>
      </w:r>
      <w:r w:rsidR="00EC5785" w:rsidRPr="00B557E8">
        <w:rPr>
          <w:color w:val="000000" w:themeColor="text1"/>
          <w:szCs w:val="24"/>
        </w:rPr>
        <w:t>a</w:t>
      </w:r>
      <w:r w:rsidRPr="00B557E8">
        <w:rPr>
          <w:color w:val="000000" w:themeColor="text1"/>
          <w:szCs w:val="24"/>
        </w:rPr>
        <w:t xml:space="preserve"> dokumentācij</w:t>
      </w:r>
      <w:r w:rsidR="00EC5785" w:rsidRPr="00B557E8">
        <w:rPr>
          <w:color w:val="000000" w:themeColor="text1"/>
          <w:szCs w:val="24"/>
        </w:rPr>
        <w:t>u</w:t>
      </w:r>
      <w:r w:rsidRPr="00B557E8">
        <w:rPr>
          <w:color w:val="000000" w:themeColor="text1"/>
          <w:szCs w:val="24"/>
        </w:rPr>
        <w:t xml:space="preserve">, kā rezultātā tika precizēta iepirkumu dokumentācija un </w:t>
      </w:r>
      <w:r w:rsidR="00B449A3" w:rsidRPr="00B557E8">
        <w:rPr>
          <w:color w:val="000000" w:themeColor="text1"/>
          <w:szCs w:val="24"/>
        </w:rPr>
        <w:t>vairākkārtīgi pagarināts piedāvājumu iesniegšanas termiņš.</w:t>
      </w:r>
      <w:r w:rsidRPr="00B557E8">
        <w:rPr>
          <w:color w:val="000000" w:themeColor="text1"/>
          <w:szCs w:val="24"/>
        </w:rPr>
        <w:t xml:space="preserve"> </w:t>
      </w:r>
      <w:r w:rsidR="00B449A3" w:rsidRPr="00B557E8">
        <w:rPr>
          <w:color w:val="000000" w:themeColor="text1"/>
          <w:szCs w:val="24"/>
        </w:rPr>
        <w:t>I</w:t>
      </w:r>
      <w:r w:rsidRPr="00B557E8">
        <w:rPr>
          <w:color w:val="000000" w:themeColor="text1"/>
          <w:szCs w:val="24"/>
        </w:rPr>
        <w:t>epirkumā piedāvājumu iesniedza tika</w:t>
      </w:r>
      <w:r w:rsidR="00B449A3" w:rsidRPr="00B557E8">
        <w:rPr>
          <w:color w:val="000000" w:themeColor="text1"/>
          <w:szCs w:val="24"/>
        </w:rPr>
        <w:t>i</w:t>
      </w:r>
      <w:r w:rsidRPr="00B557E8">
        <w:rPr>
          <w:color w:val="000000" w:themeColor="text1"/>
          <w:szCs w:val="24"/>
        </w:rPr>
        <w:t xml:space="preserve"> viens pretendents un pēc izvērtēšanas par uzvarētāju noteica Spānijas uzņēmumu „</w:t>
      </w:r>
      <w:proofErr w:type="spellStart"/>
      <w:r w:rsidRPr="00B557E8">
        <w:rPr>
          <w:color w:val="000000" w:themeColor="text1"/>
          <w:szCs w:val="24"/>
        </w:rPr>
        <w:t>Construcctiones</w:t>
      </w:r>
      <w:proofErr w:type="spellEnd"/>
      <w:r w:rsidRPr="00B557E8">
        <w:rPr>
          <w:color w:val="000000" w:themeColor="text1"/>
          <w:szCs w:val="24"/>
        </w:rPr>
        <w:t xml:space="preserve"> y </w:t>
      </w:r>
      <w:proofErr w:type="spellStart"/>
      <w:r w:rsidRPr="00B557E8">
        <w:rPr>
          <w:color w:val="000000" w:themeColor="text1"/>
          <w:szCs w:val="24"/>
        </w:rPr>
        <w:t>Auxiliar</w:t>
      </w:r>
      <w:proofErr w:type="spellEnd"/>
      <w:r w:rsidRPr="00B557E8">
        <w:rPr>
          <w:color w:val="000000" w:themeColor="text1"/>
          <w:szCs w:val="24"/>
        </w:rPr>
        <w:t xml:space="preserve"> </w:t>
      </w:r>
      <w:proofErr w:type="spellStart"/>
      <w:r w:rsidRPr="00B557E8">
        <w:rPr>
          <w:color w:val="000000" w:themeColor="text1"/>
          <w:szCs w:val="24"/>
        </w:rPr>
        <w:t>de</w:t>
      </w:r>
      <w:proofErr w:type="spellEnd"/>
      <w:r w:rsidRPr="00B557E8">
        <w:rPr>
          <w:color w:val="000000" w:themeColor="text1"/>
          <w:szCs w:val="24"/>
        </w:rPr>
        <w:t xml:space="preserve"> </w:t>
      </w:r>
      <w:proofErr w:type="spellStart"/>
      <w:r w:rsidRPr="00B557E8">
        <w:rPr>
          <w:color w:val="000000" w:themeColor="text1"/>
          <w:szCs w:val="24"/>
        </w:rPr>
        <w:t>Ferrocarriles</w:t>
      </w:r>
      <w:proofErr w:type="spellEnd"/>
      <w:r w:rsidRPr="00B557E8">
        <w:rPr>
          <w:color w:val="000000" w:themeColor="text1"/>
          <w:szCs w:val="24"/>
        </w:rPr>
        <w:t xml:space="preserve"> S.A” (turpmāk - CAF). Līguma slēgšanu ar CAF aizkavēja IUB iesniegtā sūdzība no „</w:t>
      </w:r>
      <w:proofErr w:type="spellStart"/>
      <w:r w:rsidRPr="00B557E8">
        <w:rPr>
          <w:color w:val="000000" w:themeColor="text1"/>
          <w:szCs w:val="24"/>
        </w:rPr>
        <w:t>Stadler</w:t>
      </w:r>
      <w:proofErr w:type="spellEnd"/>
      <w:r w:rsidRPr="00B557E8">
        <w:rPr>
          <w:color w:val="000000" w:themeColor="text1"/>
          <w:szCs w:val="24"/>
        </w:rPr>
        <w:t xml:space="preserve"> </w:t>
      </w:r>
      <w:proofErr w:type="spellStart"/>
      <w:r w:rsidRPr="00B557E8">
        <w:rPr>
          <w:color w:val="000000" w:themeColor="text1"/>
          <w:szCs w:val="24"/>
        </w:rPr>
        <w:t>Bussnang</w:t>
      </w:r>
      <w:proofErr w:type="spellEnd"/>
      <w:r w:rsidRPr="00B557E8">
        <w:rPr>
          <w:color w:val="000000" w:themeColor="text1"/>
          <w:szCs w:val="24"/>
        </w:rPr>
        <w:t xml:space="preserve"> AG” par iepirkuma nolikuma atbilstību EK direktīvām publisko iepirkumu jomā. Pēc sūdzības izskatīšanas 2011.gada 21.oktobrī IUB pieņēma lēmumu to noraidīt un atļaut AS „Pasažieru vilciens” slēgt līgumu ar iepirkuma uzvarētāju. Tāpat par minēto iepirkumu tika iesniegta sūdzība arī EK. Projekta ietvaros ir izmaksāts avanss 22,3 </w:t>
      </w:r>
      <w:proofErr w:type="spellStart"/>
      <w:r w:rsidRPr="00B557E8">
        <w:rPr>
          <w:color w:val="000000" w:themeColor="text1"/>
          <w:szCs w:val="24"/>
        </w:rPr>
        <w:t>milj</w:t>
      </w:r>
      <w:proofErr w:type="spellEnd"/>
      <w:r w:rsidRPr="00B557E8">
        <w:rPr>
          <w:color w:val="000000" w:themeColor="text1"/>
          <w:szCs w:val="24"/>
        </w:rPr>
        <w:t xml:space="preserve">. latu, kura izlietošanas termiņš ir pagarināts līdz 2011.gada 31.oktobrim. </w:t>
      </w:r>
    </w:p>
    <w:p w:rsidR="0073321C" w:rsidRPr="00B557E8" w:rsidRDefault="0073321C" w:rsidP="00B557E8">
      <w:pPr>
        <w:spacing w:before="120" w:after="120" w:line="276" w:lineRule="auto"/>
        <w:rPr>
          <w:color w:val="000000" w:themeColor="text1"/>
          <w:szCs w:val="24"/>
        </w:rPr>
      </w:pPr>
      <w:r w:rsidRPr="00B557E8">
        <w:rPr>
          <w:color w:val="000000" w:themeColor="text1"/>
          <w:szCs w:val="24"/>
        </w:rPr>
        <w:t xml:space="preserve">2011.gada </w:t>
      </w:r>
      <w:r w:rsidR="003B10DB" w:rsidRPr="00B557E8">
        <w:rPr>
          <w:color w:val="000000" w:themeColor="text1"/>
          <w:szCs w:val="24"/>
        </w:rPr>
        <w:t xml:space="preserve">trešajā </w:t>
      </w:r>
      <w:r w:rsidRPr="00B557E8">
        <w:rPr>
          <w:color w:val="000000" w:themeColor="text1"/>
          <w:szCs w:val="24"/>
        </w:rPr>
        <w:t>ceturksnī ir aktuāls arī jautājums par projekta „Infrastruktūras attīstība Krievu salā ostas aktivitāšu pārcelšanai no pilsētas centra (Rīgas brīvostas teritorija)” turpmāko īstenošanas gaitu, jo IUB pieņēma lēmumu aizliegt Rīgas brīvostas pārvaldei slēgt līgumu ar iepirkuma uzvarētāju saņemtās sūdzības no „</w:t>
      </w:r>
      <w:proofErr w:type="spellStart"/>
      <w:r w:rsidRPr="00B557E8">
        <w:rPr>
          <w:color w:val="000000" w:themeColor="text1"/>
          <w:szCs w:val="24"/>
        </w:rPr>
        <w:t>Josef</w:t>
      </w:r>
      <w:proofErr w:type="spellEnd"/>
      <w:r w:rsidRPr="00B557E8">
        <w:rPr>
          <w:color w:val="000000" w:themeColor="text1"/>
          <w:szCs w:val="24"/>
        </w:rPr>
        <w:t xml:space="preserve"> </w:t>
      </w:r>
      <w:proofErr w:type="spellStart"/>
      <w:r w:rsidRPr="00B557E8">
        <w:rPr>
          <w:color w:val="000000" w:themeColor="text1"/>
          <w:szCs w:val="24"/>
        </w:rPr>
        <w:t>Möbius</w:t>
      </w:r>
      <w:proofErr w:type="spellEnd"/>
      <w:r w:rsidRPr="00B557E8">
        <w:rPr>
          <w:color w:val="000000" w:themeColor="text1"/>
          <w:szCs w:val="24"/>
        </w:rPr>
        <w:t xml:space="preserve"> </w:t>
      </w:r>
      <w:proofErr w:type="spellStart"/>
      <w:r w:rsidRPr="00B557E8">
        <w:rPr>
          <w:color w:val="000000" w:themeColor="text1"/>
          <w:szCs w:val="24"/>
        </w:rPr>
        <w:t>Bau</w:t>
      </w:r>
      <w:proofErr w:type="spellEnd"/>
      <w:r w:rsidRPr="00B557E8">
        <w:rPr>
          <w:color w:val="000000" w:themeColor="text1"/>
          <w:szCs w:val="24"/>
        </w:rPr>
        <w:t xml:space="preserve"> – </w:t>
      </w:r>
      <w:proofErr w:type="spellStart"/>
      <w:r w:rsidRPr="00B557E8">
        <w:rPr>
          <w:color w:val="000000" w:themeColor="text1"/>
          <w:szCs w:val="24"/>
        </w:rPr>
        <w:t>Aktiengesellschaft</w:t>
      </w:r>
      <w:proofErr w:type="spellEnd"/>
      <w:r w:rsidRPr="00B557E8">
        <w:rPr>
          <w:color w:val="000000" w:themeColor="text1"/>
          <w:szCs w:val="24"/>
        </w:rPr>
        <w:t>”  un personu apvienības “</w:t>
      </w:r>
      <w:proofErr w:type="spellStart"/>
      <w:r w:rsidRPr="00B557E8">
        <w:rPr>
          <w:color w:val="000000" w:themeColor="text1"/>
          <w:szCs w:val="24"/>
        </w:rPr>
        <w:t>Aarsleff</w:t>
      </w:r>
      <w:proofErr w:type="spellEnd"/>
      <w:r w:rsidRPr="00B557E8">
        <w:rPr>
          <w:color w:val="000000" w:themeColor="text1"/>
          <w:szCs w:val="24"/>
        </w:rPr>
        <w:t xml:space="preserve"> – </w:t>
      </w:r>
      <w:proofErr w:type="spellStart"/>
      <w:r w:rsidRPr="00B557E8">
        <w:rPr>
          <w:color w:val="000000" w:themeColor="text1"/>
          <w:szCs w:val="24"/>
        </w:rPr>
        <w:t>Merko</w:t>
      </w:r>
      <w:proofErr w:type="spellEnd"/>
      <w:r w:rsidRPr="00B557E8">
        <w:rPr>
          <w:color w:val="000000" w:themeColor="text1"/>
          <w:szCs w:val="24"/>
        </w:rPr>
        <w:t xml:space="preserve">” par rīkoto iepirkuma konkursu dēļ. 2011.gada 17.augustā KDG sanāksmē tika pieņemts lēmums nemainīt sākotnējo projekta iesniegumu, kas šobrīd ir EK izvērtēšanas procesā un tuvākajā laikā par to gaidāms EK lēmums. 2011.gada 15.jūnijā EK apstiprināja komercdarbības atbalsta nosacījumus un starp Rīgas brīvostas pārvaldi un </w:t>
      </w:r>
      <w:proofErr w:type="spellStart"/>
      <w:r w:rsidRPr="00B557E8">
        <w:rPr>
          <w:color w:val="000000" w:themeColor="text1"/>
          <w:szCs w:val="24"/>
        </w:rPr>
        <w:t>stividoru</w:t>
      </w:r>
      <w:proofErr w:type="spellEnd"/>
      <w:r w:rsidRPr="00B557E8">
        <w:rPr>
          <w:color w:val="000000" w:themeColor="text1"/>
          <w:szCs w:val="24"/>
        </w:rPr>
        <w:t xml:space="preserve"> kompānijām ir noslēgti savstarpējie līgumi par darbu izpildi projekta ietvaros. Šobrīd SM turpina sarunas ar finansējuma saņēmēju par projekta kopējā mērķa sasniegšanu. Ņemot vērā, ka IUB ir atkārtoti iesniegta sūdzība par iepirkumu, joprojām ir aizkavēta iepirkuma līguma slēgšana ar uzvarētāju. Paredzamais sūdzības izskatīšanas laiks ir 2011.gada 21.novembris. Projekta ietvaros tika veikts avansa maksājums 10</w:t>
      </w:r>
      <w:r w:rsidR="003E7821" w:rsidRPr="00B557E8">
        <w:rPr>
          <w:color w:val="000000" w:themeColor="text1"/>
          <w:szCs w:val="24"/>
        </w:rPr>
        <w:t>,</w:t>
      </w:r>
      <w:r w:rsidRPr="00B557E8">
        <w:rPr>
          <w:color w:val="000000" w:themeColor="text1"/>
          <w:szCs w:val="24"/>
        </w:rPr>
        <w:t xml:space="preserve">8 </w:t>
      </w:r>
      <w:proofErr w:type="spellStart"/>
      <w:r w:rsidRPr="00B557E8">
        <w:rPr>
          <w:color w:val="000000" w:themeColor="text1"/>
          <w:szCs w:val="24"/>
        </w:rPr>
        <w:t>milj</w:t>
      </w:r>
      <w:proofErr w:type="spellEnd"/>
      <w:r w:rsidRPr="00B557E8">
        <w:rPr>
          <w:color w:val="000000" w:themeColor="text1"/>
          <w:szCs w:val="24"/>
        </w:rPr>
        <w:t xml:space="preserve">. latu apmērā, kas jāizlieto līdz 2011.gada beigām. </w:t>
      </w:r>
    </w:p>
    <w:p w:rsidR="0073321C" w:rsidRPr="00B557E8" w:rsidRDefault="0073321C" w:rsidP="00B557E8">
      <w:pPr>
        <w:spacing w:before="120" w:after="120" w:line="276" w:lineRule="auto"/>
        <w:rPr>
          <w:color w:val="000000" w:themeColor="text1"/>
          <w:szCs w:val="24"/>
        </w:rPr>
      </w:pPr>
      <w:r w:rsidRPr="00B557E8">
        <w:rPr>
          <w:color w:val="000000" w:themeColor="text1"/>
          <w:szCs w:val="24"/>
        </w:rPr>
        <w:t xml:space="preserve">Projektā „Infrastruktūras attīstība lidostā „Rīga” projektēšanas darbu līguma slēgšanu aizkavēja uzvarētāja organizācijā veiktās iekšējās administratīvās reformas un plānotā projektēšanas darbu termiņa pagarinājums,  līdz ar to būvdarbus plānots uzsākt nākošajā būvniecības sezonā, </w:t>
      </w:r>
      <w:proofErr w:type="spellStart"/>
      <w:r w:rsidRPr="00B557E8">
        <w:rPr>
          <w:color w:val="000000" w:themeColor="text1"/>
          <w:szCs w:val="24"/>
        </w:rPr>
        <w:t>t.i</w:t>
      </w:r>
      <w:proofErr w:type="spellEnd"/>
      <w:r w:rsidRPr="00B557E8">
        <w:rPr>
          <w:color w:val="000000" w:themeColor="text1"/>
          <w:szCs w:val="24"/>
        </w:rPr>
        <w:t xml:space="preserve">. 2012.gada </w:t>
      </w:r>
      <w:r w:rsidR="003B10DB" w:rsidRPr="00B557E8">
        <w:rPr>
          <w:color w:val="000000" w:themeColor="text1"/>
          <w:szCs w:val="24"/>
        </w:rPr>
        <w:t xml:space="preserve">otrajā </w:t>
      </w:r>
      <w:r w:rsidRPr="00B557E8">
        <w:rPr>
          <w:color w:val="000000" w:themeColor="text1"/>
          <w:szCs w:val="24"/>
        </w:rPr>
        <w:t xml:space="preserve">ceturksnī.  </w:t>
      </w:r>
    </w:p>
    <w:p w:rsidR="0073321C" w:rsidRPr="00B557E8" w:rsidRDefault="0073321C" w:rsidP="00B557E8">
      <w:pPr>
        <w:spacing w:before="120" w:after="120" w:line="276" w:lineRule="auto"/>
        <w:rPr>
          <w:color w:val="000000" w:themeColor="text1"/>
          <w:szCs w:val="24"/>
        </w:rPr>
      </w:pPr>
      <w:r w:rsidRPr="00B557E8">
        <w:rPr>
          <w:color w:val="000000" w:themeColor="text1"/>
          <w:szCs w:val="24"/>
        </w:rPr>
        <w:lastRenderedPageBreak/>
        <w:t>Projektos „Autoceļa E 22 posma Ludza – Terehova būvniecība” un „Autoceļa E 22 posma Rīga (Tīnūži) – Koknese būvniecība” ir noslēgti visi plānotie būvdarbu līgumi, līdz ar to norisinās fiziskie būvniecības darbi projektu īstenošanas vietās. Šo divu projektu ietvaros atsevišķu ceļu posmu rekonstrukcija ir pabeigta, kā rezultātā jau ir izbūvēti/rekonstruēti 29,4 km asfaltētie ceļi. Būvdarbus visu noslēgto līgumu ietvaros plāno pabeigt 2012.gada beigās.</w:t>
      </w:r>
    </w:p>
    <w:p w:rsidR="0003086E" w:rsidRPr="00B557E8" w:rsidRDefault="00FF4209" w:rsidP="00B557E8">
      <w:pPr>
        <w:pStyle w:val="2lmenis"/>
        <w:numPr>
          <w:ilvl w:val="1"/>
          <w:numId w:val="2"/>
        </w:numPr>
        <w:spacing w:before="120" w:after="120" w:line="276" w:lineRule="auto"/>
        <w:ind w:left="1276" w:hanging="425"/>
        <w:jc w:val="both"/>
        <w:rPr>
          <w:color w:val="000000" w:themeColor="text1"/>
          <w:sz w:val="24"/>
          <w:szCs w:val="24"/>
          <w:lang w:val="lv-LV"/>
        </w:rPr>
      </w:pPr>
      <w:bookmarkStart w:id="24" w:name="_Toc276049983"/>
      <w:bookmarkStart w:id="25" w:name="_Toc308774234"/>
      <w:bookmarkEnd w:id="23"/>
      <w:r w:rsidRPr="00B557E8">
        <w:rPr>
          <w:color w:val="000000" w:themeColor="text1"/>
          <w:sz w:val="24"/>
          <w:szCs w:val="24"/>
          <w:lang w:val="lv-LV"/>
        </w:rPr>
        <w:t>Tehniskās palīdzības aktivitāšu īstenošana</w:t>
      </w:r>
      <w:bookmarkEnd w:id="24"/>
      <w:bookmarkEnd w:id="25"/>
    </w:p>
    <w:p w:rsidR="001C1733" w:rsidRPr="00B557E8" w:rsidRDefault="001C1733" w:rsidP="00B557E8">
      <w:pPr>
        <w:spacing w:before="120" w:after="120" w:line="276" w:lineRule="auto"/>
        <w:rPr>
          <w:color w:val="000000" w:themeColor="text1"/>
          <w:szCs w:val="24"/>
        </w:rPr>
      </w:pPr>
      <w:bookmarkStart w:id="26" w:name="_Toc276049985"/>
      <w:r w:rsidRPr="00B557E8">
        <w:rPr>
          <w:color w:val="000000" w:themeColor="text1"/>
          <w:szCs w:val="24"/>
          <w:lang w:eastAsia="lv-LV"/>
        </w:rPr>
        <w:t xml:space="preserve">Darbības programmu prioritātes </w:t>
      </w:r>
      <w:proofErr w:type="spellStart"/>
      <w:r w:rsidRPr="00B557E8">
        <w:rPr>
          <w:color w:val="000000" w:themeColor="text1"/>
          <w:szCs w:val="24"/>
          <w:lang w:eastAsia="lv-LV"/>
        </w:rPr>
        <w:t>ES fondu</w:t>
      </w:r>
      <w:proofErr w:type="spellEnd"/>
      <w:r w:rsidRPr="00B557E8">
        <w:rPr>
          <w:color w:val="000000" w:themeColor="text1"/>
          <w:szCs w:val="24"/>
          <w:lang w:eastAsia="lv-LV"/>
        </w:rPr>
        <w:t xml:space="preserve"> </w:t>
      </w:r>
      <w:r w:rsidR="008F27FF" w:rsidRPr="00B557E8">
        <w:rPr>
          <w:color w:val="000000" w:themeColor="text1"/>
          <w:szCs w:val="24"/>
          <w:lang w:eastAsia="lv-LV"/>
        </w:rPr>
        <w:t>TP</w:t>
      </w:r>
      <w:r w:rsidRPr="00B557E8">
        <w:rPr>
          <w:color w:val="000000" w:themeColor="text1"/>
          <w:szCs w:val="24"/>
          <w:lang w:eastAsia="lv-LV"/>
        </w:rPr>
        <w:t xml:space="preserve"> izveidota ar mērķi uzlabot, vienkāršot, nodrošināt ES fondu vadību un tās efektivitāti.</w:t>
      </w:r>
      <w:r w:rsidR="0076789C" w:rsidRPr="00B557E8">
        <w:rPr>
          <w:color w:val="000000" w:themeColor="text1"/>
          <w:szCs w:val="24"/>
          <w:lang w:eastAsia="lv-LV"/>
        </w:rPr>
        <w:t xml:space="preserve"> </w:t>
      </w:r>
      <w:r w:rsidRPr="00B557E8">
        <w:rPr>
          <w:color w:val="000000" w:themeColor="text1"/>
          <w:szCs w:val="24"/>
          <w:lang w:eastAsia="lv-LV"/>
        </w:rPr>
        <w:t>Tehniskās palīdzības finansējums tiek novirzīts darbības programmu sagatavošanai, vadības, uzraudzības, izvērtēšanas, informācijas un kontroles darbību veikšanai, kā arī administratīvo spēju stiprināšanai, īstenojot ES fondus.</w:t>
      </w:r>
    </w:p>
    <w:p w:rsidR="00FC4561" w:rsidRPr="00B557E8" w:rsidRDefault="00FC4561" w:rsidP="00B557E8">
      <w:pPr>
        <w:spacing w:before="120" w:after="120" w:line="276" w:lineRule="auto"/>
        <w:rPr>
          <w:color w:val="000000" w:themeColor="text1"/>
          <w:szCs w:val="24"/>
        </w:rPr>
      </w:pPr>
      <w:r w:rsidRPr="00B557E8">
        <w:rPr>
          <w:color w:val="000000" w:themeColor="text1"/>
          <w:szCs w:val="24"/>
        </w:rPr>
        <w:t xml:space="preserve">Saskaņā ar Likumu par valsts budžetu 2011.gadam ES fondu tehniskās palīdzības projektiem plānotais finansējums ir 16,5 </w:t>
      </w:r>
      <w:proofErr w:type="spellStart"/>
      <w:r w:rsidRPr="00B557E8">
        <w:rPr>
          <w:color w:val="000000" w:themeColor="text1"/>
          <w:szCs w:val="24"/>
        </w:rPr>
        <w:t>milj</w:t>
      </w:r>
      <w:proofErr w:type="spellEnd"/>
      <w:r w:rsidRPr="00B557E8">
        <w:rPr>
          <w:color w:val="000000" w:themeColor="text1"/>
          <w:szCs w:val="24"/>
        </w:rPr>
        <w:t xml:space="preserve">. lati. Kopējās atmaksas valsts pamatbudžetā par izdevumiem, kas veikti laika posmā no 2008.gada 1.janvāra līdz 2011.gada 30.septembrim  ir 23,9 </w:t>
      </w:r>
      <w:proofErr w:type="spellStart"/>
      <w:r w:rsidRPr="00B557E8">
        <w:rPr>
          <w:color w:val="000000" w:themeColor="text1"/>
          <w:szCs w:val="24"/>
        </w:rPr>
        <w:t>milj</w:t>
      </w:r>
      <w:proofErr w:type="spellEnd"/>
      <w:r w:rsidRPr="00B557E8">
        <w:rPr>
          <w:color w:val="000000" w:themeColor="text1"/>
          <w:szCs w:val="24"/>
        </w:rPr>
        <w:t>. latu apmērā, kas ir 66% no kopējā ES fondu tehniskās palīdzības 1.kārtas projektiem apstiprinātā finansējuma. Salīdzinājumā ar 2011. gada 2. ceturksni kopējās atmaksas valsts pamatbudžetā  ir palielinājušās tikai par 6%. Neatbilstoši veiktās izmaksas visu ES fondu tehniskās palīdzības projektu ietvaros laika posmā no 2008.gada 1.janvāra līdz 2011.gada 30.septembrim ir 2</w:t>
      </w:r>
      <w:r w:rsidR="003E7821" w:rsidRPr="00B557E8">
        <w:rPr>
          <w:color w:val="000000" w:themeColor="text1"/>
          <w:szCs w:val="24"/>
        </w:rPr>
        <w:t xml:space="preserve">,1 </w:t>
      </w:r>
      <w:proofErr w:type="spellStart"/>
      <w:r w:rsidR="003E7821" w:rsidRPr="00B557E8">
        <w:rPr>
          <w:color w:val="000000" w:themeColor="text1"/>
          <w:szCs w:val="24"/>
        </w:rPr>
        <w:t>tūkst</w:t>
      </w:r>
      <w:proofErr w:type="spellEnd"/>
      <w:r w:rsidR="003E7821" w:rsidRPr="00B557E8">
        <w:rPr>
          <w:color w:val="000000" w:themeColor="text1"/>
          <w:szCs w:val="24"/>
        </w:rPr>
        <w:t>. latu</w:t>
      </w:r>
      <w:r w:rsidRPr="00B557E8">
        <w:rPr>
          <w:color w:val="000000" w:themeColor="text1"/>
          <w:szCs w:val="24"/>
        </w:rPr>
        <w:t>.</w:t>
      </w:r>
    </w:p>
    <w:p w:rsidR="0076789C" w:rsidRPr="00B557E8" w:rsidRDefault="00FC4561" w:rsidP="00B557E8">
      <w:pPr>
        <w:spacing w:before="120" w:after="120" w:line="276" w:lineRule="auto"/>
        <w:rPr>
          <w:color w:val="000000" w:themeColor="text1"/>
          <w:szCs w:val="24"/>
        </w:rPr>
      </w:pPr>
      <w:r w:rsidRPr="00B557E8">
        <w:rPr>
          <w:color w:val="000000" w:themeColor="text1"/>
          <w:szCs w:val="24"/>
        </w:rPr>
        <w:t xml:space="preserve">Analizējot maksājumu mērķa izpildi pārskata periodā, ES fondu tehniskās palīdzības prioritāšu ietvaros, secināms, ka salīdzinājumā ar 2011.gada </w:t>
      </w:r>
      <w:r w:rsidR="003B10DB" w:rsidRPr="00B557E8">
        <w:rPr>
          <w:color w:val="000000" w:themeColor="text1"/>
          <w:szCs w:val="24"/>
        </w:rPr>
        <w:t xml:space="preserve">otro </w:t>
      </w:r>
      <w:r w:rsidRPr="00B557E8">
        <w:rPr>
          <w:color w:val="000000" w:themeColor="text1"/>
          <w:szCs w:val="24"/>
        </w:rPr>
        <w:t>ceturksni finanšu apguves progress ir samazinājies visās tehniskās palīdzības prioritātēs, kas skaidrojams ar ES fondu tehniskās palīdzības projektos apstiprinātā finansējuma apjoma pārskatīšanu, kā arī ņemot vērā to, ka  mērķa prognoze sagatavota, pamatojoties uz 2011.gada sākumā finansējuma saņēmēju sniegto informāciju, be</w:t>
      </w:r>
      <w:r w:rsidR="003E7821" w:rsidRPr="00B557E8">
        <w:rPr>
          <w:color w:val="000000" w:themeColor="text1"/>
          <w:szCs w:val="24"/>
        </w:rPr>
        <w:t>t 2011.</w:t>
      </w:r>
      <w:r w:rsidRPr="00B557E8">
        <w:rPr>
          <w:color w:val="000000" w:themeColor="text1"/>
          <w:szCs w:val="24"/>
        </w:rPr>
        <w:t>gada projektu ietvaros veikti grozījumi, kur</w:t>
      </w:r>
      <w:r w:rsidR="003E7821" w:rsidRPr="00B557E8">
        <w:rPr>
          <w:color w:val="000000" w:themeColor="text1"/>
          <w:szCs w:val="24"/>
        </w:rPr>
        <w:t>os samazināts finansējums 2011.</w:t>
      </w:r>
      <w:r w:rsidRPr="00B557E8">
        <w:rPr>
          <w:color w:val="000000" w:themeColor="text1"/>
          <w:szCs w:val="24"/>
        </w:rPr>
        <w:t xml:space="preserve">gadam izvērtējot aktivitāšu aktualitāti </w:t>
      </w:r>
      <w:r w:rsidR="003E7821" w:rsidRPr="00B557E8">
        <w:rPr>
          <w:color w:val="000000" w:themeColor="text1"/>
          <w:szCs w:val="24"/>
        </w:rPr>
        <w:t>un nepieciešamību. Kopumā 2011.</w:t>
      </w:r>
      <w:r w:rsidRPr="00B557E8">
        <w:rPr>
          <w:color w:val="000000" w:themeColor="text1"/>
          <w:szCs w:val="24"/>
        </w:rPr>
        <w:t>gada 3. ceturkšņa maksājumu mērķa izpilde ES fondu tehniskās palīdzības prioritāšu ietvaros atpaliek no plānotā. 1. kārtas ietvaros tiek prognozēts līdzekļu pārpalikums, kuru plānots pārvirzīt  tehniskās palīdzības 2. kārtas īstenošanai</w:t>
      </w:r>
      <w:r w:rsidR="0076789C" w:rsidRPr="00B557E8">
        <w:rPr>
          <w:color w:val="000000" w:themeColor="text1"/>
          <w:szCs w:val="24"/>
        </w:rPr>
        <w:t>.</w:t>
      </w:r>
    </w:p>
    <w:p w:rsidR="00FC4561" w:rsidRPr="00B557E8" w:rsidRDefault="00FC4561" w:rsidP="00B557E8">
      <w:pPr>
        <w:spacing w:before="120" w:after="120" w:line="276" w:lineRule="auto"/>
        <w:rPr>
          <w:color w:val="000000" w:themeColor="text1"/>
          <w:szCs w:val="24"/>
        </w:rPr>
      </w:pPr>
      <w:r w:rsidRPr="00B557E8">
        <w:rPr>
          <w:color w:val="000000" w:themeColor="text1"/>
          <w:szCs w:val="24"/>
        </w:rPr>
        <w:t>Vislielākie izdevumi ES fondu tehniskās palīdzības projektu ietvaros ir bijuši tādās izdevumu pozīcijās kā „ierēdņu un darbinieku atlīdzība” (</w:t>
      </w:r>
      <w:proofErr w:type="spellStart"/>
      <w:r w:rsidRPr="00B557E8">
        <w:rPr>
          <w:color w:val="000000" w:themeColor="text1"/>
          <w:szCs w:val="24"/>
        </w:rPr>
        <w:t>t.sk</w:t>
      </w:r>
      <w:proofErr w:type="spellEnd"/>
      <w:r w:rsidRPr="00B557E8">
        <w:rPr>
          <w:color w:val="000000" w:themeColor="text1"/>
          <w:szCs w:val="24"/>
        </w:rPr>
        <w:t>. piemaksas un valsts sociālās apdrošināšanas obligātās iemaksas), kas ir aptuveni 70% no kopējā finansējuma izlietojuma un  „pakalpojumi”, kas ir aptuveni 15% no kopējā finansējuma izlietojuma. Pārējās izdevumu pozīcijās veiktie izdevumi ir sadalījušies vienmērīgi robežās 2% - 4% no kopējā finansējuma izlietojuma.</w:t>
      </w:r>
    </w:p>
    <w:p w:rsidR="00FC4561" w:rsidRPr="00B557E8" w:rsidRDefault="003E7821" w:rsidP="00B557E8">
      <w:pPr>
        <w:spacing w:before="120" w:after="120" w:line="276" w:lineRule="auto"/>
        <w:rPr>
          <w:color w:val="000000" w:themeColor="text1"/>
          <w:szCs w:val="24"/>
        </w:rPr>
      </w:pPr>
      <w:r w:rsidRPr="00B557E8">
        <w:rPr>
          <w:color w:val="000000" w:themeColor="text1"/>
          <w:szCs w:val="24"/>
        </w:rPr>
        <w:t>2011.</w:t>
      </w:r>
      <w:r w:rsidR="00FC4561" w:rsidRPr="00B557E8">
        <w:rPr>
          <w:color w:val="000000" w:themeColor="text1"/>
          <w:szCs w:val="24"/>
        </w:rPr>
        <w:t>gada 21. septembrī stājā</w:t>
      </w:r>
      <w:r w:rsidRPr="00B557E8">
        <w:rPr>
          <w:color w:val="000000" w:themeColor="text1"/>
          <w:szCs w:val="24"/>
        </w:rPr>
        <w:t xml:space="preserve">s spēkā </w:t>
      </w:r>
      <w:r w:rsidR="006B263C" w:rsidRPr="00B557E8">
        <w:rPr>
          <w:color w:val="000000" w:themeColor="text1"/>
          <w:szCs w:val="24"/>
        </w:rPr>
        <w:t>MK</w:t>
      </w:r>
      <w:r w:rsidRPr="00B557E8">
        <w:rPr>
          <w:color w:val="000000" w:themeColor="text1"/>
          <w:szCs w:val="24"/>
        </w:rPr>
        <w:t xml:space="preserve"> 2011.gada 6. septembra noteikumi Nr.</w:t>
      </w:r>
      <w:r w:rsidR="00FC4561" w:rsidRPr="00B557E8">
        <w:rPr>
          <w:color w:val="000000" w:themeColor="text1"/>
          <w:szCs w:val="24"/>
        </w:rPr>
        <w:t xml:space="preserve">694 „Noteikumi par darbības programmas "Cilvēkresursi un nodarbinātība" papildinājuma 1.6.1.1. aktivitātes "Programmas vadības un atbalsta funkciju nodrošināšana", darbības programmas "Uzņēmējdarbība un inovācijas" papildinājuma 2.4.1.1. aktivitātes "Programmas vadības un atbalsta funkciju nodrošināšana", darbības programmas "Infrastruktūra un pakalpojumi" papildinājuma 3.7.1.1. aktivitātes "Programmas vadības un atbalsta funkciju nodrošināšana" un 3.8.1.1. aktivitātes "Programmas vadības un atbalsta funkciju nodrošināšana" projektu </w:t>
      </w:r>
      <w:r w:rsidR="00FC4561" w:rsidRPr="00B557E8">
        <w:rPr>
          <w:color w:val="000000" w:themeColor="text1"/>
          <w:szCs w:val="24"/>
        </w:rPr>
        <w:lastRenderedPageBreak/>
        <w:t xml:space="preserve">iesniegumu atlases otro kārtu”, kas nosaka ES fondu tehniskās palīdzības aktivitāšu ieviešanu laika posmā no 2012.gada 1.janvāra līdz 2015.gada 31.decembrim. </w:t>
      </w:r>
    </w:p>
    <w:p w:rsidR="002B7937" w:rsidRPr="00B557E8" w:rsidRDefault="00FC4561" w:rsidP="00B557E8">
      <w:pPr>
        <w:spacing w:before="120" w:after="120" w:line="276" w:lineRule="auto"/>
        <w:rPr>
          <w:color w:val="000000" w:themeColor="text1"/>
          <w:szCs w:val="24"/>
        </w:rPr>
      </w:pPr>
      <w:r w:rsidRPr="00B557E8">
        <w:rPr>
          <w:color w:val="000000" w:themeColor="text1"/>
          <w:szCs w:val="24"/>
        </w:rPr>
        <w:t xml:space="preserve">2011.gada 23.septembrī </w:t>
      </w:r>
      <w:r w:rsidR="0053690D" w:rsidRPr="00B557E8">
        <w:rPr>
          <w:color w:val="000000" w:themeColor="text1"/>
          <w:szCs w:val="24"/>
        </w:rPr>
        <w:t xml:space="preserve">CFLA </w:t>
      </w:r>
      <w:r w:rsidRPr="00B557E8">
        <w:rPr>
          <w:color w:val="000000" w:themeColor="text1"/>
          <w:szCs w:val="24"/>
        </w:rPr>
        <w:t xml:space="preserve">ir </w:t>
      </w:r>
      <w:r w:rsidR="003E7821" w:rsidRPr="00B557E8">
        <w:rPr>
          <w:color w:val="000000" w:themeColor="text1"/>
          <w:szCs w:val="24"/>
        </w:rPr>
        <w:t>nosūtījusi uzaicinājumu MKN Nr.694 14.</w:t>
      </w:r>
      <w:r w:rsidRPr="00B557E8">
        <w:rPr>
          <w:color w:val="000000" w:themeColor="text1"/>
          <w:szCs w:val="24"/>
        </w:rPr>
        <w:t>punktā minētajām institūcijām iesniegt ES fondu tehniskās palīdzības projektu iesniegumus ierobežotas projektu iesniegumu atlases ietvaros. Projektu iesniegumi ir</w:t>
      </w:r>
      <w:r w:rsidR="003E7821" w:rsidRPr="00B557E8">
        <w:rPr>
          <w:color w:val="000000" w:themeColor="text1"/>
          <w:szCs w:val="24"/>
        </w:rPr>
        <w:t xml:space="preserve"> jāiesniedz līdz 2011.gada 25.o</w:t>
      </w:r>
      <w:r w:rsidRPr="00B557E8">
        <w:rPr>
          <w:color w:val="000000" w:themeColor="text1"/>
          <w:szCs w:val="24"/>
        </w:rPr>
        <w:t>ktobrim</w:t>
      </w:r>
      <w:r w:rsidR="0076789C" w:rsidRPr="00B557E8">
        <w:rPr>
          <w:color w:val="000000" w:themeColor="text1"/>
          <w:szCs w:val="24"/>
        </w:rPr>
        <w:t>.</w:t>
      </w:r>
    </w:p>
    <w:p w:rsidR="002B7937" w:rsidRPr="00B557E8" w:rsidRDefault="00A1120A" w:rsidP="00B557E8">
      <w:pPr>
        <w:pStyle w:val="2lmenis"/>
        <w:numPr>
          <w:ilvl w:val="1"/>
          <w:numId w:val="2"/>
        </w:numPr>
        <w:spacing w:before="120" w:after="120" w:line="276" w:lineRule="auto"/>
        <w:ind w:left="1276" w:hanging="425"/>
        <w:jc w:val="both"/>
        <w:rPr>
          <w:color w:val="000000" w:themeColor="text1"/>
          <w:sz w:val="24"/>
          <w:szCs w:val="24"/>
          <w:lang w:val="lv-LV"/>
        </w:rPr>
      </w:pPr>
      <w:r w:rsidRPr="00B557E8">
        <w:rPr>
          <w:color w:val="000000" w:themeColor="text1"/>
          <w:sz w:val="24"/>
          <w:szCs w:val="24"/>
          <w:lang w:val="lv-LV"/>
        </w:rPr>
        <w:t xml:space="preserve"> </w:t>
      </w:r>
      <w:bookmarkStart w:id="27" w:name="_Toc308774235"/>
      <w:r w:rsidR="00FD3E8A" w:rsidRPr="00B557E8">
        <w:rPr>
          <w:color w:val="000000" w:themeColor="text1"/>
          <w:sz w:val="24"/>
          <w:szCs w:val="24"/>
          <w:lang w:val="lv-LV"/>
        </w:rPr>
        <w:t xml:space="preserve">2007.-2013.gada plānošanas perioda finanšu apguves salīdzinājums </w:t>
      </w:r>
      <w:r w:rsidR="009C5406" w:rsidRPr="00B557E8">
        <w:rPr>
          <w:color w:val="000000" w:themeColor="text1"/>
          <w:sz w:val="24"/>
          <w:szCs w:val="24"/>
          <w:lang w:val="lv-LV"/>
        </w:rPr>
        <w:t>starp jaunajām ES dalībvalstīm</w:t>
      </w:r>
      <w:bookmarkEnd w:id="27"/>
    </w:p>
    <w:p w:rsidR="00C13D44" w:rsidRPr="00B557E8" w:rsidRDefault="001C1733" w:rsidP="00B557E8">
      <w:pPr>
        <w:spacing w:before="120" w:after="120" w:line="276" w:lineRule="auto"/>
        <w:rPr>
          <w:color w:val="000000" w:themeColor="text1"/>
          <w:szCs w:val="24"/>
        </w:rPr>
      </w:pPr>
      <w:bookmarkStart w:id="28" w:name="_Toc290449012"/>
      <w:r w:rsidRPr="00B557E8">
        <w:rPr>
          <w:color w:val="000000" w:themeColor="text1"/>
          <w:szCs w:val="24"/>
        </w:rPr>
        <w:t>Grafiks Nr.1</w:t>
      </w:r>
      <w:r w:rsidR="00EC7B49" w:rsidRPr="00B557E8">
        <w:rPr>
          <w:color w:val="000000" w:themeColor="text1"/>
          <w:szCs w:val="24"/>
        </w:rPr>
        <w:t>6</w:t>
      </w:r>
      <w:r w:rsidRPr="00B557E8">
        <w:rPr>
          <w:color w:val="000000" w:themeColor="text1"/>
          <w:szCs w:val="24"/>
        </w:rPr>
        <w:t xml:space="preserve"> </w:t>
      </w:r>
      <w:r w:rsidRPr="00B557E8">
        <w:rPr>
          <w:i/>
          <w:color w:val="000000" w:themeColor="text1"/>
          <w:szCs w:val="24"/>
        </w:rPr>
        <w:t xml:space="preserve">„EK veiktie maksājumi (% pret ES fondu finansējumu) jaunajām ES dalībvalstīm 2007-2013.gada plānošanas </w:t>
      </w:r>
      <w:r w:rsidR="00637F32" w:rsidRPr="00B557E8">
        <w:rPr>
          <w:i/>
          <w:color w:val="000000" w:themeColor="text1"/>
          <w:szCs w:val="24"/>
        </w:rPr>
        <w:t>periodā uz 30.09.2011</w:t>
      </w:r>
      <w:r w:rsidR="00637F32" w:rsidRPr="00B557E8">
        <w:rPr>
          <w:color w:val="000000" w:themeColor="text1"/>
          <w:szCs w:val="24"/>
        </w:rPr>
        <w:t>.</w:t>
      </w:r>
      <w:r w:rsidR="00C13D44" w:rsidRPr="00B557E8">
        <w:rPr>
          <w:color w:val="000000" w:themeColor="text1"/>
          <w:szCs w:val="24"/>
        </w:rPr>
        <w:t xml:space="preserve">” </w:t>
      </w:r>
    </w:p>
    <w:p w:rsidR="001C1733" w:rsidRPr="00B557E8" w:rsidRDefault="001C1733" w:rsidP="003B2E97">
      <w:pPr>
        <w:spacing w:before="120" w:after="120" w:line="276" w:lineRule="auto"/>
        <w:jc w:val="center"/>
        <w:rPr>
          <w:color w:val="000000" w:themeColor="text1"/>
          <w:szCs w:val="24"/>
        </w:rPr>
      </w:pPr>
      <w:r w:rsidRPr="00B557E8">
        <w:rPr>
          <w:noProof/>
          <w:color w:val="000000" w:themeColor="text1"/>
          <w:szCs w:val="24"/>
          <w:lang w:eastAsia="lv-LV"/>
        </w:rPr>
        <w:drawing>
          <wp:inline distT="0" distB="0" distL="0" distR="0" wp14:anchorId="645244E5" wp14:editId="4329F5BC">
            <wp:extent cx="4967020" cy="3123590"/>
            <wp:effectExtent l="0" t="0" r="5080" b="63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0014B" w:rsidRPr="00B557E8" w:rsidRDefault="00A0014B" w:rsidP="00B557E8">
      <w:pPr>
        <w:spacing w:before="120" w:after="120" w:line="276" w:lineRule="auto"/>
        <w:rPr>
          <w:color w:val="000000" w:themeColor="text1"/>
          <w:szCs w:val="24"/>
        </w:rPr>
      </w:pPr>
      <w:r w:rsidRPr="00B557E8">
        <w:rPr>
          <w:color w:val="000000" w:themeColor="text1"/>
          <w:szCs w:val="24"/>
        </w:rPr>
        <w:t xml:space="preserve">Pēc EK sniegtās informācijas Latvija ir ierindojusies trešajā vietā starp pārējām ES jaunajām dalībvalstīm no EK saņemto starpposma un avansa maksājumu ziņā (skatīt grafiku Nr.16). Salīdzinājumā ar 2011.gada </w:t>
      </w:r>
      <w:r w:rsidR="003B10DB" w:rsidRPr="00B557E8">
        <w:rPr>
          <w:color w:val="000000" w:themeColor="text1"/>
          <w:szCs w:val="24"/>
        </w:rPr>
        <w:t xml:space="preserve">otro </w:t>
      </w:r>
      <w:r w:rsidRPr="00B557E8">
        <w:rPr>
          <w:color w:val="000000" w:themeColor="text1"/>
          <w:szCs w:val="24"/>
        </w:rPr>
        <w:t>ceturksni Latvija ir pacēlusies no sestās uz trešo vietu un ir vērojams progress par 7,4%.</w:t>
      </w:r>
    </w:p>
    <w:p w:rsidR="00A0014B" w:rsidRPr="00B557E8" w:rsidRDefault="00A0014B" w:rsidP="00B557E8">
      <w:pPr>
        <w:spacing w:before="120" w:after="120" w:line="276" w:lineRule="auto"/>
        <w:rPr>
          <w:color w:val="000000" w:themeColor="text1"/>
          <w:szCs w:val="24"/>
        </w:rPr>
      </w:pPr>
      <w:r w:rsidRPr="00B557E8">
        <w:rPr>
          <w:color w:val="000000" w:themeColor="text1"/>
          <w:szCs w:val="24"/>
        </w:rPr>
        <w:t>Salīdzinot EK veiktos maksājumus ES jaunajām dalībvalstīm fondu griezumā, Latvija joprojām atrodas stabilā pirmajā vietā ESF ietvaros, kur no EK saņemti maksājumi 56,1% apmērā no ES fondu finansējuma.</w:t>
      </w:r>
    </w:p>
    <w:p w:rsidR="00A0014B" w:rsidRPr="00B557E8" w:rsidRDefault="00A0014B" w:rsidP="00B557E8">
      <w:pPr>
        <w:spacing w:before="120" w:after="120" w:line="276" w:lineRule="auto"/>
        <w:rPr>
          <w:color w:val="000000" w:themeColor="text1"/>
          <w:szCs w:val="24"/>
        </w:rPr>
      </w:pPr>
      <w:r w:rsidRPr="00B557E8">
        <w:rPr>
          <w:color w:val="000000" w:themeColor="text1"/>
          <w:szCs w:val="24"/>
        </w:rPr>
        <w:t xml:space="preserve">Starp Baltijas valstīm Latvija maksājumu finansējuma saņēmējiem ziņā ierindojas otrajā vietā. Latvija ir noslēgusi līgumus par 80,5% no ES fondu finansējuma, apsteidzot Lietuvu par 8,2% un atpaliekot no Igaunijas tikai par 1,3%, salīdzinājumā ar iepriekšējo ceturksni, samazinot starpību par 0,7%. </w:t>
      </w:r>
    </w:p>
    <w:p w:rsidR="001C1733" w:rsidRPr="00B557E8" w:rsidRDefault="00EE2147" w:rsidP="00B557E8">
      <w:pPr>
        <w:spacing w:before="120" w:after="120" w:line="276" w:lineRule="auto"/>
        <w:rPr>
          <w:color w:val="000000" w:themeColor="text1"/>
          <w:szCs w:val="24"/>
        </w:rPr>
      </w:pPr>
      <w:r w:rsidRPr="00B557E8">
        <w:rPr>
          <w:color w:val="000000" w:themeColor="text1"/>
          <w:szCs w:val="24"/>
        </w:rPr>
        <w:t xml:space="preserve">Savukārt pēc noslēgtajiem līgumiem Latvija starp visām trim Baltijas valstīm ir līdere ESF apguvē. </w:t>
      </w:r>
      <w:r w:rsidR="001C1733" w:rsidRPr="00B557E8">
        <w:rPr>
          <w:color w:val="000000" w:themeColor="text1"/>
          <w:szCs w:val="24"/>
        </w:rPr>
        <w:t>(skatīt grafiku Nr.1</w:t>
      </w:r>
      <w:r w:rsidR="00EC7B49" w:rsidRPr="00B557E8">
        <w:rPr>
          <w:color w:val="000000" w:themeColor="text1"/>
          <w:szCs w:val="24"/>
        </w:rPr>
        <w:t>7</w:t>
      </w:r>
      <w:r w:rsidR="001C1733" w:rsidRPr="00B557E8">
        <w:rPr>
          <w:color w:val="000000" w:themeColor="text1"/>
          <w:szCs w:val="24"/>
        </w:rPr>
        <w:t>)</w:t>
      </w:r>
    </w:p>
    <w:p w:rsidR="009F2179" w:rsidRPr="00B557E8" w:rsidRDefault="009F2179" w:rsidP="00B557E8">
      <w:pPr>
        <w:spacing w:before="120" w:after="120" w:line="276" w:lineRule="auto"/>
        <w:jc w:val="left"/>
        <w:rPr>
          <w:color w:val="000000" w:themeColor="text1"/>
          <w:szCs w:val="24"/>
        </w:rPr>
      </w:pPr>
      <w:r w:rsidRPr="00B557E8">
        <w:rPr>
          <w:color w:val="000000" w:themeColor="text1"/>
          <w:szCs w:val="24"/>
        </w:rPr>
        <w:br w:type="page"/>
      </w:r>
    </w:p>
    <w:p w:rsidR="001C1733" w:rsidRPr="00B557E8" w:rsidRDefault="001C1733" w:rsidP="00B557E8">
      <w:pPr>
        <w:spacing w:before="120" w:after="120" w:line="276" w:lineRule="auto"/>
        <w:rPr>
          <w:i/>
          <w:color w:val="000000" w:themeColor="text1"/>
          <w:szCs w:val="24"/>
        </w:rPr>
      </w:pPr>
      <w:r w:rsidRPr="00B557E8">
        <w:rPr>
          <w:color w:val="000000" w:themeColor="text1"/>
          <w:szCs w:val="24"/>
        </w:rPr>
        <w:lastRenderedPageBreak/>
        <w:t>Grafiks Nr.1</w:t>
      </w:r>
      <w:r w:rsidR="00EC7B49" w:rsidRPr="00B557E8">
        <w:rPr>
          <w:color w:val="000000" w:themeColor="text1"/>
          <w:szCs w:val="24"/>
        </w:rPr>
        <w:t>7</w:t>
      </w:r>
      <w:r w:rsidRPr="00B557E8">
        <w:rPr>
          <w:color w:val="000000" w:themeColor="text1"/>
          <w:szCs w:val="24"/>
        </w:rPr>
        <w:t xml:space="preserve"> </w:t>
      </w:r>
      <w:r w:rsidRPr="00B557E8">
        <w:rPr>
          <w:i/>
          <w:color w:val="000000" w:themeColor="text1"/>
          <w:szCs w:val="24"/>
        </w:rPr>
        <w:t>„Baltijas valstu ESF apguves salīdzinājums (% no ES fondu finansējuma) līdz 30.06.2011.”</w:t>
      </w:r>
    </w:p>
    <w:p w:rsidR="001C1733" w:rsidRPr="00B557E8" w:rsidRDefault="001C1733" w:rsidP="00B557E8">
      <w:pPr>
        <w:spacing w:before="120" w:after="120" w:line="276" w:lineRule="auto"/>
        <w:rPr>
          <w:color w:val="000000" w:themeColor="text1"/>
          <w:szCs w:val="24"/>
          <w:highlight w:val="yellow"/>
        </w:rPr>
      </w:pPr>
      <w:r w:rsidRPr="00B557E8">
        <w:rPr>
          <w:rFonts w:eastAsia="EUAlbertina-Bold-Identity-H"/>
          <w:noProof/>
          <w:color w:val="000000" w:themeColor="text1"/>
          <w:szCs w:val="24"/>
          <w:lang w:eastAsia="lv-LV"/>
        </w:rPr>
        <w:drawing>
          <wp:inline distT="0" distB="0" distL="0" distR="0" wp14:anchorId="3BC50065" wp14:editId="0FACE707">
            <wp:extent cx="4635610" cy="2377440"/>
            <wp:effectExtent l="0" t="0" r="0" b="381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A04EA" w:rsidRPr="00B557E8" w:rsidRDefault="00CA04EA" w:rsidP="00B557E8">
      <w:pPr>
        <w:spacing w:before="120" w:after="120" w:line="276" w:lineRule="auto"/>
        <w:rPr>
          <w:b/>
          <w:bCs/>
          <w:color w:val="000000" w:themeColor="text1"/>
          <w:kern w:val="32"/>
          <w:szCs w:val="24"/>
          <w:lang w:eastAsia="x-none"/>
        </w:rPr>
      </w:pPr>
      <w:r w:rsidRPr="00B557E8">
        <w:rPr>
          <w:color w:val="000000" w:themeColor="text1"/>
          <w:szCs w:val="24"/>
        </w:rPr>
        <w:br w:type="page"/>
      </w:r>
    </w:p>
    <w:p w:rsidR="00FF4209" w:rsidRPr="00B557E8" w:rsidRDefault="00FF4209" w:rsidP="00B557E8">
      <w:pPr>
        <w:pStyle w:val="1lmenis"/>
        <w:spacing w:before="120" w:after="120" w:line="276" w:lineRule="auto"/>
        <w:ind w:left="851"/>
        <w:rPr>
          <w:rFonts w:ascii="Times New Roman" w:hAnsi="Times New Roman"/>
          <w:color w:val="000000" w:themeColor="text1"/>
          <w:sz w:val="24"/>
          <w:szCs w:val="24"/>
          <w:lang w:val="lv-LV"/>
        </w:rPr>
      </w:pPr>
      <w:bookmarkStart w:id="29" w:name="_Toc308774236"/>
      <w:r w:rsidRPr="00B557E8">
        <w:rPr>
          <w:rFonts w:ascii="Times New Roman" w:hAnsi="Times New Roman"/>
          <w:color w:val="000000" w:themeColor="text1"/>
          <w:sz w:val="24"/>
          <w:szCs w:val="24"/>
          <w:lang w:val="lv-LV"/>
        </w:rPr>
        <w:lastRenderedPageBreak/>
        <w:t>Eiropas Ekonomikas zonas un Norvēģijas finanšu instrumentu apguve</w:t>
      </w:r>
      <w:bookmarkEnd w:id="26"/>
      <w:bookmarkEnd w:id="28"/>
      <w:bookmarkEnd w:id="29"/>
    </w:p>
    <w:p w:rsidR="00524E33" w:rsidRPr="00B557E8" w:rsidRDefault="006F4AF2" w:rsidP="00B557E8">
      <w:pPr>
        <w:pStyle w:val="2lmenis"/>
        <w:numPr>
          <w:ilvl w:val="1"/>
          <w:numId w:val="2"/>
        </w:numPr>
        <w:spacing w:before="120" w:after="120" w:line="276" w:lineRule="auto"/>
        <w:ind w:left="1276" w:hanging="425"/>
        <w:jc w:val="both"/>
        <w:rPr>
          <w:color w:val="000000" w:themeColor="text1"/>
          <w:sz w:val="24"/>
          <w:szCs w:val="24"/>
          <w:lang w:val="lv-LV"/>
        </w:rPr>
      </w:pPr>
      <w:bookmarkStart w:id="30" w:name="_Toc276049986"/>
      <w:r w:rsidRPr="00B557E8">
        <w:rPr>
          <w:color w:val="000000" w:themeColor="text1"/>
          <w:sz w:val="24"/>
          <w:szCs w:val="24"/>
          <w:lang w:val="lv-LV"/>
        </w:rPr>
        <w:t xml:space="preserve"> </w:t>
      </w:r>
      <w:bookmarkStart w:id="31" w:name="_Toc308774237"/>
      <w:r w:rsidR="00FF4209" w:rsidRPr="00B557E8">
        <w:rPr>
          <w:color w:val="000000" w:themeColor="text1"/>
          <w:sz w:val="24"/>
          <w:szCs w:val="24"/>
          <w:lang w:val="lv-LV"/>
        </w:rPr>
        <w:t>2004.-2009.gada plānošanas periods</w:t>
      </w:r>
      <w:bookmarkEnd w:id="30"/>
      <w:bookmarkEnd w:id="31"/>
    </w:p>
    <w:p w:rsidR="00A921FA" w:rsidRPr="00B557E8" w:rsidRDefault="00A921FA"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EEZ/Norvēģijas finanšu instrument</w:t>
      </w:r>
      <w:r w:rsidR="00D7695B" w:rsidRPr="00B557E8">
        <w:rPr>
          <w:rFonts w:eastAsia="EUAlbertina-Bold-Identity-H"/>
          <w:color w:val="000000" w:themeColor="text1"/>
          <w:szCs w:val="24"/>
          <w:lang w:eastAsia="lv-LV"/>
        </w:rPr>
        <w:t>u</w:t>
      </w:r>
      <w:r w:rsidRPr="00B557E8">
        <w:rPr>
          <w:rFonts w:eastAsia="EUAlbertina-Bold-Identity-H"/>
          <w:color w:val="000000" w:themeColor="text1"/>
          <w:szCs w:val="24"/>
          <w:lang w:eastAsia="lv-LV"/>
        </w:rPr>
        <w:t xml:space="preserve"> finansējums 35,5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xml:space="preserve">. latu apmērā bija pieejams no 2004.gada 1.maija līdz 2009.gada 30.aprīlim (5 gadu saistību periods), paredzot iespēju īstenot projektus un līdz ar to arī apgūt piešķirto finansējumu līdz 2011.gada 30.aprīlim. Lai gan līdz 2009.gada 30.aprīlim Granta līgumi bija noslēgti 100% apmērā no EEZ/Norvēģijas finanšu instrumentu pieejamā finansējuma, tomēr līdz pārskata perioda beigām Granta līgumu summa ir samazinājusies līdz 98,5% no pieejamā granta, jo 8 individuālajos projektos un 5 </w:t>
      </w:r>
      <w:proofErr w:type="spellStart"/>
      <w:r w:rsidRPr="00B557E8">
        <w:rPr>
          <w:rFonts w:eastAsia="EUAlbertina-Bold-Identity-H"/>
          <w:color w:val="000000" w:themeColor="text1"/>
          <w:szCs w:val="24"/>
          <w:lang w:eastAsia="lv-LV"/>
        </w:rPr>
        <w:t>apakšprojektos</w:t>
      </w:r>
      <w:proofErr w:type="spellEnd"/>
      <w:r w:rsidRPr="00B557E8">
        <w:rPr>
          <w:rFonts w:eastAsia="EUAlbertina-Bold-Identity-H"/>
          <w:color w:val="000000" w:themeColor="text1"/>
          <w:szCs w:val="24"/>
          <w:lang w:eastAsia="lv-LV"/>
        </w:rPr>
        <w:t xml:space="preserve"> </w:t>
      </w:r>
      <w:proofErr w:type="spellStart"/>
      <w:r w:rsidRPr="00B557E8">
        <w:rPr>
          <w:rFonts w:eastAsia="EUAlbertina-Bold-Identity-H"/>
          <w:color w:val="000000" w:themeColor="text1"/>
          <w:szCs w:val="24"/>
          <w:lang w:eastAsia="lv-LV"/>
        </w:rPr>
        <w:t>donorvalstis</w:t>
      </w:r>
      <w:proofErr w:type="spellEnd"/>
      <w:r w:rsidRPr="00B557E8">
        <w:rPr>
          <w:rFonts w:eastAsia="EUAlbertina-Bold-Identity-H"/>
          <w:color w:val="000000" w:themeColor="text1"/>
          <w:szCs w:val="24"/>
          <w:lang w:eastAsia="lv-LV"/>
        </w:rPr>
        <w:t xml:space="preserve"> piemēroja finanšu korekciju par iepirkumu procedūru pārkāpšanu, savukārt viens no finansējuma saņēmējiem 2009.gada nogalē atteicās ieviest apstiprināto projektu. Tomēr šo finansējumu vairs nebija iespējams izmantot citiem projektiem, jo saskaņā ar </w:t>
      </w:r>
      <w:proofErr w:type="spellStart"/>
      <w:r w:rsidRPr="00B557E8">
        <w:rPr>
          <w:rFonts w:eastAsia="EUAlbertina-Bold-Identity-H"/>
          <w:color w:val="000000" w:themeColor="text1"/>
          <w:szCs w:val="24"/>
          <w:lang w:eastAsia="lv-LV"/>
        </w:rPr>
        <w:t>donorvalstu</w:t>
      </w:r>
      <w:proofErr w:type="spellEnd"/>
      <w:r w:rsidRPr="00B557E8">
        <w:rPr>
          <w:rFonts w:eastAsia="EUAlbertina-Bold-Identity-H"/>
          <w:color w:val="000000" w:themeColor="text1"/>
          <w:szCs w:val="24"/>
          <w:lang w:eastAsia="lv-LV"/>
        </w:rPr>
        <w:t xml:space="preserve"> nosacījumiem visas pārdales starp projektiem bija veicamas līdz 2008.gada 31.oktobrim.</w:t>
      </w:r>
    </w:p>
    <w:p w:rsidR="00A921FA" w:rsidRPr="00B557E8" w:rsidRDefault="00A921FA"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Līdz 2011.gada 30.aprīlim tika veiktas investīcijas kopumā </w:t>
      </w:r>
      <w:r w:rsidR="00D7695B" w:rsidRPr="00B557E8">
        <w:rPr>
          <w:rFonts w:eastAsia="EUAlbertina-Bold-Identity-H"/>
          <w:color w:val="000000" w:themeColor="text1"/>
          <w:szCs w:val="24"/>
          <w:lang w:eastAsia="lv-LV"/>
        </w:rPr>
        <w:t xml:space="preserve">31,6 </w:t>
      </w:r>
      <w:proofErr w:type="spellStart"/>
      <w:r w:rsidR="00D7695B" w:rsidRPr="00B557E8">
        <w:rPr>
          <w:rFonts w:eastAsia="EUAlbertina-Bold-Identity-H"/>
          <w:color w:val="000000" w:themeColor="text1"/>
          <w:szCs w:val="24"/>
          <w:lang w:eastAsia="lv-LV"/>
        </w:rPr>
        <w:t>milj</w:t>
      </w:r>
      <w:proofErr w:type="spellEnd"/>
      <w:r w:rsidR="00D7695B" w:rsidRPr="00B557E8">
        <w:rPr>
          <w:rFonts w:eastAsia="EUAlbertina-Bold-Identity-H"/>
          <w:color w:val="000000" w:themeColor="text1"/>
          <w:szCs w:val="24"/>
          <w:lang w:eastAsia="lv-LV"/>
        </w:rPr>
        <w:t>. latu apjomā (</w:t>
      </w:r>
      <w:r w:rsidRPr="00B557E8">
        <w:rPr>
          <w:rFonts w:eastAsia="EUAlbertina-Bold-Identity-H"/>
          <w:color w:val="000000" w:themeColor="text1"/>
          <w:szCs w:val="24"/>
          <w:lang w:eastAsia="lv-LV"/>
        </w:rPr>
        <w:t xml:space="preserve">EEZ/Norvēģijas finanšu instrumentu </w:t>
      </w:r>
      <w:r w:rsidR="00D7695B" w:rsidRPr="00B557E8">
        <w:rPr>
          <w:rFonts w:eastAsia="EUAlbertina-Bold-Identity-H"/>
          <w:color w:val="000000" w:themeColor="text1"/>
          <w:szCs w:val="24"/>
          <w:lang w:eastAsia="lv-LV"/>
        </w:rPr>
        <w:t>grants)</w:t>
      </w:r>
      <w:r w:rsidRPr="00B557E8">
        <w:rPr>
          <w:rFonts w:eastAsia="EUAlbertina-Bold-Identity-H"/>
          <w:color w:val="000000" w:themeColor="text1"/>
          <w:szCs w:val="24"/>
          <w:lang w:eastAsia="lv-LV"/>
        </w:rPr>
        <w:t>, no kuriem:</w:t>
      </w:r>
    </w:p>
    <w:p w:rsidR="00A921FA" w:rsidRPr="00B557E8" w:rsidRDefault="00A921FA" w:rsidP="00B557E8">
      <w:pPr>
        <w:numPr>
          <w:ilvl w:val="0"/>
          <w:numId w:val="75"/>
        </w:num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 20,9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latu jeb 66% tika apgūt</w:t>
      </w:r>
      <w:r w:rsidR="00D7695B" w:rsidRPr="00B557E8">
        <w:rPr>
          <w:rFonts w:eastAsia="EUAlbertina-Bold-Identity-H"/>
          <w:color w:val="000000" w:themeColor="text1"/>
          <w:szCs w:val="24"/>
          <w:lang w:eastAsia="lv-LV"/>
        </w:rPr>
        <w:t>a</w:t>
      </w:r>
      <w:r w:rsidRPr="00B557E8">
        <w:rPr>
          <w:rFonts w:eastAsia="EUAlbertina-Bold-Identity-H"/>
          <w:color w:val="000000" w:themeColor="text1"/>
          <w:szCs w:val="24"/>
          <w:lang w:eastAsia="lv-LV"/>
        </w:rPr>
        <w:t xml:space="preserve"> 65 individuālo projektu ietvaros tādās jomās kā tieslietas, iekšlietas, veselība, cilvēkresursu attīstība un izglītība, vides aizsardzība, reģionālā attīstība, kultūra un bērni ar īpašajām vajadzībām; </w:t>
      </w:r>
    </w:p>
    <w:p w:rsidR="00A921FA" w:rsidRPr="00B557E8" w:rsidRDefault="00A921FA" w:rsidP="00B557E8">
      <w:pPr>
        <w:numPr>
          <w:ilvl w:val="0"/>
          <w:numId w:val="75"/>
        </w:num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6,4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latu jeb 20% tika apgūt</w:t>
      </w:r>
      <w:r w:rsidR="00D7695B" w:rsidRPr="00B557E8">
        <w:rPr>
          <w:rFonts w:eastAsia="EUAlbertina-Bold-Identity-H"/>
          <w:color w:val="000000" w:themeColor="text1"/>
          <w:szCs w:val="24"/>
          <w:lang w:eastAsia="lv-LV"/>
        </w:rPr>
        <w:t>a</w:t>
      </w:r>
      <w:r w:rsidRPr="00B557E8">
        <w:rPr>
          <w:rFonts w:eastAsia="EUAlbertina-Bold-Identity-H"/>
          <w:color w:val="000000" w:themeColor="text1"/>
          <w:szCs w:val="24"/>
          <w:lang w:eastAsia="lv-LV"/>
        </w:rPr>
        <w:t xml:space="preserve"> 6 grantu shēmu ietvaros (Pilsoniskās sabiedrības stiprināšana un sabiedrības integrācija, Akadēmiskie pētījumi, NVO fonds, Stipendiju grantu shēma, Projektu sagatavošanas fonds un Īstermiņa ekspertu fonds);</w:t>
      </w:r>
    </w:p>
    <w:p w:rsidR="00A921FA" w:rsidRPr="00B557E8" w:rsidRDefault="00F85C20" w:rsidP="00B557E8">
      <w:pPr>
        <w:numPr>
          <w:ilvl w:val="0"/>
          <w:numId w:val="75"/>
        </w:num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4,3 </w:t>
      </w:r>
      <w:proofErr w:type="spellStart"/>
      <w:r w:rsidR="00A921FA" w:rsidRPr="00B557E8">
        <w:rPr>
          <w:rFonts w:eastAsia="EUAlbertina-Bold-Identity-H"/>
          <w:color w:val="000000" w:themeColor="text1"/>
          <w:szCs w:val="24"/>
          <w:lang w:eastAsia="lv-LV"/>
        </w:rPr>
        <w:t>milj</w:t>
      </w:r>
      <w:proofErr w:type="spellEnd"/>
      <w:r w:rsidR="00A921FA" w:rsidRPr="00B557E8">
        <w:rPr>
          <w:rFonts w:eastAsia="EUAlbertina-Bold-Identity-H"/>
          <w:color w:val="000000" w:themeColor="text1"/>
          <w:szCs w:val="24"/>
          <w:lang w:eastAsia="lv-LV"/>
        </w:rPr>
        <w:t>. latu jeb 14% apgūt</w:t>
      </w:r>
      <w:r w:rsidR="00D7695B" w:rsidRPr="00B557E8">
        <w:rPr>
          <w:rFonts w:eastAsia="EUAlbertina-Bold-Identity-H"/>
          <w:color w:val="000000" w:themeColor="text1"/>
          <w:szCs w:val="24"/>
          <w:lang w:eastAsia="lv-LV"/>
        </w:rPr>
        <w:t>a</w:t>
      </w:r>
      <w:r w:rsidR="00A921FA" w:rsidRPr="00B557E8">
        <w:rPr>
          <w:rFonts w:eastAsia="EUAlbertina-Bold-Identity-H"/>
          <w:color w:val="000000" w:themeColor="text1"/>
          <w:szCs w:val="24"/>
          <w:lang w:eastAsia="lv-LV"/>
        </w:rPr>
        <w:t xml:space="preserve"> 3 programmu ietvaros (Vides politikas integrācija Latvijā, VPP</w:t>
      </w:r>
      <w:r w:rsidRPr="00B557E8">
        <w:rPr>
          <w:rFonts w:eastAsia="EUAlbertina-Bold-Identity-H"/>
          <w:color w:val="000000" w:themeColor="text1"/>
          <w:szCs w:val="24"/>
          <w:lang w:eastAsia="lv-LV"/>
        </w:rPr>
        <w:t xml:space="preserve"> </w:t>
      </w:r>
      <w:r w:rsidR="00A921FA" w:rsidRPr="00B557E8">
        <w:rPr>
          <w:rFonts w:eastAsia="EUAlbertina-Bold-Identity-H"/>
          <w:color w:val="000000" w:themeColor="text1"/>
          <w:szCs w:val="24"/>
          <w:lang w:eastAsia="lv-LV"/>
        </w:rPr>
        <w:t>veicināšana un Pārrobežu sadarbība).</w:t>
      </w:r>
    </w:p>
    <w:p w:rsidR="00A921FA" w:rsidRPr="00B557E8" w:rsidRDefault="00A921FA" w:rsidP="00B557E8">
      <w:pPr>
        <w:spacing w:before="120" w:after="120" w:line="276" w:lineRule="auto"/>
        <w:rPr>
          <w:rFonts w:eastAsia="EUAlbertina-Bold-Identity-H"/>
          <w:color w:val="000000" w:themeColor="text1"/>
          <w:szCs w:val="24"/>
          <w:lang w:eastAsia="lv-LV"/>
        </w:rPr>
      </w:pPr>
      <w:proofErr w:type="spellStart"/>
      <w:r w:rsidRPr="00B557E8">
        <w:rPr>
          <w:rFonts w:eastAsia="EUAlbertina-Bold-Identity-H"/>
          <w:color w:val="000000" w:themeColor="text1"/>
          <w:szCs w:val="24"/>
          <w:lang w:eastAsia="lv-LV"/>
        </w:rPr>
        <w:t>Donorvalstis</w:t>
      </w:r>
      <w:proofErr w:type="spellEnd"/>
      <w:r w:rsidRPr="00B557E8">
        <w:rPr>
          <w:rFonts w:eastAsia="EUAlbertina-Bold-Identity-H"/>
          <w:color w:val="000000" w:themeColor="text1"/>
          <w:szCs w:val="24"/>
          <w:lang w:eastAsia="lv-LV"/>
        </w:rPr>
        <w:t xml:space="preserve"> ir jau apstiprinājušas</w:t>
      </w:r>
      <w:r w:rsidRPr="00B557E8">
        <w:rPr>
          <w:color w:val="000000" w:themeColor="text1"/>
          <w:szCs w:val="24"/>
        </w:rPr>
        <w:t xml:space="preserve"> </w:t>
      </w:r>
      <w:r w:rsidRPr="00B557E8">
        <w:rPr>
          <w:rFonts w:eastAsia="EUAlbertina-Bold-Identity-H"/>
          <w:color w:val="000000" w:themeColor="text1"/>
          <w:szCs w:val="24"/>
          <w:lang w:eastAsia="lv-LV"/>
        </w:rPr>
        <w:t>projekta noslēguma pārskatus trim grantu shēmām (Projektu sagatavošanas fonds, Īstermiņa ekspertu fonds,</w:t>
      </w:r>
      <w:r w:rsidRPr="00B557E8">
        <w:rPr>
          <w:color w:val="000000" w:themeColor="text1"/>
          <w:szCs w:val="24"/>
        </w:rPr>
        <w:t xml:space="preserve"> Pilsoniskās sabiedrības stiprināšana un integrācijas veicināšana sabiedrībā</w:t>
      </w:r>
      <w:r w:rsidRPr="00B557E8">
        <w:rPr>
          <w:rFonts w:eastAsia="EUAlbertina-Bold-Identity-H"/>
          <w:color w:val="000000" w:themeColor="text1"/>
          <w:szCs w:val="24"/>
          <w:lang w:eastAsia="lv-LV"/>
        </w:rPr>
        <w:t xml:space="preserve">) un 12 individuālajiem projektiem par kopējo EEZ/Norvēģijas finanšu instrumentu finansējuma summu 4,7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lat</w:t>
      </w:r>
      <w:r w:rsidR="00D7695B" w:rsidRPr="00B557E8">
        <w:rPr>
          <w:rFonts w:eastAsia="EUAlbertina-Bold-Identity-H"/>
          <w:color w:val="000000" w:themeColor="text1"/>
          <w:szCs w:val="24"/>
          <w:lang w:eastAsia="lv-LV"/>
        </w:rPr>
        <w:t>u</w:t>
      </w:r>
      <w:r w:rsidRPr="00B557E8">
        <w:rPr>
          <w:rFonts w:eastAsia="EUAlbertina-Bold-Identity-H"/>
          <w:color w:val="000000" w:themeColor="text1"/>
          <w:szCs w:val="24"/>
          <w:lang w:eastAsia="lv-LV"/>
        </w:rPr>
        <w:t xml:space="preserve"> jeb 15% no </w:t>
      </w:r>
      <w:r w:rsidR="00D7695B" w:rsidRPr="00B557E8">
        <w:rPr>
          <w:rFonts w:eastAsia="EUAlbertina-Bold-Identity-H"/>
          <w:color w:val="000000" w:themeColor="text1"/>
          <w:szCs w:val="24"/>
          <w:lang w:eastAsia="lv-LV"/>
        </w:rPr>
        <w:t xml:space="preserve">Granta līgumos apstiprinātās </w:t>
      </w:r>
      <w:r w:rsidRPr="00B557E8">
        <w:rPr>
          <w:rFonts w:eastAsia="EUAlbertina-Bold-Identity-H"/>
          <w:color w:val="000000" w:themeColor="text1"/>
          <w:szCs w:val="24"/>
          <w:lang w:eastAsia="lv-LV"/>
        </w:rPr>
        <w:t xml:space="preserve">EEZ/Norvēģijas finanšu instrumentu finansējuma summas (31,6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lati).</w:t>
      </w:r>
    </w:p>
    <w:p w:rsidR="003E7821" w:rsidRPr="00B557E8" w:rsidRDefault="00A921FA" w:rsidP="00B557E8">
      <w:pPr>
        <w:spacing w:before="120" w:after="120" w:line="276" w:lineRule="auto"/>
        <w:rPr>
          <w:iCs/>
          <w:color w:val="000000" w:themeColor="text1"/>
          <w:szCs w:val="24"/>
        </w:rPr>
      </w:pPr>
      <w:r w:rsidRPr="00B557E8">
        <w:rPr>
          <w:color w:val="000000" w:themeColor="text1"/>
          <w:szCs w:val="24"/>
        </w:rPr>
        <w:t>Līdz pārskata perioda beigām atmaksas EEZ/Norvēģijas finanšu instrumentu</w:t>
      </w:r>
      <w:r w:rsidR="0056254C" w:rsidRPr="00B557E8">
        <w:rPr>
          <w:color w:val="000000" w:themeColor="text1"/>
          <w:szCs w:val="24"/>
        </w:rPr>
        <w:t xml:space="preserve"> finansējuma saņēmējiem ir 27,0</w:t>
      </w:r>
      <w:r w:rsidRPr="00B557E8">
        <w:rPr>
          <w:color w:val="000000" w:themeColor="text1"/>
          <w:szCs w:val="24"/>
        </w:rPr>
        <w:t xml:space="preserve"> </w:t>
      </w:r>
      <w:proofErr w:type="spellStart"/>
      <w:r w:rsidRPr="00B557E8">
        <w:rPr>
          <w:color w:val="000000" w:themeColor="text1"/>
          <w:szCs w:val="24"/>
        </w:rPr>
        <w:t>milj</w:t>
      </w:r>
      <w:proofErr w:type="spellEnd"/>
      <w:r w:rsidRPr="00B557E8">
        <w:rPr>
          <w:color w:val="000000" w:themeColor="text1"/>
          <w:szCs w:val="24"/>
        </w:rPr>
        <w:t xml:space="preserve">. latu jeb 76,1% no finanšu instrumentu piešķīruma (skatīt </w:t>
      </w:r>
      <w:r w:rsidRPr="00B557E8">
        <w:rPr>
          <w:color w:val="000000" w:themeColor="text1"/>
          <w:szCs w:val="24"/>
          <w:u w:val="single"/>
        </w:rPr>
        <w:t>grafiku Nr.1</w:t>
      </w:r>
      <w:r w:rsidR="00EC7B49" w:rsidRPr="00B557E8">
        <w:rPr>
          <w:color w:val="000000" w:themeColor="text1"/>
          <w:szCs w:val="24"/>
          <w:u w:val="single"/>
        </w:rPr>
        <w:t>8</w:t>
      </w:r>
      <w:r w:rsidRPr="00B557E8">
        <w:rPr>
          <w:color w:val="000000" w:themeColor="text1"/>
          <w:szCs w:val="24"/>
        </w:rPr>
        <w:t xml:space="preserve">). Salīdzinājumā ar iepriekšējo ceturksni atmaksas palielinājušās par 4,9 </w:t>
      </w:r>
      <w:proofErr w:type="spellStart"/>
      <w:r w:rsidRPr="00B557E8">
        <w:rPr>
          <w:color w:val="000000" w:themeColor="text1"/>
          <w:szCs w:val="24"/>
        </w:rPr>
        <w:t>milj</w:t>
      </w:r>
      <w:proofErr w:type="spellEnd"/>
      <w:r w:rsidRPr="00B557E8">
        <w:rPr>
          <w:color w:val="000000" w:themeColor="text1"/>
          <w:szCs w:val="24"/>
        </w:rPr>
        <w:t>. latu je</w:t>
      </w:r>
      <w:r w:rsidR="003E7821" w:rsidRPr="00B557E8">
        <w:rPr>
          <w:color w:val="000000" w:themeColor="text1"/>
          <w:szCs w:val="24"/>
        </w:rPr>
        <w:t>b 13,9%.</w:t>
      </w:r>
    </w:p>
    <w:p w:rsidR="00CA04EA" w:rsidRPr="00B557E8" w:rsidRDefault="00CA04EA" w:rsidP="00B557E8">
      <w:pPr>
        <w:spacing w:before="120" w:after="120" w:line="276" w:lineRule="auto"/>
        <w:rPr>
          <w:iCs/>
          <w:color w:val="000000" w:themeColor="text1"/>
          <w:szCs w:val="24"/>
        </w:rPr>
      </w:pPr>
      <w:r w:rsidRPr="00B557E8">
        <w:rPr>
          <w:iCs/>
          <w:color w:val="000000" w:themeColor="text1"/>
          <w:szCs w:val="24"/>
        </w:rPr>
        <w:br w:type="page"/>
      </w:r>
    </w:p>
    <w:p w:rsidR="00A921FA" w:rsidRPr="00B557E8" w:rsidRDefault="00A921FA" w:rsidP="00B557E8">
      <w:pPr>
        <w:spacing w:before="120" w:after="120" w:line="276" w:lineRule="auto"/>
        <w:rPr>
          <w:color w:val="000000" w:themeColor="text1"/>
          <w:szCs w:val="24"/>
        </w:rPr>
      </w:pPr>
      <w:r w:rsidRPr="00B557E8">
        <w:rPr>
          <w:iCs/>
          <w:color w:val="000000" w:themeColor="text1"/>
          <w:szCs w:val="24"/>
        </w:rPr>
        <w:lastRenderedPageBreak/>
        <w:t>Grafiks Nr.1</w:t>
      </w:r>
      <w:r w:rsidR="00EC7B49" w:rsidRPr="00B557E8">
        <w:rPr>
          <w:iCs/>
          <w:color w:val="000000" w:themeColor="text1"/>
          <w:szCs w:val="24"/>
        </w:rPr>
        <w:t>8</w:t>
      </w:r>
      <w:r w:rsidRPr="00B557E8">
        <w:rPr>
          <w:i/>
          <w:iCs/>
          <w:color w:val="000000" w:themeColor="text1"/>
          <w:szCs w:val="24"/>
        </w:rPr>
        <w:t xml:space="preserve"> „No </w:t>
      </w:r>
      <w:proofErr w:type="spellStart"/>
      <w:r w:rsidRPr="00B557E8">
        <w:rPr>
          <w:i/>
          <w:iCs/>
          <w:color w:val="000000" w:themeColor="text1"/>
          <w:szCs w:val="24"/>
        </w:rPr>
        <w:t>donorvalstīm</w:t>
      </w:r>
      <w:proofErr w:type="spellEnd"/>
      <w:r w:rsidRPr="00B557E8">
        <w:rPr>
          <w:i/>
          <w:iCs/>
          <w:color w:val="000000" w:themeColor="text1"/>
          <w:szCs w:val="24"/>
        </w:rPr>
        <w:t xml:space="preserve"> atgūtais EEZ/Norvēģijas finanšu instrumentu finansējums uz 30.09.2011.salīdzinājumā ar 30.06.2011., </w:t>
      </w:r>
      <w:proofErr w:type="spellStart"/>
      <w:r w:rsidRPr="00B557E8">
        <w:rPr>
          <w:i/>
          <w:iCs/>
          <w:color w:val="000000" w:themeColor="text1"/>
          <w:szCs w:val="24"/>
        </w:rPr>
        <w:t>milj</w:t>
      </w:r>
      <w:proofErr w:type="spellEnd"/>
      <w:r w:rsidRPr="00B557E8">
        <w:rPr>
          <w:i/>
          <w:iCs/>
          <w:color w:val="000000" w:themeColor="text1"/>
          <w:szCs w:val="24"/>
        </w:rPr>
        <w:t>. LVL</w:t>
      </w:r>
      <w:r w:rsidR="00C13D44" w:rsidRPr="00B557E8">
        <w:rPr>
          <w:i/>
          <w:iCs/>
          <w:color w:val="000000" w:themeColor="text1"/>
          <w:szCs w:val="24"/>
        </w:rPr>
        <w:t>.</w:t>
      </w:r>
      <w:r w:rsidRPr="00B557E8">
        <w:rPr>
          <w:i/>
          <w:iCs/>
          <w:color w:val="000000" w:themeColor="text1"/>
          <w:szCs w:val="24"/>
        </w:rPr>
        <w:t>”</w:t>
      </w:r>
    </w:p>
    <w:p w:rsidR="00A921FA" w:rsidRPr="00B557E8" w:rsidRDefault="00A921FA" w:rsidP="00B557E8">
      <w:pPr>
        <w:spacing w:before="120" w:after="120" w:line="276" w:lineRule="auto"/>
        <w:rPr>
          <w:noProof/>
          <w:color w:val="000000" w:themeColor="text1"/>
          <w:szCs w:val="24"/>
          <w:lang w:eastAsia="lv-LV"/>
        </w:rPr>
      </w:pPr>
      <w:r w:rsidRPr="00B557E8">
        <w:rPr>
          <w:noProof/>
          <w:color w:val="000000" w:themeColor="text1"/>
          <w:szCs w:val="24"/>
          <w:lang w:eastAsia="lv-LV"/>
        </w:rPr>
        <w:drawing>
          <wp:inline distT="0" distB="0" distL="0" distR="0" wp14:anchorId="7727C431" wp14:editId="4B9E8509">
            <wp:extent cx="4933950" cy="2743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921FA" w:rsidRPr="00B557E8" w:rsidRDefault="00A921FA" w:rsidP="00B557E8">
      <w:pPr>
        <w:spacing w:before="120" w:after="120" w:line="276" w:lineRule="auto"/>
        <w:rPr>
          <w:color w:val="000000" w:themeColor="text1"/>
          <w:szCs w:val="24"/>
        </w:rPr>
      </w:pPr>
      <w:r w:rsidRPr="00B557E8">
        <w:rPr>
          <w:rFonts w:eastAsia="EUAlbertina-Bold-Identity-H"/>
          <w:color w:val="000000" w:themeColor="text1"/>
          <w:szCs w:val="24"/>
          <w:lang w:eastAsia="lv-LV"/>
        </w:rPr>
        <w:t xml:space="preserve">Pamatojoties uz finansējumu saņēmēju Projektu īstenošanas plānos, kas ir Granta līgumu neatņemama sastāvdaļa, noteikto finanšu plūsmu 2011.gada </w:t>
      </w:r>
      <w:r w:rsidR="00C1496A" w:rsidRPr="00B557E8">
        <w:rPr>
          <w:color w:val="000000" w:themeColor="text1"/>
          <w:szCs w:val="24"/>
        </w:rPr>
        <w:t>3.</w:t>
      </w:r>
      <w:r w:rsidRPr="00B557E8">
        <w:rPr>
          <w:rFonts w:eastAsia="EUAlbertina-Bold-Identity-H"/>
          <w:color w:val="000000" w:themeColor="text1"/>
          <w:szCs w:val="24"/>
          <w:lang w:eastAsia="lv-LV"/>
        </w:rPr>
        <w:t xml:space="preserve">ceturksnī bija plānotas atmaksas 0,13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xml:space="preserve">. latu apmērā, faktiskā apguve ir 2,6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xml:space="preserve">. latu. Starpība starp plānotām atmaksām un apguvi veidojas 2011.gada 2.ceturkšņa laikā starpposma maksājumos ieturēto maksājumu un ietaupījumu dēļ. Tā kā par ieturētiem maksājumiem tika saņemts </w:t>
      </w:r>
      <w:proofErr w:type="spellStart"/>
      <w:r w:rsidRPr="00B557E8">
        <w:rPr>
          <w:rFonts w:eastAsia="EUAlbertina-Bold-Identity-H"/>
          <w:color w:val="000000" w:themeColor="text1"/>
          <w:szCs w:val="24"/>
          <w:lang w:eastAsia="lv-LV"/>
        </w:rPr>
        <w:t>donorvalstu</w:t>
      </w:r>
      <w:proofErr w:type="spellEnd"/>
      <w:r w:rsidRPr="00B557E8">
        <w:rPr>
          <w:rFonts w:eastAsia="EUAlbertina-Bold-Identity-H"/>
          <w:color w:val="000000" w:themeColor="text1"/>
          <w:szCs w:val="24"/>
          <w:lang w:eastAsia="lv-LV"/>
        </w:rPr>
        <w:t xml:space="preserve"> lēmums par finanšu korekciju apjomiem, tad to atmaksa notika 3.ceturkšņa ietvaros </w:t>
      </w:r>
      <w:r w:rsidRPr="00B557E8">
        <w:rPr>
          <w:color w:val="000000" w:themeColor="text1"/>
          <w:szCs w:val="24"/>
        </w:rPr>
        <w:t>(</w:t>
      </w:r>
      <w:r w:rsidRPr="00B557E8">
        <w:rPr>
          <w:color w:val="000000" w:themeColor="text1"/>
          <w:szCs w:val="24"/>
          <w:u w:val="single"/>
        </w:rPr>
        <w:t>skatīt grafiku Nr.1</w:t>
      </w:r>
      <w:r w:rsidR="00EC7B49" w:rsidRPr="00B557E8">
        <w:rPr>
          <w:color w:val="000000" w:themeColor="text1"/>
          <w:szCs w:val="24"/>
          <w:u w:val="single"/>
        </w:rPr>
        <w:t>9</w:t>
      </w:r>
      <w:r w:rsidRPr="00B557E8">
        <w:rPr>
          <w:color w:val="000000" w:themeColor="text1"/>
          <w:szCs w:val="24"/>
        </w:rPr>
        <w:t>)</w:t>
      </w:r>
      <w:r w:rsidRPr="00B557E8">
        <w:rPr>
          <w:rFonts w:eastAsia="Calibri"/>
          <w:color w:val="000000" w:themeColor="text1"/>
          <w:szCs w:val="24"/>
        </w:rPr>
        <w:t>.</w:t>
      </w:r>
    </w:p>
    <w:p w:rsidR="00A921FA" w:rsidRPr="00B557E8" w:rsidRDefault="00A921FA" w:rsidP="00B557E8">
      <w:pPr>
        <w:spacing w:before="120" w:after="120" w:line="276" w:lineRule="auto"/>
        <w:rPr>
          <w:i/>
          <w:iCs/>
          <w:color w:val="000000" w:themeColor="text1"/>
          <w:szCs w:val="24"/>
        </w:rPr>
      </w:pPr>
      <w:r w:rsidRPr="00B557E8">
        <w:rPr>
          <w:iCs/>
          <w:color w:val="000000" w:themeColor="text1"/>
          <w:szCs w:val="24"/>
        </w:rPr>
        <w:t>Grafiks Nr.1</w:t>
      </w:r>
      <w:r w:rsidR="00EC7B49" w:rsidRPr="00B557E8">
        <w:rPr>
          <w:iCs/>
          <w:color w:val="000000" w:themeColor="text1"/>
          <w:szCs w:val="24"/>
        </w:rPr>
        <w:t>9</w:t>
      </w:r>
      <w:r w:rsidRPr="00B557E8">
        <w:rPr>
          <w:i/>
          <w:iCs/>
          <w:color w:val="000000" w:themeColor="text1"/>
          <w:szCs w:val="24"/>
        </w:rPr>
        <w:t xml:space="preserve"> „EEZ/Norvēģijas finanšu instrumentu faktiskās atmaksas no </w:t>
      </w:r>
      <w:proofErr w:type="spellStart"/>
      <w:r w:rsidRPr="00B557E8">
        <w:rPr>
          <w:i/>
          <w:iCs/>
          <w:color w:val="000000" w:themeColor="text1"/>
          <w:szCs w:val="24"/>
        </w:rPr>
        <w:t>donorvalstīm</w:t>
      </w:r>
      <w:proofErr w:type="spellEnd"/>
      <w:r w:rsidRPr="00B557E8">
        <w:rPr>
          <w:i/>
          <w:iCs/>
          <w:color w:val="000000" w:themeColor="text1"/>
          <w:szCs w:val="24"/>
        </w:rPr>
        <w:t xml:space="preserve"> pret plānotajām 2011.gada ceturkšņu griezumā; </w:t>
      </w:r>
      <w:proofErr w:type="spellStart"/>
      <w:r w:rsidRPr="00B557E8">
        <w:rPr>
          <w:i/>
          <w:iCs/>
          <w:color w:val="000000" w:themeColor="text1"/>
          <w:szCs w:val="24"/>
        </w:rPr>
        <w:t>milj</w:t>
      </w:r>
      <w:proofErr w:type="spellEnd"/>
      <w:r w:rsidRPr="00B557E8">
        <w:rPr>
          <w:i/>
          <w:iCs/>
          <w:color w:val="000000" w:themeColor="text1"/>
          <w:szCs w:val="24"/>
        </w:rPr>
        <w:t>. LVL</w:t>
      </w:r>
      <w:r w:rsidR="00C13D44" w:rsidRPr="00B557E8">
        <w:rPr>
          <w:i/>
          <w:iCs/>
          <w:color w:val="000000" w:themeColor="text1"/>
          <w:szCs w:val="24"/>
        </w:rPr>
        <w:t>.</w:t>
      </w:r>
      <w:r w:rsidRPr="00B557E8">
        <w:rPr>
          <w:i/>
          <w:iCs/>
          <w:color w:val="000000" w:themeColor="text1"/>
          <w:szCs w:val="24"/>
        </w:rPr>
        <w:t>”</w:t>
      </w:r>
    </w:p>
    <w:p w:rsidR="00A921FA" w:rsidRPr="00B557E8" w:rsidRDefault="00A921FA" w:rsidP="00B557E8">
      <w:pPr>
        <w:spacing w:before="120" w:after="120" w:line="276" w:lineRule="auto"/>
        <w:jc w:val="center"/>
        <w:rPr>
          <w:rFonts w:eastAsia="EUAlbertina-Bold-Identity-H"/>
          <w:color w:val="000000" w:themeColor="text1"/>
          <w:szCs w:val="24"/>
          <w:lang w:eastAsia="lv-LV"/>
        </w:rPr>
      </w:pPr>
      <w:r w:rsidRPr="00B557E8">
        <w:rPr>
          <w:rFonts w:eastAsia="EUAlbertina-Bold-Identity-H"/>
          <w:noProof/>
          <w:color w:val="000000" w:themeColor="text1"/>
          <w:szCs w:val="24"/>
          <w:lang w:eastAsia="lv-LV"/>
        </w:rPr>
        <w:drawing>
          <wp:inline distT="0" distB="0" distL="0" distR="0" wp14:anchorId="1B628011" wp14:editId="2CD7BED4">
            <wp:extent cx="5352616" cy="2743200"/>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53050" cy="2743422"/>
                    </a:xfrm>
                    <a:prstGeom prst="rect">
                      <a:avLst/>
                    </a:prstGeom>
                    <a:noFill/>
                  </pic:spPr>
                </pic:pic>
              </a:graphicData>
            </a:graphic>
          </wp:inline>
        </w:drawing>
      </w:r>
    </w:p>
    <w:p w:rsidR="00A921FA" w:rsidRPr="00B557E8" w:rsidRDefault="00A921FA"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Tā kā lielākā daļa projektu tika ieviesti līdz maksimālajam projektu īstenošanas termiņam – 2011.gada 30.aprīlim, tad šobrīd sasniegtie apguves rādītāji vērtējami kā apmierinoši, jo pēdējo starpposma pārskatu iesniegšana </w:t>
      </w:r>
      <w:proofErr w:type="spellStart"/>
      <w:r w:rsidRPr="00B557E8">
        <w:rPr>
          <w:rFonts w:eastAsia="EUAlbertina-Bold-Identity-H"/>
          <w:color w:val="000000" w:themeColor="text1"/>
          <w:szCs w:val="24"/>
          <w:lang w:eastAsia="lv-LV"/>
        </w:rPr>
        <w:t>donorvalstīm</w:t>
      </w:r>
      <w:proofErr w:type="spellEnd"/>
      <w:r w:rsidRPr="00B557E8">
        <w:rPr>
          <w:rFonts w:eastAsia="EUAlbertina-Bold-Identity-H"/>
          <w:color w:val="000000" w:themeColor="text1"/>
          <w:szCs w:val="24"/>
          <w:lang w:eastAsia="lv-LV"/>
        </w:rPr>
        <w:t xml:space="preserve"> turpināsies vēl līdz 2011.gada 31.oktobrim, savukārt noslēguma pārskatu – līdz 2012.gada 1.ceturkšņa beigām. Līdz ar to gala maksājumus no </w:t>
      </w:r>
      <w:proofErr w:type="spellStart"/>
      <w:r w:rsidRPr="00B557E8">
        <w:rPr>
          <w:rFonts w:eastAsia="EUAlbertina-Bold-Identity-H"/>
          <w:color w:val="000000" w:themeColor="text1"/>
          <w:szCs w:val="24"/>
          <w:lang w:eastAsia="lv-LV"/>
        </w:rPr>
        <w:t>donorvalstīm</w:t>
      </w:r>
      <w:proofErr w:type="spellEnd"/>
      <w:r w:rsidRPr="00B557E8">
        <w:rPr>
          <w:rFonts w:eastAsia="EUAlbertina-Bold-Identity-H"/>
          <w:color w:val="000000" w:themeColor="text1"/>
          <w:szCs w:val="24"/>
          <w:lang w:eastAsia="lv-LV"/>
        </w:rPr>
        <w:t xml:space="preserve"> Latvija vēl saņems arī 2012.gada pirmajā pusē. </w:t>
      </w:r>
    </w:p>
    <w:p w:rsidR="00A921FA" w:rsidRPr="00B557E8" w:rsidRDefault="00A921FA"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lastRenderedPageBreak/>
        <w:t xml:space="preserve">No </w:t>
      </w:r>
      <w:proofErr w:type="spellStart"/>
      <w:r w:rsidRPr="00B557E8">
        <w:rPr>
          <w:rFonts w:eastAsia="EUAlbertina-Bold-Identity-H"/>
          <w:color w:val="000000" w:themeColor="text1"/>
          <w:szCs w:val="24"/>
          <w:lang w:eastAsia="lv-LV"/>
        </w:rPr>
        <w:t>donorvalstīm</w:t>
      </w:r>
      <w:proofErr w:type="spellEnd"/>
      <w:r w:rsidRPr="00B557E8">
        <w:rPr>
          <w:rFonts w:eastAsia="EUAlbertina-Bold-Identity-H"/>
          <w:color w:val="000000" w:themeColor="text1"/>
          <w:szCs w:val="24"/>
          <w:lang w:eastAsia="lv-LV"/>
        </w:rPr>
        <w:t xml:space="preserve"> saņemtā informācija par EEZ/Norvēģijas finanšu instrumentu finansējum</w:t>
      </w:r>
      <w:r w:rsidR="00D7695B" w:rsidRPr="00B557E8">
        <w:rPr>
          <w:rFonts w:eastAsia="EUAlbertina-Bold-Identity-H"/>
          <w:color w:val="000000" w:themeColor="text1"/>
          <w:szCs w:val="24"/>
          <w:lang w:eastAsia="lv-LV"/>
        </w:rPr>
        <w:t>a</w:t>
      </w:r>
      <w:r w:rsidRPr="00B557E8">
        <w:rPr>
          <w:rFonts w:eastAsia="EUAlbertina-Bold-Identity-H"/>
          <w:color w:val="000000" w:themeColor="text1"/>
          <w:szCs w:val="24"/>
          <w:lang w:eastAsia="lv-LV"/>
        </w:rPr>
        <w:t xml:space="preserve"> apguvi liecina, ka uz pārskata perioda beigām saskaņā ar procentuālajiem apguves rādītājiem Latvija ieņem 7 vietu no 15 saņēmējvalstīm. Jāņem vērā, ka trim saņēmējvalstīm (Slovēnija, kas ieņem 5.vietu; Igaunija – 2.vieta; Kipra – 3.vieta), kuras Latviju apsteidz, bija tiesības rīkot tikai vienu atklāto konkursu, jo šīm valstīm piešķirtais EEZ/Norvēģijas finanšu instrumentu finansējums bija salīdzinoši neliel</w:t>
      </w:r>
      <w:r w:rsidR="00D7695B" w:rsidRPr="00B557E8">
        <w:rPr>
          <w:rFonts w:eastAsia="EUAlbertina-Bold-Identity-H"/>
          <w:color w:val="000000" w:themeColor="text1"/>
          <w:szCs w:val="24"/>
          <w:lang w:eastAsia="lv-LV"/>
        </w:rPr>
        <w:t>s</w:t>
      </w:r>
      <w:r w:rsidRPr="00B557E8">
        <w:rPr>
          <w:rFonts w:eastAsia="EUAlbertina-Bold-Identity-H"/>
          <w:color w:val="000000" w:themeColor="text1"/>
          <w:szCs w:val="24"/>
          <w:lang w:eastAsia="lv-LV"/>
        </w:rPr>
        <w:t>, kas ievērojami atviegloja un paātrināja apguvi. Savukārt, Latvijai obligāti bija jāizsludina vismaz 2 atklātie individuālo projektu konkursi, kas prasīja laikietilpīgas procedūras un līdz ar to palēnināja EEZ/Norvēģijas finanšu instrumentu līdzekļu apguves gaitu. Salīdzinājumam – Lietuva uz pārskata perioda beigām ieņem 9.vietu apguves rādītājos, savukārt 1.vietā ir Čehija.</w:t>
      </w:r>
    </w:p>
    <w:p w:rsidR="00A921FA" w:rsidRPr="00B557E8" w:rsidRDefault="00A921FA"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Jau šobrīd paredzams, ka projektiem piešķirtais EEZ/Norvēģijas finanšu instrumentu finansējums nav apgūts pilnā apmērā, jo vairāku projektu ietvaros ir izveidojušies ietaupījumi. Ietaupījumi galvenokārt veidojušies šādu iemeslu dēļ:</w:t>
      </w:r>
    </w:p>
    <w:p w:rsidR="00A921FA" w:rsidRPr="00B557E8" w:rsidRDefault="00A921FA" w:rsidP="00B557E8">
      <w:pPr>
        <w:pStyle w:val="ListParagraph"/>
        <w:numPr>
          <w:ilvl w:val="0"/>
          <w:numId w:val="76"/>
        </w:numPr>
        <w:spacing w:before="120" w:after="120"/>
        <w:jc w:val="both"/>
        <w:rPr>
          <w:rFonts w:ascii="Times New Roman" w:hAnsi="Times New Roman"/>
          <w:color w:val="000000" w:themeColor="text1"/>
          <w:sz w:val="24"/>
          <w:szCs w:val="24"/>
        </w:rPr>
      </w:pPr>
      <w:r w:rsidRPr="00B557E8">
        <w:rPr>
          <w:rFonts w:ascii="Times New Roman" w:eastAsia="EUAlbertina-Bold-Identity-H" w:hAnsi="Times New Roman"/>
          <w:color w:val="000000" w:themeColor="text1"/>
          <w:sz w:val="24"/>
          <w:szCs w:val="24"/>
          <w:lang w:eastAsia="lv-LV"/>
        </w:rPr>
        <w:t xml:space="preserve">daži no apstiprinātajiem </w:t>
      </w:r>
      <w:proofErr w:type="spellStart"/>
      <w:r w:rsidRPr="00B557E8">
        <w:rPr>
          <w:rFonts w:ascii="Times New Roman" w:eastAsia="EUAlbertina-Bold-Identity-H" w:hAnsi="Times New Roman"/>
          <w:color w:val="000000" w:themeColor="text1"/>
          <w:sz w:val="24"/>
          <w:szCs w:val="24"/>
          <w:lang w:eastAsia="lv-LV"/>
        </w:rPr>
        <w:t>apakšprojektiem</w:t>
      </w:r>
      <w:proofErr w:type="spellEnd"/>
      <w:r w:rsidRPr="00B557E8">
        <w:rPr>
          <w:rFonts w:ascii="Times New Roman" w:eastAsia="EUAlbertina-Bold-Identity-H" w:hAnsi="Times New Roman"/>
          <w:color w:val="000000" w:themeColor="text1"/>
          <w:sz w:val="24"/>
          <w:szCs w:val="24"/>
          <w:lang w:eastAsia="lv-LV"/>
        </w:rPr>
        <w:t xml:space="preserve"> programmu un grantu shēmu ietvaros novēloti</w:t>
      </w:r>
      <w:r w:rsidRPr="00B557E8">
        <w:rPr>
          <w:rFonts w:ascii="Times New Roman" w:hAnsi="Times New Roman"/>
          <w:color w:val="000000" w:themeColor="text1"/>
          <w:sz w:val="24"/>
          <w:szCs w:val="24"/>
        </w:rPr>
        <w:t xml:space="preserve"> atteicās no to īstenošanas;</w:t>
      </w:r>
    </w:p>
    <w:p w:rsidR="00A921FA" w:rsidRPr="00B557E8" w:rsidRDefault="00A921FA" w:rsidP="00B557E8">
      <w:pPr>
        <w:pStyle w:val="ListParagraph"/>
        <w:numPr>
          <w:ilvl w:val="0"/>
          <w:numId w:val="76"/>
        </w:numPr>
        <w:spacing w:before="120" w:after="120"/>
        <w:jc w:val="both"/>
        <w:rPr>
          <w:rFonts w:ascii="Times New Roman" w:hAnsi="Times New Roman"/>
          <w:color w:val="000000" w:themeColor="text1"/>
          <w:sz w:val="24"/>
          <w:szCs w:val="24"/>
        </w:rPr>
      </w:pPr>
      <w:r w:rsidRPr="00B557E8">
        <w:rPr>
          <w:rFonts w:ascii="Times New Roman" w:eastAsia="EUAlbertina-Bold-Identity-H" w:hAnsi="Times New Roman"/>
          <w:color w:val="000000" w:themeColor="text1"/>
          <w:sz w:val="24"/>
          <w:szCs w:val="24"/>
          <w:lang w:eastAsia="lv-LV"/>
        </w:rPr>
        <w:t>finanšu korekciju piemērošana;</w:t>
      </w:r>
    </w:p>
    <w:p w:rsidR="00A921FA" w:rsidRPr="00B557E8" w:rsidRDefault="00A921FA" w:rsidP="00B557E8">
      <w:pPr>
        <w:pStyle w:val="ListParagraph"/>
        <w:numPr>
          <w:ilvl w:val="0"/>
          <w:numId w:val="76"/>
        </w:numPr>
        <w:spacing w:before="120" w:after="120"/>
        <w:jc w:val="both"/>
        <w:rPr>
          <w:rFonts w:ascii="Times New Roman" w:hAnsi="Times New Roman"/>
          <w:color w:val="000000" w:themeColor="text1"/>
          <w:sz w:val="24"/>
          <w:szCs w:val="24"/>
        </w:rPr>
      </w:pPr>
      <w:r w:rsidRPr="00B557E8">
        <w:rPr>
          <w:rFonts w:ascii="Times New Roman" w:eastAsia="EUAlbertina-Bold-Identity-H" w:hAnsi="Times New Roman"/>
          <w:color w:val="000000" w:themeColor="text1"/>
          <w:sz w:val="24"/>
          <w:szCs w:val="24"/>
          <w:lang w:eastAsia="lv-LV"/>
        </w:rPr>
        <w:t>attiecināmo izmaksu atzīšana par neattiecināmajām izmaksām iepirkumu procedūru pārkāpumu dēļ;</w:t>
      </w:r>
    </w:p>
    <w:p w:rsidR="00A921FA" w:rsidRPr="00B557E8" w:rsidRDefault="00A921FA" w:rsidP="00B557E8">
      <w:pPr>
        <w:pStyle w:val="ListParagraph"/>
        <w:numPr>
          <w:ilvl w:val="0"/>
          <w:numId w:val="76"/>
        </w:numPr>
        <w:spacing w:before="120" w:after="120"/>
        <w:jc w:val="both"/>
        <w:rPr>
          <w:rFonts w:ascii="Times New Roman" w:hAnsi="Times New Roman"/>
          <w:color w:val="000000" w:themeColor="text1"/>
          <w:sz w:val="24"/>
          <w:szCs w:val="24"/>
        </w:rPr>
      </w:pPr>
      <w:r w:rsidRPr="00B557E8">
        <w:rPr>
          <w:rFonts w:ascii="Times New Roman" w:eastAsia="EUAlbertina-Bold-Identity-H" w:hAnsi="Times New Roman"/>
          <w:color w:val="000000" w:themeColor="text1"/>
          <w:sz w:val="24"/>
          <w:szCs w:val="24"/>
          <w:lang w:eastAsia="lv-LV"/>
        </w:rPr>
        <w:t xml:space="preserve">atalgojuma samazināšana publiskajā sektorā, kas atstāja ietekmi uz </w:t>
      </w:r>
      <w:r w:rsidR="008F27FF" w:rsidRPr="00B557E8">
        <w:rPr>
          <w:rFonts w:ascii="Times New Roman" w:eastAsia="EUAlbertina-Bold-Identity-H" w:hAnsi="Times New Roman"/>
          <w:color w:val="000000" w:themeColor="text1"/>
          <w:sz w:val="24"/>
          <w:szCs w:val="24"/>
          <w:lang w:eastAsia="lv-LV"/>
        </w:rPr>
        <w:t>TP</w:t>
      </w:r>
      <w:r w:rsidRPr="00B557E8">
        <w:rPr>
          <w:rFonts w:ascii="Times New Roman" w:eastAsia="EUAlbertina-Bold-Identity-H" w:hAnsi="Times New Roman"/>
          <w:color w:val="000000" w:themeColor="text1"/>
          <w:sz w:val="24"/>
          <w:szCs w:val="24"/>
          <w:lang w:eastAsia="lv-LV"/>
        </w:rPr>
        <w:t xml:space="preserve"> fonda izlietojumu; </w:t>
      </w:r>
    </w:p>
    <w:p w:rsidR="00A921FA" w:rsidRPr="00B557E8" w:rsidRDefault="00A921FA" w:rsidP="00B557E8">
      <w:pPr>
        <w:pStyle w:val="ListParagraph"/>
        <w:numPr>
          <w:ilvl w:val="0"/>
          <w:numId w:val="76"/>
        </w:numPr>
        <w:spacing w:before="120" w:after="120"/>
        <w:jc w:val="both"/>
        <w:rPr>
          <w:rFonts w:ascii="Times New Roman" w:hAnsi="Times New Roman"/>
          <w:color w:val="000000" w:themeColor="text1"/>
          <w:sz w:val="24"/>
          <w:szCs w:val="24"/>
        </w:rPr>
      </w:pPr>
      <w:r w:rsidRPr="00B557E8">
        <w:rPr>
          <w:rFonts w:ascii="Times New Roman" w:eastAsia="EUAlbertina-Bold-Identity-H" w:hAnsi="Times New Roman"/>
          <w:color w:val="000000" w:themeColor="text1"/>
          <w:sz w:val="24"/>
          <w:szCs w:val="24"/>
          <w:lang w:eastAsia="lv-LV"/>
        </w:rPr>
        <w:t>ekonomisk</w:t>
      </w:r>
      <w:r w:rsidR="00D7695B" w:rsidRPr="00B557E8">
        <w:rPr>
          <w:rFonts w:ascii="Times New Roman" w:eastAsia="EUAlbertina-Bold-Identity-H" w:hAnsi="Times New Roman"/>
          <w:color w:val="000000" w:themeColor="text1"/>
          <w:sz w:val="24"/>
          <w:szCs w:val="24"/>
          <w:lang w:eastAsia="lv-LV"/>
        </w:rPr>
        <w:t>ā</w:t>
      </w:r>
      <w:r w:rsidRPr="00B557E8">
        <w:rPr>
          <w:rFonts w:ascii="Times New Roman" w:eastAsia="EUAlbertina-Bold-Identity-H" w:hAnsi="Times New Roman"/>
          <w:color w:val="000000" w:themeColor="text1"/>
          <w:sz w:val="24"/>
          <w:szCs w:val="24"/>
          <w:lang w:eastAsia="lv-LV"/>
        </w:rPr>
        <w:t>s krīzes izraisītais cenu kritums, kas ļāva iegādāties preces un pakalpojumos par zemākām cenām nekā projektos sākotnēji tika plānots.</w:t>
      </w:r>
    </w:p>
    <w:p w:rsidR="00DA21ED" w:rsidRPr="00B557E8" w:rsidRDefault="00A921FA"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Līdz ar to </w:t>
      </w:r>
      <w:r w:rsidR="00D7695B" w:rsidRPr="00B557E8">
        <w:rPr>
          <w:rFonts w:eastAsia="EUAlbertina-Bold-Identity-H"/>
          <w:color w:val="000000" w:themeColor="text1"/>
          <w:szCs w:val="24"/>
          <w:lang w:eastAsia="lv-LV"/>
        </w:rPr>
        <w:t xml:space="preserve">uz </w:t>
      </w:r>
      <w:r w:rsidR="00C1496A" w:rsidRPr="00B557E8">
        <w:rPr>
          <w:rFonts w:eastAsia="EUAlbertina-Bold-Identity-H"/>
          <w:color w:val="000000" w:themeColor="text1"/>
          <w:szCs w:val="24"/>
          <w:lang w:eastAsia="lv-LV"/>
        </w:rPr>
        <w:t>pārskata perioda beigām</w:t>
      </w:r>
      <w:r w:rsidR="00D7695B" w:rsidRPr="00B557E8">
        <w:rPr>
          <w:rFonts w:eastAsia="EUAlbertina-Bold-Identity-H"/>
          <w:color w:val="000000" w:themeColor="text1"/>
          <w:szCs w:val="24"/>
          <w:lang w:eastAsia="lv-LV"/>
        </w:rPr>
        <w:t xml:space="preserve"> </w:t>
      </w:r>
      <w:r w:rsidRPr="00B557E8">
        <w:rPr>
          <w:rFonts w:eastAsia="EUAlbertina-Bold-Identity-H"/>
          <w:color w:val="000000" w:themeColor="text1"/>
          <w:szCs w:val="24"/>
          <w:lang w:eastAsia="lv-LV"/>
        </w:rPr>
        <w:t>kopējais EEZ/Norvēģijas finanšu instrumentu finansējums, kas ne</w:t>
      </w:r>
      <w:r w:rsidR="00F85C20" w:rsidRPr="00B557E8">
        <w:rPr>
          <w:rFonts w:eastAsia="EUAlbertina-Bold-Identity-H"/>
          <w:color w:val="000000" w:themeColor="text1"/>
          <w:szCs w:val="24"/>
          <w:lang w:eastAsia="lv-LV"/>
        </w:rPr>
        <w:t xml:space="preserve">tiks apgūts, veido aptuveni 2,7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latu jeb 8% no kopējā EEZ/Norvēģijas finanšu instrumentu finansējuma.</w:t>
      </w:r>
    </w:p>
    <w:p w:rsidR="003A7FC6" w:rsidRPr="00B557E8" w:rsidRDefault="003A7FC6" w:rsidP="00B557E8">
      <w:pPr>
        <w:pStyle w:val="2lmenis"/>
        <w:numPr>
          <w:ilvl w:val="1"/>
          <w:numId w:val="2"/>
        </w:numPr>
        <w:spacing w:before="120" w:after="120" w:line="276" w:lineRule="auto"/>
        <w:ind w:left="1276" w:hanging="425"/>
        <w:jc w:val="both"/>
        <w:rPr>
          <w:color w:val="000000" w:themeColor="text1"/>
          <w:sz w:val="24"/>
          <w:szCs w:val="24"/>
          <w:lang w:val="lv-LV"/>
        </w:rPr>
      </w:pPr>
      <w:bookmarkStart w:id="32" w:name="_Toc308774238"/>
      <w:r w:rsidRPr="00B557E8">
        <w:rPr>
          <w:color w:val="000000" w:themeColor="text1"/>
          <w:sz w:val="24"/>
          <w:szCs w:val="24"/>
          <w:lang w:val="lv-LV"/>
        </w:rPr>
        <w:t>2009.-2014.gada plānošanas periods</w:t>
      </w:r>
      <w:bookmarkEnd w:id="32"/>
    </w:p>
    <w:p w:rsidR="001C1733" w:rsidRPr="00B557E8" w:rsidRDefault="001C1733" w:rsidP="00B557E8">
      <w:pPr>
        <w:spacing w:before="120" w:after="120" w:line="276" w:lineRule="auto"/>
        <w:rPr>
          <w:color w:val="000000" w:themeColor="text1"/>
          <w:szCs w:val="24"/>
        </w:rPr>
      </w:pPr>
      <w:bookmarkStart w:id="33" w:name="_Toc276049988"/>
      <w:r w:rsidRPr="00B557E8">
        <w:rPr>
          <w:color w:val="000000" w:themeColor="text1"/>
          <w:szCs w:val="24"/>
        </w:rPr>
        <w:t xml:space="preserve">Saprašanās memorandu par </w:t>
      </w:r>
      <w:r w:rsidR="006F2B68" w:rsidRPr="00B557E8">
        <w:rPr>
          <w:color w:val="000000" w:themeColor="text1"/>
          <w:szCs w:val="24"/>
        </w:rPr>
        <w:t xml:space="preserve">Norvēģijas </w:t>
      </w:r>
      <w:r w:rsidRPr="00B557E8">
        <w:rPr>
          <w:color w:val="000000" w:themeColor="text1"/>
          <w:szCs w:val="24"/>
        </w:rPr>
        <w:t xml:space="preserve">finanšu instrumenta īstenošanu Latvijā noslēdza 2011.gada 28.aprīlī, savukārt par </w:t>
      </w:r>
      <w:r w:rsidR="006F2B68" w:rsidRPr="00B557E8">
        <w:rPr>
          <w:color w:val="000000" w:themeColor="text1"/>
          <w:szCs w:val="24"/>
        </w:rPr>
        <w:t>EEZ</w:t>
      </w:r>
      <w:r w:rsidR="006F2B68" w:rsidRPr="00B557E8" w:rsidDel="006F2B68">
        <w:rPr>
          <w:color w:val="000000" w:themeColor="text1"/>
          <w:szCs w:val="24"/>
        </w:rPr>
        <w:t xml:space="preserve"> </w:t>
      </w:r>
      <w:r w:rsidRPr="00B557E8">
        <w:rPr>
          <w:color w:val="000000" w:themeColor="text1"/>
          <w:szCs w:val="24"/>
        </w:rPr>
        <w:t xml:space="preserve">finanšu instrumenta – 2011.gada 8.jūnijā, līdz ar ko Latvijai pieejami 51,3 </w:t>
      </w:r>
      <w:proofErr w:type="spellStart"/>
      <w:r w:rsidRPr="00B557E8">
        <w:rPr>
          <w:color w:val="000000" w:themeColor="text1"/>
          <w:szCs w:val="24"/>
        </w:rPr>
        <w:t>milj</w:t>
      </w:r>
      <w:proofErr w:type="spellEnd"/>
      <w:r w:rsidRPr="00B557E8">
        <w:rPr>
          <w:color w:val="000000" w:themeColor="text1"/>
          <w:szCs w:val="24"/>
        </w:rPr>
        <w:t xml:space="preserve">. latu. Finansējuma apmērs ir par 13,5 </w:t>
      </w:r>
      <w:proofErr w:type="spellStart"/>
      <w:r w:rsidRPr="00B557E8">
        <w:rPr>
          <w:color w:val="000000" w:themeColor="text1"/>
          <w:szCs w:val="24"/>
        </w:rPr>
        <w:t>milj</w:t>
      </w:r>
      <w:proofErr w:type="spellEnd"/>
      <w:r w:rsidRPr="00B557E8">
        <w:rPr>
          <w:color w:val="000000" w:themeColor="text1"/>
          <w:szCs w:val="24"/>
        </w:rPr>
        <w:t xml:space="preserve">. latu lielāks nekā iepriekšējā periodā (37,8 </w:t>
      </w:r>
      <w:proofErr w:type="spellStart"/>
      <w:r w:rsidRPr="00B557E8">
        <w:rPr>
          <w:color w:val="000000" w:themeColor="text1"/>
          <w:szCs w:val="24"/>
        </w:rPr>
        <w:t>milj</w:t>
      </w:r>
      <w:proofErr w:type="spellEnd"/>
      <w:r w:rsidRPr="00B557E8">
        <w:rPr>
          <w:color w:val="000000" w:themeColor="text1"/>
          <w:szCs w:val="24"/>
        </w:rPr>
        <w:t xml:space="preserve">. latu). Faktiskais (neto) finansējums, atskaitot </w:t>
      </w:r>
      <w:proofErr w:type="spellStart"/>
      <w:r w:rsidRPr="00B557E8">
        <w:rPr>
          <w:color w:val="000000" w:themeColor="text1"/>
          <w:szCs w:val="24"/>
        </w:rPr>
        <w:t>donorvalstu</w:t>
      </w:r>
      <w:proofErr w:type="spellEnd"/>
      <w:r w:rsidRPr="00B557E8">
        <w:rPr>
          <w:color w:val="000000" w:themeColor="text1"/>
          <w:szCs w:val="24"/>
        </w:rPr>
        <w:t xml:space="preserve"> administratīvās izmaksas, ir  47,4 </w:t>
      </w:r>
      <w:proofErr w:type="spellStart"/>
      <w:r w:rsidRPr="00B557E8">
        <w:rPr>
          <w:color w:val="000000" w:themeColor="text1"/>
          <w:szCs w:val="24"/>
        </w:rPr>
        <w:t>mil</w:t>
      </w:r>
      <w:r w:rsidR="003E7821" w:rsidRPr="00B557E8">
        <w:rPr>
          <w:color w:val="000000" w:themeColor="text1"/>
          <w:szCs w:val="24"/>
        </w:rPr>
        <w:t>j</w:t>
      </w:r>
      <w:proofErr w:type="spellEnd"/>
      <w:r w:rsidRPr="00B557E8">
        <w:rPr>
          <w:color w:val="000000" w:themeColor="text1"/>
          <w:szCs w:val="24"/>
        </w:rPr>
        <w:t>. latu (</w:t>
      </w:r>
      <w:proofErr w:type="spellStart"/>
      <w:r w:rsidRPr="00B557E8">
        <w:rPr>
          <w:color w:val="000000" w:themeColor="text1"/>
          <w:szCs w:val="24"/>
        </w:rPr>
        <w:t>t.sk</w:t>
      </w:r>
      <w:proofErr w:type="spellEnd"/>
      <w:r w:rsidRPr="00B557E8">
        <w:rPr>
          <w:color w:val="000000" w:themeColor="text1"/>
          <w:szCs w:val="24"/>
        </w:rPr>
        <w:t xml:space="preserve">. EEZ finanšu instrumenta finansējums – 22,5 </w:t>
      </w:r>
      <w:proofErr w:type="spellStart"/>
      <w:r w:rsidRPr="00B557E8">
        <w:rPr>
          <w:color w:val="000000" w:themeColor="text1"/>
          <w:szCs w:val="24"/>
        </w:rPr>
        <w:t>milj</w:t>
      </w:r>
      <w:proofErr w:type="spellEnd"/>
      <w:r w:rsidRPr="00B557E8">
        <w:rPr>
          <w:color w:val="000000" w:themeColor="text1"/>
          <w:szCs w:val="24"/>
        </w:rPr>
        <w:t xml:space="preserve">. latu un Norvēģijas finanšu instrumenta finansējums – 24,9 </w:t>
      </w:r>
      <w:proofErr w:type="spellStart"/>
      <w:r w:rsidRPr="00B557E8">
        <w:rPr>
          <w:color w:val="000000" w:themeColor="text1"/>
          <w:szCs w:val="24"/>
        </w:rPr>
        <w:t>mil</w:t>
      </w:r>
      <w:r w:rsidR="003E7821" w:rsidRPr="00B557E8">
        <w:rPr>
          <w:color w:val="000000" w:themeColor="text1"/>
          <w:szCs w:val="24"/>
        </w:rPr>
        <w:t>j</w:t>
      </w:r>
      <w:proofErr w:type="spellEnd"/>
      <w:r w:rsidRPr="00B557E8">
        <w:rPr>
          <w:color w:val="000000" w:themeColor="text1"/>
          <w:szCs w:val="24"/>
        </w:rPr>
        <w:t xml:space="preserve">. latu). </w:t>
      </w:r>
    </w:p>
    <w:p w:rsidR="00F85C20" w:rsidRPr="00B557E8" w:rsidRDefault="00912FB4" w:rsidP="00B557E8">
      <w:pPr>
        <w:spacing w:before="120" w:after="120" w:line="276" w:lineRule="auto"/>
        <w:rPr>
          <w:color w:val="000000" w:themeColor="text1"/>
          <w:szCs w:val="24"/>
        </w:rPr>
      </w:pPr>
      <w:r w:rsidRPr="00B557E8">
        <w:rPr>
          <w:color w:val="000000" w:themeColor="text1"/>
          <w:szCs w:val="24"/>
        </w:rPr>
        <w:t>Informāciju par programmām, to finansējumu, kā arī programmu iesniegumu projektu  iesniegšanas termiņiem, skatīt tabulā</w:t>
      </w:r>
      <w:r w:rsidR="00D7695B" w:rsidRPr="00B557E8">
        <w:rPr>
          <w:color w:val="000000" w:themeColor="text1"/>
          <w:szCs w:val="24"/>
        </w:rPr>
        <w:t xml:space="preserve"> Nr.5</w:t>
      </w:r>
      <w:r w:rsidRPr="00B557E8">
        <w:rPr>
          <w:color w:val="000000" w:themeColor="text1"/>
          <w:szCs w:val="24"/>
        </w:rPr>
        <w:t xml:space="preserve">: </w:t>
      </w:r>
    </w:p>
    <w:p w:rsidR="009F2179" w:rsidRPr="00B557E8" w:rsidRDefault="009F2179" w:rsidP="00B557E8">
      <w:pPr>
        <w:spacing w:before="120" w:after="120" w:line="276" w:lineRule="auto"/>
        <w:jc w:val="left"/>
        <w:rPr>
          <w:color w:val="000000" w:themeColor="text1"/>
          <w:szCs w:val="24"/>
        </w:rPr>
      </w:pPr>
      <w:r w:rsidRPr="00B557E8">
        <w:rPr>
          <w:color w:val="000000" w:themeColor="text1"/>
          <w:szCs w:val="24"/>
        </w:rPr>
        <w:br w:type="page"/>
      </w:r>
    </w:p>
    <w:p w:rsidR="001C1733" w:rsidRPr="00B557E8" w:rsidRDefault="001C1733" w:rsidP="00B557E8">
      <w:pPr>
        <w:spacing w:before="120" w:after="120" w:line="276" w:lineRule="auto"/>
        <w:rPr>
          <w:color w:val="000000" w:themeColor="text1"/>
          <w:szCs w:val="24"/>
        </w:rPr>
      </w:pPr>
      <w:r w:rsidRPr="00B557E8">
        <w:rPr>
          <w:color w:val="000000" w:themeColor="text1"/>
          <w:szCs w:val="24"/>
        </w:rPr>
        <w:lastRenderedPageBreak/>
        <w:t>Tabula Nr.</w:t>
      </w:r>
      <w:r w:rsidR="00C13D44" w:rsidRPr="00B557E8">
        <w:rPr>
          <w:color w:val="000000" w:themeColor="text1"/>
          <w:szCs w:val="24"/>
        </w:rPr>
        <w:t>5</w:t>
      </w:r>
      <w:r w:rsidRPr="00B557E8">
        <w:rPr>
          <w:color w:val="000000" w:themeColor="text1"/>
          <w:szCs w:val="24"/>
        </w:rPr>
        <w:t xml:space="preserve"> </w:t>
      </w:r>
      <w:r w:rsidRPr="00B557E8">
        <w:rPr>
          <w:i/>
          <w:color w:val="000000" w:themeColor="text1"/>
          <w:szCs w:val="24"/>
        </w:rPr>
        <w:t>„Latvijā plānotās prioritārās jomas, programmas un programmu iesniegumu iesniegšanas termiņi.”</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984"/>
        <w:gridCol w:w="993"/>
        <w:gridCol w:w="1134"/>
        <w:gridCol w:w="1134"/>
        <w:gridCol w:w="1275"/>
        <w:gridCol w:w="1276"/>
      </w:tblGrid>
      <w:tr w:rsidR="00B557E8" w:rsidRPr="003B2E97" w:rsidTr="003E7821">
        <w:trPr>
          <w:cantSplit/>
          <w:tblHeader/>
        </w:trPr>
        <w:tc>
          <w:tcPr>
            <w:tcW w:w="1844" w:type="dxa"/>
            <w:tcBorders>
              <w:top w:val="single" w:sz="4" w:space="0" w:color="auto"/>
              <w:left w:val="single" w:sz="4" w:space="0" w:color="auto"/>
              <w:bottom w:val="single" w:sz="4" w:space="0" w:color="auto"/>
              <w:right w:val="single" w:sz="4" w:space="0" w:color="auto"/>
            </w:tcBorders>
            <w:hideMark/>
          </w:tcPr>
          <w:p w:rsidR="001C1733" w:rsidRPr="003B2E97" w:rsidRDefault="001C1733" w:rsidP="003B2E97">
            <w:pPr>
              <w:spacing w:line="276" w:lineRule="auto"/>
              <w:rPr>
                <w:rFonts w:eastAsia="EUAlbertina-Bold-Identity-H"/>
                <w:b/>
                <w:bCs/>
                <w:color w:val="000000" w:themeColor="text1"/>
                <w:sz w:val="20"/>
                <w:lang w:eastAsia="lv-LV"/>
              </w:rPr>
            </w:pPr>
            <w:r w:rsidRPr="003B2E97">
              <w:rPr>
                <w:rFonts w:eastAsia="EUAlbertina-Bold-Identity-H"/>
                <w:b/>
                <w:bCs/>
                <w:color w:val="000000" w:themeColor="text1"/>
                <w:sz w:val="20"/>
                <w:lang w:eastAsia="lv-LV"/>
              </w:rPr>
              <w:t>Prioritārā joma</w:t>
            </w:r>
          </w:p>
        </w:tc>
        <w:tc>
          <w:tcPr>
            <w:tcW w:w="1984" w:type="dxa"/>
            <w:tcBorders>
              <w:top w:val="single" w:sz="4" w:space="0" w:color="auto"/>
              <w:left w:val="single" w:sz="4" w:space="0" w:color="auto"/>
              <w:bottom w:val="single" w:sz="4" w:space="0" w:color="auto"/>
              <w:right w:val="single" w:sz="4" w:space="0" w:color="auto"/>
            </w:tcBorders>
            <w:hideMark/>
          </w:tcPr>
          <w:p w:rsidR="001C1733" w:rsidRPr="003B2E97" w:rsidRDefault="001C1733" w:rsidP="003B2E97">
            <w:pPr>
              <w:spacing w:line="276" w:lineRule="auto"/>
              <w:rPr>
                <w:rFonts w:eastAsia="EUAlbertina-Bold-Identity-H"/>
                <w:b/>
                <w:bCs/>
                <w:color w:val="000000" w:themeColor="text1"/>
                <w:sz w:val="20"/>
                <w:lang w:eastAsia="lv-LV"/>
              </w:rPr>
            </w:pPr>
            <w:r w:rsidRPr="003B2E97">
              <w:rPr>
                <w:rFonts w:eastAsia="EUAlbertina-Bold-Identity-H"/>
                <w:b/>
                <w:bCs/>
                <w:color w:val="000000" w:themeColor="text1"/>
                <w:sz w:val="20"/>
                <w:lang w:eastAsia="lv-LV"/>
              </w:rPr>
              <w:t>Programma</w:t>
            </w:r>
          </w:p>
        </w:tc>
        <w:tc>
          <w:tcPr>
            <w:tcW w:w="993" w:type="dxa"/>
            <w:tcBorders>
              <w:top w:val="single" w:sz="4" w:space="0" w:color="auto"/>
              <w:left w:val="single" w:sz="4" w:space="0" w:color="auto"/>
              <w:bottom w:val="single" w:sz="4" w:space="0" w:color="auto"/>
              <w:right w:val="single" w:sz="4" w:space="0" w:color="auto"/>
            </w:tcBorders>
            <w:hideMark/>
          </w:tcPr>
          <w:p w:rsidR="001C1733" w:rsidRPr="003B2E97" w:rsidRDefault="001C1733" w:rsidP="003B2E97">
            <w:pPr>
              <w:spacing w:line="276" w:lineRule="auto"/>
              <w:rPr>
                <w:rFonts w:eastAsia="EUAlbertina-Bold-Identity-H"/>
                <w:b/>
                <w:bCs/>
                <w:color w:val="000000" w:themeColor="text1"/>
                <w:sz w:val="20"/>
                <w:lang w:eastAsia="lv-LV"/>
              </w:rPr>
            </w:pPr>
            <w:r w:rsidRPr="003B2E97">
              <w:rPr>
                <w:rFonts w:eastAsia="EUAlbertina-Bold-Identity-H"/>
                <w:b/>
                <w:bCs/>
                <w:color w:val="000000" w:themeColor="text1"/>
                <w:sz w:val="20"/>
                <w:lang w:eastAsia="lv-LV"/>
              </w:rPr>
              <w:t xml:space="preserve">Finansējums, </w:t>
            </w:r>
            <w:proofErr w:type="spellStart"/>
            <w:r w:rsidRPr="003B2E97">
              <w:rPr>
                <w:rFonts w:eastAsia="EUAlbertina-Bold-Identity-H"/>
                <w:b/>
                <w:bCs/>
                <w:color w:val="000000" w:themeColor="text1"/>
                <w:sz w:val="20"/>
                <w:lang w:eastAsia="lv-LV"/>
              </w:rPr>
              <w:t>milj</w:t>
            </w:r>
            <w:proofErr w:type="spellEnd"/>
            <w:r w:rsidRPr="003B2E97">
              <w:rPr>
                <w:rFonts w:eastAsia="EUAlbertina-Bold-Identity-H"/>
                <w:b/>
                <w:bCs/>
                <w:color w:val="000000" w:themeColor="text1"/>
                <w:sz w:val="20"/>
                <w:lang w:eastAsia="lv-LV"/>
              </w:rPr>
              <w:t>./Ls</w:t>
            </w:r>
          </w:p>
        </w:tc>
        <w:tc>
          <w:tcPr>
            <w:tcW w:w="1134" w:type="dxa"/>
            <w:tcBorders>
              <w:top w:val="single" w:sz="4" w:space="0" w:color="auto"/>
              <w:left w:val="single" w:sz="4" w:space="0" w:color="auto"/>
              <w:bottom w:val="single" w:sz="4" w:space="0" w:color="auto"/>
              <w:right w:val="single" w:sz="4" w:space="0" w:color="auto"/>
            </w:tcBorders>
            <w:hideMark/>
          </w:tcPr>
          <w:p w:rsidR="001C1733" w:rsidRPr="003B2E97" w:rsidRDefault="001C1733" w:rsidP="003B2E97">
            <w:pPr>
              <w:spacing w:line="276" w:lineRule="auto"/>
              <w:rPr>
                <w:rFonts w:eastAsia="EUAlbertina-Bold-Identity-H"/>
                <w:b/>
                <w:bCs/>
                <w:color w:val="000000" w:themeColor="text1"/>
                <w:sz w:val="20"/>
                <w:lang w:eastAsia="lv-LV"/>
              </w:rPr>
            </w:pPr>
            <w:r w:rsidRPr="003B2E97">
              <w:rPr>
                <w:rFonts w:eastAsia="EUAlbertina-Bold-Identity-H"/>
                <w:b/>
                <w:bCs/>
                <w:color w:val="000000" w:themeColor="text1"/>
                <w:sz w:val="20"/>
                <w:lang w:eastAsia="lv-LV"/>
              </w:rPr>
              <w:t>Ministrija</w:t>
            </w:r>
          </w:p>
        </w:tc>
        <w:tc>
          <w:tcPr>
            <w:tcW w:w="1134" w:type="dxa"/>
            <w:tcBorders>
              <w:top w:val="single" w:sz="4" w:space="0" w:color="auto"/>
              <w:left w:val="single" w:sz="4" w:space="0" w:color="auto"/>
              <w:bottom w:val="single" w:sz="4" w:space="0" w:color="auto"/>
              <w:right w:val="single" w:sz="4" w:space="0" w:color="auto"/>
            </w:tcBorders>
            <w:hideMark/>
          </w:tcPr>
          <w:p w:rsidR="001C1733" w:rsidRPr="003B2E97" w:rsidRDefault="001C1733" w:rsidP="003B2E97">
            <w:pPr>
              <w:spacing w:line="276" w:lineRule="auto"/>
              <w:rPr>
                <w:rFonts w:eastAsia="EUAlbertina-Bold-Identity-H"/>
                <w:b/>
                <w:bCs/>
                <w:color w:val="000000" w:themeColor="text1"/>
                <w:sz w:val="20"/>
                <w:lang w:eastAsia="lv-LV"/>
              </w:rPr>
            </w:pPr>
            <w:r w:rsidRPr="003B2E97">
              <w:rPr>
                <w:rFonts w:eastAsia="EUAlbertina-Bold-Identity-H"/>
                <w:b/>
                <w:bCs/>
                <w:color w:val="000000" w:themeColor="text1"/>
                <w:sz w:val="20"/>
                <w:lang w:eastAsia="lv-LV"/>
              </w:rPr>
              <w:t>Termiņš</w:t>
            </w:r>
          </w:p>
          <w:p w:rsidR="001C1733" w:rsidRPr="003B2E97" w:rsidRDefault="001C1733" w:rsidP="003B2E97">
            <w:pPr>
              <w:spacing w:line="276" w:lineRule="auto"/>
              <w:rPr>
                <w:rFonts w:eastAsia="EUAlbertina-Bold-Identity-H"/>
                <w:b/>
                <w:bCs/>
                <w:color w:val="000000" w:themeColor="text1"/>
                <w:sz w:val="20"/>
                <w:lang w:eastAsia="lv-LV"/>
              </w:rPr>
            </w:pPr>
            <w:r w:rsidRPr="003B2E97">
              <w:rPr>
                <w:rFonts w:eastAsia="EUAlbertina-Bold-Identity-H"/>
                <w:b/>
                <w:bCs/>
                <w:color w:val="000000" w:themeColor="text1"/>
                <w:sz w:val="20"/>
                <w:lang w:eastAsia="lv-LV"/>
              </w:rPr>
              <w:t>iesniegšanai MK</w:t>
            </w:r>
          </w:p>
        </w:tc>
        <w:tc>
          <w:tcPr>
            <w:tcW w:w="1275" w:type="dxa"/>
            <w:tcBorders>
              <w:top w:val="single" w:sz="4" w:space="0" w:color="auto"/>
              <w:left w:val="single" w:sz="4" w:space="0" w:color="auto"/>
              <w:bottom w:val="single" w:sz="4" w:space="0" w:color="auto"/>
              <w:right w:val="single" w:sz="4" w:space="0" w:color="auto"/>
            </w:tcBorders>
          </w:tcPr>
          <w:p w:rsidR="001C1733" w:rsidRPr="003B2E97" w:rsidRDefault="001C1733" w:rsidP="003B2E97">
            <w:pPr>
              <w:spacing w:line="276" w:lineRule="auto"/>
              <w:rPr>
                <w:rFonts w:eastAsia="EUAlbertina-Bold-Identity-H"/>
                <w:b/>
                <w:bCs/>
                <w:color w:val="000000" w:themeColor="text1"/>
                <w:sz w:val="20"/>
                <w:lang w:eastAsia="lv-LV"/>
              </w:rPr>
            </w:pPr>
            <w:r w:rsidRPr="003B2E97">
              <w:rPr>
                <w:rFonts w:eastAsia="EUAlbertina-Bold-Identity-H"/>
                <w:b/>
                <w:bCs/>
                <w:color w:val="000000" w:themeColor="text1"/>
                <w:sz w:val="20"/>
                <w:lang w:eastAsia="lv-LV"/>
              </w:rPr>
              <w:t>Precizētais iesniegšanas termiņš VSS</w:t>
            </w:r>
          </w:p>
        </w:tc>
        <w:tc>
          <w:tcPr>
            <w:tcW w:w="1276" w:type="dxa"/>
            <w:tcBorders>
              <w:top w:val="single" w:sz="4" w:space="0" w:color="auto"/>
              <w:left w:val="single" w:sz="4" w:space="0" w:color="auto"/>
              <w:bottom w:val="single" w:sz="4" w:space="0" w:color="auto"/>
              <w:right w:val="single" w:sz="4" w:space="0" w:color="auto"/>
            </w:tcBorders>
            <w:hideMark/>
          </w:tcPr>
          <w:p w:rsidR="001C1733" w:rsidRPr="003B2E97" w:rsidRDefault="001C1733" w:rsidP="003B2E97">
            <w:pPr>
              <w:spacing w:line="276" w:lineRule="auto"/>
              <w:rPr>
                <w:rFonts w:eastAsia="EUAlbertina-Bold-Identity-H"/>
                <w:b/>
                <w:bCs/>
                <w:color w:val="000000" w:themeColor="text1"/>
                <w:sz w:val="20"/>
                <w:lang w:eastAsia="lv-LV"/>
              </w:rPr>
            </w:pPr>
            <w:r w:rsidRPr="003B2E97">
              <w:rPr>
                <w:rFonts w:eastAsia="EUAlbertina-Bold-Identity-H"/>
                <w:b/>
                <w:bCs/>
                <w:color w:val="000000" w:themeColor="text1"/>
                <w:sz w:val="20"/>
                <w:lang w:eastAsia="lv-LV"/>
              </w:rPr>
              <w:t>Termiņš iesniegšanai donoriem</w:t>
            </w:r>
          </w:p>
        </w:tc>
      </w:tr>
      <w:tr w:rsidR="00B557E8" w:rsidRPr="003B2E97" w:rsidTr="003E7821">
        <w:trPr>
          <w:trHeight w:val="251"/>
          <w:tblHeader/>
        </w:trPr>
        <w:tc>
          <w:tcPr>
            <w:tcW w:w="7089" w:type="dxa"/>
            <w:gridSpan w:val="5"/>
            <w:tcBorders>
              <w:top w:val="single" w:sz="4" w:space="0" w:color="auto"/>
              <w:left w:val="single" w:sz="4" w:space="0" w:color="auto"/>
              <w:bottom w:val="single" w:sz="4" w:space="0" w:color="auto"/>
              <w:right w:val="single" w:sz="4" w:space="0" w:color="auto"/>
            </w:tcBorders>
            <w:hideMark/>
          </w:tcPr>
          <w:p w:rsidR="001C1733" w:rsidRPr="003B2E97" w:rsidRDefault="001C1733" w:rsidP="003B2E97">
            <w:pPr>
              <w:spacing w:line="276" w:lineRule="auto"/>
              <w:rPr>
                <w:rFonts w:eastAsia="EUAlbertina-Bold-Identity-H"/>
                <w:b/>
                <w:bCs/>
                <w:color w:val="000000" w:themeColor="text1"/>
                <w:sz w:val="20"/>
                <w:lang w:eastAsia="lv-LV"/>
              </w:rPr>
            </w:pPr>
            <w:r w:rsidRPr="003B2E97">
              <w:rPr>
                <w:rFonts w:eastAsia="EUAlbertina-Bold-Identity-H"/>
                <w:b/>
                <w:bCs/>
                <w:color w:val="000000" w:themeColor="text1"/>
                <w:sz w:val="20"/>
                <w:lang w:eastAsia="lv-LV"/>
              </w:rPr>
              <w:t>EEZ finanšu instruments</w:t>
            </w:r>
          </w:p>
        </w:tc>
        <w:tc>
          <w:tcPr>
            <w:tcW w:w="1275" w:type="dxa"/>
            <w:tcBorders>
              <w:top w:val="single" w:sz="4" w:space="0" w:color="auto"/>
              <w:left w:val="single" w:sz="4" w:space="0" w:color="auto"/>
              <w:bottom w:val="single" w:sz="4" w:space="0" w:color="auto"/>
              <w:right w:val="single" w:sz="4" w:space="0" w:color="auto"/>
            </w:tcBorders>
          </w:tcPr>
          <w:p w:rsidR="001C1733" w:rsidRPr="003B2E97" w:rsidRDefault="001C1733" w:rsidP="003B2E97">
            <w:pPr>
              <w:spacing w:line="276" w:lineRule="auto"/>
              <w:rPr>
                <w:rFonts w:eastAsia="EUAlbertina-Bold-Identity-H"/>
                <w:b/>
                <w:bCs/>
                <w:color w:val="000000" w:themeColor="text1"/>
                <w:sz w:val="20"/>
                <w:lang w:eastAsia="lv-LV"/>
              </w:rPr>
            </w:pPr>
          </w:p>
        </w:tc>
        <w:tc>
          <w:tcPr>
            <w:tcW w:w="1276" w:type="dxa"/>
            <w:tcBorders>
              <w:top w:val="single" w:sz="4" w:space="0" w:color="auto"/>
              <w:left w:val="single" w:sz="4" w:space="0" w:color="auto"/>
              <w:bottom w:val="single" w:sz="4" w:space="0" w:color="auto"/>
              <w:right w:val="single" w:sz="4" w:space="0" w:color="auto"/>
            </w:tcBorders>
          </w:tcPr>
          <w:p w:rsidR="001C1733" w:rsidRPr="003B2E97" w:rsidRDefault="001C1733" w:rsidP="003B2E97">
            <w:pPr>
              <w:spacing w:line="276" w:lineRule="auto"/>
              <w:rPr>
                <w:rFonts w:eastAsia="EUAlbertina-Bold-Identity-H"/>
                <w:b/>
                <w:bCs/>
                <w:color w:val="000000" w:themeColor="text1"/>
                <w:sz w:val="20"/>
                <w:lang w:eastAsia="lv-LV"/>
              </w:rPr>
            </w:pPr>
          </w:p>
        </w:tc>
      </w:tr>
      <w:tr w:rsidR="00B557E8" w:rsidRPr="003B2E97" w:rsidTr="003E7821">
        <w:trPr>
          <w:tblHeader/>
        </w:trPr>
        <w:tc>
          <w:tcPr>
            <w:tcW w:w="1844" w:type="dxa"/>
            <w:tcBorders>
              <w:top w:val="single" w:sz="4" w:space="0" w:color="auto"/>
              <w:left w:val="single" w:sz="4" w:space="0" w:color="auto"/>
              <w:bottom w:val="single" w:sz="4" w:space="0" w:color="auto"/>
              <w:right w:val="single" w:sz="4" w:space="0" w:color="auto"/>
            </w:tcBorders>
            <w:hideMark/>
          </w:tcPr>
          <w:p w:rsidR="001C1733" w:rsidRPr="003B2E97" w:rsidRDefault="001C1733"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Pielāgošanās klimata pārmaiņām</w:t>
            </w:r>
          </w:p>
        </w:tc>
        <w:tc>
          <w:tcPr>
            <w:tcW w:w="1984" w:type="dxa"/>
            <w:tcBorders>
              <w:top w:val="single" w:sz="4" w:space="0" w:color="auto"/>
              <w:left w:val="single" w:sz="4" w:space="0" w:color="auto"/>
              <w:bottom w:val="single" w:sz="4" w:space="0" w:color="auto"/>
              <w:right w:val="single" w:sz="4" w:space="0" w:color="auto"/>
            </w:tcBorders>
            <w:hideMark/>
          </w:tcPr>
          <w:p w:rsidR="001C1733" w:rsidRPr="003B2E97" w:rsidRDefault="001C1733"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Pielāgošanās klimata pārmaiņām</w:t>
            </w:r>
          </w:p>
        </w:tc>
        <w:tc>
          <w:tcPr>
            <w:tcW w:w="993" w:type="dxa"/>
            <w:tcBorders>
              <w:top w:val="single" w:sz="4" w:space="0" w:color="auto"/>
              <w:left w:val="single" w:sz="4" w:space="0" w:color="auto"/>
              <w:bottom w:val="single" w:sz="4" w:space="0" w:color="auto"/>
              <w:right w:val="single" w:sz="4" w:space="0" w:color="auto"/>
            </w:tcBorders>
            <w:hideMark/>
          </w:tcPr>
          <w:p w:rsidR="001C1733" w:rsidRPr="003B2E97" w:rsidRDefault="001C1733"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7,3</w:t>
            </w:r>
          </w:p>
        </w:tc>
        <w:tc>
          <w:tcPr>
            <w:tcW w:w="1134" w:type="dxa"/>
            <w:tcBorders>
              <w:top w:val="single" w:sz="4" w:space="0" w:color="auto"/>
              <w:left w:val="single" w:sz="4" w:space="0" w:color="auto"/>
              <w:bottom w:val="single" w:sz="4" w:space="0" w:color="auto"/>
              <w:right w:val="single" w:sz="4" w:space="0" w:color="auto"/>
            </w:tcBorders>
            <w:hideMark/>
          </w:tcPr>
          <w:p w:rsidR="001C1733" w:rsidRPr="003B2E97" w:rsidRDefault="001C1733"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VARAM</w:t>
            </w:r>
          </w:p>
        </w:tc>
        <w:tc>
          <w:tcPr>
            <w:tcW w:w="1134" w:type="dxa"/>
            <w:tcBorders>
              <w:top w:val="single" w:sz="4" w:space="0" w:color="auto"/>
              <w:left w:val="single" w:sz="4" w:space="0" w:color="auto"/>
              <w:bottom w:val="single" w:sz="4" w:space="0" w:color="auto"/>
              <w:right w:val="single" w:sz="4" w:space="0" w:color="auto"/>
            </w:tcBorders>
            <w:hideMark/>
          </w:tcPr>
          <w:p w:rsidR="001C1733" w:rsidRPr="003B2E97" w:rsidRDefault="001C1733"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30.09.11.</w:t>
            </w:r>
          </w:p>
        </w:tc>
        <w:tc>
          <w:tcPr>
            <w:tcW w:w="1275" w:type="dxa"/>
            <w:tcBorders>
              <w:top w:val="single" w:sz="4" w:space="0" w:color="auto"/>
              <w:left w:val="single" w:sz="4" w:space="0" w:color="auto"/>
              <w:bottom w:val="single" w:sz="4" w:space="0" w:color="auto"/>
              <w:right w:val="single" w:sz="4" w:space="0" w:color="auto"/>
            </w:tcBorders>
          </w:tcPr>
          <w:p w:rsidR="001C1733" w:rsidRPr="003B2E97" w:rsidRDefault="002D2A31"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8</w:t>
            </w:r>
            <w:r w:rsidR="001C1733" w:rsidRPr="003B2E97">
              <w:rPr>
                <w:rFonts w:eastAsia="EUAlbertina-Bold-Identity-H"/>
                <w:color w:val="000000" w:themeColor="text1"/>
                <w:sz w:val="20"/>
                <w:lang w:eastAsia="lv-LV"/>
              </w:rPr>
              <w:t>.1</w:t>
            </w:r>
            <w:r w:rsidRPr="003B2E97">
              <w:rPr>
                <w:rFonts w:eastAsia="EUAlbertina-Bold-Identity-H"/>
                <w:color w:val="000000" w:themeColor="text1"/>
                <w:sz w:val="20"/>
                <w:lang w:eastAsia="lv-LV"/>
              </w:rPr>
              <w:t>2</w:t>
            </w:r>
            <w:r w:rsidR="001C1733" w:rsidRPr="003B2E97">
              <w:rPr>
                <w:rFonts w:eastAsia="EUAlbertina-Bold-Identity-H"/>
                <w:color w:val="000000" w:themeColor="text1"/>
                <w:sz w:val="20"/>
                <w:lang w:eastAsia="lv-LV"/>
              </w:rPr>
              <w:t>.11.</w:t>
            </w:r>
          </w:p>
        </w:tc>
        <w:tc>
          <w:tcPr>
            <w:tcW w:w="1276" w:type="dxa"/>
            <w:tcBorders>
              <w:top w:val="single" w:sz="4" w:space="0" w:color="auto"/>
              <w:left w:val="single" w:sz="4" w:space="0" w:color="auto"/>
              <w:bottom w:val="single" w:sz="4" w:space="0" w:color="auto"/>
              <w:right w:val="single" w:sz="4" w:space="0" w:color="auto"/>
            </w:tcBorders>
            <w:hideMark/>
          </w:tcPr>
          <w:p w:rsidR="001C1733" w:rsidRPr="003B2E97" w:rsidRDefault="001C1733"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09.02.12.</w:t>
            </w:r>
          </w:p>
        </w:tc>
      </w:tr>
      <w:tr w:rsidR="00B557E8" w:rsidRPr="003B2E97" w:rsidTr="003E7821">
        <w:trPr>
          <w:tblHeader/>
        </w:trPr>
        <w:tc>
          <w:tcPr>
            <w:tcW w:w="1844" w:type="dxa"/>
            <w:tcBorders>
              <w:top w:val="single" w:sz="4" w:space="0" w:color="auto"/>
              <w:left w:val="single" w:sz="4" w:space="0" w:color="auto"/>
              <w:bottom w:val="single" w:sz="4" w:space="0" w:color="auto"/>
              <w:right w:val="single" w:sz="4" w:space="0" w:color="auto"/>
            </w:tcBorders>
            <w:hideMark/>
          </w:tcPr>
          <w:p w:rsidR="001C1733" w:rsidRPr="003B2E97" w:rsidRDefault="001C1733" w:rsidP="003B2E97">
            <w:pPr>
              <w:spacing w:line="276" w:lineRule="auto"/>
              <w:rPr>
                <w:rFonts w:eastAsia="EUAlbertina-Bold-Identity-H"/>
                <w:color w:val="000000" w:themeColor="text1"/>
                <w:sz w:val="20"/>
                <w:lang w:eastAsia="lv-LV"/>
              </w:rPr>
            </w:pPr>
            <w:r w:rsidRPr="003B2E97">
              <w:rPr>
                <w:color w:val="000000" w:themeColor="text1"/>
                <w:sz w:val="20"/>
                <w:lang w:eastAsia="lv-LV"/>
              </w:rPr>
              <w:t>Finansējums nevalstiskām organizācijām</w:t>
            </w:r>
          </w:p>
        </w:tc>
        <w:tc>
          <w:tcPr>
            <w:tcW w:w="1984" w:type="dxa"/>
            <w:tcBorders>
              <w:top w:val="single" w:sz="4" w:space="0" w:color="auto"/>
              <w:left w:val="single" w:sz="4" w:space="0" w:color="auto"/>
              <w:bottom w:val="single" w:sz="4" w:space="0" w:color="auto"/>
              <w:right w:val="single" w:sz="4" w:space="0" w:color="auto"/>
            </w:tcBorders>
            <w:hideMark/>
          </w:tcPr>
          <w:p w:rsidR="001C1733" w:rsidRPr="003B2E97" w:rsidRDefault="001C1733"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NVO fonds</w:t>
            </w:r>
          </w:p>
        </w:tc>
        <w:tc>
          <w:tcPr>
            <w:tcW w:w="993" w:type="dxa"/>
            <w:tcBorders>
              <w:top w:val="single" w:sz="4" w:space="0" w:color="auto"/>
              <w:left w:val="single" w:sz="4" w:space="0" w:color="auto"/>
              <w:bottom w:val="single" w:sz="4" w:space="0" w:color="auto"/>
              <w:right w:val="single" w:sz="4" w:space="0" w:color="auto"/>
            </w:tcBorders>
            <w:hideMark/>
          </w:tcPr>
          <w:p w:rsidR="001C1733" w:rsidRPr="003B2E97" w:rsidRDefault="001C1733"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7,3</w:t>
            </w:r>
          </w:p>
        </w:tc>
        <w:tc>
          <w:tcPr>
            <w:tcW w:w="1134" w:type="dxa"/>
            <w:tcBorders>
              <w:top w:val="single" w:sz="4" w:space="0" w:color="auto"/>
              <w:left w:val="single" w:sz="4" w:space="0" w:color="auto"/>
              <w:bottom w:val="single" w:sz="4" w:space="0" w:color="auto"/>
              <w:right w:val="single" w:sz="4" w:space="0" w:color="auto"/>
            </w:tcBorders>
            <w:hideMark/>
          </w:tcPr>
          <w:p w:rsidR="001C1733" w:rsidRPr="003B2E97" w:rsidRDefault="001C1733"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SIF</w:t>
            </w:r>
          </w:p>
        </w:tc>
        <w:tc>
          <w:tcPr>
            <w:tcW w:w="1134" w:type="dxa"/>
            <w:tcBorders>
              <w:top w:val="single" w:sz="4" w:space="0" w:color="auto"/>
              <w:left w:val="single" w:sz="4" w:space="0" w:color="auto"/>
              <w:bottom w:val="single" w:sz="4" w:space="0" w:color="auto"/>
              <w:right w:val="single" w:sz="4" w:space="0" w:color="auto"/>
            </w:tcBorders>
            <w:hideMark/>
          </w:tcPr>
          <w:p w:rsidR="001C1733" w:rsidRPr="003B2E97" w:rsidRDefault="001C1733"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31.08.11.</w:t>
            </w:r>
          </w:p>
        </w:tc>
        <w:tc>
          <w:tcPr>
            <w:tcW w:w="1275" w:type="dxa"/>
            <w:tcBorders>
              <w:top w:val="single" w:sz="4" w:space="0" w:color="auto"/>
              <w:left w:val="single" w:sz="4" w:space="0" w:color="auto"/>
              <w:bottom w:val="single" w:sz="4" w:space="0" w:color="auto"/>
              <w:right w:val="single" w:sz="4" w:space="0" w:color="auto"/>
            </w:tcBorders>
          </w:tcPr>
          <w:p w:rsidR="001C1733" w:rsidRPr="003B2E97" w:rsidRDefault="002C0453"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10</w:t>
            </w:r>
            <w:r w:rsidR="001C1733" w:rsidRPr="003B2E97">
              <w:rPr>
                <w:rFonts w:eastAsia="EUAlbertina-Bold-Identity-H"/>
                <w:color w:val="000000" w:themeColor="text1"/>
                <w:sz w:val="20"/>
                <w:lang w:eastAsia="lv-LV"/>
              </w:rPr>
              <w:t>.11.11.</w:t>
            </w:r>
          </w:p>
        </w:tc>
        <w:tc>
          <w:tcPr>
            <w:tcW w:w="1276" w:type="dxa"/>
            <w:tcBorders>
              <w:top w:val="single" w:sz="4" w:space="0" w:color="auto"/>
              <w:left w:val="single" w:sz="4" w:space="0" w:color="auto"/>
              <w:bottom w:val="single" w:sz="4" w:space="0" w:color="auto"/>
              <w:right w:val="single" w:sz="4" w:space="0" w:color="auto"/>
            </w:tcBorders>
            <w:hideMark/>
          </w:tcPr>
          <w:p w:rsidR="001C1733" w:rsidRPr="003B2E97" w:rsidRDefault="001C1733" w:rsidP="003B2E97">
            <w:pPr>
              <w:spacing w:line="276" w:lineRule="auto"/>
              <w:rPr>
                <w:color w:val="000000" w:themeColor="text1"/>
                <w:sz w:val="20"/>
              </w:rPr>
            </w:pPr>
            <w:r w:rsidRPr="003B2E97">
              <w:rPr>
                <w:rFonts w:eastAsia="EUAlbertina-Bold-Identity-H"/>
                <w:color w:val="000000" w:themeColor="text1"/>
                <w:sz w:val="20"/>
                <w:lang w:eastAsia="lv-LV"/>
              </w:rPr>
              <w:t>09.02.12.</w:t>
            </w:r>
          </w:p>
        </w:tc>
      </w:tr>
      <w:tr w:rsidR="00B557E8" w:rsidRPr="003B2E97" w:rsidTr="003E7821">
        <w:trPr>
          <w:tblHeader/>
        </w:trPr>
        <w:tc>
          <w:tcPr>
            <w:tcW w:w="1844" w:type="dxa"/>
            <w:tcBorders>
              <w:top w:val="single" w:sz="4" w:space="0" w:color="auto"/>
              <w:left w:val="single" w:sz="4" w:space="0" w:color="auto"/>
              <w:bottom w:val="single" w:sz="4" w:space="0" w:color="auto"/>
              <w:right w:val="single" w:sz="4" w:space="0" w:color="auto"/>
            </w:tcBorders>
            <w:hideMark/>
          </w:tcPr>
          <w:p w:rsidR="001C1733" w:rsidRPr="003B2E97" w:rsidRDefault="001C1733"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Kultūras un dabas mantojuma saglabāšana un atjaunināšana</w:t>
            </w:r>
          </w:p>
        </w:tc>
        <w:tc>
          <w:tcPr>
            <w:tcW w:w="1984" w:type="dxa"/>
            <w:tcBorders>
              <w:top w:val="single" w:sz="4" w:space="0" w:color="auto"/>
              <w:left w:val="single" w:sz="4" w:space="0" w:color="auto"/>
              <w:bottom w:val="single" w:sz="4" w:space="0" w:color="auto"/>
              <w:right w:val="single" w:sz="4" w:space="0" w:color="auto"/>
            </w:tcBorders>
            <w:hideMark/>
          </w:tcPr>
          <w:p w:rsidR="001C1733" w:rsidRPr="003B2E97" w:rsidRDefault="001C1733"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Kultūras un dabas mantojuma saglabāšana un atjaunināšana</w:t>
            </w:r>
          </w:p>
        </w:tc>
        <w:tc>
          <w:tcPr>
            <w:tcW w:w="993" w:type="dxa"/>
            <w:tcBorders>
              <w:top w:val="single" w:sz="4" w:space="0" w:color="auto"/>
              <w:left w:val="single" w:sz="4" w:space="0" w:color="auto"/>
              <w:bottom w:val="single" w:sz="4" w:space="0" w:color="auto"/>
              <w:right w:val="single" w:sz="4" w:space="0" w:color="auto"/>
            </w:tcBorders>
            <w:hideMark/>
          </w:tcPr>
          <w:p w:rsidR="001C1733" w:rsidRPr="003B2E97" w:rsidRDefault="001C1733"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7,0</w:t>
            </w:r>
          </w:p>
        </w:tc>
        <w:tc>
          <w:tcPr>
            <w:tcW w:w="1134" w:type="dxa"/>
            <w:tcBorders>
              <w:top w:val="single" w:sz="4" w:space="0" w:color="auto"/>
              <w:left w:val="single" w:sz="4" w:space="0" w:color="auto"/>
              <w:bottom w:val="single" w:sz="4" w:space="0" w:color="auto"/>
              <w:right w:val="single" w:sz="4" w:space="0" w:color="auto"/>
            </w:tcBorders>
            <w:hideMark/>
          </w:tcPr>
          <w:p w:rsidR="001C1733" w:rsidRPr="003B2E97" w:rsidRDefault="001C1733"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KM</w:t>
            </w:r>
          </w:p>
        </w:tc>
        <w:tc>
          <w:tcPr>
            <w:tcW w:w="1134" w:type="dxa"/>
            <w:tcBorders>
              <w:top w:val="single" w:sz="4" w:space="0" w:color="auto"/>
              <w:left w:val="single" w:sz="4" w:space="0" w:color="auto"/>
              <w:bottom w:val="single" w:sz="4" w:space="0" w:color="auto"/>
              <w:right w:val="single" w:sz="4" w:space="0" w:color="auto"/>
            </w:tcBorders>
            <w:hideMark/>
          </w:tcPr>
          <w:p w:rsidR="001C1733" w:rsidRPr="003B2E97" w:rsidRDefault="001C1733"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31.10.11.</w:t>
            </w:r>
          </w:p>
        </w:tc>
        <w:tc>
          <w:tcPr>
            <w:tcW w:w="1275" w:type="dxa"/>
            <w:tcBorders>
              <w:top w:val="single" w:sz="4" w:space="0" w:color="auto"/>
              <w:left w:val="single" w:sz="4" w:space="0" w:color="auto"/>
              <w:bottom w:val="single" w:sz="4" w:space="0" w:color="auto"/>
              <w:right w:val="single" w:sz="4" w:space="0" w:color="auto"/>
            </w:tcBorders>
          </w:tcPr>
          <w:p w:rsidR="001C1733" w:rsidRPr="003B2E97" w:rsidRDefault="001C1733"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1.1</w:t>
            </w:r>
            <w:r w:rsidR="007619FA" w:rsidRPr="003B2E97">
              <w:rPr>
                <w:rFonts w:eastAsia="EUAlbertina-Bold-Identity-H"/>
                <w:color w:val="000000" w:themeColor="text1"/>
                <w:sz w:val="20"/>
                <w:lang w:eastAsia="lv-LV"/>
              </w:rPr>
              <w:t>2</w:t>
            </w:r>
            <w:r w:rsidRPr="003B2E97">
              <w:rPr>
                <w:rFonts w:eastAsia="EUAlbertina-Bold-Identity-H"/>
                <w:color w:val="000000" w:themeColor="text1"/>
                <w:sz w:val="20"/>
                <w:lang w:eastAsia="lv-LV"/>
              </w:rPr>
              <w:t>.11.</w:t>
            </w:r>
          </w:p>
        </w:tc>
        <w:tc>
          <w:tcPr>
            <w:tcW w:w="1276" w:type="dxa"/>
            <w:tcBorders>
              <w:top w:val="single" w:sz="4" w:space="0" w:color="auto"/>
              <w:left w:val="single" w:sz="4" w:space="0" w:color="auto"/>
              <w:bottom w:val="single" w:sz="4" w:space="0" w:color="auto"/>
              <w:right w:val="single" w:sz="4" w:space="0" w:color="auto"/>
            </w:tcBorders>
            <w:hideMark/>
          </w:tcPr>
          <w:p w:rsidR="001C1733" w:rsidRPr="003B2E97" w:rsidRDefault="001C1733" w:rsidP="003B2E97">
            <w:pPr>
              <w:spacing w:line="276" w:lineRule="auto"/>
              <w:rPr>
                <w:color w:val="000000" w:themeColor="text1"/>
                <w:sz w:val="20"/>
              </w:rPr>
            </w:pPr>
            <w:r w:rsidRPr="003B2E97">
              <w:rPr>
                <w:rFonts w:eastAsia="EUAlbertina-Bold-Identity-H"/>
                <w:color w:val="000000" w:themeColor="text1"/>
                <w:sz w:val="20"/>
                <w:lang w:eastAsia="lv-LV"/>
              </w:rPr>
              <w:t>09.02.12.</w:t>
            </w:r>
          </w:p>
        </w:tc>
      </w:tr>
      <w:tr w:rsidR="00B557E8" w:rsidRPr="003B2E97" w:rsidTr="003E7821">
        <w:trPr>
          <w:tblHeader/>
        </w:trPr>
        <w:tc>
          <w:tcPr>
            <w:tcW w:w="7089" w:type="dxa"/>
            <w:gridSpan w:val="5"/>
            <w:tcBorders>
              <w:top w:val="single" w:sz="4" w:space="0" w:color="auto"/>
              <w:left w:val="single" w:sz="4" w:space="0" w:color="auto"/>
              <w:bottom w:val="single" w:sz="4" w:space="0" w:color="auto"/>
              <w:right w:val="single" w:sz="4" w:space="0" w:color="auto"/>
            </w:tcBorders>
            <w:hideMark/>
          </w:tcPr>
          <w:p w:rsidR="001C1733" w:rsidRPr="003B2E97" w:rsidRDefault="001C1733" w:rsidP="003B2E97">
            <w:pPr>
              <w:spacing w:line="276" w:lineRule="auto"/>
              <w:rPr>
                <w:rFonts w:eastAsia="EUAlbertina-Bold-Identity-H"/>
                <w:b/>
                <w:bCs/>
                <w:color w:val="000000" w:themeColor="text1"/>
                <w:sz w:val="20"/>
                <w:lang w:eastAsia="lv-LV"/>
              </w:rPr>
            </w:pPr>
            <w:r w:rsidRPr="003B2E97">
              <w:rPr>
                <w:rFonts w:eastAsia="EUAlbertina-Bold-Identity-H"/>
                <w:b/>
                <w:bCs/>
                <w:color w:val="000000" w:themeColor="text1"/>
                <w:sz w:val="20"/>
                <w:lang w:eastAsia="lv-LV"/>
              </w:rPr>
              <w:t>Norvēģijas finanšu instruments</w:t>
            </w:r>
          </w:p>
        </w:tc>
        <w:tc>
          <w:tcPr>
            <w:tcW w:w="1275" w:type="dxa"/>
            <w:tcBorders>
              <w:top w:val="single" w:sz="4" w:space="0" w:color="auto"/>
              <w:left w:val="single" w:sz="4" w:space="0" w:color="auto"/>
              <w:bottom w:val="single" w:sz="4" w:space="0" w:color="auto"/>
              <w:right w:val="single" w:sz="4" w:space="0" w:color="auto"/>
            </w:tcBorders>
          </w:tcPr>
          <w:p w:rsidR="001C1733" w:rsidRPr="003B2E97" w:rsidRDefault="001C1733" w:rsidP="003B2E97">
            <w:pPr>
              <w:spacing w:line="276" w:lineRule="auto"/>
              <w:rPr>
                <w:rFonts w:eastAsia="EUAlbertina-Bold-Identity-H"/>
                <w:b/>
                <w:bCs/>
                <w:color w:val="000000" w:themeColor="text1"/>
                <w:sz w:val="20"/>
                <w:lang w:eastAsia="lv-LV"/>
              </w:rPr>
            </w:pPr>
          </w:p>
        </w:tc>
        <w:tc>
          <w:tcPr>
            <w:tcW w:w="1276" w:type="dxa"/>
            <w:tcBorders>
              <w:top w:val="single" w:sz="4" w:space="0" w:color="auto"/>
              <w:left w:val="single" w:sz="4" w:space="0" w:color="auto"/>
              <w:bottom w:val="single" w:sz="4" w:space="0" w:color="auto"/>
              <w:right w:val="single" w:sz="4" w:space="0" w:color="auto"/>
            </w:tcBorders>
          </w:tcPr>
          <w:p w:rsidR="001C1733" w:rsidRPr="003B2E97" w:rsidRDefault="001C1733" w:rsidP="003B2E97">
            <w:pPr>
              <w:spacing w:line="276" w:lineRule="auto"/>
              <w:rPr>
                <w:rFonts w:eastAsia="EUAlbertina-Bold-Identity-H"/>
                <w:b/>
                <w:bCs/>
                <w:color w:val="000000" w:themeColor="text1"/>
                <w:sz w:val="20"/>
                <w:lang w:eastAsia="lv-LV"/>
              </w:rPr>
            </w:pPr>
          </w:p>
        </w:tc>
      </w:tr>
      <w:tr w:rsidR="00B557E8" w:rsidRPr="003B2E97" w:rsidTr="003E7821">
        <w:trPr>
          <w:tblHeader/>
        </w:trPr>
        <w:tc>
          <w:tcPr>
            <w:tcW w:w="1844" w:type="dxa"/>
            <w:tcBorders>
              <w:top w:val="single" w:sz="4" w:space="0" w:color="auto"/>
              <w:left w:val="single" w:sz="4" w:space="0" w:color="auto"/>
              <w:bottom w:val="single" w:sz="4" w:space="0" w:color="auto"/>
              <w:right w:val="single" w:sz="4" w:space="0" w:color="auto"/>
            </w:tcBorders>
            <w:hideMark/>
          </w:tcPr>
          <w:p w:rsidR="001C1733" w:rsidRPr="003B2E97" w:rsidRDefault="001C1733"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Kapacitātes stiprināšana un institucionālā sadarbība ar Norvēģijas valsts, vietējām un reģionālām iestādēm</w:t>
            </w:r>
          </w:p>
        </w:tc>
        <w:tc>
          <w:tcPr>
            <w:tcW w:w="1984" w:type="dxa"/>
            <w:tcBorders>
              <w:top w:val="single" w:sz="4" w:space="0" w:color="auto"/>
              <w:left w:val="single" w:sz="4" w:space="0" w:color="auto"/>
              <w:bottom w:val="single" w:sz="4" w:space="0" w:color="auto"/>
              <w:right w:val="single" w:sz="4" w:space="0" w:color="auto"/>
            </w:tcBorders>
            <w:hideMark/>
          </w:tcPr>
          <w:p w:rsidR="001C1733" w:rsidRPr="003B2E97" w:rsidRDefault="001C1733"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Kapacitātes stiprināšana un institucionālā sadarbība starp Latvijas un Norvēģijas valsts iestādēm, vietējām un reģionālām iestādēm</w:t>
            </w:r>
          </w:p>
        </w:tc>
        <w:tc>
          <w:tcPr>
            <w:tcW w:w="993" w:type="dxa"/>
            <w:tcBorders>
              <w:top w:val="single" w:sz="4" w:space="0" w:color="auto"/>
              <w:left w:val="single" w:sz="4" w:space="0" w:color="auto"/>
              <w:bottom w:val="single" w:sz="4" w:space="0" w:color="auto"/>
              <w:right w:val="single" w:sz="4" w:space="0" w:color="auto"/>
            </w:tcBorders>
            <w:hideMark/>
          </w:tcPr>
          <w:p w:rsidR="001C1733" w:rsidRPr="003B2E97" w:rsidRDefault="001C1733"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3,5</w:t>
            </w:r>
          </w:p>
        </w:tc>
        <w:tc>
          <w:tcPr>
            <w:tcW w:w="1134" w:type="dxa"/>
            <w:tcBorders>
              <w:top w:val="single" w:sz="4" w:space="0" w:color="auto"/>
              <w:left w:val="single" w:sz="4" w:space="0" w:color="auto"/>
              <w:bottom w:val="single" w:sz="4" w:space="0" w:color="auto"/>
              <w:right w:val="single" w:sz="4" w:space="0" w:color="auto"/>
            </w:tcBorders>
            <w:hideMark/>
          </w:tcPr>
          <w:p w:rsidR="001C1733" w:rsidRPr="003B2E97" w:rsidRDefault="001C1733"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VARAM</w:t>
            </w:r>
          </w:p>
        </w:tc>
        <w:tc>
          <w:tcPr>
            <w:tcW w:w="1134" w:type="dxa"/>
            <w:tcBorders>
              <w:top w:val="single" w:sz="4" w:space="0" w:color="auto"/>
              <w:left w:val="single" w:sz="4" w:space="0" w:color="auto"/>
              <w:bottom w:val="single" w:sz="4" w:space="0" w:color="auto"/>
              <w:right w:val="single" w:sz="4" w:space="0" w:color="auto"/>
            </w:tcBorders>
            <w:hideMark/>
          </w:tcPr>
          <w:p w:rsidR="001C1733" w:rsidRPr="003B2E97" w:rsidRDefault="001C1733"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31.08.11.</w:t>
            </w:r>
          </w:p>
        </w:tc>
        <w:tc>
          <w:tcPr>
            <w:tcW w:w="1275" w:type="dxa"/>
            <w:tcBorders>
              <w:top w:val="single" w:sz="4" w:space="0" w:color="auto"/>
              <w:left w:val="single" w:sz="4" w:space="0" w:color="auto"/>
              <w:bottom w:val="single" w:sz="4" w:space="0" w:color="auto"/>
              <w:right w:val="single" w:sz="4" w:space="0" w:color="auto"/>
            </w:tcBorders>
          </w:tcPr>
          <w:p w:rsidR="001C1733" w:rsidRPr="003B2E97" w:rsidRDefault="00BB5EF3"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27</w:t>
            </w:r>
            <w:r w:rsidR="001C1733" w:rsidRPr="003B2E97">
              <w:rPr>
                <w:rFonts w:eastAsia="EUAlbertina-Bold-Identity-H"/>
                <w:color w:val="000000" w:themeColor="text1"/>
                <w:sz w:val="20"/>
                <w:lang w:eastAsia="lv-LV"/>
              </w:rPr>
              <w:t>.1</w:t>
            </w:r>
            <w:r w:rsidRPr="003B2E97">
              <w:rPr>
                <w:rFonts w:eastAsia="EUAlbertina-Bold-Identity-H"/>
                <w:color w:val="000000" w:themeColor="text1"/>
                <w:sz w:val="20"/>
                <w:lang w:eastAsia="lv-LV"/>
              </w:rPr>
              <w:t>0</w:t>
            </w:r>
            <w:r w:rsidR="001C1733" w:rsidRPr="003B2E97">
              <w:rPr>
                <w:rFonts w:eastAsia="EUAlbertina-Bold-Identity-H"/>
                <w:color w:val="000000" w:themeColor="text1"/>
                <w:sz w:val="20"/>
                <w:lang w:eastAsia="lv-LV"/>
              </w:rPr>
              <w:t>.11.</w:t>
            </w:r>
          </w:p>
        </w:tc>
        <w:tc>
          <w:tcPr>
            <w:tcW w:w="1276" w:type="dxa"/>
            <w:tcBorders>
              <w:top w:val="single" w:sz="4" w:space="0" w:color="auto"/>
              <w:left w:val="single" w:sz="4" w:space="0" w:color="auto"/>
              <w:bottom w:val="single" w:sz="4" w:space="0" w:color="auto"/>
              <w:right w:val="single" w:sz="4" w:space="0" w:color="auto"/>
            </w:tcBorders>
            <w:hideMark/>
          </w:tcPr>
          <w:p w:rsidR="001C1733" w:rsidRPr="003B2E97" w:rsidRDefault="001C1733"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29.12.11.</w:t>
            </w:r>
          </w:p>
        </w:tc>
      </w:tr>
      <w:tr w:rsidR="00B557E8" w:rsidRPr="003B2E97" w:rsidTr="003E7821">
        <w:trPr>
          <w:tblHeader/>
        </w:trPr>
        <w:tc>
          <w:tcPr>
            <w:tcW w:w="1844" w:type="dxa"/>
            <w:tcBorders>
              <w:top w:val="single" w:sz="4" w:space="0" w:color="auto"/>
              <w:left w:val="single" w:sz="4" w:space="0" w:color="auto"/>
              <w:bottom w:val="single" w:sz="4" w:space="0" w:color="auto"/>
              <w:right w:val="single" w:sz="4" w:space="0" w:color="auto"/>
            </w:tcBorders>
            <w:hideMark/>
          </w:tcPr>
          <w:p w:rsidR="001C1733" w:rsidRPr="003B2E97" w:rsidRDefault="001C1733" w:rsidP="003B2E97">
            <w:pPr>
              <w:spacing w:line="276" w:lineRule="auto"/>
              <w:rPr>
                <w:rFonts w:eastAsia="EUAlbertina-Bold-Identity-H"/>
                <w:color w:val="000000" w:themeColor="text1"/>
                <w:sz w:val="20"/>
                <w:lang w:eastAsia="lv-LV"/>
              </w:rPr>
            </w:pPr>
            <w:r w:rsidRPr="003B2E97">
              <w:rPr>
                <w:color w:val="000000" w:themeColor="text1"/>
                <w:sz w:val="20"/>
                <w:lang w:eastAsia="lv-LV"/>
              </w:rPr>
              <w:t>Inovācijas "zaļās" ražošanas jomā</w:t>
            </w:r>
          </w:p>
        </w:tc>
        <w:tc>
          <w:tcPr>
            <w:tcW w:w="1984" w:type="dxa"/>
            <w:tcBorders>
              <w:top w:val="single" w:sz="4" w:space="0" w:color="auto"/>
              <w:left w:val="single" w:sz="4" w:space="0" w:color="auto"/>
              <w:bottom w:val="single" w:sz="4" w:space="0" w:color="auto"/>
              <w:right w:val="single" w:sz="4" w:space="0" w:color="auto"/>
            </w:tcBorders>
            <w:hideMark/>
          </w:tcPr>
          <w:p w:rsidR="001C1733" w:rsidRPr="003B2E97" w:rsidRDefault="001C1733"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Inovācijas „zaļās” ražošanas jomā</w:t>
            </w:r>
          </w:p>
        </w:tc>
        <w:tc>
          <w:tcPr>
            <w:tcW w:w="993" w:type="dxa"/>
            <w:tcBorders>
              <w:top w:val="single" w:sz="4" w:space="0" w:color="auto"/>
              <w:left w:val="single" w:sz="4" w:space="0" w:color="auto"/>
              <w:bottom w:val="single" w:sz="4" w:space="0" w:color="auto"/>
              <w:right w:val="single" w:sz="4" w:space="0" w:color="auto"/>
            </w:tcBorders>
            <w:hideMark/>
          </w:tcPr>
          <w:p w:rsidR="001C1733" w:rsidRPr="003B2E97" w:rsidRDefault="001C1733" w:rsidP="003B2E97">
            <w:pPr>
              <w:spacing w:line="276" w:lineRule="auto"/>
              <w:rPr>
                <w:rFonts w:eastAsia="EUAlbertina-Bold-Identity-H"/>
                <w:color w:val="000000" w:themeColor="text1"/>
                <w:sz w:val="20"/>
                <w:lang w:eastAsia="lv-LV"/>
              </w:rPr>
            </w:pPr>
            <w:r w:rsidRPr="003B2E97">
              <w:rPr>
                <w:color w:val="000000" w:themeColor="text1"/>
                <w:sz w:val="20"/>
                <w:lang w:eastAsia="lv-LV"/>
              </w:rPr>
              <w:t>7,9</w:t>
            </w:r>
          </w:p>
        </w:tc>
        <w:tc>
          <w:tcPr>
            <w:tcW w:w="1134" w:type="dxa"/>
            <w:tcBorders>
              <w:top w:val="single" w:sz="4" w:space="0" w:color="auto"/>
              <w:left w:val="single" w:sz="4" w:space="0" w:color="auto"/>
              <w:bottom w:val="single" w:sz="4" w:space="0" w:color="auto"/>
              <w:right w:val="single" w:sz="4" w:space="0" w:color="auto"/>
            </w:tcBorders>
            <w:hideMark/>
          </w:tcPr>
          <w:p w:rsidR="001C1733" w:rsidRPr="003B2E97" w:rsidRDefault="001C1733"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EM</w:t>
            </w:r>
          </w:p>
        </w:tc>
        <w:tc>
          <w:tcPr>
            <w:tcW w:w="1134" w:type="dxa"/>
            <w:tcBorders>
              <w:top w:val="single" w:sz="4" w:space="0" w:color="auto"/>
              <w:left w:val="single" w:sz="4" w:space="0" w:color="auto"/>
              <w:bottom w:val="single" w:sz="4" w:space="0" w:color="auto"/>
              <w:right w:val="single" w:sz="4" w:space="0" w:color="auto"/>
            </w:tcBorders>
            <w:hideMark/>
          </w:tcPr>
          <w:p w:rsidR="001C1733" w:rsidRPr="003B2E97" w:rsidRDefault="001C1733"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30.09.11.</w:t>
            </w:r>
          </w:p>
        </w:tc>
        <w:tc>
          <w:tcPr>
            <w:tcW w:w="1275" w:type="dxa"/>
            <w:tcBorders>
              <w:top w:val="single" w:sz="4" w:space="0" w:color="auto"/>
              <w:left w:val="single" w:sz="4" w:space="0" w:color="auto"/>
              <w:bottom w:val="single" w:sz="4" w:space="0" w:color="auto"/>
              <w:right w:val="single" w:sz="4" w:space="0" w:color="auto"/>
            </w:tcBorders>
          </w:tcPr>
          <w:p w:rsidR="001C1733" w:rsidRPr="003B2E97" w:rsidRDefault="00BB5EF3"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10</w:t>
            </w:r>
            <w:r w:rsidR="001C1733" w:rsidRPr="003B2E97">
              <w:rPr>
                <w:rFonts w:eastAsia="EUAlbertina-Bold-Identity-H"/>
                <w:color w:val="000000" w:themeColor="text1"/>
                <w:sz w:val="20"/>
                <w:lang w:eastAsia="lv-LV"/>
              </w:rPr>
              <w:t>.11.11.</w:t>
            </w:r>
          </w:p>
        </w:tc>
        <w:tc>
          <w:tcPr>
            <w:tcW w:w="1276" w:type="dxa"/>
            <w:tcBorders>
              <w:top w:val="single" w:sz="4" w:space="0" w:color="auto"/>
              <w:left w:val="single" w:sz="4" w:space="0" w:color="auto"/>
              <w:bottom w:val="single" w:sz="4" w:space="0" w:color="auto"/>
              <w:right w:val="single" w:sz="4" w:space="0" w:color="auto"/>
            </w:tcBorders>
            <w:hideMark/>
          </w:tcPr>
          <w:p w:rsidR="001C1733" w:rsidRPr="003B2E97" w:rsidRDefault="001C1733"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29.12.11.</w:t>
            </w:r>
          </w:p>
        </w:tc>
      </w:tr>
      <w:tr w:rsidR="00B557E8" w:rsidRPr="003B2E97" w:rsidTr="003E7821">
        <w:trPr>
          <w:tblHeader/>
        </w:trPr>
        <w:tc>
          <w:tcPr>
            <w:tcW w:w="1844" w:type="dxa"/>
            <w:tcBorders>
              <w:top w:val="single" w:sz="4" w:space="0" w:color="auto"/>
              <w:left w:val="single" w:sz="4" w:space="0" w:color="auto"/>
              <w:bottom w:val="single" w:sz="4" w:space="0" w:color="auto"/>
              <w:right w:val="single" w:sz="4" w:space="0" w:color="auto"/>
            </w:tcBorders>
          </w:tcPr>
          <w:p w:rsidR="001C1733" w:rsidRPr="003B2E97" w:rsidRDefault="001C1733"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 xml:space="preserve">Divpusējā sadarbība pētniecības jomā </w:t>
            </w:r>
          </w:p>
          <w:p w:rsidR="001C1733" w:rsidRPr="003B2E97" w:rsidRDefault="001C1733" w:rsidP="003B2E97">
            <w:pPr>
              <w:spacing w:line="276" w:lineRule="auto"/>
              <w:rPr>
                <w:rFonts w:eastAsia="EUAlbertina-Bold-Identity-H"/>
                <w:color w:val="000000" w:themeColor="text1"/>
                <w:sz w:val="20"/>
                <w:lang w:eastAsia="lv-LV"/>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1C1733" w:rsidRPr="003B2E97" w:rsidRDefault="001C1733"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Divpusējā sadarbība pētniecības jomā un stipendijas*</w:t>
            </w:r>
          </w:p>
        </w:tc>
        <w:tc>
          <w:tcPr>
            <w:tcW w:w="993" w:type="dxa"/>
            <w:vMerge w:val="restart"/>
            <w:tcBorders>
              <w:top w:val="single" w:sz="4" w:space="0" w:color="auto"/>
              <w:left w:val="single" w:sz="4" w:space="0" w:color="auto"/>
              <w:bottom w:val="single" w:sz="4" w:space="0" w:color="auto"/>
              <w:right w:val="single" w:sz="4" w:space="0" w:color="auto"/>
            </w:tcBorders>
            <w:hideMark/>
          </w:tcPr>
          <w:p w:rsidR="001C1733" w:rsidRPr="003B2E97" w:rsidRDefault="001C1733"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4,1</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C1733" w:rsidRPr="003B2E97" w:rsidRDefault="001C1733"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IZM</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C1733" w:rsidRPr="003B2E97" w:rsidRDefault="001C1733"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30.11.11.</w:t>
            </w:r>
          </w:p>
        </w:tc>
        <w:tc>
          <w:tcPr>
            <w:tcW w:w="1275" w:type="dxa"/>
            <w:vMerge w:val="restart"/>
            <w:tcBorders>
              <w:top w:val="single" w:sz="4" w:space="0" w:color="auto"/>
              <w:left w:val="single" w:sz="4" w:space="0" w:color="auto"/>
              <w:right w:val="single" w:sz="4" w:space="0" w:color="auto"/>
            </w:tcBorders>
          </w:tcPr>
          <w:p w:rsidR="001C1733" w:rsidRPr="003B2E97" w:rsidRDefault="001C1733"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0</w:t>
            </w:r>
            <w:r w:rsidR="00CD4E2A" w:rsidRPr="003B2E97">
              <w:rPr>
                <w:rFonts w:eastAsia="EUAlbertina-Bold-Identity-H"/>
                <w:color w:val="000000" w:themeColor="text1"/>
                <w:sz w:val="20"/>
                <w:lang w:eastAsia="lv-LV"/>
              </w:rPr>
              <w:t>1</w:t>
            </w:r>
            <w:r w:rsidRPr="003B2E97">
              <w:rPr>
                <w:rFonts w:eastAsia="EUAlbertina-Bold-Identity-H"/>
                <w:color w:val="000000" w:themeColor="text1"/>
                <w:sz w:val="20"/>
                <w:lang w:eastAsia="lv-LV"/>
              </w:rPr>
              <w:t>.1</w:t>
            </w:r>
            <w:r w:rsidR="00CD4E2A" w:rsidRPr="003B2E97">
              <w:rPr>
                <w:rFonts w:eastAsia="EUAlbertina-Bold-Identity-H"/>
                <w:color w:val="000000" w:themeColor="text1"/>
                <w:sz w:val="20"/>
                <w:lang w:eastAsia="lv-LV"/>
              </w:rPr>
              <w:t>2</w:t>
            </w:r>
            <w:r w:rsidRPr="003B2E97">
              <w:rPr>
                <w:rFonts w:eastAsia="EUAlbertina-Bold-Identity-H"/>
                <w:color w:val="000000" w:themeColor="text1"/>
                <w:sz w:val="20"/>
                <w:lang w:eastAsia="lv-LV"/>
              </w:rPr>
              <w:t>.11.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C1733" w:rsidRPr="003B2E97" w:rsidRDefault="001C1733" w:rsidP="003B2E97">
            <w:pPr>
              <w:spacing w:line="276" w:lineRule="auto"/>
              <w:rPr>
                <w:color w:val="000000" w:themeColor="text1"/>
                <w:sz w:val="20"/>
              </w:rPr>
            </w:pPr>
            <w:r w:rsidRPr="003B2E97">
              <w:rPr>
                <w:rFonts w:eastAsia="EUAlbertina-Bold-Identity-H"/>
                <w:color w:val="000000" w:themeColor="text1"/>
                <w:sz w:val="20"/>
                <w:lang w:eastAsia="lv-LV"/>
              </w:rPr>
              <w:t>29.12.11.</w:t>
            </w:r>
          </w:p>
        </w:tc>
      </w:tr>
      <w:tr w:rsidR="00B557E8" w:rsidRPr="003B2E97" w:rsidTr="003E7821">
        <w:trPr>
          <w:tblHeader/>
        </w:trPr>
        <w:tc>
          <w:tcPr>
            <w:tcW w:w="1844" w:type="dxa"/>
            <w:tcBorders>
              <w:top w:val="single" w:sz="4" w:space="0" w:color="auto"/>
              <w:left w:val="single" w:sz="4" w:space="0" w:color="auto"/>
              <w:bottom w:val="single" w:sz="4" w:space="0" w:color="auto"/>
              <w:right w:val="single" w:sz="4" w:space="0" w:color="auto"/>
            </w:tcBorders>
            <w:hideMark/>
          </w:tcPr>
          <w:p w:rsidR="001C1733" w:rsidRPr="003B2E97" w:rsidRDefault="001C1733"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Stipendijas</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1733" w:rsidRPr="003B2E97" w:rsidRDefault="001C1733" w:rsidP="003B2E97">
            <w:pPr>
              <w:spacing w:line="276" w:lineRule="auto"/>
              <w:rPr>
                <w:rFonts w:eastAsia="EUAlbertina-Bold-Identity-H"/>
                <w:color w:val="000000" w:themeColor="text1"/>
                <w:sz w:val="2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1733" w:rsidRPr="003B2E97" w:rsidRDefault="001C1733" w:rsidP="003B2E97">
            <w:pPr>
              <w:spacing w:line="276" w:lineRule="auto"/>
              <w:rPr>
                <w:rFonts w:eastAsia="EUAlbertina-Bold-Identity-H"/>
                <w:color w:val="000000" w:themeColor="text1"/>
                <w:sz w:val="2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1733" w:rsidRPr="003B2E97" w:rsidRDefault="001C1733" w:rsidP="003B2E97">
            <w:pPr>
              <w:spacing w:line="276" w:lineRule="auto"/>
              <w:rPr>
                <w:rFonts w:eastAsia="EUAlbertina-Bold-Identity-H"/>
                <w:color w:val="000000" w:themeColor="text1"/>
                <w:sz w:val="2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1733" w:rsidRPr="003B2E97" w:rsidRDefault="001C1733" w:rsidP="003B2E97">
            <w:pPr>
              <w:spacing w:line="276" w:lineRule="auto"/>
              <w:rPr>
                <w:rFonts w:eastAsia="EUAlbertina-Bold-Identity-H"/>
                <w:color w:val="000000" w:themeColor="text1"/>
                <w:sz w:val="20"/>
                <w:lang w:eastAsia="lv-LV"/>
              </w:rPr>
            </w:pPr>
          </w:p>
        </w:tc>
        <w:tc>
          <w:tcPr>
            <w:tcW w:w="1275" w:type="dxa"/>
            <w:vMerge/>
            <w:tcBorders>
              <w:left w:val="single" w:sz="4" w:space="0" w:color="auto"/>
              <w:bottom w:val="single" w:sz="4" w:space="0" w:color="auto"/>
              <w:right w:val="single" w:sz="4" w:space="0" w:color="auto"/>
            </w:tcBorders>
          </w:tcPr>
          <w:p w:rsidR="001C1733" w:rsidRPr="003B2E97" w:rsidRDefault="001C1733" w:rsidP="003B2E97">
            <w:pPr>
              <w:spacing w:line="276" w:lineRule="auto"/>
              <w:rPr>
                <w:color w:val="000000" w:themeColor="text1"/>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1733" w:rsidRPr="003B2E97" w:rsidRDefault="001C1733" w:rsidP="003B2E97">
            <w:pPr>
              <w:spacing w:line="276" w:lineRule="auto"/>
              <w:rPr>
                <w:color w:val="000000" w:themeColor="text1"/>
                <w:sz w:val="20"/>
              </w:rPr>
            </w:pPr>
          </w:p>
        </w:tc>
      </w:tr>
      <w:tr w:rsidR="00B557E8" w:rsidRPr="003B2E97" w:rsidTr="003E7821">
        <w:trPr>
          <w:tblHeader/>
        </w:trPr>
        <w:tc>
          <w:tcPr>
            <w:tcW w:w="1844" w:type="dxa"/>
            <w:tcBorders>
              <w:top w:val="single" w:sz="4" w:space="0" w:color="auto"/>
              <w:left w:val="single" w:sz="4" w:space="0" w:color="auto"/>
              <w:bottom w:val="single" w:sz="4" w:space="0" w:color="auto"/>
              <w:right w:val="single" w:sz="4" w:space="0" w:color="auto"/>
            </w:tcBorders>
            <w:hideMark/>
          </w:tcPr>
          <w:p w:rsidR="008F2368" w:rsidRPr="003B2E97" w:rsidRDefault="008F2368"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 xml:space="preserve">Korekcijas pakalpojumi, </w:t>
            </w:r>
            <w:proofErr w:type="spellStart"/>
            <w:r w:rsidRPr="003B2E97">
              <w:rPr>
                <w:rFonts w:eastAsia="EUAlbertina-Bold-Identity-H"/>
                <w:color w:val="000000" w:themeColor="text1"/>
                <w:sz w:val="20"/>
                <w:lang w:eastAsia="lv-LV"/>
              </w:rPr>
              <w:t>t.sk</w:t>
            </w:r>
            <w:proofErr w:type="spellEnd"/>
            <w:r w:rsidRPr="003B2E97">
              <w:rPr>
                <w:rFonts w:eastAsia="EUAlbertina-Bold-Identity-H"/>
                <w:color w:val="000000" w:themeColor="text1"/>
                <w:sz w:val="20"/>
                <w:lang w:eastAsia="lv-LV"/>
              </w:rPr>
              <w:t>. ar ieslodzījumu nesaistītas sankcijas</w:t>
            </w:r>
          </w:p>
        </w:tc>
        <w:tc>
          <w:tcPr>
            <w:tcW w:w="1984" w:type="dxa"/>
            <w:tcBorders>
              <w:top w:val="single" w:sz="4" w:space="0" w:color="auto"/>
              <w:left w:val="single" w:sz="4" w:space="0" w:color="auto"/>
              <w:bottom w:val="single" w:sz="4" w:space="0" w:color="auto"/>
              <w:right w:val="single" w:sz="4" w:space="0" w:color="auto"/>
            </w:tcBorders>
            <w:hideMark/>
          </w:tcPr>
          <w:p w:rsidR="008F2368" w:rsidRPr="003B2E97" w:rsidRDefault="008F2368"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Latvijas korekcijas dienestu un Valsts policijas īslaicīgās aizturēšanas vietu reforma</w:t>
            </w:r>
          </w:p>
        </w:tc>
        <w:tc>
          <w:tcPr>
            <w:tcW w:w="993" w:type="dxa"/>
            <w:tcBorders>
              <w:top w:val="single" w:sz="4" w:space="0" w:color="auto"/>
              <w:left w:val="single" w:sz="4" w:space="0" w:color="auto"/>
              <w:bottom w:val="single" w:sz="4" w:space="0" w:color="auto"/>
              <w:right w:val="single" w:sz="4" w:space="0" w:color="auto"/>
            </w:tcBorders>
            <w:hideMark/>
          </w:tcPr>
          <w:p w:rsidR="008F2368" w:rsidRPr="003B2E97" w:rsidRDefault="008F2368"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9,1</w:t>
            </w:r>
          </w:p>
        </w:tc>
        <w:tc>
          <w:tcPr>
            <w:tcW w:w="1134" w:type="dxa"/>
            <w:tcBorders>
              <w:top w:val="single" w:sz="4" w:space="0" w:color="auto"/>
              <w:left w:val="single" w:sz="4" w:space="0" w:color="auto"/>
              <w:bottom w:val="single" w:sz="4" w:space="0" w:color="auto"/>
              <w:right w:val="single" w:sz="4" w:space="0" w:color="auto"/>
            </w:tcBorders>
            <w:hideMark/>
          </w:tcPr>
          <w:p w:rsidR="008F2368" w:rsidRPr="003B2E97" w:rsidRDefault="008F2368"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TM sadarbībā ar IeM</w:t>
            </w:r>
          </w:p>
        </w:tc>
        <w:tc>
          <w:tcPr>
            <w:tcW w:w="1134" w:type="dxa"/>
            <w:tcBorders>
              <w:top w:val="single" w:sz="4" w:space="0" w:color="auto"/>
              <w:left w:val="single" w:sz="4" w:space="0" w:color="auto"/>
              <w:bottom w:val="single" w:sz="4" w:space="0" w:color="auto"/>
              <w:right w:val="single" w:sz="4" w:space="0" w:color="auto"/>
            </w:tcBorders>
            <w:hideMark/>
          </w:tcPr>
          <w:p w:rsidR="008F2368" w:rsidRPr="003B2E97" w:rsidRDefault="008F2368"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31.10.11.</w:t>
            </w:r>
          </w:p>
        </w:tc>
        <w:tc>
          <w:tcPr>
            <w:tcW w:w="1275" w:type="dxa"/>
            <w:tcBorders>
              <w:top w:val="single" w:sz="4" w:space="0" w:color="auto"/>
              <w:left w:val="single" w:sz="4" w:space="0" w:color="auto"/>
              <w:bottom w:val="single" w:sz="4" w:space="0" w:color="auto"/>
              <w:right w:val="single" w:sz="4" w:space="0" w:color="auto"/>
            </w:tcBorders>
          </w:tcPr>
          <w:p w:rsidR="008F2368" w:rsidRPr="003B2E97" w:rsidRDefault="008F2368"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27.10.11.</w:t>
            </w:r>
          </w:p>
        </w:tc>
        <w:tc>
          <w:tcPr>
            <w:tcW w:w="1276" w:type="dxa"/>
            <w:tcBorders>
              <w:top w:val="single" w:sz="4" w:space="0" w:color="auto"/>
              <w:left w:val="single" w:sz="4" w:space="0" w:color="auto"/>
              <w:bottom w:val="single" w:sz="4" w:space="0" w:color="auto"/>
              <w:right w:val="single" w:sz="4" w:space="0" w:color="auto"/>
            </w:tcBorders>
            <w:hideMark/>
          </w:tcPr>
          <w:p w:rsidR="008F2368" w:rsidRPr="003B2E97" w:rsidRDefault="008F2368" w:rsidP="003B2E97">
            <w:pPr>
              <w:spacing w:line="276" w:lineRule="auto"/>
              <w:rPr>
                <w:color w:val="000000" w:themeColor="text1"/>
                <w:sz w:val="20"/>
              </w:rPr>
            </w:pPr>
            <w:r w:rsidRPr="003B2E97">
              <w:rPr>
                <w:rFonts w:eastAsia="EUAlbertina-Bold-Identity-H"/>
                <w:color w:val="000000" w:themeColor="text1"/>
                <w:sz w:val="20"/>
                <w:lang w:eastAsia="lv-LV"/>
              </w:rPr>
              <w:t>29.12.11.</w:t>
            </w:r>
          </w:p>
        </w:tc>
      </w:tr>
      <w:tr w:rsidR="00B557E8" w:rsidRPr="003B2E97" w:rsidTr="003E7821">
        <w:trPr>
          <w:tblHeader/>
        </w:trPr>
        <w:tc>
          <w:tcPr>
            <w:tcW w:w="1844" w:type="dxa"/>
            <w:tcBorders>
              <w:top w:val="single" w:sz="4" w:space="0" w:color="auto"/>
              <w:left w:val="single" w:sz="4" w:space="0" w:color="auto"/>
              <w:bottom w:val="single" w:sz="4" w:space="0" w:color="auto"/>
              <w:right w:val="single" w:sz="4" w:space="0" w:color="auto"/>
            </w:tcBorders>
            <w:hideMark/>
          </w:tcPr>
          <w:p w:rsidR="008F2368" w:rsidRPr="003B2E97" w:rsidRDefault="008F2368"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Cienīga darba un trīspusējās sadarbības veicināšana</w:t>
            </w:r>
          </w:p>
        </w:tc>
        <w:tc>
          <w:tcPr>
            <w:tcW w:w="1984" w:type="dxa"/>
            <w:tcBorders>
              <w:top w:val="single" w:sz="4" w:space="0" w:color="auto"/>
              <w:left w:val="single" w:sz="4" w:space="0" w:color="auto"/>
              <w:bottom w:val="single" w:sz="4" w:space="0" w:color="auto"/>
              <w:right w:val="single" w:sz="4" w:space="0" w:color="auto"/>
            </w:tcBorders>
            <w:hideMark/>
          </w:tcPr>
          <w:p w:rsidR="008F2368" w:rsidRPr="003B2E97" w:rsidRDefault="008F2368" w:rsidP="003B2E97">
            <w:pPr>
              <w:spacing w:line="276" w:lineRule="auto"/>
              <w:rPr>
                <w:rFonts w:eastAsia="EUAlbertina-Bold-Identity-H"/>
                <w:color w:val="000000" w:themeColor="text1"/>
                <w:sz w:val="20"/>
                <w:lang w:eastAsia="lv-LV"/>
              </w:rPr>
            </w:pPr>
            <w:r w:rsidRPr="003B2E97">
              <w:rPr>
                <w:color w:val="000000" w:themeColor="text1"/>
                <w:sz w:val="20"/>
                <w:lang w:eastAsia="lv-LV"/>
              </w:rPr>
              <w:t>Globālais fonds cienīga darba un trīspusējās sadarbības veicināšanai</w:t>
            </w:r>
          </w:p>
        </w:tc>
        <w:tc>
          <w:tcPr>
            <w:tcW w:w="993" w:type="dxa"/>
            <w:tcBorders>
              <w:top w:val="single" w:sz="4" w:space="0" w:color="auto"/>
              <w:left w:val="single" w:sz="4" w:space="0" w:color="auto"/>
              <w:bottom w:val="single" w:sz="4" w:space="0" w:color="auto"/>
              <w:right w:val="single" w:sz="4" w:space="0" w:color="auto"/>
            </w:tcBorders>
            <w:hideMark/>
          </w:tcPr>
          <w:p w:rsidR="008F2368" w:rsidRPr="003B2E97" w:rsidRDefault="008F2368"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0,2</w:t>
            </w:r>
          </w:p>
        </w:tc>
        <w:tc>
          <w:tcPr>
            <w:tcW w:w="1134" w:type="dxa"/>
            <w:tcBorders>
              <w:top w:val="single" w:sz="4" w:space="0" w:color="auto"/>
              <w:left w:val="single" w:sz="4" w:space="0" w:color="auto"/>
              <w:bottom w:val="single" w:sz="4" w:space="0" w:color="auto"/>
              <w:right w:val="single" w:sz="4" w:space="0" w:color="auto"/>
            </w:tcBorders>
            <w:hideMark/>
          </w:tcPr>
          <w:p w:rsidR="008F2368" w:rsidRPr="003B2E97" w:rsidRDefault="008F2368"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 xml:space="preserve">Norvēģijas institūcija – </w:t>
            </w:r>
            <w:proofErr w:type="spellStart"/>
            <w:r w:rsidRPr="003B2E97">
              <w:rPr>
                <w:rFonts w:eastAsia="EUAlbertina-Bold-Identity-H"/>
                <w:color w:val="000000" w:themeColor="text1"/>
                <w:sz w:val="20"/>
                <w:lang w:eastAsia="lv-LV"/>
              </w:rPr>
              <w:t>Innovation</w:t>
            </w:r>
            <w:proofErr w:type="spellEnd"/>
            <w:r w:rsidRPr="003B2E97">
              <w:rPr>
                <w:rFonts w:eastAsia="EUAlbertina-Bold-Identity-H"/>
                <w:color w:val="000000" w:themeColor="text1"/>
                <w:sz w:val="20"/>
                <w:lang w:eastAsia="lv-LV"/>
              </w:rPr>
              <w:t xml:space="preserve"> </w:t>
            </w:r>
            <w:proofErr w:type="spellStart"/>
            <w:r w:rsidRPr="003B2E97">
              <w:rPr>
                <w:rFonts w:eastAsia="EUAlbertina-Bold-Identity-H"/>
                <w:color w:val="000000" w:themeColor="text1"/>
                <w:sz w:val="20"/>
                <w:lang w:eastAsia="lv-LV"/>
              </w:rPr>
              <w:t>Norway</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F2368" w:rsidRPr="003B2E97" w:rsidRDefault="008F2368"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n/a</w:t>
            </w:r>
          </w:p>
        </w:tc>
        <w:tc>
          <w:tcPr>
            <w:tcW w:w="1275" w:type="dxa"/>
            <w:tcBorders>
              <w:top w:val="single" w:sz="4" w:space="0" w:color="auto"/>
              <w:left w:val="single" w:sz="4" w:space="0" w:color="auto"/>
              <w:bottom w:val="single" w:sz="4" w:space="0" w:color="auto"/>
              <w:right w:val="single" w:sz="4" w:space="0" w:color="auto"/>
            </w:tcBorders>
          </w:tcPr>
          <w:p w:rsidR="008F2368" w:rsidRPr="003B2E97" w:rsidRDefault="008F2368"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n/a</w:t>
            </w:r>
          </w:p>
        </w:tc>
        <w:tc>
          <w:tcPr>
            <w:tcW w:w="1276" w:type="dxa"/>
            <w:tcBorders>
              <w:top w:val="single" w:sz="4" w:space="0" w:color="auto"/>
              <w:left w:val="single" w:sz="4" w:space="0" w:color="auto"/>
              <w:bottom w:val="single" w:sz="4" w:space="0" w:color="auto"/>
              <w:right w:val="single" w:sz="4" w:space="0" w:color="auto"/>
            </w:tcBorders>
            <w:hideMark/>
          </w:tcPr>
          <w:p w:rsidR="008F2368" w:rsidRPr="003B2E97" w:rsidRDefault="008F2368"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n/a</w:t>
            </w:r>
          </w:p>
        </w:tc>
      </w:tr>
      <w:tr w:rsidR="00B557E8" w:rsidRPr="003B2E97" w:rsidTr="003E7821">
        <w:trPr>
          <w:tblHeader/>
        </w:trPr>
        <w:tc>
          <w:tcPr>
            <w:tcW w:w="7089" w:type="dxa"/>
            <w:gridSpan w:val="5"/>
            <w:tcBorders>
              <w:top w:val="single" w:sz="4" w:space="0" w:color="auto"/>
              <w:left w:val="single" w:sz="4" w:space="0" w:color="auto"/>
              <w:bottom w:val="single" w:sz="4" w:space="0" w:color="auto"/>
              <w:right w:val="single" w:sz="4" w:space="0" w:color="auto"/>
            </w:tcBorders>
            <w:hideMark/>
          </w:tcPr>
          <w:p w:rsidR="008F2368" w:rsidRPr="003B2E97" w:rsidRDefault="008F2368" w:rsidP="003B2E97">
            <w:pPr>
              <w:spacing w:line="276" w:lineRule="auto"/>
              <w:rPr>
                <w:rFonts w:eastAsia="EUAlbertina-Bold-Identity-H"/>
                <w:b/>
                <w:bCs/>
                <w:color w:val="000000" w:themeColor="text1"/>
                <w:sz w:val="20"/>
                <w:lang w:eastAsia="lv-LV"/>
              </w:rPr>
            </w:pPr>
            <w:r w:rsidRPr="003B2E97">
              <w:rPr>
                <w:rFonts w:eastAsia="EUAlbertina-Bold-Identity-H"/>
                <w:b/>
                <w:bCs/>
                <w:color w:val="000000" w:themeColor="text1"/>
                <w:sz w:val="20"/>
                <w:lang w:eastAsia="lv-LV"/>
              </w:rPr>
              <w:t>Citi piešķīrumi</w:t>
            </w:r>
          </w:p>
        </w:tc>
        <w:tc>
          <w:tcPr>
            <w:tcW w:w="1275" w:type="dxa"/>
            <w:tcBorders>
              <w:top w:val="single" w:sz="4" w:space="0" w:color="auto"/>
              <w:left w:val="single" w:sz="4" w:space="0" w:color="auto"/>
              <w:bottom w:val="single" w:sz="4" w:space="0" w:color="auto"/>
              <w:right w:val="single" w:sz="4" w:space="0" w:color="auto"/>
            </w:tcBorders>
          </w:tcPr>
          <w:p w:rsidR="008F2368" w:rsidRPr="003B2E97" w:rsidRDefault="008F2368" w:rsidP="003B2E97">
            <w:pPr>
              <w:spacing w:line="276" w:lineRule="auto"/>
              <w:rPr>
                <w:rFonts w:eastAsia="EUAlbertina-Bold-Identity-H"/>
                <w:b/>
                <w:bCs/>
                <w:color w:val="000000" w:themeColor="text1"/>
                <w:sz w:val="20"/>
                <w:lang w:eastAsia="lv-LV"/>
              </w:rPr>
            </w:pPr>
          </w:p>
        </w:tc>
        <w:tc>
          <w:tcPr>
            <w:tcW w:w="1276" w:type="dxa"/>
            <w:tcBorders>
              <w:top w:val="single" w:sz="4" w:space="0" w:color="auto"/>
              <w:left w:val="single" w:sz="4" w:space="0" w:color="auto"/>
              <w:bottom w:val="single" w:sz="4" w:space="0" w:color="auto"/>
              <w:right w:val="single" w:sz="4" w:space="0" w:color="auto"/>
            </w:tcBorders>
          </w:tcPr>
          <w:p w:rsidR="008F2368" w:rsidRPr="003B2E97" w:rsidRDefault="008F2368" w:rsidP="003B2E97">
            <w:pPr>
              <w:spacing w:line="276" w:lineRule="auto"/>
              <w:rPr>
                <w:rFonts w:eastAsia="EUAlbertina-Bold-Identity-H"/>
                <w:b/>
                <w:bCs/>
                <w:color w:val="000000" w:themeColor="text1"/>
                <w:sz w:val="20"/>
                <w:lang w:eastAsia="lv-LV"/>
              </w:rPr>
            </w:pPr>
          </w:p>
        </w:tc>
      </w:tr>
      <w:tr w:rsidR="00B557E8" w:rsidRPr="003B2E97" w:rsidTr="003E7821">
        <w:trPr>
          <w:tblHeader/>
        </w:trPr>
        <w:tc>
          <w:tcPr>
            <w:tcW w:w="1844" w:type="dxa"/>
            <w:tcBorders>
              <w:top w:val="single" w:sz="4" w:space="0" w:color="auto"/>
              <w:left w:val="single" w:sz="4" w:space="0" w:color="auto"/>
              <w:bottom w:val="single" w:sz="4" w:space="0" w:color="auto"/>
              <w:right w:val="single" w:sz="4" w:space="0" w:color="auto"/>
            </w:tcBorders>
            <w:hideMark/>
          </w:tcPr>
          <w:p w:rsidR="008F2368" w:rsidRPr="003B2E97" w:rsidRDefault="008F27FF"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TP</w:t>
            </w:r>
            <w:r w:rsidR="008F2368" w:rsidRPr="003B2E97">
              <w:rPr>
                <w:rFonts w:eastAsia="EUAlbertina-Bold-Identity-H"/>
                <w:color w:val="000000" w:themeColor="text1"/>
                <w:sz w:val="20"/>
                <w:lang w:eastAsia="lv-LV"/>
              </w:rPr>
              <w:t xml:space="preserve"> un Bilateriālais fonds </w:t>
            </w:r>
          </w:p>
        </w:tc>
        <w:tc>
          <w:tcPr>
            <w:tcW w:w="1984" w:type="dxa"/>
            <w:tcBorders>
              <w:top w:val="single" w:sz="4" w:space="0" w:color="auto"/>
              <w:left w:val="single" w:sz="4" w:space="0" w:color="auto"/>
              <w:bottom w:val="single" w:sz="4" w:space="0" w:color="auto"/>
              <w:right w:val="single" w:sz="4" w:space="0" w:color="auto"/>
            </w:tcBorders>
            <w:hideMark/>
          </w:tcPr>
          <w:p w:rsidR="008F2368" w:rsidRPr="003B2E97" w:rsidRDefault="008F27FF" w:rsidP="003B2E97">
            <w:pPr>
              <w:spacing w:line="276" w:lineRule="auto"/>
              <w:rPr>
                <w:color w:val="000000" w:themeColor="text1"/>
                <w:sz w:val="20"/>
                <w:lang w:eastAsia="lv-LV"/>
              </w:rPr>
            </w:pPr>
            <w:r w:rsidRPr="003B2E97">
              <w:rPr>
                <w:color w:val="000000" w:themeColor="text1"/>
                <w:sz w:val="20"/>
                <w:lang w:eastAsia="lv-LV"/>
              </w:rPr>
              <w:t>TP</w:t>
            </w:r>
            <w:r w:rsidR="008F2368" w:rsidRPr="003B2E97">
              <w:rPr>
                <w:color w:val="000000" w:themeColor="text1"/>
                <w:sz w:val="20"/>
                <w:lang w:eastAsia="lv-LV"/>
              </w:rPr>
              <w:t xml:space="preserve"> fonds</w:t>
            </w:r>
          </w:p>
        </w:tc>
        <w:tc>
          <w:tcPr>
            <w:tcW w:w="993" w:type="dxa"/>
            <w:tcBorders>
              <w:top w:val="single" w:sz="4" w:space="0" w:color="auto"/>
              <w:left w:val="single" w:sz="4" w:space="0" w:color="auto"/>
              <w:bottom w:val="single" w:sz="4" w:space="0" w:color="auto"/>
              <w:right w:val="single" w:sz="4" w:space="0" w:color="auto"/>
            </w:tcBorders>
            <w:hideMark/>
          </w:tcPr>
          <w:p w:rsidR="008F2368" w:rsidRPr="003B2E97" w:rsidRDefault="008F2368"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1,0</w:t>
            </w:r>
          </w:p>
        </w:tc>
        <w:tc>
          <w:tcPr>
            <w:tcW w:w="1134" w:type="dxa"/>
            <w:tcBorders>
              <w:top w:val="single" w:sz="4" w:space="0" w:color="auto"/>
              <w:left w:val="single" w:sz="4" w:space="0" w:color="auto"/>
              <w:bottom w:val="single" w:sz="4" w:space="0" w:color="auto"/>
              <w:right w:val="single" w:sz="4" w:space="0" w:color="auto"/>
            </w:tcBorders>
            <w:hideMark/>
          </w:tcPr>
          <w:p w:rsidR="008F2368" w:rsidRPr="003B2E97" w:rsidRDefault="008F2368"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FM</w:t>
            </w:r>
          </w:p>
        </w:tc>
        <w:tc>
          <w:tcPr>
            <w:tcW w:w="1134" w:type="dxa"/>
            <w:tcBorders>
              <w:top w:val="single" w:sz="4" w:space="0" w:color="auto"/>
              <w:left w:val="single" w:sz="4" w:space="0" w:color="auto"/>
              <w:bottom w:val="single" w:sz="4" w:space="0" w:color="auto"/>
              <w:right w:val="single" w:sz="4" w:space="0" w:color="auto"/>
            </w:tcBorders>
            <w:hideMark/>
          </w:tcPr>
          <w:p w:rsidR="008F2368" w:rsidRPr="003B2E97" w:rsidRDefault="008F2368"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n/a</w:t>
            </w:r>
          </w:p>
        </w:tc>
        <w:tc>
          <w:tcPr>
            <w:tcW w:w="1275" w:type="dxa"/>
            <w:tcBorders>
              <w:top w:val="single" w:sz="4" w:space="0" w:color="auto"/>
              <w:left w:val="single" w:sz="4" w:space="0" w:color="auto"/>
              <w:bottom w:val="single" w:sz="4" w:space="0" w:color="auto"/>
              <w:right w:val="single" w:sz="4" w:space="0" w:color="auto"/>
            </w:tcBorders>
          </w:tcPr>
          <w:p w:rsidR="008F2368" w:rsidRPr="003B2E97" w:rsidRDefault="008F2368"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n/a</w:t>
            </w:r>
          </w:p>
        </w:tc>
        <w:tc>
          <w:tcPr>
            <w:tcW w:w="1276" w:type="dxa"/>
            <w:tcBorders>
              <w:top w:val="single" w:sz="4" w:space="0" w:color="auto"/>
              <w:left w:val="single" w:sz="4" w:space="0" w:color="auto"/>
              <w:bottom w:val="single" w:sz="4" w:space="0" w:color="auto"/>
              <w:right w:val="single" w:sz="4" w:space="0" w:color="auto"/>
            </w:tcBorders>
            <w:hideMark/>
          </w:tcPr>
          <w:p w:rsidR="008F2368" w:rsidRPr="003B2E97" w:rsidRDefault="008F2368"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n/a</w:t>
            </w:r>
          </w:p>
        </w:tc>
      </w:tr>
      <w:tr w:rsidR="00B557E8" w:rsidRPr="003B2E97" w:rsidTr="003E7821">
        <w:trPr>
          <w:gridAfter w:val="3"/>
          <w:wAfter w:w="3685" w:type="dxa"/>
          <w:tblHeader/>
        </w:trPr>
        <w:tc>
          <w:tcPr>
            <w:tcW w:w="3828" w:type="dxa"/>
            <w:gridSpan w:val="2"/>
            <w:tcBorders>
              <w:top w:val="single" w:sz="4" w:space="0" w:color="auto"/>
              <w:left w:val="single" w:sz="4" w:space="0" w:color="auto"/>
              <w:bottom w:val="single" w:sz="4" w:space="0" w:color="auto"/>
              <w:right w:val="single" w:sz="4" w:space="0" w:color="auto"/>
            </w:tcBorders>
            <w:hideMark/>
          </w:tcPr>
          <w:p w:rsidR="008F2368" w:rsidRPr="003B2E97" w:rsidRDefault="008F2368" w:rsidP="003B2E97">
            <w:pPr>
              <w:spacing w:line="276" w:lineRule="auto"/>
              <w:rPr>
                <w:b/>
                <w:bCs/>
                <w:color w:val="000000" w:themeColor="text1"/>
                <w:sz w:val="20"/>
                <w:lang w:eastAsia="lv-LV"/>
              </w:rPr>
            </w:pPr>
            <w:r w:rsidRPr="003B2E97">
              <w:rPr>
                <w:rFonts w:eastAsia="EUAlbertina-Bold-Identity-H"/>
                <w:b/>
                <w:bCs/>
                <w:color w:val="000000" w:themeColor="text1"/>
                <w:sz w:val="20"/>
                <w:lang w:eastAsia="lv-LV"/>
              </w:rPr>
              <w:t>Kopā:</w:t>
            </w:r>
          </w:p>
        </w:tc>
        <w:tc>
          <w:tcPr>
            <w:tcW w:w="993" w:type="dxa"/>
            <w:tcBorders>
              <w:top w:val="single" w:sz="4" w:space="0" w:color="auto"/>
              <w:left w:val="single" w:sz="4" w:space="0" w:color="auto"/>
              <w:bottom w:val="single" w:sz="4" w:space="0" w:color="auto"/>
              <w:right w:val="single" w:sz="4" w:space="0" w:color="auto"/>
            </w:tcBorders>
            <w:hideMark/>
          </w:tcPr>
          <w:p w:rsidR="008F2368" w:rsidRPr="003B2E97" w:rsidRDefault="008F2368" w:rsidP="003B2E97">
            <w:pPr>
              <w:spacing w:line="276" w:lineRule="auto"/>
              <w:rPr>
                <w:rFonts w:eastAsia="EUAlbertina-Bold-Identity-H"/>
                <w:b/>
                <w:bCs/>
                <w:color w:val="000000" w:themeColor="text1"/>
                <w:sz w:val="20"/>
                <w:lang w:eastAsia="lv-LV"/>
              </w:rPr>
            </w:pPr>
            <w:r w:rsidRPr="003B2E97">
              <w:rPr>
                <w:rFonts w:eastAsia="EUAlbertina-Bold-Identity-H"/>
                <w:b/>
                <w:bCs/>
                <w:color w:val="000000" w:themeColor="text1"/>
                <w:sz w:val="20"/>
                <w:lang w:eastAsia="lv-LV"/>
              </w:rPr>
              <w:t>47,4</w:t>
            </w:r>
          </w:p>
        </w:tc>
        <w:tc>
          <w:tcPr>
            <w:tcW w:w="1134" w:type="dxa"/>
            <w:tcBorders>
              <w:top w:val="single" w:sz="4" w:space="0" w:color="auto"/>
              <w:left w:val="single" w:sz="4" w:space="0" w:color="auto"/>
              <w:bottom w:val="single" w:sz="4" w:space="0" w:color="auto"/>
              <w:right w:val="single" w:sz="4" w:space="0" w:color="auto"/>
            </w:tcBorders>
          </w:tcPr>
          <w:p w:rsidR="008F2368" w:rsidRPr="003B2E97" w:rsidRDefault="008F2368" w:rsidP="003B2E97">
            <w:pPr>
              <w:spacing w:line="276" w:lineRule="auto"/>
              <w:rPr>
                <w:rFonts w:eastAsia="EUAlbertina-Bold-Identity-H"/>
                <w:b/>
                <w:bCs/>
                <w:color w:val="000000" w:themeColor="text1"/>
                <w:sz w:val="20"/>
                <w:lang w:eastAsia="lv-LV"/>
              </w:rPr>
            </w:pPr>
          </w:p>
        </w:tc>
      </w:tr>
    </w:tbl>
    <w:p w:rsidR="001C1733" w:rsidRPr="00B557E8" w:rsidRDefault="001C1733" w:rsidP="00B557E8">
      <w:pPr>
        <w:spacing w:before="120" w:after="120" w:line="276" w:lineRule="auto"/>
        <w:rPr>
          <w:i/>
          <w:color w:val="000000" w:themeColor="text1"/>
          <w:szCs w:val="24"/>
        </w:rPr>
      </w:pPr>
      <w:r w:rsidRPr="00B557E8">
        <w:rPr>
          <w:i/>
          <w:color w:val="000000" w:themeColor="text1"/>
          <w:szCs w:val="24"/>
        </w:rPr>
        <w:t>* Programma „Divpusējā sadarbība pētniecības jomā un stipendijas” ir finansēta no abiem finanšu instrumentiem</w:t>
      </w:r>
    </w:p>
    <w:p w:rsidR="001C1733" w:rsidRPr="00B557E8" w:rsidRDefault="001C1733" w:rsidP="00B557E8">
      <w:pPr>
        <w:spacing w:before="120" w:after="120" w:line="276" w:lineRule="auto"/>
        <w:rPr>
          <w:color w:val="000000" w:themeColor="text1"/>
          <w:szCs w:val="24"/>
        </w:rPr>
      </w:pPr>
      <w:r w:rsidRPr="00B557E8">
        <w:rPr>
          <w:color w:val="000000" w:themeColor="text1"/>
          <w:szCs w:val="24"/>
        </w:rPr>
        <w:t xml:space="preserve">Pārskata periodā nozaru ministrijas kā programmu apsaimniekotājas jau ir uzsākušas darbu pie programmu iesniegumu projektu izstrādes, lai nodrošinātu to iesniegšanu MK. Vienlaikus, </w:t>
      </w:r>
      <w:r w:rsidR="008F27FF" w:rsidRPr="00B557E8">
        <w:rPr>
          <w:color w:val="000000" w:themeColor="text1"/>
          <w:szCs w:val="24"/>
        </w:rPr>
        <w:t>FM</w:t>
      </w:r>
      <w:r w:rsidRPr="00B557E8">
        <w:rPr>
          <w:color w:val="000000" w:themeColor="text1"/>
          <w:szCs w:val="24"/>
        </w:rPr>
        <w:t xml:space="preserve">, </w:t>
      </w:r>
      <w:r w:rsidRPr="00B557E8">
        <w:rPr>
          <w:color w:val="000000" w:themeColor="text1"/>
          <w:szCs w:val="24"/>
        </w:rPr>
        <w:lastRenderedPageBreak/>
        <w:t>norāda, ka šādas ministrijas nav iesniegušas MK noteiktajā termiņā programmu iesniegumu projektus MK:</w:t>
      </w:r>
    </w:p>
    <w:p w:rsidR="001C1733" w:rsidRPr="00B557E8" w:rsidRDefault="001C1733" w:rsidP="00B557E8">
      <w:pPr>
        <w:pStyle w:val="ListParagraph"/>
        <w:numPr>
          <w:ilvl w:val="0"/>
          <w:numId w:val="74"/>
        </w:numPr>
        <w:spacing w:before="120" w:after="120"/>
        <w:jc w:val="both"/>
        <w:rPr>
          <w:rFonts w:ascii="Times New Roman" w:hAnsi="Times New Roman"/>
          <w:color w:val="000000" w:themeColor="text1"/>
          <w:sz w:val="24"/>
          <w:szCs w:val="24"/>
        </w:rPr>
      </w:pPr>
      <w:r w:rsidRPr="00B557E8">
        <w:rPr>
          <w:rFonts w:ascii="Times New Roman" w:hAnsi="Times New Roman"/>
          <w:color w:val="000000" w:themeColor="text1"/>
          <w:sz w:val="24"/>
          <w:szCs w:val="24"/>
        </w:rPr>
        <w:t xml:space="preserve">KM – „NVO fonds” (plāno iesniegt uz </w:t>
      </w:r>
      <w:r w:rsidR="002D2A31" w:rsidRPr="00B557E8">
        <w:rPr>
          <w:rFonts w:ascii="Times New Roman" w:hAnsi="Times New Roman"/>
          <w:color w:val="000000" w:themeColor="text1"/>
          <w:sz w:val="24"/>
          <w:szCs w:val="24"/>
        </w:rPr>
        <w:t>10</w:t>
      </w:r>
      <w:r w:rsidRPr="00B557E8">
        <w:rPr>
          <w:rFonts w:ascii="Times New Roman" w:hAnsi="Times New Roman"/>
          <w:color w:val="000000" w:themeColor="text1"/>
          <w:sz w:val="24"/>
          <w:szCs w:val="24"/>
        </w:rPr>
        <w:t>.11.2011. VSS)</w:t>
      </w:r>
      <w:r w:rsidR="00A921FA" w:rsidRPr="00B557E8">
        <w:rPr>
          <w:rFonts w:ascii="Times New Roman" w:hAnsi="Times New Roman"/>
          <w:color w:val="000000" w:themeColor="text1"/>
          <w:sz w:val="24"/>
          <w:szCs w:val="24"/>
        </w:rPr>
        <w:t>;</w:t>
      </w:r>
    </w:p>
    <w:p w:rsidR="001C1733" w:rsidRPr="00B557E8" w:rsidRDefault="001C1733" w:rsidP="00B557E8">
      <w:pPr>
        <w:pStyle w:val="ListParagraph"/>
        <w:numPr>
          <w:ilvl w:val="0"/>
          <w:numId w:val="74"/>
        </w:numPr>
        <w:spacing w:before="120" w:after="120"/>
        <w:jc w:val="both"/>
        <w:rPr>
          <w:rFonts w:ascii="Times New Roman" w:hAnsi="Times New Roman"/>
          <w:color w:val="000000" w:themeColor="text1"/>
          <w:sz w:val="24"/>
          <w:szCs w:val="24"/>
        </w:rPr>
      </w:pPr>
      <w:r w:rsidRPr="00B557E8">
        <w:rPr>
          <w:rFonts w:ascii="Times New Roman" w:hAnsi="Times New Roman"/>
          <w:color w:val="000000" w:themeColor="text1"/>
          <w:sz w:val="24"/>
          <w:szCs w:val="24"/>
        </w:rPr>
        <w:t xml:space="preserve">EM – „Inovācijas „zaļās” ražošanas jomā”  (plāno iesniegt uz </w:t>
      </w:r>
      <w:r w:rsidR="00D7695B" w:rsidRPr="00B557E8">
        <w:rPr>
          <w:rFonts w:ascii="Times New Roman" w:hAnsi="Times New Roman"/>
          <w:color w:val="000000" w:themeColor="text1"/>
          <w:sz w:val="24"/>
          <w:szCs w:val="24"/>
        </w:rPr>
        <w:t>1</w:t>
      </w:r>
      <w:r w:rsidRPr="00B557E8">
        <w:rPr>
          <w:rFonts w:ascii="Times New Roman" w:hAnsi="Times New Roman"/>
          <w:color w:val="000000" w:themeColor="text1"/>
          <w:sz w:val="24"/>
          <w:szCs w:val="24"/>
        </w:rPr>
        <w:t>0.11.2011. VSS);</w:t>
      </w:r>
    </w:p>
    <w:p w:rsidR="001C1733" w:rsidRPr="00B557E8" w:rsidRDefault="001C1733" w:rsidP="00B557E8">
      <w:pPr>
        <w:pStyle w:val="ListParagraph"/>
        <w:numPr>
          <w:ilvl w:val="0"/>
          <w:numId w:val="74"/>
        </w:numPr>
        <w:spacing w:before="120" w:after="120"/>
        <w:jc w:val="both"/>
        <w:rPr>
          <w:rFonts w:ascii="Times New Roman" w:hAnsi="Times New Roman"/>
          <w:color w:val="000000" w:themeColor="text1"/>
          <w:sz w:val="24"/>
          <w:szCs w:val="24"/>
        </w:rPr>
      </w:pPr>
      <w:r w:rsidRPr="00B557E8">
        <w:rPr>
          <w:rFonts w:ascii="Times New Roman" w:hAnsi="Times New Roman"/>
          <w:color w:val="000000" w:themeColor="text1"/>
          <w:sz w:val="24"/>
          <w:szCs w:val="24"/>
        </w:rPr>
        <w:t xml:space="preserve">VARAM – „Kapacitātes stiprināšana un institucionālā sadarbība starp Latvijas un Norvēģijas valsts iestādēm, vietējām un reģionālām iestādēm” (plāno iesniegt uz </w:t>
      </w:r>
      <w:r w:rsidR="00BB5EF3" w:rsidRPr="00B557E8">
        <w:rPr>
          <w:rFonts w:ascii="Times New Roman" w:hAnsi="Times New Roman"/>
          <w:color w:val="000000" w:themeColor="text1"/>
          <w:sz w:val="24"/>
          <w:szCs w:val="24"/>
        </w:rPr>
        <w:t>27</w:t>
      </w:r>
      <w:r w:rsidRPr="00B557E8">
        <w:rPr>
          <w:rFonts w:ascii="Times New Roman" w:hAnsi="Times New Roman"/>
          <w:color w:val="000000" w:themeColor="text1"/>
          <w:sz w:val="24"/>
          <w:szCs w:val="24"/>
        </w:rPr>
        <w:t>.1</w:t>
      </w:r>
      <w:r w:rsidR="00BB5EF3" w:rsidRPr="00B557E8">
        <w:rPr>
          <w:rFonts w:ascii="Times New Roman" w:hAnsi="Times New Roman"/>
          <w:color w:val="000000" w:themeColor="text1"/>
          <w:sz w:val="24"/>
          <w:szCs w:val="24"/>
        </w:rPr>
        <w:t>0</w:t>
      </w:r>
      <w:r w:rsidRPr="00B557E8">
        <w:rPr>
          <w:rFonts w:ascii="Times New Roman" w:hAnsi="Times New Roman"/>
          <w:color w:val="000000" w:themeColor="text1"/>
          <w:sz w:val="24"/>
          <w:szCs w:val="24"/>
        </w:rPr>
        <w:t xml:space="preserve">.2011 VSS) un „Pielāgošanās klimata izmaiņām” </w:t>
      </w:r>
      <w:r w:rsidR="00D7695B" w:rsidRPr="00B557E8">
        <w:rPr>
          <w:rFonts w:ascii="Times New Roman" w:hAnsi="Times New Roman"/>
          <w:color w:val="000000" w:themeColor="text1"/>
          <w:sz w:val="24"/>
          <w:szCs w:val="24"/>
        </w:rPr>
        <w:t>(</w:t>
      </w:r>
      <w:r w:rsidRPr="00B557E8">
        <w:rPr>
          <w:rFonts w:ascii="Times New Roman" w:hAnsi="Times New Roman"/>
          <w:color w:val="000000" w:themeColor="text1"/>
          <w:sz w:val="24"/>
          <w:szCs w:val="24"/>
        </w:rPr>
        <w:t xml:space="preserve">plāno iesniegt uz </w:t>
      </w:r>
      <w:r w:rsidR="006725ED" w:rsidRPr="00B557E8">
        <w:rPr>
          <w:rFonts w:ascii="Times New Roman" w:hAnsi="Times New Roman"/>
          <w:color w:val="000000" w:themeColor="text1"/>
          <w:sz w:val="24"/>
          <w:szCs w:val="24"/>
        </w:rPr>
        <w:t>8</w:t>
      </w:r>
      <w:r w:rsidRPr="00B557E8">
        <w:rPr>
          <w:rFonts w:ascii="Times New Roman" w:hAnsi="Times New Roman"/>
          <w:color w:val="000000" w:themeColor="text1"/>
          <w:sz w:val="24"/>
          <w:szCs w:val="24"/>
        </w:rPr>
        <w:t>.1</w:t>
      </w:r>
      <w:r w:rsidR="006725ED" w:rsidRPr="00B557E8">
        <w:rPr>
          <w:rFonts w:ascii="Times New Roman" w:hAnsi="Times New Roman"/>
          <w:color w:val="000000" w:themeColor="text1"/>
          <w:sz w:val="24"/>
          <w:szCs w:val="24"/>
        </w:rPr>
        <w:t>2</w:t>
      </w:r>
      <w:r w:rsidRPr="00B557E8">
        <w:rPr>
          <w:rFonts w:ascii="Times New Roman" w:hAnsi="Times New Roman"/>
          <w:color w:val="000000" w:themeColor="text1"/>
          <w:sz w:val="24"/>
          <w:szCs w:val="24"/>
        </w:rPr>
        <w:t>.2011.).</w:t>
      </w:r>
    </w:p>
    <w:p w:rsidR="001C1733" w:rsidRPr="00B557E8" w:rsidRDefault="001C1733" w:rsidP="00B557E8">
      <w:pPr>
        <w:spacing w:before="120" w:after="120" w:line="276" w:lineRule="auto"/>
        <w:rPr>
          <w:color w:val="000000" w:themeColor="text1"/>
          <w:szCs w:val="24"/>
        </w:rPr>
      </w:pPr>
      <w:r w:rsidRPr="00B557E8">
        <w:rPr>
          <w:color w:val="000000" w:themeColor="text1"/>
          <w:szCs w:val="24"/>
        </w:rPr>
        <w:t xml:space="preserve">Ņemot vērā, ka visas programmas (izņemot NVO fonds) tiek īstenotas partnerībā ar </w:t>
      </w:r>
      <w:proofErr w:type="spellStart"/>
      <w:r w:rsidRPr="00B557E8">
        <w:rPr>
          <w:color w:val="000000" w:themeColor="text1"/>
          <w:szCs w:val="24"/>
        </w:rPr>
        <w:t>donorvalstu</w:t>
      </w:r>
      <w:proofErr w:type="spellEnd"/>
      <w:r w:rsidRPr="00B557E8">
        <w:rPr>
          <w:color w:val="000000" w:themeColor="text1"/>
          <w:szCs w:val="24"/>
        </w:rPr>
        <w:t xml:space="preserve"> programmas partneri, tad pārskata periodā notika programmu apsaimniekotāju aktīva sadarbība ar </w:t>
      </w:r>
      <w:proofErr w:type="spellStart"/>
      <w:r w:rsidRPr="00B557E8">
        <w:rPr>
          <w:color w:val="000000" w:themeColor="text1"/>
          <w:szCs w:val="24"/>
        </w:rPr>
        <w:t>donorvalstu</w:t>
      </w:r>
      <w:proofErr w:type="spellEnd"/>
      <w:r w:rsidRPr="00B557E8">
        <w:rPr>
          <w:color w:val="000000" w:themeColor="text1"/>
          <w:szCs w:val="24"/>
        </w:rPr>
        <w:t xml:space="preserve"> programmu partneriem, lai nodrošinātu kvalitatīvu programmu iesniegumu izstrādi. Ir notikušas vairāku programmu sadarbības komitejas pirmās sanāksmes gan Latvijā, gan </w:t>
      </w:r>
      <w:proofErr w:type="spellStart"/>
      <w:r w:rsidRPr="00B557E8">
        <w:rPr>
          <w:color w:val="000000" w:themeColor="text1"/>
          <w:szCs w:val="24"/>
        </w:rPr>
        <w:t>donorvalstīs</w:t>
      </w:r>
      <w:proofErr w:type="spellEnd"/>
      <w:r w:rsidRPr="00B557E8">
        <w:rPr>
          <w:color w:val="000000" w:themeColor="text1"/>
          <w:szCs w:val="24"/>
        </w:rPr>
        <w:t>, kurās ir piedalīju</w:t>
      </w:r>
      <w:r w:rsidR="00D7695B" w:rsidRPr="00B557E8">
        <w:rPr>
          <w:color w:val="000000" w:themeColor="text1"/>
          <w:szCs w:val="24"/>
        </w:rPr>
        <w:t>s</w:t>
      </w:r>
      <w:r w:rsidRPr="00B557E8">
        <w:rPr>
          <w:color w:val="000000" w:themeColor="text1"/>
          <w:szCs w:val="24"/>
        </w:rPr>
        <w:t xml:space="preserve">ies arī </w:t>
      </w:r>
      <w:r w:rsidR="008F27FF" w:rsidRPr="00B557E8">
        <w:rPr>
          <w:color w:val="000000" w:themeColor="text1"/>
          <w:szCs w:val="24"/>
        </w:rPr>
        <w:t>VI</w:t>
      </w:r>
      <w:r w:rsidRPr="00B557E8">
        <w:rPr>
          <w:color w:val="000000" w:themeColor="text1"/>
          <w:szCs w:val="24"/>
        </w:rPr>
        <w:t>.</w:t>
      </w:r>
    </w:p>
    <w:p w:rsidR="001C1733" w:rsidRPr="00B557E8" w:rsidRDefault="00D7695B" w:rsidP="00B557E8">
      <w:pPr>
        <w:spacing w:before="120" w:after="120" w:line="276" w:lineRule="auto"/>
        <w:rPr>
          <w:color w:val="000000" w:themeColor="text1"/>
          <w:szCs w:val="24"/>
        </w:rPr>
      </w:pPr>
      <w:r w:rsidRPr="00B557E8">
        <w:rPr>
          <w:color w:val="000000" w:themeColor="text1"/>
          <w:szCs w:val="24"/>
        </w:rPr>
        <w:t>VI</w:t>
      </w:r>
      <w:r w:rsidR="001C1733" w:rsidRPr="00B557E8">
        <w:rPr>
          <w:color w:val="000000" w:themeColor="text1"/>
          <w:szCs w:val="24"/>
        </w:rPr>
        <w:t xml:space="preserve"> pārskata periodā (ar 2011.gada 1.augustu) uzsāka jaunā perioda </w:t>
      </w:r>
      <w:r w:rsidR="008F27FF" w:rsidRPr="00B557E8">
        <w:rPr>
          <w:color w:val="000000" w:themeColor="text1"/>
          <w:szCs w:val="24"/>
        </w:rPr>
        <w:t>TP</w:t>
      </w:r>
      <w:r w:rsidR="001C1733" w:rsidRPr="00B557E8">
        <w:rPr>
          <w:color w:val="000000" w:themeColor="text1"/>
          <w:szCs w:val="24"/>
        </w:rPr>
        <w:t xml:space="preserve"> fonda, ieskaitot Bilateriālo fond</w:t>
      </w:r>
      <w:r w:rsidRPr="00B557E8">
        <w:rPr>
          <w:color w:val="000000" w:themeColor="text1"/>
          <w:szCs w:val="24"/>
        </w:rPr>
        <w:t>u</w:t>
      </w:r>
      <w:r w:rsidR="001C1733" w:rsidRPr="00B557E8">
        <w:rPr>
          <w:color w:val="000000" w:themeColor="text1"/>
          <w:szCs w:val="24"/>
        </w:rPr>
        <w:t xml:space="preserve"> nacionālā līmenī, īstenošanu un finansējuma apgūšanu. No Bilateriālā fonda nacionālā līmenī, kura mērķis ir stiprināt programmas apsaimniekotāju sadarbību ar </w:t>
      </w:r>
      <w:proofErr w:type="spellStart"/>
      <w:r w:rsidR="001C1733" w:rsidRPr="00B557E8">
        <w:rPr>
          <w:color w:val="000000" w:themeColor="text1"/>
          <w:szCs w:val="24"/>
        </w:rPr>
        <w:t>donorvalstu</w:t>
      </w:r>
      <w:proofErr w:type="spellEnd"/>
      <w:r w:rsidR="001C1733" w:rsidRPr="00B557E8">
        <w:rPr>
          <w:color w:val="000000" w:themeColor="text1"/>
          <w:szCs w:val="24"/>
        </w:rPr>
        <w:t xml:space="preserve"> programmu partneriem un veicināt partnerību projektu līmenī, tika nodrošināti programmu apsaimniekotāju vizīšu uz </w:t>
      </w:r>
      <w:proofErr w:type="spellStart"/>
      <w:r w:rsidR="001C1733" w:rsidRPr="00B557E8">
        <w:rPr>
          <w:color w:val="000000" w:themeColor="text1"/>
          <w:szCs w:val="24"/>
        </w:rPr>
        <w:t>donorvalstīm</w:t>
      </w:r>
      <w:proofErr w:type="spellEnd"/>
      <w:r w:rsidR="001C1733" w:rsidRPr="00B557E8">
        <w:rPr>
          <w:color w:val="000000" w:themeColor="text1"/>
          <w:szCs w:val="24"/>
        </w:rPr>
        <w:t xml:space="preserve"> komandējuma izdevumi.</w:t>
      </w:r>
    </w:p>
    <w:p w:rsidR="00A921FA" w:rsidRPr="00B557E8" w:rsidRDefault="001C1733" w:rsidP="00B557E8">
      <w:pPr>
        <w:spacing w:before="120" w:after="120" w:line="276" w:lineRule="auto"/>
        <w:rPr>
          <w:color w:val="000000" w:themeColor="text1"/>
          <w:szCs w:val="24"/>
        </w:rPr>
      </w:pPr>
      <w:r w:rsidRPr="00B557E8">
        <w:rPr>
          <w:color w:val="000000" w:themeColor="text1"/>
          <w:szCs w:val="24"/>
        </w:rPr>
        <w:t xml:space="preserve">2011.gada 19.septembrī Norvēģijas institūcijas – </w:t>
      </w:r>
      <w:proofErr w:type="spellStart"/>
      <w:r w:rsidRPr="00B557E8">
        <w:rPr>
          <w:color w:val="000000" w:themeColor="text1"/>
          <w:szCs w:val="24"/>
        </w:rPr>
        <w:t>Innovation</w:t>
      </w:r>
      <w:proofErr w:type="spellEnd"/>
      <w:r w:rsidRPr="00B557E8">
        <w:rPr>
          <w:color w:val="000000" w:themeColor="text1"/>
          <w:szCs w:val="24"/>
        </w:rPr>
        <w:t xml:space="preserve"> </w:t>
      </w:r>
      <w:proofErr w:type="spellStart"/>
      <w:r w:rsidRPr="00B557E8">
        <w:rPr>
          <w:color w:val="000000" w:themeColor="text1"/>
          <w:szCs w:val="24"/>
        </w:rPr>
        <w:t>Norway</w:t>
      </w:r>
      <w:proofErr w:type="spellEnd"/>
      <w:r w:rsidRPr="00B557E8">
        <w:rPr>
          <w:color w:val="000000" w:themeColor="text1"/>
          <w:szCs w:val="24"/>
        </w:rPr>
        <w:t xml:space="preserve"> – īstenotās programmas „Globālais fonds cienīga darba un trīspusējās sadarbības veicināšanai” ietvaros notika tikšanās Latvijā st</w:t>
      </w:r>
      <w:r w:rsidR="00070B8B" w:rsidRPr="00B557E8">
        <w:rPr>
          <w:color w:val="000000" w:themeColor="text1"/>
          <w:szCs w:val="24"/>
        </w:rPr>
        <w:t xml:space="preserve">arp programmas apsaimniekotāju, </w:t>
      </w:r>
      <w:r w:rsidR="008F27FF" w:rsidRPr="00B557E8">
        <w:rPr>
          <w:color w:val="000000" w:themeColor="text1"/>
          <w:szCs w:val="24"/>
        </w:rPr>
        <w:t>VI</w:t>
      </w:r>
      <w:r w:rsidRPr="00B557E8">
        <w:rPr>
          <w:color w:val="000000" w:themeColor="text1"/>
          <w:szCs w:val="24"/>
        </w:rPr>
        <w:t xml:space="preserve"> un </w:t>
      </w:r>
      <w:r w:rsidR="006C39CA" w:rsidRPr="00B557E8">
        <w:rPr>
          <w:color w:val="000000" w:themeColor="text1"/>
          <w:szCs w:val="24"/>
        </w:rPr>
        <w:t>LM</w:t>
      </w:r>
      <w:r w:rsidRPr="00B557E8">
        <w:rPr>
          <w:color w:val="000000" w:themeColor="text1"/>
          <w:szCs w:val="24"/>
        </w:rPr>
        <w:t xml:space="preserve"> kā nozares ministriju. Programmas apsaimniekotājs – </w:t>
      </w:r>
      <w:proofErr w:type="spellStart"/>
      <w:r w:rsidRPr="00B557E8">
        <w:rPr>
          <w:color w:val="000000" w:themeColor="text1"/>
          <w:szCs w:val="24"/>
        </w:rPr>
        <w:t>Innovation</w:t>
      </w:r>
      <w:proofErr w:type="spellEnd"/>
      <w:r w:rsidRPr="00B557E8">
        <w:rPr>
          <w:color w:val="000000" w:themeColor="text1"/>
          <w:szCs w:val="24"/>
        </w:rPr>
        <w:t xml:space="preserve"> </w:t>
      </w:r>
      <w:proofErr w:type="spellStart"/>
      <w:r w:rsidRPr="00B557E8">
        <w:rPr>
          <w:color w:val="000000" w:themeColor="text1"/>
          <w:szCs w:val="24"/>
        </w:rPr>
        <w:t>Norway</w:t>
      </w:r>
      <w:proofErr w:type="spellEnd"/>
      <w:r w:rsidRPr="00B557E8">
        <w:rPr>
          <w:color w:val="000000" w:themeColor="text1"/>
          <w:szCs w:val="24"/>
        </w:rPr>
        <w:t xml:space="preserve"> – lūdza Latvijas pusei konsultatīvi iesaistīties programmas īstenošanas jautājumos. Sanāksmē tika panākta vienošanās, ka </w:t>
      </w:r>
      <w:r w:rsidR="008F27FF" w:rsidRPr="00B557E8">
        <w:rPr>
          <w:color w:val="000000" w:themeColor="text1"/>
          <w:szCs w:val="24"/>
        </w:rPr>
        <w:t>VI</w:t>
      </w:r>
      <w:r w:rsidRPr="00B557E8">
        <w:rPr>
          <w:color w:val="000000" w:themeColor="text1"/>
          <w:szCs w:val="24"/>
        </w:rPr>
        <w:t xml:space="preserve">, piesaistot </w:t>
      </w:r>
      <w:r w:rsidR="006C39CA" w:rsidRPr="00B557E8">
        <w:rPr>
          <w:color w:val="000000" w:themeColor="text1"/>
          <w:szCs w:val="24"/>
        </w:rPr>
        <w:t>LM</w:t>
      </w:r>
      <w:r w:rsidRPr="00B557E8">
        <w:rPr>
          <w:color w:val="000000" w:themeColor="text1"/>
          <w:szCs w:val="24"/>
        </w:rPr>
        <w:t xml:space="preserve">, sniedz komentārus par atklātā konkursa sludinājuma tekstu, kā arī viedokli par Latvijas nacionālajām prioritātēm cienīga darba un trīspusējās sadarbības veicināšanas jomā. Līdz ar to ir nepieciešams </w:t>
      </w:r>
      <w:r w:rsidR="006C39CA" w:rsidRPr="00B557E8">
        <w:rPr>
          <w:color w:val="000000" w:themeColor="text1"/>
          <w:szCs w:val="24"/>
        </w:rPr>
        <w:t>LM</w:t>
      </w:r>
      <w:r w:rsidRPr="00B557E8">
        <w:rPr>
          <w:color w:val="000000" w:themeColor="text1"/>
          <w:szCs w:val="24"/>
        </w:rPr>
        <w:t xml:space="preserve"> noteikt kā atbildīgo nozares ministriju par jautājumiem saistībā ar programmu „Globālais fonds cienīga darba un trīspusējās sadarbības veicināšanai”, kas pēc programmas apsaimniekotāja vai </w:t>
      </w:r>
      <w:r w:rsidR="008F27FF" w:rsidRPr="00B557E8">
        <w:rPr>
          <w:color w:val="000000" w:themeColor="text1"/>
          <w:szCs w:val="24"/>
        </w:rPr>
        <w:t>VI</w:t>
      </w:r>
      <w:r w:rsidRPr="00B557E8">
        <w:rPr>
          <w:color w:val="000000" w:themeColor="text1"/>
          <w:szCs w:val="24"/>
        </w:rPr>
        <w:t xml:space="preserve"> pieprasījuma sniegtu nozares viedokli.</w:t>
      </w:r>
    </w:p>
    <w:p w:rsidR="00A921FA" w:rsidRPr="00B557E8" w:rsidRDefault="001C1733" w:rsidP="00B557E8">
      <w:pPr>
        <w:spacing w:before="120" w:after="120" w:line="276" w:lineRule="auto"/>
        <w:rPr>
          <w:color w:val="000000" w:themeColor="text1"/>
          <w:szCs w:val="24"/>
        </w:rPr>
      </w:pPr>
      <w:r w:rsidRPr="00B557E8">
        <w:rPr>
          <w:color w:val="000000" w:themeColor="text1"/>
          <w:szCs w:val="24"/>
        </w:rPr>
        <w:t xml:space="preserve">Ņemot vērā </w:t>
      </w:r>
      <w:proofErr w:type="spellStart"/>
      <w:r w:rsidRPr="00B557E8">
        <w:rPr>
          <w:color w:val="000000" w:themeColor="text1"/>
          <w:szCs w:val="24"/>
        </w:rPr>
        <w:t>donorvalstu</w:t>
      </w:r>
      <w:proofErr w:type="spellEnd"/>
      <w:r w:rsidRPr="00B557E8">
        <w:rPr>
          <w:color w:val="000000" w:themeColor="text1"/>
          <w:szCs w:val="24"/>
        </w:rPr>
        <w:t xml:space="preserve"> ierosinājumu par programmu apspriešanu nacionālā līmenī pēc iespējas plašākā lokā, </w:t>
      </w:r>
      <w:r w:rsidR="008F27FF" w:rsidRPr="00B557E8">
        <w:rPr>
          <w:color w:val="000000" w:themeColor="text1"/>
          <w:szCs w:val="24"/>
        </w:rPr>
        <w:t>FM</w:t>
      </w:r>
      <w:r w:rsidRPr="00B557E8">
        <w:rPr>
          <w:color w:val="000000" w:themeColor="text1"/>
          <w:szCs w:val="24"/>
        </w:rPr>
        <w:t xml:space="preserve"> norāda, ka programmas iesnieguma projekti nacionālā līmenī ir jāsaskaņo caur </w:t>
      </w:r>
      <w:r w:rsidR="008F27FF" w:rsidRPr="00B557E8">
        <w:rPr>
          <w:color w:val="000000" w:themeColor="text1"/>
          <w:szCs w:val="24"/>
        </w:rPr>
        <w:t>VSS</w:t>
      </w:r>
      <w:r w:rsidRPr="00B557E8">
        <w:rPr>
          <w:color w:val="000000" w:themeColor="text1"/>
          <w:szCs w:val="24"/>
        </w:rPr>
        <w:t xml:space="preserve">, tādējādi ļaujot pēc iespējas plašākam nozares ministriju lokam, kā arī nevalstiskajam sektoram iesaistīties programmu apspriešanā. Līdz ar to </w:t>
      </w:r>
      <w:r w:rsidR="008F27FF" w:rsidRPr="00B557E8">
        <w:rPr>
          <w:color w:val="000000" w:themeColor="text1"/>
          <w:szCs w:val="24"/>
        </w:rPr>
        <w:t>FM</w:t>
      </w:r>
      <w:r w:rsidRPr="00B557E8">
        <w:rPr>
          <w:color w:val="000000" w:themeColor="text1"/>
          <w:szCs w:val="24"/>
        </w:rPr>
        <w:t>, izvērtējot MK 23.08.2011. sēdē uzdoto uzdevumu vienoties ar VARAM par iespēju iesniegt programmu iesniegumu projektus kā MK lietu (saīsinātā termiņā), nevar atbalstīt saskaņošanas procesa saīsināšanu.</w:t>
      </w:r>
    </w:p>
    <w:p w:rsidR="001C1733" w:rsidRPr="00B557E8" w:rsidRDefault="001C1733" w:rsidP="00B557E8">
      <w:pPr>
        <w:spacing w:before="120" w:after="120" w:line="276" w:lineRule="auto"/>
        <w:rPr>
          <w:color w:val="000000" w:themeColor="text1"/>
          <w:szCs w:val="24"/>
        </w:rPr>
      </w:pPr>
      <w:r w:rsidRPr="00B557E8">
        <w:rPr>
          <w:color w:val="000000" w:themeColor="text1"/>
          <w:szCs w:val="24"/>
        </w:rPr>
        <w:t xml:space="preserve">Lai </w:t>
      </w:r>
      <w:r w:rsidR="00A0014B" w:rsidRPr="00B557E8">
        <w:rPr>
          <w:color w:val="000000" w:themeColor="text1"/>
          <w:szCs w:val="24"/>
        </w:rPr>
        <w:t>FM</w:t>
      </w:r>
      <w:r w:rsidRPr="00B557E8">
        <w:rPr>
          <w:color w:val="000000" w:themeColor="text1"/>
          <w:szCs w:val="24"/>
        </w:rPr>
        <w:t xml:space="preserve"> nacionālā līmenī nodrošinātu programmu iesniegšanu </w:t>
      </w:r>
      <w:proofErr w:type="spellStart"/>
      <w:r w:rsidRPr="00B557E8">
        <w:rPr>
          <w:color w:val="000000" w:themeColor="text1"/>
          <w:szCs w:val="24"/>
        </w:rPr>
        <w:t>donorvalstu</w:t>
      </w:r>
      <w:proofErr w:type="spellEnd"/>
      <w:r w:rsidRPr="00B557E8">
        <w:rPr>
          <w:color w:val="000000" w:themeColor="text1"/>
          <w:szCs w:val="24"/>
        </w:rPr>
        <w:t xml:space="preserve"> </w:t>
      </w:r>
      <w:r w:rsidR="00D7695B" w:rsidRPr="00B557E8">
        <w:rPr>
          <w:color w:val="000000" w:themeColor="text1"/>
          <w:szCs w:val="24"/>
        </w:rPr>
        <w:t>N</w:t>
      </w:r>
      <w:r w:rsidRPr="00B557E8">
        <w:rPr>
          <w:color w:val="000000" w:themeColor="text1"/>
          <w:szCs w:val="24"/>
        </w:rPr>
        <w:t>oteikumos par 2009.–2014.gada EEZ finanšu instrumenta īstenošanu un Norvēģijas finanšu instrumenta īstenošanu noteiktajos termiņos, ministrijām programmu iesniegumu ir jāiesniedz</w:t>
      </w:r>
      <w:r w:rsidR="00E90658" w:rsidRPr="00B557E8">
        <w:rPr>
          <w:color w:val="000000" w:themeColor="text1"/>
          <w:szCs w:val="24"/>
        </w:rPr>
        <w:t xml:space="preserve"> FM</w:t>
      </w:r>
      <w:r w:rsidRPr="00B557E8">
        <w:rPr>
          <w:color w:val="000000" w:themeColor="text1"/>
          <w:szCs w:val="24"/>
        </w:rPr>
        <w:t xml:space="preserve">: </w:t>
      </w:r>
    </w:p>
    <w:p w:rsidR="001C1733" w:rsidRPr="00B557E8" w:rsidRDefault="001C1733" w:rsidP="00B557E8">
      <w:pPr>
        <w:pStyle w:val="ListParagraph"/>
        <w:numPr>
          <w:ilvl w:val="0"/>
          <w:numId w:val="73"/>
        </w:numPr>
        <w:spacing w:before="120" w:after="120"/>
        <w:jc w:val="both"/>
        <w:rPr>
          <w:rFonts w:ascii="Times New Roman" w:hAnsi="Times New Roman"/>
          <w:color w:val="000000" w:themeColor="text1"/>
          <w:sz w:val="24"/>
          <w:szCs w:val="24"/>
        </w:rPr>
      </w:pPr>
      <w:r w:rsidRPr="00B557E8">
        <w:rPr>
          <w:rFonts w:ascii="Times New Roman" w:hAnsi="Times New Roman"/>
          <w:color w:val="000000" w:themeColor="text1"/>
          <w:sz w:val="24"/>
          <w:szCs w:val="24"/>
        </w:rPr>
        <w:t>par programmām, kas finansētas no Norvēģijas finanšu instrumenta vēlākais līdz 2011.gada 20.decembrim</w:t>
      </w:r>
      <w:r w:rsidR="00A921FA" w:rsidRPr="00B557E8">
        <w:rPr>
          <w:rFonts w:ascii="Times New Roman" w:hAnsi="Times New Roman"/>
          <w:color w:val="000000" w:themeColor="text1"/>
          <w:sz w:val="24"/>
          <w:szCs w:val="24"/>
        </w:rPr>
        <w:t>;</w:t>
      </w:r>
    </w:p>
    <w:p w:rsidR="001C1733" w:rsidRPr="00B557E8" w:rsidRDefault="001C1733" w:rsidP="00B557E8">
      <w:pPr>
        <w:pStyle w:val="ListParagraph"/>
        <w:numPr>
          <w:ilvl w:val="0"/>
          <w:numId w:val="73"/>
        </w:numPr>
        <w:spacing w:before="120" w:after="120"/>
        <w:jc w:val="both"/>
        <w:rPr>
          <w:rFonts w:ascii="Times New Roman" w:hAnsi="Times New Roman"/>
          <w:color w:val="000000" w:themeColor="text1"/>
          <w:sz w:val="24"/>
          <w:szCs w:val="24"/>
        </w:rPr>
      </w:pPr>
      <w:r w:rsidRPr="00B557E8">
        <w:rPr>
          <w:rFonts w:ascii="Times New Roman" w:hAnsi="Times New Roman"/>
          <w:color w:val="000000" w:themeColor="text1"/>
          <w:sz w:val="24"/>
          <w:szCs w:val="24"/>
        </w:rPr>
        <w:t xml:space="preserve">savukārt no EEZ finanšu instrumenta finansētājām – līdz 2012.gada.1.februārim. </w:t>
      </w:r>
    </w:p>
    <w:p w:rsidR="00801862" w:rsidRPr="00B557E8" w:rsidRDefault="00801862" w:rsidP="00B557E8">
      <w:pPr>
        <w:spacing w:before="120" w:after="120" w:line="276" w:lineRule="auto"/>
        <w:rPr>
          <w:color w:val="000000" w:themeColor="text1"/>
          <w:szCs w:val="24"/>
        </w:rPr>
      </w:pPr>
      <w:r w:rsidRPr="00B557E8">
        <w:rPr>
          <w:color w:val="000000" w:themeColor="text1"/>
          <w:szCs w:val="24"/>
        </w:rPr>
        <w:t xml:space="preserve">FM, lai nodrošinātu savlaicīgu programmu iesniegumu iesniegšanu </w:t>
      </w:r>
      <w:proofErr w:type="spellStart"/>
      <w:r w:rsidRPr="00B557E8">
        <w:rPr>
          <w:color w:val="000000" w:themeColor="text1"/>
          <w:szCs w:val="24"/>
        </w:rPr>
        <w:t>donorvalstīm</w:t>
      </w:r>
      <w:proofErr w:type="spellEnd"/>
      <w:r w:rsidRPr="00B557E8">
        <w:rPr>
          <w:color w:val="000000" w:themeColor="text1"/>
          <w:szCs w:val="24"/>
        </w:rPr>
        <w:t xml:space="preserve">, ir informējusi atbildīgās ministrijas par konkrētiem termiņiem, kādā programmu iesniegumu </w:t>
      </w:r>
      <w:r w:rsidRPr="00B557E8">
        <w:rPr>
          <w:color w:val="000000" w:themeColor="text1"/>
          <w:szCs w:val="24"/>
        </w:rPr>
        <w:lastRenderedPageBreak/>
        <w:t>projekti būtu jāiesniedz VSS un MK, kā arī pēc programmu iesniegumu projektu atbalstīšanas MK jāiesniedz FM (skatīt pielikumā Nr.6).</w:t>
      </w:r>
    </w:p>
    <w:p w:rsidR="001C1733" w:rsidRPr="00B557E8" w:rsidRDefault="001C1733" w:rsidP="00B557E8">
      <w:pPr>
        <w:spacing w:before="120" w:after="120" w:line="276" w:lineRule="auto"/>
        <w:rPr>
          <w:color w:val="000000" w:themeColor="text1"/>
          <w:szCs w:val="24"/>
        </w:rPr>
      </w:pPr>
      <w:r w:rsidRPr="00B557E8">
        <w:rPr>
          <w:color w:val="000000" w:themeColor="text1"/>
          <w:szCs w:val="24"/>
        </w:rPr>
        <w:t>Līdz ar to plānots, ka Norvēģijas finanšu instrument</w:t>
      </w:r>
      <w:r w:rsidR="00D7695B" w:rsidRPr="00B557E8">
        <w:rPr>
          <w:color w:val="000000" w:themeColor="text1"/>
          <w:szCs w:val="24"/>
        </w:rPr>
        <w:t>a</w:t>
      </w:r>
      <w:r w:rsidRPr="00B557E8">
        <w:rPr>
          <w:color w:val="000000" w:themeColor="text1"/>
          <w:szCs w:val="24"/>
        </w:rPr>
        <w:t xml:space="preserve"> finansēto programmu iesniegumi tiks iesniegti </w:t>
      </w:r>
      <w:proofErr w:type="spellStart"/>
      <w:r w:rsidRPr="00B557E8">
        <w:rPr>
          <w:color w:val="000000" w:themeColor="text1"/>
          <w:szCs w:val="24"/>
        </w:rPr>
        <w:t>donorvalstīm</w:t>
      </w:r>
      <w:proofErr w:type="spellEnd"/>
      <w:r w:rsidRPr="00B557E8">
        <w:rPr>
          <w:color w:val="000000" w:themeColor="text1"/>
          <w:szCs w:val="24"/>
        </w:rPr>
        <w:t xml:space="preserve"> 2011.gada </w:t>
      </w:r>
      <w:r w:rsidR="00C1496A" w:rsidRPr="00B557E8">
        <w:rPr>
          <w:color w:val="000000" w:themeColor="text1"/>
          <w:szCs w:val="24"/>
        </w:rPr>
        <w:t>4.</w:t>
      </w:r>
      <w:r w:rsidRPr="00B557E8">
        <w:rPr>
          <w:color w:val="000000" w:themeColor="text1"/>
          <w:szCs w:val="24"/>
        </w:rPr>
        <w:t xml:space="preserve">ceturksnī, savukārt EEZ finanšu instrumenta finansēto programmu iesniegumi – 2012.gada </w:t>
      </w:r>
      <w:r w:rsidR="00C1496A" w:rsidRPr="00B557E8">
        <w:rPr>
          <w:color w:val="000000" w:themeColor="text1"/>
          <w:szCs w:val="24"/>
        </w:rPr>
        <w:t>1.</w:t>
      </w:r>
      <w:r w:rsidRPr="00B557E8">
        <w:rPr>
          <w:color w:val="000000" w:themeColor="text1"/>
          <w:szCs w:val="24"/>
        </w:rPr>
        <w:t>ceturksnī.</w:t>
      </w:r>
    </w:p>
    <w:p w:rsidR="001C1733" w:rsidRPr="00B557E8" w:rsidRDefault="001C1733" w:rsidP="00B557E8">
      <w:pPr>
        <w:spacing w:before="120" w:after="120" w:line="276" w:lineRule="auto"/>
        <w:rPr>
          <w:color w:val="000000" w:themeColor="text1"/>
          <w:szCs w:val="24"/>
        </w:rPr>
      </w:pPr>
      <w:r w:rsidRPr="00B557E8">
        <w:rPr>
          <w:color w:val="000000" w:themeColor="text1"/>
          <w:szCs w:val="24"/>
        </w:rPr>
        <w:t>Pārskata periodā tika izstrādāts likumprojekts „Eiropas Ekonomikas zonas finanšu instrumenta 2009.-2014.gada perioda vadības likums” (turpmāk – likumprojekts) un izskatīts 2011.gada 20.septembra sēdē. Ņemot vērā 2011.gada ārkārtas Saeimas vēlēšanas, likumprojekts ir jāpārsniedz jaunajā valdībā un Saeimā. Pēc likumprojekta apstiprināšanas Saeimā ar to  saistītos MK noteikum</w:t>
      </w:r>
      <w:r w:rsidR="00D7695B" w:rsidRPr="00B557E8">
        <w:rPr>
          <w:color w:val="000000" w:themeColor="text1"/>
          <w:szCs w:val="24"/>
        </w:rPr>
        <w:t>us</w:t>
      </w:r>
      <w:r w:rsidRPr="00B557E8">
        <w:rPr>
          <w:color w:val="000000" w:themeColor="text1"/>
          <w:szCs w:val="24"/>
        </w:rPr>
        <w:t xml:space="preserve"> par jaunā perioda ieviešanas jautājumiem plānots apstiprināt 2012.gada </w:t>
      </w:r>
      <w:r w:rsidR="00C1496A" w:rsidRPr="00B557E8">
        <w:rPr>
          <w:color w:val="000000" w:themeColor="text1"/>
          <w:szCs w:val="24"/>
        </w:rPr>
        <w:t>2.</w:t>
      </w:r>
      <w:r w:rsidRPr="00B557E8">
        <w:rPr>
          <w:color w:val="000000" w:themeColor="text1"/>
          <w:szCs w:val="24"/>
        </w:rPr>
        <w:t>ceturksnī.</w:t>
      </w:r>
    </w:p>
    <w:p w:rsidR="005A3377" w:rsidRPr="00B557E8" w:rsidRDefault="001C1733" w:rsidP="00B557E8">
      <w:pPr>
        <w:spacing w:before="120" w:after="120" w:line="276" w:lineRule="auto"/>
        <w:rPr>
          <w:color w:val="000000" w:themeColor="text1"/>
          <w:szCs w:val="24"/>
        </w:rPr>
      </w:pPr>
      <w:r w:rsidRPr="00B557E8">
        <w:rPr>
          <w:color w:val="000000" w:themeColor="text1"/>
          <w:szCs w:val="24"/>
        </w:rPr>
        <w:t xml:space="preserve">Pārskata periodā ir izstrādāts EEZ/Norvēģijas finanšu instrumentu 2009.-2014.gada perioda </w:t>
      </w:r>
      <w:r w:rsidR="00B96482" w:rsidRPr="00B557E8">
        <w:rPr>
          <w:color w:val="000000" w:themeColor="text1"/>
          <w:szCs w:val="24"/>
        </w:rPr>
        <w:t>VKS</w:t>
      </w:r>
      <w:r w:rsidR="003B10DB" w:rsidRPr="00B557E8">
        <w:rPr>
          <w:color w:val="000000" w:themeColor="text1"/>
          <w:szCs w:val="24"/>
        </w:rPr>
        <w:t xml:space="preserve"> apraksta projekts. 2011.gada  </w:t>
      </w:r>
      <w:r w:rsidR="00C1496A" w:rsidRPr="00B557E8">
        <w:rPr>
          <w:color w:val="000000" w:themeColor="text1"/>
          <w:szCs w:val="24"/>
        </w:rPr>
        <w:t>4.</w:t>
      </w:r>
      <w:r w:rsidRPr="00B557E8">
        <w:rPr>
          <w:color w:val="000000" w:themeColor="text1"/>
          <w:szCs w:val="24"/>
        </w:rPr>
        <w:t>ceturksnī plānots VKS aprakstu saskaņot ar finanšu instrumentu vadībā iesaistītajām institūcijām, kā arī iesniegt izvērtēšanai VKS apraksta projektu Revīzijas iestādei.</w:t>
      </w:r>
    </w:p>
    <w:p w:rsidR="00CA04EA" w:rsidRPr="00B557E8" w:rsidRDefault="00CA04EA" w:rsidP="00B557E8">
      <w:pPr>
        <w:spacing w:before="120" w:after="120" w:line="276" w:lineRule="auto"/>
        <w:rPr>
          <w:b/>
          <w:bCs/>
          <w:color w:val="000000" w:themeColor="text1"/>
          <w:kern w:val="32"/>
          <w:szCs w:val="24"/>
          <w:lang w:eastAsia="x-none"/>
        </w:rPr>
      </w:pPr>
      <w:bookmarkStart w:id="34" w:name="_Toc290449013"/>
      <w:r w:rsidRPr="00B557E8">
        <w:rPr>
          <w:color w:val="000000" w:themeColor="text1"/>
          <w:szCs w:val="24"/>
        </w:rPr>
        <w:br w:type="page"/>
      </w:r>
    </w:p>
    <w:p w:rsidR="00FF4209" w:rsidRPr="00B557E8" w:rsidRDefault="001A24DF" w:rsidP="00B557E8">
      <w:pPr>
        <w:pStyle w:val="1lmenis"/>
        <w:spacing w:before="120" w:after="120" w:line="276" w:lineRule="auto"/>
        <w:ind w:left="851"/>
        <w:rPr>
          <w:rFonts w:ascii="Times New Roman" w:hAnsi="Times New Roman"/>
          <w:color w:val="000000" w:themeColor="text1"/>
          <w:sz w:val="24"/>
          <w:szCs w:val="24"/>
          <w:lang w:val="lv-LV"/>
        </w:rPr>
      </w:pPr>
      <w:bookmarkStart w:id="35" w:name="_Toc308774239"/>
      <w:r w:rsidRPr="00B557E8">
        <w:rPr>
          <w:rFonts w:ascii="Times New Roman" w:hAnsi="Times New Roman"/>
          <w:color w:val="000000" w:themeColor="text1"/>
          <w:sz w:val="24"/>
          <w:szCs w:val="24"/>
          <w:lang w:val="lv-LV"/>
        </w:rPr>
        <w:lastRenderedPageBreak/>
        <w:t xml:space="preserve">Latvijas un </w:t>
      </w:r>
      <w:r w:rsidR="00FF4209" w:rsidRPr="00B557E8">
        <w:rPr>
          <w:rFonts w:ascii="Times New Roman" w:hAnsi="Times New Roman"/>
          <w:color w:val="000000" w:themeColor="text1"/>
          <w:sz w:val="24"/>
          <w:szCs w:val="24"/>
          <w:lang w:val="lv-LV"/>
        </w:rPr>
        <w:t>Šveices sadarbības programmas apguve</w:t>
      </w:r>
      <w:bookmarkEnd w:id="33"/>
      <w:bookmarkEnd w:id="34"/>
      <w:bookmarkEnd w:id="35"/>
    </w:p>
    <w:p w:rsidR="001C1733" w:rsidRPr="00B557E8" w:rsidRDefault="001C1733" w:rsidP="00B557E8">
      <w:pPr>
        <w:spacing w:before="120" w:after="120" w:line="276" w:lineRule="auto"/>
        <w:rPr>
          <w:rFonts w:eastAsia="EUAlbertina-Bold-Identity-H"/>
          <w:color w:val="000000" w:themeColor="text1"/>
          <w:szCs w:val="24"/>
          <w:lang w:eastAsia="lv-LV"/>
        </w:rPr>
      </w:pPr>
      <w:bookmarkStart w:id="36" w:name="_Toc276049989"/>
      <w:bookmarkStart w:id="37" w:name="_Toc290449014"/>
      <w:bookmarkStart w:id="38" w:name="_Toc290449856"/>
      <w:r w:rsidRPr="00B557E8">
        <w:rPr>
          <w:rFonts w:eastAsia="EUAlbertina-Bold-Identity-H"/>
          <w:color w:val="000000" w:themeColor="text1"/>
          <w:szCs w:val="24"/>
          <w:lang w:eastAsia="lv-LV"/>
        </w:rPr>
        <w:t xml:space="preserve">Šveices programmas finansējums Latvijai ir pieejams no 2007.gada 14.jūnija līdz 2012.gada 14.jūnijam (5 gadu saistību periods), paredzot iespēju īstenot projektus un līdz ar to arī apgūt piešķirto finansējumu līdz 2017.gada 14.jūnijam. Šveices programmas ietvaros Latvijai kopumā ir pieejami 56,9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xml:space="preserve">. Šveices franku jeb 32,8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xml:space="preserve">. latu. Līdz pārskata perioda beigām Šveices kompetentās iestādes ir apstiprinājušas 5 individuālos projektus, 1 programmu, 3 grantu shēmas, 1 tehniskās palīdzības, </w:t>
      </w:r>
      <w:proofErr w:type="spellStart"/>
      <w:r w:rsidRPr="00B557E8">
        <w:rPr>
          <w:rFonts w:eastAsia="EUAlbertina-Bold-Identity-H"/>
          <w:color w:val="000000" w:themeColor="text1"/>
          <w:szCs w:val="24"/>
          <w:lang w:eastAsia="lv-LV"/>
        </w:rPr>
        <w:t>t.sk</w:t>
      </w:r>
      <w:proofErr w:type="spellEnd"/>
      <w:r w:rsidRPr="00B557E8">
        <w:rPr>
          <w:rFonts w:eastAsia="EUAlbertina-Bold-Identity-H"/>
          <w:color w:val="000000" w:themeColor="text1"/>
          <w:szCs w:val="24"/>
          <w:lang w:eastAsia="lv-LV"/>
        </w:rPr>
        <w:t xml:space="preserve">., projektu sagatavošanas fonda projektu par kopējo finansējumu 54,6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xml:space="preserve">. Šveices franku jeb 31,5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xml:space="preserve">. latu (96% no kopējā pieejamā finansējuma). </w:t>
      </w:r>
    </w:p>
    <w:p w:rsidR="001C1733" w:rsidRPr="00B557E8" w:rsidRDefault="001C1733"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Līdz pārskata perioda beigām atmaksas Šveices programmas finansējuma saņēmējiem ir 9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latu jeb 26,4% no Šveices programmas kopējā finansējuma (skatīt grafiku Nr.</w:t>
      </w:r>
      <w:r w:rsidR="00EC7B49" w:rsidRPr="00B557E8">
        <w:rPr>
          <w:rFonts w:eastAsia="EUAlbertina-Bold-Identity-H"/>
          <w:color w:val="000000" w:themeColor="text1"/>
          <w:szCs w:val="24"/>
          <w:lang w:eastAsia="lv-LV"/>
        </w:rPr>
        <w:t>20</w:t>
      </w:r>
      <w:r w:rsidRPr="00B557E8">
        <w:rPr>
          <w:rFonts w:eastAsia="EUAlbertina-Bold-Identity-H"/>
          <w:color w:val="000000" w:themeColor="text1"/>
          <w:szCs w:val="24"/>
          <w:lang w:eastAsia="lv-LV"/>
        </w:rPr>
        <w:t xml:space="preserve">). Salīdzinoši ar iepriekšējo ceturksni atmaksas palielinājušās par 5,3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latu jeb 14,5%.</w:t>
      </w:r>
    </w:p>
    <w:p w:rsidR="001C1733" w:rsidRPr="00B557E8" w:rsidRDefault="001C1733"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Grafiks Nr.</w:t>
      </w:r>
      <w:r w:rsidR="00EC7B49" w:rsidRPr="00B557E8">
        <w:rPr>
          <w:rFonts w:eastAsia="EUAlbertina-Bold-Identity-H"/>
          <w:color w:val="000000" w:themeColor="text1"/>
          <w:szCs w:val="24"/>
          <w:lang w:eastAsia="lv-LV"/>
        </w:rPr>
        <w:t>20</w:t>
      </w:r>
      <w:r w:rsidRPr="00B557E8">
        <w:rPr>
          <w:rFonts w:eastAsia="EUAlbertina-Bold-Identity-H"/>
          <w:color w:val="000000" w:themeColor="text1"/>
          <w:szCs w:val="24"/>
          <w:lang w:eastAsia="lv-LV"/>
        </w:rPr>
        <w:t xml:space="preserve"> </w:t>
      </w:r>
      <w:r w:rsidRPr="00B557E8">
        <w:rPr>
          <w:rFonts w:eastAsia="EUAlbertina-Bold-Identity-H"/>
          <w:i/>
          <w:color w:val="000000" w:themeColor="text1"/>
          <w:szCs w:val="24"/>
          <w:lang w:eastAsia="lv-LV"/>
        </w:rPr>
        <w:t xml:space="preserve">„No Šveices atgūtais Šveices programmas finansējums uz 30.09.2011.salīdzinājumā ar 30.06.2011., </w:t>
      </w:r>
      <w:proofErr w:type="spellStart"/>
      <w:r w:rsidRPr="00B557E8">
        <w:rPr>
          <w:rFonts w:eastAsia="EUAlbertina-Bold-Identity-H"/>
          <w:i/>
          <w:color w:val="000000" w:themeColor="text1"/>
          <w:szCs w:val="24"/>
          <w:lang w:eastAsia="lv-LV"/>
        </w:rPr>
        <w:t>milj</w:t>
      </w:r>
      <w:proofErr w:type="spellEnd"/>
      <w:r w:rsidRPr="00B557E8">
        <w:rPr>
          <w:rFonts w:eastAsia="EUAlbertina-Bold-Identity-H"/>
          <w:i/>
          <w:color w:val="000000" w:themeColor="text1"/>
          <w:szCs w:val="24"/>
          <w:lang w:eastAsia="lv-LV"/>
        </w:rPr>
        <w:t>. CHF</w:t>
      </w:r>
      <w:r w:rsidRPr="00B557E8">
        <w:rPr>
          <w:rFonts w:eastAsia="EUAlbertina-Bold-Identity-H"/>
          <w:i/>
          <w:color w:val="000000" w:themeColor="text1"/>
          <w:szCs w:val="24"/>
          <w:vertAlign w:val="superscript"/>
          <w:lang w:eastAsia="lv-LV"/>
        </w:rPr>
        <w:footnoteReference w:id="8"/>
      </w:r>
      <w:r w:rsidR="00C13D44" w:rsidRPr="00B557E8">
        <w:rPr>
          <w:rFonts w:eastAsia="EUAlbertina-Bold-Identity-H"/>
          <w:i/>
          <w:color w:val="000000" w:themeColor="text1"/>
          <w:szCs w:val="24"/>
          <w:lang w:eastAsia="lv-LV"/>
        </w:rPr>
        <w:t>.</w:t>
      </w:r>
      <w:r w:rsidRPr="00B557E8">
        <w:rPr>
          <w:rFonts w:eastAsia="EUAlbertina-Bold-Identity-H"/>
          <w:i/>
          <w:color w:val="000000" w:themeColor="text1"/>
          <w:szCs w:val="24"/>
          <w:lang w:eastAsia="lv-LV"/>
        </w:rPr>
        <w:t>”</w:t>
      </w:r>
      <w:r w:rsidRPr="00B557E8">
        <w:rPr>
          <w:rFonts w:eastAsia="EUAlbertina-Bold-Identity-H"/>
          <w:color w:val="000000" w:themeColor="text1"/>
          <w:szCs w:val="24"/>
          <w:lang w:eastAsia="lv-LV"/>
        </w:rPr>
        <w:t xml:space="preserve">   </w:t>
      </w:r>
    </w:p>
    <w:p w:rsidR="001C1733" w:rsidRPr="00B557E8" w:rsidRDefault="001C1733" w:rsidP="00B557E8">
      <w:pPr>
        <w:spacing w:before="120" w:after="120" w:line="276" w:lineRule="auto"/>
        <w:rPr>
          <w:rFonts w:eastAsia="EUAlbertina-Bold-Identity-H"/>
          <w:color w:val="000000" w:themeColor="text1"/>
          <w:szCs w:val="24"/>
          <w:lang w:eastAsia="lv-LV"/>
        </w:rPr>
      </w:pPr>
      <w:r w:rsidRPr="00B557E8">
        <w:rPr>
          <w:rFonts w:eastAsia="EUAlbertina-Bold-Identity-H"/>
          <w:noProof/>
          <w:color w:val="000000" w:themeColor="text1"/>
          <w:szCs w:val="24"/>
          <w:lang w:eastAsia="lv-LV"/>
        </w:rPr>
        <w:drawing>
          <wp:inline distT="0" distB="0" distL="0" distR="0" wp14:anchorId="6BC09CC3" wp14:editId="574AC532">
            <wp:extent cx="5735117" cy="2567635"/>
            <wp:effectExtent l="0" t="0" r="0" b="4445"/>
            <wp:docPr id="17"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C1733" w:rsidRPr="00B557E8" w:rsidRDefault="001C1733"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Tā kā pirmo projektu ieviešana ir uzsākusies tikai 2009.gada vidū, tad šobrīd sasniegtie apguves rādītāji ir vērtējami kā labi. No </w:t>
      </w:r>
      <w:proofErr w:type="spellStart"/>
      <w:r w:rsidRPr="00B557E8">
        <w:rPr>
          <w:rFonts w:eastAsia="EUAlbertina-Bold-Identity-H"/>
          <w:color w:val="000000" w:themeColor="text1"/>
          <w:szCs w:val="24"/>
          <w:lang w:eastAsia="lv-LV"/>
        </w:rPr>
        <w:t>donorvalsts</w:t>
      </w:r>
      <w:proofErr w:type="spellEnd"/>
      <w:r w:rsidRPr="00B557E8">
        <w:rPr>
          <w:rFonts w:eastAsia="EUAlbertina-Bold-Identity-H"/>
          <w:color w:val="000000" w:themeColor="text1"/>
          <w:szCs w:val="24"/>
          <w:lang w:eastAsia="lv-LV"/>
        </w:rPr>
        <w:t xml:space="preserve"> saņemtā informācija liecina, ka Latvija ieņem 1.vietu no 3 Baltijas valstīm Šveices programmas līdzekļu apguves ziņā.</w:t>
      </w:r>
    </w:p>
    <w:p w:rsidR="001C1733" w:rsidRPr="00B557E8" w:rsidRDefault="001C1733"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Līdz pārskata perioda beigām ir noslēgti 10 Projektu līgumi no 11 paredzētajiem. </w:t>
      </w:r>
      <w:r w:rsidR="00D7695B" w:rsidRPr="00B557E8">
        <w:rPr>
          <w:rFonts w:eastAsia="EUAlbertina-Bold-Identity-H"/>
          <w:color w:val="000000" w:themeColor="text1"/>
          <w:szCs w:val="24"/>
          <w:lang w:eastAsia="lv-LV"/>
        </w:rPr>
        <w:t xml:space="preserve">Pēdējo </w:t>
      </w:r>
      <w:r w:rsidRPr="00B557E8">
        <w:rPr>
          <w:rFonts w:eastAsia="EUAlbertina-Bold-Identity-H"/>
          <w:color w:val="000000" w:themeColor="text1"/>
          <w:szCs w:val="24"/>
          <w:lang w:eastAsia="lv-LV"/>
        </w:rPr>
        <w:t>projekta līgumu, kas paredz ugunsdrošības pasākumu īstenošana pašvaldību vispārējās izglītības iestādēs, paredzēts noslēgt un uzsākt tā īstenošanu 2012.gada 1.ceturksnī.</w:t>
      </w:r>
    </w:p>
    <w:p w:rsidR="001C1733" w:rsidRPr="00B557E8" w:rsidRDefault="001C1733"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Projekta „Pašvaldību aktivitāšu īstenošana, lai nodrošinātu skolnieku pārvadāšanu un ar to saistītos atbalsta pasākumus” ietvaros 59 pašvaldības ir saņēmušas 110 autobusus skolnieku pārvadāšanai. Projekts veiksmīgi noslēdzās 2011.gada jūnijā.</w:t>
      </w:r>
    </w:p>
    <w:p w:rsidR="001C1733" w:rsidRPr="00B557E8" w:rsidRDefault="001C1733"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Tā kā projekts noslēdzās ar 2,2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xml:space="preserve">. Šveices franku jeb 1,3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xml:space="preserve">. latu lielu granta ietaupījumu, tad 2011.gada Šveices programmas trešajā gada uzraudzības  sanāksmē Šveices kompetentās iestādes atbalstīja ideju par jauna projekta „Atbalsts ugunsdrošības pasākumiem pašvaldību </w:t>
      </w:r>
      <w:r w:rsidRPr="00B557E8">
        <w:rPr>
          <w:rFonts w:eastAsia="EUAlbertina-Bold-Identity-H"/>
          <w:color w:val="000000" w:themeColor="text1"/>
          <w:szCs w:val="24"/>
          <w:lang w:eastAsia="lv-LV"/>
        </w:rPr>
        <w:lastRenderedPageBreak/>
        <w:t>vispārējās izglītības iestādēs” izstrādi un iesniegšanu Šveicei apstiprināšanai. Projekta mērķis būs ugunsdrošības pasākumu īstenošana pašvaldību vispārējās izglītības iestādēs, lai radītu bērniem un jauniešiem drošu vidi.</w:t>
      </w:r>
    </w:p>
    <w:p w:rsidR="001C1733" w:rsidRPr="00B557E8" w:rsidRDefault="001C1733"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Projekta „Tiesu modernizācija Latvijā” ietvaros iepirkums „Video konferences un ierakstu iekārtu piegāde, uzstādīšana un uzturēšana tiesu un ieslodzījuma vietu vajadzībām” noslēdzās  2011.gada septembrī. Tā ietvaros plānots iegādāties un uzstādīt 81 videokonferenču iekārtu visās tiesu sēžu zālēs (41 tiesas zālēs un Augstākā tiesas zālē) un visās ieslodzījuma vietās (12 vietas), kā arī 295 audio ierakstu iekārtas, kuras paredzētas visām tiesu sēžu zālēm.</w:t>
      </w:r>
    </w:p>
    <w:p w:rsidR="001C1733" w:rsidRPr="00B557E8" w:rsidRDefault="001C1733"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NVO fonda ietvaros ar 2011.gadu ir uzsākta visu 56 </w:t>
      </w:r>
      <w:proofErr w:type="spellStart"/>
      <w:r w:rsidRPr="00B557E8">
        <w:rPr>
          <w:rFonts w:eastAsia="EUAlbertina-Bold-Identity-H"/>
          <w:color w:val="000000" w:themeColor="text1"/>
          <w:szCs w:val="24"/>
          <w:lang w:eastAsia="lv-LV"/>
        </w:rPr>
        <w:t>apakšprojektu</w:t>
      </w:r>
      <w:proofErr w:type="spellEnd"/>
      <w:r w:rsidRPr="00B557E8">
        <w:rPr>
          <w:rFonts w:eastAsia="EUAlbertina-Bold-Identity-H"/>
          <w:color w:val="000000" w:themeColor="text1"/>
          <w:szCs w:val="24"/>
          <w:lang w:eastAsia="lv-LV"/>
        </w:rPr>
        <w:t xml:space="preserve"> īstenošana. To aktivitāšu veikšanā ir iesaistīti 18 partneri no Šveices, un lielākā daļa projektu tiks īstenoti sadarbībā ar Latvijas pašvaldībām, valsts un citām nevalstiskā sektora organizācijām. Uz pārskata perioda beigām jau ir noslēgušies septiņi </w:t>
      </w:r>
      <w:proofErr w:type="spellStart"/>
      <w:r w:rsidRPr="00B557E8">
        <w:rPr>
          <w:rFonts w:eastAsia="EUAlbertina-Bold-Identity-H"/>
          <w:color w:val="000000" w:themeColor="text1"/>
          <w:szCs w:val="24"/>
          <w:lang w:eastAsia="lv-LV"/>
        </w:rPr>
        <w:t>apakšprojekti</w:t>
      </w:r>
      <w:proofErr w:type="spellEnd"/>
      <w:r w:rsidRPr="00B557E8">
        <w:rPr>
          <w:rFonts w:eastAsia="EUAlbertina-Bold-Identity-H"/>
          <w:color w:val="000000" w:themeColor="text1"/>
          <w:szCs w:val="24"/>
          <w:lang w:eastAsia="lv-LV"/>
        </w:rPr>
        <w:t>.</w:t>
      </w:r>
    </w:p>
    <w:p w:rsidR="001C1733" w:rsidRPr="00B557E8" w:rsidRDefault="001C1733"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Stipend</w:t>
      </w:r>
      <w:r w:rsidR="00B96482" w:rsidRPr="00B557E8">
        <w:rPr>
          <w:rFonts w:eastAsia="EUAlbertina-Bold-Identity-H"/>
          <w:color w:val="000000" w:themeColor="text1"/>
          <w:szCs w:val="24"/>
          <w:lang w:eastAsia="lv-LV"/>
        </w:rPr>
        <w:t>iju fonda ietvaros 2011.gada 1.</w:t>
      </w:r>
      <w:r w:rsidRPr="00B557E8">
        <w:rPr>
          <w:rFonts w:eastAsia="EUAlbertina-Bold-Identity-H"/>
          <w:color w:val="000000" w:themeColor="text1"/>
          <w:szCs w:val="24"/>
          <w:lang w:eastAsia="lv-LV"/>
        </w:rPr>
        <w:t xml:space="preserve">septembrī tika izsludināts otrais stipendiju konkurss doktorantiem un jaunajiem zinātniekiem ar pieteikšanos līdz 2011.gada 1.novembrim. </w:t>
      </w:r>
    </w:p>
    <w:p w:rsidR="001C1733" w:rsidRPr="00B557E8" w:rsidRDefault="001C1733"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Projekta „Vēsturiski piesārņoto vietu sanācija – Sarkandaugavas teritorijā” īstenošana tika uzsākta ar 2011.gada aprīli. Projekts paredz attīrīšanas darbu veikšanu piecos objektos Rīgas Brīvostas teritorijā. Kopumā plānots attīrīt aptuveni 77 000 m2 lielu platību. Pirmo iepirkumu par attīrīšanas darbu veikšanu 55 000 m</w:t>
      </w:r>
      <w:r w:rsidRPr="00B557E8">
        <w:rPr>
          <w:rFonts w:eastAsia="EUAlbertina-Bold-Identity-H"/>
          <w:color w:val="000000" w:themeColor="text1"/>
          <w:szCs w:val="24"/>
          <w:vertAlign w:val="superscript"/>
          <w:lang w:eastAsia="lv-LV"/>
        </w:rPr>
        <w:t>2</w:t>
      </w:r>
      <w:r w:rsidRPr="00B557E8">
        <w:rPr>
          <w:rFonts w:eastAsia="EUAlbertina-Bold-Identity-H"/>
          <w:color w:val="000000" w:themeColor="text1"/>
          <w:szCs w:val="24"/>
          <w:lang w:eastAsia="lv-LV"/>
        </w:rPr>
        <w:t xml:space="preserve"> lielā platībā izsludināja 2011.gada augustā un tas noslēdzās 2011.gada septembrī.</w:t>
      </w:r>
    </w:p>
    <w:p w:rsidR="001C1733" w:rsidRPr="00B557E8" w:rsidRDefault="001C1733"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Programmas „Atbalsts jaunatnes iniciatīvu attīstībai attālos vai mazattīstītos reģionos” īstenošana ir uzsākta ar 2011.gada 1.jūniju. Projekts paredz 17 </w:t>
      </w:r>
      <w:proofErr w:type="spellStart"/>
      <w:r w:rsidRPr="00B557E8">
        <w:rPr>
          <w:rFonts w:eastAsia="EUAlbertina-Bold-Identity-H"/>
          <w:color w:val="000000" w:themeColor="text1"/>
          <w:szCs w:val="24"/>
          <w:lang w:eastAsia="lv-LV"/>
        </w:rPr>
        <w:t>multifunkcionālu</w:t>
      </w:r>
      <w:proofErr w:type="spellEnd"/>
      <w:r w:rsidRPr="00B557E8">
        <w:rPr>
          <w:rFonts w:eastAsia="EUAlbertina-Bold-Identity-H"/>
          <w:color w:val="000000" w:themeColor="text1"/>
          <w:szCs w:val="24"/>
          <w:lang w:eastAsia="lv-LV"/>
        </w:rPr>
        <w:t xml:space="preserve"> jauniešu iniciatīvu centru izveidi 17 dažādās Latvijas pašvaldībās un semināru, konferenču un forumu organizēšanu visā Latvijā jauniešiem un personām, kas iesaistītas darbā ar jauniešiem, par jauniešiem aktuālām tēmām. Ar visām 17 pašvaldībām ir parakstīti īstenošanas līgumi par </w:t>
      </w:r>
      <w:proofErr w:type="spellStart"/>
      <w:r w:rsidRPr="00B557E8">
        <w:rPr>
          <w:rFonts w:eastAsia="EUAlbertina-Bold-Identity-H"/>
          <w:color w:val="000000" w:themeColor="text1"/>
          <w:szCs w:val="24"/>
          <w:lang w:eastAsia="lv-LV"/>
        </w:rPr>
        <w:t>multifunkcionālo</w:t>
      </w:r>
      <w:proofErr w:type="spellEnd"/>
      <w:r w:rsidRPr="00B557E8">
        <w:rPr>
          <w:rFonts w:eastAsia="EUAlbertina-Bold-Identity-H"/>
          <w:color w:val="000000" w:themeColor="text1"/>
          <w:szCs w:val="24"/>
          <w:lang w:eastAsia="lv-LV"/>
        </w:rPr>
        <w:t xml:space="preserve"> jauniešu iniciatīvu centru izveidi un 2011.gada jūlijā ir veikti avansa maksājumi pašvaldībām aktivitāšu īstenošanai.</w:t>
      </w:r>
    </w:p>
    <w:p w:rsidR="001C1733" w:rsidRPr="00B557E8" w:rsidRDefault="001C1733"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Grantu shēmas „Šveices pētnieku aktivitātes Latvijā” īstenošana tik</w:t>
      </w:r>
      <w:r w:rsidR="009A5517" w:rsidRPr="00B557E8">
        <w:rPr>
          <w:rFonts w:eastAsia="EUAlbertina-Bold-Identity-H"/>
          <w:color w:val="000000" w:themeColor="text1"/>
          <w:szCs w:val="24"/>
          <w:lang w:eastAsia="lv-LV"/>
        </w:rPr>
        <w:t>a</w:t>
      </w:r>
      <w:r w:rsidRPr="00B557E8">
        <w:rPr>
          <w:rFonts w:eastAsia="EUAlbertina-Bold-Identity-H"/>
          <w:color w:val="000000" w:themeColor="text1"/>
          <w:szCs w:val="24"/>
          <w:lang w:eastAsia="lv-LV"/>
        </w:rPr>
        <w:t xml:space="preserve"> uzsākta ar 2011.gada 1.jūliju. Projekts paredz vismaz 45 stipendiju piešķiršanu Šveices pētniekiem lekciju lasīšanai un pieredzes apmaiņai Latvijas augstskolās un zinātniskajās institūcijās. Pirmo konkursu grantu shēmas ietvaros plānots izsludināt pēc </w:t>
      </w:r>
      <w:proofErr w:type="spellStart"/>
      <w:r w:rsidRPr="00B557E8">
        <w:rPr>
          <w:rFonts w:eastAsia="EUAlbertina-Bold-Identity-H"/>
          <w:color w:val="000000" w:themeColor="text1"/>
          <w:szCs w:val="24"/>
          <w:lang w:eastAsia="lv-LV"/>
        </w:rPr>
        <w:t>apakšprojektu</w:t>
      </w:r>
      <w:proofErr w:type="spellEnd"/>
      <w:r w:rsidRPr="00B557E8">
        <w:rPr>
          <w:rFonts w:eastAsia="EUAlbertina-Bold-Identity-H"/>
          <w:color w:val="000000" w:themeColor="text1"/>
          <w:szCs w:val="24"/>
          <w:lang w:eastAsia="lv-LV"/>
        </w:rPr>
        <w:t xml:space="preserve"> iesniegumu atklāta konkursa nolikuma apstiprināšanas MK 201</w:t>
      </w:r>
      <w:r w:rsidR="009A5517" w:rsidRPr="00B557E8">
        <w:rPr>
          <w:rFonts w:eastAsia="EUAlbertina-Bold-Identity-H"/>
          <w:color w:val="000000" w:themeColor="text1"/>
          <w:szCs w:val="24"/>
          <w:lang w:eastAsia="lv-LV"/>
        </w:rPr>
        <w:t>2</w:t>
      </w:r>
      <w:r w:rsidRPr="00B557E8">
        <w:rPr>
          <w:rFonts w:eastAsia="EUAlbertina-Bold-Identity-H"/>
          <w:color w:val="000000" w:themeColor="text1"/>
          <w:szCs w:val="24"/>
          <w:lang w:eastAsia="lv-LV"/>
        </w:rPr>
        <w:t xml:space="preserve">.gada </w:t>
      </w:r>
      <w:r w:rsidR="000A20FC" w:rsidRPr="00B557E8">
        <w:rPr>
          <w:rFonts w:eastAsia="EUAlbertina-Bold-Identity-H"/>
          <w:color w:val="000000" w:themeColor="text1"/>
          <w:szCs w:val="24"/>
          <w:lang w:eastAsia="lv-LV"/>
        </w:rPr>
        <w:t>1.</w:t>
      </w:r>
      <w:r w:rsidRPr="00B557E8">
        <w:rPr>
          <w:rFonts w:eastAsia="EUAlbertina-Bold-Identity-H"/>
          <w:color w:val="000000" w:themeColor="text1"/>
          <w:szCs w:val="24"/>
          <w:lang w:eastAsia="lv-LV"/>
        </w:rPr>
        <w:t>ceturksnī.</w:t>
      </w:r>
    </w:p>
    <w:p w:rsidR="001C1733" w:rsidRPr="00B557E8" w:rsidRDefault="001C1733"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Projekta „</w:t>
      </w:r>
      <w:proofErr w:type="spellStart"/>
      <w:r w:rsidRPr="00B557E8">
        <w:rPr>
          <w:rFonts w:eastAsia="EUAlbertina-Bold-Identity-H"/>
          <w:color w:val="000000" w:themeColor="text1"/>
          <w:szCs w:val="24"/>
          <w:lang w:eastAsia="lv-LV"/>
        </w:rPr>
        <w:t>Mikrokreditēšanas</w:t>
      </w:r>
      <w:proofErr w:type="spellEnd"/>
      <w:r w:rsidRPr="00B557E8">
        <w:rPr>
          <w:rFonts w:eastAsia="EUAlbertina-Bold-Identity-H"/>
          <w:color w:val="000000" w:themeColor="text1"/>
          <w:szCs w:val="24"/>
          <w:lang w:eastAsia="lv-LV"/>
        </w:rPr>
        <w:t xml:space="preserve"> programma” īstenošana tika uzsākta ar 2011.gada 1.jūliju, nodrošinot Projekta administratīvo uzsākšanu. 2011.gada 6.septembrī MK tika apstiprināti noteikumi „Noteikumi par </w:t>
      </w:r>
      <w:proofErr w:type="spellStart"/>
      <w:r w:rsidRPr="00B557E8">
        <w:rPr>
          <w:rFonts w:eastAsia="EUAlbertina-Bold-Identity-H"/>
          <w:color w:val="000000" w:themeColor="text1"/>
          <w:szCs w:val="24"/>
          <w:lang w:eastAsia="lv-LV"/>
        </w:rPr>
        <w:t>mikro</w:t>
      </w:r>
      <w:proofErr w:type="spellEnd"/>
      <w:r w:rsidRPr="00B557E8">
        <w:rPr>
          <w:rFonts w:eastAsia="EUAlbertina-Bold-Identity-H"/>
          <w:color w:val="000000" w:themeColor="text1"/>
          <w:szCs w:val="24"/>
          <w:lang w:eastAsia="lv-LV"/>
        </w:rPr>
        <w:t xml:space="preserve"> aizdevumiem un grantiem Latvijas un Šveices sadarbības programmas individuālā projekta "</w:t>
      </w:r>
      <w:proofErr w:type="spellStart"/>
      <w:r w:rsidRPr="00B557E8">
        <w:rPr>
          <w:rFonts w:eastAsia="EUAlbertina-Bold-Identity-H"/>
          <w:color w:val="000000" w:themeColor="text1"/>
          <w:szCs w:val="24"/>
          <w:lang w:eastAsia="lv-LV"/>
        </w:rPr>
        <w:t>Mikrokreditēšanas</w:t>
      </w:r>
      <w:proofErr w:type="spellEnd"/>
      <w:r w:rsidRPr="00B557E8">
        <w:rPr>
          <w:rFonts w:eastAsia="EUAlbertina-Bold-Identity-H"/>
          <w:color w:val="000000" w:themeColor="text1"/>
          <w:szCs w:val="24"/>
          <w:lang w:eastAsia="lv-LV"/>
        </w:rPr>
        <w:t xml:space="preserve"> programma" ietvaros”. </w:t>
      </w:r>
      <w:r w:rsidR="006B263C" w:rsidRPr="00B557E8">
        <w:rPr>
          <w:rFonts w:eastAsia="EUAlbertina-Bold-Identity-H"/>
          <w:color w:val="000000" w:themeColor="text1"/>
          <w:szCs w:val="24"/>
          <w:lang w:eastAsia="lv-LV"/>
        </w:rPr>
        <w:t>LHZB</w:t>
      </w:r>
      <w:r w:rsidRPr="00B557E8">
        <w:rPr>
          <w:rFonts w:eastAsia="EUAlbertina-Bold-Identity-H"/>
          <w:color w:val="000000" w:themeColor="text1"/>
          <w:szCs w:val="24"/>
          <w:lang w:eastAsia="lv-LV"/>
        </w:rPr>
        <w:t xml:space="preserve"> no 2011.gada 19.septembra ir uzsākusi projekta iesniegumu pieņemšanu aizdevumu piešķiršanai </w:t>
      </w:r>
      <w:proofErr w:type="spellStart"/>
      <w:r w:rsidRPr="00B557E8">
        <w:rPr>
          <w:rFonts w:eastAsia="EUAlbertina-Bold-Identity-H"/>
          <w:color w:val="000000" w:themeColor="text1"/>
          <w:szCs w:val="24"/>
          <w:lang w:eastAsia="lv-LV"/>
        </w:rPr>
        <w:t>mikro</w:t>
      </w:r>
      <w:proofErr w:type="spellEnd"/>
      <w:r w:rsidRPr="00B557E8">
        <w:rPr>
          <w:rFonts w:eastAsia="EUAlbertina-Bold-Identity-H"/>
          <w:color w:val="000000" w:themeColor="text1"/>
          <w:szCs w:val="24"/>
          <w:lang w:eastAsia="lv-LV"/>
        </w:rPr>
        <w:t xml:space="preserve"> uzņēmumiem un pašnodarbinātām personām uzņēmējdarbības uzsākšanai vai attīstībai.</w:t>
      </w:r>
    </w:p>
    <w:p w:rsidR="001C1733" w:rsidRPr="00B557E8" w:rsidRDefault="001C1733"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Pamatojoties uz finansējumu saņēmēju projektu ietvaros 2011.gada budžetā plānotajiem maksājumiem (Šveices programmas finansējums un nacionālais līdzfinansējums) 2011.gada </w:t>
      </w:r>
      <w:r w:rsidR="000A20FC" w:rsidRPr="00B557E8">
        <w:rPr>
          <w:color w:val="000000" w:themeColor="text1"/>
          <w:szCs w:val="24"/>
        </w:rPr>
        <w:t>3.</w:t>
      </w:r>
      <w:r w:rsidRPr="00B557E8">
        <w:rPr>
          <w:rFonts w:eastAsia="EUAlbertina-Bold-Identity-H"/>
          <w:color w:val="000000" w:themeColor="text1"/>
          <w:szCs w:val="24"/>
          <w:lang w:eastAsia="lv-LV"/>
        </w:rPr>
        <w:t xml:space="preserve">ceturksnī bija plānots iztērēt 3,4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xml:space="preserve">. latu, bet faktiskā apguve bija 3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latu jeb 89% no ceturksnī plānotā (skatīt grafiku Nr.</w:t>
      </w:r>
      <w:r w:rsidR="009B3BF5" w:rsidRPr="00B557E8">
        <w:rPr>
          <w:rFonts w:eastAsia="EUAlbertina-Bold-Identity-H"/>
          <w:color w:val="000000" w:themeColor="text1"/>
          <w:szCs w:val="24"/>
          <w:lang w:eastAsia="lv-LV"/>
        </w:rPr>
        <w:t>2</w:t>
      </w:r>
      <w:r w:rsidR="00EC7B49" w:rsidRPr="00B557E8">
        <w:rPr>
          <w:rFonts w:eastAsia="EUAlbertina-Bold-Identity-H"/>
          <w:color w:val="000000" w:themeColor="text1"/>
          <w:szCs w:val="24"/>
          <w:lang w:eastAsia="lv-LV"/>
        </w:rPr>
        <w:t>1</w:t>
      </w:r>
      <w:r w:rsidRPr="00B557E8">
        <w:rPr>
          <w:rFonts w:eastAsia="EUAlbertina-Bold-Identity-H"/>
          <w:color w:val="000000" w:themeColor="text1"/>
          <w:szCs w:val="24"/>
          <w:lang w:eastAsia="lv-LV"/>
        </w:rPr>
        <w:t>).</w:t>
      </w:r>
    </w:p>
    <w:p w:rsidR="007940B3" w:rsidRPr="00B557E8" w:rsidRDefault="001C1733"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lastRenderedPageBreak/>
        <w:t>Grafiks Nr.</w:t>
      </w:r>
      <w:r w:rsidR="009B3BF5" w:rsidRPr="00B557E8">
        <w:rPr>
          <w:rFonts w:eastAsia="EUAlbertina-Bold-Identity-H"/>
          <w:color w:val="000000" w:themeColor="text1"/>
          <w:szCs w:val="24"/>
          <w:lang w:eastAsia="lv-LV"/>
        </w:rPr>
        <w:t>2</w:t>
      </w:r>
      <w:r w:rsidR="00EC7B49" w:rsidRPr="00B557E8">
        <w:rPr>
          <w:rFonts w:eastAsia="EUAlbertina-Bold-Identity-H"/>
          <w:color w:val="000000" w:themeColor="text1"/>
          <w:szCs w:val="24"/>
          <w:lang w:eastAsia="lv-LV"/>
        </w:rPr>
        <w:t>1</w:t>
      </w:r>
      <w:r w:rsidRPr="00B557E8">
        <w:rPr>
          <w:rFonts w:eastAsia="EUAlbertina-Bold-Identity-H"/>
          <w:color w:val="000000" w:themeColor="text1"/>
          <w:szCs w:val="24"/>
          <w:lang w:eastAsia="lv-LV"/>
        </w:rPr>
        <w:t xml:space="preserve"> </w:t>
      </w:r>
      <w:r w:rsidRPr="00B557E8">
        <w:rPr>
          <w:rFonts w:eastAsia="EUAlbertina-Bold-Identity-H"/>
          <w:i/>
          <w:color w:val="000000" w:themeColor="text1"/>
          <w:szCs w:val="24"/>
          <w:lang w:eastAsia="lv-LV"/>
        </w:rPr>
        <w:t xml:space="preserve">„Šveices programmas faktiskā apguve pret plānoto 2011.gada ceturkšņu griezumā, </w:t>
      </w:r>
      <w:proofErr w:type="spellStart"/>
      <w:r w:rsidRPr="00B557E8">
        <w:rPr>
          <w:rFonts w:eastAsia="EUAlbertina-Bold-Identity-H"/>
          <w:i/>
          <w:color w:val="000000" w:themeColor="text1"/>
          <w:szCs w:val="24"/>
          <w:lang w:eastAsia="lv-LV"/>
        </w:rPr>
        <w:t>milj</w:t>
      </w:r>
      <w:proofErr w:type="spellEnd"/>
      <w:r w:rsidRPr="00B557E8">
        <w:rPr>
          <w:rFonts w:eastAsia="EUAlbertina-Bold-Identity-H"/>
          <w:i/>
          <w:color w:val="000000" w:themeColor="text1"/>
          <w:szCs w:val="24"/>
          <w:lang w:eastAsia="lv-LV"/>
        </w:rPr>
        <w:t>. LVL</w:t>
      </w:r>
      <w:r w:rsidR="00C13D44" w:rsidRPr="00B557E8">
        <w:rPr>
          <w:rFonts w:eastAsia="EUAlbertina-Bold-Identity-H"/>
          <w:i/>
          <w:color w:val="000000" w:themeColor="text1"/>
          <w:szCs w:val="24"/>
          <w:lang w:eastAsia="lv-LV"/>
        </w:rPr>
        <w:t>.</w:t>
      </w:r>
      <w:r w:rsidRPr="00B557E8">
        <w:rPr>
          <w:rFonts w:eastAsia="EUAlbertina-Bold-Identity-H"/>
          <w:i/>
          <w:color w:val="000000" w:themeColor="text1"/>
          <w:szCs w:val="24"/>
          <w:lang w:eastAsia="lv-LV"/>
        </w:rPr>
        <w:t>”</w:t>
      </w:r>
    </w:p>
    <w:p w:rsidR="00B96482" w:rsidRPr="00B557E8" w:rsidRDefault="000460EA" w:rsidP="00B557E8">
      <w:pPr>
        <w:spacing w:before="120" w:after="120" w:line="276" w:lineRule="auto"/>
        <w:rPr>
          <w:b/>
          <w:bCs/>
          <w:color w:val="000000" w:themeColor="text1"/>
          <w:kern w:val="32"/>
          <w:szCs w:val="24"/>
          <w:lang w:eastAsia="x-none"/>
        </w:rPr>
      </w:pPr>
      <w:r w:rsidRPr="00B557E8">
        <w:rPr>
          <w:noProof/>
          <w:color w:val="000000" w:themeColor="text1"/>
          <w:szCs w:val="24"/>
          <w:lang w:eastAsia="lv-LV"/>
        </w:rPr>
        <w:drawing>
          <wp:inline distT="0" distB="0" distL="0" distR="0" wp14:anchorId="6A7BFFA1" wp14:editId="320AB5FB">
            <wp:extent cx="5852160" cy="2245766"/>
            <wp:effectExtent l="0" t="0" r="15240" b="2159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00B96482" w:rsidRPr="00B557E8">
        <w:rPr>
          <w:color w:val="000000" w:themeColor="text1"/>
          <w:szCs w:val="24"/>
        </w:rPr>
        <w:br w:type="page"/>
      </w:r>
    </w:p>
    <w:p w:rsidR="00C97F4E" w:rsidRPr="00B557E8" w:rsidRDefault="004D5EBC" w:rsidP="00B557E8">
      <w:pPr>
        <w:pStyle w:val="1lmenis"/>
        <w:spacing w:before="120" w:after="120" w:line="276" w:lineRule="auto"/>
        <w:ind w:left="851"/>
        <w:rPr>
          <w:rFonts w:ascii="Times New Roman" w:hAnsi="Times New Roman"/>
          <w:color w:val="000000" w:themeColor="text1"/>
          <w:sz w:val="24"/>
          <w:szCs w:val="24"/>
          <w:lang w:val="lv-LV"/>
        </w:rPr>
      </w:pPr>
      <w:bookmarkStart w:id="39" w:name="_Toc308774240"/>
      <w:r w:rsidRPr="00B557E8">
        <w:rPr>
          <w:rFonts w:ascii="Times New Roman" w:hAnsi="Times New Roman"/>
          <w:color w:val="000000" w:themeColor="text1"/>
          <w:sz w:val="24"/>
          <w:szCs w:val="24"/>
          <w:lang w:val="lv-LV"/>
        </w:rPr>
        <w:lastRenderedPageBreak/>
        <w:t xml:space="preserve">Neatbilstības </w:t>
      </w:r>
      <w:r w:rsidR="00691265" w:rsidRPr="00B557E8">
        <w:rPr>
          <w:rFonts w:ascii="Times New Roman" w:hAnsi="Times New Roman"/>
          <w:color w:val="000000" w:themeColor="text1"/>
          <w:sz w:val="24"/>
          <w:szCs w:val="24"/>
          <w:lang w:val="lv-LV"/>
        </w:rPr>
        <w:t xml:space="preserve">un neatbilstoši veikti izdevumi </w:t>
      </w:r>
      <w:r w:rsidR="00C97F4E" w:rsidRPr="00B557E8">
        <w:rPr>
          <w:rFonts w:ascii="Times New Roman" w:hAnsi="Times New Roman"/>
          <w:color w:val="000000" w:themeColor="text1"/>
          <w:sz w:val="24"/>
          <w:szCs w:val="24"/>
          <w:lang w:val="lv-LV"/>
        </w:rPr>
        <w:t>ES fondu</w:t>
      </w:r>
      <w:r w:rsidR="00237227" w:rsidRPr="00B557E8">
        <w:rPr>
          <w:rFonts w:ascii="Times New Roman" w:hAnsi="Times New Roman"/>
          <w:color w:val="000000" w:themeColor="text1"/>
          <w:sz w:val="24"/>
          <w:szCs w:val="24"/>
          <w:lang w:val="lv-LV"/>
        </w:rPr>
        <w:t xml:space="preserve"> un citu ārvalstu finanšu palīdzības līdzfinansētu</w:t>
      </w:r>
      <w:r w:rsidR="00E16824" w:rsidRPr="00B557E8">
        <w:rPr>
          <w:rFonts w:ascii="Times New Roman" w:hAnsi="Times New Roman"/>
          <w:color w:val="000000" w:themeColor="text1"/>
          <w:sz w:val="24"/>
          <w:szCs w:val="24"/>
          <w:lang w:val="lv-LV"/>
        </w:rPr>
        <w:t xml:space="preserve"> </w:t>
      </w:r>
      <w:r w:rsidR="00C97F4E" w:rsidRPr="00B557E8">
        <w:rPr>
          <w:rFonts w:ascii="Times New Roman" w:hAnsi="Times New Roman"/>
          <w:color w:val="000000" w:themeColor="text1"/>
          <w:sz w:val="24"/>
          <w:szCs w:val="24"/>
          <w:lang w:val="lv-LV"/>
        </w:rPr>
        <w:t>projektu ietvaros</w:t>
      </w:r>
      <w:bookmarkEnd w:id="36"/>
      <w:bookmarkEnd w:id="37"/>
      <w:bookmarkEnd w:id="38"/>
      <w:bookmarkEnd w:id="39"/>
      <w:r w:rsidR="00C97F4E" w:rsidRPr="00B557E8">
        <w:rPr>
          <w:rFonts w:ascii="Times New Roman" w:hAnsi="Times New Roman"/>
          <w:color w:val="000000" w:themeColor="text1"/>
          <w:sz w:val="24"/>
          <w:szCs w:val="24"/>
          <w:lang w:val="lv-LV"/>
        </w:rPr>
        <w:t xml:space="preserve"> </w:t>
      </w:r>
    </w:p>
    <w:p w:rsidR="00E16824" w:rsidRPr="00B557E8" w:rsidRDefault="00E16824" w:rsidP="00B557E8">
      <w:pPr>
        <w:spacing w:before="120" w:after="120" w:line="276" w:lineRule="auto"/>
        <w:rPr>
          <w:color w:val="000000" w:themeColor="text1"/>
          <w:szCs w:val="24"/>
        </w:rPr>
      </w:pPr>
      <w:bookmarkStart w:id="40" w:name="_Toc276049997"/>
      <w:bookmarkStart w:id="41" w:name="_Toc277257111"/>
      <w:r w:rsidRPr="00B557E8">
        <w:rPr>
          <w:color w:val="000000" w:themeColor="text1"/>
          <w:szCs w:val="24"/>
        </w:rPr>
        <w:t>Neatbilstība</w:t>
      </w:r>
      <w:r w:rsidRPr="00B557E8">
        <w:rPr>
          <w:color w:val="000000" w:themeColor="text1"/>
          <w:szCs w:val="24"/>
          <w:vertAlign w:val="superscript"/>
        </w:rPr>
        <w:footnoteReference w:id="9"/>
      </w:r>
      <w:r w:rsidRPr="00B557E8">
        <w:rPr>
          <w:color w:val="000000" w:themeColor="text1"/>
          <w:szCs w:val="24"/>
        </w:rPr>
        <w:t xml:space="preserve"> ir jebkurš kopienas tiesību aktu pārkāpums, kas noticis saimnieciskās darbības subjekta darbības vai bezdarbības dēļ un kas rada vai varētu radīt kaitējumu ES vispārējam budžetam, prasot no vispārējā budžeta segt nepamatotu izdevumu daļu. Neatbilstoši veikti izdevumi rodas, ja tos nav iespējams ieturēt no kārtējā maksājuma.</w:t>
      </w:r>
    </w:p>
    <w:p w:rsidR="00311CBF" w:rsidRPr="00B557E8" w:rsidRDefault="00311CBF" w:rsidP="00B557E8">
      <w:pPr>
        <w:spacing w:before="120" w:after="120" w:line="276" w:lineRule="auto"/>
        <w:rPr>
          <w:color w:val="000000" w:themeColor="text1"/>
          <w:szCs w:val="24"/>
        </w:rPr>
      </w:pPr>
      <w:r w:rsidRPr="00B557E8">
        <w:rPr>
          <w:rFonts w:eastAsia="EUAlbertina-Bold-Identity-H"/>
          <w:color w:val="000000" w:themeColor="text1"/>
          <w:szCs w:val="24"/>
          <w:lang w:eastAsia="lv-LV"/>
        </w:rPr>
        <w:t xml:space="preserve">Neatbilstība bez finansiālas ietekmes – ir pārkāpumi, par kuriem netiek konstatēti neatbilstoši veikti izdevumi un šie izdevumi nav jāatgūst, jo finansējuma saņēmējiem nav izmaksāts </w:t>
      </w:r>
      <w:r w:rsidRPr="00B557E8">
        <w:rPr>
          <w:color w:val="000000" w:themeColor="text1"/>
          <w:szCs w:val="24"/>
        </w:rPr>
        <w:t xml:space="preserve">finansējums, piemēram gadījumā, kad tiek lauzts līgums, pirms ir veikti maksājumi. </w:t>
      </w:r>
    </w:p>
    <w:p w:rsidR="00311CBF" w:rsidRPr="00B557E8" w:rsidRDefault="00311CBF" w:rsidP="00B557E8">
      <w:pPr>
        <w:spacing w:before="120" w:after="120" w:line="276" w:lineRule="auto"/>
        <w:rPr>
          <w:rFonts w:eastAsia="EUAlbertina-Bold-Identity-H"/>
          <w:color w:val="000000" w:themeColor="text1"/>
          <w:szCs w:val="24"/>
          <w:lang w:eastAsia="lv-LV"/>
        </w:rPr>
      </w:pPr>
      <w:r w:rsidRPr="00B557E8">
        <w:rPr>
          <w:color w:val="000000" w:themeColor="text1"/>
          <w:szCs w:val="24"/>
        </w:rPr>
        <w:t>Par neatbilstoši veikti izdevumiem tik uzskatīti izdevumi, kurus nav iespējams ieturēt no</w:t>
      </w:r>
      <w:r w:rsidRPr="00B557E8">
        <w:rPr>
          <w:rFonts w:eastAsia="EUAlbertina-Bold-Identity-H"/>
          <w:color w:val="000000" w:themeColor="text1"/>
          <w:szCs w:val="24"/>
          <w:lang w:eastAsia="lv-LV"/>
        </w:rPr>
        <w:t xml:space="preserve"> kārtējā maksājuma. Citiem vārdiem sakot, šie izdevumi ir izmaksāti finansējuma saņēmējam un attiecīgi neatbilstoši veiktie izdevumi tiek ieturēti no nākamā maksājuma, vai atgūti citos veidos. Papildus, kā neatbilstoši veikti izdevumi tiek uzskatīti valsts pārvalžu iestāžu projektos konstatētās neatbilstības, kuras tiek ieturētas no kārtējā maksājuma.</w:t>
      </w:r>
    </w:p>
    <w:p w:rsidR="00311CBF" w:rsidRPr="00B557E8" w:rsidRDefault="00311CBF" w:rsidP="00B557E8">
      <w:pPr>
        <w:spacing w:before="120" w:after="120" w:line="276" w:lineRule="auto"/>
        <w:rPr>
          <w:color w:val="000000" w:themeColor="text1"/>
          <w:szCs w:val="24"/>
        </w:rPr>
      </w:pPr>
      <w:r w:rsidRPr="00B557E8">
        <w:rPr>
          <w:rFonts w:eastAsia="EUAlbertina-Bold-Identity-H"/>
          <w:color w:val="000000" w:themeColor="text1"/>
          <w:szCs w:val="24"/>
          <w:lang w:eastAsia="lv-LV"/>
        </w:rPr>
        <w:t xml:space="preserve">Zaudējumus valsts budžetam ir neatbilstoši veikti izdevumi un neatbilstības kuras konstatētas tiešo vai pastarpināto valsts pārvaldes iestāžu, atvasināto publisko personu vai citu valsts iestāžu īstenotajos projektos un izdevumi tiek atgūti tos ieturot no kārtēja/nākamā maksājuma, norakstot, atgūstot un ziņojot Ministru kabinetam. Papildus zaudējumus valsts budžetam rada </w:t>
      </w:r>
      <w:r w:rsidRPr="00B557E8">
        <w:rPr>
          <w:color w:val="000000" w:themeColor="text1"/>
          <w:szCs w:val="24"/>
        </w:rPr>
        <w:t>neatbilstoši veikti izdevumi kuri konstatēti komersantu un nevalstisko organizāciju īstenotajos projektos un tos nav iespējams atgūt.</w:t>
      </w:r>
    </w:p>
    <w:p w:rsidR="00311CBF" w:rsidRPr="00B557E8" w:rsidRDefault="00311CBF" w:rsidP="00B557E8">
      <w:pPr>
        <w:spacing w:before="120" w:after="120" w:line="276" w:lineRule="auto"/>
        <w:rPr>
          <w:color w:val="000000" w:themeColor="text1"/>
          <w:szCs w:val="24"/>
        </w:rPr>
      </w:pPr>
      <w:r w:rsidRPr="00B557E8">
        <w:rPr>
          <w:color w:val="000000" w:themeColor="text1"/>
          <w:szCs w:val="24"/>
        </w:rPr>
        <w:t xml:space="preserve">Turpmāk šajā ziņojuma sadaļā tiks analizētas neatbilstības, ieskaitot neatbilstoši veiktus izdevumus. Atsevišķa analīze tikai par neatbilstoši veiktiem izdevumiem un zaudējumiem valsts budžetam apkopota 4.3. sadaļā. </w:t>
      </w:r>
    </w:p>
    <w:p w:rsidR="00EB5CF7" w:rsidRPr="00B557E8" w:rsidRDefault="00EB5CF7" w:rsidP="00B557E8">
      <w:pPr>
        <w:spacing w:before="120" w:after="120" w:line="276" w:lineRule="auto"/>
        <w:rPr>
          <w:color w:val="000000" w:themeColor="text1"/>
          <w:szCs w:val="24"/>
        </w:rPr>
      </w:pPr>
      <w:r w:rsidRPr="00B557E8">
        <w:rPr>
          <w:color w:val="000000" w:themeColor="text1"/>
          <w:szCs w:val="24"/>
        </w:rPr>
        <w:t xml:space="preserve">Kopējā kumulatīvā konstatēto neattiecināmo izdevumu summa atbildīgo </w:t>
      </w:r>
      <w:r w:rsidR="00B70E4C" w:rsidRPr="00B557E8">
        <w:rPr>
          <w:color w:val="000000" w:themeColor="text1"/>
          <w:szCs w:val="24"/>
        </w:rPr>
        <w:t>iestāžu</w:t>
      </w:r>
      <w:r w:rsidRPr="00B557E8">
        <w:rPr>
          <w:color w:val="000000" w:themeColor="text1"/>
          <w:szCs w:val="24"/>
        </w:rPr>
        <w:t xml:space="preserve"> </w:t>
      </w:r>
      <w:r w:rsidR="00B70E4C" w:rsidRPr="00B557E8">
        <w:rPr>
          <w:color w:val="000000" w:themeColor="text1"/>
          <w:szCs w:val="24"/>
        </w:rPr>
        <w:t>dalījumā</w:t>
      </w:r>
      <w:r w:rsidRPr="00B557E8">
        <w:rPr>
          <w:color w:val="000000" w:themeColor="text1"/>
          <w:szCs w:val="24"/>
        </w:rPr>
        <w:t xml:space="preserve"> ir atspoguļota šī ziņojuma pielikumā Nr.4 „Informācija par neatbilstībām un neatbilstoši veiktiem izdevumiem un atgūtiem neatbilstoši veiktiem izdevumiem uz 3</w:t>
      </w:r>
      <w:r w:rsidR="00434BE9" w:rsidRPr="00B557E8">
        <w:rPr>
          <w:color w:val="000000" w:themeColor="text1"/>
          <w:szCs w:val="24"/>
        </w:rPr>
        <w:t>0</w:t>
      </w:r>
      <w:r w:rsidRPr="00B557E8">
        <w:rPr>
          <w:color w:val="000000" w:themeColor="text1"/>
          <w:szCs w:val="24"/>
        </w:rPr>
        <w:t>.0</w:t>
      </w:r>
      <w:r w:rsidR="00434BE9" w:rsidRPr="00B557E8">
        <w:rPr>
          <w:color w:val="000000" w:themeColor="text1"/>
          <w:szCs w:val="24"/>
        </w:rPr>
        <w:t>9</w:t>
      </w:r>
      <w:r w:rsidRPr="00B557E8">
        <w:rPr>
          <w:color w:val="000000" w:themeColor="text1"/>
          <w:szCs w:val="24"/>
        </w:rPr>
        <w:t>.2011, latos (neieskaitot maksātnespējas gadījumus)”, savukārt šī ziņojuma pielikumā Nr.</w:t>
      </w:r>
      <w:r w:rsidR="00EA5C9D" w:rsidRPr="00B557E8">
        <w:rPr>
          <w:color w:val="000000" w:themeColor="text1"/>
          <w:szCs w:val="24"/>
        </w:rPr>
        <w:t xml:space="preserve">3 </w:t>
      </w:r>
      <w:r w:rsidRPr="00B557E8">
        <w:rPr>
          <w:color w:val="000000" w:themeColor="text1"/>
          <w:szCs w:val="24"/>
        </w:rPr>
        <w:t xml:space="preserve">„Tiešās vai pastarpinātās valsts pārvaldes iestādes, atvasinātas publiskas personas vai citas valsts iestādes īstenotajos projektos konstatētie neatbilstoši veiktie izdevumi pārskata periodā (ceturksnī)” atspoguļota informācija par 2011.gada </w:t>
      </w:r>
      <w:r w:rsidR="00434BE9" w:rsidRPr="00B557E8">
        <w:rPr>
          <w:color w:val="000000" w:themeColor="text1"/>
          <w:szCs w:val="24"/>
        </w:rPr>
        <w:t>3</w:t>
      </w:r>
      <w:r w:rsidRPr="00B557E8">
        <w:rPr>
          <w:color w:val="000000" w:themeColor="text1"/>
          <w:szCs w:val="24"/>
        </w:rPr>
        <w:t xml:space="preserve">.ceturknī konstatētajām neatbilstībām un neattiecināmiem izdevumiem tiešo vai pastarpināto valsts pārvaldes iestāžu, atvasināto publisko personu vai citu valsts iestāžu īstenotajos projektos. </w:t>
      </w:r>
    </w:p>
    <w:p w:rsidR="00A921FA" w:rsidRPr="00B557E8" w:rsidRDefault="007C1047"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Lai pilnveidotu </w:t>
      </w:r>
      <w:r w:rsidR="00A921FA" w:rsidRPr="00B557E8">
        <w:rPr>
          <w:rFonts w:eastAsia="EUAlbertina-Bold-Identity-H"/>
          <w:color w:val="000000" w:themeColor="text1"/>
          <w:szCs w:val="24"/>
          <w:lang w:eastAsia="lv-LV"/>
        </w:rPr>
        <w:t xml:space="preserve">neatbilstību </w:t>
      </w:r>
      <w:r w:rsidRPr="00B557E8">
        <w:rPr>
          <w:rFonts w:eastAsia="EUAlbertina-Bold-Identity-H"/>
          <w:color w:val="000000" w:themeColor="text1"/>
          <w:szCs w:val="24"/>
          <w:lang w:eastAsia="lv-LV"/>
        </w:rPr>
        <w:t xml:space="preserve">administrēšanu </w:t>
      </w:r>
      <w:r w:rsidR="00A921FA" w:rsidRPr="00B557E8">
        <w:rPr>
          <w:rFonts w:eastAsia="EUAlbertina-Bold-Identity-H"/>
          <w:color w:val="000000" w:themeColor="text1"/>
          <w:szCs w:val="24"/>
          <w:lang w:eastAsia="lv-LV"/>
        </w:rPr>
        <w:t xml:space="preserve">un </w:t>
      </w:r>
      <w:r w:rsidRPr="00B557E8">
        <w:rPr>
          <w:rFonts w:eastAsia="EUAlbertina-Bold-Identity-H"/>
          <w:color w:val="000000" w:themeColor="text1"/>
          <w:szCs w:val="24"/>
          <w:lang w:eastAsia="lv-LV"/>
        </w:rPr>
        <w:t xml:space="preserve">nodrošinātu vienotu praksi </w:t>
      </w:r>
      <w:r w:rsidR="00A921FA" w:rsidRPr="00B557E8">
        <w:rPr>
          <w:rFonts w:eastAsia="EUAlbertina-Bold-Identity-H"/>
          <w:color w:val="000000" w:themeColor="text1"/>
          <w:szCs w:val="24"/>
          <w:lang w:eastAsia="lv-LV"/>
        </w:rPr>
        <w:t>proporcionālās finanšu korekcijas piemērošanā</w:t>
      </w:r>
      <w:r w:rsidRPr="00B557E8">
        <w:rPr>
          <w:rFonts w:eastAsia="EUAlbertina-Bold-Identity-H"/>
          <w:color w:val="000000" w:themeColor="text1"/>
          <w:szCs w:val="24"/>
          <w:lang w:eastAsia="lv-LV"/>
        </w:rPr>
        <w:t>,</w:t>
      </w:r>
      <w:r w:rsidR="00A921FA" w:rsidRPr="00B557E8">
        <w:rPr>
          <w:rFonts w:eastAsia="EUAlbertina-Bold-Identity-H"/>
          <w:color w:val="000000" w:themeColor="text1"/>
          <w:szCs w:val="24"/>
          <w:lang w:eastAsia="lv-LV"/>
        </w:rPr>
        <w:t xml:space="preserve"> </w:t>
      </w:r>
      <w:r w:rsidR="00EA5C9D" w:rsidRPr="00B557E8">
        <w:rPr>
          <w:rFonts w:eastAsia="EUAlbertina-Bold-Identity-H"/>
          <w:color w:val="000000" w:themeColor="text1"/>
          <w:szCs w:val="24"/>
          <w:lang w:eastAsia="lv-LV"/>
        </w:rPr>
        <w:t xml:space="preserve">regulāri </w:t>
      </w:r>
      <w:r w:rsidRPr="00B557E8">
        <w:rPr>
          <w:rFonts w:eastAsia="EUAlbertina-Bold-Identity-H"/>
          <w:color w:val="000000" w:themeColor="text1"/>
          <w:szCs w:val="24"/>
          <w:lang w:eastAsia="lv-LV"/>
        </w:rPr>
        <w:t xml:space="preserve">reizi ceturksnī </w:t>
      </w:r>
      <w:r w:rsidR="00EA5C9D" w:rsidRPr="00B557E8">
        <w:rPr>
          <w:rFonts w:eastAsia="EUAlbertina-Bold-Identity-H"/>
          <w:color w:val="000000" w:themeColor="text1"/>
          <w:szCs w:val="24"/>
          <w:lang w:eastAsia="lv-LV"/>
        </w:rPr>
        <w:t>neatbilstību darba grupā</w:t>
      </w:r>
      <w:r w:rsidR="00EA5C9D" w:rsidRPr="00B557E8">
        <w:rPr>
          <w:rStyle w:val="FootnoteReference"/>
          <w:rFonts w:eastAsia="EUAlbertina-Bold-Identity-H"/>
          <w:color w:val="000000" w:themeColor="text1"/>
          <w:szCs w:val="24"/>
          <w:lang w:eastAsia="lv-LV"/>
        </w:rPr>
        <w:footnoteReference w:id="10"/>
      </w:r>
      <w:r w:rsidR="00EA5C9D" w:rsidRPr="00B557E8">
        <w:rPr>
          <w:rFonts w:eastAsia="EUAlbertina-Bold-Identity-H"/>
          <w:color w:val="000000" w:themeColor="text1"/>
          <w:szCs w:val="24"/>
          <w:lang w:eastAsia="lv-LV"/>
        </w:rPr>
        <w:t xml:space="preserve">, kurā piedalās </w:t>
      </w:r>
      <w:r w:rsidR="006C39CA" w:rsidRPr="00B557E8">
        <w:rPr>
          <w:rFonts w:eastAsia="EUAlbertina-Bold-Identity-H"/>
          <w:color w:val="000000" w:themeColor="text1"/>
          <w:szCs w:val="24"/>
          <w:lang w:eastAsia="lv-LV"/>
        </w:rPr>
        <w:t>VI</w:t>
      </w:r>
      <w:r w:rsidR="00EA5C9D" w:rsidRPr="00B557E8">
        <w:rPr>
          <w:rFonts w:eastAsia="EUAlbertina-Bold-Identity-H"/>
          <w:color w:val="000000" w:themeColor="text1"/>
          <w:szCs w:val="24"/>
          <w:lang w:eastAsia="lv-LV"/>
        </w:rPr>
        <w:t xml:space="preserve">, </w:t>
      </w:r>
      <w:r w:rsidR="006C39CA" w:rsidRPr="00B557E8">
        <w:rPr>
          <w:rFonts w:eastAsia="EUAlbertina-Bold-Identity-H"/>
          <w:color w:val="000000" w:themeColor="text1"/>
          <w:szCs w:val="24"/>
          <w:lang w:eastAsia="lv-LV"/>
        </w:rPr>
        <w:t>AI</w:t>
      </w:r>
      <w:r w:rsidR="00EA5C9D" w:rsidRPr="00B557E8">
        <w:rPr>
          <w:rFonts w:eastAsia="EUAlbertina-Bold-Identity-H"/>
          <w:color w:val="000000" w:themeColor="text1"/>
          <w:szCs w:val="24"/>
          <w:lang w:eastAsia="lv-LV"/>
        </w:rPr>
        <w:t xml:space="preserve">, </w:t>
      </w:r>
      <w:r w:rsidR="00374474" w:rsidRPr="00B557E8">
        <w:rPr>
          <w:rFonts w:eastAsia="EUAlbertina-Bold-Identity-H"/>
          <w:color w:val="000000" w:themeColor="text1"/>
          <w:szCs w:val="24"/>
          <w:lang w:eastAsia="lv-LV"/>
        </w:rPr>
        <w:t>SI</w:t>
      </w:r>
      <w:r w:rsidR="00EA5C9D" w:rsidRPr="00B557E8">
        <w:rPr>
          <w:rFonts w:eastAsia="EUAlbertina-Bold-Identity-H"/>
          <w:color w:val="000000" w:themeColor="text1"/>
          <w:szCs w:val="24"/>
          <w:lang w:eastAsia="lv-LV"/>
        </w:rPr>
        <w:t>, sertifik</w:t>
      </w:r>
      <w:r w:rsidRPr="00B557E8">
        <w:rPr>
          <w:rFonts w:eastAsia="EUAlbertina-Bold-Identity-H"/>
          <w:color w:val="000000" w:themeColor="text1"/>
          <w:szCs w:val="24"/>
          <w:lang w:eastAsia="lv-LV"/>
        </w:rPr>
        <w:t>āc</w:t>
      </w:r>
      <w:r w:rsidR="00EA5C9D" w:rsidRPr="00B557E8">
        <w:rPr>
          <w:rFonts w:eastAsia="EUAlbertina-Bold-Identity-H"/>
          <w:color w:val="000000" w:themeColor="text1"/>
          <w:szCs w:val="24"/>
          <w:lang w:eastAsia="lv-LV"/>
        </w:rPr>
        <w:t xml:space="preserve">ijas iestādes un </w:t>
      </w:r>
      <w:r w:rsidRPr="00B557E8">
        <w:rPr>
          <w:rFonts w:eastAsia="EUAlbertina-Bold-Identity-H"/>
          <w:color w:val="000000" w:themeColor="text1"/>
          <w:szCs w:val="24"/>
          <w:lang w:eastAsia="lv-LV"/>
        </w:rPr>
        <w:t xml:space="preserve">revīzijas iestādes pārstāvji, analizē konstatētos neatbilstību gadījumos, kuros </w:t>
      </w:r>
      <w:r w:rsidR="006C39CA" w:rsidRPr="00B557E8">
        <w:rPr>
          <w:rFonts w:eastAsia="EUAlbertina-Bold-Identity-H"/>
          <w:color w:val="000000" w:themeColor="text1"/>
          <w:szCs w:val="24"/>
          <w:lang w:eastAsia="lv-LV"/>
        </w:rPr>
        <w:t>AI</w:t>
      </w:r>
      <w:r w:rsidRPr="00B557E8">
        <w:rPr>
          <w:rFonts w:eastAsia="EUAlbertina-Bold-Identity-H"/>
          <w:color w:val="000000" w:themeColor="text1"/>
          <w:szCs w:val="24"/>
          <w:lang w:eastAsia="lv-LV"/>
        </w:rPr>
        <w:t xml:space="preserve"> un </w:t>
      </w:r>
      <w:r w:rsidR="00374474" w:rsidRPr="00B557E8">
        <w:rPr>
          <w:rFonts w:eastAsia="EUAlbertina-Bold-Identity-H"/>
          <w:color w:val="000000" w:themeColor="text1"/>
          <w:szCs w:val="24"/>
          <w:lang w:eastAsia="lv-LV"/>
        </w:rPr>
        <w:t>SI</w:t>
      </w:r>
      <w:r w:rsidRPr="00B557E8">
        <w:rPr>
          <w:rFonts w:eastAsia="EUAlbertina-Bold-Identity-H"/>
          <w:color w:val="000000" w:themeColor="text1"/>
          <w:szCs w:val="24"/>
          <w:lang w:eastAsia="lv-LV"/>
        </w:rPr>
        <w:t xml:space="preserve"> piemērījušas finanšu korekcijas saskaņā ar </w:t>
      </w:r>
      <w:r w:rsidR="006C39CA" w:rsidRPr="00B557E8">
        <w:rPr>
          <w:rFonts w:eastAsia="EUAlbertina-Bold-Identity-H"/>
          <w:color w:val="000000" w:themeColor="text1"/>
          <w:szCs w:val="24"/>
          <w:lang w:eastAsia="lv-LV"/>
        </w:rPr>
        <w:t>VI</w:t>
      </w:r>
      <w:r w:rsidRPr="00B557E8">
        <w:rPr>
          <w:rFonts w:eastAsia="EUAlbertina-Bold-Identity-H"/>
          <w:color w:val="000000" w:themeColor="text1"/>
          <w:szCs w:val="24"/>
          <w:lang w:eastAsia="lv-LV"/>
        </w:rPr>
        <w:t xml:space="preserve"> vadlīnij</w:t>
      </w:r>
      <w:r w:rsidR="00B2062F" w:rsidRPr="00B557E8">
        <w:rPr>
          <w:rFonts w:eastAsia="EUAlbertina-Bold-Identity-H"/>
          <w:color w:val="000000" w:themeColor="text1"/>
          <w:szCs w:val="24"/>
          <w:lang w:eastAsia="lv-LV"/>
        </w:rPr>
        <w:t xml:space="preserve">ām „Vadlīnijas par finanšu korekciju piemērošanu Eiropas Savienības fondu finansētajos projektos”. </w:t>
      </w:r>
    </w:p>
    <w:p w:rsidR="00A921FA" w:rsidRPr="00B557E8" w:rsidRDefault="008F27FF" w:rsidP="00B557E8">
      <w:pPr>
        <w:spacing w:before="120" w:after="120" w:line="276" w:lineRule="auto"/>
        <w:rPr>
          <w:color w:val="000000" w:themeColor="text1"/>
          <w:szCs w:val="24"/>
          <w:highlight w:val="yellow"/>
        </w:rPr>
      </w:pPr>
      <w:r w:rsidRPr="00B557E8">
        <w:rPr>
          <w:rFonts w:eastAsia="EUAlbertina-Bold-Identity-H"/>
          <w:color w:val="000000" w:themeColor="text1"/>
          <w:szCs w:val="24"/>
          <w:lang w:eastAsia="lv-LV"/>
        </w:rPr>
        <w:lastRenderedPageBreak/>
        <w:t>FM</w:t>
      </w:r>
      <w:r w:rsidR="00A921FA" w:rsidRPr="00B557E8">
        <w:rPr>
          <w:rFonts w:eastAsia="EUAlbertina-Bold-Identity-H"/>
          <w:color w:val="000000" w:themeColor="text1"/>
          <w:szCs w:val="24"/>
          <w:lang w:eastAsia="lv-LV"/>
        </w:rPr>
        <w:t xml:space="preserve"> turpina darbu, lai izstrādātu priekšlikumus situācijas risināšanai attiecībā uz uzņēmuma līgumu ar ES fondu finansējuma saņēmēju esošajiem vai bijušajiem darbiniekiem un civildienesta ierēdņiem slēgšanas ierobežošanu, lai pēc iespējas novērstu neatbilstoši veikto izdevumu rašanās risku interešu konflikta dēļ. Detalizētu informāciju skatīt informatīvā ziņojuma sadaļā „ES fondu ieviešanas sistēmas uzraudzība un pilnveidošana”.</w:t>
      </w:r>
    </w:p>
    <w:p w:rsidR="00C97F4E" w:rsidRPr="00B557E8" w:rsidRDefault="00A1120A" w:rsidP="00B557E8">
      <w:pPr>
        <w:pStyle w:val="2lmenis"/>
        <w:numPr>
          <w:ilvl w:val="1"/>
          <w:numId w:val="2"/>
        </w:numPr>
        <w:spacing w:before="120" w:after="120" w:line="276" w:lineRule="auto"/>
        <w:ind w:left="1276" w:hanging="425"/>
        <w:jc w:val="both"/>
        <w:rPr>
          <w:color w:val="000000" w:themeColor="text1"/>
          <w:sz w:val="24"/>
          <w:szCs w:val="24"/>
          <w:lang w:val="lv-LV"/>
        </w:rPr>
      </w:pPr>
      <w:r w:rsidRPr="00B557E8">
        <w:rPr>
          <w:color w:val="000000" w:themeColor="text1"/>
          <w:sz w:val="24"/>
          <w:szCs w:val="24"/>
          <w:lang w:val="lv-LV"/>
        </w:rPr>
        <w:t xml:space="preserve"> </w:t>
      </w:r>
      <w:bookmarkStart w:id="42" w:name="_Toc293402670"/>
      <w:bookmarkStart w:id="43" w:name="_Toc308774241"/>
      <w:r w:rsidR="00203177" w:rsidRPr="00B557E8">
        <w:rPr>
          <w:color w:val="000000" w:themeColor="text1"/>
          <w:sz w:val="24"/>
          <w:szCs w:val="24"/>
          <w:lang w:val="lv-LV"/>
        </w:rPr>
        <w:t>2007.-2013.gada plānošanas perioda ES fondi</w:t>
      </w:r>
      <w:bookmarkEnd w:id="42"/>
      <w:bookmarkEnd w:id="43"/>
    </w:p>
    <w:p w:rsidR="00640AAE" w:rsidRPr="00B557E8" w:rsidRDefault="00640AA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2007.-2013.gada plānošanas periodā līdz 2011.gada 30.septembrim konstatēto neatbilstību summa ir </w:t>
      </w:r>
      <w:r w:rsidR="00DA0E10" w:rsidRPr="00B557E8">
        <w:rPr>
          <w:rFonts w:eastAsia="EUAlbertina-Bold-Identity-H"/>
          <w:color w:val="000000" w:themeColor="text1"/>
          <w:szCs w:val="24"/>
          <w:lang w:eastAsia="lv-LV"/>
        </w:rPr>
        <w:t>9,7</w:t>
      </w:r>
      <w:r w:rsidRPr="00B557E8">
        <w:rPr>
          <w:rFonts w:eastAsia="EUAlbertina-Bold-Identity-H"/>
          <w:color w:val="000000" w:themeColor="text1"/>
          <w:szCs w:val="24"/>
          <w:lang w:eastAsia="lv-LV"/>
        </w:rPr>
        <w:t xml:space="preserve">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xml:space="preserve">. latu jeb </w:t>
      </w:r>
      <w:r w:rsidR="00DA0E10" w:rsidRPr="00B557E8">
        <w:rPr>
          <w:rFonts w:eastAsia="EUAlbertina-Bold-Identity-H"/>
          <w:color w:val="000000" w:themeColor="text1"/>
          <w:szCs w:val="24"/>
          <w:lang w:eastAsia="lv-LV"/>
        </w:rPr>
        <w:t>0,7</w:t>
      </w:r>
      <w:r w:rsidRPr="00B557E8">
        <w:rPr>
          <w:rFonts w:eastAsia="EUAlbertina-Bold-Identity-H"/>
          <w:color w:val="000000" w:themeColor="text1"/>
          <w:szCs w:val="24"/>
          <w:lang w:eastAsia="lv-LV"/>
        </w:rPr>
        <w:t>% no kopējā finansējuma saņēmēju pieprasītā finansējuma (1,</w:t>
      </w:r>
      <w:r w:rsidR="00B96482" w:rsidRPr="00B557E8">
        <w:rPr>
          <w:rFonts w:eastAsia="EUAlbertina-Bold-Identity-H"/>
          <w:color w:val="000000" w:themeColor="text1"/>
          <w:szCs w:val="24"/>
          <w:lang w:eastAsia="lv-LV"/>
        </w:rPr>
        <w:t>3</w:t>
      </w:r>
      <w:r w:rsidRPr="00B557E8">
        <w:rPr>
          <w:rFonts w:eastAsia="EUAlbertina-Bold-Identity-H"/>
          <w:color w:val="000000" w:themeColor="text1"/>
          <w:szCs w:val="24"/>
          <w:lang w:eastAsia="lv-LV"/>
        </w:rPr>
        <w:t xml:space="preserve"> miljards latu). Tai pašā laikā līdz 2011. gada 30. septembrim finansējuma saņēmējiem izmaksāti 1,3 miljardi latu. Analizējot neatbilstību īpatsvaru, jeb kopējo konstatēto neatbilstību apjomu pret kopējo pieprasīto finansējumu, secinām, ka tas ir </w:t>
      </w:r>
      <w:r w:rsidR="00DA0E10" w:rsidRPr="00B557E8">
        <w:rPr>
          <w:rFonts w:eastAsia="EUAlbertina-Bold-Identity-H"/>
          <w:color w:val="000000" w:themeColor="text1"/>
          <w:szCs w:val="24"/>
          <w:lang w:eastAsia="lv-LV"/>
        </w:rPr>
        <w:t>0,7</w:t>
      </w:r>
      <w:r w:rsidRPr="00B557E8">
        <w:rPr>
          <w:rFonts w:eastAsia="EUAlbertina-Bold-Identity-H"/>
          <w:color w:val="000000" w:themeColor="text1"/>
          <w:szCs w:val="24"/>
          <w:lang w:eastAsia="lv-LV"/>
        </w:rPr>
        <w:t xml:space="preserve">%, kas nesasniedz </w:t>
      </w:r>
      <w:r w:rsidR="0087108D" w:rsidRPr="00B557E8">
        <w:rPr>
          <w:rFonts w:eastAsia="EUAlbertina-Bold-Identity-H"/>
          <w:color w:val="000000" w:themeColor="text1"/>
          <w:szCs w:val="24"/>
          <w:lang w:eastAsia="lv-LV"/>
        </w:rPr>
        <w:t>EK</w:t>
      </w:r>
      <w:r w:rsidRPr="00B557E8">
        <w:rPr>
          <w:rFonts w:eastAsia="EUAlbertina-Bold-Identity-H"/>
          <w:color w:val="000000" w:themeColor="text1"/>
          <w:szCs w:val="24"/>
          <w:lang w:eastAsia="lv-LV"/>
        </w:rPr>
        <w:t xml:space="preserve"> noteikto kritisko 2</w:t>
      </w:r>
      <w:r w:rsidR="00B96482" w:rsidRPr="00B557E8">
        <w:rPr>
          <w:rFonts w:eastAsia="EUAlbertina-Bold-Identity-H"/>
          <w:color w:val="000000" w:themeColor="text1"/>
          <w:szCs w:val="24"/>
          <w:lang w:eastAsia="lv-LV"/>
        </w:rPr>
        <w:t>,0</w:t>
      </w:r>
      <w:r w:rsidRPr="00B557E8">
        <w:rPr>
          <w:rFonts w:eastAsia="EUAlbertina-Bold-Identity-H"/>
          <w:color w:val="000000" w:themeColor="text1"/>
          <w:szCs w:val="24"/>
          <w:lang w:eastAsia="lv-LV"/>
        </w:rPr>
        <w:t xml:space="preserve">% līmeni. </w:t>
      </w:r>
    </w:p>
    <w:p w:rsidR="00640AAE" w:rsidRPr="00B557E8" w:rsidRDefault="00640AA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Pārsvarā tāpat kā iepriekš neatbilstības ES fondu projektos rodas dēļ pārkāpumiem iepirkumu procedūrās un normatīvajos aktos, dēļ tā, ka finansējuma saņēmēji neveic saimniecisko darbību, kā arī aktivitāšu īstenošanas nosacījumu vai projekta saskaņotajai tāmei neatbilstoši veikto darbu apjomu dēļ. </w:t>
      </w:r>
    </w:p>
    <w:p w:rsidR="00640AAE" w:rsidRPr="00B557E8" w:rsidRDefault="00640AA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Neatbilstību apjomi pēc finansējuma avotiem sadalās šādi:</w:t>
      </w:r>
    </w:p>
    <w:p w:rsidR="00640AAE" w:rsidRPr="00B557E8" w:rsidRDefault="00640AAE" w:rsidP="00B557E8">
      <w:pPr>
        <w:numPr>
          <w:ilvl w:val="0"/>
          <w:numId w:val="86"/>
        </w:num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38</w:t>
      </w:r>
      <w:r w:rsidR="00F73ADE" w:rsidRPr="00B557E8">
        <w:rPr>
          <w:rFonts w:eastAsia="EUAlbertina-Bold-Identity-H"/>
          <w:color w:val="000000" w:themeColor="text1"/>
          <w:szCs w:val="24"/>
          <w:lang w:eastAsia="lv-LV"/>
        </w:rPr>
        <w:t>9</w:t>
      </w:r>
      <w:r w:rsidRPr="00B557E8">
        <w:rPr>
          <w:rFonts w:eastAsia="EUAlbertina-Bold-Identity-H"/>
          <w:color w:val="000000" w:themeColor="text1"/>
          <w:szCs w:val="24"/>
          <w:lang w:eastAsia="lv-LV"/>
        </w:rPr>
        <w:t xml:space="preserve"> </w:t>
      </w:r>
      <w:proofErr w:type="spellStart"/>
      <w:r w:rsidR="00B96482" w:rsidRPr="00B557E8">
        <w:rPr>
          <w:rFonts w:eastAsia="EUAlbertina-Bold-Identity-H"/>
          <w:color w:val="000000" w:themeColor="text1"/>
          <w:szCs w:val="24"/>
          <w:lang w:eastAsia="lv-LV"/>
        </w:rPr>
        <w:t>tūkst</w:t>
      </w:r>
      <w:proofErr w:type="spellEnd"/>
      <w:r w:rsidRPr="00B557E8">
        <w:rPr>
          <w:rFonts w:eastAsia="EUAlbertina-Bold-Identity-H"/>
          <w:color w:val="000000" w:themeColor="text1"/>
          <w:szCs w:val="24"/>
          <w:lang w:eastAsia="lv-LV"/>
        </w:rPr>
        <w:t>. latu valsts budžeta finansējums;</w:t>
      </w:r>
    </w:p>
    <w:p w:rsidR="00640AAE" w:rsidRPr="00B557E8" w:rsidRDefault="00DA0E10" w:rsidP="00B557E8">
      <w:pPr>
        <w:numPr>
          <w:ilvl w:val="0"/>
          <w:numId w:val="86"/>
        </w:num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9,7</w:t>
      </w:r>
      <w:r w:rsidR="00640AAE" w:rsidRPr="00B557E8">
        <w:rPr>
          <w:rFonts w:eastAsia="EUAlbertina-Bold-Identity-H"/>
          <w:color w:val="000000" w:themeColor="text1"/>
          <w:szCs w:val="24"/>
          <w:lang w:eastAsia="lv-LV"/>
        </w:rPr>
        <w:t xml:space="preserve"> </w:t>
      </w:r>
      <w:proofErr w:type="spellStart"/>
      <w:r w:rsidR="00640AAE" w:rsidRPr="00B557E8">
        <w:rPr>
          <w:rFonts w:eastAsia="EUAlbertina-Bold-Identity-H"/>
          <w:color w:val="000000" w:themeColor="text1"/>
          <w:szCs w:val="24"/>
          <w:lang w:eastAsia="lv-LV"/>
        </w:rPr>
        <w:t>milj</w:t>
      </w:r>
      <w:proofErr w:type="spellEnd"/>
      <w:r w:rsidR="00640AAE" w:rsidRPr="00B557E8">
        <w:rPr>
          <w:rFonts w:eastAsia="EUAlbertina-Bold-Identity-H"/>
          <w:color w:val="000000" w:themeColor="text1"/>
          <w:szCs w:val="24"/>
          <w:lang w:eastAsia="lv-LV"/>
        </w:rPr>
        <w:t>. latu ES fondu finansējums;</w:t>
      </w:r>
    </w:p>
    <w:p w:rsidR="00640AAE" w:rsidRPr="00B557E8" w:rsidRDefault="00640AAE" w:rsidP="00B557E8">
      <w:pPr>
        <w:numPr>
          <w:ilvl w:val="0"/>
          <w:numId w:val="86"/>
        </w:num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0,</w:t>
      </w:r>
      <w:r w:rsidR="00F73ADE" w:rsidRPr="00B557E8">
        <w:rPr>
          <w:rFonts w:eastAsia="EUAlbertina-Bold-Identity-H"/>
          <w:color w:val="000000" w:themeColor="text1"/>
          <w:szCs w:val="24"/>
          <w:lang w:eastAsia="lv-LV"/>
        </w:rPr>
        <w:t>3</w:t>
      </w:r>
      <w:r w:rsidRPr="00B557E8">
        <w:rPr>
          <w:rFonts w:eastAsia="EUAlbertina-Bold-Identity-H"/>
          <w:color w:val="000000" w:themeColor="text1"/>
          <w:szCs w:val="24"/>
          <w:lang w:eastAsia="lv-LV"/>
        </w:rPr>
        <w:t xml:space="preserve">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latu cits publiskais finansējums.</w:t>
      </w:r>
    </w:p>
    <w:p w:rsidR="00640AAE" w:rsidRPr="00B557E8" w:rsidRDefault="00640AA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Salīdzinājumā ar </w:t>
      </w:r>
      <w:r w:rsidR="00B47A28" w:rsidRPr="00B557E8">
        <w:rPr>
          <w:rFonts w:eastAsia="EUAlbertina-Bold-Identity-H"/>
          <w:color w:val="000000" w:themeColor="text1"/>
          <w:szCs w:val="24"/>
          <w:lang w:eastAsia="lv-LV"/>
        </w:rPr>
        <w:t xml:space="preserve">neatbilstību apjomu līdz </w:t>
      </w:r>
      <w:r w:rsidRPr="00B557E8">
        <w:rPr>
          <w:rFonts w:eastAsia="EUAlbertina-Bold-Identity-H"/>
          <w:color w:val="000000" w:themeColor="text1"/>
          <w:szCs w:val="24"/>
          <w:lang w:eastAsia="lv-LV"/>
        </w:rPr>
        <w:t xml:space="preserve">2011.gada </w:t>
      </w:r>
      <w:r w:rsidR="003B10DB" w:rsidRPr="00B557E8">
        <w:rPr>
          <w:rFonts w:eastAsia="EUAlbertina-Bold-Identity-H"/>
          <w:color w:val="000000" w:themeColor="text1"/>
          <w:szCs w:val="24"/>
          <w:lang w:eastAsia="lv-LV"/>
        </w:rPr>
        <w:t>otr</w:t>
      </w:r>
      <w:r w:rsidR="00B47A28" w:rsidRPr="00B557E8">
        <w:rPr>
          <w:rFonts w:eastAsia="EUAlbertina-Bold-Identity-H"/>
          <w:color w:val="000000" w:themeColor="text1"/>
          <w:szCs w:val="24"/>
          <w:lang w:eastAsia="lv-LV"/>
        </w:rPr>
        <w:t>ā</w:t>
      </w:r>
      <w:r w:rsidR="003B10DB" w:rsidRPr="00B557E8">
        <w:rPr>
          <w:rFonts w:eastAsia="EUAlbertina-Bold-Identity-H"/>
          <w:color w:val="000000" w:themeColor="text1"/>
          <w:szCs w:val="24"/>
          <w:lang w:eastAsia="lv-LV"/>
        </w:rPr>
        <w:t xml:space="preserve"> </w:t>
      </w:r>
      <w:r w:rsidRPr="00B557E8">
        <w:rPr>
          <w:rFonts w:eastAsia="EUAlbertina-Bold-Identity-H"/>
          <w:color w:val="000000" w:themeColor="text1"/>
          <w:szCs w:val="24"/>
          <w:lang w:eastAsia="lv-LV"/>
        </w:rPr>
        <w:t>ceturk</w:t>
      </w:r>
      <w:r w:rsidR="00B47A28" w:rsidRPr="00B557E8">
        <w:rPr>
          <w:rFonts w:eastAsia="EUAlbertina-Bold-Identity-H"/>
          <w:color w:val="000000" w:themeColor="text1"/>
          <w:szCs w:val="24"/>
          <w:lang w:eastAsia="lv-LV"/>
        </w:rPr>
        <w:t>šņa beigām</w:t>
      </w:r>
      <w:r w:rsidRPr="00B557E8">
        <w:rPr>
          <w:rFonts w:eastAsia="EUAlbertina-Bold-Identity-H"/>
          <w:color w:val="000000" w:themeColor="text1"/>
          <w:szCs w:val="24"/>
          <w:lang w:eastAsia="lv-LV"/>
        </w:rPr>
        <w:t xml:space="preserve"> </w:t>
      </w:r>
      <w:r w:rsidR="00B47A28" w:rsidRPr="00B557E8">
        <w:rPr>
          <w:rFonts w:eastAsia="EUAlbertina-Bold-Identity-H"/>
          <w:color w:val="000000" w:themeColor="text1"/>
          <w:szCs w:val="24"/>
          <w:lang w:eastAsia="lv-LV"/>
        </w:rPr>
        <w:t xml:space="preserve">līdz </w:t>
      </w:r>
      <w:r w:rsidRPr="00B557E8">
        <w:rPr>
          <w:rFonts w:eastAsia="EUAlbertina-Bold-Identity-H"/>
          <w:color w:val="000000" w:themeColor="text1"/>
          <w:szCs w:val="24"/>
          <w:lang w:eastAsia="lv-LV"/>
        </w:rPr>
        <w:t xml:space="preserve">2011.gada </w:t>
      </w:r>
      <w:r w:rsidR="003B10DB" w:rsidRPr="00B557E8">
        <w:rPr>
          <w:color w:val="000000" w:themeColor="text1"/>
          <w:szCs w:val="24"/>
        </w:rPr>
        <w:t>treš</w:t>
      </w:r>
      <w:r w:rsidR="00B47A28" w:rsidRPr="00B557E8">
        <w:rPr>
          <w:color w:val="000000" w:themeColor="text1"/>
          <w:szCs w:val="24"/>
        </w:rPr>
        <w:t>ā</w:t>
      </w:r>
      <w:r w:rsidR="003B10DB" w:rsidRPr="00B557E8">
        <w:rPr>
          <w:color w:val="000000" w:themeColor="text1"/>
          <w:szCs w:val="24"/>
        </w:rPr>
        <w:t xml:space="preserve"> </w:t>
      </w:r>
      <w:r w:rsidRPr="00B557E8">
        <w:rPr>
          <w:rFonts w:eastAsia="EUAlbertina-Bold-Identity-H"/>
          <w:color w:val="000000" w:themeColor="text1"/>
          <w:szCs w:val="24"/>
          <w:lang w:eastAsia="lv-LV"/>
        </w:rPr>
        <w:t>ceturk</w:t>
      </w:r>
      <w:r w:rsidR="00B47A28" w:rsidRPr="00B557E8">
        <w:rPr>
          <w:rFonts w:eastAsia="EUAlbertina-Bold-Identity-H"/>
          <w:color w:val="000000" w:themeColor="text1"/>
          <w:szCs w:val="24"/>
          <w:lang w:eastAsia="lv-LV"/>
        </w:rPr>
        <w:t>šņa</w:t>
      </w:r>
      <w:r w:rsidRPr="00B557E8">
        <w:rPr>
          <w:rFonts w:eastAsia="EUAlbertina-Bold-Identity-H"/>
          <w:color w:val="000000" w:themeColor="text1"/>
          <w:szCs w:val="24"/>
          <w:lang w:eastAsia="lv-LV"/>
        </w:rPr>
        <w:t xml:space="preserve"> </w:t>
      </w:r>
      <w:r w:rsidR="00B47A28" w:rsidRPr="00B557E8">
        <w:rPr>
          <w:rFonts w:eastAsia="EUAlbertina-Bold-Identity-H"/>
          <w:color w:val="000000" w:themeColor="text1"/>
          <w:szCs w:val="24"/>
          <w:lang w:eastAsia="lv-LV"/>
        </w:rPr>
        <w:t xml:space="preserve">beigām secinām, ka tas </w:t>
      </w:r>
      <w:r w:rsidRPr="00B557E8">
        <w:rPr>
          <w:rFonts w:eastAsia="EUAlbertina-Bold-Identity-H"/>
          <w:color w:val="000000" w:themeColor="text1"/>
          <w:szCs w:val="24"/>
          <w:lang w:eastAsia="lv-LV"/>
        </w:rPr>
        <w:t xml:space="preserve">ir pieaudzis par </w:t>
      </w:r>
      <w:r w:rsidR="00653AB4" w:rsidRPr="00B557E8">
        <w:rPr>
          <w:rFonts w:eastAsia="EUAlbertina-Bold-Identity-H"/>
          <w:color w:val="000000" w:themeColor="text1"/>
          <w:szCs w:val="24"/>
          <w:lang w:eastAsia="lv-LV"/>
        </w:rPr>
        <w:t>2</w:t>
      </w:r>
      <w:r w:rsidR="00F2398B" w:rsidRPr="00B557E8">
        <w:rPr>
          <w:rFonts w:eastAsia="EUAlbertina-Bold-Identity-H"/>
          <w:color w:val="000000" w:themeColor="text1"/>
          <w:szCs w:val="24"/>
          <w:lang w:eastAsia="lv-LV"/>
        </w:rPr>
        <w:t>,</w:t>
      </w:r>
      <w:r w:rsidR="00653AB4" w:rsidRPr="00B557E8">
        <w:rPr>
          <w:rFonts w:eastAsia="EUAlbertina-Bold-Identity-H"/>
          <w:color w:val="000000" w:themeColor="text1"/>
          <w:szCs w:val="24"/>
          <w:lang w:eastAsia="lv-LV"/>
        </w:rPr>
        <w:t>4</w:t>
      </w:r>
      <w:r w:rsidRPr="00B557E8">
        <w:rPr>
          <w:rFonts w:eastAsia="EUAlbertina-Bold-Identity-H"/>
          <w:color w:val="000000" w:themeColor="text1"/>
          <w:szCs w:val="24"/>
          <w:lang w:eastAsia="lv-LV"/>
        </w:rPr>
        <w:t xml:space="preserve">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lat</w:t>
      </w:r>
      <w:r w:rsidR="00F2398B" w:rsidRPr="00B557E8">
        <w:rPr>
          <w:rFonts w:eastAsia="EUAlbertina-Bold-Identity-H"/>
          <w:color w:val="000000" w:themeColor="text1"/>
          <w:szCs w:val="24"/>
          <w:lang w:eastAsia="lv-LV"/>
        </w:rPr>
        <w:t>u</w:t>
      </w:r>
      <w:r w:rsidRPr="00B557E8">
        <w:rPr>
          <w:rFonts w:eastAsia="EUAlbertina-Bold-Identity-H"/>
          <w:color w:val="000000" w:themeColor="text1"/>
          <w:szCs w:val="24"/>
          <w:lang w:eastAsia="lv-LV"/>
        </w:rPr>
        <w:t xml:space="preserve"> jeb </w:t>
      </w:r>
      <w:r w:rsidR="00B47A28" w:rsidRPr="00B557E8">
        <w:rPr>
          <w:rFonts w:eastAsia="EUAlbertina-Bold-Identity-H"/>
          <w:color w:val="000000" w:themeColor="text1"/>
          <w:szCs w:val="24"/>
          <w:lang w:eastAsia="lv-LV"/>
        </w:rPr>
        <w:t>32</w:t>
      </w:r>
      <w:r w:rsidR="00F2398B" w:rsidRPr="00B557E8">
        <w:rPr>
          <w:rFonts w:eastAsia="EUAlbertina-Bold-Identity-H"/>
          <w:color w:val="000000" w:themeColor="text1"/>
          <w:szCs w:val="24"/>
          <w:lang w:eastAsia="lv-LV"/>
        </w:rPr>
        <w:t>,</w:t>
      </w:r>
      <w:r w:rsidR="00B47A28" w:rsidRPr="00B557E8">
        <w:rPr>
          <w:rFonts w:eastAsia="EUAlbertina-Bold-Identity-H"/>
          <w:color w:val="000000" w:themeColor="text1"/>
          <w:szCs w:val="24"/>
          <w:lang w:eastAsia="lv-LV"/>
        </w:rPr>
        <w:t>8</w:t>
      </w:r>
      <w:r w:rsidRPr="00B557E8">
        <w:rPr>
          <w:rFonts w:eastAsia="EUAlbertina-Bold-Identity-H"/>
          <w:color w:val="000000" w:themeColor="text1"/>
          <w:szCs w:val="24"/>
          <w:lang w:eastAsia="lv-LV"/>
        </w:rPr>
        <w:t xml:space="preserve">%. Tas skaidrojams ar neatbilstību konstatēšanu finansiāli apjomīgos projektos, un to, ka šajā ceturksnī ievērojamam skaitam projektu veiktas maksājumu pārbaudes. Neatbilstību apjoms ir pieaudzis arī, pamatojoties uz </w:t>
      </w:r>
      <w:r w:rsidR="008F27FF" w:rsidRPr="00B557E8">
        <w:rPr>
          <w:rFonts w:eastAsia="EUAlbertina-Bold-Identity-H"/>
          <w:color w:val="000000" w:themeColor="text1"/>
          <w:szCs w:val="24"/>
          <w:lang w:eastAsia="lv-LV"/>
        </w:rPr>
        <w:t>FM</w:t>
      </w:r>
      <w:r w:rsidRPr="00B557E8">
        <w:rPr>
          <w:rFonts w:eastAsia="EUAlbertina-Bold-Identity-H"/>
          <w:color w:val="000000" w:themeColor="text1"/>
          <w:szCs w:val="24"/>
          <w:lang w:eastAsia="lv-LV"/>
        </w:rPr>
        <w:t xml:space="preserve"> sniegtajiem skaidrojumiem par neatbilstību būtību (skaidrojot neatbilstību definīciju) un to ievadi ES fondu vadības informācijas sistēmā. Ņemot vērā augstākminēto, </w:t>
      </w:r>
      <w:r w:rsidR="00374474" w:rsidRPr="00B557E8">
        <w:rPr>
          <w:rFonts w:eastAsia="EUAlbertina-Bold-Identity-H"/>
          <w:color w:val="000000" w:themeColor="text1"/>
          <w:szCs w:val="24"/>
          <w:lang w:eastAsia="lv-LV"/>
        </w:rPr>
        <w:t>AI un SI</w:t>
      </w:r>
      <w:r w:rsidRPr="00B557E8">
        <w:rPr>
          <w:rFonts w:eastAsia="EUAlbertina-Bold-Identity-H"/>
          <w:color w:val="000000" w:themeColor="text1"/>
          <w:szCs w:val="24"/>
          <w:lang w:eastAsia="lv-LV"/>
        </w:rPr>
        <w:t xml:space="preserve"> pēc konstatēto trūkumu pārvērtēšanas daudzus iepriekš atklātus gadījumus ir klasificējušas kā neatbilstības, attiecīgi ziņojot par tām. Turklāt pārskata periodā darbības programmas „Uzņēmējdarbība un inovācija” ietvaros ir konstatēta</w:t>
      </w:r>
      <w:r w:rsidR="00F2398B" w:rsidRPr="00B557E8">
        <w:rPr>
          <w:rFonts w:eastAsia="EUAlbertina-Bold-Identity-H"/>
          <w:color w:val="000000" w:themeColor="text1"/>
          <w:szCs w:val="24"/>
          <w:lang w:eastAsia="lv-LV"/>
        </w:rPr>
        <w:t>s</w:t>
      </w:r>
      <w:r w:rsidRPr="00B557E8">
        <w:rPr>
          <w:rFonts w:eastAsia="EUAlbertina-Bold-Identity-H"/>
          <w:color w:val="000000" w:themeColor="text1"/>
          <w:szCs w:val="24"/>
          <w:lang w:eastAsia="lv-LV"/>
        </w:rPr>
        <w:t xml:space="preserve"> liela apjoma neatbilstība</w:t>
      </w:r>
      <w:r w:rsidR="00F2398B" w:rsidRPr="00B557E8">
        <w:rPr>
          <w:rFonts w:eastAsia="EUAlbertina-Bold-Identity-H"/>
          <w:color w:val="000000" w:themeColor="text1"/>
          <w:szCs w:val="24"/>
          <w:lang w:eastAsia="lv-LV"/>
        </w:rPr>
        <w:t>s</w:t>
      </w:r>
      <w:r w:rsidRPr="00B557E8">
        <w:rPr>
          <w:rFonts w:eastAsia="EUAlbertina-Bold-Identity-H"/>
          <w:color w:val="000000" w:themeColor="text1"/>
          <w:szCs w:val="24"/>
          <w:lang w:eastAsia="lv-LV"/>
        </w:rPr>
        <w:t xml:space="preserve">, kas ietekmē neatbilstību pieaugumu. </w:t>
      </w:r>
    </w:p>
    <w:p w:rsidR="00A33AC4" w:rsidRPr="00B557E8" w:rsidRDefault="00A33AC4" w:rsidP="00B557E8">
      <w:pPr>
        <w:spacing w:before="120" w:after="120" w:line="276" w:lineRule="auto"/>
        <w:jc w:val="left"/>
        <w:rPr>
          <w:rFonts w:eastAsia="EUAlbertina-Bold-Identity-H"/>
          <w:color w:val="000000" w:themeColor="text1"/>
          <w:szCs w:val="24"/>
          <w:lang w:eastAsia="lv-LV"/>
        </w:rPr>
      </w:pPr>
      <w:r w:rsidRPr="00B557E8">
        <w:rPr>
          <w:rFonts w:eastAsia="EUAlbertina-Bold-Identity-H"/>
          <w:color w:val="000000" w:themeColor="text1"/>
          <w:szCs w:val="24"/>
          <w:lang w:eastAsia="lv-LV"/>
        </w:rPr>
        <w:br w:type="page"/>
      </w:r>
    </w:p>
    <w:p w:rsidR="00640AAE" w:rsidRPr="00B557E8" w:rsidRDefault="00640AAE" w:rsidP="00B557E8">
      <w:pPr>
        <w:spacing w:before="120" w:after="120" w:line="276" w:lineRule="auto"/>
        <w:rPr>
          <w:rFonts w:eastAsia="EUAlbertina-Bold-Identity-H"/>
          <w:i/>
          <w:color w:val="000000" w:themeColor="text1"/>
          <w:szCs w:val="24"/>
          <w:lang w:eastAsia="lv-LV"/>
        </w:rPr>
      </w:pPr>
      <w:r w:rsidRPr="00B557E8">
        <w:rPr>
          <w:rFonts w:eastAsia="EUAlbertina-Bold-Identity-H"/>
          <w:color w:val="000000" w:themeColor="text1"/>
          <w:szCs w:val="24"/>
          <w:lang w:eastAsia="lv-LV"/>
        </w:rPr>
        <w:lastRenderedPageBreak/>
        <w:t>Grafiks Nr.2</w:t>
      </w:r>
      <w:r w:rsidR="00EC7B49" w:rsidRPr="00B557E8">
        <w:rPr>
          <w:rFonts w:eastAsia="EUAlbertina-Bold-Identity-H"/>
          <w:color w:val="000000" w:themeColor="text1"/>
          <w:szCs w:val="24"/>
          <w:lang w:eastAsia="lv-LV"/>
        </w:rPr>
        <w:t>2</w:t>
      </w:r>
      <w:r w:rsidRPr="00B557E8">
        <w:rPr>
          <w:rFonts w:eastAsia="EUAlbertina-Bold-Identity-H"/>
          <w:color w:val="000000" w:themeColor="text1"/>
          <w:szCs w:val="24"/>
          <w:lang w:eastAsia="lv-LV"/>
        </w:rPr>
        <w:t xml:space="preserve"> </w:t>
      </w:r>
      <w:r w:rsidRPr="00B557E8">
        <w:rPr>
          <w:rFonts w:eastAsia="EUAlbertina-Bold-Identity-H"/>
          <w:i/>
          <w:color w:val="000000" w:themeColor="text1"/>
          <w:szCs w:val="24"/>
          <w:lang w:eastAsia="lv-LV"/>
        </w:rPr>
        <w:t>„Konstatētās neatbilstības sadalījumā pa finansējuma saņēmēju veidiem</w:t>
      </w:r>
      <w:r w:rsidR="0078684A" w:rsidRPr="00B557E8">
        <w:rPr>
          <w:rFonts w:eastAsia="EUAlbertina-Bold-Identity-H"/>
          <w:i/>
          <w:color w:val="000000" w:themeColor="text1"/>
          <w:szCs w:val="24"/>
          <w:lang w:eastAsia="lv-LV"/>
        </w:rPr>
        <w:t xml:space="preserve"> uz 30.06.2010 un uz 30.09.2011.</w:t>
      </w:r>
      <w:r w:rsidRPr="00B557E8">
        <w:rPr>
          <w:rFonts w:eastAsia="EUAlbertina-Bold-Identity-H"/>
          <w:i/>
          <w:color w:val="000000" w:themeColor="text1"/>
          <w:szCs w:val="24"/>
          <w:lang w:eastAsia="lv-LV"/>
        </w:rPr>
        <w:t xml:space="preserve">, </w:t>
      </w:r>
      <w:proofErr w:type="spellStart"/>
      <w:r w:rsidRPr="00B557E8">
        <w:rPr>
          <w:rFonts w:eastAsia="EUAlbertina-Bold-Identity-H"/>
          <w:i/>
          <w:color w:val="000000" w:themeColor="text1"/>
          <w:szCs w:val="24"/>
          <w:lang w:eastAsia="lv-LV"/>
        </w:rPr>
        <w:t>milj</w:t>
      </w:r>
      <w:proofErr w:type="spellEnd"/>
      <w:r w:rsidRPr="00B557E8">
        <w:rPr>
          <w:rFonts w:eastAsia="EUAlbertina-Bold-Identity-H"/>
          <w:i/>
          <w:color w:val="000000" w:themeColor="text1"/>
          <w:szCs w:val="24"/>
          <w:lang w:eastAsia="lv-LV"/>
        </w:rPr>
        <w:t xml:space="preserve">. LVL; % no kopējiem veiktajiem maksājumiem finansējuma saņēmējam uz 30.06.2010 un 30.09.2011.” </w:t>
      </w:r>
    </w:p>
    <w:p w:rsidR="00640AAE" w:rsidRPr="00B557E8" w:rsidRDefault="0078684A" w:rsidP="00B557E8">
      <w:pPr>
        <w:spacing w:before="120" w:after="120" w:line="276" w:lineRule="auto"/>
        <w:rPr>
          <w:rFonts w:eastAsia="EUAlbertina-Bold-Identity-H"/>
          <w:color w:val="000000" w:themeColor="text1"/>
          <w:szCs w:val="24"/>
          <w:lang w:eastAsia="lv-LV"/>
        </w:rPr>
      </w:pPr>
      <w:r w:rsidRPr="00B557E8">
        <w:rPr>
          <w:noProof/>
          <w:color w:val="000000" w:themeColor="text1"/>
          <w:szCs w:val="24"/>
          <w:lang w:eastAsia="lv-LV"/>
        </w:rPr>
        <w:drawing>
          <wp:inline distT="0" distB="0" distL="0" distR="0" wp14:anchorId="5FF426A3" wp14:editId="347B2DDB">
            <wp:extent cx="5486400" cy="2280285"/>
            <wp:effectExtent l="0" t="0" r="0" b="571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40AAE" w:rsidRPr="00B557E8" w:rsidRDefault="00640AA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2007.-2013.gada plānošanas periodā līdz 2011.gada 30.septembrim kopumā atgūti </w:t>
      </w:r>
      <w:r w:rsidR="00EB4A7F" w:rsidRPr="00B557E8">
        <w:rPr>
          <w:rFonts w:eastAsia="EUAlbertina-Bold-Identity-H"/>
          <w:color w:val="000000" w:themeColor="text1"/>
          <w:szCs w:val="24"/>
          <w:lang w:eastAsia="lv-LV"/>
        </w:rPr>
        <w:t>8,2</w:t>
      </w:r>
      <w:r w:rsidRPr="00B557E8">
        <w:rPr>
          <w:rFonts w:eastAsia="EUAlbertina-Bold-Identity-H"/>
          <w:color w:val="000000" w:themeColor="text1"/>
          <w:szCs w:val="24"/>
          <w:lang w:eastAsia="lv-LV"/>
        </w:rPr>
        <w:t xml:space="preserve">milj. latu jeb </w:t>
      </w:r>
      <w:r w:rsidR="00EB4A7F" w:rsidRPr="00B557E8">
        <w:rPr>
          <w:rFonts w:eastAsia="EUAlbertina-Bold-Identity-H"/>
          <w:color w:val="000000" w:themeColor="text1"/>
          <w:szCs w:val="24"/>
          <w:lang w:eastAsia="lv-LV"/>
        </w:rPr>
        <w:t>85,0</w:t>
      </w:r>
      <w:r w:rsidRPr="00B557E8">
        <w:rPr>
          <w:rFonts w:eastAsia="EUAlbertina-Bold-Identity-H"/>
          <w:color w:val="000000" w:themeColor="text1"/>
          <w:szCs w:val="24"/>
          <w:lang w:eastAsia="lv-LV"/>
        </w:rPr>
        <w:t xml:space="preserve"> % apmērā no neatbilstību kopējās summas. No tiem pārskata periodā atgūti </w:t>
      </w:r>
      <w:r w:rsidR="00EB4A7F" w:rsidRPr="00B557E8">
        <w:rPr>
          <w:rFonts w:eastAsia="EUAlbertina-Bold-Identity-H"/>
          <w:color w:val="000000" w:themeColor="text1"/>
          <w:szCs w:val="24"/>
          <w:lang w:eastAsia="lv-LV"/>
        </w:rPr>
        <w:t>2,6</w:t>
      </w:r>
      <w:r w:rsidRPr="00B557E8">
        <w:rPr>
          <w:rFonts w:eastAsia="EUAlbertina-Bold-Identity-H"/>
          <w:color w:val="000000" w:themeColor="text1"/>
          <w:szCs w:val="24"/>
          <w:lang w:eastAsia="lv-LV"/>
        </w:rPr>
        <w:t xml:space="preserve">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xml:space="preserve">. latu jeb </w:t>
      </w:r>
      <w:r w:rsidR="00EB4A7F" w:rsidRPr="00B557E8">
        <w:rPr>
          <w:rFonts w:eastAsia="EUAlbertina-Bold-Identity-H"/>
          <w:color w:val="000000" w:themeColor="text1"/>
          <w:szCs w:val="24"/>
          <w:lang w:eastAsia="lv-LV"/>
        </w:rPr>
        <w:t>84,0</w:t>
      </w:r>
      <w:r w:rsidRPr="00B557E8">
        <w:rPr>
          <w:rFonts w:eastAsia="EUAlbertina-Bold-Identity-H"/>
          <w:color w:val="000000" w:themeColor="text1"/>
          <w:szCs w:val="24"/>
          <w:lang w:eastAsia="lv-LV"/>
        </w:rPr>
        <w:t xml:space="preserve"> % no pārskata periodā konstatētā neatbilstību apjoma.  </w:t>
      </w:r>
    </w:p>
    <w:p w:rsidR="00640AAE" w:rsidRPr="00B557E8" w:rsidRDefault="00640AA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Pārskata periodā (ceturksnī) kopējais neatbilstību apjoms ir </w:t>
      </w:r>
      <w:r w:rsidR="00EB4A7F" w:rsidRPr="00B557E8">
        <w:rPr>
          <w:rFonts w:eastAsia="EUAlbertina-Bold-Identity-H"/>
          <w:color w:val="000000" w:themeColor="text1"/>
          <w:szCs w:val="24"/>
          <w:lang w:eastAsia="lv-LV"/>
        </w:rPr>
        <w:t>3,0</w:t>
      </w:r>
      <w:r w:rsidRPr="00B557E8">
        <w:rPr>
          <w:rFonts w:eastAsia="EUAlbertina-Bold-Identity-H"/>
          <w:color w:val="000000" w:themeColor="text1"/>
          <w:szCs w:val="24"/>
          <w:lang w:eastAsia="lv-LV"/>
        </w:rPr>
        <w:t xml:space="preserve">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xml:space="preserve">. </w:t>
      </w:r>
      <w:r w:rsidR="00B96482" w:rsidRPr="00B557E8">
        <w:rPr>
          <w:rFonts w:eastAsia="EUAlbertina-Bold-Identity-H"/>
          <w:color w:val="000000" w:themeColor="text1"/>
          <w:szCs w:val="24"/>
          <w:lang w:eastAsia="lv-LV"/>
        </w:rPr>
        <w:t>latu</w:t>
      </w:r>
      <w:r w:rsidRPr="00B557E8">
        <w:rPr>
          <w:rFonts w:eastAsia="EUAlbertina-Bold-Identity-H"/>
          <w:color w:val="000000" w:themeColor="text1"/>
          <w:szCs w:val="24"/>
          <w:lang w:eastAsia="lv-LV"/>
        </w:rPr>
        <w:t xml:space="preserve"> jeb 0,</w:t>
      </w:r>
      <w:r w:rsidR="00EB4A7F" w:rsidRPr="00B557E8">
        <w:rPr>
          <w:rFonts w:eastAsia="EUAlbertina-Bold-Identity-H"/>
          <w:color w:val="000000" w:themeColor="text1"/>
          <w:szCs w:val="24"/>
          <w:lang w:eastAsia="lv-LV"/>
        </w:rPr>
        <w:t>2</w:t>
      </w:r>
      <w:r w:rsidRPr="00B557E8">
        <w:rPr>
          <w:rFonts w:eastAsia="EUAlbertina-Bold-Identity-H"/>
          <w:color w:val="000000" w:themeColor="text1"/>
          <w:szCs w:val="24"/>
          <w:lang w:eastAsia="lv-LV"/>
        </w:rPr>
        <w:t xml:space="preserve"> % no kopējā finansējumu saņēmēju pieprasītā finansējuma. Pēc finansējuma saņēmēju veidiem pārskata periodā lielākais neatbilstību apjoms </w:t>
      </w:r>
      <w:r w:rsidR="00C20ED4" w:rsidRPr="00B557E8">
        <w:rPr>
          <w:rFonts w:eastAsia="EUAlbertina-Bold-Identity-H"/>
          <w:color w:val="000000" w:themeColor="text1"/>
          <w:szCs w:val="24"/>
          <w:lang w:eastAsia="lv-LV"/>
        </w:rPr>
        <w:t>2,9</w:t>
      </w:r>
      <w:r w:rsidRPr="00B557E8">
        <w:rPr>
          <w:rFonts w:eastAsia="EUAlbertina-Bold-Identity-H"/>
          <w:color w:val="000000" w:themeColor="text1"/>
          <w:szCs w:val="24"/>
          <w:lang w:eastAsia="lv-LV"/>
        </w:rPr>
        <w:t xml:space="preserve">milj. latu jeb </w:t>
      </w:r>
      <w:r w:rsidR="001975D6" w:rsidRPr="00B557E8">
        <w:rPr>
          <w:rFonts w:eastAsia="EUAlbertina-Bold-Identity-H"/>
          <w:color w:val="000000" w:themeColor="text1"/>
          <w:szCs w:val="24"/>
          <w:lang w:eastAsia="lv-LV"/>
        </w:rPr>
        <w:t xml:space="preserve">96,7 </w:t>
      </w:r>
      <w:r w:rsidRPr="00B557E8">
        <w:rPr>
          <w:rFonts w:eastAsia="EUAlbertina-Bold-Identity-H"/>
          <w:color w:val="000000" w:themeColor="text1"/>
          <w:szCs w:val="24"/>
          <w:lang w:eastAsia="lv-LV"/>
        </w:rPr>
        <w:t>% pret pārskata periodā konstatēto neatbilstību apjoma apmērā, ir konstatēts komersantu, pašvaldību, valsts iestāžu īstenotajos projektos.</w:t>
      </w:r>
      <w:r w:rsidR="001975D6" w:rsidRPr="00B557E8">
        <w:rPr>
          <w:rFonts w:eastAsia="EUAlbertina-Bold-Identity-H"/>
          <w:color w:val="000000" w:themeColor="text1"/>
          <w:szCs w:val="24"/>
          <w:lang w:eastAsia="lv-LV"/>
        </w:rPr>
        <w:t xml:space="preserve"> Salīdzinoši mazāk neatbilstību ir izglītības iestāžu un NVO īstenotajos projektos.</w:t>
      </w:r>
      <w:r w:rsidRPr="00B557E8">
        <w:rPr>
          <w:rFonts w:eastAsia="EUAlbertina-Bold-Identity-H"/>
          <w:color w:val="000000" w:themeColor="text1"/>
          <w:szCs w:val="24"/>
          <w:lang w:eastAsia="lv-LV"/>
        </w:rPr>
        <w:t xml:space="preserve"> </w:t>
      </w:r>
    </w:p>
    <w:p w:rsidR="00640AAE" w:rsidRPr="00B557E8" w:rsidRDefault="00640AA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Grafiks Nr.</w:t>
      </w:r>
      <w:r w:rsidR="00C82029" w:rsidRPr="00B557E8">
        <w:rPr>
          <w:rFonts w:eastAsia="EUAlbertina-Bold-Identity-H"/>
          <w:color w:val="000000" w:themeColor="text1"/>
          <w:szCs w:val="24"/>
          <w:lang w:eastAsia="lv-LV"/>
        </w:rPr>
        <w:t>2</w:t>
      </w:r>
      <w:r w:rsidR="00EC7B49" w:rsidRPr="00B557E8">
        <w:rPr>
          <w:rFonts w:eastAsia="EUAlbertina-Bold-Identity-H"/>
          <w:color w:val="000000" w:themeColor="text1"/>
          <w:szCs w:val="24"/>
          <w:lang w:eastAsia="lv-LV"/>
        </w:rPr>
        <w:t>3</w:t>
      </w:r>
      <w:r w:rsidRPr="00B557E8">
        <w:rPr>
          <w:rFonts w:eastAsia="EUAlbertina-Bold-Identity-H"/>
          <w:color w:val="000000" w:themeColor="text1"/>
          <w:szCs w:val="24"/>
          <w:lang w:eastAsia="lv-LV"/>
        </w:rPr>
        <w:t xml:space="preserve"> </w:t>
      </w:r>
      <w:r w:rsidRPr="00B557E8">
        <w:rPr>
          <w:rFonts w:eastAsia="EUAlbertina-Bold-Identity-H"/>
          <w:i/>
          <w:color w:val="000000" w:themeColor="text1"/>
          <w:szCs w:val="24"/>
          <w:lang w:eastAsia="lv-LV"/>
        </w:rPr>
        <w:t xml:space="preserve">„Konstatētās neatbilstības sadalījumā pa finansējuma saņēmēju veidiem 2011.gada III ceturksnī </w:t>
      </w:r>
      <w:proofErr w:type="spellStart"/>
      <w:r w:rsidRPr="00B557E8">
        <w:rPr>
          <w:rFonts w:eastAsia="EUAlbertina-Bold-Identity-H"/>
          <w:i/>
          <w:color w:val="000000" w:themeColor="text1"/>
          <w:szCs w:val="24"/>
          <w:lang w:eastAsia="lv-LV"/>
        </w:rPr>
        <w:t>milj</w:t>
      </w:r>
      <w:proofErr w:type="spellEnd"/>
      <w:r w:rsidRPr="00B557E8">
        <w:rPr>
          <w:rFonts w:eastAsia="EUAlbertina-Bold-Identity-H"/>
          <w:i/>
          <w:color w:val="000000" w:themeColor="text1"/>
          <w:szCs w:val="24"/>
          <w:lang w:eastAsia="lv-LV"/>
        </w:rPr>
        <w:t>. LVL (% pret pārskata periodā konstatēto neatbilstību apjoma apmēru)</w:t>
      </w:r>
      <w:r w:rsidR="002D353D" w:rsidRPr="00B557E8">
        <w:rPr>
          <w:rFonts w:eastAsia="EUAlbertina-Bold-Identity-H"/>
          <w:i/>
          <w:color w:val="000000" w:themeColor="text1"/>
          <w:szCs w:val="24"/>
          <w:lang w:eastAsia="lv-LV"/>
        </w:rPr>
        <w:t>.</w:t>
      </w:r>
      <w:r w:rsidRPr="00B557E8">
        <w:rPr>
          <w:rFonts w:eastAsia="EUAlbertina-Bold-Identity-H"/>
          <w:i/>
          <w:color w:val="000000" w:themeColor="text1"/>
          <w:szCs w:val="24"/>
          <w:lang w:eastAsia="lv-LV"/>
        </w:rPr>
        <w:t>”</w:t>
      </w:r>
    </w:p>
    <w:p w:rsidR="00640AAE" w:rsidRPr="00B557E8" w:rsidRDefault="009A26B3" w:rsidP="00B557E8">
      <w:pPr>
        <w:spacing w:before="120" w:after="120" w:line="276" w:lineRule="auto"/>
        <w:rPr>
          <w:rFonts w:eastAsia="EUAlbertina-Bold-Identity-H"/>
          <w:i/>
          <w:color w:val="000000" w:themeColor="text1"/>
          <w:szCs w:val="24"/>
          <w:lang w:eastAsia="lv-LV"/>
        </w:rPr>
      </w:pPr>
      <w:r w:rsidRPr="00B557E8">
        <w:rPr>
          <w:noProof/>
          <w:color w:val="000000" w:themeColor="text1"/>
          <w:szCs w:val="24"/>
          <w:lang w:eastAsia="lv-LV"/>
        </w:rPr>
        <w:t xml:space="preserve"> </w:t>
      </w:r>
      <w:r w:rsidRPr="00B557E8">
        <w:rPr>
          <w:noProof/>
          <w:color w:val="000000" w:themeColor="text1"/>
          <w:szCs w:val="24"/>
          <w:lang w:eastAsia="lv-LV"/>
        </w:rPr>
        <w:drawing>
          <wp:inline distT="0" distB="0" distL="0" distR="0" wp14:anchorId="749B00F3" wp14:editId="798054AC">
            <wp:extent cx="5486400" cy="2272665"/>
            <wp:effectExtent l="0" t="0" r="19050" b="1333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40AAE" w:rsidRPr="00B557E8" w:rsidRDefault="00640AA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Pārskata periodā lielākais neatbilstību apjoms konstatēts EM </w:t>
      </w:r>
      <w:proofErr w:type="spellStart"/>
      <w:r w:rsidRPr="00B557E8">
        <w:rPr>
          <w:rFonts w:eastAsia="EUAlbertina-Bold-Identity-H"/>
          <w:color w:val="000000" w:themeColor="text1"/>
          <w:szCs w:val="24"/>
          <w:lang w:eastAsia="lv-LV"/>
        </w:rPr>
        <w:t>pārziņā</w:t>
      </w:r>
      <w:proofErr w:type="spellEnd"/>
      <w:r w:rsidRPr="00B557E8">
        <w:rPr>
          <w:rFonts w:eastAsia="EUAlbertina-Bold-Identity-H"/>
          <w:color w:val="000000" w:themeColor="text1"/>
          <w:szCs w:val="24"/>
          <w:lang w:eastAsia="lv-LV"/>
        </w:rPr>
        <w:t xml:space="preserve"> esošajā aktivitātē 2.1.2.4. ”Augstas pievienotās vērtības investīcijas” par kopējo summu </w:t>
      </w:r>
      <w:r w:rsidR="001975D6" w:rsidRPr="00B557E8">
        <w:rPr>
          <w:rFonts w:eastAsia="EUAlbertina-Bold-Identity-H"/>
          <w:color w:val="000000" w:themeColor="text1"/>
          <w:szCs w:val="24"/>
          <w:lang w:eastAsia="lv-LV"/>
        </w:rPr>
        <w:t>2,5</w:t>
      </w:r>
      <w:r w:rsidR="00B96482" w:rsidRPr="00B557E8">
        <w:rPr>
          <w:rFonts w:eastAsia="EUAlbertina-Bold-Identity-H"/>
          <w:color w:val="000000" w:themeColor="text1"/>
          <w:szCs w:val="24"/>
          <w:lang w:eastAsia="lv-LV"/>
        </w:rPr>
        <w:t xml:space="preserve"> </w:t>
      </w:r>
      <w:proofErr w:type="spellStart"/>
      <w:r w:rsidR="00B96482" w:rsidRPr="00B557E8">
        <w:rPr>
          <w:rFonts w:eastAsia="EUAlbertina-Bold-Identity-H"/>
          <w:color w:val="000000" w:themeColor="text1"/>
          <w:szCs w:val="24"/>
          <w:lang w:eastAsia="lv-LV"/>
        </w:rPr>
        <w:t>milj</w:t>
      </w:r>
      <w:proofErr w:type="spellEnd"/>
      <w:r w:rsidR="00B96482" w:rsidRPr="00B557E8">
        <w:rPr>
          <w:rFonts w:eastAsia="EUAlbertina-Bold-Identity-H"/>
          <w:color w:val="000000" w:themeColor="text1"/>
          <w:szCs w:val="24"/>
          <w:lang w:eastAsia="lv-LV"/>
        </w:rPr>
        <w:t>.</w:t>
      </w:r>
      <w:r w:rsidRPr="00B557E8">
        <w:rPr>
          <w:rFonts w:eastAsia="EUAlbertina-Bold-Identity-H"/>
          <w:color w:val="000000" w:themeColor="text1"/>
          <w:szCs w:val="24"/>
          <w:lang w:eastAsia="lv-LV"/>
        </w:rPr>
        <w:t xml:space="preserve"> latu jeb 8</w:t>
      </w:r>
      <w:r w:rsidR="001975D6" w:rsidRPr="00B557E8">
        <w:rPr>
          <w:rFonts w:eastAsia="EUAlbertina-Bold-Identity-H"/>
          <w:color w:val="000000" w:themeColor="text1"/>
          <w:szCs w:val="24"/>
          <w:lang w:eastAsia="lv-LV"/>
        </w:rPr>
        <w:t>1,2</w:t>
      </w:r>
      <w:r w:rsidRPr="00B557E8">
        <w:rPr>
          <w:rFonts w:eastAsia="EUAlbertina-Bold-Identity-H"/>
          <w:color w:val="000000" w:themeColor="text1"/>
          <w:szCs w:val="24"/>
          <w:lang w:eastAsia="lv-LV"/>
        </w:rPr>
        <w:t xml:space="preserve">% no pārskatā periodā kopējā konstatēto neatbilstību apjoma. Neatbilstību apjomu aktivitātē veido neatbilstības, kas saistītas ar līguma par projekta īstenošanu nosacījuma par avansu izmantošanu neizpilde. Kā otrs lielākais neatbilstību apjoms pārskata periodā ir </w:t>
      </w:r>
      <w:r w:rsidR="008F27FF" w:rsidRPr="00B557E8">
        <w:rPr>
          <w:rFonts w:eastAsia="EUAlbertina-Bold-Identity-H"/>
          <w:color w:val="000000" w:themeColor="text1"/>
          <w:szCs w:val="24"/>
          <w:lang w:eastAsia="lv-LV"/>
        </w:rPr>
        <w:t>VARAM</w:t>
      </w:r>
      <w:r w:rsidRPr="00B557E8">
        <w:rPr>
          <w:rFonts w:eastAsia="EUAlbertina-Bold-Identity-H"/>
          <w:color w:val="000000" w:themeColor="text1"/>
          <w:szCs w:val="24"/>
          <w:lang w:eastAsia="lv-LV"/>
        </w:rPr>
        <w:t xml:space="preserve"> </w:t>
      </w:r>
      <w:proofErr w:type="spellStart"/>
      <w:r w:rsidRPr="00B557E8">
        <w:rPr>
          <w:rFonts w:eastAsia="EUAlbertina-Bold-Identity-H"/>
          <w:color w:val="000000" w:themeColor="text1"/>
          <w:szCs w:val="24"/>
          <w:lang w:eastAsia="lv-LV"/>
        </w:rPr>
        <w:lastRenderedPageBreak/>
        <w:t>pārziņā</w:t>
      </w:r>
      <w:proofErr w:type="spellEnd"/>
      <w:r w:rsidRPr="00B557E8">
        <w:rPr>
          <w:rFonts w:eastAsia="EUAlbertina-Bold-Identity-H"/>
          <w:color w:val="000000" w:themeColor="text1"/>
          <w:szCs w:val="24"/>
          <w:lang w:eastAsia="lv-LV"/>
        </w:rPr>
        <w:t xml:space="preserve"> esošajā aktivitātē 3.4.1.1. “Ūdenssaimniecības infrastruktūras attīstība apdzīvotās vietās ar iedzīvotāju skaitu līdz 2000” konstatētās 17 neatbilstības par kopējo summu 165 </w:t>
      </w:r>
      <w:proofErr w:type="spellStart"/>
      <w:r w:rsidR="00B96482" w:rsidRPr="00B557E8">
        <w:rPr>
          <w:rFonts w:eastAsia="EUAlbertina-Bold-Identity-H"/>
          <w:color w:val="000000" w:themeColor="text1"/>
          <w:szCs w:val="24"/>
          <w:lang w:eastAsia="lv-LV"/>
        </w:rPr>
        <w:t>tūkst</w:t>
      </w:r>
      <w:proofErr w:type="spellEnd"/>
      <w:r w:rsidRPr="00B557E8">
        <w:rPr>
          <w:rFonts w:eastAsia="EUAlbertina-Bold-Identity-H"/>
          <w:color w:val="000000" w:themeColor="text1"/>
          <w:szCs w:val="24"/>
          <w:lang w:eastAsia="lv-LV"/>
        </w:rPr>
        <w:t xml:space="preserve">. latu jeb 2,7 % no pārskata periodā konstatēto neatbilstību apjoma.   </w:t>
      </w:r>
    </w:p>
    <w:p w:rsidR="00640AAE" w:rsidRPr="00B557E8" w:rsidRDefault="00640AA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Pārskata periodā pēc neatbilstību veida visvairāk neatbilstību gadījumu klasificētas, kā „Cita neatbilstība”  par kopējo summu 2,7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xml:space="preserve">. latu jeb </w:t>
      </w:r>
      <w:r w:rsidR="00C20ED4" w:rsidRPr="00B557E8">
        <w:rPr>
          <w:rFonts w:eastAsia="EUAlbertina-Bold-Identity-H"/>
          <w:color w:val="000000" w:themeColor="text1"/>
          <w:szCs w:val="24"/>
          <w:lang w:eastAsia="lv-LV"/>
        </w:rPr>
        <w:t>88,1</w:t>
      </w:r>
      <w:r w:rsidRPr="00B557E8">
        <w:rPr>
          <w:rFonts w:eastAsia="EUAlbertina-Bold-Identity-H"/>
          <w:color w:val="000000" w:themeColor="text1"/>
          <w:szCs w:val="24"/>
          <w:lang w:eastAsia="lv-LV"/>
        </w:rPr>
        <w:t>% pret konstatēto neatbilstību apjoma. Kā „cita neatbilstība” tiek klasificēti neatbilstību gadījumi, kas saistīti ar dažādiem pārkāpumiem ES fondu aktivitātes ieviešanas normu neievērošanā, līguma vai vienošanās par projekta īstenošanu neievērošana, LR normatīvo aktu pārkāpumi par grāmatvedības kārtošanu, komandējuma aprēķiniem, kas noteikti MK noteikumos par aktivitātes ieviešanu. Kā otrs biežāk konstatētais neatbilstību veids klasificējams „Iepirkuma vai konkurences normu pārkāpums”, kas ir 0,</w:t>
      </w:r>
      <w:r w:rsidR="00B96482" w:rsidRPr="00B557E8">
        <w:rPr>
          <w:rFonts w:eastAsia="EUAlbertina-Bold-Identity-H"/>
          <w:color w:val="000000" w:themeColor="text1"/>
          <w:szCs w:val="24"/>
          <w:lang w:eastAsia="lv-LV"/>
        </w:rPr>
        <w:t>4</w:t>
      </w:r>
      <w:r w:rsidRPr="00B557E8">
        <w:rPr>
          <w:rFonts w:eastAsia="EUAlbertina-Bold-Identity-H"/>
          <w:color w:val="000000" w:themeColor="text1"/>
          <w:szCs w:val="24"/>
          <w:lang w:eastAsia="lv-LV"/>
        </w:rPr>
        <w:t xml:space="preserve">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xml:space="preserve">. latu jeb </w:t>
      </w:r>
      <w:r w:rsidR="00C20ED4" w:rsidRPr="00B557E8">
        <w:rPr>
          <w:rFonts w:eastAsia="EUAlbertina-Bold-Identity-H"/>
          <w:color w:val="000000" w:themeColor="text1"/>
          <w:szCs w:val="24"/>
          <w:lang w:eastAsia="lv-LV"/>
        </w:rPr>
        <w:t>11,8</w:t>
      </w:r>
      <w:r w:rsidRPr="00B557E8">
        <w:rPr>
          <w:rFonts w:eastAsia="EUAlbertina-Bold-Identity-H"/>
          <w:color w:val="000000" w:themeColor="text1"/>
          <w:szCs w:val="24"/>
          <w:lang w:eastAsia="lv-LV"/>
        </w:rPr>
        <w:t xml:space="preserve"> % no pārskatā periodā konstatēto neatbilstību apjoma. </w:t>
      </w:r>
    </w:p>
    <w:p w:rsidR="00640AAE" w:rsidRPr="00B557E8" w:rsidRDefault="00640AAE" w:rsidP="00B557E8">
      <w:pPr>
        <w:spacing w:before="120" w:after="120" w:line="276" w:lineRule="auto"/>
        <w:rPr>
          <w:rFonts w:eastAsia="EUAlbertina-Bold-Identity-H"/>
          <w:i/>
          <w:color w:val="000000" w:themeColor="text1"/>
          <w:szCs w:val="24"/>
          <w:lang w:eastAsia="lv-LV"/>
        </w:rPr>
      </w:pPr>
      <w:r w:rsidRPr="00B557E8">
        <w:rPr>
          <w:rFonts w:eastAsia="EUAlbertina-Bold-Identity-H"/>
          <w:color w:val="000000" w:themeColor="text1"/>
          <w:szCs w:val="24"/>
          <w:lang w:eastAsia="lv-LV"/>
        </w:rPr>
        <w:t>Grafiks Nr.</w:t>
      </w:r>
      <w:r w:rsidR="00C82029" w:rsidRPr="00B557E8">
        <w:rPr>
          <w:rFonts w:eastAsia="EUAlbertina-Bold-Identity-H"/>
          <w:color w:val="000000" w:themeColor="text1"/>
          <w:szCs w:val="24"/>
          <w:lang w:eastAsia="lv-LV"/>
        </w:rPr>
        <w:t>2</w:t>
      </w:r>
      <w:r w:rsidR="00EC7B49" w:rsidRPr="00B557E8">
        <w:rPr>
          <w:rFonts w:eastAsia="EUAlbertina-Bold-Identity-H"/>
          <w:color w:val="000000" w:themeColor="text1"/>
          <w:szCs w:val="24"/>
          <w:lang w:eastAsia="lv-LV"/>
        </w:rPr>
        <w:t>4</w:t>
      </w:r>
      <w:r w:rsidRPr="00B557E8">
        <w:rPr>
          <w:rFonts w:eastAsia="EUAlbertina-Bold-Identity-H"/>
          <w:color w:val="000000" w:themeColor="text1"/>
          <w:szCs w:val="24"/>
          <w:lang w:eastAsia="lv-LV"/>
        </w:rPr>
        <w:t xml:space="preserve"> </w:t>
      </w:r>
      <w:r w:rsidRPr="00B557E8">
        <w:rPr>
          <w:rFonts w:eastAsia="EUAlbertina-Bold-Identity-H"/>
          <w:i/>
          <w:color w:val="000000" w:themeColor="text1"/>
          <w:szCs w:val="24"/>
          <w:lang w:eastAsia="lv-LV"/>
        </w:rPr>
        <w:t xml:space="preserve">„Neatbilstību sadalījums pēc to klasifikācijas 2011.gada III ceturksnī, </w:t>
      </w:r>
      <w:proofErr w:type="spellStart"/>
      <w:r w:rsidRPr="00B557E8">
        <w:rPr>
          <w:rFonts w:eastAsia="EUAlbertina-Bold-Identity-H"/>
          <w:i/>
          <w:color w:val="000000" w:themeColor="text1"/>
          <w:szCs w:val="24"/>
          <w:lang w:eastAsia="lv-LV"/>
        </w:rPr>
        <w:t>milj</w:t>
      </w:r>
      <w:proofErr w:type="spellEnd"/>
      <w:r w:rsidRPr="00B557E8">
        <w:rPr>
          <w:rFonts w:eastAsia="EUAlbertina-Bold-Identity-H"/>
          <w:i/>
          <w:color w:val="000000" w:themeColor="text1"/>
          <w:szCs w:val="24"/>
          <w:lang w:eastAsia="lv-LV"/>
        </w:rPr>
        <w:t>. LVL (% pret konstatēto neatbilstību apjoma)</w:t>
      </w:r>
      <w:r w:rsidR="00EA323F" w:rsidRPr="00B557E8">
        <w:rPr>
          <w:rFonts w:eastAsia="EUAlbertina-Bold-Identity-H"/>
          <w:i/>
          <w:color w:val="000000" w:themeColor="text1"/>
          <w:szCs w:val="24"/>
          <w:lang w:eastAsia="lv-LV"/>
        </w:rPr>
        <w:t>.</w:t>
      </w:r>
      <w:r w:rsidRPr="00B557E8">
        <w:rPr>
          <w:rFonts w:eastAsia="EUAlbertina-Bold-Identity-H"/>
          <w:i/>
          <w:color w:val="000000" w:themeColor="text1"/>
          <w:szCs w:val="24"/>
          <w:lang w:eastAsia="lv-LV"/>
        </w:rPr>
        <w:t>”</w:t>
      </w:r>
    </w:p>
    <w:p w:rsidR="00640AAE" w:rsidRPr="00B557E8" w:rsidRDefault="00B46460" w:rsidP="00B557E8">
      <w:pPr>
        <w:spacing w:before="120" w:after="120" w:line="276" w:lineRule="auto"/>
        <w:rPr>
          <w:rFonts w:eastAsia="EUAlbertina-Bold-Identity-H"/>
          <w:color w:val="000000" w:themeColor="text1"/>
          <w:szCs w:val="24"/>
          <w:lang w:eastAsia="lv-LV"/>
        </w:rPr>
      </w:pPr>
      <w:r w:rsidRPr="00B557E8">
        <w:rPr>
          <w:noProof/>
          <w:color w:val="000000" w:themeColor="text1"/>
          <w:szCs w:val="24"/>
          <w:lang w:eastAsia="lv-LV"/>
        </w:rPr>
        <w:t xml:space="preserve"> </w:t>
      </w:r>
      <w:r w:rsidRPr="00B557E8">
        <w:rPr>
          <w:noProof/>
          <w:color w:val="000000" w:themeColor="text1"/>
          <w:szCs w:val="24"/>
          <w:lang w:eastAsia="lv-LV"/>
        </w:rPr>
        <w:drawing>
          <wp:inline distT="0" distB="0" distL="0" distR="0" wp14:anchorId="4B3D47FD" wp14:editId="08FF9858">
            <wp:extent cx="5486400" cy="2441050"/>
            <wp:effectExtent l="0" t="0" r="19050" b="165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40AAE" w:rsidRPr="00B557E8" w:rsidRDefault="00640AA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Analizējot 2007. – 2013. gada plānošanas periodā darbības programmas secinām, ka šobrīd lielākais neatbilstību apjoms, gan uz pārskata perioda beigām, gan pārskata periodā konstatēts 2. darbības programmā „Uzņēmējdarbība un inovācijas”, salīdzinājumā ar iepriekšējo ceturksni, kad lielākais neatbilstību apjoms bija darbības programmā „Infrastruktūra un pakalpojumi”. Šī situācija ir augstāk minēto iemeslu dēļ saistībā ar dažām liela apjoma neatbilstībām aktivitātē 2.1.2.4. ”Augstas pievienotās vērtības investīcijas”.</w:t>
      </w:r>
    </w:p>
    <w:p w:rsidR="00434BE9" w:rsidRPr="00B557E8" w:rsidRDefault="00640AAE" w:rsidP="00B557E8">
      <w:pPr>
        <w:spacing w:before="120" w:after="120" w:line="276" w:lineRule="auto"/>
        <w:rPr>
          <w:rFonts w:eastAsia="EUAlbertina-Bold-Identity-H"/>
          <w:b/>
          <w:color w:val="000000" w:themeColor="text1"/>
          <w:szCs w:val="24"/>
          <w:lang w:eastAsia="lv-LV"/>
        </w:rPr>
      </w:pPr>
      <w:r w:rsidRPr="00B557E8">
        <w:rPr>
          <w:rFonts w:eastAsia="EUAlbertina-Bold-Identity-H"/>
          <w:b/>
          <w:color w:val="000000" w:themeColor="text1"/>
          <w:szCs w:val="24"/>
          <w:lang w:eastAsia="lv-LV"/>
        </w:rPr>
        <w:t xml:space="preserve">4.1.1. </w:t>
      </w:r>
      <w:r w:rsidR="00434BE9" w:rsidRPr="00B557E8">
        <w:rPr>
          <w:rFonts w:eastAsia="EUAlbertina-Bold-Identity-H"/>
          <w:b/>
          <w:color w:val="000000" w:themeColor="text1"/>
          <w:szCs w:val="24"/>
          <w:lang w:eastAsia="lv-LV"/>
        </w:rPr>
        <w:t>Darbības programma „Cilvēkresursi un nodarbinātība”</w:t>
      </w:r>
    </w:p>
    <w:p w:rsidR="00640AAE" w:rsidRPr="00B557E8" w:rsidRDefault="00640AA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2007.-2013.gada plānošanas periodā līdz 2011.gada 30.septembrim neatbilstību apjoms ir 560,</w:t>
      </w:r>
      <w:r w:rsidR="00B96482" w:rsidRPr="00B557E8">
        <w:rPr>
          <w:rFonts w:eastAsia="EUAlbertina-Bold-Identity-H"/>
          <w:color w:val="000000" w:themeColor="text1"/>
          <w:szCs w:val="24"/>
          <w:lang w:eastAsia="lv-LV"/>
        </w:rPr>
        <w:t>7</w:t>
      </w:r>
      <w:r w:rsidRPr="00B557E8">
        <w:rPr>
          <w:rFonts w:eastAsia="EUAlbertina-Bold-Identity-H"/>
          <w:color w:val="000000" w:themeColor="text1"/>
          <w:szCs w:val="24"/>
          <w:lang w:eastAsia="lv-LV"/>
        </w:rPr>
        <w:t xml:space="preserve"> tūkst, latu jeb 0,</w:t>
      </w:r>
      <w:r w:rsidR="00B96482" w:rsidRPr="00B557E8">
        <w:rPr>
          <w:rFonts w:eastAsia="EUAlbertina-Bold-Identity-H"/>
          <w:color w:val="000000" w:themeColor="text1"/>
          <w:szCs w:val="24"/>
          <w:lang w:eastAsia="lv-LV"/>
        </w:rPr>
        <w:t>2</w:t>
      </w:r>
      <w:r w:rsidRPr="00B557E8">
        <w:rPr>
          <w:rFonts w:eastAsia="EUAlbertina-Bold-Identity-H"/>
          <w:color w:val="000000" w:themeColor="text1"/>
          <w:szCs w:val="24"/>
          <w:lang w:eastAsia="lv-LV"/>
        </w:rPr>
        <w:t>% no finansējuma saņēmēju pieprasītā finansējuma. Kopumā finansējumu saņēmējiem līdz 2011.gada 30.septembrim izmaksāti 248,</w:t>
      </w:r>
      <w:r w:rsidR="00B96482" w:rsidRPr="00B557E8">
        <w:rPr>
          <w:rFonts w:eastAsia="EUAlbertina-Bold-Identity-H"/>
          <w:color w:val="000000" w:themeColor="text1"/>
          <w:szCs w:val="24"/>
          <w:lang w:eastAsia="lv-LV"/>
        </w:rPr>
        <w:t>7</w:t>
      </w:r>
      <w:r w:rsidRPr="00B557E8">
        <w:rPr>
          <w:rFonts w:eastAsia="EUAlbertina-Bold-Identity-H"/>
          <w:color w:val="000000" w:themeColor="text1"/>
          <w:szCs w:val="24"/>
          <w:lang w:eastAsia="lv-LV"/>
        </w:rPr>
        <w:t xml:space="preserve">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latu. 2007.-2013.gada plānošanas periodā līdz 2011.gada 30.septembrim atgūti 461,</w:t>
      </w:r>
      <w:r w:rsidR="00B96482" w:rsidRPr="00B557E8">
        <w:rPr>
          <w:rFonts w:eastAsia="EUAlbertina-Bold-Identity-H"/>
          <w:color w:val="000000" w:themeColor="text1"/>
          <w:szCs w:val="24"/>
          <w:lang w:eastAsia="lv-LV"/>
        </w:rPr>
        <w:t>6</w:t>
      </w:r>
      <w:r w:rsidRPr="00B557E8">
        <w:rPr>
          <w:rFonts w:eastAsia="EUAlbertina-Bold-Identity-H"/>
          <w:color w:val="000000" w:themeColor="text1"/>
          <w:szCs w:val="24"/>
          <w:lang w:eastAsia="lv-LV"/>
        </w:rPr>
        <w:t xml:space="preserve"> </w:t>
      </w:r>
      <w:proofErr w:type="spellStart"/>
      <w:r w:rsidRPr="00B557E8">
        <w:rPr>
          <w:rFonts w:eastAsia="EUAlbertina-Bold-Identity-H"/>
          <w:color w:val="000000" w:themeColor="text1"/>
          <w:szCs w:val="24"/>
          <w:lang w:eastAsia="lv-LV"/>
        </w:rPr>
        <w:t>tūkst</w:t>
      </w:r>
      <w:proofErr w:type="spellEnd"/>
      <w:r w:rsidRPr="00B557E8">
        <w:rPr>
          <w:rFonts w:eastAsia="EUAlbertina-Bold-Identity-H"/>
          <w:color w:val="000000" w:themeColor="text1"/>
          <w:szCs w:val="24"/>
          <w:lang w:eastAsia="lv-LV"/>
        </w:rPr>
        <w:t xml:space="preserve">. latu jeb 82,3% no kopējās neatbilstību summas. </w:t>
      </w:r>
    </w:p>
    <w:p w:rsidR="00640AAE" w:rsidRPr="00B557E8" w:rsidRDefault="00640AA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Pārskata periodā darbības programmā „Cilvēkresursi un nodarbinātība” ietvaros konstatētas neatbilstību par kopējo summu 124,8 </w:t>
      </w:r>
      <w:proofErr w:type="spellStart"/>
      <w:r w:rsidRPr="00B557E8">
        <w:rPr>
          <w:rFonts w:eastAsia="EUAlbertina-Bold-Identity-H"/>
          <w:color w:val="000000" w:themeColor="text1"/>
          <w:szCs w:val="24"/>
          <w:lang w:eastAsia="lv-LV"/>
        </w:rPr>
        <w:t>tūkst</w:t>
      </w:r>
      <w:proofErr w:type="spellEnd"/>
      <w:r w:rsidRPr="00B557E8">
        <w:rPr>
          <w:rFonts w:eastAsia="EUAlbertina-Bold-Identity-H"/>
          <w:color w:val="000000" w:themeColor="text1"/>
          <w:szCs w:val="24"/>
          <w:lang w:eastAsia="lv-LV"/>
        </w:rPr>
        <w:t>. latu (0,05% no projekta ietvaros pieprasītā finansējuma), tajā skaitā Eiropas Sociālā fonda finansējums 111,</w:t>
      </w:r>
      <w:r w:rsidR="00B96482" w:rsidRPr="00B557E8">
        <w:rPr>
          <w:rFonts w:eastAsia="EUAlbertina-Bold-Identity-H"/>
          <w:color w:val="000000" w:themeColor="text1"/>
          <w:szCs w:val="24"/>
          <w:lang w:eastAsia="lv-LV"/>
        </w:rPr>
        <w:t>2</w:t>
      </w:r>
      <w:r w:rsidRPr="00B557E8">
        <w:rPr>
          <w:rFonts w:eastAsia="EUAlbertina-Bold-Identity-H"/>
          <w:color w:val="000000" w:themeColor="text1"/>
          <w:szCs w:val="24"/>
          <w:lang w:eastAsia="lv-LV"/>
        </w:rPr>
        <w:t xml:space="preserve"> </w:t>
      </w:r>
      <w:proofErr w:type="spellStart"/>
      <w:r w:rsidRPr="00B557E8">
        <w:rPr>
          <w:rFonts w:eastAsia="EUAlbertina-Bold-Identity-H"/>
          <w:color w:val="000000" w:themeColor="text1"/>
          <w:szCs w:val="24"/>
          <w:lang w:eastAsia="lv-LV"/>
        </w:rPr>
        <w:t>tūkst</w:t>
      </w:r>
      <w:proofErr w:type="spellEnd"/>
      <w:r w:rsidRPr="00B557E8">
        <w:rPr>
          <w:rFonts w:eastAsia="EUAlbertina-Bold-Identity-H"/>
          <w:color w:val="000000" w:themeColor="text1"/>
          <w:szCs w:val="24"/>
          <w:lang w:eastAsia="lv-LV"/>
        </w:rPr>
        <w:t xml:space="preserve">. latu un valsts budžeta finansējums 13,6 tūkstoši latu. Kopumā neatbilstoši veikto izdevumu summas ir nelielas, tomēr lielākā neatbilstoši veikto izdevumu summa ir konstatēta Nodarbinātības valsts </w:t>
      </w:r>
      <w:r w:rsidR="00F73ADE" w:rsidRPr="00B557E8">
        <w:rPr>
          <w:rFonts w:eastAsia="EUAlbertina-Bold-Identity-H"/>
          <w:color w:val="000000" w:themeColor="text1"/>
          <w:szCs w:val="24"/>
          <w:lang w:eastAsia="lv-LV"/>
        </w:rPr>
        <w:t>aģentūra</w:t>
      </w:r>
      <w:r w:rsidR="00783230" w:rsidRPr="00B557E8">
        <w:rPr>
          <w:rFonts w:eastAsia="EUAlbertina-Bold-Identity-H"/>
          <w:color w:val="000000" w:themeColor="text1"/>
          <w:szCs w:val="24"/>
          <w:lang w:eastAsia="lv-LV"/>
        </w:rPr>
        <w:t>s</w:t>
      </w:r>
      <w:r w:rsidR="00F73ADE" w:rsidRPr="00B557E8">
        <w:rPr>
          <w:rFonts w:eastAsia="EUAlbertina-Bold-Identity-H"/>
          <w:color w:val="000000" w:themeColor="text1"/>
          <w:szCs w:val="24"/>
          <w:lang w:eastAsia="lv-LV"/>
        </w:rPr>
        <w:t xml:space="preserve"> </w:t>
      </w:r>
      <w:r w:rsidRPr="00B557E8">
        <w:rPr>
          <w:rFonts w:eastAsia="EUAlbertina-Bold-Identity-H"/>
          <w:color w:val="000000" w:themeColor="text1"/>
          <w:szCs w:val="24"/>
          <w:lang w:eastAsia="lv-LV"/>
        </w:rPr>
        <w:lastRenderedPageBreak/>
        <w:t xml:space="preserve">projektā Nr.1DP/1.3.1.5.0/09/IPIA/NVA/001„Darba praktizēšanas pasākumu nodrošināšana pašvaldībās darba iemaņu iegūšanai un uzturēšanai” par kopējo summu – </w:t>
      </w:r>
      <w:r w:rsidR="005201D4">
        <w:rPr>
          <w:rFonts w:eastAsia="EUAlbertina-Bold-Identity-H"/>
          <w:color w:val="000000" w:themeColor="text1"/>
          <w:szCs w:val="24"/>
          <w:lang w:eastAsia="lv-LV"/>
        </w:rPr>
        <w:t>31</w:t>
      </w:r>
      <w:r w:rsidRPr="00B557E8">
        <w:rPr>
          <w:rFonts w:eastAsia="EUAlbertina-Bold-Identity-H"/>
          <w:color w:val="000000" w:themeColor="text1"/>
          <w:szCs w:val="24"/>
          <w:lang w:eastAsia="lv-LV"/>
        </w:rPr>
        <w:t>,</w:t>
      </w:r>
      <w:r w:rsidR="005201D4">
        <w:rPr>
          <w:rFonts w:eastAsia="EUAlbertina-Bold-Identity-H"/>
          <w:color w:val="000000" w:themeColor="text1"/>
          <w:szCs w:val="24"/>
          <w:lang w:eastAsia="lv-LV"/>
        </w:rPr>
        <w:t>1</w:t>
      </w:r>
      <w:r w:rsidRPr="00B557E8">
        <w:rPr>
          <w:rFonts w:eastAsia="EUAlbertina-Bold-Identity-H"/>
          <w:color w:val="000000" w:themeColor="text1"/>
          <w:szCs w:val="24"/>
          <w:lang w:eastAsia="lv-LV"/>
        </w:rPr>
        <w:t xml:space="preserve"> </w:t>
      </w:r>
      <w:proofErr w:type="spellStart"/>
      <w:r w:rsidRPr="00B557E8">
        <w:rPr>
          <w:rFonts w:eastAsia="EUAlbertina-Bold-Identity-H"/>
          <w:color w:val="000000" w:themeColor="text1"/>
          <w:szCs w:val="24"/>
          <w:lang w:eastAsia="lv-LV"/>
        </w:rPr>
        <w:t>tūkst</w:t>
      </w:r>
      <w:proofErr w:type="spellEnd"/>
      <w:r w:rsidRPr="00B557E8">
        <w:rPr>
          <w:rFonts w:eastAsia="EUAlbertina-Bold-Identity-H"/>
          <w:color w:val="000000" w:themeColor="text1"/>
          <w:szCs w:val="24"/>
          <w:lang w:eastAsia="lv-LV"/>
        </w:rPr>
        <w:t xml:space="preserve">. latu. Attiecīgā neatbilstība saistīta ar iepirkuma normu pārkāpumiem. </w:t>
      </w:r>
    </w:p>
    <w:p w:rsidR="00640AAE" w:rsidRPr="00B557E8" w:rsidRDefault="00640AA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Liela daļa konstatēto neatbilstību projektu īstenošanā ir saistītas ar normatīvo aktu publisko iepirkumu jomā pārkāpumiem un pieļautajiem trūkumiem un neprecizitātēm procedūrā. Mēdz būt gadījumi, kad projektu īstenošanas gaitā tiek mainīti atsevišķi veicamie darbi, par ko ne vienmēr tiek informētas AI un SI, kā rezultātā var rasties situācijas, kad maksājumu pieprasījumos tiek iekļauti arī finansējuma pieprasījumi neattiecināmām darbībām. Nozīmīgi neatbilstības ietekmē arī pašvaldību lēmumi, piemēram, skolu reorganizācijās, neievērojot uzņemtās saistības ES fondu projektu ietvaros. Neatbilstības ir saistītas arī ar projekta aktivitāšu daļēju īstenošanu.</w:t>
      </w:r>
    </w:p>
    <w:p w:rsidR="00640AAE" w:rsidRPr="00B557E8" w:rsidRDefault="00640AAE" w:rsidP="00B557E8">
      <w:pPr>
        <w:spacing w:before="120" w:after="120" w:line="276" w:lineRule="auto"/>
        <w:rPr>
          <w:rFonts w:eastAsia="EUAlbertina-Bold-Identity-H"/>
          <w:color w:val="000000" w:themeColor="text1"/>
          <w:szCs w:val="24"/>
          <w:lang w:eastAsia="lv-LV"/>
        </w:rPr>
      </w:pPr>
      <w:proofErr w:type="spellStart"/>
      <w:r w:rsidRPr="00B557E8">
        <w:rPr>
          <w:rFonts w:eastAsia="EUAlbertina-Bold-Identity-H"/>
          <w:color w:val="000000" w:themeColor="text1"/>
          <w:szCs w:val="24"/>
          <w:lang w:eastAsia="lv-LV"/>
        </w:rPr>
        <w:t>Apkšaktivitātē</w:t>
      </w:r>
      <w:proofErr w:type="spellEnd"/>
      <w:r w:rsidRPr="00B557E8">
        <w:rPr>
          <w:rFonts w:eastAsia="EUAlbertina-Bold-Identity-H"/>
          <w:color w:val="000000" w:themeColor="text1"/>
          <w:szCs w:val="24"/>
          <w:lang w:eastAsia="lv-LV"/>
        </w:rPr>
        <w:t xml:space="preserve"> 1.4.1.2.1. „Darbspēju vērtēšanas sistēmas pilnveidošana” un </w:t>
      </w:r>
      <w:proofErr w:type="spellStart"/>
      <w:r w:rsidRPr="00B557E8">
        <w:rPr>
          <w:rFonts w:eastAsia="EUAlbertina-Bold-Identity-H"/>
          <w:color w:val="000000" w:themeColor="text1"/>
          <w:szCs w:val="24"/>
          <w:lang w:eastAsia="lv-LV"/>
        </w:rPr>
        <w:t>apakšaktivitātē</w:t>
      </w:r>
      <w:proofErr w:type="spellEnd"/>
      <w:r w:rsidRPr="00B557E8">
        <w:rPr>
          <w:rFonts w:eastAsia="EUAlbertina-Bold-Identity-H"/>
          <w:color w:val="000000" w:themeColor="text1"/>
          <w:szCs w:val="24"/>
          <w:lang w:eastAsia="lv-LV"/>
        </w:rPr>
        <w:t xml:space="preserve"> 1.3.1.1.4. „Atbalsts nodarbināto apmācībām komersantu konkurētspējas veicināšanai - atbalsts komersantu individuāli organizētām apmācībām” konstatētās neatbilstības pret tajās veiktajiem maksājumiem pārsniedz 2% uz 2011.gada 30.septembri – attiecīgi šis īpatsvars ir 5,</w:t>
      </w:r>
      <w:r w:rsidR="00B96482" w:rsidRPr="00B557E8">
        <w:rPr>
          <w:rFonts w:eastAsia="EUAlbertina-Bold-Identity-H"/>
          <w:color w:val="000000" w:themeColor="text1"/>
          <w:szCs w:val="24"/>
          <w:lang w:eastAsia="lv-LV"/>
        </w:rPr>
        <w:t>4</w:t>
      </w:r>
      <w:r w:rsidRPr="00B557E8">
        <w:rPr>
          <w:rFonts w:eastAsia="EUAlbertina-Bold-Identity-H"/>
          <w:color w:val="000000" w:themeColor="text1"/>
          <w:szCs w:val="24"/>
          <w:lang w:eastAsia="lv-LV"/>
        </w:rPr>
        <w:t xml:space="preserve">% un 3,4%.  </w:t>
      </w:r>
    </w:p>
    <w:p w:rsidR="00434BE9" w:rsidRPr="00B557E8" w:rsidRDefault="00C13D44" w:rsidP="00B557E8">
      <w:pPr>
        <w:spacing w:before="120" w:after="120" w:line="276" w:lineRule="auto"/>
        <w:rPr>
          <w:rFonts w:eastAsia="EUAlbertina-Bold-Identity-H"/>
          <w:b/>
          <w:color w:val="000000" w:themeColor="text1"/>
          <w:szCs w:val="24"/>
          <w:lang w:eastAsia="lv-LV"/>
        </w:rPr>
      </w:pPr>
      <w:r w:rsidRPr="00B557E8">
        <w:rPr>
          <w:rFonts w:eastAsia="EUAlbertina-Bold-Identity-H"/>
          <w:b/>
          <w:color w:val="000000" w:themeColor="text1"/>
          <w:szCs w:val="24"/>
          <w:lang w:eastAsia="lv-LV"/>
        </w:rPr>
        <w:t xml:space="preserve">4.1.2. </w:t>
      </w:r>
      <w:r w:rsidR="00434BE9" w:rsidRPr="00B557E8">
        <w:rPr>
          <w:rFonts w:eastAsia="EUAlbertina-Bold-Identity-H"/>
          <w:b/>
          <w:color w:val="000000" w:themeColor="text1"/>
          <w:szCs w:val="24"/>
          <w:lang w:eastAsia="lv-LV"/>
        </w:rPr>
        <w:t xml:space="preserve">Darbības programma „Uzņēmējdarbība un inovācijas” </w:t>
      </w:r>
    </w:p>
    <w:p w:rsidR="00640AAE" w:rsidRPr="00B557E8" w:rsidRDefault="00640AA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Līdz 2011.gada 30.septembrim konstatēto neatbilstību summa ir </w:t>
      </w:r>
      <w:r w:rsidR="008C602B" w:rsidRPr="00B557E8">
        <w:rPr>
          <w:rFonts w:eastAsia="EUAlbertina-Bold-Identity-H"/>
          <w:color w:val="000000" w:themeColor="text1"/>
          <w:szCs w:val="24"/>
          <w:lang w:eastAsia="lv-LV"/>
        </w:rPr>
        <w:t>3,3</w:t>
      </w:r>
      <w:r w:rsidRPr="00B557E8">
        <w:rPr>
          <w:rFonts w:eastAsia="EUAlbertina-Bold-Identity-H"/>
          <w:color w:val="000000" w:themeColor="text1"/>
          <w:szCs w:val="24"/>
          <w:lang w:eastAsia="lv-LV"/>
        </w:rPr>
        <w:t xml:space="preserve">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latu (</w:t>
      </w:r>
      <w:r w:rsidR="008C602B" w:rsidRPr="00B557E8">
        <w:rPr>
          <w:rFonts w:eastAsia="EUAlbertina-Bold-Identity-H"/>
          <w:color w:val="000000" w:themeColor="text1"/>
          <w:szCs w:val="24"/>
          <w:lang w:eastAsia="lv-LV"/>
        </w:rPr>
        <w:t>1,3</w:t>
      </w:r>
      <w:r w:rsidRPr="00B557E8">
        <w:rPr>
          <w:rFonts w:eastAsia="EUAlbertina-Bold-Identity-H"/>
          <w:color w:val="000000" w:themeColor="text1"/>
          <w:szCs w:val="24"/>
          <w:lang w:eastAsia="lv-LV"/>
        </w:rPr>
        <w:t xml:space="preserve">% no kopējā pieprasītā finansējuma), un no tiem lielākā daļa jeb </w:t>
      </w:r>
      <w:r w:rsidR="008C602B" w:rsidRPr="00B557E8">
        <w:rPr>
          <w:rFonts w:eastAsia="EUAlbertina-Bold-Identity-H"/>
          <w:color w:val="000000" w:themeColor="text1"/>
          <w:szCs w:val="24"/>
          <w:lang w:eastAsia="lv-LV"/>
        </w:rPr>
        <w:t>3,2</w:t>
      </w:r>
      <w:r w:rsidRPr="00B557E8">
        <w:rPr>
          <w:rFonts w:eastAsia="EUAlbertina-Bold-Identity-H"/>
          <w:color w:val="000000" w:themeColor="text1"/>
          <w:szCs w:val="24"/>
          <w:lang w:eastAsia="lv-LV"/>
        </w:rPr>
        <w:t xml:space="preserve">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xml:space="preserve">. latu ir ERAF finansējums. Neatbilstības galvenokārt konstatētas EM </w:t>
      </w:r>
      <w:proofErr w:type="spellStart"/>
      <w:r w:rsidRPr="00B557E8">
        <w:rPr>
          <w:rFonts w:eastAsia="EUAlbertina-Bold-Identity-H"/>
          <w:color w:val="000000" w:themeColor="text1"/>
          <w:szCs w:val="24"/>
          <w:lang w:eastAsia="lv-LV"/>
        </w:rPr>
        <w:t>pārziņā</w:t>
      </w:r>
      <w:proofErr w:type="spellEnd"/>
      <w:r w:rsidRPr="00B557E8">
        <w:rPr>
          <w:rFonts w:eastAsia="EUAlbertina-Bold-Identity-H"/>
          <w:color w:val="000000" w:themeColor="text1"/>
          <w:szCs w:val="24"/>
          <w:lang w:eastAsia="lv-LV"/>
        </w:rPr>
        <w:t xml:space="preserve"> esošo aktivitāšu projektos. No kopējās neatbilstību summas </w:t>
      </w:r>
      <w:r w:rsidR="008C602B" w:rsidRPr="00B557E8">
        <w:rPr>
          <w:rFonts w:eastAsia="EUAlbertina-Bold-Identity-H"/>
          <w:color w:val="000000" w:themeColor="text1"/>
          <w:szCs w:val="24"/>
          <w:lang w:eastAsia="lv-LV"/>
        </w:rPr>
        <w:t>2,7</w:t>
      </w:r>
      <w:r w:rsidRPr="00B557E8">
        <w:rPr>
          <w:rFonts w:eastAsia="EUAlbertina-Bold-Identity-H"/>
          <w:color w:val="000000" w:themeColor="text1"/>
          <w:szCs w:val="24"/>
          <w:lang w:eastAsia="lv-LV"/>
        </w:rPr>
        <w:t xml:space="preserve">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xml:space="preserve">. latu jeb </w:t>
      </w:r>
      <w:r w:rsidR="008C602B" w:rsidRPr="00B557E8">
        <w:rPr>
          <w:rFonts w:eastAsia="EUAlbertina-Bold-Identity-H"/>
          <w:color w:val="000000" w:themeColor="text1"/>
          <w:szCs w:val="24"/>
          <w:lang w:eastAsia="lv-LV"/>
        </w:rPr>
        <w:t>81,6</w:t>
      </w:r>
      <w:r w:rsidRPr="00B557E8">
        <w:rPr>
          <w:rFonts w:eastAsia="EUAlbertina-Bold-Identity-H"/>
          <w:color w:val="000000" w:themeColor="text1"/>
          <w:szCs w:val="24"/>
          <w:lang w:eastAsia="lv-LV"/>
        </w:rPr>
        <w:t xml:space="preserve">% ir atgūti. </w:t>
      </w:r>
    </w:p>
    <w:p w:rsidR="00640AAE" w:rsidRPr="00B557E8" w:rsidRDefault="00640AA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Informācija par pārskata periodā </w:t>
      </w:r>
      <w:r w:rsidR="00EC322F" w:rsidRPr="00B557E8">
        <w:rPr>
          <w:rFonts w:eastAsia="EUAlbertina-Bold-Identity-H"/>
          <w:color w:val="000000" w:themeColor="text1"/>
          <w:szCs w:val="24"/>
          <w:lang w:eastAsia="lv-LV"/>
        </w:rPr>
        <w:t>ERAF</w:t>
      </w:r>
      <w:r w:rsidRPr="00B557E8">
        <w:rPr>
          <w:rFonts w:eastAsia="EUAlbertina-Bold-Identity-H"/>
          <w:color w:val="000000" w:themeColor="text1"/>
          <w:szCs w:val="24"/>
          <w:lang w:eastAsia="lv-LV"/>
        </w:rPr>
        <w:t xml:space="preserve"> darbības programmas „Uzņēmējdarbība un inovācijas” ietvaros tiešo vai pastarpināto valsts pārvaldes iestāžu, atvasināto publisko personu vai citu valsts iestāžu īstenotajos projektos konstatēti neatbilstoši veiktiem izdevumiem apkopota šī ziņojuma pielikumā</w:t>
      </w:r>
      <w:r w:rsidR="0028681A" w:rsidRPr="00B557E8">
        <w:rPr>
          <w:rFonts w:eastAsia="EUAlbertina-Bold-Identity-H"/>
          <w:color w:val="000000" w:themeColor="text1"/>
          <w:szCs w:val="24"/>
          <w:lang w:eastAsia="lv-LV"/>
        </w:rPr>
        <w:t xml:space="preserve"> Nr.3</w:t>
      </w:r>
      <w:r w:rsidRPr="00B557E8">
        <w:rPr>
          <w:rFonts w:eastAsia="EUAlbertina-Bold-Identity-H"/>
          <w:color w:val="000000" w:themeColor="text1"/>
          <w:szCs w:val="24"/>
          <w:lang w:eastAsia="lv-LV"/>
        </w:rPr>
        <w:t xml:space="preserve">.  </w:t>
      </w:r>
    </w:p>
    <w:p w:rsidR="00640AAE" w:rsidRPr="00B557E8" w:rsidRDefault="00640AA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Kopumā pārskata periodā ERAF darbības programmas „Uzņēmējdarbība un inovācijas” ietvaros konstatētas neatbilstības par kopējo summu </w:t>
      </w:r>
      <w:r w:rsidR="00C20F7B" w:rsidRPr="00B557E8">
        <w:rPr>
          <w:rFonts w:eastAsia="EUAlbertina-Bold-Identity-H"/>
          <w:color w:val="000000" w:themeColor="text1"/>
          <w:szCs w:val="24"/>
          <w:lang w:eastAsia="lv-LV"/>
        </w:rPr>
        <w:t>2</w:t>
      </w:r>
      <w:r w:rsidRPr="00B557E8">
        <w:rPr>
          <w:rFonts w:eastAsia="EUAlbertina-Bold-Identity-H"/>
          <w:color w:val="000000" w:themeColor="text1"/>
          <w:szCs w:val="24"/>
          <w:lang w:eastAsia="lv-LV"/>
        </w:rPr>
        <w:t xml:space="preserve">,5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latu (</w:t>
      </w:r>
      <w:r w:rsidR="00C20F7B" w:rsidRPr="00B557E8">
        <w:rPr>
          <w:rFonts w:eastAsia="EUAlbertina-Bold-Identity-H"/>
          <w:color w:val="000000" w:themeColor="text1"/>
          <w:szCs w:val="24"/>
          <w:lang w:eastAsia="lv-LV"/>
        </w:rPr>
        <w:t>1,0</w:t>
      </w:r>
      <w:r w:rsidRPr="00B557E8">
        <w:rPr>
          <w:rFonts w:eastAsia="EUAlbertina-Bold-Identity-H"/>
          <w:color w:val="000000" w:themeColor="text1"/>
          <w:szCs w:val="24"/>
          <w:lang w:eastAsia="lv-LV"/>
        </w:rPr>
        <w:t xml:space="preserve">% no pārskata periodā pieprasītā finansējuma. No tiem liekākais neatbilstību apjoms konstatēts aktivitātē 2.1.2.4. ”Augstas pievienotās vērtības investīcijas”. </w:t>
      </w:r>
    </w:p>
    <w:p w:rsidR="00640AAE" w:rsidRPr="00B557E8" w:rsidRDefault="00640AA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Pārskata periodā </w:t>
      </w:r>
      <w:r w:rsidR="00C20F7B" w:rsidRPr="00B557E8">
        <w:rPr>
          <w:rFonts w:eastAsia="EUAlbertina-Bold-Identity-H"/>
          <w:color w:val="000000" w:themeColor="text1"/>
          <w:szCs w:val="24"/>
          <w:lang w:eastAsia="lv-LV"/>
        </w:rPr>
        <w:t xml:space="preserve">praktiski visu </w:t>
      </w:r>
      <w:r w:rsidRPr="00B557E8">
        <w:rPr>
          <w:rFonts w:eastAsia="EUAlbertina-Bold-Identity-H"/>
          <w:color w:val="000000" w:themeColor="text1"/>
          <w:szCs w:val="24"/>
          <w:lang w:eastAsia="lv-LV"/>
        </w:rPr>
        <w:t xml:space="preserve">neatbilstību summu veido neatbilstības, </w:t>
      </w:r>
      <w:r w:rsidR="00C20F7B" w:rsidRPr="00B557E8">
        <w:rPr>
          <w:rFonts w:eastAsia="EUAlbertina-Bold-Identity-H"/>
          <w:color w:val="000000" w:themeColor="text1"/>
          <w:szCs w:val="24"/>
          <w:lang w:eastAsia="lv-LV"/>
        </w:rPr>
        <w:t xml:space="preserve">kas </w:t>
      </w:r>
      <w:r w:rsidRPr="00B557E8">
        <w:rPr>
          <w:rFonts w:eastAsia="EUAlbertina-Bold-Identity-H"/>
          <w:color w:val="000000" w:themeColor="text1"/>
          <w:szCs w:val="24"/>
          <w:lang w:eastAsia="lv-LV"/>
        </w:rPr>
        <w:t xml:space="preserve">klasificētas kā „Citas neatbilstības” </w:t>
      </w:r>
      <w:r w:rsidR="00C20F7B" w:rsidRPr="00B557E8">
        <w:rPr>
          <w:rFonts w:eastAsia="EUAlbertina-Bold-Identity-H"/>
          <w:color w:val="000000" w:themeColor="text1"/>
          <w:szCs w:val="24"/>
          <w:lang w:eastAsia="lv-LV"/>
        </w:rPr>
        <w:t>par kopējo summu</w:t>
      </w:r>
      <w:r w:rsidRPr="00B557E8">
        <w:rPr>
          <w:rFonts w:eastAsia="EUAlbertina-Bold-Identity-H"/>
          <w:color w:val="000000" w:themeColor="text1"/>
          <w:szCs w:val="24"/>
          <w:lang w:eastAsia="lv-LV"/>
        </w:rPr>
        <w:t xml:space="preserve"> 2,5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xml:space="preserve">. latu, jeb </w:t>
      </w:r>
      <w:r w:rsidR="00C20F7B" w:rsidRPr="00B557E8">
        <w:rPr>
          <w:rFonts w:eastAsia="EUAlbertina-Bold-Identity-H"/>
          <w:color w:val="000000" w:themeColor="text1"/>
          <w:szCs w:val="24"/>
          <w:lang w:eastAsia="lv-LV"/>
        </w:rPr>
        <w:t>99,3</w:t>
      </w:r>
      <w:r w:rsidRPr="00B557E8">
        <w:rPr>
          <w:rFonts w:eastAsia="EUAlbertina-Bold-Identity-H"/>
          <w:color w:val="000000" w:themeColor="text1"/>
          <w:szCs w:val="24"/>
          <w:lang w:eastAsia="lv-LV"/>
        </w:rPr>
        <w:t>%. Neatbilstības, kas klasificētas, kā „Iepirkumu vai konkurences normu pārkāpums” ir 18,</w:t>
      </w:r>
      <w:r w:rsidR="00B96482" w:rsidRPr="00B557E8">
        <w:rPr>
          <w:rFonts w:eastAsia="EUAlbertina-Bold-Identity-H"/>
          <w:color w:val="000000" w:themeColor="text1"/>
          <w:szCs w:val="24"/>
          <w:lang w:eastAsia="lv-LV"/>
        </w:rPr>
        <w:t>9</w:t>
      </w:r>
      <w:r w:rsidRPr="00B557E8">
        <w:rPr>
          <w:rFonts w:eastAsia="EUAlbertina-Bold-Identity-H"/>
          <w:color w:val="000000" w:themeColor="text1"/>
          <w:szCs w:val="24"/>
          <w:lang w:eastAsia="lv-LV"/>
        </w:rPr>
        <w:t xml:space="preserve">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xml:space="preserve">. latu, jeb </w:t>
      </w:r>
      <w:r w:rsidR="00C20F7B" w:rsidRPr="00B557E8">
        <w:rPr>
          <w:rFonts w:eastAsia="EUAlbertina-Bold-Identity-H"/>
          <w:color w:val="000000" w:themeColor="text1"/>
          <w:szCs w:val="24"/>
          <w:lang w:eastAsia="lv-LV"/>
        </w:rPr>
        <w:t>0,007</w:t>
      </w:r>
      <w:r w:rsidRPr="00B557E8">
        <w:rPr>
          <w:rFonts w:eastAsia="EUAlbertina-Bold-Identity-H"/>
          <w:color w:val="000000" w:themeColor="text1"/>
          <w:szCs w:val="24"/>
          <w:lang w:eastAsia="lv-LV"/>
        </w:rPr>
        <w:t xml:space="preserve"> % no darbības programmā pārskata periodā konstatētajām neatbilstībām. </w:t>
      </w:r>
    </w:p>
    <w:p w:rsidR="00640AAE" w:rsidRPr="00B557E8" w:rsidRDefault="00640AA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Šādās aktivitātēs un </w:t>
      </w:r>
      <w:proofErr w:type="spellStart"/>
      <w:r w:rsidRPr="00B557E8">
        <w:rPr>
          <w:rFonts w:eastAsia="EUAlbertina-Bold-Identity-H"/>
          <w:color w:val="000000" w:themeColor="text1"/>
          <w:szCs w:val="24"/>
          <w:lang w:eastAsia="lv-LV"/>
        </w:rPr>
        <w:t>apakšaktivitātēs</w:t>
      </w:r>
      <w:proofErr w:type="spellEnd"/>
      <w:r w:rsidRPr="00B557E8">
        <w:rPr>
          <w:rFonts w:eastAsia="EUAlbertina-Bold-Identity-H"/>
          <w:color w:val="000000" w:themeColor="text1"/>
          <w:szCs w:val="24"/>
          <w:lang w:eastAsia="lv-LV"/>
        </w:rPr>
        <w:t xml:space="preserve"> konstatētās neatbilstības pret tajās pieprasīt</w:t>
      </w:r>
      <w:r w:rsidR="00C20F7B" w:rsidRPr="00B557E8">
        <w:rPr>
          <w:rFonts w:eastAsia="EUAlbertina-Bold-Identity-H"/>
          <w:color w:val="000000" w:themeColor="text1"/>
          <w:szCs w:val="24"/>
          <w:lang w:eastAsia="lv-LV"/>
        </w:rPr>
        <w:t>o</w:t>
      </w:r>
      <w:r w:rsidRPr="00B557E8">
        <w:rPr>
          <w:rFonts w:eastAsia="EUAlbertina-Bold-Identity-H"/>
          <w:color w:val="000000" w:themeColor="text1"/>
          <w:szCs w:val="24"/>
          <w:lang w:eastAsia="lv-LV"/>
        </w:rPr>
        <w:t xml:space="preserve"> finansējum</w:t>
      </w:r>
      <w:r w:rsidR="00C20F7B" w:rsidRPr="00B557E8">
        <w:rPr>
          <w:rFonts w:eastAsia="EUAlbertina-Bold-Identity-H"/>
          <w:color w:val="000000" w:themeColor="text1"/>
          <w:szCs w:val="24"/>
          <w:lang w:eastAsia="lv-LV"/>
        </w:rPr>
        <w:t>u</w:t>
      </w:r>
      <w:r w:rsidRPr="00B557E8">
        <w:rPr>
          <w:rFonts w:eastAsia="EUAlbertina-Bold-Identity-H"/>
          <w:color w:val="000000" w:themeColor="text1"/>
          <w:szCs w:val="24"/>
          <w:lang w:eastAsia="lv-LV"/>
        </w:rPr>
        <w:t xml:space="preserve"> pārsniedz 2% uz 2011.gada 30.septembri:</w:t>
      </w:r>
    </w:p>
    <w:p w:rsidR="00640AAE" w:rsidRPr="00B557E8" w:rsidRDefault="00640AAE" w:rsidP="00B557E8">
      <w:pPr>
        <w:numPr>
          <w:ilvl w:val="0"/>
          <w:numId w:val="86"/>
        </w:num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2.1.1.2. „</w:t>
      </w:r>
      <w:r w:rsidRPr="00B557E8">
        <w:rPr>
          <w:rFonts w:eastAsia="EUAlbertina-Bold-Identity-H"/>
          <w:bCs/>
          <w:color w:val="000000" w:themeColor="text1"/>
          <w:szCs w:val="24"/>
          <w:lang w:eastAsia="lv-LV"/>
        </w:rPr>
        <w:t>Atbalsts starptautiskās sadarbības projektiem zinātnē un tehnoloģijās</w:t>
      </w:r>
      <w:r w:rsidR="009F7824" w:rsidRPr="00B557E8">
        <w:rPr>
          <w:rFonts w:eastAsia="EUAlbertina-Bold-Identity-H"/>
          <w:bCs/>
          <w:color w:val="000000" w:themeColor="text1"/>
          <w:szCs w:val="24"/>
          <w:lang w:eastAsia="lv-LV"/>
        </w:rPr>
        <w:t xml:space="preserve"> (EUREKA,7.Ietvara programma un citi)</w:t>
      </w:r>
      <w:r w:rsidRPr="00B557E8">
        <w:rPr>
          <w:rFonts w:eastAsia="EUAlbertina-Bold-Identity-H"/>
          <w:color w:val="000000" w:themeColor="text1"/>
          <w:szCs w:val="24"/>
          <w:lang w:eastAsia="lv-LV"/>
        </w:rPr>
        <w:t>” – 2,0%;</w:t>
      </w:r>
    </w:p>
    <w:p w:rsidR="00640AAE" w:rsidRPr="00B557E8" w:rsidRDefault="00640AAE" w:rsidP="00B557E8">
      <w:pPr>
        <w:numPr>
          <w:ilvl w:val="0"/>
          <w:numId w:val="86"/>
        </w:num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2.1.2.2.2. „</w:t>
      </w:r>
      <w:r w:rsidRPr="00B557E8">
        <w:rPr>
          <w:rFonts w:eastAsia="EUAlbertina-Bold-Identity-H"/>
          <w:bCs/>
          <w:color w:val="000000" w:themeColor="text1"/>
          <w:szCs w:val="24"/>
          <w:lang w:eastAsia="lv-LV"/>
        </w:rPr>
        <w:t>Jaunu produktu un tehnoloģiju izstrāde – atbalsts jaunu produktu un tehnoloģiju ieviešanai ražošanā</w:t>
      </w:r>
      <w:r w:rsidRPr="00B557E8">
        <w:rPr>
          <w:rFonts w:eastAsia="EUAlbertina-Bold-Identity-H"/>
          <w:color w:val="000000" w:themeColor="text1"/>
          <w:szCs w:val="24"/>
          <w:lang w:eastAsia="lv-LV"/>
        </w:rPr>
        <w:t>” – 8,</w:t>
      </w:r>
      <w:r w:rsidR="00B96482" w:rsidRPr="00B557E8">
        <w:rPr>
          <w:rFonts w:eastAsia="EUAlbertina-Bold-Identity-H"/>
          <w:color w:val="000000" w:themeColor="text1"/>
          <w:szCs w:val="24"/>
          <w:lang w:eastAsia="lv-LV"/>
        </w:rPr>
        <w:t>6</w:t>
      </w:r>
      <w:r w:rsidRPr="00B557E8">
        <w:rPr>
          <w:rFonts w:eastAsia="EUAlbertina-Bold-Identity-H"/>
          <w:color w:val="000000" w:themeColor="text1"/>
          <w:szCs w:val="24"/>
          <w:lang w:eastAsia="lv-LV"/>
        </w:rPr>
        <w:t>%;</w:t>
      </w:r>
    </w:p>
    <w:p w:rsidR="00640AAE" w:rsidRPr="003B2E97" w:rsidRDefault="00640AAE" w:rsidP="00B557E8">
      <w:pPr>
        <w:numPr>
          <w:ilvl w:val="0"/>
          <w:numId w:val="86"/>
        </w:numPr>
        <w:spacing w:before="120" w:after="120" w:line="276" w:lineRule="auto"/>
        <w:rPr>
          <w:rFonts w:eastAsia="EUAlbertina-Bold-Identity-H"/>
          <w:color w:val="000000" w:themeColor="text1"/>
          <w:szCs w:val="24"/>
          <w:lang w:eastAsia="lv-LV"/>
        </w:rPr>
      </w:pPr>
      <w:r w:rsidRPr="003B2E97">
        <w:rPr>
          <w:rFonts w:eastAsia="EUAlbertina-Bold-Identity-H"/>
          <w:color w:val="000000" w:themeColor="text1"/>
          <w:szCs w:val="24"/>
          <w:lang w:eastAsia="lv-LV"/>
        </w:rPr>
        <w:t>2.1.2.4. „</w:t>
      </w:r>
      <w:r w:rsidRPr="003B2E97">
        <w:rPr>
          <w:rFonts w:eastAsia="EUAlbertina-Bold-Identity-H"/>
          <w:bCs/>
          <w:color w:val="000000" w:themeColor="text1"/>
          <w:szCs w:val="24"/>
          <w:lang w:eastAsia="lv-LV"/>
        </w:rPr>
        <w:t>Augstas pievienotās vērtības investīcijas</w:t>
      </w:r>
      <w:r w:rsidRPr="003B2E97">
        <w:rPr>
          <w:rFonts w:eastAsia="EUAlbertina-Bold-Identity-H"/>
          <w:color w:val="000000" w:themeColor="text1"/>
          <w:szCs w:val="24"/>
          <w:lang w:eastAsia="lv-LV"/>
        </w:rPr>
        <w:t xml:space="preserve">” – </w:t>
      </w:r>
      <w:r w:rsidR="00E24408" w:rsidRPr="003B2E97">
        <w:rPr>
          <w:rFonts w:eastAsia="EUAlbertina-Bold-Identity-H"/>
          <w:color w:val="000000" w:themeColor="text1"/>
          <w:szCs w:val="24"/>
          <w:lang w:eastAsia="lv-LV"/>
        </w:rPr>
        <w:t>8,1</w:t>
      </w:r>
      <w:r w:rsidRPr="003B2E97">
        <w:rPr>
          <w:rFonts w:eastAsia="EUAlbertina-Bold-Identity-H"/>
          <w:color w:val="000000" w:themeColor="text1"/>
          <w:szCs w:val="24"/>
          <w:lang w:eastAsia="lv-LV"/>
        </w:rPr>
        <w:t>%;</w:t>
      </w:r>
    </w:p>
    <w:p w:rsidR="00640AAE" w:rsidRPr="00B557E8" w:rsidRDefault="00640AAE" w:rsidP="00B557E8">
      <w:pPr>
        <w:numPr>
          <w:ilvl w:val="0"/>
          <w:numId w:val="86"/>
        </w:num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lastRenderedPageBreak/>
        <w:t>2.3.1.1.1. „</w:t>
      </w:r>
      <w:r w:rsidRPr="00B557E8">
        <w:rPr>
          <w:rFonts w:eastAsia="EUAlbertina-Bold-Identity-H"/>
          <w:bCs/>
          <w:color w:val="000000" w:themeColor="text1"/>
          <w:szCs w:val="24"/>
          <w:lang w:eastAsia="lv-LV"/>
        </w:rPr>
        <w:t>Ārējo tirgu apgūšana – ārējais mārketings</w:t>
      </w:r>
      <w:r w:rsidRPr="00B557E8">
        <w:rPr>
          <w:rFonts w:eastAsia="EUAlbertina-Bold-Identity-H"/>
          <w:color w:val="000000" w:themeColor="text1"/>
          <w:szCs w:val="24"/>
          <w:lang w:eastAsia="lv-LV"/>
        </w:rPr>
        <w:t>” – 2,0%</w:t>
      </w:r>
    </w:p>
    <w:p w:rsidR="00640AAE" w:rsidRPr="00B557E8" w:rsidRDefault="00640AAE" w:rsidP="00B557E8">
      <w:pPr>
        <w:numPr>
          <w:ilvl w:val="0"/>
          <w:numId w:val="86"/>
        </w:num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2.3.2.2. „</w:t>
      </w:r>
      <w:r w:rsidRPr="00B557E8">
        <w:rPr>
          <w:rFonts w:eastAsia="EUAlbertina-Bold-Identity-H"/>
          <w:bCs/>
          <w:color w:val="000000" w:themeColor="text1"/>
          <w:szCs w:val="24"/>
          <w:lang w:eastAsia="lv-LV"/>
        </w:rPr>
        <w:t xml:space="preserve">Atbalsts ieguldījumiem </w:t>
      </w:r>
      <w:proofErr w:type="spellStart"/>
      <w:r w:rsidRPr="00B557E8">
        <w:rPr>
          <w:rFonts w:eastAsia="EUAlbertina-Bold-Identity-H"/>
          <w:bCs/>
          <w:color w:val="000000" w:themeColor="text1"/>
          <w:szCs w:val="24"/>
          <w:lang w:eastAsia="lv-LV"/>
        </w:rPr>
        <w:t>mikro</w:t>
      </w:r>
      <w:proofErr w:type="spellEnd"/>
      <w:r w:rsidRPr="00B557E8">
        <w:rPr>
          <w:rFonts w:eastAsia="EUAlbertina-Bold-Identity-H"/>
          <w:bCs/>
          <w:color w:val="000000" w:themeColor="text1"/>
          <w:szCs w:val="24"/>
          <w:lang w:eastAsia="lv-LV"/>
        </w:rPr>
        <w:t>, maziem un vidējiem komersantiem īpaši atbalstāmajās teritorijās (ĪAT)</w:t>
      </w:r>
      <w:r w:rsidRPr="00B557E8">
        <w:rPr>
          <w:rFonts w:eastAsia="EUAlbertina-Bold-Identity-H"/>
          <w:color w:val="000000" w:themeColor="text1"/>
          <w:szCs w:val="24"/>
          <w:lang w:eastAsia="lv-LV"/>
        </w:rPr>
        <w:t xml:space="preserve">” - 4,9%. </w:t>
      </w:r>
    </w:p>
    <w:p w:rsidR="00434BE9" w:rsidRPr="00B557E8" w:rsidRDefault="00C13D44" w:rsidP="00B557E8">
      <w:pPr>
        <w:spacing w:before="120" w:after="120" w:line="276" w:lineRule="auto"/>
        <w:rPr>
          <w:rFonts w:eastAsia="EUAlbertina-Bold-Identity-H"/>
          <w:b/>
          <w:color w:val="000000" w:themeColor="text1"/>
          <w:szCs w:val="24"/>
          <w:lang w:eastAsia="lv-LV"/>
        </w:rPr>
      </w:pPr>
      <w:r w:rsidRPr="00B557E8">
        <w:rPr>
          <w:rFonts w:eastAsia="EUAlbertina-Bold-Identity-H"/>
          <w:b/>
          <w:color w:val="000000" w:themeColor="text1"/>
          <w:szCs w:val="24"/>
          <w:lang w:eastAsia="lv-LV"/>
        </w:rPr>
        <w:t xml:space="preserve">4.1.3. </w:t>
      </w:r>
      <w:r w:rsidR="00434BE9" w:rsidRPr="00B557E8">
        <w:rPr>
          <w:rFonts w:eastAsia="EUAlbertina-Bold-Identity-H"/>
          <w:b/>
          <w:color w:val="000000" w:themeColor="text1"/>
          <w:szCs w:val="24"/>
          <w:lang w:eastAsia="lv-LV"/>
        </w:rPr>
        <w:t>Darbības programma „Infrastruktūra un pakalpojumi”</w:t>
      </w:r>
    </w:p>
    <w:p w:rsidR="00640AAE" w:rsidRPr="00B557E8" w:rsidRDefault="00640AA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Kopumā no plānošanas perioda sākuma līdz 2011.gada 30.septembrim konstatēto neatbilstību apjoms ir 5,2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xml:space="preserve">. latu (1,2% no kopējā pieprasītā finansējuma). </w:t>
      </w:r>
    </w:p>
    <w:p w:rsidR="00640AAE" w:rsidRPr="00B557E8" w:rsidRDefault="00640AA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Pārskata periodā darbības programmas ietvaros valsts pārvaldes iestāžu un pašvaldību īstenotajos projektos konstatētas neatbilstības par kopējo summu 0,</w:t>
      </w:r>
      <w:r w:rsidR="00B96482" w:rsidRPr="00B557E8">
        <w:rPr>
          <w:rFonts w:eastAsia="EUAlbertina-Bold-Identity-H"/>
          <w:color w:val="000000" w:themeColor="text1"/>
          <w:szCs w:val="24"/>
          <w:lang w:eastAsia="lv-LV"/>
        </w:rPr>
        <w:t>4</w:t>
      </w:r>
      <w:r w:rsidRPr="00B557E8">
        <w:rPr>
          <w:rFonts w:eastAsia="EUAlbertina-Bold-Identity-H"/>
          <w:color w:val="000000" w:themeColor="text1"/>
          <w:szCs w:val="24"/>
          <w:lang w:eastAsia="lv-LV"/>
        </w:rPr>
        <w:t xml:space="preserve">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latu jeb 89,</w:t>
      </w:r>
      <w:r w:rsidR="00B96482" w:rsidRPr="00B557E8">
        <w:rPr>
          <w:rFonts w:eastAsia="EUAlbertina-Bold-Identity-H"/>
          <w:color w:val="000000" w:themeColor="text1"/>
          <w:szCs w:val="24"/>
          <w:lang w:eastAsia="lv-LV"/>
        </w:rPr>
        <w:t>2</w:t>
      </w:r>
      <w:r w:rsidRPr="00B557E8">
        <w:rPr>
          <w:rFonts w:eastAsia="EUAlbertina-Bold-Identity-H"/>
          <w:color w:val="000000" w:themeColor="text1"/>
          <w:szCs w:val="24"/>
          <w:lang w:eastAsia="lv-LV"/>
        </w:rPr>
        <w:t>% (ERAF un KF) no pārskata periodā darbības programmā konstatētajām neatbilstībām.</w:t>
      </w:r>
    </w:p>
    <w:p w:rsidR="00640AAE" w:rsidRPr="00B557E8" w:rsidRDefault="00640AA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Pārskata periodā konstatētas neatbilstības par kopējo summu 0,4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latu (0,1% no pārskata periodā darbības programmā pieprasītā finansējuma). No tā vislielākā neatbilstību daļa 0,</w:t>
      </w:r>
      <w:r w:rsidR="00B96482" w:rsidRPr="00B557E8">
        <w:rPr>
          <w:rFonts w:eastAsia="EUAlbertina-Bold-Identity-H"/>
          <w:color w:val="000000" w:themeColor="text1"/>
          <w:szCs w:val="24"/>
          <w:lang w:eastAsia="lv-LV"/>
        </w:rPr>
        <w:t>4</w:t>
      </w:r>
      <w:r w:rsidRPr="00B557E8">
        <w:rPr>
          <w:rFonts w:eastAsia="EUAlbertina-Bold-Identity-H"/>
          <w:color w:val="000000" w:themeColor="text1"/>
          <w:szCs w:val="24"/>
          <w:lang w:eastAsia="lv-LV"/>
        </w:rPr>
        <w:t xml:space="preserve">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xml:space="preserve">. latu apmērā konstatēta VARAM </w:t>
      </w:r>
      <w:proofErr w:type="spellStart"/>
      <w:r w:rsidRPr="00B557E8">
        <w:rPr>
          <w:rFonts w:eastAsia="EUAlbertina-Bold-Identity-H"/>
          <w:color w:val="000000" w:themeColor="text1"/>
          <w:szCs w:val="24"/>
          <w:lang w:eastAsia="lv-LV"/>
        </w:rPr>
        <w:t>pārziņā</w:t>
      </w:r>
      <w:proofErr w:type="spellEnd"/>
      <w:r w:rsidRPr="00B557E8">
        <w:rPr>
          <w:rFonts w:eastAsia="EUAlbertina-Bold-Identity-H"/>
          <w:color w:val="000000" w:themeColor="text1"/>
          <w:szCs w:val="24"/>
          <w:lang w:eastAsia="lv-LV"/>
        </w:rPr>
        <w:t xml:space="preserve"> esošajās aktivitātēs. </w:t>
      </w:r>
    </w:p>
    <w:p w:rsidR="00640AAE" w:rsidRPr="00B557E8" w:rsidRDefault="00640AA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Pārskata periodā lielāko neatbilstību summu veido neatbilstības, kas klasificētas, kā „Iepirkuma vai konkurences normu pārkāpums” un to summa ir 0,</w:t>
      </w:r>
      <w:r w:rsidR="00B96482" w:rsidRPr="00B557E8">
        <w:rPr>
          <w:rFonts w:eastAsia="EUAlbertina-Bold-Identity-H"/>
          <w:color w:val="000000" w:themeColor="text1"/>
          <w:szCs w:val="24"/>
          <w:lang w:eastAsia="lv-LV"/>
        </w:rPr>
        <w:t>3</w:t>
      </w:r>
      <w:r w:rsidRPr="00B557E8">
        <w:rPr>
          <w:rFonts w:eastAsia="EUAlbertina-Bold-Identity-H"/>
          <w:color w:val="000000" w:themeColor="text1"/>
          <w:szCs w:val="24"/>
          <w:lang w:eastAsia="lv-LV"/>
        </w:rPr>
        <w:t xml:space="preserve">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latu jeb 63,9% no pārskata periodā darbības programmā konstatētajām neatbilstībām. Neatbilstības, kas klasificētas, kā „Cita neatbilstība” veido 0,</w:t>
      </w:r>
      <w:r w:rsidR="00B96482" w:rsidRPr="00B557E8">
        <w:rPr>
          <w:rFonts w:eastAsia="EUAlbertina-Bold-Identity-H"/>
          <w:color w:val="000000" w:themeColor="text1"/>
          <w:szCs w:val="24"/>
          <w:lang w:eastAsia="lv-LV"/>
        </w:rPr>
        <w:t>2</w:t>
      </w:r>
      <w:r w:rsidRPr="00B557E8">
        <w:rPr>
          <w:rFonts w:eastAsia="EUAlbertina-Bold-Identity-H"/>
          <w:color w:val="000000" w:themeColor="text1"/>
          <w:szCs w:val="24"/>
          <w:lang w:eastAsia="lv-LV"/>
        </w:rPr>
        <w:t xml:space="preserve">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xml:space="preserve">. latu jeb 36% no pārskata periodā darbības programmā konstatētajām neatbilstībām. </w:t>
      </w:r>
    </w:p>
    <w:p w:rsidR="00640AAE" w:rsidRPr="00B557E8" w:rsidRDefault="00640AA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Pārskata periodā lielākā neatbilstību summa konstatēta „pašvaldību” īstenotajos projektos un tā ir 0,</w:t>
      </w:r>
      <w:r w:rsidR="00B96482" w:rsidRPr="00B557E8">
        <w:rPr>
          <w:rFonts w:eastAsia="EUAlbertina-Bold-Identity-H"/>
          <w:color w:val="000000" w:themeColor="text1"/>
          <w:szCs w:val="24"/>
          <w:lang w:eastAsia="lv-LV"/>
        </w:rPr>
        <w:t>2</w:t>
      </w:r>
      <w:r w:rsidRPr="00B557E8">
        <w:rPr>
          <w:rFonts w:eastAsia="EUAlbertina-Bold-Identity-H"/>
          <w:color w:val="000000" w:themeColor="text1"/>
          <w:szCs w:val="24"/>
          <w:lang w:eastAsia="lv-LV"/>
        </w:rPr>
        <w:t xml:space="preserve">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latu jeb 0,</w:t>
      </w:r>
      <w:r w:rsidR="00B96482" w:rsidRPr="00B557E8">
        <w:rPr>
          <w:rFonts w:eastAsia="EUAlbertina-Bold-Identity-H"/>
          <w:color w:val="000000" w:themeColor="text1"/>
          <w:szCs w:val="24"/>
          <w:lang w:eastAsia="lv-LV"/>
        </w:rPr>
        <w:t>2</w:t>
      </w:r>
      <w:r w:rsidRPr="00B557E8">
        <w:rPr>
          <w:rFonts w:eastAsia="EUAlbertina-Bold-Identity-H"/>
          <w:color w:val="000000" w:themeColor="text1"/>
          <w:szCs w:val="24"/>
          <w:lang w:eastAsia="lv-LV"/>
        </w:rPr>
        <w:t xml:space="preserve"> % no pieprasītā finansējuma uz 2011.gada 30.septembri.</w:t>
      </w:r>
    </w:p>
    <w:p w:rsidR="00640AAE" w:rsidRPr="00B557E8" w:rsidRDefault="00640AA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Šādās aktivitātēs un </w:t>
      </w:r>
      <w:proofErr w:type="spellStart"/>
      <w:r w:rsidRPr="00B557E8">
        <w:rPr>
          <w:rFonts w:eastAsia="EUAlbertina-Bold-Identity-H"/>
          <w:color w:val="000000" w:themeColor="text1"/>
          <w:szCs w:val="24"/>
          <w:lang w:eastAsia="lv-LV"/>
        </w:rPr>
        <w:t>apakšaktivitātēs</w:t>
      </w:r>
      <w:proofErr w:type="spellEnd"/>
      <w:r w:rsidRPr="00B557E8">
        <w:rPr>
          <w:rFonts w:eastAsia="EUAlbertina-Bold-Identity-H"/>
          <w:color w:val="000000" w:themeColor="text1"/>
          <w:szCs w:val="24"/>
          <w:lang w:eastAsia="lv-LV"/>
        </w:rPr>
        <w:t xml:space="preserve"> konstatētās neatbilstības pret tajās pieprasītā finansējuma pārsniedz 2% uz 2011.gada 30.septembri:</w:t>
      </w:r>
    </w:p>
    <w:p w:rsidR="00640AAE" w:rsidRPr="00B557E8" w:rsidRDefault="00640AAE" w:rsidP="00B557E8">
      <w:pPr>
        <w:numPr>
          <w:ilvl w:val="0"/>
          <w:numId w:val="86"/>
        </w:num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3.1.1.1. „Mācību aprīkojuma modernizācija un infrastruktūras uzlabošana profesionālās izglītības programmu īstenošanai” – </w:t>
      </w:r>
      <w:r w:rsidR="00B96482" w:rsidRPr="00B557E8">
        <w:rPr>
          <w:rFonts w:eastAsia="EUAlbertina-Bold-Identity-H"/>
          <w:color w:val="000000" w:themeColor="text1"/>
          <w:szCs w:val="24"/>
          <w:lang w:eastAsia="lv-LV"/>
        </w:rPr>
        <w:t>22,0</w:t>
      </w:r>
      <w:r w:rsidRPr="00B557E8">
        <w:rPr>
          <w:rFonts w:eastAsia="EUAlbertina-Bold-Identity-H"/>
          <w:color w:val="000000" w:themeColor="text1"/>
          <w:szCs w:val="24"/>
          <w:lang w:eastAsia="lv-LV"/>
        </w:rPr>
        <w:t>%;</w:t>
      </w:r>
    </w:p>
    <w:p w:rsidR="00640AAE" w:rsidRPr="00B557E8" w:rsidRDefault="00640AAE" w:rsidP="00B557E8">
      <w:pPr>
        <w:numPr>
          <w:ilvl w:val="0"/>
          <w:numId w:val="86"/>
        </w:num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3.1.3.3.2. „Vispārējās izglītības iestāžu infrastruktūras uzlabošana izglītojamajie</w:t>
      </w:r>
      <w:r w:rsidR="00C9221F" w:rsidRPr="00B557E8">
        <w:rPr>
          <w:rFonts w:eastAsia="EUAlbertina-Bold-Identity-H"/>
          <w:color w:val="000000" w:themeColor="text1"/>
          <w:szCs w:val="24"/>
          <w:lang w:eastAsia="lv-LV"/>
        </w:rPr>
        <w:t>m ar funkcionāliem traucējumiem</w:t>
      </w:r>
      <w:r w:rsidRPr="00B557E8">
        <w:rPr>
          <w:rFonts w:eastAsia="EUAlbertina-Bold-Identity-H"/>
          <w:color w:val="000000" w:themeColor="text1"/>
          <w:szCs w:val="24"/>
          <w:lang w:eastAsia="lv-LV"/>
        </w:rPr>
        <w:t>” – 3,8%;</w:t>
      </w:r>
    </w:p>
    <w:p w:rsidR="00640AAE" w:rsidRPr="00B557E8" w:rsidRDefault="00640AAE" w:rsidP="00B557E8">
      <w:pPr>
        <w:numPr>
          <w:ilvl w:val="0"/>
          <w:numId w:val="86"/>
        </w:num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3.1.4.4. „Atbalsts alternatīvās aprūpes pakalpojumu pieejamības attīstībai” – 2,</w:t>
      </w:r>
      <w:r w:rsidR="00B96482" w:rsidRPr="00B557E8">
        <w:rPr>
          <w:rFonts w:eastAsia="EUAlbertina-Bold-Identity-H"/>
          <w:color w:val="000000" w:themeColor="text1"/>
          <w:szCs w:val="24"/>
          <w:lang w:eastAsia="lv-LV"/>
        </w:rPr>
        <w:t>1</w:t>
      </w:r>
      <w:r w:rsidRPr="00B557E8">
        <w:rPr>
          <w:rFonts w:eastAsia="EUAlbertina-Bold-Identity-H"/>
          <w:color w:val="000000" w:themeColor="text1"/>
          <w:szCs w:val="24"/>
          <w:lang w:eastAsia="lv-LV"/>
        </w:rPr>
        <w:t>%;</w:t>
      </w:r>
    </w:p>
    <w:p w:rsidR="00640AAE" w:rsidRPr="00B557E8" w:rsidRDefault="00640AAE" w:rsidP="00B557E8">
      <w:pPr>
        <w:numPr>
          <w:ilvl w:val="0"/>
          <w:numId w:val="86"/>
        </w:num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3.4.1.1. „Ūdenssaimniecības infrastruktūras attīstība apdzīvotās vietās ar iedzīvotāju skaitu līdz 2000” – 2,</w:t>
      </w:r>
      <w:r w:rsidR="00B96482" w:rsidRPr="00B557E8">
        <w:rPr>
          <w:rFonts w:eastAsia="EUAlbertina-Bold-Identity-H"/>
          <w:color w:val="000000" w:themeColor="text1"/>
          <w:szCs w:val="24"/>
          <w:lang w:eastAsia="lv-LV"/>
        </w:rPr>
        <w:t>2</w:t>
      </w:r>
      <w:r w:rsidRPr="00B557E8">
        <w:rPr>
          <w:rFonts w:eastAsia="EUAlbertina-Bold-Identity-H"/>
          <w:color w:val="000000" w:themeColor="text1"/>
          <w:szCs w:val="24"/>
          <w:lang w:eastAsia="lv-LV"/>
        </w:rPr>
        <w:t>%;</w:t>
      </w:r>
    </w:p>
    <w:p w:rsidR="00640AAE" w:rsidRPr="00B557E8" w:rsidRDefault="00640AAE" w:rsidP="00B557E8">
      <w:pPr>
        <w:numPr>
          <w:ilvl w:val="0"/>
          <w:numId w:val="86"/>
        </w:num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3.4.2.1.1. „Valsts nozīmes pilsētbūvniecības pieminekļu saglabāšana, atjaunošana un infrastruktūras pielāgošana tūrisma produktu attīstībai” – 6,</w:t>
      </w:r>
      <w:r w:rsidR="00B96482" w:rsidRPr="00B557E8">
        <w:rPr>
          <w:rFonts w:eastAsia="EUAlbertina-Bold-Identity-H"/>
          <w:color w:val="000000" w:themeColor="text1"/>
          <w:szCs w:val="24"/>
          <w:lang w:eastAsia="lv-LV"/>
        </w:rPr>
        <w:t>2</w:t>
      </w:r>
      <w:r w:rsidRPr="00B557E8">
        <w:rPr>
          <w:rFonts w:eastAsia="EUAlbertina-Bold-Identity-H"/>
          <w:color w:val="000000" w:themeColor="text1"/>
          <w:szCs w:val="24"/>
          <w:lang w:eastAsia="lv-LV"/>
        </w:rPr>
        <w:t>%;</w:t>
      </w:r>
    </w:p>
    <w:p w:rsidR="00640AAE" w:rsidRPr="00B557E8" w:rsidRDefault="00640AAE" w:rsidP="00B557E8">
      <w:pPr>
        <w:numPr>
          <w:ilvl w:val="0"/>
          <w:numId w:val="86"/>
        </w:num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3.4.2.1.2. „Nacionālās nozīmes </w:t>
      </w:r>
      <w:proofErr w:type="spellStart"/>
      <w:r w:rsidRPr="00B557E8">
        <w:rPr>
          <w:rFonts w:eastAsia="EUAlbertina-Bold-Identity-H"/>
          <w:color w:val="000000" w:themeColor="text1"/>
          <w:szCs w:val="24"/>
          <w:lang w:eastAsia="lv-LV"/>
        </w:rPr>
        <w:t>velotūrisma</w:t>
      </w:r>
      <w:proofErr w:type="spellEnd"/>
      <w:r w:rsidRPr="00B557E8">
        <w:rPr>
          <w:rFonts w:eastAsia="EUAlbertina-Bold-Identity-H"/>
          <w:color w:val="000000" w:themeColor="text1"/>
          <w:szCs w:val="24"/>
          <w:lang w:eastAsia="lv-LV"/>
        </w:rPr>
        <w:t xml:space="preserve"> produkta attīstība” – 2,</w:t>
      </w:r>
      <w:r w:rsidR="00B96482" w:rsidRPr="00B557E8">
        <w:rPr>
          <w:rFonts w:eastAsia="EUAlbertina-Bold-Identity-H"/>
          <w:color w:val="000000" w:themeColor="text1"/>
          <w:szCs w:val="24"/>
          <w:lang w:eastAsia="lv-LV"/>
        </w:rPr>
        <w:t>9</w:t>
      </w:r>
      <w:r w:rsidRPr="00B557E8">
        <w:rPr>
          <w:rFonts w:eastAsia="EUAlbertina-Bold-Identity-H"/>
          <w:color w:val="000000" w:themeColor="text1"/>
          <w:szCs w:val="24"/>
          <w:lang w:eastAsia="lv-LV"/>
        </w:rPr>
        <w:t>%.</w:t>
      </w:r>
    </w:p>
    <w:p w:rsidR="00C97F4E" w:rsidRPr="00B557E8" w:rsidRDefault="00C97F4E" w:rsidP="00B557E8">
      <w:pPr>
        <w:pStyle w:val="2lmenis"/>
        <w:numPr>
          <w:ilvl w:val="1"/>
          <w:numId w:val="2"/>
        </w:numPr>
        <w:spacing w:before="120" w:after="120" w:line="276" w:lineRule="auto"/>
        <w:ind w:left="1276" w:hanging="425"/>
        <w:jc w:val="both"/>
        <w:rPr>
          <w:color w:val="000000" w:themeColor="text1"/>
          <w:sz w:val="24"/>
          <w:szCs w:val="24"/>
          <w:lang w:val="lv-LV"/>
        </w:rPr>
      </w:pPr>
      <w:bookmarkStart w:id="44" w:name="_Toc308774242"/>
      <w:bookmarkEnd w:id="40"/>
      <w:bookmarkEnd w:id="41"/>
      <w:r w:rsidRPr="00B557E8">
        <w:rPr>
          <w:color w:val="000000" w:themeColor="text1"/>
          <w:sz w:val="24"/>
          <w:szCs w:val="24"/>
          <w:lang w:val="lv-LV"/>
        </w:rPr>
        <w:t>2004.-2006.gada plānošanas periods</w:t>
      </w:r>
      <w:bookmarkEnd w:id="44"/>
    </w:p>
    <w:p w:rsidR="00A1555C" w:rsidRPr="00B557E8" w:rsidRDefault="00A1555C"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Ņemot vērā risku, ka atsevišķu </w:t>
      </w:r>
      <w:r w:rsidR="00B43788" w:rsidRPr="00B557E8">
        <w:rPr>
          <w:rFonts w:eastAsia="EUAlbertina-Bold-Identity-H"/>
          <w:color w:val="000000" w:themeColor="text1"/>
          <w:szCs w:val="24"/>
          <w:u w:val="single"/>
          <w:lang w:eastAsia="lv-LV"/>
        </w:rPr>
        <w:t>ES struktūrfondu 2004.-2006.gada plānošanas perioda</w:t>
      </w:r>
      <w:r w:rsidR="00B43788" w:rsidRPr="00B557E8">
        <w:rPr>
          <w:rFonts w:eastAsia="EUAlbertina-Bold-Identity-H"/>
          <w:color w:val="000000" w:themeColor="text1"/>
          <w:szCs w:val="24"/>
          <w:lang w:eastAsia="lv-LV"/>
        </w:rPr>
        <w:t xml:space="preserve"> </w:t>
      </w:r>
      <w:r w:rsidRPr="00B557E8">
        <w:rPr>
          <w:rFonts w:eastAsia="EUAlbertina-Bold-Identity-H"/>
          <w:color w:val="000000" w:themeColor="text1"/>
          <w:szCs w:val="24"/>
          <w:lang w:eastAsia="lv-LV"/>
        </w:rPr>
        <w:t xml:space="preserve">projektu ietvaros veiktie izdevumi uzskatāmi vai varētu no EK viedokļa būt uzskatīti par neatbilstoši veiktiem, tomēr, finansējuma saņēmēji atsevišķos gadījumos nav vainojami neatbilstoši veikto izdevumu veikšanā, vai pēc papildu informācijas apkopošanas un izvērtēšanas, tiek uzskatīts, ka nav pamata izdot lēmumu par neatbilstoši veikto izdevumu atgūšanu no finansējuma </w:t>
      </w:r>
      <w:r w:rsidRPr="00B557E8">
        <w:rPr>
          <w:rFonts w:eastAsia="EUAlbertina-Bold-Identity-H"/>
          <w:color w:val="000000" w:themeColor="text1"/>
          <w:szCs w:val="24"/>
          <w:lang w:eastAsia="lv-LV"/>
        </w:rPr>
        <w:lastRenderedPageBreak/>
        <w:t xml:space="preserve">saņēmēja, valsts uzņemas risku un finanšu atbildību, par ko, lai nodrošinātu neatbilstoši veikto izdevumu norakstīšanu (uzskatīšanu par atgūtajiem) tiek informēts MK. </w:t>
      </w:r>
    </w:p>
    <w:p w:rsidR="008A3078" w:rsidRPr="00B557E8" w:rsidRDefault="00A1555C"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Minēto finanšu atbildību uzņemšanās </w:t>
      </w:r>
      <w:r w:rsidR="00010B47" w:rsidRPr="00B557E8">
        <w:rPr>
          <w:rFonts w:eastAsia="EUAlbertina-Bold-Identity-H"/>
          <w:color w:val="000000" w:themeColor="text1"/>
          <w:szCs w:val="24"/>
          <w:lang w:eastAsia="lv-LV"/>
        </w:rPr>
        <w:t xml:space="preserve">neietekmēs no </w:t>
      </w:r>
      <w:r w:rsidR="00EC322F" w:rsidRPr="00B557E8">
        <w:rPr>
          <w:rFonts w:eastAsia="EUAlbertina-Bold-Identity-H"/>
          <w:color w:val="000000" w:themeColor="text1"/>
          <w:szCs w:val="24"/>
          <w:lang w:eastAsia="lv-LV"/>
        </w:rPr>
        <w:t>EK</w:t>
      </w:r>
      <w:r w:rsidR="00010B47" w:rsidRPr="00B557E8">
        <w:rPr>
          <w:rFonts w:eastAsia="EUAlbertina-Bold-Identity-H"/>
          <w:color w:val="000000" w:themeColor="text1"/>
          <w:szCs w:val="24"/>
          <w:lang w:eastAsia="lv-LV"/>
        </w:rPr>
        <w:t xml:space="preserve"> saņemamo noslēguma maksājuma apmēru, jo atbilstošais izdevumu apjoms noslēguma maksājuma pieprasījumā </w:t>
      </w:r>
      <w:r w:rsidR="00EC322F" w:rsidRPr="00B557E8">
        <w:rPr>
          <w:rFonts w:eastAsia="EUAlbertina-Bold-Identity-H"/>
          <w:color w:val="000000" w:themeColor="text1"/>
          <w:szCs w:val="24"/>
          <w:lang w:eastAsia="lv-LV"/>
        </w:rPr>
        <w:t>EK</w:t>
      </w:r>
      <w:r w:rsidR="00010B47" w:rsidRPr="00B557E8">
        <w:rPr>
          <w:rFonts w:eastAsia="EUAlbertina-Bold-Identity-H"/>
          <w:color w:val="000000" w:themeColor="text1"/>
          <w:szCs w:val="24"/>
          <w:lang w:eastAsia="lv-LV"/>
        </w:rPr>
        <w:t xml:space="preserve"> tiek aizstāts ar attiecināmajiem izdevumiem, kas veikti uz uzņemto valsts budžeta </w:t>
      </w:r>
      <w:proofErr w:type="spellStart"/>
      <w:r w:rsidR="00010B47" w:rsidRPr="00B557E8">
        <w:rPr>
          <w:rFonts w:eastAsia="EUAlbertina-Bold-Identity-H"/>
          <w:color w:val="000000" w:themeColor="text1"/>
          <w:szCs w:val="24"/>
          <w:lang w:eastAsia="lv-LV"/>
        </w:rPr>
        <w:t>virssaistību</w:t>
      </w:r>
      <w:proofErr w:type="spellEnd"/>
      <w:r w:rsidR="00010B47" w:rsidRPr="00B557E8">
        <w:rPr>
          <w:rFonts w:eastAsia="EUAlbertina-Bold-Identity-H"/>
          <w:color w:val="000000" w:themeColor="text1"/>
          <w:szCs w:val="24"/>
          <w:lang w:eastAsia="lv-LV"/>
        </w:rPr>
        <w:t xml:space="preserve"> rēķina. </w:t>
      </w:r>
      <w:r w:rsidR="00711C8E" w:rsidRPr="00B557E8">
        <w:rPr>
          <w:rFonts w:eastAsia="EUAlbertina-Bold-Identity-H"/>
          <w:color w:val="000000" w:themeColor="text1"/>
          <w:szCs w:val="24"/>
          <w:lang w:eastAsia="lv-LV"/>
        </w:rPr>
        <w:t xml:space="preserve">Informācija par atsevišķiem šādiem gadījumiem jau tika iekļauta iepriekšējos ziņojumos, savukārt detalizēts kopsavilkums </w:t>
      </w:r>
      <w:r w:rsidRPr="00B557E8">
        <w:rPr>
          <w:rFonts w:eastAsia="EUAlbertina-Bold-Identity-H"/>
          <w:color w:val="000000" w:themeColor="text1"/>
          <w:szCs w:val="24"/>
          <w:lang w:eastAsia="lv-LV"/>
        </w:rPr>
        <w:t xml:space="preserve">par minētajām neatbilstībām </w:t>
      </w:r>
      <w:r w:rsidR="00711C8E" w:rsidRPr="00B557E8">
        <w:rPr>
          <w:rFonts w:eastAsia="EUAlbertina-Bold-Identity-H"/>
          <w:color w:val="000000" w:themeColor="text1"/>
          <w:szCs w:val="24"/>
          <w:lang w:eastAsia="lv-LV"/>
        </w:rPr>
        <w:t>sniegts</w:t>
      </w:r>
      <w:r w:rsidRPr="00B557E8">
        <w:rPr>
          <w:rFonts w:eastAsia="EUAlbertina-Bold-Identity-H"/>
          <w:color w:val="000000" w:themeColor="text1"/>
          <w:szCs w:val="24"/>
          <w:lang w:eastAsia="lv-LV"/>
        </w:rPr>
        <w:t xml:space="preserve"> ziņojuma pielikumā Nr.</w:t>
      </w:r>
      <w:r w:rsidR="0028681A" w:rsidRPr="00B557E8">
        <w:rPr>
          <w:rFonts w:eastAsia="EUAlbertina-Bold-Identity-H"/>
          <w:color w:val="000000" w:themeColor="text1"/>
          <w:szCs w:val="24"/>
          <w:lang w:eastAsia="lv-LV"/>
        </w:rPr>
        <w:t>5</w:t>
      </w:r>
      <w:r w:rsidRPr="00B557E8">
        <w:rPr>
          <w:rFonts w:eastAsia="EUAlbertina-Bold-Identity-H"/>
          <w:color w:val="000000" w:themeColor="text1"/>
          <w:szCs w:val="24"/>
          <w:lang w:eastAsia="lv-LV"/>
        </w:rPr>
        <w:t>.</w:t>
      </w:r>
      <w:r w:rsidR="00C442F7" w:rsidRPr="00B557E8">
        <w:rPr>
          <w:rFonts w:eastAsia="EUAlbertina-Bold-Identity-H"/>
          <w:color w:val="000000" w:themeColor="text1"/>
          <w:szCs w:val="24"/>
          <w:lang w:eastAsia="lv-LV"/>
        </w:rPr>
        <w:t xml:space="preserve"> </w:t>
      </w:r>
    </w:p>
    <w:p w:rsidR="0028396C" w:rsidRPr="00B557E8" w:rsidRDefault="00AD69D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Joprojām tiek gaidīts </w:t>
      </w:r>
      <w:r w:rsidR="0028396C" w:rsidRPr="00B557E8">
        <w:rPr>
          <w:rFonts w:eastAsia="EUAlbertina-Bold-Identity-H"/>
          <w:color w:val="000000" w:themeColor="text1"/>
          <w:szCs w:val="24"/>
          <w:lang w:eastAsia="lv-LV"/>
        </w:rPr>
        <w:t xml:space="preserve">EK </w:t>
      </w:r>
      <w:r w:rsidRPr="00B557E8">
        <w:rPr>
          <w:rFonts w:eastAsia="EUAlbertina-Bold-Identity-H"/>
          <w:color w:val="000000" w:themeColor="text1"/>
          <w:szCs w:val="24"/>
          <w:lang w:eastAsia="lv-LV"/>
        </w:rPr>
        <w:t>viedoklis</w:t>
      </w:r>
      <w:r w:rsidR="0028396C" w:rsidRPr="00B557E8">
        <w:rPr>
          <w:rFonts w:eastAsia="EUAlbertina-Bold-Identity-H"/>
          <w:color w:val="000000" w:themeColor="text1"/>
          <w:szCs w:val="24"/>
          <w:lang w:eastAsia="lv-LV"/>
        </w:rPr>
        <w:t xml:space="preserve"> par piemērojamo finanšu korekcijas kopējo summu pieciem </w:t>
      </w:r>
      <w:r w:rsidR="0028396C" w:rsidRPr="00B557E8">
        <w:rPr>
          <w:rFonts w:eastAsia="EUAlbertina-Bold-Identity-H"/>
          <w:color w:val="000000" w:themeColor="text1"/>
          <w:szCs w:val="24"/>
          <w:u w:val="single"/>
          <w:lang w:eastAsia="lv-LV"/>
        </w:rPr>
        <w:t>2004-2006.gada plānošanas perioda KF</w:t>
      </w:r>
      <w:r w:rsidR="0028396C" w:rsidRPr="00B557E8">
        <w:rPr>
          <w:rFonts w:eastAsia="EUAlbertina-Bold-Identity-H"/>
          <w:color w:val="000000" w:themeColor="text1"/>
          <w:szCs w:val="24"/>
          <w:lang w:eastAsia="lv-LV"/>
        </w:rPr>
        <w:t xml:space="preserve"> vides sektora projektiem: „Sadzīves atkritumu apsaimniekošana </w:t>
      </w:r>
      <w:proofErr w:type="spellStart"/>
      <w:r w:rsidR="0028396C" w:rsidRPr="00B557E8">
        <w:rPr>
          <w:rFonts w:eastAsia="EUAlbertina-Bold-Identity-H"/>
          <w:color w:val="000000" w:themeColor="text1"/>
          <w:szCs w:val="24"/>
          <w:lang w:eastAsia="lv-LV"/>
        </w:rPr>
        <w:t>Austrumlatgales</w:t>
      </w:r>
      <w:proofErr w:type="spellEnd"/>
      <w:r w:rsidR="0028396C" w:rsidRPr="00B557E8">
        <w:rPr>
          <w:rFonts w:eastAsia="EUAlbertina-Bold-Identity-H"/>
          <w:color w:val="000000" w:themeColor="text1"/>
          <w:szCs w:val="24"/>
          <w:lang w:eastAsia="lv-LV"/>
        </w:rPr>
        <w:t xml:space="preserve"> reģionā”,” Jūrmalas ūdenssaimniecības attīstība”, „Ūdensapgādes un kanalizācijas pakalpojumu attīstība Jelgavā”, „Ūdensapgādes un kanalizācijas pakalpojumu attīstība Rīgā, II kārta” un „Sadzīves atkritumu apsaimnie</w:t>
      </w:r>
      <w:r w:rsidR="00C9221F" w:rsidRPr="00B557E8">
        <w:rPr>
          <w:rFonts w:eastAsia="EUAlbertina-Bold-Identity-H"/>
          <w:color w:val="000000" w:themeColor="text1"/>
          <w:szCs w:val="24"/>
          <w:lang w:eastAsia="lv-LV"/>
        </w:rPr>
        <w:t xml:space="preserve">košana </w:t>
      </w:r>
      <w:proofErr w:type="spellStart"/>
      <w:r w:rsidR="00C9221F" w:rsidRPr="00B557E8">
        <w:rPr>
          <w:rFonts w:eastAsia="EUAlbertina-Bold-Identity-H"/>
          <w:color w:val="000000" w:themeColor="text1"/>
          <w:szCs w:val="24"/>
          <w:lang w:eastAsia="lv-LV"/>
        </w:rPr>
        <w:t>Dienvidlatgales</w:t>
      </w:r>
      <w:proofErr w:type="spellEnd"/>
      <w:r w:rsidR="00C9221F" w:rsidRPr="00B557E8">
        <w:rPr>
          <w:rFonts w:eastAsia="EUAlbertina-Bold-Identity-H"/>
          <w:color w:val="000000" w:themeColor="text1"/>
          <w:szCs w:val="24"/>
          <w:lang w:eastAsia="lv-LV"/>
        </w:rPr>
        <w:t xml:space="preserve"> reģionā”</w:t>
      </w:r>
      <w:r w:rsidR="0028396C" w:rsidRPr="00B557E8">
        <w:rPr>
          <w:rFonts w:eastAsia="EUAlbertina-Bold-Identity-H"/>
          <w:color w:val="000000" w:themeColor="text1"/>
          <w:szCs w:val="24"/>
          <w:lang w:eastAsia="lv-LV"/>
        </w:rPr>
        <w:t xml:space="preserve"> saistībā ar aprēķināto finanšu korekciju par publisko iepirkumu tiesiskajiem regulējumam neatbilstošiem papildu darbiem, piegāžu un pakalpojumu iepirkumiem, kā arī līgumu sadārdzinājumu.</w:t>
      </w:r>
    </w:p>
    <w:p w:rsidR="0028396C" w:rsidRPr="00B557E8" w:rsidRDefault="0028396C" w:rsidP="00B557E8">
      <w:pPr>
        <w:spacing w:before="120" w:after="120" w:line="276" w:lineRule="auto"/>
        <w:rPr>
          <w:rFonts w:eastAsia="EUAlbertina-Bold-Identity-H"/>
          <w:color w:val="000000" w:themeColor="text1"/>
          <w:szCs w:val="24"/>
          <w:lang w:eastAsia="lv-LV"/>
        </w:rPr>
      </w:pPr>
      <w:proofErr w:type="spellStart"/>
      <w:r w:rsidRPr="00B557E8">
        <w:rPr>
          <w:rFonts w:eastAsia="EUAlbertina-Bold-Identity-H"/>
          <w:color w:val="000000" w:themeColor="text1"/>
          <w:szCs w:val="24"/>
          <w:lang w:eastAsia="lv-LV"/>
        </w:rPr>
        <w:t>Š.g</w:t>
      </w:r>
      <w:proofErr w:type="spellEnd"/>
      <w:r w:rsidRPr="00B557E8">
        <w:rPr>
          <w:rFonts w:eastAsia="EUAlbertina-Bold-Identity-H"/>
          <w:color w:val="000000" w:themeColor="text1"/>
          <w:szCs w:val="24"/>
          <w:lang w:eastAsia="lv-LV"/>
        </w:rPr>
        <w:t xml:space="preserve">. oktobrī, no 3. līdz 7.oktobrim, notika EK audita misija par atsevišķiem 2004-2006.gada plānošanas perioda KF projektiem, tas ir </w:t>
      </w:r>
      <w:proofErr w:type="spellStart"/>
      <w:r w:rsidRPr="00B557E8">
        <w:rPr>
          <w:rFonts w:eastAsia="EUAlbertina-Bold-Identity-H"/>
          <w:color w:val="000000" w:themeColor="text1"/>
          <w:szCs w:val="24"/>
          <w:lang w:eastAsia="lv-LV"/>
        </w:rPr>
        <w:t>š.g</w:t>
      </w:r>
      <w:proofErr w:type="spellEnd"/>
      <w:r w:rsidRPr="00B557E8">
        <w:rPr>
          <w:rFonts w:eastAsia="EUAlbertina-Bold-Identity-H"/>
          <w:color w:val="000000" w:themeColor="text1"/>
          <w:szCs w:val="24"/>
          <w:lang w:eastAsia="lv-LV"/>
        </w:rPr>
        <w:t xml:space="preserve">. 3.un 4.oktobrī VARAM </w:t>
      </w:r>
      <w:proofErr w:type="spellStart"/>
      <w:r w:rsidRPr="00B557E8">
        <w:rPr>
          <w:rFonts w:eastAsia="EUAlbertina-Bold-Identity-H"/>
          <w:color w:val="000000" w:themeColor="text1"/>
          <w:szCs w:val="24"/>
          <w:lang w:eastAsia="lv-LV"/>
        </w:rPr>
        <w:t>pārziņā</w:t>
      </w:r>
      <w:proofErr w:type="spellEnd"/>
      <w:r w:rsidRPr="00B557E8">
        <w:rPr>
          <w:rFonts w:eastAsia="EUAlbertina-Bold-Identity-H"/>
          <w:color w:val="000000" w:themeColor="text1"/>
          <w:szCs w:val="24"/>
          <w:lang w:eastAsia="lv-LV"/>
        </w:rPr>
        <w:t xml:space="preserve"> esošā SIA „Rīgas Ūdens” projekta Nr.2005LV16CPE003 „Ūdenssaimniecības attīstība Rīgā, III kārta” ietvaros un </w:t>
      </w:r>
      <w:r w:rsidR="008F27FF" w:rsidRPr="00B557E8">
        <w:rPr>
          <w:rFonts w:eastAsia="EUAlbertina-Bold-Identity-H"/>
          <w:color w:val="000000" w:themeColor="text1"/>
          <w:szCs w:val="24"/>
          <w:lang w:eastAsia="lv-LV"/>
        </w:rPr>
        <w:t>SM</w:t>
      </w:r>
      <w:r w:rsidRPr="00B557E8">
        <w:rPr>
          <w:rFonts w:eastAsia="EUAlbertina-Bold-Identity-H"/>
          <w:color w:val="000000" w:themeColor="text1"/>
          <w:szCs w:val="24"/>
          <w:lang w:eastAsia="lv-LV"/>
        </w:rPr>
        <w:t xml:space="preserve"> </w:t>
      </w:r>
      <w:proofErr w:type="spellStart"/>
      <w:r w:rsidRPr="00B557E8">
        <w:rPr>
          <w:rFonts w:eastAsia="EUAlbertina-Bold-Identity-H"/>
          <w:color w:val="000000" w:themeColor="text1"/>
          <w:szCs w:val="24"/>
          <w:lang w:eastAsia="lv-LV"/>
        </w:rPr>
        <w:t>pārziņā</w:t>
      </w:r>
      <w:proofErr w:type="spellEnd"/>
      <w:r w:rsidRPr="00B557E8">
        <w:rPr>
          <w:rFonts w:eastAsia="EUAlbertina-Bold-Identity-H"/>
          <w:color w:val="000000" w:themeColor="text1"/>
          <w:szCs w:val="24"/>
          <w:lang w:eastAsia="lv-LV"/>
        </w:rPr>
        <w:t xml:space="preserve"> esošā VAS „Latvijas dzelzceļš” projekta Nr.2001/LV/16/P/PT/006 „Vilcienu kustības vadības sistēmas modernizācija (Latvijas Austrumu–Rietumu dzelzceļa koridors)” ietvaros (turpmāk –</w:t>
      </w:r>
      <w:r w:rsidR="00AD69DE" w:rsidRPr="00B557E8">
        <w:rPr>
          <w:rFonts w:eastAsia="EUAlbertina-Bold-Identity-H"/>
          <w:color w:val="000000" w:themeColor="text1"/>
          <w:szCs w:val="24"/>
          <w:lang w:eastAsia="lv-LV"/>
        </w:rPr>
        <w:t xml:space="preserve"> LDZ </w:t>
      </w:r>
      <w:r w:rsidRPr="00B557E8">
        <w:rPr>
          <w:rFonts w:eastAsia="EUAlbertina-Bold-Identity-H"/>
          <w:color w:val="000000" w:themeColor="text1"/>
          <w:szCs w:val="24"/>
          <w:lang w:eastAsia="lv-LV"/>
        </w:rPr>
        <w:t xml:space="preserve">projekts). </w:t>
      </w:r>
      <w:r w:rsidR="00AD69DE" w:rsidRPr="00B557E8">
        <w:rPr>
          <w:rFonts w:eastAsia="EUAlbertina-Bold-Identity-H"/>
          <w:color w:val="000000" w:themeColor="text1"/>
          <w:szCs w:val="24"/>
          <w:lang w:eastAsia="lv-LV"/>
        </w:rPr>
        <w:t>EK audita ziņojuma projektu plānots saņemt 2-3 mēnešu laikā.</w:t>
      </w:r>
      <w:r w:rsidR="001A1E31" w:rsidRPr="00B557E8">
        <w:rPr>
          <w:rFonts w:eastAsia="EUAlbertina-Bold-Identity-H"/>
          <w:color w:val="000000" w:themeColor="text1"/>
          <w:szCs w:val="24"/>
          <w:lang w:eastAsia="lv-LV"/>
        </w:rPr>
        <w:t xml:space="preserve"> </w:t>
      </w:r>
      <w:r w:rsidR="00AD69DE" w:rsidRPr="00B557E8">
        <w:rPr>
          <w:rFonts w:eastAsia="EUAlbertina-Bold-Identity-H"/>
          <w:color w:val="000000" w:themeColor="text1"/>
          <w:szCs w:val="24"/>
          <w:lang w:eastAsia="lv-LV"/>
        </w:rPr>
        <w:t xml:space="preserve">LDZ </w:t>
      </w:r>
      <w:r w:rsidR="00814033" w:rsidRPr="00B557E8">
        <w:rPr>
          <w:rFonts w:eastAsia="EUAlbertina-Bold-Identity-H"/>
          <w:color w:val="000000" w:themeColor="text1"/>
          <w:szCs w:val="24"/>
          <w:lang w:eastAsia="lv-LV"/>
        </w:rPr>
        <w:t>projekts</w:t>
      </w:r>
      <w:r w:rsidRPr="00B557E8">
        <w:rPr>
          <w:rFonts w:eastAsia="EUAlbertina-Bold-Identity-H"/>
          <w:color w:val="000000" w:themeColor="text1"/>
          <w:szCs w:val="24"/>
          <w:lang w:eastAsia="lv-LV"/>
        </w:rPr>
        <w:t xml:space="preserve"> ilgstoši tika uzskatīts par augsta riska projektu, īstenošanas gaitā tam piemērota īpaša uzraudzības kārtība, </w:t>
      </w:r>
      <w:proofErr w:type="spellStart"/>
      <w:r w:rsidRPr="00B557E8">
        <w:rPr>
          <w:rFonts w:eastAsia="EUAlbertina-Bold-Identity-H"/>
          <w:color w:val="000000" w:themeColor="text1"/>
          <w:szCs w:val="24"/>
          <w:lang w:eastAsia="lv-LV"/>
        </w:rPr>
        <w:t>t.sk</w:t>
      </w:r>
      <w:proofErr w:type="spellEnd"/>
      <w:r w:rsidRPr="00B557E8">
        <w:rPr>
          <w:rFonts w:eastAsia="EUAlbertina-Bold-Identity-H"/>
          <w:color w:val="000000" w:themeColor="text1"/>
          <w:szCs w:val="24"/>
          <w:lang w:eastAsia="lv-LV"/>
        </w:rPr>
        <w:t xml:space="preserve">. EK līmenī. Projekta ieviešanas laikā konstatētie dažādi sarežģījumi radīja risku projektu pabeigt laikā, lai varētu samaksāt pēdējo maksājumu maksimālā apmērā līdz projekta </w:t>
      </w:r>
      <w:proofErr w:type="spellStart"/>
      <w:r w:rsidRPr="00B557E8">
        <w:rPr>
          <w:rFonts w:eastAsia="EUAlbertina-Bold-Identity-H"/>
          <w:color w:val="000000" w:themeColor="text1"/>
          <w:szCs w:val="24"/>
          <w:lang w:eastAsia="lv-LV"/>
        </w:rPr>
        <w:t>attiecināmības</w:t>
      </w:r>
      <w:proofErr w:type="spellEnd"/>
      <w:r w:rsidRPr="00B557E8">
        <w:rPr>
          <w:rFonts w:eastAsia="EUAlbertina-Bold-Identity-H"/>
          <w:color w:val="000000" w:themeColor="text1"/>
          <w:szCs w:val="24"/>
          <w:lang w:eastAsia="lv-LV"/>
        </w:rPr>
        <w:t xml:space="preserve"> beigām, </w:t>
      </w:r>
      <w:proofErr w:type="spellStart"/>
      <w:r w:rsidRPr="00B557E8">
        <w:rPr>
          <w:rFonts w:eastAsia="EUAlbertina-Bold-Identity-H"/>
          <w:color w:val="000000" w:themeColor="text1"/>
          <w:szCs w:val="24"/>
          <w:lang w:eastAsia="lv-LV"/>
        </w:rPr>
        <w:t>t.i</w:t>
      </w:r>
      <w:proofErr w:type="spellEnd"/>
      <w:r w:rsidRPr="00B557E8">
        <w:rPr>
          <w:rFonts w:eastAsia="EUAlbertina-Bold-Identity-H"/>
          <w:color w:val="000000" w:themeColor="text1"/>
          <w:szCs w:val="24"/>
          <w:lang w:eastAsia="lv-LV"/>
        </w:rPr>
        <w:t xml:space="preserve">. līdz 31.12.2010., lai varētu pretendēt uz visu plānoto KF finansējumu. Ņemot vērā īpašo projekta uzraudzību un problēmas ieviešanas gaitā, EK īpaši stingri vērtē projekta atbilstošu īstenošanu projekta slēgšanas procesā. </w:t>
      </w:r>
      <w:r w:rsidR="00AD69DE" w:rsidRPr="00B557E8">
        <w:rPr>
          <w:rFonts w:eastAsia="EUAlbertina-Bold-Identity-H"/>
          <w:color w:val="000000" w:themeColor="text1"/>
          <w:szCs w:val="24"/>
          <w:lang w:eastAsia="lv-LV"/>
        </w:rPr>
        <w:t xml:space="preserve"> LDZ p</w:t>
      </w:r>
      <w:r w:rsidRPr="00B557E8">
        <w:rPr>
          <w:rFonts w:eastAsia="EUAlbertina-Bold-Identity-H"/>
          <w:color w:val="000000" w:themeColor="text1"/>
          <w:szCs w:val="24"/>
          <w:lang w:eastAsia="lv-LV"/>
        </w:rPr>
        <w:t>roj</w:t>
      </w:r>
      <w:r w:rsidR="00AD69DE" w:rsidRPr="00B557E8">
        <w:rPr>
          <w:rFonts w:eastAsia="EUAlbertina-Bold-Identity-H"/>
          <w:color w:val="000000" w:themeColor="text1"/>
          <w:szCs w:val="24"/>
          <w:lang w:eastAsia="lv-LV"/>
        </w:rPr>
        <w:t>ekta ietvaros noslēguma ziņojums SM ir</w:t>
      </w:r>
      <w:r w:rsidRPr="00B557E8">
        <w:rPr>
          <w:rFonts w:eastAsia="EUAlbertina-Bold-Identity-H"/>
          <w:color w:val="000000" w:themeColor="text1"/>
          <w:szCs w:val="24"/>
          <w:lang w:eastAsia="lv-LV"/>
        </w:rPr>
        <w:t xml:space="preserve"> </w:t>
      </w:r>
      <w:r w:rsidR="00AD69DE" w:rsidRPr="00B557E8">
        <w:rPr>
          <w:rFonts w:eastAsia="EUAlbertina-Bold-Identity-H"/>
          <w:color w:val="000000" w:themeColor="text1"/>
          <w:szCs w:val="24"/>
          <w:lang w:eastAsia="lv-LV"/>
        </w:rPr>
        <w:t>jāsa</w:t>
      </w:r>
      <w:r w:rsidRPr="00B557E8">
        <w:rPr>
          <w:rFonts w:eastAsia="EUAlbertina-Bold-Identity-H"/>
          <w:color w:val="000000" w:themeColor="text1"/>
          <w:szCs w:val="24"/>
          <w:lang w:eastAsia="lv-LV"/>
        </w:rPr>
        <w:t xml:space="preserve">gatavo un </w:t>
      </w:r>
      <w:r w:rsidR="00AD69DE" w:rsidRPr="00B557E8">
        <w:rPr>
          <w:rFonts w:eastAsia="EUAlbertina-Bold-Identity-H"/>
          <w:color w:val="000000" w:themeColor="text1"/>
          <w:szCs w:val="24"/>
          <w:lang w:eastAsia="lv-LV"/>
        </w:rPr>
        <w:t>jā</w:t>
      </w:r>
      <w:r w:rsidRPr="00B557E8">
        <w:rPr>
          <w:rFonts w:eastAsia="EUAlbertina-Bold-Identity-H"/>
          <w:color w:val="000000" w:themeColor="text1"/>
          <w:szCs w:val="24"/>
          <w:lang w:eastAsia="lv-LV"/>
        </w:rPr>
        <w:t>iesnie</w:t>
      </w:r>
      <w:r w:rsidR="00AD69DE" w:rsidRPr="00B557E8">
        <w:rPr>
          <w:rFonts w:eastAsia="EUAlbertina-Bold-Identity-H"/>
          <w:color w:val="000000" w:themeColor="text1"/>
          <w:szCs w:val="24"/>
          <w:lang w:eastAsia="lv-LV"/>
        </w:rPr>
        <w:t>dz</w:t>
      </w:r>
      <w:r w:rsidRPr="00B557E8">
        <w:rPr>
          <w:rFonts w:eastAsia="EUAlbertina-Bold-Identity-H"/>
          <w:color w:val="000000" w:themeColor="text1"/>
          <w:szCs w:val="24"/>
          <w:lang w:eastAsia="lv-LV"/>
        </w:rPr>
        <w:t xml:space="preserve"> </w:t>
      </w:r>
      <w:r w:rsidR="008F27FF" w:rsidRPr="00B557E8">
        <w:rPr>
          <w:rFonts w:eastAsia="EUAlbertina-Bold-Identity-H"/>
          <w:color w:val="000000" w:themeColor="text1"/>
          <w:szCs w:val="24"/>
          <w:lang w:eastAsia="lv-LV"/>
        </w:rPr>
        <w:t>VI</w:t>
      </w:r>
      <w:r w:rsidR="007E292C" w:rsidRPr="00B557E8">
        <w:rPr>
          <w:rFonts w:eastAsia="EUAlbertina-Bold-Identity-H"/>
          <w:color w:val="000000" w:themeColor="text1"/>
          <w:szCs w:val="24"/>
          <w:lang w:eastAsia="lv-LV"/>
        </w:rPr>
        <w:t xml:space="preserve"> savlaicīgi</w:t>
      </w:r>
      <w:r w:rsidRPr="00B557E8">
        <w:rPr>
          <w:rFonts w:eastAsia="EUAlbertina-Bold-Identity-H"/>
          <w:color w:val="000000" w:themeColor="text1"/>
          <w:szCs w:val="24"/>
          <w:lang w:eastAsia="lv-LV"/>
        </w:rPr>
        <w:t>, lai laikus varētu veikt visas nepieciešamās procedūras pirms projekta noslēguma dokumentācijas iesniegšanas EK līdz 2012.gada 1.aprīlim.</w:t>
      </w:r>
    </w:p>
    <w:p w:rsidR="003A2487" w:rsidRPr="00B557E8" w:rsidRDefault="003A2487" w:rsidP="00B557E8">
      <w:pPr>
        <w:pStyle w:val="2lmenis"/>
        <w:numPr>
          <w:ilvl w:val="1"/>
          <w:numId w:val="2"/>
        </w:numPr>
        <w:spacing w:before="120" w:after="120" w:line="276" w:lineRule="auto"/>
        <w:ind w:left="1276" w:hanging="425"/>
        <w:jc w:val="both"/>
        <w:rPr>
          <w:color w:val="000000" w:themeColor="text1"/>
          <w:sz w:val="24"/>
          <w:szCs w:val="24"/>
          <w:lang w:val="lv-LV"/>
        </w:rPr>
      </w:pPr>
      <w:bookmarkStart w:id="45" w:name="_Toc308774243"/>
      <w:r w:rsidRPr="00B557E8">
        <w:rPr>
          <w:color w:val="000000" w:themeColor="text1"/>
          <w:sz w:val="24"/>
          <w:szCs w:val="24"/>
          <w:lang w:val="lv-LV"/>
        </w:rPr>
        <w:t>Neatbilstoši veikti izdevumi un zaudējumi valsts budžetam 2007 – 2013. gada plānošanas periodā ES fond</w:t>
      </w:r>
      <w:r w:rsidR="00DF350E" w:rsidRPr="00B557E8">
        <w:rPr>
          <w:color w:val="000000" w:themeColor="text1"/>
          <w:sz w:val="24"/>
          <w:szCs w:val="24"/>
          <w:lang w:val="lv-LV"/>
        </w:rPr>
        <w:t>os</w:t>
      </w:r>
      <w:bookmarkEnd w:id="45"/>
    </w:p>
    <w:p w:rsidR="0016055A" w:rsidRPr="00B557E8" w:rsidRDefault="0016055A"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Kā minēts šīs nodaļas ievadā neatbilstoši veikti izdevumi rodas, ja tos nav iespējas ieturēt no kārtējā maksājuma, jeb neatbilstība ir konstatēta pēc maksājumu veikšanas finansējuma saņēmējam.  </w:t>
      </w:r>
    </w:p>
    <w:p w:rsidR="0016055A" w:rsidRPr="00B557E8" w:rsidRDefault="0016055A"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Neatbilstoši veikto izdevumu apjoms līdz 2011. gada 30. septemb</w:t>
      </w:r>
      <w:r w:rsidR="00CA04EA" w:rsidRPr="00B557E8">
        <w:rPr>
          <w:rFonts w:eastAsia="EUAlbertina-Bold-Identity-H"/>
          <w:color w:val="000000" w:themeColor="text1"/>
          <w:szCs w:val="24"/>
          <w:lang w:eastAsia="lv-LV"/>
        </w:rPr>
        <w:t xml:space="preserve">rim ir 5,0 </w:t>
      </w:r>
      <w:proofErr w:type="spellStart"/>
      <w:r w:rsidR="00CA04EA" w:rsidRPr="00B557E8">
        <w:rPr>
          <w:rFonts w:eastAsia="EUAlbertina-Bold-Identity-H"/>
          <w:color w:val="000000" w:themeColor="text1"/>
          <w:szCs w:val="24"/>
          <w:lang w:eastAsia="lv-LV"/>
        </w:rPr>
        <w:t>milj</w:t>
      </w:r>
      <w:proofErr w:type="spellEnd"/>
      <w:r w:rsidR="00CA04EA" w:rsidRPr="00B557E8">
        <w:rPr>
          <w:rFonts w:eastAsia="EUAlbertina-Bold-Identity-H"/>
          <w:color w:val="000000" w:themeColor="text1"/>
          <w:szCs w:val="24"/>
          <w:lang w:eastAsia="lv-LV"/>
        </w:rPr>
        <w:t>. latu jeb 39%</w:t>
      </w:r>
      <w:r w:rsidRPr="00B557E8">
        <w:rPr>
          <w:rFonts w:eastAsia="EUAlbertina-Bold-Identity-H"/>
          <w:color w:val="000000" w:themeColor="text1"/>
          <w:szCs w:val="24"/>
          <w:lang w:eastAsia="lv-LV"/>
        </w:rPr>
        <w:t xml:space="preserve"> no kopējā konstatētā neatbilstību apjoma. No tiem uz pārskata perioda beigām atgūti neatbilstoši veikti izdevumi 98% apmērā jeb 4,</w:t>
      </w:r>
      <w:r w:rsidR="00CA04EA" w:rsidRPr="00B557E8">
        <w:rPr>
          <w:rFonts w:eastAsia="EUAlbertina-Bold-Identity-H"/>
          <w:color w:val="000000" w:themeColor="text1"/>
          <w:szCs w:val="24"/>
          <w:lang w:eastAsia="lv-LV"/>
        </w:rPr>
        <w:t>9</w:t>
      </w:r>
      <w:r w:rsidRPr="00B557E8">
        <w:rPr>
          <w:rFonts w:eastAsia="EUAlbertina-Bold-Identity-H"/>
          <w:color w:val="000000" w:themeColor="text1"/>
          <w:szCs w:val="24"/>
          <w:lang w:eastAsia="lv-LV"/>
        </w:rPr>
        <w:t xml:space="preserve">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xml:space="preserve">. latu. Attiecīgi secinām, ka lielākā daļa neatbilstību tiek atklātas pirms maksājumu veikšanas finansējuma saņēmējam attiecīgi summas tiek ieturētas no kārtējā maksājuma. </w:t>
      </w:r>
    </w:p>
    <w:p w:rsidR="0016055A" w:rsidRPr="00B557E8" w:rsidRDefault="0016055A"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lastRenderedPageBreak/>
        <w:t xml:space="preserve">Lielākais neatbilstoši veikto izdevumu apjoms konstatēts pašvaldību īstenotajos projektos un tas ir 2,9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xml:space="preserve">. latu uz 30.09.2011. No pašvaldību īstenotajos projektos konstatētā neatbilstoši veikto izdevumu apjoma atgūti faktiski 2,87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xml:space="preserve">. latu. </w:t>
      </w:r>
    </w:p>
    <w:p w:rsidR="0016055A" w:rsidRPr="00B557E8" w:rsidRDefault="0016055A" w:rsidP="00B557E8">
      <w:pPr>
        <w:spacing w:before="120" w:after="120" w:line="276" w:lineRule="auto"/>
        <w:jc w:val="left"/>
        <w:rPr>
          <w:rFonts w:eastAsia="EUAlbertina-Bold-Identity-H"/>
          <w:color w:val="000000" w:themeColor="text1"/>
          <w:szCs w:val="24"/>
          <w:lang w:eastAsia="lv-LV"/>
        </w:rPr>
      </w:pPr>
      <w:r w:rsidRPr="00B557E8">
        <w:rPr>
          <w:rFonts w:eastAsia="EUAlbertina-Bold-Identity-H"/>
          <w:color w:val="000000" w:themeColor="text1"/>
          <w:szCs w:val="24"/>
          <w:lang w:eastAsia="lv-LV"/>
        </w:rPr>
        <w:t>Grafiks Nr.</w:t>
      </w:r>
      <w:r w:rsidR="00C82029" w:rsidRPr="00B557E8">
        <w:rPr>
          <w:rFonts w:eastAsia="EUAlbertina-Bold-Identity-H"/>
          <w:color w:val="000000" w:themeColor="text1"/>
          <w:szCs w:val="24"/>
          <w:lang w:eastAsia="lv-LV"/>
        </w:rPr>
        <w:t>2</w:t>
      </w:r>
      <w:r w:rsidR="00EC7B49" w:rsidRPr="00B557E8">
        <w:rPr>
          <w:rFonts w:eastAsia="EUAlbertina-Bold-Identity-H"/>
          <w:color w:val="000000" w:themeColor="text1"/>
          <w:szCs w:val="24"/>
          <w:lang w:eastAsia="lv-LV"/>
        </w:rPr>
        <w:t>5</w:t>
      </w:r>
      <w:r w:rsidRPr="00B557E8">
        <w:rPr>
          <w:rFonts w:eastAsia="EUAlbertina-Bold-Identity-H"/>
          <w:color w:val="000000" w:themeColor="text1"/>
          <w:szCs w:val="24"/>
          <w:lang w:eastAsia="lv-LV"/>
        </w:rPr>
        <w:t xml:space="preserve"> </w:t>
      </w:r>
      <w:r w:rsidRPr="00B557E8">
        <w:rPr>
          <w:rFonts w:eastAsia="EUAlbertina-Bold-Identity-H"/>
          <w:i/>
          <w:color w:val="000000" w:themeColor="text1"/>
          <w:szCs w:val="24"/>
          <w:lang w:eastAsia="lv-LV"/>
        </w:rPr>
        <w:t xml:space="preserve">„Neatbilstoši veikti izdevumi sadalījumā pa finansējuma saņēmēju veidiem līdz 30.09.2011 </w:t>
      </w:r>
      <w:proofErr w:type="spellStart"/>
      <w:r w:rsidRPr="00B557E8">
        <w:rPr>
          <w:rFonts w:eastAsia="EUAlbertina-Bold-Identity-H"/>
          <w:i/>
          <w:color w:val="000000" w:themeColor="text1"/>
          <w:szCs w:val="24"/>
          <w:lang w:eastAsia="lv-LV"/>
        </w:rPr>
        <w:t>milj</w:t>
      </w:r>
      <w:proofErr w:type="spellEnd"/>
      <w:r w:rsidRPr="00B557E8">
        <w:rPr>
          <w:rFonts w:eastAsia="EUAlbertina-Bold-Identity-H"/>
          <w:i/>
          <w:color w:val="000000" w:themeColor="text1"/>
          <w:szCs w:val="24"/>
          <w:lang w:eastAsia="lv-LV"/>
        </w:rPr>
        <w:t>. LVL</w:t>
      </w:r>
      <w:r w:rsidR="00EA323F" w:rsidRPr="00B557E8">
        <w:rPr>
          <w:rFonts w:eastAsia="EUAlbertina-Bold-Identity-H"/>
          <w:i/>
          <w:color w:val="000000" w:themeColor="text1"/>
          <w:szCs w:val="24"/>
          <w:lang w:eastAsia="lv-LV"/>
        </w:rPr>
        <w:t>.”</w:t>
      </w:r>
    </w:p>
    <w:p w:rsidR="0016055A" w:rsidRPr="00B557E8" w:rsidRDefault="00EA323F" w:rsidP="003B2E97">
      <w:pPr>
        <w:spacing w:before="120" w:after="120" w:line="276" w:lineRule="auto"/>
        <w:jc w:val="center"/>
        <w:rPr>
          <w:rFonts w:eastAsia="EUAlbertina-Bold-Identity-H"/>
          <w:color w:val="000000" w:themeColor="text1"/>
          <w:szCs w:val="24"/>
          <w:lang w:eastAsia="lv-LV"/>
        </w:rPr>
      </w:pPr>
      <w:r w:rsidRPr="00B557E8">
        <w:rPr>
          <w:noProof/>
          <w:color w:val="000000" w:themeColor="text1"/>
          <w:szCs w:val="24"/>
          <w:lang w:eastAsia="lv-LV"/>
        </w:rPr>
        <w:drawing>
          <wp:inline distT="0" distB="0" distL="0" distR="0" wp14:anchorId="50841CDE" wp14:editId="775453A0">
            <wp:extent cx="4572000" cy="1770279"/>
            <wp:effectExtent l="0" t="0" r="0" b="190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16055A" w:rsidRPr="00B557E8" w:rsidRDefault="0016055A"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Analizējot šī ziņojuma pielikumā Nr.3 informāciju par 2011.gada 3.ceturknī konstatētajiem neatbilstoši veiktajiem izdevumiem tiešo vai pastarpināto valsts pārvaldes iestāžu, atvasināto publisko personu vai citu valsts iestāžu īstenotajos projektos, redzams, ka tas kopumā rada zaudējumus valsts budžetam </w:t>
      </w:r>
      <w:r w:rsidR="00653AB4" w:rsidRPr="00B557E8">
        <w:rPr>
          <w:rFonts w:eastAsia="EUAlbertina-Bold-Identity-H"/>
          <w:color w:val="000000" w:themeColor="text1"/>
          <w:szCs w:val="24"/>
          <w:lang w:eastAsia="lv-LV"/>
        </w:rPr>
        <w:t>456</w:t>
      </w:r>
      <w:r w:rsidRPr="00B557E8">
        <w:rPr>
          <w:rFonts w:eastAsia="EUAlbertina-Bold-Identity-H"/>
          <w:color w:val="000000" w:themeColor="text1"/>
          <w:szCs w:val="24"/>
          <w:lang w:eastAsia="lv-LV"/>
        </w:rPr>
        <w:t xml:space="preserve"> </w:t>
      </w:r>
      <w:proofErr w:type="spellStart"/>
      <w:r w:rsidRPr="00B557E8">
        <w:rPr>
          <w:rFonts w:eastAsia="EUAlbertina-Bold-Identity-H"/>
          <w:color w:val="000000" w:themeColor="text1"/>
          <w:szCs w:val="24"/>
          <w:lang w:eastAsia="lv-LV"/>
        </w:rPr>
        <w:t>tūkst</w:t>
      </w:r>
      <w:proofErr w:type="spellEnd"/>
      <w:r w:rsidRPr="00B557E8">
        <w:rPr>
          <w:rFonts w:eastAsia="EUAlbertina-Bold-Identity-H"/>
          <w:color w:val="000000" w:themeColor="text1"/>
          <w:szCs w:val="24"/>
          <w:lang w:eastAsia="lv-LV"/>
        </w:rPr>
        <w:t>. latu apmērā. Pārskata periodā konstatēto neatbilstoši veikto izdevumu apjoms tiešo vai pastarpināto valsts pārvaldes iestāžu, atvasināto publisko personu vai citu valsts iestāžu īstenotajos projektos ir 14,</w:t>
      </w:r>
      <w:r w:rsidR="00B47A28" w:rsidRPr="00B557E8">
        <w:rPr>
          <w:rFonts w:eastAsia="EUAlbertina-Bold-Identity-H"/>
          <w:color w:val="000000" w:themeColor="text1"/>
          <w:szCs w:val="24"/>
          <w:lang w:eastAsia="lv-LV"/>
        </w:rPr>
        <w:t>2</w:t>
      </w:r>
      <w:r w:rsidRPr="00B557E8">
        <w:rPr>
          <w:rFonts w:eastAsia="EUAlbertina-Bold-Identity-H"/>
          <w:color w:val="000000" w:themeColor="text1"/>
          <w:szCs w:val="24"/>
          <w:lang w:eastAsia="lv-LV"/>
        </w:rPr>
        <w:t xml:space="preserve">% no pārskata periodā konstatēto neatbilstību apjoma. </w:t>
      </w:r>
    </w:p>
    <w:p w:rsidR="002C1419" w:rsidRPr="00B557E8" w:rsidRDefault="002C1419"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Pēc FM saņemtās informācijas no ES fondu administrēšanā iesaistītajām AI 2011. gada 3. ceturksnī pret LM</w:t>
      </w:r>
      <w:r w:rsidR="00F73ADE" w:rsidRPr="00B557E8">
        <w:rPr>
          <w:rFonts w:eastAsia="EUAlbertina-Bold-Identity-H"/>
          <w:color w:val="000000" w:themeColor="text1"/>
          <w:szCs w:val="24"/>
          <w:lang w:eastAsia="lv-LV"/>
        </w:rPr>
        <w:t xml:space="preserve"> un tās pakļautībā esošo iestāžu kā ES fondu finansējuma saņēmējiem, </w:t>
      </w:r>
      <w:r w:rsidRPr="00B557E8">
        <w:rPr>
          <w:rFonts w:eastAsia="EUAlbertina-Bold-Identity-H"/>
          <w:color w:val="000000" w:themeColor="text1"/>
          <w:szCs w:val="24"/>
          <w:lang w:eastAsia="lv-LV"/>
        </w:rPr>
        <w:t xml:space="preserve"> īstenoto projektu ietvaros konstatētajām neatbilstībām astoņos gadījumos ierosinātas dienesta izmeklēšanas un  četros gadījumos ir ierosinātas disciplinārlietas, no tām divos gadījumos disciplinārlietas slēgtas, piemērojot disciplinārsodu un piecos gadījumos (</w:t>
      </w:r>
      <w:proofErr w:type="spellStart"/>
      <w:r w:rsidRPr="00B557E8">
        <w:rPr>
          <w:rFonts w:eastAsia="EUAlbertina-Bold-Identity-H"/>
          <w:color w:val="000000" w:themeColor="text1"/>
          <w:szCs w:val="24"/>
          <w:lang w:eastAsia="lv-LV"/>
        </w:rPr>
        <w:t>t.sk</w:t>
      </w:r>
      <w:proofErr w:type="spellEnd"/>
      <w:r w:rsidRPr="00B557E8">
        <w:rPr>
          <w:rFonts w:eastAsia="EUAlbertina-Bold-Identity-H"/>
          <w:color w:val="000000" w:themeColor="text1"/>
          <w:szCs w:val="24"/>
          <w:lang w:eastAsia="lv-LV"/>
        </w:rPr>
        <w:t>., gadījumos, kas ierosināti iepriekšējos ceturkšņos)</w:t>
      </w:r>
      <w:r w:rsidR="00F73ADE" w:rsidRPr="00B557E8">
        <w:rPr>
          <w:rFonts w:eastAsia="EUAlbertina-Bold-Identity-H"/>
          <w:color w:val="000000" w:themeColor="text1"/>
          <w:szCs w:val="24"/>
          <w:lang w:eastAsia="lv-LV"/>
        </w:rPr>
        <w:t>, viena</w:t>
      </w:r>
      <w:r w:rsidRPr="00B557E8">
        <w:rPr>
          <w:rFonts w:eastAsia="EUAlbertina-Bold-Identity-H"/>
          <w:color w:val="000000" w:themeColor="text1"/>
          <w:szCs w:val="24"/>
          <w:lang w:eastAsia="lv-LV"/>
        </w:rPr>
        <w:t xml:space="preserve"> disciplinārlieta slēgta ar lēmumu nepiemērot disciplinārsodu. Divos gadījumos pārskata periodā aizvien vēl notiek izmeklēšana. Papildus pārskata periodā Tieslietu ministrija ir ierosinājusi 2 dienesta izmeklēšanas un vienu disciplinārlietu saistībā ar konstatētajām neatbilstībām tai padotībā esošajās institūcijās, kuras īsteno projektus kuri līdzfinansēto ar EEZ/Norvēģijas finanšu instrumentu atbalstu.  Informācija par konstatētajām neatbilstībām valsts budžeta iestāžu īstenotajos projektos un ierosināto izmeklēšanu/ ierosināto disciplinārlietu skaits apkopots tabulā </w:t>
      </w:r>
      <w:proofErr w:type="spellStart"/>
      <w:r w:rsidRPr="00B557E8">
        <w:rPr>
          <w:rFonts w:eastAsia="EUAlbertina-Bold-Identity-H"/>
          <w:color w:val="000000" w:themeColor="text1"/>
          <w:szCs w:val="24"/>
          <w:lang w:eastAsia="lv-LV"/>
        </w:rPr>
        <w:t>Nr</w:t>
      </w:r>
      <w:proofErr w:type="spellEnd"/>
      <w:r w:rsidRPr="00B557E8">
        <w:rPr>
          <w:rFonts w:eastAsia="EUAlbertina-Bold-Identity-H"/>
          <w:color w:val="000000" w:themeColor="text1"/>
          <w:szCs w:val="24"/>
          <w:lang w:eastAsia="lv-LV"/>
        </w:rPr>
        <w:t xml:space="preserve">. </w:t>
      </w:r>
      <w:r w:rsidR="00783230" w:rsidRPr="00B557E8">
        <w:rPr>
          <w:rFonts w:eastAsia="EUAlbertina-Bold-Identity-H"/>
          <w:color w:val="000000" w:themeColor="text1"/>
          <w:szCs w:val="24"/>
          <w:lang w:eastAsia="lv-LV"/>
        </w:rPr>
        <w:t>6</w:t>
      </w:r>
      <w:r w:rsidRPr="00B557E8">
        <w:rPr>
          <w:rFonts w:eastAsia="EUAlbertina-Bold-Identity-H"/>
          <w:color w:val="000000" w:themeColor="text1"/>
          <w:szCs w:val="24"/>
          <w:lang w:eastAsia="lv-LV"/>
        </w:rPr>
        <w:t xml:space="preserve">. </w:t>
      </w:r>
    </w:p>
    <w:p w:rsidR="00A33AC4" w:rsidRPr="00B557E8" w:rsidRDefault="00A33AC4" w:rsidP="00B557E8">
      <w:pPr>
        <w:spacing w:before="120" w:after="120" w:line="276" w:lineRule="auto"/>
        <w:jc w:val="left"/>
        <w:rPr>
          <w:rFonts w:eastAsia="EUAlbertina-Bold-Identity-H"/>
          <w:color w:val="000000" w:themeColor="text1"/>
          <w:szCs w:val="24"/>
          <w:lang w:eastAsia="lv-LV"/>
        </w:rPr>
      </w:pPr>
      <w:r w:rsidRPr="00B557E8">
        <w:rPr>
          <w:rFonts w:eastAsia="EUAlbertina-Bold-Identity-H"/>
          <w:color w:val="000000" w:themeColor="text1"/>
          <w:szCs w:val="24"/>
          <w:lang w:eastAsia="lv-LV"/>
        </w:rPr>
        <w:br w:type="page"/>
      </w:r>
    </w:p>
    <w:p w:rsidR="002C1419" w:rsidRPr="00B557E8" w:rsidRDefault="002C1419"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lastRenderedPageBreak/>
        <w:t>Tabula Nr.</w:t>
      </w:r>
      <w:r w:rsidR="00783230" w:rsidRPr="00B557E8">
        <w:rPr>
          <w:rFonts w:eastAsia="EUAlbertina-Bold-Identity-H"/>
          <w:color w:val="000000" w:themeColor="text1"/>
          <w:szCs w:val="24"/>
          <w:lang w:eastAsia="lv-LV"/>
        </w:rPr>
        <w:t>6</w:t>
      </w:r>
      <w:r w:rsidRPr="00B557E8">
        <w:rPr>
          <w:rFonts w:eastAsia="EUAlbertina-Bold-Identity-H"/>
          <w:color w:val="000000" w:themeColor="text1"/>
          <w:szCs w:val="24"/>
          <w:lang w:eastAsia="lv-LV"/>
        </w:rPr>
        <w:t xml:space="preserve">. </w:t>
      </w:r>
      <w:r w:rsidRPr="00B557E8">
        <w:rPr>
          <w:rFonts w:eastAsia="EUAlbertina-Bold-Identity-H"/>
          <w:i/>
          <w:color w:val="000000" w:themeColor="text1"/>
          <w:szCs w:val="24"/>
          <w:lang w:eastAsia="lv-LV"/>
        </w:rPr>
        <w:t>„Konstatēto neatbilstību skaits valsts budžeta iestāžu īstenotajos projektos un ierosināto izmeklēšanu/disciplinārlietu skaits 2011. gada 3. ceturksnī”.</w:t>
      </w:r>
      <w:r w:rsidRPr="00B557E8">
        <w:rPr>
          <w:rFonts w:eastAsia="EUAlbertina-Bold-Identity-H"/>
          <w:color w:val="000000" w:themeColor="text1"/>
          <w:szCs w:val="24"/>
          <w:lang w:eastAsia="lv-LV"/>
        </w:rPr>
        <w:t xml:space="preserve"> </w:t>
      </w:r>
    </w:p>
    <w:tbl>
      <w:tblPr>
        <w:tblStyle w:val="TableGrid"/>
        <w:tblpPr w:leftFromText="180" w:rightFromText="180" w:vertAnchor="text" w:tblpY="1"/>
        <w:tblOverlap w:val="never"/>
        <w:tblW w:w="9039" w:type="dxa"/>
        <w:tblLayout w:type="fixed"/>
        <w:tblLook w:val="04A0" w:firstRow="1" w:lastRow="0" w:firstColumn="1" w:lastColumn="0" w:noHBand="0" w:noVBand="1"/>
      </w:tblPr>
      <w:tblGrid>
        <w:gridCol w:w="534"/>
        <w:gridCol w:w="1701"/>
        <w:gridCol w:w="1984"/>
        <w:gridCol w:w="1843"/>
        <w:gridCol w:w="1276"/>
        <w:gridCol w:w="1701"/>
      </w:tblGrid>
      <w:tr w:rsidR="00B557E8" w:rsidRPr="003B2E97" w:rsidTr="002C1419">
        <w:tc>
          <w:tcPr>
            <w:tcW w:w="534" w:type="dxa"/>
            <w:shd w:val="clear" w:color="auto" w:fill="BFBFBF" w:themeFill="background1" w:themeFillShade="BF"/>
          </w:tcPr>
          <w:p w:rsidR="002C1419" w:rsidRPr="003B2E97" w:rsidRDefault="002C1419" w:rsidP="003B2E97">
            <w:pPr>
              <w:spacing w:line="276" w:lineRule="auto"/>
              <w:rPr>
                <w:rFonts w:eastAsia="EUAlbertina-Bold-Identity-H"/>
                <w:b/>
                <w:color w:val="000000" w:themeColor="text1"/>
                <w:sz w:val="20"/>
                <w:lang w:eastAsia="lv-LV"/>
              </w:rPr>
            </w:pPr>
            <w:proofErr w:type="spellStart"/>
            <w:r w:rsidRPr="003B2E97">
              <w:rPr>
                <w:rFonts w:eastAsia="EUAlbertina-Bold-Identity-H"/>
                <w:b/>
                <w:color w:val="000000" w:themeColor="text1"/>
                <w:sz w:val="20"/>
                <w:lang w:eastAsia="lv-LV"/>
              </w:rPr>
              <w:t>Nr.p.k</w:t>
            </w:r>
            <w:proofErr w:type="spellEnd"/>
          </w:p>
        </w:tc>
        <w:tc>
          <w:tcPr>
            <w:tcW w:w="1701" w:type="dxa"/>
            <w:shd w:val="clear" w:color="auto" w:fill="BFBFBF" w:themeFill="background1" w:themeFillShade="BF"/>
          </w:tcPr>
          <w:p w:rsidR="002C1419" w:rsidRPr="003B2E97" w:rsidRDefault="002C1419" w:rsidP="003B2E97">
            <w:pPr>
              <w:spacing w:line="276" w:lineRule="auto"/>
              <w:rPr>
                <w:rFonts w:eastAsia="EUAlbertina-Bold-Identity-H"/>
                <w:b/>
                <w:color w:val="000000" w:themeColor="text1"/>
                <w:sz w:val="20"/>
                <w:lang w:eastAsia="lv-LV"/>
              </w:rPr>
            </w:pPr>
            <w:r w:rsidRPr="003B2E97">
              <w:rPr>
                <w:rFonts w:eastAsia="EUAlbertina-Bold-Identity-H"/>
                <w:b/>
                <w:color w:val="000000" w:themeColor="text1"/>
                <w:sz w:val="20"/>
                <w:lang w:eastAsia="lv-LV"/>
              </w:rPr>
              <w:t>Resors</w:t>
            </w:r>
          </w:p>
        </w:tc>
        <w:tc>
          <w:tcPr>
            <w:tcW w:w="1984" w:type="dxa"/>
            <w:shd w:val="clear" w:color="auto" w:fill="BFBFBF" w:themeFill="background1" w:themeFillShade="BF"/>
          </w:tcPr>
          <w:p w:rsidR="002C1419" w:rsidRPr="003B2E97" w:rsidRDefault="002C1419" w:rsidP="003B2E97">
            <w:pPr>
              <w:spacing w:line="276" w:lineRule="auto"/>
              <w:rPr>
                <w:rFonts w:eastAsia="EUAlbertina-Bold-Identity-H"/>
                <w:b/>
                <w:color w:val="000000" w:themeColor="text1"/>
                <w:sz w:val="20"/>
                <w:lang w:eastAsia="lv-LV"/>
              </w:rPr>
            </w:pPr>
            <w:r w:rsidRPr="003B2E97">
              <w:rPr>
                <w:rFonts w:eastAsia="EUAlbertina-Bold-Identity-H"/>
                <w:b/>
                <w:color w:val="000000" w:themeColor="text1"/>
                <w:sz w:val="20"/>
                <w:lang w:eastAsia="lv-LV"/>
              </w:rPr>
              <w:t>Finansējuma saņēmējs</w:t>
            </w:r>
          </w:p>
        </w:tc>
        <w:tc>
          <w:tcPr>
            <w:tcW w:w="1843" w:type="dxa"/>
            <w:shd w:val="clear" w:color="auto" w:fill="BFBFBF" w:themeFill="background1" w:themeFillShade="BF"/>
          </w:tcPr>
          <w:p w:rsidR="002C1419" w:rsidRPr="003B2E97" w:rsidRDefault="002C1419" w:rsidP="003B2E97">
            <w:pPr>
              <w:spacing w:line="276" w:lineRule="auto"/>
              <w:rPr>
                <w:rFonts w:eastAsia="EUAlbertina-Bold-Identity-H"/>
                <w:b/>
                <w:color w:val="000000" w:themeColor="text1"/>
                <w:sz w:val="20"/>
                <w:lang w:eastAsia="lv-LV"/>
              </w:rPr>
            </w:pPr>
            <w:r w:rsidRPr="003B2E97">
              <w:rPr>
                <w:rFonts w:eastAsia="EUAlbertina-Bold-Identity-H"/>
                <w:b/>
                <w:color w:val="000000" w:themeColor="text1"/>
                <w:sz w:val="20"/>
                <w:lang w:eastAsia="lv-LV"/>
              </w:rPr>
              <w:t>Neatbilstību skaits un summa (neatbilstības virs 85 LVL)</w:t>
            </w:r>
          </w:p>
        </w:tc>
        <w:tc>
          <w:tcPr>
            <w:tcW w:w="1276" w:type="dxa"/>
            <w:shd w:val="clear" w:color="auto" w:fill="BFBFBF" w:themeFill="background1" w:themeFillShade="BF"/>
          </w:tcPr>
          <w:p w:rsidR="002C1419" w:rsidRPr="003B2E97" w:rsidRDefault="002C1419" w:rsidP="003B2E97">
            <w:pPr>
              <w:spacing w:line="276" w:lineRule="auto"/>
              <w:rPr>
                <w:rFonts w:eastAsia="EUAlbertina-Bold-Identity-H"/>
                <w:b/>
                <w:color w:val="000000" w:themeColor="text1"/>
                <w:sz w:val="20"/>
                <w:lang w:eastAsia="lv-LV"/>
              </w:rPr>
            </w:pPr>
            <w:r w:rsidRPr="003B2E97">
              <w:rPr>
                <w:rFonts w:eastAsia="EUAlbertina-Bold-Identity-H"/>
                <w:b/>
                <w:color w:val="000000" w:themeColor="text1"/>
                <w:sz w:val="20"/>
                <w:lang w:eastAsia="lv-LV"/>
              </w:rPr>
              <w:t>Ierosināto dienesta pārbaužu skaits</w:t>
            </w:r>
          </w:p>
        </w:tc>
        <w:tc>
          <w:tcPr>
            <w:tcW w:w="1701" w:type="dxa"/>
            <w:shd w:val="clear" w:color="auto" w:fill="BFBFBF" w:themeFill="background1" w:themeFillShade="BF"/>
          </w:tcPr>
          <w:p w:rsidR="002C1419" w:rsidRPr="003B2E97" w:rsidRDefault="002C1419" w:rsidP="003B2E97">
            <w:pPr>
              <w:spacing w:line="276" w:lineRule="auto"/>
              <w:rPr>
                <w:rFonts w:eastAsia="EUAlbertina-Bold-Identity-H"/>
                <w:b/>
                <w:color w:val="000000" w:themeColor="text1"/>
                <w:sz w:val="20"/>
                <w:lang w:eastAsia="lv-LV"/>
              </w:rPr>
            </w:pPr>
            <w:r w:rsidRPr="003B2E97">
              <w:rPr>
                <w:rFonts w:eastAsia="EUAlbertina-Bold-Identity-H"/>
                <w:b/>
                <w:color w:val="000000" w:themeColor="text1"/>
                <w:sz w:val="20"/>
                <w:lang w:eastAsia="lv-LV"/>
              </w:rPr>
              <w:t>Ierosināto disciplinārlietu skaits</w:t>
            </w:r>
          </w:p>
        </w:tc>
      </w:tr>
      <w:tr w:rsidR="00B557E8" w:rsidRPr="003B2E97" w:rsidTr="002C1419">
        <w:tc>
          <w:tcPr>
            <w:tcW w:w="534" w:type="dxa"/>
            <w:vMerge w:val="restart"/>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1.</w:t>
            </w:r>
          </w:p>
        </w:tc>
        <w:tc>
          <w:tcPr>
            <w:tcW w:w="1701" w:type="dxa"/>
            <w:vMerge w:val="restart"/>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Izglītības un zinātnes ministrija</w:t>
            </w:r>
          </w:p>
        </w:tc>
        <w:tc>
          <w:tcPr>
            <w:tcW w:w="1984"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Valsts izglītības satura centrs</w:t>
            </w:r>
          </w:p>
        </w:tc>
        <w:tc>
          <w:tcPr>
            <w:tcW w:w="1843"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2 (5 216,66 LVL)</w:t>
            </w:r>
          </w:p>
        </w:tc>
        <w:tc>
          <w:tcPr>
            <w:tcW w:w="1276"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0</w:t>
            </w:r>
          </w:p>
        </w:tc>
        <w:tc>
          <w:tcPr>
            <w:tcW w:w="1701"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0</w:t>
            </w:r>
          </w:p>
        </w:tc>
      </w:tr>
      <w:tr w:rsidR="00B557E8" w:rsidRPr="003B2E97" w:rsidTr="002C1419">
        <w:trPr>
          <w:trHeight w:val="808"/>
        </w:trPr>
        <w:tc>
          <w:tcPr>
            <w:tcW w:w="534" w:type="dxa"/>
            <w:vMerge/>
          </w:tcPr>
          <w:p w:rsidR="002C1419" w:rsidRPr="003B2E97" w:rsidRDefault="002C1419" w:rsidP="003B2E97">
            <w:pPr>
              <w:spacing w:line="276" w:lineRule="auto"/>
              <w:rPr>
                <w:rFonts w:eastAsia="EUAlbertina-Bold-Identity-H"/>
                <w:color w:val="000000" w:themeColor="text1"/>
                <w:sz w:val="20"/>
                <w:lang w:eastAsia="lv-LV"/>
              </w:rPr>
            </w:pPr>
          </w:p>
        </w:tc>
        <w:tc>
          <w:tcPr>
            <w:tcW w:w="1701" w:type="dxa"/>
            <w:vMerge/>
          </w:tcPr>
          <w:p w:rsidR="002C1419" w:rsidRPr="003B2E97" w:rsidRDefault="002C1419" w:rsidP="003B2E97">
            <w:pPr>
              <w:spacing w:line="276" w:lineRule="auto"/>
              <w:rPr>
                <w:rFonts w:eastAsia="EUAlbertina-Bold-Identity-H"/>
                <w:color w:val="000000" w:themeColor="text1"/>
                <w:sz w:val="20"/>
                <w:lang w:eastAsia="lv-LV"/>
              </w:rPr>
            </w:pPr>
          </w:p>
        </w:tc>
        <w:tc>
          <w:tcPr>
            <w:tcW w:w="1984"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Latviešu valodas aģentūra</w:t>
            </w:r>
          </w:p>
        </w:tc>
        <w:tc>
          <w:tcPr>
            <w:tcW w:w="1843"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4 (15 310,12 LVL)</w:t>
            </w:r>
          </w:p>
        </w:tc>
        <w:tc>
          <w:tcPr>
            <w:tcW w:w="1276"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0</w:t>
            </w:r>
          </w:p>
        </w:tc>
        <w:tc>
          <w:tcPr>
            <w:tcW w:w="1701"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0</w:t>
            </w:r>
          </w:p>
        </w:tc>
      </w:tr>
      <w:tr w:rsidR="00B557E8" w:rsidRPr="003B2E97" w:rsidTr="002C1419">
        <w:tc>
          <w:tcPr>
            <w:tcW w:w="534" w:type="dxa"/>
            <w:vMerge/>
          </w:tcPr>
          <w:p w:rsidR="002C1419" w:rsidRPr="003B2E97" w:rsidRDefault="002C1419" w:rsidP="003B2E97">
            <w:pPr>
              <w:spacing w:line="276" w:lineRule="auto"/>
              <w:rPr>
                <w:rFonts w:eastAsia="EUAlbertina-Bold-Identity-H"/>
                <w:color w:val="000000" w:themeColor="text1"/>
                <w:sz w:val="20"/>
                <w:lang w:eastAsia="lv-LV"/>
              </w:rPr>
            </w:pPr>
          </w:p>
        </w:tc>
        <w:tc>
          <w:tcPr>
            <w:tcW w:w="1701" w:type="dxa"/>
            <w:vMerge/>
          </w:tcPr>
          <w:p w:rsidR="002C1419" w:rsidRPr="003B2E97" w:rsidRDefault="002C1419" w:rsidP="003B2E97">
            <w:pPr>
              <w:spacing w:line="276" w:lineRule="auto"/>
              <w:rPr>
                <w:rFonts w:eastAsia="EUAlbertina-Bold-Identity-H"/>
                <w:color w:val="000000" w:themeColor="text1"/>
                <w:sz w:val="20"/>
                <w:lang w:eastAsia="lv-LV"/>
              </w:rPr>
            </w:pPr>
          </w:p>
        </w:tc>
        <w:tc>
          <w:tcPr>
            <w:tcW w:w="1984"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Izglītības un zinātnes ministrija</w:t>
            </w:r>
          </w:p>
        </w:tc>
        <w:tc>
          <w:tcPr>
            <w:tcW w:w="1843"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2 (1 669,21 LVL)</w:t>
            </w:r>
          </w:p>
        </w:tc>
        <w:tc>
          <w:tcPr>
            <w:tcW w:w="1276"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0</w:t>
            </w:r>
          </w:p>
        </w:tc>
        <w:tc>
          <w:tcPr>
            <w:tcW w:w="1701"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0</w:t>
            </w:r>
          </w:p>
        </w:tc>
      </w:tr>
      <w:tr w:rsidR="00B557E8" w:rsidRPr="003B2E97" w:rsidTr="002C1419">
        <w:tc>
          <w:tcPr>
            <w:tcW w:w="534" w:type="dxa"/>
            <w:vMerge w:val="restart"/>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2.</w:t>
            </w:r>
          </w:p>
        </w:tc>
        <w:tc>
          <w:tcPr>
            <w:tcW w:w="1701" w:type="dxa"/>
            <w:vMerge w:val="restart"/>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Kultūras ministrija</w:t>
            </w:r>
          </w:p>
        </w:tc>
        <w:tc>
          <w:tcPr>
            <w:tcW w:w="1984"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Kultūrizglītības un nemateriālā mantojuma centrs</w:t>
            </w:r>
          </w:p>
        </w:tc>
        <w:tc>
          <w:tcPr>
            <w:tcW w:w="1843"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1 (17 731, 14 LVL)</w:t>
            </w:r>
          </w:p>
        </w:tc>
        <w:tc>
          <w:tcPr>
            <w:tcW w:w="1276"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0</w:t>
            </w:r>
          </w:p>
        </w:tc>
        <w:tc>
          <w:tcPr>
            <w:tcW w:w="1701"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0</w:t>
            </w:r>
          </w:p>
        </w:tc>
      </w:tr>
      <w:tr w:rsidR="00B557E8" w:rsidRPr="003B2E97" w:rsidTr="002C1419">
        <w:tc>
          <w:tcPr>
            <w:tcW w:w="534" w:type="dxa"/>
            <w:vMerge/>
          </w:tcPr>
          <w:p w:rsidR="002C1419" w:rsidRPr="003B2E97" w:rsidRDefault="002C1419" w:rsidP="003B2E97">
            <w:pPr>
              <w:spacing w:line="276" w:lineRule="auto"/>
              <w:rPr>
                <w:rFonts w:eastAsia="EUAlbertina-Bold-Identity-H"/>
                <w:color w:val="000000" w:themeColor="text1"/>
                <w:sz w:val="20"/>
                <w:lang w:eastAsia="lv-LV"/>
              </w:rPr>
            </w:pPr>
          </w:p>
        </w:tc>
        <w:tc>
          <w:tcPr>
            <w:tcW w:w="1701" w:type="dxa"/>
            <w:vMerge/>
          </w:tcPr>
          <w:p w:rsidR="002C1419" w:rsidRPr="003B2E97" w:rsidRDefault="002C1419" w:rsidP="003B2E97">
            <w:pPr>
              <w:spacing w:line="276" w:lineRule="auto"/>
              <w:rPr>
                <w:rFonts w:eastAsia="EUAlbertina-Bold-Identity-H"/>
                <w:color w:val="000000" w:themeColor="text1"/>
                <w:sz w:val="20"/>
                <w:lang w:eastAsia="lv-LV"/>
              </w:rPr>
            </w:pPr>
          </w:p>
        </w:tc>
        <w:tc>
          <w:tcPr>
            <w:tcW w:w="1984"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Valsts aģentūra „Kultūras informācijas sistēmas”</w:t>
            </w:r>
          </w:p>
        </w:tc>
        <w:tc>
          <w:tcPr>
            <w:tcW w:w="1843"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1 (125 143,69 LVL)</w:t>
            </w:r>
          </w:p>
        </w:tc>
        <w:tc>
          <w:tcPr>
            <w:tcW w:w="1276"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0</w:t>
            </w:r>
          </w:p>
        </w:tc>
        <w:tc>
          <w:tcPr>
            <w:tcW w:w="1701"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0</w:t>
            </w:r>
          </w:p>
        </w:tc>
      </w:tr>
      <w:tr w:rsidR="00B557E8" w:rsidRPr="003B2E97" w:rsidTr="002C1419">
        <w:tc>
          <w:tcPr>
            <w:tcW w:w="534"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3.</w:t>
            </w:r>
          </w:p>
        </w:tc>
        <w:tc>
          <w:tcPr>
            <w:tcW w:w="1701"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Labklājības ministrija</w:t>
            </w:r>
          </w:p>
        </w:tc>
        <w:tc>
          <w:tcPr>
            <w:tcW w:w="1984"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Nodarbinātības valsts aģentūra</w:t>
            </w:r>
          </w:p>
        </w:tc>
        <w:tc>
          <w:tcPr>
            <w:tcW w:w="1843"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4 (32 472,44 LVL)</w:t>
            </w:r>
          </w:p>
        </w:tc>
        <w:tc>
          <w:tcPr>
            <w:tcW w:w="1276"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8</w:t>
            </w:r>
          </w:p>
        </w:tc>
        <w:tc>
          <w:tcPr>
            <w:tcW w:w="1701"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4</w:t>
            </w:r>
          </w:p>
        </w:tc>
      </w:tr>
      <w:tr w:rsidR="00B557E8" w:rsidRPr="003B2E97" w:rsidTr="002C1419">
        <w:tc>
          <w:tcPr>
            <w:tcW w:w="534"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 xml:space="preserve">4. </w:t>
            </w:r>
          </w:p>
        </w:tc>
        <w:tc>
          <w:tcPr>
            <w:tcW w:w="1701"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Ekonomikas ministrija</w:t>
            </w:r>
          </w:p>
        </w:tc>
        <w:tc>
          <w:tcPr>
            <w:tcW w:w="1984"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Latvijas Investīciju  un attīstības aģentūra</w:t>
            </w:r>
          </w:p>
        </w:tc>
        <w:tc>
          <w:tcPr>
            <w:tcW w:w="1843"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1 (135,13 LVL)</w:t>
            </w:r>
          </w:p>
        </w:tc>
        <w:tc>
          <w:tcPr>
            <w:tcW w:w="1276"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0</w:t>
            </w:r>
          </w:p>
        </w:tc>
        <w:tc>
          <w:tcPr>
            <w:tcW w:w="1701"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0</w:t>
            </w:r>
          </w:p>
        </w:tc>
      </w:tr>
      <w:tr w:rsidR="00B557E8" w:rsidRPr="003B2E97" w:rsidTr="002C1419">
        <w:tc>
          <w:tcPr>
            <w:tcW w:w="534"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 xml:space="preserve">5. </w:t>
            </w:r>
          </w:p>
        </w:tc>
        <w:tc>
          <w:tcPr>
            <w:tcW w:w="1701"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Vides aizsardzības un reģionālās attīstības ministrija</w:t>
            </w:r>
          </w:p>
        </w:tc>
        <w:tc>
          <w:tcPr>
            <w:tcW w:w="1984"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Vides aizsardzības un reģionālās attīstības ministrija</w:t>
            </w:r>
          </w:p>
        </w:tc>
        <w:tc>
          <w:tcPr>
            <w:tcW w:w="1843"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3 (326,52 LVL)</w:t>
            </w:r>
          </w:p>
        </w:tc>
        <w:tc>
          <w:tcPr>
            <w:tcW w:w="1276"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0</w:t>
            </w:r>
          </w:p>
        </w:tc>
        <w:tc>
          <w:tcPr>
            <w:tcW w:w="1701"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0</w:t>
            </w:r>
          </w:p>
        </w:tc>
      </w:tr>
      <w:tr w:rsidR="00B557E8" w:rsidRPr="003B2E97" w:rsidTr="002C1419">
        <w:tc>
          <w:tcPr>
            <w:tcW w:w="4219" w:type="dxa"/>
            <w:gridSpan w:val="3"/>
            <w:shd w:val="clear" w:color="auto" w:fill="BFBFBF" w:themeFill="background1" w:themeFillShade="BF"/>
          </w:tcPr>
          <w:p w:rsidR="002C1419" w:rsidRPr="003B2E97" w:rsidRDefault="002C1419" w:rsidP="003B2E97">
            <w:pPr>
              <w:spacing w:line="276" w:lineRule="auto"/>
              <w:rPr>
                <w:rFonts w:eastAsia="EUAlbertina-Bold-Identity-H"/>
                <w:b/>
                <w:color w:val="000000" w:themeColor="text1"/>
                <w:sz w:val="20"/>
                <w:lang w:eastAsia="lv-LV"/>
              </w:rPr>
            </w:pPr>
            <w:r w:rsidRPr="003B2E97">
              <w:rPr>
                <w:rFonts w:eastAsia="EUAlbertina-Bold-Identity-H"/>
                <w:b/>
                <w:color w:val="000000" w:themeColor="text1"/>
                <w:sz w:val="20"/>
                <w:lang w:eastAsia="lv-LV"/>
              </w:rPr>
              <w:t>Kopā 2007 – 2013. gada plānošanas periods</w:t>
            </w:r>
          </w:p>
        </w:tc>
        <w:tc>
          <w:tcPr>
            <w:tcW w:w="1843" w:type="dxa"/>
            <w:shd w:val="clear" w:color="auto" w:fill="BFBFBF" w:themeFill="background1" w:themeFillShade="BF"/>
          </w:tcPr>
          <w:p w:rsidR="002C1419" w:rsidRPr="003B2E97" w:rsidRDefault="002C1419" w:rsidP="003B2E97">
            <w:pPr>
              <w:spacing w:line="276" w:lineRule="auto"/>
              <w:rPr>
                <w:rFonts w:eastAsia="EUAlbertina-Bold-Identity-H"/>
                <w:b/>
                <w:color w:val="000000" w:themeColor="text1"/>
                <w:sz w:val="20"/>
                <w:lang w:eastAsia="lv-LV"/>
              </w:rPr>
            </w:pPr>
            <w:r w:rsidRPr="003B2E97">
              <w:rPr>
                <w:rFonts w:eastAsia="EUAlbertina-Bold-Identity-H"/>
                <w:b/>
                <w:color w:val="000000" w:themeColor="text1"/>
                <w:sz w:val="20"/>
                <w:lang w:eastAsia="lv-LV"/>
              </w:rPr>
              <w:t>18 (198 004,91 LVL)</w:t>
            </w:r>
          </w:p>
        </w:tc>
        <w:tc>
          <w:tcPr>
            <w:tcW w:w="1276" w:type="dxa"/>
            <w:shd w:val="clear" w:color="auto" w:fill="BFBFBF" w:themeFill="background1" w:themeFillShade="BF"/>
          </w:tcPr>
          <w:p w:rsidR="002C1419" w:rsidRPr="003B2E97" w:rsidRDefault="002C1419" w:rsidP="003B2E97">
            <w:pPr>
              <w:spacing w:line="276" w:lineRule="auto"/>
              <w:rPr>
                <w:rFonts w:eastAsia="EUAlbertina-Bold-Identity-H"/>
                <w:b/>
                <w:color w:val="000000" w:themeColor="text1"/>
                <w:sz w:val="20"/>
                <w:lang w:eastAsia="lv-LV"/>
              </w:rPr>
            </w:pPr>
            <w:r w:rsidRPr="003B2E97">
              <w:rPr>
                <w:rFonts w:eastAsia="EUAlbertina-Bold-Identity-H"/>
                <w:b/>
                <w:color w:val="000000" w:themeColor="text1"/>
                <w:sz w:val="20"/>
                <w:lang w:eastAsia="lv-LV"/>
              </w:rPr>
              <w:t>8</w:t>
            </w:r>
          </w:p>
        </w:tc>
        <w:tc>
          <w:tcPr>
            <w:tcW w:w="1701" w:type="dxa"/>
            <w:shd w:val="clear" w:color="auto" w:fill="BFBFBF" w:themeFill="background1" w:themeFillShade="BF"/>
          </w:tcPr>
          <w:p w:rsidR="002C1419" w:rsidRPr="003B2E97" w:rsidRDefault="002C1419" w:rsidP="003B2E97">
            <w:pPr>
              <w:spacing w:line="276" w:lineRule="auto"/>
              <w:rPr>
                <w:rFonts w:eastAsia="EUAlbertina-Bold-Identity-H"/>
                <w:b/>
                <w:color w:val="000000" w:themeColor="text1"/>
                <w:sz w:val="20"/>
                <w:lang w:eastAsia="lv-LV"/>
              </w:rPr>
            </w:pPr>
            <w:r w:rsidRPr="003B2E97">
              <w:rPr>
                <w:rFonts w:eastAsia="EUAlbertina-Bold-Identity-H"/>
                <w:b/>
                <w:color w:val="000000" w:themeColor="text1"/>
                <w:sz w:val="20"/>
                <w:lang w:eastAsia="lv-LV"/>
              </w:rPr>
              <w:t>4</w:t>
            </w:r>
          </w:p>
        </w:tc>
      </w:tr>
      <w:tr w:rsidR="00B557E8" w:rsidRPr="003B2E97" w:rsidTr="002C1419">
        <w:tc>
          <w:tcPr>
            <w:tcW w:w="534"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6.</w:t>
            </w:r>
          </w:p>
        </w:tc>
        <w:tc>
          <w:tcPr>
            <w:tcW w:w="1701"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Satiksmes ministrija*</w:t>
            </w:r>
          </w:p>
        </w:tc>
        <w:tc>
          <w:tcPr>
            <w:tcW w:w="1984"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Satiksmes ministrija</w:t>
            </w:r>
          </w:p>
        </w:tc>
        <w:tc>
          <w:tcPr>
            <w:tcW w:w="1843"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 xml:space="preserve">5 </w:t>
            </w:r>
            <w:r w:rsidR="00F73ADE" w:rsidRPr="003B2E97">
              <w:rPr>
                <w:rFonts w:eastAsia="EUAlbertina-Bold-Identity-H"/>
                <w:color w:val="000000" w:themeColor="text1"/>
                <w:sz w:val="20"/>
                <w:lang w:eastAsia="lv-LV"/>
              </w:rPr>
              <w:t>(264858,21 EUR-  209 142,92 LVL)</w:t>
            </w:r>
          </w:p>
        </w:tc>
        <w:tc>
          <w:tcPr>
            <w:tcW w:w="1276"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0</w:t>
            </w:r>
          </w:p>
        </w:tc>
        <w:tc>
          <w:tcPr>
            <w:tcW w:w="1701"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0</w:t>
            </w:r>
          </w:p>
        </w:tc>
      </w:tr>
      <w:tr w:rsidR="00B557E8" w:rsidRPr="003B2E97" w:rsidTr="002C1419">
        <w:tc>
          <w:tcPr>
            <w:tcW w:w="4219" w:type="dxa"/>
            <w:gridSpan w:val="3"/>
            <w:shd w:val="clear" w:color="auto" w:fill="BFBFBF" w:themeFill="background1" w:themeFillShade="BF"/>
          </w:tcPr>
          <w:p w:rsidR="002C1419" w:rsidRPr="003B2E97" w:rsidRDefault="002C1419" w:rsidP="003B2E97">
            <w:pPr>
              <w:spacing w:line="276" w:lineRule="auto"/>
              <w:rPr>
                <w:rFonts w:eastAsia="EUAlbertina-Bold-Identity-H"/>
                <w:b/>
                <w:color w:val="000000" w:themeColor="text1"/>
                <w:sz w:val="20"/>
                <w:lang w:eastAsia="lv-LV"/>
              </w:rPr>
            </w:pPr>
            <w:r w:rsidRPr="003B2E97">
              <w:rPr>
                <w:rFonts w:eastAsia="EUAlbertina-Bold-Identity-H"/>
                <w:b/>
                <w:color w:val="000000" w:themeColor="text1"/>
                <w:sz w:val="20"/>
                <w:lang w:eastAsia="lv-LV"/>
              </w:rPr>
              <w:t>Kopā 2004 – 2006. gada plānošanas periods (KF)</w:t>
            </w:r>
          </w:p>
        </w:tc>
        <w:tc>
          <w:tcPr>
            <w:tcW w:w="1843" w:type="dxa"/>
            <w:shd w:val="clear" w:color="auto" w:fill="BFBFBF" w:themeFill="background1" w:themeFillShade="BF"/>
          </w:tcPr>
          <w:p w:rsidR="002C1419" w:rsidRPr="003B2E97" w:rsidRDefault="002C1419" w:rsidP="003B2E97">
            <w:pPr>
              <w:spacing w:line="276" w:lineRule="auto"/>
              <w:rPr>
                <w:rFonts w:eastAsia="EUAlbertina-Bold-Identity-H"/>
                <w:b/>
                <w:color w:val="000000" w:themeColor="text1"/>
                <w:sz w:val="20"/>
                <w:lang w:eastAsia="lv-LV"/>
              </w:rPr>
            </w:pPr>
            <w:r w:rsidRPr="003B2E97">
              <w:rPr>
                <w:rFonts w:eastAsia="EUAlbertina-Bold-Identity-H"/>
                <w:b/>
                <w:color w:val="000000" w:themeColor="text1"/>
                <w:sz w:val="20"/>
                <w:lang w:eastAsia="lv-LV"/>
              </w:rPr>
              <w:t xml:space="preserve">5 </w:t>
            </w:r>
            <w:r w:rsidR="00F73ADE" w:rsidRPr="003B2E97">
              <w:rPr>
                <w:rFonts w:eastAsia="EUAlbertina-Bold-Identity-H"/>
                <w:b/>
                <w:color w:val="000000" w:themeColor="text1"/>
                <w:sz w:val="20"/>
                <w:lang w:eastAsia="lv-LV"/>
              </w:rPr>
              <w:t>(264858,21 EUR-  209 142,92 LVL)</w:t>
            </w:r>
          </w:p>
        </w:tc>
        <w:tc>
          <w:tcPr>
            <w:tcW w:w="1276" w:type="dxa"/>
            <w:shd w:val="clear" w:color="auto" w:fill="BFBFBF" w:themeFill="background1" w:themeFillShade="BF"/>
          </w:tcPr>
          <w:p w:rsidR="002C1419" w:rsidRPr="003B2E97" w:rsidRDefault="002C1419" w:rsidP="003B2E97">
            <w:pPr>
              <w:spacing w:line="276" w:lineRule="auto"/>
              <w:rPr>
                <w:rFonts w:eastAsia="EUAlbertina-Bold-Identity-H"/>
                <w:b/>
                <w:color w:val="000000" w:themeColor="text1"/>
                <w:sz w:val="20"/>
                <w:lang w:eastAsia="lv-LV"/>
              </w:rPr>
            </w:pPr>
            <w:r w:rsidRPr="003B2E97">
              <w:rPr>
                <w:rFonts w:eastAsia="EUAlbertina-Bold-Identity-H"/>
                <w:b/>
                <w:color w:val="000000" w:themeColor="text1"/>
                <w:sz w:val="20"/>
                <w:lang w:eastAsia="lv-LV"/>
              </w:rPr>
              <w:t>0</w:t>
            </w:r>
          </w:p>
        </w:tc>
        <w:tc>
          <w:tcPr>
            <w:tcW w:w="1701" w:type="dxa"/>
            <w:shd w:val="clear" w:color="auto" w:fill="BFBFBF" w:themeFill="background1" w:themeFillShade="BF"/>
          </w:tcPr>
          <w:p w:rsidR="002C1419" w:rsidRPr="003B2E97" w:rsidRDefault="002C1419" w:rsidP="003B2E97">
            <w:pPr>
              <w:spacing w:line="276" w:lineRule="auto"/>
              <w:rPr>
                <w:rFonts w:eastAsia="EUAlbertina-Bold-Identity-H"/>
                <w:b/>
                <w:color w:val="000000" w:themeColor="text1"/>
                <w:sz w:val="20"/>
                <w:lang w:eastAsia="lv-LV"/>
              </w:rPr>
            </w:pPr>
            <w:r w:rsidRPr="003B2E97">
              <w:rPr>
                <w:rFonts w:eastAsia="EUAlbertina-Bold-Identity-H"/>
                <w:b/>
                <w:color w:val="000000" w:themeColor="text1"/>
                <w:sz w:val="20"/>
                <w:lang w:eastAsia="lv-LV"/>
              </w:rPr>
              <w:t>0</w:t>
            </w:r>
          </w:p>
        </w:tc>
      </w:tr>
      <w:tr w:rsidR="00B557E8" w:rsidRPr="003B2E97" w:rsidTr="002C1419">
        <w:tc>
          <w:tcPr>
            <w:tcW w:w="534" w:type="dxa"/>
            <w:vMerge w:val="restart"/>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7.</w:t>
            </w:r>
          </w:p>
        </w:tc>
        <w:tc>
          <w:tcPr>
            <w:tcW w:w="1701" w:type="dxa"/>
            <w:vMerge w:val="restart"/>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Tieslietu ministrija**</w:t>
            </w:r>
          </w:p>
        </w:tc>
        <w:tc>
          <w:tcPr>
            <w:tcW w:w="1984"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Ieslodzījuma vietu pārvalde</w:t>
            </w:r>
          </w:p>
        </w:tc>
        <w:tc>
          <w:tcPr>
            <w:tcW w:w="1843"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2 (26 093, 2 LVL)</w:t>
            </w:r>
          </w:p>
        </w:tc>
        <w:tc>
          <w:tcPr>
            <w:tcW w:w="1276"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1</w:t>
            </w:r>
          </w:p>
        </w:tc>
        <w:tc>
          <w:tcPr>
            <w:tcW w:w="1701"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0</w:t>
            </w:r>
          </w:p>
        </w:tc>
      </w:tr>
      <w:tr w:rsidR="00B557E8" w:rsidRPr="003B2E97" w:rsidTr="002C1419">
        <w:tc>
          <w:tcPr>
            <w:tcW w:w="534" w:type="dxa"/>
            <w:vMerge/>
          </w:tcPr>
          <w:p w:rsidR="002C1419" w:rsidRPr="003B2E97" w:rsidRDefault="002C1419" w:rsidP="003B2E97">
            <w:pPr>
              <w:spacing w:line="276" w:lineRule="auto"/>
              <w:rPr>
                <w:rFonts w:eastAsia="EUAlbertina-Bold-Identity-H"/>
                <w:color w:val="000000" w:themeColor="text1"/>
                <w:sz w:val="20"/>
                <w:lang w:eastAsia="lv-LV"/>
              </w:rPr>
            </w:pPr>
          </w:p>
        </w:tc>
        <w:tc>
          <w:tcPr>
            <w:tcW w:w="1701" w:type="dxa"/>
            <w:vMerge/>
          </w:tcPr>
          <w:p w:rsidR="002C1419" w:rsidRPr="003B2E97" w:rsidRDefault="002C1419" w:rsidP="003B2E97">
            <w:pPr>
              <w:spacing w:line="276" w:lineRule="auto"/>
              <w:rPr>
                <w:rFonts w:eastAsia="EUAlbertina-Bold-Identity-H"/>
                <w:color w:val="000000" w:themeColor="text1"/>
                <w:sz w:val="20"/>
                <w:lang w:eastAsia="lv-LV"/>
              </w:rPr>
            </w:pPr>
          </w:p>
        </w:tc>
        <w:tc>
          <w:tcPr>
            <w:tcW w:w="1984"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Valsts probācijas dienests</w:t>
            </w:r>
          </w:p>
        </w:tc>
        <w:tc>
          <w:tcPr>
            <w:tcW w:w="1843"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1 (1 672,88 LVL)</w:t>
            </w:r>
          </w:p>
        </w:tc>
        <w:tc>
          <w:tcPr>
            <w:tcW w:w="1276"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1</w:t>
            </w:r>
          </w:p>
        </w:tc>
        <w:tc>
          <w:tcPr>
            <w:tcW w:w="1701"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1</w:t>
            </w:r>
          </w:p>
        </w:tc>
      </w:tr>
      <w:tr w:rsidR="00B557E8" w:rsidRPr="003B2E97" w:rsidTr="002C1419">
        <w:tc>
          <w:tcPr>
            <w:tcW w:w="534" w:type="dxa"/>
            <w:vMerge w:val="restart"/>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8.</w:t>
            </w:r>
          </w:p>
        </w:tc>
        <w:tc>
          <w:tcPr>
            <w:tcW w:w="1701" w:type="dxa"/>
            <w:vMerge w:val="restart"/>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Iekšlietu ministrija**</w:t>
            </w:r>
          </w:p>
        </w:tc>
        <w:tc>
          <w:tcPr>
            <w:tcW w:w="1984"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Iekšlietu ministrijas informācijas centrs</w:t>
            </w:r>
          </w:p>
        </w:tc>
        <w:tc>
          <w:tcPr>
            <w:tcW w:w="1843"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2 (1 995,32 LVL)</w:t>
            </w:r>
          </w:p>
        </w:tc>
        <w:tc>
          <w:tcPr>
            <w:tcW w:w="1276"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0</w:t>
            </w:r>
          </w:p>
        </w:tc>
        <w:tc>
          <w:tcPr>
            <w:tcW w:w="1701"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0</w:t>
            </w:r>
          </w:p>
        </w:tc>
      </w:tr>
      <w:tr w:rsidR="00B557E8" w:rsidRPr="003B2E97" w:rsidTr="002C1419">
        <w:tc>
          <w:tcPr>
            <w:tcW w:w="534" w:type="dxa"/>
            <w:vMerge/>
          </w:tcPr>
          <w:p w:rsidR="002C1419" w:rsidRPr="003B2E97" w:rsidRDefault="002C1419" w:rsidP="003B2E97">
            <w:pPr>
              <w:spacing w:line="276" w:lineRule="auto"/>
              <w:rPr>
                <w:rFonts w:eastAsia="EUAlbertina-Bold-Identity-H"/>
                <w:color w:val="000000" w:themeColor="text1"/>
                <w:sz w:val="20"/>
                <w:lang w:eastAsia="lv-LV"/>
              </w:rPr>
            </w:pPr>
          </w:p>
        </w:tc>
        <w:tc>
          <w:tcPr>
            <w:tcW w:w="1701" w:type="dxa"/>
            <w:vMerge/>
          </w:tcPr>
          <w:p w:rsidR="002C1419" w:rsidRPr="003B2E97" w:rsidRDefault="002C1419" w:rsidP="003B2E97">
            <w:pPr>
              <w:spacing w:line="276" w:lineRule="auto"/>
              <w:rPr>
                <w:rFonts w:eastAsia="EUAlbertina-Bold-Identity-H"/>
                <w:color w:val="000000" w:themeColor="text1"/>
                <w:sz w:val="20"/>
                <w:lang w:eastAsia="lv-LV"/>
              </w:rPr>
            </w:pPr>
          </w:p>
        </w:tc>
        <w:tc>
          <w:tcPr>
            <w:tcW w:w="1984"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Valsts policija</w:t>
            </w:r>
          </w:p>
        </w:tc>
        <w:tc>
          <w:tcPr>
            <w:tcW w:w="1843"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1 (1 499,97 LVL)</w:t>
            </w:r>
          </w:p>
        </w:tc>
        <w:tc>
          <w:tcPr>
            <w:tcW w:w="1276"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0</w:t>
            </w:r>
          </w:p>
        </w:tc>
        <w:tc>
          <w:tcPr>
            <w:tcW w:w="1701"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0</w:t>
            </w:r>
          </w:p>
        </w:tc>
      </w:tr>
      <w:tr w:rsidR="00B557E8" w:rsidRPr="003B2E97" w:rsidTr="002C1419">
        <w:tc>
          <w:tcPr>
            <w:tcW w:w="534"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9.</w:t>
            </w:r>
          </w:p>
        </w:tc>
        <w:tc>
          <w:tcPr>
            <w:tcW w:w="1701"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Finanšu ministrija**</w:t>
            </w:r>
          </w:p>
        </w:tc>
        <w:tc>
          <w:tcPr>
            <w:tcW w:w="1984"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Finanšu ministrija</w:t>
            </w:r>
          </w:p>
        </w:tc>
        <w:tc>
          <w:tcPr>
            <w:tcW w:w="1843"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1 (3 045,95 LVL)</w:t>
            </w:r>
          </w:p>
        </w:tc>
        <w:tc>
          <w:tcPr>
            <w:tcW w:w="1276" w:type="dxa"/>
          </w:tcPr>
          <w:p w:rsidR="002C1419" w:rsidRPr="003B2E97" w:rsidRDefault="00B47A28"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1</w:t>
            </w:r>
          </w:p>
        </w:tc>
        <w:tc>
          <w:tcPr>
            <w:tcW w:w="1701" w:type="dxa"/>
          </w:tcPr>
          <w:p w:rsidR="002C1419" w:rsidRPr="003B2E97" w:rsidRDefault="002C1419"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0</w:t>
            </w:r>
          </w:p>
        </w:tc>
      </w:tr>
      <w:tr w:rsidR="00B557E8" w:rsidRPr="003B2E97" w:rsidTr="002C1419">
        <w:tc>
          <w:tcPr>
            <w:tcW w:w="4219" w:type="dxa"/>
            <w:gridSpan w:val="3"/>
            <w:shd w:val="clear" w:color="auto" w:fill="BFBFBF" w:themeFill="background1" w:themeFillShade="BF"/>
          </w:tcPr>
          <w:p w:rsidR="002C1419" w:rsidRPr="003B2E97" w:rsidRDefault="002C1419" w:rsidP="003B2E97">
            <w:pPr>
              <w:spacing w:line="276" w:lineRule="auto"/>
              <w:rPr>
                <w:rFonts w:eastAsia="EUAlbertina-Bold-Identity-H"/>
                <w:b/>
                <w:color w:val="000000" w:themeColor="text1"/>
                <w:sz w:val="20"/>
                <w:lang w:eastAsia="lv-LV"/>
              </w:rPr>
            </w:pPr>
            <w:r w:rsidRPr="003B2E97">
              <w:rPr>
                <w:rFonts w:eastAsia="EUAlbertina-Bold-Identity-H"/>
                <w:b/>
                <w:color w:val="000000" w:themeColor="text1"/>
                <w:sz w:val="20"/>
                <w:lang w:eastAsia="lv-LV"/>
              </w:rPr>
              <w:t>Kopā 2004 – 2009 gada EEZ/Norvēģijas finanšu instrumenti</w:t>
            </w:r>
          </w:p>
        </w:tc>
        <w:tc>
          <w:tcPr>
            <w:tcW w:w="1843" w:type="dxa"/>
            <w:shd w:val="clear" w:color="auto" w:fill="BFBFBF" w:themeFill="background1" w:themeFillShade="BF"/>
          </w:tcPr>
          <w:p w:rsidR="002C1419" w:rsidRPr="003B2E97" w:rsidRDefault="002C1419" w:rsidP="003B2E97">
            <w:pPr>
              <w:spacing w:line="276" w:lineRule="auto"/>
              <w:rPr>
                <w:rFonts w:eastAsia="EUAlbertina-Bold-Identity-H"/>
                <w:b/>
                <w:color w:val="000000" w:themeColor="text1"/>
                <w:sz w:val="20"/>
                <w:lang w:eastAsia="lv-LV"/>
              </w:rPr>
            </w:pPr>
            <w:r w:rsidRPr="003B2E97">
              <w:rPr>
                <w:rFonts w:eastAsia="EUAlbertina-Bold-Identity-H"/>
                <w:b/>
                <w:color w:val="000000" w:themeColor="text1"/>
                <w:sz w:val="20"/>
                <w:lang w:eastAsia="lv-LV"/>
              </w:rPr>
              <w:t>7 (34 307,24 LVL)</w:t>
            </w:r>
          </w:p>
        </w:tc>
        <w:tc>
          <w:tcPr>
            <w:tcW w:w="1276" w:type="dxa"/>
            <w:shd w:val="clear" w:color="auto" w:fill="BFBFBF" w:themeFill="background1" w:themeFillShade="BF"/>
          </w:tcPr>
          <w:p w:rsidR="002C1419" w:rsidRPr="003B2E97" w:rsidRDefault="002C1419" w:rsidP="003B2E97">
            <w:pPr>
              <w:spacing w:line="276" w:lineRule="auto"/>
              <w:rPr>
                <w:rFonts w:eastAsia="EUAlbertina-Bold-Identity-H"/>
                <w:b/>
                <w:color w:val="000000" w:themeColor="text1"/>
                <w:sz w:val="20"/>
                <w:lang w:eastAsia="lv-LV"/>
              </w:rPr>
            </w:pPr>
            <w:r w:rsidRPr="003B2E97">
              <w:rPr>
                <w:rFonts w:eastAsia="EUAlbertina-Bold-Identity-H"/>
                <w:b/>
                <w:color w:val="000000" w:themeColor="text1"/>
                <w:sz w:val="20"/>
                <w:lang w:eastAsia="lv-LV"/>
              </w:rPr>
              <w:t>2</w:t>
            </w:r>
          </w:p>
        </w:tc>
        <w:tc>
          <w:tcPr>
            <w:tcW w:w="1701" w:type="dxa"/>
            <w:shd w:val="clear" w:color="auto" w:fill="BFBFBF" w:themeFill="background1" w:themeFillShade="BF"/>
          </w:tcPr>
          <w:p w:rsidR="002C1419" w:rsidRPr="003B2E97" w:rsidRDefault="002C1419" w:rsidP="003B2E97">
            <w:pPr>
              <w:spacing w:line="276" w:lineRule="auto"/>
              <w:rPr>
                <w:rFonts w:eastAsia="EUAlbertina-Bold-Identity-H"/>
                <w:b/>
                <w:color w:val="000000" w:themeColor="text1"/>
                <w:sz w:val="20"/>
                <w:lang w:eastAsia="lv-LV"/>
              </w:rPr>
            </w:pPr>
            <w:r w:rsidRPr="003B2E97">
              <w:rPr>
                <w:rFonts w:eastAsia="EUAlbertina-Bold-Identity-H"/>
                <w:b/>
                <w:color w:val="000000" w:themeColor="text1"/>
                <w:sz w:val="20"/>
                <w:lang w:eastAsia="lv-LV"/>
              </w:rPr>
              <w:t>1</w:t>
            </w:r>
          </w:p>
        </w:tc>
      </w:tr>
    </w:tbl>
    <w:p w:rsidR="002C1419" w:rsidRPr="00B557E8" w:rsidRDefault="002C1419" w:rsidP="00B557E8">
      <w:pPr>
        <w:spacing w:before="120" w:after="120" w:line="276" w:lineRule="auto"/>
        <w:rPr>
          <w:rFonts w:eastAsia="EUAlbertina-Bold-Identity-H"/>
          <w:i/>
          <w:color w:val="000000" w:themeColor="text1"/>
          <w:szCs w:val="24"/>
          <w:lang w:eastAsia="lv-LV"/>
        </w:rPr>
      </w:pPr>
      <w:r w:rsidRPr="00B557E8">
        <w:rPr>
          <w:rFonts w:eastAsia="EUAlbertina-Bold-Identity-H"/>
          <w:i/>
          <w:color w:val="000000" w:themeColor="text1"/>
          <w:szCs w:val="24"/>
          <w:lang w:eastAsia="lv-LV"/>
        </w:rPr>
        <w:t xml:space="preserve">*2004 – 2006. gada plānošanas perioda Kohēzijas fonds </w:t>
      </w:r>
    </w:p>
    <w:p w:rsidR="002C1419" w:rsidRPr="00B557E8" w:rsidRDefault="002C1419" w:rsidP="00B557E8">
      <w:pPr>
        <w:spacing w:before="120" w:after="120" w:line="276" w:lineRule="auto"/>
        <w:rPr>
          <w:rFonts w:eastAsia="EUAlbertina-Bold-Identity-H"/>
          <w:i/>
          <w:color w:val="000000" w:themeColor="text1"/>
          <w:szCs w:val="24"/>
          <w:lang w:eastAsia="lv-LV"/>
        </w:rPr>
      </w:pPr>
      <w:r w:rsidRPr="00B557E8">
        <w:rPr>
          <w:rFonts w:eastAsia="EUAlbertina-Bold-Identity-H"/>
          <w:i/>
          <w:color w:val="000000" w:themeColor="text1"/>
          <w:szCs w:val="24"/>
          <w:lang w:eastAsia="lv-LV"/>
        </w:rPr>
        <w:t>**2004 – 2009 gada EEZ/Norvēģijas finanšu instrumenti.</w:t>
      </w:r>
    </w:p>
    <w:p w:rsidR="002C1419" w:rsidRPr="00B557E8" w:rsidRDefault="00F73AD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lastRenderedPageBreak/>
        <w:t>Diemžēl no tabulā</w:t>
      </w:r>
      <w:r w:rsidR="00783230" w:rsidRPr="00B557E8">
        <w:rPr>
          <w:rFonts w:eastAsia="EUAlbertina-Bold-Identity-H"/>
          <w:color w:val="000000" w:themeColor="text1"/>
          <w:szCs w:val="24"/>
          <w:lang w:eastAsia="lv-LV"/>
        </w:rPr>
        <w:t xml:space="preserve"> Nr.6</w:t>
      </w:r>
      <w:r w:rsidRPr="00B557E8">
        <w:rPr>
          <w:rFonts w:eastAsia="EUAlbertina-Bold-Identity-H"/>
          <w:color w:val="000000" w:themeColor="text1"/>
          <w:szCs w:val="24"/>
          <w:lang w:eastAsia="lv-LV"/>
        </w:rPr>
        <w:t xml:space="preserve"> apkopotās informācijas </w:t>
      </w:r>
      <w:r w:rsidR="00783230" w:rsidRPr="00B557E8">
        <w:rPr>
          <w:rFonts w:eastAsia="EUAlbertina-Bold-Identity-H"/>
          <w:color w:val="000000" w:themeColor="text1"/>
          <w:szCs w:val="24"/>
          <w:lang w:eastAsia="lv-LV"/>
        </w:rPr>
        <w:t>secināms</w:t>
      </w:r>
      <w:r w:rsidRPr="00B557E8">
        <w:rPr>
          <w:rFonts w:eastAsia="EUAlbertina-Bold-Identity-H"/>
          <w:color w:val="000000" w:themeColor="text1"/>
          <w:szCs w:val="24"/>
          <w:lang w:eastAsia="lv-LV"/>
        </w:rPr>
        <w:t>, ka ļoti daudzu neatbilstību atklāšanas gadījumā  nav sekojusi MK 2011. gada 8. marta</w:t>
      </w:r>
      <w:r w:rsidR="00DF350E" w:rsidRPr="00B557E8">
        <w:rPr>
          <w:rFonts w:eastAsia="EUAlbertina-Bold-Identity-H"/>
          <w:color w:val="000000" w:themeColor="text1"/>
          <w:szCs w:val="24"/>
          <w:lang w:eastAsia="lv-LV"/>
        </w:rPr>
        <w:t xml:space="preserve"> sēdes protokola</w:t>
      </w:r>
      <w:r w:rsidRPr="00B557E8">
        <w:rPr>
          <w:rFonts w:eastAsia="EUAlbertina-Bold-Identity-H"/>
          <w:color w:val="000000" w:themeColor="text1"/>
          <w:szCs w:val="24"/>
          <w:lang w:eastAsia="lv-LV"/>
        </w:rPr>
        <w:t xml:space="preserve"> </w:t>
      </w:r>
      <w:proofErr w:type="spellStart"/>
      <w:r w:rsidRPr="00B557E8">
        <w:rPr>
          <w:rFonts w:eastAsia="EUAlbertina-Bold-Identity-H"/>
          <w:color w:val="000000" w:themeColor="text1"/>
          <w:szCs w:val="24"/>
          <w:lang w:eastAsia="lv-LV"/>
        </w:rPr>
        <w:t>Nr</w:t>
      </w:r>
      <w:proofErr w:type="spellEnd"/>
      <w:r w:rsidRPr="00B557E8">
        <w:rPr>
          <w:rFonts w:eastAsia="EUAlbertina-Bold-Identity-H"/>
          <w:color w:val="000000" w:themeColor="text1"/>
          <w:szCs w:val="24"/>
          <w:lang w:eastAsia="lv-LV"/>
        </w:rPr>
        <w:t xml:space="preserve">. 14., 21§ 4. punktā noteiktā rīcība. </w:t>
      </w:r>
    </w:p>
    <w:p w:rsidR="002C1419" w:rsidRPr="00B557E8" w:rsidRDefault="002C1419"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Atgādinām, ka atbilstoši MK 2011. gada 8. marta sēdes protokolam </w:t>
      </w:r>
      <w:proofErr w:type="spellStart"/>
      <w:r w:rsidRPr="00B557E8">
        <w:rPr>
          <w:rFonts w:eastAsia="EUAlbertina-Bold-Identity-H"/>
          <w:color w:val="000000" w:themeColor="text1"/>
          <w:szCs w:val="24"/>
          <w:lang w:eastAsia="lv-LV"/>
        </w:rPr>
        <w:t>Nr</w:t>
      </w:r>
      <w:proofErr w:type="spellEnd"/>
      <w:r w:rsidRPr="00B557E8">
        <w:rPr>
          <w:rFonts w:eastAsia="EUAlbertina-Bold-Identity-H"/>
          <w:color w:val="000000" w:themeColor="text1"/>
          <w:szCs w:val="24"/>
          <w:lang w:eastAsia="lv-LV"/>
        </w:rPr>
        <w:t xml:space="preserve">. 14., 21§ 4. punktam AI konstatējot neatbilstību vai neatbilstoši veiktus izdevumus valsts budžeta iestādes īstenotajā projektā vai tās kā ES fondu vadībā iesaistītās institūcijas pienākumu izpildē, izvērtējot lietas apstākļus nepieciešamības gadījumā jāveic dienesta pārbaudi atbilstoši Valsts pārvaldes iekārtas likuma 35.panta pirmajai daļai. Pēc dienesta pārbaudes atzinuma saņemšanas, ja nepieciešamas, jāierosina disciplinārlieta pret atbildīgajām amatpersonām un pārvaldes amatpersonām atbilstoši Valsts civildienesta ierēdņu disciplināratbildības likumam, Darba likumam un citiem speciālajiem normatīvajiem aktiem, kuri regulē amatpersonu disciplināratbildību. </w:t>
      </w:r>
    </w:p>
    <w:p w:rsidR="008A3078" w:rsidRPr="00B557E8" w:rsidRDefault="00B85134" w:rsidP="00B557E8">
      <w:pPr>
        <w:pStyle w:val="2lmenis"/>
        <w:numPr>
          <w:ilvl w:val="1"/>
          <w:numId w:val="2"/>
        </w:numPr>
        <w:spacing w:before="120" w:after="120" w:line="276" w:lineRule="auto"/>
        <w:ind w:left="1276" w:hanging="425"/>
        <w:jc w:val="both"/>
        <w:rPr>
          <w:color w:val="000000" w:themeColor="text1"/>
          <w:sz w:val="24"/>
          <w:szCs w:val="24"/>
          <w:lang w:val="lv-LV"/>
        </w:rPr>
      </w:pPr>
      <w:bookmarkStart w:id="46" w:name="_Toc308774244"/>
      <w:r w:rsidRPr="00B557E8">
        <w:rPr>
          <w:color w:val="000000" w:themeColor="text1"/>
          <w:sz w:val="24"/>
          <w:szCs w:val="24"/>
          <w:lang w:val="lv-LV"/>
        </w:rPr>
        <w:t xml:space="preserve">Eiropas Ekonomikas zonas un </w:t>
      </w:r>
      <w:r w:rsidR="008A3078" w:rsidRPr="00B557E8">
        <w:rPr>
          <w:color w:val="000000" w:themeColor="text1"/>
          <w:sz w:val="24"/>
          <w:szCs w:val="24"/>
          <w:lang w:val="lv-LV"/>
        </w:rPr>
        <w:t>Norvēģijas finanšu instrumentu, Latvijas un Šveices sadarbības programma</w:t>
      </w:r>
      <w:bookmarkEnd w:id="46"/>
    </w:p>
    <w:p w:rsidR="00A921FA" w:rsidRPr="00B557E8" w:rsidRDefault="00A921FA" w:rsidP="00B557E8">
      <w:pPr>
        <w:spacing w:before="120" w:after="120" w:line="276" w:lineRule="auto"/>
        <w:rPr>
          <w:rFonts w:eastAsia="EUAlbertina-Bold-Identity-H"/>
          <w:color w:val="000000" w:themeColor="text1"/>
          <w:szCs w:val="24"/>
          <w:lang w:eastAsia="lv-LV"/>
        </w:rPr>
      </w:pPr>
      <w:bookmarkStart w:id="47" w:name="_Toc276050004"/>
      <w:r w:rsidRPr="00B557E8">
        <w:rPr>
          <w:rFonts w:eastAsia="EUAlbertina-Bold-Identity-H"/>
          <w:color w:val="000000" w:themeColor="text1"/>
          <w:szCs w:val="24"/>
          <w:lang w:eastAsia="lv-LV"/>
        </w:rPr>
        <w:t xml:space="preserve">2011.gada 3.ceturknī ir konstatētas neatbilstības 2 individuālajos projektos, par kurām </w:t>
      </w:r>
      <w:proofErr w:type="spellStart"/>
      <w:r w:rsidRPr="00B557E8">
        <w:rPr>
          <w:rFonts w:eastAsia="EUAlbertina-Bold-Identity-H"/>
          <w:color w:val="000000" w:themeColor="text1"/>
          <w:szCs w:val="24"/>
          <w:lang w:eastAsia="lv-LV"/>
        </w:rPr>
        <w:t>donorvalstis</w:t>
      </w:r>
      <w:proofErr w:type="spellEnd"/>
      <w:r w:rsidRPr="00B557E8">
        <w:rPr>
          <w:rFonts w:eastAsia="EUAlbertina-Bold-Identity-H"/>
          <w:color w:val="000000" w:themeColor="text1"/>
          <w:szCs w:val="24"/>
          <w:lang w:eastAsia="lv-LV"/>
        </w:rPr>
        <w:t xml:space="preserve"> ir informētas ar ceturkšņa neatbilstību ziņojumiem. Sākot no pirmo projektu īstenošanas uzsākšanas 2007.gada janvārī līdz pārskata perioda beigām kopā ir konstatētas neatbilstības 8 individuālajos projektos, 5 VPP programmas  </w:t>
      </w:r>
      <w:proofErr w:type="spellStart"/>
      <w:r w:rsidRPr="00B557E8">
        <w:rPr>
          <w:rFonts w:eastAsia="EUAlbertina-Bold-Identity-H"/>
          <w:color w:val="000000" w:themeColor="text1"/>
          <w:szCs w:val="24"/>
          <w:lang w:eastAsia="lv-LV"/>
        </w:rPr>
        <w:t>apakšprojektos</w:t>
      </w:r>
      <w:proofErr w:type="spellEnd"/>
      <w:r w:rsidRPr="00B557E8">
        <w:rPr>
          <w:rFonts w:eastAsia="EUAlbertina-Bold-Identity-H"/>
          <w:color w:val="000000" w:themeColor="text1"/>
          <w:szCs w:val="24"/>
          <w:lang w:eastAsia="lv-LV"/>
        </w:rPr>
        <w:t xml:space="preserve"> un 1 Stipendiju grantu shēmas </w:t>
      </w:r>
      <w:proofErr w:type="spellStart"/>
      <w:r w:rsidRPr="00B557E8">
        <w:rPr>
          <w:rFonts w:eastAsia="EUAlbertina-Bold-Identity-H"/>
          <w:color w:val="000000" w:themeColor="text1"/>
          <w:szCs w:val="24"/>
          <w:lang w:eastAsia="lv-LV"/>
        </w:rPr>
        <w:t>apakšprojektā</w:t>
      </w:r>
      <w:proofErr w:type="spellEnd"/>
      <w:r w:rsidRPr="00B557E8">
        <w:rPr>
          <w:rFonts w:eastAsia="EUAlbertina-Bold-Identity-H"/>
          <w:color w:val="000000" w:themeColor="text1"/>
          <w:szCs w:val="24"/>
          <w:lang w:eastAsia="lv-LV"/>
        </w:rPr>
        <w:t>.</w:t>
      </w:r>
    </w:p>
    <w:p w:rsidR="002C1419" w:rsidRPr="00B557E8" w:rsidRDefault="0053690D"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CFLA</w:t>
      </w:r>
      <w:r w:rsidR="00A921FA" w:rsidRPr="00B557E8">
        <w:rPr>
          <w:rFonts w:eastAsia="EUAlbertina-Bold-Identity-H"/>
          <w:color w:val="000000" w:themeColor="text1"/>
          <w:szCs w:val="24"/>
          <w:lang w:eastAsia="lv-LV"/>
        </w:rPr>
        <w:t xml:space="preserve"> un Valsts kase līdz pārskata perioda beigām par neattiecināmiem izdevumiem ir atzinušas un samazinājušas projektu starpposma pārskatos iekļautos izdevumus kopsummā 769,6 </w:t>
      </w:r>
      <w:proofErr w:type="spellStart"/>
      <w:r w:rsidR="00A921FA" w:rsidRPr="00B557E8">
        <w:rPr>
          <w:rFonts w:eastAsia="EUAlbertina-Bold-Identity-H"/>
          <w:color w:val="000000" w:themeColor="text1"/>
          <w:szCs w:val="24"/>
          <w:lang w:eastAsia="lv-LV"/>
        </w:rPr>
        <w:t>tūkst</w:t>
      </w:r>
      <w:proofErr w:type="spellEnd"/>
      <w:r w:rsidR="00A921FA" w:rsidRPr="00B557E8">
        <w:rPr>
          <w:rFonts w:eastAsia="EUAlbertina-Bold-Identity-H"/>
          <w:color w:val="000000" w:themeColor="text1"/>
          <w:szCs w:val="24"/>
          <w:lang w:eastAsia="lv-LV"/>
        </w:rPr>
        <w:t xml:space="preserve">. latu apmērā jeb 1,7% no EEZ/Norvēģijas finanšu instrumentu ietvaros noslēgtajos līgumos pieejamā kopējā publiskā finansējuma, </w:t>
      </w:r>
      <w:proofErr w:type="spellStart"/>
      <w:r w:rsidR="00A921FA" w:rsidRPr="00B557E8">
        <w:rPr>
          <w:rFonts w:eastAsia="EUAlbertina-Bold-Identity-H"/>
          <w:color w:val="000000" w:themeColor="text1"/>
          <w:szCs w:val="24"/>
          <w:lang w:eastAsia="lv-LV"/>
        </w:rPr>
        <w:t>t.sk</w:t>
      </w:r>
      <w:proofErr w:type="spellEnd"/>
      <w:r w:rsidR="00A921FA" w:rsidRPr="00B557E8">
        <w:rPr>
          <w:rFonts w:eastAsia="EUAlbertina-Bold-Identity-H"/>
          <w:color w:val="000000" w:themeColor="text1"/>
          <w:szCs w:val="24"/>
          <w:lang w:eastAsia="lv-LV"/>
        </w:rPr>
        <w:t>.:</w:t>
      </w:r>
    </w:p>
    <w:p w:rsidR="00A921FA" w:rsidRPr="00B557E8" w:rsidRDefault="00A921FA" w:rsidP="00B557E8">
      <w:pPr>
        <w:spacing w:before="120" w:after="120" w:line="276" w:lineRule="auto"/>
        <w:rPr>
          <w:rFonts w:eastAsia="EUAlbertina-Bold-Identity-H"/>
          <w:i/>
          <w:color w:val="000000" w:themeColor="text1"/>
          <w:szCs w:val="24"/>
          <w:lang w:eastAsia="lv-LV"/>
        </w:rPr>
      </w:pPr>
      <w:r w:rsidRPr="00B557E8">
        <w:rPr>
          <w:rFonts w:eastAsia="EUAlbertina-Bold-Identity-H"/>
          <w:color w:val="000000" w:themeColor="text1"/>
          <w:szCs w:val="24"/>
          <w:lang w:eastAsia="lv-LV"/>
        </w:rPr>
        <w:t>Tabula Nr.</w:t>
      </w:r>
      <w:r w:rsidR="00783230" w:rsidRPr="00B557E8">
        <w:rPr>
          <w:rFonts w:eastAsia="EUAlbertina-Bold-Identity-H"/>
          <w:color w:val="000000" w:themeColor="text1"/>
          <w:szCs w:val="24"/>
          <w:lang w:eastAsia="lv-LV"/>
        </w:rPr>
        <w:t>7</w:t>
      </w:r>
      <w:r w:rsidR="003E7E51" w:rsidRPr="00B557E8">
        <w:rPr>
          <w:rFonts w:eastAsia="EUAlbertina-Bold-Identity-H"/>
          <w:color w:val="000000" w:themeColor="text1"/>
          <w:szCs w:val="24"/>
          <w:lang w:eastAsia="lv-LV"/>
        </w:rPr>
        <w:t xml:space="preserve"> </w:t>
      </w:r>
      <w:r w:rsidR="003E7E51" w:rsidRPr="00B557E8">
        <w:rPr>
          <w:rFonts w:eastAsia="EUAlbertina-Bold-Identity-H"/>
          <w:i/>
          <w:color w:val="000000" w:themeColor="text1"/>
          <w:szCs w:val="24"/>
          <w:lang w:eastAsia="lv-LV"/>
        </w:rPr>
        <w:t>„</w:t>
      </w:r>
      <w:r w:rsidRPr="00B557E8">
        <w:rPr>
          <w:rFonts w:eastAsia="EUAlbertina-Bold-Identity-H"/>
          <w:i/>
          <w:color w:val="000000" w:themeColor="text1"/>
          <w:szCs w:val="24"/>
          <w:lang w:eastAsia="lv-LV"/>
        </w:rPr>
        <w:t>Neattiecināmo izdevumu summ</w:t>
      </w:r>
      <w:r w:rsidR="003E7E51" w:rsidRPr="00B557E8">
        <w:rPr>
          <w:rFonts w:eastAsia="EUAlbertina-Bold-Identity-H"/>
          <w:i/>
          <w:color w:val="000000" w:themeColor="text1"/>
          <w:szCs w:val="24"/>
          <w:lang w:eastAsia="lv-LV"/>
        </w:rPr>
        <w:t xml:space="preserve">a līdz 30.09.2011., </w:t>
      </w:r>
      <w:proofErr w:type="spellStart"/>
      <w:r w:rsidR="003E7E51" w:rsidRPr="00B557E8">
        <w:rPr>
          <w:rFonts w:eastAsia="EUAlbertina-Bold-Identity-H"/>
          <w:i/>
          <w:color w:val="000000" w:themeColor="text1"/>
          <w:szCs w:val="24"/>
          <w:lang w:eastAsia="lv-LV"/>
        </w:rPr>
        <w:t>milj</w:t>
      </w:r>
      <w:proofErr w:type="spellEnd"/>
      <w:r w:rsidR="003E7E51" w:rsidRPr="00B557E8">
        <w:rPr>
          <w:rFonts w:eastAsia="EUAlbertina-Bold-Identity-H"/>
          <w:i/>
          <w:color w:val="000000" w:themeColor="text1"/>
          <w:szCs w:val="24"/>
          <w:lang w:eastAsia="lv-LV"/>
        </w:rPr>
        <w:t xml:space="preserve">. LVL.” </w:t>
      </w:r>
    </w:p>
    <w:tbl>
      <w:tblPr>
        <w:tblW w:w="10207" w:type="dxa"/>
        <w:tblInd w:w="-318" w:type="dxa"/>
        <w:tblLayout w:type="fixed"/>
        <w:tblLook w:val="04A0" w:firstRow="1" w:lastRow="0" w:firstColumn="1" w:lastColumn="0" w:noHBand="0" w:noVBand="1"/>
      </w:tblPr>
      <w:tblGrid>
        <w:gridCol w:w="568"/>
        <w:gridCol w:w="1701"/>
        <w:gridCol w:w="992"/>
        <w:gridCol w:w="1560"/>
        <w:gridCol w:w="1275"/>
        <w:gridCol w:w="1134"/>
        <w:gridCol w:w="1701"/>
        <w:gridCol w:w="1276"/>
      </w:tblGrid>
      <w:tr w:rsidR="00B557E8" w:rsidRPr="003B2E97" w:rsidTr="003B2E97">
        <w:trPr>
          <w:trHeight w:val="330"/>
        </w:trPr>
        <w:tc>
          <w:tcPr>
            <w:tcW w:w="568" w:type="dxa"/>
            <w:vMerge w:val="restart"/>
            <w:tcBorders>
              <w:top w:val="single" w:sz="8" w:space="0" w:color="auto"/>
              <w:left w:val="single" w:sz="8" w:space="0" w:color="auto"/>
              <w:right w:val="single" w:sz="8" w:space="0" w:color="auto"/>
            </w:tcBorders>
          </w:tcPr>
          <w:p w:rsidR="00A921FA" w:rsidRPr="003B2E97" w:rsidRDefault="00A921FA" w:rsidP="003B2E97">
            <w:pPr>
              <w:spacing w:line="276" w:lineRule="auto"/>
              <w:rPr>
                <w:rFonts w:eastAsia="EUAlbertina-Bold-Identity-H"/>
                <w:color w:val="000000" w:themeColor="text1"/>
                <w:sz w:val="20"/>
                <w:lang w:eastAsia="lv-LV"/>
              </w:rPr>
            </w:pPr>
          </w:p>
          <w:p w:rsidR="00A921FA" w:rsidRPr="003B2E97" w:rsidRDefault="00A921FA" w:rsidP="003B2E97">
            <w:pPr>
              <w:spacing w:line="276" w:lineRule="auto"/>
              <w:rPr>
                <w:rFonts w:eastAsia="EUAlbertina-Bold-Identity-H"/>
                <w:color w:val="000000" w:themeColor="text1"/>
                <w:sz w:val="20"/>
                <w:lang w:eastAsia="lv-LV"/>
              </w:rPr>
            </w:pPr>
            <w:proofErr w:type="spellStart"/>
            <w:r w:rsidRPr="003B2E97">
              <w:rPr>
                <w:rFonts w:eastAsia="EUAlbertina-Bold-Identity-H"/>
                <w:color w:val="000000" w:themeColor="text1"/>
                <w:sz w:val="20"/>
                <w:lang w:eastAsia="lv-LV"/>
              </w:rPr>
              <w:t>Nr.p.k</w:t>
            </w:r>
            <w:proofErr w:type="spellEnd"/>
            <w:r w:rsidRPr="003B2E97">
              <w:rPr>
                <w:rFonts w:eastAsia="EUAlbertina-Bold-Identity-H"/>
                <w:color w:val="000000" w:themeColor="text1"/>
                <w:sz w:val="20"/>
                <w:lang w:eastAsia="lv-LV"/>
              </w:rPr>
              <w:t>.</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921FA" w:rsidRPr="003B2E97" w:rsidRDefault="00A921FA"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Finansējuma saņēmējs</w:t>
            </w:r>
          </w:p>
        </w:tc>
        <w:tc>
          <w:tcPr>
            <w:tcW w:w="3827" w:type="dxa"/>
            <w:gridSpan w:val="3"/>
            <w:tcBorders>
              <w:top w:val="single" w:sz="8" w:space="0" w:color="auto"/>
              <w:left w:val="nil"/>
              <w:bottom w:val="single" w:sz="8" w:space="0" w:color="auto"/>
              <w:right w:val="single" w:sz="8" w:space="0" w:color="000000"/>
            </w:tcBorders>
            <w:shd w:val="clear" w:color="auto" w:fill="auto"/>
            <w:noWrap/>
            <w:vAlign w:val="center"/>
            <w:hideMark/>
          </w:tcPr>
          <w:p w:rsidR="00A921FA" w:rsidRPr="003B2E97" w:rsidRDefault="00A921FA"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Kumulatīvi no 01.01.2007. līdz 30.09.2011.</w:t>
            </w:r>
          </w:p>
        </w:tc>
        <w:tc>
          <w:tcPr>
            <w:tcW w:w="4111" w:type="dxa"/>
            <w:gridSpan w:val="3"/>
            <w:tcBorders>
              <w:top w:val="single" w:sz="8" w:space="0" w:color="auto"/>
              <w:left w:val="nil"/>
              <w:bottom w:val="single" w:sz="8" w:space="0" w:color="auto"/>
              <w:right w:val="single" w:sz="8" w:space="0" w:color="000000"/>
            </w:tcBorders>
            <w:shd w:val="clear" w:color="auto" w:fill="auto"/>
            <w:vAlign w:val="center"/>
            <w:hideMark/>
          </w:tcPr>
          <w:p w:rsidR="00A921FA" w:rsidRPr="003B2E97" w:rsidRDefault="00A921FA"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 xml:space="preserve">t. </w:t>
            </w:r>
            <w:proofErr w:type="spellStart"/>
            <w:r w:rsidRPr="003B2E97">
              <w:rPr>
                <w:rFonts w:eastAsia="EUAlbertina-Bold-Identity-H"/>
                <w:color w:val="000000" w:themeColor="text1"/>
                <w:sz w:val="20"/>
                <w:lang w:eastAsia="lv-LV"/>
              </w:rPr>
              <w:t>sk</w:t>
            </w:r>
            <w:proofErr w:type="spellEnd"/>
            <w:r w:rsidRPr="003B2E97">
              <w:rPr>
                <w:rFonts w:eastAsia="EUAlbertina-Bold-Identity-H"/>
                <w:color w:val="000000" w:themeColor="text1"/>
                <w:sz w:val="20"/>
                <w:lang w:eastAsia="lv-LV"/>
              </w:rPr>
              <w:t>., 2011.gada 3.ceturksnī</w:t>
            </w:r>
          </w:p>
        </w:tc>
      </w:tr>
      <w:tr w:rsidR="00B557E8" w:rsidRPr="003B2E97" w:rsidTr="003B2E97">
        <w:trPr>
          <w:trHeight w:val="1155"/>
        </w:trPr>
        <w:tc>
          <w:tcPr>
            <w:tcW w:w="568" w:type="dxa"/>
            <w:vMerge/>
            <w:tcBorders>
              <w:left w:val="single" w:sz="8" w:space="0" w:color="auto"/>
              <w:bottom w:val="single" w:sz="8" w:space="0" w:color="000000"/>
              <w:right w:val="single" w:sz="8" w:space="0" w:color="auto"/>
            </w:tcBorders>
          </w:tcPr>
          <w:p w:rsidR="00A921FA" w:rsidRPr="003B2E97" w:rsidRDefault="00A921FA" w:rsidP="003B2E97">
            <w:pPr>
              <w:spacing w:line="276" w:lineRule="auto"/>
              <w:rPr>
                <w:rFonts w:eastAsia="EUAlbertina-Bold-Identity-H"/>
                <w:color w:val="000000" w:themeColor="text1"/>
                <w:sz w:val="20"/>
                <w:lang w:eastAsia="lv-LV"/>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A921FA" w:rsidRPr="003B2E97" w:rsidRDefault="00A921FA" w:rsidP="003B2E97">
            <w:pPr>
              <w:spacing w:line="276" w:lineRule="auto"/>
              <w:rPr>
                <w:rFonts w:eastAsia="EUAlbertina-Bold-Identity-H"/>
                <w:color w:val="000000" w:themeColor="text1"/>
                <w:sz w:val="20"/>
                <w:lang w:eastAsia="lv-LV"/>
              </w:rPr>
            </w:pPr>
          </w:p>
        </w:tc>
        <w:tc>
          <w:tcPr>
            <w:tcW w:w="992" w:type="dxa"/>
            <w:tcBorders>
              <w:top w:val="nil"/>
              <w:left w:val="nil"/>
              <w:bottom w:val="single" w:sz="8" w:space="0" w:color="auto"/>
              <w:right w:val="single" w:sz="8" w:space="0" w:color="auto"/>
            </w:tcBorders>
            <w:shd w:val="clear" w:color="auto" w:fill="auto"/>
            <w:noWrap/>
            <w:vAlign w:val="center"/>
            <w:hideMark/>
          </w:tcPr>
          <w:p w:rsidR="00A921FA" w:rsidRPr="003B2E97" w:rsidRDefault="00A921FA"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Kop</w:t>
            </w:r>
            <w:r w:rsidR="003B2E97">
              <w:rPr>
                <w:rFonts w:eastAsia="EUAlbertina-Bold-Identity-H"/>
                <w:color w:val="000000" w:themeColor="text1"/>
                <w:sz w:val="20"/>
                <w:lang w:eastAsia="lv-LV"/>
              </w:rPr>
              <w:t>-</w:t>
            </w:r>
            <w:r w:rsidRPr="003B2E97">
              <w:rPr>
                <w:rFonts w:eastAsia="EUAlbertina-Bold-Identity-H"/>
                <w:color w:val="000000" w:themeColor="text1"/>
                <w:sz w:val="20"/>
                <w:lang w:eastAsia="lv-LV"/>
              </w:rPr>
              <w:t>summa</w:t>
            </w:r>
          </w:p>
        </w:tc>
        <w:tc>
          <w:tcPr>
            <w:tcW w:w="1560" w:type="dxa"/>
            <w:tcBorders>
              <w:top w:val="nil"/>
              <w:left w:val="nil"/>
              <w:bottom w:val="single" w:sz="8" w:space="0" w:color="auto"/>
              <w:right w:val="single" w:sz="8" w:space="0" w:color="auto"/>
            </w:tcBorders>
            <w:shd w:val="clear" w:color="auto" w:fill="auto"/>
            <w:vAlign w:val="center"/>
            <w:hideMark/>
          </w:tcPr>
          <w:p w:rsidR="00A921FA" w:rsidRPr="003B2E97" w:rsidRDefault="00A921FA"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EEZ/Norvēģijas finanšu instrumentu grants</w:t>
            </w:r>
          </w:p>
        </w:tc>
        <w:tc>
          <w:tcPr>
            <w:tcW w:w="1275" w:type="dxa"/>
            <w:tcBorders>
              <w:top w:val="nil"/>
              <w:left w:val="nil"/>
              <w:bottom w:val="single" w:sz="8" w:space="0" w:color="auto"/>
              <w:right w:val="single" w:sz="8" w:space="0" w:color="auto"/>
            </w:tcBorders>
            <w:shd w:val="clear" w:color="auto" w:fill="auto"/>
            <w:vAlign w:val="center"/>
            <w:hideMark/>
          </w:tcPr>
          <w:p w:rsidR="00A921FA" w:rsidRPr="003B2E97" w:rsidRDefault="00A921FA"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Nacionālais finansējums</w:t>
            </w:r>
          </w:p>
        </w:tc>
        <w:tc>
          <w:tcPr>
            <w:tcW w:w="1134" w:type="dxa"/>
            <w:tcBorders>
              <w:top w:val="nil"/>
              <w:left w:val="nil"/>
              <w:bottom w:val="single" w:sz="8" w:space="0" w:color="auto"/>
              <w:right w:val="single" w:sz="8" w:space="0" w:color="auto"/>
            </w:tcBorders>
            <w:shd w:val="clear" w:color="auto" w:fill="auto"/>
            <w:vAlign w:val="center"/>
            <w:hideMark/>
          </w:tcPr>
          <w:p w:rsidR="00A921FA" w:rsidRPr="003B2E97" w:rsidRDefault="00A921FA"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Kop</w:t>
            </w:r>
            <w:r w:rsidR="003B2E97">
              <w:rPr>
                <w:rFonts w:eastAsia="EUAlbertina-Bold-Identity-H"/>
                <w:color w:val="000000" w:themeColor="text1"/>
                <w:sz w:val="20"/>
                <w:lang w:eastAsia="lv-LV"/>
              </w:rPr>
              <w:t>-</w:t>
            </w:r>
            <w:r w:rsidRPr="003B2E97">
              <w:rPr>
                <w:rFonts w:eastAsia="EUAlbertina-Bold-Identity-H"/>
                <w:color w:val="000000" w:themeColor="text1"/>
                <w:sz w:val="20"/>
                <w:lang w:eastAsia="lv-LV"/>
              </w:rPr>
              <w:t>summa</w:t>
            </w:r>
          </w:p>
        </w:tc>
        <w:tc>
          <w:tcPr>
            <w:tcW w:w="1701" w:type="dxa"/>
            <w:tcBorders>
              <w:top w:val="nil"/>
              <w:left w:val="nil"/>
              <w:bottom w:val="single" w:sz="8" w:space="0" w:color="auto"/>
              <w:right w:val="single" w:sz="8" w:space="0" w:color="auto"/>
            </w:tcBorders>
            <w:shd w:val="clear" w:color="auto" w:fill="auto"/>
            <w:vAlign w:val="center"/>
            <w:hideMark/>
          </w:tcPr>
          <w:p w:rsidR="00A921FA" w:rsidRPr="003B2E97" w:rsidRDefault="00A921FA"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EEZ/Norvēģijas finanšu instrumentu grants</w:t>
            </w:r>
          </w:p>
        </w:tc>
        <w:tc>
          <w:tcPr>
            <w:tcW w:w="1276" w:type="dxa"/>
            <w:tcBorders>
              <w:top w:val="nil"/>
              <w:left w:val="nil"/>
              <w:bottom w:val="single" w:sz="8" w:space="0" w:color="auto"/>
              <w:right w:val="single" w:sz="8" w:space="0" w:color="auto"/>
            </w:tcBorders>
            <w:shd w:val="clear" w:color="auto" w:fill="auto"/>
            <w:vAlign w:val="center"/>
            <w:hideMark/>
          </w:tcPr>
          <w:p w:rsidR="00A921FA" w:rsidRPr="003B2E97" w:rsidRDefault="00A921FA"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Nacionālais finansējums</w:t>
            </w:r>
          </w:p>
        </w:tc>
      </w:tr>
      <w:tr w:rsidR="00B557E8" w:rsidRPr="003B2E97" w:rsidTr="003B2E97">
        <w:trPr>
          <w:trHeight w:val="525"/>
        </w:trPr>
        <w:tc>
          <w:tcPr>
            <w:tcW w:w="568" w:type="dxa"/>
            <w:tcBorders>
              <w:top w:val="nil"/>
              <w:left w:val="single" w:sz="8" w:space="0" w:color="auto"/>
              <w:bottom w:val="single" w:sz="8" w:space="0" w:color="auto"/>
              <w:right w:val="single" w:sz="8" w:space="0" w:color="auto"/>
            </w:tcBorders>
          </w:tcPr>
          <w:p w:rsidR="00A921FA" w:rsidRPr="003B2E97" w:rsidRDefault="00A921FA"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1.</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A921FA" w:rsidRPr="003B2E97" w:rsidRDefault="00A921FA"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Tiešās vai pastarpinātās valsts pārvaldes iestādes*</w:t>
            </w:r>
          </w:p>
        </w:tc>
        <w:tc>
          <w:tcPr>
            <w:tcW w:w="992" w:type="dxa"/>
            <w:tcBorders>
              <w:top w:val="nil"/>
              <w:left w:val="nil"/>
              <w:bottom w:val="single" w:sz="8" w:space="0" w:color="auto"/>
              <w:right w:val="single" w:sz="8" w:space="0" w:color="auto"/>
            </w:tcBorders>
            <w:shd w:val="clear" w:color="000000" w:fill="FFFFFF"/>
            <w:noWrap/>
            <w:vAlign w:val="center"/>
            <w:hideMark/>
          </w:tcPr>
          <w:p w:rsidR="00A921FA" w:rsidRPr="003B2E97" w:rsidRDefault="00A921FA"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560</w:t>
            </w:r>
            <w:r w:rsidR="009F2179" w:rsidRPr="003B2E97">
              <w:rPr>
                <w:rFonts w:eastAsia="EUAlbertina-Bold-Identity-H"/>
                <w:color w:val="000000" w:themeColor="text1"/>
                <w:sz w:val="20"/>
                <w:lang w:eastAsia="lv-LV"/>
              </w:rPr>
              <w:t> </w:t>
            </w:r>
            <w:r w:rsidRPr="003B2E97">
              <w:rPr>
                <w:rFonts w:eastAsia="EUAlbertina-Bold-Identity-H"/>
                <w:color w:val="000000" w:themeColor="text1"/>
                <w:sz w:val="20"/>
                <w:lang w:eastAsia="lv-LV"/>
              </w:rPr>
              <w:t>293</w:t>
            </w:r>
            <w:r w:rsidR="009F2179" w:rsidRPr="003B2E97">
              <w:rPr>
                <w:rFonts w:eastAsia="EUAlbertina-Bold-Identity-H"/>
                <w:color w:val="000000" w:themeColor="text1"/>
                <w:sz w:val="20"/>
                <w:lang w:eastAsia="lv-LV"/>
              </w:rPr>
              <w:t>,</w:t>
            </w:r>
            <w:r w:rsidRPr="003B2E97">
              <w:rPr>
                <w:rFonts w:eastAsia="EUAlbertina-Bold-Identity-H"/>
                <w:color w:val="000000" w:themeColor="text1"/>
                <w:sz w:val="20"/>
                <w:lang w:eastAsia="lv-LV"/>
              </w:rPr>
              <w:t>64</w:t>
            </w:r>
          </w:p>
        </w:tc>
        <w:tc>
          <w:tcPr>
            <w:tcW w:w="1560" w:type="dxa"/>
            <w:tcBorders>
              <w:top w:val="nil"/>
              <w:left w:val="nil"/>
              <w:bottom w:val="single" w:sz="8" w:space="0" w:color="auto"/>
              <w:right w:val="single" w:sz="8" w:space="0" w:color="auto"/>
            </w:tcBorders>
            <w:shd w:val="clear" w:color="000000" w:fill="FFFFFF"/>
            <w:noWrap/>
            <w:vAlign w:val="center"/>
            <w:hideMark/>
          </w:tcPr>
          <w:p w:rsidR="00A921FA" w:rsidRPr="003B2E97" w:rsidRDefault="00A921FA"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476 322</w:t>
            </w:r>
            <w:r w:rsidR="009F2179" w:rsidRPr="003B2E97">
              <w:rPr>
                <w:rFonts w:eastAsia="EUAlbertina-Bold-Identity-H"/>
                <w:color w:val="000000" w:themeColor="text1"/>
                <w:sz w:val="20"/>
                <w:lang w:eastAsia="lv-LV"/>
              </w:rPr>
              <w:t>,</w:t>
            </w:r>
            <w:r w:rsidRPr="003B2E97">
              <w:rPr>
                <w:rFonts w:eastAsia="EUAlbertina-Bold-Identity-H"/>
                <w:color w:val="000000" w:themeColor="text1"/>
                <w:sz w:val="20"/>
                <w:lang w:eastAsia="lv-LV"/>
              </w:rPr>
              <w:t>31</w:t>
            </w:r>
          </w:p>
        </w:tc>
        <w:tc>
          <w:tcPr>
            <w:tcW w:w="1275" w:type="dxa"/>
            <w:tcBorders>
              <w:top w:val="nil"/>
              <w:left w:val="nil"/>
              <w:bottom w:val="single" w:sz="8" w:space="0" w:color="auto"/>
              <w:right w:val="single" w:sz="8" w:space="0" w:color="auto"/>
            </w:tcBorders>
            <w:shd w:val="clear" w:color="000000" w:fill="FFFFFF"/>
            <w:noWrap/>
            <w:vAlign w:val="center"/>
            <w:hideMark/>
          </w:tcPr>
          <w:p w:rsidR="00A921FA" w:rsidRPr="003B2E97" w:rsidRDefault="00A921FA"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83 971</w:t>
            </w:r>
            <w:r w:rsidR="009F2179" w:rsidRPr="003B2E97">
              <w:rPr>
                <w:rFonts w:eastAsia="EUAlbertina-Bold-Identity-H"/>
                <w:color w:val="000000" w:themeColor="text1"/>
                <w:sz w:val="20"/>
                <w:lang w:eastAsia="lv-LV"/>
              </w:rPr>
              <w:t>,</w:t>
            </w:r>
            <w:r w:rsidRPr="003B2E97">
              <w:rPr>
                <w:rFonts w:eastAsia="EUAlbertina-Bold-Identity-H"/>
                <w:color w:val="000000" w:themeColor="text1"/>
                <w:sz w:val="20"/>
                <w:lang w:eastAsia="lv-LV"/>
              </w:rPr>
              <w:t>33</w:t>
            </w:r>
          </w:p>
        </w:tc>
        <w:tc>
          <w:tcPr>
            <w:tcW w:w="1134" w:type="dxa"/>
            <w:tcBorders>
              <w:top w:val="nil"/>
              <w:left w:val="nil"/>
              <w:bottom w:val="single" w:sz="8" w:space="0" w:color="auto"/>
              <w:right w:val="single" w:sz="8" w:space="0" w:color="auto"/>
            </w:tcBorders>
            <w:shd w:val="clear" w:color="000000" w:fill="FFFFFF"/>
            <w:noWrap/>
            <w:vAlign w:val="center"/>
            <w:hideMark/>
          </w:tcPr>
          <w:p w:rsidR="00A921FA" w:rsidRPr="003B2E97" w:rsidRDefault="00A921FA"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43 636</w:t>
            </w:r>
            <w:r w:rsidR="009F2179" w:rsidRPr="003B2E97">
              <w:rPr>
                <w:rFonts w:eastAsia="EUAlbertina-Bold-Identity-H"/>
                <w:color w:val="000000" w:themeColor="text1"/>
                <w:sz w:val="20"/>
                <w:lang w:eastAsia="lv-LV"/>
              </w:rPr>
              <w:t>,</w:t>
            </w:r>
            <w:r w:rsidRPr="003B2E97">
              <w:rPr>
                <w:rFonts w:eastAsia="EUAlbertina-Bold-Identity-H"/>
                <w:color w:val="000000" w:themeColor="text1"/>
                <w:sz w:val="20"/>
                <w:lang w:eastAsia="lv-LV"/>
              </w:rPr>
              <w:t>56</w:t>
            </w:r>
          </w:p>
        </w:tc>
        <w:tc>
          <w:tcPr>
            <w:tcW w:w="1701" w:type="dxa"/>
            <w:tcBorders>
              <w:top w:val="nil"/>
              <w:left w:val="nil"/>
              <w:bottom w:val="single" w:sz="8" w:space="0" w:color="auto"/>
              <w:right w:val="single" w:sz="8" w:space="0" w:color="auto"/>
            </w:tcBorders>
            <w:shd w:val="clear" w:color="000000" w:fill="FFFFFF"/>
            <w:vAlign w:val="center"/>
            <w:hideMark/>
          </w:tcPr>
          <w:p w:rsidR="00A921FA" w:rsidRPr="003B2E97" w:rsidRDefault="00A921FA"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37 091</w:t>
            </w:r>
            <w:r w:rsidR="009F2179" w:rsidRPr="003B2E97">
              <w:rPr>
                <w:rFonts w:eastAsia="EUAlbertina-Bold-Identity-H"/>
                <w:color w:val="000000" w:themeColor="text1"/>
                <w:sz w:val="20"/>
                <w:lang w:eastAsia="lv-LV"/>
              </w:rPr>
              <w:t>,</w:t>
            </w:r>
            <w:r w:rsidRPr="003B2E97">
              <w:rPr>
                <w:rFonts w:eastAsia="EUAlbertina-Bold-Identity-H"/>
                <w:color w:val="000000" w:themeColor="text1"/>
                <w:sz w:val="20"/>
                <w:lang w:eastAsia="lv-LV"/>
              </w:rPr>
              <w:t>08</w:t>
            </w:r>
          </w:p>
        </w:tc>
        <w:tc>
          <w:tcPr>
            <w:tcW w:w="1276" w:type="dxa"/>
            <w:tcBorders>
              <w:top w:val="nil"/>
              <w:left w:val="nil"/>
              <w:bottom w:val="single" w:sz="8" w:space="0" w:color="auto"/>
              <w:right w:val="single" w:sz="8" w:space="0" w:color="auto"/>
            </w:tcBorders>
            <w:shd w:val="clear" w:color="000000" w:fill="FFFFFF"/>
            <w:vAlign w:val="center"/>
            <w:hideMark/>
          </w:tcPr>
          <w:p w:rsidR="00A921FA" w:rsidRPr="003B2E97" w:rsidRDefault="00A921FA"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6 545</w:t>
            </w:r>
            <w:r w:rsidR="009F2179" w:rsidRPr="003B2E97">
              <w:rPr>
                <w:rFonts w:eastAsia="EUAlbertina-Bold-Identity-H"/>
                <w:color w:val="000000" w:themeColor="text1"/>
                <w:sz w:val="20"/>
                <w:lang w:eastAsia="lv-LV"/>
              </w:rPr>
              <w:t>,</w:t>
            </w:r>
            <w:r w:rsidRPr="003B2E97">
              <w:rPr>
                <w:rFonts w:eastAsia="EUAlbertina-Bold-Identity-H"/>
                <w:color w:val="000000" w:themeColor="text1"/>
                <w:sz w:val="20"/>
                <w:lang w:eastAsia="lv-LV"/>
              </w:rPr>
              <w:t>48</w:t>
            </w:r>
          </w:p>
        </w:tc>
      </w:tr>
      <w:tr w:rsidR="00B557E8" w:rsidRPr="003B2E97" w:rsidTr="003B2E97">
        <w:trPr>
          <w:trHeight w:val="525"/>
        </w:trPr>
        <w:tc>
          <w:tcPr>
            <w:tcW w:w="568" w:type="dxa"/>
            <w:tcBorders>
              <w:top w:val="nil"/>
              <w:left w:val="single" w:sz="8" w:space="0" w:color="auto"/>
              <w:bottom w:val="single" w:sz="8" w:space="0" w:color="auto"/>
              <w:right w:val="single" w:sz="8" w:space="0" w:color="auto"/>
            </w:tcBorders>
          </w:tcPr>
          <w:p w:rsidR="00A921FA" w:rsidRPr="003B2E97" w:rsidRDefault="00A921FA"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2.</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A921FA" w:rsidRPr="003B2E97" w:rsidRDefault="00A921FA"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Atvasinātās publiskās personas vai citas valsts iestādes</w:t>
            </w:r>
          </w:p>
        </w:tc>
        <w:tc>
          <w:tcPr>
            <w:tcW w:w="992" w:type="dxa"/>
            <w:tcBorders>
              <w:top w:val="nil"/>
              <w:left w:val="nil"/>
              <w:bottom w:val="single" w:sz="8" w:space="0" w:color="auto"/>
              <w:right w:val="single" w:sz="8" w:space="0" w:color="auto"/>
            </w:tcBorders>
            <w:shd w:val="clear" w:color="000000" w:fill="FFFFFF"/>
            <w:noWrap/>
            <w:vAlign w:val="center"/>
            <w:hideMark/>
          </w:tcPr>
          <w:p w:rsidR="00A921FA" w:rsidRPr="003B2E97" w:rsidRDefault="00A921FA"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182</w:t>
            </w:r>
            <w:r w:rsidR="009F2179" w:rsidRPr="003B2E97">
              <w:rPr>
                <w:rFonts w:eastAsia="EUAlbertina-Bold-Identity-H"/>
                <w:color w:val="000000" w:themeColor="text1"/>
                <w:sz w:val="20"/>
                <w:lang w:eastAsia="lv-LV"/>
              </w:rPr>
              <w:t> </w:t>
            </w:r>
            <w:r w:rsidRPr="003B2E97">
              <w:rPr>
                <w:rFonts w:eastAsia="EUAlbertina-Bold-Identity-H"/>
                <w:color w:val="000000" w:themeColor="text1"/>
                <w:sz w:val="20"/>
                <w:lang w:eastAsia="lv-LV"/>
              </w:rPr>
              <w:t>230</w:t>
            </w:r>
            <w:r w:rsidR="009F2179" w:rsidRPr="003B2E97">
              <w:rPr>
                <w:rFonts w:eastAsia="EUAlbertina-Bold-Identity-H"/>
                <w:color w:val="000000" w:themeColor="text1"/>
                <w:sz w:val="20"/>
                <w:lang w:eastAsia="lv-LV"/>
              </w:rPr>
              <w:t>,</w:t>
            </w:r>
            <w:r w:rsidRPr="003B2E97">
              <w:rPr>
                <w:rFonts w:eastAsia="EUAlbertina-Bold-Identity-H"/>
                <w:color w:val="000000" w:themeColor="text1"/>
                <w:sz w:val="20"/>
                <w:lang w:eastAsia="lv-LV"/>
              </w:rPr>
              <w:t>07</w:t>
            </w:r>
          </w:p>
        </w:tc>
        <w:tc>
          <w:tcPr>
            <w:tcW w:w="1560" w:type="dxa"/>
            <w:tcBorders>
              <w:top w:val="nil"/>
              <w:left w:val="nil"/>
              <w:bottom w:val="single" w:sz="8" w:space="0" w:color="auto"/>
              <w:right w:val="single" w:sz="8" w:space="0" w:color="auto"/>
            </w:tcBorders>
            <w:shd w:val="clear" w:color="000000" w:fill="FFFFFF"/>
            <w:noWrap/>
            <w:vAlign w:val="center"/>
            <w:hideMark/>
          </w:tcPr>
          <w:p w:rsidR="00A921FA" w:rsidRPr="003B2E97" w:rsidRDefault="00A921FA"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14 3478</w:t>
            </w:r>
            <w:r w:rsidR="009F2179" w:rsidRPr="003B2E97">
              <w:rPr>
                <w:rFonts w:eastAsia="EUAlbertina-Bold-Identity-H"/>
                <w:color w:val="000000" w:themeColor="text1"/>
                <w:sz w:val="20"/>
                <w:lang w:eastAsia="lv-LV"/>
              </w:rPr>
              <w:t>,</w:t>
            </w:r>
            <w:r w:rsidRPr="003B2E97">
              <w:rPr>
                <w:rFonts w:eastAsia="EUAlbertina-Bold-Identity-H"/>
                <w:color w:val="000000" w:themeColor="text1"/>
                <w:sz w:val="20"/>
                <w:lang w:eastAsia="lv-LV"/>
              </w:rPr>
              <w:t>95</w:t>
            </w:r>
          </w:p>
        </w:tc>
        <w:tc>
          <w:tcPr>
            <w:tcW w:w="1275" w:type="dxa"/>
            <w:tcBorders>
              <w:top w:val="nil"/>
              <w:left w:val="nil"/>
              <w:bottom w:val="single" w:sz="8" w:space="0" w:color="auto"/>
              <w:right w:val="single" w:sz="8" w:space="0" w:color="auto"/>
            </w:tcBorders>
            <w:shd w:val="clear" w:color="000000" w:fill="FFFFFF"/>
            <w:noWrap/>
            <w:vAlign w:val="center"/>
            <w:hideMark/>
          </w:tcPr>
          <w:p w:rsidR="00A921FA" w:rsidRPr="003B2E97" w:rsidRDefault="00A921FA"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38 751</w:t>
            </w:r>
            <w:r w:rsidR="009F2179" w:rsidRPr="003B2E97">
              <w:rPr>
                <w:rFonts w:eastAsia="EUAlbertina-Bold-Identity-H"/>
                <w:color w:val="000000" w:themeColor="text1"/>
                <w:sz w:val="20"/>
                <w:lang w:eastAsia="lv-LV"/>
              </w:rPr>
              <w:t>,</w:t>
            </w:r>
            <w:r w:rsidRPr="003B2E97">
              <w:rPr>
                <w:rFonts w:eastAsia="EUAlbertina-Bold-Identity-H"/>
                <w:color w:val="000000" w:themeColor="text1"/>
                <w:sz w:val="20"/>
                <w:lang w:eastAsia="lv-LV"/>
              </w:rPr>
              <w:t>12</w:t>
            </w:r>
          </w:p>
        </w:tc>
        <w:tc>
          <w:tcPr>
            <w:tcW w:w="1134" w:type="dxa"/>
            <w:tcBorders>
              <w:top w:val="nil"/>
              <w:left w:val="nil"/>
              <w:bottom w:val="single" w:sz="8" w:space="0" w:color="auto"/>
              <w:right w:val="single" w:sz="8" w:space="0" w:color="auto"/>
            </w:tcBorders>
            <w:shd w:val="clear" w:color="000000" w:fill="FFFFFF"/>
            <w:vAlign w:val="center"/>
            <w:hideMark/>
          </w:tcPr>
          <w:p w:rsidR="00A921FA" w:rsidRPr="003B2E97" w:rsidRDefault="00A921FA"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28 750</w:t>
            </w:r>
            <w:r w:rsidR="009F2179" w:rsidRPr="003B2E97">
              <w:rPr>
                <w:rFonts w:eastAsia="EUAlbertina-Bold-Identity-H"/>
                <w:color w:val="000000" w:themeColor="text1"/>
                <w:sz w:val="20"/>
                <w:lang w:eastAsia="lv-LV"/>
              </w:rPr>
              <w:t>,</w:t>
            </w:r>
            <w:r w:rsidRPr="003B2E97">
              <w:rPr>
                <w:rFonts w:eastAsia="EUAlbertina-Bold-Identity-H"/>
                <w:color w:val="000000" w:themeColor="text1"/>
                <w:sz w:val="20"/>
                <w:lang w:eastAsia="lv-LV"/>
              </w:rPr>
              <w:t>91</w:t>
            </w:r>
          </w:p>
        </w:tc>
        <w:tc>
          <w:tcPr>
            <w:tcW w:w="1701" w:type="dxa"/>
            <w:tcBorders>
              <w:top w:val="nil"/>
              <w:left w:val="nil"/>
              <w:bottom w:val="single" w:sz="8" w:space="0" w:color="auto"/>
              <w:right w:val="single" w:sz="8" w:space="0" w:color="auto"/>
            </w:tcBorders>
            <w:shd w:val="clear" w:color="000000" w:fill="FFFFFF"/>
            <w:vAlign w:val="center"/>
            <w:hideMark/>
          </w:tcPr>
          <w:p w:rsidR="00A921FA" w:rsidRPr="003B2E97" w:rsidRDefault="00A921FA"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24 144</w:t>
            </w:r>
            <w:r w:rsidR="009F2179" w:rsidRPr="003B2E97">
              <w:rPr>
                <w:rFonts w:eastAsia="EUAlbertina-Bold-Identity-H"/>
                <w:color w:val="000000" w:themeColor="text1"/>
                <w:sz w:val="20"/>
                <w:lang w:eastAsia="lv-LV"/>
              </w:rPr>
              <w:t>,</w:t>
            </w:r>
            <w:r w:rsidRPr="003B2E97">
              <w:rPr>
                <w:rFonts w:eastAsia="EUAlbertina-Bold-Identity-H"/>
                <w:color w:val="000000" w:themeColor="text1"/>
                <w:sz w:val="20"/>
                <w:lang w:eastAsia="lv-LV"/>
              </w:rPr>
              <w:t>63</w:t>
            </w:r>
          </w:p>
        </w:tc>
        <w:tc>
          <w:tcPr>
            <w:tcW w:w="1276" w:type="dxa"/>
            <w:tcBorders>
              <w:top w:val="nil"/>
              <w:left w:val="nil"/>
              <w:bottom w:val="single" w:sz="8" w:space="0" w:color="auto"/>
              <w:right w:val="single" w:sz="8" w:space="0" w:color="auto"/>
            </w:tcBorders>
            <w:shd w:val="clear" w:color="000000" w:fill="FFFFFF"/>
            <w:vAlign w:val="center"/>
            <w:hideMark/>
          </w:tcPr>
          <w:p w:rsidR="00A921FA" w:rsidRPr="003B2E97" w:rsidRDefault="00A921FA"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4 606</w:t>
            </w:r>
            <w:r w:rsidR="009F2179" w:rsidRPr="003B2E97">
              <w:rPr>
                <w:rFonts w:eastAsia="EUAlbertina-Bold-Identity-H"/>
                <w:color w:val="000000" w:themeColor="text1"/>
                <w:sz w:val="20"/>
                <w:lang w:eastAsia="lv-LV"/>
              </w:rPr>
              <w:t>,</w:t>
            </w:r>
            <w:r w:rsidRPr="003B2E97">
              <w:rPr>
                <w:rFonts w:eastAsia="EUAlbertina-Bold-Identity-H"/>
                <w:color w:val="000000" w:themeColor="text1"/>
                <w:sz w:val="20"/>
                <w:lang w:eastAsia="lv-LV"/>
              </w:rPr>
              <w:t>28</w:t>
            </w:r>
          </w:p>
        </w:tc>
      </w:tr>
      <w:tr w:rsidR="00B557E8" w:rsidRPr="003B2E97" w:rsidTr="003B2E97">
        <w:trPr>
          <w:trHeight w:val="330"/>
        </w:trPr>
        <w:tc>
          <w:tcPr>
            <w:tcW w:w="568" w:type="dxa"/>
            <w:tcBorders>
              <w:top w:val="nil"/>
              <w:left w:val="single" w:sz="8" w:space="0" w:color="auto"/>
              <w:bottom w:val="single" w:sz="8" w:space="0" w:color="auto"/>
              <w:right w:val="single" w:sz="8" w:space="0" w:color="auto"/>
            </w:tcBorders>
          </w:tcPr>
          <w:p w:rsidR="00A921FA" w:rsidRPr="003B2E97" w:rsidRDefault="00A921FA"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3.</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A921FA" w:rsidRPr="003B2E97" w:rsidRDefault="00A921FA"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NVO un privātais sektors</w:t>
            </w:r>
          </w:p>
        </w:tc>
        <w:tc>
          <w:tcPr>
            <w:tcW w:w="992" w:type="dxa"/>
            <w:tcBorders>
              <w:top w:val="nil"/>
              <w:left w:val="nil"/>
              <w:bottom w:val="single" w:sz="8" w:space="0" w:color="auto"/>
              <w:right w:val="single" w:sz="8" w:space="0" w:color="auto"/>
            </w:tcBorders>
            <w:shd w:val="clear" w:color="000000" w:fill="FFFFFF"/>
            <w:noWrap/>
            <w:vAlign w:val="center"/>
            <w:hideMark/>
          </w:tcPr>
          <w:p w:rsidR="00A921FA" w:rsidRPr="003B2E97" w:rsidRDefault="00A921FA"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27</w:t>
            </w:r>
            <w:r w:rsidR="009F2179" w:rsidRPr="003B2E97">
              <w:rPr>
                <w:rFonts w:eastAsia="EUAlbertina-Bold-Identity-H"/>
                <w:color w:val="000000" w:themeColor="text1"/>
                <w:sz w:val="20"/>
                <w:lang w:eastAsia="lv-LV"/>
              </w:rPr>
              <w:t> </w:t>
            </w:r>
            <w:r w:rsidRPr="003B2E97">
              <w:rPr>
                <w:rFonts w:eastAsia="EUAlbertina-Bold-Identity-H"/>
                <w:color w:val="000000" w:themeColor="text1"/>
                <w:sz w:val="20"/>
                <w:lang w:eastAsia="lv-LV"/>
              </w:rPr>
              <w:t>046</w:t>
            </w:r>
            <w:r w:rsidR="009F2179" w:rsidRPr="003B2E97">
              <w:rPr>
                <w:rFonts w:eastAsia="EUAlbertina-Bold-Identity-H"/>
                <w:color w:val="000000" w:themeColor="text1"/>
                <w:sz w:val="20"/>
                <w:lang w:eastAsia="lv-LV"/>
              </w:rPr>
              <w:t>,</w:t>
            </w:r>
            <w:r w:rsidRPr="003B2E97">
              <w:rPr>
                <w:rFonts w:eastAsia="EUAlbertina-Bold-Identity-H"/>
                <w:color w:val="000000" w:themeColor="text1"/>
                <w:sz w:val="20"/>
                <w:lang w:eastAsia="lv-LV"/>
              </w:rPr>
              <w:t>81</w:t>
            </w:r>
          </w:p>
        </w:tc>
        <w:tc>
          <w:tcPr>
            <w:tcW w:w="1560" w:type="dxa"/>
            <w:tcBorders>
              <w:top w:val="nil"/>
              <w:left w:val="nil"/>
              <w:bottom w:val="single" w:sz="8" w:space="0" w:color="auto"/>
              <w:right w:val="single" w:sz="8" w:space="0" w:color="auto"/>
            </w:tcBorders>
            <w:shd w:val="clear" w:color="000000" w:fill="FFFFFF"/>
            <w:noWrap/>
            <w:vAlign w:val="center"/>
            <w:hideMark/>
          </w:tcPr>
          <w:p w:rsidR="00A921FA" w:rsidRPr="003B2E97" w:rsidRDefault="00A921FA"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17 399</w:t>
            </w:r>
            <w:r w:rsidR="009F2179" w:rsidRPr="003B2E97">
              <w:rPr>
                <w:rFonts w:eastAsia="EUAlbertina-Bold-Identity-H"/>
                <w:color w:val="000000" w:themeColor="text1"/>
                <w:sz w:val="20"/>
                <w:lang w:eastAsia="lv-LV"/>
              </w:rPr>
              <w:t>,</w:t>
            </w:r>
            <w:r w:rsidRPr="003B2E97">
              <w:rPr>
                <w:rFonts w:eastAsia="EUAlbertina-Bold-Identity-H"/>
                <w:color w:val="000000" w:themeColor="text1"/>
                <w:sz w:val="20"/>
                <w:lang w:eastAsia="lv-LV"/>
              </w:rPr>
              <w:t>2</w:t>
            </w:r>
          </w:p>
        </w:tc>
        <w:tc>
          <w:tcPr>
            <w:tcW w:w="1275" w:type="dxa"/>
            <w:tcBorders>
              <w:top w:val="nil"/>
              <w:left w:val="nil"/>
              <w:bottom w:val="single" w:sz="8" w:space="0" w:color="auto"/>
              <w:right w:val="single" w:sz="8" w:space="0" w:color="auto"/>
            </w:tcBorders>
            <w:shd w:val="clear" w:color="000000" w:fill="FFFFFF"/>
            <w:noWrap/>
            <w:vAlign w:val="center"/>
            <w:hideMark/>
          </w:tcPr>
          <w:p w:rsidR="00A921FA" w:rsidRPr="003B2E97" w:rsidRDefault="00A921FA"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9 647</w:t>
            </w:r>
            <w:r w:rsidR="009F2179" w:rsidRPr="003B2E97">
              <w:rPr>
                <w:rFonts w:eastAsia="EUAlbertina-Bold-Identity-H"/>
                <w:color w:val="000000" w:themeColor="text1"/>
                <w:sz w:val="20"/>
                <w:lang w:eastAsia="lv-LV"/>
              </w:rPr>
              <w:t>,</w:t>
            </w:r>
            <w:r w:rsidRPr="003B2E97">
              <w:rPr>
                <w:rFonts w:eastAsia="EUAlbertina-Bold-Identity-H"/>
                <w:color w:val="000000" w:themeColor="text1"/>
                <w:sz w:val="20"/>
                <w:lang w:eastAsia="lv-LV"/>
              </w:rPr>
              <w:t>61</w:t>
            </w:r>
          </w:p>
        </w:tc>
        <w:tc>
          <w:tcPr>
            <w:tcW w:w="1134" w:type="dxa"/>
            <w:tcBorders>
              <w:top w:val="nil"/>
              <w:left w:val="nil"/>
              <w:bottom w:val="single" w:sz="8" w:space="0" w:color="auto"/>
              <w:right w:val="single" w:sz="8" w:space="0" w:color="auto"/>
            </w:tcBorders>
            <w:shd w:val="clear" w:color="000000" w:fill="FFFFFF"/>
            <w:vAlign w:val="center"/>
            <w:hideMark/>
          </w:tcPr>
          <w:p w:rsidR="00A921FA" w:rsidRPr="003B2E97" w:rsidRDefault="00A921FA"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7 523</w:t>
            </w:r>
            <w:r w:rsidR="009F2179" w:rsidRPr="003B2E97">
              <w:rPr>
                <w:rFonts w:eastAsia="EUAlbertina-Bold-Identity-H"/>
                <w:color w:val="000000" w:themeColor="text1"/>
                <w:sz w:val="20"/>
                <w:lang w:eastAsia="lv-LV"/>
              </w:rPr>
              <w:t>,</w:t>
            </w:r>
            <w:r w:rsidRPr="003B2E97">
              <w:rPr>
                <w:rFonts w:eastAsia="EUAlbertina-Bold-Identity-H"/>
                <w:color w:val="000000" w:themeColor="text1"/>
                <w:sz w:val="20"/>
                <w:lang w:eastAsia="lv-LV"/>
              </w:rPr>
              <w:t>79</w:t>
            </w:r>
          </w:p>
        </w:tc>
        <w:tc>
          <w:tcPr>
            <w:tcW w:w="1701" w:type="dxa"/>
            <w:tcBorders>
              <w:top w:val="nil"/>
              <w:left w:val="nil"/>
              <w:bottom w:val="single" w:sz="8" w:space="0" w:color="auto"/>
              <w:right w:val="single" w:sz="8" w:space="0" w:color="auto"/>
            </w:tcBorders>
            <w:shd w:val="clear" w:color="000000" w:fill="FFFFFF"/>
            <w:vAlign w:val="center"/>
            <w:hideMark/>
          </w:tcPr>
          <w:p w:rsidR="00A921FA" w:rsidRPr="003B2E97" w:rsidRDefault="00A921FA"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6 253</w:t>
            </w:r>
            <w:r w:rsidR="009F2179" w:rsidRPr="003B2E97">
              <w:rPr>
                <w:rFonts w:eastAsia="EUAlbertina-Bold-Identity-H"/>
                <w:color w:val="000000" w:themeColor="text1"/>
                <w:sz w:val="20"/>
                <w:lang w:eastAsia="lv-LV"/>
              </w:rPr>
              <w:t>,</w:t>
            </w:r>
            <w:r w:rsidRPr="003B2E97">
              <w:rPr>
                <w:rFonts w:eastAsia="EUAlbertina-Bold-Identity-H"/>
                <w:color w:val="000000" w:themeColor="text1"/>
                <w:sz w:val="20"/>
                <w:lang w:eastAsia="lv-LV"/>
              </w:rPr>
              <w:t>9444</w:t>
            </w:r>
          </w:p>
        </w:tc>
        <w:tc>
          <w:tcPr>
            <w:tcW w:w="1276" w:type="dxa"/>
            <w:tcBorders>
              <w:top w:val="nil"/>
              <w:left w:val="nil"/>
              <w:bottom w:val="single" w:sz="8" w:space="0" w:color="auto"/>
              <w:right w:val="single" w:sz="8" w:space="0" w:color="auto"/>
            </w:tcBorders>
            <w:shd w:val="clear" w:color="000000" w:fill="FFFFFF"/>
            <w:vAlign w:val="center"/>
            <w:hideMark/>
          </w:tcPr>
          <w:p w:rsidR="00A921FA" w:rsidRPr="003B2E97" w:rsidRDefault="00A921FA"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1 269</w:t>
            </w:r>
            <w:r w:rsidR="009F2179" w:rsidRPr="003B2E97">
              <w:rPr>
                <w:rFonts w:eastAsia="EUAlbertina-Bold-Identity-H"/>
                <w:color w:val="000000" w:themeColor="text1"/>
                <w:sz w:val="20"/>
                <w:lang w:eastAsia="lv-LV"/>
              </w:rPr>
              <w:t>,</w:t>
            </w:r>
            <w:r w:rsidRPr="003B2E97">
              <w:rPr>
                <w:rFonts w:eastAsia="EUAlbertina-Bold-Identity-H"/>
                <w:color w:val="000000" w:themeColor="text1"/>
                <w:sz w:val="20"/>
                <w:lang w:eastAsia="lv-LV"/>
              </w:rPr>
              <w:t>8456</w:t>
            </w:r>
          </w:p>
        </w:tc>
      </w:tr>
      <w:tr w:rsidR="00B557E8" w:rsidRPr="003B2E97" w:rsidTr="003B2E97">
        <w:trPr>
          <w:trHeight w:val="330"/>
        </w:trPr>
        <w:tc>
          <w:tcPr>
            <w:tcW w:w="568" w:type="dxa"/>
            <w:tcBorders>
              <w:top w:val="nil"/>
              <w:left w:val="single" w:sz="8" w:space="0" w:color="auto"/>
              <w:bottom w:val="single" w:sz="8" w:space="0" w:color="auto"/>
              <w:right w:val="single" w:sz="8" w:space="0" w:color="auto"/>
            </w:tcBorders>
          </w:tcPr>
          <w:p w:rsidR="00A921FA" w:rsidRPr="003B2E97" w:rsidRDefault="00A921FA" w:rsidP="003B2E97">
            <w:pPr>
              <w:spacing w:line="276" w:lineRule="auto"/>
              <w:rPr>
                <w:rFonts w:eastAsia="EUAlbertina-Bold-Identity-H"/>
                <w:color w:val="000000" w:themeColor="text1"/>
                <w:sz w:val="20"/>
                <w:lang w:eastAsia="lv-LV"/>
              </w:rPr>
            </w:pP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A921FA" w:rsidRPr="003B2E97" w:rsidRDefault="00A921FA"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 Kopā</w:t>
            </w:r>
          </w:p>
        </w:tc>
        <w:tc>
          <w:tcPr>
            <w:tcW w:w="992" w:type="dxa"/>
            <w:tcBorders>
              <w:top w:val="nil"/>
              <w:left w:val="nil"/>
              <w:bottom w:val="single" w:sz="8" w:space="0" w:color="auto"/>
              <w:right w:val="single" w:sz="8" w:space="0" w:color="auto"/>
            </w:tcBorders>
            <w:shd w:val="clear" w:color="000000" w:fill="FFFFFF"/>
            <w:noWrap/>
            <w:vAlign w:val="center"/>
            <w:hideMark/>
          </w:tcPr>
          <w:p w:rsidR="00A921FA" w:rsidRPr="003B2E97" w:rsidRDefault="00A921FA"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769</w:t>
            </w:r>
            <w:r w:rsidR="009F2179" w:rsidRPr="003B2E97">
              <w:rPr>
                <w:rFonts w:eastAsia="EUAlbertina-Bold-Identity-H"/>
                <w:color w:val="000000" w:themeColor="text1"/>
                <w:sz w:val="20"/>
                <w:lang w:eastAsia="lv-LV"/>
              </w:rPr>
              <w:t> </w:t>
            </w:r>
            <w:r w:rsidRPr="003B2E97">
              <w:rPr>
                <w:rFonts w:eastAsia="EUAlbertina-Bold-Identity-H"/>
                <w:color w:val="000000" w:themeColor="text1"/>
                <w:sz w:val="20"/>
                <w:lang w:eastAsia="lv-LV"/>
              </w:rPr>
              <w:t>570</w:t>
            </w:r>
            <w:r w:rsidR="009F2179" w:rsidRPr="003B2E97">
              <w:rPr>
                <w:rFonts w:eastAsia="EUAlbertina-Bold-Identity-H"/>
                <w:color w:val="000000" w:themeColor="text1"/>
                <w:sz w:val="20"/>
                <w:lang w:eastAsia="lv-LV"/>
              </w:rPr>
              <w:t>,</w:t>
            </w:r>
            <w:r w:rsidRPr="003B2E97">
              <w:rPr>
                <w:rFonts w:eastAsia="EUAlbertina-Bold-Identity-H"/>
                <w:color w:val="000000" w:themeColor="text1"/>
                <w:sz w:val="20"/>
                <w:lang w:eastAsia="lv-LV"/>
              </w:rPr>
              <w:t>52</w:t>
            </w:r>
          </w:p>
        </w:tc>
        <w:tc>
          <w:tcPr>
            <w:tcW w:w="1560" w:type="dxa"/>
            <w:tcBorders>
              <w:top w:val="nil"/>
              <w:left w:val="nil"/>
              <w:bottom w:val="single" w:sz="8" w:space="0" w:color="auto"/>
              <w:right w:val="single" w:sz="8" w:space="0" w:color="auto"/>
            </w:tcBorders>
            <w:shd w:val="clear" w:color="000000" w:fill="FFFFFF"/>
            <w:noWrap/>
            <w:vAlign w:val="center"/>
            <w:hideMark/>
          </w:tcPr>
          <w:p w:rsidR="00A921FA" w:rsidRPr="003B2E97" w:rsidRDefault="00A921FA"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637 200</w:t>
            </w:r>
            <w:r w:rsidR="009F2179" w:rsidRPr="003B2E97">
              <w:rPr>
                <w:rFonts w:eastAsia="EUAlbertina-Bold-Identity-H"/>
                <w:color w:val="000000" w:themeColor="text1"/>
                <w:sz w:val="20"/>
                <w:lang w:eastAsia="lv-LV"/>
              </w:rPr>
              <w:t>,</w:t>
            </w:r>
            <w:r w:rsidRPr="003B2E97">
              <w:rPr>
                <w:rFonts w:eastAsia="EUAlbertina-Bold-Identity-H"/>
                <w:color w:val="000000" w:themeColor="text1"/>
                <w:sz w:val="20"/>
                <w:lang w:eastAsia="lv-LV"/>
              </w:rPr>
              <w:t>46</w:t>
            </w:r>
          </w:p>
        </w:tc>
        <w:tc>
          <w:tcPr>
            <w:tcW w:w="1275" w:type="dxa"/>
            <w:tcBorders>
              <w:top w:val="nil"/>
              <w:left w:val="nil"/>
              <w:bottom w:val="single" w:sz="8" w:space="0" w:color="auto"/>
              <w:right w:val="single" w:sz="8" w:space="0" w:color="auto"/>
            </w:tcBorders>
            <w:shd w:val="clear" w:color="000000" w:fill="FFFFFF"/>
            <w:noWrap/>
            <w:vAlign w:val="center"/>
            <w:hideMark/>
          </w:tcPr>
          <w:p w:rsidR="00A921FA" w:rsidRPr="003B2E97" w:rsidRDefault="00A921FA"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132 370</w:t>
            </w:r>
            <w:r w:rsidR="009F2179" w:rsidRPr="003B2E97">
              <w:rPr>
                <w:rFonts w:eastAsia="EUAlbertina-Bold-Identity-H"/>
                <w:color w:val="000000" w:themeColor="text1"/>
                <w:sz w:val="20"/>
                <w:lang w:eastAsia="lv-LV"/>
              </w:rPr>
              <w:t>,</w:t>
            </w:r>
            <w:r w:rsidRPr="003B2E97">
              <w:rPr>
                <w:rFonts w:eastAsia="EUAlbertina-Bold-Identity-H"/>
                <w:color w:val="000000" w:themeColor="text1"/>
                <w:sz w:val="20"/>
                <w:lang w:eastAsia="lv-LV"/>
              </w:rPr>
              <w:t>06</w:t>
            </w:r>
          </w:p>
        </w:tc>
        <w:tc>
          <w:tcPr>
            <w:tcW w:w="1134" w:type="dxa"/>
            <w:tcBorders>
              <w:top w:val="nil"/>
              <w:left w:val="nil"/>
              <w:bottom w:val="single" w:sz="8" w:space="0" w:color="auto"/>
              <w:right w:val="single" w:sz="8" w:space="0" w:color="auto"/>
            </w:tcBorders>
            <w:shd w:val="clear" w:color="000000" w:fill="FFFFFF"/>
            <w:vAlign w:val="center"/>
            <w:hideMark/>
          </w:tcPr>
          <w:p w:rsidR="00A921FA" w:rsidRPr="003B2E97" w:rsidRDefault="00A921FA"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79 911</w:t>
            </w:r>
            <w:r w:rsidR="009F2179" w:rsidRPr="003B2E97">
              <w:rPr>
                <w:rFonts w:eastAsia="EUAlbertina-Bold-Identity-H"/>
                <w:color w:val="000000" w:themeColor="text1"/>
                <w:sz w:val="20"/>
                <w:lang w:eastAsia="lv-LV"/>
              </w:rPr>
              <w:t>,</w:t>
            </w:r>
            <w:r w:rsidRPr="003B2E97">
              <w:rPr>
                <w:rFonts w:eastAsia="EUAlbertina-Bold-Identity-H"/>
                <w:color w:val="000000" w:themeColor="text1"/>
                <w:sz w:val="20"/>
                <w:lang w:eastAsia="lv-LV"/>
              </w:rPr>
              <w:t>26</w:t>
            </w:r>
          </w:p>
        </w:tc>
        <w:tc>
          <w:tcPr>
            <w:tcW w:w="1701" w:type="dxa"/>
            <w:tcBorders>
              <w:top w:val="nil"/>
              <w:left w:val="nil"/>
              <w:bottom w:val="single" w:sz="8" w:space="0" w:color="auto"/>
              <w:right w:val="single" w:sz="8" w:space="0" w:color="auto"/>
            </w:tcBorders>
            <w:shd w:val="clear" w:color="000000" w:fill="FFFFFF"/>
            <w:vAlign w:val="center"/>
            <w:hideMark/>
          </w:tcPr>
          <w:p w:rsidR="00A921FA" w:rsidRPr="003B2E97" w:rsidRDefault="00A921FA"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67 489</w:t>
            </w:r>
            <w:r w:rsidR="009F2179" w:rsidRPr="003B2E97">
              <w:rPr>
                <w:rFonts w:eastAsia="EUAlbertina-Bold-Identity-H"/>
                <w:color w:val="000000" w:themeColor="text1"/>
                <w:sz w:val="20"/>
                <w:lang w:eastAsia="lv-LV"/>
              </w:rPr>
              <w:t>,</w:t>
            </w:r>
            <w:r w:rsidRPr="003B2E97">
              <w:rPr>
                <w:rFonts w:eastAsia="EUAlbertina-Bold-Identity-H"/>
                <w:color w:val="000000" w:themeColor="text1"/>
                <w:sz w:val="20"/>
                <w:lang w:eastAsia="lv-LV"/>
              </w:rPr>
              <w:t>65</w:t>
            </w:r>
          </w:p>
        </w:tc>
        <w:tc>
          <w:tcPr>
            <w:tcW w:w="1276" w:type="dxa"/>
            <w:tcBorders>
              <w:top w:val="nil"/>
              <w:left w:val="nil"/>
              <w:bottom w:val="single" w:sz="8" w:space="0" w:color="auto"/>
              <w:right w:val="single" w:sz="8" w:space="0" w:color="auto"/>
            </w:tcBorders>
            <w:shd w:val="clear" w:color="000000" w:fill="FFFFFF"/>
            <w:vAlign w:val="center"/>
            <w:hideMark/>
          </w:tcPr>
          <w:p w:rsidR="00A921FA" w:rsidRPr="003B2E97" w:rsidRDefault="00A921FA" w:rsidP="003B2E97">
            <w:pPr>
              <w:spacing w:line="276" w:lineRule="auto"/>
              <w:rPr>
                <w:rFonts w:eastAsia="EUAlbertina-Bold-Identity-H"/>
                <w:color w:val="000000" w:themeColor="text1"/>
                <w:sz w:val="20"/>
                <w:lang w:eastAsia="lv-LV"/>
              </w:rPr>
            </w:pPr>
            <w:r w:rsidRPr="003B2E97">
              <w:rPr>
                <w:rFonts w:eastAsia="EUAlbertina-Bold-Identity-H"/>
                <w:color w:val="000000" w:themeColor="text1"/>
                <w:sz w:val="20"/>
                <w:lang w:eastAsia="lv-LV"/>
              </w:rPr>
              <w:t>12 421</w:t>
            </w:r>
            <w:r w:rsidR="009F2179" w:rsidRPr="003B2E97">
              <w:rPr>
                <w:rFonts w:eastAsia="EUAlbertina-Bold-Identity-H"/>
                <w:color w:val="000000" w:themeColor="text1"/>
                <w:sz w:val="20"/>
                <w:lang w:eastAsia="lv-LV"/>
              </w:rPr>
              <w:t>,</w:t>
            </w:r>
            <w:r w:rsidRPr="003B2E97">
              <w:rPr>
                <w:rFonts w:eastAsia="EUAlbertina-Bold-Identity-H"/>
                <w:color w:val="000000" w:themeColor="text1"/>
                <w:sz w:val="20"/>
                <w:lang w:eastAsia="lv-LV"/>
              </w:rPr>
              <w:t>61</w:t>
            </w:r>
          </w:p>
        </w:tc>
      </w:tr>
    </w:tbl>
    <w:p w:rsidR="00A921FA" w:rsidRPr="00B557E8" w:rsidRDefault="00A921FA" w:rsidP="00B557E8">
      <w:pPr>
        <w:spacing w:before="120" w:after="120" w:line="276" w:lineRule="auto"/>
        <w:rPr>
          <w:rFonts w:eastAsia="EUAlbertina-Bold-Identity-H"/>
          <w:i/>
          <w:color w:val="000000" w:themeColor="text1"/>
          <w:szCs w:val="24"/>
          <w:lang w:eastAsia="lv-LV"/>
        </w:rPr>
      </w:pPr>
      <w:r w:rsidRPr="00B557E8">
        <w:rPr>
          <w:rFonts w:eastAsia="EUAlbertina-Bold-Identity-H"/>
          <w:color w:val="000000" w:themeColor="text1"/>
          <w:szCs w:val="24"/>
          <w:lang w:eastAsia="lv-LV"/>
        </w:rPr>
        <w:t>*</w:t>
      </w:r>
      <w:r w:rsidRPr="00B557E8">
        <w:rPr>
          <w:rFonts w:eastAsia="EUAlbertina-Bold-Identity-H"/>
          <w:i/>
          <w:color w:val="000000" w:themeColor="text1"/>
          <w:szCs w:val="24"/>
          <w:lang w:eastAsia="lv-LV"/>
        </w:rPr>
        <w:t xml:space="preserve">100% valsts budžeta </w:t>
      </w:r>
      <w:proofErr w:type="spellStart"/>
      <w:r w:rsidRPr="00B557E8">
        <w:rPr>
          <w:rFonts w:eastAsia="EUAlbertina-Bold-Identity-H"/>
          <w:i/>
          <w:color w:val="000000" w:themeColor="text1"/>
          <w:szCs w:val="24"/>
          <w:lang w:eastAsia="lv-LV"/>
        </w:rPr>
        <w:t>priekšfinansējums</w:t>
      </w:r>
      <w:proofErr w:type="spellEnd"/>
      <w:r w:rsidRPr="00B557E8">
        <w:rPr>
          <w:rFonts w:eastAsia="EUAlbertina-Bold-Identity-H"/>
          <w:i/>
          <w:color w:val="000000" w:themeColor="text1"/>
          <w:szCs w:val="24"/>
          <w:lang w:eastAsia="lv-LV"/>
        </w:rPr>
        <w:t xml:space="preserve"> – dotācija</w:t>
      </w:r>
    </w:p>
    <w:p w:rsidR="00A921FA" w:rsidRPr="00B557E8" w:rsidRDefault="00A921FA"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lastRenderedPageBreak/>
        <w:t xml:space="preserve">Atbildīgo ministriju griezumā </w:t>
      </w:r>
      <w:r w:rsidR="000F6C84" w:rsidRPr="00B557E8">
        <w:rPr>
          <w:rFonts w:eastAsia="EUAlbertina-Bold-Identity-H"/>
          <w:color w:val="000000" w:themeColor="text1"/>
          <w:szCs w:val="24"/>
          <w:lang w:eastAsia="lv-LV"/>
        </w:rPr>
        <w:t xml:space="preserve">uz </w:t>
      </w:r>
      <w:r w:rsidRPr="00B557E8">
        <w:rPr>
          <w:rFonts w:eastAsia="EUAlbertina-Bold-Identity-H"/>
          <w:color w:val="000000" w:themeColor="text1"/>
          <w:szCs w:val="24"/>
          <w:lang w:eastAsia="lv-LV"/>
        </w:rPr>
        <w:t xml:space="preserve">pārskata perioda beigām lielākās neattiecināmās izmaksas 398,6 </w:t>
      </w:r>
      <w:proofErr w:type="spellStart"/>
      <w:r w:rsidRPr="00B557E8">
        <w:rPr>
          <w:rFonts w:eastAsia="EUAlbertina-Bold-Identity-H"/>
          <w:color w:val="000000" w:themeColor="text1"/>
          <w:szCs w:val="24"/>
          <w:lang w:eastAsia="lv-LV"/>
        </w:rPr>
        <w:t>tūkst</w:t>
      </w:r>
      <w:proofErr w:type="spellEnd"/>
      <w:r w:rsidRPr="00B557E8">
        <w:rPr>
          <w:rFonts w:eastAsia="EUAlbertina-Bold-Identity-H"/>
          <w:color w:val="000000" w:themeColor="text1"/>
          <w:szCs w:val="24"/>
          <w:lang w:eastAsia="lv-LV"/>
        </w:rPr>
        <w:t xml:space="preserve">. latu apmērā, kas ir vairāk kā puse no visām neattiecināmajām </w:t>
      </w:r>
      <w:r w:rsidR="00000265" w:rsidRPr="00B557E8">
        <w:rPr>
          <w:rFonts w:eastAsia="EUAlbertina-Bold-Identity-H"/>
          <w:color w:val="000000" w:themeColor="text1"/>
          <w:szCs w:val="24"/>
          <w:lang w:eastAsia="lv-LV"/>
        </w:rPr>
        <w:t>izmaksām kopā, ir konstatētas tieslietu prioritātē ieviestajos</w:t>
      </w:r>
      <w:r w:rsidRPr="00B557E8">
        <w:rPr>
          <w:rFonts w:eastAsia="EUAlbertina-Bold-Identity-H"/>
          <w:color w:val="000000" w:themeColor="text1"/>
          <w:szCs w:val="24"/>
          <w:lang w:eastAsia="lv-LV"/>
        </w:rPr>
        <w:t xml:space="preserve"> projektos.</w:t>
      </w:r>
    </w:p>
    <w:p w:rsidR="00A921FA" w:rsidRPr="00B557E8" w:rsidRDefault="00A921FA"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Izdevumi tika atzīti par neattiecināmiem lielākoties šādu iemeslu dēļ: izdevumi ir pretrunā ar projektu īstenošanu reglamentējošo normatīvo aktu prasībām, neatbilstošs administratīvo izdevumu (</w:t>
      </w:r>
      <w:proofErr w:type="spellStart"/>
      <w:r w:rsidRPr="00B557E8">
        <w:rPr>
          <w:rFonts w:eastAsia="EUAlbertina-Bold-Identity-H"/>
          <w:color w:val="000000" w:themeColor="text1"/>
          <w:szCs w:val="24"/>
          <w:lang w:eastAsia="lv-LV"/>
        </w:rPr>
        <w:t>t.sk</w:t>
      </w:r>
      <w:proofErr w:type="spellEnd"/>
      <w:r w:rsidRPr="00B557E8">
        <w:rPr>
          <w:rFonts w:eastAsia="EUAlbertina-Bold-Identity-H"/>
          <w:color w:val="000000" w:themeColor="text1"/>
          <w:szCs w:val="24"/>
          <w:lang w:eastAsia="lv-LV"/>
        </w:rPr>
        <w:t>. atalgojumu) aprēķins, finansējuma saņēmēju pieļautās aprēķinu kļūdas, kā arī pārkāpumi iepirkumu procedūrās.</w:t>
      </w:r>
    </w:p>
    <w:p w:rsidR="00A921FA" w:rsidRPr="00B557E8" w:rsidRDefault="00A921FA"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Sākot ar pirmo projektu īstenošanas uzsākšanu 2009.gada janvārī līdz pārskata perioda beigām Šveices programmas ietvaros </w:t>
      </w:r>
      <w:r w:rsidR="0053690D" w:rsidRPr="00B557E8">
        <w:rPr>
          <w:rFonts w:eastAsia="EUAlbertina-Bold-Identity-H"/>
          <w:color w:val="000000" w:themeColor="text1"/>
          <w:szCs w:val="24"/>
          <w:lang w:eastAsia="lv-LV"/>
        </w:rPr>
        <w:t>CFLA</w:t>
      </w:r>
      <w:r w:rsidRPr="00B557E8">
        <w:rPr>
          <w:rFonts w:eastAsia="EUAlbertina-Bold-Identity-H"/>
          <w:color w:val="000000" w:themeColor="text1"/>
          <w:szCs w:val="24"/>
          <w:lang w:eastAsia="lv-LV"/>
        </w:rPr>
        <w:t xml:space="preserve"> un Valsts kase par neattiecināmiem izdevumiem ir atzinušas kopsummā 56,45 latu</w:t>
      </w:r>
      <w:r w:rsidR="000F6C84" w:rsidRPr="00B557E8">
        <w:rPr>
          <w:rFonts w:eastAsia="EUAlbertina-Bold-Identity-H"/>
          <w:color w:val="000000" w:themeColor="text1"/>
          <w:szCs w:val="24"/>
          <w:lang w:eastAsia="lv-LV"/>
        </w:rPr>
        <w:t>s</w:t>
      </w:r>
      <w:r w:rsidRPr="00B557E8">
        <w:rPr>
          <w:rFonts w:eastAsia="EUAlbertina-Bold-Identity-H"/>
          <w:color w:val="000000" w:themeColor="text1"/>
          <w:szCs w:val="24"/>
          <w:lang w:eastAsia="lv-LV"/>
        </w:rPr>
        <w:t>.</w:t>
      </w:r>
    </w:p>
    <w:p w:rsidR="00FF4209" w:rsidRPr="00B557E8" w:rsidRDefault="00C657EB" w:rsidP="00B557E8">
      <w:pPr>
        <w:pStyle w:val="1lmenis"/>
        <w:spacing w:before="120" w:after="120" w:line="276" w:lineRule="auto"/>
        <w:ind w:left="851"/>
        <w:rPr>
          <w:rFonts w:ascii="Times New Roman" w:hAnsi="Times New Roman"/>
          <w:color w:val="000000" w:themeColor="text1"/>
          <w:sz w:val="24"/>
          <w:szCs w:val="24"/>
          <w:lang w:val="lv-LV"/>
        </w:rPr>
      </w:pPr>
      <w:r w:rsidRPr="00B557E8">
        <w:rPr>
          <w:rFonts w:ascii="Times New Roman" w:eastAsia="EUAlbertina-Bold-Identity-H" w:hAnsi="Times New Roman"/>
          <w:color w:val="000000" w:themeColor="text1"/>
          <w:sz w:val="24"/>
          <w:szCs w:val="24"/>
          <w:lang w:val="lv-LV" w:eastAsia="lv-LV"/>
        </w:rPr>
        <w:br w:type="page"/>
      </w:r>
      <w:bookmarkStart w:id="48" w:name="_Toc308774245"/>
      <w:r w:rsidR="00F50585" w:rsidRPr="00B557E8">
        <w:rPr>
          <w:rFonts w:ascii="Times New Roman" w:hAnsi="Times New Roman"/>
          <w:color w:val="000000" w:themeColor="text1"/>
          <w:sz w:val="24"/>
          <w:szCs w:val="24"/>
          <w:lang w:val="lv-LV"/>
        </w:rPr>
        <w:lastRenderedPageBreak/>
        <w:t xml:space="preserve">ES fondu </w:t>
      </w:r>
      <w:r w:rsidR="009358E7" w:rsidRPr="00B557E8">
        <w:rPr>
          <w:rFonts w:ascii="Times New Roman" w:hAnsi="Times New Roman"/>
          <w:color w:val="000000" w:themeColor="text1"/>
          <w:sz w:val="24"/>
          <w:szCs w:val="24"/>
          <w:lang w:val="lv-LV"/>
        </w:rPr>
        <w:t xml:space="preserve">vadības, kontroles </w:t>
      </w:r>
      <w:r w:rsidR="00F50585" w:rsidRPr="00B557E8">
        <w:rPr>
          <w:rFonts w:ascii="Times New Roman" w:hAnsi="Times New Roman"/>
          <w:color w:val="000000" w:themeColor="text1"/>
          <w:sz w:val="24"/>
          <w:szCs w:val="24"/>
          <w:lang w:val="lv-LV"/>
        </w:rPr>
        <w:t>un</w:t>
      </w:r>
      <w:r w:rsidR="009826BA" w:rsidRPr="00B557E8">
        <w:rPr>
          <w:rFonts w:ascii="Times New Roman" w:hAnsi="Times New Roman"/>
          <w:color w:val="000000" w:themeColor="text1"/>
          <w:sz w:val="24"/>
          <w:szCs w:val="24"/>
          <w:lang w:val="lv-LV"/>
        </w:rPr>
        <w:t xml:space="preserve"> uzraudzības sistēmas pilnveidošana</w:t>
      </w:r>
      <w:bookmarkEnd w:id="48"/>
      <w:r w:rsidR="00FF4209" w:rsidRPr="00B557E8">
        <w:rPr>
          <w:rFonts w:ascii="Times New Roman" w:hAnsi="Times New Roman"/>
          <w:color w:val="000000" w:themeColor="text1"/>
          <w:sz w:val="24"/>
          <w:szCs w:val="24"/>
          <w:lang w:val="lv-LV"/>
        </w:rPr>
        <w:t xml:space="preserve"> </w:t>
      </w:r>
      <w:bookmarkEnd w:id="47"/>
    </w:p>
    <w:p w:rsidR="00E34AAE" w:rsidRPr="003B2E97" w:rsidRDefault="009358E7" w:rsidP="003B2E97">
      <w:pPr>
        <w:spacing w:before="120" w:after="120" w:line="276" w:lineRule="auto"/>
        <w:ind w:left="720"/>
        <w:rPr>
          <w:b/>
          <w:iCs/>
          <w:color w:val="000000" w:themeColor="text1"/>
          <w:szCs w:val="24"/>
          <w:lang w:eastAsia="x-none"/>
        </w:rPr>
      </w:pPr>
      <w:bookmarkStart w:id="49" w:name="_Toc290449016"/>
      <w:bookmarkEnd w:id="0"/>
      <w:bookmarkEnd w:id="1"/>
      <w:r w:rsidRPr="00B557E8">
        <w:rPr>
          <w:rFonts w:eastAsia="EUAlbertina-Bold-Identity-H"/>
          <w:b/>
          <w:color w:val="000000" w:themeColor="text1"/>
          <w:szCs w:val="24"/>
          <w:lang w:eastAsia="lv-LV"/>
        </w:rPr>
        <w:t>5.1.</w:t>
      </w:r>
      <w:r w:rsidRPr="00B557E8">
        <w:rPr>
          <w:rFonts w:eastAsia="EUAlbertina-Bold-Identity-H"/>
          <w:b/>
          <w:color w:val="000000" w:themeColor="text1"/>
          <w:szCs w:val="24"/>
          <w:lang w:eastAsia="lv-LV"/>
        </w:rPr>
        <w:tab/>
      </w:r>
      <w:r w:rsidR="00E34AAE" w:rsidRPr="003B2E97">
        <w:rPr>
          <w:b/>
          <w:iCs/>
          <w:color w:val="000000" w:themeColor="text1"/>
          <w:szCs w:val="24"/>
          <w:lang w:eastAsia="x-none"/>
        </w:rPr>
        <w:t>Iepirkumu uzraudzības sistēmas pilnveidošana</w:t>
      </w:r>
    </w:p>
    <w:p w:rsidR="00E34AAE" w:rsidRPr="00B557E8" w:rsidRDefault="00E34AA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Šā gada 30.augustā ir apstiprināti grozījumi MK noteikumos Nr.419</w:t>
      </w:r>
      <w:r w:rsidRPr="00B557E8">
        <w:rPr>
          <w:rFonts w:eastAsia="EUAlbertina-Bold-Identity-H"/>
          <w:color w:val="000000" w:themeColor="text1"/>
          <w:szCs w:val="24"/>
          <w:vertAlign w:val="superscript"/>
          <w:lang w:eastAsia="lv-LV"/>
        </w:rPr>
        <w:footnoteReference w:id="11"/>
      </w:r>
      <w:r w:rsidRPr="00B557E8">
        <w:rPr>
          <w:rFonts w:eastAsia="EUAlbertina-Bold-Identity-H"/>
          <w:color w:val="000000" w:themeColor="text1"/>
          <w:szCs w:val="24"/>
          <w:lang w:eastAsia="lv-LV"/>
        </w:rPr>
        <w:t>, līdz ar kuriem ir pilnveidota ES fondu iepirkumu uzraudzības sistēma. Grozījumi MK noteikumos tiks ieviesti sākot ar 2012.gada 1.janvāri un tie paredz:</w:t>
      </w:r>
    </w:p>
    <w:p w:rsidR="00E34AAE" w:rsidRPr="00B557E8" w:rsidRDefault="00E34AAE" w:rsidP="00B557E8">
      <w:pPr>
        <w:pStyle w:val="ListParagraph"/>
        <w:numPr>
          <w:ilvl w:val="0"/>
          <w:numId w:val="85"/>
        </w:numPr>
        <w:spacing w:before="120" w:after="120"/>
        <w:jc w:val="both"/>
        <w:rPr>
          <w:rFonts w:ascii="Times New Roman" w:eastAsia="EUAlbertina-Bold-Identity-H" w:hAnsi="Times New Roman"/>
          <w:color w:val="000000" w:themeColor="text1"/>
          <w:sz w:val="24"/>
          <w:szCs w:val="24"/>
          <w:lang w:eastAsia="lv-LV"/>
        </w:rPr>
      </w:pPr>
      <w:r w:rsidRPr="00B557E8">
        <w:rPr>
          <w:rFonts w:ascii="Times New Roman" w:eastAsia="EUAlbertina-Bold-Identity-H" w:hAnsi="Times New Roman"/>
          <w:color w:val="000000" w:themeColor="text1"/>
          <w:sz w:val="24"/>
          <w:szCs w:val="24"/>
          <w:lang w:eastAsia="lv-LV"/>
        </w:rPr>
        <w:t xml:space="preserve">Paplašina to institūciju loku, kam ir tiesības veikt iepirkumu </w:t>
      </w:r>
      <w:proofErr w:type="spellStart"/>
      <w:r w:rsidRPr="00B557E8">
        <w:rPr>
          <w:rFonts w:ascii="Times New Roman" w:eastAsia="EUAlbertina-Bold-Identity-H" w:hAnsi="Times New Roman"/>
          <w:color w:val="000000" w:themeColor="text1"/>
          <w:sz w:val="24"/>
          <w:szCs w:val="24"/>
          <w:lang w:eastAsia="lv-LV"/>
        </w:rPr>
        <w:t>pirmspārbaudes</w:t>
      </w:r>
      <w:proofErr w:type="spellEnd"/>
      <w:r w:rsidRPr="00B557E8">
        <w:rPr>
          <w:rFonts w:ascii="Times New Roman" w:eastAsia="EUAlbertina-Bold-Identity-H" w:hAnsi="Times New Roman"/>
          <w:color w:val="000000" w:themeColor="text1"/>
          <w:sz w:val="24"/>
          <w:szCs w:val="24"/>
          <w:lang w:eastAsia="lv-LV"/>
        </w:rPr>
        <w:t>, nosakot atbildības sadalījumu, proti:</w:t>
      </w:r>
    </w:p>
    <w:p w:rsidR="00E34AAE" w:rsidRPr="00B557E8" w:rsidRDefault="00E34AAE" w:rsidP="00B557E8">
      <w:pPr>
        <w:pStyle w:val="ListParagraph"/>
        <w:numPr>
          <w:ilvl w:val="1"/>
          <w:numId w:val="36"/>
        </w:numPr>
        <w:spacing w:before="120" w:after="120"/>
        <w:ind w:left="1080"/>
        <w:jc w:val="both"/>
        <w:rPr>
          <w:rFonts w:ascii="Times New Roman" w:eastAsia="EUAlbertina-Bold-Identity-H" w:hAnsi="Times New Roman"/>
          <w:color w:val="000000" w:themeColor="text1"/>
          <w:sz w:val="24"/>
          <w:szCs w:val="24"/>
          <w:lang w:eastAsia="lv-LV"/>
        </w:rPr>
      </w:pPr>
      <w:r w:rsidRPr="00B557E8">
        <w:rPr>
          <w:rFonts w:ascii="Times New Roman" w:eastAsia="EUAlbertina-Bold-Identity-H" w:hAnsi="Times New Roman"/>
          <w:color w:val="000000" w:themeColor="text1"/>
          <w:sz w:val="24"/>
          <w:szCs w:val="24"/>
          <w:lang w:eastAsia="lv-LV"/>
        </w:rPr>
        <w:t xml:space="preserve">Iepirkumu uzraudzības birojs 100% apmērā veic iepirkumu </w:t>
      </w:r>
      <w:proofErr w:type="spellStart"/>
      <w:r w:rsidRPr="00B557E8">
        <w:rPr>
          <w:rFonts w:ascii="Times New Roman" w:eastAsia="EUAlbertina-Bold-Identity-H" w:hAnsi="Times New Roman"/>
          <w:color w:val="000000" w:themeColor="text1"/>
          <w:sz w:val="24"/>
          <w:szCs w:val="24"/>
          <w:lang w:eastAsia="lv-LV"/>
        </w:rPr>
        <w:t>pirmspārbaudes</w:t>
      </w:r>
      <w:proofErr w:type="spellEnd"/>
      <w:r w:rsidRPr="00B557E8">
        <w:rPr>
          <w:rFonts w:ascii="Times New Roman" w:eastAsia="EUAlbertina-Bold-Identity-H" w:hAnsi="Times New Roman"/>
          <w:color w:val="000000" w:themeColor="text1"/>
          <w:sz w:val="24"/>
          <w:szCs w:val="24"/>
          <w:lang w:eastAsia="lv-LV"/>
        </w:rPr>
        <w:t xml:space="preserve"> lielo projektu ietvaros (projekti, kuru kopējās attiecināmās izmaksas pārsniedz 50 miljonus eiro), kā arī izlases veidā veic to iepirkumu </w:t>
      </w:r>
      <w:proofErr w:type="spellStart"/>
      <w:r w:rsidRPr="00B557E8">
        <w:rPr>
          <w:rFonts w:ascii="Times New Roman" w:eastAsia="EUAlbertina-Bold-Identity-H" w:hAnsi="Times New Roman"/>
          <w:color w:val="000000" w:themeColor="text1"/>
          <w:sz w:val="24"/>
          <w:szCs w:val="24"/>
          <w:lang w:eastAsia="lv-LV"/>
        </w:rPr>
        <w:t>pirmspārbaudes</w:t>
      </w:r>
      <w:proofErr w:type="spellEnd"/>
      <w:r w:rsidRPr="00B557E8">
        <w:rPr>
          <w:rFonts w:ascii="Times New Roman" w:eastAsia="EUAlbertina-Bold-Identity-H" w:hAnsi="Times New Roman"/>
          <w:color w:val="000000" w:themeColor="text1"/>
          <w:sz w:val="24"/>
          <w:szCs w:val="24"/>
          <w:lang w:eastAsia="lv-LV"/>
        </w:rPr>
        <w:t xml:space="preserve">, par kuriem jāpublicē paziņojums </w:t>
      </w:r>
      <w:r w:rsidR="00EC322F" w:rsidRPr="00B557E8">
        <w:rPr>
          <w:rFonts w:ascii="Times New Roman" w:eastAsia="EUAlbertina-Bold-Identity-H" w:hAnsi="Times New Roman"/>
          <w:color w:val="000000" w:themeColor="text1"/>
          <w:sz w:val="24"/>
          <w:szCs w:val="24"/>
          <w:lang w:eastAsia="lv-LV"/>
        </w:rPr>
        <w:t>ES</w:t>
      </w:r>
      <w:r w:rsidRPr="00B557E8">
        <w:rPr>
          <w:rFonts w:ascii="Times New Roman" w:eastAsia="EUAlbertina-Bold-Identity-H" w:hAnsi="Times New Roman"/>
          <w:color w:val="000000" w:themeColor="text1"/>
          <w:sz w:val="24"/>
          <w:szCs w:val="24"/>
          <w:lang w:eastAsia="lv-LV"/>
        </w:rPr>
        <w:t xml:space="preserve"> Oficiālajā Vēstnesī un to iepirkumu </w:t>
      </w:r>
      <w:proofErr w:type="spellStart"/>
      <w:r w:rsidRPr="00B557E8">
        <w:rPr>
          <w:rFonts w:ascii="Times New Roman" w:eastAsia="EUAlbertina-Bold-Identity-H" w:hAnsi="Times New Roman"/>
          <w:color w:val="000000" w:themeColor="text1"/>
          <w:sz w:val="24"/>
          <w:szCs w:val="24"/>
          <w:lang w:eastAsia="lv-LV"/>
        </w:rPr>
        <w:t>pirmspārbaudes</w:t>
      </w:r>
      <w:proofErr w:type="spellEnd"/>
      <w:r w:rsidRPr="00B557E8">
        <w:rPr>
          <w:rFonts w:ascii="Times New Roman" w:eastAsia="EUAlbertina-Bold-Identity-H" w:hAnsi="Times New Roman"/>
          <w:color w:val="000000" w:themeColor="text1"/>
          <w:sz w:val="24"/>
          <w:szCs w:val="24"/>
          <w:lang w:eastAsia="lv-LV"/>
        </w:rPr>
        <w:t xml:space="preserve">, kuros paredzētā publisko būvdarbu līguma summa pārsniedz 1 000 000 latu. </w:t>
      </w:r>
    </w:p>
    <w:p w:rsidR="00E34AAE" w:rsidRPr="00B557E8" w:rsidRDefault="00374474" w:rsidP="00B557E8">
      <w:pPr>
        <w:pStyle w:val="ListParagraph"/>
        <w:numPr>
          <w:ilvl w:val="1"/>
          <w:numId w:val="36"/>
        </w:numPr>
        <w:spacing w:before="120" w:after="120"/>
        <w:ind w:left="1080"/>
        <w:jc w:val="both"/>
        <w:rPr>
          <w:rFonts w:ascii="Times New Roman" w:eastAsia="EUAlbertina-Bold-Identity-H" w:hAnsi="Times New Roman"/>
          <w:color w:val="000000" w:themeColor="text1"/>
          <w:sz w:val="24"/>
          <w:szCs w:val="24"/>
          <w:lang w:eastAsia="lv-LV"/>
        </w:rPr>
      </w:pPr>
      <w:r w:rsidRPr="00B557E8">
        <w:rPr>
          <w:rFonts w:ascii="Times New Roman" w:eastAsia="EUAlbertina-Bold-Identity-H" w:hAnsi="Times New Roman"/>
          <w:color w:val="000000" w:themeColor="text1"/>
          <w:sz w:val="24"/>
          <w:szCs w:val="24"/>
          <w:lang w:eastAsia="lv-LV"/>
        </w:rPr>
        <w:t>AI</w:t>
      </w:r>
      <w:r w:rsidR="00E34AAE" w:rsidRPr="00B557E8">
        <w:rPr>
          <w:rFonts w:ascii="Times New Roman" w:eastAsia="EUAlbertina-Bold-Identity-H" w:hAnsi="Times New Roman"/>
          <w:color w:val="000000" w:themeColor="text1"/>
          <w:sz w:val="24"/>
          <w:szCs w:val="24"/>
          <w:lang w:eastAsia="lv-LV"/>
        </w:rPr>
        <w:t xml:space="preserve"> vai </w:t>
      </w:r>
      <w:r w:rsidRPr="00B557E8">
        <w:rPr>
          <w:rFonts w:ascii="Times New Roman" w:eastAsia="EUAlbertina-Bold-Identity-H" w:hAnsi="Times New Roman"/>
          <w:color w:val="000000" w:themeColor="text1"/>
          <w:sz w:val="24"/>
          <w:szCs w:val="24"/>
          <w:lang w:eastAsia="lv-LV"/>
        </w:rPr>
        <w:t>SI</w:t>
      </w:r>
      <w:r w:rsidR="00E34AAE" w:rsidRPr="00B557E8">
        <w:rPr>
          <w:rFonts w:ascii="Times New Roman" w:eastAsia="EUAlbertina-Bold-Identity-H" w:hAnsi="Times New Roman"/>
          <w:color w:val="000000" w:themeColor="text1"/>
          <w:sz w:val="24"/>
          <w:szCs w:val="24"/>
          <w:lang w:eastAsia="lv-LV"/>
        </w:rPr>
        <w:t xml:space="preserve"> izlases veidā veic pārējo iepirkumu </w:t>
      </w:r>
      <w:proofErr w:type="spellStart"/>
      <w:r w:rsidR="00E34AAE" w:rsidRPr="00B557E8">
        <w:rPr>
          <w:rFonts w:ascii="Times New Roman" w:eastAsia="EUAlbertina-Bold-Identity-H" w:hAnsi="Times New Roman"/>
          <w:color w:val="000000" w:themeColor="text1"/>
          <w:sz w:val="24"/>
          <w:szCs w:val="24"/>
          <w:lang w:eastAsia="lv-LV"/>
        </w:rPr>
        <w:t>pirmspārbaudes</w:t>
      </w:r>
      <w:proofErr w:type="spellEnd"/>
      <w:r w:rsidR="00E34AAE" w:rsidRPr="00B557E8">
        <w:rPr>
          <w:rFonts w:ascii="Times New Roman" w:eastAsia="EUAlbertina-Bold-Identity-H" w:hAnsi="Times New Roman"/>
          <w:color w:val="000000" w:themeColor="text1"/>
          <w:sz w:val="24"/>
          <w:szCs w:val="24"/>
          <w:lang w:eastAsia="lv-LV"/>
        </w:rPr>
        <w:t xml:space="preserve"> (pašvaldību, valsts pārvaldes iestāžu, komersantu veikto iepirkumu </w:t>
      </w:r>
      <w:proofErr w:type="spellStart"/>
      <w:r w:rsidR="00E34AAE" w:rsidRPr="00B557E8">
        <w:rPr>
          <w:rFonts w:ascii="Times New Roman" w:eastAsia="EUAlbertina-Bold-Identity-H" w:hAnsi="Times New Roman"/>
          <w:color w:val="000000" w:themeColor="text1"/>
          <w:sz w:val="24"/>
          <w:szCs w:val="24"/>
          <w:lang w:eastAsia="lv-LV"/>
        </w:rPr>
        <w:t>pirmspārbaudes</w:t>
      </w:r>
      <w:proofErr w:type="spellEnd"/>
      <w:r w:rsidR="00E34AAE" w:rsidRPr="00B557E8">
        <w:rPr>
          <w:rFonts w:ascii="Times New Roman" w:eastAsia="EUAlbertina-Bold-Identity-H" w:hAnsi="Times New Roman"/>
          <w:color w:val="000000" w:themeColor="text1"/>
          <w:sz w:val="24"/>
          <w:szCs w:val="24"/>
          <w:lang w:eastAsia="lv-LV"/>
        </w:rPr>
        <w:t>).</w:t>
      </w:r>
    </w:p>
    <w:p w:rsidR="00E34AAE" w:rsidRPr="00B557E8" w:rsidRDefault="00E34AAE" w:rsidP="00B557E8">
      <w:pPr>
        <w:pStyle w:val="ListParagraph"/>
        <w:numPr>
          <w:ilvl w:val="0"/>
          <w:numId w:val="85"/>
        </w:numPr>
        <w:spacing w:before="120" w:after="120"/>
        <w:jc w:val="both"/>
        <w:rPr>
          <w:rFonts w:ascii="Times New Roman" w:eastAsia="EUAlbertina-Bold-Identity-H" w:hAnsi="Times New Roman"/>
          <w:color w:val="000000" w:themeColor="text1"/>
          <w:sz w:val="24"/>
          <w:szCs w:val="24"/>
          <w:lang w:eastAsia="lv-LV"/>
        </w:rPr>
      </w:pPr>
      <w:r w:rsidRPr="00B557E8">
        <w:rPr>
          <w:rFonts w:ascii="Times New Roman" w:eastAsia="EUAlbertina-Bold-Identity-H" w:hAnsi="Times New Roman"/>
          <w:color w:val="000000" w:themeColor="text1"/>
          <w:sz w:val="24"/>
          <w:szCs w:val="24"/>
          <w:lang w:eastAsia="lv-LV"/>
        </w:rPr>
        <w:t xml:space="preserve">Nosaka Iepirkumu uzraudzības birojam pienākumu izstrādāt un ar </w:t>
      </w:r>
      <w:r w:rsidR="00374474" w:rsidRPr="00B557E8">
        <w:rPr>
          <w:rFonts w:ascii="Times New Roman" w:eastAsia="EUAlbertina-Bold-Identity-H" w:hAnsi="Times New Roman"/>
          <w:color w:val="000000" w:themeColor="text1"/>
          <w:sz w:val="24"/>
          <w:szCs w:val="24"/>
          <w:lang w:eastAsia="lv-LV"/>
        </w:rPr>
        <w:t>AI</w:t>
      </w:r>
      <w:r w:rsidRPr="00B557E8">
        <w:rPr>
          <w:rFonts w:ascii="Times New Roman" w:eastAsia="EUAlbertina-Bold-Identity-H" w:hAnsi="Times New Roman"/>
          <w:color w:val="000000" w:themeColor="text1"/>
          <w:sz w:val="24"/>
          <w:szCs w:val="24"/>
          <w:lang w:eastAsia="lv-LV"/>
        </w:rPr>
        <w:t xml:space="preserve">, </w:t>
      </w:r>
      <w:r w:rsidR="00374474" w:rsidRPr="00B557E8">
        <w:rPr>
          <w:rFonts w:ascii="Times New Roman" w:eastAsia="EUAlbertina-Bold-Identity-H" w:hAnsi="Times New Roman"/>
          <w:color w:val="000000" w:themeColor="text1"/>
          <w:sz w:val="24"/>
          <w:szCs w:val="24"/>
          <w:lang w:eastAsia="lv-LV"/>
        </w:rPr>
        <w:t>SI</w:t>
      </w:r>
      <w:r w:rsidRPr="00B557E8">
        <w:rPr>
          <w:rFonts w:ascii="Times New Roman" w:eastAsia="EUAlbertina-Bold-Identity-H" w:hAnsi="Times New Roman"/>
          <w:color w:val="000000" w:themeColor="text1"/>
          <w:sz w:val="24"/>
          <w:szCs w:val="24"/>
          <w:lang w:eastAsia="lv-LV"/>
        </w:rPr>
        <w:t xml:space="preserve"> un </w:t>
      </w:r>
      <w:r w:rsidR="00374474" w:rsidRPr="00B557E8">
        <w:rPr>
          <w:rFonts w:ascii="Times New Roman" w:eastAsia="EUAlbertina-Bold-Identity-H" w:hAnsi="Times New Roman"/>
          <w:color w:val="000000" w:themeColor="text1"/>
          <w:sz w:val="24"/>
          <w:szCs w:val="24"/>
          <w:lang w:eastAsia="lv-LV"/>
        </w:rPr>
        <w:t>VI</w:t>
      </w:r>
      <w:r w:rsidRPr="00B557E8">
        <w:rPr>
          <w:rFonts w:ascii="Times New Roman" w:eastAsia="EUAlbertina-Bold-Identity-H" w:hAnsi="Times New Roman"/>
          <w:color w:val="000000" w:themeColor="text1"/>
          <w:sz w:val="24"/>
          <w:szCs w:val="24"/>
          <w:lang w:eastAsia="lv-LV"/>
        </w:rPr>
        <w:t xml:space="preserve"> saskaņot metodiku par </w:t>
      </w:r>
      <w:proofErr w:type="spellStart"/>
      <w:r w:rsidRPr="00B557E8">
        <w:rPr>
          <w:rFonts w:ascii="Times New Roman" w:eastAsia="EUAlbertina-Bold-Identity-H" w:hAnsi="Times New Roman"/>
          <w:color w:val="000000" w:themeColor="text1"/>
          <w:sz w:val="24"/>
          <w:szCs w:val="24"/>
          <w:lang w:eastAsia="lv-LV"/>
        </w:rPr>
        <w:t>pirmspārbaužu</w:t>
      </w:r>
      <w:proofErr w:type="spellEnd"/>
      <w:r w:rsidRPr="00B557E8">
        <w:rPr>
          <w:rFonts w:ascii="Times New Roman" w:eastAsia="EUAlbertina-Bold-Identity-H" w:hAnsi="Times New Roman"/>
          <w:color w:val="000000" w:themeColor="text1"/>
          <w:sz w:val="24"/>
          <w:szCs w:val="24"/>
          <w:lang w:eastAsia="lv-LV"/>
        </w:rPr>
        <w:t xml:space="preserve"> veikšanu, regulāri organizēt sanāksmes par iepirkumu </w:t>
      </w:r>
      <w:proofErr w:type="spellStart"/>
      <w:r w:rsidRPr="00B557E8">
        <w:rPr>
          <w:rFonts w:ascii="Times New Roman" w:eastAsia="EUAlbertina-Bold-Identity-H" w:hAnsi="Times New Roman"/>
          <w:color w:val="000000" w:themeColor="text1"/>
          <w:sz w:val="24"/>
          <w:szCs w:val="24"/>
          <w:lang w:eastAsia="lv-LV"/>
        </w:rPr>
        <w:t>pirmspārbaužu</w:t>
      </w:r>
      <w:proofErr w:type="spellEnd"/>
      <w:r w:rsidRPr="00B557E8">
        <w:rPr>
          <w:rFonts w:ascii="Times New Roman" w:eastAsia="EUAlbertina-Bold-Identity-H" w:hAnsi="Times New Roman"/>
          <w:color w:val="000000" w:themeColor="text1"/>
          <w:sz w:val="24"/>
          <w:szCs w:val="24"/>
          <w:lang w:eastAsia="lv-LV"/>
        </w:rPr>
        <w:t xml:space="preserve"> veikšanā konstatētajiem </w:t>
      </w:r>
      <w:proofErr w:type="spellStart"/>
      <w:r w:rsidRPr="00B557E8">
        <w:rPr>
          <w:rFonts w:ascii="Times New Roman" w:eastAsia="EUAlbertina-Bold-Identity-H" w:hAnsi="Times New Roman"/>
          <w:color w:val="000000" w:themeColor="text1"/>
          <w:sz w:val="24"/>
          <w:szCs w:val="24"/>
          <w:lang w:eastAsia="lv-LV"/>
        </w:rPr>
        <w:t>problēmjautājumiem</w:t>
      </w:r>
      <w:proofErr w:type="spellEnd"/>
      <w:r w:rsidRPr="00B557E8">
        <w:rPr>
          <w:rFonts w:ascii="Times New Roman" w:eastAsia="EUAlbertina-Bold-Identity-H" w:hAnsi="Times New Roman"/>
          <w:color w:val="000000" w:themeColor="text1"/>
          <w:sz w:val="24"/>
          <w:szCs w:val="24"/>
          <w:lang w:eastAsia="lv-LV"/>
        </w:rPr>
        <w:t xml:space="preserve"> ar mērķi vienoties par to risinājumiem un veicināt vienotu pieeju </w:t>
      </w:r>
      <w:proofErr w:type="spellStart"/>
      <w:r w:rsidRPr="00B557E8">
        <w:rPr>
          <w:rFonts w:ascii="Times New Roman" w:eastAsia="EUAlbertina-Bold-Identity-H" w:hAnsi="Times New Roman"/>
          <w:color w:val="000000" w:themeColor="text1"/>
          <w:sz w:val="24"/>
          <w:szCs w:val="24"/>
          <w:lang w:eastAsia="lv-LV"/>
        </w:rPr>
        <w:t>problēmjautājumu</w:t>
      </w:r>
      <w:proofErr w:type="spellEnd"/>
      <w:r w:rsidRPr="00B557E8">
        <w:rPr>
          <w:rFonts w:ascii="Times New Roman" w:eastAsia="EUAlbertina-Bold-Identity-H" w:hAnsi="Times New Roman"/>
          <w:color w:val="000000" w:themeColor="text1"/>
          <w:sz w:val="24"/>
          <w:szCs w:val="24"/>
          <w:lang w:eastAsia="lv-LV"/>
        </w:rPr>
        <w:t xml:space="preserve"> risināšanai, kā arī regulāri aktualizēt iepriekšminēto metodiku.</w:t>
      </w:r>
    </w:p>
    <w:p w:rsidR="00E34AAE" w:rsidRPr="00B557E8" w:rsidRDefault="00E34AA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Papildus šā gada 30.septembrī ir apstiprināta arī Iepirkumu uzraudzības biroja metodika </w:t>
      </w:r>
      <w:r w:rsidR="00374474" w:rsidRPr="00B557E8">
        <w:rPr>
          <w:rFonts w:eastAsia="EUAlbertina-Bold-Identity-H"/>
          <w:color w:val="000000" w:themeColor="text1"/>
          <w:szCs w:val="24"/>
          <w:lang w:eastAsia="lv-LV"/>
        </w:rPr>
        <w:t>AI un SI</w:t>
      </w:r>
      <w:r w:rsidRPr="00B557E8">
        <w:rPr>
          <w:rFonts w:eastAsia="EUAlbertina-Bold-Identity-H"/>
          <w:color w:val="000000" w:themeColor="text1"/>
          <w:szCs w:val="24"/>
          <w:lang w:eastAsia="lv-LV"/>
        </w:rPr>
        <w:t xml:space="preserve"> par iepirkumu </w:t>
      </w:r>
      <w:proofErr w:type="spellStart"/>
      <w:r w:rsidRPr="00B557E8">
        <w:rPr>
          <w:rFonts w:eastAsia="EUAlbertina-Bold-Identity-H"/>
          <w:color w:val="000000" w:themeColor="text1"/>
          <w:szCs w:val="24"/>
          <w:lang w:eastAsia="lv-LV"/>
        </w:rPr>
        <w:t>pirmspārbaužu</w:t>
      </w:r>
      <w:proofErr w:type="spellEnd"/>
      <w:r w:rsidRPr="00B557E8">
        <w:rPr>
          <w:rFonts w:eastAsia="EUAlbertina-Bold-Identity-H"/>
          <w:color w:val="000000" w:themeColor="text1"/>
          <w:szCs w:val="24"/>
          <w:lang w:eastAsia="lv-LV"/>
        </w:rPr>
        <w:t xml:space="preserve"> veikšanu. Ar IUB izstrādāto metodiku var iepazīties ES fondu mājas lapā pēc adreses </w:t>
      </w:r>
      <w:hyperlink r:id="rId42" w:history="1">
        <w:r w:rsidRPr="00B557E8">
          <w:rPr>
            <w:rFonts w:eastAsia="EUAlbertina-Bold-Identity-H"/>
            <w:color w:val="000000" w:themeColor="text1"/>
            <w:szCs w:val="24"/>
            <w:lang w:eastAsia="lv-LV"/>
          </w:rPr>
          <w:t>http://www.esfondi.lv/page.php?id=613</w:t>
        </w:r>
      </w:hyperlink>
      <w:r w:rsidRPr="00B557E8">
        <w:rPr>
          <w:rFonts w:eastAsia="EUAlbertina-Bold-Identity-H"/>
          <w:color w:val="000000" w:themeColor="text1"/>
          <w:szCs w:val="24"/>
          <w:lang w:eastAsia="lv-LV"/>
        </w:rPr>
        <w:t xml:space="preserve">. </w:t>
      </w:r>
    </w:p>
    <w:p w:rsidR="00E34AAE" w:rsidRPr="003B2E97" w:rsidRDefault="009358E7" w:rsidP="003B2E97">
      <w:pPr>
        <w:spacing w:before="120" w:after="120" w:line="276" w:lineRule="auto"/>
        <w:ind w:left="1418" w:hanging="567"/>
        <w:rPr>
          <w:b/>
          <w:iCs/>
          <w:color w:val="000000" w:themeColor="text1"/>
          <w:szCs w:val="24"/>
          <w:lang w:eastAsia="x-none"/>
        </w:rPr>
      </w:pPr>
      <w:r w:rsidRPr="00B557E8">
        <w:rPr>
          <w:rFonts w:eastAsia="EUAlbertina-Bold-Identity-H"/>
          <w:b/>
          <w:color w:val="000000" w:themeColor="text1"/>
          <w:szCs w:val="24"/>
          <w:lang w:eastAsia="lv-LV"/>
        </w:rPr>
        <w:t>5.2.</w:t>
      </w:r>
      <w:r w:rsidRPr="00B557E8">
        <w:rPr>
          <w:rFonts w:eastAsia="EUAlbertina-Bold-Identity-H"/>
          <w:b/>
          <w:color w:val="000000" w:themeColor="text1"/>
          <w:szCs w:val="24"/>
          <w:lang w:eastAsia="lv-LV"/>
        </w:rPr>
        <w:tab/>
      </w:r>
      <w:r w:rsidR="00E34AAE" w:rsidRPr="003B2E97">
        <w:rPr>
          <w:b/>
          <w:iCs/>
          <w:color w:val="000000" w:themeColor="text1"/>
          <w:szCs w:val="24"/>
          <w:lang w:eastAsia="x-none"/>
        </w:rPr>
        <w:t>Par ES fondu projektu īstenošanas termiņu pagarināšanu (grozījumi MK noteikumos Nr.419)</w:t>
      </w:r>
    </w:p>
    <w:p w:rsidR="00E34AAE" w:rsidRPr="00B557E8" w:rsidRDefault="00E34AA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FM kā ES fondu VI, analizējot ES fondu ieviešanu</w:t>
      </w:r>
      <w:r w:rsidR="009358E7" w:rsidRPr="00B557E8">
        <w:rPr>
          <w:rFonts w:eastAsia="EUAlbertina-Bold-Identity-H"/>
          <w:color w:val="000000" w:themeColor="text1"/>
          <w:szCs w:val="24"/>
          <w:lang w:eastAsia="lv-LV"/>
        </w:rPr>
        <w:t xml:space="preserve"> un veicot sarunas ar starpniekinstitūcijām</w:t>
      </w:r>
      <w:r w:rsidRPr="00B557E8">
        <w:rPr>
          <w:rFonts w:eastAsia="EUAlbertina-Bold-Identity-H"/>
          <w:color w:val="000000" w:themeColor="text1"/>
          <w:szCs w:val="24"/>
          <w:lang w:eastAsia="lv-LV"/>
        </w:rPr>
        <w:t xml:space="preserve">, ir konstatējusi, ka bieži vien, vairāku apstākļu ietekmē finansējuma saņēmējs nevar pabeigt ES fonda projektu sākotnēji noteiktajā termiņā. Taču vairākās ES fondu aktivitātēs projekta īstenošanas termiņš jau sākotnēji ir noteikts kā projekta iesnieguma vērtēšanas kritērijs.  Lai gan tiesiskā noteiktība prasa, lai līguma vai vienošanās, kas ir noslēgta attiecīgi uz administratīvā akta vai pārvaldes lēmuma, kas, savukārt, ir pieņemts uz konkrētajā brīdī spēkā esošo normatīvo aktu pamata, nosacījumi netiktu mainīti, ir nepieciešams iezīmēt tādas situācijas, kad </w:t>
      </w:r>
      <w:r w:rsidR="00374474" w:rsidRPr="00B557E8">
        <w:rPr>
          <w:rFonts w:eastAsia="EUAlbertina-Bold-Identity-H"/>
          <w:color w:val="000000" w:themeColor="text1"/>
          <w:szCs w:val="24"/>
          <w:lang w:eastAsia="lv-LV"/>
        </w:rPr>
        <w:t>AI</w:t>
      </w:r>
      <w:r w:rsidRPr="00B557E8">
        <w:rPr>
          <w:rFonts w:eastAsia="EUAlbertina-Bold-Identity-H"/>
          <w:color w:val="000000" w:themeColor="text1"/>
          <w:szCs w:val="24"/>
          <w:lang w:eastAsia="lv-LV"/>
        </w:rPr>
        <w:t xml:space="preserve"> vai </w:t>
      </w:r>
      <w:r w:rsidR="00374474" w:rsidRPr="00B557E8">
        <w:rPr>
          <w:rFonts w:eastAsia="EUAlbertina-Bold-Identity-H"/>
          <w:color w:val="000000" w:themeColor="text1"/>
          <w:szCs w:val="24"/>
          <w:lang w:eastAsia="lv-LV"/>
        </w:rPr>
        <w:t>SI</w:t>
      </w:r>
      <w:r w:rsidRPr="00B557E8">
        <w:rPr>
          <w:rFonts w:eastAsia="EUAlbertina-Bold-Identity-H"/>
          <w:color w:val="000000" w:themeColor="text1"/>
          <w:szCs w:val="24"/>
          <w:lang w:eastAsia="lv-LV"/>
        </w:rPr>
        <w:t xml:space="preserve"> var pagarināt līgumā vai vienošanās par projekta īstenošanu noteikto projekta īstenošanas termiņu pat tad, ja šāds termiņš sākotnēji ir noteikts kā projekta iesnieguma vērtēšanas kritērijs. Vienlaikus ar MK 2011.gada 27.septembra </w:t>
      </w:r>
      <w:proofErr w:type="spellStart"/>
      <w:r w:rsidRPr="00B557E8">
        <w:rPr>
          <w:rFonts w:eastAsia="EUAlbertina-Bold-Identity-H"/>
          <w:color w:val="000000" w:themeColor="text1"/>
          <w:szCs w:val="24"/>
          <w:lang w:eastAsia="lv-LV"/>
        </w:rPr>
        <w:t>protokollēmuma</w:t>
      </w:r>
      <w:proofErr w:type="spellEnd"/>
      <w:r w:rsidRPr="00B557E8">
        <w:rPr>
          <w:rFonts w:eastAsia="EUAlbertina-Bold-Identity-H"/>
          <w:color w:val="000000" w:themeColor="text1"/>
          <w:szCs w:val="24"/>
          <w:lang w:eastAsia="lv-LV"/>
        </w:rPr>
        <w:t xml:space="preserve"> Nr.55 23.§ 2.punktu MK ir uzdevis FM sagatavot un iesniegt izskatīšanai MK priekšlikumu par grozījumiem normatīvajā regulējumā, lai atrisinātu dažu jau uzsākto projektu, kuros plānotās darbības nevar īstenot līgumā vai vienošanās noteiktajā termiņā un kuros projekta īstenošanas termiņš sākotnēji ir bijis noteikts kā projekta iesnieguma vērtēšanas kritērijs, īstenošanas problēmas. </w:t>
      </w:r>
    </w:p>
    <w:p w:rsidR="00E34AAE" w:rsidRPr="00B557E8" w:rsidRDefault="00E34AA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lastRenderedPageBreak/>
        <w:t xml:space="preserve">Pamatojoties uz iepriekšminēto, </w:t>
      </w:r>
      <w:r w:rsidR="004F5DF1" w:rsidRPr="00B557E8">
        <w:rPr>
          <w:rFonts w:eastAsia="EUAlbertina-Bold-Identity-H"/>
          <w:color w:val="000000" w:themeColor="text1"/>
          <w:szCs w:val="24"/>
          <w:lang w:eastAsia="lv-LV"/>
        </w:rPr>
        <w:t>FM</w:t>
      </w:r>
      <w:r w:rsidRPr="00B557E8">
        <w:rPr>
          <w:rFonts w:eastAsia="EUAlbertina-Bold-Identity-H"/>
          <w:color w:val="000000" w:themeColor="text1"/>
          <w:szCs w:val="24"/>
          <w:lang w:eastAsia="lv-LV"/>
        </w:rPr>
        <w:t xml:space="preserve"> ir izstrādājusi MK noteikumu projektu „Grozījumi Ministru kabineta 2007.gada 26.jūnija noteikumos Nr.419 „Kārtība, kādā Eiropas Savienības struktūrfondu un Kohēzijas fonda vadībā iesaistītās institūcijas nodrošina plānošanas dokumentu sagatavošanu un šo fondu ieviešanu” (turpmāk – MK noteikumi Nr.419), </w:t>
      </w:r>
      <w:r w:rsidR="00AE6806" w:rsidRPr="00B557E8">
        <w:rPr>
          <w:rFonts w:eastAsia="EUAlbertina-Bold-Identity-H"/>
          <w:color w:val="000000" w:themeColor="text1"/>
          <w:szCs w:val="24"/>
          <w:lang w:eastAsia="lv-LV"/>
        </w:rPr>
        <w:t xml:space="preserve">kurā </w:t>
      </w:r>
      <w:r w:rsidRPr="00B557E8">
        <w:rPr>
          <w:rFonts w:eastAsia="EUAlbertina-Bold-Identity-H"/>
          <w:color w:val="000000" w:themeColor="text1"/>
          <w:szCs w:val="24"/>
          <w:lang w:eastAsia="lv-LV"/>
        </w:rPr>
        <w:t>no</w:t>
      </w:r>
      <w:r w:rsidR="00AE6806" w:rsidRPr="00B557E8">
        <w:rPr>
          <w:rFonts w:eastAsia="EUAlbertina-Bold-Identity-H"/>
          <w:color w:val="000000" w:themeColor="text1"/>
          <w:szCs w:val="24"/>
          <w:lang w:eastAsia="lv-LV"/>
        </w:rPr>
        <w:t>teikti apstākļi</w:t>
      </w:r>
      <w:r w:rsidRPr="00B557E8">
        <w:rPr>
          <w:rFonts w:eastAsia="EUAlbertina-Bold-Identity-H"/>
          <w:color w:val="000000" w:themeColor="text1"/>
          <w:szCs w:val="24"/>
          <w:lang w:eastAsia="lv-LV"/>
        </w:rPr>
        <w:t>, k</w:t>
      </w:r>
      <w:r w:rsidR="00AE6806" w:rsidRPr="00B557E8">
        <w:rPr>
          <w:rFonts w:eastAsia="EUAlbertina-Bold-Identity-H"/>
          <w:color w:val="000000" w:themeColor="text1"/>
          <w:szCs w:val="24"/>
          <w:lang w:eastAsia="lv-LV"/>
        </w:rPr>
        <w:t>ādos</w:t>
      </w:r>
      <w:r w:rsidRPr="00B557E8">
        <w:rPr>
          <w:rFonts w:eastAsia="EUAlbertina-Bold-Identity-H"/>
          <w:color w:val="000000" w:themeColor="text1"/>
          <w:szCs w:val="24"/>
          <w:lang w:eastAsia="lv-LV"/>
        </w:rPr>
        <w:t xml:space="preserve"> </w:t>
      </w:r>
      <w:r w:rsidR="00374474" w:rsidRPr="00B557E8">
        <w:rPr>
          <w:rFonts w:eastAsia="EUAlbertina-Bold-Identity-H"/>
          <w:color w:val="000000" w:themeColor="text1"/>
          <w:szCs w:val="24"/>
          <w:lang w:eastAsia="lv-LV"/>
        </w:rPr>
        <w:t>AI</w:t>
      </w:r>
      <w:r w:rsidRPr="00B557E8">
        <w:rPr>
          <w:rFonts w:eastAsia="EUAlbertina-Bold-Identity-H"/>
          <w:color w:val="000000" w:themeColor="text1"/>
          <w:szCs w:val="24"/>
          <w:lang w:eastAsia="lv-LV"/>
        </w:rPr>
        <w:t xml:space="preserve"> vai </w:t>
      </w:r>
      <w:r w:rsidR="00374474" w:rsidRPr="00B557E8">
        <w:rPr>
          <w:rFonts w:eastAsia="EUAlbertina-Bold-Identity-H"/>
          <w:color w:val="000000" w:themeColor="text1"/>
          <w:szCs w:val="24"/>
          <w:lang w:eastAsia="lv-LV"/>
        </w:rPr>
        <w:t>SI</w:t>
      </w:r>
      <w:r w:rsidRPr="00B557E8">
        <w:rPr>
          <w:rFonts w:eastAsia="EUAlbertina-Bold-Identity-H"/>
          <w:color w:val="000000" w:themeColor="text1"/>
          <w:szCs w:val="24"/>
          <w:lang w:eastAsia="lv-LV"/>
        </w:rPr>
        <w:t>, ar kuru noslēgts līgums vai vienošanās par projekta īstenošanu, var pagarināt projekta īstenošanas termiņu</w:t>
      </w:r>
      <w:r w:rsidR="00AE6806" w:rsidRPr="00B557E8">
        <w:rPr>
          <w:rFonts w:eastAsia="EUAlbertina-Bold-Identity-H"/>
          <w:color w:val="000000" w:themeColor="text1"/>
          <w:szCs w:val="24"/>
          <w:lang w:eastAsia="lv-LV"/>
        </w:rPr>
        <w:t>.</w:t>
      </w:r>
      <w:r w:rsidRPr="00B557E8">
        <w:rPr>
          <w:rFonts w:eastAsia="EUAlbertina-Bold-Identity-H"/>
          <w:color w:val="000000" w:themeColor="text1"/>
          <w:szCs w:val="24"/>
          <w:lang w:eastAsia="lv-LV"/>
        </w:rPr>
        <w:t xml:space="preserve"> Līdztekus jāņem vērā, ka </w:t>
      </w:r>
      <w:r w:rsidR="00AE6806" w:rsidRPr="00B557E8">
        <w:rPr>
          <w:rFonts w:eastAsia="EUAlbertina-Bold-Identity-H"/>
          <w:color w:val="000000" w:themeColor="text1"/>
          <w:szCs w:val="24"/>
          <w:lang w:eastAsia="lv-LV"/>
        </w:rPr>
        <w:t xml:space="preserve">MK noteikumu projektā </w:t>
      </w:r>
      <w:r w:rsidRPr="00B557E8">
        <w:rPr>
          <w:rFonts w:eastAsia="EUAlbertina-Bold-Identity-H"/>
          <w:color w:val="000000" w:themeColor="text1"/>
          <w:szCs w:val="24"/>
          <w:lang w:eastAsia="lv-LV"/>
        </w:rPr>
        <w:t>minētie nosacījumi ir attiecināmi, ja atbilstība noteiktam ES fonda projekta īstenošanas termiņam ir noteikta kā ES fonda projekta iesnieguma vērtēšanas kritērijs un ES fonda projekta īstenošanas termiņa pagarināšana mainītu attiecīgā projekta iesnieguma kopējo vērtējumu. Citos gadījumos ES fonda projekta īstenošanas termiņu var pagarināt virs aktivitātes īstenošanas kārtībā noteiktā termiņa saskaņā ar līgumu vai vienošanos MK noteikumu Nr.419 25.punktā noteiktajā kārtībā.</w:t>
      </w:r>
    </w:p>
    <w:p w:rsidR="00E34AAE" w:rsidRPr="00B557E8" w:rsidRDefault="00E34AA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MK noteikumu projektu ir plānots apstiprināt MK 2011.gada </w:t>
      </w:r>
      <w:r w:rsidR="009358E7" w:rsidRPr="00B557E8">
        <w:rPr>
          <w:rFonts w:eastAsia="EUAlbertina-Bold-Identity-H"/>
          <w:color w:val="000000" w:themeColor="text1"/>
          <w:szCs w:val="24"/>
          <w:lang w:eastAsia="lv-LV"/>
        </w:rPr>
        <w:t xml:space="preserve">novembra </w:t>
      </w:r>
      <w:r w:rsidRPr="00B557E8">
        <w:rPr>
          <w:rFonts w:eastAsia="EUAlbertina-Bold-Identity-H"/>
          <w:color w:val="000000" w:themeColor="text1"/>
          <w:szCs w:val="24"/>
          <w:lang w:eastAsia="lv-LV"/>
        </w:rPr>
        <w:t>vidū.</w:t>
      </w:r>
    </w:p>
    <w:p w:rsidR="00E34AAE" w:rsidRPr="00B557E8" w:rsidRDefault="009358E7" w:rsidP="003B2E97">
      <w:pPr>
        <w:spacing w:before="120" w:after="120" w:line="276" w:lineRule="auto"/>
        <w:ind w:left="720"/>
        <w:rPr>
          <w:rFonts w:eastAsia="EUAlbertina-Bold-Identity-H"/>
          <w:b/>
          <w:color w:val="000000" w:themeColor="text1"/>
          <w:szCs w:val="24"/>
          <w:lang w:eastAsia="lv-LV"/>
        </w:rPr>
      </w:pPr>
      <w:r w:rsidRPr="00B557E8">
        <w:rPr>
          <w:rFonts w:eastAsia="EUAlbertina-Bold-Identity-H"/>
          <w:b/>
          <w:color w:val="000000" w:themeColor="text1"/>
          <w:szCs w:val="24"/>
          <w:lang w:eastAsia="lv-LV"/>
        </w:rPr>
        <w:t>5.3.</w:t>
      </w:r>
      <w:r w:rsidRPr="00B557E8">
        <w:rPr>
          <w:rFonts w:eastAsia="EUAlbertina-Bold-Identity-H"/>
          <w:b/>
          <w:color w:val="000000" w:themeColor="text1"/>
          <w:szCs w:val="24"/>
          <w:lang w:eastAsia="lv-LV"/>
        </w:rPr>
        <w:tab/>
      </w:r>
      <w:r w:rsidR="00E34AAE" w:rsidRPr="00B557E8">
        <w:rPr>
          <w:rFonts w:eastAsia="EUAlbertina-Bold-Identity-H"/>
          <w:b/>
          <w:color w:val="000000" w:themeColor="text1"/>
          <w:szCs w:val="24"/>
          <w:lang w:eastAsia="lv-LV"/>
        </w:rPr>
        <w:t xml:space="preserve">Pieņemts lēmums par </w:t>
      </w:r>
      <w:r w:rsidR="008F27FF" w:rsidRPr="00B557E8">
        <w:rPr>
          <w:rFonts w:eastAsia="EUAlbertina-Bold-Identity-H"/>
          <w:b/>
          <w:color w:val="000000" w:themeColor="text1"/>
          <w:szCs w:val="24"/>
          <w:lang w:eastAsia="lv-LV"/>
        </w:rPr>
        <w:t>SI</w:t>
      </w:r>
      <w:r w:rsidR="00E34AAE" w:rsidRPr="00B557E8">
        <w:rPr>
          <w:rFonts w:eastAsia="EUAlbertina-Bold-Identity-H"/>
          <w:b/>
          <w:color w:val="000000" w:themeColor="text1"/>
          <w:szCs w:val="24"/>
          <w:lang w:eastAsia="lv-LV"/>
        </w:rPr>
        <w:t xml:space="preserve"> </w:t>
      </w:r>
      <w:r w:rsidR="0053690D" w:rsidRPr="00B557E8">
        <w:rPr>
          <w:rFonts w:eastAsia="EUAlbertina-Bold-Identity-H"/>
          <w:b/>
          <w:color w:val="000000" w:themeColor="text1"/>
          <w:szCs w:val="24"/>
          <w:lang w:eastAsia="lv-LV"/>
        </w:rPr>
        <w:t xml:space="preserve">VEC </w:t>
      </w:r>
      <w:r w:rsidR="00E34AAE" w:rsidRPr="00B557E8">
        <w:rPr>
          <w:rFonts w:eastAsia="EUAlbertina-Bold-Identity-H"/>
          <w:b/>
          <w:color w:val="000000" w:themeColor="text1"/>
          <w:szCs w:val="24"/>
          <w:lang w:eastAsia="lv-LV"/>
        </w:rPr>
        <w:t xml:space="preserve">likvidāciju un tā funkciju nodošanu </w:t>
      </w:r>
      <w:r w:rsidR="0053690D" w:rsidRPr="00B557E8">
        <w:rPr>
          <w:rFonts w:eastAsia="EUAlbertina-Bold-Identity-H"/>
          <w:b/>
          <w:color w:val="000000" w:themeColor="text1"/>
          <w:szCs w:val="24"/>
          <w:lang w:eastAsia="lv-LV"/>
        </w:rPr>
        <w:t>CFLA</w:t>
      </w:r>
    </w:p>
    <w:p w:rsidR="00E34AAE" w:rsidRPr="00B557E8" w:rsidRDefault="00E34AA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Latvijas valsts pārvaldes strukturālo izmaiņu rezultātā MK šā gada 30.augustā pieņēma lēmumu par Veselības ekonomikas centra, kas ir viena no ES fondu </w:t>
      </w:r>
      <w:r w:rsidR="00374474" w:rsidRPr="00B557E8">
        <w:rPr>
          <w:rFonts w:eastAsia="EUAlbertina-Bold-Identity-H"/>
          <w:color w:val="000000" w:themeColor="text1"/>
          <w:szCs w:val="24"/>
          <w:lang w:eastAsia="lv-LV"/>
        </w:rPr>
        <w:t>SI</w:t>
      </w:r>
      <w:r w:rsidRPr="00B557E8">
        <w:rPr>
          <w:rFonts w:eastAsia="EUAlbertina-Bold-Identity-H"/>
          <w:color w:val="000000" w:themeColor="text1"/>
          <w:szCs w:val="24"/>
          <w:lang w:eastAsia="lv-LV"/>
        </w:rPr>
        <w:t xml:space="preserve"> reorganizāciju un likvidāciju. Rezultātā ir plānots, ka no šā gada 1.novembra </w:t>
      </w:r>
      <w:r w:rsidR="0053690D" w:rsidRPr="00B557E8">
        <w:rPr>
          <w:rFonts w:eastAsia="EUAlbertina-Bold-Identity-H"/>
          <w:color w:val="000000" w:themeColor="text1"/>
          <w:szCs w:val="24"/>
          <w:lang w:eastAsia="lv-LV"/>
        </w:rPr>
        <w:t>VEC</w:t>
      </w:r>
      <w:r w:rsidRPr="00B557E8">
        <w:rPr>
          <w:rFonts w:eastAsia="EUAlbertina-Bold-Identity-H"/>
          <w:color w:val="000000" w:themeColor="text1"/>
          <w:szCs w:val="24"/>
          <w:lang w:eastAsia="lv-LV"/>
        </w:rPr>
        <w:t xml:space="preserve"> veiktās </w:t>
      </w:r>
      <w:r w:rsidR="00374474" w:rsidRPr="00B557E8">
        <w:rPr>
          <w:rFonts w:eastAsia="EUAlbertina-Bold-Identity-H"/>
          <w:color w:val="000000" w:themeColor="text1"/>
          <w:szCs w:val="24"/>
          <w:lang w:eastAsia="lv-LV"/>
        </w:rPr>
        <w:t>SI</w:t>
      </w:r>
      <w:r w:rsidRPr="00B557E8">
        <w:rPr>
          <w:rFonts w:eastAsia="EUAlbertina-Bold-Identity-H"/>
          <w:color w:val="000000" w:themeColor="text1"/>
          <w:szCs w:val="24"/>
          <w:lang w:eastAsia="lv-LV"/>
        </w:rPr>
        <w:t xml:space="preserve"> funkcijas pārņems </w:t>
      </w:r>
      <w:r w:rsidR="0053690D" w:rsidRPr="00B557E8">
        <w:rPr>
          <w:rFonts w:eastAsia="EUAlbertina-Bold-Identity-H"/>
          <w:color w:val="000000" w:themeColor="text1"/>
          <w:szCs w:val="24"/>
          <w:lang w:eastAsia="lv-LV"/>
        </w:rPr>
        <w:t>CFLA</w:t>
      </w:r>
      <w:r w:rsidRPr="00B557E8">
        <w:rPr>
          <w:rFonts w:eastAsia="EUAlbertina-Bold-Identity-H"/>
          <w:color w:val="000000" w:themeColor="text1"/>
          <w:szCs w:val="24"/>
          <w:lang w:eastAsia="lv-LV"/>
        </w:rPr>
        <w:t xml:space="preserve">. </w:t>
      </w:r>
      <w:r w:rsidR="004F5DF1" w:rsidRPr="00B557E8">
        <w:rPr>
          <w:rFonts w:eastAsia="EUAlbertina-Bold-Identity-H"/>
          <w:color w:val="000000" w:themeColor="text1"/>
          <w:szCs w:val="24"/>
          <w:lang w:eastAsia="lv-LV"/>
        </w:rPr>
        <w:t>FM</w:t>
      </w:r>
      <w:r w:rsidRPr="00B557E8">
        <w:rPr>
          <w:rFonts w:eastAsia="EUAlbertina-Bold-Identity-H"/>
          <w:color w:val="000000" w:themeColor="text1"/>
          <w:szCs w:val="24"/>
          <w:lang w:eastAsia="lv-LV"/>
        </w:rPr>
        <w:t xml:space="preserve"> </w:t>
      </w:r>
      <w:r w:rsidR="006C39CA" w:rsidRPr="00B557E8">
        <w:rPr>
          <w:rFonts w:eastAsia="EUAlbertina-Bold-Identity-H"/>
          <w:color w:val="000000" w:themeColor="text1"/>
          <w:szCs w:val="24"/>
          <w:lang w:eastAsia="lv-LV"/>
        </w:rPr>
        <w:t>kā VI</w:t>
      </w:r>
      <w:r w:rsidRPr="00B557E8">
        <w:rPr>
          <w:rFonts w:eastAsia="EUAlbertina-Bold-Identity-H"/>
          <w:color w:val="000000" w:themeColor="text1"/>
          <w:szCs w:val="24"/>
          <w:lang w:eastAsia="lv-LV"/>
        </w:rPr>
        <w:t xml:space="preserve"> uzraudzīs procesu un ierosinās Revīzijas iestādei veikt sistēmas auditu, lai nodrošinātu un pārliecinātos, ka visas funkcijas pēc pārņemšanas tiek atbilstoši nodrošinātas un ka reorganizācijai nav ietekmes uz ES līdzekļu </w:t>
      </w:r>
      <w:proofErr w:type="spellStart"/>
      <w:r w:rsidRPr="00B557E8">
        <w:rPr>
          <w:rFonts w:eastAsia="EUAlbertina-Bold-Identity-H"/>
          <w:color w:val="000000" w:themeColor="text1"/>
          <w:szCs w:val="24"/>
          <w:lang w:eastAsia="lv-LV"/>
        </w:rPr>
        <w:t>attiecināmību</w:t>
      </w:r>
      <w:proofErr w:type="spellEnd"/>
      <w:r w:rsidRPr="00B557E8">
        <w:rPr>
          <w:rFonts w:eastAsia="EUAlbertina-Bold-Identity-H"/>
          <w:color w:val="000000" w:themeColor="text1"/>
          <w:szCs w:val="24"/>
          <w:lang w:eastAsia="lv-LV"/>
        </w:rPr>
        <w:t xml:space="preserve">. </w:t>
      </w:r>
    </w:p>
    <w:p w:rsidR="00E34AAE" w:rsidRPr="00B557E8" w:rsidRDefault="00E34AA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Pašlaik ir izveidota reorganizācijas darba grupa, kas darbojas saskaņā ar apstiprinātu „Plānu par </w:t>
      </w:r>
      <w:r w:rsidR="00EC322F" w:rsidRPr="00B557E8">
        <w:rPr>
          <w:rFonts w:eastAsia="EUAlbertina-Bold-Identity-H"/>
          <w:color w:val="000000" w:themeColor="text1"/>
          <w:szCs w:val="24"/>
          <w:lang w:eastAsia="lv-LV"/>
        </w:rPr>
        <w:t>ES</w:t>
      </w:r>
      <w:r w:rsidRPr="00B557E8">
        <w:rPr>
          <w:rFonts w:eastAsia="EUAlbertina-Bold-Identity-H"/>
          <w:color w:val="000000" w:themeColor="text1"/>
          <w:szCs w:val="24"/>
          <w:lang w:eastAsia="lv-LV"/>
        </w:rPr>
        <w:t xml:space="preserve"> fondu </w:t>
      </w:r>
      <w:r w:rsidR="00374474" w:rsidRPr="00B557E8">
        <w:rPr>
          <w:rFonts w:eastAsia="EUAlbertina-Bold-Identity-H"/>
          <w:color w:val="000000" w:themeColor="text1"/>
          <w:szCs w:val="24"/>
          <w:lang w:eastAsia="lv-LV"/>
        </w:rPr>
        <w:t>SI</w:t>
      </w:r>
      <w:r w:rsidRPr="00B557E8">
        <w:rPr>
          <w:rFonts w:eastAsia="EUAlbertina-Bold-Identity-H"/>
          <w:color w:val="000000" w:themeColor="text1"/>
          <w:szCs w:val="24"/>
          <w:lang w:eastAsia="lv-LV"/>
        </w:rPr>
        <w:t xml:space="preserve"> funkciju pārņemšanu no </w:t>
      </w:r>
      <w:r w:rsidR="0053690D" w:rsidRPr="00B557E8">
        <w:rPr>
          <w:rFonts w:eastAsia="EUAlbertina-Bold-Identity-H"/>
          <w:color w:val="000000" w:themeColor="text1"/>
          <w:szCs w:val="24"/>
          <w:lang w:eastAsia="lv-LV"/>
        </w:rPr>
        <w:t>VEC</w:t>
      </w:r>
      <w:r w:rsidRPr="00B557E8">
        <w:rPr>
          <w:rFonts w:eastAsia="EUAlbertina-Bold-Identity-H"/>
          <w:color w:val="000000" w:themeColor="text1"/>
          <w:szCs w:val="24"/>
          <w:lang w:eastAsia="lv-LV"/>
        </w:rPr>
        <w:t xml:space="preserve"> un nodošanu </w:t>
      </w:r>
      <w:r w:rsidR="0053690D" w:rsidRPr="00B557E8">
        <w:rPr>
          <w:rFonts w:eastAsia="EUAlbertina-Bold-Identity-H"/>
          <w:color w:val="000000" w:themeColor="text1"/>
          <w:szCs w:val="24"/>
          <w:lang w:eastAsia="lv-LV"/>
        </w:rPr>
        <w:t>CFLA</w:t>
      </w:r>
      <w:r w:rsidRPr="00B557E8">
        <w:rPr>
          <w:rFonts w:eastAsia="EUAlbertina-Bold-Identity-H"/>
          <w:color w:val="000000" w:themeColor="text1"/>
          <w:szCs w:val="24"/>
          <w:lang w:eastAsia="lv-LV"/>
        </w:rPr>
        <w:t xml:space="preserve">”. </w:t>
      </w:r>
    </w:p>
    <w:p w:rsidR="00E34AAE" w:rsidRPr="00B557E8" w:rsidRDefault="009358E7" w:rsidP="003B2E97">
      <w:pPr>
        <w:spacing w:before="120" w:after="120" w:line="276" w:lineRule="auto"/>
        <w:ind w:left="1418" w:hanging="698"/>
        <w:rPr>
          <w:rFonts w:eastAsia="EUAlbertina-Bold-Identity-H"/>
          <w:b/>
          <w:color w:val="000000" w:themeColor="text1"/>
          <w:szCs w:val="24"/>
          <w:lang w:eastAsia="lv-LV"/>
        </w:rPr>
      </w:pPr>
      <w:r w:rsidRPr="00B557E8">
        <w:rPr>
          <w:rFonts w:eastAsia="EUAlbertina-Bold-Identity-H"/>
          <w:b/>
          <w:color w:val="000000" w:themeColor="text1"/>
          <w:szCs w:val="24"/>
          <w:lang w:eastAsia="lv-LV"/>
        </w:rPr>
        <w:t>5.4.</w:t>
      </w:r>
      <w:r w:rsidRPr="00B557E8">
        <w:rPr>
          <w:rFonts w:eastAsia="EUAlbertina-Bold-Identity-H"/>
          <w:b/>
          <w:color w:val="000000" w:themeColor="text1"/>
          <w:szCs w:val="24"/>
          <w:lang w:eastAsia="lv-LV"/>
        </w:rPr>
        <w:tab/>
      </w:r>
      <w:r w:rsidR="00E34AAE" w:rsidRPr="00B557E8">
        <w:rPr>
          <w:rFonts w:eastAsia="EUAlbertina-Bold-Identity-H"/>
          <w:b/>
          <w:color w:val="000000" w:themeColor="text1"/>
          <w:szCs w:val="24"/>
          <w:lang w:eastAsia="lv-LV"/>
        </w:rPr>
        <w:t xml:space="preserve">Samazināts administratīvais slogs atbildīgajām iestādēm un </w:t>
      </w:r>
      <w:r w:rsidR="008F27FF" w:rsidRPr="00B557E8">
        <w:rPr>
          <w:rFonts w:eastAsia="EUAlbertina-Bold-Identity-H"/>
          <w:b/>
          <w:color w:val="000000" w:themeColor="text1"/>
          <w:szCs w:val="24"/>
          <w:lang w:eastAsia="lv-LV"/>
        </w:rPr>
        <w:t>SI</w:t>
      </w:r>
      <w:r w:rsidR="00E34AAE" w:rsidRPr="00B557E8">
        <w:rPr>
          <w:rFonts w:eastAsia="EUAlbertina-Bold-Identity-H"/>
          <w:b/>
          <w:color w:val="000000" w:themeColor="text1"/>
          <w:szCs w:val="24"/>
          <w:lang w:eastAsia="lv-LV"/>
        </w:rPr>
        <w:t xml:space="preserve"> attiecībā uz </w:t>
      </w:r>
      <w:r w:rsidR="00EC322F" w:rsidRPr="003B2E97">
        <w:rPr>
          <w:rFonts w:eastAsia="EUAlbertina-Bold-Identity-H"/>
          <w:b/>
          <w:color w:val="000000" w:themeColor="text1"/>
          <w:szCs w:val="24"/>
          <w:lang w:eastAsia="lv-LV"/>
        </w:rPr>
        <w:t>EK</w:t>
      </w:r>
      <w:r w:rsidR="00E34AAE" w:rsidRPr="00B557E8">
        <w:rPr>
          <w:rFonts w:eastAsia="EUAlbertina-Bold-Identity-H"/>
          <w:b/>
          <w:color w:val="000000" w:themeColor="text1"/>
          <w:szCs w:val="24"/>
          <w:lang w:eastAsia="lv-LV"/>
        </w:rPr>
        <w:t xml:space="preserve"> iesniedzamo </w:t>
      </w:r>
      <w:r w:rsidR="00EC322F" w:rsidRPr="00B557E8">
        <w:rPr>
          <w:rFonts w:eastAsia="EUAlbertina-Bold-Identity-H"/>
          <w:b/>
          <w:color w:val="000000" w:themeColor="text1"/>
          <w:szCs w:val="24"/>
          <w:lang w:eastAsia="lv-LV"/>
        </w:rPr>
        <w:t>ES</w:t>
      </w:r>
      <w:r w:rsidR="00E34AAE" w:rsidRPr="00B557E8">
        <w:rPr>
          <w:rFonts w:eastAsia="EUAlbertina-Bold-Identity-H"/>
          <w:b/>
          <w:color w:val="000000" w:themeColor="text1"/>
          <w:szCs w:val="24"/>
          <w:lang w:eastAsia="lv-LV"/>
        </w:rPr>
        <w:t xml:space="preserve"> fondu līdzekļu pieprasījumu prognozi kārtējam un nākamajam gadam</w:t>
      </w:r>
    </w:p>
    <w:p w:rsidR="00E34AAE" w:rsidRPr="00B557E8" w:rsidRDefault="00E34AA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2011.gada 13.septembrī tika apstiprināti grozījumi MK 2010.gada 9.novembra noteikumos Nr.1041 „Kārtība, kādā paredzami valsts budžeta līdzekļi </w:t>
      </w:r>
      <w:r w:rsidR="00EC322F" w:rsidRPr="00B557E8">
        <w:rPr>
          <w:rFonts w:eastAsia="EUAlbertina-Bold-Identity-H"/>
          <w:color w:val="000000" w:themeColor="text1"/>
          <w:szCs w:val="24"/>
          <w:lang w:eastAsia="lv-LV"/>
        </w:rPr>
        <w:t>ES</w:t>
      </w:r>
      <w:r w:rsidRPr="00B557E8">
        <w:rPr>
          <w:rFonts w:eastAsia="EUAlbertina-Bold-Identity-H"/>
          <w:color w:val="000000" w:themeColor="text1"/>
          <w:szCs w:val="24"/>
          <w:lang w:eastAsia="lv-LV"/>
        </w:rPr>
        <w:t xml:space="preserve"> struktūrfondu un Kohēzijas fonda līdzfinansēto projektu īstenošanai, kā arī maksājumu veikšanas un izdevumu deklarācijas sagatavošanas kārtība” (turpmāk – MK noteikumi Nr.1041), ar kuriem </w:t>
      </w:r>
      <w:proofErr w:type="spellStart"/>
      <w:r w:rsidRPr="00B557E8">
        <w:rPr>
          <w:rFonts w:eastAsia="EUAlbertina-Bold-Identity-H"/>
          <w:color w:val="000000" w:themeColor="text1"/>
          <w:szCs w:val="24"/>
          <w:lang w:eastAsia="lv-LV"/>
        </w:rPr>
        <w:t>citstarp</w:t>
      </w:r>
      <w:proofErr w:type="spellEnd"/>
      <w:r w:rsidRPr="00B557E8">
        <w:rPr>
          <w:rFonts w:eastAsia="EUAlbertina-Bold-Identity-H"/>
          <w:color w:val="000000" w:themeColor="text1"/>
          <w:szCs w:val="24"/>
          <w:lang w:eastAsia="lv-LV"/>
        </w:rPr>
        <w:t xml:space="preserve"> tika samazināts administratīvais slogs </w:t>
      </w:r>
      <w:r w:rsidR="00374474" w:rsidRPr="00B557E8">
        <w:rPr>
          <w:rFonts w:eastAsia="EUAlbertina-Bold-Identity-H"/>
          <w:color w:val="000000" w:themeColor="text1"/>
          <w:szCs w:val="24"/>
          <w:lang w:eastAsia="lv-LV"/>
        </w:rPr>
        <w:t>AI</w:t>
      </w:r>
      <w:r w:rsidRPr="00B557E8">
        <w:rPr>
          <w:rFonts w:eastAsia="EUAlbertina-Bold-Identity-H"/>
          <w:color w:val="000000" w:themeColor="text1"/>
          <w:szCs w:val="24"/>
          <w:lang w:eastAsia="lv-LV"/>
        </w:rPr>
        <w:t xml:space="preserve"> un </w:t>
      </w:r>
      <w:r w:rsidR="00374474" w:rsidRPr="00B557E8">
        <w:rPr>
          <w:rFonts w:eastAsia="EUAlbertina-Bold-Identity-H"/>
          <w:color w:val="000000" w:themeColor="text1"/>
          <w:szCs w:val="24"/>
          <w:lang w:eastAsia="lv-LV"/>
        </w:rPr>
        <w:t>SI</w:t>
      </w:r>
      <w:r w:rsidRPr="00B557E8">
        <w:rPr>
          <w:rFonts w:eastAsia="EUAlbertina-Bold-Identity-H"/>
          <w:color w:val="000000" w:themeColor="text1"/>
          <w:szCs w:val="24"/>
          <w:lang w:eastAsia="lv-LV"/>
        </w:rPr>
        <w:t xml:space="preserve"> attiecībā uz EK iesniedzamo ES fondu līdzekļu pieprasījumu prognozi kārtējam un nākamajam gadam. Līdz šim MK noteikumu Nr.1041 49.punkts noteica, ka minēto prognozi par attiecīgo ES fonda aktivitāti vai </w:t>
      </w:r>
      <w:proofErr w:type="spellStart"/>
      <w:r w:rsidRPr="00B557E8">
        <w:rPr>
          <w:rFonts w:eastAsia="EUAlbertina-Bold-Identity-H"/>
          <w:color w:val="000000" w:themeColor="text1"/>
          <w:szCs w:val="24"/>
          <w:lang w:eastAsia="lv-LV"/>
        </w:rPr>
        <w:t>apakšaktivitāti</w:t>
      </w:r>
      <w:proofErr w:type="spellEnd"/>
      <w:r w:rsidRPr="00B557E8">
        <w:rPr>
          <w:rFonts w:eastAsia="EUAlbertina-Bold-Identity-H"/>
          <w:color w:val="000000" w:themeColor="text1"/>
          <w:szCs w:val="24"/>
          <w:lang w:eastAsia="lv-LV"/>
        </w:rPr>
        <w:t xml:space="preserve"> </w:t>
      </w:r>
      <w:r w:rsidR="00374474" w:rsidRPr="00B557E8">
        <w:rPr>
          <w:rFonts w:eastAsia="EUAlbertina-Bold-Identity-H"/>
          <w:color w:val="000000" w:themeColor="text1"/>
          <w:szCs w:val="24"/>
          <w:lang w:eastAsia="lv-LV"/>
        </w:rPr>
        <w:t>AI vai SI</w:t>
      </w:r>
      <w:r w:rsidRPr="00B557E8">
        <w:rPr>
          <w:rFonts w:eastAsia="EUAlbertina-Bold-Identity-H"/>
          <w:color w:val="000000" w:themeColor="text1"/>
          <w:szCs w:val="24"/>
          <w:lang w:eastAsia="lv-LV"/>
        </w:rPr>
        <w:t xml:space="preserve"> katru gadu iesniedz </w:t>
      </w:r>
      <w:r w:rsidR="008F27FF" w:rsidRPr="00B557E8">
        <w:rPr>
          <w:rFonts w:eastAsia="EUAlbertina-Bold-Identity-H"/>
          <w:color w:val="000000" w:themeColor="text1"/>
          <w:szCs w:val="24"/>
          <w:lang w:eastAsia="lv-LV"/>
        </w:rPr>
        <w:t>VI</w:t>
      </w:r>
      <w:r w:rsidRPr="00B557E8">
        <w:rPr>
          <w:rFonts w:eastAsia="EUAlbertina-Bold-Identity-H"/>
          <w:color w:val="000000" w:themeColor="text1"/>
          <w:szCs w:val="24"/>
          <w:lang w:eastAsia="lv-LV"/>
        </w:rPr>
        <w:t xml:space="preserve">. Tā kā </w:t>
      </w:r>
      <w:r w:rsidR="00374474" w:rsidRPr="00B557E8">
        <w:rPr>
          <w:rFonts w:eastAsia="EUAlbertina-Bold-Identity-H"/>
          <w:color w:val="000000" w:themeColor="text1"/>
          <w:szCs w:val="24"/>
          <w:lang w:eastAsia="lv-LV"/>
        </w:rPr>
        <w:t xml:space="preserve">AI un SI </w:t>
      </w:r>
      <w:r w:rsidRPr="00B557E8">
        <w:rPr>
          <w:rFonts w:eastAsia="EUAlbertina-Bold-Identity-H"/>
          <w:color w:val="000000" w:themeColor="text1"/>
          <w:szCs w:val="24"/>
          <w:lang w:eastAsia="lv-LV"/>
        </w:rPr>
        <w:t xml:space="preserve">šādu pašu līdzekļu pieprasījuma prognozi iesniedz arī Valsts kasē, nav nepieciešams to iesniegt arī </w:t>
      </w:r>
      <w:r w:rsidR="00374474" w:rsidRPr="00B557E8">
        <w:rPr>
          <w:rFonts w:eastAsia="EUAlbertina-Bold-Identity-H"/>
          <w:color w:val="000000" w:themeColor="text1"/>
          <w:szCs w:val="24"/>
          <w:lang w:eastAsia="lv-LV"/>
        </w:rPr>
        <w:t>VI</w:t>
      </w:r>
      <w:r w:rsidRPr="00B557E8">
        <w:rPr>
          <w:rFonts w:eastAsia="EUAlbertina-Bold-Identity-H"/>
          <w:color w:val="000000" w:themeColor="text1"/>
          <w:szCs w:val="24"/>
          <w:lang w:eastAsia="lv-LV"/>
        </w:rPr>
        <w:t xml:space="preserve">, jo </w:t>
      </w:r>
      <w:r w:rsidR="006C39CA" w:rsidRPr="00B557E8">
        <w:rPr>
          <w:rFonts w:eastAsia="EUAlbertina-Bold-Identity-H"/>
          <w:color w:val="000000" w:themeColor="text1"/>
          <w:szCs w:val="24"/>
          <w:lang w:eastAsia="lv-LV"/>
        </w:rPr>
        <w:t>VI</w:t>
      </w:r>
      <w:r w:rsidRPr="00B557E8">
        <w:rPr>
          <w:rFonts w:eastAsia="EUAlbertina-Bold-Identity-H"/>
          <w:color w:val="000000" w:themeColor="text1"/>
          <w:szCs w:val="24"/>
          <w:lang w:eastAsia="lv-LV"/>
        </w:rPr>
        <w:t xml:space="preserve"> minēto informāciju var saņemt no Valsts kases.</w:t>
      </w:r>
    </w:p>
    <w:p w:rsidR="00E34AAE" w:rsidRPr="00B557E8" w:rsidRDefault="009358E7" w:rsidP="003B2E97">
      <w:pPr>
        <w:spacing w:before="120" w:after="120" w:line="276" w:lineRule="auto"/>
        <w:ind w:left="720"/>
        <w:rPr>
          <w:rFonts w:eastAsia="EUAlbertina-Bold-Identity-H"/>
          <w:b/>
          <w:color w:val="000000" w:themeColor="text1"/>
          <w:szCs w:val="24"/>
          <w:lang w:eastAsia="lv-LV"/>
        </w:rPr>
      </w:pPr>
      <w:r w:rsidRPr="00B557E8">
        <w:rPr>
          <w:rFonts w:eastAsia="EUAlbertina-Bold-Identity-H"/>
          <w:b/>
          <w:color w:val="000000" w:themeColor="text1"/>
          <w:szCs w:val="24"/>
          <w:lang w:eastAsia="lv-LV"/>
        </w:rPr>
        <w:t>5.5.</w:t>
      </w:r>
      <w:r w:rsidRPr="00B557E8">
        <w:rPr>
          <w:rFonts w:eastAsia="EUAlbertina-Bold-Identity-H"/>
          <w:b/>
          <w:color w:val="000000" w:themeColor="text1"/>
          <w:szCs w:val="24"/>
          <w:lang w:eastAsia="lv-LV"/>
        </w:rPr>
        <w:tab/>
      </w:r>
      <w:r w:rsidR="00E34AAE" w:rsidRPr="00B557E8">
        <w:rPr>
          <w:rFonts w:eastAsia="EUAlbertina-Bold-Identity-H"/>
          <w:b/>
          <w:color w:val="000000" w:themeColor="text1"/>
          <w:szCs w:val="24"/>
          <w:lang w:eastAsia="lv-LV"/>
        </w:rPr>
        <w:t>Atvieglotas publicitātes prasības ES fondu vadībā iesaistītajās iestādēs</w:t>
      </w:r>
    </w:p>
    <w:p w:rsidR="00E34AAE" w:rsidRPr="00B557E8" w:rsidRDefault="00E34AA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2011.gada 4.oktobrī MK tika apstiprināti noteikumi Nr.749 „Kārtība, kādā nodrošina Eiropas Savienības struktūrfondu un Kohēzijas fonda publicitātes un vizuālās identitātes prasības, kā arī publisko informāciju par šo fondu projektiem” (turpmāk – MK noteikumi Nr.749). Ar šiem noteikumiem tika apvienoti </w:t>
      </w:r>
      <w:r w:rsidR="006B263C" w:rsidRPr="00B557E8">
        <w:rPr>
          <w:rFonts w:eastAsia="EUAlbertina-Bold-Identity-H"/>
          <w:color w:val="000000" w:themeColor="text1"/>
          <w:szCs w:val="24"/>
          <w:lang w:eastAsia="lv-LV"/>
        </w:rPr>
        <w:t>MK</w:t>
      </w:r>
      <w:r w:rsidRPr="00B557E8">
        <w:rPr>
          <w:rFonts w:eastAsia="EUAlbertina-Bold-Identity-H"/>
          <w:color w:val="000000" w:themeColor="text1"/>
          <w:szCs w:val="24"/>
          <w:lang w:eastAsia="lv-LV"/>
        </w:rPr>
        <w:t xml:space="preserve"> 2007.gada 10.jūlija noteikumus Nr.484 „Kārtība, kādā publisko informāciju par Eiropas Savienības struktūrfondu un Kohēzijas fonda projektiem” (turpmāk – MK noteikumi Nr.484) un </w:t>
      </w:r>
      <w:r w:rsidR="006B263C" w:rsidRPr="00B557E8">
        <w:rPr>
          <w:rFonts w:eastAsia="EUAlbertina-Bold-Identity-H"/>
          <w:color w:val="000000" w:themeColor="text1"/>
          <w:szCs w:val="24"/>
          <w:lang w:eastAsia="lv-LV"/>
        </w:rPr>
        <w:t>MK</w:t>
      </w:r>
      <w:r w:rsidRPr="00B557E8">
        <w:rPr>
          <w:rFonts w:eastAsia="EUAlbertina-Bold-Identity-H"/>
          <w:color w:val="000000" w:themeColor="text1"/>
          <w:szCs w:val="24"/>
          <w:lang w:eastAsia="lv-LV"/>
        </w:rPr>
        <w:t xml:space="preserve"> 2007.gada 26.jūnija noteikumus Nr.441 „Eiropas Savienības fondu publicitātes un vizuālās identitātes prasību nodrošināšanas kārtība”. Ar MK </w:t>
      </w:r>
      <w:r w:rsidRPr="00B557E8">
        <w:rPr>
          <w:rFonts w:eastAsia="EUAlbertina-Bold-Identity-H"/>
          <w:color w:val="000000" w:themeColor="text1"/>
          <w:szCs w:val="24"/>
          <w:lang w:eastAsia="lv-LV"/>
        </w:rPr>
        <w:lastRenderedPageBreak/>
        <w:t xml:space="preserve">noteikumu Nr.749 spēkā stāšanos ir vienkāršota informācijas publiskošana par apstiprinātajiem </w:t>
      </w:r>
      <w:r w:rsidR="00EC322F" w:rsidRPr="00B557E8">
        <w:rPr>
          <w:rFonts w:eastAsia="EUAlbertina-Bold-Identity-H"/>
          <w:color w:val="000000" w:themeColor="text1"/>
          <w:szCs w:val="24"/>
          <w:lang w:eastAsia="lv-LV"/>
        </w:rPr>
        <w:t xml:space="preserve">ES </w:t>
      </w:r>
      <w:r w:rsidRPr="00B557E8">
        <w:rPr>
          <w:rFonts w:eastAsia="EUAlbertina-Bold-Identity-H"/>
          <w:color w:val="000000" w:themeColor="text1"/>
          <w:szCs w:val="24"/>
          <w:lang w:eastAsia="lv-LV"/>
        </w:rPr>
        <w:t xml:space="preserve">fondu projektiem. </w:t>
      </w:r>
      <w:r w:rsidR="004F5DF1" w:rsidRPr="00B557E8">
        <w:rPr>
          <w:rFonts w:eastAsia="EUAlbertina-Bold-Identity-H"/>
          <w:color w:val="000000" w:themeColor="text1"/>
          <w:szCs w:val="24"/>
          <w:lang w:eastAsia="lv-LV"/>
        </w:rPr>
        <w:t>FM</w:t>
      </w:r>
      <w:r w:rsidRPr="00B557E8">
        <w:rPr>
          <w:rFonts w:eastAsia="EUAlbertina-Bold-Identity-H"/>
          <w:color w:val="000000" w:themeColor="text1"/>
          <w:szCs w:val="24"/>
          <w:lang w:eastAsia="lv-LV"/>
        </w:rPr>
        <w:t xml:space="preserve"> ir izveidojusi </w:t>
      </w:r>
      <w:r w:rsidR="008F27FF" w:rsidRPr="00B557E8">
        <w:rPr>
          <w:rFonts w:eastAsia="EUAlbertina-Bold-Identity-H"/>
          <w:color w:val="000000" w:themeColor="text1"/>
          <w:szCs w:val="24"/>
          <w:lang w:eastAsia="lv-LV"/>
        </w:rPr>
        <w:t>VIS</w:t>
      </w:r>
      <w:r w:rsidRPr="00B557E8">
        <w:rPr>
          <w:rFonts w:eastAsia="EUAlbertina-Bold-Identity-H"/>
          <w:color w:val="000000" w:themeColor="text1"/>
          <w:szCs w:val="24"/>
          <w:lang w:eastAsia="lv-LV"/>
        </w:rPr>
        <w:t xml:space="preserve"> un interneta mājas lapā </w:t>
      </w:r>
      <w:hyperlink r:id="rId43" w:history="1">
        <w:r w:rsidRPr="00B557E8">
          <w:rPr>
            <w:rFonts w:eastAsia="EUAlbertina-Bold-Identity-H"/>
            <w:color w:val="000000" w:themeColor="text1"/>
            <w:szCs w:val="24"/>
            <w:lang w:eastAsia="lv-LV"/>
          </w:rPr>
          <w:t>www.esfondi.lv</w:t>
        </w:r>
      </w:hyperlink>
      <w:r w:rsidRPr="00B557E8">
        <w:rPr>
          <w:rFonts w:eastAsia="EUAlbertina-Bold-Identity-H"/>
          <w:color w:val="000000" w:themeColor="text1"/>
          <w:szCs w:val="24"/>
          <w:lang w:eastAsia="lv-LV"/>
        </w:rPr>
        <w:t xml:space="preserve">  pieejamā </w:t>
      </w:r>
      <w:r w:rsidR="00EC322F" w:rsidRPr="00B557E8">
        <w:rPr>
          <w:rFonts w:eastAsia="EUAlbertina-Bold-Identity-H"/>
          <w:color w:val="000000" w:themeColor="text1"/>
          <w:szCs w:val="24"/>
          <w:lang w:eastAsia="lv-LV"/>
        </w:rPr>
        <w:t xml:space="preserve">ES </w:t>
      </w:r>
      <w:r w:rsidRPr="00B557E8">
        <w:rPr>
          <w:rFonts w:eastAsia="EUAlbertina-Bold-Identity-H"/>
          <w:color w:val="000000" w:themeColor="text1"/>
          <w:szCs w:val="24"/>
          <w:lang w:eastAsia="lv-LV"/>
        </w:rPr>
        <w:t xml:space="preserve">fondu aktivitāšu meklētāja sasaisti, kuras rezultātā tuvākajā laikā tiks īstenota projektu informācijas automātiska publicēšana no VIS </w:t>
      </w:r>
      <w:r w:rsidR="00EC322F" w:rsidRPr="00B557E8">
        <w:rPr>
          <w:rFonts w:eastAsia="EUAlbertina-Bold-Identity-H"/>
          <w:color w:val="000000" w:themeColor="text1"/>
          <w:szCs w:val="24"/>
          <w:lang w:eastAsia="lv-LV"/>
        </w:rPr>
        <w:t xml:space="preserve">ES </w:t>
      </w:r>
      <w:r w:rsidRPr="00B557E8">
        <w:rPr>
          <w:rFonts w:eastAsia="EUAlbertina-Bold-Identity-H"/>
          <w:color w:val="000000" w:themeColor="text1"/>
          <w:szCs w:val="24"/>
          <w:lang w:eastAsia="lv-LV"/>
        </w:rPr>
        <w:t xml:space="preserve">fondu aktivitāšu meklētājā. Tāpēc turpmāk vispārpieejamo informāciju par projektiem interneta mājas lapā </w:t>
      </w:r>
      <w:hyperlink r:id="rId44" w:history="1">
        <w:r w:rsidRPr="00B557E8">
          <w:rPr>
            <w:rFonts w:eastAsia="EUAlbertina-Bold-Identity-H"/>
            <w:color w:val="000000" w:themeColor="text1"/>
            <w:szCs w:val="24"/>
            <w:lang w:eastAsia="lv-LV"/>
          </w:rPr>
          <w:t>www.esfondi.lv</w:t>
        </w:r>
      </w:hyperlink>
      <w:r w:rsidRPr="00B557E8">
        <w:rPr>
          <w:rFonts w:eastAsia="EUAlbertina-Bold-Identity-H"/>
          <w:color w:val="000000" w:themeColor="text1"/>
          <w:szCs w:val="24"/>
          <w:lang w:eastAsia="lv-LV"/>
        </w:rPr>
        <w:t xml:space="preserve"> nodrošinās </w:t>
      </w:r>
      <w:r w:rsidR="006C39CA" w:rsidRPr="00B557E8">
        <w:rPr>
          <w:rFonts w:eastAsia="EUAlbertina-Bold-Identity-H"/>
          <w:color w:val="000000" w:themeColor="text1"/>
          <w:szCs w:val="24"/>
          <w:lang w:eastAsia="lv-LV"/>
        </w:rPr>
        <w:t>VI</w:t>
      </w:r>
      <w:r w:rsidRPr="00B557E8">
        <w:rPr>
          <w:rFonts w:eastAsia="EUAlbertina-Bold-Identity-H"/>
          <w:color w:val="000000" w:themeColor="text1"/>
          <w:szCs w:val="24"/>
          <w:lang w:eastAsia="lv-LV"/>
        </w:rPr>
        <w:t xml:space="preserve">. Tādējādi vienkopus tiks nodrošināta ērta pieeja tai informācijai, ko šobrīd </w:t>
      </w:r>
      <w:r w:rsidR="00374474" w:rsidRPr="00B557E8">
        <w:rPr>
          <w:rFonts w:eastAsia="EUAlbertina-Bold-Identity-H"/>
          <w:color w:val="000000" w:themeColor="text1"/>
          <w:szCs w:val="24"/>
          <w:lang w:eastAsia="lv-LV"/>
        </w:rPr>
        <w:t>AI un SI</w:t>
      </w:r>
      <w:r w:rsidRPr="00B557E8">
        <w:rPr>
          <w:rFonts w:eastAsia="EUAlbertina-Bold-Identity-H"/>
          <w:color w:val="000000" w:themeColor="text1"/>
          <w:szCs w:val="24"/>
          <w:lang w:eastAsia="lv-LV"/>
        </w:rPr>
        <w:t xml:space="preserve"> nosaka publicēt MK noteikumi Nr.484. Projektu informācija meklētājā būs apskatāma vairākos veidos, kā arī meklējot pēc dažādiem parametriem.</w:t>
      </w:r>
    </w:p>
    <w:p w:rsidR="00E34AAE" w:rsidRPr="00B557E8" w:rsidRDefault="009358E7" w:rsidP="003B2E97">
      <w:pPr>
        <w:spacing w:before="120" w:after="120" w:line="276" w:lineRule="auto"/>
        <w:ind w:left="720"/>
        <w:rPr>
          <w:rFonts w:eastAsia="EUAlbertina-Bold-Identity-H"/>
          <w:b/>
          <w:color w:val="000000" w:themeColor="text1"/>
          <w:szCs w:val="24"/>
          <w:lang w:eastAsia="lv-LV"/>
        </w:rPr>
      </w:pPr>
      <w:r w:rsidRPr="00B557E8">
        <w:rPr>
          <w:rFonts w:eastAsia="EUAlbertina-Bold-Identity-H"/>
          <w:b/>
          <w:color w:val="000000" w:themeColor="text1"/>
          <w:szCs w:val="24"/>
          <w:lang w:eastAsia="lv-LV"/>
        </w:rPr>
        <w:t>5.6.</w:t>
      </w:r>
      <w:r w:rsidRPr="00B557E8">
        <w:rPr>
          <w:rFonts w:eastAsia="EUAlbertina-Bold-Identity-H"/>
          <w:b/>
          <w:color w:val="000000" w:themeColor="text1"/>
          <w:szCs w:val="24"/>
          <w:lang w:eastAsia="lv-LV"/>
        </w:rPr>
        <w:tab/>
      </w:r>
      <w:r w:rsidR="00E34AAE" w:rsidRPr="00B557E8">
        <w:rPr>
          <w:rFonts w:eastAsia="EUAlbertina-Bold-Identity-H"/>
          <w:b/>
          <w:color w:val="000000" w:themeColor="text1"/>
          <w:szCs w:val="24"/>
          <w:lang w:eastAsia="lv-LV"/>
        </w:rPr>
        <w:t>Plānotie (rosinātie) pasākumi sistēmas pilnveidošanai</w:t>
      </w:r>
    </w:p>
    <w:p w:rsidR="00E34AAE" w:rsidRPr="00B557E8" w:rsidRDefault="00E34AA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Šā gada </w:t>
      </w:r>
      <w:r w:rsidR="003B10DB" w:rsidRPr="00B557E8">
        <w:rPr>
          <w:color w:val="000000" w:themeColor="text1"/>
          <w:szCs w:val="24"/>
        </w:rPr>
        <w:t xml:space="preserve">trešajā </w:t>
      </w:r>
      <w:r w:rsidRPr="00B557E8">
        <w:rPr>
          <w:rFonts w:eastAsia="EUAlbertina-Bold-Identity-H"/>
          <w:color w:val="000000" w:themeColor="text1"/>
          <w:szCs w:val="24"/>
          <w:lang w:eastAsia="lv-LV"/>
        </w:rPr>
        <w:t xml:space="preserve">ceturksnī ES fondu vadības un kontroles sistēmā ir veikti vairāki auditi (gan </w:t>
      </w:r>
      <w:r w:rsidR="006C39CA" w:rsidRPr="00B557E8">
        <w:rPr>
          <w:rFonts w:eastAsia="EUAlbertina-Bold-Identity-H"/>
          <w:color w:val="000000" w:themeColor="text1"/>
          <w:szCs w:val="24"/>
          <w:lang w:eastAsia="lv-LV"/>
        </w:rPr>
        <w:t>EK</w:t>
      </w:r>
      <w:r w:rsidRPr="00B557E8">
        <w:rPr>
          <w:rFonts w:eastAsia="EUAlbertina-Bold-Identity-H"/>
          <w:color w:val="000000" w:themeColor="text1"/>
          <w:szCs w:val="24"/>
          <w:lang w:eastAsia="lv-LV"/>
        </w:rPr>
        <w:t xml:space="preserve"> audita misijas, gan Revīzijas iestādes audits </w:t>
      </w:r>
      <w:r w:rsidR="006C39CA" w:rsidRPr="00B557E8">
        <w:rPr>
          <w:rFonts w:eastAsia="EUAlbertina-Bold-Identity-H"/>
          <w:color w:val="000000" w:themeColor="text1"/>
          <w:szCs w:val="24"/>
          <w:lang w:eastAsia="lv-LV"/>
        </w:rPr>
        <w:t>VI</w:t>
      </w:r>
      <w:r w:rsidRPr="00B557E8">
        <w:rPr>
          <w:rFonts w:eastAsia="EUAlbertina-Bold-Identity-H"/>
          <w:color w:val="000000" w:themeColor="text1"/>
          <w:szCs w:val="24"/>
          <w:lang w:eastAsia="lv-LV"/>
        </w:rPr>
        <w:t xml:space="preserve">). Ņemot vērā auditoru identificētās nepilnības un audita misiju noslēguma sanāksmēs izteiktos ieteikumus, </w:t>
      </w:r>
      <w:r w:rsidR="006C39CA" w:rsidRPr="00B557E8">
        <w:rPr>
          <w:rFonts w:eastAsia="EUAlbertina-Bold-Identity-H"/>
          <w:color w:val="000000" w:themeColor="text1"/>
          <w:szCs w:val="24"/>
          <w:lang w:eastAsia="lv-LV"/>
        </w:rPr>
        <w:t>VI</w:t>
      </w:r>
      <w:r w:rsidRPr="00B557E8">
        <w:rPr>
          <w:rFonts w:eastAsia="EUAlbertina-Bold-Identity-H"/>
          <w:color w:val="000000" w:themeColor="text1"/>
          <w:szCs w:val="24"/>
          <w:lang w:eastAsia="lv-LV"/>
        </w:rPr>
        <w:t xml:space="preserve"> ir identificējusi nepieciešamību veikt uzlabojumus ES fondu vadības un kontroles sistēmā un stiprināt </w:t>
      </w:r>
      <w:r w:rsidR="00374474" w:rsidRPr="00B557E8">
        <w:rPr>
          <w:rFonts w:eastAsia="EUAlbertina-Bold-Identity-H"/>
          <w:color w:val="000000" w:themeColor="text1"/>
          <w:szCs w:val="24"/>
          <w:lang w:eastAsia="lv-LV"/>
        </w:rPr>
        <w:t>VI</w:t>
      </w:r>
      <w:r w:rsidRPr="00B557E8">
        <w:rPr>
          <w:rFonts w:eastAsia="EUAlbertina-Bold-Identity-H"/>
          <w:color w:val="000000" w:themeColor="text1"/>
          <w:szCs w:val="24"/>
          <w:lang w:eastAsia="lv-LV"/>
        </w:rPr>
        <w:t xml:space="preserve"> lomu un pilnveidot uzraudzības funkciju pār </w:t>
      </w:r>
      <w:r w:rsidR="00374474" w:rsidRPr="00B557E8">
        <w:rPr>
          <w:rFonts w:eastAsia="EUAlbertina-Bold-Identity-H"/>
          <w:color w:val="000000" w:themeColor="text1"/>
          <w:szCs w:val="24"/>
          <w:lang w:eastAsia="lv-LV"/>
        </w:rPr>
        <w:t>AI</w:t>
      </w:r>
      <w:r w:rsidRPr="00B557E8">
        <w:rPr>
          <w:rFonts w:eastAsia="EUAlbertina-Bold-Identity-H"/>
          <w:color w:val="000000" w:themeColor="text1"/>
          <w:szCs w:val="24"/>
          <w:lang w:eastAsia="lv-LV"/>
        </w:rPr>
        <w:t xml:space="preserve"> un </w:t>
      </w:r>
      <w:r w:rsidR="00374474" w:rsidRPr="00B557E8">
        <w:rPr>
          <w:rFonts w:eastAsia="EUAlbertina-Bold-Identity-H"/>
          <w:color w:val="000000" w:themeColor="text1"/>
          <w:szCs w:val="24"/>
          <w:lang w:eastAsia="lv-LV"/>
        </w:rPr>
        <w:t>SI</w:t>
      </w:r>
      <w:r w:rsidRPr="00B557E8">
        <w:rPr>
          <w:rFonts w:eastAsia="EUAlbertina-Bold-Identity-H"/>
          <w:color w:val="000000" w:themeColor="text1"/>
          <w:szCs w:val="24"/>
          <w:lang w:eastAsia="lv-LV"/>
        </w:rPr>
        <w:t xml:space="preserve"> deleģētajām funkcijām.</w:t>
      </w:r>
    </w:p>
    <w:p w:rsidR="00E34AAE" w:rsidRPr="00B557E8" w:rsidRDefault="00374474"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VI</w:t>
      </w:r>
      <w:r w:rsidR="00E34AAE" w:rsidRPr="00B557E8">
        <w:rPr>
          <w:rFonts w:eastAsia="EUAlbertina-Bold-Identity-H"/>
          <w:color w:val="000000" w:themeColor="text1"/>
          <w:szCs w:val="24"/>
          <w:lang w:eastAsia="lv-LV"/>
        </w:rPr>
        <w:t>, ņemot vērā auditu ieteikumus jau ir veikusi un turpina veikt darbības ES fondu vadības un kontroles sistēmas pilnveidošanai. Nozīmīgākie plānotie pasākumi:</w:t>
      </w:r>
    </w:p>
    <w:p w:rsidR="00E34AAE" w:rsidRPr="00B557E8" w:rsidRDefault="00E34AAE" w:rsidP="00B557E8">
      <w:pPr>
        <w:pStyle w:val="ListParagraph"/>
        <w:numPr>
          <w:ilvl w:val="0"/>
          <w:numId w:val="30"/>
        </w:numPr>
        <w:spacing w:before="120" w:after="120"/>
        <w:jc w:val="both"/>
        <w:rPr>
          <w:rFonts w:ascii="Times New Roman" w:hAnsi="Times New Roman"/>
          <w:i/>
          <w:color w:val="000000" w:themeColor="text1"/>
          <w:sz w:val="24"/>
          <w:szCs w:val="24"/>
          <w:u w:val="single"/>
        </w:rPr>
      </w:pPr>
      <w:r w:rsidRPr="00B557E8">
        <w:rPr>
          <w:rFonts w:ascii="Times New Roman" w:hAnsi="Times New Roman"/>
          <w:i/>
          <w:color w:val="000000" w:themeColor="text1"/>
          <w:sz w:val="24"/>
          <w:szCs w:val="24"/>
          <w:u w:val="single"/>
        </w:rPr>
        <w:t>Vadības pārbaužu stiprināšana</w:t>
      </w:r>
    </w:p>
    <w:p w:rsidR="00E34AAE" w:rsidRPr="00B557E8" w:rsidRDefault="00E34AA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Ņemot vērā, ka pēc šā gada jūlijā veiktajiem pasākumiem Revīzijas iestādes neatkarības stiprināšanai un FM Audita un revīzijas departamenta reorganizācijas pilnvērtīgi </w:t>
      </w:r>
      <w:r w:rsidR="00374474" w:rsidRPr="00B557E8">
        <w:rPr>
          <w:rFonts w:eastAsia="EUAlbertina-Bold-Identity-H"/>
          <w:color w:val="000000" w:themeColor="text1"/>
          <w:szCs w:val="24"/>
          <w:lang w:eastAsia="lv-LV"/>
        </w:rPr>
        <w:t xml:space="preserve">netiek veikta viena no VI </w:t>
      </w:r>
      <w:r w:rsidRPr="00B557E8">
        <w:rPr>
          <w:rFonts w:eastAsia="EUAlbertina-Bold-Identity-H"/>
          <w:color w:val="000000" w:themeColor="text1"/>
          <w:szCs w:val="24"/>
          <w:lang w:eastAsia="lv-LV"/>
        </w:rPr>
        <w:t>funkcijām netiek nodrošināta EK regulā Nr.1083/2006</w:t>
      </w:r>
      <w:r w:rsidRPr="00B557E8">
        <w:rPr>
          <w:rFonts w:eastAsia="EUAlbertina-Bold-Identity-H"/>
          <w:color w:val="000000" w:themeColor="text1"/>
          <w:szCs w:val="24"/>
          <w:lang w:eastAsia="lv-LV"/>
        </w:rPr>
        <w:footnoteReference w:id="12"/>
      </w:r>
      <w:r w:rsidRPr="00B557E8">
        <w:rPr>
          <w:rFonts w:eastAsia="EUAlbertina-Bold-Identity-H"/>
          <w:color w:val="000000" w:themeColor="text1"/>
          <w:szCs w:val="24"/>
          <w:lang w:eastAsia="lv-LV"/>
        </w:rPr>
        <w:t xml:space="preserve"> 60.pantā noteikto deleģēto funkciju izpildes uzraudzība (šīs funkcijas ir deleģētas ES fondu AI un SI). </w:t>
      </w:r>
    </w:p>
    <w:p w:rsidR="00E34AAE" w:rsidRPr="00B557E8" w:rsidRDefault="00E34AA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Ieteikumu izmantot iekšējā audita funkciju pēc Audita un revīzijas departamenta reorganizācijas ES fondu vadības un kontroles sistēmā ir noteikusi Revīzijas iestāde audita ziņojuma projektā</w:t>
      </w:r>
      <w:r w:rsidRPr="00B557E8">
        <w:rPr>
          <w:rFonts w:eastAsia="EUAlbertina-Bold-Identity-H"/>
          <w:color w:val="000000" w:themeColor="text1"/>
          <w:szCs w:val="24"/>
          <w:vertAlign w:val="superscript"/>
          <w:lang w:eastAsia="lv-LV"/>
        </w:rPr>
        <w:footnoteReference w:id="13"/>
      </w:r>
      <w:r w:rsidRPr="00B557E8">
        <w:rPr>
          <w:rFonts w:eastAsia="EUAlbertina-Bold-Identity-H"/>
          <w:color w:val="000000" w:themeColor="text1"/>
          <w:szCs w:val="24"/>
          <w:lang w:eastAsia="lv-LV"/>
        </w:rPr>
        <w:t xml:space="preserve">, kā arī EK auditori šā gada 26.-30. septembra DG </w:t>
      </w:r>
      <w:proofErr w:type="spellStart"/>
      <w:r w:rsidRPr="00B557E8">
        <w:rPr>
          <w:rFonts w:eastAsia="EUAlbertina-Bold-Identity-H"/>
          <w:color w:val="000000" w:themeColor="text1"/>
          <w:szCs w:val="24"/>
          <w:lang w:eastAsia="lv-LV"/>
        </w:rPr>
        <w:t>Employ</w:t>
      </w:r>
      <w:proofErr w:type="spellEnd"/>
      <w:r w:rsidRPr="00B557E8">
        <w:rPr>
          <w:rFonts w:eastAsia="EUAlbertina-Bold-Identity-H"/>
          <w:color w:val="000000" w:themeColor="text1"/>
          <w:szCs w:val="24"/>
          <w:lang w:eastAsia="lv-LV"/>
        </w:rPr>
        <w:t xml:space="preserve"> audita misijas noslēguma sanāksmē norādījuši uz šīs funkcijas trūkumu ES fondu vadības un kontroles sistēmā un uzsvēruši tās nozīmīgumu. Lai novērstu šo nepilnību un efektīvi uzraudzītu deleģēto funkciju izpildi, ir identificēta nepieciešamība atjaunot iekšējā audita funkciju ES fondu sistēmā. </w:t>
      </w:r>
    </w:p>
    <w:p w:rsidR="00E34AAE" w:rsidRPr="00B557E8" w:rsidRDefault="00E34AA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Tāpat, lai pilnveidotu pārbaužu projektu īstenošanas vietās veikšanas procesu un gūtu pārliecību par AI/SI deleģēto funkciju atbilstošu izpildi, šā gada septembrī ir noslēgts līgums ar SIA </w:t>
      </w:r>
      <w:proofErr w:type="spellStart"/>
      <w:r w:rsidRPr="00B557E8">
        <w:rPr>
          <w:rFonts w:eastAsia="EUAlbertina-Bold-Identity-H"/>
          <w:color w:val="000000" w:themeColor="text1"/>
          <w:szCs w:val="24"/>
          <w:lang w:eastAsia="lv-LV"/>
        </w:rPr>
        <w:t>Ernst&amp;Young</w:t>
      </w:r>
      <w:proofErr w:type="spellEnd"/>
      <w:r w:rsidRPr="00B557E8">
        <w:rPr>
          <w:rFonts w:eastAsia="EUAlbertina-Bold-Identity-H"/>
          <w:color w:val="000000" w:themeColor="text1"/>
          <w:szCs w:val="24"/>
          <w:lang w:eastAsia="lv-LV"/>
        </w:rPr>
        <w:t xml:space="preserve"> par pārbaužu projektu īstenošanas vietās veikšanu un AI/SI pārbaužu procesa </w:t>
      </w:r>
      <w:proofErr w:type="spellStart"/>
      <w:r w:rsidRPr="00B557E8">
        <w:rPr>
          <w:rFonts w:eastAsia="EUAlbertina-Bold-Identity-H"/>
          <w:color w:val="000000" w:themeColor="text1"/>
          <w:szCs w:val="24"/>
          <w:lang w:eastAsia="lv-LV"/>
        </w:rPr>
        <w:t>virspārbaužu</w:t>
      </w:r>
      <w:proofErr w:type="spellEnd"/>
      <w:r w:rsidRPr="00B557E8">
        <w:rPr>
          <w:rFonts w:eastAsia="EUAlbertina-Bold-Identity-H"/>
          <w:color w:val="000000" w:themeColor="text1"/>
          <w:szCs w:val="24"/>
          <w:lang w:eastAsia="lv-LV"/>
        </w:rPr>
        <w:t xml:space="preserve"> veikšanu. Līguma izpildes termiņš ir šā gada 15.decembris. Attiecīgi pēc rezultātu saņemšanas VI izstrādās rīcības plānu ES fondu vadības un kontroles sistēmas pilnveidošanai.</w:t>
      </w:r>
    </w:p>
    <w:p w:rsidR="00E34AAE" w:rsidRPr="00B557E8" w:rsidRDefault="00E34AA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lastRenderedPageBreak/>
        <w:t xml:space="preserve">Papildus, lai nodrošinātu virsuzraudzību par EK regulā </w:t>
      </w:r>
      <w:proofErr w:type="spellStart"/>
      <w:r w:rsidRPr="00B557E8">
        <w:rPr>
          <w:rFonts w:eastAsia="EUAlbertina-Bold-Identity-H"/>
          <w:color w:val="000000" w:themeColor="text1"/>
          <w:szCs w:val="24"/>
          <w:lang w:eastAsia="lv-LV"/>
        </w:rPr>
        <w:t>Nr</w:t>
      </w:r>
      <w:proofErr w:type="spellEnd"/>
      <w:r w:rsidRPr="00B557E8">
        <w:rPr>
          <w:rFonts w:eastAsia="EUAlbertina-Bold-Identity-H"/>
          <w:color w:val="000000" w:themeColor="text1"/>
          <w:szCs w:val="24"/>
          <w:lang w:eastAsia="lv-LV"/>
        </w:rPr>
        <w:t xml:space="preserve">. 1083/2006 60.pantā noteikto funkciju izpildi, FM 2012.gada 1.ceturksnī kā ārpakalpojumu plāno iepirkt ārējos auditorus, kas nodrošinātu pārbaužu veikšanu visās ES fondu administrēšanā iesaistītajās iestādēs. </w:t>
      </w:r>
    </w:p>
    <w:p w:rsidR="00E34AAE" w:rsidRPr="00B557E8" w:rsidRDefault="00E34AAE" w:rsidP="00B557E8">
      <w:pPr>
        <w:pStyle w:val="ListParagraph"/>
        <w:numPr>
          <w:ilvl w:val="0"/>
          <w:numId w:val="30"/>
        </w:numPr>
        <w:spacing w:before="120" w:after="120"/>
        <w:jc w:val="both"/>
        <w:rPr>
          <w:rFonts w:ascii="Times New Roman" w:hAnsi="Times New Roman"/>
          <w:i/>
          <w:color w:val="000000" w:themeColor="text1"/>
          <w:sz w:val="24"/>
          <w:szCs w:val="24"/>
          <w:u w:val="single"/>
        </w:rPr>
      </w:pPr>
      <w:r w:rsidRPr="00B557E8">
        <w:rPr>
          <w:rFonts w:ascii="Times New Roman" w:hAnsi="Times New Roman"/>
          <w:i/>
          <w:color w:val="000000" w:themeColor="text1"/>
          <w:sz w:val="24"/>
          <w:szCs w:val="24"/>
          <w:u w:val="single"/>
        </w:rPr>
        <w:t xml:space="preserve">Neatbilstību </w:t>
      </w:r>
      <w:r w:rsidR="009358E7" w:rsidRPr="00B557E8">
        <w:rPr>
          <w:rFonts w:ascii="Times New Roman" w:hAnsi="Times New Roman"/>
          <w:i/>
          <w:color w:val="000000" w:themeColor="text1"/>
          <w:sz w:val="24"/>
          <w:szCs w:val="24"/>
          <w:u w:val="single"/>
        </w:rPr>
        <w:t xml:space="preserve">vadības </w:t>
      </w:r>
      <w:r w:rsidRPr="00B557E8">
        <w:rPr>
          <w:rFonts w:ascii="Times New Roman" w:hAnsi="Times New Roman"/>
          <w:i/>
          <w:color w:val="000000" w:themeColor="text1"/>
          <w:sz w:val="24"/>
          <w:szCs w:val="24"/>
          <w:u w:val="single"/>
        </w:rPr>
        <w:t>sistēmas pilnveidošana</w:t>
      </w:r>
    </w:p>
    <w:p w:rsidR="00E34AAE" w:rsidRPr="00B557E8" w:rsidRDefault="00E34AA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Ņemot vērā </w:t>
      </w:r>
      <w:r w:rsidR="00EC322F" w:rsidRPr="00B557E8">
        <w:rPr>
          <w:color w:val="000000" w:themeColor="text1"/>
          <w:szCs w:val="24"/>
        </w:rPr>
        <w:t>EK</w:t>
      </w:r>
      <w:r w:rsidRPr="00B557E8">
        <w:rPr>
          <w:rFonts w:eastAsia="EUAlbertina-Bold-Identity-H"/>
          <w:color w:val="000000" w:themeColor="text1"/>
          <w:szCs w:val="24"/>
          <w:lang w:eastAsia="lv-LV"/>
        </w:rPr>
        <w:t xml:space="preserve"> ierosinājumus attiecībā uz Revīzijas iestādes neatkarību, Latvija ir uzsākusi MK noteikumu Nr.740 grozījumus, lai noteiktu Revīzijas iestādes tiesības pieņemt lēmumus par neatbilstībām, kā arī nepieciešamības gadījumā ziņot </w:t>
      </w:r>
      <w:r w:rsidR="00EC322F" w:rsidRPr="00B557E8">
        <w:rPr>
          <w:color w:val="000000" w:themeColor="text1"/>
          <w:szCs w:val="24"/>
        </w:rPr>
        <w:t>EK</w:t>
      </w:r>
      <w:r w:rsidRPr="00B557E8">
        <w:rPr>
          <w:rFonts w:eastAsia="EUAlbertina-Bold-Identity-H"/>
          <w:color w:val="000000" w:themeColor="text1"/>
          <w:szCs w:val="24"/>
          <w:lang w:eastAsia="lv-LV"/>
        </w:rPr>
        <w:t xml:space="preserve"> un Eiropas Krāpšanas apkarošanas birojam (OLAF) .</w:t>
      </w:r>
    </w:p>
    <w:p w:rsidR="00E34AAE" w:rsidRPr="00B557E8" w:rsidRDefault="00E34AA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Papildus informāciju un analīzi attiecībā uz neatbilstoši veiktajiem izdevumiem lūdzu skatīt sadaļā Nr.</w:t>
      </w:r>
      <w:r w:rsidR="003E7E51" w:rsidRPr="00B557E8">
        <w:rPr>
          <w:rFonts w:eastAsia="EUAlbertina-Bold-Identity-H"/>
          <w:color w:val="000000" w:themeColor="text1"/>
          <w:szCs w:val="24"/>
          <w:lang w:eastAsia="lv-LV"/>
        </w:rPr>
        <w:t>4.</w:t>
      </w:r>
      <w:r w:rsidRPr="00B557E8">
        <w:rPr>
          <w:rFonts w:eastAsia="EUAlbertina-Bold-Identity-H"/>
          <w:color w:val="000000" w:themeColor="text1"/>
          <w:szCs w:val="24"/>
          <w:lang w:eastAsia="lv-LV"/>
        </w:rPr>
        <w:t xml:space="preserve"> </w:t>
      </w:r>
    </w:p>
    <w:p w:rsidR="00E34AAE" w:rsidRPr="00B557E8" w:rsidRDefault="00E34AAE" w:rsidP="00B557E8">
      <w:pPr>
        <w:pStyle w:val="ListParagraph"/>
        <w:numPr>
          <w:ilvl w:val="0"/>
          <w:numId w:val="30"/>
        </w:numPr>
        <w:spacing w:before="120" w:after="120"/>
        <w:jc w:val="both"/>
        <w:rPr>
          <w:rFonts w:ascii="Times New Roman" w:hAnsi="Times New Roman"/>
          <w:i/>
          <w:color w:val="000000" w:themeColor="text1"/>
          <w:sz w:val="24"/>
          <w:szCs w:val="24"/>
          <w:u w:val="single"/>
        </w:rPr>
      </w:pPr>
      <w:r w:rsidRPr="00B557E8">
        <w:rPr>
          <w:rFonts w:ascii="Times New Roman" w:hAnsi="Times New Roman"/>
          <w:i/>
          <w:color w:val="000000" w:themeColor="text1"/>
          <w:sz w:val="24"/>
          <w:szCs w:val="24"/>
          <w:u w:val="single"/>
        </w:rPr>
        <w:t>Daļveida</w:t>
      </w:r>
      <w:r w:rsidR="009358E7" w:rsidRPr="00B557E8">
        <w:rPr>
          <w:rFonts w:ascii="Times New Roman" w:hAnsi="Times New Roman"/>
          <w:i/>
          <w:color w:val="000000" w:themeColor="text1"/>
          <w:sz w:val="24"/>
          <w:szCs w:val="24"/>
          <w:u w:val="single"/>
        </w:rPr>
        <w:t xml:space="preserve"> Tehniskās palīdzības</w:t>
      </w:r>
      <w:r w:rsidRPr="00B557E8">
        <w:rPr>
          <w:rFonts w:ascii="Times New Roman" w:hAnsi="Times New Roman"/>
          <w:i/>
          <w:color w:val="000000" w:themeColor="text1"/>
          <w:sz w:val="24"/>
          <w:szCs w:val="24"/>
          <w:u w:val="single"/>
        </w:rPr>
        <w:t xml:space="preserve"> attiecināšana</w:t>
      </w:r>
    </w:p>
    <w:p w:rsidR="00E34AAE" w:rsidRPr="00B557E8" w:rsidRDefault="00E34AA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Saskaņā ar Ministru prezidenta 2011.gada 3.maija rezolūciju Nr.111- 1/30 un šā gada 20.jūnija </w:t>
      </w:r>
      <w:r w:rsidR="006B263C" w:rsidRPr="00B557E8">
        <w:rPr>
          <w:rFonts w:eastAsia="EUAlbertina-Bold-Identity-H"/>
          <w:color w:val="000000" w:themeColor="text1"/>
          <w:szCs w:val="24"/>
          <w:lang w:eastAsia="lv-LV"/>
        </w:rPr>
        <w:t>MK</w:t>
      </w:r>
      <w:r w:rsidRPr="00B557E8">
        <w:rPr>
          <w:rFonts w:eastAsia="EUAlbertina-Bold-Identity-H"/>
          <w:color w:val="000000" w:themeColor="text1"/>
          <w:szCs w:val="24"/>
          <w:lang w:eastAsia="lv-LV"/>
        </w:rPr>
        <w:t xml:space="preserve"> Koalīcijas darba grupā par </w:t>
      </w:r>
      <w:r w:rsidR="006B263C" w:rsidRPr="00B557E8">
        <w:rPr>
          <w:rFonts w:eastAsia="EUAlbertina-Bold-Identity-H"/>
          <w:color w:val="000000" w:themeColor="text1"/>
          <w:szCs w:val="24"/>
          <w:lang w:eastAsia="lv-LV"/>
        </w:rPr>
        <w:t>ES</w:t>
      </w:r>
      <w:r w:rsidRPr="00B557E8">
        <w:rPr>
          <w:rFonts w:eastAsia="EUAlbertina-Bold-Identity-H"/>
          <w:color w:val="000000" w:themeColor="text1"/>
          <w:szCs w:val="24"/>
          <w:lang w:eastAsia="lv-LV"/>
        </w:rPr>
        <w:t xml:space="preserve"> fondu jautājumiem skatīto jautājumu par iespējamo atalgojuma daļveida attiecināšanu no ES fondu tehniskās palīdzības, informējam, ka </w:t>
      </w:r>
      <w:r w:rsidR="006B263C" w:rsidRPr="00B557E8">
        <w:rPr>
          <w:rFonts w:eastAsia="EUAlbertina-Bold-Identity-H"/>
          <w:color w:val="000000" w:themeColor="text1"/>
          <w:szCs w:val="24"/>
          <w:lang w:eastAsia="lv-LV"/>
        </w:rPr>
        <w:t xml:space="preserve">FM </w:t>
      </w:r>
      <w:r w:rsidRPr="00B557E8">
        <w:rPr>
          <w:rFonts w:eastAsia="EUAlbertina-Bold-Identity-H"/>
          <w:color w:val="000000" w:themeColor="text1"/>
          <w:szCs w:val="24"/>
          <w:lang w:eastAsia="lv-LV"/>
        </w:rPr>
        <w:t>pašlaik  izvērtē iespēju realizēt praktiski iespējamus un visām Latvijas Republikas un ES prasībām atbilstošus risinājumus, lai nodrošinātu ES fond</w:t>
      </w:r>
      <w:r w:rsidR="006B263C" w:rsidRPr="00B557E8">
        <w:rPr>
          <w:rFonts w:eastAsia="EUAlbertina-Bold-Identity-H"/>
          <w:color w:val="000000" w:themeColor="text1"/>
          <w:szCs w:val="24"/>
          <w:lang w:eastAsia="lv-LV"/>
        </w:rPr>
        <w:t>u</w:t>
      </w:r>
      <w:r w:rsidRPr="00B557E8">
        <w:rPr>
          <w:rFonts w:eastAsia="EUAlbertina-Bold-Identity-H"/>
          <w:color w:val="000000" w:themeColor="text1"/>
          <w:szCs w:val="24"/>
          <w:lang w:eastAsia="lv-LV"/>
        </w:rPr>
        <w:t xml:space="preserve"> vadībā iesaistīto un daļēji iesaistīto iestāžu ierēdņu un darbinieku finansēšanu no ES fondu tehniskās palīdzības līdzekļiem, kas vienlaicīgi neradītu risku neatbilstoši veiktiem izdevumiem. Izvērtējumu augstākminētajā jautājumā plānots virzīt uz MK šā gada novembra laikā. </w:t>
      </w:r>
    </w:p>
    <w:p w:rsidR="00E34AAE" w:rsidRPr="00B557E8" w:rsidRDefault="00E34AA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Tomēr, ņemot vērā, ka tuvojas ES fondu 2007.-2013.gada ieviešanas perioda noslēgums un jau notiek darbs pie jaunā 2014.-2020.gada perioda sistēmas un viens no virzieniem, kādā </w:t>
      </w:r>
      <w:r w:rsidR="00374474" w:rsidRPr="00B557E8">
        <w:rPr>
          <w:rFonts w:eastAsia="EUAlbertina-Bold-Identity-H"/>
          <w:color w:val="000000" w:themeColor="text1"/>
          <w:szCs w:val="24"/>
          <w:lang w:eastAsia="lv-LV"/>
        </w:rPr>
        <w:t>VI</w:t>
      </w:r>
      <w:r w:rsidRPr="00B557E8">
        <w:rPr>
          <w:rFonts w:eastAsia="EUAlbertina-Bold-Identity-H"/>
          <w:color w:val="000000" w:themeColor="text1"/>
          <w:szCs w:val="24"/>
          <w:lang w:eastAsia="lv-LV"/>
        </w:rPr>
        <w:t xml:space="preserve"> strādā attiecībā uz jauno periodu, ir ES fondu administrēšanā iesaistīto institūciju optimizāciju, uzskatām, ka sistēmas izveidošana šajā periodā nebūtu efektīva, ja nākamajā periodā iestāžu skaits tiks ievērojami samazināts.</w:t>
      </w:r>
    </w:p>
    <w:p w:rsidR="00E34AAE" w:rsidRPr="00B557E8" w:rsidRDefault="00E34AA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Ņemot vērā augstākminētos argumentus, uzskatām, ka kopējās sistēmas izveide un ieviešana visās ES fondu administrēšanas sistēmā iesaistītajās institūcijās ir iespējama tikai ar jauno 2014.-2020. ES fondu plānošanas periodu, kas nozīmē sākot ar 2014.gadu. </w:t>
      </w:r>
    </w:p>
    <w:p w:rsidR="00E34AAE" w:rsidRPr="00B557E8" w:rsidRDefault="00E34AAE" w:rsidP="00B557E8">
      <w:pPr>
        <w:pStyle w:val="ListParagraph"/>
        <w:numPr>
          <w:ilvl w:val="0"/>
          <w:numId w:val="30"/>
        </w:numPr>
        <w:spacing w:before="120" w:after="120"/>
        <w:jc w:val="both"/>
        <w:rPr>
          <w:rFonts w:ascii="Times New Roman" w:hAnsi="Times New Roman"/>
          <w:i/>
          <w:color w:val="000000" w:themeColor="text1"/>
          <w:sz w:val="24"/>
          <w:szCs w:val="24"/>
        </w:rPr>
      </w:pPr>
      <w:r w:rsidRPr="00B557E8">
        <w:rPr>
          <w:rFonts w:ascii="Times New Roman" w:hAnsi="Times New Roman"/>
          <w:i/>
          <w:color w:val="000000" w:themeColor="text1"/>
          <w:sz w:val="24"/>
          <w:szCs w:val="24"/>
        </w:rPr>
        <w:t>Ierobežota līgumu slēgšana ar uzņēmumu esošajiem/ bijušajiem darbiniekiem</w:t>
      </w:r>
    </w:p>
    <w:p w:rsidR="00E34AAE" w:rsidRPr="00B557E8" w:rsidRDefault="00E34AA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Pamatojoties uz informatīvo ziņojumu „Par ārvalstu finanšu resursu (Eiropas Savienības struktūrfondu un Kohēzijas fonda, </w:t>
      </w:r>
      <w:r w:rsidR="00EC322F" w:rsidRPr="00B557E8">
        <w:rPr>
          <w:rFonts w:eastAsia="EUAlbertina-Bold-Identity-H"/>
          <w:color w:val="000000" w:themeColor="text1"/>
          <w:szCs w:val="24"/>
          <w:lang w:eastAsia="lv-LV"/>
        </w:rPr>
        <w:t>EEZ</w:t>
      </w:r>
      <w:r w:rsidRPr="00B557E8">
        <w:rPr>
          <w:rFonts w:eastAsia="EUAlbertina-Bold-Identity-H"/>
          <w:color w:val="000000" w:themeColor="text1"/>
          <w:szCs w:val="24"/>
          <w:lang w:eastAsia="lv-LV"/>
        </w:rPr>
        <w:t xml:space="preserve"> finanšu instrumenta, Norvēģijas valdības divpusējā finanšu instrumenta un Latvijas un Šveices sadarbības programmas) apguvi līdz 2011.gada 30.jūnijam”, </w:t>
      </w:r>
      <w:r w:rsidR="006B263C" w:rsidRPr="00B557E8">
        <w:rPr>
          <w:rFonts w:eastAsia="EUAlbertina-Bold-Identity-H"/>
          <w:color w:val="000000" w:themeColor="text1"/>
          <w:szCs w:val="24"/>
          <w:lang w:eastAsia="lv-LV"/>
        </w:rPr>
        <w:t>MK</w:t>
      </w:r>
      <w:r w:rsidRPr="00B557E8">
        <w:rPr>
          <w:rFonts w:eastAsia="EUAlbertina-Bold-Identity-H"/>
          <w:color w:val="000000" w:themeColor="text1"/>
          <w:szCs w:val="24"/>
          <w:lang w:eastAsia="lv-LV"/>
        </w:rPr>
        <w:t xml:space="preserve"> 2011.gada 23.augustā pieņēma lēmumu (</w:t>
      </w:r>
      <w:proofErr w:type="spellStart"/>
      <w:r w:rsidRPr="00B557E8">
        <w:rPr>
          <w:rFonts w:eastAsia="EUAlbertina-Bold-Identity-H"/>
          <w:color w:val="000000" w:themeColor="text1"/>
          <w:szCs w:val="24"/>
          <w:lang w:eastAsia="lv-LV"/>
        </w:rPr>
        <w:t>prot</w:t>
      </w:r>
      <w:proofErr w:type="spellEnd"/>
      <w:r w:rsidRPr="00B557E8">
        <w:rPr>
          <w:rFonts w:eastAsia="EUAlbertina-Bold-Identity-H"/>
          <w:color w:val="000000" w:themeColor="text1"/>
          <w:szCs w:val="24"/>
          <w:lang w:eastAsia="lv-LV"/>
        </w:rPr>
        <w:t xml:space="preserve">. Nr.49 25.§) konceptuāli atbalstīt </w:t>
      </w:r>
      <w:r w:rsidR="004F5DF1" w:rsidRPr="00B557E8">
        <w:rPr>
          <w:rFonts w:eastAsia="EUAlbertina-Bold-Identity-H"/>
          <w:color w:val="000000" w:themeColor="text1"/>
          <w:szCs w:val="24"/>
          <w:lang w:eastAsia="lv-LV"/>
        </w:rPr>
        <w:t>FM</w:t>
      </w:r>
      <w:r w:rsidRPr="00B557E8">
        <w:rPr>
          <w:rFonts w:eastAsia="EUAlbertina-Bold-Identity-H"/>
          <w:color w:val="000000" w:themeColor="text1"/>
          <w:szCs w:val="24"/>
          <w:lang w:eastAsia="lv-LV"/>
        </w:rPr>
        <w:t xml:space="preserve"> priekšlikumu noteikt aizliegumu pasūtītājiem Publisko iepirkumu likuma un Sabiedrisko pakalpojumu sniedzēju iepirkumu likuma izpratnē, kā arī finansējuma saņēmējiem MK noteikumu Nr.65</w:t>
      </w:r>
      <w:r w:rsidRPr="00B557E8">
        <w:rPr>
          <w:rFonts w:eastAsia="EUAlbertina-Bold-Identity-H"/>
          <w:color w:val="000000" w:themeColor="text1"/>
          <w:szCs w:val="24"/>
          <w:lang w:eastAsia="lv-LV"/>
        </w:rPr>
        <w:footnoteReference w:id="14"/>
      </w:r>
      <w:r w:rsidRPr="00B557E8">
        <w:rPr>
          <w:rFonts w:eastAsia="EUAlbertina-Bold-Identity-H"/>
          <w:color w:val="000000" w:themeColor="text1"/>
          <w:szCs w:val="24"/>
          <w:lang w:eastAsia="lv-LV"/>
        </w:rPr>
        <w:t xml:space="preserve"> izpratnē slēgt uzņēmuma līgumus ar saviem esošajiem darbiniekiem vai bijušajiem darbiniekiem, ar kuriem darba attiecības izbeigtas noteiktā laika posmā. Vienlaikus </w:t>
      </w:r>
      <w:r w:rsidR="006B263C" w:rsidRPr="00B557E8">
        <w:rPr>
          <w:rFonts w:eastAsia="EUAlbertina-Bold-Identity-H"/>
          <w:color w:val="000000" w:themeColor="text1"/>
          <w:szCs w:val="24"/>
          <w:lang w:eastAsia="lv-LV"/>
        </w:rPr>
        <w:t>MK</w:t>
      </w:r>
      <w:r w:rsidRPr="00B557E8">
        <w:rPr>
          <w:rFonts w:eastAsia="EUAlbertina-Bold-Identity-H"/>
          <w:color w:val="000000" w:themeColor="text1"/>
          <w:szCs w:val="24"/>
          <w:lang w:eastAsia="lv-LV"/>
        </w:rPr>
        <w:t xml:space="preserve"> uzdeva </w:t>
      </w:r>
      <w:r w:rsidR="004F5DF1" w:rsidRPr="00B557E8">
        <w:rPr>
          <w:rFonts w:eastAsia="EUAlbertina-Bold-Identity-H"/>
          <w:color w:val="000000" w:themeColor="text1"/>
          <w:szCs w:val="24"/>
          <w:lang w:eastAsia="lv-LV"/>
        </w:rPr>
        <w:t>FM</w:t>
      </w:r>
      <w:r w:rsidRPr="00B557E8">
        <w:rPr>
          <w:rFonts w:eastAsia="EUAlbertina-Bold-Identity-H"/>
          <w:color w:val="000000" w:themeColor="text1"/>
          <w:szCs w:val="24"/>
          <w:lang w:eastAsia="lv-LV"/>
        </w:rPr>
        <w:t xml:space="preserve"> sadarbībā ar </w:t>
      </w:r>
      <w:r w:rsidR="004F5DF1" w:rsidRPr="00B557E8">
        <w:rPr>
          <w:rFonts w:eastAsia="EUAlbertina-Bold-Identity-H"/>
          <w:color w:val="000000" w:themeColor="text1"/>
          <w:szCs w:val="24"/>
          <w:lang w:eastAsia="lv-LV"/>
        </w:rPr>
        <w:t xml:space="preserve">TM </w:t>
      </w:r>
      <w:r w:rsidRPr="00B557E8">
        <w:rPr>
          <w:rFonts w:eastAsia="EUAlbertina-Bold-Identity-H"/>
          <w:color w:val="000000" w:themeColor="text1"/>
          <w:szCs w:val="24"/>
          <w:lang w:eastAsia="lv-LV"/>
        </w:rPr>
        <w:t xml:space="preserve">un Valsts kanceleju izstrādāt priekšlikumus grozījumiem normatīvajos aktos, lai noteiktu ierobežojumus slēgt uzņēmuma līgumus ar esošajiem darbiniekiem vai bijušajiem darbiniekiem, ar kuriem noteiktā laika posmā izbeigtas </w:t>
      </w:r>
      <w:r w:rsidRPr="00B557E8">
        <w:rPr>
          <w:rFonts w:eastAsia="EUAlbertina-Bold-Identity-H"/>
          <w:color w:val="000000" w:themeColor="text1"/>
          <w:szCs w:val="24"/>
          <w:lang w:eastAsia="lv-LV"/>
        </w:rPr>
        <w:lastRenderedPageBreak/>
        <w:t xml:space="preserve">darba attiecības. Izpildot minēto MK </w:t>
      </w:r>
      <w:proofErr w:type="spellStart"/>
      <w:r w:rsidRPr="00B557E8">
        <w:rPr>
          <w:rFonts w:eastAsia="EUAlbertina-Bold-Identity-H"/>
          <w:color w:val="000000" w:themeColor="text1"/>
          <w:szCs w:val="24"/>
          <w:lang w:eastAsia="lv-LV"/>
        </w:rPr>
        <w:t>protokollēmumu</w:t>
      </w:r>
      <w:proofErr w:type="spellEnd"/>
      <w:r w:rsidRPr="00B557E8">
        <w:rPr>
          <w:rFonts w:eastAsia="EUAlbertina-Bold-Identity-H"/>
          <w:color w:val="000000" w:themeColor="text1"/>
          <w:szCs w:val="24"/>
          <w:lang w:eastAsia="lv-LV"/>
        </w:rPr>
        <w:t xml:space="preserve">, FM ir izstrādājusi un 2011.gada 28.septembrī nosūtījusi saskaņošanai </w:t>
      </w:r>
      <w:r w:rsidR="004F5DF1" w:rsidRPr="00B557E8">
        <w:rPr>
          <w:rFonts w:eastAsia="EUAlbertina-Bold-Identity-H"/>
          <w:color w:val="000000" w:themeColor="text1"/>
          <w:szCs w:val="24"/>
          <w:lang w:eastAsia="lv-LV"/>
        </w:rPr>
        <w:t>TM</w:t>
      </w:r>
      <w:r w:rsidRPr="00B557E8">
        <w:rPr>
          <w:rFonts w:eastAsia="EUAlbertina-Bold-Identity-H"/>
          <w:color w:val="000000" w:themeColor="text1"/>
          <w:szCs w:val="24"/>
          <w:lang w:eastAsia="lv-LV"/>
        </w:rPr>
        <w:t xml:space="preserve"> un Valsts kancelejai informatīvo ziņojumu par iespējamajiem problēmas risinājumiem un attiecīgiem grozījumiem normatīvajos aktos.</w:t>
      </w:r>
    </w:p>
    <w:p w:rsidR="00E34AAE" w:rsidRPr="00B557E8" w:rsidRDefault="00E34AA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Izstrādājot minēto informatīvo ziņojumu, FM secināja, ka tiešs aizliegums finansējuma saņēmēja esošajiem vai bijušajiem darbiniekiem un civildienesta ierēdņiem piedalīties finansējuma saņēmēja organizētajās iepirkuma procedūrās būtu nesamērīgs. Saskaņā ar likuma „Par interešu konflikta novēršanu valsts amatpersonu darbībā” 6.panta pirmo daļu, valsts amatpersonai ir atļauts savienot valsts amatpersonas amatu ar citu amatu, uzņēmuma līguma vai pilnvarojuma izpildi, ja šajā likumā vai citā normatīvajā aktā nav paredzēti valsts amatpersonas amata savienošanas ierobežojumi. Turklāt Eiropas Parlamenta un Padomes 2004.gada 31.marta direktīvas 2004/18/EK par to, kā koordinēt būvdarbu valsts līgumu, piegādes valsts līgumu un pakalpojumu valsts līgumu slēgšanas tiesību piešķiršanas procedūru (turpmāk – Direktīva 2004/18/EK), 45.pantā, kur noteiktas prasības attiecībā uz pretendentu personiskajiem datiem, nav iekļauts ne aizliegums piedalīties iepirkuma procedūrā pasūtītāja esošajiem vai bijušajiem darbiniekiem, ne arī pasūtītāja tiesības noraidīt pretendentu tikai tā iemesla dēļ, ka tas ir tā esošais vai bijušais darbinieks.</w:t>
      </w:r>
    </w:p>
    <w:p w:rsidR="00E34AAE" w:rsidRPr="00B557E8" w:rsidRDefault="00E34AAE" w:rsidP="00B557E8">
      <w:pPr>
        <w:spacing w:before="120" w:after="120" w:line="276" w:lineRule="auto"/>
        <w:rPr>
          <w:rStyle w:val="spelle"/>
          <w:color w:val="000000" w:themeColor="text1"/>
          <w:szCs w:val="24"/>
        </w:rPr>
      </w:pPr>
      <w:r w:rsidRPr="00B557E8">
        <w:rPr>
          <w:rFonts w:eastAsia="EUAlbertina-Bold-Identity-H"/>
          <w:color w:val="000000" w:themeColor="text1"/>
          <w:szCs w:val="24"/>
          <w:lang w:eastAsia="lv-LV"/>
        </w:rPr>
        <w:t>Ņemot vērā minētos secinājumus, informatīvajā ziņojumā piedāvāti šādi risinājumi</w:t>
      </w:r>
      <w:r w:rsidRPr="00B557E8">
        <w:rPr>
          <w:rStyle w:val="spelle"/>
          <w:color w:val="000000" w:themeColor="text1"/>
          <w:szCs w:val="24"/>
        </w:rPr>
        <w:t>:</w:t>
      </w:r>
    </w:p>
    <w:p w:rsidR="00E34AAE" w:rsidRPr="00B557E8" w:rsidRDefault="00E34AAE" w:rsidP="00B557E8">
      <w:pPr>
        <w:pStyle w:val="ListParagraph"/>
        <w:numPr>
          <w:ilvl w:val="0"/>
          <w:numId w:val="32"/>
        </w:numPr>
        <w:spacing w:before="120" w:after="120"/>
        <w:ind w:left="993" w:hanging="426"/>
        <w:jc w:val="both"/>
        <w:rPr>
          <w:rFonts w:ascii="Times New Roman" w:eastAsia="EUAlbertina-Bold-Identity-H" w:hAnsi="Times New Roman"/>
          <w:color w:val="000000" w:themeColor="text1"/>
          <w:sz w:val="24"/>
          <w:szCs w:val="24"/>
          <w:lang w:eastAsia="lv-LV"/>
        </w:rPr>
      </w:pPr>
      <w:r w:rsidRPr="00B557E8">
        <w:rPr>
          <w:rFonts w:ascii="Times New Roman" w:eastAsia="EUAlbertina-Bold-Identity-H" w:hAnsi="Times New Roman"/>
          <w:color w:val="000000" w:themeColor="text1"/>
          <w:sz w:val="24"/>
          <w:szCs w:val="24"/>
          <w:lang w:eastAsia="lv-LV"/>
        </w:rPr>
        <w:t>papildināt Publisko iepirkumu likuma 11.panta ceturto daļu un Sabiedrisko pakalpojumu likuma 15.panta piekto daļu, nosakot, ka nākamajos tā paša projekta vai attiecīgajā iepirkuma procedūrā nav tiesīgi piedalīties arī tie piegādātāji, kuru darbinieki vai piesaistītie speciālisti ir piedalījušies kādā no iepriekšējiem attiecīgā iepirkuma projekta posmiem vai iepirkuma procedūras dokumentu izstrādāšanā;</w:t>
      </w:r>
    </w:p>
    <w:p w:rsidR="00E34AAE" w:rsidRPr="00B557E8" w:rsidRDefault="00E34AAE" w:rsidP="00B557E8">
      <w:pPr>
        <w:pStyle w:val="ListParagraph"/>
        <w:numPr>
          <w:ilvl w:val="0"/>
          <w:numId w:val="32"/>
        </w:numPr>
        <w:spacing w:before="120" w:after="120"/>
        <w:ind w:left="993" w:hanging="426"/>
        <w:jc w:val="both"/>
        <w:rPr>
          <w:rFonts w:ascii="Times New Roman" w:eastAsia="EUAlbertina-Bold-Identity-H" w:hAnsi="Times New Roman"/>
          <w:color w:val="000000" w:themeColor="text1"/>
          <w:sz w:val="24"/>
          <w:szCs w:val="24"/>
          <w:lang w:eastAsia="lv-LV"/>
        </w:rPr>
      </w:pPr>
      <w:r w:rsidRPr="00B557E8">
        <w:rPr>
          <w:rFonts w:ascii="Times New Roman" w:eastAsia="EUAlbertina-Bold-Identity-H" w:hAnsi="Times New Roman"/>
          <w:color w:val="000000" w:themeColor="text1"/>
          <w:sz w:val="24"/>
          <w:szCs w:val="24"/>
          <w:lang w:eastAsia="lv-LV"/>
        </w:rPr>
        <w:t>iekļaut līgumos un vienošanās par projekta īstenošanu nosacījumus par interešu konfliktu un tā novēršanas pasākumiem projekta ietvaros;</w:t>
      </w:r>
    </w:p>
    <w:p w:rsidR="00E34AAE" w:rsidRPr="00B557E8" w:rsidRDefault="00E34AAE" w:rsidP="00B557E8">
      <w:pPr>
        <w:pStyle w:val="ListParagraph"/>
        <w:numPr>
          <w:ilvl w:val="0"/>
          <w:numId w:val="32"/>
        </w:numPr>
        <w:spacing w:before="120" w:after="120"/>
        <w:ind w:left="993" w:hanging="426"/>
        <w:jc w:val="both"/>
        <w:rPr>
          <w:rFonts w:ascii="Times New Roman" w:eastAsia="EUAlbertina-Bold-Identity-H" w:hAnsi="Times New Roman"/>
          <w:color w:val="000000" w:themeColor="text1"/>
          <w:sz w:val="24"/>
          <w:szCs w:val="24"/>
          <w:lang w:eastAsia="lv-LV"/>
        </w:rPr>
      </w:pPr>
      <w:r w:rsidRPr="00B557E8">
        <w:rPr>
          <w:rFonts w:ascii="Times New Roman" w:eastAsia="EUAlbertina-Bold-Identity-H" w:hAnsi="Times New Roman"/>
          <w:color w:val="000000" w:themeColor="text1"/>
          <w:sz w:val="24"/>
          <w:szCs w:val="24"/>
          <w:lang w:eastAsia="lv-LV"/>
        </w:rPr>
        <w:t>informēt finansējuma saņēmējus par nepieciešamību katrai iepirkuma procedūrai nodrošināt pietiekamu publicitāti un piedāvājumu iesniegšanas termiņu, neatkarīgu un objektīvu iepirkuma komisijas izveidi un darba laika uzskaiti pamatdarbā un paveikto darbu uzskaiti uzņēmuma līguma ietvaros.</w:t>
      </w:r>
    </w:p>
    <w:p w:rsidR="00CA04EA" w:rsidRPr="00B557E8" w:rsidRDefault="00E34AAE" w:rsidP="00B557E8">
      <w:pPr>
        <w:spacing w:before="120" w:after="120" w:line="276" w:lineRule="auto"/>
        <w:rPr>
          <w:b/>
          <w:bCs/>
          <w:color w:val="000000" w:themeColor="text1"/>
          <w:kern w:val="32"/>
          <w:szCs w:val="24"/>
          <w:lang w:eastAsia="x-none"/>
        </w:rPr>
      </w:pPr>
      <w:r w:rsidRPr="00B557E8">
        <w:rPr>
          <w:rFonts w:eastAsia="EUAlbertina-Bold-Identity-H"/>
          <w:color w:val="000000" w:themeColor="text1"/>
          <w:szCs w:val="24"/>
          <w:lang w:eastAsia="lv-LV"/>
        </w:rPr>
        <w:t xml:space="preserve">Plānots, ka informatīvais ziņojums tiks saskaņots ar </w:t>
      </w:r>
      <w:r w:rsidR="004F5DF1" w:rsidRPr="00B557E8">
        <w:rPr>
          <w:rFonts w:eastAsia="EUAlbertina-Bold-Identity-H"/>
          <w:color w:val="000000" w:themeColor="text1"/>
          <w:szCs w:val="24"/>
          <w:lang w:eastAsia="lv-LV"/>
        </w:rPr>
        <w:t>TM</w:t>
      </w:r>
      <w:r w:rsidRPr="00B557E8">
        <w:rPr>
          <w:rFonts w:eastAsia="EUAlbertina-Bold-Identity-H"/>
          <w:color w:val="000000" w:themeColor="text1"/>
          <w:szCs w:val="24"/>
          <w:lang w:eastAsia="lv-LV"/>
        </w:rPr>
        <w:t xml:space="preserve"> un Valsts kanceleju un iesniegts izskatīšanai MK līdz 2011.gada 31.oktobrim.</w:t>
      </w:r>
      <w:r w:rsidR="00CA04EA" w:rsidRPr="00B557E8">
        <w:rPr>
          <w:color w:val="000000" w:themeColor="text1"/>
          <w:szCs w:val="24"/>
        </w:rPr>
        <w:br w:type="page"/>
      </w:r>
    </w:p>
    <w:p w:rsidR="0005142E" w:rsidRPr="00B557E8" w:rsidRDefault="00472C1F" w:rsidP="00B557E8">
      <w:pPr>
        <w:pStyle w:val="1lmenis"/>
        <w:spacing w:before="120" w:after="120" w:line="276" w:lineRule="auto"/>
        <w:ind w:left="851"/>
        <w:rPr>
          <w:rFonts w:ascii="Times New Roman" w:hAnsi="Times New Roman"/>
          <w:color w:val="000000" w:themeColor="text1"/>
          <w:sz w:val="24"/>
          <w:szCs w:val="24"/>
          <w:lang w:val="lv-LV"/>
        </w:rPr>
      </w:pPr>
      <w:bookmarkStart w:id="50" w:name="_Toc308774246"/>
      <w:r w:rsidRPr="00B557E8">
        <w:rPr>
          <w:rFonts w:ascii="Times New Roman" w:hAnsi="Times New Roman"/>
          <w:color w:val="000000" w:themeColor="text1"/>
          <w:sz w:val="24"/>
          <w:szCs w:val="24"/>
          <w:lang w:val="lv-LV"/>
        </w:rPr>
        <w:lastRenderedPageBreak/>
        <w:t xml:space="preserve">Jaunais </w:t>
      </w:r>
      <w:r w:rsidR="008C7FDB" w:rsidRPr="00B557E8">
        <w:rPr>
          <w:rFonts w:ascii="Times New Roman" w:hAnsi="Times New Roman"/>
          <w:color w:val="000000" w:themeColor="text1"/>
          <w:sz w:val="24"/>
          <w:szCs w:val="24"/>
          <w:lang w:val="lv-LV"/>
        </w:rPr>
        <w:t xml:space="preserve">ES fondu 2014.-2020.gada </w:t>
      </w:r>
      <w:r w:rsidRPr="00B557E8">
        <w:rPr>
          <w:rFonts w:ascii="Times New Roman" w:hAnsi="Times New Roman"/>
          <w:color w:val="000000" w:themeColor="text1"/>
          <w:sz w:val="24"/>
          <w:szCs w:val="24"/>
          <w:lang w:val="lv-LV"/>
        </w:rPr>
        <w:t>plānošanas periods</w:t>
      </w:r>
      <w:bookmarkEnd w:id="50"/>
    </w:p>
    <w:p w:rsidR="00490CE1" w:rsidRPr="00B557E8" w:rsidRDefault="00490CE1"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FM turpina aktīvi gatavoties nākošajam plānošanas periodam, formulējot un pārstāvot Latvijas intereses Kohēzijas politikai pēc 2013.gada. Trešajā ceturksnī Latvijas intereses Eiropas līmenī ir tikušas prezentētas Trīs Baltijas valstu sanāksmē Igaunijā, kā arī divpusējās tikšanās, tiekoties ar EK un Vācijas vēstniecības pārstāvjiem, kā arī piedaloties divpusējās konsultācijās par ES daudzgadu budžetu (Vācijā, Dānijā, Francijā, Nīderlandē, Zvied</w:t>
      </w:r>
      <w:r w:rsidR="00071BBA" w:rsidRPr="00B557E8">
        <w:rPr>
          <w:rFonts w:eastAsia="EUAlbertina-Bold-Identity-H"/>
          <w:color w:val="000000" w:themeColor="text1"/>
          <w:szCs w:val="24"/>
          <w:lang w:eastAsia="lv-LV"/>
        </w:rPr>
        <w:t xml:space="preserve">rijā un Apvienotajā </w:t>
      </w:r>
      <w:proofErr w:type="spellStart"/>
      <w:r w:rsidR="00071BBA" w:rsidRPr="00B557E8">
        <w:rPr>
          <w:rFonts w:eastAsia="EUAlbertina-Bold-Identity-H"/>
          <w:color w:val="000000" w:themeColor="text1"/>
          <w:szCs w:val="24"/>
          <w:lang w:eastAsia="lv-LV"/>
        </w:rPr>
        <w:t>Karalistē).</w:t>
      </w:r>
      <w:r w:rsidRPr="00B557E8">
        <w:rPr>
          <w:rFonts w:eastAsia="EUAlbertina-Bold-Identity-H"/>
          <w:color w:val="000000" w:themeColor="text1"/>
          <w:szCs w:val="24"/>
          <w:lang w:eastAsia="lv-LV"/>
        </w:rPr>
        <w:t> Latvijas</w:t>
      </w:r>
      <w:proofErr w:type="spellEnd"/>
      <w:r w:rsidRPr="00B557E8">
        <w:rPr>
          <w:rFonts w:eastAsia="EUAlbertina-Bold-Identity-H"/>
          <w:color w:val="000000" w:themeColor="text1"/>
          <w:szCs w:val="24"/>
          <w:lang w:eastAsia="lv-LV"/>
        </w:rPr>
        <w:t xml:space="preserve"> līmenī ir notikušas vairākas tikšanās ar sociālajiem partneriem, pašvaldībām un nevalstiskajām organizācijām.</w:t>
      </w:r>
    </w:p>
    <w:p w:rsidR="00490CE1" w:rsidRPr="00B557E8" w:rsidRDefault="00490CE1" w:rsidP="00B557E8">
      <w:pPr>
        <w:spacing w:before="120" w:after="120" w:line="276" w:lineRule="auto"/>
        <w:rPr>
          <w:rFonts w:eastAsia="EUAlbertina-Bold-Identity-H"/>
          <w:color w:val="000000" w:themeColor="text1"/>
          <w:szCs w:val="24"/>
          <w:lang w:eastAsia="lv-LV"/>
        </w:rPr>
      </w:pPr>
      <w:proofErr w:type="spellStart"/>
      <w:r w:rsidRPr="00B557E8">
        <w:rPr>
          <w:rFonts w:eastAsia="EUAlbertina-Bold-Identity-H"/>
          <w:color w:val="000000" w:themeColor="text1"/>
          <w:szCs w:val="24"/>
          <w:lang w:eastAsia="lv-LV"/>
        </w:rPr>
        <w:t>Š.g</w:t>
      </w:r>
      <w:proofErr w:type="spellEnd"/>
      <w:r w:rsidRPr="00B557E8">
        <w:rPr>
          <w:rFonts w:eastAsia="EUAlbertina-Bold-Identity-H"/>
          <w:color w:val="000000" w:themeColor="text1"/>
          <w:szCs w:val="24"/>
          <w:lang w:eastAsia="lv-LV"/>
        </w:rPr>
        <w:t xml:space="preserve">. 30. jūnijā EK publicēja priekšlikumu nākošajai finanšu perspektīvai, kas paredz negatīvu ietekmi uz Latvijas kohēzijas politikas aploksni finansējuma absorbcijas griestu 2,5% no </w:t>
      </w:r>
      <w:r w:rsidR="00572252" w:rsidRPr="00B557E8">
        <w:rPr>
          <w:rFonts w:eastAsia="EUAlbertina-Bold-Identity-H"/>
          <w:color w:val="000000" w:themeColor="text1"/>
          <w:szCs w:val="24"/>
          <w:lang w:eastAsia="lv-LV"/>
        </w:rPr>
        <w:t>i</w:t>
      </w:r>
      <w:r w:rsidRPr="00B557E8">
        <w:rPr>
          <w:rFonts w:eastAsia="EUAlbertina-Bold-Identity-H"/>
          <w:color w:val="000000" w:themeColor="text1"/>
          <w:szCs w:val="24"/>
          <w:lang w:eastAsia="lv-LV"/>
        </w:rPr>
        <w:t xml:space="preserve">ekšzemes kopprodukta ieviešanas dēļ. </w:t>
      </w:r>
      <w:proofErr w:type="spellStart"/>
      <w:r w:rsidRPr="00B557E8">
        <w:rPr>
          <w:rFonts w:eastAsia="EUAlbertina-Bold-Identity-H"/>
          <w:color w:val="000000" w:themeColor="text1"/>
          <w:szCs w:val="24"/>
          <w:lang w:eastAsia="lv-LV"/>
        </w:rPr>
        <w:t>Š.g</w:t>
      </w:r>
      <w:proofErr w:type="spellEnd"/>
      <w:r w:rsidRPr="00B557E8">
        <w:rPr>
          <w:rFonts w:eastAsia="EUAlbertina-Bold-Identity-H"/>
          <w:color w:val="000000" w:themeColor="text1"/>
          <w:szCs w:val="24"/>
          <w:lang w:eastAsia="lv-LV"/>
        </w:rPr>
        <w:t xml:space="preserve">. 27.jūlija </w:t>
      </w:r>
      <w:r w:rsidR="00572252" w:rsidRPr="00B557E8">
        <w:rPr>
          <w:rFonts w:eastAsia="EUAlbertina-Bold-Identity-H"/>
          <w:color w:val="000000" w:themeColor="text1"/>
          <w:szCs w:val="24"/>
          <w:lang w:eastAsia="lv-LV"/>
        </w:rPr>
        <w:t>MK</w:t>
      </w:r>
      <w:r w:rsidRPr="00B557E8">
        <w:rPr>
          <w:rFonts w:eastAsia="EUAlbertina-Bold-Identity-H"/>
          <w:color w:val="000000" w:themeColor="text1"/>
          <w:szCs w:val="24"/>
          <w:lang w:eastAsia="lv-LV"/>
        </w:rPr>
        <w:t xml:space="preserve"> ir apstiprināta Latvijas Republikas pozīcija Nr.1. Par E</w:t>
      </w:r>
      <w:r w:rsidR="00572252" w:rsidRPr="00B557E8">
        <w:rPr>
          <w:rFonts w:eastAsia="EUAlbertina-Bold-Identity-H"/>
          <w:color w:val="000000" w:themeColor="text1"/>
          <w:szCs w:val="24"/>
          <w:lang w:eastAsia="lv-LV"/>
        </w:rPr>
        <w:t>S daudzgadu budžetu 2014.-2020.</w:t>
      </w:r>
      <w:r w:rsidRPr="00B557E8">
        <w:rPr>
          <w:rFonts w:eastAsia="EUAlbertina-Bold-Identity-H"/>
          <w:color w:val="000000" w:themeColor="text1"/>
          <w:szCs w:val="24"/>
          <w:lang w:eastAsia="lv-LV"/>
        </w:rPr>
        <w:t>gadam, kas iebilst pret EK priekšlikuma Latvijai nelabvēlīgajiem priekšlikumiem, tajā skaitā attiecībā uz Kohēzijas politikas finansējuma sadalījumu, un argumentēti pamato Latvijas intereses.</w:t>
      </w:r>
    </w:p>
    <w:p w:rsidR="00490CE1" w:rsidRPr="00B557E8" w:rsidRDefault="00490CE1" w:rsidP="00B557E8">
      <w:pPr>
        <w:spacing w:before="120" w:after="120" w:line="276" w:lineRule="auto"/>
        <w:rPr>
          <w:rFonts w:eastAsia="EUAlbertina-Bold-Identity-H"/>
          <w:color w:val="000000" w:themeColor="text1"/>
          <w:szCs w:val="24"/>
          <w:lang w:eastAsia="lv-LV"/>
        </w:rPr>
      </w:pPr>
      <w:proofErr w:type="spellStart"/>
      <w:r w:rsidRPr="00B557E8">
        <w:rPr>
          <w:rFonts w:eastAsia="EUAlbertina-Bold-Identity-H"/>
          <w:color w:val="000000" w:themeColor="text1"/>
          <w:szCs w:val="24"/>
          <w:lang w:eastAsia="lv-LV"/>
        </w:rPr>
        <w:t>Š.g</w:t>
      </w:r>
      <w:proofErr w:type="spellEnd"/>
      <w:r w:rsidRPr="00B557E8">
        <w:rPr>
          <w:rFonts w:eastAsia="EUAlbertina-Bold-Identity-H"/>
          <w:color w:val="000000" w:themeColor="text1"/>
          <w:szCs w:val="24"/>
          <w:lang w:eastAsia="lv-LV"/>
        </w:rPr>
        <w:t xml:space="preserve">. 6. oktobrī EK ir publicējusi ES fondu regulu priekšlikumus 2014.-2020.gada plānošanas periodam, nosakot finansējuma sadalījumu Kohēzijas politikas mērķiem, principus dalībvalstīm, </w:t>
      </w:r>
      <w:proofErr w:type="spellStart"/>
      <w:r w:rsidRPr="00B557E8">
        <w:rPr>
          <w:rFonts w:eastAsia="EUAlbertina-Bold-Identity-H"/>
          <w:color w:val="000000" w:themeColor="text1"/>
          <w:szCs w:val="24"/>
          <w:lang w:eastAsia="lv-LV"/>
        </w:rPr>
        <w:t>t.sk</w:t>
      </w:r>
      <w:proofErr w:type="spellEnd"/>
      <w:r w:rsidRPr="00B557E8">
        <w:rPr>
          <w:rFonts w:eastAsia="EUAlbertina-Bold-Identity-H"/>
          <w:color w:val="000000" w:themeColor="text1"/>
          <w:szCs w:val="24"/>
          <w:lang w:eastAsia="lv-LV"/>
        </w:rPr>
        <w:t xml:space="preserve">. Latvijai, pieejamā finansējuma apjoma noteikšanai, iespējamās atbalsta jomas, kā arī ES fondu vadības un ieviešanas jautājumus periodam pēc 2013.gada. FM ir sagatavojusi laika grafiku darbam ar Kohēzijas politikas nākotnes jautājumiem, saskaņā ar kuru nākamajā ceturksnī plānots aktīvi risināt Latvijai svarīgos jautājumus Kohēzijas politikas ietvaros. Tiks sagatavotas sākotnējās pozīcijas par regulu priekšlikumiem un  Latvijas nostāja tiks pausta Neformālajā ministru sanāksmē, kas norisināsies </w:t>
      </w:r>
      <w:proofErr w:type="spellStart"/>
      <w:r w:rsidRPr="00B557E8">
        <w:rPr>
          <w:rFonts w:eastAsia="EUAlbertina-Bold-Identity-H"/>
          <w:color w:val="000000" w:themeColor="text1"/>
          <w:szCs w:val="24"/>
          <w:lang w:eastAsia="lv-LV"/>
        </w:rPr>
        <w:t>š.g</w:t>
      </w:r>
      <w:proofErr w:type="spellEnd"/>
      <w:r w:rsidRPr="00B557E8">
        <w:rPr>
          <w:rFonts w:eastAsia="EUAlbertina-Bold-Identity-H"/>
          <w:color w:val="000000" w:themeColor="text1"/>
          <w:szCs w:val="24"/>
          <w:lang w:eastAsia="lv-LV"/>
        </w:rPr>
        <w:t xml:space="preserve">. 24. – 25.novembrī, Polijā. Sākotnējo pozīciju sagatavošanā tiks iesaistītas nozaru ministrijas, sociālie partneri, organizējot sanāksmes un saskaņošanas procedūras, kā arī visi interesenti, organizējot publisko apspriedi. </w:t>
      </w:r>
    </w:p>
    <w:p w:rsidR="00490CE1" w:rsidRPr="00B557E8" w:rsidRDefault="00490CE1"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Papildus FM nākamajā ceturksnī veiks neatkarīgu </w:t>
      </w:r>
      <w:proofErr w:type="spellStart"/>
      <w:r w:rsidRPr="00B557E8">
        <w:rPr>
          <w:rFonts w:eastAsia="EUAlbertina-Bold-Identity-H"/>
          <w:color w:val="000000" w:themeColor="text1"/>
          <w:szCs w:val="24"/>
          <w:lang w:eastAsia="lv-LV"/>
        </w:rPr>
        <w:t>priekšizpēti</w:t>
      </w:r>
      <w:proofErr w:type="spellEnd"/>
      <w:r w:rsidRPr="00B557E8">
        <w:rPr>
          <w:rFonts w:eastAsia="EUAlbertina-Bold-Identity-H"/>
          <w:color w:val="000000" w:themeColor="text1"/>
          <w:szCs w:val="24"/>
          <w:lang w:eastAsia="lv-LV"/>
        </w:rPr>
        <w:t xml:space="preserve"> par kohēzijas politikas atbalstāmajām jomām Latvijā pēc 2013.gada, nodrošinot fokusētas politikas ieviešanu. Šīs </w:t>
      </w:r>
      <w:proofErr w:type="spellStart"/>
      <w:r w:rsidRPr="00B557E8">
        <w:rPr>
          <w:rFonts w:eastAsia="EUAlbertina-Bold-Identity-H"/>
          <w:color w:val="000000" w:themeColor="text1"/>
          <w:szCs w:val="24"/>
          <w:lang w:eastAsia="lv-LV"/>
        </w:rPr>
        <w:t>priekšizpētes</w:t>
      </w:r>
      <w:proofErr w:type="spellEnd"/>
      <w:r w:rsidRPr="00B557E8">
        <w:rPr>
          <w:rFonts w:eastAsia="EUAlbertina-Bold-Identity-H"/>
          <w:color w:val="000000" w:themeColor="text1"/>
          <w:szCs w:val="24"/>
          <w:lang w:eastAsia="lv-LV"/>
        </w:rPr>
        <w:t xml:space="preserve"> ietvaros </w:t>
      </w:r>
      <w:proofErr w:type="spellStart"/>
      <w:r w:rsidRPr="00B557E8">
        <w:rPr>
          <w:rFonts w:eastAsia="EUAlbertina-Bold-Identity-H"/>
          <w:color w:val="000000" w:themeColor="text1"/>
          <w:szCs w:val="24"/>
          <w:lang w:eastAsia="lv-LV"/>
        </w:rPr>
        <w:t>š.g</w:t>
      </w:r>
      <w:proofErr w:type="spellEnd"/>
      <w:r w:rsidRPr="00B557E8">
        <w:rPr>
          <w:rFonts w:eastAsia="EUAlbertina-Bold-Identity-H"/>
          <w:color w:val="000000" w:themeColor="text1"/>
          <w:szCs w:val="24"/>
          <w:lang w:eastAsia="lv-LV"/>
        </w:rPr>
        <w:t>. oktobra beigās un novembr</w:t>
      </w:r>
      <w:r w:rsidR="00CD3C2F" w:rsidRPr="00B557E8">
        <w:rPr>
          <w:rFonts w:eastAsia="EUAlbertina-Bold-Identity-H"/>
          <w:color w:val="000000" w:themeColor="text1"/>
          <w:szCs w:val="24"/>
          <w:lang w:eastAsia="lv-LV"/>
        </w:rPr>
        <w:t>ī</w:t>
      </w:r>
      <w:r w:rsidRPr="00B557E8">
        <w:rPr>
          <w:rFonts w:eastAsia="EUAlbertina-Bold-Identity-H"/>
          <w:color w:val="000000" w:themeColor="text1"/>
          <w:szCs w:val="24"/>
          <w:lang w:eastAsia="lv-LV"/>
        </w:rPr>
        <w:t xml:space="preserve"> tiks organizētas diskusijas Latvijas plānošanas reģionos, lai diskutētu </w:t>
      </w:r>
      <w:proofErr w:type="spellStart"/>
      <w:r w:rsidRPr="00B557E8">
        <w:rPr>
          <w:rFonts w:eastAsia="EUAlbertina-Bold-Identity-H"/>
          <w:color w:val="000000" w:themeColor="text1"/>
          <w:szCs w:val="24"/>
          <w:lang w:eastAsia="lv-LV"/>
        </w:rPr>
        <w:t>priekšizpētes</w:t>
      </w:r>
      <w:proofErr w:type="spellEnd"/>
      <w:r w:rsidRPr="00B557E8">
        <w:rPr>
          <w:rFonts w:eastAsia="EUAlbertina-Bold-Identity-H"/>
          <w:color w:val="000000" w:themeColor="text1"/>
          <w:szCs w:val="24"/>
          <w:lang w:eastAsia="lv-LV"/>
        </w:rPr>
        <w:t xml:space="preserve"> sākotnējos rezultātus.</w:t>
      </w:r>
    </w:p>
    <w:p w:rsidR="00FE180D" w:rsidRPr="00B557E8" w:rsidRDefault="00B14E76" w:rsidP="00B557E8">
      <w:pPr>
        <w:pStyle w:val="1lmenis"/>
        <w:spacing w:before="120" w:after="120" w:line="276" w:lineRule="auto"/>
        <w:ind w:left="851"/>
        <w:rPr>
          <w:rFonts w:ascii="Times New Roman" w:hAnsi="Times New Roman"/>
          <w:color w:val="000000" w:themeColor="text1"/>
          <w:sz w:val="24"/>
          <w:szCs w:val="24"/>
          <w:lang w:val="lv-LV"/>
        </w:rPr>
      </w:pPr>
      <w:r w:rsidRPr="00B557E8">
        <w:rPr>
          <w:rFonts w:ascii="Times New Roman" w:eastAsia="EUAlbertina-Bold-Identity-H" w:hAnsi="Times New Roman"/>
          <w:color w:val="000000" w:themeColor="text1"/>
          <w:sz w:val="24"/>
          <w:szCs w:val="24"/>
          <w:lang w:val="lv-LV" w:eastAsia="lv-LV"/>
        </w:rPr>
        <w:br w:type="page"/>
      </w:r>
      <w:bookmarkStart w:id="51" w:name="_Toc308774247"/>
      <w:r w:rsidR="00421725" w:rsidRPr="00B557E8">
        <w:rPr>
          <w:rFonts w:ascii="Times New Roman" w:hAnsi="Times New Roman"/>
          <w:color w:val="000000" w:themeColor="text1"/>
          <w:sz w:val="24"/>
          <w:szCs w:val="24"/>
          <w:lang w:val="lv-LV"/>
        </w:rPr>
        <w:lastRenderedPageBreak/>
        <w:t>Secinājumi un turpmākā rīcība</w:t>
      </w:r>
      <w:bookmarkEnd w:id="49"/>
      <w:bookmarkEnd w:id="51"/>
    </w:p>
    <w:p w:rsidR="006526CD" w:rsidRPr="00B557E8" w:rsidRDefault="00A1555C" w:rsidP="00B557E8">
      <w:pPr>
        <w:spacing w:before="120" w:after="120" w:line="276" w:lineRule="auto"/>
        <w:rPr>
          <w:color w:val="000000" w:themeColor="text1"/>
          <w:szCs w:val="24"/>
        </w:rPr>
      </w:pPr>
      <w:r w:rsidRPr="00B557E8">
        <w:rPr>
          <w:rFonts w:eastAsia="EUAlbertina-Bold-Identity-H"/>
          <w:color w:val="000000" w:themeColor="text1"/>
          <w:szCs w:val="24"/>
          <w:lang w:eastAsia="lv-LV"/>
        </w:rPr>
        <w:t>Kopumā</w:t>
      </w:r>
      <w:r w:rsidR="00364379" w:rsidRPr="00B557E8">
        <w:rPr>
          <w:rFonts w:eastAsia="EUAlbertina-Bold-Identity-H"/>
          <w:color w:val="000000" w:themeColor="text1"/>
          <w:szCs w:val="24"/>
          <w:lang w:eastAsia="lv-LV"/>
        </w:rPr>
        <w:t xml:space="preserve"> fondu apguve </w:t>
      </w:r>
      <w:proofErr w:type="spellStart"/>
      <w:r w:rsidR="00364379" w:rsidRPr="00B557E8">
        <w:rPr>
          <w:rFonts w:eastAsia="EUAlbertina-Bold-Identity-H"/>
          <w:color w:val="000000" w:themeColor="text1"/>
          <w:szCs w:val="24"/>
          <w:lang w:eastAsia="lv-LV"/>
        </w:rPr>
        <w:t>š.g</w:t>
      </w:r>
      <w:proofErr w:type="spellEnd"/>
      <w:r w:rsidR="00364379" w:rsidRPr="00B557E8">
        <w:rPr>
          <w:rFonts w:eastAsia="EUAlbertina-Bold-Identity-H"/>
          <w:color w:val="000000" w:themeColor="text1"/>
          <w:szCs w:val="24"/>
          <w:lang w:eastAsia="lv-LV"/>
        </w:rPr>
        <w:t xml:space="preserve">. trešajā ceturksnī notikusi ievērojami lēnāk nekā plānots un maksājumi finansējuma saņēmējiem veikti par 73% no ceturksnī plānotā. Tas nozīmē, ka atlikušajā laikā līdz gada beigām vēl jāveic maksājumi no ES fondiem par ~ 263,8 </w:t>
      </w:r>
      <w:proofErr w:type="spellStart"/>
      <w:r w:rsidR="00364379" w:rsidRPr="00B557E8">
        <w:rPr>
          <w:rFonts w:eastAsia="EUAlbertina-Bold-Identity-H"/>
          <w:color w:val="000000" w:themeColor="text1"/>
          <w:szCs w:val="24"/>
          <w:lang w:eastAsia="lv-LV"/>
        </w:rPr>
        <w:t>milj</w:t>
      </w:r>
      <w:proofErr w:type="spellEnd"/>
      <w:r w:rsidR="00364379" w:rsidRPr="00B557E8">
        <w:rPr>
          <w:rFonts w:eastAsia="EUAlbertina-Bold-Identity-H"/>
          <w:color w:val="000000" w:themeColor="text1"/>
          <w:szCs w:val="24"/>
          <w:lang w:eastAsia="lv-LV"/>
        </w:rPr>
        <w:t xml:space="preserve">. latu (jeb 52% no šajā gadā kopumā plānotā maksājumu apjoma). Jau šobrīd no </w:t>
      </w:r>
      <w:r w:rsidR="00364379" w:rsidRPr="00B557E8">
        <w:rPr>
          <w:color w:val="000000" w:themeColor="text1"/>
          <w:szCs w:val="24"/>
        </w:rPr>
        <w:t xml:space="preserve">starpniekinstitūcijām ir saņemtas indikācijas, ka gada noteiktais mērķis var netikt izpildīts par aptuveni 2 – 5 %. </w:t>
      </w:r>
      <w:r w:rsidR="00364379" w:rsidRPr="00B557E8">
        <w:rPr>
          <w:rFonts w:eastAsia="EUAlbertina-Bold-Identity-H"/>
          <w:color w:val="000000" w:themeColor="text1"/>
          <w:szCs w:val="24"/>
          <w:lang w:eastAsia="lv-LV"/>
        </w:rPr>
        <w:t xml:space="preserve">Vissmagnējāk ar finansējuma apguvi sokas infrastruktūras projektos, kas pamatā skaidrojams ar vēl joprojām pastāvošajiem problēmām iepirkumu procesā, kā arī būtisku cenu sadārdzinājumu, kas aktualizējies </w:t>
      </w:r>
      <w:proofErr w:type="spellStart"/>
      <w:r w:rsidR="00364379" w:rsidRPr="00B557E8">
        <w:rPr>
          <w:rFonts w:eastAsia="EUAlbertina-Bold-Identity-H"/>
          <w:color w:val="000000" w:themeColor="text1"/>
          <w:szCs w:val="24"/>
          <w:lang w:eastAsia="lv-LV"/>
        </w:rPr>
        <w:t>š.g</w:t>
      </w:r>
      <w:proofErr w:type="spellEnd"/>
      <w:r w:rsidR="00364379" w:rsidRPr="00B557E8">
        <w:rPr>
          <w:rFonts w:eastAsia="EUAlbertina-Bold-Identity-H"/>
          <w:color w:val="000000" w:themeColor="text1"/>
          <w:szCs w:val="24"/>
          <w:lang w:eastAsia="lv-LV"/>
        </w:rPr>
        <w:t>. pirmajā pusē. Tāpat vēl joprojām lēna ir inovācijām un zinātniskajai infrastruktūrai paredzētā finansējuma apguve, kā arī EIF pārvaldīto ieguldījumu fonda un aizdevumu programmas darbība.</w:t>
      </w:r>
      <w:r w:rsidR="006526CD" w:rsidRPr="00B557E8">
        <w:rPr>
          <w:rFonts w:eastAsia="EUAlbertina-Bold-Identity-H"/>
          <w:color w:val="000000" w:themeColor="text1"/>
          <w:szCs w:val="24"/>
          <w:lang w:eastAsia="lv-LV"/>
        </w:rPr>
        <w:t xml:space="preserve"> </w:t>
      </w:r>
      <w:r w:rsidR="006526CD" w:rsidRPr="00B557E8">
        <w:rPr>
          <w:color w:val="000000" w:themeColor="text1"/>
          <w:szCs w:val="24"/>
        </w:rPr>
        <w:t xml:space="preserve">Tajā pašā laikā jāpiemin, ka Latvija vēl joprojām ir viena no līderēm fondu apguvē starp visām ES jaunajām dalībvalstīm. </w:t>
      </w:r>
    </w:p>
    <w:p w:rsidR="00364379" w:rsidRPr="00B557E8" w:rsidRDefault="00255D72" w:rsidP="00B557E8">
      <w:pPr>
        <w:spacing w:before="120" w:after="120" w:line="276" w:lineRule="auto"/>
        <w:rPr>
          <w:color w:val="000000" w:themeColor="text1"/>
          <w:szCs w:val="24"/>
        </w:rPr>
      </w:pPr>
      <w:r w:rsidRPr="00B557E8">
        <w:rPr>
          <w:rFonts w:eastAsia="EUAlbertina-Bold-Identity-H"/>
          <w:color w:val="000000" w:themeColor="text1"/>
          <w:szCs w:val="24"/>
          <w:lang w:eastAsia="lv-LV"/>
        </w:rPr>
        <w:t xml:space="preserve">Ņemot vērā situāciju tautsaimniecībā, </w:t>
      </w:r>
      <w:r w:rsidR="00364379" w:rsidRPr="00B557E8">
        <w:rPr>
          <w:rFonts w:eastAsia="EUAlbertina-Bold-Identity-H"/>
          <w:color w:val="000000" w:themeColor="text1"/>
          <w:szCs w:val="24"/>
          <w:lang w:eastAsia="lv-LV"/>
        </w:rPr>
        <w:t xml:space="preserve">2011.gads ir ticis plānots, kā viens no aktīvākajiem ES fondu apguves gadiem šajā plānošanas periodā un budžetā ES fondiem atvēlētais finansējums 648 </w:t>
      </w:r>
      <w:proofErr w:type="spellStart"/>
      <w:r w:rsidR="00364379" w:rsidRPr="00B557E8">
        <w:rPr>
          <w:rFonts w:eastAsia="EUAlbertina-Bold-Identity-H"/>
          <w:color w:val="000000" w:themeColor="text1"/>
          <w:szCs w:val="24"/>
          <w:lang w:eastAsia="lv-LV"/>
        </w:rPr>
        <w:t>milj</w:t>
      </w:r>
      <w:proofErr w:type="spellEnd"/>
      <w:r w:rsidR="00364379" w:rsidRPr="00B557E8">
        <w:rPr>
          <w:rFonts w:eastAsia="EUAlbertina-Bold-Identity-H"/>
          <w:color w:val="000000" w:themeColor="text1"/>
          <w:szCs w:val="24"/>
          <w:lang w:eastAsia="lv-LV"/>
        </w:rPr>
        <w:t>. latu ir lielāks nekā</w:t>
      </w:r>
      <w:r w:rsidRPr="00B557E8">
        <w:rPr>
          <w:rFonts w:eastAsia="EUAlbertina-Bold-Identity-H"/>
          <w:color w:val="000000" w:themeColor="text1"/>
          <w:szCs w:val="24"/>
          <w:lang w:eastAsia="lv-LV"/>
        </w:rPr>
        <w:t xml:space="preserve"> vidēji</w:t>
      </w:r>
      <w:r w:rsidR="00364379" w:rsidRPr="00B557E8">
        <w:rPr>
          <w:rFonts w:eastAsia="EUAlbertina-Bold-Identity-H"/>
          <w:color w:val="000000" w:themeColor="text1"/>
          <w:szCs w:val="24"/>
          <w:lang w:eastAsia="lv-LV"/>
        </w:rPr>
        <w:t xml:space="preserve"> iepriekšējos </w:t>
      </w:r>
      <w:r w:rsidRPr="00B557E8">
        <w:rPr>
          <w:rFonts w:eastAsia="EUAlbertina-Bold-Identity-H"/>
          <w:color w:val="000000" w:themeColor="text1"/>
          <w:szCs w:val="24"/>
          <w:lang w:eastAsia="lv-LV"/>
        </w:rPr>
        <w:t xml:space="preserve">vai, kā plānots, turpmākajos dažos </w:t>
      </w:r>
      <w:r w:rsidR="00364379" w:rsidRPr="00B557E8">
        <w:rPr>
          <w:rFonts w:eastAsia="EUAlbertina-Bold-Identity-H"/>
          <w:color w:val="000000" w:themeColor="text1"/>
          <w:szCs w:val="24"/>
          <w:lang w:eastAsia="lv-LV"/>
        </w:rPr>
        <w:t xml:space="preserve">gados. </w:t>
      </w:r>
      <w:r w:rsidRPr="00B557E8">
        <w:rPr>
          <w:color w:val="000000" w:themeColor="text1"/>
          <w:szCs w:val="24"/>
        </w:rPr>
        <w:t>T</w:t>
      </w:r>
      <w:r w:rsidR="00364379" w:rsidRPr="00B557E8">
        <w:rPr>
          <w:color w:val="000000" w:themeColor="text1"/>
          <w:szCs w:val="24"/>
        </w:rPr>
        <w:t>ādēļ īpaši svarīgi ir izmantot pilnā apmērā šī gada budžeta sniegtās iespējas. Tomēr jau šobrīd secināms, ka nodrošināt pilnvērtīgu pieejamā gada budžeta finansējuma apguvi 2007.-2013.g. ES fondu projek</w:t>
      </w:r>
      <w:r w:rsidRPr="00B557E8">
        <w:rPr>
          <w:color w:val="000000" w:themeColor="text1"/>
          <w:szCs w:val="24"/>
        </w:rPr>
        <w:t>tos ir maz iespējams</w:t>
      </w:r>
      <w:r w:rsidR="00103773" w:rsidRPr="00B557E8">
        <w:rPr>
          <w:color w:val="000000" w:themeColor="text1"/>
          <w:szCs w:val="24"/>
        </w:rPr>
        <w:t xml:space="preserve">,  neizlietoti varētu palikt apmēram </w:t>
      </w:r>
      <w:r w:rsidR="00A13801" w:rsidRPr="00B557E8">
        <w:rPr>
          <w:color w:val="000000" w:themeColor="text1"/>
          <w:szCs w:val="24"/>
        </w:rPr>
        <w:t>6</w:t>
      </w:r>
      <w:r w:rsidR="00827767" w:rsidRPr="00B557E8">
        <w:rPr>
          <w:color w:val="000000" w:themeColor="text1"/>
          <w:szCs w:val="24"/>
        </w:rPr>
        <w:t>2</w:t>
      </w:r>
      <w:r w:rsidR="00103773" w:rsidRPr="00B557E8">
        <w:rPr>
          <w:color w:val="000000" w:themeColor="text1"/>
          <w:szCs w:val="24"/>
        </w:rPr>
        <w:t xml:space="preserve"> </w:t>
      </w:r>
      <w:proofErr w:type="spellStart"/>
      <w:r w:rsidR="00103773" w:rsidRPr="00B557E8">
        <w:rPr>
          <w:color w:val="000000" w:themeColor="text1"/>
          <w:szCs w:val="24"/>
        </w:rPr>
        <w:t>milj</w:t>
      </w:r>
      <w:proofErr w:type="spellEnd"/>
      <w:r w:rsidR="00103773" w:rsidRPr="00B557E8">
        <w:rPr>
          <w:color w:val="000000" w:themeColor="text1"/>
          <w:szCs w:val="24"/>
        </w:rPr>
        <w:t>. latu. Šobrīd lielākā finanšu apguves plānu neizpilde vērojama transporta jomā. Finanšu apguves plānu neizpildes galvenokārt saistītas ar problēmām iepirkumos un to pārsūdzībām.</w:t>
      </w:r>
    </w:p>
    <w:p w:rsidR="006526CD" w:rsidRPr="00B557E8" w:rsidRDefault="006526CD"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Ņemot vērā lielo maksājumu apjomu, ko paredzēts veikt gada atlikušajos mēnešos, ir būtiski nodrošināt ne tikai atbilstošu finanšu apguves disciplīnu, bet arī to, ka saspringtajos darba apstākļos no fondu vadībā iesaistīto iestāžu puses tiek saglabāta atbilstoša uzraudzības un kontroles kvalitāte un nepieaug risks neefektīvi un neatbilstoši izlietot ES fondu līdzekļus.</w:t>
      </w:r>
    </w:p>
    <w:p w:rsidR="007B38A6" w:rsidRPr="00B557E8" w:rsidRDefault="007B38A6" w:rsidP="00B557E8">
      <w:pPr>
        <w:spacing w:before="120" w:after="120" w:line="276" w:lineRule="auto"/>
        <w:rPr>
          <w:rFonts w:eastAsia="EUAlbertina-Bold-Identity-H"/>
          <w:color w:val="000000" w:themeColor="text1"/>
          <w:szCs w:val="24"/>
          <w:lang w:eastAsia="lv-LV"/>
        </w:rPr>
      </w:pPr>
      <w:r w:rsidRPr="00B557E8">
        <w:rPr>
          <w:color w:val="000000" w:themeColor="text1"/>
          <w:szCs w:val="24"/>
        </w:rPr>
        <w:t>Lai sekmētu ES fondu apguvi un noteikto plānu izpildes, kā arī lai nelabvēlīga iznākuma gadījumā nezaudētu ES fondu finansējumu un nepieciešamības gadījumā to izmantotu citu aktivitāšu īstenošanai, svarīgi ir iespējami ātri pieņemt lēmumu par turpmāku rīcību par iekavētajiem lielajiem projektiem piešķirto apjomīgo ES fondu finansējumu.</w:t>
      </w:r>
    </w:p>
    <w:p w:rsidR="00364379" w:rsidRPr="00B557E8" w:rsidRDefault="006526CD"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Lai novērtētu aktuālās ministriju vajadzības 2012.gada budžeta pieprasījumam, pēc VI lūguma ministrijas sniedza informāciju par nepieciešamo budžetu 2012.gadam, un plānotais apjoms ir ~ 60</w:t>
      </w:r>
      <w:r w:rsidR="00EB37C9" w:rsidRPr="00B557E8">
        <w:rPr>
          <w:rFonts w:eastAsia="EUAlbertina-Bold-Identity-H"/>
          <w:color w:val="000000" w:themeColor="text1"/>
          <w:szCs w:val="24"/>
          <w:lang w:eastAsia="lv-LV"/>
        </w:rPr>
        <w:t>8</w:t>
      </w:r>
      <w:r w:rsidR="009C682A" w:rsidRPr="00B557E8">
        <w:rPr>
          <w:rFonts w:eastAsia="EUAlbertina-Bold-Identity-H"/>
          <w:color w:val="000000" w:themeColor="text1"/>
          <w:szCs w:val="24"/>
          <w:lang w:eastAsia="lv-LV"/>
        </w:rPr>
        <w:t xml:space="preserve"> </w:t>
      </w:r>
      <w:proofErr w:type="spellStart"/>
      <w:r w:rsidR="009C682A" w:rsidRPr="00B557E8">
        <w:rPr>
          <w:rFonts w:eastAsia="EUAlbertina-Bold-Identity-H"/>
          <w:color w:val="000000" w:themeColor="text1"/>
          <w:szCs w:val="24"/>
          <w:lang w:eastAsia="lv-LV"/>
        </w:rPr>
        <w:t>milj</w:t>
      </w:r>
      <w:proofErr w:type="spellEnd"/>
      <w:r w:rsidR="009C682A" w:rsidRPr="00B557E8">
        <w:rPr>
          <w:rFonts w:eastAsia="EUAlbertina-Bold-Identity-H"/>
          <w:color w:val="000000" w:themeColor="text1"/>
          <w:szCs w:val="24"/>
          <w:lang w:eastAsia="lv-LV"/>
        </w:rPr>
        <w:t>. latu</w:t>
      </w:r>
      <w:r w:rsidR="009C682A" w:rsidRPr="00B557E8">
        <w:rPr>
          <w:rStyle w:val="FootnoteReference"/>
          <w:rFonts w:eastAsia="EUAlbertina-Bold-Identity-H"/>
          <w:color w:val="000000" w:themeColor="text1"/>
          <w:szCs w:val="24"/>
          <w:lang w:eastAsia="lv-LV"/>
        </w:rPr>
        <w:footnoteReference w:id="15"/>
      </w:r>
      <w:r w:rsidRPr="00B557E8">
        <w:rPr>
          <w:rFonts w:eastAsia="EUAlbertina-Bold-Identity-H"/>
          <w:color w:val="000000" w:themeColor="text1"/>
          <w:szCs w:val="24"/>
          <w:lang w:eastAsia="lv-LV"/>
        </w:rPr>
        <w:t xml:space="preserve">. Tomēr, ņemot vērā esošo situāciju ar budžeta neizpildi katra iepriekšējo gadu ietvaros un arī plānoto 2011.gadā, </w:t>
      </w:r>
      <w:r w:rsidR="008B7D7E" w:rsidRPr="00B557E8">
        <w:rPr>
          <w:rFonts w:eastAsia="EUAlbertina-Bold-Identity-H"/>
          <w:color w:val="000000" w:themeColor="text1"/>
          <w:szCs w:val="24"/>
          <w:lang w:eastAsia="lv-LV"/>
        </w:rPr>
        <w:t>FM</w:t>
      </w:r>
      <w:r w:rsidRPr="00B557E8">
        <w:rPr>
          <w:rFonts w:eastAsia="EUAlbertina-Bold-Identity-H"/>
          <w:color w:val="000000" w:themeColor="text1"/>
          <w:szCs w:val="24"/>
          <w:lang w:eastAsia="lv-LV"/>
        </w:rPr>
        <w:t xml:space="preserve"> prognozē, ka jau MK 2011.gada </w:t>
      </w:r>
      <w:r w:rsidR="006A515D" w:rsidRPr="00B557E8">
        <w:rPr>
          <w:rFonts w:eastAsia="EUAlbertina-Bold-Identity-H"/>
          <w:color w:val="000000" w:themeColor="text1"/>
          <w:szCs w:val="24"/>
          <w:lang w:eastAsia="lv-LV"/>
        </w:rPr>
        <w:t>1</w:t>
      </w:r>
      <w:r w:rsidRPr="00B557E8">
        <w:rPr>
          <w:rFonts w:eastAsia="EUAlbertina-Bold-Identity-H"/>
          <w:color w:val="000000" w:themeColor="text1"/>
          <w:szCs w:val="24"/>
          <w:lang w:eastAsia="lv-LV"/>
        </w:rPr>
        <w:t>.</w:t>
      </w:r>
      <w:r w:rsidR="006A515D" w:rsidRPr="00B557E8">
        <w:rPr>
          <w:rFonts w:eastAsia="EUAlbertina-Bold-Identity-H"/>
          <w:color w:val="000000" w:themeColor="text1"/>
          <w:szCs w:val="24"/>
          <w:lang w:eastAsia="lv-LV"/>
        </w:rPr>
        <w:t>novembra</w:t>
      </w:r>
      <w:r w:rsidRPr="00B557E8">
        <w:rPr>
          <w:rFonts w:eastAsia="EUAlbertina-Bold-Identity-H"/>
          <w:color w:val="000000" w:themeColor="text1"/>
          <w:szCs w:val="24"/>
          <w:lang w:eastAsia="lv-LV"/>
        </w:rPr>
        <w:t xml:space="preserve"> sēdē apstiprinātie 581 </w:t>
      </w:r>
      <w:proofErr w:type="spellStart"/>
      <w:r w:rsidRPr="00B557E8">
        <w:rPr>
          <w:rFonts w:eastAsia="EUAlbertina-Bold-Identity-H"/>
          <w:color w:val="000000" w:themeColor="text1"/>
          <w:szCs w:val="24"/>
          <w:lang w:eastAsia="lv-LV"/>
        </w:rPr>
        <w:t>milj</w:t>
      </w:r>
      <w:proofErr w:type="spellEnd"/>
      <w:r w:rsidRPr="00B557E8">
        <w:rPr>
          <w:rFonts w:eastAsia="EUAlbertina-Bold-Identity-H"/>
          <w:color w:val="000000" w:themeColor="text1"/>
          <w:szCs w:val="24"/>
          <w:lang w:eastAsia="lv-LV"/>
        </w:rPr>
        <w:t>. latu ir pietiekošs finansējums, lai veiktu visus paredzētos maksājumus ES fondu finansējuma saņēmējiem 2012.gada ietvaros.</w:t>
      </w:r>
    </w:p>
    <w:p w:rsidR="00693423" w:rsidRPr="00B557E8" w:rsidRDefault="006526CD" w:rsidP="00B557E8">
      <w:pPr>
        <w:pStyle w:val="ListParagraph"/>
        <w:spacing w:before="120" w:after="120"/>
        <w:ind w:left="0"/>
        <w:contextualSpacing w:val="0"/>
        <w:jc w:val="both"/>
        <w:rPr>
          <w:rFonts w:ascii="Times New Roman" w:eastAsia="EUAlbertina-Bold-Identity-H" w:hAnsi="Times New Roman"/>
          <w:color w:val="000000" w:themeColor="text1"/>
          <w:sz w:val="24"/>
          <w:szCs w:val="24"/>
          <w:lang w:eastAsia="lv-LV"/>
        </w:rPr>
      </w:pPr>
      <w:r w:rsidRPr="00B557E8">
        <w:rPr>
          <w:rFonts w:ascii="Times New Roman" w:eastAsia="EUAlbertina-Bold-Identity-H" w:hAnsi="Times New Roman"/>
          <w:color w:val="000000" w:themeColor="text1"/>
          <w:sz w:val="24"/>
          <w:szCs w:val="24"/>
          <w:lang w:eastAsia="lv-LV"/>
        </w:rPr>
        <w:t xml:space="preserve">Pārskata periodā paveikta virkne būtisku darbu efektīvākai ES fondu apguvei turpmākajos gados. </w:t>
      </w:r>
      <w:r w:rsidR="00693423" w:rsidRPr="00B557E8">
        <w:rPr>
          <w:rFonts w:ascii="Times New Roman" w:eastAsia="EUAlbertina-Bold-Identity-H" w:hAnsi="Times New Roman"/>
          <w:color w:val="000000" w:themeColor="text1"/>
          <w:sz w:val="24"/>
          <w:szCs w:val="24"/>
          <w:lang w:eastAsia="lv-LV"/>
        </w:rPr>
        <w:t xml:space="preserve">Pirmkārt, līdz ceturkšņa beigām EK iesniegti grozījumi plānošanas dokumentos, lai apstiprinātu ERAF finansējuma pārdali 22,8 </w:t>
      </w:r>
      <w:proofErr w:type="spellStart"/>
      <w:r w:rsidR="00693423" w:rsidRPr="00B557E8">
        <w:rPr>
          <w:rFonts w:ascii="Times New Roman" w:eastAsia="EUAlbertina-Bold-Identity-H" w:hAnsi="Times New Roman"/>
          <w:color w:val="000000" w:themeColor="text1"/>
          <w:sz w:val="24"/>
          <w:szCs w:val="24"/>
          <w:lang w:eastAsia="lv-LV"/>
        </w:rPr>
        <w:t>milj</w:t>
      </w:r>
      <w:proofErr w:type="spellEnd"/>
      <w:r w:rsidR="00693423" w:rsidRPr="00B557E8">
        <w:rPr>
          <w:rFonts w:ascii="Times New Roman" w:eastAsia="EUAlbertina-Bold-Identity-H" w:hAnsi="Times New Roman"/>
          <w:color w:val="000000" w:themeColor="text1"/>
          <w:sz w:val="24"/>
          <w:szCs w:val="24"/>
          <w:lang w:eastAsia="lv-LV"/>
        </w:rPr>
        <w:t xml:space="preserve">. latu apmērā no darbības programmas „Uzņēmējdarbība un inovācijas” uz darbības programmu “Cilvēkresursi un nodarbinātība”, kā arī citas iekšējās pārdales, tās aktīvo darba tirgus pasākumu īstenošanai 2012.un 2013.gadā, kopā 37,1 </w:t>
      </w:r>
      <w:proofErr w:type="spellStart"/>
      <w:r w:rsidR="00693423" w:rsidRPr="00B557E8">
        <w:rPr>
          <w:rFonts w:ascii="Times New Roman" w:eastAsia="EUAlbertina-Bold-Identity-H" w:hAnsi="Times New Roman"/>
          <w:color w:val="000000" w:themeColor="text1"/>
          <w:sz w:val="24"/>
          <w:szCs w:val="24"/>
          <w:lang w:eastAsia="lv-LV"/>
        </w:rPr>
        <w:t>milj</w:t>
      </w:r>
      <w:proofErr w:type="spellEnd"/>
      <w:r w:rsidR="00693423" w:rsidRPr="00B557E8">
        <w:rPr>
          <w:rFonts w:ascii="Times New Roman" w:eastAsia="EUAlbertina-Bold-Identity-H" w:hAnsi="Times New Roman"/>
          <w:color w:val="000000" w:themeColor="text1"/>
          <w:sz w:val="24"/>
          <w:szCs w:val="24"/>
          <w:lang w:eastAsia="lv-LV"/>
        </w:rPr>
        <w:t xml:space="preserve">. latu apmērā. Veikta arī ES fondu līdzekļu pārstrukturēšana, to efektīva </w:t>
      </w:r>
      <w:r w:rsidR="00693423" w:rsidRPr="00B557E8">
        <w:rPr>
          <w:rFonts w:ascii="Times New Roman" w:eastAsia="EUAlbertina-Bold-Identity-H" w:hAnsi="Times New Roman"/>
          <w:color w:val="000000" w:themeColor="text1"/>
          <w:sz w:val="24"/>
          <w:szCs w:val="24"/>
          <w:lang w:eastAsia="lv-LV"/>
        </w:rPr>
        <w:lastRenderedPageBreak/>
        <w:t xml:space="preserve">ieguldījumu novirzīšana tautsaimniecībā, t. </w:t>
      </w:r>
      <w:proofErr w:type="spellStart"/>
      <w:r w:rsidR="00693423" w:rsidRPr="00B557E8">
        <w:rPr>
          <w:rFonts w:ascii="Times New Roman" w:eastAsia="EUAlbertina-Bold-Identity-H" w:hAnsi="Times New Roman"/>
          <w:color w:val="000000" w:themeColor="text1"/>
          <w:sz w:val="24"/>
          <w:szCs w:val="24"/>
          <w:lang w:eastAsia="lv-LV"/>
        </w:rPr>
        <w:t>sk</w:t>
      </w:r>
      <w:proofErr w:type="spellEnd"/>
      <w:r w:rsidR="00693423" w:rsidRPr="00B557E8">
        <w:rPr>
          <w:rFonts w:ascii="Times New Roman" w:eastAsia="EUAlbertina-Bold-Identity-H" w:hAnsi="Times New Roman"/>
          <w:color w:val="000000" w:themeColor="text1"/>
          <w:sz w:val="24"/>
          <w:szCs w:val="24"/>
          <w:lang w:eastAsia="lv-LV"/>
        </w:rPr>
        <w:t>. pārskata periodā pārdalīts papildu ERAF finansējums mājokļu siltināšanai.</w:t>
      </w:r>
    </w:p>
    <w:p w:rsidR="00693423" w:rsidRPr="00B557E8" w:rsidRDefault="006526CD" w:rsidP="00B557E8">
      <w:pPr>
        <w:pStyle w:val="ListParagraph"/>
        <w:spacing w:before="120" w:after="120"/>
        <w:ind w:left="0"/>
        <w:contextualSpacing w:val="0"/>
        <w:jc w:val="both"/>
        <w:rPr>
          <w:rFonts w:ascii="Times New Roman" w:eastAsia="EUAlbertina-Bold-Identity-H" w:hAnsi="Times New Roman"/>
          <w:color w:val="000000" w:themeColor="text1"/>
          <w:sz w:val="24"/>
          <w:szCs w:val="24"/>
          <w:lang w:eastAsia="lv-LV"/>
        </w:rPr>
      </w:pPr>
      <w:r w:rsidRPr="00B557E8">
        <w:rPr>
          <w:rFonts w:ascii="Times New Roman" w:hAnsi="Times New Roman"/>
          <w:color w:val="000000" w:themeColor="text1"/>
          <w:sz w:val="24"/>
          <w:szCs w:val="24"/>
        </w:rPr>
        <w:t xml:space="preserve">Tāpat veiksmīgi sakārtoti jautājumi, vadīti un mazināti riski, kas saistīti ar audita sistēmas darbību, kā rezultātā ir atjaunoti maksājumi no EK darbības programmas „Uzņēmējdarbība un </w:t>
      </w:r>
      <w:r w:rsidRPr="00B557E8">
        <w:rPr>
          <w:rFonts w:ascii="Times New Roman" w:eastAsia="EUAlbertina-Bold-Identity-H" w:hAnsi="Times New Roman"/>
          <w:color w:val="000000" w:themeColor="text1"/>
          <w:sz w:val="24"/>
          <w:szCs w:val="24"/>
          <w:lang w:eastAsia="lv-LV"/>
        </w:rPr>
        <w:t>inovācijas” (izņemot 2.2.prioritāti) un darbības programmas „Infrastruktūra un pakalpojumi”  ietvaros.</w:t>
      </w:r>
      <w:r w:rsidR="00693423" w:rsidRPr="00B557E8">
        <w:rPr>
          <w:rFonts w:ascii="Times New Roman" w:eastAsia="EUAlbertina-Bold-Identity-H" w:hAnsi="Times New Roman"/>
          <w:color w:val="000000" w:themeColor="text1"/>
          <w:sz w:val="24"/>
          <w:szCs w:val="24"/>
          <w:lang w:eastAsia="lv-LV"/>
        </w:rPr>
        <w:t xml:space="preserve"> </w:t>
      </w:r>
    </w:p>
    <w:p w:rsidR="007B38A6" w:rsidRPr="00B557E8" w:rsidRDefault="00693423" w:rsidP="00B557E8">
      <w:pPr>
        <w:pStyle w:val="ListParagraph"/>
        <w:spacing w:before="120" w:after="120"/>
        <w:ind w:left="0"/>
        <w:contextualSpacing w:val="0"/>
        <w:jc w:val="both"/>
        <w:rPr>
          <w:rFonts w:ascii="Times New Roman" w:eastAsia="EUAlbertina-Bold-Identity-H" w:hAnsi="Times New Roman"/>
          <w:color w:val="000000" w:themeColor="text1"/>
          <w:sz w:val="24"/>
          <w:szCs w:val="24"/>
          <w:lang w:eastAsia="lv-LV"/>
        </w:rPr>
      </w:pPr>
      <w:r w:rsidRPr="00B557E8">
        <w:rPr>
          <w:rFonts w:ascii="Times New Roman" w:eastAsia="EUAlbertina-Bold-Identity-H" w:hAnsi="Times New Roman"/>
          <w:color w:val="000000" w:themeColor="text1"/>
          <w:sz w:val="24"/>
          <w:szCs w:val="24"/>
          <w:lang w:eastAsia="lv-LV"/>
        </w:rPr>
        <w:t xml:space="preserve">Ceturkšņa laikā veikti vairāki fondu vadības sistēmas pilnveidošanas pasākumi: apstiprināti grozījumi MK noteikumos Nr.419, līdz ar kuriem ir pilnveidota ES fondu iepirkumu uzraudzības sistēma; izstrādāti priekšlikumi nosacījumiem par ES fondu projektu īstenošanas termiņu pagarināšanai; samazināts administratīvais slogs AI un SI attiecībā uz EK iesniedzamo ES fondu līdzekļu pieprasījumu prognozi kārtējam un nākamajam gadam (mazināts iesniedzamo prognožu daudzums) un citi pasākumi. </w:t>
      </w:r>
    </w:p>
    <w:p w:rsidR="0078240E" w:rsidRPr="00B557E8" w:rsidRDefault="0078240E" w:rsidP="00B557E8">
      <w:pPr>
        <w:spacing w:before="120" w:after="120" w:line="276" w:lineRule="auto"/>
        <w:rPr>
          <w:rFonts w:eastAsia="EUAlbertina-Bold-Identity-H"/>
          <w:color w:val="000000" w:themeColor="text1"/>
          <w:szCs w:val="24"/>
          <w:lang w:eastAsia="lv-LV"/>
        </w:rPr>
      </w:pPr>
      <w:r w:rsidRPr="00B557E8">
        <w:rPr>
          <w:rFonts w:eastAsia="EUAlbertina-Bold-Identity-H"/>
          <w:color w:val="000000" w:themeColor="text1"/>
          <w:szCs w:val="24"/>
          <w:lang w:eastAsia="lv-LV"/>
        </w:rPr>
        <w:t xml:space="preserve">FM turpina aktīvi gatavoties nākošajam plānošanas periodam, formulējot un pārstāvot Latvijas intereses Kohēzijas politikai pēc 2013.gada. Trešajā ceturksnī Latvijas intereses Eiropas līmenī ir tikušas prezentētas Trīs Baltijas valstu sanāksmē Igaunijā, kā arī divpusējās tikšanās, tiekoties ar </w:t>
      </w:r>
      <w:r w:rsidR="00EC322F" w:rsidRPr="00B557E8">
        <w:rPr>
          <w:color w:val="000000" w:themeColor="text1"/>
          <w:szCs w:val="24"/>
        </w:rPr>
        <w:t>EK</w:t>
      </w:r>
      <w:r w:rsidR="00EC322F" w:rsidRPr="00B557E8">
        <w:rPr>
          <w:rFonts w:eastAsia="EUAlbertina-Bold-Identity-H"/>
          <w:color w:val="000000" w:themeColor="text1"/>
          <w:szCs w:val="24"/>
          <w:lang w:eastAsia="lv-LV"/>
        </w:rPr>
        <w:t xml:space="preserve"> </w:t>
      </w:r>
      <w:r w:rsidRPr="00B557E8">
        <w:rPr>
          <w:rFonts w:eastAsia="EUAlbertina-Bold-Identity-H"/>
          <w:color w:val="000000" w:themeColor="text1"/>
          <w:szCs w:val="24"/>
          <w:lang w:eastAsia="lv-LV"/>
        </w:rPr>
        <w:t>un Vācijas vēstniecības pārstāvjiem.  Latvijas līmenī ir notikušas vairākas tikšanās ar sociālajiem partneriem, pašvaldībām un nevalstiskajām organizācijām.</w:t>
      </w:r>
    </w:p>
    <w:p w:rsidR="00364379" w:rsidRPr="00B557E8" w:rsidRDefault="00364379" w:rsidP="00B557E8">
      <w:pPr>
        <w:spacing w:before="120" w:after="120" w:line="276" w:lineRule="auto"/>
        <w:rPr>
          <w:color w:val="000000" w:themeColor="text1"/>
          <w:szCs w:val="24"/>
        </w:rPr>
      </w:pPr>
    </w:p>
    <w:p w:rsidR="00FF4209" w:rsidRPr="00B557E8" w:rsidRDefault="00FF4209" w:rsidP="00B557E8">
      <w:pPr>
        <w:spacing w:before="120" w:after="120" w:line="276" w:lineRule="auto"/>
        <w:rPr>
          <w:color w:val="000000" w:themeColor="text1"/>
          <w:spacing w:val="6"/>
          <w:szCs w:val="24"/>
        </w:rPr>
      </w:pPr>
    </w:p>
    <w:p w:rsidR="00FF4209" w:rsidRPr="00B557E8" w:rsidRDefault="00442F96" w:rsidP="00B557E8">
      <w:pPr>
        <w:tabs>
          <w:tab w:val="right" w:pos="8931"/>
        </w:tabs>
        <w:spacing w:before="120" w:after="120" w:line="276" w:lineRule="auto"/>
        <w:rPr>
          <w:color w:val="000000" w:themeColor="text1"/>
          <w:spacing w:val="6"/>
          <w:szCs w:val="24"/>
        </w:rPr>
      </w:pPr>
      <w:r w:rsidRPr="00B557E8">
        <w:rPr>
          <w:color w:val="000000" w:themeColor="text1"/>
          <w:spacing w:val="6"/>
          <w:szCs w:val="24"/>
        </w:rPr>
        <w:t>Finanšu ministr</w:t>
      </w:r>
      <w:r w:rsidR="00FE180D" w:rsidRPr="00B557E8">
        <w:rPr>
          <w:color w:val="000000" w:themeColor="text1"/>
          <w:spacing w:val="6"/>
          <w:szCs w:val="24"/>
        </w:rPr>
        <w:t>s</w:t>
      </w:r>
      <w:r w:rsidR="00FE180D" w:rsidRPr="00B557E8">
        <w:rPr>
          <w:color w:val="000000" w:themeColor="text1"/>
          <w:spacing w:val="6"/>
          <w:szCs w:val="24"/>
        </w:rPr>
        <w:tab/>
      </w:r>
      <w:r w:rsidR="00FF4209" w:rsidRPr="00B557E8">
        <w:rPr>
          <w:color w:val="000000" w:themeColor="text1"/>
          <w:spacing w:val="6"/>
          <w:szCs w:val="24"/>
        </w:rPr>
        <w:t xml:space="preserve"> </w:t>
      </w:r>
      <w:r w:rsidR="001F78FE" w:rsidRPr="00B557E8">
        <w:rPr>
          <w:color w:val="000000" w:themeColor="text1"/>
          <w:spacing w:val="6"/>
          <w:szCs w:val="24"/>
        </w:rPr>
        <w:t>A</w:t>
      </w:r>
      <w:r w:rsidR="00FF4209" w:rsidRPr="00B557E8">
        <w:rPr>
          <w:color w:val="000000" w:themeColor="text1"/>
          <w:spacing w:val="6"/>
          <w:szCs w:val="24"/>
        </w:rPr>
        <w:t>.</w:t>
      </w:r>
      <w:r w:rsidR="00360DD1" w:rsidRPr="00B557E8">
        <w:rPr>
          <w:color w:val="000000" w:themeColor="text1"/>
          <w:spacing w:val="6"/>
          <w:szCs w:val="24"/>
        </w:rPr>
        <w:t>Vilks</w:t>
      </w:r>
    </w:p>
    <w:p w:rsidR="00FF4209" w:rsidRPr="00B557E8" w:rsidRDefault="002A561D" w:rsidP="00B557E8">
      <w:pPr>
        <w:spacing w:before="120" w:after="120" w:line="276" w:lineRule="auto"/>
        <w:rPr>
          <w:color w:val="000000" w:themeColor="text1"/>
          <w:spacing w:val="6"/>
          <w:szCs w:val="24"/>
        </w:rPr>
      </w:pPr>
      <w:r w:rsidRPr="00B557E8">
        <w:rPr>
          <w:color w:val="000000" w:themeColor="text1"/>
          <w:spacing w:val="6"/>
          <w:szCs w:val="24"/>
        </w:rPr>
        <w:tab/>
      </w:r>
      <w:r w:rsidRPr="00B557E8">
        <w:rPr>
          <w:color w:val="000000" w:themeColor="text1"/>
          <w:spacing w:val="6"/>
          <w:szCs w:val="24"/>
        </w:rPr>
        <w:tab/>
      </w:r>
      <w:r w:rsidRPr="00B557E8">
        <w:rPr>
          <w:color w:val="000000" w:themeColor="text1"/>
          <w:spacing w:val="6"/>
          <w:szCs w:val="24"/>
        </w:rPr>
        <w:tab/>
      </w:r>
    </w:p>
    <w:p w:rsidR="00FF4209" w:rsidRPr="00B557E8" w:rsidRDefault="00FF4209" w:rsidP="00B557E8">
      <w:pPr>
        <w:spacing w:before="120" w:after="120" w:line="276" w:lineRule="auto"/>
        <w:rPr>
          <w:color w:val="000000" w:themeColor="text1"/>
          <w:spacing w:val="6"/>
          <w:szCs w:val="24"/>
        </w:rPr>
      </w:pPr>
    </w:p>
    <w:p w:rsidR="0025071A" w:rsidRPr="003B2E97" w:rsidRDefault="003B2E97" w:rsidP="003B2E97">
      <w:pPr>
        <w:pStyle w:val="Header"/>
        <w:spacing w:line="276" w:lineRule="auto"/>
        <w:jc w:val="both"/>
        <w:rPr>
          <w:color w:val="000000" w:themeColor="text1"/>
          <w:sz w:val="20"/>
          <w:szCs w:val="20"/>
          <w:lang w:val="lv-LV"/>
        </w:rPr>
      </w:pPr>
      <w:r>
        <w:rPr>
          <w:color w:val="000000" w:themeColor="text1"/>
          <w:sz w:val="20"/>
          <w:szCs w:val="20"/>
          <w:lang w:val="lv-LV"/>
        </w:rPr>
        <w:t>08</w:t>
      </w:r>
      <w:r w:rsidR="003811D0" w:rsidRPr="003B2E97">
        <w:rPr>
          <w:color w:val="000000" w:themeColor="text1"/>
          <w:sz w:val="20"/>
          <w:szCs w:val="20"/>
          <w:lang w:val="lv-LV"/>
        </w:rPr>
        <w:t>.12</w:t>
      </w:r>
      <w:r w:rsidR="0025071A" w:rsidRPr="003B2E97">
        <w:rPr>
          <w:color w:val="000000" w:themeColor="text1"/>
          <w:sz w:val="20"/>
          <w:szCs w:val="20"/>
          <w:lang w:val="lv-LV"/>
        </w:rPr>
        <w:t xml:space="preserve">.2011. </w:t>
      </w:r>
      <w:r w:rsidR="00A33AC4" w:rsidRPr="003B2E97">
        <w:rPr>
          <w:color w:val="000000" w:themeColor="text1"/>
          <w:sz w:val="20"/>
          <w:szCs w:val="20"/>
          <w:lang w:val="lv-LV"/>
        </w:rPr>
        <w:t>11:11</w:t>
      </w:r>
    </w:p>
    <w:p w:rsidR="0025071A" w:rsidRPr="003B2E97" w:rsidRDefault="003B2E97" w:rsidP="003B2E97">
      <w:pPr>
        <w:pStyle w:val="Header"/>
        <w:spacing w:line="276" w:lineRule="auto"/>
        <w:jc w:val="both"/>
        <w:rPr>
          <w:color w:val="000000" w:themeColor="text1"/>
          <w:sz w:val="20"/>
          <w:szCs w:val="20"/>
          <w:lang w:val="lv-LV"/>
        </w:rPr>
      </w:pPr>
      <w:r w:rsidRPr="003B2E97">
        <w:rPr>
          <w:color w:val="000000" w:themeColor="text1"/>
          <w:sz w:val="20"/>
          <w:szCs w:val="20"/>
          <w:lang w:val="lv-LV"/>
        </w:rPr>
        <w:t>22 800</w:t>
      </w:r>
    </w:p>
    <w:p w:rsidR="0025071A" w:rsidRPr="003B2E97" w:rsidRDefault="003811D0" w:rsidP="003B2E97">
      <w:pPr>
        <w:pStyle w:val="Header"/>
        <w:spacing w:line="276" w:lineRule="auto"/>
        <w:jc w:val="both"/>
        <w:rPr>
          <w:color w:val="000000" w:themeColor="text1"/>
          <w:sz w:val="20"/>
          <w:szCs w:val="20"/>
          <w:lang w:val="lv-LV"/>
        </w:rPr>
      </w:pPr>
      <w:r w:rsidRPr="003B2E97">
        <w:rPr>
          <w:color w:val="000000" w:themeColor="text1"/>
          <w:sz w:val="20"/>
          <w:szCs w:val="20"/>
          <w:lang w:val="lv-LV"/>
        </w:rPr>
        <w:t>Signe Albiņa</w:t>
      </w:r>
    </w:p>
    <w:p w:rsidR="0025071A" w:rsidRPr="003B2E97" w:rsidRDefault="0025071A" w:rsidP="003B2E97">
      <w:pPr>
        <w:pStyle w:val="Header"/>
        <w:spacing w:line="276" w:lineRule="auto"/>
        <w:jc w:val="both"/>
        <w:rPr>
          <w:color w:val="000000" w:themeColor="text1"/>
          <w:sz w:val="20"/>
          <w:szCs w:val="20"/>
          <w:lang w:val="lv-LV"/>
        </w:rPr>
      </w:pPr>
      <w:r w:rsidRPr="003B2E97">
        <w:rPr>
          <w:color w:val="000000" w:themeColor="text1"/>
          <w:sz w:val="20"/>
          <w:szCs w:val="20"/>
          <w:lang w:val="lv-LV"/>
        </w:rPr>
        <w:t>Finanšu ministrijas Eiropas Savienības fondu uzraudzības departamenta</w:t>
      </w:r>
    </w:p>
    <w:p w:rsidR="0025071A" w:rsidRPr="003B2E97" w:rsidRDefault="0025071A" w:rsidP="003B2E97">
      <w:pPr>
        <w:pStyle w:val="Header"/>
        <w:spacing w:line="276" w:lineRule="auto"/>
        <w:jc w:val="both"/>
        <w:rPr>
          <w:color w:val="000000" w:themeColor="text1"/>
          <w:sz w:val="20"/>
          <w:szCs w:val="20"/>
          <w:lang w:val="lv-LV"/>
        </w:rPr>
      </w:pPr>
      <w:r w:rsidRPr="003B2E97">
        <w:rPr>
          <w:color w:val="000000" w:themeColor="text1"/>
          <w:sz w:val="20"/>
          <w:szCs w:val="20"/>
          <w:lang w:val="lv-LV"/>
        </w:rPr>
        <w:t xml:space="preserve">Uzņēmējdarbības un inovāciju uzraudzības nodaļas </w:t>
      </w:r>
      <w:r w:rsidR="005D6848" w:rsidRPr="003B2E97">
        <w:rPr>
          <w:color w:val="000000" w:themeColor="text1"/>
          <w:sz w:val="20"/>
          <w:szCs w:val="20"/>
          <w:lang w:val="lv-LV"/>
        </w:rPr>
        <w:t>vadītāja vietnie</w:t>
      </w:r>
      <w:r w:rsidR="0086657A" w:rsidRPr="003B2E97">
        <w:rPr>
          <w:color w:val="000000" w:themeColor="text1"/>
          <w:sz w:val="20"/>
          <w:szCs w:val="20"/>
          <w:lang w:val="lv-LV"/>
        </w:rPr>
        <w:t>ce</w:t>
      </w:r>
    </w:p>
    <w:p w:rsidR="0025071A" w:rsidRPr="003B2E97" w:rsidRDefault="0025071A" w:rsidP="003B2E97">
      <w:pPr>
        <w:pStyle w:val="Header"/>
        <w:spacing w:line="276" w:lineRule="auto"/>
        <w:jc w:val="both"/>
        <w:rPr>
          <w:color w:val="000000" w:themeColor="text1"/>
          <w:sz w:val="20"/>
          <w:szCs w:val="20"/>
          <w:lang w:val="lv-LV"/>
        </w:rPr>
      </w:pPr>
      <w:proofErr w:type="spellStart"/>
      <w:r w:rsidRPr="003B2E97">
        <w:rPr>
          <w:color w:val="000000" w:themeColor="text1"/>
          <w:sz w:val="20"/>
          <w:szCs w:val="20"/>
          <w:lang w:val="lv-LV"/>
        </w:rPr>
        <w:t>Tālr</w:t>
      </w:r>
      <w:proofErr w:type="spellEnd"/>
      <w:r w:rsidRPr="003B2E97">
        <w:rPr>
          <w:color w:val="000000" w:themeColor="text1"/>
          <w:sz w:val="20"/>
          <w:szCs w:val="20"/>
          <w:lang w:val="lv-LV"/>
        </w:rPr>
        <w:t xml:space="preserve">. </w:t>
      </w:r>
      <w:r w:rsidRPr="003B2E97">
        <w:rPr>
          <w:noProof/>
          <w:color w:val="000000" w:themeColor="text1"/>
          <w:sz w:val="20"/>
          <w:szCs w:val="20"/>
          <w:lang w:val="lv-LV" w:eastAsia="lv-LV"/>
        </w:rPr>
        <w:t>670</w:t>
      </w:r>
      <w:r w:rsidR="00703C9E" w:rsidRPr="003B2E97">
        <w:rPr>
          <w:noProof/>
          <w:color w:val="000000" w:themeColor="text1"/>
          <w:sz w:val="20"/>
          <w:szCs w:val="20"/>
          <w:lang w:val="lv-LV" w:eastAsia="lv-LV"/>
        </w:rPr>
        <w:t>0</w:t>
      </w:r>
      <w:r w:rsidR="003811D0" w:rsidRPr="003B2E97">
        <w:rPr>
          <w:noProof/>
          <w:color w:val="000000" w:themeColor="text1"/>
          <w:sz w:val="20"/>
          <w:szCs w:val="20"/>
          <w:lang w:val="lv-LV" w:eastAsia="lv-LV"/>
        </w:rPr>
        <w:t>83808</w:t>
      </w:r>
      <w:r w:rsidRPr="003B2E97">
        <w:rPr>
          <w:color w:val="000000" w:themeColor="text1"/>
          <w:sz w:val="20"/>
          <w:szCs w:val="20"/>
          <w:lang w:val="lv-LV"/>
        </w:rPr>
        <w:t>, fakss 67095697</w:t>
      </w:r>
    </w:p>
    <w:p w:rsidR="004F5DF1" w:rsidRPr="003B2E97" w:rsidRDefault="003811D0" w:rsidP="003B2E97">
      <w:pPr>
        <w:pStyle w:val="Header"/>
        <w:spacing w:line="276" w:lineRule="auto"/>
        <w:jc w:val="both"/>
        <w:rPr>
          <w:color w:val="000000" w:themeColor="text1"/>
          <w:sz w:val="20"/>
          <w:szCs w:val="20"/>
          <w:lang w:val="lv-LV"/>
        </w:rPr>
      </w:pPr>
      <w:proofErr w:type="spellStart"/>
      <w:r w:rsidRPr="003B2E97">
        <w:rPr>
          <w:color w:val="000000" w:themeColor="text1"/>
          <w:sz w:val="20"/>
          <w:szCs w:val="20"/>
          <w:lang w:val="lv-LV"/>
        </w:rPr>
        <w:t>Signe.Albiņa</w:t>
      </w:r>
      <w:r w:rsidR="00703C9E" w:rsidRPr="003B2E97">
        <w:rPr>
          <w:color w:val="000000" w:themeColor="text1"/>
          <w:sz w:val="20"/>
          <w:szCs w:val="20"/>
          <w:lang w:val="lv-LV"/>
        </w:rPr>
        <w:t>@fm.gov.lv</w:t>
      </w:r>
      <w:proofErr w:type="spellEnd"/>
    </w:p>
    <w:sectPr w:rsidR="004F5DF1" w:rsidRPr="003B2E97" w:rsidSect="00095E6A">
      <w:headerReference w:type="even" r:id="rId45"/>
      <w:headerReference w:type="default" r:id="rId46"/>
      <w:footerReference w:type="even" r:id="rId47"/>
      <w:footerReference w:type="default" r:id="rId48"/>
      <w:headerReference w:type="first" r:id="rId49"/>
      <w:pgSz w:w="11906" w:h="16838" w:code="9"/>
      <w:pgMar w:top="1134" w:right="1134" w:bottom="851" w:left="1560"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A28" w:rsidRDefault="00B47A28" w:rsidP="00FF4209">
      <w:r>
        <w:separator/>
      </w:r>
    </w:p>
  </w:endnote>
  <w:endnote w:type="continuationSeparator" w:id="0">
    <w:p w:rsidR="00B47A28" w:rsidRDefault="00B47A28" w:rsidP="00FF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28" w:rsidRDefault="00B47A28" w:rsidP="007906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A28" w:rsidRDefault="00B47A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28" w:rsidRPr="003A479C" w:rsidRDefault="00B47A28" w:rsidP="006147B6">
    <w:pPr>
      <w:pStyle w:val="Footer"/>
      <w:rPr>
        <w:lang w:val="lv-LV"/>
      </w:rPr>
    </w:pPr>
    <w:r w:rsidRPr="003A479C">
      <w:rPr>
        <w:sz w:val="20"/>
      </w:rPr>
      <w:t>FMzino_</w:t>
    </w:r>
    <w:r w:rsidR="00B557E8">
      <w:rPr>
        <w:sz w:val="20"/>
        <w:lang w:val="lv-LV"/>
      </w:rPr>
      <w:t>0812</w:t>
    </w:r>
    <w:r w:rsidR="00B557E8" w:rsidRPr="003A479C">
      <w:rPr>
        <w:sz w:val="20"/>
      </w:rPr>
      <w:t>11</w:t>
    </w:r>
    <w:r w:rsidRPr="003A479C">
      <w:rPr>
        <w:sz w:val="20"/>
      </w:rPr>
      <w:t>_ES_fondi; Informatīvais ziņojums par ES struktūrfondu un Kohēzijas fonda, Eiropas Ekonomikas zonas finanšu instrumenta, Norvēģijas valdības divpusējā finanšu instrumenta un Latvijas</w:t>
    </w:r>
    <w:r>
      <w:rPr>
        <w:sz w:val="20"/>
      </w:rPr>
      <w:t>–Šveices sadarbības programmas</w:t>
    </w:r>
    <w:r>
      <w:rPr>
        <w:sz w:val="20"/>
        <w:lang w:val="lv-LV"/>
      </w:rPr>
      <w:t xml:space="preserve"> </w:t>
    </w:r>
    <w:r w:rsidRPr="003A479C">
      <w:rPr>
        <w:sz w:val="20"/>
      </w:rPr>
      <w:t>apguvi līdz 201</w:t>
    </w:r>
    <w:r w:rsidRPr="003A479C">
      <w:rPr>
        <w:sz w:val="20"/>
        <w:lang w:val="lv-LV"/>
      </w:rPr>
      <w:t>1</w:t>
    </w:r>
    <w:r w:rsidRPr="003A479C">
      <w:rPr>
        <w:sz w:val="20"/>
      </w:rPr>
      <w:t>.gada 3</w:t>
    </w:r>
    <w:r w:rsidRPr="003A479C">
      <w:rPr>
        <w:sz w:val="20"/>
        <w:lang w:val="lv-LV"/>
      </w:rPr>
      <w:t>0</w:t>
    </w:r>
    <w:r w:rsidRPr="003A479C">
      <w:rPr>
        <w:sz w:val="20"/>
      </w:rPr>
      <w:t>.</w:t>
    </w:r>
    <w:r w:rsidRPr="003A479C">
      <w:rPr>
        <w:sz w:val="20"/>
        <w:lang w:val="lv-LV"/>
      </w:rPr>
      <w:t>septembrim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A28" w:rsidRDefault="00B47A28" w:rsidP="00FF4209">
      <w:r>
        <w:separator/>
      </w:r>
    </w:p>
  </w:footnote>
  <w:footnote w:type="continuationSeparator" w:id="0">
    <w:p w:rsidR="00B47A28" w:rsidRDefault="00B47A28" w:rsidP="00FF4209">
      <w:r>
        <w:continuationSeparator/>
      </w:r>
    </w:p>
  </w:footnote>
  <w:footnote w:id="1">
    <w:p w:rsidR="00B47A28" w:rsidRDefault="00B47A28" w:rsidP="006D0BF1">
      <w:pPr>
        <w:pStyle w:val="FootnoteText"/>
      </w:pPr>
      <w:r>
        <w:rPr>
          <w:rStyle w:val="FootnoteReference"/>
        </w:rPr>
        <w:footnoteRef/>
      </w:r>
      <w:r>
        <w:t xml:space="preserve"> </w:t>
      </w:r>
      <w:r w:rsidRPr="00636700">
        <w:rPr>
          <w:color w:val="000000"/>
          <w:szCs w:val="24"/>
        </w:rPr>
        <w:t>Lai nodrošinātu atbilstošu, efektīvu un caurskatāmu ES fondu vadību un apguvi, līdz 2011.gada jūlija beigām veikt pasākumus, lai pārdalītu ES fondu finansējumu no tām aktivitātēm, kurām līdz 2010.gada beigām nebija apstiprināti MK noteikumi par aktivitātes īstenošanu (atbilstoši Likumā par ES struktūrfondu un Kohēzijas fonda vadību noteiktajam)</w:t>
      </w:r>
    </w:p>
  </w:footnote>
  <w:footnote w:id="2">
    <w:p w:rsidR="00B47A28" w:rsidRPr="00703CA2" w:rsidRDefault="00B47A28">
      <w:pPr>
        <w:pStyle w:val="FootnoteText"/>
        <w:rPr>
          <w:lang w:val="lv-LV"/>
        </w:rPr>
      </w:pPr>
      <w:r>
        <w:rPr>
          <w:rStyle w:val="FootnoteReference"/>
        </w:rPr>
        <w:footnoteRef/>
      </w:r>
      <w:r>
        <w:t xml:space="preserve"> </w:t>
      </w:r>
      <w:r>
        <w:rPr>
          <w:lang w:val="lv-LV"/>
        </w:rPr>
        <w:t>P</w:t>
      </w:r>
      <w:proofErr w:type="spellStart"/>
      <w:r>
        <w:t>apildus</w:t>
      </w:r>
      <w:proofErr w:type="spellEnd"/>
      <w:r>
        <w:t xml:space="preserve"> </w:t>
      </w:r>
      <w:r w:rsidRPr="0062512F">
        <w:t xml:space="preserve">LM </w:t>
      </w:r>
      <w:r>
        <w:t>indikatīvi nepieciešam</w:t>
      </w:r>
      <w:r>
        <w:rPr>
          <w:lang w:val="lv-LV"/>
        </w:rPr>
        <w:t>s</w:t>
      </w:r>
      <w:r>
        <w:t xml:space="preserve"> finansējum</w:t>
      </w:r>
      <w:r>
        <w:rPr>
          <w:lang w:val="lv-LV"/>
        </w:rPr>
        <w:t>s</w:t>
      </w:r>
      <w:r w:rsidRPr="0062512F">
        <w:t xml:space="preserve"> 26,7 </w:t>
      </w:r>
      <w:proofErr w:type="spellStart"/>
      <w:r w:rsidRPr="0062512F">
        <w:t>milj</w:t>
      </w:r>
      <w:proofErr w:type="spellEnd"/>
      <w:r w:rsidRPr="0062512F">
        <w:t>. LVL apmērā pēc ierosināto DP grozījumu apstiprināšanas</w:t>
      </w:r>
      <w:r>
        <w:rPr>
          <w:lang w:val="lv-LV"/>
        </w:rPr>
        <w:t>.</w:t>
      </w:r>
    </w:p>
  </w:footnote>
  <w:footnote w:id="3">
    <w:p w:rsidR="00B47A28" w:rsidRPr="004525B3" w:rsidRDefault="00B47A28" w:rsidP="00D4350F">
      <w:pPr>
        <w:pStyle w:val="FootnoteText"/>
        <w:rPr>
          <w:lang w:val="lv-LV"/>
        </w:rPr>
      </w:pPr>
      <w:r>
        <w:rPr>
          <w:rStyle w:val="FootnoteReference"/>
        </w:rPr>
        <w:footnoteRef/>
      </w:r>
      <w:r>
        <w:t xml:space="preserve"> </w:t>
      </w:r>
      <w:r w:rsidRPr="00007DCD">
        <w:t>Jāatzīmē, ka norēķināšanās nenozīmē, ka avanss nav izlietots. Visbiežāk avanss tiek savlaicīgi izlietots normatīvajos aktos noteiktajā kārtībā un pēc avansa izlietojuma projekta īstenotājs iesniedz starpposma maksājumu, bet faktiski avansu nedzēš, bet gan saņem papildu finansējumu apgrozāmajiem līdzekļiem projekta ietvaros.</w:t>
      </w:r>
    </w:p>
  </w:footnote>
  <w:footnote w:id="4">
    <w:p w:rsidR="00B47A28" w:rsidRPr="00CC3500" w:rsidRDefault="00B47A28" w:rsidP="00865FDD">
      <w:pPr>
        <w:pStyle w:val="FootnoteText"/>
        <w:spacing w:line="276" w:lineRule="auto"/>
        <w:rPr>
          <w:lang w:val="lv-LV"/>
        </w:rPr>
      </w:pPr>
      <w:r>
        <w:rPr>
          <w:rStyle w:val="FootnoteReference"/>
        </w:rPr>
        <w:footnoteRef/>
      </w:r>
      <w:r>
        <w:t xml:space="preserve"> </w:t>
      </w:r>
      <w:r>
        <w:rPr>
          <w:lang w:val="lv-LV"/>
        </w:rPr>
        <w:t>Pēc LGA datiem uz 2011.gada septembri</w:t>
      </w:r>
    </w:p>
  </w:footnote>
  <w:footnote w:id="5">
    <w:p w:rsidR="00B47A28" w:rsidRDefault="00B47A28" w:rsidP="006C36E6">
      <w:pPr>
        <w:pStyle w:val="FootnoteText"/>
      </w:pPr>
      <w:r>
        <w:rPr>
          <w:rStyle w:val="FootnoteReference"/>
        </w:rPr>
        <w:footnoteRef/>
      </w:r>
      <w:r>
        <w:t xml:space="preserve"> </w:t>
      </w:r>
      <w:r w:rsidRPr="007321BE">
        <w:rPr>
          <w:sz w:val="18"/>
          <w:szCs w:val="18"/>
        </w:rPr>
        <w:t>RI audits par VAS „Latvijas Hipotēku un zemes banka” Eiropas Reģionālās attīstības fonda līdzfinansētās darbības programmas „Uzņēmējdarbība un inovācijas” 2.2.1.4.aktivitātes „Aizdevumi komersantu konkurētspējas uzlabošanai” ietvaros izsniegto aizdevumu atbilstību Komisijas Regulas (EK) Nr.1828/2006 45.panta prasībām un (22.07.2011 ziņojums)</w:t>
      </w:r>
      <w:r>
        <w:rPr>
          <w:sz w:val="18"/>
          <w:szCs w:val="18"/>
        </w:rPr>
        <w:t xml:space="preserve"> un </w:t>
      </w:r>
      <w:r w:rsidRPr="007321BE">
        <w:rPr>
          <w:sz w:val="18"/>
          <w:szCs w:val="18"/>
        </w:rPr>
        <w:t xml:space="preserve">RI audits par SIA „Latvijas Garantiju aģentūra” Eiropas Reģionālās attīstības fonda līdzfinansētās darbības programmas „Uzņēmējdarbība un inovācijas” 2.2.1.3.aktivitātes „Garantijas komersantu konkurētspējas uzlabošanai” ietvaros izsniegto </w:t>
      </w:r>
      <w:r>
        <w:rPr>
          <w:sz w:val="18"/>
          <w:szCs w:val="18"/>
        </w:rPr>
        <w:t>garantiju</w:t>
      </w:r>
      <w:r w:rsidRPr="007321BE">
        <w:rPr>
          <w:sz w:val="18"/>
          <w:szCs w:val="18"/>
        </w:rPr>
        <w:t xml:space="preserve"> atbilstība Komisijas Regulas (EK) Nr.1828/2006 45.panta prasībām (22.07.2011 ziņojums)</w:t>
      </w:r>
    </w:p>
  </w:footnote>
  <w:footnote w:id="6">
    <w:p w:rsidR="00B47A28" w:rsidRPr="009622DF" w:rsidRDefault="00B47A28" w:rsidP="006C36E6">
      <w:pPr>
        <w:pStyle w:val="FootnoteText"/>
        <w:rPr>
          <w:sz w:val="18"/>
          <w:szCs w:val="18"/>
        </w:rPr>
      </w:pPr>
      <w:r w:rsidRPr="009622DF">
        <w:rPr>
          <w:rStyle w:val="FootnoteReference"/>
          <w:sz w:val="18"/>
          <w:szCs w:val="18"/>
        </w:rPr>
        <w:footnoteRef/>
      </w:r>
      <w:r w:rsidRPr="009622DF">
        <w:rPr>
          <w:sz w:val="18"/>
          <w:szCs w:val="18"/>
        </w:rPr>
        <w:t xml:space="preserve"> </w:t>
      </w:r>
      <w:r w:rsidRPr="009622DF">
        <w:rPr>
          <w:sz w:val="18"/>
          <w:szCs w:val="18"/>
        </w:rPr>
        <w:t>LHZB aizdevumi izsniegti šiem sešiem uzņēmumiem 3.9 miljonu eiro apmērā.</w:t>
      </w:r>
    </w:p>
  </w:footnote>
  <w:footnote w:id="7">
    <w:p w:rsidR="00B47A28" w:rsidRPr="0093790A" w:rsidRDefault="00B47A28" w:rsidP="006C36E6">
      <w:pPr>
        <w:pStyle w:val="FootnoteText"/>
        <w:rPr>
          <w:sz w:val="18"/>
          <w:szCs w:val="18"/>
        </w:rPr>
      </w:pPr>
      <w:r w:rsidRPr="009622DF">
        <w:rPr>
          <w:rStyle w:val="FootnoteReference"/>
          <w:sz w:val="18"/>
          <w:szCs w:val="18"/>
        </w:rPr>
        <w:footnoteRef/>
      </w:r>
      <w:r w:rsidRPr="009622DF">
        <w:rPr>
          <w:sz w:val="18"/>
          <w:szCs w:val="18"/>
        </w:rPr>
        <w:t xml:space="preserve"> </w:t>
      </w:r>
      <w:r w:rsidRPr="009622DF">
        <w:rPr>
          <w:sz w:val="18"/>
          <w:szCs w:val="18"/>
        </w:rPr>
        <w:t>RI audits par LHZB  (22.07.2011 ziņojums)</w:t>
      </w:r>
    </w:p>
  </w:footnote>
  <w:footnote w:id="8">
    <w:p w:rsidR="00B47A28" w:rsidRPr="0028143C" w:rsidRDefault="00B47A28" w:rsidP="001C1733">
      <w:pPr>
        <w:pStyle w:val="FootnoteText"/>
        <w:spacing w:line="276" w:lineRule="auto"/>
        <w:rPr>
          <w:i/>
          <w:lang w:val="lv-LV"/>
        </w:rPr>
      </w:pPr>
      <w:r>
        <w:rPr>
          <w:rStyle w:val="FootnoteReference"/>
        </w:rPr>
        <w:footnoteRef/>
      </w:r>
      <w:r>
        <w:t xml:space="preserve"> </w:t>
      </w:r>
      <w:r w:rsidRPr="0028143C">
        <w:rPr>
          <w:rFonts w:eastAsia="EUAlbertina-Bold-Identity-H"/>
          <w:i/>
          <w:sz w:val="24"/>
          <w:szCs w:val="24"/>
          <w:lang w:val="lv-LV" w:eastAsia="lv-LV"/>
        </w:rPr>
        <w:t>Ņemot vērā ļoti svārstīgo Šveices franka kursu grafikā informācija atspoguļota CHF nevis latos.</w:t>
      </w:r>
    </w:p>
  </w:footnote>
  <w:footnote w:id="9">
    <w:p w:rsidR="00B47A28" w:rsidRPr="00EA5C9D" w:rsidRDefault="00B47A28" w:rsidP="00E16824">
      <w:pPr>
        <w:pStyle w:val="FootnoteText"/>
        <w:rPr>
          <w:sz w:val="18"/>
          <w:szCs w:val="18"/>
          <w:lang w:val="lv-LV"/>
        </w:rPr>
      </w:pPr>
      <w:r>
        <w:rPr>
          <w:rStyle w:val="FootnoteReference"/>
        </w:rPr>
        <w:footnoteRef/>
      </w:r>
      <w:r>
        <w:t xml:space="preserve"> </w:t>
      </w:r>
      <w:r w:rsidRPr="00EA5C9D">
        <w:rPr>
          <w:sz w:val="18"/>
          <w:szCs w:val="18"/>
          <w:lang w:val="lv-LV"/>
        </w:rPr>
        <w:t>Jebkurš Latvijas Republikas vai ES tiesību akta pārkāpums</w:t>
      </w:r>
      <w:r w:rsidRPr="00EA5C9D">
        <w:rPr>
          <w:bCs/>
          <w:sz w:val="18"/>
          <w:szCs w:val="18"/>
          <w:lang w:val="lv-LV"/>
        </w:rPr>
        <w:t xml:space="preserve">, </w:t>
      </w:r>
      <w:r w:rsidRPr="00EA5C9D">
        <w:rPr>
          <w:sz w:val="18"/>
          <w:szCs w:val="18"/>
          <w:lang w:val="lv-LV"/>
        </w:rPr>
        <w:t xml:space="preserve">kas atbilst </w:t>
      </w:r>
      <w:r w:rsidRPr="00EA5C9D">
        <w:rPr>
          <w:bCs/>
          <w:sz w:val="18"/>
          <w:szCs w:val="18"/>
          <w:lang w:val="lv-LV"/>
        </w:rPr>
        <w:t>Padomes 2006.gada 11.jūlija Regulas (EK) Nr.1083/2006, ar ko paredz vispārīgus noteikumus par Eiropas Reģionālās attīstības fondu, Eiropas Sociālo fondu un Kohēzijas fondu un atceļ Regulu (EK) Nr.1260/1999, 2.panta 7.punktā noteiktajam.</w:t>
      </w:r>
    </w:p>
  </w:footnote>
  <w:footnote w:id="10">
    <w:p w:rsidR="00B47A28" w:rsidRPr="00EA5C9D" w:rsidRDefault="00B47A28">
      <w:pPr>
        <w:pStyle w:val="FootnoteText"/>
      </w:pPr>
      <w:r>
        <w:rPr>
          <w:rStyle w:val="FootnoteReference"/>
        </w:rPr>
        <w:footnoteRef/>
      </w:r>
      <w:r>
        <w:t xml:space="preserve"> </w:t>
      </w:r>
      <w:r w:rsidRPr="00EA5C9D">
        <w:rPr>
          <w:sz w:val="18"/>
          <w:szCs w:val="18"/>
          <w:lang w:val="lv-LV"/>
        </w:rPr>
        <w:t>Darba grupa izveidota ar Finanšu ministrijas 2011.gada 19.augusta rīkojumu Nr.380 „Par Eiropas Savienības struktūrfondu un Kohēzijas fonda projektos identificēto neatbilstību ziņošanas Eiropas Komisijai darba grupu”</w:t>
      </w:r>
    </w:p>
  </w:footnote>
  <w:footnote w:id="11">
    <w:p w:rsidR="00B47A28" w:rsidRPr="00C72DE5" w:rsidRDefault="00B47A28" w:rsidP="00E34AAE">
      <w:pPr>
        <w:pStyle w:val="FootnoteText"/>
      </w:pPr>
      <w:r w:rsidRPr="00C72DE5">
        <w:rPr>
          <w:rStyle w:val="FootnoteReference"/>
        </w:rPr>
        <w:footnoteRef/>
      </w:r>
      <w:r w:rsidRPr="00C72DE5">
        <w:t xml:space="preserve"> </w:t>
      </w:r>
      <w:r w:rsidRPr="00C72DE5">
        <w:t>MK 2007.gada 26.jūnija noteikumos Nr.419 „Kārtība, kādā Eiropas Savienības struktūrfondu un Kohēzijas fonda vadībā iesaistītās institūcijas nodrošina plānošanas dokumentu sagatavošanu un šo fondu ieviešanu””</w:t>
      </w:r>
    </w:p>
  </w:footnote>
  <w:footnote w:id="12">
    <w:p w:rsidR="00B47A28" w:rsidRDefault="00B47A28" w:rsidP="00E34AAE">
      <w:pPr>
        <w:pStyle w:val="FootnoteText"/>
      </w:pPr>
      <w:r>
        <w:rPr>
          <w:rStyle w:val="FootnoteReference"/>
        </w:rPr>
        <w:footnoteRef/>
      </w:r>
      <w:r>
        <w:rPr>
          <w:bCs/>
          <w:lang w:val="lv-LV" w:eastAsia="lv-LV"/>
        </w:rPr>
        <w:t xml:space="preserve"> </w:t>
      </w:r>
      <w:r w:rsidRPr="00006143">
        <w:rPr>
          <w:bCs/>
          <w:lang w:eastAsia="lv-LV"/>
        </w:rPr>
        <w:t>PADOMES REGULA (EK</w:t>
      </w:r>
      <w:r w:rsidRPr="00EC5BED">
        <w:t>) Nr.1083/2006</w:t>
      </w:r>
      <w:r w:rsidRPr="00EC5BED">
        <w:rPr>
          <w:b/>
          <w:bCs/>
        </w:rPr>
        <w:t xml:space="preserve"> </w:t>
      </w:r>
      <w:r w:rsidRPr="00EC5BED">
        <w:t>(2006. gada 11. jūlijs), ar ko paredz vispārīgus noteikumus par Eiropas Reģionālās attīstības fondu, Eiropas Sociālo fondu un Kohēzijas fondu un atceļ Regulu (EK) Nr.1260/1999</w:t>
      </w:r>
    </w:p>
  </w:footnote>
  <w:footnote w:id="13">
    <w:p w:rsidR="00B47A28" w:rsidRPr="00F90807" w:rsidRDefault="00B47A28" w:rsidP="00E34AAE">
      <w:pPr>
        <w:pStyle w:val="FootnoteText"/>
      </w:pPr>
      <w:r w:rsidRPr="00F90807">
        <w:rPr>
          <w:rStyle w:val="FootnoteReference"/>
        </w:rPr>
        <w:footnoteRef/>
      </w:r>
      <w:r w:rsidRPr="00F90807">
        <w:t xml:space="preserve"> </w:t>
      </w:r>
      <w:r w:rsidRPr="00F90807">
        <w:t>Audita ziņojums Eiropas Komisijas Reģionālās politikas ģenerāldirektorātam un Eiropas Komisijas Nodarbinātības, sociālo lietu un vienlīdzīgu iespēju ģenerāldirektorātam par Eiropas Savienības struktūrfondu un Kohēzijas fonda 2007.-2013.gada plānošanas perioda izveidotās vadības un kontroles sistēmas darbības efektivitāti Finanšu ministrijā kā vadošajā iestādē</w:t>
      </w:r>
    </w:p>
  </w:footnote>
  <w:footnote w:id="14">
    <w:p w:rsidR="00B47A28" w:rsidRDefault="00B47A28" w:rsidP="00E34AAE">
      <w:pPr>
        <w:pStyle w:val="FootnoteText"/>
      </w:pPr>
      <w:r w:rsidRPr="00C72DE5">
        <w:rPr>
          <w:rStyle w:val="FootnoteReference"/>
        </w:rPr>
        <w:footnoteRef/>
      </w:r>
      <w:r w:rsidRPr="00C72DE5">
        <w:t xml:space="preserve"> </w:t>
      </w:r>
      <w:r w:rsidRPr="00C72DE5">
        <w:rPr>
          <w:rStyle w:val="spelle"/>
        </w:rPr>
        <w:t>MK 2008.gada 5.februāra noteikumu Nr.65 „Noteikumi par iepirkuma procedūru un tās piemērošanas kārtību pasūtītāja finansētiem projektiem”</w:t>
      </w:r>
      <w:r w:rsidRPr="000E276B">
        <w:rPr>
          <w:rStyle w:val="spelle"/>
          <w:sz w:val="24"/>
          <w:szCs w:val="24"/>
        </w:rPr>
        <w:t xml:space="preserve">  </w:t>
      </w:r>
    </w:p>
  </w:footnote>
  <w:footnote w:id="15">
    <w:p w:rsidR="00B47A28" w:rsidRPr="009C682A" w:rsidRDefault="00B47A28">
      <w:pPr>
        <w:pStyle w:val="FootnoteText"/>
        <w:rPr>
          <w:lang w:val="lv-LV"/>
        </w:rPr>
      </w:pPr>
      <w:r>
        <w:rPr>
          <w:rStyle w:val="FootnoteReference"/>
        </w:rPr>
        <w:footnoteRef/>
      </w:r>
      <w:r>
        <w:t xml:space="preserve"> </w:t>
      </w:r>
      <w:r>
        <w:rPr>
          <w:lang w:val="lv-LV"/>
        </w:rPr>
        <w:t>P</w:t>
      </w:r>
      <w:proofErr w:type="spellStart"/>
      <w:r>
        <w:t>apildus</w:t>
      </w:r>
      <w:proofErr w:type="spellEnd"/>
      <w:r>
        <w:t xml:space="preserve"> </w:t>
      </w:r>
      <w:r w:rsidRPr="0062512F">
        <w:t xml:space="preserve">LM </w:t>
      </w:r>
      <w:r>
        <w:t>indikatīvi nepieciešam</w:t>
      </w:r>
      <w:r>
        <w:rPr>
          <w:lang w:val="lv-LV"/>
        </w:rPr>
        <w:t>s</w:t>
      </w:r>
      <w:r>
        <w:t xml:space="preserve"> finansējum</w:t>
      </w:r>
      <w:r>
        <w:rPr>
          <w:lang w:val="lv-LV"/>
        </w:rPr>
        <w:t>s</w:t>
      </w:r>
      <w:r w:rsidRPr="0062512F">
        <w:t xml:space="preserve"> 26,7 </w:t>
      </w:r>
      <w:proofErr w:type="spellStart"/>
      <w:r w:rsidRPr="0062512F">
        <w:t>milj</w:t>
      </w:r>
      <w:proofErr w:type="spellEnd"/>
      <w:r w:rsidRPr="0062512F">
        <w:t>. LVL apmērā pēc ierosināto DP grozījumu apstiprināšanas</w:t>
      </w:r>
      <w:r>
        <w:rPr>
          <w:lang w:val="lv-LV"/>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28" w:rsidRDefault="00B47A28" w:rsidP="0079067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7A28" w:rsidRDefault="00B47A28" w:rsidP="0079067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28" w:rsidRDefault="00B47A28" w:rsidP="0079067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604C">
      <w:rPr>
        <w:rStyle w:val="PageNumber"/>
        <w:noProof/>
      </w:rPr>
      <w:t>18</w:t>
    </w:r>
    <w:r>
      <w:rPr>
        <w:rStyle w:val="PageNumber"/>
      </w:rPr>
      <w:fldChar w:fldCharType="end"/>
    </w:r>
  </w:p>
  <w:p w:rsidR="00B47A28" w:rsidRDefault="00B47A28" w:rsidP="00095E6A">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28" w:rsidRDefault="00B47A28">
    <w:pPr>
      <w:pStyle w:val="Header"/>
    </w:pPr>
  </w:p>
  <w:p w:rsidR="00B47A28" w:rsidRDefault="00B47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956"/>
    <w:multiLevelType w:val="hybridMultilevel"/>
    <w:tmpl w:val="77AA398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3EF06DC"/>
    <w:multiLevelType w:val="multilevel"/>
    <w:tmpl w:val="5FB402A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nsid w:val="05B40A31"/>
    <w:multiLevelType w:val="hybridMultilevel"/>
    <w:tmpl w:val="42CA901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6004CA1"/>
    <w:multiLevelType w:val="hybridMultilevel"/>
    <w:tmpl w:val="7010A11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06714B44"/>
    <w:multiLevelType w:val="hybridMultilevel"/>
    <w:tmpl w:val="5DA4D658"/>
    <w:lvl w:ilvl="0" w:tplc="337EC6F4">
      <w:start w:val="3"/>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6ED7166"/>
    <w:multiLevelType w:val="hybridMultilevel"/>
    <w:tmpl w:val="3BB4F3E0"/>
    <w:lvl w:ilvl="0" w:tplc="93B8957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7A03358"/>
    <w:multiLevelType w:val="hybridMultilevel"/>
    <w:tmpl w:val="0368F6B4"/>
    <w:lvl w:ilvl="0" w:tplc="DFBA7E10">
      <w:start w:val="3"/>
      <w:numFmt w:val="bullet"/>
      <w:lvlText w:val="-"/>
      <w:lvlJc w:val="left"/>
      <w:pPr>
        <w:ind w:left="1440" w:hanging="360"/>
      </w:pPr>
      <w:rPr>
        <w:rFonts w:ascii="Times New Roman" w:eastAsia="EUAlbertina-Bold-Identity-H"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0A6F04CB"/>
    <w:multiLevelType w:val="hybridMultilevel"/>
    <w:tmpl w:val="07B052A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B0F764E"/>
    <w:multiLevelType w:val="hybridMultilevel"/>
    <w:tmpl w:val="7010A11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0B43478B"/>
    <w:multiLevelType w:val="hybridMultilevel"/>
    <w:tmpl w:val="262E1BBE"/>
    <w:lvl w:ilvl="0" w:tplc="04260017">
      <w:start w:val="1"/>
      <w:numFmt w:val="lowerLetter"/>
      <w:lvlText w:val="%1)"/>
      <w:lvlJc w:val="left"/>
      <w:pPr>
        <w:ind w:left="786" w:hanging="360"/>
      </w:pPr>
      <w:rPr>
        <w:rFonts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0">
    <w:nsid w:val="0B6C7256"/>
    <w:multiLevelType w:val="hybridMultilevel"/>
    <w:tmpl w:val="4E14A3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0C4D0DD0"/>
    <w:multiLevelType w:val="hybridMultilevel"/>
    <w:tmpl w:val="52DADC90"/>
    <w:lvl w:ilvl="0" w:tplc="121E8F6E">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0CCB6FB0"/>
    <w:multiLevelType w:val="hybridMultilevel"/>
    <w:tmpl w:val="7010A11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0DAE7988"/>
    <w:multiLevelType w:val="hybridMultilevel"/>
    <w:tmpl w:val="7010A11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nsid w:val="0FAA29E6"/>
    <w:multiLevelType w:val="hybridMultilevel"/>
    <w:tmpl w:val="25963E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11B5119D"/>
    <w:multiLevelType w:val="hybridMultilevel"/>
    <w:tmpl w:val="30F6B59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nsid w:val="140241B2"/>
    <w:multiLevelType w:val="hybridMultilevel"/>
    <w:tmpl w:val="5CAA46F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nsid w:val="1513246D"/>
    <w:multiLevelType w:val="hybridMultilevel"/>
    <w:tmpl w:val="390256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15976F59"/>
    <w:multiLevelType w:val="hybridMultilevel"/>
    <w:tmpl w:val="7010A11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18B05B29"/>
    <w:multiLevelType w:val="hybridMultilevel"/>
    <w:tmpl w:val="CDBE8A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18DF532F"/>
    <w:multiLevelType w:val="hybridMultilevel"/>
    <w:tmpl w:val="51CC82DC"/>
    <w:lvl w:ilvl="0" w:tplc="ED883BBE">
      <w:numFmt w:val="bullet"/>
      <w:lvlText w:val=""/>
      <w:lvlJc w:val="left"/>
      <w:pPr>
        <w:ind w:left="76" w:hanging="360"/>
      </w:pPr>
      <w:rPr>
        <w:rFonts w:ascii="Symbol" w:eastAsia="Times New Roman" w:hAnsi="Symbol" w:cs="Times New Roman" w:hint="default"/>
      </w:rPr>
    </w:lvl>
    <w:lvl w:ilvl="1" w:tplc="04260003" w:tentative="1">
      <w:start w:val="1"/>
      <w:numFmt w:val="bullet"/>
      <w:lvlText w:val="o"/>
      <w:lvlJc w:val="left"/>
      <w:pPr>
        <w:ind w:left="796" w:hanging="360"/>
      </w:pPr>
      <w:rPr>
        <w:rFonts w:ascii="Courier New" w:hAnsi="Courier New" w:cs="Courier New" w:hint="default"/>
      </w:rPr>
    </w:lvl>
    <w:lvl w:ilvl="2" w:tplc="04260005" w:tentative="1">
      <w:start w:val="1"/>
      <w:numFmt w:val="bullet"/>
      <w:lvlText w:val=""/>
      <w:lvlJc w:val="left"/>
      <w:pPr>
        <w:ind w:left="1516" w:hanging="360"/>
      </w:pPr>
      <w:rPr>
        <w:rFonts w:ascii="Wingdings" w:hAnsi="Wingdings" w:hint="default"/>
      </w:rPr>
    </w:lvl>
    <w:lvl w:ilvl="3" w:tplc="04260001" w:tentative="1">
      <w:start w:val="1"/>
      <w:numFmt w:val="bullet"/>
      <w:lvlText w:val=""/>
      <w:lvlJc w:val="left"/>
      <w:pPr>
        <w:ind w:left="2236" w:hanging="360"/>
      </w:pPr>
      <w:rPr>
        <w:rFonts w:ascii="Symbol" w:hAnsi="Symbol" w:hint="default"/>
      </w:rPr>
    </w:lvl>
    <w:lvl w:ilvl="4" w:tplc="04260003" w:tentative="1">
      <w:start w:val="1"/>
      <w:numFmt w:val="bullet"/>
      <w:lvlText w:val="o"/>
      <w:lvlJc w:val="left"/>
      <w:pPr>
        <w:ind w:left="2956" w:hanging="360"/>
      </w:pPr>
      <w:rPr>
        <w:rFonts w:ascii="Courier New" w:hAnsi="Courier New" w:cs="Courier New" w:hint="default"/>
      </w:rPr>
    </w:lvl>
    <w:lvl w:ilvl="5" w:tplc="04260005" w:tentative="1">
      <w:start w:val="1"/>
      <w:numFmt w:val="bullet"/>
      <w:lvlText w:val=""/>
      <w:lvlJc w:val="left"/>
      <w:pPr>
        <w:ind w:left="3676" w:hanging="360"/>
      </w:pPr>
      <w:rPr>
        <w:rFonts w:ascii="Wingdings" w:hAnsi="Wingdings" w:hint="default"/>
      </w:rPr>
    </w:lvl>
    <w:lvl w:ilvl="6" w:tplc="04260001" w:tentative="1">
      <w:start w:val="1"/>
      <w:numFmt w:val="bullet"/>
      <w:lvlText w:val=""/>
      <w:lvlJc w:val="left"/>
      <w:pPr>
        <w:ind w:left="4396" w:hanging="360"/>
      </w:pPr>
      <w:rPr>
        <w:rFonts w:ascii="Symbol" w:hAnsi="Symbol" w:hint="default"/>
      </w:rPr>
    </w:lvl>
    <w:lvl w:ilvl="7" w:tplc="04260003" w:tentative="1">
      <w:start w:val="1"/>
      <w:numFmt w:val="bullet"/>
      <w:lvlText w:val="o"/>
      <w:lvlJc w:val="left"/>
      <w:pPr>
        <w:ind w:left="5116" w:hanging="360"/>
      </w:pPr>
      <w:rPr>
        <w:rFonts w:ascii="Courier New" w:hAnsi="Courier New" w:cs="Courier New" w:hint="default"/>
      </w:rPr>
    </w:lvl>
    <w:lvl w:ilvl="8" w:tplc="04260005" w:tentative="1">
      <w:start w:val="1"/>
      <w:numFmt w:val="bullet"/>
      <w:lvlText w:val=""/>
      <w:lvlJc w:val="left"/>
      <w:pPr>
        <w:ind w:left="5836" w:hanging="360"/>
      </w:pPr>
      <w:rPr>
        <w:rFonts w:ascii="Wingdings" w:hAnsi="Wingdings" w:hint="default"/>
      </w:rPr>
    </w:lvl>
  </w:abstractNum>
  <w:abstractNum w:abstractNumId="21">
    <w:nsid w:val="1CDC6810"/>
    <w:multiLevelType w:val="hybridMultilevel"/>
    <w:tmpl w:val="262E1BBE"/>
    <w:lvl w:ilvl="0" w:tplc="04260017">
      <w:start w:val="1"/>
      <w:numFmt w:val="lowerLetter"/>
      <w:lvlText w:val="%1)"/>
      <w:lvlJc w:val="left"/>
      <w:pPr>
        <w:ind w:left="786" w:hanging="360"/>
      </w:pPr>
      <w:rPr>
        <w:rFonts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2">
    <w:nsid w:val="1E57208C"/>
    <w:multiLevelType w:val="hybridMultilevel"/>
    <w:tmpl w:val="262E1BBE"/>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1E794DAD"/>
    <w:multiLevelType w:val="hybridMultilevel"/>
    <w:tmpl w:val="89FE661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nsid w:val="1ED34092"/>
    <w:multiLevelType w:val="hybridMultilevel"/>
    <w:tmpl w:val="5AFCF4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nsid w:val="1F054221"/>
    <w:multiLevelType w:val="hybridMultilevel"/>
    <w:tmpl w:val="CFD8162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1F1C1E4C"/>
    <w:multiLevelType w:val="multilevel"/>
    <w:tmpl w:val="5FB402A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nsid w:val="223635A5"/>
    <w:multiLevelType w:val="hybridMultilevel"/>
    <w:tmpl w:val="611CF9C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229726DA"/>
    <w:multiLevelType w:val="hybridMultilevel"/>
    <w:tmpl w:val="262E1BBE"/>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23B05761"/>
    <w:multiLevelType w:val="hybridMultilevel"/>
    <w:tmpl w:val="B67E79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25957B88"/>
    <w:multiLevelType w:val="hybridMultilevel"/>
    <w:tmpl w:val="A30EF7C8"/>
    <w:lvl w:ilvl="0" w:tplc="39E433DA">
      <w:start w:val="1"/>
      <w:numFmt w:val="bullet"/>
      <w:lvlText w:val="–"/>
      <w:lvlJc w:val="left"/>
      <w:pPr>
        <w:ind w:left="790" w:hanging="360"/>
      </w:pPr>
      <w:rPr>
        <w:rFonts w:ascii="Times New Roman" w:hAnsi="Times New Roman" w:cs="Times New Roman"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31">
    <w:nsid w:val="2B761344"/>
    <w:multiLevelType w:val="hybridMultilevel"/>
    <w:tmpl w:val="A76A35EA"/>
    <w:lvl w:ilvl="0" w:tplc="67D826B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2D845086"/>
    <w:multiLevelType w:val="hybridMultilevel"/>
    <w:tmpl w:val="C7628470"/>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nsid w:val="2F7D1D91"/>
    <w:multiLevelType w:val="hybridMultilevel"/>
    <w:tmpl w:val="262E1BBE"/>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334516B1"/>
    <w:multiLevelType w:val="hybridMultilevel"/>
    <w:tmpl w:val="262E1BBE"/>
    <w:lvl w:ilvl="0" w:tplc="04260017">
      <w:start w:val="1"/>
      <w:numFmt w:val="lowerLetter"/>
      <w:lvlText w:val="%1)"/>
      <w:lvlJc w:val="left"/>
      <w:pPr>
        <w:ind w:left="786" w:hanging="360"/>
      </w:pPr>
      <w:rPr>
        <w:rFonts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5">
    <w:nsid w:val="337261A9"/>
    <w:multiLevelType w:val="hybridMultilevel"/>
    <w:tmpl w:val="4E14A3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nsid w:val="352D433F"/>
    <w:multiLevelType w:val="hybridMultilevel"/>
    <w:tmpl w:val="6BB8F13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372E10AF"/>
    <w:multiLevelType w:val="hybridMultilevel"/>
    <w:tmpl w:val="9F38C0D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nsid w:val="376860D9"/>
    <w:multiLevelType w:val="multilevel"/>
    <w:tmpl w:val="0426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9">
    <w:nsid w:val="396A60EB"/>
    <w:multiLevelType w:val="hybridMultilevel"/>
    <w:tmpl w:val="A0183ECC"/>
    <w:lvl w:ilvl="0" w:tplc="DFBA7E10">
      <w:start w:val="3"/>
      <w:numFmt w:val="bullet"/>
      <w:lvlText w:val="-"/>
      <w:lvlJc w:val="left"/>
      <w:pPr>
        <w:ind w:left="720" w:hanging="360"/>
      </w:pPr>
      <w:rPr>
        <w:rFonts w:ascii="Times New Roman" w:eastAsia="EUAlbertina-Bold-Identity-H"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3E1F6AD2"/>
    <w:multiLevelType w:val="hybridMultilevel"/>
    <w:tmpl w:val="7A6C065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3FAC6407"/>
    <w:multiLevelType w:val="hybridMultilevel"/>
    <w:tmpl w:val="4866F8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3FE57F71"/>
    <w:multiLevelType w:val="hybridMultilevel"/>
    <w:tmpl w:val="CD606F3E"/>
    <w:lvl w:ilvl="0" w:tplc="DFBA7E10">
      <w:start w:val="3"/>
      <w:numFmt w:val="bullet"/>
      <w:lvlText w:val="-"/>
      <w:lvlJc w:val="left"/>
      <w:pPr>
        <w:ind w:left="720" w:hanging="360"/>
      </w:pPr>
      <w:rPr>
        <w:rFonts w:ascii="Times New Roman" w:eastAsia="EUAlbertina-Bold-Identity-H"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3FEC1250"/>
    <w:multiLevelType w:val="hybridMultilevel"/>
    <w:tmpl w:val="611CF9C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464460DF"/>
    <w:multiLevelType w:val="hybridMultilevel"/>
    <w:tmpl w:val="3ADA1A0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5">
    <w:nsid w:val="46E5757F"/>
    <w:multiLevelType w:val="hybridMultilevel"/>
    <w:tmpl w:val="970423B6"/>
    <w:lvl w:ilvl="0" w:tplc="389878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6">
    <w:nsid w:val="478625D8"/>
    <w:multiLevelType w:val="hybridMultilevel"/>
    <w:tmpl w:val="2BEA00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4BD7448A"/>
    <w:multiLevelType w:val="hybridMultilevel"/>
    <w:tmpl w:val="403CA608"/>
    <w:lvl w:ilvl="0" w:tplc="67D826B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nsid w:val="4C3A1A07"/>
    <w:multiLevelType w:val="multilevel"/>
    <w:tmpl w:val="5FB402A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9">
    <w:nsid w:val="4CB3424A"/>
    <w:multiLevelType w:val="hybridMultilevel"/>
    <w:tmpl w:val="262E1BBE"/>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nsid w:val="4D480755"/>
    <w:multiLevelType w:val="hybridMultilevel"/>
    <w:tmpl w:val="FDE26FC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nsid w:val="4E0B477D"/>
    <w:multiLevelType w:val="hybridMultilevel"/>
    <w:tmpl w:val="AD38CBF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2">
    <w:nsid w:val="4F2A3C06"/>
    <w:multiLevelType w:val="hybridMultilevel"/>
    <w:tmpl w:val="0548F2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nsid w:val="51057464"/>
    <w:multiLevelType w:val="hybridMultilevel"/>
    <w:tmpl w:val="7010A11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4">
    <w:nsid w:val="5168500D"/>
    <w:multiLevelType w:val="hybridMultilevel"/>
    <w:tmpl w:val="390256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nsid w:val="51AD102D"/>
    <w:multiLevelType w:val="hybridMultilevel"/>
    <w:tmpl w:val="7010A11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6">
    <w:nsid w:val="51F27703"/>
    <w:multiLevelType w:val="hybridMultilevel"/>
    <w:tmpl w:val="1372619A"/>
    <w:lvl w:ilvl="0" w:tplc="0426000F">
      <w:start w:val="1"/>
      <w:numFmt w:val="decimal"/>
      <w:lvlText w:val="%1."/>
      <w:lvlJc w:val="left"/>
      <w:pPr>
        <w:ind w:left="720" w:hanging="360"/>
      </w:pPr>
    </w:lvl>
    <w:lvl w:ilvl="1" w:tplc="DFBA7E10">
      <w:start w:val="3"/>
      <w:numFmt w:val="bullet"/>
      <w:lvlText w:val="-"/>
      <w:lvlJc w:val="left"/>
      <w:pPr>
        <w:ind w:left="1440" w:hanging="360"/>
      </w:pPr>
      <w:rPr>
        <w:rFonts w:ascii="Times New Roman" w:eastAsia="EUAlbertina-Bold-Identity-H"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nsid w:val="521E0D08"/>
    <w:multiLevelType w:val="hybridMultilevel"/>
    <w:tmpl w:val="CD04B20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8">
    <w:nsid w:val="52C93CA0"/>
    <w:multiLevelType w:val="hybridMultilevel"/>
    <w:tmpl w:val="A26485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nsid w:val="54EA6E6C"/>
    <w:multiLevelType w:val="hybridMultilevel"/>
    <w:tmpl w:val="3AB839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nsid w:val="562A5944"/>
    <w:multiLevelType w:val="hybridMultilevel"/>
    <w:tmpl w:val="7B641A5E"/>
    <w:lvl w:ilvl="0" w:tplc="93B8957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nsid w:val="565A7936"/>
    <w:multiLevelType w:val="hybridMultilevel"/>
    <w:tmpl w:val="E0C21D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nsid w:val="5788451D"/>
    <w:multiLevelType w:val="hybridMultilevel"/>
    <w:tmpl w:val="628AC4BE"/>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3">
    <w:nsid w:val="57C27AD2"/>
    <w:multiLevelType w:val="multilevel"/>
    <w:tmpl w:val="0426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4">
    <w:nsid w:val="598803C3"/>
    <w:multiLevelType w:val="hybridMultilevel"/>
    <w:tmpl w:val="1C08BE6A"/>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nsid w:val="5B1449B9"/>
    <w:multiLevelType w:val="hybridMultilevel"/>
    <w:tmpl w:val="EE6C5A88"/>
    <w:lvl w:ilvl="0" w:tplc="DFBA7E10">
      <w:start w:val="3"/>
      <w:numFmt w:val="bullet"/>
      <w:lvlText w:val="-"/>
      <w:lvlJc w:val="left"/>
      <w:pPr>
        <w:ind w:left="720" w:hanging="360"/>
      </w:pPr>
      <w:rPr>
        <w:rFonts w:ascii="Times New Roman" w:eastAsia="EUAlbertina-Bold-Identity-H"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67">
    <w:nsid w:val="5E176C54"/>
    <w:multiLevelType w:val="hybridMultilevel"/>
    <w:tmpl w:val="9F38C0D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8">
    <w:nsid w:val="5F96518B"/>
    <w:multiLevelType w:val="multilevel"/>
    <w:tmpl w:val="0AAE01CA"/>
    <w:lvl w:ilvl="0">
      <w:start w:val="1"/>
      <w:numFmt w:val="decimal"/>
      <w:pStyle w:val="1lmenis"/>
      <w:lvlText w:val="%1."/>
      <w:lvlJc w:val="left"/>
      <w:pPr>
        <w:ind w:left="786"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353"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9">
    <w:nsid w:val="600A1BE6"/>
    <w:multiLevelType w:val="singleLevel"/>
    <w:tmpl w:val="CC80D138"/>
    <w:lvl w:ilvl="0">
      <w:start w:val="1"/>
      <w:numFmt w:val="decimal"/>
      <w:pStyle w:val="Bullet1Rakstz"/>
      <w:lvlText w:val="%1."/>
      <w:lvlJc w:val="left"/>
      <w:pPr>
        <w:tabs>
          <w:tab w:val="num" w:pos="717"/>
        </w:tabs>
        <w:ind w:left="717" w:hanging="360"/>
      </w:pPr>
    </w:lvl>
  </w:abstractNum>
  <w:abstractNum w:abstractNumId="70">
    <w:nsid w:val="65094C6F"/>
    <w:multiLevelType w:val="hybridMultilevel"/>
    <w:tmpl w:val="AE4E59C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1">
    <w:nsid w:val="6547250F"/>
    <w:multiLevelType w:val="hybridMultilevel"/>
    <w:tmpl w:val="7010A11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2">
    <w:nsid w:val="65995844"/>
    <w:multiLevelType w:val="hybridMultilevel"/>
    <w:tmpl w:val="2F7899E0"/>
    <w:lvl w:ilvl="0" w:tplc="7312118A">
      <w:start w:val="2011"/>
      <w:numFmt w:val="bullet"/>
      <w:lvlText w:val="-"/>
      <w:lvlJc w:val="left"/>
      <w:pPr>
        <w:ind w:left="1778" w:hanging="360"/>
      </w:pPr>
      <w:rPr>
        <w:rFonts w:ascii="Times New Roman" w:eastAsia="EUAlbertina-Bold-Identity-H" w:hAnsi="Times New Roman" w:cs="Times New Roman" w:hint="default"/>
      </w:rPr>
    </w:lvl>
    <w:lvl w:ilvl="1" w:tplc="04260003" w:tentative="1">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73">
    <w:nsid w:val="661D3247"/>
    <w:multiLevelType w:val="hybridMultilevel"/>
    <w:tmpl w:val="ACD4DD8E"/>
    <w:lvl w:ilvl="0" w:tplc="DFBA7E10">
      <w:start w:val="3"/>
      <w:numFmt w:val="bullet"/>
      <w:lvlText w:val="-"/>
      <w:lvlJc w:val="left"/>
      <w:pPr>
        <w:ind w:left="720" w:hanging="360"/>
      </w:pPr>
      <w:rPr>
        <w:rFonts w:ascii="Times New Roman" w:eastAsia="EUAlbertina-Bold-Identity-H"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4">
    <w:nsid w:val="692D2C4B"/>
    <w:multiLevelType w:val="hybridMultilevel"/>
    <w:tmpl w:val="F656C596"/>
    <w:lvl w:ilvl="0" w:tplc="DFBA7E10">
      <w:start w:val="3"/>
      <w:numFmt w:val="bullet"/>
      <w:lvlText w:val="-"/>
      <w:lvlJc w:val="left"/>
      <w:pPr>
        <w:ind w:left="720" w:hanging="360"/>
      </w:pPr>
      <w:rPr>
        <w:rFonts w:ascii="Times New Roman" w:eastAsia="EUAlbertina-Bold-Identity-H"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5">
    <w:nsid w:val="69AF20EB"/>
    <w:multiLevelType w:val="hybridMultilevel"/>
    <w:tmpl w:val="FD38D24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6">
    <w:nsid w:val="6B02766E"/>
    <w:multiLevelType w:val="hybridMultilevel"/>
    <w:tmpl w:val="AB58FF56"/>
    <w:lvl w:ilvl="0" w:tplc="260C1624">
      <w:start w:val="1"/>
      <w:numFmt w:val="lowerLetter"/>
      <w:lvlText w:val="%1)"/>
      <w:lvlJc w:val="left"/>
      <w:pPr>
        <w:ind w:left="720" w:hanging="36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7">
    <w:nsid w:val="6CF55008"/>
    <w:multiLevelType w:val="multilevel"/>
    <w:tmpl w:val="F2EA7A0A"/>
    <w:lvl w:ilvl="0">
      <w:start w:val="1"/>
      <w:numFmt w:val="decimal"/>
      <w:lvlText w:val="%1."/>
      <w:lvlJc w:val="left"/>
      <w:pPr>
        <w:ind w:left="644" w:hanging="360"/>
      </w:pPr>
      <w:rPr>
        <w:rFonts w:hint="default"/>
        <w:i w:val="0"/>
        <w:color w:val="auto"/>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8">
    <w:nsid w:val="6D6F1931"/>
    <w:multiLevelType w:val="hybridMultilevel"/>
    <w:tmpl w:val="CDBE8A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9">
    <w:nsid w:val="6DB640D4"/>
    <w:multiLevelType w:val="hybridMultilevel"/>
    <w:tmpl w:val="7DE898A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0">
    <w:nsid w:val="71E70076"/>
    <w:multiLevelType w:val="hybridMultilevel"/>
    <w:tmpl w:val="C6B8F37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1">
    <w:nsid w:val="73723ACC"/>
    <w:multiLevelType w:val="hybridMultilevel"/>
    <w:tmpl w:val="CDD27B46"/>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2">
    <w:nsid w:val="75BF6751"/>
    <w:multiLevelType w:val="hybridMultilevel"/>
    <w:tmpl w:val="C79648FA"/>
    <w:lvl w:ilvl="0" w:tplc="337EC6F4">
      <w:start w:val="3"/>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3">
    <w:nsid w:val="774158D6"/>
    <w:multiLevelType w:val="hybridMultilevel"/>
    <w:tmpl w:val="C69CEE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4">
    <w:nsid w:val="7904514C"/>
    <w:multiLevelType w:val="hybridMultilevel"/>
    <w:tmpl w:val="7010A11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5">
    <w:nsid w:val="7AEA3CFD"/>
    <w:multiLevelType w:val="hybridMultilevel"/>
    <w:tmpl w:val="FB6270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6">
    <w:nsid w:val="7B8E4033"/>
    <w:multiLevelType w:val="hybridMultilevel"/>
    <w:tmpl w:val="262E1BBE"/>
    <w:lvl w:ilvl="0" w:tplc="04260017">
      <w:start w:val="1"/>
      <w:numFmt w:val="lowerLetter"/>
      <w:lvlText w:val="%1)"/>
      <w:lvlJc w:val="left"/>
      <w:pPr>
        <w:ind w:left="786" w:hanging="360"/>
      </w:pPr>
      <w:rPr>
        <w:rFonts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87">
    <w:nsid w:val="7D9F17B7"/>
    <w:multiLevelType w:val="multilevel"/>
    <w:tmpl w:val="5FB402A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8">
    <w:nsid w:val="7EE62290"/>
    <w:multiLevelType w:val="hybridMultilevel"/>
    <w:tmpl w:val="4DB23CF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9"/>
    <w:lvlOverride w:ilvl="0">
      <w:startOverride w:val="1"/>
    </w:lvlOverride>
  </w:num>
  <w:num w:numId="2">
    <w:abstractNumId w:val="68"/>
  </w:num>
  <w:num w:numId="3">
    <w:abstractNumId w:val="66"/>
  </w:num>
  <w:num w:numId="4">
    <w:abstractNumId w:val="67"/>
  </w:num>
  <w:num w:numId="5">
    <w:abstractNumId w:val="78"/>
  </w:num>
  <w:num w:numId="6">
    <w:abstractNumId w:val="4"/>
  </w:num>
  <w:num w:numId="7">
    <w:abstractNumId w:val="19"/>
  </w:num>
  <w:num w:numId="8">
    <w:abstractNumId w:val="29"/>
  </w:num>
  <w:num w:numId="9">
    <w:abstractNumId w:val="2"/>
  </w:num>
  <w:num w:numId="10">
    <w:abstractNumId w:val="58"/>
  </w:num>
  <w:num w:numId="11">
    <w:abstractNumId w:val="62"/>
  </w:num>
  <w:num w:numId="12">
    <w:abstractNumId w:val="15"/>
  </w:num>
  <w:num w:numId="13">
    <w:abstractNumId w:val="30"/>
  </w:num>
  <w:num w:numId="14">
    <w:abstractNumId w:val="83"/>
  </w:num>
  <w:num w:numId="15">
    <w:abstractNumId w:val="8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73"/>
  </w:num>
  <w:num w:numId="19">
    <w:abstractNumId w:val="74"/>
  </w:num>
  <w:num w:numId="20">
    <w:abstractNumId w:val="80"/>
  </w:num>
  <w:num w:numId="21">
    <w:abstractNumId w:val="42"/>
  </w:num>
  <w:num w:numId="22">
    <w:abstractNumId w:val="65"/>
  </w:num>
  <w:num w:numId="23">
    <w:abstractNumId w:val="39"/>
  </w:num>
  <w:num w:numId="24">
    <w:abstractNumId w:val="16"/>
  </w:num>
  <w:num w:numId="25">
    <w:abstractNumId w:val="11"/>
  </w:num>
  <w:num w:numId="26">
    <w:abstractNumId w:val="23"/>
  </w:num>
  <w:num w:numId="27">
    <w:abstractNumId w:val="68"/>
  </w:num>
  <w:num w:numId="28">
    <w:abstractNumId w:val="70"/>
  </w:num>
  <w:num w:numId="29">
    <w:abstractNumId w:val="45"/>
  </w:num>
  <w:num w:numId="30">
    <w:abstractNumId w:val="52"/>
  </w:num>
  <w:num w:numId="31">
    <w:abstractNumId w:val="88"/>
  </w:num>
  <w:num w:numId="32">
    <w:abstractNumId w:val="6"/>
  </w:num>
  <w:num w:numId="33">
    <w:abstractNumId w:val="81"/>
  </w:num>
  <w:num w:numId="34">
    <w:abstractNumId w:val="41"/>
  </w:num>
  <w:num w:numId="35">
    <w:abstractNumId w:val="64"/>
  </w:num>
  <w:num w:numId="36">
    <w:abstractNumId w:val="56"/>
  </w:num>
  <w:num w:numId="37">
    <w:abstractNumId w:val="57"/>
  </w:num>
  <w:num w:numId="38">
    <w:abstractNumId w:val="24"/>
  </w:num>
  <w:num w:numId="39">
    <w:abstractNumId w:val="61"/>
  </w:num>
  <w:num w:numId="40">
    <w:abstractNumId w:val="79"/>
  </w:num>
  <w:num w:numId="41">
    <w:abstractNumId w:val="27"/>
  </w:num>
  <w:num w:numId="42">
    <w:abstractNumId w:val="59"/>
  </w:num>
  <w:num w:numId="43">
    <w:abstractNumId w:val="14"/>
  </w:num>
  <w:num w:numId="44">
    <w:abstractNumId w:val="35"/>
  </w:num>
  <w:num w:numId="45">
    <w:abstractNumId w:val="46"/>
  </w:num>
  <w:num w:numId="46">
    <w:abstractNumId w:val="22"/>
  </w:num>
  <w:num w:numId="47">
    <w:abstractNumId w:val="36"/>
  </w:num>
  <w:num w:numId="48">
    <w:abstractNumId w:val="40"/>
  </w:num>
  <w:num w:numId="49">
    <w:abstractNumId w:val="51"/>
  </w:num>
  <w:num w:numId="50">
    <w:abstractNumId w:val="0"/>
  </w:num>
  <w:num w:numId="51">
    <w:abstractNumId w:val="75"/>
  </w:num>
  <w:num w:numId="52">
    <w:abstractNumId w:val="38"/>
  </w:num>
  <w:num w:numId="53">
    <w:abstractNumId w:val="43"/>
  </w:num>
  <w:num w:numId="54">
    <w:abstractNumId w:val="12"/>
  </w:num>
  <w:num w:numId="55">
    <w:abstractNumId w:val="34"/>
  </w:num>
  <w:num w:numId="56">
    <w:abstractNumId w:val="86"/>
  </w:num>
  <w:num w:numId="57">
    <w:abstractNumId w:val="21"/>
  </w:num>
  <w:num w:numId="58">
    <w:abstractNumId w:val="55"/>
  </w:num>
  <w:num w:numId="59">
    <w:abstractNumId w:val="28"/>
  </w:num>
  <w:num w:numId="60">
    <w:abstractNumId w:val="33"/>
  </w:num>
  <w:num w:numId="61">
    <w:abstractNumId w:val="71"/>
  </w:num>
  <w:num w:numId="62">
    <w:abstractNumId w:val="3"/>
  </w:num>
  <w:num w:numId="63">
    <w:abstractNumId w:val="8"/>
  </w:num>
  <w:num w:numId="64">
    <w:abstractNumId w:val="84"/>
  </w:num>
  <w:num w:numId="65">
    <w:abstractNumId w:val="53"/>
  </w:num>
  <w:num w:numId="66">
    <w:abstractNumId w:val="49"/>
  </w:num>
  <w:num w:numId="67">
    <w:abstractNumId w:val="76"/>
  </w:num>
  <w:num w:numId="68">
    <w:abstractNumId w:val="37"/>
  </w:num>
  <w:num w:numId="69">
    <w:abstractNumId w:val="5"/>
  </w:num>
  <w:num w:numId="70">
    <w:abstractNumId w:val="60"/>
  </w:num>
  <w:num w:numId="71">
    <w:abstractNumId w:val="44"/>
  </w:num>
  <w:num w:numId="72">
    <w:abstractNumId w:val="63"/>
  </w:num>
  <w:num w:numId="73">
    <w:abstractNumId w:val="48"/>
  </w:num>
  <w:num w:numId="74">
    <w:abstractNumId w:val="87"/>
  </w:num>
  <w:num w:numId="75">
    <w:abstractNumId w:val="1"/>
  </w:num>
  <w:num w:numId="76">
    <w:abstractNumId w:val="26"/>
  </w:num>
  <w:num w:numId="77">
    <w:abstractNumId w:val="68"/>
  </w:num>
  <w:num w:numId="78">
    <w:abstractNumId w:val="68"/>
  </w:num>
  <w:num w:numId="79">
    <w:abstractNumId w:val="68"/>
  </w:num>
  <w:num w:numId="8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lvlOverride w:ilvl="0">
      <w:startOverride w:val="1"/>
    </w:lvlOverride>
    <w:lvlOverride w:ilvl="1"/>
    <w:lvlOverride w:ilvl="2"/>
    <w:lvlOverride w:ilvl="3"/>
    <w:lvlOverride w:ilvl="4"/>
    <w:lvlOverride w:ilvl="5"/>
    <w:lvlOverride w:ilvl="6"/>
    <w:lvlOverride w:ilvl="7"/>
    <w:lvlOverride w:ilvl="8"/>
  </w:num>
  <w:num w:numId="82">
    <w:abstractNumId w:val="76"/>
    <w:lvlOverride w:ilvl="0">
      <w:startOverride w:val="1"/>
    </w:lvlOverride>
    <w:lvlOverride w:ilvl="1"/>
    <w:lvlOverride w:ilvl="2"/>
    <w:lvlOverride w:ilvl="3"/>
    <w:lvlOverride w:ilvl="4"/>
    <w:lvlOverride w:ilvl="5"/>
    <w:lvlOverride w:ilvl="6"/>
    <w:lvlOverride w:ilvl="7"/>
    <w:lvlOverride w:ilvl="8"/>
  </w:num>
  <w:num w:numId="83">
    <w:abstractNumId w:val="13"/>
  </w:num>
  <w:num w:numId="84">
    <w:abstractNumId w:val="9"/>
  </w:num>
  <w:num w:numId="85">
    <w:abstractNumId w:val="32"/>
  </w:num>
  <w:num w:numId="86">
    <w:abstractNumId w:val="47"/>
  </w:num>
  <w:num w:numId="87">
    <w:abstractNumId w:val="85"/>
  </w:num>
  <w:num w:numId="88">
    <w:abstractNumId w:val="31"/>
  </w:num>
  <w:num w:numId="89">
    <w:abstractNumId w:val="50"/>
  </w:num>
  <w:num w:numId="90">
    <w:abstractNumId w:val="7"/>
  </w:num>
  <w:num w:numId="91">
    <w:abstractNumId w:val="72"/>
  </w:num>
  <w:num w:numId="92">
    <w:abstractNumId w:val="77"/>
  </w:num>
  <w:num w:numId="93">
    <w:abstractNumId w:val="68"/>
  </w:num>
  <w:num w:numId="94">
    <w:abstractNumId w:val="17"/>
  </w:num>
  <w:num w:numId="95">
    <w:abstractNumId w:val="54"/>
  </w:num>
  <w:num w:numId="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0"/>
  </w:num>
  <w:num w:numId="98">
    <w:abstractNumId w:val="1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09"/>
    <w:rsid w:val="00000265"/>
    <w:rsid w:val="0000065D"/>
    <w:rsid w:val="00001122"/>
    <w:rsid w:val="00001243"/>
    <w:rsid w:val="00001D4E"/>
    <w:rsid w:val="00002744"/>
    <w:rsid w:val="000031BC"/>
    <w:rsid w:val="000032F8"/>
    <w:rsid w:val="0000351B"/>
    <w:rsid w:val="00003A1C"/>
    <w:rsid w:val="00003AA3"/>
    <w:rsid w:val="00004A7C"/>
    <w:rsid w:val="000058F8"/>
    <w:rsid w:val="0000602C"/>
    <w:rsid w:val="0000674E"/>
    <w:rsid w:val="000069DD"/>
    <w:rsid w:val="000069FC"/>
    <w:rsid w:val="00006F67"/>
    <w:rsid w:val="0000744B"/>
    <w:rsid w:val="00007DCD"/>
    <w:rsid w:val="00010B47"/>
    <w:rsid w:val="00010C9C"/>
    <w:rsid w:val="00010D1E"/>
    <w:rsid w:val="000111FC"/>
    <w:rsid w:val="0001152F"/>
    <w:rsid w:val="000129A0"/>
    <w:rsid w:val="000133DB"/>
    <w:rsid w:val="00013A3B"/>
    <w:rsid w:val="00014F70"/>
    <w:rsid w:val="00015892"/>
    <w:rsid w:val="00015E19"/>
    <w:rsid w:val="000165CA"/>
    <w:rsid w:val="00016876"/>
    <w:rsid w:val="00017679"/>
    <w:rsid w:val="00020071"/>
    <w:rsid w:val="0002029B"/>
    <w:rsid w:val="0002051C"/>
    <w:rsid w:val="00020D72"/>
    <w:rsid w:val="00021ED6"/>
    <w:rsid w:val="00022EC0"/>
    <w:rsid w:val="000246D3"/>
    <w:rsid w:val="00024994"/>
    <w:rsid w:val="00024A2A"/>
    <w:rsid w:val="00024BA1"/>
    <w:rsid w:val="00025092"/>
    <w:rsid w:val="0002641F"/>
    <w:rsid w:val="000300F4"/>
    <w:rsid w:val="00030864"/>
    <w:rsid w:val="0003086E"/>
    <w:rsid w:val="00031805"/>
    <w:rsid w:val="00031B1D"/>
    <w:rsid w:val="00032071"/>
    <w:rsid w:val="00033615"/>
    <w:rsid w:val="00034754"/>
    <w:rsid w:val="00034EC5"/>
    <w:rsid w:val="0003548F"/>
    <w:rsid w:val="000359D6"/>
    <w:rsid w:val="00035E74"/>
    <w:rsid w:val="000362C6"/>
    <w:rsid w:val="00036C09"/>
    <w:rsid w:val="00037DB0"/>
    <w:rsid w:val="00037EC1"/>
    <w:rsid w:val="0004051C"/>
    <w:rsid w:val="00041C38"/>
    <w:rsid w:val="00042B08"/>
    <w:rsid w:val="00043226"/>
    <w:rsid w:val="00043453"/>
    <w:rsid w:val="00043780"/>
    <w:rsid w:val="000439A5"/>
    <w:rsid w:val="00044AE3"/>
    <w:rsid w:val="000460EA"/>
    <w:rsid w:val="000461C0"/>
    <w:rsid w:val="00046C9F"/>
    <w:rsid w:val="0005043D"/>
    <w:rsid w:val="0005142E"/>
    <w:rsid w:val="00051F93"/>
    <w:rsid w:val="00051FD5"/>
    <w:rsid w:val="00053776"/>
    <w:rsid w:val="00053C4C"/>
    <w:rsid w:val="00053D62"/>
    <w:rsid w:val="00055941"/>
    <w:rsid w:val="00056078"/>
    <w:rsid w:val="00057BFC"/>
    <w:rsid w:val="0006099D"/>
    <w:rsid w:val="00060D7E"/>
    <w:rsid w:val="00061878"/>
    <w:rsid w:val="00061D08"/>
    <w:rsid w:val="00062491"/>
    <w:rsid w:val="00062F39"/>
    <w:rsid w:val="00064317"/>
    <w:rsid w:val="000644A0"/>
    <w:rsid w:val="00065026"/>
    <w:rsid w:val="00065164"/>
    <w:rsid w:val="00065559"/>
    <w:rsid w:val="00066958"/>
    <w:rsid w:val="000705CF"/>
    <w:rsid w:val="00070B8B"/>
    <w:rsid w:val="00070F8E"/>
    <w:rsid w:val="00071BBA"/>
    <w:rsid w:val="00071EC1"/>
    <w:rsid w:val="0007351D"/>
    <w:rsid w:val="00073A7B"/>
    <w:rsid w:val="00073C6E"/>
    <w:rsid w:val="000748C8"/>
    <w:rsid w:val="000749C2"/>
    <w:rsid w:val="00075970"/>
    <w:rsid w:val="00075C2E"/>
    <w:rsid w:val="0007600B"/>
    <w:rsid w:val="000760F1"/>
    <w:rsid w:val="000762A3"/>
    <w:rsid w:val="00076C0A"/>
    <w:rsid w:val="000777EB"/>
    <w:rsid w:val="0008064B"/>
    <w:rsid w:val="0008190D"/>
    <w:rsid w:val="0008242F"/>
    <w:rsid w:val="0008247D"/>
    <w:rsid w:val="00082D57"/>
    <w:rsid w:val="00082EA4"/>
    <w:rsid w:val="000838B5"/>
    <w:rsid w:val="00083A61"/>
    <w:rsid w:val="00084B6F"/>
    <w:rsid w:val="00084B74"/>
    <w:rsid w:val="000850F7"/>
    <w:rsid w:val="00085493"/>
    <w:rsid w:val="00085BF5"/>
    <w:rsid w:val="00086156"/>
    <w:rsid w:val="00086851"/>
    <w:rsid w:val="000868F2"/>
    <w:rsid w:val="00090152"/>
    <w:rsid w:val="000913FD"/>
    <w:rsid w:val="0009150B"/>
    <w:rsid w:val="000916A2"/>
    <w:rsid w:val="000927EA"/>
    <w:rsid w:val="000929FB"/>
    <w:rsid w:val="00092BFC"/>
    <w:rsid w:val="0009340C"/>
    <w:rsid w:val="00093956"/>
    <w:rsid w:val="00095E11"/>
    <w:rsid w:val="00095E6A"/>
    <w:rsid w:val="0009646D"/>
    <w:rsid w:val="00097AB4"/>
    <w:rsid w:val="000A0087"/>
    <w:rsid w:val="000A09B6"/>
    <w:rsid w:val="000A1738"/>
    <w:rsid w:val="000A20FC"/>
    <w:rsid w:val="000A2565"/>
    <w:rsid w:val="000A2569"/>
    <w:rsid w:val="000A2833"/>
    <w:rsid w:val="000A2C40"/>
    <w:rsid w:val="000A2EB0"/>
    <w:rsid w:val="000A332F"/>
    <w:rsid w:val="000A3A68"/>
    <w:rsid w:val="000A3ABE"/>
    <w:rsid w:val="000A453B"/>
    <w:rsid w:val="000A4A90"/>
    <w:rsid w:val="000A5381"/>
    <w:rsid w:val="000A6E47"/>
    <w:rsid w:val="000A7595"/>
    <w:rsid w:val="000A7690"/>
    <w:rsid w:val="000A79C8"/>
    <w:rsid w:val="000B099C"/>
    <w:rsid w:val="000B28B8"/>
    <w:rsid w:val="000B46C1"/>
    <w:rsid w:val="000B5033"/>
    <w:rsid w:val="000B58D9"/>
    <w:rsid w:val="000B5961"/>
    <w:rsid w:val="000B5B38"/>
    <w:rsid w:val="000B71FF"/>
    <w:rsid w:val="000B75C3"/>
    <w:rsid w:val="000B789B"/>
    <w:rsid w:val="000B7B18"/>
    <w:rsid w:val="000B7B39"/>
    <w:rsid w:val="000C02D2"/>
    <w:rsid w:val="000C08BB"/>
    <w:rsid w:val="000C1304"/>
    <w:rsid w:val="000C145C"/>
    <w:rsid w:val="000C19BC"/>
    <w:rsid w:val="000C1D8D"/>
    <w:rsid w:val="000C39A4"/>
    <w:rsid w:val="000C39F0"/>
    <w:rsid w:val="000C3A9A"/>
    <w:rsid w:val="000C5DB7"/>
    <w:rsid w:val="000C615B"/>
    <w:rsid w:val="000C6961"/>
    <w:rsid w:val="000C6D49"/>
    <w:rsid w:val="000C7166"/>
    <w:rsid w:val="000C7520"/>
    <w:rsid w:val="000C7BA4"/>
    <w:rsid w:val="000D2E60"/>
    <w:rsid w:val="000D2E8A"/>
    <w:rsid w:val="000D2EE6"/>
    <w:rsid w:val="000D3343"/>
    <w:rsid w:val="000D42BB"/>
    <w:rsid w:val="000D45A7"/>
    <w:rsid w:val="000D4C69"/>
    <w:rsid w:val="000D56BA"/>
    <w:rsid w:val="000D5FF4"/>
    <w:rsid w:val="000D607F"/>
    <w:rsid w:val="000D624F"/>
    <w:rsid w:val="000D6475"/>
    <w:rsid w:val="000D7433"/>
    <w:rsid w:val="000E0EC3"/>
    <w:rsid w:val="000E156A"/>
    <w:rsid w:val="000E1590"/>
    <w:rsid w:val="000E1BC0"/>
    <w:rsid w:val="000E1CD4"/>
    <w:rsid w:val="000E205C"/>
    <w:rsid w:val="000E2671"/>
    <w:rsid w:val="000E2BB6"/>
    <w:rsid w:val="000E2CC8"/>
    <w:rsid w:val="000E2E7C"/>
    <w:rsid w:val="000E3107"/>
    <w:rsid w:val="000E3168"/>
    <w:rsid w:val="000E3F42"/>
    <w:rsid w:val="000E457B"/>
    <w:rsid w:val="000E4ABC"/>
    <w:rsid w:val="000E4E98"/>
    <w:rsid w:val="000E5653"/>
    <w:rsid w:val="000E5A00"/>
    <w:rsid w:val="000E608F"/>
    <w:rsid w:val="000E6C24"/>
    <w:rsid w:val="000E7D3F"/>
    <w:rsid w:val="000F0356"/>
    <w:rsid w:val="000F0763"/>
    <w:rsid w:val="000F0B0A"/>
    <w:rsid w:val="000F0B40"/>
    <w:rsid w:val="000F0C17"/>
    <w:rsid w:val="000F1609"/>
    <w:rsid w:val="000F1969"/>
    <w:rsid w:val="000F25B5"/>
    <w:rsid w:val="000F4E7D"/>
    <w:rsid w:val="000F6B75"/>
    <w:rsid w:val="000F6C84"/>
    <w:rsid w:val="000F6F4B"/>
    <w:rsid w:val="000F766B"/>
    <w:rsid w:val="000F7C93"/>
    <w:rsid w:val="000F7DE3"/>
    <w:rsid w:val="00100480"/>
    <w:rsid w:val="001006B0"/>
    <w:rsid w:val="00100D01"/>
    <w:rsid w:val="00101615"/>
    <w:rsid w:val="00102307"/>
    <w:rsid w:val="0010251F"/>
    <w:rsid w:val="00102B81"/>
    <w:rsid w:val="00103476"/>
    <w:rsid w:val="0010353D"/>
    <w:rsid w:val="00103773"/>
    <w:rsid w:val="001037E0"/>
    <w:rsid w:val="00103A55"/>
    <w:rsid w:val="00103C0A"/>
    <w:rsid w:val="001045FA"/>
    <w:rsid w:val="0010491D"/>
    <w:rsid w:val="00106A71"/>
    <w:rsid w:val="00106B3D"/>
    <w:rsid w:val="00106CD4"/>
    <w:rsid w:val="00110037"/>
    <w:rsid w:val="0011005C"/>
    <w:rsid w:val="00110D33"/>
    <w:rsid w:val="00111702"/>
    <w:rsid w:val="00112DB4"/>
    <w:rsid w:val="00113227"/>
    <w:rsid w:val="001132F5"/>
    <w:rsid w:val="001133CE"/>
    <w:rsid w:val="00113C19"/>
    <w:rsid w:val="0011512A"/>
    <w:rsid w:val="00115ECA"/>
    <w:rsid w:val="0011726F"/>
    <w:rsid w:val="0011731F"/>
    <w:rsid w:val="00120253"/>
    <w:rsid w:val="0012047D"/>
    <w:rsid w:val="001205E6"/>
    <w:rsid w:val="00120BA0"/>
    <w:rsid w:val="001215E7"/>
    <w:rsid w:val="00121633"/>
    <w:rsid w:val="00121C67"/>
    <w:rsid w:val="001240C4"/>
    <w:rsid w:val="0012431C"/>
    <w:rsid w:val="001247E9"/>
    <w:rsid w:val="00124BB2"/>
    <w:rsid w:val="00125412"/>
    <w:rsid w:val="00125C97"/>
    <w:rsid w:val="00125CED"/>
    <w:rsid w:val="00125EB2"/>
    <w:rsid w:val="001264F8"/>
    <w:rsid w:val="00126A4B"/>
    <w:rsid w:val="00126D13"/>
    <w:rsid w:val="00127129"/>
    <w:rsid w:val="0013014F"/>
    <w:rsid w:val="001303EC"/>
    <w:rsid w:val="00130611"/>
    <w:rsid w:val="0013071B"/>
    <w:rsid w:val="001308C6"/>
    <w:rsid w:val="00130CCC"/>
    <w:rsid w:val="00131537"/>
    <w:rsid w:val="00131AFD"/>
    <w:rsid w:val="0013360F"/>
    <w:rsid w:val="00133DC5"/>
    <w:rsid w:val="0013471D"/>
    <w:rsid w:val="00134DC1"/>
    <w:rsid w:val="0013574F"/>
    <w:rsid w:val="0013592F"/>
    <w:rsid w:val="00135FC6"/>
    <w:rsid w:val="00136649"/>
    <w:rsid w:val="00136A18"/>
    <w:rsid w:val="00136EC1"/>
    <w:rsid w:val="001401AE"/>
    <w:rsid w:val="001402C3"/>
    <w:rsid w:val="0014042B"/>
    <w:rsid w:val="00140939"/>
    <w:rsid w:val="00140B05"/>
    <w:rsid w:val="00142C73"/>
    <w:rsid w:val="00142DC1"/>
    <w:rsid w:val="00142F59"/>
    <w:rsid w:val="00142FE8"/>
    <w:rsid w:val="00143176"/>
    <w:rsid w:val="0014362D"/>
    <w:rsid w:val="001437B4"/>
    <w:rsid w:val="00144367"/>
    <w:rsid w:val="00144C2C"/>
    <w:rsid w:val="00144D6A"/>
    <w:rsid w:val="0014503E"/>
    <w:rsid w:val="00145B0B"/>
    <w:rsid w:val="00145E83"/>
    <w:rsid w:val="001479F2"/>
    <w:rsid w:val="00147B33"/>
    <w:rsid w:val="00150310"/>
    <w:rsid w:val="00155170"/>
    <w:rsid w:val="00155378"/>
    <w:rsid w:val="00155BB8"/>
    <w:rsid w:val="0015618B"/>
    <w:rsid w:val="00156D50"/>
    <w:rsid w:val="00157852"/>
    <w:rsid w:val="0016055A"/>
    <w:rsid w:val="00161447"/>
    <w:rsid w:val="00161556"/>
    <w:rsid w:val="001618FC"/>
    <w:rsid w:val="00162C84"/>
    <w:rsid w:val="00164566"/>
    <w:rsid w:val="00164905"/>
    <w:rsid w:val="00165397"/>
    <w:rsid w:val="0016597D"/>
    <w:rsid w:val="00165D86"/>
    <w:rsid w:val="00165F4D"/>
    <w:rsid w:val="001674F6"/>
    <w:rsid w:val="00167814"/>
    <w:rsid w:val="00170945"/>
    <w:rsid w:val="00170B26"/>
    <w:rsid w:val="00170CB3"/>
    <w:rsid w:val="00170CFE"/>
    <w:rsid w:val="00170FDB"/>
    <w:rsid w:val="001718BB"/>
    <w:rsid w:val="00172070"/>
    <w:rsid w:val="0017352E"/>
    <w:rsid w:val="0017378E"/>
    <w:rsid w:val="001739E4"/>
    <w:rsid w:val="00175300"/>
    <w:rsid w:val="00175B82"/>
    <w:rsid w:val="00177635"/>
    <w:rsid w:val="001803B1"/>
    <w:rsid w:val="00180736"/>
    <w:rsid w:val="0018073F"/>
    <w:rsid w:val="0018139A"/>
    <w:rsid w:val="00181DDF"/>
    <w:rsid w:val="00181E4C"/>
    <w:rsid w:val="00182343"/>
    <w:rsid w:val="00182D65"/>
    <w:rsid w:val="00184BA0"/>
    <w:rsid w:val="00184F62"/>
    <w:rsid w:val="00185625"/>
    <w:rsid w:val="00185A0E"/>
    <w:rsid w:val="00185AC9"/>
    <w:rsid w:val="00186BAB"/>
    <w:rsid w:val="00190389"/>
    <w:rsid w:val="0019068A"/>
    <w:rsid w:val="001907E2"/>
    <w:rsid w:val="00190973"/>
    <w:rsid w:val="001911B6"/>
    <w:rsid w:val="0019138B"/>
    <w:rsid w:val="00191E31"/>
    <w:rsid w:val="00192918"/>
    <w:rsid w:val="00192D07"/>
    <w:rsid w:val="00194496"/>
    <w:rsid w:val="0019460F"/>
    <w:rsid w:val="00194693"/>
    <w:rsid w:val="001947E2"/>
    <w:rsid w:val="00194D53"/>
    <w:rsid w:val="00195AC7"/>
    <w:rsid w:val="00195E11"/>
    <w:rsid w:val="00196318"/>
    <w:rsid w:val="001964B7"/>
    <w:rsid w:val="001968F0"/>
    <w:rsid w:val="00196F01"/>
    <w:rsid w:val="00196F86"/>
    <w:rsid w:val="001975D6"/>
    <w:rsid w:val="00197994"/>
    <w:rsid w:val="001A1E31"/>
    <w:rsid w:val="001A24DF"/>
    <w:rsid w:val="001A26F1"/>
    <w:rsid w:val="001A3F98"/>
    <w:rsid w:val="001A40C4"/>
    <w:rsid w:val="001A453A"/>
    <w:rsid w:val="001A4770"/>
    <w:rsid w:val="001A484F"/>
    <w:rsid w:val="001A4905"/>
    <w:rsid w:val="001A4DD5"/>
    <w:rsid w:val="001A4FA4"/>
    <w:rsid w:val="001A57C5"/>
    <w:rsid w:val="001A597D"/>
    <w:rsid w:val="001A77EA"/>
    <w:rsid w:val="001B02AD"/>
    <w:rsid w:val="001B08AA"/>
    <w:rsid w:val="001B0D32"/>
    <w:rsid w:val="001B1950"/>
    <w:rsid w:val="001B2149"/>
    <w:rsid w:val="001B21C0"/>
    <w:rsid w:val="001B23EA"/>
    <w:rsid w:val="001B36CF"/>
    <w:rsid w:val="001B37AF"/>
    <w:rsid w:val="001B4A39"/>
    <w:rsid w:val="001B5FA1"/>
    <w:rsid w:val="001B6A26"/>
    <w:rsid w:val="001B71CE"/>
    <w:rsid w:val="001C01A9"/>
    <w:rsid w:val="001C0502"/>
    <w:rsid w:val="001C0F72"/>
    <w:rsid w:val="001C14D7"/>
    <w:rsid w:val="001C1733"/>
    <w:rsid w:val="001C3749"/>
    <w:rsid w:val="001C3D07"/>
    <w:rsid w:val="001C4245"/>
    <w:rsid w:val="001C43AA"/>
    <w:rsid w:val="001C47C3"/>
    <w:rsid w:val="001C58F4"/>
    <w:rsid w:val="001C68C8"/>
    <w:rsid w:val="001C7176"/>
    <w:rsid w:val="001D0046"/>
    <w:rsid w:val="001D0EA8"/>
    <w:rsid w:val="001D19C0"/>
    <w:rsid w:val="001D1A19"/>
    <w:rsid w:val="001D2119"/>
    <w:rsid w:val="001D254E"/>
    <w:rsid w:val="001D298F"/>
    <w:rsid w:val="001D327E"/>
    <w:rsid w:val="001D3AF7"/>
    <w:rsid w:val="001D3F6D"/>
    <w:rsid w:val="001D4BD2"/>
    <w:rsid w:val="001D4CB6"/>
    <w:rsid w:val="001D54DA"/>
    <w:rsid w:val="001D5C74"/>
    <w:rsid w:val="001D5E7F"/>
    <w:rsid w:val="001D6B38"/>
    <w:rsid w:val="001D6C0B"/>
    <w:rsid w:val="001D7300"/>
    <w:rsid w:val="001E0A5D"/>
    <w:rsid w:val="001E1008"/>
    <w:rsid w:val="001E113A"/>
    <w:rsid w:val="001E3C5A"/>
    <w:rsid w:val="001E4A97"/>
    <w:rsid w:val="001E4E9F"/>
    <w:rsid w:val="001E4F87"/>
    <w:rsid w:val="001E531D"/>
    <w:rsid w:val="001E53C0"/>
    <w:rsid w:val="001E64EE"/>
    <w:rsid w:val="001E668F"/>
    <w:rsid w:val="001E6F30"/>
    <w:rsid w:val="001E6F89"/>
    <w:rsid w:val="001E791A"/>
    <w:rsid w:val="001E7AB0"/>
    <w:rsid w:val="001E7C31"/>
    <w:rsid w:val="001F0B14"/>
    <w:rsid w:val="001F0C5E"/>
    <w:rsid w:val="001F0FF5"/>
    <w:rsid w:val="001F1C96"/>
    <w:rsid w:val="001F2E56"/>
    <w:rsid w:val="001F43D6"/>
    <w:rsid w:val="001F475C"/>
    <w:rsid w:val="001F5370"/>
    <w:rsid w:val="001F5A25"/>
    <w:rsid w:val="001F6413"/>
    <w:rsid w:val="001F78FE"/>
    <w:rsid w:val="0020010E"/>
    <w:rsid w:val="002001C6"/>
    <w:rsid w:val="00200A60"/>
    <w:rsid w:val="00200CAA"/>
    <w:rsid w:val="00201168"/>
    <w:rsid w:val="00202508"/>
    <w:rsid w:val="002028B7"/>
    <w:rsid w:val="00203177"/>
    <w:rsid w:val="002035B3"/>
    <w:rsid w:val="00203EE4"/>
    <w:rsid w:val="00204BFD"/>
    <w:rsid w:val="002050FF"/>
    <w:rsid w:val="002051DD"/>
    <w:rsid w:val="002057CB"/>
    <w:rsid w:val="0020686D"/>
    <w:rsid w:val="002069AB"/>
    <w:rsid w:val="00207CDE"/>
    <w:rsid w:val="002106E9"/>
    <w:rsid w:val="00211C40"/>
    <w:rsid w:val="00213896"/>
    <w:rsid w:val="00213991"/>
    <w:rsid w:val="002139A9"/>
    <w:rsid w:val="00213AD5"/>
    <w:rsid w:val="00213C75"/>
    <w:rsid w:val="002141D4"/>
    <w:rsid w:val="00215E0D"/>
    <w:rsid w:val="002165C6"/>
    <w:rsid w:val="00216C12"/>
    <w:rsid w:val="00216CCE"/>
    <w:rsid w:val="00216DB0"/>
    <w:rsid w:val="0021778F"/>
    <w:rsid w:val="00217F11"/>
    <w:rsid w:val="00220AB4"/>
    <w:rsid w:val="00221313"/>
    <w:rsid w:val="002224CE"/>
    <w:rsid w:val="00224172"/>
    <w:rsid w:val="00225606"/>
    <w:rsid w:val="0022579F"/>
    <w:rsid w:val="00225A72"/>
    <w:rsid w:val="00225CBD"/>
    <w:rsid w:val="0022651B"/>
    <w:rsid w:val="0022697F"/>
    <w:rsid w:val="00226E03"/>
    <w:rsid w:val="00227CB3"/>
    <w:rsid w:val="00227D4E"/>
    <w:rsid w:val="0023107F"/>
    <w:rsid w:val="002337C4"/>
    <w:rsid w:val="00234D2F"/>
    <w:rsid w:val="00235541"/>
    <w:rsid w:val="002361B4"/>
    <w:rsid w:val="0023702B"/>
    <w:rsid w:val="00237227"/>
    <w:rsid w:val="0023788C"/>
    <w:rsid w:val="0024137F"/>
    <w:rsid w:val="00241750"/>
    <w:rsid w:val="002420D5"/>
    <w:rsid w:val="002434CF"/>
    <w:rsid w:val="00243A5E"/>
    <w:rsid w:val="00243ABB"/>
    <w:rsid w:val="00244336"/>
    <w:rsid w:val="0024518A"/>
    <w:rsid w:val="00245CCD"/>
    <w:rsid w:val="00246A2C"/>
    <w:rsid w:val="002477BC"/>
    <w:rsid w:val="002478C2"/>
    <w:rsid w:val="00247A11"/>
    <w:rsid w:val="00247C46"/>
    <w:rsid w:val="002503FD"/>
    <w:rsid w:val="0025071A"/>
    <w:rsid w:val="00250B0F"/>
    <w:rsid w:val="00250DB0"/>
    <w:rsid w:val="00250E8A"/>
    <w:rsid w:val="00250F9F"/>
    <w:rsid w:val="00252321"/>
    <w:rsid w:val="00252C5D"/>
    <w:rsid w:val="002532B5"/>
    <w:rsid w:val="0025362C"/>
    <w:rsid w:val="002536FD"/>
    <w:rsid w:val="00253B3C"/>
    <w:rsid w:val="00254988"/>
    <w:rsid w:val="002553FF"/>
    <w:rsid w:val="00255D72"/>
    <w:rsid w:val="002562A7"/>
    <w:rsid w:val="002577CE"/>
    <w:rsid w:val="002611D7"/>
    <w:rsid w:val="00261CE1"/>
    <w:rsid w:val="00261FDF"/>
    <w:rsid w:val="002626EE"/>
    <w:rsid w:val="00262D63"/>
    <w:rsid w:val="002644A5"/>
    <w:rsid w:val="002645EE"/>
    <w:rsid w:val="002648E1"/>
    <w:rsid w:val="0026512D"/>
    <w:rsid w:val="002652DB"/>
    <w:rsid w:val="002656FF"/>
    <w:rsid w:val="002659FD"/>
    <w:rsid w:val="00267069"/>
    <w:rsid w:val="002677E4"/>
    <w:rsid w:val="00267A60"/>
    <w:rsid w:val="00270CBA"/>
    <w:rsid w:val="0027188B"/>
    <w:rsid w:val="00273D6D"/>
    <w:rsid w:val="002742A9"/>
    <w:rsid w:val="00274FFE"/>
    <w:rsid w:val="00275131"/>
    <w:rsid w:val="00275432"/>
    <w:rsid w:val="0027569F"/>
    <w:rsid w:val="00275E6C"/>
    <w:rsid w:val="00276C85"/>
    <w:rsid w:val="0028070A"/>
    <w:rsid w:val="00281CAB"/>
    <w:rsid w:val="002826C6"/>
    <w:rsid w:val="0028396C"/>
    <w:rsid w:val="0028398E"/>
    <w:rsid w:val="00283E68"/>
    <w:rsid w:val="00284E6C"/>
    <w:rsid w:val="002852AD"/>
    <w:rsid w:val="0028681A"/>
    <w:rsid w:val="00287C0B"/>
    <w:rsid w:val="00287FD2"/>
    <w:rsid w:val="002903E9"/>
    <w:rsid w:val="002913AA"/>
    <w:rsid w:val="00291BE9"/>
    <w:rsid w:val="00291D4F"/>
    <w:rsid w:val="00292362"/>
    <w:rsid w:val="00292CC3"/>
    <w:rsid w:val="002938BC"/>
    <w:rsid w:val="00294A64"/>
    <w:rsid w:val="00296EB1"/>
    <w:rsid w:val="00297865"/>
    <w:rsid w:val="00297F57"/>
    <w:rsid w:val="002A050F"/>
    <w:rsid w:val="002A2039"/>
    <w:rsid w:val="002A2484"/>
    <w:rsid w:val="002A2E15"/>
    <w:rsid w:val="002A337F"/>
    <w:rsid w:val="002A35AB"/>
    <w:rsid w:val="002A3E6A"/>
    <w:rsid w:val="002A43C0"/>
    <w:rsid w:val="002A561D"/>
    <w:rsid w:val="002A581E"/>
    <w:rsid w:val="002A58D2"/>
    <w:rsid w:val="002A58F7"/>
    <w:rsid w:val="002A635A"/>
    <w:rsid w:val="002A705F"/>
    <w:rsid w:val="002A727D"/>
    <w:rsid w:val="002A7644"/>
    <w:rsid w:val="002A770D"/>
    <w:rsid w:val="002B035B"/>
    <w:rsid w:val="002B0478"/>
    <w:rsid w:val="002B0705"/>
    <w:rsid w:val="002B0986"/>
    <w:rsid w:val="002B0CCF"/>
    <w:rsid w:val="002B0D5C"/>
    <w:rsid w:val="002B1B52"/>
    <w:rsid w:val="002B2866"/>
    <w:rsid w:val="002B2C87"/>
    <w:rsid w:val="002B2DE2"/>
    <w:rsid w:val="002B4DDE"/>
    <w:rsid w:val="002B7937"/>
    <w:rsid w:val="002C0453"/>
    <w:rsid w:val="002C0E22"/>
    <w:rsid w:val="002C13A4"/>
    <w:rsid w:val="002C1419"/>
    <w:rsid w:val="002C19FA"/>
    <w:rsid w:val="002C2536"/>
    <w:rsid w:val="002C4012"/>
    <w:rsid w:val="002C4608"/>
    <w:rsid w:val="002C46A4"/>
    <w:rsid w:val="002C46DB"/>
    <w:rsid w:val="002C488A"/>
    <w:rsid w:val="002C4C64"/>
    <w:rsid w:val="002C506D"/>
    <w:rsid w:val="002C61B4"/>
    <w:rsid w:val="002C6425"/>
    <w:rsid w:val="002C69BC"/>
    <w:rsid w:val="002D0C06"/>
    <w:rsid w:val="002D1F5C"/>
    <w:rsid w:val="002D2A31"/>
    <w:rsid w:val="002D3205"/>
    <w:rsid w:val="002D3311"/>
    <w:rsid w:val="002D353D"/>
    <w:rsid w:val="002D3F72"/>
    <w:rsid w:val="002D49A0"/>
    <w:rsid w:val="002D4D59"/>
    <w:rsid w:val="002D50DC"/>
    <w:rsid w:val="002D54EA"/>
    <w:rsid w:val="002D6887"/>
    <w:rsid w:val="002D6B0D"/>
    <w:rsid w:val="002D70A5"/>
    <w:rsid w:val="002D74C5"/>
    <w:rsid w:val="002E0882"/>
    <w:rsid w:val="002E1363"/>
    <w:rsid w:val="002E205B"/>
    <w:rsid w:val="002E2E6B"/>
    <w:rsid w:val="002E2FE4"/>
    <w:rsid w:val="002E3C7A"/>
    <w:rsid w:val="002E43E8"/>
    <w:rsid w:val="002E47C7"/>
    <w:rsid w:val="002E49E2"/>
    <w:rsid w:val="002E4DDB"/>
    <w:rsid w:val="002E56D1"/>
    <w:rsid w:val="002E5E98"/>
    <w:rsid w:val="002E5F11"/>
    <w:rsid w:val="002E6804"/>
    <w:rsid w:val="002E690E"/>
    <w:rsid w:val="002F015D"/>
    <w:rsid w:val="002F088F"/>
    <w:rsid w:val="002F153D"/>
    <w:rsid w:val="002F21A0"/>
    <w:rsid w:val="002F258D"/>
    <w:rsid w:val="002F2731"/>
    <w:rsid w:val="002F2AEB"/>
    <w:rsid w:val="002F3075"/>
    <w:rsid w:val="002F331E"/>
    <w:rsid w:val="002F3334"/>
    <w:rsid w:val="002F4E84"/>
    <w:rsid w:val="002F524B"/>
    <w:rsid w:val="00300746"/>
    <w:rsid w:val="00301787"/>
    <w:rsid w:val="00301F41"/>
    <w:rsid w:val="003029D1"/>
    <w:rsid w:val="00302B41"/>
    <w:rsid w:val="0030308B"/>
    <w:rsid w:val="00303147"/>
    <w:rsid w:val="0030324B"/>
    <w:rsid w:val="00303B01"/>
    <w:rsid w:val="00304AFA"/>
    <w:rsid w:val="00305A99"/>
    <w:rsid w:val="00306F63"/>
    <w:rsid w:val="00306FDE"/>
    <w:rsid w:val="003076CA"/>
    <w:rsid w:val="003079BB"/>
    <w:rsid w:val="00307F67"/>
    <w:rsid w:val="003100E0"/>
    <w:rsid w:val="00310A62"/>
    <w:rsid w:val="00311CBF"/>
    <w:rsid w:val="00312173"/>
    <w:rsid w:val="0031231D"/>
    <w:rsid w:val="0031377F"/>
    <w:rsid w:val="00314F5B"/>
    <w:rsid w:val="003154FF"/>
    <w:rsid w:val="00315ED5"/>
    <w:rsid w:val="00316A32"/>
    <w:rsid w:val="0031710E"/>
    <w:rsid w:val="00320508"/>
    <w:rsid w:val="00321442"/>
    <w:rsid w:val="00321701"/>
    <w:rsid w:val="00321873"/>
    <w:rsid w:val="003219FC"/>
    <w:rsid w:val="00321B99"/>
    <w:rsid w:val="00321E09"/>
    <w:rsid w:val="00322E98"/>
    <w:rsid w:val="00323B80"/>
    <w:rsid w:val="0032403D"/>
    <w:rsid w:val="0032470B"/>
    <w:rsid w:val="003250DF"/>
    <w:rsid w:val="003258B6"/>
    <w:rsid w:val="00325937"/>
    <w:rsid w:val="00325D87"/>
    <w:rsid w:val="00327113"/>
    <w:rsid w:val="003273FE"/>
    <w:rsid w:val="00327EF1"/>
    <w:rsid w:val="00330289"/>
    <w:rsid w:val="003302AA"/>
    <w:rsid w:val="00330867"/>
    <w:rsid w:val="00330E65"/>
    <w:rsid w:val="003319D6"/>
    <w:rsid w:val="00331D11"/>
    <w:rsid w:val="00332BB4"/>
    <w:rsid w:val="00332DDE"/>
    <w:rsid w:val="00333689"/>
    <w:rsid w:val="003346AB"/>
    <w:rsid w:val="00334BA5"/>
    <w:rsid w:val="003355A7"/>
    <w:rsid w:val="00335C56"/>
    <w:rsid w:val="003369AF"/>
    <w:rsid w:val="00337ACF"/>
    <w:rsid w:val="0034042A"/>
    <w:rsid w:val="0034089A"/>
    <w:rsid w:val="00340B60"/>
    <w:rsid w:val="00343864"/>
    <w:rsid w:val="00343C7E"/>
    <w:rsid w:val="0034461B"/>
    <w:rsid w:val="00344DE9"/>
    <w:rsid w:val="003454AF"/>
    <w:rsid w:val="003466DC"/>
    <w:rsid w:val="00346DB9"/>
    <w:rsid w:val="00346E75"/>
    <w:rsid w:val="00346EBE"/>
    <w:rsid w:val="00347036"/>
    <w:rsid w:val="003470BF"/>
    <w:rsid w:val="00347898"/>
    <w:rsid w:val="00350110"/>
    <w:rsid w:val="0035039F"/>
    <w:rsid w:val="00352058"/>
    <w:rsid w:val="00352284"/>
    <w:rsid w:val="00353718"/>
    <w:rsid w:val="003552A9"/>
    <w:rsid w:val="0035547B"/>
    <w:rsid w:val="00356E64"/>
    <w:rsid w:val="0035702B"/>
    <w:rsid w:val="00357903"/>
    <w:rsid w:val="0035796C"/>
    <w:rsid w:val="00357B7D"/>
    <w:rsid w:val="00360DD1"/>
    <w:rsid w:val="00361076"/>
    <w:rsid w:val="00362BBF"/>
    <w:rsid w:val="00362E94"/>
    <w:rsid w:val="00364379"/>
    <w:rsid w:val="003646AC"/>
    <w:rsid w:val="00364726"/>
    <w:rsid w:val="00364AEF"/>
    <w:rsid w:val="003652A1"/>
    <w:rsid w:val="003653B2"/>
    <w:rsid w:val="0036542B"/>
    <w:rsid w:val="00365741"/>
    <w:rsid w:val="00365885"/>
    <w:rsid w:val="0036597A"/>
    <w:rsid w:val="00367982"/>
    <w:rsid w:val="00367A2C"/>
    <w:rsid w:val="00367B29"/>
    <w:rsid w:val="00370894"/>
    <w:rsid w:val="003711BF"/>
    <w:rsid w:val="00372115"/>
    <w:rsid w:val="00372353"/>
    <w:rsid w:val="003733C8"/>
    <w:rsid w:val="00374474"/>
    <w:rsid w:val="0037449A"/>
    <w:rsid w:val="00374928"/>
    <w:rsid w:val="00376FAC"/>
    <w:rsid w:val="00380D1C"/>
    <w:rsid w:val="00380DB7"/>
    <w:rsid w:val="00380DD2"/>
    <w:rsid w:val="003811D0"/>
    <w:rsid w:val="0038142C"/>
    <w:rsid w:val="00381677"/>
    <w:rsid w:val="0038245B"/>
    <w:rsid w:val="00382E84"/>
    <w:rsid w:val="00384867"/>
    <w:rsid w:val="00384F24"/>
    <w:rsid w:val="0038538E"/>
    <w:rsid w:val="00385471"/>
    <w:rsid w:val="00385A22"/>
    <w:rsid w:val="0038605F"/>
    <w:rsid w:val="00386400"/>
    <w:rsid w:val="003866B7"/>
    <w:rsid w:val="00386C01"/>
    <w:rsid w:val="00386C3B"/>
    <w:rsid w:val="003876AE"/>
    <w:rsid w:val="00390F54"/>
    <w:rsid w:val="00392BFA"/>
    <w:rsid w:val="00392FDF"/>
    <w:rsid w:val="0039301C"/>
    <w:rsid w:val="003932E9"/>
    <w:rsid w:val="0039542F"/>
    <w:rsid w:val="00395AD4"/>
    <w:rsid w:val="0039619B"/>
    <w:rsid w:val="00396CED"/>
    <w:rsid w:val="00397857"/>
    <w:rsid w:val="00397B36"/>
    <w:rsid w:val="00397C4C"/>
    <w:rsid w:val="003A0120"/>
    <w:rsid w:val="003A1888"/>
    <w:rsid w:val="003A240B"/>
    <w:rsid w:val="003A2487"/>
    <w:rsid w:val="003A30E5"/>
    <w:rsid w:val="003A33EA"/>
    <w:rsid w:val="003A3966"/>
    <w:rsid w:val="003A3ECD"/>
    <w:rsid w:val="003A4572"/>
    <w:rsid w:val="003A479C"/>
    <w:rsid w:val="003A4816"/>
    <w:rsid w:val="003A4BB5"/>
    <w:rsid w:val="003A4E9F"/>
    <w:rsid w:val="003A5F60"/>
    <w:rsid w:val="003A630D"/>
    <w:rsid w:val="003A66E1"/>
    <w:rsid w:val="003A7065"/>
    <w:rsid w:val="003A7427"/>
    <w:rsid w:val="003A7885"/>
    <w:rsid w:val="003A7C18"/>
    <w:rsid w:val="003A7FC6"/>
    <w:rsid w:val="003B06AB"/>
    <w:rsid w:val="003B079F"/>
    <w:rsid w:val="003B0862"/>
    <w:rsid w:val="003B0E80"/>
    <w:rsid w:val="003B10DB"/>
    <w:rsid w:val="003B159C"/>
    <w:rsid w:val="003B1EFE"/>
    <w:rsid w:val="003B2195"/>
    <w:rsid w:val="003B2503"/>
    <w:rsid w:val="003B293D"/>
    <w:rsid w:val="003B2E97"/>
    <w:rsid w:val="003B4703"/>
    <w:rsid w:val="003B4923"/>
    <w:rsid w:val="003B4D8D"/>
    <w:rsid w:val="003B55FD"/>
    <w:rsid w:val="003B5821"/>
    <w:rsid w:val="003B6720"/>
    <w:rsid w:val="003B71C7"/>
    <w:rsid w:val="003B7606"/>
    <w:rsid w:val="003B7703"/>
    <w:rsid w:val="003C08F1"/>
    <w:rsid w:val="003C290E"/>
    <w:rsid w:val="003C3F5F"/>
    <w:rsid w:val="003C41BB"/>
    <w:rsid w:val="003C4910"/>
    <w:rsid w:val="003C4C27"/>
    <w:rsid w:val="003C5F9B"/>
    <w:rsid w:val="003C616B"/>
    <w:rsid w:val="003C6553"/>
    <w:rsid w:val="003C7DB7"/>
    <w:rsid w:val="003D00FE"/>
    <w:rsid w:val="003D1571"/>
    <w:rsid w:val="003D175D"/>
    <w:rsid w:val="003D1817"/>
    <w:rsid w:val="003D1A68"/>
    <w:rsid w:val="003D394D"/>
    <w:rsid w:val="003D397F"/>
    <w:rsid w:val="003D4E1F"/>
    <w:rsid w:val="003D53CF"/>
    <w:rsid w:val="003D580D"/>
    <w:rsid w:val="003D628E"/>
    <w:rsid w:val="003D6E8B"/>
    <w:rsid w:val="003D7555"/>
    <w:rsid w:val="003D75BB"/>
    <w:rsid w:val="003D7979"/>
    <w:rsid w:val="003E049B"/>
    <w:rsid w:val="003E057A"/>
    <w:rsid w:val="003E0A1A"/>
    <w:rsid w:val="003E0E97"/>
    <w:rsid w:val="003E1DF7"/>
    <w:rsid w:val="003E2029"/>
    <w:rsid w:val="003E22E2"/>
    <w:rsid w:val="003E238D"/>
    <w:rsid w:val="003E478D"/>
    <w:rsid w:val="003E4999"/>
    <w:rsid w:val="003E514F"/>
    <w:rsid w:val="003E5214"/>
    <w:rsid w:val="003E54FB"/>
    <w:rsid w:val="003E5DE7"/>
    <w:rsid w:val="003E5EC9"/>
    <w:rsid w:val="003E6300"/>
    <w:rsid w:val="003E6350"/>
    <w:rsid w:val="003E65C2"/>
    <w:rsid w:val="003E6BF6"/>
    <w:rsid w:val="003E6F9F"/>
    <w:rsid w:val="003E7597"/>
    <w:rsid w:val="003E7821"/>
    <w:rsid w:val="003E7E51"/>
    <w:rsid w:val="003F0394"/>
    <w:rsid w:val="003F039F"/>
    <w:rsid w:val="003F03F3"/>
    <w:rsid w:val="003F1582"/>
    <w:rsid w:val="003F2110"/>
    <w:rsid w:val="003F21E2"/>
    <w:rsid w:val="003F3203"/>
    <w:rsid w:val="003F378B"/>
    <w:rsid w:val="003F384F"/>
    <w:rsid w:val="003F3E34"/>
    <w:rsid w:val="003F44B7"/>
    <w:rsid w:val="003F4A52"/>
    <w:rsid w:val="003F4A70"/>
    <w:rsid w:val="003F4CEE"/>
    <w:rsid w:val="003F52B3"/>
    <w:rsid w:val="003F5A98"/>
    <w:rsid w:val="003F5CC5"/>
    <w:rsid w:val="003F688E"/>
    <w:rsid w:val="003F6C4E"/>
    <w:rsid w:val="003F717E"/>
    <w:rsid w:val="003F7F59"/>
    <w:rsid w:val="0040041F"/>
    <w:rsid w:val="0040070F"/>
    <w:rsid w:val="00400892"/>
    <w:rsid w:val="00401240"/>
    <w:rsid w:val="00401437"/>
    <w:rsid w:val="00401F37"/>
    <w:rsid w:val="004025AB"/>
    <w:rsid w:val="004027DE"/>
    <w:rsid w:val="00402E90"/>
    <w:rsid w:val="00403A02"/>
    <w:rsid w:val="00404148"/>
    <w:rsid w:val="00404247"/>
    <w:rsid w:val="0040475A"/>
    <w:rsid w:val="00404AF0"/>
    <w:rsid w:val="0040556A"/>
    <w:rsid w:val="00405635"/>
    <w:rsid w:val="0040573A"/>
    <w:rsid w:val="00407237"/>
    <w:rsid w:val="00407D65"/>
    <w:rsid w:val="00407FDC"/>
    <w:rsid w:val="004103B3"/>
    <w:rsid w:val="00410489"/>
    <w:rsid w:val="00410D3D"/>
    <w:rsid w:val="00411C11"/>
    <w:rsid w:val="00412193"/>
    <w:rsid w:val="00412513"/>
    <w:rsid w:val="00412834"/>
    <w:rsid w:val="00412F24"/>
    <w:rsid w:val="00414AD4"/>
    <w:rsid w:val="00414B16"/>
    <w:rsid w:val="004160E6"/>
    <w:rsid w:val="0041693F"/>
    <w:rsid w:val="00420737"/>
    <w:rsid w:val="004216DB"/>
    <w:rsid w:val="00421725"/>
    <w:rsid w:val="0042193E"/>
    <w:rsid w:val="004220EB"/>
    <w:rsid w:val="00423239"/>
    <w:rsid w:val="004238BF"/>
    <w:rsid w:val="00424A44"/>
    <w:rsid w:val="0042502D"/>
    <w:rsid w:val="0042565B"/>
    <w:rsid w:val="00425BDF"/>
    <w:rsid w:val="0042624E"/>
    <w:rsid w:val="0042642A"/>
    <w:rsid w:val="00426B54"/>
    <w:rsid w:val="0042758D"/>
    <w:rsid w:val="00427B46"/>
    <w:rsid w:val="00427C26"/>
    <w:rsid w:val="00427D80"/>
    <w:rsid w:val="00427EFC"/>
    <w:rsid w:val="0043027D"/>
    <w:rsid w:val="00431262"/>
    <w:rsid w:val="00431416"/>
    <w:rsid w:val="00431472"/>
    <w:rsid w:val="004319FC"/>
    <w:rsid w:val="00431A67"/>
    <w:rsid w:val="00431D56"/>
    <w:rsid w:val="00432117"/>
    <w:rsid w:val="0043229E"/>
    <w:rsid w:val="00432809"/>
    <w:rsid w:val="00432AC7"/>
    <w:rsid w:val="004334C2"/>
    <w:rsid w:val="0043398F"/>
    <w:rsid w:val="00434343"/>
    <w:rsid w:val="004344A8"/>
    <w:rsid w:val="00434BE9"/>
    <w:rsid w:val="0043585F"/>
    <w:rsid w:val="00435D11"/>
    <w:rsid w:val="004366FF"/>
    <w:rsid w:val="00437291"/>
    <w:rsid w:val="00437B8E"/>
    <w:rsid w:val="00437FD0"/>
    <w:rsid w:val="00440BC4"/>
    <w:rsid w:val="00440F39"/>
    <w:rsid w:val="004414C4"/>
    <w:rsid w:val="0044283D"/>
    <w:rsid w:val="00442D54"/>
    <w:rsid w:val="00442F96"/>
    <w:rsid w:val="0044330A"/>
    <w:rsid w:val="00443868"/>
    <w:rsid w:val="00445286"/>
    <w:rsid w:val="00445FCE"/>
    <w:rsid w:val="00446387"/>
    <w:rsid w:val="00446906"/>
    <w:rsid w:val="004471C5"/>
    <w:rsid w:val="0044720C"/>
    <w:rsid w:val="004478F0"/>
    <w:rsid w:val="00447A49"/>
    <w:rsid w:val="00447AA3"/>
    <w:rsid w:val="00450084"/>
    <w:rsid w:val="00450367"/>
    <w:rsid w:val="00450908"/>
    <w:rsid w:val="00450F40"/>
    <w:rsid w:val="004512FB"/>
    <w:rsid w:val="00451650"/>
    <w:rsid w:val="004525B3"/>
    <w:rsid w:val="00452A03"/>
    <w:rsid w:val="00452D44"/>
    <w:rsid w:val="0045325A"/>
    <w:rsid w:val="004532A8"/>
    <w:rsid w:val="00453749"/>
    <w:rsid w:val="00453E68"/>
    <w:rsid w:val="00454223"/>
    <w:rsid w:val="004544D5"/>
    <w:rsid w:val="004546B6"/>
    <w:rsid w:val="00454865"/>
    <w:rsid w:val="0045636D"/>
    <w:rsid w:val="00456776"/>
    <w:rsid w:val="0045738F"/>
    <w:rsid w:val="00457C10"/>
    <w:rsid w:val="00461C07"/>
    <w:rsid w:val="0046255D"/>
    <w:rsid w:val="00462CEF"/>
    <w:rsid w:val="00463ED8"/>
    <w:rsid w:val="004641E9"/>
    <w:rsid w:val="0046452B"/>
    <w:rsid w:val="004652EB"/>
    <w:rsid w:val="00465ADC"/>
    <w:rsid w:val="004660A7"/>
    <w:rsid w:val="004661A8"/>
    <w:rsid w:val="004676CA"/>
    <w:rsid w:val="00467F93"/>
    <w:rsid w:val="0047076F"/>
    <w:rsid w:val="00470990"/>
    <w:rsid w:val="00470BF9"/>
    <w:rsid w:val="00471436"/>
    <w:rsid w:val="004718B7"/>
    <w:rsid w:val="004719C3"/>
    <w:rsid w:val="00472B22"/>
    <w:rsid w:val="00472C1F"/>
    <w:rsid w:val="0047319B"/>
    <w:rsid w:val="004736C0"/>
    <w:rsid w:val="00473F3F"/>
    <w:rsid w:val="004751EA"/>
    <w:rsid w:val="004776F9"/>
    <w:rsid w:val="00480D10"/>
    <w:rsid w:val="00481693"/>
    <w:rsid w:val="004825AF"/>
    <w:rsid w:val="0048270A"/>
    <w:rsid w:val="00483552"/>
    <w:rsid w:val="00484550"/>
    <w:rsid w:val="00484B1F"/>
    <w:rsid w:val="00484E94"/>
    <w:rsid w:val="00485D7C"/>
    <w:rsid w:val="0048659F"/>
    <w:rsid w:val="00486A44"/>
    <w:rsid w:val="00486A4A"/>
    <w:rsid w:val="00486E89"/>
    <w:rsid w:val="00487DEA"/>
    <w:rsid w:val="00490CE1"/>
    <w:rsid w:val="00491D67"/>
    <w:rsid w:val="004937C5"/>
    <w:rsid w:val="00493CC2"/>
    <w:rsid w:val="004946B7"/>
    <w:rsid w:val="004951F2"/>
    <w:rsid w:val="004954A0"/>
    <w:rsid w:val="00495646"/>
    <w:rsid w:val="0049628C"/>
    <w:rsid w:val="004966BA"/>
    <w:rsid w:val="00496B3A"/>
    <w:rsid w:val="00496E70"/>
    <w:rsid w:val="00497E58"/>
    <w:rsid w:val="004A0EE8"/>
    <w:rsid w:val="004A1F43"/>
    <w:rsid w:val="004A2934"/>
    <w:rsid w:val="004A29F9"/>
    <w:rsid w:val="004A3F90"/>
    <w:rsid w:val="004A4284"/>
    <w:rsid w:val="004A4B83"/>
    <w:rsid w:val="004A5E01"/>
    <w:rsid w:val="004A6017"/>
    <w:rsid w:val="004A69EB"/>
    <w:rsid w:val="004A72C4"/>
    <w:rsid w:val="004A7340"/>
    <w:rsid w:val="004A7D66"/>
    <w:rsid w:val="004A7DA9"/>
    <w:rsid w:val="004B0347"/>
    <w:rsid w:val="004B07B7"/>
    <w:rsid w:val="004B08FD"/>
    <w:rsid w:val="004B1502"/>
    <w:rsid w:val="004B15D9"/>
    <w:rsid w:val="004B3EF0"/>
    <w:rsid w:val="004B3FD3"/>
    <w:rsid w:val="004B44FA"/>
    <w:rsid w:val="004B48A2"/>
    <w:rsid w:val="004B4B8C"/>
    <w:rsid w:val="004B50F1"/>
    <w:rsid w:val="004B68B3"/>
    <w:rsid w:val="004B7010"/>
    <w:rsid w:val="004B77D6"/>
    <w:rsid w:val="004B7C6E"/>
    <w:rsid w:val="004C1624"/>
    <w:rsid w:val="004C167A"/>
    <w:rsid w:val="004C16B5"/>
    <w:rsid w:val="004C25B2"/>
    <w:rsid w:val="004C295F"/>
    <w:rsid w:val="004C4F1B"/>
    <w:rsid w:val="004C52DF"/>
    <w:rsid w:val="004C5301"/>
    <w:rsid w:val="004C693B"/>
    <w:rsid w:val="004C7AC0"/>
    <w:rsid w:val="004C7E23"/>
    <w:rsid w:val="004D0B53"/>
    <w:rsid w:val="004D131B"/>
    <w:rsid w:val="004D1E09"/>
    <w:rsid w:val="004D273E"/>
    <w:rsid w:val="004D37DA"/>
    <w:rsid w:val="004D40D9"/>
    <w:rsid w:val="004D426B"/>
    <w:rsid w:val="004D4343"/>
    <w:rsid w:val="004D4870"/>
    <w:rsid w:val="004D520B"/>
    <w:rsid w:val="004D53B1"/>
    <w:rsid w:val="004D54B1"/>
    <w:rsid w:val="004D56B2"/>
    <w:rsid w:val="004D5EBC"/>
    <w:rsid w:val="004D604C"/>
    <w:rsid w:val="004D7558"/>
    <w:rsid w:val="004D78E7"/>
    <w:rsid w:val="004D79D9"/>
    <w:rsid w:val="004D7B83"/>
    <w:rsid w:val="004E005A"/>
    <w:rsid w:val="004E0847"/>
    <w:rsid w:val="004E0F16"/>
    <w:rsid w:val="004E0F4C"/>
    <w:rsid w:val="004E17E2"/>
    <w:rsid w:val="004E485A"/>
    <w:rsid w:val="004E6475"/>
    <w:rsid w:val="004E6C2A"/>
    <w:rsid w:val="004E6E73"/>
    <w:rsid w:val="004E70FD"/>
    <w:rsid w:val="004E7836"/>
    <w:rsid w:val="004E7988"/>
    <w:rsid w:val="004F04AE"/>
    <w:rsid w:val="004F0CF0"/>
    <w:rsid w:val="004F1147"/>
    <w:rsid w:val="004F18A9"/>
    <w:rsid w:val="004F1CF2"/>
    <w:rsid w:val="004F20D4"/>
    <w:rsid w:val="004F3500"/>
    <w:rsid w:val="004F38BA"/>
    <w:rsid w:val="004F4219"/>
    <w:rsid w:val="004F4982"/>
    <w:rsid w:val="004F4F87"/>
    <w:rsid w:val="004F577D"/>
    <w:rsid w:val="004F57BC"/>
    <w:rsid w:val="004F59F7"/>
    <w:rsid w:val="004F5DF1"/>
    <w:rsid w:val="004F5F73"/>
    <w:rsid w:val="004F7420"/>
    <w:rsid w:val="004F79D7"/>
    <w:rsid w:val="004F7C4D"/>
    <w:rsid w:val="00500353"/>
    <w:rsid w:val="00500D6A"/>
    <w:rsid w:val="005013FF"/>
    <w:rsid w:val="00501662"/>
    <w:rsid w:val="005016B2"/>
    <w:rsid w:val="00503BE2"/>
    <w:rsid w:val="005048E1"/>
    <w:rsid w:val="005050E0"/>
    <w:rsid w:val="005055D1"/>
    <w:rsid w:val="00506226"/>
    <w:rsid w:val="00506510"/>
    <w:rsid w:val="00506D96"/>
    <w:rsid w:val="00506DB5"/>
    <w:rsid w:val="00506F57"/>
    <w:rsid w:val="00507330"/>
    <w:rsid w:val="00507BB1"/>
    <w:rsid w:val="00507FEC"/>
    <w:rsid w:val="00510B62"/>
    <w:rsid w:val="005114ED"/>
    <w:rsid w:val="005116ED"/>
    <w:rsid w:val="0051171E"/>
    <w:rsid w:val="005120D4"/>
    <w:rsid w:val="00512A97"/>
    <w:rsid w:val="00513357"/>
    <w:rsid w:val="00514224"/>
    <w:rsid w:val="00514363"/>
    <w:rsid w:val="0051569E"/>
    <w:rsid w:val="0051597E"/>
    <w:rsid w:val="005164BD"/>
    <w:rsid w:val="00516602"/>
    <w:rsid w:val="005170E0"/>
    <w:rsid w:val="0051720D"/>
    <w:rsid w:val="005178A3"/>
    <w:rsid w:val="00517A9E"/>
    <w:rsid w:val="00517E84"/>
    <w:rsid w:val="00517EAD"/>
    <w:rsid w:val="00517FBB"/>
    <w:rsid w:val="005201D4"/>
    <w:rsid w:val="00520951"/>
    <w:rsid w:val="00520DB8"/>
    <w:rsid w:val="00521397"/>
    <w:rsid w:val="005213C3"/>
    <w:rsid w:val="00521A81"/>
    <w:rsid w:val="005224FF"/>
    <w:rsid w:val="005228A3"/>
    <w:rsid w:val="00523038"/>
    <w:rsid w:val="0052308E"/>
    <w:rsid w:val="00523FA5"/>
    <w:rsid w:val="00524E33"/>
    <w:rsid w:val="00525675"/>
    <w:rsid w:val="00526050"/>
    <w:rsid w:val="00526F3A"/>
    <w:rsid w:val="00527FDD"/>
    <w:rsid w:val="0053004A"/>
    <w:rsid w:val="00530170"/>
    <w:rsid w:val="005301ED"/>
    <w:rsid w:val="005313FD"/>
    <w:rsid w:val="00531644"/>
    <w:rsid w:val="00531FE4"/>
    <w:rsid w:val="0053216C"/>
    <w:rsid w:val="005321DA"/>
    <w:rsid w:val="00532BA4"/>
    <w:rsid w:val="00532DE0"/>
    <w:rsid w:val="00533362"/>
    <w:rsid w:val="005347B5"/>
    <w:rsid w:val="00534B33"/>
    <w:rsid w:val="0053690D"/>
    <w:rsid w:val="00537023"/>
    <w:rsid w:val="00540148"/>
    <w:rsid w:val="00540DA1"/>
    <w:rsid w:val="00541418"/>
    <w:rsid w:val="005414B6"/>
    <w:rsid w:val="00541AE9"/>
    <w:rsid w:val="00542E54"/>
    <w:rsid w:val="00543829"/>
    <w:rsid w:val="0054383A"/>
    <w:rsid w:val="00543E45"/>
    <w:rsid w:val="0054421D"/>
    <w:rsid w:val="005446A3"/>
    <w:rsid w:val="00544D8B"/>
    <w:rsid w:val="005455B7"/>
    <w:rsid w:val="00545B0F"/>
    <w:rsid w:val="00545EDD"/>
    <w:rsid w:val="00546483"/>
    <w:rsid w:val="005470F5"/>
    <w:rsid w:val="00550587"/>
    <w:rsid w:val="005513AC"/>
    <w:rsid w:val="0055351E"/>
    <w:rsid w:val="0055386D"/>
    <w:rsid w:val="00554451"/>
    <w:rsid w:val="005550C0"/>
    <w:rsid w:val="00555A88"/>
    <w:rsid w:val="00556333"/>
    <w:rsid w:val="00556E49"/>
    <w:rsid w:val="00556FE0"/>
    <w:rsid w:val="0055765E"/>
    <w:rsid w:val="005611A2"/>
    <w:rsid w:val="00561376"/>
    <w:rsid w:val="00561DCC"/>
    <w:rsid w:val="00561F8F"/>
    <w:rsid w:val="0056254C"/>
    <w:rsid w:val="0056270F"/>
    <w:rsid w:val="005641DE"/>
    <w:rsid w:val="005647A8"/>
    <w:rsid w:val="00564BE8"/>
    <w:rsid w:val="00565006"/>
    <w:rsid w:val="005654F6"/>
    <w:rsid w:val="00565CD8"/>
    <w:rsid w:val="00565F46"/>
    <w:rsid w:val="005668B8"/>
    <w:rsid w:val="00566EF6"/>
    <w:rsid w:val="0056717C"/>
    <w:rsid w:val="0056777D"/>
    <w:rsid w:val="005706B9"/>
    <w:rsid w:val="00570DB0"/>
    <w:rsid w:val="005720BF"/>
    <w:rsid w:val="00572252"/>
    <w:rsid w:val="005730ED"/>
    <w:rsid w:val="005734C9"/>
    <w:rsid w:val="005737DD"/>
    <w:rsid w:val="00573857"/>
    <w:rsid w:val="00573906"/>
    <w:rsid w:val="005748E5"/>
    <w:rsid w:val="00574D61"/>
    <w:rsid w:val="005750A2"/>
    <w:rsid w:val="005755DB"/>
    <w:rsid w:val="005755E6"/>
    <w:rsid w:val="0057624F"/>
    <w:rsid w:val="00576459"/>
    <w:rsid w:val="0057745E"/>
    <w:rsid w:val="0057778D"/>
    <w:rsid w:val="0058026F"/>
    <w:rsid w:val="00581892"/>
    <w:rsid w:val="0058348F"/>
    <w:rsid w:val="005834B5"/>
    <w:rsid w:val="005837EC"/>
    <w:rsid w:val="00583A35"/>
    <w:rsid w:val="00585197"/>
    <w:rsid w:val="00586507"/>
    <w:rsid w:val="00586D17"/>
    <w:rsid w:val="0059060E"/>
    <w:rsid w:val="00590647"/>
    <w:rsid w:val="00591909"/>
    <w:rsid w:val="00591DF4"/>
    <w:rsid w:val="00592D9B"/>
    <w:rsid w:val="0059340A"/>
    <w:rsid w:val="005959E5"/>
    <w:rsid w:val="00595E64"/>
    <w:rsid w:val="005963E1"/>
    <w:rsid w:val="00596455"/>
    <w:rsid w:val="00596DF8"/>
    <w:rsid w:val="005970A3"/>
    <w:rsid w:val="00597B29"/>
    <w:rsid w:val="005A091A"/>
    <w:rsid w:val="005A11A9"/>
    <w:rsid w:val="005A1D22"/>
    <w:rsid w:val="005A1ED4"/>
    <w:rsid w:val="005A28C5"/>
    <w:rsid w:val="005A2F71"/>
    <w:rsid w:val="005A3377"/>
    <w:rsid w:val="005A55CD"/>
    <w:rsid w:val="005A5B06"/>
    <w:rsid w:val="005A5DA8"/>
    <w:rsid w:val="005A6B89"/>
    <w:rsid w:val="005B004E"/>
    <w:rsid w:val="005B010C"/>
    <w:rsid w:val="005B011F"/>
    <w:rsid w:val="005B0AF6"/>
    <w:rsid w:val="005B1852"/>
    <w:rsid w:val="005B22C9"/>
    <w:rsid w:val="005B2513"/>
    <w:rsid w:val="005B25C8"/>
    <w:rsid w:val="005B271C"/>
    <w:rsid w:val="005B3972"/>
    <w:rsid w:val="005B46C3"/>
    <w:rsid w:val="005B4B95"/>
    <w:rsid w:val="005B5164"/>
    <w:rsid w:val="005C2227"/>
    <w:rsid w:val="005C255D"/>
    <w:rsid w:val="005C25D3"/>
    <w:rsid w:val="005C2995"/>
    <w:rsid w:val="005C3173"/>
    <w:rsid w:val="005C3E30"/>
    <w:rsid w:val="005C3F9A"/>
    <w:rsid w:val="005C5017"/>
    <w:rsid w:val="005C5CAD"/>
    <w:rsid w:val="005D037F"/>
    <w:rsid w:val="005D10B3"/>
    <w:rsid w:val="005D150A"/>
    <w:rsid w:val="005D1E30"/>
    <w:rsid w:val="005D23CF"/>
    <w:rsid w:val="005D257D"/>
    <w:rsid w:val="005D2A99"/>
    <w:rsid w:val="005D2AB9"/>
    <w:rsid w:val="005D2D08"/>
    <w:rsid w:val="005D2EDB"/>
    <w:rsid w:val="005D2F06"/>
    <w:rsid w:val="005D346C"/>
    <w:rsid w:val="005D47B4"/>
    <w:rsid w:val="005D4B45"/>
    <w:rsid w:val="005D5ED0"/>
    <w:rsid w:val="005D6685"/>
    <w:rsid w:val="005D6848"/>
    <w:rsid w:val="005E0121"/>
    <w:rsid w:val="005E1089"/>
    <w:rsid w:val="005E1345"/>
    <w:rsid w:val="005E15AC"/>
    <w:rsid w:val="005E15DD"/>
    <w:rsid w:val="005E32FB"/>
    <w:rsid w:val="005E3AE4"/>
    <w:rsid w:val="005E3D09"/>
    <w:rsid w:val="005E4071"/>
    <w:rsid w:val="005E4089"/>
    <w:rsid w:val="005E4D8E"/>
    <w:rsid w:val="005E5E1E"/>
    <w:rsid w:val="005E669B"/>
    <w:rsid w:val="005E703B"/>
    <w:rsid w:val="005E71F1"/>
    <w:rsid w:val="005F0594"/>
    <w:rsid w:val="005F1ECE"/>
    <w:rsid w:val="005F383B"/>
    <w:rsid w:val="005F4632"/>
    <w:rsid w:val="005F4C7F"/>
    <w:rsid w:val="005F4E4B"/>
    <w:rsid w:val="005F4FF4"/>
    <w:rsid w:val="005F60F4"/>
    <w:rsid w:val="005F68F4"/>
    <w:rsid w:val="005F748E"/>
    <w:rsid w:val="005F74FC"/>
    <w:rsid w:val="0060206E"/>
    <w:rsid w:val="0060249B"/>
    <w:rsid w:val="006036CF"/>
    <w:rsid w:val="00604175"/>
    <w:rsid w:val="00605DA5"/>
    <w:rsid w:val="00606F3E"/>
    <w:rsid w:val="0060784D"/>
    <w:rsid w:val="0061008F"/>
    <w:rsid w:val="00610942"/>
    <w:rsid w:val="00611984"/>
    <w:rsid w:val="00612041"/>
    <w:rsid w:val="006123EA"/>
    <w:rsid w:val="0061267B"/>
    <w:rsid w:val="0061320F"/>
    <w:rsid w:val="00613421"/>
    <w:rsid w:val="00613533"/>
    <w:rsid w:val="006139AC"/>
    <w:rsid w:val="00614290"/>
    <w:rsid w:val="006147B6"/>
    <w:rsid w:val="00614D63"/>
    <w:rsid w:val="00615800"/>
    <w:rsid w:val="00616BBA"/>
    <w:rsid w:val="00617243"/>
    <w:rsid w:val="00617733"/>
    <w:rsid w:val="00621234"/>
    <w:rsid w:val="00621E09"/>
    <w:rsid w:val="00621F85"/>
    <w:rsid w:val="0062388A"/>
    <w:rsid w:val="006241EE"/>
    <w:rsid w:val="006248BE"/>
    <w:rsid w:val="00624BB7"/>
    <w:rsid w:val="00625107"/>
    <w:rsid w:val="0062512F"/>
    <w:rsid w:val="00626B94"/>
    <w:rsid w:val="00626D9F"/>
    <w:rsid w:val="00630224"/>
    <w:rsid w:val="006304ED"/>
    <w:rsid w:val="00630942"/>
    <w:rsid w:val="0063152C"/>
    <w:rsid w:val="0063202C"/>
    <w:rsid w:val="00632C3D"/>
    <w:rsid w:val="00632EB8"/>
    <w:rsid w:val="0063324D"/>
    <w:rsid w:val="006333C1"/>
    <w:rsid w:val="0063412B"/>
    <w:rsid w:val="00635234"/>
    <w:rsid w:val="00635B2C"/>
    <w:rsid w:val="00635C1E"/>
    <w:rsid w:val="006365F2"/>
    <w:rsid w:val="00636938"/>
    <w:rsid w:val="006379F8"/>
    <w:rsid w:val="00637C88"/>
    <w:rsid w:val="00637F32"/>
    <w:rsid w:val="0064042A"/>
    <w:rsid w:val="00640587"/>
    <w:rsid w:val="00640AAE"/>
    <w:rsid w:val="00641137"/>
    <w:rsid w:val="0064204F"/>
    <w:rsid w:val="0064263C"/>
    <w:rsid w:val="00642743"/>
    <w:rsid w:val="00642837"/>
    <w:rsid w:val="00642899"/>
    <w:rsid w:val="00642C25"/>
    <w:rsid w:val="00642CBF"/>
    <w:rsid w:val="00642ECD"/>
    <w:rsid w:val="00643061"/>
    <w:rsid w:val="0064374D"/>
    <w:rsid w:val="00643CC8"/>
    <w:rsid w:val="00644211"/>
    <w:rsid w:val="0064424F"/>
    <w:rsid w:val="006446F8"/>
    <w:rsid w:val="006448EC"/>
    <w:rsid w:val="006450FA"/>
    <w:rsid w:val="00645C24"/>
    <w:rsid w:val="00645DF8"/>
    <w:rsid w:val="00650DBF"/>
    <w:rsid w:val="00651CE5"/>
    <w:rsid w:val="00651F42"/>
    <w:rsid w:val="006526CD"/>
    <w:rsid w:val="006530F6"/>
    <w:rsid w:val="006538E4"/>
    <w:rsid w:val="00653AB4"/>
    <w:rsid w:val="00654B9A"/>
    <w:rsid w:val="006551F8"/>
    <w:rsid w:val="00655531"/>
    <w:rsid w:val="006555B9"/>
    <w:rsid w:val="00655857"/>
    <w:rsid w:val="00656A97"/>
    <w:rsid w:val="00656C81"/>
    <w:rsid w:val="00657863"/>
    <w:rsid w:val="00657B4A"/>
    <w:rsid w:val="006608B8"/>
    <w:rsid w:val="006613F6"/>
    <w:rsid w:val="00661A3B"/>
    <w:rsid w:val="006625CE"/>
    <w:rsid w:val="006627F0"/>
    <w:rsid w:val="006628D5"/>
    <w:rsid w:val="00662ECA"/>
    <w:rsid w:val="0066317C"/>
    <w:rsid w:val="00664634"/>
    <w:rsid w:val="00664E73"/>
    <w:rsid w:val="00664F99"/>
    <w:rsid w:val="0066759A"/>
    <w:rsid w:val="006704AD"/>
    <w:rsid w:val="00671B3D"/>
    <w:rsid w:val="0067252B"/>
    <w:rsid w:val="006725ED"/>
    <w:rsid w:val="00672C20"/>
    <w:rsid w:val="00673EC9"/>
    <w:rsid w:val="00674077"/>
    <w:rsid w:val="00674108"/>
    <w:rsid w:val="006744C7"/>
    <w:rsid w:val="006745E0"/>
    <w:rsid w:val="00674C87"/>
    <w:rsid w:val="00674D35"/>
    <w:rsid w:val="00675AC2"/>
    <w:rsid w:val="00675E3A"/>
    <w:rsid w:val="00676C9C"/>
    <w:rsid w:val="00676EA1"/>
    <w:rsid w:val="00676F2F"/>
    <w:rsid w:val="00677B82"/>
    <w:rsid w:val="00677ECA"/>
    <w:rsid w:val="00681FED"/>
    <w:rsid w:val="006820D3"/>
    <w:rsid w:val="00682319"/>
    <w:rsid w:val="00684C27"/>
    <w:rsid w:val="00686501"/>
    <w:rsid w:val="00686B37"/>
    <w:rsid w:val="00686BC2"/>
    <w:rsid w:val="00687235"/>
    <w:rsid w:val="00690C46"/>
    <w:rsid w:val="00690CAA"/>
    <w:rsid w:val="00690CEF"/>
    <w:rsid w:val="00691166"/>
    <w:rsid w:val="00691265"/>
    <w:rsid w:val="00691759"/>
    <w:rsid w:val="00691DE4"/>
    <w:rsid w:val="0069272D"/>
    <w:rsid w:val="006927CC"/>
    <w:rsid w:val="00692BC0"/>
    <w:rsid w:val="00692DC4"/>
    <w:rsid w:val="00693423"/>
    <w:rsid w:val="00693924"/>
    <w:rsid w:val="00694626"/>
    <w:rsid w:val="00694D3E"/>
    <w:rsid w:val="006953CE"/>
    <w:rsid w:val="00695A86"/>
    <w:rsid w:val="006965A4"/>
    <w:rsid w:val="006975DA"/>
    <w:rsid w:val="00697909"/>
    <w:rsid w:val="006979C1"/>
    <w:rsid w:val="00697CFE"/>
    <w:rsid w:val="006A0930"/>
    <w:rsid w:val="006A129F"/>
    <w:rsid w:val="006A131C"/>
    <w:rsid w:val="006A17EE"/>
    <w:rsid w:val="006A1D8A"/>
    <w:rsid w:val="006A2C05"/>
    <w:rsid w:val="006A3766"/>
    <w:rsid w:val="006A393A"/>
    <w:rsid w:val="006A39E1"/>
    <w:rsid w:val="006A45BD"/>
    <w:rsid w:val="006A4A85"/>
    <w:rsid w:val="006A4BF2"/>
    <w:rsid w:val="006A515D"/>
    <w:rsid w:val="006A5564"/>
    <w:rsid w:val="006A5C8A"/>
    <w:rsid w:val="006A631E"/>
    <w:rsid w:val="006A67DB"/>
    <w:rsid w:val="006A78DE"/>
    <w:rsid w:val="006B09FF"/>
    <w:rsid w:val="006B12C9"/>
    <w:rsid w:val="006B1448"/>
    <w:rsid w:val="006B1641"/>
    <w:rsid w:val="006B1770"/>
    <w:rsid w:val="006B263C"/>
    <w:rsid w:val="006B2C8C"/>
    <w:rsid w:val="006B2D01"/>
    <w:rsid w:val="006B3C72"/>
    <w:rsid w:val="006B418F"/>
    <w:rsid w:val="006B453D"/>
    <w:rsid w:val="006B46F2"/>
    <w:rsid w:val="006B4F00"/>
    <w:rsid w:val="006B58E3"/>
    <w:rsid w:val="006B630D"/>
    <w:rsid w:val="006B66EB"/>
    <w:rsid w:val="006B7EAF"/>
    <w:rsid w:val="006C0BE7"/>
    <w:rsid w:val="006C1307"/>
    <w:rsid w:val="006C1475"/>
    <w:rsid w:val="006C1B17"/>
    <w:rsid w:val="006C2D43"/>
    <w:rsid w:val="006C36E6"/>
    <w:rsid w:val="006C39CA"/>
    <w:rsid w:val="006C49C8"/>
    <w:rsid w:val="006C535A"/>
    <w:rsid w:val="006C6324"/>
    <w:rsid w:val="006C6744"/>
    <w:rsid w:val="006C774E"/>
    <w:rsid w:val="006C7D7F"/>
    <w:rsid w:val="006D00C7"/>
    <w:rsid w:val="006D00FB"/>
    <w:rsid w:val="006D0281"/>
    <w:rsid w:val="006D0BF1"/>
    <w:rsid w:val="006D1090"/>
    <w:rsid w:val="006D1640"/>
    <w:rsid w:val="006D3C87"/>
    <w:rsid w:val="006D44D8"/>
    <w:rsid w:val="006D60EB"/>
    <w:rsid w:val="006D6151"/>
    <w:rsid w:val="006D7A81"/>
    <w:rsid w:val="006D7BCC"/>
    <w:rsid w:val="006E0BAF"/>
    <w:rsid w:val="006E1437"/>
    <w:rsid w:val="006E2A47"/>
    <w:rsid w:val="006E2C71"/>
    <w:rsid w:val="006E3AE2"/>
    <w:rsid w:val="006E433C"/>
    <w:rsid w:val="006E57B1"/>
    <w:rsid w:val="006E5D3C"/>
    <w:rsid w:val="006E7508"/>
    <w:rsid w:val="006E78FF"/>
    <w:rsid w:val="006E7E68"/>
    <w:rsid w:val="006F0EC1"/>
    <w:rsid w:val="006F2474"/>
    <w:rsid w:val="006F2606"/>
    <w:rsid w:val="006F2637"/>
    <w:rsid w:val="006F2B68"/>
    <w:rsid w:val="006F2F8C"/>
    <w:rsid w:val="006F3017"/>
    <w:rsid w:val="006F423C"/>
    <w:rsid w:val="006F44C6"/>
    <w:rsid w:val="006F49F3"/>
    <w:rsid w:val="006F4AF2"/>
    <w:rsid w:val="006F4C3E"/>
    <w:rsid w:val="006F5682"/>
    <w:rsid w:val="006F71C7"/>
    <w:rsid w:val="006F74BF"/>
    <w:rsid w:val="006F74C1"/>
    <w:rsid w:val="006F7ADA"/>
    <w:rsid w:val="0070010C"/>
    <w:rsid w:val="00700B55"/>
    <w:rsid w:val="0070174B"/>
    <w:rsid w:val="007017E6"/>
    <w:rsid w:val="00702ADB"/>
    <w:rsid w:val="007030EE"/>
    <w:rsid w:val="00703C9E"/>
    <w:rsid w:val="00703CA2"/>
    <w:rsid w:val="0070431C"/>
    <w:rsid w:val="0070449B"/>
    <w:rsid w:val="00705EEA"/>
    <w:rsid w:val="00706ED3"/>
    <w:rsid w:val="00707163"/>
    <w:rsid w:val="0070761A"/>
    <w:rsid w:val="00711C8E"/>
    <w:rsid w:val="0071253F"/>
    <w:rsid w:val="00712E9D"/>
    <w:rsid w:val="00713FE3"/>
    <w:rsid w:val="00714673"/>
    <w:rsid w:val="00714AC3"/>
    <w:rsid w:val="00714DE1"/>
    <w:rsid w:val="00714E78"/>
    <w:rsid w:val="00714EB3"/>
    <w:rsid w:val="0071549F"/>
    <w:rsid w:val="00715B76"/>
    <w:rsid w:val="00716E82"/>
    <w:rsid w:val="00717FC1"/>
    <w:rsid w:val="007200D0"/>
    <w:rsid w:val="0072145E"/>
    <w:rsid w:val="007214C1"/>
    <w:rsid w:val="00721D61"/>
    <w:rsid w:val="007235D8"/>
    <w:rsid w:val="00723AEF"/>
    <w:rsid w:val="00723B0F"/>
    <w:rsid w:val="007241F1"/>
    <w:rsid w:val="00724543"/>
    <w:rsid w:val="00726163"/>
    <w:rsid w:val="007264DC"/>
    <w:rsid w:val="007271BF"/>
    <w:rsid w:val="00727952"/>
    <w:rsid w:val="00730187"/>
    <w:rsid w:val="00731BFF"/>
    <w:rsid w:val="00731DA2"/>
    <w:rsid w:val="00732840"/>
    <w:rsid w:val="0073296C"/>
    <w:rsid w:val="0073321C"/>
    <w:rsid w:val="007336A3"/>
    <w:rsid w:val="007337F9"/>
    <w:rsid w:val="00733ED6"/>
    <w:rsid w:val="0073546F"/>
    <w:rsid w:val="00735E04"/>
    <w:rsid w:val="00736625"/>
    <w:rsid w:val="00736C78"/>
    <w:rsid w:val="00736F39"/>
    <w:rsid w:val="00737862"/>
    <w:rsid w:val="007378A2"/>
    <w:rsid w:val="00740CF7"/>
    <w:rsid w:val="00743CEF"/>
    <w:rsid w:val="00744067"/>
    <w:rsid w:val="007452B6"/>
    <w:rsid w:val="00745C56"/>
    <w:rsid w:val="007469B1"/>
    <w:rsid w:val="00746FAC"/>
    <w:rsid w:val="00750FE5"/>
    <w:rsid w:val="00754706"/>
    <w:rsid w:val="0075498C"/>
    <w:rsid w:val="00754C09"/>
    <w:rsid w:val="00754EFB"/>
    <w:rsid w:val="00754FD8"/>
    <w:rsid w:val="007606F6"/>
    <w:rsid w:val="00761307"/>
    <w:rsid w:val="00761741"/>
    <w:rsid w:val="007619FA"/>
    <w:rsid w:val="0076227D"/>
    <w:rsid w:val="00762AB7"/>
    <w:rsid w:val="00762C96"/>
    <w:rsid w:val="0076488E"/>
    <w:rsid w:val="00764C90"/>
    <w:rsid w:val="00764EAB"/>
    <w:rsid w:val="00764FFF"/>
    <w:rsid w:val="007654B9"/>
    <w:rsid w:val="00765D1C"/>
    <w:rsid w:val="007660C5"/>
    <w:rsid w:val="00766B52"/>
    <w:rsid w:val="0076738D"/>
    <w:rsid w:val="00767781"/>
    <w:rsid w:val="0076789C"/>
    <w:rsid w:val="00767E9E"/>
    <w:rsid w:val="0077053D"/>
    <w:rsid w:val="00770598"/>
    <w:rsid w:val="007709D6"/>
    <w:rsid w:val="00772BA7"/>
    <w:rsid w:val="00772F5C"/>
    <w:rsid w:val="00773099"/>
    <w:rsid w:val="007730FD"/>
    <w:rsid w:val="007731B0"/>
    <w:rsid w:val="0077359A"/>
    <w:rsid w:val="00773ED5"/>
    <w:rsid w:val="0077409F"/>
    <w:rsid w:val="0077568C"/>
    <w:rsid w:val="00775B17"/>
    <w:rsid w:val="00775EB5"/>
    <w:rsid w:val="0077609B"/>
    <w:rsid w:val="007761FD"/>
    <w:rsid w:val="00777618"/>
    <w:rsid w:val="00777C7E"/>
    <w:rsid w:val="0078005D"/>
    <w:rsid w:val="00780E35"/>
    <w:rsid w:val="0078112D"/>
    <w:rsid w:val="0078240E"/>
    <w:rsid w:val="00783230"/>
    <w:rsid w:val="00783954"/>
    <w:rsid w:val="00784CF9"/>
    <w:rsid w:val="007866D0"/>
    <w:rsid w:val="0078684A"/>
    <w:rsid w:val="00787E37"/>
    <w:rsid w:val="00790675"/>
    <w:rsid w:val="00791004"/>
    <w:rsid w:val="00791284"/>
    <w:rsid w:val="00791D55"/>
    <w:rsid w:val="00793905"/>
    <w:rsid w:val="007940B3"/>
    <w:rsid w:val="0079497B"/>
    <w:rsid w:val="00794BDD"/>
    <w:rsid w:val="007952F6"/>
    <w:rsid w:val="00796359"/>
    <w:rsid w:val="00796763"/>
    <w:rsid w:val="00796F5A"/>
    <w:rsid w:val="007A05F0"/>
    <w:rsid w:val="007A1387"/>
    <w:rsid w:val="007A1743"/>
    <w:rsid w:val="007A19AB"/>
    <w:rsid w:val="007A1D8E"/>
    <w:rsid w:val="007A1F72"/>
    <w:rsid w:val="007A3232"/>
    <w:rsid w:val="007A324E"/>
    <w:rsid w:val="007A4065"/>
    <w:rsid w:val="007A493A"/>
    <w:rsid w:val="007A6BF8"/>
    <w:rsid w:val="007A71F0"/>
    <w:rsid w:val="007A7A77"/>
    <w:rsid w:val="007B0602"/>
    <w:rsid w:val="007B214B"/>
    <w:rsid w:val="007B36FA"/>
    <w:rsid w:val="007B38A6"/>
    <w:rsid w:val="007B39A9"/>
    <w:rsid w:val="007B5928"/>
    <w:rsid w:val="007B5B4B"/>
    <w:rsid w:val="007B5E5D"/>
    <w:rsid w:val="007B67AE"/>
    <w:rsid w:val="007B68B4"/>
    <w:rsid w:val="007B6EC2"/>
    <w:rsid w:val="007B71D4"/>
    <w:rsid w:val="007B7839"/>
    <w:rsid w:val="007B793F"/>
    <w:rsid w:val="007C1047"/>
    <w:rsid w:val="007C1671"/>
    <w:rsid w:val="007C1C26"/>
    <w:rsid w:val="007C3603"/>
    <w:rsid w:val="007C3AA4"/>
    <w:rsid w:val="007C3C02"/>
    <w:rsid w:val="007C4153"/>
    <w:rsid w:val="007C4BC7"/>
    <w:rsid w:val="007C595D"/>
    <w:rsid w:val="007C5AE8"/>
    <w:rsid w:val="007C643F"/>
    <w:rsid w:val="007C6982"/>
    <w:rsid w:val="007C69AC"/>
    <w:rsid w:val="007C6FE8"/>
    <w:rsid w:val="007C71E0"/>
    <w:rsid w:val="007C76CC"/>
    <w:rsid w:val="007C7707"/>
    <w:rsid w:val="007C777E"/>
    <w:rsid w:val="007C7E23"/>
    <w:rsid w:val="007D1B16"/>
    <w:rsid w:val="007D1DCA"/>
    <w:rsid w:val="007D1FDA"/>
    <w:rsid w:val="007D21F8"/>
    <w:rsid w:val="007D2DE8"/>
    <w:rsid w:val="007D2F34"/>
    <w:rsid w:val="007D2FE5"/>
    <w:rsid w:val="007D381E"/>
    <w:rsid w:val="007D466E"/>
    <w:rsid w:val="007D4AC8"/>
    <w:rsid w:val="007D4C0B"/>
    <w:rsid w:val="007D4DD2"/>
    <w:rsid w:val="007D5A44"/>
    <w:rsid w:val="007D6155"/>
    <w:rsid w:val="007D6E20"/>
    <w:rsid w:val="007D7085"/>
    <w:rsid w:val="007D711C"/>
    <w:rsid w:val="007D7335"/>
    <w:rsid w:val="007D733D"/>
    <w:rsid w:val="007D75BE"/>
    <w:rsid w:val="007D7D1A"/>
    <w:rsid w:val="007E0373"/>
    <w:rsid w:val="007E1064"/>
    <w:rsid w:val="007E1C3F"/>
    <w:rsid w:val="007E292C"/>
    <w:rsid w:val="007E306D"/>
    <w:rsid w:val="007E38AD"/>
    <w:rsid w:val="007E62B3"/>
    <w:rsid w:val="007E658B"/>
    <w:rsid w:val="007F0680"/>
    <w:rsid w:val="007F0816"/>
    <w:rsid w:val="007F0CF4"/>
    <w:rsid w:val="007F0D2A"/>
    <w:rsid w:val="007F16BF"/>
    <w:rsid w:val="007F2CAA"/>
    <w:rsid w:val="007F354E"/>
    <w:rsid w:val="007F3C09"/>
    <w:rsid w:val="007F5C71"/>
    <w:rsid w:val="00800C89"/>
    <w:rsid w:val="00801862"/>
    <w:rsid w:val="008022B9"/>
    <w:rsid w:val="00802593"/>
    <w:rsid w:val="00802A18"/>
    <w:rsid w:val="00802EAA"/>
    <w:rsid w:val="00803D38"/>
    <w:rsid w:val="008048F4"/>
    <w:rsid w:val="00804B5F"/>
    <w:rsid w:val="0080609F"/>
    <w:rsid w:val="008062F4"/>
    <w:rsid w:val="00806658"/>
    <w:rsid w:val="00807B22"/>
    <w:rsid w:val="008115B6"/>
    <w:rsid w:val="00811636"/>
    <w:rsid w:val="00811B3B"/>
    <w:rsid w:val="0081301C"/>
    <w:rsid w:val="008135E5"/>
    <w:rsid w:val="00813738"/>
    <w:rsid w:val="00813AEB"/>
    <w:rsid w:val="00813D95"/>
    <w:rsid w:val="00813F6E"/>
    <w:rsid w:val="00814033"/>
    <w:rsid w:val="00814B1D"/>
    <w:rsid w:val="00814DCF"/>
    <w:rsid w:val="0081519E"/>
    <w:rsid w:val="0081674F"/>
    <w:rsid w:val="00816CC5"/>
    <w:rsid w:val="00817093"/>
    <w:rsid w:val="008208F4"/>
    <w:rsid w:val="0082113D"/>
    <w:rsid w:val="00822DB3"/>
    <w:rsid w:val="00822F9B"/>
    <w:rsid w:val="008235DB"/>
    <w:rsid w:val="008237CD"/>
    <w:rsid w:val="00823E51"/>
    <w:rsid w:val="008250DE"/>
    <w:rsid w:val="00825818"/>
    <w:rsid w:val="00825B81"/>
    <w:rsid w:val="008260C5"/>
    <w:rsid w:val="00826EEE"/>
    <w:rsid w:val="00827767"/>
    <w:rsid w:val="008277EB"/>
    <w:rsid w:val="00827F2D"/>
    <w:rsid w:val="00827F64"/>
    <w:rsid w:val="00830436"/>
    <w:rsid w:val="00831AEE"/>
    <w:rsid w:val="0083211A"/>
    <w:rsid w:val="008321D0"/>
    <w:rsid w:val="008328AD"/>
    <w:rsid w:val="00832EAE"/>
    <w:rsid w:val="00833788"/>
    <w:rsid w:val="008337D5"/>
    <w:rsid w:val="00833A70"/>
    <w:rsid w:val="00833DD9"/>
    <w:rsid w:val="0083413F"/>
    <w:rsid w:val="008352DE"/>
    <w:rsid w:val="008358AD"/>
    <w:rsid w:val="00835A21"/>
    <w:rsid w:val="008369A4"/>
    <w:rsid w:val="008378F9"/>
    <w:rsid w:val="00840289"/>
    <w:rsid w:val="00840BB3"/>
    <w:rsid w:val="008412FA"/>
    <w:rsid w:val="00841B23"/>
    <w:rsid w:val="00841E7A"/>
    <w:rsid w:val="00842262"/>
    <w:rsid w:val="00842ACB"/>
    <w:rsid w:val="00843A77"/>
    <w:rsid w:val="00844241"/>
    <w:rsid w:val="00844498"/>
    <w:rsid w:val="008447FA"/>
    <w:rsid w:val="008454D3"/>
    <w:rsid w:val="0084598D"/>
    <w:rsid w:val="00845A61"/>
    <w:rsid w:val="008460D2"/>
    <w:rsid w:val="008462B6"/>
    <w:rsid w:val="00846D42"/>
    <w:rsid w:val="00851CA8"/>
    <w:rsid w:val="00852BD5"/>
    <w:rsid w:val="008533E1"/>
    <w:rsid w:val="008544EF"/>
    <w:rsid w:val="00854AD9"/>
    <w:rsid w:val="00856B39"/>
    <w:rsid w:val="00856F95"/>
    <w:rsid w:val="008570D0"/>
    <w:rsid w:val="00860448"/>
    <w:rsid w:val="0086087F"/>
    <w:rsid w:val="00860BE6"/>
    <w:rsid w:val="00860E60"/>
    <w:rsid w:val="00861217"/>
    <w:rsid w:val="0086139A"/>
    <w:rsid w:val="0086310F"/>
    <w:rsid w:val="00863D52"/>
    <w:rsid w:val="008645E6"/>
    <w:rsid w:val="00864743"/>
    <w:rsid w:val="00864815"/>
    <w:rsid w:val="00865B4B"/>
    <w:rsid w:val="00865FDD"/>
    <w:rsid w:val="008661EF"/>
    <w:rsid w:val="0086657A"/>
    <w:rsid w:val="00866D52"/>
    <w:rsid w:val="008674DE"/>
    <w:rsid w:val="00867899"/>
    <w:rsid w:val="00870A5A"/>
    <w:rsid w:val="00870E1C"/>
    <w:rsid w:val="0087108D"/>
    <w:rsid w:val="00871A1C"/>
    <w:rsid w:val="00871A90"/>
    <w:rsid w:val="008730F7"/>
    <w:rsid w:val="00873322"/>
    <w:rsid w:val="00873D56"/>
    <w:rsid w:val="00875457"/>
    <w:rsid w:val="00875890"/>
    <w:rsid w:val="00875B93"/>
    <w:rsid w:val="00875FBB"/>
    <w:rsid w:val="00876521"/>
    <w:rsid w:val="00876665"/>
    <w:rsid w:val="00876E7F"/>
    <w:rsid w:val="008776D3"/>
    <w:rsid w:val="00877A29"/>
    <w:rsid w:val="00877C49"/>
    <w:rsid w:val="00877EFE"/>
    <w:rsid w:val="008803B9"/>
    <w:rsid w:val="008818E7"/>
    <w:rsid w:val="00881D25"/>
    <w:rsid w:val="008826CA"/>
    <w:rsid w:val="008827C3"/>
    <w:rsid w:val="008828BA"/>
    <w:rsid w:val="00883820"/>
    <w:rsid w:val="00883D52"/>
    <w:rsid w:val="008850CA"/>
    <w:rsid w:val="008851A9"/>
    <w:rsid w:val="00885215"/>
    <w:rsid w:val="00885A70"/>
    <w:rsid w:val="00885F5A"/>
    <w:rsid w:val="00885F74"/>
    <w:rsid w:val="008865FC"/>
    <w:rsid w:val="0088660A"/>
    <w:rsid w:val="008866A7"/>
    <w:rsid w:val="0088673D"/>
    <w:rsid w:val="008867EB"/>
    <w:rsid w:val="0088698F"/>
    <w:rsid w:val="00886A32"/>
    <w:rsid w:val="00886B2D"/>
    <w:rsid w:val="00886E12"/>
    <w:rsid w:val="008876FD"/>
    <w:rsid w:val="008900B1"/>
    <w:rsid w:val="00891B3A"/>
    <w:rsid w:val="00891B56"/>
    <w:rsid w:val="00891D1B"/>
    <w:rsid w:val="00892990"/>
    <w:rsid w:val="00893F23"/>
    <w:rsid w:val="008962D3"/>
    <w:rsid w:val="00896655"/>
    <w:rsid w:val="008977B2"/>
    <w:rsid w:val="0089797E"/>
    <w:rsid w:val="008A03C3"/>
    <w:rsid w:val="008A23E0"/>
    <w:rsid w:val="008A25AC"/>
    <w:rsid w:val="008A2631"/>
    <w:rsid w:val="008A3078"/>
    <w:rsid w:val="008A48C3"/>
    <w:rsid w:val="008A4AE8"/>
    <w:rsid w:val="008A669C"/>
    <w:rsid w:val="008A690F"/>
    <w:rsid w:val="008A6E9D"/>
    <w:rsid w:val="008B0729"/>
    <w:rsid w:val="008B0BF7"/>
    <w:rsid w:val="008B1683"/>
    <w:rsid w:val="008B1CA6"/>
    <w:rsid w:val="008B1F5F"/>
    <w:rsid w:val="008B233C"/>
    <w:rsid w:val="008B39B8"/>
    <w:rsid w:val="008B45B4"/>
    <w:rsid w:val="008B4BC0"/>
    <w:rsid w:val="008B4D7F"/>
    <w:rsid w:val="008B5886"/>
    <w:rsid w:val="008B5DE9"/>
    <w:rsid w:val="008B60DC"/>
    <w:rsid w:val="008B6134"/>
    <w:rsid w:val="008B6187"/>
    <w:rsid w:val="008B6287"/>
    <w:rsid w:val="008B6A03"/>
    <w:rsid w:val="008B6C0B"/>
    <w:rsid w:val="008B7D7E"/>
    <w:rsid w:val="008C057D"/>
    <w:rsid w:val="008C1911"/>
    <w:rsid w:val="008C3109"/>
    <w:rsid w:val="008C3611"/>
    <w:rsid w:val="008C3FF2"/>
    <w:rsid w:val="008C4C7D"/>
    <w:rsid w:val="008C4F79"/>
    <w:rsid w:val="008C59EA"/>
    <w:rsid w:val="008C602B"/>
    <w:rsid w:val="008C6056"/>
    <w:rsid w:val="008C7A35"/>
    <w:rsid w:val="008C7FDB"/>
    <w:rsid w:val="008D0258"/>
    <w:rsid w:val="008D1BB2"/>
    <w:rsid w:val="008D1CBC"/>
    <w:rsid w:val="008D20A7"/>
    <w:rsid w:val="008D2CAB"/>
    <w:rsid w:val="008D312E"/>
    <w:rsid w:val="008D36DF"/>
    <w:rsid w:val="008D3869"/>
    <w:rsid w:val="008D48C5"/>
    <w:rsid w:val="008D4AC2"/>
    <w:rsid w:val="008D4B81"/>
    <w:rsid w:val="008D528E"/>
    <w:rsid w:val="008D605A"/>
    <w:rsid w:val="008D611E"/>
    <w:rsid w:val="008D70B2"/>
    <w:rsid w:val="008E0BCD"/>
    <w:rsid w:val="008E0FE6"/>
    <w:rsid w:val="008E14CF"/>
    <w:rsid w:val="008E166A"/>
    <w:rsid w:val="008E189A"/>
    <w:rsid w:val="008E25F9"/>
    <w:rsid w:val="008E3504"/>
    <w:rsid w:val="008E3C88"/>
    <w:rsid w:val="008E4A66"/>
    <w:rsid w:val="008E4FA7"/>
    <w:rsid w:val="008E5BBB"/>
    <w:rsid w:val="008E5C91"/>
    <w:rsid w:val="008E5CC0"/>
    <w:rsid w:val="008E5E54"/>
    <w:rsid w:val="008E62A4"/>
    <w:rsid w:val="008E68D0"/>
    <w:rsid w:val="008E710C"/>
    <w:rsid w:val="008F10F6"/>
    <w:rsid w:val="008F20EA"/>
    <w:rsid w:val="008F2368"/>
    <w:rsid w:val="008F2485"/>
    <w:rsid w:val="008F27FF"/>
    <w:rsid w:val="008F3377"/>
    <w:rsid w:val="008F3659"/>
    <w:rsid w:val="008F4951"/>
    <w:rsid w:val="008F4A05"/>
    <w:rsid w:val="008F5A58"/>
    <w:rsid w:val="008F5F32"/>
    <w:rsid w:val="008F6D51"/>
    <w:rsid w:val="008F7853"/>
    <w:rsid w:val="009010B1"/>
    <w:rsid w:val="0090172C"/>
    <w:rsid w:val="009018BC"/>
    <w:rsid w:val="00901FA3"/>
    <w:rsid w:val="00902965"/>
    <w:rsid w:val="009038BD"/>
    <w:rsid w:val="00903B9F"/>
    <w:rsid w:val="00903EA1"/>
    <w:rsid w:val="00904A67"/>
    <w:rsid w:val="00904BA2"/>
    <w:rsid w:val="00905CCB"/>
    <w:rsid w:val="00906730"/>
    <w:rsid w:val="0090691F"/>
    <w:rsid w:val="00906E08"/>
    <w:rsid w:val="00906F22"/>
    <w:rsid w:val="00910125"/>
    <w:rsid w:val="00910944"/>
    <w:rsid w:val="00910E0E"/>
    <w:rsid w:val="00911F2E"/>
    <w:rsid w:val="00912B01"/>
    <w:rsid w:val="00912FB4"/>
    <w:rsid w:val="009135B8"/>
    <w:rsid w:val="00913849"/>
    <w:rsid w:val="00913DB5"/>
    <w:rsid w:val="0091569F"/>
    <w:rsid w:val="00915FFC"/>
    <w:rsid w:val="00916694"/>
    <w:rsid w:val="00916EA7"/>
    <w:rsid w:val="00916EBC"/>
    <w:rsid w:val="00917452"/>
    <w:rsid w:val="009176F5"/>
    <w:rsid w:val="00920732"/>
    <w:rsid w:val="009212FC"/>
    <w:rsid w:val="00921DF8"/>
    <w:rsid w:val="0092373C"/>
    <w:rsid w:val="0092383D"/>
    <w:rsid w:val="0092404D"/>
    <w:rsid w:val="0092428A"/>
    <w:rsid w:val="0092463C"/>
    <w:rsid w:val="00925FA8"/>
    <w:rsid w:val="009262D2"/>
    <w:rsid w:val="00926A1C"/>
    <w:rsid w:val="00927063"/>
    <w:rsid w:val="009271AD"/>
    <w:rsid w:val="009300BB"/>
    <w:rsid w:val="009301E9"/>
    <w:rsid w:val="009303F3"/>
    <w:rsid w:val="009306EA"/>
    <w:rsid w:val="00931DEE"/>
    <w:rsid w:val="00933058"/>
    <w:rsid w:val="00933068"/>
    <w:rsid w:val="00933575"/>
    <w:rsid w:val="00933BF9"/>
    <w:rsid w:val="00933DB2"/>
    <w:rsid w:val="00934339"/>
    <w:rsid w:val="009358E7"/>
    <w:rsid w:val="00936167"/>
    <w:rsid w:val="00936BC3"/>
    <w:rsid w:val="00936D9C"/>
    <w:rsid w:val="00937D6B"/>
    <w:rsid w:val="00940D0E"/>
    <w:rsid w:val="00940F63"/>
    <w:rsid w:val="0094245E"/>
    <w:rsid w:val="00942BCD"/>
    <w:rsid w:val="0094321F"/>
    <w:rsid w:val="00943670"/>
    <w:rsid w:val="00943A16"/>
    <w:rsid w:val="00944A78"/>
    <w:rsid w:val="00944B9C"/>
    <w:rsid w:val="0094568E"/>
    <w:rsid w:val="009458B1"/>
    <w:rsid w:val="009459F7"/>
    <w:rsid w:val="009461C0"/>
    <w:rsid w:val="009468EA"/>
    <w:rsid w:val="00947D6A"/>
    <w:rsid w:val="00950486"/>
    <w:rsid w:val="009505D5"/>
    <w:rsid w:val="009507D1"/>
    <w:rsid w:val="009528A9"/>
    <w:rsid w:val="00952C49"/>
    <w:rsid w:val="0095325F"/>
    <w:rsid w:val="00953860"/>
    <w:rsid w:val="009541B0"/>
    <w:rsid w:val="0095438C"/>
    <w:rsid w:val="009559E3"/>
    <w:rsid w:val="0095723F"/>
    <w:rsid w:val="00957678"/>
    <w:rsid w:val="009608BA"/>
    <w:rsid w:val="0096120E"/>
    <w:rsid w:val="00962BC0"/>
    <w:rsid w:val="00962FA2"/>
    <w:rsid w:val="0096459B"/>
    <w:rsid w:val="009657F3"/>
    <w:rsid w:val="00966184"/>
    <w:rsid w:val="009664F8"/>
    <w:rsid w:val="00967DBF"/>
    <w:rsid w:val="0097060D"/>
    <w:rsid w:val="0097068A"/>
    <w:rsid w:val="00970B74"/>
    <w:rsid w:val="00970EBB"/>
    <w:rsid w:val="00971125"/>
    <w:rsid w:val="00971733"/>
    <w:rsid w:val="00971942"/>
    <w:rsid w:val="0097256B"/>
    <w:rsid w:val="00973123"/>
    <w:rsid w:val="0097361D"/>
    <w:rsid w:val="00973AA6"/>
    <w:rsid w:val="0097400A"/>
    <w:rsid w:val="00975081"/>
    <w:rsid w:val="00975C01"/>
    <w:rsid w:val="00975DEB"/>
    <w:rsid w:val="00975F74"/>
    <w:rsid w:val="009762F0"/>
    <w:rsid w:val="009771C7"/>
    <w:rsid w:val="00977243"/>
    <w:rsid w:val="00977B84"/>
    <w:rsid w:val="009802A6"/>
    <w:rsid w:val="00981150"/>
    <w:rsid w:val="0098157F"/>
    <w:rsid w:val="009826BA"/>
    <w:rsid w:val="009826CD"/>
    <w:rsid w:val="009828E7"/>
    <w:rsid w:val="00982D21"/>
    <w:rsid w:val="00982E97"/>
    <w:rsid w:val="00983292"/>
    <w:rsid w:val="0098368C"/>
    <w:rsid w:val="00984392"/>
    <w:rsid w:val="0098555E"/>
    <w:rsid w:val="009861E5"/>
    <w:rsid w:val="00986A13"/>
    <w:rsid w:val="009919C8"/>
    <w:rsid w:val="00992D2E"/>
    <w:rsid w:val="00992D96"/>
    <w:rsid w:val="00992E1D"/>
    <w:rsid w:val="009932A7"/>
    <w:rsid w:val="00993437"/>
    <w:rsid w:val="00993AEE"/>
    <w:rsid w:val="009946D9"/>
    <w:rsid w:val="0099499D"/>
    <w:rsid w:val="00994BE7"/>
    <w:rsid w:val="00995CFA"/>
    <w:rsid w:val="00996240"/>
    <w:rsid w:val="00996AF9"/>
    <w:rsid w:val="00996D86"/>
    <w:rsid w:val="00996DD3"/>
    <w:rsid w:val="00997F05"/>
    <w:rsid w:val="009A03D3"/>
    <w:rsid w:val="009A0C53"/>
    <w:rsid w:val="009A1312"/>
    <w:rsid w:val="009A14E5"/>
    <w:rsid w:val="009A25C0"/>
    <w:rsid w:val="009A26B3"/>
    <w:rsid w:val="009A2886"/>
    <w:rsid w:val="009A29EC"/>
    <w:rsid w:val="009A32F3"/>
    <w:rsid w:val="009A39AA"/>
    <w:rsid w:val="009A40A7"/>
    <w:rsid w:val="009A4205"/>
    <w:rsid w:val="009A455A"/>
    <w:rsid w:val="009A4F8E"/>
    <w:rsid w:val="009A5517"/>
    <w:rsid w:val="009A62AD"/>
    <w:rsid w:val="009A711F"/>
    <w:rsid w:val="009A7458"/>
    <w:rsid w:val="009A746C"/>
    <w:rsid w:val="009B0487"/>
    <w:rsid w:val="009B0678"/>
    <w:rsid w:val="009B0FD3"/>
    <w:rsid w:val="009B29B2"/>
    <w:rsid w:val="009B319A"/>
    <w:rsid w:val="009B31E5"/>
    <w:rsid w:val="009B3869"/>
    <w:rsid w:val="009B3BF5"/>
    <w:rsid w:val="009B5024"/>
    <w:rsid w:val="009B5052"/>
    <w:rsid w:val="009B5DD5"/>
    <w:rsid w:val="009B5ED3"/>
    <w:rsid w:val="009B5F0F"/>
    <w:rsid w:val="009B6513"/>
    <w:rsid w:val="009B6E10"/>
    <w:rsid w:val="009B7106"/>
    <w:rsid w:val="009B74EF"/>
    <w:rsid w:val="009B7B55"/>
    <w:rsid w:val="009B7E29"/>
    <w:rsid w:val="009C0A0C"/>
    <w:rsid w:val="009C0F2E"/>
    <w:rsid w:val="009C17EE"/>
    <w:rsid w:val="009C1EBA"/>
    <w:rsid w:val="009C277E"/>
    <w:rsid w:val="009C2F1E"/>
    <w:rsid w:val="009C36D7"/>
    <w:rsid w:val="009C4014"/>
    <w:rsid w:val="009C4825"/>
    <w:rsid w:val="009C4F1E"/>
    <w:rsid w:val="009C504B"/>
    <w:rsid w:val="009C5193"/>
    <w:rsid w:val="009C5406"/>
    <w:rsid w:val="009C5698"/>
    <w:rsid w:val="009C5D06"/>
    <w:rsid w:val="009C6205"/>
    <w:rsid w:val="009C682A"/>
    <w:rsid w:val="009C7102"/>
    <w:rsid w:val="009C78AD"/>
    <w:rsid w:val="009D059D"/>
    <w:rsid w:val="009D0DBB"/>
    <w:rsid w:val="009D18FF"/>
    <w:rsid w:val="009D19A3"/>
    <w:rsid w:val="009D2B6C"/>
    <w:rsid w:val="009D4678"/>
    <w:rsid w:val="009D4B53"/>
    <w:rsid w:val="009D502F"/>
    <w:rsid w:val="009D52E5"/>
    <w:rsid w:val="009D58C6"/>
    <w:rsid w:val="009D5A73"/>
    <w:rsid w:val="009D5E4D"/>
    <w:rsid w:val="009D5E8B"/>
    <w:rsid w:val="009D6527"/>
    <w:rsid w:val="009D693D"/>
    <w:rsid w:val="009D77BB"/>
    <w:rsid w:val="009E02EF"/>
    <w:rsid w:val="009E049A"/>
    <w:rsid w:val="009E0A96"/>
    <w:rsid w:val="009E153B"/>
    <w:rsid w:val="009E1685"/>
    <w:rsid w:val="009E246B"/>
    <w:rsid w:val="009E26B5"/>
    <w:rsid w:val="009E29F5"/>
    <w:rsid w:val="009E31E9"/>
    <w:rsid w:val="009E346A"/>
    <w:rsid w:val="009E40F3"/>
    <w:rsid w:val="009E52C6"/>
    <w:rsid w:val="009E61A8"/>
    <w:rsid w:val="009E710D"/>
    <w:rsid w:val="009E7D20"/>
    <w:rsid w:val="009F0C7A"/>
    <w:rsid w:val="009F0F63"/>
    <w:rsid w:val="009F16C7"/>
    <w:rsid w:val="009F16CD"/>
    <w:rsid w:val="009F2179"/>
    <w:rsid w:val="009F23EA"/>
    <w:rsid w:val="009F29BF"/>
    <w:rsid w:val="009F2ADA"/>
    <w:rsid w:val="009F34BD"/>
    <w:rsid w:val="009F3E90"/>
    <w:rsid w:val="009F41E0"/>
    <w:rsid w:val="009F6771"/>
    <w:rsid w:val="009F6E5A"/>
    <w:rsid w:val="009F7824"/>
    <w:rsid w:val="009F792F"/>
    <w:rsid w:val="00A0014B"/>
    <w:rsid w:val="00A01043"/>
    <w:rsid w:val="00A01A66"/>
    <w:rsid w:val="00A037F8"/>
    <w:rsid w:val="00A03B6C"/>
    <w:rsid w:val="00A03E94"/>
    <w:rsid w:val="00A03FBA"/>
    <w:rsid w:val="00A04D9A"/>
    <w:rsid w:val="00A0530C"/>
    <w:rsid w:val="00A0542F"/>
    <w:rsid w:val="00A060EB"/>
    <w:rsid w:val="00A065E6"/>
    <w:rsid w:val="00A06CD4"/>
    <w:rsid w:val="00A07E4E"/>
    <w:rsid w:val="00A101C8"/>
    <w:rsid w:val="00A10D4F"/>
    <w:rsid w:val="00A1120A"/>
    <w:rsid w:val="00A112D3"/>
    <w:rsid w:val="00A11735"/>
    <w:rsid w:val="00A11B58"/>
    <w:rsid w:val="00A12973"/>
    <w:rsid w:val="00A13801"/>
    <w:rsid w:val="00A13AE0"/>
    <w:rsid w:val="00A13E93"/>
    <w:rsid w:val="00A1401A"/>
    <w:rsid w:val="00A14CB4"/>
    <w:rsid w:val="00A14F8C"/>
    <w:rsid w:val="00A15437"/>
    <w:rsid w:val="00A1555C"/>
    <w:rsid w:val="00A15B13"/>
    <w:rsid w:val="00A15CFB"/>
    <w:rsid w:val="00A166B1"/>
    <w:rsid w:val="00A16E82"/>
    <w:rsid w:val="00A212AB"/>
    <w:rsid w:val="00A2149A"/>
    <w:rsid w:val="00A215F4"/>
    <w:rsid w:val="00A21748"/>
    <w:rsid w:val="00A21F53"/>
    <w:rsid w:val="00A21FE5"/>
    <w:rsid w:val="00A22C2E"/>
    <w:rsid w:val="00A22C3A"/>
    <w:rsid w:val="00A22DC9"/>
    <w:rsid w:val="00A22E0B"/>
    <w:rsid w:val="00A23E61"/>
    <w:rsid w:val="00A24342"/>
    <w:rsid w:val="00A246D4"/>
    <w:rsid w:val="00A24EFD"/>
    <w:rsid w:val="00A25427"/>
    <w:rsid w:val="00A256BF"/>
    <w:rsid w:val="00A25E0E"/>
    <w:rsid w:val="00A267AE"/>
    <w:rsid w:val="00A27D25"/>
    <w:rsid w:val="00A31531"/>
    <w:rsid w:val="00A31F75"/>
    <w:rsid w:val="00A3289A"/>
    <w:rsid w:val="00A33AC4"/>
    <w:rsid w:val="00A33EE0"/>
    <w:rsid w:val="00A34B0E"/>
    <w:rsid w:val="00A34EA1"/>
    <w:rsid w:val="00A3553D"/>
    <w:rsid w:val="00A371AC"/>
    <w:rsid w:val="00A37269"/>
    <w:rsid w:val="00A37514"/>
    <w:rsid w:val="00A3757C"/>
    <w:rsid w:val="00A40A78"/>
    <w:rsid w:val="00A40A87"/>
    <w:rsid w:val="00A40C5B"/>
    <w:rsid w:val="00A40E05"/>
    <w:rsid w:val="00A40FEB"/>
    <w:rsid w:val="00A41434"/>
    <w:rsid w:val="00A42A83"/>
    <w:rsid w:val="00A437A5"/>
    <w:rsid w:val="00A437DD"/>
    <w:rsid w:val="00A4394F"/>
    <w:rsid w:val="00A43B58"/>
    <w:rsid w:val="00A442CD"/>
    <w:rsid w:val="00A44B61"/>
    <w:rsid w:val="00A452B9"/>
    <w:rsid w:val="00A45925"/>
    <w:rsid w:val="00A45943"/>
    <w:rsid w:val="00A469D9"/>
    <w:rsid w:val="00A4784E"/>
    <w:rsid w:val="00A47B70"/>
    <w:rsid w:val="00A51393"/>
    <w:rsid w:val="00A5192B"/>
    <w:rsid w:val="00A52BC3"/>
    <w:rsid w:val="00A533ED"/>
    <w:rsid w:val="00A53A07"/>
    <w:rsid w:val="00A53C5A"/>
    <w:rsid w:val="00A53F0E"/>
    <w:rsid w:val="00A54537"/>
    <w:rsid w:val="00A54EEF"/>
    <w:rsid w:val="00A55DD4"/>
    <w:rsid w:val="00A55E55"/>
    <w:rsid w:val="00A56791"/>
    <w:rsid w:val="00A56C08"/>
    <w:rsid w:val="00A572A7"/>
    <w:rsid w:val="00A577AC"/>
    <w:rsid w:val="00A6156D"/>
    <w:rsid w:val="00A615CA"/>
    <w:rsid w:val="00A615FF"/>
    <w:rsid w:val="00A61749"/>
    <w:rsid w:val="00A61D82"/>
    <w:rsid w:val="00A61D85"/>
    <w:rsid w:val="00A62CC4"/>
    <w:rsid w:val="00A62DAE"/>
    <w:rsid w:val="00A63B18"/>
    <w:rsid w:val="00A63B90"/>
    <w:rsid w:val="00A64103"/>
    <w:rsid w:val="00A644C8"/>
    <w:rsid w:val="00A64F22"/>
    <w:rsid w:val="00A66668"/>
    <w:rsid w:val="00A666D0"/>
    <w:rsid w:val="00A66D4F"/>
    <w:rsid w:val="00A67195"/>
    <w:rsid w:val="00A672D8"/>
    <w:rsid w:val="00A70693"/>
    <w:rsid w:val="00A70D0A"/>
    <w:rsid w:val="00A70F29"/>
    <w:rsid w:val="00A7153B"/>
    <w:rsid w:val="00A7193F"/>
    <w:rsid w:val="00A72377"/>
    <w:rsid w:val="00A72F73"/>
    <w:rsid w:val="00A7328A"/>
    <w:rsid w:val="00A73A4E"/>
    <w:rsid w:val="00A73BD3"/>
    <w:rsid w:val="00A742B0"/>
    <w:rsid w:val="00A74B9B"/>
    <w:rsid w:val="00A74F1D"/>
    <w:rsid w:val="00A75413"/>
    <w:rsid w:val="00A7548F"/>
    <w:rsid w:val="00A75955"/>
    <w:rsid w:val="00A759A4"/>
    <w:rsid w:val="00A75D1E"/>
    <w:rsid w:val="00A76198"/>
    <w:rsid w:val="00A7752A"/>
    <w:rsid w:val="00A77FF7"/>
    <w:rsid w:val="00A8023C"/>
    <w:rsid w:val="00A804C6"/>
    <w:rsid w:val="00A80A6A"/>
    <w:rsid w:val="00A82946"/>
    <w:rsid w:val="00A829AF"/>
    <w:rsid w:val="00A82CC7"/>
    <w:rsid w:val="00A831C9"/>
    <w:rsid w:val="00A83268"/>
    <w:rsid w:val="00A838CD"/>
    <w:rsid w:val="00A84E47"/>
    <w:rsid w:val="00A85C79"/>
    <w:rsid w:val="00A9013A"/>
    <w:rsid w:val="00A90C48"/>
    <w:rsid w:val="00A91D64"/>
    <w:rsid w:val="00A91ECD"/>
    <w:rsid w:val="00A921FA"/>
    <w:rsid w:val="00A929D8"/>
    <w:rsid w:val="00A92A5D"/>
    <w:rsid w:val="00A92E83"/>
    <w:rsid w:val="00A95DD8"/>
    <w:rsid w:val="00A976BD"/>
    <w:rsid w:val="00AA0362"/>
    <w:rsid w:val="00AA0D06"/>
    <w:rsid w:val="00AA1553"/>
    <w:rsid w:val="00AA1E78"/>
    <w:rsid w:val="00AA3CC5"/>
    <w:rsid w:val="00AA5F6F"/>
    <w:rsid w:val="00AA64F8"/>
    <w:rsid w:val="00AA6BCD"/>
    <w:rsid w:val="00AA702C"/>
    <w:rsid w:val="00AA74C4"/>
    <w:rsid w:val="00AB00E6"/>
    <w:rsid w:val="00AB0805"/>
    <w:rsid w:val="00AB1215"/>
    <w:rsid w:val="00AB2D4C"/>
    <w:rsid w:val="00AB379D"/>
    <w:rsid w:val="00AB3B68"/>
    <w:rsid w:val="00AB3FF1"/>
    <w:rsid w:val="00AB415D"/>
    <w:rsid w:val="00AB5225"/>
    <w:rsid w:val="00AB52ED"/>
    <w:rsid w:val="00AB54DE"/>
    <w:rsid w:val="00AB5678"/>
    <w:rsid w:val="00AB61AC"/>
    <w:rsid w:val="00AB7824"/>
    <w:rsid w:val="00AC08E3"/>
    <w:rsid w:val="00AC09A3"/>
    <w:rsid w:val="00AC09D1"/>
    <w:rsid w:val="00AC103B"/>
    <w:rsid w:val="00AC181A"/>
    <w:rsid w:val="00AC1A21"/>
    <w:rsid w:val="00AC25B9"/>
    <w:rsid w:val="00AC28DD"/>
    <w:rsid w:val="00AC2CD5"/>
    <w:rsid w:val="00AC3A6D"/>
    <w:rsid w:val="00AC40DA"/>
    <w:rsid w:val="00AC4154"/>
    <w:rsid w:val="00AC43F6"/>
    <w:rsid w:val="00AC4EF2"/>
    <w:rsid w:val="00AC53E9"/>
    <w:rsid w:val="00AC5889"/>
    <w:rsid w:val="00AC5D4C"/>
    <w:rsid w:val="00AC6B15"/>
    <w:rsid w:val="00AC7025"/>
    <w:rsid w:val="00AD1592"/>
    <w:rsid w:val="00AD15C6"/>
    <w:rsid w:val="00AD1AA8"/>
    <w:rsid w:val="00AD2881"/>
    <w:rsid w:val="00AD33A7"/>
    <w:rsid w:val="00AD3495"/>
    <w:rsid w:val="00AD4155"/>
    <w:rsid w:val="00AD42F7"/>
    <w:rsid w:val="00AD4EBD"/>
    <w:rsid w:val="00AD4EEF"/>
    <w:rsid w:val="00AD5F4C"/>
    <w:rsid w:val="00AD626D"/>
    <w:rsid w:val="00AD6993"/>
    <w:rsid w:val="00AD69C0"/>
    <w:rsid w:val="00AD69DE"/>
    <w:rsid w:val="00AD7D30"/>
    <w:rsid w:val="00AE01EB"/>
    <w:rsid w:val="00AE0EA8"/>
    <w:rsid w:val="00AE1309"/>
    <w:rsid w:val="00AE15AA"/>
    <w:rsid w:val="00AE1A11"/>
    <w:rsid w:val="00AE3C2E"/>
    <w:rsid w:val="00AE3E83"/>
    <w:rsid w:val="00AE4160"/>
    <w:rsid w:val="00AE42B3"/>
    <w:rsid w:val="00AE5465"/>
    <w:rsid w:val="00AE5E80"/>
    <w:rsid w:val="00AE6485"/>
    <w:rsid w:val="00AE6806"/>
    <w:rsid w:val="00AE6C93"/>
    <w:rsid w:val="00AE7D4D"/>
    <w:rsid w:val="00AF045E"/>
    <w:rsid w:val="00AF12DC"/>
    <w:rsid w:val="00AF2087"/>
    <w:rsid w:val="00AF2156"/>
    <w:rsid w:val="00AF2451"/>
    <w:rsid w:val="00AF2465"/>
    <w:rsid w:val="00AF269D"/>
    <w:rsid w:val="00AF26CA"/>
    <w:rsid w:val="00AF4B5E"/>
    <w:rsid w:val="00AF5890"/>
    <w:rsid w:val="00AF5F0E"/>
    <w:rsid w:val="00AF5F18"/>
    <w:rsid w:val="00AF62D1"/>
    <w:rsid w:val="00AF6352"/>
    <w:rsid w:val="00AF65E5"/>
    <w:rsid w:val="00AF663C"/>
    <w:rsid w:val="00AF6823"/>
    <w:rsid w:val="00AF6906"/>
    <w:rsid w:val="00AF76FF"/>
    <w:rsid w:val="00AF7B12"/>
    <w:rsid w:val="00B00E1D"/>
    <w:rsid w:val="00B021D4"/>
    <w:rsid w:val="00B03A45"/>
    <w:rsid w:val="00B040D6"/>
    <w:rsid w:val="00B04B1B"/>
    <w:rsid w:val="00B04DE9"/>
    <w:rsid w:val="00B06DC8"/>
    <w:rsid w:val="00B07839"/>
    <w:rsid w:val="00B07B26"/>
    <w:rsid w:val="00B102F2"/>
    <w:rsid w:val="00B11943"/>
    <w:rsid w:val="00B126DE"/>
    <w:rsid w:val="00B12B40"/>
    <w:rsid w:val="00B12C76"/>
    <w:rsid w:val="00B1372F"/>
    <w:rsid w:val="00B1464F"/>
    <w:rsid w:val="00B14E76"/>
    <w:rsid w:val="00B14F4D"/>
    <w:rsid w:val="00B15548"/>
    <w:rsid w:val="00B157C1"/>
    <w:rsid w:val="00B165B1"/>
    <w:rsid w:val="00B16D60"/>
    <w:rsid w:val="00B176DA"/>
    <w:rsid w:val="00B176E1"/>
    <w:rsid w:val="00B2062F"/>
    <w:rsid w:val="00B20A50"/>
    <w:rsid w:val="00B219CF"/>
    <w:rsid w:val="00B21C95"/>
    <w:rsid w:val="00B220AE"/>
    <w:rsid w:val="00B22EB1"/>
    <w:rsid w:val="00B235D9"/>
    <w:rsid w:val="00B24357"/>
    <w:rsid w:val="00B246DF"/>
    <w:rsid w:val="00B2503C"/>
    <w:rsid w:val="00B251C0"/>
    <w:rsid w:val="00B26676"/>
    <w:rsid w:val="00B27ED6"/>
    <w:rsid w:val="00B305B7"/>
    <w:rsid w:val="00B32638"/>
    <w:rsid w:val="00B3329E"/>
    <w:rsid w:val="00B33326"/>
    <w:rsid w:val="00B3333D"/>
    <w:rsid w:val="00B34FAE"/>
    <w:rsid w:val="00B3575D"/>
    <w:rsid w:val="00B35CF0"/>
    <w:rsid w:val="00B369D0"/>
    <w:rsid w:val="00B3704D"/>
    <w:rsid w:val="00B37313"/>
    <w:rsid w:val="00B37E7E"/>
    <w:rsid w:val="00B4020B"/>
    <w:rsid w:val="00B41452"/>
    <w:rsid w:val="00B415D7"/>
    <w:rsid w:val="00B42D92"/>
    <w:rsid w:val="00B4348B"/>
    <w:rsid w:val="00B43788"/>
    <w:rsid w:val="00B43D71"/>
    <w:rsid w:val="00B447E4"/>
    <w:rsid w:val="00B4486C"/>
    <w:rsid w:val="00B449A3"/>
    <w:rsid w:val="00B4533F"/>
    <w:rsid w:val="00B46051"/>
    <w:rsid w:val="00B46460"/>
    <w:rsid w:val="00B46841"/>
    <w:rsid w:val="00B47248"/>
    <w:rsid w:val="00B4760A"/>
    <w:rsid w:val="00B47889"/>
    <w:rsid w:val="00B47A28"/>
    <w:rsid w:val="00B47BFD"/>
    <w:rsid w:val="00B50645"/>
    <w:rsid w:val="00B507ED"/>
    <w:rsid w:val="00B5082C"/>
    <w:rsid w:val="00B50E14"/>
    <w:rsid w:val="00B5100F"/>
    <w:rsid w:val="00B52055"/>
    <w:rsid w:val="00B5289D"/>
    <w:rsid w:val="00B528F7"/>
    <w:rsid w:val="00B54F3B"/>
    <w:rsid w:val="00B55289"/>
    <w:rsid w:val="00B557E8"/>
    <w:rsid w:val="00B558B3"/>
    <w:rsid w:val="00B558D6"/>
    <w:rsid w:val="00B5595F"/>
    <w:rsid w:val="00B56C13"/>
    <w:rsid w:val="00B57B5B"/>
    <w:rsid w:val="00B57EEC"/>
    <w:rsid w:val="00B6127A"/>
    <w:rsid w:val="00B61AC2"/>
    <w:rsid w:val="00B61B27"/>
    <w:rsid w:val="00B61CD9"/>
    <w:rsid w:val="00B62752"/>
    <w:rsid w:val="00B629A9"/>
    <w:rsid w:val="00B63C0B"/>
    <w:rsid w:val="00B63D45"/>
    <w:rsid w:val="00B63FCE"/>
    <w:rsid w:val="00B641EB"/>
    <w:rsid w:val="00B64208"/>
    <w:rsid w:val="00B6492A"/>
    <w:rsid w:val="00B64F4F"/>
    <w:rsid w:val="00B6630F"/>
    <w:rsid w:val="00B66354"/>
    <w:rsid w:val="00B66F33"/>
    <w:rsid w:val="00B678E7"/>
    <w:rsid w:val="00B70539"/>
    <w:rsid w:val="00B70E4C"/>
    <w:rsid w:val="00B71AC4"/>
    <w:rsid w:val="00B73558"/>
    <w:rsid w:val="00B7384F"/>
    <w:rsid w:val="00B74CC1"/>
    <w:rsid w:val="00B75193"/>
    <w:rsid w:val="00B75318"/>
    <w:rsid w:val="00B7581F"/>
    <w:rsid w:val="00B7756F"/>
    <w:rsid w:val="00B77893"/>
    <w:rsid w:val="00B80B87"/>
    <w:rsid w:val="00B8125E"/>
    <w:rsid w:val="00B818B9"/>
    <w:rsid w:val="00B820C2"/>
    <w:rsid w:val="00B83810"/>
    <w:rsid w:val="00B8473E"/>
    <w:rsid w:val="00B85134"/>
    <w:rsid w:val="00B8522F"/>
    <w:rsid w:val="00B86094"/>
    <w:rsid w:val="00B8671A"/>
    <w:rsid w:val="00B867CF"/>
    <w:rsid w:val="00B8705E"/>
    <w:rsid w:val="00B87FBA"/>
    <w:rsid w:val="00B90DEA"/>
    <w:rsid w:val="00B91C8F"/>
    <w:rsid w:val="00B91D94"/>
    <w:rsid w:val="00B91F5A"/>
    <w:rsid w:val="00B9204E"/>
    <w:rsid w:val="00B92B98"/>
    <w:rsid w:val="00B92D8B"/>
    <w:rsid w:val="00B931C4"/>
    <w:rsid w:val="00B93277"/>
    <w:rsid w:val="00B945A4"/>
    <w:rsid w:val="00B94676"/>
    <w:rsid w:val="00B94AA6"/>
    <w:rsid w:val="00B94AAF"/>
    <w:rsid w:val="00B95B0A"/>
    <w:rsid w:val="00B95C5D"/>
    <w:rsid w:val="00B95DD0"/>
    <w:rsid w:val="00B96482"/>
    <w:rsid w:val="00B97419"/>
    <w:rsid w:val="00BA0B74"/>
    <w:rsid w:val="00BA0C49"/>
    <w:rsid w:val="00BA10BA"/>
    <w:rsid w:val="00BA1C62"/>
    <w:rsid w:val="00BA1D0E"/>
    <w:rsid w:val="00BA1F96"/>
    <w:rsid w:val="00BA26A4"/>
    <w:rsid w:val="00BA2CEF"/>
    <w:rsid w:val="00BA2EB0"/>
    <w:rsid w:val="00BA3135"/>
    <w:rsid w:val="00BA3664"/>
    <w:rsid w:val="00BA3A8F"/>
    <w:rsid w:val="00BA4066"/>
    <w:rsid w:val="00BA43B6"/>
    <w:rsid w:val="00BA46C1"/>
    <w:rsid w:val="00BA56D5"/>
    <w:rsid w:val="00BA5952"/>
    <w:rsid w:val="00BA67C9"/>
    <w:rsid w:val="00BA69CA"/>
    <w:rsid w:val="00BA6AC7"/>
    <w:rsid w:val="00BA701A"/>
    <w:rsid w:val="00BA718B"/>
    <w:rsid w:val="00BB0010"/>
    <w:rsid w:val="00BB06D4"/>
    <w:rsid w:val="00BB110E"/>
    <w:rsid w:val="00BB14A4"/>
    <w:rsid w:val="00BB18A1"/>
    <w:rsid w:val="00BB26CE"/>
    <w:rsid w:val="00BB3B41"/>
    <w:rsid w:val="00BB3FBD"/>
    <w:rsid w:val="00BB42B1"/>
    <w:rsid w:val="00BB5B5A"/>
    <w:rsid w:val="00BB5EF3"/>
    <w:rsid w:val="00BC0B4B"/>
    <w:rsid w:val="00BC2253"/>
    <w:rsid w:val="00BC29D5"/>
    <w:rsid w:val="00BC3127"/>
    <w:rsid w:val="00BC3551"/>
    <w:rsid w:val="00BC3BC6"/>
    <w:rsid w:val="00BC44C9"/>
    <w:rsid w:val="00BC45C1"/>
    <w:rsid w:val="00BC4E1B"/>
    <w:rsid w:val="00BC4EA1"/>
    <w:rsid w:val="00BC5241"/>
    <w:rsid w:val="00BC55C9"/>
    <w:rsid w:val="00BC5E41"/>
    <w:rsid w:val="00BC63FF"/>
    <w:rsid w:val="00BC679A"/>
    <w:rsid w:val="00BC6C7A"/>
    <w:rsid w:val="00BC77F6"/>
    <w:rsid w:val="00BC7D87"/>
    <w:rsid w:val="00BD0079"/>
    <w:rsid w:val="00BD133C"/>
    <w:rsid w:val="00BD3466"/>
    <w:rsid w:val="00BD34A2"/>
    <w:rsid w:val="00BD3663"/>
    <w:rsid w:val="00BD3BC9"/>
    <w:rsid w:val="00BD3D41"/>
    <w:rsid w:val="00BD40CB"/>
    <w:rsid w:val="00BD4112"/>
    <w:rsid w:val="00BD4120"/>
    <w:rsid w:val="00BD44F1"/>
    <w:rsid w:val="00BD5908"/>
    <w:rsid w:val="00BD651F"/>
    <w:rsid w:val="00BD6B5E"/>
    <w:rsid w:val="00BD7710"/>
    <w:rsid w:val="00BD7C4B"/>
    <w:rsid w:val="00BD7F0C"/>
    <w:rsid w:val="00BE002B"/>
    <w:rsid w:val="00BE0389"/>
    <w:rsid w:val="00BE1A9F"/>
    <w:rsid w:val="00BE2A2C"/>
    <w:rsid w:val="00BE2ED0"/>
    <w:rsid w:val="00BE32CC"/>
    <w:rsid w:val="00BE32D2"/>
    <w:rsid w:val="00BE4179"/>
    <w:rsid w:val="00BE49D7"/>
    <w:rsid w:val="00BE50C4"/>
    <w:rsid w:val="00BE5456"/>
    <w:rsid w:val="00BE5775"/>
    <w:rsid w:val="00BE66D4"/>
    <w:rsid w:val="00BE6BBF"/>
    <w:rsid w:val="00BE7645"/>
    <w:rsid w:val="00BE77A2"/>
    <w:rsid w:val="00BE7DB4"/>
    <w:rsid w:val="00BF07DF"/>
    <w:rsid w:val="00BF1645"/>
    <w:rsid w:val="00BF1726"/>
    <w:rsid w:val="00BF1839"/>
    <w:rsid w:val="00BF2E08"/>
    <w:rsid w:val="00BF40FF"/>
    <w:rsid w:val="00BF68B1"/>
    <w:rsid w:val="00BF69BB"/>
    <w:rsid w:val="00BF6D90"/>
    <w:rsid w:val="00BF75D1"/>
    <w:rsid w:val="00BF7928"/>
    <w:rsid w:val="00C006C0"/>
    <w:rsid w:val="00C00908"/>
    <w:rsid w:val="00C012ED"/>
    <w:rsid w:val="00C012F6"/>
    <w:rsid w:val="00C014B6"/>
    <w:rsid w:val="00C01B21"/>
    <w:rsid w:val="00C02111"/>
    <w:rsid w:val="00C034CB"/>
    <w:rsid w:val="00C0379C"/>
    <w:rsid w:val="00C03D01"/>
    <w:rsid w:val="00C03EC5"/>
    <w:rsid w:val="00C058C1"/>
    <w:rsid w:val="00C059B8"/>
    <w:rsid w:val="00C05D74"/>
    <w:rsid w:val="00C06816"/>
    <w:rsid w:val="00C078A3"/>
    <w:rsid w:val="00C10205"/>
    <w:rsid w:val="00C10A39"/>
    <w:rsid w:val="00C11063"/>
    <w:rsid w:val="00C11F15"/>
    <w:rsid w:val="00C12BA0"/>
    <w:rsid w:val="00C13B0B"/>
    <w:rsid w:val="00C13D44"/>
    <w:rsid w:val="00C13E9F"/>
    <w:rsid w:val="00C14617"/>
    <w:rsid w:val="00C1489E"/>
    <w:rsid w:val="00C1496A"/>
    <w:rsid w:val="00C14E3C"/>
    <w:rsid w:val="00C14E85"/>
    <w:rsid w:val="00C15F90"/>
    <w:rsid w:val="00C166B5"/>
    <w:rsid w:val="00C17411"/>
    <w:rsid w:val="00C17C1C"/>
    <w:rsid w:val="00C17D98"/>
    <w:rsid w:val="00C17F65"/>
    <w:rsid w:val="00C17FDD"/>
    <w:rsid w:val="00C20B57"/>
    <w:rsid w:val="00C20ED4"/>
    <w:rsid w:val="00C20F7B"/>
    <w:rsid w:val="00C215CE"/>
    <w:rsid w:val="00C2161B"/>
    <w:rsid w:val="00C22395"/>
    <w:rsid w:val="00C223D0"/>
    <w:rsid w:val="00C22DCB"/>
    <w:rsid w:val="00C22E08"/>
    <w:rsid w:val="00C241C1"/>
    <w:rsid w:val="00C242BE"/>
    <w:rsid w:val="00C25D36"/>
    <w:rsid w:val="00C27154"/>
    <w:rsid w:val="00C272CD"/>
    <w:rsid w:val="00C278A7"/>
    <w:rsid w:val="00C27BEB"/>
    <w:rsid w:val="00C303A3"/>
    <w:rsid w:val="00C30846"/>
    <w:rsid w:val="00C308E3"/>
    <w:rsid w:val="00C30A01"/>
    <w:rsid w:val="00C30A18"/>
    <w:rsid w:val="00C30A6F"/>
    <w:rsid w:val="00C30C6B"/>
    <w:rsid w:val="00C3111C"/>
    <w:rsid w:val="00C31721"/>
    <w:rsid w:val="00C31EDC"/>
    <w:rsid w:val="00C3241A"/>
    <w:rsid w:val="00C326D1"/>
    <w:rsid w:val="00C3271A"/>
    <w:rsid w:val="00C32C92"/>
    <w:rsid w:val="00C32EED"/>
    <w:rsid w:val="00C33142"/>
    <w:rsid w:val="00C33726"/>
    <w:rsid w:val="00C347D4"/>
    <w:rsid w:val="00C355B9"/>
    <w:rsid w:val="00C35CF0"/>
    <w:rsid w:val="00C36CBE"/>
    <w:rsid w:val="00C371DD"/>
    <w:rsid w:val="00C377E5"/>
    <w:rsid w:val="00C4023C"/>
    <w:rsid w:val="00C41306"/>
    <w:rsid w:val="00C426E3"/>
    <w:rsid w:val="00C42D41"/>
    <w:rsid w:val="00C438A1"/>
    <w:rsid w:val="00C43FCA"/>
    <w:rsid w:val="00C44218"/>
    <w:rsid w:val="00C442F7"/>
    <w:rsid w:val="00C45C48"/>
    <w:rsid w:val="00C45CCE"/>
    <w:rsid w:val="00C45E79"/>
    <w:rsid w:val="00C466C3"/>
    <w:rsid w:val="00C47586"/>
    <w:rsid w:val="00C50801"/>
    <w:rsid w:val="00C50A6E"/>
    <w:rsid w:val="00C516CE"/>
    <w:rsid w:val="00C52438"/>
    <w:rsid w:val="00C53318"/>
    <w:rsid w:val="00C535B6"/>
    <w:rsid w:val="00C537A5"/>
    <w:rsid w:val="00C53C64"/>
    <w:rsid w:val="00C5415E"/>
    <w:rsid w:val="00C54602"/>
    <w:rsid w:val="00C54AB3"/>
    <w:rsid w:val="00C55B6C"/>
    <w:rsid w:val="00C5627C"/>
    <w:rsid w:val="00C5654D"/>
    <w:rsid w:val="00C56748"/>
    <w:rsid w:val="00C57124"/>
    <w:rsid w:val="00C60048"/>
    <w:rsid w:val="00C60B94"/>
    <w:rsid w:val="00C617B1"/>
    <w:rsid w:val="00C619A2"/>
    <w:rsid w:val="00C621A6"/>
    <w:rsid w:val="00C62B45"/>
    <w:rsid w:val="00C63B0C"/>
    <w:rsid w:val="00C64237"/>
    <w:rsid w:val="00C657EB"/>
    <w:rsid w:val="00C6584B"/>
    <w:rsid w:val="00C65EB3"/>
    <w:rsid w:val="00C65F35"/>
    <w:rsid w:val="00C673B2"/>
    <w:rsid w:val="00C6748A"/>
    <w:rsid w:val="00C7077D"/>
    <w:rsid w:val="00C707B2"/>
    <w:rsid w:val="00C7080C"/>
    <w:rsid w:val="00C709CA"/>
    <w:rsid w:val="00C70A13"/>
    <w:rsid w:val="00C71089"/>
    <w:rsid w:val="00C71E7D"/>
    <w:rsid w:val="00C72F47"/>
    <w:rsid w:val="00C73620"/>
    <w:rsid w:val="00C740E4"/>
    <w:rsid w:val="00C74315"/>
    <w:rsid w:val="00C74328"/>
    <w:rsid w:val="00C747B8"/>
    <w:rsid w:val="00C74923"/>
    <w:rsid w:val="00C756E5"/>
    <w:rsid w:val="00C7590D"/>
    <w:rsid w:val="00C75DE7"/>
    <w:rsid w:val="00C76263"/>
    <w:rsid w:val="00C764E8"/>
    <w:rsid w:val="00C76C37"/>
    <w:rsid w:val="00C76D74"/>
    <w:rsid w:val="00C7715C"/>
    <w:rsid w:val="00C77FCE"/>
    <w:rsid w:val="00C8031F"/>
    <w:rsid w:val="00C80524"/>
    <w:rsid w:val="00C8100A"/>
    <w:rsid w:val="00C82029"/>
    <w:rsid w:val="00C82B25"/>
    <w:rsid w:val="00C84DB0"/>
    <w:rsid w:val="00C86522"/>
    <w:rsid w:val="00C87B49"/>
    <w:rsid w:val="00C9189A"/>
    <w:rsid w:val="00C91992"/>
    <w:rsid w:val="00C91F3D"/>
    <w:rsid w:val="00C9221F"/>
    <w:rsid w:val="00C927E0"/>
    <w:rsid w:val="00C92EAC"/>
    <w:rsid w:val="00C931A9"/>
    <w:rsid w:val="00C931F0"/>
    <w:rsid w:val="00C93461"/>
    <w:rsid w:val="00C93978"/>
    <w:rsid w:val="00C93DB6"/>
    <w:rsid w:val="00C94097"/>
    <w:rsid w:val="00C940A7"/>
    <w:rsid w:val="00C958D8"/>
    <w:rsid w:val="00C96F75"/>
    <w:rsid w:val="00C971D1"/>
    <w:rsid w:val="00C97D73"/>
    <w:rsid w:val="00C97F4E"/>
    <w:rsid w:val="00CA04EA"/>
    <w:rsid w:val="00CA0A53"/>
    <w:rsid w:val="00CA0F2B"/>
    <w:rsid w:val="00CA0F7E"/>
    <w:rsid w:val="00CA128C"/>
    <w:rsid w:val="00CA1C99"/>
    <w:rsid w:val="00CA2CBE"/>
    <w:rsid w:val="00CA310E"/>
    <w:rsid w:val="00CA48F7"/>
    <w:rsid w:val="00CA4A1A"/>
    <w:rsid w:val="00CA613F"/>
    <w:rsid w:val="00CA71FD"/>
    <w:rsid w:val="00CA767F"/>
    <w:rsid w:val="00CB0435"/>
    <w:rsid w:val="00CB1B28"/>
    <w:rsid w:val="00CB1C26"/>
    <w:rsid w:val="00CB2753"/>
    <w:rsid w:val="00CB448C"/>
    <w:rsid w:val="00CB4D15"/>
    <w:rsid w:val="00CB5104"/>
    <w:rsid w:val="00CB6279"/>
    <w:rsid w:val="00CB6779"/>
    <w:rsid w:val="00CB6B89"/>
    <w:rsid w:val="00CB743E"/>
    <w:rsid w:val="00CC17B0"/>
    <w:rsid w:val="00CC1A18"/>
    <w:rsid w:val="00CC1B31"/>
    <w:rsid w:val="00CC215D"/>
    <w:rsid w:val="00CC31B0"/>
    <w:rsid w:val="00CC32B5"/>
    <w:rsid w:val="00CC3500"/>
    <w:rsid w:val="00CC39DA"/>
    <w:rsid w:val="00CC56FE"/>
    <w:rsid w:val="00CC5948"/>
    <w:rsid w:val="00CC5D88"/>
    <w:rsid w:val="00CC66E8"/>
    <w:rsid w:val="00CC6F88"/>
    <w:rsid w:val="00CC743D"/>
    <w:rsid w:val="00CC7FE2"/>
    <w:rsid w:val="00CD02FF"/>
    <w:rsid w:val="00CD038D"/>
    <w:rsid w:val="00CD27D0"/>
    <w:rsid w:val="00CD31E2"/>
    <w:rsid w:val="00CD380C"/>
    <w:rsid w:val="00CD3BA2"/>
    <w:rsid w:val="00CD3C2F"/>
    <w:rsid w:val="00CD3D91"/>
    <w:rsid w:val="00CD4A53"/>
    <w:rsid w:val="00CD4E2A"/>
    <w:rsid w:val="00CD5763"/>
    <w:rsid w:val="00CD5FCA"/>
    <w:rsid w:val="00CD7CBC"/>
    <w:rsid w:val="00CE01B4"/>
    <w:rsid w:val="00CE0811"/>
    <w:rsid w:val="00CE0A17"/>
    <w:rsid w:val="00CE11BE"/>
    <w:rsid w:val="00CE16B4"/>
    <w:rsid w:val="00CE1A70"/>
    <w:rsid w:val="00CE234A"/>
    <w:rsid w:val="00CE51F5"/>
    <w:rsid w:val="00CE52B5"/>
    <w:rsid w:val="00CE52D9"/>
    <w:rsid w:val="00CE5639"/>
    <w:rsid w:val="00CE70DD"/>
    <w:rsid w:val="00CE7265"/>
    <w:rsid w:val="00CE7B02"/>
    <w:rsid w:val="00CF0416"/>
    <w:rsid w:val="00CF0443"/>
    <w:rsid w:val="00CF11BA"/>
    <w:rsid w:val="00CF1A92"/>
    <w:rsid w:val="00CF2D82"/>
    <w:rsid w:val="00CF3B65"/>
    <w:rsid w:val="00CF49AE"/>
    <w:rsid w:val="00CF4AEC"/>
    <w:rsid w:val="00CF4E96"/>
    <w:rsid w:val="00CF5CAE"/>
    <w:rsid w:val="00CF5E41"/>
    <w:rsid w:val="00CF6B14"/>
    <w:rsid w:val="00CF6BC3"/>
    <w:rsid w:val="00CF7445"/>
    <w:rsid w:val="00CF7949"/>
    <w:rsid w:val="00D00BA1"/>
    <w:rsid w:val="00D00DD5"/>
    <w:rsid w:val="00D01283"/>
    <w:rsid w:val="00D0156A"/>
    <w:rsid w:val="00D02B72"/>
    <w:rsid w:val="00D03CBA"/>
    <w:rsid w:val="00D0570D"/>
    <w:rsid w:val="00D068FA"/>
    <w:rsid w:val="00D06CF6"/>
    <w:rsid w:val="00D06D69"/>
    <w:rsid w:val="00D07302"/>
    <w:rsid w:val="00D07597"/>
    <w:rsid w:val="00D075B7"/>
    <w:rsid w:val="00D07CF1"/>
    <w:rsid w:val="00D10E8C"/>
    <w:rsid w:val="00D1178F"/>
    <w:rsid w:val="00D117CA"/>
    <w:rsid w:val="00D11DFA"/>
    <w:rsid w:val="00D12149"/>
    <w:rsid w:val="00D127ED"/>
    <w:rsid w:val="00D13E1A"/>
    <w:rsid w:val="00D14193"/>
    <w:rsid w:val="00D14835"/>
    <w:rsid w:val="00D14A62"/>
    <w:rsid w:val="00D14C49"/>
    <w:rsid w:val="00D14CB2"/>
    <w:rsid w:val="00D1628C"/>
    <w:rsid w:val="00D16FE8"/>
    <w:rsid w:val="00D1762E"/>
    <w:rsid w:val="00D17D50"/>
    <w:rsid w:val="00D200E2"/>
    <w:rsid w:val="00D20518"/>
    <w:rsid w:val="00D212B7"/>
    <w:rsid w:val="00D212FC"/>
    <w:rsid w:val="00D21952"/>
    <w:rsid w:val="00D21BA6"/>
    <w:rsid w:val="00D21E8F"/>
    <w:rsid w:val="00D2339B"/>
    <w:rsid w:val="00D23FD8"/>
    <w:rsid w:val="00D25077"/>
    <w:rsid w:val="00D25234"/>
    <w:rsid w:val="00D26ADA"/>
    <w:rsid w:val="00D26D56"/>
    <w:rsid w:val="00D270E7"/>
    <w:rsid w:val="00D27864"/>
    <w:rsid w:val="00D27B89"/>
    <w:rsid w:val="00D301B9"/>
    <w:rsid w:val="00D30C92"/>
    <w:rsid w:val="00D31106"/>
    <w:rsid w:val="00D3212E"/>
    <w:rsid w:val="00D3238E"/>
    <w:rsid w:val="00D32454"/>
    <w:rsid w:val="00D332C7"/>
    <w:rsid w:val="00D3438A"/>
    <w:rsid w:val="00D343AC"/>
    <w:rsid w:val="00D3493F"/>
    <w:rsid w:val="00D34BE3"/>
    <w:rsid w:val="00D34E82"/>
    <w:rsid w:val="00D351A4"/>
    <w:rsid w:val="00D3551C"/>
    <w:rsid w:val="00D35FCA"/>
    <w:rsid w:val="00D362DD"/>
    <w:rsid w:val="00D36B53"/>
    <w:rsid w:val="00D36CE8"/>
    <w:rsid w:val="00D37598"/>
    <w:rsid w:val="00D40C08"/>
    <w:rsid w:val="00D410CB"/>
    <w:rsid w:val="00D416AF"/>
    <w:rsid w:val="00D4290F"/>
    <w:rsid w:val="00D4350F"/>
    <w:rsid w:val="00D438D6"/>
    <w:rsid w:val="00D43AF1"/>
    <w:rsid w:val="00D43B3C"/>
    <w:rsid w:val="00D44A2D"/>
    <w:rsid w:val="00D4609A"/>
    <w:rsid w:val="00D47780"/>
    <w:rsid w:val="00D47A8D"/>
    <w:rsid w:val="00D47CD0"/>
    <w:rsid w:val="00D508FF"/>
    <w:rsid w:val="00D51483"/>
    <w:rsid w:val="00D5186A"/>
    <w:rsid w:val="00D521AA"/>
    <w:rsid w:val="00D53222"/>
    <w:rsid w:val="00D534C1"/>
    <w:rsid w:val="00D5350A"/>
    <w:rsid w:val="00D53E35"/>
    <w:rsid w:val="00D53F05"/>
    <w:rsid w:val="00D5503B"/>
    <w:rsid w:val="00D560AC"/>
    <w:rsid w:val="00D56866"/>
    <w:rsid w:val="00D56C9F"/>
    <w:rsid w:val="00D56D85"/>
    <w:rsid w:val="00D572E3"/>
    <w:rsid w:val="00D57740"/>
    <w:rsid w:val="00D60F23"/>
    <w:rsid w:val="00D61C3A"/>
    <w:rsid w:val="00D62040"/>
    <w:rsid w:val="00D6236C"/>
    <w:rsid w:val="00D62FA3"/>
    <w:rsid w:val="00D6306E"/>
    <w:rsid w:val="00D656BC"/>
    <w:rsid w:val="00D65A47"/>
    <w:rsid w:val="00D65EC5"/>
    <w:rsid w:val="00D661EE"/>
    <w:rsid w:val="00D6665A"/>
    <w:rsid w:val="00D702B6"/>
    <w:rsid w:val="00D7046E"/>
    <w:rsid w:val="00D70FB4"/>
    <w:rsid w:val="00D71655"/>
    <w:rsid w:val="00D722D3"/>
    <w:rsid w:val="00D72F38"/>
    <w:rsid w:val="00D7311B"/>
    <w:rsid w:val="00D733D1"/>
    <w:rsid w:val="00D73862"/>
    <w:rsid w:val="00D73F5A"/>
    <w:rsid w:val="00D7532B"/>
    <w:rsid w:val="00D75339"/>
    <w:rsid w:val="00D75ECE"/>
    <w:rsid w:val="00D765AF"/>
    <w:rsid w:val="00D7695B"/>
    <w:rsid w:val="00D77214"/>
    <w:rsid w:val="00D77645"/>
    <w:rsid w:val="00D77FE8"/>
    <w:rsid w:val="00D800C4"/>
    <w:rsid w:val="00D80DD7"/>
    <w:rsid w:val="00D80F2A"/>
    <w:rsid w:val="00D81904"/>
    <w:rsid w:val="00D8191B"/>
    <w:rsid w:val="00D81C53"/>
    <w:rsid w:val="00D81F38"/>
    <w:rsid w:val="00D82DC1"/>
    <w:rsid w:val="00D83F03"/>
    <w:rsid w:val="00D845BD"/>
    <w:rsid w:val="00D84966"/>
    <w:rsid w:val="00D85491"/>
    <w:rsid w:val="00D8549D"/>
    <w:rsid w:val="00D8619F"/>
    <w:rsid w:val="00D872CA"/>
    <w:rsid w:val="00D87637"/>
    <w:rsid w:val="00D877AA"/>
    <w:rsid w:val="00D87E45"/>
    <w:rsid w:val="00D91A6C"/>
    <w:rsid w:val="00D92331"/>
    <w:rsid w:val="00D9242D"/>
    <w:rsid w:val="00D92BB8"/>
    <w:rsid w:val="00D92BE9"/>
    <w:rsid w:val="00D92FCA"/>
    <w:rsid w:val="00D93312"/>
    <w:rsid w:val="00D93481"/>
    <w:rsid w:val="00D93731"/>
    <w:rsid w:val="00D93A8D"/>
    <w:rsid w:val="00D93DFD"/>
    <w:rsid w:val="00D9410E"/>
    <w:rsid w:val="00D942D4"/>
    <w:rsid w:val="00D95817"/>
    <w:rsid w:val="00D95E73"/>
    <w:rsid w:val="00DA0077"/>
    <w:rsid w:val="00DA032C"/>
    <w:rsid w:val="00DA0463"/>
    <w:rsid w:val="00DA0E10"/>
    <w:rsid w:val="00DA1266"/>
    <w:rsid w:val="00DA17F8"/>
    <w:rsid w:val="00DA1A45"/>
    <w:rsid w:val="00DA1BEE"/>
    <w:rsid w:val="00DA21ED"/>
    <w:rsid w:val="00DA2C85"/>
    <w:rsid w:val="00DA2F8D"/>
    <w:rsid w:val="00DA3B5B"/>
    <w:rsid w:val="00DA3FD2"/>
    <w:rsid w:val="00DA471A"/>
    <w:rsid w:val="00DA48D7"/>
    <w:rsid w:val="00DA59DD"/>
    <w:rsid w:val="00DA5C9B"/>
    <w:rsid w:val="00DA5D36"/>
    <w:rsid w:val="00DA60A5"/>
    <w:rsid w:val="00DA66C3"/>
    <w:rsid w:val="00DA69D3"/>
    <w:rsid w:val="00DA6DDD"/>
    <w:rsid w:val="00DB0EA8"/>
    <w:rsid w:val="00DB18B4"/>
    <w:rsid w:val="00DB1E05"/>
    <w:rsid w:val="00DB3459"/>
    <w:rsid w:val="00DB42FC"/>
    <w:rsid w:val="00DB46FC"/>
    <w:rsid w:val="00DB4D7C"/>
    <w:rsid w:val="00DB559F"/>
    <w:rsid w:val="00DB57B3"/>
    <w:rsid w:val="00DB5BEC"/>
    <w:rsid w:val="00DB5ED5"/>
    <w:rsid w:val="00DB6D14"/>
    <w:rsid w:val="00DB71C3"/>
    <w:rsid w:val="00DC08D0"/>
    <w:rsid w:val="00DC15CB"/>
    <w:rsid w:val="00DC19E7"/>
    <w:rsid w:val="00DC1BCF"/>
    <w:rsid w:val="00DC25BF"/>
    <w:rsid w:val="00DC268B"/>
    <w:rsid w:val="00DC272F"/>
    <w:rsid w:val="00DC2B8C"/>
    <w:rsid w:val="00DC3737"/>
    <w:rsid w:val="00DC398D"/>
    <w:rsid w:val="00DC563A"/>
    <w:rsid w:val="00DC5830"/>
    <w:rsid w:val="00DC5B5A"/>
    <w:rsid w:val="00DC6249"/>
    <w:rsid w:val="00DC67E8"/>
    <w:rsid w:val="00DC68CB"/>
    <w:rsid w:val="00DC69B6"/>
    <w:rsid w:val="00DC76B2"/>
    <w:rsid w:val="00DC7725"/>
    <w:rsid w:val="00DC77F1"/>
    <w:rsid w:val="00DD04DE"/>
    <w:rsid w:val="00DD1419"/>
    <w:rsid w:val="00DD1AFF"/>
    <w:rsid w:val="00DD272E"/>
    <w:rsid w:val="00DD39E2"/>
    <w:rsid w:val="00DD3ACC"/>
    <w:rsid w:val="00DD449F"/>
    <w:rsid w:val="00DD48A8"/>
    <w:rsid w:val="00DD4B1C"/>
    <w:rsid w:val="00DD61B8"/>
    <w:rsid w:val="00DD70A1"/>
    <w:rsid w:val="00DD7A6E"/>
    <w:rsid w:val="00DE0736"/>
    <w:rsid w:val="00DE3C60"/>
    <w:rsid w:val="00DE46CD"/>
    <w:rsid w:val="00DE46EA"/>
    <w:rsid w:val="00DE6E09"/>
    <w:rsid w:val="00DE721A"/>
    <w:rsid w:val="00DF0E81"/>
    <w:rsid w:val="00DF120F"/>
    <w:rsid w:val="00DF17FF"/>
    <w:rsid w:val="00DF322E"/>
    <w:rsid w:val="00DF350E"/>
    <w:rsid w:val="00DF3768"/>
    <w:rsid w:val="00DF466B"/>
    <w:rsid w:val="00DF6A26"/>
    <w:rsid w:val="00DF7512"/>
    <w:rsid w:val="00E00173"/>
    <w:rsid w:val="00E01B1C"/>
    <w:rsid w:val="00E01C3F"/>
    <w:rsid w:val="00E01DAD"/>
    <w:rsid w:val="00E01FE0"/>
    <w:rsid w:val="00E02534"/>
    <w:rsid w:val="00E02A1A"/>
    <w:rsid w:val="00E02CD8"/>
    <w:rsid w:val="00E0494C"/>
    <w:rsid w:val="00E058DC"/>
    <w:rsid w:val="00E075F7"/>
    <w:rsid w:val="00E101AF"/>
    <w:rsid w:val="00E106DE"/>
    <w:rsid w:val="00E11289"/>
    <w:rsid w:val="00E116B1"/>
    <w:rsid w:val="00E11DAC"/>
    <w:rsid w:val="00E12455"/>
    <w:rsid w:val="00E125CA"/>
    <w:rsid w:val="00E12ABF"/>
    <w:rsid w:val="00E13087"/>
    <w:rsid w:val="00E132E8"/>
    <w:rsid w:val="00E13ACD"/>
    <w:rsid w:val="00E140E6"/>
    <w:rsid w:val="00E1517B"/>
    <w:rsid w:val="00E15A10"/>
    <w:rsid w:val="00E15DDB"/>
    <w:rsid w:val="00E16824"/>
    <w:rsid w:val="00E16C23"/>
    <w:rsid w:val="00E1751E"/>
    <w:rsid w:val="00E17AF8"/>
    <w:rsid w:val="00E201EA"/>
    <w:rsid w:val="00E20CBA"/>
    <w:rsid w:val="00E21D24"/>
    <w:rsid w:val="00E21DD1"/>
    <w:rsid w:val="00E22485"/>
    <w:rsid w:val="00E23116"/>
    <w:rsid w:val="00E24408"/>
    <w:rsid w:val="00E2486F"/>
    <w:rsid w:val="00E24871"/>
    <w:rsid w:val="00E24ABC"/>
    <w:rsid w:val="00E26132"/>
    <w:rsid w:val="00E26578"/>
    <w:rsid w:val="00E26C2F"/>
    <w:rsid w:val="00E2739E"/>
    <w:rsid w:val="00E27DE3"/>
    <w:rsid w:val="00E31C52"/>
    <w:rsid w:val="00E31E57"/>
    <w:rsid w:val="00E31F68"/>
    <w:rsid w:val="00E32117"/>
    <w:rsid w:val="00E3338E"/>
    <w:rsid w:val="00E335C6"/>
    <w:rsid w:val="00E34869"/>
    <w:rsid w:val="00E34AAE"/>
    <w:rsid w:val="00E34B16"/>
    <w:rsid w:val="00E34C29"/>
    <w:rsid w:val="00E357CF"/>
    <w:rsid w:val="00E362D7"/>
    <w:rsid w:val="00E370E7"/>
    <w:rsid w:val="00E37BC0"/>
    <w:rsid w:val="00E404BC"/>
    <w:rsid w:val="00E40C46"/>
    <w:rsid w:val="00E421A4"/>
    <w:rsid w:val="00E42286"/>
    <w:rsid w:val="00E423A4"/>
    <w:rsid w:val="00E4372C"/>
    <w:rsid w:val="00E43853"/>
    <w:rsid w:val="00E439AE"/>
    <w:rsid w:val="00E44925"/>
    <w:rsid w:val="00E44A2D"/>
    <w:rsid w:val="00E45FD2"/>
    <w:rsid w:val="00E462C5"/>
    <w:rsid w:val="00E46387"/>
    <w:rsid w:val="00E46EC7"/>
    <w:rsid w:val="00E47086"/>
    <w:rsid w:val="00E47124"/>
    <w:rsid w:val="00E50977"/>
    <w:rsid w:val="00E50BB8"/>
    <w:rsid w:val="00E50C23"/>
    <w:rsid w:val="00E520C0"/>
    <w:rsid w:val="00E52290"/>
    <w:rsid w:val="00E52D24"/>
    <w:rsid w:val="00E52E3C"/>
    <w:rsid w:val="00E5368F"/>
    <w:rsid w:val="00E5437E"/>
    <w:rsid w:val="00E558C6"/>
    <w:rsid w:val="00E559A3"/>
    <w:rsid w:val="00E55B2D"/>
    <w:rsid w:val="00E56667"/>
    <w:rsid w:val="00E56D8E"/>
    <w:rsid w:val="00E57104"/>
    <w:rsid w:val="00E57582"/>
    <w:rsid w:val="00E5772D"/>
    <w:rsid w:val="00E57857"/>
    <w:rsid w:val="00E5799E"/>
    <w:rsid w:val="00E603AA"/>
    <w:rsid w:val="00E607A6"/>
    <w:rsid w:val="00E60C9D"/>
    <w:rsid w:val="00E60E70"/>
    <w:rsid w:val="00E60E96"/>
    <w:rsid w:val="00E60F0D"/>
    <w:rsid w:val="00E60FAE"/>
    <w:rsid w:val="00E62074"/>
    <w:rsid w:val="00E629ED"/>
    <w:rsid w:val="00E63271"/>
    <w:rsid w:val="00E63584"/>
    <w:rsid w:val="00E636EA"/>
    <w:rsid w:val="00E644AD"/>
    <w:rsid w:val="00E645F8"/>
    <w:rsid w:val="00E64959"/>
    <w:rsid w:val="00E64F51"/>
    <w:rsid w:val="00E65D1D"/>
    <w:rsid w:val="00E67833"/>
    <w:rsid w:val="00E67A6E"/>
    <w:rsid w:val="00E704A7"/>
    <w:rsid w:val="00E71044"/>
    <w:rsid w:val="00E71418"/>
    <w:rsid w:val="00E71786"/>
    <w:rsid w:val="00E72425"/>
    <w:rsid w:val="00E727F7"/>
    <w:rsid w:val="00E7280B"/>
    <w:rsid w:val="00E735E0"/>
    <w:rsid w:val="00E736CB"/>
    <w:rsid w:val="00E7371C"/>
    <w:rsid w:val="00E740B5"/>
    <w:rsid w:val="00E745D1"/>
    <w:rsid w:val="00E77C94"/>
    <w:rsid w:val="00E77E38"/>
    <w:rsid w:val="00E8054E"/>
    <w:rsid w:val="00E8070B"/>
    <w:rsid w:val="00E807BE"/>
    <w:rsid w:val="00E814C6"/>
    <w:rsid w:val="00E81657"/>
    <w:rsid w:val="00E81671"/>
    <w:rsid w:val="00E826DB"/>
    <w:rsid w:val="00E844B5"/>
    <w:rsid w:val="00E844C3"/>
    <w:rsid w:val="00E84BF5"/>
    <w:rsid w:val="00E85447"/>
    <w:rsid w:val="00E85AF1"/>
    <w:rsid w:val="00E861EA"/>
    <w:rsid w:val="00E86239"/>
    <w:rsid w:val="00E86253"/>
    <w:rsid w:val="00E90658"/>
    <w:rsid w:val="00E915A4"/>
    <w:rsid w:val="00E91F07"/>
    <w:rsid w:val="00E9201A"/>
    <w:rsid w:val="00E9206B"/>
    <w:rsid w:val="00E928AE"/>
    <w:rsid w:val="00E93213"/>
    <w:rsid w:val="00E93589"/>
    <w:rsid w:val="00E9382F"/>
    <w:rsid w:val="00E94217"/>
    <w:rsid w:val="00E9535A"/>
    <w:rsid w:val="00E95E1C"/>
    <w:rsid w:val="00E96795"/>
    <w:rsid w:val="00E96F4F"/>
    <w:rsid w:val="00E97229"/>
    <w:rsid w:val="00E974AE"/>
    <w:rsid w:val="00EA0039"/>
    <w:rsid w:val="00EA1672"/>
    <w:rsid w:val="00EA1AE4"/>
    <w:rsid w:val="00EA25F6"/>
    <w:rsid w:val="00EA323F"/>
    <w:rsid w:val="00EA3471"/>
    <w:rsid w:val="00EA34C8"/>
    <w:rsid w:val="00EA46DC"/>
    <w:rsid w:val="00EA471F"/>
    <w:rsid w:val="00EA4C17"/>
    <w:rsid w:val="00EA56E0"/>
    <w:rsid w:val="00EA5C9D"/>
    <w:rsid w:val="00EA6E47"/>
    <w:rsid w:val="00EA7620"/>
    <w:rsid w:val="00EB046B"/>
    <w:rsid w:val="00EB08DE"/>
    <w:rsid w:val="00EB1069"/>
    <w:rsid w:val="00EB10D6"/>
    <w:rsid w:val="00EB11F9"/>
    <w:rsid w:val="00EB133A"/>
    <w:rsid w:val="00EB16FC"/>
    <w:rsid w:val="00EB1D28"/>
    <w:rsid w:val="00EB27EA"/>
    <w:rsid w:val="00EB2878"/>
    <w:rsid w:val="00EB2B55"/>
    <w:rsid w:val="00EB2F0E"/>
    <w:rsid w:val="00EB325E"/>
    <w:rsid w:val="00EB37C9"/>
    <w:rsid w:val="00EB3923"/>
    <w:rsid w:val="00EB4228"/>
    <w:rsid w:val="00EB4A7F"/>
    <w:rsid w:val="00EB4D4B"/>
    <w:rsid w:val="00EB4F2E"/>
    <w:rsid w:val="00EB5AE3"/>
    <w:rsid w:val="00EB5CF7"/>
    <w:rsid w:val="00EB60C0"/>
    <w:rsid w:val="00EB62BC"/>
    <w:rsid w:val="00EB655E"/>
    <w:rsid w:val="00EB7754"/>
    <w:rsid w:val="00EB7D60"/>
    <w:rsid w:val="00EC0B37"/>
    <w:rsid w:val="00EC2FD9"/>
    <w:rsid w:val="00EC312B"/>
    <w:rsid w:val="00EC322F"/>
    <w:rsid w:val="00EC36C6"/>
    <w:rsid w:val="00EC3A0D"/>
    <w:rsid w:val="00EC3FF5"/>
    <w:rsid w:val="00EC513F"/>
    <w:rsid w:val="00EC5200"/>
    <w:rsid w:val="00EC520E"/>
    <w:rsid w:val="00EC5785"/>
    <w:rsid w:val="00EC5BED"/>
    <w:rsid w:val="00EC5C34"/>
    <w:rsid w:val="00EC658F"/>
    <w:rsid w:val="00EC680C"/>
    <w:rsid w:val="00EC6A66"/>
    <w:rsid w:val="00EC6DC1"/>
    <w:rsid w:val="00EC78A3"/>
    <w:rsid w:val="00EC7B49"/>
    <w:rsid w:val="00ED016D"/>
    <w:rsid w:val="00ED124F"/>
    <w:rsid w:val="00ED1E2D"/>
    <w:rsid w:val="00ED224C"/>
    <w:rsid w:val="00ED2B62"/>
    <w:rsid w:val="00ED2B90"/>
    <w:rsid w:val="00ED2E06"/>
    <w:rsid w:val="00ED2E9B"/>
    <w:rsid w:val="00ED4336"/>
    <w:rsid w:val="00ED4C5F"/>
    <w:rsid w:val="00ED4DDC"/>
    <w:rsid w:val="00ED6003"/>
    <w:rsid w:val="00ED6D30"/>
    <w:rsid w:val="00EE079C"/>
    <w:rsid w:val="00EE0D1E"/>
    <w:rsid w:val="00EE2147"/>
    <w:rsid w:val="00EE2E4B"/>
    <w:rsid w:val="00EE3C99"/>
    <w:rsid w:val="00EE3DE8"/>
    <w:rsid w:val="00EE510D"/>
    <w:rsid w:val="00EE5B20"/>
    <w:rsid w:val="00EE61BC"/>
    <w:rsid w:val="00EE6932"/>
    <w:rsid w:val="00EE6D8D"/>
    <w:rsid w:val="00EE75B1"/>
    <w:rsid w:val="00EF00F3"/>
    <w:rsid w:val="00EF13E5"/>
    <w:rsid w:val="00EF1C37"/>
    <w:rsid w:val="00EF23A5"/>
    <w:rsid w:val="00EF23B1"/>
    <w:rsid w:val="00EF25A3"/>
    <w:rsid w:val="00EF2BFC"/>
    <w:rsid w:val="00EF2F38"/>
    <w:rsid w:val="00EF358D"/>
    <w:rsid w:val="00EF3742"/>
    <w:rsid w:val="00EF3B02"/>
    <w:rsid w:val="00EF40EE"/>
    <w:rsid w:val="00EF429F"/>
    <w:rsid w:val="00EF436A"/>
    <w:rsid w:val="00EF4618"/>
    <w:rsid w:val="00EF5762"/>
    <w:rsid w:val="00EF5CF8"/>
    <w:rsid w:val="00EF6062"/>
    <w:rsid w:val="00EF688C"/>
    <w:rsid w:val="00EF7843"/>
    <w:rsid w:val="00EF7900"/>
    <w:rsid w:val="00EF7A57"/>
    <w:rsid w:val="00F00E08"/>
    <w:rsid w:val="00F010D9"/>
    <w:rsid w:val="00F01E77"/>
    <w:rsid w:val="00F02C81"/>
    <w:rsid w:val="00F03C47"/>
    <w:rsid w:val="00F0463F"/>
    <w:rsid w:val="00F04E80"/>
    <w:rsid w:val="00F05071"/>
    <w:rsid w:val="00F062B2"/>
    <w:rsid w:val="00F064C9"/>
    <w:rsid w:val="00F0738B"/>
    <w:rsid w:val="00F07DD8"/>
    <w:rsid w:val="00F103FA"/>
    <w:rsid w:val="00F10642"/>
    <w:rsid w:val="00F117F8"/>
    <w:rsid w:val="00F11B94"/>
    <w:rsid w:val="00F12634"/>
    <w:rsid w:val="00F13196"/>
    <w:rsid w:val="00F149E4"/>
    <w:rsid w:val="00F155A9"/>
    <w:rsid w:val="00F15B11"/>
    <w:rsid w:val="00F15BAF"/>
    <w:rsid w:val="00F167B6"/>
    <w:rsid w:val="00F16BB8"/>
    <w:rsid w:val="00F16F72"/>
    <w:rsid w:val="00F175DD"/>
    <w:rsid w:val="00F1775C"/>
    <w:rsid w:val="00F2094F"/>
    <w:rsid w:val="00F20F65"/>
    <w:rsid w:val="00F21680"/>
    <w:rsid w:val="00F21E8E"/>
    <w:rsid w:val="00F2234B"/>
    <w:rsid w:val="00F22360"/>
    <w:rsid w:val="00F224CC"/>
    <w:rsid w:val="00F22DB1"/>
    <w:rsid w:val="00F22E16"/>
    <w:rsid w:val="00F231D6"/>
    <w:rsid w:val="00F231E9"/>
    <w:rsid w:val="00F2398B"/>
    <w:rsid w:val="00F24CF3"/>
    <w:rsid w:val="00F24F00"/>
    <w:rsid w:val="00F25E2C"/>
    <w:rsid w:val="00F26261"/>
    <w:rsid w:val="00F3091C"/>
    <w:rsid w:val="00F31810"/>
    <w:rsid w:val="00F31919"/>
    <w:rsid w:val="00F31ED2"/>
    <w:rsid w:val="00F33E6B"/>
    <w:rsid w:val="00F340D4"/>
    <w:rsid w:val="00F3443D"/>
    <w:rsid w:val="00F3490B"/>
    <w:rsid w:val="00F34DA0"/>
    <w:rsid w:val="00F3652D"/>
    <w:rsid w:val="00F3729F"/>
    <w:rsid w:val="00F3752D"/>
    <w:rsid w:val="00F375BA"/>
    <w:rsid w:val="00F4073B"/>
    <w:rsid w:val="00F40B6F"/>
    <w:rsid w:val="00F4194E"/>
    <w:rsid w:val="00F435A7"/>
    <w:rsid w:val="00F43C54"/>
    <w:rsid w:val="00F45741"/>
    <w:rsid w:val="00F457D6"/>
    <w:rsid w:val="00F458C2"/>
    <w:rsid w:val="00F45D55"/>
    <w:rsid w:val="00F474D8"/>
    <w:rsid w:val="00F5012C"/>
    <w:rsid w:val="00F50585"/>
    <w:rsid w:val="00F50A52"/>
    <w:rsid w:val="00F516BD"/>
    <w:rsid w:val="00F51966"/>
    <w:rsid w:val="00F51D96"/>
    <w:rsid w:val="00F531C2"/>
    <w:rsid w:val="00F53473"/>
    <w:rsid w:val="00F53A60"/>
    <w:rsid w:val="00F53B98"/>
    <w:rsid w:val="00F53EA8"/>
    <w:rsid w:val="00F53EFD"/>
    <w:rsid w:val="00F579CB"/>
    <w:rsid w:val="00F57EFD"/>
    <w:rsid w:val="00F607AD"/>
    <w:rsid w:val="00F60E88"/>
    <w:rsid w:val="00F61B69"/>
    <w:rsid w:val="00F62032"/>
    <w:rsid w:val="00F629B2"/>
    <w:rsid w:val="00F62B77"/>
    <w:rsid w:val="00F62BFD"/>
    <w:rsid w:val="00F6360C"/>
    <w:rsid w:val="00F64398"/>
    <w:rsid w:val="00F647A8"/>
    <w:rsid w:val="00F65212"/>
    <w:rsid w:val="00F66498"/>
    <w:rsid w:val="00F668A4"/>
    <w:rsid w:val="00F6693E"/>
    <w:rsid w:val="00F67261"/>
    <w:rsid w:val="00F6796B"/>
    <w:rsid w:val="00F700EB"/>
    <w:rsid w:val="00F71EBE"/>
    <w:rsid w:val="00F72622"/>
    <w:rsid w:val="00F732D0"/>
    <w:rsid w:val="00F735D9"/>
    <w:rsid w:val="00F73ADE"/>
    <w:rsid w:val="00F73E69"/>
    <w:rsid w:val="00F75596"/>
    <w:rsid w:val="00F75DF6"/>
    <w:rsid w:val="00F7624A"/>
    <w:rsid w:val="00F770EA"/>
    <w:rsid w:val="00F77C0D"/>
    <w:rsid w:val="00F77D3D"/>
    <w:rsid w:val="00F80C34"/>
    <w:rsid w:val="00F8147A"/>
    <w:rsid w:val="00F8218D"/>
    <w:rsid w:val="00F844AA"/>
    <w:rsid w:val="00F847ED"/>
    <w:rsid w:val="00F8491D"/>
    <w:rsid w:val="00F84B65"/>
    <w:rsid w:val="00F8519A"/>
    <w:rsid w:val="00F855D7"/>
    <w:rsid w:val="00F85C20"/>
    <w:rsid w:val="00F860EB"/>
    <w:rsid w:val="00F86F93"/>
    <w:rsid w:val="00F90BBE"/>
    <w:rsid w:val="00F90E01"/>
    <w:rsid w:val="00F912E0"/>
    <w:rsid w:val="00F91A06"/>
    <w:rsid w:val="00F92077"/>
    <w:rsid w:val="00F927A5"/>
    <w:rsid w:val="00F9294C"/>
    <w:rsid w:val="00F92DE9"/>
    <w:rsid w:val="00F93C7A"/>
    <w:rsid w:val="00F941B9"/>
    <w:rsid w:val="00F954CE"/>
    <w:rsid w:val="00F962A9"/>
    <w:rsid w:val="00F96C7A"/>
    <w:rsid w:val="00FA0C18"/>
    <w:rsid w:val="00FA1192"/>
    <w:rsid w:val="00FA19F6"/>
    <w:rsid w:val="00FA1A6A"/>
    <w:rsid w:val="00FA1FBC"/>
    <w:rsid w:val="00FA1FCF"/>
    <w:rsid w:val="00FA3467"/>
    <w:rsid w:val="00FA379F"/>
    <w:rsid w:val="00FA407A"/>
    <w:rsid w:val="00FA4F4D"/>
    <w:rsid w:val="00FA5164"/>
    <w:rsid w:val="00FA59BD"/>
    <w:rsid w:val="00FA5B44"/>
    <w:rsid w:val="00FA5C02"/>
    <w:rsid w:val="00FA6B51"/>
    <w:rsid w:val="00FA761B"/>
    <w:rsid w:val="00FA7702"/>
    <w:rsid w:val="00FB0CC2"/>
    <w:rsid w:val="00FB0D4E"/>
    <w:rsid w:val="00FB1DEB"/>
    <w:rsid w:val="00FB2125"/>
    <w:rsid w:val="00FB440B"/>
    <w:rsid w:val="00FB4467"/>
    <w:rsid w:val="00FB5A31"/>
    <w:rsid w:val="00FB5E80"/>
    <w:rsid w:val="00FB72E2"/>
    <w:rsid w:val="00FB7EA1"/>
    <w:rsid w:val="00FC0350"/>
    <w:rsid w:val="00FC0DC2"/>
    <w:rsid w:val="00FC143D"/>
    <w:rsid w:val="00FC1CF1"/>
    <w:rsid w:val="00FC2439"/>
    <w:rsid w:val="00FC2B1E"/>
    <w:rsid w:val="00FC2B47"/>
    <w:rsid w:val="00FC2C24"/>
    <w:rsid w:val="00FC3A06"/>
    <w:rsid w:val="00FC415F"/>
    <w:rsid w:val="00FC4561"/>
    <w:rsid w:val="00FC4CC5"/>
    <w:rsid w:val="00FC6869"/>
    <w:rsid w:val="00FC72FA"/>
    <w:rsid w:val="00FC78B4"/>
    <w:rsid w:val="00FC7D16"/>
    <w:rsid w:val="00FD0106"/>
    <w:rsid w:val="00FD0694"/>
    <w:rsid w:val="00FD10EE"/>
    <w:rsid w:val="00FD1652"/>
    <w:rsid w:val="00FD2C02"/>
    <w:rsid w:val="00FD303D"/>
    <w:rsid w:val="00FD3CE2"/>
    <w:rsid w:val="00FD3E8A"/>
    <w:rsid w:val="00FD4153"/>
    <w:rsid w:val="00FD4648"/>
    <w:rsid w:val="00FD4B85"/>
    <w:rsid w:val="00FD5B4E"/>
    <w:rsid w:val="00FD5DE8"/>
    <w:rsid w:val="00FD5EA9"/>
    <w:rsid w:val="00FD6215"/>
    <w:rsid w:val="00FD62E2"/>
    <w:rsid w:val="00FD65E6"/>
    <w:rsid w:val="00FD663D"/>
    <w:rsid w:val="00FD68C2"/>
    <w:rsid w:val="00FD6E27"/>
    <w:rsid w:val="00FD728C"/>
    <w:rsid w:val="00FE180D"/>
    <w:rsid w:val="00FE23CA"/>
    <w:rsid w:val="00FE2F22"/>
    <w:rsid w:val="00FE3040"/>
    <w:rsid w:val="00FE4222"/>
    <w:rsid w:val="00FE693E"/>
    <w:rsid w:val="00FE6956"/>
    <w:rsid w:val="00FE69E7"/>
    <w:rsid w:val="00FE6E33"/>
    <w:rsid w:val="00FE7C30"/>
    <w:rsid w:val="00FF001C"/>
    <w:rsid w:val="00FF0C30"/>
    <w:rsid w:val="00FF130B"/>
    <w:rsid w:val="00FF143A"/>
    <w:rsid w:val="00FF16DA"/>
    <w:rsid w:val="00FF18AA"/>
    <w:rsid w:val="00FF248B"/>
    <w:rsid w:val="00FF2CD6"/>
    <w:rsid w:val="00FF37FA"/>
    <w:rsid w:val="00FF3DFA"/>
    <w:rsid w:val="00FF401D"/>
    <w:rsid w:val="00FF4209"/>
    <w:rsid w:val="00FF4463"/>
    <w:rsid w:val="00FF47A5"/>
    <w:rsid w:val="00FF56A3"/>
    <w:rsid w:val="00FF6094"/>
    <w:rsid w:val="00FF6E80"/>
    <w:rsid w:val="00FF7335"/>
    <w:rsid w:val="00FF7415"/>
    <w:rsid w:val="00FF75A9"/>
    <w:rsid w:val="00FF793A"/>
    <w:rsid w:val="00FF7A80"/>
  </w:rsids>
  <m:mathPr>
    <m:mathFont m:val="Cambria Math"/>
    <m:brkBin m:val="before"/>
    <m:brkBinSub m:val="--"/>
    <m:smallFrac/>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46A"/>
    <w:pPr>
      <w:jc w:val="both"/>
    </w:pPr>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FF4209"/>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FF4209"/>
    <w:pPr>
      <w:keepNext/>
      <w:spacing w:before="240" w:after="60"/>
      <w:jc w:val="left"/>
      <w:outlineLvl w:val="1"/>
    </w:pPr>
    <w:rPr>
      <w:rFonts w:ascii="Arial" w:hAnsi="Arial"/>
      <w:b/>
      <w:bCs/>
      <w:i/>
      <w:iCs/>
      <w:sz w:val="28"/>
      <w:szCs w:val="28"/>
      <w:lang w:val="x-none" w:eastAsia="x-none"/>
    </w:rPr>
  </w:style>
  <w:style w:type="paragraph" w:styleId="Heading3">
    <w:name w:val="heading 3"/>
    <w:basedOn w:val="Normal"/>
    <w:next w:val="Normal"/>
    <w:link w:val="Heading3Char"/>
    <w:uiPriority w:val="9"/>
    <w:semiHidden/>
    <w:unhideWhenUsed/>
    <w:qFormat/>
    <w:rsid w:val="00FF4209"/>
    <w:pPr>
      <w:keepNext/>
      <w:keepLines/>
      <w:spacing w:before="200"/>
      <w:outlineLvl w:val="2"/>
    </w:pPr>
    <w:rPr>
      <w:rFonts w:ascii="Cambria"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4209"/>
    <w:rPr>
      <w:rFonts w:ascii="Cambria" w:eastAsia="Times New Roman" w:hAnsi="Cambria" w:cs="DokChampa"/>
      <w:b/>
      <w:bCs/>
      <w:kern w:val="32"/>
      <w:sz w:val="32"/>
      <w:szCs w:val="32"/>
    </w:rPr>
  </w:style>
  <w:style w:type="character" w:customStyle="1" w:styleId="Heading2Char">
    <w:name w:val="Heading 2 Char"/>
    <w:link w:val="Heading2"/>
    <w:rsid w:val="00FF4209"/>
    <w:rPr>
      <w:rFonts w:ascii="Arial" w:eastAsia="Times New Roman" w:hAnsi="Arial" w:cs="Arial"/>
      <w:b/>
      <w:bCs/>
      <w:i/>
      <w:iCs/>
      <w:sz w:val="28"/>
      <w:szCs w:val="28"/>
    </w:rPr>
  </w:style>
  <w:style w:type="character" w:customStyle="1" w:styleId="Heading3Char">
    <w:name w:val="Heading 3 Char"/>
    <w:link w:val="Heading3"/>
    <w:uiPriority w:val="9"/>
    <w:semiHidden/>
    <w:rsid w:val="00FF4209"/>
    <w:rPr>
      <w:rFonts w:ascii="Cambria" w:eastAsia="Times New Roman" w:hAnsi="Cambria" w:cs="Times New Roman"/>
      <w:b/>
      <w:bCs/>
      <w:color w:val="4F81BD"/>
      <w:sz w:val="24"/>
      <w:szCs w:val="20"/>
    </w:rPr>
  </w:style>
  <w:style w:type="paragraph" w:styleId="Header">
    <w:name w:val="header"/>
    <w:basedOn w:val="Normal"/>
    <w:link w:val="HeaderChar"/>
    <w:uiPriority w:val="99"/>
    <w:rsid w:val="00FF4209"/>
    <w:pPr>
      <w:tabs>
        <w:tab w:val="center" w:pos="4153"/>
        <w:tab w:val="right" w:pos="8306"/>
      </w:tabs>
      <w:jc w:val="left"/>
    </w:pPr>
    <w:rPr>
      <w:szCs w:val="24"/>
      <w:lang w:val="en-GB" w:eastAsia="x-none"/>
    </w:rPr>
  </w:style>
  <w:style w:type="character" w:customStyle="1" w:styleId="HeaderChar">
    <w:name w:val="Header Char"/>
    <w:link w:val="Header"/>
    <w:uiPriority w:val="99"/>
    <w:rsid w:val="00FF4209"/>
    <w:rPr>
      <w:rFonts w:ascii="Times New Roman" w:eastAsia="Times New Roman" w:hAnsi="Times New Roman" w:cs="Times New Roman"/>
      <w:sz w:val="24"/>
      <w:szCs w:val="24"/>
      <w:lang w:val="en-GB"/>
    </w:rPr>
  </w:style>
  <w:style w:type="character" w:styleId="Hyperlink">
    <w:name w:val="Hyperlink"/>
    <w:uiPriority w:val="99"/>
    <w:rsid w:val="00FF4209"/>
    <w:rPr>
      <w:rFonts w:ascii="Arial" w:hAnsi="Arial" w:cs="Arial" w:hint="default"/>
      <w:strike w:val="0"/>
      <w:dstrike w:val="0"/>
      <w:color w:val="189B70"/>
      <w:sz w:val="18"/>
      <w:szCs w:val="18"/>
      <w:u w:val="none"/>
      <w:effect w:val="none"/>
    </w:rPr>
  </w:style>
  <w:style w:type="paragraph" w:styleId="BalloonText">
    <w:name w:val="Balloon Text"/>
    <w:basedOn w:val="Normal"/>
    <w:link w:val="BalloonTextChar"/>
    <w:semiHidden/>
    <w:rsid w:val="00FF4209"/>
    <w:rPr>
      <w:rFonts w:ascii="Tahoma" w:hAnsi="Tahoma"/>
      <w:sz w:val="16"/>
      <w:szCs w:val="16"/>
      <w:lang w:val="x-none" w:eastAsia="x-none"/>
    </w:rPr>
  </w:style>
  <w:style w:type="character" w:customStyle="1" w:styleId="BalloonTextChar">
    <w:name w:val="Balloon Text Char"/>
    <w:link w:val="BalloonText"/>
    <w:semiHidden/>
    <w:rsid w:val="00FF4209"/>
    <w:rPr>
      <w:rFonts w:ascii="Tahoma" w:eastAsia="Times New Roman" w:hAnsi="Tahoma" w:cs="Tahoma"/>
      <w:sz w:val="16"/>
      <w:szCs w:val="16"/>
    </w:rPr>
  </w:style>
  <w:style w:type="paragraph" w:styleId="NormalWeb">
    <w:name w:val="Normal (Web)"/>
    <w:basedOn w:val="Normal"/>
    <w:uiPriority w:val="99"/>
    <w:rsid w:val="00FF4209"/>
    <w:pPr>
      <w:spacing w:before="100" w:beforeAutospacing="1" w:after="100" w:afterAutospacing="1"/>
      <w:jc w:val="left"/>
    </w:pPr>
    <w:rPr>
      <w:szCs w:val="24"/>
      <w:lang w:val="en-GB"/>
    </w:rPr>
  </w:style>
  <w:style w:type="character" w:styleId="Strong">
    <w:name w:val="Strong"/>
    <w:uiPriority w:val="22"/>
    <w:qFormat/>
    <w:rsid w:val="00FF4209"/>
    <w:rPr>
      <w:b/>
      <w:bCs/>
    </w:rPr>
  </w:style>
  <w:style w:type="paragraph" w:styleId="Title">
    <w:name w:val="Title"/>
    <w:basedOn w:val="Normal"/>
    <w:link w:val="TitleChar"/>
    <w:uiPriority w:val="10"/>
    <w:qFormat/>
    <w:rsid w:val="00FF4209"/>
    <w:pPr>
      <w:jc w:val="center"/>
    </w:pPr>
    <w:rPr>
      <w:b/>
      <w:sz w:val="28"/>
      <w:szCs w:val="28"/>
      <w:lang w:val="x-none" w:eastAsia="x-none"/>
    </w:rPr>
  </w:style>
  <w:style w:type="character" w:customStyle="1" w:styleId="TitleChar">
    <w:name w:val="Title Char"/>
    <w:link w:val="Title"/>
    <w:uiPriority w:val="10"/>
    <w:rsid w:val="00FF4209"/>
    <w:rPr>
      <w:rFonts w:ascii="Times New Roman" w:eastAsia="Times New Roman" w:hAnsi="Times New Roman" w:cs="Times New Roman"/>
      <w:b/>
      <w:sz w:val="28"/>
      <w:szCs w:val="28"/>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
    <w:basedOn w:val="Normal"/>
    <w:link w:val="FootnoteTextChar"/>
    <w:uiPriority w:val="99"/>
    <w:rsid w:val="00FF4209"/>
    <w:rPr>
      <w:sz w:val="20"/>
      <w:lang w:val="x-none" w:eastAsia="x-none"/>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
    <w:link w:val="FootnoteText"/>
    <w:uiPriority w:val="99"/>
    <w:rsid w:val="00FF4209"/>
    <w:rPr>
      <w:rFonts w:ascii="Times New Roman" w:eastAsia="Times New Roman" w:hAnsi="Times New Roman" w:cs="Times New Roman"/>
      <w:sz w:val="20"/>
      <w:szCs w:val="20"/>
    </w:rPr>
  </w:style>
  <w:style w:type="character" w:styleId="FootnoteReference">
    <w:name w:val="footnote reference"/>
    <w:aliases w:val="Footnote Reference Number,Footnote symbol"/>
    <w:rsid w:val="00FF4209"/>
    <w:rPr>
      <w:vertAlign w:val="superscript"/>
    </w:rPr>
  </w:style>
  <w:style w:type="paragraph" w:styleId="Footer">
    <w:name w:val="footer"/>
    <w:basedOn w:val="Normal"/>
    <w:link w:val="FooterChar"/>
    <w:uiPriority w:val="99"/>
    <w:rsid w:val="00FF4209"/>
    <w:pPr>
      <w:tabs>
        <w:tab w:val="center" w:pos="4153"/>
        <w:tab w:val="right" w:pos="8306"/>
      </w:tabs>
    </w:pPr>
    <w:rPr>
      <w:lang w:val="x-none" w:eastAsia="x-none"/>
    </w:rPr>
  </w:style>
  <w:style w:type="character" w:customStyle="1" w:styleId="FooterChar">
    <w:name w:val="Footer Char"/>
    <w:link w:val="Footer"/>
    <w:uiPriority w:val="99"/>
    <w:rsid w:val="00FF4209"/>
    <w:rPr>
      <w:rFonts w:ascii="Times New Roman" w:eastAsia="Times New Roman" w:hAnsi="Times New Roman" w:cs="Times New Roman"/>
      <w:sz w:val="24"/>
      <w:szCs w:val="20"/>
    </w:rPr>
  </w:style>
  <w:style w:type="character" w:styleId="PageNumber">
    <w:name w:val="page number"/>
    <w:basedOn w:val="DefaultParagraphFont"/>
    <w:rsid w:val="00FF4209"/>
  </w:style>
  <w:style w:type="character" w:styleId="FollowedHyperlink">
    <w:name w:val="FollowedHyperlink"/>
    <w:rsid w:val="00FF4209"/>
    <w:rPr>
      <w:color w:val="800080"/>
      <w:u w:val="single"/>
    </w:rPr>
  </w:style>
  <w:style w:type="character" w:styleId="Emphasis">
    <w:name w:val="Emphasis"/>
    <w:uiPriority w:val="20"/>
    <w:qFormat/>
    <w:rsid w:val="00FF4209"/>
    <w:rPr>
      <w:i/>
      <w:iCs/>
    </w:rPr>
  </w:style>
  <w:style w:type="paragraph" w:customStyle="1" w:styleId="RakstzRakstz">
    <w:name w:val="Rakstz. Rakstz."/>
    <w:basedOn w:val="Normal"/>
    <w:next w:val="BlockText"/>
    <w:rsid w:val="00FF4209"/>
    <w:pPr>
      <w:spacing w:before="120" w:after="160" w:line="240" w:lineRule="exact"/>
      <w:ind w:firstLine="720"/>
    </w:pPr>
    <w:rPr>
      <w:rFonts w:ascii="Verdana" w:hAnsi="Verdana"/>
      <w:sz w:val="20"/>
      <w:lang w:val="en-US"/>
    </w:rPr>
  </w:style>
  <w:style w:type="paragraph" w:styleId="BlockText">
    <w:name w:val="Block Text"/>
    <w:basedOn w:val="Normal"/>
    <w:rsid w:val="00FF4209"/>
    <w:pPr>
      <w:spacing w:after="120"/>
      <w:ind w:left="1440" w:right="1440"/>
    </w:pPr>
  </w:style>
  <w:style w:type="paragraph" w:customStyle="1" w:styleId="CharChar2Char">
    <w:name w:val="Char Char2 Char"/>
    <w:basedOn w:val="Normal"/>
    <w:rsid w:val="00FF4209"/>
    <w:pPr>
      <w:spacing w:before="40"/>
      <w:jc w:val="left"/>
    </w:pPr>
    <w:rPr>
      <w:szCs w:val="24"/>
      <w:lang w:val="pl-PL" w:eastAsia="pl-PL"/>
    </w:rPr>
  </w:style>
  <w:style w:type="paragraph" w:styleId="BodyText">
    <w:name w:val="Body Text"/>
    <w:basedOn w:val="Normal"/>
    <w:link w:val="BodyTextChar"/>
    <w:rsid w:val="00FF4209"/>
    <w:pPr>
      <w:jc w:val="left"/>
    </w:pPr>
    <w:rPr>
      <w:b/>
      <w:bCs/>
      <w:szCs w:val="24"/>
      <w:lang w:val="en-GB" w:eastAsia="x-none"/>
    </w:rPr>
  </w:style>
  <w:style w:type="character" w:customStyle="1" w:styleId="BodyTextChar">
    <w:name w:val="Body Text Char"/>
    <w:link w:val="BodyText"/>
    <w:rsid w:val="00FF4209"/>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rsid w:val="00FF4209"/>
    <w:pPr>
      <w:spacing w:after="120"/>
      <w:ind w:left="283"/>
    </w:pPr>
    <w:rPr>
      <w:lang w:val="x-none" w:eastAsia="x-none"/>
    </w:rPr>
  </w:style>
  <w:style w:type="character" w:customStyle="1" w:styleId="BodyTextIndentChar">
    <w:name w:val="Body Text Indent Char"/>
    <w:link w:val="BodyTextIndent"/>
    <w:rsid w:val="00FF4209"/>
    <w:rPr>
      <w:rFonts w:ascii="Times New Roman" w:eastAsia="Times New Roman" w:hAnsi="Times New Roman" w:cs="Times New Roman"/>
      <w:sz w:val="24"/>
      <w:szCs w:val="20"/>
    </w:rPr>
  </w:style>
  <w:style w:type="paragraph" w:customStyle="1" w:styleId="CharCharCharCharChar">
    <w:name w:val="Char Char Char Char Char"/>
    <w:basedOn w:val="Normal"/>
    <w:next w:val="BlockText"/>
    <w:rsid w:val="00FF4209"/>
    <w:pPr>
      <w:spacing w:before="120" w:after="160" w:line="240" w:lineRule="exact"/>
      <w:ind w:firstLine="720"/>
    </w:pPr>
    <w:rPr>
      <w:rFonts w:ascii="Verdana" w:hAnsi="Verdana"/>
      <w:sz w:val="20"/>
      <w:lang w:val="en-US"/>
    </w:rPr>
  </w:style>
  <w:style w:type="paragraph" w:customStyle="1" w:styleId="CharChar1">
    <w:name w:val="Char Char1"/>
    <w:basedOn w:val="Normal"/>
    <w:next w:val="BlockText"/>
    <w:rsid w:val="00FF4209"/>
    <w:pPr>
      <w:spacing w:before="120" w:after="160" w:line="240" w:lineRule="exact"/>
      <w:ind w:firstLine="720"/>
    </w:pPr>
    <w:rPr>
      <w:rFonts w:ascii="Verdana" w:hAnsi="Verdana"/>
      <w:sz w:val="20"/>
      <w:lang w:val="en-US"/>
    </w:rPr>
  </w:style>
  <w:style w:type="character" w:styleId="CommentReference">
    <w:name w:val="annotation reference"/>
    <w:rsid w:val="00FF4209"/>
    <w:rPr>
      <w:sz w:val="16"/>
      <w:szCs w:val="16"/>
    </w:rPr>
  </w:style>
  <w:style w:type="paragraph" w:styleId="CommentText">
    <w:name w:val="annotation text"/>
    <w:basedOn w:val="Normal"/>
    <w:link w:val="CommentTextChar"/>
    <w:rsid w:val="00FF4209"/>
    <w:rPr>
      <w:sz w:val="20"/>
      <w:lang w:val="x-none" w:eastAsia="x-none"/>
    </w:rPr>
  </w:style>
  <w:style w:type="character" w:customStyle="1" w:styleId="CommentTextChar">
    <w:name w:val="Comment Text Char"/>
    <w:link w:val="CommentText"/>
    <w:uiPriority w:val="99"/>
    <w:semiHidden/>
    <w:rsid w:val="00FF42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4209"/>
    <w:rPr>
      <w:b/>
      <w:bCs/>
    </w:rPr>
  </w:style>
  <w:style w:type="character" w:customStyle="1" w:styleId="CommentSubjectChar">
    <w:name w:val="Comment Subject Char"/>
    <w:link w:val="CommentSubject"/>
    <w:semiHidden/>
    <w:rsid w:val="00FF4209"/>
    <w:rPr>
      <w:rFonts w:ascii="Times New Roman" w:eastAsia="Times New Roman" w:hAnsi="Times New Roman" w:cs="Times New Roman"/>
      <w:b/>
      <w:bCs/>
      <w:sz w:val="20"/>
      <w:szCs w:val="20"/>
    </w:rPr>
  </w:style>
  <w:style w:type="paragraph" w:customStyle="1" w:styleId="Norm">
    <w:name w:val="Norm"/>
    <w:basedOn w:val="Normal"/>
    <w:autoRedefine/>
    <w:rsid w:val="00FF4209"/>
    <w:pPr>
      <w:tabs>
        <w:tab w:val="num" w:pos="1080"/>
      </w:tabs>
      <w:ind w:left="1080" w:hanging="360"/>
    </w:pPr>
    <w:rPr>
      <w:sz w:val="28"/>
      <w:szCs w:val="28"/>
    </w:rPr>
  </w:style>
  <w:style w:type="paragraph" w:styleId="BodyText2">
    <w:name w:val="Body Text 2"/>
    <w:basedOn w:val="Normal"/>
    <w:link w:val="BodyText2Char"/>
    <w:rsid w:val="00FF4209"/>
    <w:pPr>
      <w:spacing w:after="120" w:line="480" w:lineRule="auto"/>
      <w:jc w:val="left"/>
    </w:pPr>
    <w:rPr>
      <w:szCs w:val="24"/>
      <w:lang w:val="x-none" w:eastAsia="x-none"/>
    </w:rPr>
  </w:style>
  <w:style w:type="character" w:customStyle="1" w:styleId="BodyText2Char">
    <w:name w:val="Body Text 2 Char"/>
    <w:link w:val="BodyText2"/>
    <w:rsid w:val="00FF4209"/>
    <w:rPr>
      <w:rFonts w:ascii="Times New Roman" w:eastAsia="Times New Roman" w:hAnsi="Times New Roman" w:cs="Times New Roman"/>
      <w:sz w:val="24"/>
      <w:szCs w:val="24"/>
    </w:rPr>
  </w:style>
  <w:style w:type="paragraph" w:styleId="BodyText3">
    <w:name w:val="Body Text 3"/>
    <w:basedOn w:val="Normal"/>
    <w:link w:val="BodyText3Char"/>
    <w:rsid w:val="00FF4209"/>
    <w:pPr>
      <w:spacing w:after="120"/>
      <w:jc w:val="left"/>
    </w:pPr>
    <w:rPr>
      <w:sz w:val="16"/>
      <w:szCs w:val="16"/>
      <w:lang w:val="x-none" w:eastAsia="lv-LV"/>
    </w:rPr>
  </w:style>
  <w:style w:type="character" w:customStyle="1" w:styleId="BodyText3Char">
    <w:name w:val="Body Text 3 Char"/>
    <w:link w:val="BodyText3"/>
    <w:rsid w:val="00FF4209"/>
    <w:rPr>
      <w:rFonts w:ascii="Times New Roman" w:eastAsia="Times New Roman" w:hAnsi="Times New Roman" w:cs="Times New Roman"/>
      <w:sz w:val="16"/>
      <w:szCs w:val="16"/>
      <w:lang w:eastAsia="lv-LV"/>
    </w:rPr>
  </w:style>
  <w:style w:type="paragraph" w:customStyle="1" w:styleId="mkh">
    <w:name w:val="mkh"/>
    <w:basedOn w:val="Normal"/>
    <w:rsid w:val="00FF4209"/>
    <w:pPr>
      <w:spacing w:after="120"/>
      <w:ind w:firstLine="720"/>
      <w:jc w:val="center"/>
    </w:pPr>
    <w:rPr>
      <w:b/>
      <w:bCs/>
      <w:sz w:val="28"/>
      <w:szCs w:val="28"/>
      <w:lang w:eastAsia="lv-LV"/>
    </w:rPr>
  </w:style>
  <w:style w:type="paragraph" w:customStyle="1" w:styleId="CharChar2CharCharCharChar">
    <w:name w:val="Char Char2 Char Char Char Char"/>
    <w:basedOn w:val="Normal"/>
    <w:rsid w:val="00FF4209"/>
    <w:pPr>
      <w:spacing w:before="40"/>
      <w:jc w:val="left"/>
    </w:pPr>
    <w:rPr>
      <w:szCs w:val="24"/>
      <w:lang w:val="pl-PL" w:eastAsia="pl-PL"/>
    </w:rPr>
  </w:style>
  <w:style w:type="paragraph" w:customStyle="1" w:styleId="CharChar2CharCharCharCharChar">
    <w:name w:val="Char Char2 Char Char Char Char Char"/>
    <w:basedOn w:val="Normal"/>
    <w:rsid w:val="00FF4209"/>
    <w:pPr>
      <w:spacing w:before="40"/>
      <w:jc w:val="left"/>
    </w:pPr>
    <w:rPr>
      <w:szCs w:val="24"/>
      <w:lang w:val="pl-PL" w:eastAsia="pl-PL"/>
    </w:rPr>
  </w:style>
  <w:style w:type="paragraph" w:styleId="NoSpacing">
    <w:name w:val="No Spacing"/>
    <w:uiPriority w:val="1"/>
    <w:qFormat/>
    <w:rsid w:val="00FF4209"/>
    <w:rPr>
      <w:rFonts w:ascii="Times New Roman" w:hAnsi="Times New Roman"/>
      <w:sz w:val="24"/>
      <w:szCs w:val="24"/>
    </w:rPr>
  </w:style>
  <w:style w:type="paragraph" w:customStyle="1" w:styleId="naiskr">
    <w:name w:val="naiskr"/>
    <w:basedOn w:val="Normal"/>
    <w:rsid w:val="00FF4209"/>
    <w:pPr>
      <w:spacing w:before="100" w:beforeAutospacing="1" w:after="100" w:afterAutospacing="1"/>
      <w:jc w:val="left"/>
    </w:pPr>
    <w:rPr>
      <w:szCs w:val="24"/>
      <w:lang w:eastAsia="lv-LV"/>
    </w:rPr>
  </w:style>
  <w:style w:type="paragraph" w:styleId="BodyTextIndent2">
    <w:name w:val="Body Text Indent 2"/>
    <w:basedOn w:val="Normal"/>
    <w:link w:val="BodyTextIndent2Char"/>
    <w:rsid w:val="00FF4209"/>
    <w:pPr>
      <w:spacing w:after="120" w:line="480" w:lineRule="auto"/>
      <w:ind w:left="283"/>
    </w:pPr>
    <w:rPr>
      <w:lang w:val="x-none" w:eastAsia="x-none"/>
    </w:rPr>
  </w:style>
  <w:style w:type="character" w:customStyle="1" w:styleId="BodyTextIndent2Char">
    <w:name w:val="Body Text Indent 2 Char"/>
    <w:link w:val="BodyTextIndent2"/>
    <w:rsid w:val="00FF4209"/>
    <w:rPr>
      <w:rFonts w:ascii="Times New Roman" w:eastAsia="Times New Roman" w:hAnsi="Times New Roman" w:cs="Times New Roman"/>
      <w:sz w:val="24"/>
      <w:szCs w:val="20"/>
    </w:rPr>
  </w:style>
  <w:style w:type="paragraph" w:customStyle="1" w:styleId="RakstzCharCharRakstzCharCharRakstzCharCharRakstzCharChar">
    <w:name w:val="Rakstz. Char Char Rakstz. Char Char Rakstz. Char Char Rakstz. Char Char"/>
    <w:basedOn w:val="Normal"/>
    <w:rsid w:val="00FF4209"/>
    <w:pPr>
      <w:spacing w:after="160" w:line="240" w:lineRule="exact"/>
      <w:jc w:val="left"/>
    </w:pPr>
    <w:rPr>
      <w:rFonts w:ascii="Tahoma" w:hAnsi="Tahoma"/>
      <w:sz w:val="20"/>
      <w:lang w:val="en-US"/>
    </w:rPr>
  </w:style>
  <w:style w:type="paragraph" w:customStyle="1" w:styleId="msolistparagraph0">
    <w:name w:val="msolistparagraph"/>
    <w:basedOn w:val="Normal"/>
    <w:rsid w:val="00FF4209"/>
    <w:pPr>
      <w:ind w:left="720"/>
      <w:jc w:val="left"/>
    </w:pPr>
    <w:rPr>
      <w:szCs w:val="24"/>
      <w:lang w:eastAsia="lv-LV"/>
    </w:rPr>
  </w:style>
  <w:style w:type="paragraph" w:customStyle="1" w:styleId="NChar1CharCharCharCharChar">
    <w:name w:val="N Char1 Char Char Char Char Char"/>
    <w:basedOn w:val="Normal"/>
    <w:uiPriority w:val="99"/>
    <w:rsid w:val="00FF4209"/>
    <w:pPr>
      <w:tabs>
        <w:tab w:val="num" w:pos="0"/>
        <w:tab w:val="num" w:pos="765"/>
      </w:tabs>
      <w:spacing w:before="120"/>
      <w:ind w:left="765" w:hanging="720"/>
    </w:pPr>
    <w:rPr>
      <w:iCs/>
      <w:sz w:val="22"/>
      <w:szCs w:val="16"/>
      <w:lang w:eastAsia="lv-LV"/>
    </w:rPr>
  </w:style>
  <w:style w:type="character" w:customStyle="1" w:styleId="textsCharChar">
    <w:name w:val="texts Char Char"/>
    <w:aliases w:val="texts Char Char1,texts Char Char2,texts Char Char3"/>
    <w:rsid w:val="00FF4209"/>
    <w:rPr>
      <w:sz w:val="24"/>
      <w:szCs w:val="24"/>
      <w:lang w:val="en-GB" w:eastAsia="en-US" w:bidi="ar-SA"/>
    </w:rPr>
  </w:style>
  <w:style w:type="paragraph" w:styleId="ListParagraph">
    <w:name w:val="List Paragraph"/>
    <w:basedOn w:val="Normal"/>
    <w:uiPriority w:val="34"/>
    <w:qFormat/>
    <w:rsid w:val="00FF4209"/>
    <w:pPr>
      <w:spacing w:after="200" w:line="276" w:lineRule="auto"/>
      <w:ind w:left="720"/>
      <w:contextualSpacing/>
      <w:jc w:val="left"/>
    </w:pPr>
    <w:rPr>
      <w:rFonts w:ascii="Calibri" w:eastAsia="Calibri" w:hAnsi="Calibri"/>
      <w:sz w:val="22"/>
      <w:szCs w:val="22"/>
    </w:rPr>
  </w:style>
  <w:style w:type="paragraph" w:customStyle="1" w:styleId="CharCharCharCharCharCharCharChar">
    <w:name w:val="Char Char Char Char Char Char Char Char"/>
    <w:basedOn w:val="Normal"/>
    <w:next w:val="BlockText"/>
    <w:rsid w:val="00FF4209"/>
    <w:pPr>
      <w:spacing w:before="120" w:after="160" w:line="240" w:lineRule="exact"/>
      <w:ind w:firstLine="720"/>
    </w:pPr>
    <w:rPr>
      <w:rFonts w:ascii="Verdana" w:hAnsi="Verdana"/>
      <w:sz w:val="20"/>
      <w:lang w:val="en-US"/>
    </w:rPr>
  </w:style>
  <w:style w:type="paragraph" w:customStyle="1" w:styleId="naisf">
    <w:name w:val="naisf"/>
    <w:basedOn w:val="Normal"/>
    <w:link w:val="naisfChar"/>
    <w:rsid w:val="00FF4209"/>
    <w:pPr>
      <w:spacing w:before="100" w:beforeAutospacing="1" w:after="100" w:afterAutospacing="1"/>
      <w:jc w:val="left"/>
    </w:pPr>
    <w:rPr>
      <w:szCs w:val="24"/>
      <w:lang w:val="x-none" w:eastAsia="x-none"/>
    </w:rPr>
  </w:style>
  <w:style w:type="character" w:customStyle="1" w:styleId="naisfChar">
    <w:name w:val="naisf Char"/>
    <w:link w:val="naisf"/>
    <w:rsid w:val="00FF4209"/>
    <w:rPr>
      <w:rFonts w:ascii="Times New Roman" w:eastAsia="Times New Roman" w:hAnsi="Times New Roman" w:cs="Times New Roman"/>
      <w:sz w:val="24"/>
      <w:szCs w:val="24"/>
    </w:rPr>
  </w:style>
  <w:style w:type="paragraph" w:customStyle="1" w:styleId="Rakstz">
    <w:name w:val="Rakstz."/>
    <w:basedOn w:val="Normal"/>
    <w:rsid w:val="00FF4209"/>
    <w:pPr>
      <w:spacing w:before="40"/>
      <w:jc w:val="left"/>
    </w:pPr>
    <w:rPr>
      <w:szCs w:val="24"/>
      <w:lang w:val="pl-PL" w:eastAsia="pl-PL"/>
    </w:rPr>
  </w:style>
  <w:style w:type="paragraph" w:customStyle="1" w:styleId="Bullet1Rakstz">
    <w:name w:val="Bullet 1 Rakstz."/>
    <w:basedOn w:val="Normal"/>
    <w:rsid w:val="00FF4209"/>
    <w:pPr>
      <w:numPr>
        <w:numId w:val="1"/>
      </w:numPr>
      <w:snapToGrid w:val="0"/>
      <w:spacing w:before="20" w:line="288" w:lineRule="auto"/>
    </w:pPr>
    <w:rPr>
      <w:rFonts w:eastAsia="Calibri"/>
      <w:szCs w:val="24"/>
      <w:lang w:val="en-GB" w:eastAsia="en-GB"/>
    </w:rPr>
  </w:style>
  <w:style w:type="paragraph" w:customStyle="1" w:styleId="naisnod">
    <w:name w:val="naisnod"/>
    <w:basedOn w:val="Normal"/>
    <w:rsid w:val="00FF4209"/>
    <w:pPr>
      <w:spacing w:before="100" w:beforeAutospacing="1" w:after="100" w:afterAutospacing="1"/>
      <w:jc w:val="left"/>
    </w:pPr>
    <w:rPr>
      <w:rFonts w:eastAsia="Calibri"/>
      <w:szCs w:val="24"/>
      <w:lang w:eastAsia="lv-LV"/>
    </w:rPr>
  </w:style>
  <w:style w:type="table" w:styleId="TableGrid">
    <w:name w:val="Table Grid"/>
    <w:basedOn w:val="TableNormal"/>
    <w:uiPriority w:val="59"/>
    <w:rsid w:val="00FF420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F4209"/>
    <w:pPr>
      <w:autoSpaceDE w:val="0"/>
      <w:autoSpaceDN w:val="0"/>
      <w:adjustRightInd w:val="0"/>
    </w:pPr>
    <w:rPr>
      <w:rFonts w:ascii="Times New Roman" w:hAnsi="Times New Roman"/>
      <w:color w:val="000000"/>
      <w:sz w:val="24"/>
      <w:szCs w:val="24"/>
    </w:rPr>
  </w:style>
  <w:style w:type="character" w:customStyle="1" w:styleId="skypetbinnertext">
    <w:name w:val="skype_tb_innertext"/>
    <w:basedOn w:val="DefaultParagraphFont"/>
    <w:rsid w:val="00FF4209"/>
  </w:style>
  <w:style w:type="character" w:customStyle="1" w:styleId="spelle">
    <w:name w:val="spelle"/>
    <w:basedOn w:val="DefaultParagraphFont"/>
    <w:rsid w:val="00FF4209"/>
  </w:style>
  <w:style w:type="paragraph" w:customStyle="1" w:styleId="Normal1">
    <w:name w:val="Normal1"/>
    <w:basedOn w:val="Normal"/>
    <w:rsid w:val="00FF4209"/>
    <w:pPr>
      <w:spacing w:before="100" w:beforeAutospacing="1" w:after="100" w:afterAutospacing="1"/>
      <w:jc w:val="left"/>
    </w:pPr>
    <w:rPr>
      <w:szCs w:val="24"/>
      <w:lang w:val="en-US"/>
    </w:rPr>
  </w:style>
  <w:style w:type="paragraph" w:customStyle="1" w:styleId="1lmenis">
    <w:name w:val="1.līmenis"/>
    <w:basedOn w:val="Heading1"/>
    <w:link w:val="1lmenisChar"/>
    <w:qFormat/>
    <w:rsid w:val="00FF4209"/>
    <w:pPr>
      <w:numPr>
        <w:numId w:val="2"/>
      </w:numPr>
    </w:pPr>
    <w:rPr>
      <w:sz w:val="36"/>
      <w:szCs w:val="30"/>
    </w:rPr>
  </w:style>
  <w:style w:type="paragraph" w:customStyle="1" w:styleId="2lmenis">
    <w:name w:val="2.līmenis"/>
    <w:basedOn w:val="Heading2"/>
    <w:link w:val="2lmenisChar"/>
    <w:qFormat/>
    <w:rsid w:val="00FF4209"/>
    <w:pPr>
      <w:ind w:left="720"/>
    </w:pPr>
    <w:rPr>
      <w:rFonts w:ascii="Times New Roman" w:hAnsi="Times New Roman"/>
      <w:bCs w:val="0"/>
      <w:i w:val="0"/>
    </w:rPr>
  </w:style>
  <w:style w:type="character" w:customStyle="1" w:styleId="1lmenisChar">
    <w:name w:val="1.līmenis Char"/>
    <w:link w:val="1lmenis"/>
    <w:rsid w:val="00FF4209"/>
    <w:rPr>
      <w:rFonts w:ascii="Cambria" w:eastAsia="Times New Roman" w:hAnsi="Cambria"/>
      <w:b/>
      <w:bCs/>
      <w:kern w:val="32"/>
      <w:sz w:val="36"/>
      <w:szCs w:val="30"/>
      <w:lang w:val="x-none" w:eastAsia="x-none"/>
    </w:rPr>
  </w:style>
  <w:style w:type="paragraph" w:customStyle="1" w:styleId="3lmenis">
    <w:name w:val="3.līmenis"/>
    <w:basedOn w:val="Normal"/>
    <w:link w:val="3lmenisChar"/>
    <w:qFormat/>
    <w:rsid w:val="00FF4209"/>
    <w:pPr>
      <w:spacing w:before="120" w:after="120" w:line="276" w:lineRule="auto"/>
      <w:ind w:left="720"/>
    </w:pPr>
    <w:rPr>
      <w:b/>
      <w:bCs/>
      <w:szCs w:val="24"/>
      <w:u w:val="single"/>
      <w:lang w:val="x-none" w:eastAsia="x-none"/>
    </w:rPr>
  </w:style>
  <w:style w:type="character" w:customStyle="1" w:styleId="2lmenisChar">
    <w:name w:val="2.līmenis Char"/>
    <w:link w:val="2lmenis"/>
    <w:rsid w:val="00FF4209"/>
    <w:rPr>
      <w:rFonts w:ascii="Times New Roman" w:eastAsia="Times New Roman" w:hAnsi="Times New Roman" w:cs="Arial"/>
      <w:b/>
      <w:iCs/>
      <w:sz w:val="28"/>
      <w:szCs w:val="28"/>
    </w:rPr>
  </w:style>
  <w:style w:type="character" w:customStyle="1" w:styleId="3lmenisChar">
    <w:name w:val="3.līmenis Char"/>
    <w:link w:val="3lmenis"/>
    <w:rsid w:val="00FF4209"/>
    <w:rPr>
      <w:rFonts w:ascii="Times New Roman" w:eastAsia="Times New Roman" w:hAnsi="Times New Roman" w:cs="Times New Roman"/>
      <w:b/>
      <w:bCs/>
      <w:sz w:val="24"/>
      <w:szCs w:val="24"/>
      <w:u w:val="single"/>
    </w:rPr>
  </w:style>
  <w:style w:type="paragraph" w:styleId="TOCHeading">
    <w:name w:val="TOC Heading"/>
    <w:basedOn w:val="Heading1"/>
    <w:next w:val="Normal"/>
    <w:uiPriority w:val="39"/>
    <w:unhideWhenUsed/>
    <w:qFormat/>
    <w:rsid w:val="00FF4209"/>
    <w:pPr>
      <w:keepLines/>
      <w:spacing w:before="480" w:after="0" w:line="276" w:lineRule="auto"/>
      <w:jc w:val="left"/>
      <w:outlineLvl w:val="9"/>
    </w:pPr>
    <w:rPr>
      <w:color w:val="365F91"/>
      <w:kern w:val="0"/>
      <w:sz w:val="28"/>
      <w:szCs w:val="28"/>
      <w:lang w:val="en-US"/>
    </w:rPr>
  </w:style>
  <w:style w:type="paragraph" w:styleId="TOC1">
    <w:name w:val="toc 1"/>
    <w:basedOn w:val="Normal"/>
    <w:next w:val="Normal"/>
    <w:autoRedefine/>
    <w:uiPriority w:val="39"/>
    <w:unhideWhenUsed/>
    <w:qFormat/>
    <w:rsid w:val="00982E97"/>
    <w:pPr>
      <w:tabs>
        <w:tab w:val="left" w:pos="426"/>
        <w:tab w:val="right" w:leader="dot" w:pos="9061"/>
      </w:tabs>
      <w:jc w:val="left"/>
    </w:pPr>
    <w:rPr>
      <w:rFonts w:ascii="Cambria" w:hAnsi="Cambria"/>
      <w:b/>
      <w:bCs/>
      <w:caps/>
      <w:szCs w:val="28"/>
    </w:rPr>
  </w:style>
  <w:style w:type="paragraph" w:styleId="TOC2">
    <w:name w:val="toc 2"/>
    <w:basedOn w:val="Normal"/>
    <w:next w:val="Normal"/>
    <w:autoRedefine/>
    <w:uiPriority w:val="39"/>
    <w:unhideWhenUsed/>
    <w:qFormat/>
    <w:rsid w:val="00FF4209"/>
    <w:pPr>
      <w:spacing w:before="240"/>
      <w:jc w:val="left"/>
    </w:pPr>
    <w:rPr>
      <w:rFonts w:ascii="Calibri" w:hAnsi="Calibri"/>
      <w:b/>
      <w:bCs/>
      <w:sz w:val="20"/>
      <w:szCs w:val="24"/>
    </w:rPr>
  </w:style>
  <w:style w:type="paragraph" w:styleId="TOC3">
    <w:name w:val="toc 3"/>
    <w:basedOn w:val="Normal"/>
    <w:next w:val="Normal"/>
    <w:autoRedefine/>
    <w:uiPriority w:val="39"/>
    <w:unhideWhenUsed/>
    <w:qFormat/>
    <w:rsid w:val="00FF4209"/>
    <w:pPr>
      <w:ind w:left="240"/>
      <w:jc w:val="left"/>
    </w:pPr>
    <w:rPr>
      <w:rFonts w:ascii="Calibri" w:hAnsi="Calibri"/>
      <w:sz w:val="20"/>
      <w:szCs w:val="24"/>
    </w:rPr>
  </w:style>
  <w:style w:type="paragraph" w:styleId="TOC4">
    <w:name w:val="toc 4"/>
    <w:basedOn w:val="Normal"/>
    <w:next w:val="Normal"/>
    <w:autoRedefine/>
    <w:uiPriority w:val="39"/>
    <w:unhideWhenUsed/>
    <w:rsid w:val="00FF4209"/>
    <w:pPr>
      <w:ind w:left="480"/>
      <w:jc w:val="left"/>
    </w:pPr>
    <w:rPr>
      <w:rFonts w:ascii="Calibri" w:hAnsi="Calibri"/>
      <w:sz w:val="20"/>
      <w:szCs w:val="24"/>
    </w:rPr>
  </w:style>
  <w:style w:type="paragraph" w:styleId="TOC5">
    <w:name w:val="toc 5"/>
    <w:basedOn w:val="Normal"/>
    <w:next w:val="Normal"/>
    <w:autoRedefine/>
    <w:uiPriority w:val="39"/>
    <w:unhideWhenUsed/>
    <w:rsid w:val="00FF4209"/>
    <w:pPr>
      <w:ind w:left="720"/>
      <w:jc w:val="left"/>
    </w:pPr>
    <w:rPr>
      <w:rFonts w:ascii="Calibri" w:hAnsi="Calibri"/>
      <w:sz w:val="20"/>
      <w:szCs w:val="24"/>
    </w:rPr>
  </w:style>
  <w:style w:type="paragraph" w:styleId="TOC6">
    <w:name w:val="toc 6"/>
    <w:basedOn w:val="Normal"/>
    <w:next w:val="Normal"/>
    <w:autoRedefine/>
    <w:uiPriority w:val="39"/>
    <w:unhideWhenUsed/>
    <w:rsid w:val="00FF4209"/>
    <w:pPr>
      <w:ind w:left="960"/>
      <w:jc w:val="left"/>
    </w:pPr>
    <w:rPr>
      <w:rFonts w:ascii="Calibri" w:hAnsi="Calibri"/>
      <w:sz w:val="20"/>
      <w:szCs w:val="24"/>
    </w:rPr>
  </w:style>
  <w:style w:type="paragraph" w:styleId="TOC7">
    <w:name w:val="toc 7"/>
    <w:basedOn w:val="Normal"/>
    <w:next w:val="Normal"/>
    <w:autoRedefine/>
    <w:uiPriority w:val="39"/>
    <w:unhideWhenUsed/>
    <w:rsid w:val="00FF4209"/>
    <w:pPr>
      <w:ind w:left="1200"/>
      <w:jc w:val="left"/>
    </w:pPr>
    <w:rPr>
      <w:rFonts w:ascii="Calibri" w:hAnsi="Calibri"/>
      <w:sz w:val="20"/>
      <w:szCs w:val="24"/>
    </w:rPr>
  </w:style>
  <w:style w:type="paragraph" w:styleId="TOC8">
    <w:name w:val="toc 8"/>
    <w:basedOn w:val="Normal"/>
    <w:next w:val="Normal"/>
    <w:autoRedefine/>
    <w:uiPriority w:val="39"/>
    <w:unhideWhenUsed/>
    <w:rsid w:val="00FF4209"/>
    <w:pPr>
      <w:ind w:left="1440"/>
      <w:jc w:val="left"/>
    </w:pPr>
    <w:rPr>
      <w:rFonts w:ascii="Calibri" w:hAnsi="Calibri"/>
      <w:sz w:val="20"/>
      <w:szCs w:val="24"/>
    </w:rPr>
  </w:style>
  <w:style w:type="paragraph" w:styleId="TOC9">
    <w:name w:val="toc 9"/>
    <w:basedOn w:val="Normal"/>
    <w:next w:val="Normal"/>
    <w:autoRedefine/>
    <w:uiPriority w:val="39"/>
    <w:unhideWhenUsed/>
    <w:rsid w:val="00FF4209"/>
    <w:pPr>
      <w:ind w:left="1680"/>
      <w:jc w:val="left"/>
    </w:pPr>
    <w:rPr>
      <w:rFonts w:ascii="Calibri" w:hAnsi="Calibri"/>
      <w:sz w:val="20"/>
      <w:szCs w:val="24"/>
    </w:rPr>
  </w:style>
  <w:style w:type="paragraph" w:customStyle="1" w:styleId="TabCharChar">
    <w:name w:val="Tab Char Char"/>
    <w:basedOn w:val="Normal"/>
    <w:autoRedefine/>
    <w:rsid w:val="00FF4209"/>
    <w:pPr>
      <w:spacing w:after="200" w:line="276" w:lineRule="auto"/>
    </w:pPr>
    <w:rPr>
      <w:szCs w:val="24"/>
      <w:lang w:eastAsia="lv-LV"/>
    </w:rPr>
  </w:style>
  <w:style w:type="paragraph" w:customStyle="1" w:styleId="MKNormal">
    <w:name w:val="MKNormal"/>
    <w:basedOn w:val="Normal"/>
    <w:autoRedefine/>
    <w:rsid w:val="00FF4209"/>
    <w:pPr>
      <w:ind w:firstLine="720"/>
    </w:pPr>
    <w:rPr>
      <w:szCs w:val="24"/>
      <w:lang w:eastAsia="lv-LV"/>
    </w:rPr>
  </w:style>
  <w:style w:type="paragraph" w:styleId="EndnoteText">
    <w:name w:val="endnote text"/>
    <w:basedOn w:val="Normal"/>
    <w:link w:val="EndnoteTextChar"/>
    <w:uiPriority w:val="99"/>
    <w:semiHidden/>
    <w:unhideWhenUsed/>
    <w:rsid w:val="00FF4209"/>
    <w:rPr>
      <w:sz w:val="20"/>
      <w:lang w:val="x-none" w:eastAsia="x-none"/>
    </w:rPr>
  </w:style>
  <w:style w:type="character" w:customStyle="1" w:styleId="EndnoteTextChar">
    <w:name w:val="Endnote Text Char"/>
    <w:link w:val="EndnoteText"/>
    <w:uiPriority w:val="99"/>
    <w:semiHidden/>
    <w:rsid w:val="00FF4209"/>
    <w:rPr>
      <w:rFonts w:ascii="Times New Roman" w:eastAsia="Times New Roman" w:hAnsi="Times New Roman" w:cs="Times New Roman"/>
      <w:sz w:val="20"/>
      <w:szCs w:val="20"/>
    </w:rPr>
  </w:style>
  <w:style w:type="character" w:styleId="EndnoteReference">
    <w:name w:val="endnote reference"/>
    <w:uiPriority w:val="99"/>
    <w:semiHidden/>
    <w:unhideWhenUsed/>
    <w:rsid w:val="00FF4209"/>
    <w:rPr>
      <w:vertAlign w:val="superscript"/>
    </w:rPr>
  </w:style>
  <w:style w:type="paragraph" w:customStyle="1" w:styleId="Normal1-centered">
    <w:name w:val="Normal1-centered"/>
    <w:basedOn w:val="Normal1"/>
    <w:qFormat/>
    <w:rsid w:val="00FF4209"/>
    <w:pPr>
      <w:spacing w:before="0" w:beforeAutospacing="0" w:after="0" w:afterAutospacing="0"/>
      <w:jc w:val="center"/>
    </w:pPr>
    <w:rPr>
      <w:rFonts w:eastAsia="Calibri"/>
      <w:i/>
      <w:sz w:val="20"/>
      <w:szCs w:val="22"/>
      <w:lang w:val="lv-LV"/>
    </w:rPr>
  </w:style>
  <w:style w:type="character" w:customStyle="1" w:styleId="xdtextbox1">
    <w:name w:val="xdtextbox1"/>
    <w:rsid w:val="00FF4209"/>
    <w:rPr>
      <w:color w:val="auto"/>
      <w:bdr w:val="single" w:sz="8" w:space="1" w:color="DCDCDC" w:frame="1"/>
      <w:shd w:val="clear" w:color="auto" w:fill="FFFFFF"/>
    </w:rPr>
  </w:style>
  <w:style w:type="paragraph" w:styleId="PlainText">
    <w:name w:val="Plain Text"/>
    <w:basedOn w:val="Normal"/>
    <w:link w:val="PlainTextChar"/>
    <w:uiPriority w:val="99"/>
    <w:unhideWhenUsed/>
    <w:rsid w:val="00FF4209"/>
    <w:pPr>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FF4209"/>
    <w:rPr>
      <w:rFonts w:ascii="Consolas" w:eastAsia="Calibri" w:hAnsi="Consolas" w:cs="Times New Roman"/>
      <w:sz w:val="21"/>
      <w:szCs w:val="21"/>
    </w:rPr>
  </w:style>
  <w:style w:type="paragraph" w:styleId="ListBullet">
    <w:name w:val="List Bullet"/>
    <w:basedOn w:val="Normal"/>
    <w:rsid w:val="00FF4209"/>
    <w:pPr>
      <w:numPr>
        <w:numId w:val="3"/>
      </w:numPr>
      <w:spacing w:before="120" w:after="120"/>
    </w:pPr>
    <w:rPr>
      <w:lang w:val="en-GB" w:eastAsia="de-DE"/>
    </w:rPr>
  </w:style>
  <w:style w:type="character" w:customStyle="1" w:styleId="colora">
    <w:name w:val="colora"/>
    <w:basedOn w:val="DefaultParagraphFont"/>
    <w:rsid w:val="00FF4209"/>
  </w:style>
  <w:style w:type="table" w:styleId="LightGrid-Accent3">
    <w:name w:val="Light Grid Accent 3"/>
    <w:basedOn w:val="TableNormal"/>
    <w:uiPriority w:val="62"/>
    <w:rsid w:val="00FF4209"/>
    <w:rPr>
      <w:rFonts w:ascii="Times New Roman" w:hAnsi="Times New Roman"/>
      <w:sz w:val="28"/>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naisc">
    <w:name w:val="naisc"/>
    <w:basedOn w:val="Normal"/>
    <w:uiPriority w:val="99"/>
    <w:rsid w:val="00A63B18"/>
    <w:pPr>
      <w:spacing w:before="100" w:beforeAutospacing="1" w:after="100" w:afterAutospacing="1"/>
      <w:jc w:val="left"/>
    </w:pPr>
    <w:rPr>
      <w:szCs w:val="24"/>
      <w:lang w:eastAsia="lv-LV"/>
    </w:rPr>
  </w:style>
  <w:style w:type="character" w:customStyle="1" w:styleId="xdtextboxctrl11ms-xedit-plaintext">
    <w:name w:val="xdtextbox ctrl11 ms-xedit-plaintext"/>
    <w:uiPriority w:val="99"/>
    <w:rsid w:val="00014F70"/>
    <w:rPr>
      <w:rFonts w:ascii="Times New Roman" w:hAnsi="Times New Roman" w:cs="Times New Roman" w:hint="default"/>
    </w:rPr>
  </w:style>
  <w:style w:type="character" w:customStyle="1" w:styleId="xdtextboxctrl10ms-xedit-plaintext">
    <w:name w:val="xdtextbox ctrl10 ms-xedit-plaintext"/>
    <w:uiPriority w:val="99"/>
    <w:rsid w:val="00014F70"/>
    <w:rPr>
      <w:rFonts w:ascii="Times New Roman" w:hAnsi="Times New Roman" w:cs="Times New Roman" w:hint="default"/>
    </w:rPr>
  </w:style>
  <w:style w:type="character" w:customStyle="1" w:styleId="apple-style-span">
    <w:name w:val="apple-style-span"/>
    <w:rsid w:val="00AC09A3"/>
  </w:style>
  <w:style w:type="paragraph" w:customStyle="1" w:styleId="rteleft">
    <w:name w:val="rteleft"/>
    <w:basedOn w:val="Normal"/>
    <w:rsid w:val="00D800C4"/>
    <w:pPr>
      <w:spacing w:before="100" w:beforeAutospacing="1" w:after="100" w:afterAutospacing="1"/>
      <w:jc w:val="left"/>
    </w:pPr>
    <w:rPr>
      <w:szCs w:val="24"/>
      <w:lang w:eastAsia="lv-LV"/>
    </w:rPr>
  </w:style>
  <w:style w:type="character" w:customStyle="1" w:styleId="EE-paragr-12Char">
    <w:name w:val="EE-paragr-12 Char"/>
    <w:link w:val="EE-paragr-12"/>
    <w:uiPriority w:val="99"/>
    <w:locked/>
    <w:rsid w:val="002001C6"/>
    <w:rPr>
      <w:sz w:val="24"/>
      <w:szCs w:val="24"/>
    </w:rPr>
  </w:style>
  <w:style w:type="paragraph" w:customStyle="1" w:styleId="EE-paragr-12">
    <w:name w:val="EE-paragr-12"/>
    <w:basedOn w:val="Normal"/>
    <w:link w:val="EE-paragr-12Char"/>
    <w:uiPriority w:val="99"/>
    <w:rsid w:val="002001C6"/>
    <w:rPr>
      <w:rFonts w:ascii="Calibri" w:eastAsia="Calibri" w:hAnsi="Calibri"/>
      <w:szCs w:val="24"/>
      <w:lang w:eastAsia="lv-LV"/>
    </w:rPr>
  </w:style>
  <w:style w:type="character" w:customStyle="1" w:styleId="st">
    <w:name w:val="st"/>
    <w:basedOn w:val="DefaultParagraphFont"/>
    <w:rsid w:val="00EC5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46A"/>
    <w:pPr>
      <w:jc w:val="both"/>
    </w:pPr>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FF4209"/>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FF4209"/>
    <w:pPr>
      <w:keepNext/>
      <w:spacing w:before="240" w:after="60"/>
      <w:jc w:val="left"/>
      <w:outlineLvl w:val="1"/>
    </w:pPr>
    <w:rPr>
      <w:rFonts w:ascii="Arial" w:hAnsi="Arial"/>
      <w:b/>
      <w:bCs/>
      <w:i/>
      <w:iCs/>
      <w:sz w:val="28"/>
      <w:szCs w:val="28"/>
      <w:lang w:val="x-none" w:eastAsia="x-none"/>
    </w:rPr>
  </w:style>
  <w:style w:type="paragraph" w:styleId="Heading3">
    <w:name w:val="heading 3"/>
    <w:basedOn w:val="Normal"/>
    <w:next w:val="Normal"/>
    <w:link w:val="Heading3Char"/>
    <w:uiPriority w:val="9"/>
    <w:semiHidden/>
    <w:unhideWhenUsed/>
    <w:qFormat/>
    <w:rsid w:val="00FF4209"/>
    <w:pPr>
      <w:keepNext/>
      <w:keepLines/>
      <w:spacing w:before="200"/>
      <w:outlineLvl w:val="2"/>
    </w:pPr>
    <w:rPr>
      <w:rFonts w:ascii="Cambria"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4209"/>
    <w:rPr>
      <w:rFonts w:ascii="Cambria" w:eastAsia="Times New Roman" w:hAnsi="Cambria" w:cs="DokChampa"/>
      <w:b/>
      <w:bCs/>
      <w:kern w:val="32"/>
      <w:sz w:val="32"/>
      <w:szCs w:val="32"/>
    </w:rPr>
  </w:style>
  <w:style w:type="character" w:customStyle="1" w:styleId="Heading2Char">
    <w:name w:val="Heading 2 Char"/>
    <w:link w:val="Heading2"/>
    <w:rsid w:val="00FF4209"/>
    <w:rPr>
      <w:rFonts w:ascii="Arial" w:eastAsia="Times New Roman" w:hAnsi="Arial" w:cs="Arial"/>
      <w:b/>
      <w:bCs/>
      <w:i/>
      <w:iCs/>
      <w:sz w:val="28"/>
      <w:szCs w:val="28"/>
    </w:rPr>
  </w:style>
  <w:style w:type="character" w:customStyle="1" w:styleId="Heading3Char">
    <w:name w:val="Heading 3 Char"/>
    <w:link w:val="Heading3"/>
    <w:uiPriority w:val="9"/>
    <w:semiHidden/>
    <w:rsid w:val="00FF4209"/>
    <w:rPr>
      <w:rFonts w:ascii="Cambria" w:eastAsia="Times New Roman" w:hAnsi="Cambria" w:cs="Times New Roman"/>
      <w:b/>
      <w:bCs/>
      <w:color w:val="4F81BD"/>
      <w:sz w:val="24"/>
      <w:szCs w:val="20"/>
    </w:rPr>
  </w:style>
  <w:style w:type="paragraph" w:styleId="Header">
    <w:name w:val="header"/>
    <w:basedOn w:val="Normal"/>
    <w:link w:val="HeaderChar"/>
    <w:uiPriority w:val="99"/>
    <w:rsid w:val="00FF4209"/>
    <w:pPr>
      <w:tabs>
        <w:tab w:val="center" w:pos="4153"/>
        <w:tab w:val="right" w:pos="8306"/>
      </w:tabs>
      <w:jc w:val="left"/>
    </w:pPr>
    <w:rPr>
      <w:szCs w:val="24"/>
      <w:lang w:val="en-GB" w:eastAsia="x-none"/>
    </w:rPr>
  </w:style>
  <w:style w:type="character" w:customStyle="1" w:styleId="HeaderChar">
    <w:name w:val="Header Char"/>
    <w:link w:val="Header"/>
    <w:uiPriority w:val="99"/>
    <w:rsid w:val="00FF4209"/>
    <w:rPr>
      <w:rFonts w:ascii="Times New Roman" w:eastAsia="Times New Roman" w:hAnsi="Times New Roman" w:cs="Times New Roman"/>
      <w:sz w:val="24"/>
      <w:szCs w:val="24"/>
      <w:lang w:val="en-GB"/>
    </w:rPr>
  </w:style>
  <w:style w:type="character" w:styleId="Hyperlink">
    <w:name w:val="Hyperlink"/>
    <w:uiPriority w:val="99"/>
    <w:rsid w:val="00FF4209"/>
    <w:rPr>
      <w:rFonts w:ascii="Arial" w:hAnsi="Arial" w:cs="Arial" w:hint="default"/>
      <w:strike w:val="0"/>
      <w:dstrike w:val="0"/>
      <w:color w:val="189B70"/>
      <w:sz w:val="18"/>
      <w:szCs w:val="18"/>
      <w:u w:val="none"/>
      <w:effect w:val="none"/>
    </w:rPr>
  </w:style>
  <w:style w:type="paragraph" w:styleId="BalloonText">
    <w:name w:val="Balloon Text"/>
    <w:basedOn w:val="Normal"/>
    <w:link w:val="BalloonTextChar"/>
    <w:semiHidden/>
    <w:rsid w:val="00FF4209"/>
    <w:rPr>
      <w:rFonts w:ascii="Tahoma" w:hAnsi="Tahoma"/>
      <w:sz w:val="16"/>
      <w:szCs w:val="16"/>
      <w:lang w:val="x-none" w:eastAsia="x-none"/>
    </w:rPr>
  </w:style>
  <w:style w:type="character" w:customStyle="1" w:styleId="BalloonTextChar">
    <w:name w:val="Balloon Text Char"/>
    <w:link w:val="BalloonText"/>
    <w:semiHidden/>
    <w:rsid w:val="00FF4209"/>
    <w:rPr>
      <w:rFonts w:ascii="Tahoma" w:eastAsia="Times New Roman" w:hAnsi="Tahoma" w:cs="Tahoma"/>
      <w:sz w:val="16"/>
      <w:szCs w:val="16"/>
    </w:rPr>
  </w:style>
  <w:style w:type="paragraph" w:styleId="NormalWeb">
    <w:name w:val="Normal (Web)"/>
    <w:basedOn w:val="Normal"/>
    <w:uiPriority w:val="99"/>
    <w:rsid w:val="00FF4209"/>
    <w:pPr>
      <w:spacing w:before="100" w:beforeAutospacing="1" w:after="100" w:afterAutospacing="1"/>
      <w:jc w:val="left"/>
    </w:pPr>
    <w:rPr>
      <w:szCs w:val="24"/>
      <w:lang w:val="en-GB"/>
    </w:rPr>
  </w:style>
  <w:style w:type="character" w:styleId="Strong">
    <w:name w:val="Strong"/>
    <w:uiPriority w:val="22"/>
    <w:qFormat/>
    <w:rsid w:val="00FF4209"/>
    <w:rPr>
      <w:b/>
      <w:bCs/>
    </w:rPr>
  </w:style>
  <w:style w:type="paragraph" w:styleId="Title">
    <w:name w:val="Title"/>
    <w:basedOn w:val="Normal"/>
    <w:link w:val="TitleChar"/>
    <w:uiPriority w:val="10"/>
    <w:qFormat/>
    <w:rsid w:val="00FF4209"/>
    <w:pPr>
      <w:jc w:val="center"/>
    </w:pPr>
    <w:rPr>
      <w:b/>
      <w:sz w:val="28"/>
      <w:szCs w:val="28"/>
      <w:lang w:val="x-none" w:eastAsia="x-none"/>
    </w:rPr>
  </w:style>
  <w:style w:type="character" w:customStyle="1" w:styleId="TitleChar">
    <w:name w:val="Title Char"/>
    <w:link w:val="Title"/>
    <w:uiPriority w:val="10"/>
    <w:rsid w:val="00FF4209"/>
    <w:rPr>
      <w:rFonts w:ascii="Times New Roman" w:eastAsia="Times New Roman" w:hAnsi="Times New Roman" w:cs="Times New Roman"/>
      <w:b/>
      <w:sz w:val="28"/>
      <w:szCs w:val="28"/>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
    <w:basedOn w:val="Normal"/>
    <w:link w:val="FootnoteTextChar"/>
    <w:uiPriority w:val="99"/>
    <w:rsid w:val="00FF4209"/>
    <w:rPr>
      <w:sz w:val="20"/>
      <w:lang w:val="x-none" w:eastAsia="x-none"/>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
    <w:link w:val="FootnoteText"/>
    <w:uiPriority w:val="99"/>
    <w:rsid w:val="00FF4209"/>
    <w:rPr>
      <w:rFonts w:ascii="Times New Roman" w:eastAsia="Times New Roman" w:hAnsi="Times New Roman" w:cs="Times New Roman"/>
      <w:sz w:val="20"/>
      <w:szCs w:val="20"/>
    </w:rPr>
  </w:style>
  <w:style w:type="character" w:styleId="FootnoteReference">
    <w:name w:val="footnote reference"/>
    <w:aliases w:val="Footnote Reference Number,Footnote symbol"/>
    <w:rsid w:val="00FF4209"/>
    <w:rPr>
      <w:vertAlign w:val="superscript"/>
    </w:rPr>
  </w:style>
  <w:style w:type="paragraph" w:styleId="Footer">
    <w:name w:val="footer"/>
    <w:basedOn w:val="Normal"/>
    <w:link w:val="FooterChar"/>
    <w:uiPriority w:val="99"/>
    <w:rsid w:val="00FF4209"/>
    <w:pPr>
      <w:tabs>
        <w:tab w:val="center" w:pos="4153"/>
        <w:tab w:val="right" w:pos="8306"/>
      </w:tabs>
    </w:pPr>
    <w:rPr>
      <w:lang w:val="x-none" w:eastAsia="x-none"/>
    </w:rPr>
  </w:style>
  <w:style w:type="character" w:customStyle="1" w:styleId="FooterChar">
    <w:name w:val="Footer Char"/>
    <w:link w:val="Footer"/>
    <w:uiPriority w:val="99"/>
    <w:rsid w:val="00FF4209"/>
    <w:rPr>
      <w:rFonts w:ascii="Times New Roman" w:eastAsia="Times New Roman" w:hAnsi="Times New Roman" w:cs="Times New Roman"/>
      <w:sz w:val="24"/>
      <w:szCs w:val="20"/>
    </w:rPr>
  </w:style>
  <w:style w:type="character" w:styleId="PageNumber">
    <w:name w:val="page number"/>
    <w:basedOn w:val="DefaultParagraphFont"/>
    <w:rsid w:val="00FF4209"/>
  </w:style>
  <w:style w:type="character" w:styleId="FollowedHyperlink">
    <w:name w:val="FollowedHyperlink"/>
    <w:rsid w:val="00FF4209"/>
    <w:rPr>
      <w:color w:val="800080"/>
      <w:u w:val="single"/>
    </w:rPr>
  </w:style>
  <w:style w:type="character" w:styleId="Emphasis">
    <w:name w:val="Emphasis"/>
    <w:uiPriority w:val="20"/>
    <w:qFormat/>
    <w:rsid w:val="00FF4209"/>
    <w:rPr>
      <w:i/>
      <w:iCs/>
    </w:rPr>
  </w:style>
  <w:style w:type="paragraph" w:customStyle="1" w:styleId="RakstzRakstz">
    <w:name w:val="Rakstz. Rakstz."/>
    <w:basedOn w:val="Normal"/>
    <w:next w:val="BlockText"/>
    <w:rsid w:val="00FF4209"/>
    <w:pPr>
      <w:spacing w:before="120" w:after="160" w:line="240" w:lineRule="exact"/>
      <w:ind w:firstLine="720"/>
    </w:pPr>
    <w:rPr>
      <w:rFonts w:ascii="Verdana" w:hAnsi="Verdana"/>
      <w:sz w:val="20"/>
      <w:lang w:val="en-US"/>
    </w:rPr>
  </w:style>
  <w:style w:type="paragraph" w:styleId="BlockText">
    <w:name w:val="Block Text"/>
    <w:basedOn w:val="Normal"/>
    <w:rsid w:val="00FF4209"/>
    <w:pPr>
      <w:spacing w:after="120"/>
      <w:ind w:left="1440" w:right="1440"/>
    </w:pPr>
  </w:style>
  <w:style w:type="paragraph" w:customStyle="1" w:styleId="CharChar2Char">
    <w:name w:val="Char Char2 Char"/>
    <w:basedOn w:val="Normal"/>
    <w:rsid w:val="00FF4209"/>
    <w:pPr>
      <w:spacing w:before="40"/>
      <w:jc w:val="left"/>
    </w:pPr>
    <w:rPr>
      <w:szCs w:val="24"/>
      <w:lang w:val="pl-PL" w:eastAsia="pl-PL"/>
    </w:rPr>
  </w:style>
  <w:style w:type="paragraph" w:styleId="BodyText">
    <w:name w:val="Body Text"/>
    <w:basedOn w:val="Normal"/>
    <w:link w:val="BodyTextChar"/>
    <w:rsid w:val="00FF4209"/>
    <w:pPr>
      <w:jc w:val="left"/>
    </w:pPr>
    <w:rPr>
      <w:b/>
      <w:bCs/>
      <w:szCs w:val="24"/>
      <w:lang w:val="en-GB" w:eastAsia="x-none"/>
    </w:rPr>
  </w:style>
  <w:style w:type="character" w:customStyle="1" w:styleId="BodyTextChar">
    <w:name w:val="Body Text Char"/>
    <w:link w:val="BodyText"/>
    <w:rsid w:val="00FF4209"/>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rsid w:val="00FF4209"/>
    <w:pPr>
      <w:spacing w:after="120"/>
      <w:ind w:left="283"/>
    </w:pPr>
    <w:rPr>
      <w:lang w:val="x-none" w:eastAsia="x-none"/>
    </w:rPr>
  </w:style>
  <w:style w:type="character" w:customStyle="1" w:styleId="BodyTextIndentChar">
    <w:name w:val="Body Text Indent Char"/>
    <w:link w:val="BodyTextIndent"/>
    <w:rsid w:val="00FF4209"/>
    <w:rPr>
      <w:rFonts w:ascii="Times New Roman" w:eastAsia="Times New Roman" w:hAnsi="Times New Roman" w:cs="Times New Roman"/>
      <w:sz w:val="24"/>
      <w:szCs w:val="20"/>
    </w:rPr>
  </w:style>
  <w:style w:type="paragraph" w:customStyle="1" w:styleId="CharCharCharCharChar">
    <w:name w:val="Char Char Char Char Char"/>
    <w:basedOn w:val="Normal"/>
    <w:next w:val="BlockText"/>
    <w:rsid w:val="00FF4209"/>
    <w:pPr>
      <w:spacing w:before="120" w:after="160" w:line="240" w:lineRule="exact"/>
      <w:ind w:firstLine="720"/>
    </w:pPr>
    <w:rPr>
      <w:rFonts w:ascii="Verdana" w:hAnsi="Verdana"/>
      <w:sz w:val="20"/>
      <w:lang w:val="en-US"/>
    </w:rPr>
  </w:style>
  <w:style w:type="paragraph" w:customStyle="1" w:styleId="CharChar1">
    <w:name w:val="Char Char1"/>
    <w:basedOn w:val="Normal"/>
    <w:next w:val="BlockText"/>
    <w:rsid w:val="00FF4209"/>
    <w:pPr>
      <w:spacing w:before="120" w:after="160" w:line="240" w:lineRule="exact"/>
      <w:ind w:firstLine="720"/>
    </w:pPr>
    <w:rPr>
      <w:rFonts w:ascii="Verdana" w:hAnsi="Verdana"/>
      <w:sz w:val="20"/>
      <w:lang w:val="en-US"/>
    </w:rPr>
  </w:style>
  <w:style w:type="character" w:styleId="CommentReference">
    <w:name w:val="annotation reference"/>
    <w:rsid w:val="00FF4209"/>
    <w:rPr>
      <w:sz w:val="16"/>
      <w:szCs w:val="16"/>
    </w:rPr>
  </w:style>
  <w:style w:type="paragraph" w:styleId="CommentText">
    <w:name w:val="annotation text"/>
    <w:basedOn w:val="Normal"/>
    <w:link w:val="CommentTextChar"/>
    <w:rsid w:val="00FF4209"/>
    <w:rPr>
      <w:sz w:val="20"/>
      <w:lang w:val="x-none" w:eastAsia="x-none"/>
    </w:rPr>
  </w:style>
  <w:style w:type="character" w:customStyle="1" w:styleId="CommentTextChar">
    <w:name w:val="Comment Text Char"/>
    <w:link w:val="CommentText"/>
    <w:uiPriority w:val="99"/>
    <w:semiHidden/>
    <w:rsid w:val="00FF42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4209"/>
    <w:rPr>
      <w:b/>
      <w:bCs/>
    </w:rPr>
  </w:style>
  <w:style w:type="character" w:customStyle="1" w:styleId="CommentSubjectChar">
    <w:name w:val="Comment Subject Char"/>
    <w:link w:val="CommentSubject"/>
    <w:semiHidden/>
    <w:rsid w:val="00FF4209"/>
    <w:rPr>
      <w:rFonts w:ascii="Times New Roman" w:eastAsia="Times New Roman" w:hAnsi="Times New Roman" w:cs="Times New Roman"/>
      <w:b/>
      <w:bCs/>
      <w:sz w:val="20"/>
      <w:szCs w:val="20"/>
    </w:rPr>
  </w:style>
  <w:style w:type="paragraph" w:customStyle="1" w:styleId="Norm">
    <w:name w:val="Norm"/>
    <w:basedOn w:val="Normal"/>
    <w:autoRedefine/>
    <w:rsid w:val="00FF4209"/>
    <w:pPr>
      <w:tabs>
        <w:tab w:val="num" w:pos="1080"/>
      </w:tabs>
      <w:ind w:left="1080" w:hanging="360"/>
    </w:pPr>
    <w:rPr>
      <w:sz w:val="28"/>
      <w:szCs w:val="28"/>
    </w:rPr>
  </w:style>
  <w:style w:type="paragraph" w:styleId="BodyText2">
    <w:name w:val="Body Text 2"/>
    <w:basedOn w:val="Normal"/>
    <w:link w:val="BodyText2Char"/>
    <w:rsid w:val="00FF4209"/>
    <w:pPr>
      <w:spacing w:after="120" w:line="480" w:lineRule="auto"/>
      <w:jc w:val="left"/>
    </w:pPr>
    <w:rPr>
      <w:szCs w:val="24"/>
      <w:lang w:val="x-none" w:eastAsia="x-none"/>
    </w:rPr>
  </w:style>
  <w:style w:type="character" w:customStyle="1" w:styleId="BodyText2Char">
    <w:name w:val="Body Text 2 Char"/>
    <w:link w:val="BodyText2"/>
    <w:rsid w:val="00FF4209"/>
    <w:rPr>
      <w:rFonts w:ascii="Times New Roman" w:eastAsia="Times New Roman" w:hAnsi="Times New Roman" w:cs="Times New Roman"/>
      <w:sz w:val="24"/>
      <w:szCs w:val="24"/>
    </w:rPr>
  </w:style>
  <w:style w:type="paragraph" w:styleId="BodyText3">
    <w:name w:val="Body Text 3"/>
    <w:basedOn w:val="Normal"/>
    <w:link w:val="BodyText3Char"/>
    <w:rsid w:val="00FF4209"/>
    <w:pPr>
      <w:spacing w:after="120"/>
      <w:jc w:val="left"/>
    </w:pPr>
    <w:rPr>
      <w:sz w:val="16"/>
      <w:szCs w:val="16"/>
      <w:lang w:val="x-none" w:eastAsia="lv-LV"/>
    </w:rPr>
  </w:style>
  <w:style w:type="character" w:customStyle="1" w:styleId="BodyText3Char">
    <w:name w:val="Body Text 3 Char"/>
    <w:link w:val="BodyText3"/>
    <w:rsid w:val="00FF4209"/>
    <w:rPr>
      <w:rFonts w:ascii="Times New Roman" w:eastAsia="Times New Roman" w:hAnsi="Times New Roman" w:cs="Times New Roman"/>
      <w:sz w:val="16"/>
      <w:szCs w:val="16"/>
      <w:lang w:eastAsia="lv-LV"/>
    </w:rPr>
  </w:style>
  <w:style w:type="paragraph" w:customStyle="1" w:styleId="mkh">
    <w:name w:val="mkh"/>
    <w:basedOn w:val="Normal"/>
    <w:rsid w:val="00FF4209"/>
    <w:pPr>
      <w:spacing w:after="120"/>
      <w:ind w:firstLine="720"/>
      <w:jc w:val="center"/>
    </w:pPr>
    <w:rPr>
      <w:b/>
      <w:bCs/>
      <w:sz w:val="28"/>
      <w:szCs w:val="28"/>
      <w:lang w:eastAsia="lv-LV"/>
    </w:rPr>
  </w:style>
  <w:style w:type="paragraph" w:customStyle="1" w:styleId="CharChar2CharCharCharChar">
    <w:name w:val="Char Char2 Char Char Char Char"/>
    <w:basedOn w:val="Normal"/>
    <w:rsid w:val="00FF4209"/>
    <w:pPr>
      <w:spacing w:before="40"/>
      <w:jc w:val="left"/>
    </w:pPr>
    <w:rPr>
      <w:szCs w:val="24"/>
      <w:lang w:val="pl-PL" w:eastAsia="pl-PL"/>
    </w:rPr>
  </w:style>
  <w:style w:type="paragraph" w:customStyle="1" w:styleId="CharChar2CharCharCharCharChar">
    <w:name w:val="Char Char2 Char Char Char Char Char"/>
    <w:basedOn w:val="Normal"/>
    <w:rsid w:val="00FF4209"/>
    <w:pPr>
      <w:spacing w:before="40"/>
      <w:jc w:val="left"/>
    </w:pPr>
    <w:rPr>
      <w:szCs w:val="24"/>
      <w:lang w:val="pl-PL" w:eastAsia="pl-PL"/>
    </w:rPr>
  </w:style>
  <w:style w:type="paragraph" w:styleId="NoSpacing">
    <w:name w:val="No Spacing"/>
    <w:uiPriority w:val="1"/>
    <w:qFormat/>
    <w:rsid w:val="00FF4209"/>
    <w:rPr>
      <w:rFonts w:ascii="Times New Roman" w:hAnsi="Times New Roman"/>
      <w:sz w:val="24"/>
      <w:szCs w:val="24"/>
    </w:rPr>
  </w:style>
  <w:style w:type="paragraph" w:customStyle="1" w:styleId="naiskr">
    <w:name w:val="naiskr"/>
    <w:basedOn w:val="Normal"/>
    <w:rsid w:val="00FF4209"/>
    <w:pPr>
      <w:spacing w:before="100" w:beforeAutospacing="1" w:after="100" w:afterAutospacing="1"/>
      <w:jc w:val="left"/>
    </w:pPr>
    <w:rPr>
      <w:szCs w:val="24"/>
      <w:lang w:eastAsia="lv-LV"/>
    </w:rPr>
  </w:style>
  <w:style w:type="paragraph" w:styleId="BodyTextIndent2">
    <w:name w:val="Body Text Indent 2"/>
    <w:basedOn w:val="Normal"/>
    <w:link w:val="BodyTextIndent2Char"/>
    <w:rsid w:val="00FF4209"/>
    <w:pPr>
      <w:spacing w:after="120" w:line="480" w:lineRule="auto"/>
      <w:ind w:left="283"/>
    </w:pPr>
    <w:rPr>
      <w:lang w:val="x-none" w:eastAsia="x-none"/>
    </w:rPr>
  </w:style>
  <w:style w:type="character" w:customStyle="1" w:styleId="BodyTextIndent2Char">
    <w:name w:val="Body Text Indent 2 Char"/>
    <w:link w:val="BodyTextIndent2"/>
    <w:rsid w:val="00FF4209"/>
    <w:rPr>
      <w:rFonts w:ascii="Times New Roman" w:eastAsia="Times New Roman" w:hAnsi="Times New Roman" w:cs="Times New Roman"/>
      <w:sz w:val="24"/>
      <w:szCs w:val="20"/>
    </w:rPr>
  </w:style>
  <w:style w:type="paragraph" w:customStyle="1" w:styleId="RakstzCharCharRakstzCharCharRakstzCharCharRakstzCharChar">
    <w:name w:val="Rakstz. Char Char Rakstz. Char Char Rakstz. Char Char Rakstz. Char Char"/>
    <w:basedOn w:val="Normal"/>
    <w:rsid w:val="00FF4209"/>
    <w:pPr>
      <w:spacing w:after="160" w:line="240" w:lineRule="exact"/>
      <w:jc w:val="left"/>
    </w:pPr>
    <w:rPr>
      <w:rFonts w:ascii="Tahoma" w:hAnsi="Tahoma"/>
      <w:sz w:val="20"/>
      <w:lang w:val="en-US"/>
    </w:rPr>
  </w:style>
  <w:style w:type="paragraph" w:customStyle="1" w:styleId="msolistparagraph0">
    <w:name w:val="msolistparagraph"/>
    <w:basedOn w:val="Normal"/>
    <w:rsid w:val="00FF4209"/>
    <w:pPr>
      <w:ind w:left="720"/>
      <w:jc w:val="left"/>
    </w:pPr>
    <w:rPr>
      <w:szCs w:val="24"/>
      <w:lang w:eastAsia="lv-LV"/>
    </w:rPr>
  </w:style>
  <w:style w:type="paragraph" w:customStyle="1" w:styleId="NChar1CharCharCharCharChar">
    <w:name w:val="N Char1 Char Char Char Char Char"/>
    <w:basedOn w:val="Normal"/>
    <w:uiPriority w:val="99"/>
    <w:rsid w:val="00FF4209"/>
    <w:pPr>
      <w:tabs>
        <w:tab w:val="num" w:pos="0"/>
        <w:tab w:val="num" w:pos="765"/>
      </w:tabs>
      <w:spacing w:before="120"/>
      <w:ind w:left="765" w:hanging="720"/>
    </w:pPr>
    <w:rPr>
      <w:iCs/>
      <w:sz w:val="22"/>
      <w:szCs w:val="16"/>
      <w:lang w:eastAsia="lv-LV"/>
    </w:rPr>
  </w:style>
  <w:style w:type="character" w:customStyle="1" w:styleId="textsCharChar">
    <w:name w:val="texts Char Char"/>
    <w:aliases w:val="texts Char Char1,texts Char Char2,texts Char Char3"/>
    <w:rsid w:val="00FF4209"/>
    <w:rPr>
      <w:sz w:val="24"/>
      <w:szCs w:val="24"/>
      <w:lang w:val="en-GB" w:eastAsia="en-US" w:bidi="ar-SA"/>
    </w:rPr>
  </w:style>
  <w:style w:type="paragraph" w:styleId="ListParagraph">
    <w:name w:val="List Paragraph"/>
    <w:basedOn w:val="Normal"/>
    <w:uiPriority w:val="34"/>
    <w:qFormat/>
    <w:rsid w:val="00FF4209"/>
    <w:pPr>
      <w:spacing w:after="200" w:line="276" w:lineRule="auto"/>
      <w:ind w:left="720"/>
      <w:contextualSpacing/>
      <w:jc w:val="left"/>
    </w:pPr>
    <w:rPr>
      <w:rFonts w:ascii="Calibri" w:eastAsia="Calibri" w:hAnsi="Calibri"/>
      <w:sz w:val="22"/>
      <w:szCs w:val="22"/>
    </w:rPr>
  </w:style>
  <w:style w:type="paragraph" w:customStyle="1" w:styleId="CharCharCharCharCharCharCharChar">
    <w:name w:val="Char Char Char Char Char Char Char Char"/>
    <w:basedOn w:val="Normal"/>
    <w:next w:val="BlockText"/>
    <w:rsid w:val="00FF4209"/>
    <w:pPr>
      <w:spacing w:before="120" w:after="160" w:line="240" w:lineRule="exact"/>
      <w:ind w:firstLine="720"/>
    </w:pPr>
    <w:rPr>
      <w:rFonts w:ascii="Verdana" w:hAnsi="Verdana"/>
      <w:sz w:val="20"/>
      <w:lang w:val="en-US"/>
    </w:rPr>
  </w:style>
  <w:style w:type="paragraph" w:customStyle="1" w:styleId="naisf">
    <w:name w:val="naisf"/>
    <w:basedOn w:val="Normal"/>
    <w:link w:val="naisfChar"/>
    <w:rsid w:val="00FF4209"/>
    <w:pPr>
      <w:spacing w:before="100" w:beforeAutospacing="1" w:after="100" w:afterAutospacing="1"/>
      <w:jc w:val="left"/>
    </w:pPr>
    <w:rPr>
      <w:szCs w:val="24"/>
      <w:lang w:val="x-none" w:eastAsia="x-none"/>
    </w:rPr>
  </w:style>
  <w:style w:type="character" w:customStyle="1" w:styleId="naisfChar">
    <w:name w:val="naisf Char"/>
    <w:link w:val="naisf"/>
    <w:rsid w:val="00FF4209"/>
    <w:rPr>
      <w:rFonts w:ascii="Times New Roman" w:eastAsia="Times New Roman" w:hAnsi="Times New Roman" w:cs="Times New Roman"/>
      <w:sz w:val="24"/>
      <w:szCs w:val="24"/>
    </w:rPr>
  </w:style>
  <w:style w:type="paragraph" w:customStyle="1" w:styleId="Rakstz">
    <w:name w:val="Rakstz."/>
    <w:basedOn w:val="Normal"/>
    <w:rsid w:val="00FF4209"/>
    <w:pPr>
      <w:spacing w:before="40"/>
      <w:jc w:val="left"/>
    </w:pPr>
    <w:rPr>
      <w:szCs w:val="24"/>
      <w:lang w:val="pl-PL" w:eastAsia="pl-PL"/>
    </w:rPr>
  </w:style>
  <w:style w:type="paragraph" w:customStyle="1" w:styleId="Bullet1Rakstz">
    <w:name w:val="Bullet 1 Rakstz."/>
    <w:basedOn w:val="Normal"/>
    <w:rsid w:val="00FF4209"/>
    <w:pPr>
      <w:numPr>
        <w:numId w:val="1"/>
      </w:numPr>
      <w:snapToGrid w:val="0"/>
      <w:spacing w:before="20" w:line="288" w:lineRule="auto"/>
    </w:pPr>
    <w:rPr>
      <w:rFonts w:eastAsia="Calibri"/>
      <w:szCs w:val="24"/>
      <w:lang w:val="en-GB" w:eastAsia="en-GB"/>
    </w:rPr>
  </w:style>
  <w:style w:type="paragraph" w:customStyle="1" w:styleId="naisnod">
    <w:name w:val="naisnod"/>
    <w:basedOn w:val="Normal"/>
    <w:rsid w:val="00FF4209"/>
    <w:pPr>
      <w:spacing w:before="100" w:beforeAutospacing="1" w:after="100" w:afterAutospacing="1"/>
      <w:jc w:val="left"/>
    </w:pPr>
    <w:rPr>
      <w:rFonts w:eastAsia="Calibri"/>
      <w:szCs w:val="24"/>
      <w:lang w:eastAsia="lv-LV"/>
    </w:rPr>
  </w:style>
  <w:style w:type="table" w:styleId="TableGrid">
    <w:name w:val="Table Grid"/>
    <w:basedOn w:val="TableNormal"/>
    <w:uiPriority w:val="59"/>
    <w:rsid w:val="00FF420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F4209"/>
    <w:pPr>
      <w:autoSpaceDE w:val="0"/>
      <w:autoSpaceDN w:val="0"/>
      <w:adjustRightInd w:val="0"/>
    </w:pPr>
    <w:rPr>
      <w:rFonts w:ascii="Times New Roman" w:hAnsi="Times New Roman"/>
      <w:color w:val="000000"/>
      <w:sz w:val="24"/>
      <w:szCs w:val="24"/>
    </w:rPr>
  </w:style>
  <w:style w:type="character" w:customStyle="1" w:styleId="skypetbinnertext">
    <w:name w:val="skype_tb_innertext"/>
    <w:basedOn w:val="DefaultParagraphFont"/>
    <w:rsid w:val="00FF4209"/>
  </w:style>
  <w:style w:type="character" w:customStyle="1" w:styleId="spelle">
    <w:name w:val="spelle"/>
    <w:basedOn w:val="DefaultParagraphFont"/>
    <w:rsid w:val="00FF4209"/>
  </w:style>
  <w:style w:type="paragraph" w:customStyle="1" w:styleId="Normal1">
    <w:name w:val="Normal1"/>
    <w:basedOn w:val="Normal"/>
    <w:rsid w:val="00FF4209"/>
    <w:pPr>
      <w:spacing w:before="100" w:beforeAutospacing="1" w:after="100" w:afterAutospacing="1"/>
      <w:jc w:val="left"/>
    </w:pPr>
    <w:rPr>
      <w:szCs w:val="24"/>
      <w:lang w:val="en-US"/>
    </w:rPr>
  </w:style>
  <w:style w:type="paragraph" w:customStyle="1" w:styleId="1lmenis">
    <w:name w:val="1.līmenis"/>
    <w:basedOn w:val="Heading1"/>
    <w:link w:val="1lmenisChar"/>
    <w:qFormat/>
    <w:rsid w:val="00FF4209"/>
    <w:pPr>
      <w:numPr>
        <w:numId w:val="2"/>
      </w:numPr>
    </w:pPr>
    <w:rPr>
      <w:sz w:val="36"/>
      <w:szCs w:val="30"/>
    </w:rPr>
  </w:style>
  <w:style w:type="paragraph" w:customStyle="1" w:styleId="2lmenis">
    <w:name w:val="2.līmenis"/>
    <w:basedOn w:val="Heading2"/>
    <w:link w:val="2lmenisChar"/>
    <w:qFormat/>
    <w:rsid w:val="00FF4209"/>
    <w:pPr>
      <w:ind w:left="720"/>
    </w:pPr>
    <w:rPr>
      <w:rFonts w:ascii="Times New Roman" w:hAnsi="Times New Roman"/>
      <w:bCs w:val="0"/>
      <w:i w:val="0"/>
    </w:rPr>
  </w:style>
  <w:style w:type="character" w:customStyle="1" w:styleId="1lmenisChar">
    <w:name w:val="1.līmenis Char"/>
    <w:link w:val="1lmenis"/>
    <w:rsid w:val="00FF4209"/>
    <w:rPr>
      <w:rFonts w:ascii="Cambria" w:eastAsia="Times New Roman" w:hAnsi="Cambria"/>
      <w:b/>
      <w:bCs/>
      <w:kern w:val="32"/>
      <w:sz w:val="36"/>
      <w:szCs w:val="30"/>
      <w:lang w:val="x-none" w:eastAsia="x-none"/>
    </w:rPr>
  </w:style>
  <w:style w:type="paragraph" w:customStyle="1" w:styleId="3lmenis">
    <w:name w:val="3.līmenis"/>
    <w:basedOn w:val="Normal"/>
    <w:link w:val="3lmenisChar"/>
    <w:qFormat/>
    <w:rsid w:val="00FF4209"/>
    <w:pPr>
      <w:spacing w:before="120" w:after="120" w:line="276" w:lineRule="auto"/>
      <w:ind w:left="720"/>
    </w:pPr>
    <w:rPr>
      <w:b/>
      <w:bCs/>
      <w:szCs w:val="24"/>
      <w:u w:val="single"/>
      <w:lang w:val="x-none" w:eastAsia="x-none"/>
    </w:rPr>
  </w:style>
  <w:style w:type="character" w:customStyle="1" w:styleId="2lmenisChar">
    <w:name w:val="2.līmenis Char"/>
    <w:link w:val="2lmenis"/>
    <w:rsid w:val="00FF4209"/>
    <w:rPr>
      <w:rFonts w:ascii="Times New Roman" w:eastAsia="Times New Roman" w:hAnsi="Times New Roman" w:cs="Arial"/>
      <w:b/>
      <w:iCs/>
      <w:sz w:val="28"/>
      <w:szCs w:val="28"/>
    </w:rPr>
  </w:style>
  <w:style w:type="character" w:customStyle="1" w:styleId="3lmenisChar">
    <w:name w:val="3.līmenis Char"/>
    <w:link w:val="3lmenis"/>
    <w:rsid w:val="00FF4209"/>
    <w:rPr>
      <w:rFonts w:ascii="Times New Roman" w:eastAsia="Times New Roman" w:hAnsi="Times New Roman" w:cs="Times New Roman"/>
      <w:b/>
      <w:bCs/>
      <w:sz w:val="24"/>
      <w:szCs w:val="24"/>
      <w:u w:val="single"/>
    </w:rPr>
  </w:style>
  <w:style w:type="paragraph" w:styleId="TOCHeading">
    <w:name w:val="TOC Heading"/>
    <w:basedOn w:val="Heading1"/>
    <w:next w:val="Normal"/>
    <w:uiPriority w:val="39"/>
    <w:unhideWhenUsed/>
    <w:qFormat/>
    <w:rsid w:val="00FF4209"/>
    <w:pPr>
      <w:keepLines/>
      <w:spacing w:before="480" w:after="0" w:line="276" w:lineRule="auto"/>
      <w:jc w:val="left"/>
      <w:outlineLvl w:val="9"/>
    </w:pPr>
    <w:rPr>
      <w:color w:val="365F91"/>
      <w:kern w:val="0"/>
      <w:sz w:val="28"/>
      <w:szCs w:val="28"/>
      <w:lang w:val="en-US"/>
    </w:rPr>
  </w:style>
  <w:style w:type="paragraph" w:styleId="TOC1">
    <w:name w:val="toc 1"/>
    <w:basedOn w:val="Normal"/>
    <w:next w:val="Normal"/>
    <w:autoRedefine/>
    <w:uiPriority w:val="39"/>
    <w:unhideWhenUsed/>
    <w:qFormat/>
    <w:rsid w:val="00982E97"/>
    <w:pPr>
      <w:tabs>
        <w:tab w:val="left" w:pos="426"/>
        <w:tab w:val="right" w:leader="dot" w:pos="9061"/>
      </w:tabs>
      <w:jc w:val="left"/>
    </w:pPr>
    <w:rPr>
      <w:rFonts w:ascii="Cambria" w:hAnsi="Cambria"/>
      <w:b/>
      <w:bCs/>
      <w:caps/>
      <w:szCs w:val="28"/>
    </w:rPr>
  </w:style>
  <w:style w:type="paragraph" w:styleId="TOC2">
    <w:name w:val="toc 2"/>
    <w:basedOn w:val="Normal"/>
    <w:next w:val="Normal"/>
    <w:autoRedefine/>
    <w:uiPriority w:val="39"/>
    <w:unhideWhenUsed/>
    <w:qFormat/>
    <w:rsid w:val="00FF4209"/>
    <w:pPr>
      <w:spacing w:before="240"/>
      <w:jc w:val="left"/>
    </w:pPr>
    <w:rPr>
      <w:rFonts w:ascii="Calibri" w:hAnsi="Calibri"/>
      <w:b/>
      <w:bCs/>
      <w:sz w:val="20"/>
      <w:szCs w:val="24"/>
    </w:rPr>
  </w:style>
  <w:style w:type="paragraph" w:styleId="TOC3">
    <w:name w:val="toc 3"/>
    <w:basedOn w:val="Normal"/>
    <w:next w:val="Normal"/>
    <w:autoRedefine/>
    <w:uiPriority w:val="39"/>
    <w:unhideWhenUsed/>
    <w:qFormat/>
    <w:rsid w:val="00FF4209"/>
    <w:pPr>
      <w:ind w:left="240"/>
      <w:jc w:val="left"/>
    </w:pPr>
    <w:rPr>
      <w:rFonts w:ascii="Calibri" w:hAnsi="Calibri"/>
      <w:sz w:val="20"/>
      <w:szCs w:val="24"/>
    </w:rPr>
  </w:style>
  <w:style w:type="paragraph" w:styleId="TOC4">
    <w:name w:val="toc 4"/>
    <w:basedOn w:val="Normal"/>
    <w:next w:val="Normal"/>
    <w:autoRedefine/>
    <w:uiPriority w:val="39"/>
    <w:unhideWhenUsed/>
    <w:rsid w:val="00FF4209"/>
    <w:pPr>
      <w:ind w:left="480"/>
      <w:jc w:val="left"/>
    </w:pPr>
    <w:rPr>
      <w:rFonts w:ascii="Calibri" w:hAnsi="Calibri"/>
      <w:sz w:val="20"/>
      <w:szCs w:val="24"/>
    </w:rPr>
  </w:style>
  <w:style w:type="paragraph" w:styleId="TOC5">
    <w:name w:val="toc 5"/>
    <w:basedOn w:val="Normal"/>
    <w:next w:val="Normal"/>
    <w:autoRedefine/>
    <w:uiPriority w:val="39"/>
    <w:unhideWhenUsed/>
    <w:rsid w:val="00FF4209"/>
    <w:pPr>
      <w:ind w:left="720"/>
      <w:jc w:val="left"/>
    </w:pPr>
    <w:rPr>
      <w:rFonts w:ascii="Calibri" w:hAnsi="Calibri"/>
      <w:sz w:val="20"/>
      <w:szCs w:val="24"/>
    </w:rPr>
  </w:style>
  <w:style w:type="paragraph" w:styleId="TOC6">
    <w:name w:val="toc 6"/>
    <w:basedOn w:val="Normal"/>
    <w:next w:val="Normal"/>
    <w:autoRedefine/>
    <w:uiPriority w:val="39"/>
    <w:unhideWhenUsed/>
    <w:rsid w:val="00FF4209"/>
    <w:pPr>
      <w:ind w:left="960"/>
      <w:jc w:val="left"/>
    </w:pPr>
    <w:rPr>
      <w:rFonts w:ascii="Calibri" w:hAnsi="Calibri"/>
      <w:sz w:val="20"/>
      <w:szCs w:val="24"/>
    </w:rPr>
  </w:style>
  <w:style w:type="paragraph" w:styleId="TOC7">
    <w:name w:val="toc 7"/>
    <w:basedOn w:val="Normal"/>
    <w:next w:val="Normal"/>
    <w:autoRedefine/>
    <w:uiPriority w:val="39"/>
    <w:unhideWhenUsed/>
    <w:rsid w:val="00FF4209"/>
    <w:pPr>
      <w:ind w:left="1200"/>
      <w:jc w:val="left"/>
    </w:pPr>
    <w:rPr>
      <w:rFonts w:ascii="Calibri" w:hAnsi="Calibri"/>
      <w:sz w:val="20"/>
      <w:szCs w:val="24"/>
    </w:rPr>
  </w:style>
  <w:style w:type="paragraph" w:styleId="TOC8">
    <w:name w:val="toc 8"/>
    <w:basedOn w:val="Normal"/>
    <w:next w:val="Normal"/>
    <w:autoRedefine/>
    <w:uiPriority w:val="39"/>
    <w:unhideWhenUsed/>
    <w:rsid w:val="00FF4209"/>
    <w:pPr>
      <w:ind w:left="1440"/>
      <w:jc w:val="left"/>
    </w:pPr>
    <w:rPr>
      <w:rFonts w:ascii="Calibri" w:hAnsi="Calibri"/>
      <w:sz w:val="20"/>
      <w:szCs w:val="24"/>
    </w:rPr>
  </w:style>
  <w:style w:type="paragraph" w:styleId="TOC9">
    <w:name w:val="toc 9"/>
    <w:basedOn w:val="Normal"/>
    <w:next w:val="Normal"/>
    <w:autoRedefine/>
    <w:uiPriority w:val="39"/>
    <w:unhideWhenUsed/>
    <w:rsid w:val="00FF4209"/>
    <w:pPr>
      <w:ind w:left="1680"/>
      <w:jc w:val="left"/>
    </w:pPr>
    <w:rPr>
      <w:rFonts w:ascii="Calibri" w:hAnsi="Calibri"/>
      <w:sz w:val="20"/>
      <w:szCs w:val="24"/>
    </w:rPr>
  </w:style>
  <w:style w:type="paragraph" w:customStyle="1" w:styleId="TabCharChar">
    <w:name w:val="Tab Char Char"/>
    <w:basedOn w:val="Normal"/>
    <w:autoRedefine/>
    <w:rsid w:val="00FF4209"/>
    <w:pPr>
      <w:spacing w:after="200" w:line="276" w:lineRule="auto"/>
    </w:pPr>
    <w:rPr>
      <w:szCs w:val="24"/>
      <w:lang w:eastAsia="lv-LV"/>
    </w:rPr>
  </w:style>
  <w:style w:type="paragraph" w:customStyle="1" w:styleId="MKNormal">
    <w:name w:val="MKNormal"/>
    <w:basedOn w:val="Normal"/>
    <w:autoRedefine/>
    <w:rsid w:val="00FF4209"/>
    <w:pPr>
      <w:ind w:firstLine="720"/>
    </w:pPr>
    <w:rPr>
      <w:szCs w:val="24"/>
      <w:lang w:eastAsia="lv-LV"/>
    </w:rPr>
  </w:style>
  <w:style w:type="paragraph" w:styleId="EndnoteText">
    <w:name w:val="endnote text"/>
    <w:basedOn w:val="Normal"/>
    <w:link w:val="EndnoteTextChar"/>
    <w:uiPriority w:val="99"/>
    <w:semiHidden/>
    <w:unhideWhenUsed/>
    <w:rsid w:val="00FF4209"/>
    <w:rPr>
      <w:sz w:val="20"/>
      <w:lang w:val="x-none" w:eastAsia="x-none"/>
    </w:rPr>
  </w:style>
  <w:style w:type="character" w:customStyle="1" w:styleId="EndnoteTextChar">
    <w:name w:val="Endnote Text Char"/>
    <w:link w:val="EndnoteText"/>
    <w:uiPriority w:val="99"/>
    <w:semiHidden/>
    <w:rsid w:val="00FF4209"/>
    <w:rPr>
      <w:rFonts w:ascii="Times New Roman" w:eastAsia="Times New Roman" w:hAnsi="Times New Roman" w:cs="Times New Roman"/>
      <w:sz w:val="20"/>
      <w:szCs w:val="20"/>
    </w:rPr>
  </w:style>
  <w:style w:type="character" w:styleId="EndnoteReference">
    <w:name w:val="endnote reference"/>
    <w:uiPriority w:val="99"/>
    <w:semiHidden/>
    <w:unhideWhenUsed/>
    <w:rsid w:val="00FF4209"/>
    <w:rPr>
      <w:vertAlign w:val="superscript"/>
    </w:rPr>
  </w:style>
  <w:style w:type="paragraph" w:customStyle="1" w:styleId="Normal1-centered">
    <w:name w:val="Normal1-centered"/>
    <w:basedOn w:val="Normal1"/>
    <w:qFormat/>
    <w:rsid w:val="00FF4209"/>
    <w:pPr>
      <w:spacing w:before="0" w:beforeAutospacing="0" w:after="0" w:afterAutospacing="0"/>
      <w:jc w:val="center"/>
    </w:pPr>
    <w:rPr>
      <w:rFonts w:eastAsia="Calibri"/>
      <w:i/>
      <w:sz w:val="20"/>
      <w:szCs w:val="22"/>
      <w:lang w:val="lv-LV"/>
    </w:rPr>
  </w:style>
  <w:style w:type="character" w:customStyle="1" w:styleId="xdtextbox1">
    <w:name w:val="xdtextbox1"/>
    <w:rsid w:val="00FF4209"/>
    <w:rPr>
      <w:color w:val="auto"/>
      <w:bdr w:val="single" w:sz="8" w:space="1" w:color="DCDCDC" w:frame="1"/>
      <w:shd w:val="clear" w:color="auto" w:fill="FFFFFF"/>
    </w:rPr>
  </w:style>
  <w:style w:type="paragraph" w:styleId="PlainText">
    <w:name w:val="Plain Text"/>
    <w:basedOn w:val="Normal"/>
    <w:link w:val="PlainTextChar"/>
    <w:uiPriority w:val="99"/>
    <w:unhideWhenUsed/>
    <w:rsid w:val="00FF4209"/>
    <w:pPr>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FF4209"/>
    <w:rPr>
      <w:rFonts w:ascii="Consolas" w:eastAsia="Calibri" w:hAnsi="Consolas" w:cs="Times New Roman"/>
      <w:sz w:val="21"/>
      <w:szCs w:val="21"/>
    </w:rPr>
  </w:style>
  <w:style w:type="paragraph" w:styleId="ListBullet">
    <w:name w:val="List Bullet"/>
    <w:basedOn w:val="Normal"/>
    <w:rsid w:val="00FF4209"/>
    <w:pPr>
      <w:numPr>
        <w:numId w:val="3"/>
      </w:numPr>
      <w:spacing w:before="120" w:after="120"/>
    </w:pPr>
    <w:rPr>
      <w:lang w:val="en-GB" w:eastAsia="de-DE"/>
    </w:rPr>
  </w:style>
  <w:style w:type="character" w:customStyle="1" w:styleId="colora">
    <w:name w:val="colora"/>
    <w:basedOn w:val="DefaultParagraphFont"/>
    <w:rsid w:val="00FF4209"/>
  </w:style>
  <w:style w:type="table" w:styleId="LightGrid-Accent3">
    <w:name w:val="Light Grid Accent 3"/>
    <w:basedOn w:val="TableNormal"/>
    <w:uiPriority w:val="62"/>
    <w:rsid w:val="00FF4209"/>
    <w:rPr>
      <w:rFonts w:ascii="Times New Roman" w:hAnsi="Times New Roman"/>
      <w:sz w:val="28"/>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naisc">
    <w:name w:val="naisc"/>
    <w:basedOn w:val="Normal"/>
    <w:uiPriority w:val="99"/>
    <w:rsid w:val="00A63B18"/>
    <w:pPr>
      <w:spacing w:before="100" w:beforeAutospacing="1" w:after="100" w:afterAutospacing="1"/>
      <w:jc w:val="left"/>
    </w:pPr>
    <w:rPr>
      <w:szCs w:val="24"/>
      <w:lang w:eastAsia="lv-LV"/>
    </w:rPr>
  </w:style>
  <w:style w:type="character" w:customStyle="1" w:styleId="xdtextboxctrl11ms-xedit-plaintext">
    <w:name w:val="xdtextbox ctrl11 ms-xedit-plaintext"/>
    <w:uiPriority w:val="99"/>
    <w:rsid w:val="00014F70"/>
    <w:rPr>
      <w:rFonts w:ascii="Times New Roman" w:hAnsi="Times New Roman" w:cs="Times New Roman" w:hint="default"/>
    </w:rPr>
  </w:style>
  <w:style w:type="character" w:customStyle="1" w:styleId="xdtextboxctrl10ms-xedit-plaintext">
    <w:name w:val="xdtextbox ctrl10 ms-xedit-plaintext"/>
    <w:uiPriority w:val="99"/>
    <w:rsid w:val="00014F70"/>
    <w:rPr>
      <w:rFonts w:ascii="Times New Roman" w:hAnsi="Times New Roman" w:cs="Times New Roman" w:hint="default"/>
    </w:rPr>
  </w:style>
  <w:style w:type="character" w:customStyle="1" w:styleId="apple-style-span">
    <w:name w:val="apple-style-span"/>
    <w:rsid w:val="00AC09A3"/>
  </w:style>
  <w:style w:type="paragraph" w:customStyle="1" w:styleId="rteleft">
    <w:name w:val="rteleft"/>
    <w:basedOn w:val="Normal"/>
    <w:rsid w:val="00D800C4"/>
    <w:pPr>
      <w:spacing w:before="100" w:beforeAutospacing="1" w:after="100" w:afterAutospacing="1"/>
      <w:jc w:val="left"/>
    </w:pPr>
    <w:rPr>
      <w:szCs w:val="24"/>
      <w:lang w:eastAsia="lv-LV"/>
    </w:rPr>
  </w:style>
  <w:style w:type="character" w:customStyle="1" w:styleId="EE-paragr-12Char">
    <w:name w:val="EE-paragr-12 Char"/>
    <w:link w:val="EE-paragr-12"/>
    <w:uiPriority w:val="99"/>
    <w:locked/>
    <w:rsid w:val="002001C6"/>
    <w:rPr>
      <w:sz w:val="24"/>
      <w:szCs w:val="24"/>
    </w:rPr>
  </w:style>
  <w:style w:type="paragraph" w:customStyle="1" w:styleId="EE-paragr-12">
    <w:name w:val="EE-paragr-12"/>
    <w:basedOn w:val="Normal"/>
    <w:link w:val="EE-paragr-12Char"/>
    <w:uiPriority w:val="99"/>
    <w:rsid w:val="002001C6"/>
    <w:rPr>
      <w:rFonts w:ascii="Calibri" w:eastAsia="Calibri" w:hAnsi="Calibri"/>
      <w:szCs w:val="24"/>
      <w:lang w:eastAsia="lv-LV"/>
    </w:rPr>
  </w:style>
  <w:style w:type="character" w:customStyle="1" w:styleId="st">
    <w:name w:val="st"/>
    <w:basedOn w:val="DefaultParagraphFont"/>
    <w:rsid w:val="00EC5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9367">
      <w:bodyDiv w:val="1"/>
      <w:marLeft w:val="0"/>
      <w:marRight w:val="0"/>
      <w:marTop w:val="0"/>
      <w:marBottom w:val="0"/>
      <w:divBdr>
        <w:top w:val="none" w:sz="0" w:space="0" w:color="auto"/>
        <w:left w:val="none" w:sz="0" w:space="0" w:color="auto"/>
        <w:bottom w:val="none" w:sz="0" w:space="0" w:color="auto"/>
        <w:right w:val="none" w:sz="0" w:space="0" w:color="auto"/>
      </w:divBdr>
    </w:div>
    <w:div w:id="20211245">
      <w:bodyDiv w:val="1"/>
      <w:marLeft w:val="0"/>
      <w:marRight w:val="0"/>
      <w:marTop w:val="0"/>
      <w:marBottom w:val="0"/>
      <w:divBdr>
        <w:top w:val="none" w:sz="0" w:space="0" w:color="auto"/>
        <w:left w:val="none" w:sz="0" w:space="0" w:color="auto"/>
        <w:bottom w:val="none" w:sz="0" w:space="0" w:color="auto"/>
        <w:right w:val="none" w:sz="0" w:space="0" w:color="auto"/>
      </w:divBdr>
    </w:div>
    <w:div w:id="20666058">
      <w:bodyDiv w:val="1"/>
      <w:marLeft w:val="0"/>
      <w:marRight w:val="0"/>
      <w:marTop w:val="0"/>
      <w:marBottom w:val="0"/>
      <w:divBdr>
        <w:top w:val="none" w:sz="0" w:space="0" w:color="auto"/>
        <w:left w:val="none" w:sz="0" w:space="0" w:color="auto"/>
        <w:bottom w:val="none" w:sz="0" w:space="0" w:color="auto"/>
        <w:right w:val="none" w:sz="0" w:space="0" w:color="auto"/>
      </w:divBdr>
      <w:divsChild>
        <w:div w:id="1080054089">
          <w:marLeft w:val="0"/>
          <w:marRight w:val="0"/>
          <w:marTop w:val="0"/>
          <w:marBottom w:val="0"/>
          <w:divBdr>
            <w:top w:val="none" w:sz="0" w:space="0" w:color="auto"/>
            <w:left w:val="none" w:sz="0" w:space="0" w:color="auto"/>
            <w:bottom w:val="none" w:sz="0" w:space="0" w:color="auto"/>
            <w:right w:val="none" w:sz="0" w:space="0" w:color="auto"/>
          </w:divBdr>
          <w:divsChild>
            <w:div w:id="1289702363">
              <w:marLeft w:val="0"/>
              <w:marRight w:val="0"/>
              <w:marTop w:val="0"/>
              <w:marBottom w:val="0"/>
              <w:divBdr>
                <w:top w:val="none" w:sz="0" w:space="0" w:color="auto"/>
                <w:left w:val="none" w:sz="0" w:space="0" w:color="auto"/>
                <w:bottom w:val="none" w:sz="0" w:space="0" w:color="auto"/>
                <w:right w:val="none" w:sz="0" w:space="0" w:color="auto"/>
              </w:divBdr>
              <w:divsChild>
                <w:div w:id="90663725">
                  <w:marLeft w:val="135"/>
                  <w:marRight w:val="0"/>
                  <w:marTop w:val="0"/>
                  <w:marBottom w:val="0"/>
                  <w:divBdr>
                    <w:top w:val="none" w:sz="0" w:space="0" w:color="auto"/>
                    <w:left w:val="none" w:sz="0" w:space="0" w:color="auto"/>
                    <w:bottom w:val="none" w:sz="0" w:space="0" w:color="auto"/>
                    <w:right w:val="none" w:sz="0" w:space="0" w:color="auto"/>
                  </w:divBdr>
                  <w:divsChild>
                    <w:div w:id="2054427960">
                      <w:marLeft w:val="0"/>
                      <w:marRight w:val="0"/>
                      <w:marTop w:val="0"/>
                      <w:marBottom w:val="0"/>
                      <w:divBdr>
                        <w:top w:val="none" w:sz="0" w:space="0" w:color="auto"/>
                        <w:left w:val="none" w:sz="0" w:space="0" w:color="auto"/>
                        <w:bottom w:val="none" w:sz="0" w:space="0" w:color="auto"/>
                        <w:right w:val="none" w:sz="0" w:space="0" w:color="auto"/>
                      </w:divBdr>
                      <w:divsChild>
                        <w:div w:id="16883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05393">
      <w:bodyDiv w:val="1"/>
      <w:marLeft w:val="0"/>
      <w:marRight w:val="0"/>
      <w:marTop w:val="0"/>
      <w:marBottom w:val="0"/>
      <w:divBdr>
        <w:top w:val="none" w:sz="0" w:space="0" w:color="auto"/>
        <w:left w:val="none" w:sz="0" w:space="0" w:color="auto"/>
        <w:bottom w:val="none" w:sz="0" w:space="0" w:color="auto"/>
        <w:right w:val="none" w:sz="0" w:space="0" w:color="auto"/>
      </w:divBdr>
    </w:div>
    <w:div w:id="53968234">
      <w:bodyDiv w:val="1"/>
      <w:marLeft w:val="0"/>
      <w:marRight w:val="0"/>
      <w:marTop w:val="0"/>
      <w:marBottom w:val="0"/>
      <w:divBdr>
        <w:top w:val="none" w:sz="0" w:space="0" w:color="auto"/>
        <w:left w:val="none" w:sz="0" w:space="0" w:color="auto"/>
        <w:bottom w:val="none" w:sz="0" w:space="0" w:color="auto"/>
        <w:right w:val="none" w:sz="0" w:space="0" w:color="auto"/>
      </w:divBdr>
    </w:div>
    <w:div w:id="68112552">
      <w:bodyDiv w:val="1"/>
      <w:marLeft w:val="0"/>
      <w:marRight w:val="0"/>
      <w:marTop w:val="0"/>
      <w:marBottom w:val="0"/>
      <w:divBdr>
        <w:top w:val="none" w:sz="0" w:space="0" w:color="auto"/>
        <w:left w:val="none" w:sz="0" w:space="0" w:color="auto"/>
        <w:bottom w:val="none" w:sz="0" w:space="0" w:color="auto"/>
        <w:right w:val="none" w:sz="0" w:space="0" w:color="auto"/>
      </w:divBdr>
    </w:div>
    <w:div w:id="83427417">
      <w:bodyDiv w:val="1"/>
      <w:marLeft w:val="0"/>
      <w:marRight w:val="0"/>
      <w:marTop w:val="0"/>
      <w:marBottom w:val="0"/>
      <w:divBdr>
        <w:top w:val="none" w:sz="0" w:space="0" w:color="auto"/>
        <w:left w:val="none" w:sz="0" w:space="0" w:color="auto"/>
        <w:bottom w:val="none" w:sz="0" w:space="0" w:color="auto"/>
        <w:right w:val="none" w:sz="0" w:space="0" w:color="auto"/>
      </w:divBdr>
    </w:div>
    <w:div w:id="89744451">
      <w:bodyDiv w:val="1"/>
      <w:marLeft w:val="0"/>
      <w:marRight w:val="0"/>
      <w:marTop w:val="0"/>
      <w:marBottom w:val="0"/>
      <w:divBdr>
        <w:top w:val="none" w:sz="0" w:space="0" w:color="auto"/>
        <w:left w:val="none" w:sz="0" w:space="0" w:color="auto"/>
        <w:bottom w:val="none" w:sz="0" w:space="0" w:color="auto"/>
        <w:right w:val="none" w:sz="0" w:space="0" w:color="auto"/>
      </w:divBdr>
    </w:div>
    <w:div w:id="148138949">
      <w:bodyDiv w:val="1"/>
      <w:marLeft w:val="0"/>
      <w:marRight w:val="0"/>
      <w:marTop w:val="0"/>
      <w:marBottom w:val="0"/>
      <w:divBdr>
        <w:top w:val="none" w:sz="0" w:space="0" w:color="auto"/>
        <w:left w:val="none" w:sz="0" w:space="0" w:color="auto"/>
        <w:bottom w:val="none" w:sz="0" w:space="0" w:color="auto"/>
        <w:right w:val="none" w:sz="0" w:space="0" w:color="auto"/>
      </w:divBdr>
    </w:div>
    <w:div w:id="166483197">
      <w:bodyDiv w:val="1"/>
      <w:marLeft w:val="0"/>
      <w:marRight w:val="0"/>
      <w:marTop w:val="0"/>
      <w:marBottom w:val="0"/>
      <w:divBdr>
        <w:top w:val="none" w:sz="0" w:space="0" w:color="auto"/>
        <w:left w:val="none" w:sz="0" w:space="0" w:color="auto"/>
        <w:bottom w:val="none" w:sz="0" w:space="0" w:color="auto"/>
        <w:right w:val="none" w:sz="0" w:space="0" w:color="auto"/>
      </w:divBdr>
    </w:div>
    <w:div w:id="177471859">
      <w:bodyDiv w:val="1"/>
      <w:marLeft w:val="0"/>
      <w:marRight w:val="0"/>
      <w:marTop w:val="0"/>
      <w:marBottom w:val="0"/>
      <w:divBdr>
        <w:top w:val="none" w:sz="0" w:space="0" w:color="auto"/>
        <w:left w:val="none" w:sz="0" w:space="0" w:color="auto"/>
        <w:bottom w:val="none" w:sz="0" w:space="0" w:color="auto"/>
        <w:right w:val="none" w:sz="0" w:space="0" w:color="auto"/>
      </w:divBdr>
    </w:div>
    <w:div w:id="192160117">
      <w:bodyDiv w:val="1"/>
      <w:marLeft w:val="0"/>
      <w:marRight w:val="0"/>
      <w:marTop w:val="0"/>
      <w:marBottom w:val="0"/>
      <w:divBdr>
        <w:top w:val="none" w:sz="0" w:space="0" w:color="auto"/>
        <w:left w:val="none" w:sz="0" w:space="0" w:color="auto"/>
        <w:bottom w:val="none" w:sz="0" w:space="0" w:color="auto"/>
        <w:right w:val="none" w:sz="0" w:space="0" w:color="auto"/>
      </w:divBdr>
    </w:div>
    <w:div w:id="251469777">
      <w:bodyDiv w:val="1"/>
      <w:marLeft w:val="0"/>
      <w:marRight w:val="0"/>
      <w:marTop w:val="0"/>
      <w:marBottom w:val="0"/>
      <w:divBdr>
        <w:top w:val="none" w:sz="0" w:space="0" w:color="auto"/>
        <w:left w:val="none" w:sz="0" w:space="0" w:color="auto"/>
        <w:bottom w:val="none" w:sz="0" w:space="0" w:color="auto"/>
        <w:right w:val="none" w:sz="0" w:space="0" w:color="auto"/>
      </w:divBdr>
    </w:div>
    <w:div w:id="253128226">
      <w:bodyDiv w:val="1"/>
      <w:marLeft w:val="0"/>
      <w:marRight w:val="0"/>
      <w:marTop w:val="0"/>
      <w:marBottom w:val="0"/>
      <w:divBdr>
        <w:top w:val="none" w:sz="0" w:space="0" w:color="auto"/>
        <w:left w:val="none" w:sz="0" w:space="0" w:color="auto"/>
        <w:bottom w:val="none" w:sz="0" w:space="0" w:color="auto"/>
        <w:right w:val="none" w:sz="0" w:space="0" w:color="auto"/>
      </w:divBdr>
    </w:div>
    <w:div w:id="301929169">
      <w:bodyDiv w:val="1"/>
      <w:marLeft w:val="0"/>
      <w:marRight w:val="0"/>
      <w:marTop w:val="0"/>
      <w:marBottom w:val="0"/>
      <w:divBdr>
        <w:top w:val="none" w:sz="0" w:space="0" w:color="auto"/>
        <w:left w:val="none" w:sz="0" w:space="0" w:color="auto"/>
        <w:bottom w:val="none" w:sz="0" w:space="0" w:color="auto"/>
        <w:right w:val="none" w:sz="0" w:space="0" w:color="auto"/>
      </w:divBdr>
    </w:div>
    <w:div w:id="310597030">
      <w:bodyDiv w:val="1"/>
      <w:marLeft w:val="0"/>
      <w:marRight w:val="0"/>
      <w:marTop w:val="0"/>
      <w:marBottom w:val="0"/>
      <w:divBdr>
        <w:top w:val="none" w:sz="0" w:space="0" w:color="auto"/>
        <w:left w:val="none" w:sz="0" w:space="0" w:color="auto"/>
        <w:bottom w:val="none" w:sz="0" w:space="0" w:color="auto"/>
        <w:right w:val="none" w:sz="0" w:space="0" w:color="auto"/>
      </w:divBdr>
    </w:div>
    <w:div w:id="359553000">
      <w:bodyDiv w:val="1"/>
      <w:marLeft w:val="0"/>
      <w:marRight w:val="0"/>
      <w:marTop w:val="0"/>
      <w:marBottom w:val="0"/>
      <w:divBdr>
        <w:top w:val="none" w:sz="0" w:space="0" w:color="auto"/>
        <w:left w:val="none" w:sz="0" w:space="0" w:color="auto"/>
        <w:bottom w:val="none" w:sz="0" w:space="0" w:color="auto"/>
        <w:right w:val="none" w:sz="0" w:space="0" w:color="auto"/>
      </w:divBdr>
    </w:div>
    <w:div w:id="386999702">
      <w:bodyDiv w:val="1"/>
      <w:marLeft w:val="0"/>
      <w:marRight w:val="0"/>
      <w:marTop w:val="0"/>
      <w:marBottom w:val="0"/>
      <w:divBdr>
        <w:top w:val="none" w:sz="0" w:space="0" w:color="auto"/>
        <w:left w:val="none" w:sz="0" w:space="0" w:color="auto"/>
        <w:bottom w:val="none" w:sz="0" w:space="0" w:color="auto"/>
        <w:right w:val="none" w:sz="0" w:space="0" w:color="auto"/>
      </w:divBdr>
    </w:div>
    <w:div w:id="397365793">
      <w:bodyDiv w:val="1"/>
      <w:marLeft w:val="0"/>
      <w:marRight w:val="0"/>
      <w:marTop w:val="0"/>
      <w:marBottom w:val="0"/>
      <w:divBdr>
        <w:top w:val="none" w:sz="0" w:space="0" w:color="auto"/>
        <w:left w:val="none" w:sz="0" w:space="0" w:color="auto"/>
        <w:bottom w:val="none" w:sz="0" w:space="0" w:color="auto"/>
        <w:right w:val="none" w:sz="0" w:space="0" w:color="auto"/>
      </w:divBdr>
    </w:div>
    <w:div w:id="419327817">
      <w:bodyDiv w:val="1"/>
      <w:marLeft w:val="0"/>
      <w:marRight w:val="0"/>
      <w:marTop w:val="0"/>
      <w:marBottom w:val="0"/>
      <w:divBdr>
        <w:top w:val="none" w:sz="0" w:space="0" w:color="auto"/>
        <w:left w:val="none" w:sz="0" w:space="0" w:color="auto"/>
        <w:bottom w:val="none" w:sz="0" w:space="0" w:color="auto"/>
        <w:right w:val="none" w:sz="0" w:space="0" w:color="auto"/>
      </w:divBdr>
      <w:divsChild>
        <w:div w:id="253049575">
          <w:marLeft w:val="0"/>
          <w:marRight w:val="0"/>
          <w:marTop w:val="0"/>
          <w:marBottom w:val="0"/>
          <w:divBdr>
            <w:top w:val="none" w:sz="0" w:space="0" w:color="auto"/>
            <w:left w:val="none" w:sz="0" w:space="0" w:color="auto"/>
            <w:bottom w:val="none" w:sz="0" w:space="0" w:color="auto"/>
            <w:right w:val="none" w:sz="0" w:space="0" w:color="auto"/>
          </w:divBdr>
          <w:divsChild>
            <w:div w:id="1323002648">
              <w:marLeft w:val="0"/>
              <w:marRight w:val="0"/>
              <w:marTop w:val="0"/>
              <w:marBottom w:val="0"/>
              <w:divBdr>
                <w:top w:val="none" w:sz="0" w:space="0" w:color="auto"/>
                <w:left w:val="none" w:sz="0" w:space="0" w:color="auto"/>
                <w:bottom w:val="none" w:sz="0" w:space="0" w:color="auto"/>
                <w:right w:val="none" w:sz="0" w:space="0" w:color="auto"/>
              </w:divBdr>
              <w:divsChild>
                <w:div w:id="2113627719">
                  <w:marLeft w:val="0"/>
                  <w:marRight w:val="0"/>
                  <w:marTop w:val="0"/>
                  <w:marBottom w:val="0"/>
                  <w:divBdr>
                    <w:top w:val="none" w:sz="0" w:space="0" w:color="auto"/>
                    <w:left w:val="none" w:sz="0" w:space="0" w:color="auto"/>
                    <w:bottom w:val="none" w:sz="0" w:space="0" w:color="auto"/>
                    <w:right w:val="none" w:sz="0" w:space="0" w:color="auto"/>
                  </w:divBdr>
                  <w:divsChild>
                    <w:div w:id="1992981266">
                      <w:marLeft w:val="0"/>
                      <w:marRight w:val="0"/>
                      <w:marTop w:val="0"/>
                      <w:marBottom w:val="0"/>
                      <w:divBdr>
                        <w:top w:val="none" w:sz="0" w:space="0" w:color="auto"/>
                        <w:left w:val="none" w:sz="0" w:space="0" w:color="auto"/>
                        <w:bottom w:val="none" w:sz="0" w:space="0" w:color="auto"/>
                        <w:right w:val="none" w:sz="0" w:space="0" w:color="auto"/>
                      </w:divBdr>
                      <w:divsChild>
                        <w:div w:id="1108088366">
                          <w:marLeft w:val="0"/>
                          <w:marRight w:val="0"/>
                          <w:marTop w:val="450"/>
                          <w:marBottom w:val="0"/>
                          <w:divBdr>
                            <w:top w:val="none" w:sz="0" w:space="0" w:color="auto"/>
                            <w:left w:val="none" w:sz="0" w:space="0" w:color="auto"/>
                            <w:bottom w:val="none" w:sz="0" w:space="0" w:color="auto"/>
                            <w:right w:val="none" w:sz="0" w:space="0" w:color="auto"/>
                          </w:divBdr>
                          <w:divsChild>
                            <w:div w:id="8906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194674">
      <w:bodyDiv w:val="1"/>
      <w:marLeft w:val="0"/>
      <w:marRight w:val="0"/>
      <w:marTop w:val="0"/>
      <w:marBottom w:val="0"/>
      <w:divBdr>
        <w:top w:val="none" w:sz="0" w:space="0" w:color="auto"/>
        <w:left w:val="none" w:sz="0" w:space="0" w:color="auto"/>
        <w:bottom w:val="none" w:sz="0" w:space="0" w:color="auto"/>
        <w:right w:val="none" w:sz="0" w:space="0" w:color="auto"/>
      </w:divBdr>
    </w:div>
    <w:div w:id="454252422">
      <w:bodyDiv w:val="1"/>
      <w:marLeft w:val="0"/>
      <w:marRight w:val="0"/>
      <w:marTop w:val="0"/>
      <w:marBottom w:val="0"/>
      <w:divBdr>
        <w:top w:val="none" w:sz="0" w:space="0" w:color="auto"/>
        <w:left w:val="none" w:sz="0" w:space="0" w:color="auto"/>
        <w:bottom w:val="none" w:sz="0" w:space="0" w:color="auto"/>
        <w:right w:val="none" w:sz="0" w:space="0" w:color="auto"/>
      </w:divBdr>
    </w:div>
    <w:div w:id="477067864">
      <w:bodyDiv w:val="1"/>
      <w:marLeft w:val="0"/>
      <w:marRight w:val="0"/>
      <w:marTop w:val="0"/>
      <w:marBottom w:val="0"/>
      <w:divBdr>
        <w:top w:val="none" w:sz="0" w:space="0" w:color="auto"/>
        <w:left w:val="none" w:sz="0" w:space="0" w:color="auto"/>
        <w:bottom w:val="none" w:sz="0" w:space="0" w:color="auto"/>
        <w:right w:val="none" w:sz="0" w:space="0" w:color="auto"/>
      </w:divBdr>
    </w:div>
    <w:div w:id="479616573">
      <w:bodyDiv w:val="1"/>
      <w:marLeft w:val="0"/>
      <w:marRight w:val="0"/>
      <w:marTop w:val="0"/>
      <w:marBottom w:val="0"/>
      <w:divBdr>
        <w:top w:val="none" w:sz="0" w:space="0" w:color="auto"/>
        <w:left w:val="none" w:sz="0" w:space="0" w:color="auto"/>
        <w:bottom w:val="none" w:sz="0" w:space="0" w:color="auto"/>
        <w:right w:val="none" w:sz="0" w:space="0" w:color="auto"/>
      </w:divBdr>
    </w:div>
    <w:div w:id="482936877">
      <w:bodyDiv w:val="1"/>
      <w:marLeft w:val="0"/>
      <w:marRight w:val="0"/>
      <w:marTop w:val="0"/>
      <w:marBottom w:val="0"/>
      <w:divBdr>
        <w:top w:val="none" w:sz="0" w:space="0" w:color="auto"/>
        <w:left w:val="none" w:sz="0" w:space="0" w:color="auto"/>
        <w:bottom w:val="none" w:sz="0" w:space="0" w:color="auto"/>
        <w:right w:val="none" w:sz="0" w:space="0" w:color="auto"/>
      </w:divBdr>
    </w:div>
    <w:div w:id="491797378">
      <w:bodyDiv w:val="1"/>
      <w:marLeft w:val="0"/>
      <w:marRight w:val="0"/>
      <w:marTop w:val="0"/>
      <w:marBottom w:val="0"/>
      <w:divBdr>
        <w:top w:val="none" w:sz="0" w:space="0" w:color="auto"/>
        <w:left w:val="none" w:sz="0" w:space="0" w:color="auto"/>
        <w:bottom w:val="none" w:sz="0" w:space="0" w:color="auto"/>
        <w:right w:val="none" w:sz="0" w:space="0" w:color="auto"/>
      </w:divBdr>
    </w:div>
    <w:div w:id="499539723">
      <w:bodyDiv w:val="1"/>
      <w:marLeft w:val="0"/>
      <w:marRight w:val="0"/>
      <w:marTop w:val="0"/>
      <w:marBottom w:val="0"/>
      <w:divBdr>
        <w:top w:val="none" w:sz="0" w:space="0" w:color="auto"/>
        <w:left w:val="none" w:sz="0" w:space="0" w:color="auto"/>
        <w:bottom w:val="none" w:sz="0" w:space="0" w:color="auto"/>
        <w:right w:val="none" w:sz="0" w:space="0" w:color="auto"/>
      </w:divBdr>
    </w:div>
    <w:div w:id="513032292">
      <w:bodyDiv w:val="1"/>
      <w:marLeft w:val="0"/>
      <w:marRight w:val="0"/>
      <w:marTop w:val="0"/>
      <w:marBottom w:val="0"/>
      <w:divBdr>
        <w:top w:val="none" w:sz="0" w:space="0" w:color="auto"/>
        <w:left w:val="none" w:sz="0" w:space="0" w:color="auto"/>
        <w:bottom w:val="none" w:sz="0" w:space="0" w:color="auto"/>
        <w:right w:val="none" w:sz="0" w:space="0" w:color="auto"/>
      </w:divBdr>
    </w:div>
    <w:div w:id="522591120">
      <w:bodyDiv w:val="1"/>
      <w:marLeft w:val="0"/>
      <w:marRight w:val="0"/>
      <w:marTop w:val="0"/>
      <w:marBottom w:val="0"/>
      <w:divBdr>
        <w:top w:val="none" w:sz="0" w:space="0" w:color="auto"/>
        <w:left w:val="none" w:sz="0" w:space="0" w:color="auto"/>
        <w:bottom w:val="none" w:sz="0" w:space="0" w:color="auto"/>
        <w:right w:val="none" w:sz="0" w:space="0" w:color="auto"/>
      </w:divBdr>
    </w:div>
    <w:div w:id="538902530">
      <w:bodyDiv w:val="1"/>
      <w:marLeft w:val="0"/>
      <w:marRight w:val="0"/>
      <w:marTop w:val="0"/>
      <w:marBottom w:val="0"/>
      <w:divBdr>
        <w:top w:val="none" w:sz="0" w:space="0" w:color="auto"/>
        <w:left w:val="none" w:sz="0" w:space="0" w:color="auto"/>
        <w:bottom w:val="none" w:sz="0" w:space="0" w:color="auto"/>
        <w:right w:val="none" w:sz="0" w:space="0" w:color="auto"/>
      </w:divBdr>
    </w:div>
    <w:div w:id="579369961">
      <w:bodyDiv w:val="1"/>
      <w:marLeft w:val="0"/>
      <w:marRight w:val="0"/>
      <w:marTop w:val="0"/>
      <w:marBottom w:val="0"/>
      <w:divBdr>
        <w:top w:val="none" w:sz="0" w:space="0" w:color="auto"/>
        <w:left w:val="none" w:sz="0" w:space="0" w:color="auto"/>
        <w:bottom w:val="none" w:sz="0" w:space="0" w:color="auto"/>
        <w:right w:val="none" w:sz="0" w:space="0" w:color="auto"/>
      </w:divBdr>
    </w:div>
    <w:div w:id="586381056">
      <w:bodyDiv w:val="1"/>
      <w:marLeft w:val="0"/>
      <w:marRight w:val="0"/>
      <w:marTop w:val="0"/>
      <w:marBottom w:val="0"/>
      <w:divBdr>
        <w:top w:val="none" w:sz="0" w:space="0" w:color="auto"/>
        <w:left w:val="none" w:sz="0" w:space="0" w:color="auto"/>
        <w:bottom w:val="none" w:sz="0" w:space="0" w:color="auto"/>
        <w:right w:val="none" w:sz="0" w:space="0" w:color="auto"/>
      </w:divBdr>
      <w:divsChild>
        <w:div w:id="1317566231">
          <w:marLeft w:val="0"/>
          <w:marRight w:val="0"/>
          <w:marTop w:val="0"/>
          <w:marBottom w:val="0"/>
          <w:divBdr>
            <w:top w:val="none" w:sz="0" w:space="0" w:color="auto"/>
            <w:left w:val="none" w:sz="0" w:space="0" w:color="auto"/>
            <w:bottom w:val="none" w:sz="0" w:space="0" w:color="auto"/>
            <w:right w:val="none" w:sz="0" w:space="0" w:color="auto"/>
          </w:divBdr>
        </w:div>
      </w:divsChild>
    </w:div>
    <w:div w:id="602612642">
      <w:bodyDiv w:val="1"/>
      <w:marLeft w:val="0"/>
      <w:marRight w:val="0"/>
      <w:marTop w:val="0"/>
      <w:marBottom w:val="0"/>
      <w:divBdr>
        <w:top w:val="none" w:sz="0" w:space="0" w:color="auto"/>
        <w:left w:val="none" w:sz="0" w:space="0" w:color="auto"/>
        <w:bottom w:val="none" w:sz="0" w:space="0" w:color="auto"/>
        <w:right w:val="none" w:sz="0" w:space="0" w:color="auto"/>
      </w:divBdr>
    </w:div>
    <w:div w:id="621616386">
      <w:bodyDiv w:val="1"/>
      <w:marLeft w:val="0"/>
      <w:marRight w:val="0"/>
      <w:marTop w:val="0"/>
      <w:marBottom w:val="0"/>
      <w:divBdr>
        <w:top w:val="none" w:sz="0" w:space="0" w:color="auto"/>
        <w:left w:val="none" w:sz="0" w:space="0" w:color="auto"/>
        <w:bottom w:val="none" w:sz="0" w:space="0" w:color="auto"/>
        <w:right w:val="none" w:sz="0" w:space="0" w:color="auto"/>
      </w:divBdr>
    </w:div>
    <w:div w:id="645164658">
      <w:bodyDiv w:val="1"/>
      <w:marLeft w:val="0"/>
      <w:marRight w:val="0"/>
      <w:marTop w:val="0"/>
      <w:marBottom w:val="0"/>
      <w:divBdr>
        <w:top w:val="none" w:sz="0" w:space="0" w:color="auto"/>
        <w:left w:val="none" w:sz="0" w:space="0" w:color="auto"/>
        <w:bottom w:val="none" w:sz="0" w:space="0" w:color="auto"/>
        <w:right w:val="none" w:sz="0" w:space="0" w:color="auto"/>
      </w:divBdr>
    </w:div>
    <w:div w:id="657154672">
      <w:bodyDiv w:val="1"/>
      <w:marLeft w:val="0"/>
      <w:marRight w:val="0"/>
      <w:marTop w:val="0"/>
      <w:marBottom w:val="0"/>
      <w:divBdr>
        <w:top w:val="none" w:sz="0" w:space="0" w:color="auto"/>
        <w:left w:val="none" w:sz="0" w:space="0" w:color="auto"/>
        <w:bottom w:val="none" w:sz="0" w:space="0" w:color="auto"/>
        <w:right w:val="none" w:sz="0" w:space="0" w:color="auto"/>
      </w:divBdr>
    </w:div>
    <w:div w:id="664748253">
      <w:bodyDiv w:val="1"/>
      <w:marLeft w:val="0"/>
      <w:marRight w:val="0"/>
      <w:marTop w:val="0"/>
      <w:marBottom w:val="0"/>
      <w:divBdr>
        <w:top w:val="none" w:sz="0" w:space="0" w:color="auto"/>
        <w:left w:val="none" w:sz="0" w:space="0" w:color="auto"/>
        <w:bottom w:val="none" w:sz="0" w:space="0" w:color="auto"/>
        <w:right w:val="none" w:sz="0" w:space="0" w:color="auto"/>
      </w:divBdr>
    </w:div>
    <w:div w:id="697699654">
      <w:bodyDiv w:val="1"/>
      <w:marLeft w:val="0"/>
      <w:marRight w:val="0"/>
      <w:marTop w:val="0"/>
      <w:marBottom w:val="0"/>
      <w:divBdr>
        <w:top w:val="none" w:sz="0" w:space="0" w:color="auto"/>
        <w:left w:val="none" w:sz="0" w:space="0" w:color="auto"/>
        <w:bottom w:val="none" w:sz="0" w:space="0" w:color="auto"/>
        <w:right w:val="none" w:sz="0" w:space="0" w:color="auto"/>
      </w:divBdr>
    </w:div>
    <w:div w:id="731776240">
      <w:bodyDiv w:val="1"/>
      <w:marLeft w:val="0"/>
      <w:marRight w:val="0"/>
      <w:marTop w:val="0"/>
      <w:marBottom w:val="0"/>
      <w:divBdr>
        <w:top w:val="none" w:sz="0" w:space="0" w:color="auto"/>
        <w:left w:val="none" w:sz="0" w:space="0" w:color="auto"/>
        <w:bottom w:val="none" w:sz="0" w:space="0" w:color="auto"/>
        <w:right w:val="none" w:sz="0" w:space="0" w:color="auto"/>
      </w:divBdr>
    </w:div>
    <w:div w:id="761487905">
      <w:bodyDiv w:val="1"/>
      <w:marLeft w:val="0"/>
      <w:marRight w:val="0"/>
      <w:marTop w:val="0"/>
      <w:marBottom w:val="0"/>
      <w:divBdr>
        <w:top w:val="none" w:sz="0" w:space="0" w:color="auto"/>
        <w:left w:val="none" w:sz="0" w:space="0" w:color="auto"/>
        <w:bottom w:val="none" w:sz="0" w:space="0" w:color="auto"/>
        <w:right w:val="none" w:sz="0" w:space="0" w:color="auto"/>
      </w:divBdr>
    </w:div>
    <w:div w:id="799036984">
      <w:bodyDiv w:val="1"/>
      <w:marLeft w:val="0"/>
      <w:marRight w:val="0"/>
      <w:marTop w:val="0"/>
      <w:marBottom w:val="0"/>
      <w:divBdr>
        <w:top w:val="none" w:sz="0" w:space="0" w:color="auto"/>
        <w:left w:val="none" w:sz="0" w:space="0" w:color="auto"/>
        <w:bottom w:val="none" w:sz="0" w:space="0" w:color="auto"/>
        <w:right w:val="none" w:sz="0" w:space="0" w:color="auto"/>
      </w:divBdr>
    </w:div>
    <w:div w:id="802306098">
      <w:bodyDiv w:val="1"/>
      <w:marLeft w:val="0"/>
      <w:marRight w:val="0"/>
      <w:marTop w:val="0"/>
      <w:marBottom w:val="0"/>
      <w:divBdr>
        <w:top w:val="none" w:sz="0" w:space="0" w:color="auto"/>
        <w:left w:val="none" w:sz="0" w:space="0" w:color="auto"/>
        <w:bottom w:val="none" w:sz="0" w:space="0" w:color="auto"/>
        <w:right w:val="none" w:sz="0" w:space="0" w:color="auto"/>
      </w:divBdr>
    </w:div>
    <w:div w:id="803933995">
      <w:bodyDiv w:val="1"/>
      <w:marLeft w:val="0"/>
      <w:marRight w:val="0"/>
      <w:marTop w:val="0"/>
      <w:marBottom w:val="0"/>
      <w:divBdr>
        <w:top w:val="none" w:sz="0" w:space="0" w:color="auto"/>
        <w:left w:val="none" w:sz="0" w:space="0" w:color="auto"/>
        <w:bottom w:val="none" w:sz="0" w:space="0" w:color="auto"/>
        <w:right w:val="none" w:sz="0" w:space="0" w:color="auto"/>
      </w:divBdr>
    </w:div>
    <w:div w:id="805396646">
      <w:bodyDiv w:val="1"/>
      <w:marLeft w:val="0"/>
      <w:marRight w:val="0"/>
      <w:marTop w:val="0"/>
      <w:marBottom w:val="0"/>
      <w:divBdr>
        <w:top w:val="none" w:sz="0" w:space="0" w:color="auto"/>
        <w:left w:val="none" w:sz="0" w:space="0" w:color="auto"/>
        <w:bottom w:val="none" w:sz="0" w:space="0" w:color="auto"/>
        <w:right w:val="none" w:sz="0" w:space="0" w:color="auto"/>
      </w:divBdr>
    </w:div>
    <w:div w:id="816411589">
      <w:bodyDiv w:val="1"/>
      <w:marLeft w:val="0"/>
      <w:marRight w:val="0"/>
      <w:marTop w:val="0"/>
      <w:marBottom w:val="0"/>
      <w:divBdr>
        <w:top w:val="none" w:sz="0" w:space="0" w:color="auto"/>
        <w:left w:val="none" w:sz="0" w:space="0" w:color="auto"/>
        <w:bottom w:val="none" w:sz="0" w:space="0" w:color="auto"/>
        <w:right w:val="none" w:sz="0" w:space="0" w:color="auto"/>
      </w:divBdr>
    </w:div>
    <w:div w:id="834493988">
      <w:bodyDiv w:val="1"/>
      <w:marLeft w:val="0"/>
      <w:marRight w:val="0"/>
      <w:marTop w:val="0"/>
      <w:marBottom w:val="0"/>
      <w:divBdr>
        <w:top w:val="none" w:sz="0" w:space="0" w:color="auto"/>
        <w:left w:val="none" w:sz="0" w:space="0" w:color="auto"/>
        <w:bottom w:val="none" w:sz="0" w:space="0" w:color="auto"/>
        <w:right w:val="none" w:sz="0" w:space="0" w:color="auto"/>
      </w:divBdr>
    </w:div>
    <w:div w:id="836650032">
      <w:bodyDiv w:val="1"/>
      <w:marLeft w:val="0"/>
      <w:marRight w:val="0"/>
      <w:marTop w:val="0"/>
      <w:marBottom w:val="0"/>
      <w:divBdr>
        <w:top w:val="none" w:sz="0" w:space="0" w:color="auto"/>
        <w:left w:val="none" w:sz="0" w:space="0" w:color="auto"/>
        <w:bottom w:val="none" w:sz="0" w:space="0" w:color="auto"/>
        <w:right w:val="none" w:sz="0" w:space="0" w:color="auto"/>
      </w:divBdr>
    </w:div>
    <w:div w:id="866454591">
      <w:bodyDiv w:val="1"/>
      <w:marLeft w:val="0"/>
      <w:marRight w:val="0"/>
      <w:marTop w:val="0"/>
      <w:marBottom w:val="0"/>
      <w:divBdr>
        <w:top w:val="none" w:sz="0" w:space="0" w:color="auto"/>
        <w:left w:val="none" w:sz="0" w:space="0" w:color="auto"/>
        <w:bottom w:val="none" w:sz="0" w:space="0" w:color="auto"/>
        <w:right w:val="none" w:sz="0" w:space="0" w:color="auto"/>
      </w:divBdr>
    </w:div>
    <w:div w:id="871575662">
      <w:bodyDiv w:val="1"/>
      <w:marLeft w:val="0"/>
      <w:marRight w:val="0"/>
      <w:marTop w:val="0"/>
      <w:marBottom w:val="0"/>
      <w:divBdr>
        <w:top w:val="none" w:sz="0" w:space="0" w:color="auto"/>
        <w:left w:val="none" w:sz="0" w:space="0" w:color="auto"/>
        <w:bottom w:val="none" w:sz="0" w:space="0" w:color="auto"/>
        <w:right w:val="none" w:sz="0" w:space="0" w:color="auto"/>
      </w:divBdr>
    </w:div>
    <w:div w:id="880939796">
      <w:bodyDiv w:val="1"/>
      <w:marLeft w:val="0"/>
      <w:marRight w:val="0"/>
      <w:marTop w:val="0"/>
      <w:marBottom w:val="0"/>
      <w:divBdr>
        <w:top w:val="none" w:sz="0" w:space="0" w:color="auto"/>
        <w:left w:val="none" w:sz="0" w:space="0" w:color="auto"/>
        <w:bottom w:val="none" w:sz="0" w:space="0" w:color="auto"/>
        <w:right w:val="none" w:sz="0" w:space="0" w:color="auto"/>
      </w:divBdr>
    </w:div>
    <w:div w:id="887838664">
      <w:bodyDiv w:val="1"/>
      <w:marLeft w:val="0"/>
      <w:marRight w:val="0"/>
      <w:marTop w:val="0"/>
      <w:marBottom w:val="0"/>
      <w:divBdr>
        <w:top w:val="none" w:sz="0" w:space="0" w:color="auto"/>
        <w:left w:val="none" w:sz="0" w:space="0" w:color="auto"/>
        <w:bottom w:val="none" w:sz="0" w:space="0" w:color="auto"/>
        <w:right w:val="none" w:sz="0" w:space="0" w:color="auto"/>
      </w:divBdr>
    </w:div>
    <w:div w:id="949240576">
      <w:bodyDiv w:val="1"/>
      <w:marLeft w:val="0"/>
      <w:marRight w:val="0"/>
      <w:marTop w:val="0"/>
      <w:marBottom w:val="0"/>
      <w:divBdr>
        <w:top w:val="none" w:sz="0" w:space="0" w:color="auto"/>
        <w:left w:val="none" w:sz="0" w:space="0" w:color="auto"/>
        <w:bottom w:val="none" w:sz="0" w:space="0" w:color="auto"/>
        <w:right w:val="none" w:sz="0" w:space="0" w:color="auto"/>
      </w:divBdr>
    </w:div>
    <w:div w:id="965357364">
      <w:bodyDiv w:val="1"/>
      <w:marLeft w:val="0"/>
      <w:marRight w:val="0"/>
      <w:marTop w:val="0"/>
      <w:marBottom w:val="0"/>
      <w:divBdr>
        <w:top w:val="none" w:sz="0" w:space="0" w:color="auto"/>
        <w:left w:val="none" w:sz="0" w:space="0" w:color="auto"/>
        <w:bottom w:val="none" w:sz="0" w:space="0" w:color="auto"/>
        <w:right w:val="none" w:sz="0" w:space="0" w:color="auto"/>
      </w:divBdr>
    </w:div>
    <w:div w:id="967053772">
      <w:bodyDiv w:val="1"/>
      <w:marLeft w:val="0"/>
      <w:marRight w:val="0"/>
      <w:marTop w:val="0"/>
      <w:marBottom w:val="0"/>
      <w:divBdr>
        <w:top w:val="none" w:sz="0" w:space="0" w:color="auto"/>
        <w:left w:val="none" w:sz="0" w:space="0" w:color="auto"/>
        <w:bottom w:val="none" w:sz="0" w:space="0" w:color="auto"/>
        <w:right w:val="none" w:sz="0" w:space="0" w:color="auto"/>
      </w:divBdr>
    </w:div>
    <w:div w:id="990905761">
      <w:bodyDiv w:val="1"/>
      <w:marLeft w:val="0"/>
      <w:marRight w:val="0"/>
      <w:marTop w:val="0"/>
      <w:marBottom w:val="0"/>
      <w:divBdr>
        <w:top w:val="none" w:sz="0" w:space="0" w:color="auto"/>
        <w:left w:val="none" w:sz="0" w:space="0" w:color="auto"/>
        <w:bottom w:val="none" w:sz="0" w:space="0" w:color="auto"/>
        <w:right w:val="none" w:sz="0" w:space="0" w:color="auto"/>
      </w:divBdr>
    </w:div>
    <w:div w:id="1004161253">
      <w:bodyDiv w:val="1"/>
      <w:marLeft w:val="0"/>
      <w:marRight w:val="0"/>
      <w:marTop w:val="0"/>
      <w:marBottom w:val="0"/>
      <w:divBdr>
        <w:top w:val="none" w:sz="0" w:space="0" w:color="auto"/>
        <w:left w:val="none" w:sz="0" w:space="0" w:color="auto"/>
        <w:bottom w:val="none" w:sz="0" w:space="0" w:color="auto"/>
        <w:right w:val="none" w:sz="0" w:space="0" w:color="auto"/>
      </w:divBdr>
    </w:div>
    <w:div w:id="1007514530">
      <w:bodyDiv w:val="1"/>
      <w:marLeft w:val="0"/>
      <w:marRight w:val="0"/>
      <w:marTop w:val="0"/>
      <w:marBottom w:val="0"/>
      <w:divBdr>
        <w:top w:val="none" w:sz="0" w:space="0" w:color="auto"/>
        <w:left w:val="none" w:sz="0" w:space="0" w:color="auto"/>
        <w:bottom w:val="none" w:sz="0" w:space="0" w:color="auto"/>
        <w:right w:val="none" w:sz="0" w:space="0" w:color="auto"/>
      </w:divBdr>
    </w:div>
    <w:div w:id="1028529993">
      <w:bodyDiv w:val="1"/>
      <w:marLeft w:val="0"/>
      <w:marRight w:val="0"/>
      <w:marTop w:val="0"/>
      <w:marBottom w:val="0"/>
      <w:divBdr>
        <w:top w:val="none" w:sz="0" w:space="0" w:color="auto"/>
        <w:left w:val="none" w:sz="0" w:space="0" w:color="auto"/>
        <w:bottom w:val="none" w:sz="0" w:space="0" w:color="auto"/>
        <w:right w:val="none" w:sz="0" w:space="0" w:color="auto"/>
      </w:divBdr>
    </w:div>
    <w:div w:id="1043748936">
      <w:bodyDiv w:val="1"/>
      <w:marLeft w:val="0"/>
      <w:marRight w:val="0"/>
      <w:marTop w:val="0"/>
      <w:marBottom w:val="0"/>
      <w:divBdr>
        <w:top w:val="none" w:sz="0" w:space="0" w:color="auto"/>
        <w:left w:val="none" w:sz="0" w:space="0" w:color="auto"/>
        <w:bottom w:val="none" w:sz="0" w:space="0" w:color="auto"/>
        <w:right w:val="none" w:sz="0" w:space="0" w:color="auto"/>
      </w:divBdr>
    </w:div>
    <w:div w:id="1064334180">
      <w:bodyDiv w:val="1"/>
      <w:marLeft w:val="0"/>
      <w:marRight w:val="0"/>
      <w:marTop w:val="0"/>
      <w:marBottom w:val="0"/>
      <w:divBdr>
        <w:top w:val="none" w:sz="0" w:space="0" w:color="auto"/>
        <w:left w:val="none" w:sz="0" w:space="0" w:color="auto"/>
        <w:bottom w:val="none" w:sz="0" w:space="0" w:color="auto"/>
        <w:right w:val="none" w:sz="0" w:space="0" w:color="auto"/>
      </w:divBdr>
    </w:div>
    <w:div w:id="1068651581">
      <w:bodyDiv w:val="1"/>
      <w:marLeft w:val="0"/>
      <w:marRight w:val="0"/>
      <w:marTop w:val="0"/>
      <w:marBottom w:val="0"/>
      <w:divBdr>
        <w:top w:val="none" w:sz="0" w:space="0" w:color="auto"/>
        <w:left w:val="none" w:sz="0" w:space="0" w:color="auto"/>
        <w:bottom w:val="none" w:sz="0" w:space="0" w:color="auto"/>
        <w:right w:val="none" w:sz="0" w:space="0" w:color="auto"/>
      </w:divBdr>
    </w:div>
    <w:div w:id="1074621827">
      <w:bodyDiv w:val="1"/>
      <w:marLeft w:val="0"/>
      <w:marRight w:val="0"/>
      <w:marTop w:val="0"/>
      <w:marBottom w:val="0"/>
      <w:divBdr>
        <w:top w:val="none" w:sz="0" w:space="0" w:color="auto"/>
        <w:left w:val="none" w:sz="0" w:space="0" w:color="auto"/>
        <w:bottom w:val="none" w:sz="0" w:space="0" w:color="auto"/>
        <w:right w:val="none" w:sz="0" w:space="0" w:color="auto"/>
      </w:divBdr>
    </w:div>
    <w:div w:id="1074814748">
      <w:bodyDiv w:val="1"/>
      <w:marLeft w:val="0"/>
      <w:marRight w:val="0"/>
      <w:marTop w:val="0"/>
      <w:marBottom w:val="0"/>
      <w:divBdr>
        <w:top w:val="none" w:sz="0" w:space="0" w:color="auto"/>
        <w:left w:val="none" w:sz="0" w:space="0" w:color="auto"/>
        <w:bottom w:val="none" w:sz="0" w:space="0" w:color="auto"/>
        <w:right w:val="none" w:sz="0" w:space="0" w:color="auto"/>
      </w:divBdr>
    </w:div>
    <w:div w:id="1088772822">
      <w:bodyDiv w:val="1"/>
      <w:marLeft w:val="0"/>
      <w:marRight w:val="0"/>
      <w:marTop w:val="0"/>
      <w:marBottom w:val="0"/>
      <w:divBdr>
        <w:top w:val="none" w:sz="0" w:space="0" w:color="auto"/>
        <w:left w:val="none" w:sz="0" w:space="0" w:color="auto"/>
        <w:bottom w:val="none" w:sz="0" w:space="0" w:color="auto"/>
        <w:right w:val="none" w:sz="0" w:space="0" w:color="auto"/>
      </w:divBdr>
    </w:div>
    <w:div w:id="1101415162">
      <w:bodyDiv w:val="1"/>
      <w:marLeft w:val="0"/>
      <w:marRight w:val="0"/>
      <w:marTop w:val="0"/>
      <w:marBottom w:val="0"/>
      <w:divBdr>
        <w:top w:val="none" w:sz="0" w:space="0" w:color="auto"/>
        <w:left w:val="none" w:sz="0" w:space="0" w:color="auto"/>
        <w:bottom w:val="none" w:sz="0" w:space="0" w:color="auto"/>
        <w:right w:val="none" w:sz="0" w:space="0" w:color="auto"/>
      </w:divBdr>
    </w:div>
    <w:div w:id="1108701595">
      <w:bodyDiv w:val="1"/>
      <w:marLeft w:val="0"/>
      <w:marRight w:val="0"/>
      <w:marTop w:val="0"/>
      <w:marBottom w:val="0"/>
      <w:divBdr>
        <w:top w:val="none" w:sz="0" w:space="0" w:color="auto"/>
        <w:left w:val="none" w:sz="0" w:space="0" w:color="auto"/>
        <w:bottom w:val="none" w:sz="0" w:space="0" w:color="auto"/>
        <w:right w:val="none" w:sz="0" w:space="0" w:color="auto"/>
      </w:divBdr>
    </w:div>
    <w:div w:id="1111390486">
      <w:bodyDiv w:val="1"/>
      <w:marLeft w:val="0"/>
      <w:marRight w:val="0"/>
      <w:marTop w:val="0"/>
      <w:marBottom w:val="0"/>
      <w:divBdr>
        <w:top w:val="none" w:sz="0" w:space="0" w:color="auto"/>
        <w:left w:val="none" w:sz="0" w:space="0" w:color="auto"/>
        <w:bottom w:val="none" w:sz="0" w:space="0" w:color="auto"/>
        <w:right w:val="none" w:sz="0" w:space="0" w:color="auto"/>
      </w:divBdr>
    </w:div>
    <w:div w:id="1130050738">
      <w:bodyDiv w:val="1"/>
      <w:marLeft w:val="0"/>
      <w:marRight w:val="0"/>
      <w:marTop w:val="0"/>
      <w:marBottom w:val="0"/>
      <w:divBdr>
        <w:top w:val="none" w:sz="0" w:space="0" w:color="auto"/>
        <w:left w:val="none" w:sz="0" w:space="0" w:color="auto"/>
        <w:bottom w:val="none" w:sz="0" w:space="0" w:color="auto"/>
        <w:right w:val="none" w:sz="0" w:space="0" w:color="auto"/>
      </w:divBdr>
    </w:div>
    <w:div w:id="1145464604">
      <w:bodyDiv w:val="1"/>
      <w:marLeft w:val="0"/>
      <w:marRight w:val="0"/>
      <w:marTop w:val="0"/>
      <w:marBottom w:val="0"/>
      <w:divBdr>
        <w:top w:val="none" w:sz="0" w:space="0" w:color="auto"/>
        <w:left w:val="none" w:sz="0" w:space="0" w:color="auto"/>
        <w:bottom w:val="none" w:sz="0" w:space="0" w:color="auto"/>
        <w:right w:val="none" w:sz="0" w:space="0" w:color="auto"/>
      </w:divBdr>
    </w:div>
    <w:div w:id="1213613066">
      <w:bodyDiv w:val="1"/>
      <w:marLeft w:val="0"/>
      <w:marRight w:val="0"/>
      <w:marTop w:val="0"/>
      <w:marBottom w:val="0"/>
      <w:divBdr>
        <w:top w:val="none" w:sz="0" w:space="0" w:color="auto"/>
        <w:left w:val="none" w:sz="0" w:space="0" w:color="auto"/>
        <w:bottom w:val="none" w:sz="0" w:space="0" w:color="auto"/>
        <w:right w:val="none" w:sz="0" w:space="0" w:color="auto"/>
      </w:divBdr>
    </w:div>
    <w:div w:id="1230850951">
      <w:bodyDiv w:val="1"/>
      <w:marLeft w:val="0"/>
      <w:marRight w:val="0"/>
      <w:marTop w:val="0"/>
      <w:marBottom w:val="0"/>
      <w:divBdr>
        <w:top w:val="none" w:sz="0" w:space="0" w:color="auto"/>
        <w:left w:val="none" w:sz="0" w:space="0" w:color="auto"/>
        <w:bottom w:val="none" w:sz="0" w:space="0" w:color="auto"/>
        <w:right w:val="none" w:sz="0" w:space="0" w:color="auto"/>
      </w:divBdr>
    </w:div>
    <w:div w:id="1237936604">
      <w:bodyDiv w:val="1"/>
      <w:marLeft w:val="0"/>
      <w:marRight w:val="0"/>
      <w:marTop w:val="0"/>
      <w:marBottom w:val="0"/>
      <w:divBdr>
        <w:top w:val="none" w:sz="0" w:space="0" w:color="auto"/>
        <w:left w:val="none" w:sz="0" w:space="0" w:color="auto"/>
        <w:bottom w:val="none" w:sz="0" w:space="0" w:color="auto"/>
        <w:right w:val="none" w:sz="0" w:space="0" w:color="auto"/>
      </w:divBdr>
    </w:div>
    <w:div w:id="1250843624">
      <w:bodyDiv w:val="1"/>
      <w:marLeft w:val="0"/>
      <w:marRight w:val="0"/>
      <w:marTop w:val="0"/>
      <w:marBottom w:val="0"/>
      <w:divBdr>
        <w:top w:val="none" w:sz="0" w:space="0" w:color="auto"/>
        <w:left w:val="none" w:sz="0" w:space="0" w:color="auto"/>
        <w:bottom w:val="none" w:sz="0" w:space="0" w:color="auto"/>
        <w:right w:val="none" w:sz="0" w:space="0" w:color="auto"/>
      </w:divBdr>
      <w:divsChild>
        <w:div w:id="55596543">
          <w:marLeft w:val="547"/>
          <w:marRight w:val="0"/>
          <w:marTop w:val="60"/>
          <w:marBottom w:val="60"/>
          <w:divBdr>
            <w:top w:val="none" w:sz="0" w:space="0" w:color="auto"/>
            <w:left w:val="none" w:sz="0" w:space="0" w:color="auto"/>
            <w:bottom w:val="none" w:sz="0" w:space="0" w:color="auto"/>
            <w:right w:val="none" w:sz="0" w:space="0" w:color="auto"/>
          </w:divBdr>
        </w:div>
        <w:div w:id="1105343720">
          <w:marLeft w:val="547"/>
          <w:marRight w:val="0"/>
          <w:marTop w:val="60"/>
          <w:marBottom w:val="60"/>
          <w:divBdr>
            <w:top w:val="none" w:sz="0" w:space="0" w:color="auto"/>
            <w:left w:val="none" w:sz="0" w:space="0" w:color="auto"/>
            <w:bottom w:val="none" w:sz="0" w:space="0" w:color="auto"/>
            <w:right w:val="none" w:sz="0" w:space="0" w:color="auto"/>
          </w:divBdr>
        </w:div>
        <w:div w:id="1385252390">
          <w:marLeft w:val="547"/>
          <w:marRight w:val="0"/>
          <w:marTop w:val="60"/>
          <w:marBottom w:val="60"/>
          <w:divBdr>
            <w:top w:val="none" w:sz="0" w:space="0" w:color="auto"/>
            <w:left w:val="none" w:sz="0" w:space="0" w:color="auto"/>
            <w:bottom w:val="none" w:sz="0" w:space="0" w:color="auto"/>
            <w:right w:val="none" w:sz="0" w:space="0" w:color="auto"/>
          </w:divBdr>
        </w:div>
        <w:div w:id="1858496520">
          <w:marLeft w:val="547"/>
          <w:marRight w:val="0"/>
          <w:marTop w:val="60"/>
          <w:marBottom w:val="60"/>
          <w:divBdr>
            <w:top w:val="none" w:sz="0" w:space="0" w:color="auto"/>
            <w:left w:val="none" w:sz="0" w:space="0" w:color="auto"/>
            <w:bottom w:val="none" w:sz="0" w:space="0" w:color="auto"/>
            <w:right w:val="none" w:sz="0" w:space="0" w:color="auto"/>
          </w:divBdr>
        </w:div>
      </w:divsChild>
    </w:div>
    <w:div w:id="1268611627">
      <w:bodyDiv w:val="1"/>
      <w:marLeft w:val="0"/>
      <w:marRight w:val="0"/>
      <w:marTop w:val="0"/>
      <w:marBottom w:val="0"/>
      <w:divBdr>
        <w:top w:val="none" w:sz="0" w:space="0" w:color="auto"/>
        <w:left w:val="none" w:sz="0" w:space="0" w:color="auto"/>
        <w:bottom w:val="none" w:sz="0" w:space="0" w:color="auto"/>
        <w:right w:val="none" w:sz="0" w:space="0" w:color="auto"/>
      </w:divBdr>
    </w:div>
    <w:div w:id="1310093790">
      <w:bodyDiv w:val="1"/>
      <w:marLeft w:val="0"/>
      <w:marRight w:val="0"/>
      <w:marTop w:val="0"/>
      <w:marBottom w:val="0"/>
      <w:divBdr>
        <w:top w:val="none" w:sz="0" w:space="0" w:color="auto"/>
        <w:left w:val="none" w:sz="0" w:space="0" w:color="auto"/>
        <w:bottom w:val="none" w:sz="0" w:space="0" w:color="auto"/>
        <w:right w:val="none" w:sz="0" w:space="0" w:color="auto"/>
      </w:divBdr>
    </w:div>
    <w:div w:id="1314069002">
      <w:bodyDiv w:val="1"/>
      <w:marLeft w:val="0"/>
      <w:marRight w:val="0"/>
      <w:marTop w:val="0"/>
      <w:marBottom w:val="0"/>
      <w:divBdr>
        <w:top w:val="none" w:sz="0" w:space="0" w:color="auto"/>
        <w:left w:val="none" w:sz="0" w:space="0" w:color="auto"/>
        <w:bottom w:val="none" w:sz="0" w:space="0" w:color="auto"/>
        <w:right w:val="none" w:sz="0" w:space="0" w:color="auto"/>
      </w:divBdr>
    </w:div>
    <w:div w:id="1329603368">
      <w:bodyDiv w:val="1"/>
      <w:marLeft w:val="0"/>
      <w:marRight w:val="0"/>
      <w:marTop w:val="0"/>
      <w:marBottom w:val="0"/>
      <w:divBdr>
        <w:top w:val="none" w:sz="0" w:space="0" w:color="auto"/>
        <w:left w:val="none" w:sz="0" w:space="0" w:color="auto"/>
        <w:bottom w:val="none" w:sz="0" w:space="0" w:color="auto"/>
        <w:right w:val="none" w:sz="0" w:space="0" w:color="auto"/>
      </w:divBdr>
    </w:div>
    <w:div w:id="1345207740">
      <w:bodyDiv w:val="1"/>
      <w:marLeft w:val="0"/>
      <w:marRight w:val="0"/>
      <w:marTop w:val="0"/>
      <w:marBottom w:val="0"/>
      <w:divBdr>
        <w:top w:val="none" w:sz="0" w:space="0" w:color="auto"/>
        <w:left w:val="none" w:sz="0" w:space="0" w:color="auto"/>
        <w:bottom w:val="none" w:sz="0" w:space="0" w:color="auto"/>
        <w:right w:val="none" w:sz="0" w:space="0" w:color="auto"/>
      </w:divBdr>
    </w:div>
    <w:div w:id="1381049995">
      <w:bodyDiv w:val="1"/>
      <w:marLeft w:val="0"/>
      <w:marRight w:val="0"/>
      <w:marTop w:val="0"/>
      <w:marBottom w:val="0"/>
      <w:divBdr>
        <w:top w:val="none" w:sz="0" w:space="0" w:color="auto"/>
        <w:left w:val="none" w:sz="0" w:space="0" w:color="auto"/>
        <w:bottom w:val="none" w:sz="0" w:space="0" w:color="auto"/>
        <w:right w:val="none" w:sz="0" w:space="0" w:color="auto"/>
      </w:divBdr>
    </w:div>
    <w:div w:id="1389187897">
      <w:bodyDiv w:val="1"/>
      <w:marLeft w:val="0"/>
      <w:marRight w:val="0"/>
      <w:marTop w:val="0"/>
      <w:marBottom w:val="0"/>
      <w:divBdr>
        <w:top w:val="none" w:sz="0" w:space="0" w:color="auto"/>
        <w:left w:val="none" w:sz="0" w:space="0" w:color="auto"/>
        <w:bottom w:val="none" w:sz="0" w:space="0" w:color="auto"/>
        <w:right w:val="none" w:sz="0" w:space="0" w:color="auto"/>
      </w:divBdr>
    </w:div>
    <w:div w:id="1413890143">
      <w:bodyDiv w:val="1"/>
      <w:marLeft w:val="0"/>
      <w:marRight w:val="0"/>
      <w:marTop w:val="0"/>
      <w:marBottom w:val="0"/>
      <w:divBdr>
        <w:top w:val="none" w:sz="0" w:space="0" w:color="auto"/>
        <w:left w:val="none" w:sz="0" w:space="0" w:color="auto"/>
        <w:bottom w:val="none" w:sz="0" w:space="0" w:color="auto"/>
        <w:right w:val="none" w:sz="0" w:space="0" w:color="auto"/>
      </w:divBdr>
    </w:div>
    <w:div w:id="1428112211">
      <w:bodyDiv w:val="1"/>
      <w:marLeft w:val="0"/>
      <w:marRight w:val="0"/>
      <w:marTop w:val="0"/>
      <w:marBottom w:val="0"/>
      <w:divBdr>
        <w:top w:val="none" w:sz="0" w:space="0" w:color="auto"/>
        <w:left w:val="none" w:sz="0" w:space="0" w:color="auto"/>
        <w:bottom w:val="none" w:sz="0" w:space="0" w:color="auto"/>
        <w:right w:val="none" w:sz="0" w:space="0" w:color="auto"/>
      </w:divBdr>
    </w:div>
    <w:div w:id="1498110980">
      <w:bodyDiv w:val="1"/>
      <w:marLeft w:val="0"/>
      <w:marRight w:val="0"/>
      <w:marTop w:val="0"/>
      <w:marBottom w:val="0"/>
      <w:divBdr>
        <w:top w:val="none" w:sz="0" w:space="0" w:color="auto"/>
        <w:left w:val="none" w:sz="0" w:space="0" w:color="auto"/>
        <w:bottom w:val="none" w:sz="0" w:space="0" w:color="auto"/>
        <w:right w:val="none" w:sz="0" w:space="0" w:color="auto"/>
      </w:divBdr>
    </w:div>
    <w:div w:id="1507132260">
      <w:bodyDiv w:val="1"/>
      <w:marLeft w:val="0"/>
      <w:marRight w:val="0"/>
      <w:marTop w:val="0"/>
      <w:marBottom w:val="0"/>
      <w:divBdr>
        <w:top w:val="none" w:sz="0" w:space="0" w:color="auto"/>
        <w:left w:val="none" w:sz="0" w:space="0" w:color="auto"/>
        <w:bottom w:val="none" w:sz="0" w:space="0" w:color="auto"/>
        <w:right w:val="none" w:sz="0" w:space="0" w:color="auto"/>
      </w:divBdr>
    </w:div>
    <w:div w:id="1519807518">
      <w:bodyDiv w:val="1"/>
      <w:marLeft w:val="0"/>
      <w:marRight w:val="0"/>
      <w:marTop w:val="0"/>
      <w:marBottom w:val="0"/>
      <w:divBdr>
        <w:top w:val="none" w:sz="0" w:space="0" w:color="auto"/>
        <w:left w:val="none" w:sz="0" w:space="0" w:color="auto"/>
        <w:bottom w:val="none" w:sz="0" w:space="0" w:color="auto"/>
        <w:right w:val="none" w:sz="0" w:space="0" w:color="auto"/>
      </w:divBdr>
    </w:div>
    <w:div w:id="1530609521">
      <w:bodyDiv w:val="1"/>
      <w:marLeft w:val="0"/>
      <w:marRight w:val="0"/>
      <w:marTop w:val="0"/>
      <w:marBottom w:val="0"/>
      <w:divBdr>
        <w:top w:val="none" w:sz="0" w:space="0" w:color="auto"/>
        <w:left w:val="none" w:sz="0" w:space="0" w:color="auto"/>
        <w:bottom w:val="none" w:sz="0" w:space="0" w:color="auto"/>
        <w:right w:val="none" w:sz="0" w:space="0" w:color="auto"/>
      </w:divBdr>
    </w:div>
    <w:div w:id="1536386517">
      <w:bodyDiv w:val="1"/>
      <w:marLeft w:val="0"/>
      <w:marRight w:val="0"/>
      <w:marTop w:val="0"/>
      <w:marBottom w:val="0"/>
      <w:divBdr>
        <w:top w:val="none" w:sz="0" w:space="0" w:color="auto"/>
        <w:left w:val="none" w:sz="0" w:space="0" w:color="auto"/>
        <w:bottom w:val="none" w:sz="0" w:space="0" w:color="auto"/>
        <w:right w:val="none" w:sz="0" w:space="0" w:color="auto"/>
      </w:divBdr>
    </w:div>
    <w:div w:id="1538657991">
      <w:bodyDiv w:val="1"/>
      <w:marLeft w:val="0"/>
      <w:marRight w:val="0"/>
      <w:marTop w:val="0"/>
      <w:marBottom w:val="0"/>
      <w:divBdr>
        <w:top w:val="none" w:sz="0" w:space="0" w:color="auto"/>
        <w:left w:val="none" w:sz="0" w:space="0" w:color="auto"/>
        <w:bottom w:val="none" w:sz="0" w:space="0" w:color="auto"/>
        <w:right w:val="none" w:sz="0" w:space="0" w:color="auto"/>
      </w:divBdr>
    </w:div>
    <w:div w:id="1584487202">
      <w:bodyDiv w:val="1"/>
      <w:marLeft w:val="0"/>
      <w:marRight w:val="0"/>
      <w:marTop w:val="0"/>
      <w:marBottom w:val="0"/>
      <w:divBdr>
        <w:top w:val="none" w:sz="0" w:space="0" w:color="auto"/>
        <w:left w:val="none" w:sz="0" w:space="0" w:color="auto"/>
        <w:bottom w:val="none" w:sz="0" w:space="0" w:color="auto"/>
        <w:right w:val="none" w:sz="0" w:space="0" w:color="auto"/>
      </w:divBdr>
    </w:div>
    <w:div w:id="1597636679">
      <w:bodyDiv w:val="1"/>
      <w:marLeft w:val="0"/>
      <w:marRight w:val="0"/>
      <w:marTop w:val="0"/>
      <w:marBottom w:val="0"/>
      <w:divBdr>
        <w:top w:val="none" w:sz="0" w:space="0" w:color="auto"/>
        <w:left w:val="none" w:sz="0" w:space="0" w:color="auto"/>
        <w:bottom w:val="none" w:sz="0" w:space="0" w:color="auto"/>
        <w:right w:val="none" w:sz="0" w:space="0" w:color="auto"/>
      </w:divBdr>
    </w:div>
    <w:div w:id="1675762637">
      <w:bodyDiv w:val="1"/>
      <w:marLeft w:val="0"/>
      <w:marRight w:val="0"/>
      <w:marTop w:val="0"/>
      <w:marBottom w:val="0"/>
      <w:divBdr>
        <w:top w:val="none" w:sz="0" w:space="0" w:color="auto"/>
        <w:left w:val="none" w:sz="0" w:space="0" w:color="auto"/>
        <w:bottom w:val="none" w:sz="0" w:space="0" w:color="auto"/>
        <w:right w:val="none" w:sz="0" w:space="0" w:color="auto"/>
      </w:divBdr>
    </w:div>
    <w:div w:id="1708485780">
      <w:bodyDiv w:val="1"/>
      <w:marLeft w:val="0"/>
      <w:marRight w:val="0"/>
      <w:marTop w:val="0"/>
      <w:marBottom w:val="0"/>
      <w:divBdr>
        <w:top w:val="none" w:sz="0" w:space="0" w:color="auto"/>
        <w:left w:val="none" w:sz="0" w:space="0" w:color="auto"/>
        <w:bottom w:val="none" w:sz="0" w:space="0" w:color="auto"/>
        <w:right w:val="none" w:sz="0" w:space="0" w:color="auto"/>
      </w:divBdr>
    </w:div>
    <w:div w:id="1771662564">
      <w:bodyDiv w:val="1"/>
      <w:marLeft w:val="0"/>
      <w:marRight w:val="0"/>
      <w:marTop w:val="0"/>
      <w:marBottom w:val="0"/>
      <w:divBdr>
        <w:top w:val="none" w:sz="0" w:space="0" w:color="auto"/>
        <w:left w:val="none" w:sz="0" w:space="0" w:color="auto"/>
        <w:bottom w:val="none" w:sz="0" w:space="0" w:color="auto"/>
        <w:right w:val="none" w:sz="0" w:space="0" w:color="auto"/>
      </w:divBdr>
    </w:div>
    <w:div w:id="1852404333">
      <w:bodyDiv w:val="1"/>
      <w:marLeft w:val="0"/>
      <w:marRight w:val="0"/>
      <w:marTop w:val="0"/>
      <w:marBottom w:val="0"/>
      <w:divBdr>
        <w:top w:val="none" w:sz="0" w:space="0" w:color="auto"/>
        <w:left w:val="none" w:sz="0" w:space="0" w:color="auto"/>
        <w:bottom w:val="none" w:sz="0" w:space="0" w:color="auto"/>
        <w:right w:val="none" w:sz="0" w:space="0" w:color="auto"/>
      </w:divBdr>
    </w:div>
    <w:div w:id="1854221202">
      <w:bodyDiv w:val="1"/>
      <w:marLeft w:val="0"/>
      <w:marRight w:val="0"/>
      <w:marTop w:val="0"/>
      <w:marBottom w:val="0"/>
      <w:divBdr>
        <w:top w:val="none" w:sz="0" w:space="0" w:color="auto"/>
        <w:left w:val="none" w:sz="0" w:space="0" w:color="auto"/>
        <w:bottom w:val="none" w:sz="0" w:space="0" w:color="auto"/>
        <w:right w:val="none" w:sz="0" w:space="0" w:color="auto"/>
      </w:divBdr>
    </w:div>
    <w:div w:id="1881091745">
      <w:bodyDiv w:val="1"/>
      <w:marLeft w:val="0"/>
      <w:marRight w:val="0"/>
      <w:marTop w:val="0"/>
      <w:marBottom w:val="0"/>
      <w:divBdr>
        <w:top w:val="none" w:sz="0" w:space="0" w:color="auto"/>
        <w:left w:val="none" w:sz="0" w:space="0" w:color="auto"/>
        <w:bottom w:val="none" w:sz="0" w:space="0" w:color="auto"/>
        <w:right w:val="none" w:sz="0" w:space="0" w:color="auto"/>
      </w:divBdr>
    </w:div>
    <w:div w:id="1887326866">
      <w:bodyDiv w:val="1"/>
      <w:marLeft w:val="0"/>
      <w:marRight w:val="0"/>
      <w:marTop w:val="0"/>
      <w:marBottom w:val="0"/>
      <w:divBdr>
        <w:top w:val="none" w:sz="0" w:space="0" w:color="auto"/>
        <w:left w:val="none" w:sz="0" w:space="0" w:color="auto"/>
        <w:bottom w:val="none" w:sz="0" w:space="0" w:color="auto"/>
        <w:right w:val="none" w:sz="0" w:space="0" w:color="auto"/>
      </w:divBdr>
    </w:div>
    <w:div w:id="1898591899">
      <w:bodyDiv w:val="1"/>
      <w:marLeft w:val="0"/>
      <w:marRight w:val="0"/>
      <w:marTop w:val="0"/>
      <w:marBottom w:val="0"/>
      <w:divBdr>
        <w:top w:val="none" w:sz="0" w:space="0" w:color="auto"/>
        <w:left w:val="none" w:sz="0" w:space="0" w:color="auto"/>
        <w:bottom w:val="none" w:sz="0" w:space="0" w:color="auto"/>
        <w:right w:val="none" w:sz="0" w:space="0" w:color="auto"/>
      </w:divBdr>
    </w:div>
    <w:div w:id="1904901078">
      <w:bodyDiv w:val="1"/>
      <w:marLeft w:val="0"/>
      <w:marRight w:val="0"/>
      <w:marTop w:val="0"/>
      <w:marBottom w:val="0"/>
      <w:divBdr>
        <w:top w:val="none" w:sz="0" w:space="0" w:color="auto"/>
        <w:left w:val="none" w:sz="0" w:space="0" w:color="auto"/>
        <w:bottom w:val="none" w:sz="0" w:space="0" w:color="auto"/>
        <w:right w:val="none" w:sz="0" w:space="0" w:color="auto"/>
      </w:divBdr>
      <w:divsChild>
        <w:div w:id="88084956">
          <w:marLeft w:val="0"/>
          <w:marRight w:val="0"/>
          <w:marTop w:val="0"/>
          <w:marBottom w:val="0"/>
          <w:divBdr>
            <w:top w:val="none" w:sz="0" w:space="0" w:color="auto"/>
            <w:left w:val="none" w:sz="0" w:space="0" w:color="auto"/>
            <w:bottom w:val="none" w:sz="0" w:space="0" w:color="auto"/>
            <w:right w:val="none" w:sz="0" w:space="0" w:color="auto"/>
          </w:divBdr>
          <w:divsChild>
            <w:div w:id="216015281">
              <w:marLeft w:val="0"/>
              <w:marRight w:val="0"/>
              <w:marTop w:val="0"/>
              <w:marBottom w:val="0"/>
              <w:divBdr>
                <w:top w:val="none" w:sz="0" w:space="0" w:color="auto"/>
                <w:left w:val="none" w:sz="0" w:space="0" w:color="auto"/>
                <w:bottom w:val="none" w:sz="0" w:space="0" w:color="auto"/>
                <w:right w:val="none" w:sz="0" w:space="0" w:color="auto"/>
              </w:divBdr>
              <w:divsChild>
                <w:div w:id="1630626703">
                  <w:marLeft w:val="0"/>
                  <w:marRight w:val="0"/>
                  <w:marTop w:val="0"/>
                  <w:marBottom w:val="0"/>
                  <w:divBdr>
                    <w:top w:val="none" w:sz="0" w:space="0" w:color="auto"/>
                    <w:left w:val="none" w:sz="0" w:space="0" w:color="auto"/>
                    <w:bottom w:val="none" w:sz="0" w:space="0" w:color="auto"/>
                    <w:right w:val="none" w:sz="0" w:space="0" w:color="auto"/>
                  </w:divBdr>
                  <w:divsChild>
                    <w:div w:id="157498358">
                      <w:marLeft w:val="0"/>
                      <w:marRight w:val="0"/>
                      <w:marTop w:val="0"/>
                      <w:marBottom w:val="0"/>
                      <w:divBdr>
                        <w:top w:val="none" w:sz="0" w:space="0" w:color="auto"/>
                        <w:left w:val="none" w:sz="0" w:space="0" w:color="auto"/>
                        <w:bottom w:val="none" w:sz="0" w:space="0" w:color="auto"/>
                        <w:right w:val="none" w:sz="0" w:space="0" w:color="auto"/>
                      </w:divBdr>
                      <w:divsChild>
                        <w:div w:id="1960837444">
                          <w:marLeft w:val="0"/>
                          <w:marRight w:val="0"/>
                          <w:marTop w:val="450"/>
                          <w:marBottom w:val="0"/>
                          <w:divBdr>
                            <w:top w:val="none" w:sz="0" w:space="0" w:color="auto"/>
                            <w:left w:val="none" w:sz="0" w:space="0" w:color="auto"/>
                            <w:bottom w:val="none" w:sz="0" w:space="0" w:color="auto"/>
                            <w:right w:val="none" w:sz="0" w:space="0" w:color="auto"/>
                          </w:divBdr>
                          <w:divsChild>
                            <w:div w:id="16800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04321">
      <w:bodyDiv w:val="1"/>
      <w:marLeft w:val="0"/>
      <w:marRight w:val="0"/>
      <w:marTop w:val="0"/>
      <w:marBottom w:val="0"/>
      <w:divBdr>
        <w:top w:val="none" w:sz="0" w:space="0" w:color="auto"/>
        <w:left w:val="none" w:sz="0" w:space="0" w:color="auto"/>
        <w:bottom w:val="none" w:sz="0" w:space="0" w:color="auto"/>
        <w:right w:val="none" w:sz="0" w:space="0" w:color="auto"/>
      </w:divBdr>
    </w:div>
    <w:div w:id="1933734078">
      <w:bodyDiv w:val="1"/>
      <w:marLeft w:val="0"/>
      <w:marRight w:val="0"/>
      <w:marTop w:val="0"/>
      <w:marBottom w:val="0"/>
      <w:divBdr>
        <w:top w:val="none" w:sz="0" w:space="0" w:color="auto"/>
        <w:left w:val="none" w:sz="0" w:space="0" w:color="auto"/>
        <w:bottom w:val="none" w:sz="0" w:space="0" w:color="auto"/>
        <w:right w:val="none" w:sz="0" w:space="0" w:color="auto"/>
      </w:divBdr>
    </w:div>
    <w:div w:id="1939480681">
      <w:bodyDiv w:val="1"/>
      <w:marLeft w:val="0"/>
      <w:marRight w:val="0"/>
      <w:marTop w:val="0"/>
      <w:marBottom w:val="0"/>
      <w:divBdr>
        <w:top w:val="none" w:sz="0" w:space="0" w:color="auto"/>
        <w:left w:val="none" w:sz="0" w:space="0" w:color="auto"/>
        <w:bottom w:val="none" w:sz="0" w:space="0" w:color="auto"/>
        <w:right w:val="none" w:sz="0" w:space="0" w:color="auto"/>
      </w:divBdr>
    </w:div>
    <w:div w:id="1978486956">
      <w:bodyDiv w:val="1"/>
      <w:marLeft w:val="0"/>
      <w:marRight w:val="0"/>
      <w:marTop w:val="0"/>
      <w:marBottom w:val="0"/>
      <w:divBdr>
        <w:top w:val="none" w:sz="0" w:space="0" w:color="auto"/>
        <w:left w:val="none" w:sz="0" w:space="0" w:color="auto"/>
        <w:bottom w:val="none" w:sz="0" w:space="0" w:color="auto"/>
        <w:right w:val="none" w:sz="0" w:space="0" w:color="auto"/>
      </w:divBdr>
    </w:div>
    <w:div w:id="1981033873">
      <w:bodyDiv w:val="1"/>
      <w:marLeft w:val="0"/>
      <w:marRight w:val="0"/>
      <w:marTop w:val="0"/>
      <w:marBottom w:val="0"/>
      <w:divBdr>
        <w:top w:val="none" w:sz="0" w:space="0" w:color="auto"/>
        <w:left w:val="none" w:sz="0" w:space="0" w:color="auto"/>
        <w:bottom w:val="none" w:sz="0" w:space="0" w:color="auto"/>
        <w:right w:val="none" w:sz="0" w:space="0" w:color="auto"/>
      </w:divBdr>
    </w:div>
    <w:div w:id="1981224847">
      <w:bodyDiv w:val="1"/>
      <w:marLeft w:val="0"/>
      <w:marRight w:val="0"/>
      <w:marTop w:val="0"/>
      <w:marBottom w:val="0"/>
      <w:divBdr>
        <w:top w:val="none" w:sz="0" w:space="0" w:color="auto"/>
        <w:left w:val="none" w:sz="0" w:space="0" w:color="auto"/>
        <w:bottom w:val="none" w:sz="0" w:space="0" w:color="auto"/>
        <w:right w:val="none" w:sz="0" w:space="0" w:color="auto"/>
      </w:divBdr>
    </w:div>
    <w:div w:id="2027632117">
      <w:bodyDiv w:val="1"/>
      <w:marLeft w:val="0"/>
      <w:marRight w:val="0"/>
      <w:marTop w:val="0"/>
      <w:marBottom w:val="0"/>
      <w:divBdr>
        <w:top w:val="none" w:sz="0" w:space="0" w:color="auto"/>
        <w:left w:val="none" w:sz="0" w:space="0" w:color="auto"/>
        <w:bottom w:val="none" w:sz="0" w:space="0" w:color="auto"/>
        <w:right w:val="none" w:sz="0" w:space="0" w:color="auto"/>
      </w:divBdr>
    </w:div>
    <w:div w:id="2028557256">
      <w:bodyDiv w:val="1"/>
      <w:marLeft w:val="0"/>
      <w:marRight w:val="0"/>
      <w:marTop w:val="0"/>
      <w:marBottom w:val="0"/>
      <w:divBdr>
        <w:top w:val="none" w:sz="0" w:space="0" w:color="auto"/>
        <w:left w:val="none" w:sz="0" w:space="0" w:color="auto"/>
        <w:bottom w:val="none" w:sz="0" w:space="0" w:color="auto"/>
        <w:right w:val="none" w:sz="0" w:space="0" w:color="auto"/>
      </w:divBdr>
    </w:div>
    <w:div w:id="2030597592">
      <w:bodyDiv w:val="1"/>
      <w:marLeft w:val="0"/>
      <w:marRight w:val="0"/>
      <w:marTop w:val="0"/>
      <w:marBottom w:val="0"/>
      <w:divBdr>
        <w:top w:val="none" w:sz="0" w:space="0" w:color="auto"/>
        <w:left w:val="none" w:sz="0" w:space="0" w:color="auto"/>
        <w:bottom w:val="none" w:sz="0" w:space="0" w:color="auto"/>
        <w:right w:val="none" w:sz="0" w:space="0" w:color="auto"/>
      </w:divBdr>
    </w:div>
    <w:div w:id="2042514368">
      <w:bodyDiv w:val="1"/>
      <w:marLeft w:val="0"/>
      <w:marRight w:val="0"/>
      <w:marTop w:val="0"/>
      <w:marBottom w:val="0"/>
      <w:divBdr>
        <w:top w:val="none" w:sz="0" w:space="0" w:color="auto"/>
        <w:left w:val="none" w:sz="0" w:space="0" w:color="auto"/>
        <w:bottom w:val="none" w:sz="0" w:space="0" w:color="auto"/>
        <w:right w:val="none" w:sz="0" w:space="0" w:color="auto"/>
      </w:divBdr>
    </w:div>
    <w:div w:id="2059936218">
      <w:bodyDiv w:val="1"/>
      <w:marLeft w:val="0"/>
      <w:marRight w:val="0"/>
      <w:marTop w:val="0"/>
      <w:marBottom w:val="0"/>
      <w:divBdr>
        <w:top w:val="none" w:sz="0" w:space="0" w:color="auto"/>
        <w:left w:val="none" w:sz="0" w:space="0" w:color="auto"/>
        <w:bottom w:val="none" w:sz="0" w:space="0" w:color="auto"/>
        <w:right w:val="none" w:sz="0" w:space="0" w:color="auto"/>
      </w:divBdr>
    </w:div>
    <w:div w:id="2062170655">
      <w:bodyDiv w:val="1"/>
      <w:marLeft w:val="0"/>
      <w:marRight w:val="0"/>
      <w:marTop w:val="0"/>
      <w:marBottom w:val="0"/>
      <w:divBdr>
        <w:top w:val="none" w:sz="0" w:space="0" w:color="auto"/>
        <w:left w:val="none" w:sz="0" w:space="0" w:color="auto"/>
        <w:bottom w:val="none" w:sz="0" w:space="0" w:color="auto"/>
        <w:right w:val="none" w:sz="0" w:space="0" w:color="auto"/>
      </w:divBdr>
    </w:div>
    <w:div w:id="207836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chart" Target="charts/chart22.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chart" Target="charts/chart18.xml"/><Relationship Id="rId42" Type="http://schemas.openxmlformats.org/officeDocument/2006/relationships/hyperlink" Target="http://www.esfondi.lv/page.php?id=613"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cid:image010.jpg@01CBC3A8.FD1A1C60" TargetMode="Externa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chart" Target="charts/chart21.xm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cid:image011.png@01CBC3A8.FD1A1C60" TargetMode="External"/><Relationship Id="rId20" Type="http://schemas.openxmlformats.org/officeDocument/2006/relationships/chart" Target="charts/chart4.xml"/><Relationship Id="rId29" Type="http://schemas.openxmlformats.org/officeDocument/2006/relationships/chart" Target="charts/chart13.xml"/><Relationship Id="rId41" Type="http://schemas.openxmlformats.org/officeDocument/2006/relationships/chart" Target="charts/chart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chart" Target="charts/chart20.xml"/><Relationship Id="rId40" Type="http://schemas.openxmlformats.org/officeDocument/2006/relationships/chart" Target="charts/chart23.xm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chart" Target="charts/chart19.xml"/><Relationship Id="rId49" Type="http://schemas.openxmlformats.org/officeDocument/2006/relationships/header" Target="header3.xml"/><Relationship Id="rId10" Type="http://schemas.openxmlformats.org/officeDocument/2006/relationships/image" Target="cid:image006.jpg@01CBC3A8.FD1A1C60" TargetMode="External"/><Relationship Id="rId19" Type="http://schemas.openxmlformats.org/officeDocument/2006/relationships/chart" Target="charts/chart3.xml"/><Relationship Id="rId31" Type="http://schemas.openxmlformats.org/officeDocument/2006/relationships/chart" Target="charts/chart15.xml"/><Relationship Id="rId44" Type="http://schemas.openxmlformats.org/officeDocument/2006/relationships/hyperlink" Target="http://www.esfondi.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cid:image009.jpg@01CBC3A8.FD1A1C60" TargetMode="Externa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image" Target="media/image5.png"/><Relationship Id="rId43" Type="http://schemas.openxmlformats.org/officeDocument/2006/relationships/hyperlink" Target="http://www.esfondi.lv" TargetMode="Externa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ilex\FUD\IEVIE&#352;ANAS%20UZRAUDZ&#298;BA\ZI&#325;OJUMI_MAKS&#256;JUMU%20PROGNOZES%20EK\VI%20cet.zi&#326;oj.par%20ES%20fondu%20apguvi\1%20-%20MK\2011.gads\15.%20-%2011.11.2011\MK%20zi&#326;ojuma%20projekts\Grafiki\ES%20fondu%20apguve%20uz%2030.09.201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ilex\FUD\IEVIE&#352;ANAS%20UZRAUDZ&#298;BA\ZI&#325;OJUMI_MAKS&#256;JUMU%20PROGNOZES%20EK\VI%20cet.zi&#326;oj.par%20ES%20fondu%20apguvi\1%20-%20MK\2011.gads\15.%20-%2011.11.2011\MK%20zi&#326;ojuma%20projekts\Grafiki\Finansu%20instrumenti_pl&#257;notais_izpilde_30.09.20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ilex\FUD\IEVIE&#352;ANAS%20UZRAUDZ&#298;BA\ZI&#325;OJUMI_MAKS&#256;JUMU%20PROGNOZES%20EK\VI%20cet.zi&#326;oj.par%20ES%20fondu%20apguvi\1%20-%20MK\2011.gads\15.%20-%2011.11.2011\MK%20zi&#326;ojuma%20projekts\Grafiki\Finansu%20instrumenti_pl&#257;notais_izpilde_30.09.201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fud-lauga\AppData\Local\Microsoft\Windows\Temporary%20Internet%20Files\Content.Outlook\6O82G6F7\Info_EM.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ilex\FUD\IEVIE&#352;ANAS%20UZRAUDZ&#298;BA\ZI&#325;OJUMI_MAKS&#256;JUMU%20PROGNOZES%20EK\VI%20cet.zi&#326;oj.par%20ES%20fondu%20apguvi\1%20-%20MK\2011.gads\15.%20-%2011.11.2011\MK%20zi&#326;ojuma%20projekts\Grafiki\Finansu%20instrumenti_pl&#257;notais_izpilde_30.09.201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ilex\FUD\IEVIE&#352;ANAS%20UZRAUDZ&#298;BA\ZI&#325;OJUMI_MAKS&#256;JUMU%20PROGNOZES%20EK\VI%20cet.zi&#326;oj.par%20ES%20fondu%20apguvi\1%20-%20MK\2011.gads\15.%20-%2011.11.2011\MK%20zi&#326;ojuma%20projekts\Grafiki\ES%20fondu%20apguve%20uz%2030.09.2011..xlsx" TargetMode="Externa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6.xml.rels><?xml version="1.0" encoding="UTF-8" standalone="yes"?>
<Relationships xmlns="http://schemas.openxmlformats.org/package/2006/relationships"><Relationship Id="rId1" Type="http://schemas.openxmlformats.org/officeDocument/2006/relationships/oleObject" Target="file:///\\filex\FUD\VADO&#352;&#256;%20IEST&#256;DE\ES%20FONDU%20UZRAUDZ&#298;BAS%20DEPARTAMENTS\INFO%20APKOPOJUMI\NMS%20grafiki\EK%20maks&#257;jumi%20vis&#257;m%20dal&#299;bvalst&#299;m%20uz%2028.09.2011.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filex\FUD\IEVIE&#352;ANAS%20UZRAUDZ&#298;BA\ZI&#325;OJUMI_MAKS&#256;JUMU%20PROGNOZES%20EK\VI%20cet.zi&#326;oj.par%20ES%20fondu%20apguvi\1%20-%20MK\2011.gads\15.%20-%2011.11.2011\MK%20zi&#326;ojuma%20projekts\Grafiki\3B%20grafiki_MK_dati%20uz%2031.08.11_28.09.201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filex\FUD\EEZ_NOR_SWISS_UZRAUDZIBA\EEZ%20NOR\ES%20SF%20cet%20zinojums%20par%20fondu%20apguvi\III%202011\Inga\3_cet_zin_plan_faktisk_uz%2030%2008%202011.xls" TargetMode="External"/></Relationships>
</file>

<file path=word/charts/_rels/chart19.xml.rels><?xml version="1.0" encoding="UTF-8" standalone="yes"?>
<Relationships xmlns="http://schemas.openxmlformats.org/package/2006/relationships"><Relationship Id="rId2" Type="http://schemas.openxmlformats.org/officeDocument/2006/relationships/oleObject" Target="file:///C:\Documents%20and%20Settings\fi-liepi\My%20Documents\Swiss_grafiks%20uz%2007062011.xls" TargetMode="External"/><Relationship Id="rId1" Type="http://schemas.openxmlformats.org/officeDocument/2006/relationships/themeOverride" Target="../theme/themeOverride2.xml"/></Relationships>
</file>

<file path=word/charts/_rels/chart2.xml.rels><?xml version="1.0" encoding="UTF-8" standalone="yes"?>
<Relationships xmlns="http://schemas.openxmlformats.org/package/2006/relationships"><Relationship Id="rId1" Type="http://schemas.openxmlformats.org/officeDocument/2006/relationships/oleObject" Target="file:///\\filex\FUD\IEVIE&#352;ANAS%20UZRAUDZ&#298;BA\ZI&#325;OJUMI_MAKS&#256;JUMU%20PROGNOZES%20EK\VI%20cet.zi&#326;oj.par%20ES%20fondu%20apguvi\1%20-%20MK\2011.gads\15.%20-%2011.11.2011\MK%20zi&#326;ojuma%20projekts\Grafiki\2011%20g%20_merki_pa%20menesiem_25.10.201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filex\FUD\EEZ_NOR_SWISS_UZRAUDZIBA\Diana%20Liepina\Swiss%20projektu%202011%20gada%20budzeta%20apguve_MK%20zi&#326;ojumam.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filex\FVD\NEATBILST&#298;BAS\MK%20zi&#326;ojumi%20Neatb%20sada&#316;a\2011_III.%20cet\MK_3ceti_zinoj_25102011\2011.3.cet%20anal&#299;ze.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filex\FVD\NEATBILST&#298;BAS\MK%20zi&#326;ojumi%20Neatb%20sada&#316;a\2011_III.%20cet\MK_3ceti_zinoj_25102011\2011.3.cet%20anal&#299;ze.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filex\FVD\NEATBILST&#298;BAS\MK%20zi&#326;ojumi%20Neatb%20sada&#316;a\2011_III.%20cet\MK_3ceti_zinoj_25102011\2011.3.cet%20anal&#299;ze.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filex\FUD\NEATBILST&#298;BAS\MK%20zi&#326;ojumi%20Neatb%20sada&#316;a\2011_III.%20cet\NVI%20un%20Zaud%20V.%20bud&#382;.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ilex\FUD\IEVIE&#352;ANAS%20UZRAUDZ&#298;BA\ZI&#325;OJUMI_MAKS&#256;JUMU%20PROGNOZES%20EK\VI%20cet.zi&#326;oj.par%20ES%20fondu%20apguvi\1%20-%20MK\2011.gads\15.%20-%2011.11.2011\MK%20zi&#326;ojuma%20projekts\Grafiki\AI%202011.g.%20m&#275;r&#311;i_izpilde%20uz%2030.09.20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x\FUD\IEVIE&#352;ANAS%20UZRAUDZ&#298;BA\ZI&#325;OJUMI_MAKS&#256;JUMU%20PROGNOZES%20EK\VI%20cet.zi&#326;oj.par%20ES%20fondu%20apguvi\1%20-%20MK\2011.gads\15.%20-%2011.11.2011\MK%20zi&#326;ojuma%20projekts\Grafiki\ESfondi_2012-2014baze_23031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x\FUD\IEVIE&#352;ANAS%20UZRAUDZ&#298;BA\ZI&#325;OJUMI_MAKS&#256;JUMU%20PROGNOZES%20EK\VI%20cet.zi&#326;oj.par%20ES%20fondu%20apguvi\1%20-%20MK\2011.gads\15.%20-%2011.11.2011\Darba%20materi&#257;li\avansu_dzesanas_prognozes_grafikam.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ilex\FUD\IEVIE&#352;ANAS%20UZRAUDZ&#298;BA\ZI&#325;OJUMI_MAKS&#256;JUMU%20PROGNOZES%20EK\VI%20cet.zi&#326;oj.par%20ES%20fondu%20apguvi\1%20-%20MK\2011.gads\15.%20-%2011.11.2011\MK%20zi&#326;ojuma%20projekts\Grafiki\ES%20fondu%20apguve%20uz%2030.09.20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ilex\FUD\IEVIE&#352;ANAS%20UZRAUDZ&#298;BA\ZI&#325;OJUMI_MAKS&#256;JUMU%20PROGNOZES%20EK\VI%20cet.zi&#326;oj.par%20ES%20fondu%20apguvi\1%20-%20MK\2011.gads\15.%20-%2011.11.2011\MK%20zi&#326;ojuma%20projekts\Grafiki\ES%20fondu%20apguve%20uz%2030.09.20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ilex\FUD\IEVIE&#352;ANAS%20UZRAUDZ&#298;BA\ZI&#325;OJUMI_MAKS&#256;JUMU%20PROGNOZES%20EK\VI%20cet.zi&#326;oj.par%20ES%20fondu%20apguvi\1%20-%20MK\2011.gads\15.%20-%2011.11.2011\MK%20zi&#326;ojuma%20projekts\Grafiki\Fin_Instr_Apguve_uz%2031082011_precizets%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40108358369195968"/>
          <c:y val="9.3142852493076735E-4"/>
          <c:w val="0.52733528501245042"/>
          <c:h val="0.85981105617051057"/>
        </c:manualLayout>
      </c:layout>
      <c:bar3DChart>
        <c:barDir val="bar"/>
        <c:grouping val="clustered"/>
        <c:varyColors val="1"/>
        <c:ser>
          <c:idx val="0"/>
          <c:order val="0"/>
          <c:invertIfNegative val="0"/>
          <c:dLbls>
            <c:dLbl>
              <c:idx val="0"/>
              <c:layout/>
              <c:tx>
                <c:rich>
                  <a:bodyPr/>
                  <a:lstStyle/>
                  <a:p>
                    <a:r>
                      <a:rPr lang="en-US" sz="1000"/>
                      <a:t>1 306,1</a:t>
                    </a:r>
                    <a:r>
                      <a:rPr lang="lv-LV" sz="1000"/>
                      <a:t> (37,7%);3,5%</a:t>
                    </a:r>
                    <a:endParaRPr lang="en-US"/>
                  </a:p>
                </c:rich>
              </c:tx>
              <c:showLegendKey val="0"/>
              <c:showVal val="1"/>
              <c:showCatName val="0"/>
              <c:showSerName val="0"/>
              <c:showPercent val="0"/>
              <c:showBubbleSize val="0"/>
            </c:dLbl>
            <c:dLbl>
              <c:idx val="1"/>
              <c:layout/>
              <c:tx>
                <c:rich>
                  <a:bodyPr/>
                  <a:lstStyle/>
                  <a:p>
                    <a:r>
                      <a:rPr lang="en-US" sz="1000"/>
                      <a:t>2 803,7</a:t>
                    </a:r>
                    <a:r>
                      <a:rPr lang="lv-LV" sz="1000"/>
                      <a:t> (80,9%);2,0%</a:t>
                    </a:r>
                    <a:endParaRPr lang="en-US"/>
                  </a:p>
                </c:rich>
              </c:tx>
              <c:showLegendKey val="0"/>
              <c:showVal val="1"/>
              <c:showCatName val="0"/>
              <c:showSerName val="0"/>
              <c:showPercent val="0"/>
              <c:showBubbleSize val="0"/>
            </c:dLbl>
            <c:dLbl>
              <c:idx val="2"/>
              <c:layout/>
              <c:tx>
                <c:rich>
                  <a:bodyPr/>
                  <a:lstStyle/>
                  <a:p>
                    <a:r>
                      <a:rPr lang="en-US" sz="1000"/>
                      <a:t>2 943,8</a:t>
                    </a:r>
                    <a:r>
                      <a:rPr lang="lv-LV" sz="1000"/>
                      <a:t> (85,0%);3,2%</a:t>
                    </a:r>
                    <a:endParaRPr lang="en-US"/>
                  </a:p>
                </c:rich>
              </c:tx>
              <c:showLegendKey val="0"/>
              <c:showVal val="1"/>
              <c:showCatName val="0"/>
              <c:showSerName val="0"/>
              <c:showPercent val="0"/>
              <c:showBubbleSize val="0"/>
            </c:dLbl>
            <c:dLbl>
              <c:idx val="3"/>
              <c:layout/>
              <c:tx>
                <c:rich>
                  <a:bodyPr/>
                  <a:lstStyle/>
                  <a:p>
                    <a:r>
                      <a:rPr lang="en-US" sz="1000"/>
                      <a:t>3 463,9</a:t>
                    </a:r>
                    <a:r>
                      <a:rPr lang="lv-LV" sz="1000"/>
                      <a:t> (100%)</a:t>
                    </a:r>
                    <a:endParaRPr lang="en-US"/>
                  </a:p>
                </c:rich>
              </c:tx>
              <c:showLegendKey val="0"/>
              <c:showVal val="1"/>
              <c:showCatName val="0"/>
              <c:showSerName val="0"/>
              <c:showPercent val="0"/>
              <c:showBubbleSize val="0"/>
            </c:dLbl>
            <c:numFmt formatCode="#,##0.0" sourceLinked="0"/>
            <c:txPr>
              <a:bodyPr/>
              <a:lstStyle/>
              <a:p>
                <a:pPr>
                  <a:defRPr sz="1000"/>
                </a:pPr>
                <a:endParaRPr lang="lv-LV"/>
              </a:p>
            </c:txPr>
            <c:showLegendKey val="0"/>
            <c:showVal val="1"/>
            <c:showCatName val="0"/>
            <c:showSerName val="0"/>
            <c:showPercent val="0"/>
            <c:showBubbleSize val="0"/>
            <c:showLeaderLines val="0"/>
          </c:dLbls>
          <c:cat>
            <c:strRef>
              <c:f>'Finanšu apguve līdz 30.06.2011.'!$A$16:$A$19</c:f>
              <c:strCache>
                <c:ptCount val="4"/>
                <c:pt idx="0">
                  <c:v>Izmaksāts finansējuma saņēmējam </c:v>
                </c:pt>
                <c:pt idx="1">
                  <c:v>Noslēgti līgumi</c:v>
                </c:pt>
                <c:pt idx="2">
                  <c:v>Apstiprinātie projekti</c:v>
                </c:pt>
                <c:pt idx="3">
                  <c:v>Kopā pieejamais publiskais finansējums</c:v>
                </c:pt>
              </c:strCache>
            </c:strRef>
          </c:cat>
          <c:val>
            <c:numRef>
              <c:f>'Finanšu apguve līdz 30.06.2011.'!$B$16:$B$19</c:f>
              <c:numCache>
                <c:formatCode>0.0</c:formatCode>
                <c:ptCount val="4"/>
                <c:pt idx="0">
                  <c:v>1306111001.1599998</c:v>
                </c:pt>
                <c:pt idx="1">
                  <c:v>2803719743.02</c:v>
                </c:pt>
                <c:pt idx="2">
                  <c:v>2943768816.2199998</c:v>
                </c:pt>
                <c:pt idx="3">
                  <c:v>3463864228.8500004</c:v>
                </c:pt>
              </c:numCache>
            </c:numRef>
          </c:val>
        </c:ser>
        <c:dLbls>
          <c:showLegendKey val="0"/>
          <c:showVal val="0"/>
          <c:showCatName val="0"/>
          <c:showSerName val="0"/>
          <c:showPercent val="0"/>
          <c:showBubbleSize val="0"/>
        </c:dLbls>
        <c:gapWidth val="150"/>
        <c:shape val="box"/>
        <c:axId val="98718464"/>
        <c:axId val="98759808"/>
        <c:axId val="0"/>
      </c:bar3DChart>
      <c:catAx>
        <c:axId val="98718464"/>
        <c:scaling>
          <c:orientation val="minMax"/>
        </c:scaling>
        <c:delete val="0"/>
        <c:axPos val="l"/>
        <c:majorTickMark val="out"/>
        <c:minorTickMark val="none"/>
        <c:tickLblPos val="nextTo"/>
        <c:crossAx val="98759808"/>
        <c:crosses val="autoZero"/>
        <c:auto val="1"/>
        <c:lblAlgn val="ctr"/>
        <c:lblOffset val="100"/>
        <c:noMultiLvlLbl val="0"/>
      </c:catAx>
      <c:valAx>
        <c:axId val="98759808"/>
        <c:scaling>
          <c:orientation val="minMax"/>
        </c:scaling>
        <c:delete val="0"/>
        <c:axPos val="b"/>
        <c:majorGridlines/>
        <c:numFmt formatCode="0" sourceLinked="0"/>
        <c:majorTickMark val="out"/>
        <c:minorTickMark val="none"/>
        <c:tickLblPos val="nextTo"/>
        <c:crossAx val="98718464"/>
        <c:crosses val="autoZero"/>
        <c:crossBetween val="between"/>
        <c:majorUnit val="1000000000"/>
        <c:minorUnit val="400000000"/>
        <c:dispUnits>
          <c:builtInUnit val="millions"/>
        </c:dispUnits>
      </c:valAx>
    </c:plotArea>
    <c:plotVisOnly val="1"/>
    <c:dispBlanksAs val="gap"/>
    <c:showDLblsOverMax val="0"/>
  </c:chart>
  <c:spPr>
    <a:noFill/>
    <a:ln>
      <a:noFill/>
    </a:ln>
  </c:spPr>
  <c:txPr>
    <a:bodyPr/>
    <a:lstStyle/>
    <a:p>
      <a:pPr>
        <a:defRPr sz="1100">
          <a:latin typeface="Times New Roman" pitchFamily="18" charset="0"/>
          <a:cs typeface="Times New Roman" pitchFamily="18" charset="0"/>
        </a:defRPr>
      </a:pPr>
      <a:endParaRPr lang="lv-LV"/>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Grafiki!$A$13</c:f>
              <c:strCache>
                <c:ptCount val="1"/>
                <c:pt idx="0">
                  <c:v>2.2.1.1.akt. "Ieguldījumu fonds" </c:v>
                </c:pt>
              </c:strCache>
            </c:strRef>
          </c:tx>
          <c:invertIfNegative val="0"/>
          <c:dPt>
            <c:idx val="1"/>
            <c:invertIfNegative val="0"/>
            <c:bubble3D val="0"/>
            <c:spPr>
              <a:solidFill>
                <a:schemeClr val="accent2"/>
              </a:solidFill>
            </c:spPr>
          </c:dPt>
          <c:dLbls>
            <c:dLbl>
              <c:idx val="0"/>
              <c:layout>
                <c:manualLayout>
                  <c:x val="4.3290043290043288E-2"/>
                  <c:y val="-3.1531542715309183E-2"/>
                </c:manualLayout>
              </c:layout>
              <c:tx>
                <c:rich>
                  <a:bodyPr/>
                  <a:lstStyle/>
                  <a:p>
                    <a:r>
                      <a:rPr lang="en-US"/>
                      <a:t>7,1</a:t>
                    </a:r>
                    <a:r>
                      <a:rPr lang="lv-LV"/>
                      <a:t> (100%)</a:t>
                    </a:r>
                    <a:endParaRPr lang="en-US"/>
                  </a:p>
                </c:rich>
              </c:tx>
              <c:showLegendKey val="0"/>
              <c:showVal val="1"/>
              <c:showCatName val="0"/>
              <c:showSerName val="0"/>
              <c:showPercent val="0"/>
              <c:showBubbleSize val="0"/>
            </c:dLbl>
            <c:dLbl>
              <c:idx val="1"/>
              <c:layout>
                <c:manualLayout>
                  <c:x val="4.3290043290043288E-2"/>
                  <c:y val="-3.1531542715309183E-2"/>
                </c:manualLayout>
              </c:layout>
              <c:tx>
                <c:rich>
                  <a:bodyPr/>
                  <a:lstStyle/>
                  <a:p>
                    <a:r>
                      <a:rPr lang="en-US"/>
                      <a:t>6,4</a:t>
                    </a:r>
                    <a:r>
                      <a:rPr lang="lv-LV"/>
                      <a:t> (90,1%)</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Grafiki!$B$12:$C$12</c:f>
              <c:strCache>
                <c:ptCount val="2"/>
                <c:pt idx="0">
                  <c:v>Plānotais uz 31.12.2011.</c:v>
                </c:pt>
                <c:pt idx="1">
                  <c:v>Izpilde uz 30.09.2011.</c:v>
                </c:pt>
              </c:strCache>
            </c:strRef>
          </c:cat>
          <c:val>
            <c:numRef>
              <c:f>Grafiki!$B$13:$C$13</c:f>
              <c:numCache>
                <c:formatCode>0.0</c:formatCode>
                <c:ptCount val="2"/>
                <c:pt idx="0" formatCode="General">
                  <c:v>7.1</c:v>
                </c:pt>
                <c:pt idx="1">
                  <c:v>6.4</c:v>
                </c:pt>
              </c:numCache>
            </c:numRef>
          </c:val>
        </c:ser>
        <c:dLbls>
          <c:showLegendKey val="0"/>
          <c:showVal val="1"/>
          <c:showCatName val="0"/>
          <c:showSerName val="0"/>
          <c:showPercent val="0"/>
          <c:showBubbleSize val="0"/>
        </c:dLbls>
        <c:gapWidth val="150"/>
        <c:shape val="box"/>
        <c:axId val="71349376"/>
        <c:axId val="71356800"/>
        <c:axId val="0"/>
      </c:bar3DChart>
      <c:catAx>
        <c:axId val="71349376"/>
        <c:scaling>
          <c:orientation val="minMax"/>
        </c:scaling>
        <c:delete val="0"/>
        <c:axPos val="b"/>
        <c:majorTickMark val="out"/>
        <c:minorTickMark val="none"/>
        <c:tickLblPos val="nextTo"/>
        <c:crossAx val="71356800"/>
        <c:crosses val="autoZero"/>
        <c:auto val="1"/>
        <c:lblAlgn val="ctr"/>
        <c:lblOffset val="100"/>
        <c:noMultiLvlLbl val="0"/>
      </c:catAx>
      <c:valAx>
        <c:axId val="71356800"/>
        <c:scaling>
          <c:orientation val="minMax"/>
        </c:scaling>
        <c:delete val="0"/>
        <c:axPos val="l"/>
        <c:majorGridlines/>
        <c:numFmt formatCode="General" sourceLinked="1"/>
        <c:majorTickMark val="out"/>
        <c:minorTickMark val="none"/>
        <c:tickLblPos val="nextTo"/>
        <c:crossAx val="71349376"/>
        <c:crosses val="autoZero"/>
        <c:crossBetween val="between"/>
      </c:valAx>
    </c:plotArea>
    <c:plotVisOnly val="1"/>
    <c:dispBlanksAs val="gap"/>
    <c:showDLblsOverMax val="0"/>
  </c:chart>
  <c:spPr>
    <a:ln>
      <a:noFill/>
    </a:ln>
  </c:spPr>
  <c:txPr>
    <a:bodyPr/>
    <a:lstStyle/>
    <a:p>
      <a:pPr>
        <a:defRPr sz="1100">
          <a:latin typeface="Times New Roman" pitchFamily="18" charset="0"/>
          <a:cs typeface="Times New Roman" pitchFamily="18" charset="0"/>
        </a:defRPr>
      </a:pPr>
      <a:endParaRPr lang="lv-LV"/>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1826247870331998"/>
          <c:y val="9.9775078722447147E-2"/>
          <c:w val="0.84153284293410691"/>
          <c:h val="0.6710879759276952"/>
        </c:manualLayout>
      </c:layout>
      <c:bar3DChart>
        <c:barDir val="col"/>
        <c:grouping val="clustered"/>
        <c:varyColors val="0"/>
        <c:ser>
          <c:idx val="0"/>
          <c:order val="0"/>
          <c:tx>
            <c:strRef>
              <c:f>Grafiki!$A$14</c:f>
              <c:strCache>
                <c:ptCount val="1"/>
                <c:pt idx="0">
                  <c:v>2.2.1.3.akt. "Garantiju programma" </c:v>
                </c:pt>
              </c:strCache>
            </c:strRef>
          </c:tx>
          <c:invertIfNegative val="0"/>
          <c:dPt>
            <c:idx val="1"/>
            <c:invertIfNegative val="0"/>
            <c:bubble3D val="0"/>
            <c:spPr>
              <a:solidFill>
                <a:schemeClr val="accent2"/>
              </a:solidFill>
            </c:spPr>
          </c:dPt>
          <c:dLbls>
            <c:dLbl>
              <c:idx val="0"/>
              <c:layout>
                <c:manualLayout>
                  <c:x val="2.5000000000000001E-2"/>
                  <c:y val="-4.6296296296296294E-3"/>
                </c:manualLayout>
              </c:layout>
              <c:tx>
                <c:rich>
                  <a:bodyPr/>
                  <a:lstStyle/>
                  <a:p>
                    <a:r>
                      <a:rPr lang="en-US"/>
                      <a:t>142,3</a:t>
                    </a:r>
                    <a:r>
                      <a:rPr lang="lv-LV"/>
                      <a:t> (100%)</a:t>
                    </a:r>
                    <a:endParaRPr lang="en-US"/>
                  </a:p>
                </c:rich>
              </c:tx>
              <c:showLegendKey val="0"/>
              <c:showVal val="1"/>
              <c:showCatName val="0"/>
              <c:showSerName val="0"/>
              <c:showPercent val="0"/>
              <c:showBubbleSize val="0"/>
            </c:dLbl>
            <c:dLbl>
              <c:idx val="1"/>
              <c:layout>
                <c:manualLayout>
                  <c:x val="5.2777777777777778E-2"/>
                  <c:y val="-3.2407407407407406E-2"/>
                </c:manualLayout>
              </c:layout>
              <c:tx>
                <c:rich>
                  <a:bodyPr/>
                  <a:lstStyle/>
                  <a:p>
                    <a:r>
                      <a:rPr lang="en-US"/>
                      <a:t>89,5</a:t>
                    </a:r>
                    <a:r>
                      <a:rPr lang="lv-LV"/>
                      <a:t> (62,9%)</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Grafiki!$B$12:$C$12</c:f>
              <c:strCache>
                <c:ptCount val="2"/>
                <c:pt idx="0">
                  <c:v>Plānotais līdz 31.12.2011.</c:v>
                </c:pt>
                <c:pt idx="1">
                  <c:v>Izpilde līdz 30.09.2011.</c:v>
                </c:pt>
              </c:strCache>
            </c:strRef>
          </c:cat>
          <c:val>
            <c:numRef>
              <c:f>Grafiki!$B$14:$C$14</c:f>
              <c:numCache>
                <c:formatCode>0.0</c:formatCode>
                <c:ptCount val="2"/>
                <c:pt idx="0">
                  <c:v>142.30000000000001</c:v>
                </c:pt>
                <c:pt idx="1">
                  <c:v>89.5</c:v>
                </c:pt>
              </c:numCache>
            </c:numRef>
          </c:val>
        </c:ser>
        <c:dLbls>
          <c:showLegendKey val="0"/>
          <c:showVal val="1"/>
          <c:showCatName val="0"/>
          <c:showSerName val="0"/>
          <c:showPercent val="0"/>
          <c:showBubbleSize val="0"/>
        </c:dLbls>
        <c:gapWidth val="150"/>
        <c:shape val="box"/>
        <c:axId val="71831552"/>
        <c:axId val="71834624"/>
        <c:axId val="0"/>
      </c:bar3DChart>
      <c:catAx>
        <c:axId val="71831552"/>
        <c:scaling>
          <c:orientation val="minMax"/>
        </c:scaling>
        <c:delete val="0"/>
        <c:axPos val="b"/>
        <c:majorTickMark val="out"/>
        <c:minorTickMark val="none"/>
        <c:tickLblPos val="nextTo"/>
        <c:crossAx val="71834624"/>
        <c:crosses val="autoZero"/>
        <c:auto val="1"/>
        <c:lblAlgn val="ctr"/>
        <c:lblOffset val="100"/>
        <c:noMultiLvlLbl val="0"/>
      </c:catAx>
      <c:valAx>
        <c:axId val="71834624"/>
        <c:scaling>
          <c:orientation val="minMax"/>
        </c:scaling>
        <c:delete val="0"/>
        <c:axPos val="l"/>
        <c:majorGridlines/>
        <c:numFmt formatCode="0" sourceLinked="0"/>
        <c:majorTickMark val="out"/>
        <c:minorTickMark val="none"/>
        <c:tickLblPos val="nextTo"/>
        <c:crossAx val="71831552"/>
        <c:crosses val="autoZero"/>
        <c:crossBetween val="between"/>
      </c:valAx>
    </c:plotArea>
    <c:plotVisOnly val="1"/>
    <c:dispBlanksAs val="gap"/>
    <c:showDLblsOverMax val="0"/>
  </c:chart>
  <c:spPr>
    <a:ln>
      <a:noFill/>
    </a:ln>
  </c:spPr>
  <c:txPr>
    <a:bodyPr/>
    <a:lstStyle/>
    <a:p>
      <a:pPr>
        <a:defRPr sz="1100">
          <a:latin typeface="Times New Roman" pitchFamily="18" charset="0"/>
          <a:cs typeface="Times New Roman" pitchFamily="18" charset="0"/>
        </a:defRPr>
      </a:pPr>
      <a:endParaRPr lang="lv-LV"/>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863563929508808E-2"/>
          <c:y val="8.7412954499568679E-2"/>
          <c:w val="0.56770809898762653"/>
          <c:h val="0.88927702219040805"/>
        </c:manualLayout>
      </c:layout>
      <c:pieChart>
        <c:varyColors val="1"/>
        <c:ser>
          <c:idx val="0"/>
          <c:order val="0"/>
          <c:tx>
            <c:strRef>
              <c:f>[Info_EM.xls]Sheet3!$C$3</c:f>
              <c:strCache>
                <c:ptCount val="1"/>
                <c:pt idx="0">
                  <c:v>Garantiju kopsumma LVL</c:v>
                </c:pt>
              </c:strCache>
            </c:strRef>
          </c:tx>
          <c:spPr>
            <a:ln w="12700">
              <a:solidFill>
                <a:srgbClr val="000000"/>
              </a:solidFill>
              <a:prstDash val="solid"/>
            </a:ln>
          </c:spPr>
          <c:dPt>
            <c:idx val="0"/>
            <c:bubble3D val="0"/>
            <c:spPr>
              <a:solidFill>
                <a:srgbClr val="8080FF"/>
              </a:solidFill>
              <a:ln w="12700">
                <a:solidFill>
                  <a:srgbClr val="000000"/>
                </a:solidFill>
                <a:prstDash val="solid"/>
              </a:ln>
            </c:spPr>
          </c:dPt>
          <c:dPt>
            <c:idx val="1"/>
            <c:bubble3D val="0"/>
            <c:spPr>
              <a:solidFill>
                <a:srgbClr val="802060"/>
              </a:solidFill>
              <a:ln w="12700">
                <a:solidFill>
                  <a:srgbClr val="000000"/>
                </a:solidFill>
                <a:prstDash val="solid"/>
              </a:ln>
            </c:spPr>
          </c:dPt>
          <c:dPt>
            <c:idx val="2"/>
            <c:bubble3D val="0"/>
            <c:spPr>
              <a:solidFill>
                <a:srgbClr val="FFFFC0"/>
              </a:solidFill>
              <a:ln w="12700">
                <a:solidFill>
                  <a:srgbClr val="000000"/>
                </a:solidFill>
                <a:prstDash val="solid"/>
              </a:ln>
            </c:spPr>
          </c:dPt>
          <c:dPt>
            <c:idx val="3"/>
            <c:bubble3D val="0"/>
            <c:spPr>
              <a:solidFill>
                <a:srgbClr val="A0E0E0"/>
              </a:solidFill>
              <a:ln w="12700">
                <a:solidFill>
                  <a:srgbClr val="000000"/>
                </a:solidFill>
                <a:prstDash val="solid"/>
              </a:ln>
            </c:spPr>
          </c:dPt>
          <c:dPt>
            <c:idx val="4"/>
            <c:bubble3D val="0"/>
            <c:spPr>
              <a:solidFill>
                <a:srgbClr val="600080"/>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C0C0C0"/>
              </a:solidFill>
              <a:ln w="12700">
                <a:solidFill>
                  <a:srgbClr val="000000"/>
                </a:solidFill>
                <a:prstDash val="solid"/>
              </a:ln>
            </c:spPr>
          </c:dPt>
          <c:dLbls>
            <c:numFmt formatCode="0%" sourceLinked="0"/>
            <c:spPr>
              <a:noFill/>
              <a:ln w="25400">
                <a:noFill/>
              </a:ln>
            </c:spPr>
            <c:showLegendKey val="0"/>
            <c:showVal val="0"/>
            <c:showCatName val="0"/>
            <c:showSerName val="0"/>
            <c:showPercent val="1"/>
            <c:showBubbleSize val="0"/>
            <c:showLeaderLines val="1"/>
          </c:dLbls>
          <c:cat>
            <c:strRef>
              <c:f>[Info_EM.xls]Sheet3!$B$22:$B$27</c:f>
              <c:strCache>
                <c:ptCount val="6"/>
                <c:pt idx="0">
                  <c:v>Rīga</c:v>
                </c:pt>
                <c:pt idx="1">
                  <c:v>Kurzeme</c:v>
                </c:pt>
                <c:pt idx="2">
                  <c:v>Rīgas reģions</c:v>
                </c:pt>
                <c:pt idx="3">
                  <c:v>Zemgale</c:v>
                </c:pt>
                <c:pt idx="4">
                  <c:v>Vidzeme</c:v>
                </c:pt>
                <c:pt idx="5">
                  <c:v>Latgale</c:v>
                </c:pt>
              </c:strCache>
            </c:strRef>
          </c:cat>
          <c:val>
            <c:numRef>
              <c:f>[Info_EM.xls]Sheet3!$C$22:$C$27</c:f>
              <c:numCache>
                <c:formatCode>General</c:formatCode>
                <c:ptCount val="6"/>
                <c:pt idx="0">
                  <c:v>27998929.700000007</c:v>
                </c:pt>
                <c:pt idx="1">
                  <c:v>17450055.460000001</c:v>
                </c:pt>
                <c:pt idx="2">
                  <c:v>16678737.08</c:v>
                </c:pt>
                <c:pt idx="3">
                  <c:v>14912784.080000002</c:v>
                </c:pt>
                <c:pt idx="4">
                  <c:v>8544980.5099999979</c:v>
                </c:pt>
                <c:pt idx="5">
                  <c:v>1299097.92</c:v>
                </c:pt>
              </c:numCache>
            </c:numRef>
          </c:val>
        </c:ser>
        <c:dLbls>
          <c:showLegendKey val="0"/>
          <c:showVal val="0"/>
          <c:showCatName val="0"/>
          <c:showSerName val="0"/>
          <c:showPercent val="1"/>
          <c:showBubbleSize val="0"/>
          <c:showLeaderLines val="1"/>
        </c:dLbls>
        <c:firstSliceAng val="0"/>
      </c:pieChart>
      <c:spPr>
        <a:noFill/>
        <a:ln w="25400">
          <a:noFill/>
        </a:ln>
      </c:spPr>
    </c:plotArea>
    <c:legend>
      <c:legendPos val="r"/>
      <c:layout>
        <c:manualLayout>
          <c:xMode val="edge"/>
          <c:yMode val="edge"/>
          <c:x val="0.65441081055102091"/>
          <c:y val="4.3611834085592847E-2"/>
          <c:w val="0.29425562649022891"/>
          <c:h val="0.92573532035674178"/>
        </c:manualLayout>
      </c:layout>
      <c:overlay val="0"/>
      <c:spPr>
        <a:solidFill>
          <a:srgbClr val="FFFFFF"/>
        </a:solidFill>
        <a:ln w="3175">
          <a:noFill/>
          <a:prstDash val="solid"/>
        </a:ln>
      </c:spPr>
    </c:legend>
    <c:plotVisOnly val="1"/>
    <c:dispBlanksAs val="zero"/>
    <c:showDLblsOverMax val="0"/>
  </c:chart>
  <c:spPr>
    <a:solidFill>
      <a:srgbClr val="FFFFFF"/>
    </a:solidFill>
    <a:ln w="9525">
      <a:noFill/>
    </a:ln>
  </c:spPr>
  <c:txPr>
    <a:bodyPr/>
    <a:lstStyle/>
    <a:p>
      <a:pPr>
        <a:defRPr sz="1200" b="0" i="0" u="none" strike="noStrike" baseline="0">
          <a:solidFill>
            <a:srgbClr val="000000"/>
          </a:solidFill>
          <a:latin typeface="Times New Roman" pitchFamily="18" charset="0"/>
          <a:ea typeface="Franklin Gothic Book"/>
          <a:cs typeface="Times New Roman" pitchFamily="18" charset="0"/>
        </a:defRPr>
      </a:pPr>
      <a:endParaRPr lang="lv-LV"/>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8.5248144436372034E-2"/>
          <c:y val="6.0058629035006986E-2"/>
          <c:w val="0.91475177008709452"/>
          <c:h val="0.65031388484989394"/>
        </c:manualLayout>
      </c:layout>
      <c:bar3DChart>
        <c:barDir val="col"/>
        <c:grouping val="clustered"/>
        <c:varyColors val="0"/>
        <c:ser>
          <c:idx val="0"/>
          <c:order val="0"/>
          <c:tx>
            <c:strRef>
              <c:f>Grafiki!$A$15</c:f>
              <c:strCache>
                <c:ptCount val="1"/>
                <c:pt idx="0">
                  <c:v>2.2.1.4.akt. "Aizdevumu programma" </c:v>
                </c:pt>
              </c:strCache>
            </c:strRef>
          </c:tx>
          <c:invertIfNegative val="0"/>
          <c:dPt>
            <c:idx val="1"/>
            <c:invertIfNegative val="0"/>
            <c:bubble3D val="0"/>
            <c:spPr>
              <a:solidFill>
                <a:schemeClr val="accent2"/>
              </a:solidFill>
            </c:spPr>
          </c:dPt>
          <c:dLbls>
            <c:dLbl>
              <c:idx val="0"/>
              <c:layout>
                <c:manualLayout>
                  <c:x val="3.888888888888889E-2"/>
                  <c:y val="-4.329004329004329E-3"/>
                </c:manualLayout>
              </c:layout>
              <c:tx>
                <c:rich>
                  <a:bodyPr/>
                  <a:lstStyle/>
                  <a:p>
                    <a:r>
                      <a:rPr lang="en-US"/>
                      <a:t>58,6</a:t>
                    </a:r>
                    <a:r>
                      <a:rPr lang="lv-LV"/>
                      <a:t> (100%)</a:t>
                    </a:r>
                    <a:endParaRPr lang="en-US"/>
                  </a:p>
                </c:rich>
              </c:tx>
              <c:showLegendKey val="0"/>
              <c:showVal val="1"/>
              <c:showCatName val="0"/>
              <c:showSerName val="0"/>
              <c:showPercent val="0"/>
              <c:showBubbleSize val="0"/>
            </c:dLbl>
            <c:dLbl>
              <c:idx val="1"/>
              <c:layout>
                <c:manualLayout>
                  <c:x val="4.7222222222222221E-2"/>
                  <c:y val="-3.4632034632034632E-2"/>
                </c:manualLayout>
              </c:layout>
              <c:tx>
                <c:rich>
                  <a:bodyPr/>
                  <a:lstStyle/>
                  <a:p>
                    <a:r>
                      <a:rPr lang="en-US"/>
                      <a:t>34,0</a:t>
                    </a:r>
                    <a:r>
                      <a:rPr lang="lv-LV"/>
                      <a:t> (58,0%)</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Grafiki!$B$12:$C$12</c:f>
              <c:strCache>
                <c:ptCount val="2"/>
                <c:pt idx="0">
                  <c:v>Plānotais līdz 31.12.2011.</c:v>
                </c:pt>
                <c:pt idx="1">
                  <c:v>Izpilde līdz 30.09.2011.</c:v>
                </c:pt>
              </c:strCache>
            </c:strRef>
          </c:cat>
          <c:val>
            <c:numRef>
              <c:f>Grafiki!$B$15:$C$15</c:f>
              <c:numCache>
                <c:formatCode>0.0</c:formatCode>
                <c:ptCount val="2"/>
                <c:pt idx="0">
                  <c:v>58.6</c:v>
                </c:pt>
                <c:pt idx="1">
                  <c:v>34</c:v>
                </c:pt>
              </c:numCache>
            </c:numRef>
          </c:val>
        </c:ser>
        <c:dLbls>
          <c:showLegendKey val="0"/>
          <c:showVal val="1"/>
          <c:showCatName val="0"/>
          <c:showSerName val="0"/>
          <c:showPercent val="0"/>
          <c:showBubbleSize val="0"/>
        </c:dLbls>
        <c:gapWidth val="150"/>
        <c:shape val="box"/>
        <c:axId val="71858816"/>
        <c:axId val="71866240"/>
        <c:axId val="0"/>
      </c:bar3DChart>
      <c:catAx>
        <c:axId val="71858816"/>
        <c:scaling>
          <c:orientation val="minMax"/>
        </c:scaling>
        <c:delete val="0"/>
        <c:axPos val="b"/>
        <c:majorTickMark val="out"/>
        <c:minorTickMark val="none"/>
        <c:tickLblPos val="nextTo"/>
        <c:crossAx val="71866240"/>
        <c:crosses val="autoZero"/>
        <c:auto val="1"/>
        <c:lblAlgn val="ctr"/>
        <c:lblOffset val="100"/>
        <c:noMultiLvlLbl val="0"/>
      </c:catAx>
      <c:valAx>
        <c:axId val="71866240"/>
        <c:scaling>
          <c:orientation val="minMax"/>
        </c:scaling>
        <c:delete val="0"/>
        <c:axPos val="l"/>
        <c:majorGridlines/>
        <c:numFmt formatCode="0" sourceLinked="0"/>
        <c:majorTickMark val="out"/>
        <c:minorTickMark val="none"/>
        <c:tickLblPos val="nextTo"/>
        <c:crossAx val="71858816"/>
        <c:crosses val="autoZero"/>
        <c:crossBetween val="between"/>
      </c:valAx>
    </c:plotArea>
    <c:plotVisOnly val="1"/>
    <c:dispBlanksAs val="gap"/>
    <c:showDLblsOverMax val="0"/>
  </c:chart>
  <c:spPr>
    <a:ln>
      <a:noFill/>
    </a:ln>
  </c:spPr>
  <c:txPr>
    <a:bodyPr/>
    <a:lstStyle/>
    <a:p>
      <a:pPr>
        <a:defRPr sz="1100">
          <a:latin typeface="Times New Roman" pitchFamily="18" charset="0"/>
          <a:cs typeface="Times New Roman" pitchFamily="18" charset="0"/>
        </a:defRPr>
      </a:pPr>
      <a:endParaRPr lang="lv-LV"/>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3"/>
          <c:order val="0"/>
          <c:tx>
            <c:strRef>
              <c:f>'3DP'!$J$2</c:f>
              <c:strCache>
                <c:ptCount val="1"/>
                <c:pt idx="0">
                  <c:v>Izmaksāts finansējuma saņēmējam</c:v>
                </c:pt>
              </c:strCache>
            </c:strRef>
          </c:tx>
          <c:invertIfNegative val="0"/>
          <c:dLbls>
            <c:dLbl>
              <c:idx val="0"/>
              <c:tx>
                <c:rich>
                  <a:bodyPr/>
                  <a:lstStyle/>
                  <a:p>
                    <a:r>
                      <a:rPr lang="en-US"/>
                      <a:t>1,7</a:t>
                    </a:r>
                    <a:r>
                      <a:rPr lang="lv-LV"/>
                      <a:t> (19,6%);2,0%</a:t>
                    </a:r>
                    <a:endParaRPr lang="en-US"/>
                  </a:p>
                </c:rich>
              </c:tx>
              <c:showLegendKey val="0"/>
              <c:showVal val="1"/>
              <c:showCatName val="0"/>
              <c:showSerName val="0"/>
              <c:showPercent val="0"/>
              <c:showBubbleSize val="0"/>
            </c:dLbl>
            <c:dLbl>
              <c:idx val="1"/>
              <c:tx>
                <c:rich>
                  <a:bodyPr/>
                  <a:lstStyle/>
                  <a:p>
                    <a:r>
                      <a:rPr lang="en-US"/>
                      <a:t>11,6</a:t>
                    </a:r>
                    <a:r>
                      <a:rPr lang="lv-LV"/>
                      <a:t> (28,5%);2,9%</a:t>
                    </a:r>
                    <a:endParaRPr lang="en-US"/>
                  </a:p>
                </c:rich>
              </c:tx>
              <c:showLegendKey val="0"/>
              <c:showVal val="1"/>
              <c:showCatName val="0"/>
              <c:showSerName val="0"/>
              <c:showPercent val="0"/>
              <c:showBubbleSize val="0"/>
            </c:dLbl>
            <c:dLbl>
              <c:idx val="2"/>
              <c:tx>
                <c:rich>
                  <a:bodyPr/>
                  <a:lstStyle/>
                  <a:p>
                    <a:r>
                      <a:rPr lang="en-US"/>
                      <a:t>120,2</a:t>
                    </a:r>
                    <a:r>
                      <a:rPr lang="lv-LV"/>
                      <a:t> (53,0%);6,0%</a:t>
                    </a:r>
                    <a:endParaRPr lang="en-US"/>
                  </a:p>
                </c:rich>
              </c:tx>
              <c:showLegendKey val="0"/>
              <c:showVal val="1"/>
              <c:showCatName val="0"/>
              <c:showSerName val="0"/>
              <c:showPercent val="0"/>
              <c:showBubbleSize val="0"/>
            </c:dLbl>
            <c:dLbl>
              <c:idx val="3"/>
              <c:tx>
                <c:rich>
                  <a:bodyPr/>
                  <a:lstStyle/>
                  <a:p>
                    <a:r>
                      <a:rPr lang="en-US"/>
                      <a:t>238,2</a:t>
                    </a:r>
                    <a:r>
                      <a:rPr lang="lv-LV"/>
                      <a:t> (47,4%);2,0%</a:t>
                    </a:r>
                    <a:endParaRPr lang="en-US"/>
                  </a:p>
                </c:rich>
              </c:tx>
              <c:showLegendKey val="0"/>
              <c:showVal val="1"/>
              <c:showCatName val="0"/>
              <c:showSerName val="0"/>
              <c:showPercent val="0"/>
              <c:showBubbleSize val="0"/>
            </c:dLbl>
            <c:dLbl>
              <c:idx val="4"/>
              <c:tx>
                <c:rich>
                  <a:bodyPr/>
                  <a:lstStyle/>
                  <a:p>
                    <a:r>
                      <a:rPr lang="en-US"/>
                      <a:t>50,5</a:t>
                    </a:r>
                    <a:r>
                      <a:rPr lang="lv-LV"/>
                      <a:t> (19,6%);2,0%</a:t>
                    </a:r>
                    <a:endParaRPr lang="en-US"/>
                  </a:p>
                </c:rich>
              </c:tx>
              <c:showLegendKey val="0"/>
              <c:showVal val="1"/>
              <c:showCatName val="0"/>
              <c:showSerName val="0"/>
              <c:showPercent val="0"/>
              <c:showBubbleSize val="0"/>
            </c:dLbl>
            <c:dLbl>
              <c:idx val="5"/>
              <c:tx>
                <c:rich>
                  <a:bodyPr/>
                  <a:lstStyle/>
                  <a:p>
                    <a:r>
                      <a:rPr lang="en-US"/>
                      <a:t>151,6</a:t>
                    </a:r>
                    <a:r>
                      <a:rPr lang="lv-LV"/>
                      <a:t> (23,5%);0,9%</a:t>
                    </a:r>
                    <a:endParaRPr lang="en-US"/>
                  </a:p>
                </c:rich>
              </c:tx>
              <c:showLegendKey val="0"/>
              <c:showVal val="1"/>
              <c:showCatName val="0"/>
              <c:showSerName val="0"/>
              <c:showPercent val="0"/>
              <c:showBubbleSize val="0"/>
            </c:dLbl>
            <c:dLbl>
              <c:idx val="6"/>
              <c:tx>
                <c:rich>
                  <a:bodyPr/>
                  <a:lstStyle/>
                  <a:p>
                    <a:r>
                      <a:rPr lang="en-US"/>
                      <a:t>78,8</a:t>
                    </a:r>
                    <a:r>
                      <a:rPr lang="lv-LV"/>
                      <a:t> (19,9%);3,6%</a:t>
                    </a:r>
                    <a:endParaRPr lang="en-US"/>
                  </a:p>
                </c:rich>
              </c:tx>
              <c:showLegendKey val="0"/>
              <c:showVal val="1"/>
              <c:showCatName val="0"/>
              <c:showSerName val="0"/>
              <c:showPercent val="0"/>
              <c:showBubbleSize val="0"/>
            </c:dLbl>
            <c:dLbl>
              <c:idx val="7"/>
              <c:tx>
                <c:rich>
                  <a:bodyPr/>
                  <a:lstStyle/>
                  <a:p>
                    <a:r>
                      <a:rPr lang="en-US"/>
                      <a:t>159,5</a:t>
                    </a:r>
                    <a:r>
                      <a:rPr lang="lv-LV"/>
                      <a:t> (40,6%);4,2%</a:t>
                    </a:r>
                    <a:endParaRPr lang="en-US"/>
                  </a:p>
                </c:rich>
              </c:tx>
              <c:showLegendKey val="0"/>
              <c:showVal val="1"/>
              <c:showCatName val="0"/>
              <c:showSerName val="0"/>
              <c:showPercent val="0"/>
              <c:showBubbleSize val="0"/>
            </c:dLbl>
            <c:dLbl>
              <c:idx val="8"/>
              <c:tx>
                <c:rich>
                  <a:bodyPr/>
                  <a:lstStyle/>
                  <a:p>
                    <a:r>
                      <a:rPr lang="en-US"/>
                      <a:t>812,1</a:t>
                    </a:r>
                    <a:r>
                      <a:rPr lang="lv-LV"/>
                      <a:t> (32,8%);3,1%</a:t>
                    </a:r>
                    <a:endParaRPr lang="en-US"/>
                  </a:p>
                </c:rich>
              </c:tx>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strRef>
              <c:f>'3DP'!$B$3:$B$11</c:f>
              <c:strCache>
                <c:ptCount val="9"/>
                <c:pt idx="0">
                  <c:v>Tehniskā palīdzība KF ieviešanai</c:v>
                </c:pt>
                <c:pt idx="1">
                  <c:v>Tehniskā palīdzība ERAF ieviešanai</c:v>
                </c:pt>
                <c:pt idx="2">
                  <c:v>Policentriska attīstība</c:v>
                </c:pt>
                <c:pt idx="3">
                  <c:v>Vides infrastruktūras un videi draudzīgas enerģētikas veicināšana</c:v>
                </c:pt>
                <c:pt idx="4">
                  <c:v>Kvalitatīvas vides dzīvei un ekonomiskai aktivitātei nodrošināšana</c:v>
                </c:pt>
                <c:pt idx="5">
                  <c:v>Eiropas nozīmes transporta tīklu attīstība un ilgtspējīga transporta veicināšana</c:v>
                </c:pt>
                <c:pt idx="6">
                  <c:v>Teritoriju pieejamības un sasniedzamības veicināšana</c:v>
                </c:pt>
                <c:pt idx="7">
                  <c:v>Infrastruktūra cilvēku kapitāla nostiprināšanai</c:v>
                </c:pt>
                <c:pt idx="8">
                  <c:v>DP „Infrastruktūra un pakalpojumi" kopā</c:v>
                </c:pt>
              </c:strCache>
            </c:strRef>
          </c:cat>
          <c:val>
            <c:numRef>
              <c:f>'3DP'!$J$3:$J$11</c:f>
              <c:numCache>
                <c:formatCode>_-* #,##0.0_-;\-* #,##0.0_-;_-* "-"??_-;_-@_-</c:formatCode>
                <c:ptCount val="9"/>
                <c:pt idx="0">
                  <c:v>1678509.03</c:v>
                </c:pt>
                <c:pt idx="1">
                  <c:v>11555348.289999999</c:v>
                </c:pt>
                <c:pt idx="2">
                  <c:v>120241901.17</c:v>
                </c:pt>
                <c:pt idx="3">
                  <c:v>238182966.59999999</c:v>
                </c:pt>
                <c:pt idx="4">
                  <c:v>50465015.049999997</c:v>
                </c:pt>
                <c:pt idx="5">
                  <c:v>151637204.50999999</c:v>
                </c:pt>
                <c:pt idx="6">
                  <c:v>78758426.939999998</c:v>
                </c:pt>
                <c:pt idx="7">
                  <c:v>159545122.62</c:v>
                </c:pt>
                <c:pt idx="8">
                  <c:v>812064494.20999992</c:v>
                </c:pt>
              </c:numCache>
            </c:numRef>
          </c:val>
        </c:ser>
        <c:ser>
          <c:idx val="2"/>
          <c:order val="1"/>
          <c:tx>
            <c:strRef>
              <c:f>'3DP'!$G$2</c:f>
              <c:strCache>
                <c:ptCount val="1"/>
                <c:pt idx="0">
                  <c:v>Noslēgti līgumi</c:v>
                </c:pt>
              </c:strCache>
            </c:strRef>
          </c:tx>
          <c:invertIfNegative val="0"/>
          <c:dLbls>
            <c:dLbl>
              <c:idx val="0"/>
              <c:tx>
                <c:rich>
                  <a:bodyPr/>
                  <a:lstStyle/>
                  <a:p>
                    <a:r>
                      <a:rPr lang="en-US" sz="950"/>
                      <a:t>2,7</a:t>
                    </a:r>
                    <a:r>
                      <a:rPr lang="lv-LV" sz="950"/>
                      <a:t> (30,9%);-1,1%</a:t>
                    </a:r>
                    <a:endParaRPr lang="en-US"/>
                  </a:p>
                </c:rich>
              </c:tx>
              <c:showLegendKey val="0"/>
              <c:showVal val="1"/>
              <c:showCatName val="0"/>
              <c:showSerName val="0"/>
              <c:showPercent val="0"/>
              <c:showBubbleSize val="0"/>
            </c:dLbl>
            <c:dLbl>
              <c:idx val="1"/>
              <c:tx>
                <c:rich>
                  <a:bodyPr/>
                  <a:lstStyle/>
                  <a:p>
                    <a:r>
                      <a:rPr lang="en-US" sz="950"/>
                      <a:t>16,7</a:t>
                    </a:r>
                    <a:r>
                      <a:rPr lang="lv-LV" sz="950"/>
                      <a:t> (41,1%);-0,5%</a:t>
                    </a:r>
                    <a:endParaRPr lang="en-US"/>
                  </a:p>
                </c:rich>
              </c:tx>
              <c:showLegendKey val="0"/>
              <c:showVal val="1"/>
              <c:showCatName val="0"/>
              <c:showSerName val="0"/>
              <c:showPercent val="0"/>
              <c:showBubbleSize val="0"/>
            </c:dLbl>
            <c:dLbl>
              <c:idx val="2"/>
              <c:tx>
                <c:rich>
                  <a:bodyPr/>
                  <a:lstStyle/>
                  <a:p>
                    <a:r>
                      <a:rPr lang="en-US" sz="950"/>
                      <a:t>187,2</a:t>
                    </a:r>
                    <a:r>
                      <a:rPr lang="lv-LV" sz="950"/>
                      <a:t> (82,5%);8,3%</a:t>
                    </a:r>
                    <a:endParaRPr lang="en-US"/>
                  </a:p>
                </c:rich>
              </c:tx>
              <c:showLegendKey val="0"/>
              <c:showVal val="1"/>
              <c:showCatName val="0"/>
              <c:showSerName val="0"/>
              <c:showPercent val="0"/>
              <c:showBubbleSize val="0"/>
            </c:dLbl>
            <c:dLbl>
              <c:idx val="3"/>
              <c:tx>
                <c:rich>
                  <a:bodyPr/>
                  <a:lstStyle/>
                  <a:p>
                    <a:r>
                      <a:rPr lang="en-US" sz="950"/>
                      <a:t>369,8</a:t>
                    </a:r>
                    <a:r>
                      <a:rPr lang="lv-LV" sz="950"/>
                      <a:t> (73,5%);4,9%</a:t>
                    </a:r>
                    <a:endParaRPr lang="en-US"/>
                  </a:p>
                </c:rich>
              </c:tx>
              <c:showLegendKey val="0"/>
              <c:showVal val="1"/>
              <c:showCatName val="0"/>
              <c:showSerName val="0"/>
              <c:showPercent val="0"/>
              <c:showBubbleSize val="0"/>
            </c:dLbl>
            <c:dLbl>
              <c:idx val="4"/>
              <c:tx>
                <c:rich>
                  <a:bodyPr/>
                  <a:lstStyle/>
                  <a:p>
                    <a:r>
                      <a:rPr lang="en-US" sz="950"/>
                      <a:t>151,4</a:t>
                    </a:r>
                    <a:r>
                      <a:rPr lang="lv-LV" sz="950"/>
                      <a:t> (58,4%);7,4%</a:t>
                    </a:r>
                    <a:endParaRPr lang="en-US"/>
                  </a:p>
                </c:rich>
              </c:tx>
              <c:showLegendKey val="0"/>
              <c:showVal val="1"/>
              <c:showCatName val="0"/>
              <c:showSerName val="0"/>
              <c:showPercent val="0"/>
              <c:showBubbleSize val="0"/>
            </c:dLbl>
            <c:dLbl>
              <c:idx val="5"/>
              <c:tx>
                <c:rich>
                  <a:bodyPr/>
                  <a:lstStyle/>
                  <a:p>
                    <a:r>
                      <a:rPr lang="en-US" sz="950"/>
                      <a:t>621,9</a:t>
                    </a:r>
                    <a:r>
                      <a:rPr lang="lv-LV" sz="950"/>
                      <a:t> (96,2%);0%</a:t>
                    </a:r>
                    <a:endParaRPr lang="en-US"/>
                  </a:p>
                </c:rich>
              </c:tx>
              <c:showLegendKey val="0"/>
              <c:showVal val="1"/>
              <c:showCatName val="0"/>
              <c:showSerName val="0"/>
              <c:showPercent val="0"/>
              <c:showBubbleSize val="0"/>
            </c:dLbl>
            <c:dLbl>
              <c:idx val="6"/>
              <c:tx>
                <c:rich>
                  <a:bodyPr/>
                  <a:lstStyle/>
                  <a:p>
                    <a:r>
                      <a:rPr lang="en-US" sz="950"/>
                      <a:t>314,8</a:t>
                    </a:r>
                    <a:r>
                      <a:rPr lang="lv-LV" sz="950"/>
                      <a:t> (79,4%);-0,7%</a:t>
                    </a:r>
                    <a:endParaRPr lang="en-US"/>
                  </a:p>
                </c:rich>
              </c:tx>
              <c:showLegendKey val="0"/>
              <c:showVal val="1"/>
              <c:showCatName val="0"/>
              <c:showSerName val="0"/>
              <c:showPercent val="0"/>
              <c:showBubbleSize val="0"/>
            </c:dLbl>
            <c:dLbl>
              <c:idx val="7"/>
              <c:tx>
                <c:rich>
                  <a:bodyPr/>
                  <a:lstStyle/>
                  <a:p>
                    <a:r>
                      <a:rPr lang="en-US" sz="950"/>
                      <a:t>354,8</a:t>
                    </a:r>
                    <a:r>
                      <a:rPr lang="lv-LV" sz="950"/>
                      <a:t> (90,3%);3,9%</a:t>
                    </a:r>
                    <a:endParaRPr lang="en-US"/>
                  </a:p>
                </c:rich>
              </c:tx>
              <c:showLegendKey val="0"/>
              <c:showVal val="1"/>
              <c:showCatName val="0"/>
              <c:showSerName val="0"/>
              <c:showPercent val="0"/>
              <c:showBubbleSize val="0"/>
            </c:dLbl>
            <c:dLbl>
              <c:idx val="8"/>
              <c:layout>
                <c:manualLayout>
                  <c:x val="-0.22028985507246385"/>
                  <c:y val="0"/>
                </c:manualLayout>
              </c:layout>
              <c:tx>
                <c:rich>
                  <a:bodyPr/>
                  <a:lstStyle/>
                  <a:p>
                    <a:r>
                      <a:rPr lang="en-US" sz="950"/>
                      <a:t>2 019,3</a:t>
                    </a:r>
                    <a:r>
                      <a:rPr lang="lv-LV" sz="950"/>
                      <a:t> (81,5%);3,0%</a:t>
                    </a:r>
                    <a:endParaRPr lang="en-US"/>
                  </a:p>
                </c:rich>
              </c:tx>
              <c:showLegendKey val="0"/>
              <c:showVal val="1"/>
              <c:showCatName val="0"/>
              <c:showSerName val="0"/>
              <c:showPercent val="0"/>
              <c:showBubbleSize val="0"/>
            </c:dLbl>
            <c:numFmt formatCode="#,##0.0" sourceLinked="0"/>
            <c:txPr>
              <a:bodyPr/>
              <a:lstStyle/>
              <a:p>
                <a:pPr>
                  <a:defRPr sz="950"/>
                </a:pPr>
                <a:endParaRPr lang="lv-LV"/>
              </a:p>
            </c:txPr>
            <c:showLegendKey val="0"/>
            <c:showVal val="1"/>
            <c:showCatName val="0"/>
            <c:showSerName val="0"/>
            <c:showPercent val="0"/>
            <c:showBubbleSize val="0"/>
            <c:showLeaderLines val="0"/>
          </c:dLbls>
          <c:cat>
            <c:strRef>
              <c:f>'3DP'!$B$3:$B$11</c:f>
              <c:strCache>
                <c:ptCount val="9"/>
                <c:pt idx="0">
                  <c:v>Tehniskā palīdzība KF ieviešanai</c:v>
                </c:pt>
                <c:pt idx="1">
                  <c:v>Tehniskā palīdzība ERAF ieviešanai</c:v>
                </c:pt>
                <c:pt idx="2">
                  <c:v>Policentriska attīstība</c:v>
                </c:pt>
                <c:pt idx="3">
                  <c:v>Vides infrastruktūras un videi draudzīgas enerģētikas veicināšana</c:v>
                </c:pt>
                <c:pt idx="4">
                  <c:v>Kvalitatīvas vides dzīvei un ekonomiskai aktivitātei nodrošināšana</c:v>
                </c:pt>
                <c:pt idx="5">
                  <c:v>Eiropas nozīmes transporta tīklu attīstība un ilgtspējīga transporta veicināšana</c:v>
                </c:pt>
                <c:pt idx="6">
                  <c:v>Teritoriju pieejamības un sasniedzamības veicināšana</c:v>
                </c:pt>
                <c:pt idx="7">
                  <c:v>Infrastruktūra cilvēku kapitāla nostiprināšanai</c:v>
                </c:pt>
                <c:pt idx="8">
                  <c:v>DP „Infrastruktūra un pakalpojumi" kopā</c:v>
                </c:pt>
              </c:strCache>
            </c:strRef>
          </c:cat>
          <c:val>
            <c:numRef>
              <c:f>'3DP'!$G$3:$G$11</c:f>
              <c:numCache>
                <c:formatCode>_-* #,##0.0_-;\-* #,##0.0_-;_-* "-"??_-;_-@_-</c:formatCode>
                <c:ptCount val="9"/>
                <c:pt idx="0">
                  <c:v>2651510.2799999998</c:v>
                </c:pt>
                <c:pt idx="1">
                  <c:v>16654277.560000001</c:v>
                </c:pt>
                <c:pt idx="2">
                  <c:v>187228743.72999999</c:v>
                </c:pt>
                <c:pt idx="3">
                  <c:v>369849292.12</c:v>
                </c:pt>
                <c:pt idx="4">
                  <c:v>151449604.53</c:v>
                </c:pt>
                <c:pt idx="5">
                  <c:v>621887366.62</c:v>
                </c:pt>
                <c:pt idx="6">
                  <c:v>314785862.43000001</c:v>
                </c:pt>
                <c:pt idx="7">
                  <c:v>354831920.22000003</c:v>
                </c:pt>
                <c:pt idx="8">
                  <c:v>2019338577.49</c:v>
                </c:pt>
              </c:numCache>
            </c:numRef>
          </c:val>
        </c:ser>
        <c:ser>
          <c:idx val="1"/>
          <c:order val="2"/>
          <c:tx>
            <c:strRef>
              <c:f>'3DP'!$D$2</c:f>
              <c:strCache>
                <c:ptCount val="1"/>
                <c:pt idx="0">
                  <c:v>Apstiprinātie projekti </c:v>
                </c:pt>
              </c:strCache>
            </c:strRef>
          </c:tx>
          <c:invertIfNegative val="0"/>
          <c:dLbls>
            <c:dLbl>
              <c:idx val="0"/>
              <c:tx>
                <c:rich>
                  <a:bodyPr/>
                  <a:lstStyle/>
                  <a:p>
                    <a:r>
                      <a:rPr lang="en-US" sz="950"/>
                      <a:t>2,7</a:t>
                    </a:r>
                    <a:r>
                      <a:rPr lang="lv-LV" sz="950"/>
                      <a:t> (30,9%);-1,1%</a:t>
                    </a:r>
                    <a:endParaRPr lang="en-US"/>
                  </a:p>
                </c:rich>
              </c:tx>
              <c:showLegendKey val="0"/>
              <c:showVal val="1"/>
              <c:showCatName val="0"/>
              <c:showSerName val="0"/>
              <c:showPercent val="0"/>
              <c:showBubbleSize val="0"/>
            </c:dLbl>
            <c:dLbl>
              <c:idx val="1"/>
              <c:tx>
                <c:rich>
                  <a:bodyPr/>
                  <a:lstStyle/>
                  <a:p>
                    <a:r>
                      <a:rPr lang="en-US" sz="950"/>
                      <a:t>16,7</a:t>
                    </a:r>
                    <a:r>
                      <a:rPr lang="lv-LV" sz="950"/>
                      <a:t> (41,1%);-0,5%</a:t>
                    </a:r>
                    <a:endParaRPr lang="en-US"/>
                  </a:p>
                </c:rich>
              </c:tx>
              <c:showLegendKey val="0"/>
              <c:showVal val="1"/>
              <c:showCatName val="0"/>
              <c:showSerName val="0"/>
              <c:showPercent val="0"/>
              <c:showBubbleSize val="0"/>
            </c:dLbl>
            <c:dLbl>
              <c:idx val="2"/>
              <c:tx>
                <c:rich>
                  <a:bodyPr/>
                  <a:lstStyle/>
                  <a:p>
                    <a:r>
                      <a:rPr lang="en-US" sz="950"/>
                      <a:t>204,4</a:t>
                    </a:r>
                    <a:r>
                      <a:rPr lang="lv-LV" sz="950"/>
                      <a:t> (90,0%);14,4%</a:t>
                    </a:r>
                    <a:endParaRPr lang="en-US"/>
                  </a:p>
                </c:rich>
              </c:tx>
              <c:showLegendKey val="0"/>
              <c:showVal val="1"/>
              <c:showCatName val="0"/>
              <c:showSerName val="0"/>
              <c:showPercent val="0"/>
              <c:showBubbleSize val="0"/>
            </c:dLbl>
            <c:dLbl>
              <c:idx val="3"/>
              <c:tx>
                <c:rich>
                  <a:bodyPr/>
                  <a:lstStyle/>
                  <a:p>
                    <a:r>
                      <a:rPr lang="en-US" sz="950"/>
                      <a:t>383,0</a:t>
                    </a:r>
                    <a:r>
                      <a:rPr lang="lv-LV" sz="950"/>
                      <a:t> (76,2%);2,5%</a:t>
                    </a:r>
                    <a:endParaRPr lang="en-US"/>
                  </a:p>
                </c:rich>
              </c:tx>
              <c:showLegendKey val="0"/>
              <c:showVal val="1"/>
              <c:showCatName val="0"/>
              <c:showSerName val="0"/>
              <c:showPercent val="0"/>
              <c:showBubbleSize val="0"/>
            </c:dLbl>
            <c:dLbl>
              <c:idx val="4"/>
              <c:tx>
                <c:rich>
                  <a:bodyPr/>
                  <a:lstStyle/>
                  <a:p>
                    <a:r>
                      <a:rPr lang="en-US" sz="950"/>
                      <a:t>186,7</a:t>
                    </a:r>
                    <a:r>
                      <a:rPr lang="lv-LV" sz="950"/>
                      <a:t> (72,0%);8,7%</a:t>
                    </a:r>
                    <a:endParaRPr lang="en-US"/>
                  </a:p>
                </c:rich>
              </c:tx>
              <c:showLegendKey val="0"/>
              <c:showVal val="1"/>
              <c:showCatName val="0"/>
              <c:showSerName val="0"/>
              <c:showPercent val="0"/>
              <c:showBubbleSize val="0"/>
            </c:dLbl>
            <c:dLbl>
              <c:idx val="5"/>
              <c:tx>
                <c:rich>
                  <a:bodyPr/>
                  <a:lstStyle/>
                  <a:p>
                    <a:r>
                      <a:rPr lang="en-US" sz="950"/>
                      <a:t>621,9</a:t>
                    </a:r>
                    <a:r>
                      <a:rPr lang="lv-LV" sz="950"/>
                      <a:t> (96,2%);0%</a:t>
                    </a:r>
                    <a:endParaRPr lang="en-US"/>
                  </a:p>
                </c:rich>
              </c:tx>
              <c:showLegendKey val="0"/>
              <c:showVal val="1"/>
              <c:showCatName val="0"/>
              <c:showSerName val="0"/>
              <c:showPercent val="0"/>
              <c:showBubbleSize val="0"/>
            </c:dLbl>
            <c:dLbl>
              <c:idx val="6"/>
              <c:tx>
                <c:rich>
                  <a:bodyPr/>
                  <a:lstStyle/>
                  <a:p>
                    <a:r>
                      <a:rPr lang="en-US" sz="950"/>
                      <a:t>314,8</a:t>
                    </a:r>
                    <a:r>
                      <a:rPr lang="lv-LV" sz="950"/>
                      <a:t> (79,4%);-1,5%</a:t>
                    </a:r>
                    <a:endParaRPr lang="en-US"/>
                  </a:p>
                </c:rich>
              </c:tx>
              <c:showLegendKey val="0"/>
              <c:showVal val="1"/>
              <c:showCatName val="0"/>
              <c:showSerName val="0"/>
              <c:showPercent val="0"/>
              <c:showBubbleSize val="0"/>
            </c:dLbl>
            <c:dLbl>
              <c:idx val="7"/>
              <c:tx>
                <c:rich>
                  <a:bodyPr/>
                  <a:lstStyle/>
                  <a:p>
                    <a:r>
                      <a:rPr lang="en-US" sz="950"/>
                      <a:t>395,2</a:t>
                    </a:r>
                    <a:r>
                      <a:rPr lang="lv-LV" sz="950"/>
                      <a:t> (100,6%);13,6%</a:t>
                    </a:r>
                    <a:endParaRPr lang="en-US"/>
                  </a:p>
                </c:rich>
              </c:tx>
              <c:showLegendKey val="0"/>
              <c:showVal val="1"/>
              <c:showCatName val="0"/>
              <c:showSerName val="0"/>
              <c:showPercent val="0"/>
              <c:showBubbleSize val="0"/>
            </c:dLbl>
            <c:dLbl>
              <c:idx val="8"/>
              <c:layout>
                <c:manualLayout>
                  <c:x val="-0.17971014492753631"/>
                  <c:y val="0"/>
                </c:manualLayout>
              </c:layout>
              <c:tx>
                <c:rich>
                  <a:bodyPr/>
                  <a:lstStyle/>
                  <a:p>
                    <a:r>
                      <a:rPr lang="en-US" sz="950"/>
                      <a:t>2 125,3</a:t>
                    </a:r>
                    <a:r>
                      <a:rPr lang="lv-LV" sz="950"/>
                      <a:t> (85,9%);4,7%</a:t>
                    </a:r>
                    <a:endParaRPr lang="en-US"/>
                  </a:p>
                </c:rich>
              </c:tx>
              <c:showLegendKey val="0"/>
              <c:showVal val="1"/>
              <c:showCatName val="0"/>
              <c:showSerName val="0"/>
              <c:showPercent val="0"/>
              <c:showBubbleSize val="0"/>
            </c:dLbl>
            <c:numFmt formatCode="#,##0.0" sourceLinked="0"/>
            <c:txPr>
              <a:bodyPr/>
              <a:lstStyle/>
              <a:p>
                <a:pPr>
                  <a:defRPr sz="950"/>
                </a:pPr>
                <a:endParaRPr lang="lv-LV"/>
              </a:p>
            </c:txPr>
            <c:showLegendKey val="0"/>
            <c:showVal val="1"/>
            <c:showCatName val="0"/>
            <c:showSerName val="0"/>
            <c:showPercent val="0"/>
            <c:showBubbleSize val="0"/>
            <c:showLeaderLines val="0"/>
          </c:dLbls>
          <c:cat>
            <c:strRef>
              <c:f>'3DP'!$B$3:$B$11</c:f>
              <c:strCache>
                <c:ptCount val="9"/>
                <c:pt idx="0">
                  <c:v>Tehniskā palīdzība KF ieviešanai</c:v>
                </c:pt>
                <c:pt idx="1">
                  <c:v>Tehniskā palīdzība ERAF ieviešanai</c:v>
                </c:pt>
                <c:pt idx="2">
                  <c:v>Policentriska attīstība</c:v>
                </c:pt>
                <c:pt idx="3">
                  <c:v>Vides infrastruktūras un videi draudzīgas enerģētikas veicināšana</c:v>
                </c:pt>
                <c:pt idx="4">
                  <c:v>Kvalitatīvas vides dzīvei un ekonomiskai aktivitātei nodrošināšana</c:v>
                </c:pt>
                <c:pt idx="5">
                  <c:v>Eiropas nozīmes transporta tīklu attīstība un ilgtspējīga transporta veicināšana</c:v>
                </c:pt>
                <c:pt idx="6">
                  <c:v>Teritoriju pieejamības un sasniedzamības veicināšana</c:v>
                </c:pt>
                <c:pt idx="7">
                  <c:v>Infrastruktūra cilvēku kapitāla nostiprināšanai</c:v>
                </c:pt>
                <c:pt idx="8">
                  <c:v>DP „Infrastruktūra un pakalpojumi" kopā</c:v>
                </c:pt>
              </c:strCache>
            </c:strRef>
          </c:cat>
          <c:val>
            <c:numRef>
              <c:f>'3DP'!$D$3:$D$11</c:f>
              <c:numCache>
                <c:formatCode>_-* #,##0.0_-;\-* #,##0.0_-;_-* "-"??_-;_-@_-</c:formatCode>
                <c:ptCount val="9"/>
                <c:pt idx="0">
                  <c:v>2651510.2799999998</c:v>
                </c:pt>
                <c:pt idx="1">
                  <c:v>16654277.560000001</c:v>
                </c:pt>
                <c:pt idx="2">
                  <c:v>204383952.81999999</c:v>
                </c:pt>
                <c:pt idx="3">
                  <c:v>383016444.45999998</c:v>
                </c:pt>
                <c:pt idx="4">
                  <c:v>186669275.68000001</c:v>
                </c:pt>
                <c:pt idx="5">
                  <c:v>621887366.62</c:v>
                </c:pt>
                <c:pt idx="6">
                  <c:v>314785862.43000001</c:v>
                </c:pt>
                <c:pt idx="7">
                  <c:v>395223898.11000001</c:v>
                </c:pt>
                <c:pt idx="8">
                  <c:v>2125272587.9599998</c:v>
                </c:pt>
              </c:numCache>
            </c:numRef>
          </c:val>
        </c:ser>
        <c:ser>
          <c:idx val="0"/>
          <c:order val="3"/>
          <c:tx>
            <c:strRef>
              <c:f>'3DP'!$C$2</c:f>
              <c:strCache>
                <c:ptCount val="1"/>
                <c:pt idx="0">
                  <c:v>Pieejamais finansējums</c:v>
                </c:pt>
              </c:strCache>
            </c:strRef>
          </c:tx>
          <c:invertIfNegative val="0"/>
          <c:dLbls>
            <c:dLbl>
              <c:idx val="0"/>
              <c:tx>
                <c:rich>
                  <a:bodyPr/>
                  <a:lstStyle/>
                  <a:p>
                    <a:r>
                      <a:rPr lang="en-US"/>
                      <a:t>8,6</a:t>
                    </a:r>
                    <a:r>
                      <a:rPr lang="lv-LV"/>
                      <a:t> (100%)</a:t>
                    </a:r>
                    <a:endParaRPr lang="en-US"/>
                  </a:p>
                </c:rich>
              </c:tx>
              <c:showLegendKey val="0"/>
              <c:showVal val="1"/>
              <c:showCatName val="0"/>
              <c:showSerName val="0"/>
              <c:showPercent val="0"/>
              <c:showBubbleSize val="0"/>
            </c:dLbl>
            <c:dLbl>
              <c:idx val="1"/>
              <c:tx>
                <c:rich>
                  <a:bodyPr/>
                  <a:lstStyle/>
                  <a:p>
                    <a:r>
                      <a:rPr lang="en-US"/>
                      <a:t>40,5</a:t>
                    </a:r>
                    <a:r>
                      <a:rPr lang="lv-LV"/>
                      <a:t> (100%)</a:t>
                    </a:r>
                    <a:endParaRPr lang="en-US"/>
                  </a:p>
                </c:rich>
              </c:tx>
              <c:showLegendKey val="0"/>
              <c:showVal val="1"/>
              <c:showCatName val="0"/>
              <c:showSerName val="0"/>
              <c:showPercent val="0"/>
              <c:showBubbleSize val="0"/>
            </c:dLbl>
            <c:dLbl>
              <c:idx val="2"/>
              <c:tx>
                <c:rich>
                  <a:bodyPr/>
                  <a:lstStyle/>
                  <a:p>
                    <a:r>
                      <a:rPr lang="en-US"/>
                      <a:t>227,0</a:t>
                    </a:r>
                    <a:r>
                      <a:rPr lang="lv-LV"/>
                      <a:t> (100%)</a:t>
                    </a:r>
                    <a:endParaRPr lang="en-US"/>
                  </a:p>
                </c:rich>
              </c:tx>
              <c:showLegendKey val="0"/>
              <c:showVal val="1"/>
              <c:showCatName val="0"/>
              <c:showSerName val="0"/>
              <c:showPercent val="0"/>
              <c:showBubbleSize val="0"/>
            </c:dLbl>
            <c:dLbl>
              <c:idx val="3"/>
              <c:tx>
                <c:rich>
                  <a:bodyPr/>
                  <a:lstStyle/>
                  <a:p>
                    <a:r>
                      <a:rPr lang="en-US"/>
                      <a:t>502,9</a:t>
                    </a:r>
                    <a:r>
                      <a:rPr lang="lv-LV"/>
                      <a:t> (100%)</a:t>
                    </a:r>
                    <a:endParaRPr lang="en-US"/>
                  </a:p>
                </c:rich>
              </c:tx>
              <c:showLegendKey val="0"/>
              <c:showVal val="1"/>
              <c:showCatName val="0"/>
              <c:showSerName val="0"/>
              <c:showPercent val="0"/>
              <c:showBubbleSize val="0"/>
            </c:dLbl>
            <c:dLbl>
              <c:idx val="4"/>
              <c:tx>
                <c:rich>
                  <a:bodyPr/>
                  <a:lstStyle/>
                  <a:p>
                    <a:r>
                      <a:rPr lang="en-US"/>
                      <a:t>259,2</a:t>
                    </a:r>
                    <a:r>
                      <a:rPr lang="lv-LV"/>
                      <a:t> (100%)</a:t>
                    </a:r>
                    <a:endParaRPr lang="en-US"/>
                  </a:p>
                </c:rich>
              </c:tx>
              <c:showLegendKey val="0"/>
              <c:showVal val="1"/>
              <c:showCatName val="0"/>
              <c:showSerName val="0"/>
              <c:showPercent val="0"/>
              <c:showBubbleSize val="0"/>
            </c:dLbl>
            <c:dLbl>
              <c:idx val="5"/>
              <c:tx>
                <c:rich>
                  <a:bodyPr/>
                  <a:lstStyle/>
                  <a:p>
                    <a:r>
                      <a:rPr lang="en-US"/>
                      <a:t>646,2</a:t>
                    </a:r>
                    <a:r>
                      <a:rPr lang="lv-LV"/>
                      <a:t> (100%)</a:t>
                    </a:r>
                    <a:endParaRPr lang="en-US"/>
                  </a:p>
                </c:rich>
              </c:tx>
              <c:showLegendKey val="0"/>
              <c:showVal val="1"/>
              <c:showCatName val="0"/>
              <c:showSerName val="0"/>
              <c:showPercent val="0"/>
              <c:showBubbleSize val="0"/>
            </c:dLbl>
            <c:dLbl>
              <c:idx val="6"/>
              <c:tx>
                <c:rich>
                  <a:bodyPr/>
                  <a:lstStyle/>
                  <a:p>
                    <a:r>
                      <a:rPr lang="en-US"/>
                      <a:t>396,6</a:t>
                    </a:r>
                    <a:r>
                      <a:rPr lang="lv-LV"/>
                      <a:t> (100%)</a:t>
                    </a:r>
                    <a:endParaRPr lang="en-US"/>
                  </a:p>
                </c:rich>
              </c:tx>
              <c:showLegendKey val="0"/>
              <c:showVal val="1"/>
              <c:showCatName val="0"/>
              <c:showSerName val="0"/>
              <c:showPercent val="0"/>
              <c:showBubbleSize val="0"/>
            </c:dLbl>
            <c:dLbl>
              <c:idx val="7"/>
              <c:tx>
                <c:rich>
                  <a:bodyPr/>
                  <a:lstStyle/>
                  <a:p>
                    <a:r>
                      <a:rPr lang="en-US"/>
                      <a:t>392,9</a:t>
                    </a:r>
                    <a:r>
                      <a:rPr lang="lv-LV"/>
                      <a:t> (100%)</a:t>
                    </a:r>
                    <a:endParaRPr lang="en-US"/>
                  </a:p>
                </c:rich>
              </c:tx>
              <c:showLegendKey val="0"/>
              <c:showVal val="1"/>
              <c:showCatName val="0"/>
              <c:showSerName val="0"/>
              <c:showPercent val="0"/>
              <c:showBubbleSize val="0"/>
            </c:dLbl>
            <c:dLbl>
              <c:idx val="8"/>
              <c:layout>
                <c:manualLayout>
                  <c:x val="-0.10048309178743961"/>
                  <c:y val="4.0204208366228578E-18"/>
                </c:manualLayout>
              </c:layout>
              <c:tx>
                <c:rich>
                  <a:bodyPr/>
                  <a:lstStyle/>
                  <a:p>
                    <a:r>
                      <a:rPr lang="en-US"/>
                      <a:t>2 473,7</a:t>
                    </a:r>
                    <a:r>
                      <a:rPr lang="lv-LV"/>
                      <a:t> (100%)</a:t>
                    </a:r>
                    <a:endParaRPr lang="en-US"/>
                  </a:p>
                </c:rich>
              </c:tx>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strRef>
              <c:f>'3DP'!$B$3:$B$11</c:f>
              <c:strCache>
                <c:ptCount val="9"/>
                <c:pt idx="0">
                  <c:v>Tehniskā palīdzība KF ieviešanai</c:v>
                </c:pt>
                <c:pt idx="1">
                  <c:v>Tehniskā palīdzība ERAF ieviešanai</c:v>
                </c:pt>
                <c:pt idx="2">
                  <c:v>Policentriska attīstība</c:v>
                </c:pt>
                <c:pt idx="3">
                  <c:v>Vides infrastruktūras un videi draudzīgas enerģētikas veicināšana</c:v>
                </c:pt>
                <c:pt idx="4">
                  <c:v>Kvalitatīvas vides dzīvei un ekonomiskai aktivitātei nodrošināšana</c:v>
                </c:pt>
                <c:pt idx="5">
                  <c:v>Eiropas nozīmes transporta tīklu attīstība un ilgtspējīga transporta veicināšana</c:v>
                </c:pt>
                <c:pt idx="6">
                  <c:v>Teritoriju pieejamības un sasniedzamības veicināšana</c:v>
                </c:pt>
                <c:pt idx="7">
                  <c:v>Infrastruktūra cilvēku kapitāla nostiprināšanai</c:v>
                </c:pt>
                <c:pt idx="8">
                  <c:v>DP „Infrastruktūra un pakalpojumi" kopā</c:v>
                </c:pt>
              </c:strCache>
            </c:strRef>
          </c:cat>
          <c:val>
            <c:numRef>
              <c:f>'3DP'!$C$3:$C$11</c:f>
              <c:numCache>
                <c:formatCode>_-* #,##0.0_-;\-* #,##0.0_-;_-* "-"??_-;_-@_-</c:formatCode>
                <c:ptCount val="9"/>
                <c:pt idx="0">
                  <c:v>8574208.8000000007</c:v>
                </c:pt>
                <c:pt idx="1">
                  <c:v>40488570.07</c:v>
                </c:pt>
                <c:pt idx="2">
                  <c:v>226969401.31</c:v>
                </c:pt>
                <c:pt idx="3">
                  <c:v>502858241.79000002</c:v>
                </c:pt>
                <c:pt idx="4">
                  <c:v>259173385.30000001</c:v>
                </c:pt>
                <c:pt idx="5">
                  <c:v>646209515.96000004</c:v>
                </c:pt>
                <c:pt idx="6">
                  <c:v>396573367.89999998</c:v>
                </c:pt>
                <c:pt idx="7">
                  <c:v>392874415.56</c:v>
                </c:pt>
                <c:pt idx="8">
                  <c:v>2473721106.6900005</c:v>
                </c:pt>
              </c:numCache>
            </c:numRef>
          </c:val>
        </c:ser>
        <c:dLbls>
          <c:showLegendKey val="0"/>
          <c:showVal val="0"/>
          <c:showCatName val="0"/>
          <c:showSerName val="0"/>
          <c:showPercent val="0"/>
          <c:showBubbleSize val="0"/>
        </c:dLbls>
        <c:gapWidth val="150"/>
        <c:axId val="72746112"/>
        <c:axId val="72747648"/>
      </c:barChart>
      <c:catAx>
        <c:axId val="72746112"/>
        <c:scaling>
          <c:orientation val="minMax"/>
        </c:scaling>
        <c:delete val="0"/>
        <c:axPos val="l"/>
        <c:majorTickMark val="out"/>
        <c:minorTickMark val="none"/>
        <c:tickLblPos val="nextTo"/>
        <c:txPr>
          <a:bodyPr/>
          <a:lstStyle/>
          <a:p>
            <a:pPr>
              <a:defRPr sz="1200"/>
            </a:pPr>
            <a:endParaRPr lang="lv-LV"/>
          </a:p>
        </c:txPr>
        <c:crossAx val="72747648"/>
        <c:crosses val="autoZero"/>
        <c:auto val="1"/>
        <c:lblAlgn val="ctr"/>
        <c:lblOffset val="100"/>
        <c:noMultiLvlLbl val="0"/>
      </c:catAx>
      <c:valAx>
        <c:axId val="72747648"/>
        <c:scaling>
          <c:orientation val="minMax"/>
          <c:max val="2500000000"/>
          <c:min val="0"/>
        </c:scaling>
        <c:delete val="0"/>
        <c:axPos val="b"/>
        <c:majorGridlines/>
        <c:numFmt formatCode="#,##0" sourceLinked="0"/>
        <c:majorTickMark val="out"/>
        <c:minorTickMark val="none"/>
        <c:tickLblPos val="nextTo"/>
        <c:crossAx val="72746112"/>
        <c:crosses val="autoZero"/>
        <c:crossBetween val="between"/>
        <c:dispUnits>
          <c:builtInUnit val="millions"/>
        </c:dispUnits>
      </c:valAx>
    </c:plotArea>
    <c:legend>
      <c:legendPos val="b"/>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grafiks!$B$33</c:f>
              <c:strCache>
                <c:ptCount val="1"/>
                <c:pt idx="0">
                  <c:v>Esošais plāns</c:v>
                </c:pt>
              </c:strCache>
            </c:strRef>
          </c:tx>
          <c:dLbls>
            <c:dLbl>
              <c:idx val="5"/>
              <c:layout>
                <c:manualLayout>
                  <c:x val="-7.4367292570790181E-2"/>
                  <c:y val="-4.6770924467774859E-2"/>
                </c:manualLayout>
              </c:layout>
              <c:dLblPos val="r"/>
              <c:showLegendKey val="0"/>
              <c:showVal val="1"/>
              <c:showCatName val="0"/>
              <c:showSerName val="0"/>
              <c:showPercent val="0"/>
              <c:showBubbleSize val="0"/>
            </c:dLbl>
            <c:dLbl>
              <c:idx val="7"/>
              <c:layout>
                <c:manualLayout>
                  <c:x val="-2.7471479826408206E-2"/>
                  <c:y val="5.5080927384076987E-2"/>
                </c:manualLayout>
              </c:layout>
              <c:dLblPos val="r"/>
              <c:showLegendKey val="0"/>
              <c:showVal val="1"/>
              <c:showCatName val="0"/>
              <c:showSerName val="0"/>
              <c:showPercent val="0"/>
              <c:showBubbleSize val="0"/>
            </c:dLbl>
            <c:dLbl>
              <c:idx val="8"/>
              <c:layout>
                <c:manualLayout>
                  <c:x val="-2.3208224122373566E-2"/>
                  <c:y val="6.4340186643336253E-2"/>
                </c:manualLayout>
              </c:layout>
              <c:dLblPos val="r"/>
              <c:showLegendKey val="0"/>
              <c:showVal val="1"/>
              <c:showCatName val="0"/>
              <c:showSerName val="0"/>
              <c:showPercent val="0"/>
              <c:showBubbleSize val="0"/>
            </c:dLbl>
            <c:numFmt formatCode="#,##0.0" sourceLinked="0"/>
            <c:dLblPos val="t"/>
            <c:showLegendKey val="0"/>
            <c:showVal val="1"/>
            <c:showCatName val="0"/>
            <c:showSerName val="0"/>
            <c:showPercent val="0"/>
            <c:showBubbleSize val="0"/>
            <c:showLeaderLines val="0"/>
          </c:dLbls>
          <c:cat>
            <c:strRef>
              <c:f>grafiks!$C$29:$K$29</c:f>
              <c:strCache>
                <c:ptCount val="9"/>
                <c:pt idx="0">
                  <c:v>2007.-2010.g.</c:v>
                </c:pt>
                <c:pt idx="1">
                  <c:v>2011.g. 1.cet.</c:v>
                </c:pt>
                <c:pt idx="2">
                  <c:v>2011.g. 2.cet.</c:v>
                </c:pt>
                <c:pt idx="3">
                  <c:v>2011.g. 3.cet.</c:v>
                </c:pt>
                <c:pt idx="4">
                  <c:v>2011.g. 4.cet.</c:v>
                </c:pt>
                <c:pt idx="5">
                  <c:v>2012.g.</c:v>
                </c:pt>
                <c:pt idx="6">
                  <c:v>2013.g.</c:v>
                </c:pt>
                <c:pt idx="7">
                  <c:v>2014.g.</c:v>
                </c:pt>
                <c:pt idx="8">
                  <c:v>2015.g.</c:v>
                </c:pt>
              </c:strCache>
            </c:strRef>
          </c:cat>
          <c:val>
            <c:numRef>
              <c:f>grafiks!$C$33:$K$33</c:f>
              <c:numCache>
                <c:formatCode>#,##0</c:formatCode>
                <c:ptCount val="9"/>
                <c:pt idx="0">
                  <c:v>104980627</c:v>
                </c:pt>
                <c:pt idx="1">
                  <c:v>115651784</c:v>
                </c:pt>
                <c:pt idx="2">
                  <c:v>125580435</c:v>
                </c:pt>
                <c:pt idx="3">
                  <c:v>141909659</c:v>
                </c:pt>
                <c:pt idx="4">
                  <c:v>166694920</c:v>
                </c:pt>
                <c:pt idx="5">
                  <c:v>284336250</c:v>
                </c:pt>
                <c:pt idx="6">
                  <c:v>336068909.27116001</c:v>
                </c:pt>
                <c:pt idx="7">
                  <c:v>379589694.86635602</c:v>
                </c:pt>
                <c:pt idx="8">
                  <c:v>385179469.67288804</c:v>
                </c:pt>
              </c:numCache>
            </c:numRef>
          </c:val>
          <c:smooth val="0"/>
        </c:ser>
        <c:ser>
          <c:idx val="1"/>
          <c:order val="1"/>
          <c:tx>
            <c:strRef>
              <c:f>grafiks!$B$35</c:f>
              <c:strCache>
                <c:ptCount val="1"/>
                <c:pt idx="0">
                  <c:v>Fakts</c:v>
                </c:pt>
              </c:strCache>
            </c:strRef>
          </c:tx>
          <c:dLbls>
            <c:dLbl>
              <c:idx val="0"/>
              <c:layout>
                <c:manualLayout>
                  <c:x val="-5.2753896795265202E-2"/>
                  <c:y val="8.7846310877806935E-3"/>
                </c:manualLayout>
              </c:layout>
              <c:dLblPos val="r"/>
              <c:showLegendKey val="0"/>
              <c:showVal val="1"/>
              <c:showCatName val="0"/>
              <c:showSerName val="0"/>
              <c:showPercent val="0"/>
              <c:showBubbleSize val="0"/>
            </c:dLbl>
            <c:dLbl>
              <c:idx val="1"/>
              <c:layout>
                <c:manualLayout>
                  <c:x val="-3.1091293714536016E-2"/>
                  <c:y val="3.193277923592884E-2"/>
                </c:manualLayout>
              </c:layout>
              <c:dLblPos val="r"/>
              <c:showLegendKey val="0"/>
              <c:showVal val="1"/>
              <c:showCatName val="0"/>
              <c:showSerName val="0"/>
              <c:showPercent val="0"/>
              <c:showBubbleSize val="0"/>
            </c:dLbl>
            <c:dLbl>
              <c:idx val="2"/>
              <c:layout>
                <c:manualLayout>
                  <c:x val="-5.0961700176609913E-3"/>
                  <c:y val="1.8043890347039952E-2"/>
                </c:manualLayout>
              </c:layout>
              <c:dLblPos val="r"/>
              <c:showLegendKey val="0"/>
              <c:showVal val="1"/>
              <c:showCatName val="0"/>
              <c:showSerName val="0"/>
              <c:showPercent val="0"/>
              <c:showBubbleSize val="0"/>
            </c:dLbl>
            <c:dLbl>
              <c:idx val="3"/>
              <c:layout>
                <c:manualLayout>
                  <c:x val="-9.2779521870837451E-3"/>
                  <c:y val="2.2673519976669582E-2"/>
                </c:manualLayout>
              </c:layout>
              <c:dLblPos val="r"/>
              <c:showLegendKey val="0"/>
              <c:showVal val="1"/>
              <c:showCatName val="0"/>
              <c:showSerName val="0"/>
              <c:showPercent val="0"/>
              <c:showBubbleSize val="0"/>
            </c:dLbl>
            <c:numFmt formatCode="#,##0.0" sourceLinked="0"/>
            <c:dLblPos val="t"/>
            <c:showLegendKey val="0"/>
            <c:showVal val="1"/>
            <c:showCatName val="0"/>
            <c:showSerName val="0"/>
            <c:showPercent val="0"/>
            <c:showBubbleSize val="0"/>
            <c:showLeaderLines val="0"/>
          </c:dLbls>
          <c:cat>
            <c:strRef>
              <c:f>grafiks!$C$29:$K$29</c:f>
              <c:strCache>
                <c:ptCount val="9"/>
                <c:pt idx="0">
                  <c:v>2007.-2010.g.</c:v>
                </c:pt>
                <c:pt idx="1">
                  <c:v>2011.g. 1.cet.</c:v>
                </c:pt>
                <c:pt idx="2">
                  <c:v>2011.g. 2.cet.</c:v>
                </c:pt>
                <c:pt idx="3">
                  <c:v>2011.g. 3.cet.</c:v>
                </c:pt>
                <c:pt idx="4">
                  <c:v>2011.g. 4.cet.</c:v>
                </c:pt>
                <c:pt idx="5">
                  <c:v>2012.g.</c:v>
                </c:pt>
                <c:pt idx="6">
                  <c:v>2013.g.</c:v>
                </c:pt>
                <c:pt idx="7">
                  <c:v>2014.g.</c:v>
                </c:pt>
                <c:pt idx="8">
                  <c:v>2015.g.</c:v>
                </c:pt>
              </c:strCache>
            </c:strRef>
          </c:cat>
          <c:val>
            <c:numRef>
              <c:f>grafiks!$C$35:$F$35</c:f>
              <c:numCache>
                <c:formatCode>#,##0</c:formatCode>
                <c:ptCount val="4"/>
                <c:pt idx="0">
                  <c:v>76960340</c:v>
                </c:pt>
                <c:pt idx="1">
                  <c:v>81551493</c:v>
                </c:pt>
                <c:pt idx="2">
                  <c:v>84885539</c:v>
                </c:pt>
                <c:pt idx="3">
                  <c:v>91491423</c:v>
                </c:pt>
              </c:numCache>
            </c:numRef>
          </c:val>
          <c:smooth val="0"/>
        </c:ser>
        <c:ser>
          <c:idx val="2"/>
          <c:order val="2"/>
          <c:tx>
            <c:strRef>
              <c:f>grafiks!$B$34</c:f>
              <c:strCache>
                <c:ptCount val="1"/>
                <c:pt idx="0">
                  <c:v>Aktualizēts plāns</c:v>
                </c:pt>
              </c:strCache>
            </c:strRef>
          </c:tx>
          <c:dLbls>
            <c:dLbl>
              <c:idx val="0"/>
              <c:delete val="1"/>
            </c:dLbl>
            <c:dLbl>
              <c:idx val="1"/>
              <c:delete val="1"/>
            </c:dLbl>
            <c:dLbl>
              <c:idx val="2"/>
              <c:delete val="1"/>
            </c:dLbl>
            <c:dLbl>
              <c:idx val="3"/>
              <c:layout>
                <c:manualLayout>
                  <c:x val="-6.6187884028702793E-3"/>
                  <c:y val="1.3414260717410323E-2"/>
                </c:manualLayout>
              </c:layout>
              <c:dLblPos val="r"/>
              <c:showLegendKey val="0"/>
              <c:showVal val="1"/>
              <c:showCatName val="0"/>
              <c:showSerName val="0"/>
              <c:showPercent val="0"/>
              <c:showBubbleSize val="0"/>
            </c:dLbl>
            <c:dLbl>
              <c:idx val="4"/>
              <c:layout>
                <c:manualLayout>
                  <c:x val="-4.4871605508529193E-3"/>
                  <c:y val="2.7303149606299211E-2"/>
                </c:manualLayout>
              </c:layout>
              <c:dLblPos val="r"/>
              <c:showLegendKey val="0"/>
              <c:showVal val="1"/>
              <c:showCatName val="0"/>
              <c:showSerName val="0"/>
              <c:showPercent val="0"/>
              <c:showBubbleSize val="0"/>
            </c:dLbl>
            <c:dLbl>
              <c:idx val="5"/>
              <c:layout>
                <c:manualLayout>
                  <c:x val="-2.2390484681820134E-4"/>
                  <c:y val="1.8043890347039997E-2"/>
                </c:manualLayout>
              </c:layout>
              <c:dLblPos val="r"/>
              <c:showLegendKey val="0"/>
              <c:showVal val="1"/>
              <c:showCatName val="0"/>
              <c:showSerName val="0"/>
              <c:showPercent val="0"/>
              <c:showBubbleSize val="0"/>
            </c:dLbl>
            <c:dLbl>
              <c:idx val="6"/>
              <c:layout>
                <c:manualLayout>
                  <c:x val="-1.7276927662957076E-2"/>
                  <c:y val="4.1192038495188099E-2"/>
                </c:manualLayout>
              </c:layout>
              <c:dLblPos val="r"/>
              <c:showLegendKey val="0"/>
              <c:showVal val="1"/>
              <c:showCatName val="0"/>
              <c:showSerName val="0"/>
              <c:showPercent val="0"/>
              <c:showBubbleSize val="0"/>
            </c:dLbl>
            <c:dLbl>
              <c:idx val="7"/>
              <c:layout>
                <c:manualLayout>
                  <c:x val="-4.0724834035148025E-2"/>
                  <c:y val="-6.5289442986293383E-2"/>
                </c:manualLayout>
              </c:layout>
              <c:dLblPos val="r"/>
              <c:showLegendKey val="0"/>
              <c:showVal val="1"/>
              <c:showCatName val="0"/>
              <c:showSerName val="0"/>
              <c:showPercent val="0"/>
              <c:showBubbleSize val="0"/>
            </c:dLbl>
            <c:dLbl>
              <c:idx val="8"/>
              <c:layout>
                <c:manualLayout>
                  <c:x val="-3.0066862619773985E-2"/>
                  <c:y val="-7.4548702245552642E-2"/>
                </c:manualLayout>
              </c:layout>
              <c:dLblPos val="r"/>
              <c:showLegendKey val="0"/>
              <c:showVal val="1"/>
              <c:showCatName val="0"/>
              <c:showSerName val="0"/>
              <c:showPercent val="0"/>
              <c:showBubbleSize val="0"/>
            </c:dLbl>
            <c:numFmt formatCode="#,##0.0" sourceLinked="0"/>
            <c:dLblPos val="t"/>
            <c:showLegendKey val="0"/>
            <c:showVal val="1"/>
            <c:showCatName val="0"/>
            <c:showSerName val="0"/>
            <c:showPercent val="0"/>
            <c:showBubbleSize val="0"/>
            <c:showLeaderLines val="0"/>
          </c:dLbls>
          <c:val>
            <c:numRef>
              <c:f>grafiks!$C$34:$K$34</c:f>
              <c:numCache>
                <c:formatCode>#,##0</c:formatCode>
                <c:ptCount val="9"/>
                <c:pt idx="0">
                  <c:v>104980627</c:v>
                </c:pt>
                <c:pt idx="1">
                  <c:v>115651784</c:v>
                </c:pt>
                <c:pt idx="2">
                  <c:v>125580435</c:v>
                </c:pt>
                <c:pt idx="3">
                  <c:v>126580300</c:v>
                </c:pt>
                <c:pt idx="4">
                  <c:v>140323828</c:v>
                </c:pt>
                <c:pt idx="5">
                  <c:v>224974382</c:v>
                </c:pt>
                <c:pt idx="6">
                  <c:v>332560373</c:v>
                </c:pt>
                <c:pt idx="7">
                  <c:v>377721050.59519601</c:v>
                </c:pt>
                <c:pt idx="8">
                  <c:v>385182443.40172803</c:v>
                </c:pt>
              </c:numCache>
            </c:numRef>
          </c:val>
          <c:smooth val="0"/>
        </c:ser>
        <c:dLbls>
          <c:dLblPos val="t"/>
          <c:showLegendKey val="0"/>
          <c:showVal val="1"/>
          <c:showCatName val="0"/>
          <c:showSerName val="0"/>
          <c:showPercent val="0"/>
          <c:showBubbleSize val="0"/>
        </c:dLbls>
        <c:marker val="1"/>
        <c:smooth val="0"/>
        <c:axId val="72766976"/>
        <c:axId val="72768512"/>
      </c:lineChart>
      <c:catAx>
        <c:axId val="72766976"/>
        <c:scaling>
          <c:orientation val="minMax"/>
        </c:scaling>
        <c:delete val="0"/>
        <c:axPos val="b"/>
        <c:majorTickMark val="out"/>
        <c:minorTickMark val="none"/>
        <c:tickLblPos val="nextTo"/>
        <c:crossAx val="72768512"/>
        <c:crosses val="autoZero"/>
        <c:auto val="1"/>
        <c:lblAlgn val="ctr"/>
        <c:lblOffset val="100"/>
        <c:noMultiLvlLbl val="0"/>
      </c:catAx>
      <c:valAx>
        <c:axId val="72768512"/>
        <c:scaling>
          <c:orientation val="minMax"/>
        </c:scaling>
        <c:delete val="0"/>
        <c:axPos val="l"/>
        <c:majorGridlines/>
        <c:numFmt formatCode="#,##0" sourceLinked="1"/>
        <c:majorTickMark val="out"/>
        <c:minorTickMark val="none"/>
        <c:tickLblPos val="nextTo"/>
        <c:crossAx val="72766976"/>
        <c:crosses val="autoZero"/>
        <c:crossBetween val="between"/>
        <c:dispUnits>
          <c:builtInUnit val="millions"/>
        </c:dispUnits>
      </c:valAx>
    </c:plotArea>
    <c:legend>
      <c:legendPos val="b"/>
      <c:overlay val="0"/>
    </c:legend>
    <c:plotVisOnly val="1"/>
    <c:dispBlanksAs val="zero"/>
    <c:showDLblsOverMax val="0"/>
  </c:chart>
  <c:spPr>
    <a:ln>
      <a:noFill/>
    </a:ln>
  </c:spPr>
  <c:txPr>
    <a:bodyPr/>
    <a:lstStyle/>
    <a:p>
      <a:pPr>
        <a:defRPr>
          <a:latin typeface="Times New Roman" pitchFamily="18" charset="0"/>
          <a:cs typeface="Times New Roman" pitchFamily="18" charset="0"/>
        </a:defRPr>
      </a:pPr>
      <a:endParaRPr lang="lv-LV"/>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bar"/>
        <c:grouping val="clustered"/>
        <c:varyColors val="0"/>
        <c:ser>
          <c:idx val="0"/>
          <c:order val="0"/>
          <c:invertIfNegative val="0"/>
          <c:dLbls>
            <c:txPr>
              <a:bodyPr/>
              <a:lstStyle/>
              <a:p>
                <a:pPr>
                  <a:defRPr sz="1000" b="0"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dLbls>
          <c:cat>
            <c:strRef>
              <c:f>Kopā_Paid_Decided!$C$141:$C$152</c:f>
              <c:strCache>
                <c:ptCount val="12"/>
                <c:pt idx="0">
                  <c:v>Rumānija</c:v>
                </c:pt>
                <c:pt idx="1">
                  <c:v>Bulgārija</c:v>
                </c:pt>
                <c:pt idx="2">
                  <c:v>Čehija</c:v>
                </c:pt>
                <c:pt idx="3">
                  <c:v>Malta</c:v>
                </c:pt>
                <c:pt idx="4">
                  <c:v>Slovākija</c:v>
                </c:pt>
                <c:pt idx="5">
                  <c:v>Ungārija</c:v>
                </c:pt>
                <c:pt idx="6">
                  <c:v>Kipra</c:v>
                </c:pt>
                <c:pt idx="7">
                  <c:v>Polija</c:v>
                </c:pt>
                <c:pt idx="8">
                  <c:v>Slovēnija</c:v>
                </c:pt>
                <c:pt idx="9">
                  <c:v>Latvija</c:v>
                </c:pt>
                <c:pt idx="10">
                  <c:v>Igaunija</c:v>
                </c:pt>
                <c:pt idx="11">
                  <c:v>Lietuva</c:v>
                </c:pt>
              </c:strCache>
            </c:strRef>
          </c:cat>
          <c:val>
            <c:numRef>
              <c:f>Kopā_Paid_Decided!$D$141:$D$152</c:f>
            </c:numRef>
          </c:val>
        </c:ser>
        <c:ser>
          <c:idx val="1"/>
          <c:order val="1"/>
          <c:spPr>
            <a:solidFill>
              <a:schemeClr val="accent1"/>
            </a:solidFill>
          </c:spPr>
          <c:invertIfNegative val="0"/>
          <c:dPt>
            <c:idx val="9"/>
            <c:invertIfNegative val="0"/>
            <c:bubble3D val="0"/>
            <c:spPr>
              <a:solidFill>
                <a:schemeClr val="accent2"/>
              </a:solidFill>
            </c:spPr>
          </c:dPt>
          <c:dLbls>
            <c:dLbl>
              <c:idx val="9"/>
              <c:spPr/>
              <c:txPr>
                <a:bodyPr/>
                <a:lstStyle/>
                <a:p>
                  <a:pPr>
                    <a:defRPr>
                      <a:solidFill>
                        <a:schemeClr val="accent2">
                          <a:lumMod val="50000"/>
                        </a:schemeClr>
                      </a:solidFill>
                    </a:defRPr>
                  </a:pPr>
                  <a:endParaRPr lang="lv-LV"/>
                </a:p>
              </c:txPr>
              <c:showLegendKey val="0"/>
              <c:showVal val="1"/>
              <c:showCatName val="0"/>
              <c:showSerName val="0"/>
              <c:showPercent val="0"/>
              <c:showBubbleSize val="0"/>
            </c:dLbl>
            <c:showLegendKey val="0"/>
            <c:showVal val="1"/>
            <c:showCatName val="0"/>
            <c:showSerName val="0"/>
            <c:showPercent val="0"/>
            <c:showBubbleSize val="0"/>
            <c:showLeaderLines val="0"/>
          </c:dLbls>
          <c:cat>
            <c:strRef>
              <c:f>Kopā_Paid_Decided!$C$141:$C$152</c:f>
              <c:strCache>
                <c:ptCount val="12"/>
                <c:pt idx="0">
                  <c:v>Rumānija</c:v>
                </c:pt>
                <c:pt idx="1">
                  <c:v>Bulgārija</c:v>
                </c:pt>
                <c:pt idx="2">
                  <c:v>Čehija</c:v>
                </c:pt>
                <c:pt idx="3">
                  <c:v>Malta</c:v>
                </c:pt>
                <c:pt idx="4">
                  <c:v>Slovākija</c:v>
                </c:pt>
                <c:pt idx="5">
                  <c:v>Ungārija</c:v>
                </c:pt>
                <c:pt idx="6">
                  <c:v>Kipra</c:v>
                </c:pt>
                <c:pt idx="7">
                  <c:v>Polija</c:v>
                </c:pt>
                <c:pt idx="8">
                  <c:v>Slovēnija</c:v>
                </c:pt>
                <c:pt idx="9">
                  <c:v>Latvija</c:v>
                </c:pt>
                <c:pt idx="10">
                  <c:v>Igaunija</c:v>
                </c:pt>
                <c:pt idx="11">
                  <c:v>Lietuva</c:v>
                </c:pt>
              </c:strCache>
            </c:strRef>
          </c:cat>
          <c:val>
            <c:numRef>
              <c:f>Kopā_Paid_Decided!$E$141:$E$152</c:f>
              <c:numCache>
                <c:formatCode>0.0%</c:formatCode>
                <c:ptCount val="12"/>
                <c:pt idx="0">
                  <c:v>0.14684746232738058</c:v>
                </c:pt>
                <c:pt idx="1">
                  <c:v>0.186147876814518</c:v>
                </c:pt>
                <c:pt idx="2">
                  <c:v>0.23072357939578095</c:v>
                </c:pt>
                <c:pt idx="3">
                  <c:v>0.25064916743963972</c:v>
                </c:pt>
                <c:pt idx="4">
                  <c:v>0.25633289282895749</c:v>
                </c:pt>
                <c:pt idx="5">
                  <c:v>0.28515386700474954</c:v>
                </c:pt>
                <c:pt idx="6">
                  <c:v>0.32604888409119509</c:v>
                </c:pt>
                <c:pt idx="7">
                  <c:v>0.32722385025089357</c:v>
                </c:pt>
                <c:pt idx="8">
                  <c:v>0.3357481314713186</c:v>
                </c:pt>
                <c:pt idx="9">
                  <c:v>0.34186021088739532</c:v>
                </c:pt>
                <c:pt idx="10">
                  <c:v>0.40345256071787378</c:v>
                </c:pt>
                <c:pt idx="11">
                  <c:v>0.45307535838858343</c:v>
                </c:pt>
              </c:numCache>
            </c:numRef>
          </c:val>
        </c:ser>
        <c:dLbls>
          <c:showLegendKey val="0"/>
          <c:showVal val="0"/>
          <c:showCatName val="0"/>
          <c:showSerName val="0"/>
          <c:showPercent val="0"/>
          <c:showBubbleSize val="0"/>
        </c:dLbls>
        <c:gapWidth val="150"/>
        <c:shape val="box"/>
        <c:axId val="72845568"/>
        <c:axId val="72855552"/>
        <c:axId val="0"/>
      </c:bar3DChart>
      <c:catAx>
        <c:axId val="72845568"/>
        <c:scaling>
          <c:orientation val="minMax"/>
        </c:scaling>
        <c:delete val="0"/>
        <c:axPos val="l"/>
        <c:numFmt formatCode="General" sourceLinked="1"/>
        <c:majorTickMark val="out"/>
        <c:minorTickMark val="none"/>
        <c:tickLblPos val="nextTo"/>
        <c:txPr>
          <a:bodyPr rot="0" vert="horz"/>
          <a:lstStyle/>
          <a:p>
            <a:pPr>
              <a:defRPr/>
            </a:pPr>
            <a:endParaRPr lang="lv-LV"/>
          </a:p>
        </c:txPr>
        <c:crossAx val="72855552"/>
        <c:crosses val="autoZero"/>
        <c:auto val="1"/>
        <c:lblAlgn val="ctr"/>
        <c:lblOffset val="100"/>
        <c:noMultiLvlLbl val="0"/>
      </c:catAx>
      <c:valAx>
        <c:axId val="72855552"/>
        <c:scaling>
          <c:orientation val="minMax"/>
        </c:scaling>
        <c:delete val="0"/>
        <c:axPos val="b"/>
        <c:majorGridlines/>
        <c:numFmt formatCode="0%" sourceLinked="0"/>
        <c:majorTickMark val="out"/>
        <c:minorTickMark val="none"/>
        <c:tickLblPos val="nextTo"/>
        <c:txPr>
          <a:bodyPr rot="0" vert="horz"/>
          <a:lstStyle/>
          <a:p>
            <a:pPr>
              <a:defRPr/>
            </a:pPr>
            <a:endParaRPr lang="lv-LV"/>
          </a:p>
        </c:txPr>
        <c:crossAx val="72845568"/>
        <c:crosses val="autoZero"/>
        <c:crossBetween val="between"/>
      </c:valAx>
      <c:spPr>
        <a:noFill/>
        <a:ln w="25400">
          <a:noFill/>
        </a:ln>
      </c:spPr>
    </c:plotArea>
    <c:plotVisOnly val="1"/>
    <c:dispBlanksAs val="gap"/>
    <c:showDLblsOverMax val="0"/>
  </c:chart>
  <c:spPr>
    <a:ln>
      <a:noFill/>
    </a:ln>
  </c:spPr>
  <c:txPr>
    <a:bodyPr/>
    <a:lstStyle/>
    <a:p>
      <a:pPr>
        <a:defRPr sz="1200" b="0" i="0" u="none" strike="noStrike" baseline="0">
          <a:solidFill>
            <a:srgbClr val="000000"/>
          </a:solidFill>
          <a:latin typeface="Times New Roman" pitchFamily="18" charset="0"/>
          <a:ea typeface="Calibri"/>
          <a:cs typeface="Times New Roman" pitchFamily="18" charset="0"/>
        </a:defRPr>
      </a:pPr>
      <a:endParaRPr lang="lv-LV"/>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'2007-2013_KF_3B'!$A$2</c:f>
              <c:strCache>
                <c:ptCount val="1"/>
                <c:pt idx="0">
                  <c:v>Noslēgie līgumi</c:v>
                </c:pt>
              </c:strCache>
            </c:strRef>
          </c:tx>
          <c:spPr>
            <a:solidFill>
              <a:schemeClr val="accent1">
                <a:lumMod val="75000"/>
              </a:schemeClr>
            </a:solidFill>
          </c:spPr>
          <c:invertIfNegative val="0"/>
          <c:cat>
            <c:strRef>
              <c:f>'2007-2013_KF_3B'!$B$1:$D$1</c:f>
              <c:strCache>
                <c:ptCount val="3"/>
                <c:pt idx="0">
                  <c:v>Igaunija</c:v>
                </c:pt>
                <c:pt idx="1">
                  <c:v>Lietuva</c:v>
                </c:pt>
                <c:pt idx="2">
                  <c:v>Latvija</c:v>
                </c:pt>
              </c:strCache>
            </c:strRef>
          </c:cat>
          <c:val>
            <c:numRef>
              <c:f>'2007-2013_KF_3B'!$B$2:$D$2</c:f>
              <c:numCache>
                <c:formatCode>0.0%</c:formatCode>
                <c:ptCount val="3"/>
                <c:pt idx="0">
                  <c:v>0.79600000000000004</c:v>
                </c:pt>
                <c:pt idx="1">
                  <c:v>0.66600000000000004</c:v>
                </c:pt>
                <c:pt idx="2">
                  <c:v>0.86399999999999999</c:v>
                </c:pt>
              </c:numCache>
            </c:numRef>
          </c:val>
        </c:ser>
        <c:ser>
          <c:idx val="1"/>
          <c:order val="1"/>
          <c:tx>
            <c:strRef>
              <c:f>'2007-2013_KF_3B'!$A$3</c:f>
              <c:strCache>
                <c:ptCount val="1"/>
                <c:pt idx="0">
                  <c:v>Visi veiktie maksājumi finansējuma saņēmējiem </c:v>
                </c:pt>
              </c:strCache>
            </c:strRef>
          </c:tx>
          <c:spPr>
            <a:solidFill>
              <a:schemeClr val="tx2">
                <a:lumMod val="40000"/>
                <a:lumOff val="60000"/>
              </a:schemeClr>
            </a:solidFill>
          </c:spPr>
          <c:invertIfNegative val="0"/>
          <c:cat>
            <c:strRef>
              <c:f>'2007-2013_KF_3B'!$B$1:$D$1</c:f>
              <c:strCache>
                <c:ptCount val="3"/>
                <c:pt idx="0">
                  <c:v>Igaunija</c:v>
                </c:pt>
                <c:pt idx="1">
                  <c:v>Lietuva</c:v>
                </c:pt>
                <c:pt idx="2">
                  <c:v>Latvija</c:v>
                </c:pt>
              </c:strCache>
            </c:strRef>
          </c:cat>
          <c:val>
            <c:numRef>
              <c:f>'2007-2013_KF_3B'!$B$3:$D$3</c:f>
              <c:numCache>
                <c:formatCode>0.0%</c:formatCode>
                <c:ptCount val="3"/>
                <c:pt idx="0">
                  <c:v>0.216</c:v>
                </c:pt>
                <c:pt idx="1">
                  <c:v>0.36</c:v>
                </c:pt>
                <c:pt idx="2">
                  <c:v>0.33700000000000002</c:v>
                </c:pt>
              </c:numCache>
            </c:numRef>
          </c:val>
        </c:ser>
        <c:ser>
          <c:idx val="2"/>
          <c:order val="2"/>
          <c:tx>
            <c:strRef>
              <c:f>'2007-2013_KF_3B'!$A$4</c:f>
              <c:strCache>
                <c:ptCount val="1"/>
                <c:pt idx="0">
                  <c:v>Saņemtie maksājumi no EK </c:v>
                </c:pt>
              </c:strCache>
            </c:strRef>
          </c:tx>
          <c:spPr>
            <a:solidFill>
              <a:schemeClr val="tx2">
                <a:lumMod val="20000"/>
                <a:lumOff val="80000"/>
              </a:schemeClr>
            </a:solidFill>
          </c:spPr>
          <c:invertIfNegative val="0"/>
          <c:cat>
            <c:strRef>
              <c:f>'2007-2013_KF_3B'!$B$1:$D$1</c:f>
              <c:strCache>
                <c:ptCount val="3"/>
                <c:pt idx="0">
                  <c:v>Igaunija</c:v>
                </c:pt>
                <c:pt idx="1">
                  <c:v>Lietuva</c:v>
                </c:pt>
                <c:pt idx="2">
                  <c:v>Latvija</c:v>
                </c:pt>
              </c:strCache>
            </c:strRef>
          </c:cat>
          <c:val>
            <c:numRef>
              <c:f>'2007-2013_KF_3B'!$B$4:$D$4</c:f>
              <c:numCache>
                <c:formatCode>0.0%</c:formatCode>
                <c:ptCount val="3"/>
                <c:pt idx="0">
                  <c:v>0.27700000000000002</c:v>
                </c:pt>
                <c:pt idx="1">
                  <c:v>0.44500000000000001</c:v>
                </c:pt>
                <c:pt idx="2">
                  <c:v>0.3</c:v>
                </c:pt>
              </c:numCache>
            </c:numRef>
          </c:val>
        </c:ser>
        <c:dLbls>
          <c:showLegendKey val="0"/>
          <c:showVal val="1"/>
          <c:showCatName val="0"/>
          <c:showSerName val="0"/>
          <c:showPercent val="0"/>
          <c:showBubbleSize val="0"/>
        </c:dLbls>
        <c:gapWidth val="75"/>
        <c:overlap val="-25"/>
        <c:axId val="72877568"/>
        <c:axId val="72879104"/>
      </c:barChart>
      <c:catAx>
        <c:axId val="72877568"/>
        <c:scaling>
          <c:orientation val="minMax"/>
        </c:scaling>
        <c:delete val="0"/>
        <c:axPos val="b"/>
        <c:majorTickMark val="none"/>
        <c:minorTickMark val="none"/>
        <c:tickLblPos val="nextTo"/>
        <c:crossAx val="72879104"/>
        <c:crosses val="autoZero"/>
        <c:auto val="1"/>
        <c:lblAlgn val="ctr"/>
        <c:lblOffset val="100"/>
        <c:noMultiLvlLbl val="0"/>
      </c:catAx>
      <c:valAx>
        <c:axId val="72879104"/>
        <c:scaling>
          <c:orientation val="minMax"/>
        </c:scaling>
        <c:delete val="0"/>
        <c:axPos val="l"/>
        <c:majorGridlines/>
        <c:numFmt formatCode="0%" sourceLinked="0"/>
        <c:majorTickMark val="none"/>
        <c:minorTickMark val="none"/>
        <c:tickLblPos val="nextTo"/>
        <c:spPr>
          <a:ln w="9525">
            <a:noFill/>
          </a:ln>
        </c:spPr>
        <c:crossAx val="72877568"/>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20"/>
      <c:depthPercent val="120"/>
      <c:rAngAx val="1"/>
    </c:view3D>
    <c:floor>
      <c:thickness val="0"/>
    </c:floor>
    <c:sideWall>
      <c:thickness val="0"/>
    </c:sideWall>
    <c:backWall>
      <c:thickness val="0"/>
    </c:backWall>
    <c:plotArea>
      <c:layout>
        <c:manualLayout>
          <c:layoutTarget val="inner"/>
          <c:xMode val="edge"/>
          <c:yMode val="edge"/>
          <c:x val="5.8099518810148729E-2"/>
          <c:y val="6.5289442986293383E-2"/>
          <c:w val="0.94190048118985126"/>
          <c:h val="0.8326195683872849"/>
        </c:manualLayout>
      </c:layout>
      <c:bar3DChart>
        <c:barDir val="col"/>
        <c:grouping val="clustered"/>
        <c:varyColors val="0"/>
        <c:ser>
          <c:idx val="0"/>
          <c:order val="0"/>
          <c:invertIfNegative val="0"/>
          <c:dLbls>
            <c:dLbl>
              <c:idx val="0"/>
              <c:layout>
                <c:manualLayout>
                  <c:x val="1.6666768005350704E-2"/>
                  <c:y val="-3.7037037037037035E-2"/>
                </c:manualLayout>
              </c:layout>
              <c:tx>
                <c:rich>
                  <a:bodyPr/>
                  <a:lstStyle/>
                  <a:p>
                    <a:r>
                      <a:rPr lang="en-US"/>
                      <a:t>35</a:t>
                    </a:r>
                    <a:r>
                      <a:rPr lang="lv-LV"/>
                      <a:t>,5(100%)</a:t>
                    </a:r>
                    <a:endParaRPr lang="en-US"/>
                  </a:p>
                </c:rich>
              </c:tx>
              <c:showLegendKey val="0"/>
              <c:showVal val="1"/>
              <c:showCatName val="0"/>
              <c:showSerName val="0"/>
              <c:showPercent val="0"/>
              <c:showBubbleSize val="0"/>
            </c:dLbl>
            <c:dLbl>
              <c:idx val="1"/>
              <c:layout>
                <c:manualLayout>
                  <c:x val="1.6055290385999049E-2"/>
                  <c:y val="-3.7037037037037049E-2"/>
                </c:manualLayout>
              </c:layout>
              <c:tx>
                <c:rich>
                  <a:bodyPr/>
                  <a:lstStyle/>
                  <a:p>
                    <a:r>
                      <a:rPr lang="en-US"/>
                      <a:t>3</a:t>
                    </a:r>
                    <a:r>
                      <a:rPr lang="lv-LV"/>
                      <a:t>5(98,5%)</a:t>
                    </a:r>
                    <a:endParaRPr lang="en-US"/>
                  </a:p>
                </c:rich>
              </c:tx>
              <c:showLegendKey val="0"/>
              <c:showVal val="1"/>
              <c:showCatName val="0"/>
              <c:showSerName val="0"/>
              <c:showPercent val="0"/>
              <c:showBubbleSize val="0"/>
            </c:dLbl>
            <c:dLbl>
              <c:idx val="2"/>
              <c:layout>
                <c:manualLayout>
                  <c:x val="3.3333333333333333E-2"/>
                  <c:y val="-3.2407407407407406E-2"/>
                </c:manualLayout>
              </c:layout>
              <c:tx>
                <c:rich>
                  <a:bodyPr/>
                  <a:lstStyle/>
                  <a:p>
                    <a:r>
                      <a:rPr lang="en-US"/>
                      <a:t>22</a:t>
                    </a:r>
                    <a:r>
                      <a:rPr lang="lv-LV"/>
                      <a:t>,1(68,7%)</a:t>
                    </a:r>
                    <a:endParaRPr lang="en-US"/>
                  </a:p>
                </c:rich>
              </c:tx>
              <c:showLegendKey val="0"/>
              <c:showVal val="1"/>
              <c:showCatName val="0"/>
              <c:showSerName val="0"/>
              <c:showPercent val="0"/>
              <c:showBubbleSize val="0"/>
            </c:dLbl>
            <c:dLbl>
              <c:idx val="3"/>
              <c:layout>
                <c:manualLayout>
                  <c:x val="3.6111111111111108E-2"/>
                  <c:y val="-4.1666666666666664E-2"/>
                </c:manualLayout>
              </c:layout>
              <c:tx>
                <c:rich>
                  <a:bodyPr/>
                  <a:lstStyle/>
                  <a:p>
                    <a:r>
                      <a:rPr lang="en-US"/>
                      <a:t>27</a:t>
                    </a:r>
                    <a:r>
                      <a:rPr lang="lv-LV"/>
                      <a:t>(76,1%)</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Sheet1!$A$3:$D$3</c:f>
              <c:strCache>
                <c:ptCount val="4"/>
                <c:pt idx="0">
                  <c:v>Latvijai pieejamais EEZ/NOR FI grants</c:v>
                </c:pt>
                <c:pt idx="1">
                  <c:v>Projektu Īstenošanas līgumos kontraktētais EEZ/NOR FI grants</c:v>
                </c:pt>
                <c:pt idx="2">
                  <c:v>No donorvalstīm atgūtais EEZ/NOR FI grants uz 30.06.2011.</c:v>
                </c:pt>
                <c:pt idx="3">
                  <c:v>No donorvalstīm atgūtais EEZ/NOR FI grants uz 30.09.2011.</c:v>
                </c:pt>
              </c:strCache>
            </c:strRef>
          </c:cat>
          <c:val>
            <c:numRef>
              <c:f>Sheet1!$A$4:$D$4</c:f>
              <c:numCache>
                <c:formatCode>#,##0</c:formatCode>
                <c:ptCount val="4"/>
                <c:pt idx="0">
                  <c:v>35491854</c:v>
                </c:pt>
                <c:pt idx="1">
                  <c:v>34956397</c:v>
                </c:pt>
                <c:pt idx="2">
                  <c:v>22100000</c:v>
                </c:pt>
                <c:pt idx="3">
                  <c:v>27022441</c:v>
                </c:pt>
              </c:numCache>
            </c:numRef>
          </c:val>
        </c:ser>
        <c:dLbls>
          <c:showLegendKey val="0"/>
          <c:showVal val="0"/>
          <c:showCatName val="0"/>
          <c:showSerName val="0"/>
          <c:showPercent val="0"/>
          <c:showBubbleSize val="0"/>
        </c:dLbls>
        <c:gapWidth val="150"/>
        <c:shape val="box"/>
        <c:axId val="72896896"/>
        <c:axId val="72898432"/>
        <c:axId val="0"/>
      </c:bar3DChart>
      <c:catAx>
        <c:axId val="72896896"/>
        <c:scaling>
          <c:orientation val="minMax"/>
        </c:scaling>
        <c:delete val="0"/>
        <c:axPos val="b"/>
        <c:majorTickMark val="out"/>
        <c:minorTickMark val="none"/>
        <c:tickLblPos val="nextTo"/>
        <c:crossAx val="72898432"/>
        <c:crosses val="autoZero"/>
        <c:auto val="1"/>
        <c:lblAlgn val="ctr"/>
        <c:lblOffset val="100"/>
        <c:noMultiLvlLbl val="0"/>
      </c:catAx>
      <c:valAx>
        <c:axId val="72898432"/>
        <c:scaling>
          <c:orientation val="minMax"/>
        </c:scaling>
        <c:delete val="0"/>
        <c:axPos val="l"/>
        <c:majorGridlines/>
        <c:numFmt formatCode="#,##0" sourceLinked="1"/>
        <c:majorTickMark val="out"/>
        <c:minorTickMark val="none"/>
        <c:tickLblPos val="nextTo"/>
        <c:crossAx val="72896896"/>
        <c:crosses val="autoZero"/>
        <c:crossBetween val="between"/>
        <c:dispUnits>
          <c:builtInUnit val="millions"/>
        </c:dispUnits>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3.5891594631752115E-2"/>
          <c:y val="1.7275356504003879E-2"/>
          <c:w val="0.96230052324540505"/>
          <c:h val="0.84727730689714742"/>
        </c:manualLayout>
      </c:layout>
      <c:bar3DChart>
        <c:barDir val="col"/>
        <c:grouping val="stacked"/>
        <c:varyColors val="0"/>
        <c:ser>
          <c:idx val="0"/>
          <c:order val="0"/>
          <c:spPr>
            <a:solidFill>
              <a:schemeClr val="accent1"/>
            </a:solidFill>
          </c:spPr>
          <c:invertIfNegative val="0"/>
          <c:dPt>
            <c:idx val="0"/>
            <c:invertIfNegative val="0"/>
            <c:bubble3D val="0"/>
          </c:dPt>
          <c:dPt>
            <c:idx val="1"/>
            <c:invertIfNegative val="0"/>
            <c:bubble3D val="0"/>
          </c:dPt>
          <c:dPt>
            <c:idx val="2"/>
            <c:invertIfNegative val="0"/>
            <c:bubble3D val="0"/>
          </c:dPt>
          <c:dLbls>
            <c:dLbl>
              <c:idx val="0"/>
              <c:layout>
                <c:manualLayout>
                  <c:x val="2.2222222222222223E-2"/>
                  <c:y val="-1.8518518518518517E-2"/>
                </c:manualLayout>
              </c:layout>
              <c:tx>
                <c:rich>
                  <a:bodyPr/>
                  <a:lstStyle/>
                  <a:p>
                    <a:pPr>
                      <a:defRPr/>
                    </a:pPr>
                    <a:r>
                      <a:rPr lang="lv-LV"/>
                      <a:t>56,9 (100%)</a:t>
                    </a:r>
                  </a:p>
                </c:rich>
              </c:tx>
              <c:numFmt formatCode="#,##0.0" sourceLinked="0"/>
              <c:spPr/>
              <c:showLegendKey val="0"/>
              <c:showVal val="0"/>
              <c:showCatName val="0"/>
              <c:showSerName val="0"/>
              <c:showPercent val="0"/>
              <c:showBubbleSize val="0"/>
            </c:dLbl>
            <c:dLbl>
              <c:idx val="1"/>
              <c:layout>
                <c:manualLayout>
                  <c:x val="1.5867579908675798E-2"/>
                  <c:y val="-1.3888758954635622E-2"/>
                </c:manualLayout>
              </c:layout>
              <c:tx>
                <c:rich>
                  <a:bodyPr/>
                  <a:lstStyle/>
                  <a:p>
                    <a:pPr>
                      <a:defRPr/>
                    </a:pPr>
                    <a:r>
                      <a:rPr lang="lv-LV"/>
                      <a:t>54,6 (96,0 %)</a:t>
                    </a:r>
                  </a:p>
                </c:rich>
              </c:tx>
              <c:numFmt formatCode="#,##0.0" sourceLinked="0"/>
              <c:spPr/>
              <c:showLegendKey val="0"/>
              <c:showVal val="0"/>
              <c:showCatName val="0"/>
              <c:showSerName val="0"/>
              <c:showPercent val="0"/>
              <c:showBubbleSize val="0"/>
            </c:dLbl>
            <c:dLbl>
              <c:idx val="2"/>
              <c:layout>
                <c:manualLayout>
                  <c:x val="0.22298385646999605"/>
                  <c:y val="-9.2334398794210043E-2"/>
                </c:manualLayout>
              </c:layout>
              <c:tx>
                <c:rich>
                  <a:bodyPr/>
                  <a:lstStyle/>
                  <a:p>
                    <a:pPr>
                      <a:defRPr/>
                    </a:pPr>
                    <a:r>
                      <a:rPr lang="lv-LV"/>
                      <a:t>15,0 (26,4%)</a:t>
                    </a:r>
                  </a:p>
                </c:rich>
              </c:tx>
              <c:numFmt formatCode="#,##0.0" sourceLinked="0"/>
              <c:spPr/>
              <c:showLegendKey val="0"/>
              <c:showVal val="0"/>
              <c:showCatName val="0"/>
              <c:showSerName val="0"/>
              <c:showPercent val="0"/>
              <c:showBubbleSize val="0"/>
            </c:dLbl>
            <c:dLbl>
              <c:idx val="3"/>
              <c:layout>
                <c:manualLayout>
                  <c:x val="-0.18817053273746187"/>
                  <c:y val="-4.837688282595249E-2"/>
                </c:manualLayout>
              </c:layout>
              <c:tx>
                <c:rich>
                  <a:bodyPr/>
                  <a:lstStyle/>
                  <a:p>
                    <a:r>
                      <a:rPr lang="lv-LV">
                        <a:latin typeface="Times New Roman" pitchFamily="18" charset="0"/>
                        <a:cs typeface="Times New Roman" pitchFamily="18" charset="0"/>
                      </a:rPr>
                      <a:t> 6,8 (11,9%)</a:t>
                    </a:r>
                    <a:endParaRPr lang="lv-LV"/>
                  </a:p>
                </c:rich>
              </c:tx>
              <c:showLegendKey val="0"/>
              <c:showVal val="0"/>
              <c:showCatName val="0"/>
              <c:showSerName val="0"/>
              <c:showPercent val="0"/>
              <c:showBubbleSize val="0"/>
            </c:dLbl>
            <c:showLegendKey val="0"/>
            <c:showVal val="0"/>
            <c:showCatName val="0"/>
            <c:showSerName val="1"/>
            <c:showPercent val="0"/>
            <c:showBubbleSize val="0"/>
            <c:showLeaderLines val="0"/>
          </c:dLbls>
          <c:cat>
            <c:strRef>
              <c:f>SWISS!$C$5:$F$5</c:f>
              <c:strCache>
                <c:ptCount val="4"/>
                <c:pt idx="0">
                  <c:v>Latvijai pieejamais Šveices grants</c:v>
                </c:pt>
                <c:pt idx="1">
                  <c:v>Projektos apstiprinātais Šveices grants</c:v>
                </c:pt>
                <c:pt idx="2">
                  <c:v>No donorvalsīm atgūtais Šveices grants uz 30.06.2011.</c:v>
                </c:pt>
                <c:pt idx="3">
                  <c:v>No donorvalsīm atgūtais Šveices grants uz 30.09.2011.</c:v>
                </c:pt>
              </c:strCache>
            </c:strRef>
          </c:cat>
          <c:val>
            <c:numRef>
              <c:f>SWISS!$C$6:$F$6</c:f>
              <c:numCache>
                <c:formatCode>#,##0</c:formatCode>
                <c:ptCount val="4"/>
                <c:pt idx="0">
                  <c:v>56880000</c:v>
                </c:pt>
                <c:pt idx="1">
                  <c:v>54634678</c:v>
                </c:pt>
                <c:pt idx="2">
                  <c:v>6782535</c:v>
                </c:pt>
                <c:pt idx="3">
                  <c:v>15000146.82</c:v>
                </c:pt>
              </c:numCache>
            </c:numRef>
          </c:val>
        </c:ser>
        <c:ser>
          <c:idx val="1"/>
          <c:order val="1"/>
          <c:tx>
            <c:strRef>
              <c:f>SWISS!$G$5</c:f>
              <c:strCache>
                <c:ptCount val="1"/>
              </c:strCache>
            </c:strRef>
          </c:tx>
          <c:spPr>
            <a:pattFill prst="pct5">
              <a:fgClr>
                <a:srgbClr val="0070C0"/>
              </a:fgClr>
              <a:bgClr>
                <a:schemeClr val="bg1"/>
              </a:bgClr>
            </a:pattFill>
          </c:spPr>
          <c:invertIfNegative val="0"/>
          <c:dLbls>
            <c:dLbl>
              <c:idx val="1"/>
              <c:layout>
                <c:manualLayout>
                  <c:x val="1.5442239240642907E-2"/>
                  <c:y val="-1.3118855192605874E-2"/>
                </c:manualLayout>
              </c:layout>
              <c:tx>
                <c:rich>
                  <a:bodyPr/>
                  <a:lstStyle/>
                  <a:p>
                    <a:r>
                      <a:rPr lang="lv-LV">
                        <a:latin typeface="Times New Roman" pitchFamily="18" charset="0"/>
                        <a:cs typeface="Times New Roman" pitchFamily="18" charset="0"/>
                      </a:rPr>
                      <a:t>11,5</a:t>
                    </a:r>
                    <a:r>
                      <a:rPr lang="lv-LV" baseline="0">
                        <a:latin typeface="Times New Roman" pitchFamily="18" charset="0"/>
                        <a:cs typeface="Times New Roman" pitchFamily="18" charset="0"/>
                      </a:rPr>
                      <a:t> </a:t>
                    </a:r>
                    <a:r>
                      <a:rPr lang="lv-LV">
                        <a:latin typeface="Times New Roman" pitchFamily="18" charset="0"/>
                        <a:cs typeface="Times New Roman" pitchFamily="18" charset="0"/>
                      </a:rPr>
                      <a:t>(20,2 %)</a:t>
                    </a:r>
                    <a:endParaRPr lang="lv-LV"/>
                  </a:p>
                </c:rich>
              </c:tx>
              <c:showLegendKey val="0"/>
              <c:showVal val="0"/>
              <c:showCatName val="0"/>
              <c:showSerName val="0"/>
              <c:showPercent val="0"/>
              <c:showBubbleSize val="0"/>
            </c:dLbl>
            <c:showLegendKey val="0"/>
            <c:showVal val="0"/>
            <c:showCatName val="0"/>
            <c:showSerName val="1"/>
            <c:showPercent val="0"/>
            <c:showBubbleSize val="0"/>
            <c:showLeaderLines val="0"/>
          </c:dLbls>
          <c:cat>
            <c:strRef>
              <c:f>SWISS!$C$5:$F$5</c:f>
              <c:strCache>
                <c:ptCount val="4"/>
                <c:pt idx="0">
                  <c:v>Latvijai pieejamais Šveices grants</c:v>
                </c:pt>
                <c:pt idx="1">
                  <c:v>Projektos apstiprinātais Šveices grants</c:v>
                </c:pt>
                <c:pt idx="2">
                  <c:v>No donorvalsīm atgūtais Šveices grants uz 30.06.2011.</c:v>
                </c:pt>
                <c:pt idx="3">
                  <c:v>No donorvalsīm atgūtais Šveices grants uz 30.09.2011.</c:v>
                </c:pt>
              </c:strCache>
            </c:strRef>
          </c:cat>
          <c:val>
            <c:numRef>
              <c:f>SWISS!$C$8:$F$8</c:f>
              <c:numCache>
                <c:formatCode>General</c:formatCode>
                <c:ptCount val="4"/>
              </c:numCache>
            </c:numRef>
          </c:val>
        </c:ser>
        <c:dLbls>
          <c:showLegendKey val="0"/>
          <c:showVal val="0"/>
          <c:showCatName val="0"/>
          <c:showSerName val="0"/>
          <c:showPercent val="0"/>
          <c:showBubbleSize val="0"/>
        </c:dLbls>
        <c:gapWidth val="150"/>
        <c:shape val="box"/>
        <c:axId val="72913664"/>
        <c:axId val="72915200"/>
        <c:axId val="0"/>
      </c:bar3DChart>
      <c:catAx>
        <c:axId val="72913664"/>
        <c:scaling>
          <c:orientation val="minMax"/>
        </c:scaling>
        <c:delete val="0"/>
        <c:axPos val="b"/>
        <c:numFmt formatCode="General" sourceLinked="1"/>
        <c:majorTickMark val="out"/>
        <c:minorTickMark val="none"/>
        <c:tickLblPos val="nextTo"/>
        <c:txPr>
          <a:bodyPr rot="0" vert="horz"/>
          <a:lstStyle/>
          <a:p>
            <a:pPr>
              <a:defRPr/>
            </a:pPr>
            <a:endParaRPr lang="lv-LV"/>
          </a:p>
        </c:txPr>
        <c:crossAx val="72915200"/>
        <c:crosses val="autoZero"/>
        <c:auto val="1"/>
        <c:lblAlgn val="ctr"/>
        <c:lblOffset val="100"/>
        <c:noMultiLvlLbl val="0"/>
      </c:catAx>
      <c:valAx>
        <c:axId val="72915200"/>
        <c:scaling>
          <c:orientation val="minMax"/>
        </c:scaling>
        <c:delete val="0"/>
        <c:axPos val="l"/>
        <c:majorGridlines/>
        <c:numFmt formatCode="#,##0" sourceLinked="1"/>
        <c:majorTickMark val="out"/>
        <c:minorTickMark val="none"/>
        <c:tickLblPos val="nextTo"/>
        <c:txPr>
          <a:bodyPr rot="0" vert="horz"/>
          <a:lstStyle/>
          <a:p>
            <a:pPr>
              <a:defRPr/>
            </a:pPr>
            <a:endParaRPr lang="lv-LV"/>
          </a:p>
        </c:txPr>
        <c:crossAx val="72913664"/>
        <c:crosses val="autoZero"/>
        <c:crossBetween val="between"/>
        <c:dispUnits>
          <c:builtInUnit val="millions"/>
        </c:dispUnits>
      </c:valAx>
      <c:spPr>
        <a:noFill/>
        <a:ln w="25400">
          <a:noFill/>
        </a:ln>
      </c:spPr>
    </c:plotArea>
    <c:plotVisOnly val="1"/>
    <c:dispBlanksAs val="gap"/>
    <c:showDLblsOverMax val="0"/>
  </c:chart>
  <c:spPr>
    <a:ln>
      <a:noFill/>
    </a:ln>
  </c:spPr>
  <c:txPr>
    <a:bodyPr/>
    <a:lstStyle/>
    <a:p>
      <a:pPr>
        <a:defRPr sz="1200" b="0" i="0" u="none" strike="noStrike" baseline="0">
          <a:solidFill>
            <a:srgbClr val="000000"/>
          </a:solidFill>
          <a:latin typeface="Times New Roman" pitchFamily="18" charset="0"/>
          <a:ea typeface="Calibri"/>
          <a:cs typeface="Times New Roman" pitchFamily="18" charset="0"/>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76729559748428E-2"/>
          <c:y val="1.6257035512242873E-2"/>
          <c:w val="0.89224025214669944"/>
          <c:h val="0.5165197356761273"/>
        </c:manualLayout>
      </c:layout>
      <c:lineChart>
        <c:grouping val="standard"/>
        <c:varyColors val="0"/>
        <c:ser>
          <c:idx val="0"/>
          <c:order val="0"/>
          <c:tx>
            <c:strRef>
              <c:f>Sheet1!$A$6</c:f>
              <c:strCache>
                <c:ptCount val="1"/>
                <c:pt idx="0">
                  <c:v>AI apguves mērķis 2011.gadam </c:v>
                </c:pt>
              </c:strCache>
            </c:strRef>
          </c:tx>
          <c:dLbls>
            <c:dLbl>
              <c:idx val="0"/>
              <c:delete val="1"/>
            </c:dLbl>
            <c:dLbl>
              <c:idx val="1"/>
              <c:delete val="1"/>
            </c:dLbl>
            <c:dLbl>
              <c:idx val="3"/>
              <c:delete val="1"/>
            </c:dLbl>
            <c:dLbl>
              <c:idx val="4"/>
              <c:delete val="1"/>
            </c:dLbl>
            <c:dLbl>
              <c:idx val="6"/>
              <c:delete val="1"/>
            </c:dLbl>
            <c:dLbl>
              <c:idx val="7"/>
              <c:delete val="1"/>
            </c:dLbl>
            <c:dLbl>
              <c:idx val="8"/>
              <c:layout>
                <c:manualLayout>
                  <c:x val="-8.0099704518067319E-2"/>
                  <c:y val="-3.4488984825102958E-2"/>
                </c:manualLayout>
              </c:layout>
              <c:dLblPos val="r"/>
              <c:showLegendKey val="0"/>
              <c:showVal val="1"/>
              <c:showCatName val="0"/>
              <c:showSerName val="0"/>
              <c:showPercent val="0"/>
              <c:showBubbleSize val="0"/>
            </c:dLbl>
            <c:dLbl>
              <c:idx val="9"/>
              <c:delete val="1"/>
            </c:dLbl>
            <c:dLbl>
              <c:idx val="10"/>
              <c:delete val="1"/>
            </c:dLbl>
            <c:dLbl>
              <c:idx val="11"/>
              <c:layout>
                <c:manualLayout>
                  <c:x val="-4.5838254593175851E-2"/>
                  <c:y val="-2.3734268587993886E-2"/>
                </c:manualLayout>
              </c:layout>
              <c:dLblPos val="r"/>
              <c:showLegendKey val="0"/>
              <c:showVal val="1"/>
              <c:showCatName val="0"/>
              <c:showSerName val="0"/>
              <c:showPercent val="0"/>
              <c:showBubbleSize val="0"/>
            </c:dLbl>
            <c:numFmt formatCode="#,##0.0" sourceLinked="0"/>
            <c:txPr>
              <a:bodyPr/>
              <a:lstStyle/>
              <a:p>
                <a:pPr algn="ctr">
                  <a:defRPr sz="1100"/>
                </a:pPr>
                <a:endParaRPr lang="lv-LV"/>
              </a:p>
            </c:txPr>
            <c:dLblPos val="t"/>
            <c:showLegendKey val="0"/>
            <c:showVal val="1"/>
            <c:showCatName val="0"/>
            <c:showSerName val="0"/>
            <c:showPercent val="0"/>
            <c:showBubbleSize val="0"/>
            <c:showLeaderLines val="0"/>
          </c:dLbls>
          <c:cat>
            <c:strRef>
              <c:f>Sheet1!$B$5:$M$5</c:f>
              <c:strCache>
                <c:ptCount val="12"/>
                <c:pt idx="0">
                  <c:v>Jan.</c:v>
                </c:pt>
                <c:pt idx="1">
                  <c:v>Feb.</c:v>
                </c:pt>
                <c:pt idx="2">
                  <c:v>Mar.</c:v>
                </c:pt>
                <c:pt idx="3">
                  <c:v>Apr.</c:v>
                </c:pt>
                <c:pt idx="4">
                  <c:v>Mai.</c:v>
                </c:pt>
                <c:pt idx="5">
                  <c:v>Jūn.</c:v>
                </c:pt>
                <c:pt idx="6">
                  <c:v>Jūl.</c:v>
                </c:pt>
                <c:pt idx="7">
                  <c:v>Aug.</c:v>
                </c:pt>
                <c:pt idx="8">
                  <c:v>Sep.</c:v>
                </c:pt>
                <c:pt idx="9">
                  <c:v>Okt.</c:v>
                </c:pt>
                <c:pt idx="10">
                  <c:v>Nov.</c:v>
                </c:pt>
                <c:pt idx="11">
                  <c:v>Dec.</c:v>
                </c:pt>
              </c:strCache>
            </c:strRef>
          </c:cat>
          <c:val>
            <c:numRef>
              <c:f>Sheet1!$B$6:$M$6</c:f>
              <c:numCache>
                <c:formatCode>#,##0</c:formatCode>
                <c:ptCount val="12"/>
                <c:pt idx="0">
                  <c:v>10015718.297499999</c:v>
                </c:pt>
                <c:pt idx="1">
                  <c:v>48981695.226999998</c:v>
                </c:pt>
                <c:pt idx="2">
                  <c:v>93210859.850999996</c:v>
                </c:pt>
                <c:pt idx="3">
                  <c:v>109464954.25220001</c:v>
                </c:pt>
                <c:pt idx="4">
                  <c:v>151050565.06240001</c:v>
                </c:pt>
                <c:pt idx="5">
                  <c:v>186315888.80500001</c:v>
                </c:pt>
                <c:pt idx="6">
                  <c:v>228058907.1128</c:v>
                </c:pt>
                <c:pt idx="7">
                  <c:v>278453950.03799999</c:v>
                </c:pt>
                <c:pt idx="8">
                  <c:v>339311064.68099999</c:v>
                </c:pt>
                <c:pt idx="9">
                  <c:v>390386673.66900003</c:v>
                </c:pt>
                <c:pt idx="10">
                  <c:v>453052326.9544</c:v>
                </c:pt>
                <c:pt idx="11">
                  <c:v>511508999.92320001</c:v>
                </c:pt>
              </c:numCache>
            </c:numRef>
          </c:val>
          <c:smooth val="0"/>
        </c:ser>
        <c:ser>
          <c:idx val="1"/>
          <c:order val="1"/>
          <c:tx>
            <c:strRef>
              <c:f>Sheet1!$A$7</c:f>
              <c:strCache>
                <c:ptCount val="1"/>
                <c:pt idx="0">
                  <c:v>Obligations set in SMoU 2011</c:v>
                </c:pt>
              </c:strCache>
            </c:strRef>
          </c:tx>
          <c:dLbls>
            <c:dLbl>
              <c:idx val="11"/>
              <c:layout>
                <c:manualLayout>
                  <c:x val="-6.7244424635600564E-3"/>
                  <c:y val="-1.9694719757886645E-2"/>
                </c:manualLayout>
              </c:layout>
              <c:dLblPos val="r"/>
              <c:showLegendKey val="0"/>
              <c:showVal val="1"/>
              <c:showCatName val="0"/>
              <c:showSerName val="0"/>
              <c:showPercent val="0"/>
              <c:showBubbleSize val="0"/>
            </c:dLbl>
            <c:numFmt formatCode="#,##0.0" sourceLinked="0"/>
            <c:txPr>
              <a:bodyPr/>
              <a:lstStyle/>
              <a:p>
                <a:pPr>
                  <a:defRPr sz="1200" b="1"/>
                </a:pPr>
                <a:endParaRPr lang="lv-LV"/>
              </a:p>
            </c:txPr>
            <c:dLblPos val="t"/>
            <c:showLegendKey val="0"/>
            <c:showVal val="1"/>
            <c:showCatName val="0"/>
            <c:showSerName val="0"/>
            <c:showPercent val="0"/>
            <c:showBubbleSize val="0"/>
            <c:showLeaderLines val="0"/>
          </c:dLbls>
          <c:cat>
            <c:strRef>
              <c:f>Sheet1!$B$5:$M$5</c:f>
              <c:strCache>
                <c:ptCount val="12"/>
                <c:pt idx="0">
                  <c:v>Jan.</c:v>
                </c:pt>
                <c:pt idx="1">
                  <c:v>Feb.</c:v>
                </c:pt>
                <c:pt idx="2">
                  <c:v>Mar.</c:v>
                </c:pt>
                <c:pt idx="3">
                  <c:v>Apr.</c:v>
                </c:pt>
                <c:pt idx="4">
                  <c:v>Mai.</c:v>
                </c:pt>
                <c:pt idx="5">
                  <c:v>Jūn.</c:v>
                </c:pt>
                <c:pt idx="6">
                  <c:v>Jūl.</c:v>
                </c:pt>
                <c:pt idx="7">
                  <c:v>Aug.</c:v>
                </c:pt>
                <c:pt idx="8">
                  <c:v>Sep.</c:v>
                </c:pt>
                <c:pt idx="9">
                  <c:v>Okt.</c:v>
                </c:pt>
                <c:pt idx="10">
                  <c:v>Nov.</c:v>
                </c:pt>
                <c:pt idx="11">
                  <c:v>Dec.</c:v>
                </c:pt>
              </c:strCache>
            </c:strRef>
          </c:cat>
          <c:val>
            <c:numRef>
              <c:f>Sheet1!$B$7:$M$7</c:f>
            </c:numRef>
          </c:val>
          <c:smooth val="0"/>
        </c:ser>
        <c:ser>
          <c:idx val="2"/>
          <c:order val="2"/>
          <c:tx>
            <c:strRef>
              <c:f>Sheet1!$A$8</c:f>
              <c:strCache>
                <c:ptCount val="1"/>
                <c:pt idx="0">
                  <c:v>Obligations set in SMoU 2010</c:v>
                </c:pt>
              </c:strCache>
            </c:strRef>
          </c:tx>
          <c:spPr>
            <a:ln cap="sq">
              <a:solidFill>
                <a:schemeClr val="accent3">
                  <a:shade val="95000"/>
                  <a:satMod val="105000"/>
                </a:schemeClr>
              </a:solidFill>
              <a:miter lim="800000"/>
            </a:ln>
          </c:spPr>
          <c:marker>
            <c:symbol val="circle"/>
            <c:size val="7"/>
          </c:marker>
          <c:dLbls>
            <c:dLbl>
              <c:idx val="0"/>
              <c:delete val="1"/>
            </c:dLbl>
            <c:dLbl>
              <c:idx val="1"/>
              <c:delete val="1"/>
            </c:dLbl>
            <c:dLbl>
              <c:idx val="2"/>
              <c:delete val="1"/>
            </c:dLbl>
            <c:dLbl>
              <c:idx val="4"/>
              <c:delete val="1"/>
            </c:dLbl>
            <c:dLbl>
              <c:idx val="6"/>
              <c:delete val="1"/>
            </c:dLbl>
            <c:dLbl>
              <c:idx val="7"/>
              <c:delete val="1"/>
            </c:dLbl>
            <c:dLbl>
              <c:idx val="9"/>
              <c:delete val="1"/>
            </c:dLbl>
            <c:dLbl>
              <c:idx val="10"/>
              <c:delete val="1"/>
            </c:dLbl>
            <c:dLbl>
              <c:idx val="11"/>
              <c:layout>
                <c:manualLayout>
                  <c:x val="-3.81709833440632E-2"/>
                  <c:y val="4.3180906777782857E-2"/>
                </c:manualLayout>
              </c:layout>
              <c:dLblPos val="r"/>
              <c:showLegendKey val="0"/>
              <c:showVal val="1"/>
              <c:showCatName val="0"/>
              <c:showSerName val="0"/>
              <c:showPercent val="0"/>
              <c:showBubbleSize val="0"/>
            </c:dLbl>
            <c:numFmt formatCode="#,##0.0" sourceLinked="0"/>
            <c:txPr>
              <a:bodyPr/>
              <a:lstStyle/>
              <a:p>
                <a:pPr algn="ctr">
                  <a:defRPr lang="lv-LV" sz="1200" b="1" i="0" u="none" strike="noStrike" kern="1200" baseline="0">
                    <a:solidFill>
                      <a:sysClr val="windowText" lastClr="000000"/>
                    </a:solidFill>
                    <a:latin typeface="+mn-lt"/>
                    <a:ea typeface="+mn-ea"/>
                    <a:cs typeface="+mn-cs"/>
                  </a:defRPr>
                </a:pPr>
                <a:endParaRPr lang="lv-LV"/>
              </a:p>
            </c:txPr>
            <c:dLblPos val="t"/>
            <c:showLegendKey val="0"/>
            <c:showVal val="1"/>
            <c:showCatName val="0"/>
            <c:showSerName val="0"/>
            <c:showPercent val="0"/>
            <c:showBubbleSize val="0"/>
            <c:showLeaderLines val="0"/>
          </c:dLbls>
          <c:cat>
            <c:strRef>
              <c:f>Sheet1!$B$5:$M$5</c:f>
              <c:strCache>
                <c:ptCount val="12"/>
                <c:pt idx="0">
                  <c:v>Jan.</c:v>
                </c:pt>
                <c:pt idx="1">
                  <c:v>Feb.</c:v>
                </c:pt>
                <c:pt idx="2">
                  <c:v>Mar.</c:v>
                </c:pt>
                <c:pt idx="3">
                  <c:v>Apr.</c:v>
                </c:pt>
                <c:pt idx="4">
                  <c:v>Mai.</c:v>
                </c:pt>
                <c:pt idx="5">
                  <c:v>Jūn.</c:v>
                </c:pt>
                <c:pt idx="6">
                  <c:v>Jūl.</c:v>
                </c:pt>
                <c:pt idx="7">
                  <c:v>Aug.</c:v>
                </c:pt>
                <c:pt idx="8">
                  <c:v>Sep.</c:v>
                </c:pt>
                <c:pt idx="9">
                  <c:v>Okt.</c:v>
                </c:pt>
                <c:pt idx="10">
                  <c:v>Nov.</c:v>
                </c:pt>
                <c:pt idx="11">
                  <c:v>Dec.</c:v>
                </c:pt>
              </c:strCache>
            </c:strRef>
          </c:cat>
          <c:val>
            <c:numRef>
              <c:f>Sheet1!$B$8:$M$8</c:f>
            </c:numRef>
          </c:val>
          <c:smooth val="0"/>
        </c:ser>
        <c:ser>
          <c:idx val="3"/>
          <c:order val="3"/>
          <c:tx>
            <c:strRef>
              <c:f>Sheet1!$A$9</c:f>
              <c:strCache>
                <c:ptCount val="1"/>
                <c:pt idx="0">
                  <c:v>Saprašanās Memorandā noteiktās saistības 2011.gadam</c:v>
                </c:pt>
              </c:strCache>
            </c:strRef>
          </c:tx>
          <c:spPr>
            <a:ln>
              <a:headEnd w="lg" len="med"/>
            </a:ln>
          </c:spPr>
          <c:dLbls>
            <c:dLbl>
              <c:idx val="0"/>
              <c:delete val="1"/>
            </c:dLbl>
            <c:dLbl>
              <c:idx val="1"/>
              <c:delete val="1"/>
            </c:dLbl>
            <c:dLbl>
              <c:idx val="2"/>
              <c:layout>
                <c:manualLayout>
                  <c:x val="-3.218557585962132E-2"/>
                  <c:y val="1.8113655485250436E-2"/>
                </c:manualLayout>
              </c:layout>
              <c:dLblPos val="r"/>
              <c:showLegendKey val="0"/>
              <c:showVal val="1"/>
              <c:showCatName val="0"/>
              <c:showSerName val="0"/>
              <c:showPercent val="0"/>
              <c:showBubbleSize val="0"/>
            </c:dLbl>
            <c:dLbl>
              <c:idx val="3"/>
              <c:delete val="1"/>
            </c:dLbl>
            <c:dLbl>
              <c:idx val="4"/>
              <c:delete val="1"/>
            </c:dLbl>
            <c:dLbl>
              <c:idx val="5"/>
              <c:layout>
                <c:manualLayout>
                  <c:x val="-1.9606959507420064E-2"/>
                  <c:y val="2.9209354285662698E-2"/>
                </c:manualLayout>
              </c:layout>
              <c:dLblPos val="r"/>
              <c:showLegendKey val="0"/>
              <c:showVal val="1"/>
              <c:showCatName val="0"/>
              <c:showSerName val="0"/>
              <c:showPercent val="0"/>
              <c:showBubbleSize val="0"/>
            </c:dLbl>
            <c:dLbl>
              <c:idx val="6"/>
              <c:delete val="1"/>
            </c:dLbl>
            <c:dLbl>
              <c:idx val="7"/>
              <c:delete val="1"/>
            </c:dLbl>
            <c:dLbl>
              <c:idx val="8"/>
              <c:layout>
                <c:manualLayout>
                  <c:x val="-1.2342891100876541E-2"/>
                  <c:y val="2.5510788018858612E-2"/>
                </c:manualLayout>
              </c:layout>
              <c:dLblPos val="r"/>
              <c:showLegendKey val="0"/>
              <c:showVal val="1"/>
              <c:showCatName val="0"/>
              <c:showSerName val="0"/>
              <c:showPercent val="0"/>
              <c:showBubbleSize val="0"/>
            </c:dLbl>
            <c:dLbl>
              <c:idx val="9"/>
              <c:delete val="1"/>
            </c:dLbl>
            <c:dLbl>
              <c:idx val="10"/>
              <c:delete val="1"/>
            </c:dLbl>
            <c:dLbl>
              <c:idx val="11"/>
              <c:layout>
                <c:manualLayout>
                  <c:x val="0"/>
                  <c:y val="-3.0634748162317173E-3"/>
                </c:manualLayout>
              </c:layout>
              <c:dLblPos val="r"/>
              <c:showLegendKey val="0"/>
              <c:showVal val="1"/>
              <c:showCatName val="0"/>
              <c:showSerName val="0"/>
              <c:showPercent val="0"/>
              <c:showBubbleSize val="0"/>
            </c:dLbl>
            <c:numFmt formatCode="#,##0.0" sourceLinked="0"/>
            <c:txPr>
              <a:bodyPr/>
              <a:lstStyle/>
              <a:p>
                <a:pPr algn="ctr">
                  <a:defRPr sz="1100"/>
                </a:pPr>
                <a:endParaRPr lang="lv-LV"/>
              </a:p>
            </c:txPr>
            <c:dLblPos val="t"/>
            <c:showLegendKey val="0"/>
            <c:showVal val="1"/>
            <c:showCatName val="0"/>
            <c:showSerName val="0"/>
            <c:showPercent val="0"/>
            <c:showBubbleSize val="0"/>
            <c:showLeaderLines val="0"/>
          </c:dLbls>
          <c:cat>
            <c:strRef>
              <c:f>Sheet1!$B$5:$M$5</c:f>
              <c:strCache>
                <c:ptCount val="12"/>
                <c:pt idx="0">
                  <c:v>Jan.</c:v>
                </c:pt>
                <c:pt idx="1">
                  <c:v>Feb.</c:v>
                </c:pt>
                <c:pt idx="2">
                  <c:v>Mar.</c:v>
                </c:pt>
                <c:pt idx="3">
                  <c:v>Apr.</c:v>
                </c:pt>
                <c:pt idx="4">
                  <c:v>Mai.</c:v>
                </c:pt>
                <c:pt idx="5">
                  <c:v>Jūn.</c:v>
                </c:pt>
                <c:pt idx="6">
                  <c:v>Jūl.</c:v>
                </c:pt>
                <c:pt idx="7">
                  <c:v>Aug.</c:v>
                </c:pt>
                <c:pt idx="8">
                  <c:v>Sep.</c:v>
                </c:pt>
                <c:pt idx="9">
                  <c:v>Okt.</c:v>
                </c:pt>
                <c:pt idx="10">
                  <c:v>Nov.</c:v>
                </c:pt>
                <c:pt idx="11">
                  <c:v>Dec.</c:v>
                </c:pt>
              </c:strCache>
            </c:strRef>
          </c:cat>
          <c:val>
            <c:numRef>
              <c:f>Sheet1!$B$9:$M$9</c:f>
              <c:numCache>
                <c:formatCode>General</c:formatCode>
                <c:ptCount val="12"/>
                <c:pt idx="11" formatCode="#,##0">
                  <c:v>415357164</c:v>
                </c:pt>
              </c:numCache>
            </c:numRef>
          </c:val>
          <c:smooth val="0"/>
        </c:ser>
        <c:ser>
          <c:idx val="4"/>
          <c:order val="4"/>
          <c:tx>
            <c:strRef>
              <c:f>Sheet1!$A$10</c:f>
              <c:strCache>
                <c:ptCount val="1"/>
                <c:pt idx="0">
                  <c:v>Maksājumi finansējuma saņēmējiem līdz 30.09.2011. / AI plānotie maksājumi okt.-dec.</c:v>
                </c:pt>
              </c:strCache>
            </c:strRef>
          </c:tx>
          <c:dLbls>
            <c:dLbl>
              <c:idx val="0"/>
              <c:delete val="1"/>
            </c:dLbl>
            <c:dLbl>
              <c:idx val="1"/>
              <c:delete val="1"/>
            </c:dLbl>
            <c:dLbl>
              <c:idx val="2"/>
              <c:layout>
                <c:manualLayout>
                  <c:x val="-2.1703395566120273E-2"/>
                  <c:y val="2.5510788018858678E-2"/>
                </c:manualLayout>
              </c:layout>
              <c:dLblPos val="r"/>
              <c:showLegendKey val="0"/>
              <c:showVal val="1"/>
              <c:showCatName val="0"/>
              <c:showSerName val="0"/>
              <c:showPercent val="0"/>
              <c:showBubbleSize val="0"/>
            </c:dLbl>
            <c:dLbl>
              <c:idx val="3"/>
              <c:delete val="1"/>
            </c:dLbl>
            <c:dLbl>
              <c:idx val="4"/>
              <c:delete val="1"/>
            </c:dLbl>
            <c:dLbl>
              <c:idx val="5"/>
              <c:layout>
                <c:manualLayout>
                  <c:x val="-2.1936691948800897E-2"/>
                  <c:y val="2.5679751639820159E-2"/>
                </c:manualLayout>
              </c:layout>
              <c:dLblPos val="r"/>
              <c:showLegendKey val="0"/>
              <c:showVal val="1"/>
              <c:showCatName val="0"/>
              <c:showSerName val="0"/>
              <c:showPercent val="0"/>
              <c:showBubbleSize val="0"/>
            </c:dLbl>
            <c:dLbl>
              <c:idx val="6"/>
              <c:delete val="1"/>
            </c:dLbl>
            <c:dLbl>
              <c:idx val="7"/>
              <c:delete val="1"/>
            </c:dLbl>
            <c:dLbl>
              <c:idx val="8"/>
              <c:layout>
                <c:manualLayout>
                  <c:x val="-9.2540009033041798E-3"/>
                  <c:y val="2.2588684641110902E-2"/>
                </c:manualLayout>
              </c:layout>
              <c:dLblPos val="r"/>
              <c:showLegendKey val="0"/>
              <c:showVal val="1"/>
              <c:showCatName val="0"/>
              <c:showSerName val="0"/>
              <c:showPercent val="0"/>
              <c:showBubbleSize val="0"/>
            </c:dLbl>
            <c:dLbl>
              <c:idx val="9"/>
              <c:layout>
                <c:manualLayout>
                  <c:x val="-3.5320083388770103E-3"/>
                  <c:y val="2.2181596587446679E-2"/>
                </c:manualLayout>
              </c:layout>
              <c:dLblPos val="r"/>
              <c:showLegendKey val="0"/>
              <c:showVal val="1"/>
              <c:showCatName val="0"/>
              <c:showSerName val="0"/>
              <c:showPercent val="0"/>
              <c:showBubbleSize val="0"/>
            </c:dLbl>
            <c:dLbl>
              <c:idx val="10"/>
              <c:layout>
                <c:manualLayout>
                  <c:x val="-1.5894037524946548E-2"/>
                  <c:y val="2.2181596587446679E-2"/>
                </c:manualLayout>
              </c:layout>
              <c:dLblPos val="r"/>
              <c:showLegendKey val="0"/>
              <c:showVal val="1"/>
              <c:showCatName val="0"/>
              <c:showSerName val="0"/>
              <c:showPercent val="0"/>
              <c:showBubbleSize val="0"/>
            </c:dLbl>
            <c:dLbl>
              <c:idx val="11"/>
              <c:layout>
                <c:manualLayout>
                  <c:x val="-1.1956838728492272E-4"/>
                  <c:y val="6.7937718054191885E-3"/>
                </c:manualLayout>
              </c:layout>
              <c:dLblPos val="r"/>
              <c:showLegendKey val="0"/>
              <c:showVal val="1"/>
              <c:showCatName val="0"/>
              <c:showSerName val="0"/>
              <c:showPercent val="0"/>
              <c:showBubbleSize val="0"/>
            </c:dLbl>
            <c:numFmt formatCode="#,##0.0" sourceLinked="0"/>
            <c:txPr>
              <a:bodyPr/>
              <a:lstStyle/>
              <a:p>
                <a:pPr algn="ctr">
                  <a:defRPr sz="1100"/>
                </a:pPr>
                <a:endParaRPr lang="lv-LV"/>
              </a:p>
            </c:txPr>
            <c:dLblPos val="t"/>
            <c:showLegendKey val="0"/>
            <c:showVal val="1"/>
            <c:showCatName val="0"/>
            <c:showSerName val="0"/>
            <c:showPercent val="0"/>
            <c:showBubbleSize val="0"/>
            <c:showLeaderLines val="0"/>
          </c:dLbls>
          <c:cat>
            <c:strRef>
              <c:f>Sheet1!$B$5:$M$5</c:f>
              <c:strCache>
                <c:ptCount val="12"/>
                <c:pt idx="0">
                  <c:v>Jan.</c:v>
                </c:pt>
                <c:pt idx="1">
                  <c:v>Feb.</c:v>
                </c:pt>
                <c:pt idx="2">
                  <c:v>Mar.</c:v>
                </c:pt>
                <c:pt idx="3">
                  <c:v>Apr.</c:v>
                </c:pt>
                <c:pt idx="4">
                  <c:v>Mai.</c:v>
                </c:pt>
                <c:pt idx="5">
                  <c:v>Jūn.</c:v>
                </c:pt>
                <c:pt idx="6">
                  <c:v>Jūl.</c:v>
                </c:pt>
                <c:pt idx="7">
                  <c:v>Aug.</c:v>
                </c:pt>
                <c:pt idx="8">
                  <c:v>Sep.</c:v>
                </c:pt>
                <c:pt idx="9">
                  <c:v>Okt.</c:v>
                </c:pt>
                <c:pt idx="10">
                  <c:v>Nov.</c:v>
                </c:pt>
                <c:pt idx="11">
                  <c:v>Dec.</c:v>
                </c:pt>
              </c:strCache>
            </c:strRef>
          </c:cat>
          <c:val>
            <c:numRef>
              <c:f>Sheet1!$B$10:$M$10</c:f>
              <c:numCache>
                <c:formatCode>#,##0</c:formatCode>
                <c:ptCount val="12"/>
                <c:pt idx="0">
                  <c:v>9208518.6705440097</c:v>
                </c:pt>
                <c:pt idx="1">
                  <c:v>31679423.180544</c:v>
                </c:pt>
                <c:pt idx="2">
                  <c:v>56384734.400544003</c:v>
                </c:pt>
                <c:pt idx="3">
                  <c:v>73988873.140543997</c:v>
                </c:pt>
                <c:pt idx="4">
                  <c:v>101447853.700544</c:v>
                </c:pt>
                <c:pt idx="5">
                  <c:v>131653431.290544</c:v>
                </c:pt>
                <c:pt idx="6">
                  <c:v>177967906.63054401</c:v>
                </c:pt>
                <c:pt idx="7">
                  <c:v>213531129.90054399</c:v>
                </c:pt>
                <c:pt idx="8">
                  <c:v>247673637.38999999</c:v>
                </c:pt>
                <c:pt idx="9">
                  <c:v>339659412.81088799</c:v>
                </c:pt>
                <c:pt idx="10">
                  <c:v>426534867.37506002</c:v>
                </c:pt>
                <c:pt idx="11">
                  <c:v>503189680.22580004</c:v>
                </c:pt>
              </c:numCache>
            </c:numRef>
          </c:val>
          <c:smooth val="0"/>
        </c:ser>
        <c:dLbls>
          <c:dLblPos val="t"/>
          <c:showLegendKey val="0"/>
          <c:showVal val="1"/>
          <c:showCatName val="0"/>
          <c:showSerName val="0"/>
          <c:showPercent val="0"/>
          <c:showBubbleSize val="0"/>
        </c:dLbls>
        <c:marker val="1"/>
        <c:smooth val="0"/>
        <c:axId val="100288384"/>
        <c:axId val="100289920"/>
      </c:lineChart>
      <c:catAx>
        <c:axId val="100288384"/>
        <c:scaling>
          <c:orientation val="minMax"/>
        </c:scaling>
        <c:delete val="0"/>
        <c:axPos val="b"/>
        <c:majorTickMark val="out"/>
        <c:minorTickMark val="none"/>
        <c:tickLblPos val="nextTo"/>
        <c:txPr>
          <a:bodyPr/>
          <a:lstStyle/>
          <a:p>
            <a:pPr>
              <a:defRPr sz="1050"/>
            </a:pPr>
            <a:endParaRPr lang="lv-LV"/>
          </a:p>
        </c:txPr>
        <c:crossAx val="100289920"/>
        <c:crosses val="autoZero"/>
        <c:auto val="1"/>
        <c:lblAlgn val="ctr"/>
        <c:lblOffset val="100"/>
        <c:noMultiLvlLbl val="0"/>
      </c:catAx>
      <c:valAx>
        <c:axId val="100289920"/>
        <c:scaling>
          <c:orientation val="minMax"/>
        </c:scaling>
        <c:delete val="0"/>
        <c:axPos val="l"/>
        <c:majorGridlines/>
        <c:numFmt formatCode="#,##0" sourceLinked="1"/>
        <c:majorTickMark val="out"/>
        <c:minorTickMark val="none"/>
        <c:tickLblPos val="nextTo"/>
        <c:txPr>
          <a:bodyPr/>
          <a:lstStyle/>
          <a:p>
            <a:pPr>
              <a:defRPr sz="1000"/>
            </a:pPr>
            <a:endParaRPr lang="lv-LV"/>
          </a:p>
        </c:txPr>
        <c:crossAx val="100288384"/>
        <c:crosses val="autoZero"/>
        <c:crossBetween val="between"/>
        <c:majorUnit val="50000000"/>
        <c:dispUnits>
          <c:builtInUnit val="millions"/>
        </c:dispUnits>
      </c:valAx>
    </c:plotArea>
    <c:legend>
      <c:legendPos val="b"/>
      <c:layout>
        <c:manualLayout>
          <c:xMode val="edge"/>
          <c:yMode val="edge"/>
          <c:x val="1.7837015164771073E-2"/>
          <c:y val="0.68137907511761031"/>
          <c:w val="0.96201115485564304"/>
          <c:h val="0.30353956366701107"/>
        </c:manualLayout>
      </c:layout>
      <c:overlay val="0"/>
      <c:txPr>
        <a:bodyPr/>
        <a:lstStyle/>
        <a:p>
          <a:pPr>
            <a:defRPr sz="1000"/>
          </a:pPr>
          <a:endParaRPr lang="lv-LV"/>
        </a:p>
      </c:txPr>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lv-LV"/>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004183070866151E-2"/>
          <c:y val="3.2603680478854168E-2"/>
          <c:w val="0.8032560994438106"/>
          <c:h val="0.84652930065984744"/>
        </c:manualLayout>
      </c:layout>
      <c:barChart>
        <c:barDir val="col"/>
        <c:grouping val="clustered"/>
        <c:varyColors val="0"/>
        <c:ser>
          <c:idx val="0"/>
          <c:order val="0"/>
          <c:tx>
            <c:strRef>
              <c:f>Sheet1!$A$4</c:f>
              <c:strCache>
                <c:ptCount val="1"/>
                <c:pt idx="0">
                  <c:v>Plāns</c:v>
                </c:pt>
              </c:strCache>
            </c:strRef>
          </c:tx>
          <c:invertIfNegative val="0"/>
          <c:dLbls>
            <c:dLbl>
              <c:idx val="0"/>
              <c:layout>
                <c:manualLayout>
                  <c:x val="-1.1499573439789699E-3"/>
                  <c:y val="0"/>
                </c:manualLayout>
              </c:layout>
              <c:tx>
                <c:rich>
                  <a:bodyPr/>
                  <a:lstStyle/>
                  <a:p>
                    <a:r>
                      <a:rPr lang="en-US" sz="1100" b="0">
                        <a:latin typeface="Times New Roman" pitchFamily="18" charset="0"/>
                        <a:cs typeface="Times New Roman" pitchFamily="18" charset="0"/>
                      </a:rPr>
                      <a:t>0</a:t>
                    </a:r>
                    <a:r>
                      <a:rPr lang="lv-LV" sz="1100" b="0">
                        <a:latin typeface="Times New Roman" pitchFamily="18" charset="0"/>
                        <a:cs typeface="Times New Roman" pitchFamily="18" charset="0"/>
                      </a:rPr>
                      <a:t>,3</a:t>
                    </a:r>
                    <a:endParaRPr lang="en-US"/>
                  </a:p>
                </c:rich>
              </c:tx>
              <c:dLblPos val="outEnd"/>
              <c:showLegendKey val="0"/>
              <c:showVal val="0"/>
              <c:showCatName val="0"/>
              <c:showSerName val="0"/>
              <c:showPercent val="0"/>
              <c:showBubbleSize val="0"/>
            </c:dLbl>
            <c:dLbl>
              <c:idx val="1"/>
              <c:layout>
                <c:manualLayout>
                  <c:x val="1.786112846047058E-3"/>
                  <c:y val="3.3500837520938024E-3"/>
                </c:manualLayout>
              </c:layout>
              <c:tx>
                <c:rich>
                  <a:bodyPr/>
                  <a:lstStyle/>
                  <a:p>
                    <a:r>
                      <a:rPr lang="lv-LV" sz="1100" b="0">
                        <a:latin typeface="Times New Roman" pitchFamily="18" charset="0"/>
                        <a:cs typeface="Times New Roman" pitchFamily="18" charset="0"/>
                      </a:rPr>
                      <a:t>0,6</a:t>
                    </a:r>
                    <a:endParaRPr lang="en-US"/>
                  </a:p>
                </c:rich>
              </c:tx>
              <c:dLblPos val="outEnd"/>
              <c:showLegendKey val="0"/>
              <c:showVal val="0"/>
              <c:showCatName val="0"/>
              <c:showSerName val="0"/>
              <c:showPercent val="0"/>
              <c:showBubbleSize val="0"/>
            </c:dLbl>
            <c:dLbl>
              <c:idx val="2"/>
              <c:tx>
                <c:rich>
                  <a:bodyPr/>
                  <a:lstStyle/>
                  <a:p>
                    <a:r>
                      <a:rPr lang="en-US" sz="1100" b="0">
                        <a:latin typeface="Times New Roman" pitchFamily="18" charset="0"/>
                        <a:cs typeface="Times New Roman" pitchFamily="18" charset="0"/>
                      </a:rPr>
                      <a:t>3,4</a:t>
                    </a:r>
                    <a:endParaRPr lang="en-US"/>
                  </a:p>
                </c:rich>
              </c:tx>
              <c:showLegendKey val="0"/>
              <c:showVal val="0"/>
              <c:showCatName val="0"/>
              <c:showSerName val="0"/>
              <c:showPercent val="0"/>
              <c:showBubbleSize val="0"/>
            </c:dLbl>
            <c:dLbl>
              <c:idx val="3"/>
              <c:tx>
                <c:rich>
                  <a:bodyPr/>
                  <a:lstStyle/>
                  <a:p>
                    <a:r>
                      <a:rPr lang="en-US" sz="1100" b="0">
                        <a:latin typeface="Times New Roman" pitchFamily="18" charset="0"/>
                        <a:cs typeface="Times New Roman" pitchFamily="18" charset="0"/>
                      </a:rPr>
                      <a:t>4,9</a:t>
                    </a:r>
                    <a:endParaRPr lang="en-US"/>
                  </a:p>
                </c:rich>
              </c:tx>
              <c:showLegendKey val="0"/>
              <c:showVal val="0"/>
              <c:showCatName val="0"/>
              <c:showSerName val="0"/>
              <c:showPercent val="0"/>
              <c:showBubbleSize val="0"/>
            </c:dLbl>
            <c:dLbl>
              <c:idx val="4"/>
              <c:tx>
                <c:rich>
                  <a:bodyPr/>
                  <a:lstStyle/>
                  <a:p>
                    <a:r>
                      <a:rPr lang="en-US" sz="1100" b="0"/>
                      <a:t>9,2</a:t>
                    </a:r>
                    <a:endParaRPr lang="en-US"/>
                  </a:p>
                </c:rich>
              </c:tx>
              <c:showLegendKey val="0"/>
              <c:showVal val="0"/>
              <c:showCatName val="0"/>
              <c:showSerName val="0"/>
              <c:showPercent val="0"/>
              <c:showBubbleSize val="0"/>
            </c:dLbl>
            <c:txPr>
              <a:bodyPr/>
              <a:lstStyle/>
              <a:p>
                <a:pPr>
                  <a:defRPr sz="1100"/>
                </a:pPr>
                <a:endParaRPr lang="lv-LV"/>
              </a:p>
            </c:txPr>
            <c:showLegendKey val="0"/>
            <c:showVal val="1"/>
            <c:showCatName val="0"/>
            <c:showSerName val="0"/>
            <c:showPercent val="0"/>
            <c:showBubbleSize val="0"/>
            <c:showLeaderLines val="0"/>
          </c:dLbls>
          <c:cat>
            <c:strRef>
              <c:f>Sheet1!$B$3:$F$3</c:f>
              <c:strCache>
                <c:ptCount val="5"/>
                <c:pt idx="0">
                  <c:v>1.ceturksnis</c:v>
                </c:pt>
                <c:pt idx="1">
                  <c:v>2.ceturksnis</c:v>
                </c:pt>
                <c:pt idx="2">
                  <c:v>3.ceturksnis</c:v>
                </c:pt>
                <c:pt idx="3">
                  <c:v>4.ceturksnis</c:v>
                </c:pt>
                <c:pt idx="4">
                  <c:v>Kopā</c:v>
                </c:pt>
              </c:strCache>
            </c:strRef>
          </c:cat>
          <c:val>
            <c:numRef>
              <c:f>Sheet1!$B$4:$F$4</c:f>
              <c:numCache>
                <c:formatCode>#,##0</c:formatCode>
                <c:ptCount val="5"/>
                <c:pt idx="0">
                  <c:v>299406</c:v>
                </c:pt>
                <c:pt idx="1">
                  <c:v>591229</c:v>
                </c:pt>
                <c:pt idx="2" formatCode="General">
                  <c:v>3429580</c:v>
                </c:pt>
                <c:pt idx="3" formatCode="General">
                  <c:v>4907535</c:v>
                </c:pt>
                <c:pt idx="4" formatCode="General">
                  <c:v>9227750</c:v>
                </c:pt>
              </c:numCache>
            </c:numRef>
          </c:val>
        </c:ser>
        <c:ser>
          <c:idx val="1"/>
          <c:order val="1"/>
          <c:tx>
            <c:strRef>
              <c:f>Sheet1!$A$5</c:f>
              <c:strCache>
                <c:ptCount val="1"/>
                <c:pt idx="0">
                  <c:v>Apguve</c:v>
                </c:pt>
              </c:strCache>
            </c:strRef>
          </c:tx>
          <c:invertIfNegative val="0"/>
          <c:dLbls>
            <c:dLbl>
              <c:idx val="0"/>
              <c:layout>
                <c:manualLayout>
                  <c:x val="2.6155610797483908E-2"/>
                  <c:y val="1.0050251256281407E-2"/>
                </c:manualLayout>
              </c:layout>
              <c:tx>
                <c:rich>
                  <a:bodyPr/>
                  <a:lstStyle/>
                  <a:p>
                    <a:r>
                      <a:rPr lang="en-US" sz="1100" b="0">
                        <a:latin typeface="Times New Roman" pitchFamily="18" charset="0"/>
                        <a:cs typeface="Times New Roman" pitchFamily="18" charset="0"/>
                      </a:rPr>
                      <a:t>0</a:t>
                    </a:r>
                    <a:r>
                      <a:rPr lang="lv-LV" sz="1100" b="0">
                        <a:latin typeface="Times New Roman" pitchFamily="18" charset="0"/>
                        <a:cs typeface="Times New Roman" pitchFamily="18" charset="0"/>
                      </a:rPr>
                      <a:t>,3 (93%)</a:t>
                    </a:r>
                    <a:endParaRPr lang="en-US"/>
                  </a:p>
                </c:rich>
              </c:tx>
              <c:dLblPos val="outEnd"/>
              <c:showLegendKey val="0"/>
              <c:showVal val="0"/>
              <c:showCatName val="0"/>
              <c:showSerName val="0"/>
              <c:showPercent val="0"/>
              <c:showBubbleSize val="0"/>
            </c:dLbl>
            <c:dLbl>
              <c:idx val="1"/>
              <c:layout>
                <c:manualLayout>
                  <c:x val="3.1185184278092765E-2"/>
                  <c:y val="1.340033500837521E-2"/>
                </c:manualLayout>
              </c:layout>
              <c:tx>
                <c:rich>
                  <a:bodyPr/>
                  <a:lstStyle/>
                  <a:p>
                    <a:r>
                      <a:rPr lang="lv-LV" sz="1100" b="0">
                        <a:latin typeface="Times New Roman" pitchFamily="18" charset="0"/>
                        <a:cs typeface="Times New Roman" pitchFamily="18" charset="0"/>
                      </a:rPr>
                      <a:t>0,5</a:t>
                    </a:r>
                    <a:r>
                      <a:rPr lang="lv-LV" sz="1100" b="0" baseline="0">
                        <a:latin typeface="Times New Roman" pitchFamily="18" charset="0"/>
                        <a:cs typeface="Times New Roman" pitchFamily="18" charset="0"/>
                      </a:rPr>
                      <a:t> (89%)</a:t>
                    </a:r>
                    <a:endParaRPr lang="en-US"/>
                  </a:p>
                </c:rich>
              </c:tx>
              <c:dLblPos val="outEnd"/>
              <c:showLegendKey val="0"/>
              <c:showVal val="0"/>
              <c:showCatName val="0"/>
              <c:showSerName val="0"/>
              <c:showPercent val="0"/>
              <c:showBubbleSize val="0"/>
            </c:dLbl>
            <c:dLbl>
              <c:idx val="2"/>
              <c:layout>
                <c:manualLayout>
                  <c:x val="1.8784702133433542E-2"/>
                  <c:y val="0"/>
                </c:manualLayout>
              </c:layout>
              <c:tx>
                <c:rich>
                  <a:bodyPr/>
                  <a:lstStyle/>
                  <a:p>
                    <a:r>
                      <a:rPr lang="en-US" sz="1100" b="0">
                        <a:latin typeface="Times New Roman" pitchFamily="18" charset="0"/>
                        <a:cs typeface="Times New Roman" pitchFamily="18" charset="0"/>
                      </a:rPr>
                      <a:t>3</a:t>
                    </a:r>
                    <a:r>
                      <a:rPr lang="lv-LV" sz="1100" b="0" baseline="0">
                        <a:latin typeface="Times New Roman" pitchFamily="18" charset="0"/>
                        <a:cs typeface="Times New Roman" pitchFamily="18" charset="0"/>
                      </a:rPr>
                      <a:t> (89%)</a:t>
                    </a:r>
                    <a:endParaRPr lang="en-US"/>
                  </a:p>
                </c:rich>
              </c:tx>
              <c:dLblPos val="outEnd"/>
              <c:showLegendKey val="0"/>
              <c:showVal val="0"/>
              <c:showCatName val="0"/>
              <c:showSerName val="0"/>
              <c:showPercent val="0"/>
              <c:showBubbleSize val="0"/>
            </c:dLbl>
            <c:dLbl>
              <c:idx val="4"/>
              <c:layout>
                <c:manualLayout>
                  <c:x val="2.4279873941116328E-2"/>
                  <c:y val="0"/>
                </c:manualLayout>
              </c:layout>
              <c:tx>
                <c:rich>
                  <a:bodyPr/>
                  <a:lstStyle/>
                  <a:p>
                    <a:r>
                      <a:rPr lang="lv-LV" sz="1100"/>
                      <a:t>3,8 (42%)</a:t>
                    </a:r>
                    <a:endParaRPr lang="en-US"/>
                  </a:p>
                </c:rich>
              </c:tx>
              <c:showLegendKey val="0"/>
              <c:showVal val="1"/>
              <c:showCatName val="0"/>
              <c:showSerName val="0"/>
              <c:showPercent val="0"/>
              <c:showBubbleSize val="0"/>
            </c:dLbl>
            <c:txPr>
              <a:bodyPr/>
              <a:lstStyle/>
              <a:p>
                <a:pPr>
                  <a:defRPr sz="1100"/>
                </a:pPr>
                <a:endParaRPr lang="lv-LV"/>
              </a:p>
            </c:txPr>
            <c:showLegendKey val="0"/>
            <c:showVal val="1"/>
            <c:showCatName val="0"/>
            <c:showSerName val="0"/>
            <c:showPercent val="0"/>
            <c:showBubbleSize val="0"/>
            <c:showLeaderLines val="0"/>
          </c:dLbls>
          <c:cat>
            <c:strRef>
              <c:f>Sheet1!$B$3:$F$3</c:f>
              <c:strCache>
                <c:ptCount val="5"/>
                <c:pt idx="0">
                  <c:v>1.ceturksnis</c:v>
                </c:pt>
                <c:pt idx="1">
                  <c:v>2.ceturksnis</c:v>
                </c:pt>
                <c:pt idx="2">
                  <c:v>3.ceturksnis</c:v>
                </c:pt>
                <c:pt idx="3">
                  <c:v>4.ceturksnis</c:v>
                </c:pt>
                <c:pt idx="4">
                  <c:v>Kopā</c:v>
                </c:pt>
              </c:strCache>
            </c:strRef>
          </c:cat>
          <c:val>
            <c:numRef>
              <c:f>Sheet1!$B$5:$F$5</c:f>
              <c:numCache>
                <c:formatCode>#,##0</c:formatCode>
                <c:ptCount val="5"/>
                <c:pt idx="0">
                  <c:v>278600</c:v>
                </c:pt>
                <c:pt idx="1">
                  <c:v>519683</c:v>
                </c:pt>
                <c:pt idx="2" formatCode="General">
                  <c:v>3047059</c:v>
                </c:pt>
                <c:pt idx="3" formatCode="General">
                  <c:v>0</c:v>
                </c:pt>
                <c:pt idx="4">
                  <c:v>3845342</c:v>
                </c:pt>
              </c:numCache>
            </c:numRef>
          </c:val>
        </c:ser>
        <c:dLbls>
          <c:showLegendKey val="0"/>
          <c:showVal val="0"/>
          <c:showCatName val="0"/>
          <c:showSerName val="0"/>
          <c:showPercent val="0"/>
          <c:showBubbleSize val="0"/>
        </c:dLbls>
        <c:gapWidth val="150"/>
        <c:axId val="77537664"/>
        <c:axId val="77539200"/>
      </c:barChart>
      <c:catAx>
        <c:axId val="77537664"/>
        <c:scaling>
          <c:orientation val="minMax"/>
        </c:scaling>
        <c:delete val="0"/>
        <c:axPos val="b"/>
        <c:numFmt formatCode="General" sourceLinked="1"/>
        <c:majorTickMark val="out"/>
        <c:minorTickMark val="none"/>
        <c:tickLblPos val="nextTo"/>
        <c:txPr>
          <a:bodyPr/>
          <a:lstStyle/>
          <a:p>
            <a:pPr>
              <a:defRPr sz="1100"/>
            </a:pPr>
            <a:endParaRPr lang="lv-LV"/>
          </a:p>
        </c:txPr>
        <c:crossAx val="77539200"/>
        <c:crosses val="autoZero"/>
        <c:auto val="1"/>
        <c:lblAlgn val="ctr"/>
        <c:lblOffset val="100"/>
        <c:noMultiLvlLbl val="0"/>
      </c:catAx>
      <c:valAx>
        <c:axId val="77539200"/>
        <c:scaling>
          <c:orientation val="minMax"/>
        </c:scaling>
        <c:delete val="0"/>
        <c:axPos val="l"/>
        <c:majorGridlines/>
        <c:numFmt formatCode="#,##0" sourceLinked="1"/>
        <c:majorTickMark val="out"/>
        <c:minorTickMark val="none"/>
        <c:tickLblPos val="nextTo"/>
        <c:crossAx val="77537664"/>
        <c:crosses val="autoZero"/>
        <c:crossBetween val="between"/>
        <c:majorUnit val="2000000"/>
        <c:dispUnits>
          <c:builtInUnit val="millions"/>
        </c:dispUnits>
      </c:valAx>
    </c:plotArea>
    <c:legend>
      <c:legendPos val="r"/>
      <c:layout>
        <c:manualLayout>
          <c:xMode val="edge"/>
          <c:yMode val="edge"/>
          <c:x val="0.88383749992830851"/>
          <c:y val="0.42909267654674477"/>
          <c:w val="0.1051263222932582"/>
          <c:h val="0.15231580900872241"/>
        </c:manualLayout>
      </c:layout>
      <c:overlay val="0"/>
      <c:txPr>
        <a:bodyPr/>
        <a:lstStyle/>
        <a:p>
          <a:pPr>
            <a:defRPr sz="1100"/>
          </a:pPr>
          <a:endParaRPr lang="lv-LV"/>
        </a:p>
      </c:txPr>
    </c:legend>
    <c:plotVisOnly val="1"/>
    <c:dispBlanksAs val="gap"/>
    <c:showDLblsOverMax val="0"/>
  </c:chart>
  <c:txPr>
    <a:bodyPr/>
    <a:lstStyle/>
    <a:p>
      <a:pPr>
        <a:defRPr sz="1000">
          <a:latin typeface="Times New Roman" pitchFamily="18" charset="0"/>
          <a:cs typeface="Times New Roman" pitchFamily="18" charset="0"/>
        </a:defRPr>
      </a:pPr>
      <a:endParaRPr lang="lv-LV"/>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Sheet3!$E$19</c:f>
              <c:strCache>
                <c:ptCount val="1"/>
                <c:pt idx="0">
                  <c:v>Kopā</c:v>
                </c:pt>
              </c:strCache>
            </c:strRef>
          </c:tx>
          <c:invertIfNegative val="0"/>
          <c:dLbls>
            <c:dLbl>
              <c:idx val="0"/>
              <c:tx>
                <c:rich>
                  <a:bodyPr rot="-5400000" vert="horz"/>
                  <a:lstStyle/>
                  <a:p>
                    <a:pPr>
                      <a:defRPr b="0"/>
                    </a:pPr>
                    <a:r>
                      <a:rPr lang="en-US" b="0"/>
                      <a:t>7,3</a:t>
                    </a:r>
                    <a:r>
                      <a:rPr lang="lv-LV" b="0"/>
                      <a:t> (0,6%)</a:t>
                    </a:r>
                    <a:endParaRPr lang="en-US"/>
                  </a:p>
                </c:rich>
              </c:tx>
              <c:spPr/>
              <c:showLegendKey val="0"/>
              <c:showVal val="1"/>
              <c:showCatName val="0"/>
              <c:showSerName val="0"/>
              <c:showPercent val="0"/>
              <c:showBubbleSize val="0"/>
            </c:dLbl>
            <c:dLbl>
              <c:idx val="1"/>
              <c:layout>
                <c:manualLayout>
                  <c:x val="0"/>
                  <c:y val="0.13911143066576759"/>
                </c:manualLayout>
              </c:layout>
              <c:tx>
                <c:rich>
                  <a:bodyPr rot="-5400000" vert="horz"/>
                  <a:lstStyle/>
                  <a:p>
                    <a:pPr>
                      <a:defRPr b="0"/>
                    </a:pPr>
                    <a:r>
                      <a:rPr lang="lv-LV" b="0"/>
                      <a:t>9,7 (0,7%)</a:t>
                    </a:r>
                    <a:endParaRPr lang="en-US"/>
                  </a:p>
                </c:rich>
              </c:tx>
              <c:spPr/>
              <c:showLegendKey val="0"/>
              <c:showVal val="1"/>
              <c:showCatName val="0"/>
              <c:showSerName val="0"/>
              <c:showPercent val="0"/>
              <c:showBubbleSize val="0"/>
            </c:dLbl>
            <c:txPr>
              <a:bodyPr/>
              <a:lstStyle/>
              <a:p>
                <a:pPr>
                  <a:defRPr b="0"/>
                </a:pPr>
                <a:endParaRPr lang="lv-LV"/>
              </a:p>
            </c:txPr>
            <c:showLegendKey val="0"/>
            <c:showVal val="1"/>
            <c:showCatName val="0"/>
            <c:showSerName val="0"/>
            <c:showPercent val="0"/>
            <c:showBubbleSize val="0"/>
            <c:showLeaderLines val="0"/>
          </c:dLbls>
          <c:cat>
            <c:strRef>
              <c:f>(Sheet3!$F$18;Sheet3!$J$18)</c:f>
              <c:strCache>
                <c:ptCount val="2"/>
                <c:pt idx="0">
                  <c:v>Kopumā līdz 30.06.2011</c:v>
                </c:pt>
                <c:pt idx="1">
                  <c:v>Kopumā līdz 30.09.2011</c:v>
                </c:pt>
              </c:strCache>
            </c:strRef>
          </c:cat>
          <c:val>
            <c:numRef>
              <c:f>Sheet3!$F$19:$G$19</c:f>
              <c:numCache>
                <c:formatCode>General</c:formatCode>
                <c:ptCount val="2"/>
                <c:pt idx="0">
                  <c:v>7.33</c:v>
                </c:pt>
                <c:pt idx="1">
                  <c:v>12.67</c:v>
                </c:pt>
              </c:numCache>
            </c:numRef>
          </c:val>
        </c:ser>
        <c:ser>
          <c:idx val="1"/>
          <c:order val="1"/>
          <c:tx>
            <c:strRef>
              <c:f>Sheet3!$E$20</c:f>
              <c:strCache>
                <c:ptCount val="1"/>
                <c:pt idx="0">
                  <c:v>Pašvaldības</c:v>
                </c:pt>
              </c:strCache>
            </c:strRef>
          </c:tx>
          <c:invertIfNegative val="0"/>
          <c:dLbls>
            <c:dLbl>
              <c:idx val="0"/>
              <c:tx>
                <c:rich>
                  <a:bodyPr/>
                  <a:lstStyle/>
                  <a:p>
                    <a:r>
                      <a:rPr lang="en-US" b="0"/>
                      <a:t>3,</a:t>
                    </a:r>
                    <a:r>
                      <a:rPr lang="lv-LV" b="0"/>
                      <a:t>5  (0,3%)</a:t>
                    </a:r>
                    <a:endParaRPr lang="en-US"/>
                  </a:p>
                </c:rich>
              </c:tx>
              <c:showLegendKey val="0"/>
              <c:showVal val="1"/>
              <c:showCatName val="0"/>
              <c:showSerName val="0"/>
              <c:showPercent val="0"/>
              <c:showBubbleSize val="0"/>
            </c:dLbl>
            <c:dLbl>
              <c:idx val="1"/>
              <c:tx>
                <c:rich>
                  <a:bodyPr/>
                  <a:lstStyle/>
                  <a:p>
                    <a:r>
                      <a:rPr lang="en-US" b="0"/>
                      <a:t>3,7</a:t>
                    </a:r>
                    <a:r>
                      <a:rPr lang="lv-LV" b="0"/>
                      <a:t> (0,3%)</a:t>
                    </a:r>
                    <a:endParaRPr lang="en-US"/>
                  </a:p>
                </c:rich>
              </c:tx>
              <c:showLegendKey val="0"/>
              <c:showVal val="1"/>
              <c:showCatName val="0"/>
              <c:showSerName val="0"/>
              <c:showPercent val="0"/>
              <c:showBubbleSize val="0"/>
            </c:dLbl>
            <c:txPr>
              <a:bodyPr rot="-5400000" vert="horz"/>
              <a:lstStyle/>
              <a:p>
                <a:pPr>
                  <a:defRPr b="0"/>
                </a:pPr>
                <a:endParaRPr lang="lv-LV"/>
              </a:p>
            </c:txPr>
            <c:showLegendKey val="0"/>
            <c:showVal val="1"/>
            <c:showCatName val="0"/>
            <c:showSerName val="0"/>
            <c:showPercent val="0"/>
            <c:showBubbleSize val="0"/>
            <c:showLeaderLines val="0"/>
          </c:dLbls>
          <c:cat>
            <c:strRef>
              <c:f>(Sheet3!$F$18;Sheet3!$J$18)</c:f>
              <c:strCache>
                <c:ptCount val="2"/>
                <c:pt idx="0">
                  <c:v>Kopumā līdz 30.06.2011</c:v>
                </c:pt>
                <c:pt idx="1">
                  <c:v>Kopumā līdz 30.09.2011</c:v>
                </c:pt>
              </c:strCache>
            </c:strRef>
          </c:cat>
          <c:val>
            <c:numRef>
              <c:f>Sheet3!$F$20:$G$20</c:f>
              <c:numCache>
                <c:formatCode>General</c:formatCode>
                <c:ptCount val="2"/>
                <c:pt idx="0">
                  <c:v>3.47</c:v>
                </c:pt>
                <c:pt idx="1">
                  <c:v>3.72</c:v>
                </c:pt>
              </c:numCache>
            </c:numRef>
          </c:val>
        </c:ser>
        <c:ser>
          <c:idx val="2"/>
          <c:order val="2"/>
          <c:tx>
            <c:strRef>
              <c:f>Sheet3!$E$21</c:f>
              <c:strCache>
                <c:ptCount val="1"/>
                <c:pt idx="0">
                  <c:v>Komersanti</c:v>
                </c:pt>
              </c:strCache>
            </c:strRef>
          </c:tx>
          <c:invertIfNegative val="0"/>
          <c:dLbls>
            <c:dLbl>
              <c:idx val="0"/>
              <c:tx>
                <c:rich>
                  <a:bodyPr/>
                  <a:lstStyle/>
                  <a:p>
                    <a:r>
                      <a:rPr lang="lv-LV" b="0"/>
                      <a:t>2,0 (0,2%)</a:t>
                    </a:r>
                    <a:endParaRPr lang="en-US"/>
                  </a:p>
                </c:rich>
              </c:tx>
              <c:showLegendKey val="0"/>
              <c:showVal val="1"/>
              <c:showCatName val="0"/>
              <c:showSerName val="0"/>
              <c:showPercent val="0"/>
              <c:showBubbleSize val="0"/>
            </c:dLbl>
            <c:dLbl>
              <c:idx val="1"/>
              <c:tx>
                <c:rich>
                  <a:bodyPr/>
                  <a:lstStyle/>
                  <a:p>
                    <a:r>
                      <a:rPr lang="lv-LV" b="0"/>
                      <a:t>3</a:t>
                    </a:r>
                    <a:r>
                      <a:rPr lang="en-US" b="0"/>
                      <a:t>,8</a:t>
                    </a:r>
                    <a:r>
                      <a:rPr lang="lv-LV" b="0"/>
                      <a:t> (0,3%)</a:t>
                    </a:r>
                    <a:endParaRPr lang="en-US"/>
                  </a:p>
                </c:rich>
              </c:tx>
              <c:showLegendKey val="0"/>
              <c:showVal val="1"/>
              <c:showCatName val="0"/>
              <c:showSerName val="0"/>
              <c:showPercent val="0"/>
              <c:showBubbleSize val="0"/>
            </c:dLbl>
            <c:txPr>
              <a:bodyPr rot="-5400000" vert="horz"/>
              <a:lstStyle/>
              <a:p>
                <a:pPr>
                  <a:defRPr b="0"/>
                </a:pPr>
                <a:endParaRPr lang="lv-LV"/>
              </a:p>
            </c:txPr>
            <c:showLegendKey val="0"/>
            <c:showVal val="1"/>
            <c:showCatName val="0"/>
            <c:showSerName val="0"/>
            <c:showPercent val="0"/>
            <c:showBubbleSize val="0"/>
            <c:showLeaderLines val="0"/>
          </c:dLbls>
          <c:cat>
            <c:strRef>
              <c:f>(Sheet3!$F$18;Sheet3!$J$18)</c:f>
              <c:strCache>
                <c:ptCount val="2"/>
                <c:pt idx="0">
                  <c:v>Kopumā līdz 30.06.2011</c:v>
                </c:pt>
                <c:pt idx="1">
                  <c:v>Kopumā līdz 30.09.2011</c:v>
                </c:pt>
              </c:strCache>
            </c:strRef>
          </c:cat>
          <c:val>
            <c:numRef>
              <c:f>Sheet3!$F$21:$G$21</c:f>
              <c:numCache>
                <c:formatCode>General</c:formatCode>
                <c:ptCount val="2"/>
                <c:pt idx="0">
                  <c:v>1.98</c:v>
                </c:pt>
                <c:pt idx="1">
                  <c:v>3.83</c:v>
                </c:pt>
              </c:numCache>
            </c:numRef>
          </c:val>
        </c:ser>
        <c:ser>
          <c:idx val="3"/>
          <c:order val="3"/>
          <c:tx>
            <c:strRef>
              <c:f>Sheet3!$E$22</c:f>
              <c:strCache>
                <c:ptCount val="1"/>
                <c:pt idx="0">
                  <c:v>Izglītības iestāde</c:v>
                </c:pt>
              </c:strCache>
            </c:strRef>
          </c:tx>
          <c:invertIfNegative val="0"/>
          <c:dLbls>
            <c:dLbl>
              <c:idx val="0"/>
              <c:tx>
                <c:rich>
                  <a:bodyPr/>
                  <a:lstStyle/>
                  <a:p>
                    <a:r>
                      <a:rPr lang="en-US" b="0"/>
                      <a:t>1,</a:t>
                    </a:r>
                    <a:r>
                      <a:rPr lang="lv-LV" b="0"/>
                      <a:t>3 (0,1%)</a:t>
                    </a:r>
                    <a:endParaRPr lang="en-US"/>
                  </a:p>
                </c:rich>
              </c:tx>
              <c:showLegendKey val="0"/>
              <c:showVal val="1"/>
              <c:showCatName val="0"/>
              <c:showSerName val="0"/>
              <c:showPercent val="0"/>
              <c:showBubbleSize val="0"/>
            </c:dLbl>
            <c:dLbl>
              <c:idx val="1"/>
              <c:tx>
                <c:rich>
                  <a:bodyPr/>
                  <a:lstStyle/>
                  <a:p>
                    <a:r>
                      <a:rPr lang="en-US" b="0"/>
                      <a:t>1,</a:t>
                    </a:r>
                    <a:r>
                      <a:rPr lang="lv-LV" b="0"/>
                      <a:t>4 (0,1%)</a:t>
                    </a:r>
                    <a:endParaRPr lang="en-US"/>
                  </a:p>
                </c:rich>
              </c:tx>
              <c:showLegendKey val="0"/>
              <c:showVal val="1"/>
              <c:showCatName val="0"/>
              <c:showSerName val="0"/>
              <c:showPercent val="0"/>
              <c:showBubbleSize val="0"/>
            </c:dLbl>
            <c:txPr>
              <a:bodyPr rot="-5400000" vert="horz"/>
              <a:lstStyle/>
              <a:p>
                <a:pPr>
                  <a:defRPr b="0"/>
                </a:pPr>
                <a:endParaRPr lang="lv-LV"/>
              </a:p>
            </c:txPr>
            <c:showLegendKey val="0"/>
            <c:showVal val="1"/>
            <c:showCatName val="0"/>
            <c:showSerName val="0"/>
            <c:showPercent val="0"/>
            <c:showBubbleSize val="0"/>
            <c:showLeaderLines val="0"/>
          </c:dLbls>
          <c:cat>
            <c:strRef>
              <c:f>(Sheet3!$F$18;Sheet3!$J$18)</c:f>
              <c:strCache>
                <c:ptCount val="2"/>
                <c:pt idx="0">
                  <c:v>Kopumā līdz 30.06.2011</c:v>
                </c:pt>
                <c:pt idx="1">
                  <c:v>Kopumā līdz 30.09.2011</c:v>
                </c:pt>
              </c:strCache>
            </c:strRef>
          </c:cat>
          <c:val>
            <c:numRef>
              <c:f>Sheet3!$F$22:$G$22</c:f>
              <c:numCache>
                <c:formatCode>General</c:formatCode>
                <c:ptCount val="2"/>
                <c:pt idx="0">
                  <c:v>1.29</c:v>
                </c:pt>
                <c:pt idx="1">
                  <c:v>1.37</c:v>
                </c:pt>
              </c:numCache>
            </c:numRef>
          </c:val>
        </c:ser>
        <c:ser>
          <c:idx val="4"/>
          <c:order val="4"/>
          <c:tx>
            <c:strRef>
              <c:f>Sheet3!$E$23</c:f>
              <c:strCache>
                <c:ptCount val="1"/>
                <c:pt idx="0">
                  <c:v>Valsts iestāde</c:v>
                </c:pt>
              </c:strCache>
            </c:strRef>
          </c:tx>
          <c:invertIfNegative val="0"/>
          <c:dLbls>
            <c:dLbl>
              <c:idx val="0"/>
              <c:tx>
                <c:rich>
                  <a:bodyPr/>
                  <a:lstStyle/>
                  <a:p>
                    <a:r>
                      <a:rPr lang="en-US" b="0"/>
                      <a:t>0,</a:t>
                    </a:r>
                    <a:r>
                      <a:rPr lang="lv-LV" b="0"/>
                      <a:t>6 (0,05%)</a:t>
                    </a:r>
                    <a:endParaRPr lang="en-US"/>
                  </a:p>
                </c:rich>
              </c:tx>
              <c:showLegendKey val="0"/>
              <c:showVal val="1"/>
              <c:showCatName val="0"/>
              <c:showSerName val="0"/>
              <c:showPercent val="0"/>
              <c:showBubbleSize val="0"/>
            </c:dLbl>
            <c:dLbl>
              <c:idx val="1"/>
              <c:tx>
                <c:rich>
                  <a:bodyPr/>
                  <a:lstStyle/>
                  <a:p>
                    <a:r>
                      <a:rPr lang="en-US" b="0"/>
                      <a:t>0,7</a:t>
                    </a:r>
                    <a:r>
                      <a:rPr lang="lv-LV" b="0"/>
                      <a:t> (0,05%)</a:t>
                    </a:r>
                    <a:endParaRPr lang="en-US"/>
                  </a:p>
                </c:rich>
              </c:tx>
              <c:showLegendKey val="0"/>
              <c:showVal val="1"/>
              <c:showCatName val="0"/>
              <c:showSerName val="0"/>
              <c:showPercent val="0"/>
              <c:showBubbleSize val="0"/>
            </c:dLbl>
            <c:txPr>
              <a:bodyPr rot="-5400000" vert="horz"/>
              <a:lstStyle/>
              <a:p>
                <a:pPr>
                  <a:defRPr b="0"/>
                </a:pPr>
                <a:endParaRPr lang="lv-LV"/>
              </a:p>
            </c:txPr>
            <c:showLegendKey val="0"/>
            <c:showVal val="1"/>
            <c:showCatName val="0"/>
            <c:showSerName val="0"/>
            <c:showPercent val="0"/>
            <c:showBubbleSize val="0"/>
            <c:showLeaderLines val="0"/>
          </c:dLbls>
          <c:cat>
            <c:strRef>
              <c:f>(Sheet3!$F$18;Sheet3!$J$18)</c:f>
              <c:strCache>
                <c:ptCount val="2"/>
                <c:pt idx="0">
                  <c:v>Kopumā līdz 30.06.2011</c:v>
                </c:pt>
                <c:pt idx="1">
                  <c:v>Kopumā līdz 30.09.2011</c:v>
                </c:pt>
              </c:strCache>
            </c:strRef>
          </c:cat>
          <c:val>
            <c:numRef>
              <c:f>Sheet3!$F$23:$G$23</c:f>
              <c:numCache>
                <c:formatCode>General</c:formatCode>
                <c:ptCount val="2"/>
                <c:pt idx="0">
                  <c:v>0.57999999999999996</c:v>
                </c:pt>
                <c:pt idx="1">
                  <c:v>0.71</c:v>
                </c:pt>
              </c:numCache>
            </c:numRef>
          </c:val>
        </c:ser>
        <c:ser>
          <c:idx val="5"/>
          <c:order val="5"/>
          <c:tx>
            <c:strRef>
              <c:f>Sheet3!$E$24</c:f>
              <c:strCache>
                <c:ptCount val="1"/>
                <c:pt idx="0">
                  <c:v>NVO</c:v>
                </c:pt>
              </c:strCache>
            </c:strRef>
          </c:tx>
          <c:invertIfNegative val="0"/>
          <c:dLbls>
            <c:dLbl>
              <c:idx val="0"/>
              <c:tx>
                <c:rich>
                  <a:bodyPr rot="-5400000" vert="horz"/>
                  <a:lstStyle/>
                  <a:p>
                    <a:pPr>
                      <a:defRPr b="0"/>
                    </a:pPr>
                    <a:r>
                      <a:rPr lang="en-US" b="0"/>
                      <a:t>0,02</a:t>
                    </a:r>
                    <a:r>
                      <a:rPr lang="lv-LV" b="0"/>
                      <a:t> (0,001%)</a:t>
                    </a:r>
                    <a:endParaRPr lang="en-US"/>
                  </a:p>
                </c:rich>
              </c:tx>
              <c:spPr/>
              <c:showLegendKey val="0"/>
              <c:showVal val="1"/>
              <c:showCatName val="0"/>
              <c:showSerName val="0"/>
              <c:showPercent val="0"/>
              <c:showBubbleSize val="0"/>
            </c:dLbl>
            <c:dLbl>
              <c:idx val="1"/>
              <c:tx>
                <c:rich>
                  <a:bodyPr rot="-5400000" vert="horz"/>
                  <a:lstStyle/>
                  <a:p>
                    <a:pPr>
                      <a:defRPr b="0"/>
                    </a:pPr>
                    <a:r>
                      <a:rPr lang="en-US" b="0"/>
                      <a:t>0,04</a:t>
                    </a:r>
                    <a:r>
                      <a:rPr lang="lv-LV" b="0"/>
                      <a:t> (0,001%)</a:t>
                    </a:r>
                    <a:endParaRPr lang="en-US"/>
                  </a:p>
                </c:rich>
              </c:tx>
              <c:spPr/>
              <c:showLegendKey val="0"/>
              <c:showVal val="1"/>
              <c:showCatName val="0"/>
              <c:showSerName val="0"/>
              <c:showPercent val="0"/>
              <c:showBubbleSize val="0"/>
            </c:dLbl>
            <c:txPr>
              <a:bodyPr/>
              <a:lstStyle/>
              <a:p>
                <a:pPr>
                  <a:defRPr b="0"/>
                </a:pPr>
                <a:endParaRPr lang="lv-LV"/>
              </a:p>
            </c:txPr>
            <c:showLegendKey val="0"/>
            <c:showVal val="1"/>
            <c:showCatName val="0"/>
            <c:showSerName val="0"/>
            <c:showPercent val="0"/>
            <c:showBubbleSize val="0"/>
            <c:showLeaderLines val="0"/>
          </c:dLbls>
          <c:cat>
            <c:strRef>
              <c:f>(Sheet3!$F$18;Sheet3!$J$18)</c:f>
              <c:strCache>
                <c:ptCount val="2"/>
                <c:pt idx="0">
                  <c:v>Kopumā līdz 30.06.2011</c:v>
                </c:pt>
                <c:pt idx="1">
                  <c:v>Kopumā līdz 30.09.2011</c:v>
                </c:pt>
              </c:strCache>
            </c:strRef>
          </c:cat>
          <c:val>
            <c:numRef>
              <c:f>Sheet3!$F$24:$G$24</c:f>
              <c:numCache>
                <c:formatCode>General</c:formatCode>
                <c:ptCount val="2"/>
                <c:pt idx="0">
                  <c:v>0.02</c:v>
                </c:pt>
                <c:pt idx="1">
                  <c:v>0.04</c:v>
                </c:pt>
              </c:numCache>
            </c:numRef>
          </c:val>
        </c:ser>
        <c:dLbls>
          <c:showLegendKey val="0"/>
          <c:showVal val="0"/>
          <c:showCatName val="0"/>
          <c:showSerName val="0"/>
          <c:showPercent val="0"/>
          <c:showBubbleSize val="0"/>
        </c:dLbls>
        <c:gapWidth val="150"/>
        <c:axId val="77588736"/>
        <c:axId val="78123008"/>
      </c:barChart>
      <c:catAx>
        <c:axId val="77588736"/>
        <c:scaling>
          <c:orientation val="minMax"/>
        </c:scaling>
        <c:delete val="0"/>
        <c:axPos val="b"/>
        <c:majorTickMark val="out"/>
        <c:minorTickMark val="none"/>
        <c:tickLblPos val="nextTo"/>
        <c:crossAx val="78123008"/>
        <c:crosses val="autoZero"/>
        <c:auto val="1"/>
        <c:lblAlgn val="ctr"/>
        <c:lblOffset val="100"/>
        <c:noMultiLvlLbl val="0"/>
      </c:catAx>
      <c:valAx>
        <c:axId val="78123008"/>
        <c:scaling>
          <c:orientation val="minMax"/>
        </c:scaling>
        <c:delete val="0"/>
        <c:axPos val="l"/>
        <c:majorGridlines/>
        <c:numFmt formatCode="General" sourceLinked="1"/>
        <c:majorTickMark val="out"/>
        <c:minorTickMark val="none"/>
        <c:tickLblPos val="nextTo"/>
        <c:crossAx val="77588736"/>
        <c:crosses val="autoZero"/>
        <c:crossBetween val="between"/>
      </c:valAx>
    </c:plotArea>
    <c:legend>
      <c:legendPos val="r"/>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lv-LV"/>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285979853875732E-2"/>
          <c:y val="3.7062827397621324E-2"/>
          <c:w val="0.65017474035674716"/>
          <c:h val="0.9478219615853456"/>
        </c:manualLayout>
      </c:layout>
      <c:barChart>
        <c:barDir val="col"/>
        <c:grouping val="clustered"/>
        <c:varyColors val="0"/>
        <c:ser>
          <c:idx val="0"/>
          <c:order val="0"/>
          <c:tx>
            <c:strRef>
              <c:f>Sheet1!$O$14</c:f>
              <c:strCache>
                <c:ptCount val="1"/>
                <c:pt idx="0">
                  <c:v>Kopā</c:v>
                </c:pt>
              </c:strCache>
            </c:strRef>
          </c:tx>
          <c:invertIfNegative val="0"/>
          <c:dLbls>
            <c:dLbl>
              <c:idx val="0"/>
              <c:layout>
                <c:manualLayout>
                  <c:x val="1.3863371245261009E-3"/>
                  <c:y val="0.3215602379829991"/>
                </c:manualLayout>
              </c:layout>
              <c:tx>
                <c:rich>
                  <a:bodyPr/>
                  <a:lstStyle/>
                  <a:p>
                    <a:r>
                      <a:rPr lang="lv-LV" sz="1100"/>
                      <a:t>3,04 (100%)</a:t>
                    </a:r>
                    <a:endParaRPr lang="en-US"/>
                  </a:p>
                </c:rich>
              </c:tx>
              <c:showLegendKey val="0"/>
              <c:showVal val="1"/>
              <c:showCatName val="0"/>
              <c:showSerName val="0"/>
              <c:showPercent val="0"/>
              <c:showBubbleSize val="0"/>
            </c:dLbl>
            <c:txPr>
              <a:bodyPr rot="-5400000" vert="horz"/>
              <a:lstStyle/>
              <a:p>
                <a:pPr>
                  <a:defRPr sz="1100"/>
                </a:pPr>
                <a:endParaRPr lang="lv-LV"/>
              </a:p>
            </c:txPr>
            <c:showLegendKey val="0"/>
            <c:showVal val="1"/>
            <c:showCatName val="0"/>
            <c:showSerName val="0"/>
            <c:showPercent val="0"/>
            <c:showBubbleSize val="0"/>
            <c:showLeaderLines val="0"/>
          </c:dLbls>
          <c:val>
            <c:numRef>
              <c:f>Sheet1!$P$14</c:f>
              <c:numCache>
                <c:formatCode>General</c:formatCode>
                <c:ptCount val="1"/>
                <c:pt idx="0">
                  <c:v>3.04</c:v>
                </c:pt>
              </c:numCache>
            </c:numRef>
          </c:val>
        </c:ser>
        <c:ser>
          <c:idx val="1"/>
          <c:order val="1"/>
          <c:tx>
            <c:strRef>
              <c:f>Sheet1!$O$15</c:f>
              <c:strCache>
                <c:ptCount val="1"/>
                <c:pt idx="0">
                  <c:v>Komersanti</c:v>
                </c:pt>
              </c:strCache>
            </c:strRef>
          </c:tx>
          <c:invertIfNegative val="0"/>
          <c:dLbls>
            <c:dLbl>
              <c:idx val="0"/>
              <c:layout>
                <c:manualLayout>
                  <c:x val="-4.6175998833479148E-3"/>
                  <c:y val="0.43567377126033063"/>
                </c:manualLayout>
              </c:layout>
              <c:tx>
                <c:rich>
                  <a:bodyPr/>
                  <a:lstStyle/>
                  <a:p>
                    <a:r>
                      <a:rPr lang="lv-LV" sz="1100"/>
                      <a:t>2</a:t>
                    </a:r>
                    <a:r>
                      <a:rPr lang="en-US" sz="1100"/>
                      <a:t>,53</a:t>
                    </a:r>
                    <a:r>
                      <a:rPr lang="lv-LV" sz="1100"/>
                      <a:t> (83,22%)</a:t>
                    </a:r>
                    <a:endParaRPr lang="en-US"/>
                  </a:p>
                </c:rich>
              </c:tx>
              <c:showLegendKey val="0"/>
              <c:showVal val="1"/>
              <c:showCatName val="0"/>
              <c:showSerName val="0"/>
              <c:showPercent val="0"/>
              <c:showBubbleSize val="0"/>
            </c:dLbl>
            <c:txPr>
              <a:bodyPr rot="-5400000" vert="horz"/>
              <a:lstStyle/>
              <a:p>
                <a:pPr>
                  <a:defRPr sz="1100"/>
                </a:pPr>
                <a:endParaRPr lang="lv-LV"/>
              </a:p>
            </c:txPr>
            <c:showLegendKey val="0"/>
            <c:showVal val="1"/>
            <c:showCatName val="0"/>
            <c:showSerName val="0"/>
            <c:showPercent val="0"/>
            <c:showBubbleSize val="0"/>
            <c:showLeaderLines val="0"/>
          </c:dLbls>
          <c:val>
            <c:numRef>
              <c:f>Sheet1!$P$15</c:f>
              <c:numCache>
                <c:formatCode>General</c:formatCode>
                <c:ptCount val="1"/>
                <c:pt idx="0">
                  <c:v>2.5299999999999998</c:v>
                </c:pt>
              </c:numCache>
            </c:numRef>
          </c:val>
        </c:ser>
        <c:ser>
          <c:idx val="2"/>
          <c:order val="2"/>
          <c:tx>
            <c:strRef>
              <c:f>Sheet1!$O$16</c:f>
              <c:strCache>
                <c:ptCount val="1"/>
                <c:pt idx="0">
                  <c:v>Pašvaldības</c:v>
                </c:pt>
              </c:strCache>
            </c:strRef>
          </c:tx>
          <c:invertIfNegative val="0"/>
          <c:dLbls>
            <c:dLbl>
              <c:idx val="0"/>
              <c:tx>
                <c:rich>
                  <a:bodyPr/>
                  <a:lstStyle/>
                  <a:p>
                    <a:r>
                      <a:rPr lang="en-US" sz="1100"/>
                      <a:t>0,2</a:t>
                    </a:r>
                    <a:r>
                      <a:rPr lang="lv-LV" sz="1100"/>
                      <a:t>1 (6,91%)</a:t>
                    </a:r>
                    <a:endParaRPr lang="en-US"/>
                  </a:p>
                </c:rich>
              </c:tx>
              <c:showLegendKey val="0"/>
              <c:showVal val="1"/>
              <c:showCatName val="0"/>
              <c:showSerName val="0"/>
              <c:showPercent val="0"/>
              <c:showBubbleSize val="0"/>
            </c:dLbl>
            <c:txPr>
              <a:bodyPr rot="-5400000" vert="horz"/>
              <a:lstStyle/>
              <a:p>
                <a:pPr>
                  <a:defRPr sz="1100"/>
                </a:pPr>
                <a:endParaRPr lang="lv-LV"/>
              </a:p>
            </c:txPr>
            <c:showLegendKey val="0"/>
            <c:showVal val="1"/>
            <c:showCatName val="0"/>
            <c:showSerName val="0"/>
            <c:showPercent val="0"/>
            <c:showBubbleSize val="0"/>
            <c:showLeaderLines val="0"/>
          </c:dLbls>
          <c:val>
            <c:numRef>
              <c:f>Sheet1!$P$16</c:f>
              <c:numCache>
                <c:formatCode>General</c:formatCode>
                <c:ptCount val="1"/>
                <c:pt idx="0">
                  <c:v>0.21</c:v>
                </c:pt>
              </c:numCache>
            </c:numRef>
          </c:val>
        </c:ser>
        <c:ser>
          <c:idx val="3"/>
          <c:order val="3"/>
          <c:tx>
            <c:strRef>
              <c:f>Sheet1!$O$17</c:f>
              <c:strCache>
                <c:ptCount val="1"/>
                <c:pt idx="0">
                  <c:v>Valsts iestādes</c:v>
                </c:pt>
              </c:strCache>
            </c:strRef>
          </c:tx>
          <c:invertIfNegative val="0"/>
          <c:dLbls>
            <c:dLbl>
              <c:idx val="0"/>
              <c:tx>
                <c:rich>
                  <a:bodyPr/>
                  <a:lstStyle/>
                  <a:p>
                    <a:r>
                      <a:rPr lang="en-US" sz="1100"/>
                      <a:t>0,2</a:t>
                    </a:r>
                    <a:r>
                      <a:rPr lang="lv-LV" sz="1100"/>
                      <a:t>0 (6,58%)</a:t>
                    </a:r>
                    <a:endParaRPr lang="en-US"/>
                  </a:p>
                </c:rich>
              </c:tx>
              <c:showLegendKey val="0"/>
              <c:showVal val="1"/>
              <c:showCatName val="0"/>
              <c:showSerName val="0"/>
              <c:showPercent val="0"/>
              <c:showBubbleSize val="0"/>
            </c:dLbl>
            <c:txPr>
              <a:bodyPr rot="-5400000" vert="horz"/>
              <a:lstStyle/>
              <a:p>
                <a:pPr>
                  <a:defRPr sz="1100"/>
                </a:pPr>
                <a:endParaRPr lang="lv-LV"/>
              </a:p>
            </c:txPr>
            <c:showLegendKey val="0"/>
            <c:showVal val="1"/>
            <c:showCatName val="0"/>
            <c:showSerName val="0"/>
            <c:showPercent val="0"/>
            <c:showBubbleSize val="0"/>
            <c:showLeaderLines val="0"/>
          </c:dLbls>
          <c:val>
            <c:numRef>
              <c:f>Sheet1!$P$17</c:f>
              <c:numCache>
                <c:formatCode>General</c:formatCode>
                <c:ptCount val="1"/>
                <c:pt idx="0">
                  <c:v>0.2</c:v>
                </c:pt>
              </c:numCache>
            </c:numRef>
          </c:val>
        </c:ser>
        <c:ser>
          <c:idx val="4"/>
          <c:order val="4"/>
          <c:tx>
            <c:strRef>
              <c:f>Sheet1!$O$18</c:f>
              <c:strCache>
                <c:ptCount val="1"/>
                <c:pt idx="0">
                  <c:v>Izglītības iestādes</c:v>
                </c:pt>
              </c:strCache>
            </c:strRef>
          </c:tx>
          <c:invertIfNegative val="0"/>
          <c:dLbls>
            <c:dLbl>
              <c:idx val="0"/>
              <c:tx>
                <c:rich>
                  <a:bodyPr/>
                  <a:lstStyle/>
                  <a:p>
                    <a:r>
                      <a:rPr lang="en-US" sz="1100"/>
                      <a:t>0,07</a:t>
                    </a:r>
                    <a:r>
                      <a:rPr lang="lv-LV" sz="1100"/>
                      <a:t> (2,30%)</a:t>
                    </a:r>
                    <a:endParaRPr lang="en-US"/>
                  </a:p>
                </c:rich>
              </c:tx>
              <c:showLegendKey val="0"/>
              <c:showVal val="1"/>
              <c:showCatName val="0"/>
              <c:showSerName val="0"/>
              <c:showPercent val="0"/>
              <c:showBubbleSize val="0"/>
            </c:dLbl>
            <c:txPr>
              <a:bodyPr rot="-5400000" vert="horz"/>
              <a:lstStyle/>
              <a:p>
                <a:pPr>
                  <a:defRPr sz="1100"/>
                </a:pPr>
                <a:endParaRPr lang="lv-LV"/>
              </a:p>
            </c:txPr>
            <c:showLegendKey val="0"/>
            <c:showVal val="1"/>
            <c:showCatName val="0"/>
            <c:showSerName val="0"/>
            <c:showPercent val="0"/>
            <c:showBubbleSize val="0"/>
            <c:showLeaderLines val="0"/>
          </c:dLbls>
          <c:val>
            <c:numRef>
              <c:f>Sheet1!$P$18</c:f>
              <c:numCache>
                <c:formatCode>General</c:formatCode>
                <c:ptCount val="1"/>
                <c:pt idx="0">
                  <c:v>7.0000000000000007E-2</c:v>
                </c:pt>
              </c:numCache>
            </c:numRef>
          </c:val>
        </c:ser>
        <c:ser>
          <c:idx val="5"/>
          <c:order val="5"/>
          <c:tx>
            <c:strRef>
              <c:f>Sheet1!$O$19</c:f>
              <c:strCache>
                <c:ptCount val="1"/>
                <c:pt idx="0">
                  <c:v>NVO</c:v>
                </c:pt>
              </c:strCache>
            </c:strRef>
          </c:tx>
          <c:invertIfNegative val="0"/>
          <c:dLbls>
            <c:dLbl>
              <c:idx val="0"/>
              <c:tx>
                <c:rich>
                  <a:bodyPr/>
                  <a:lstStyle/>
                  <a:p>
                    <a:r>
                      <a:rPr lang="en-US" sz="1100"/>
                      <a:t>0,02</a:t>
                    </a:r>
                    <a:r>
                      <a:rPr lang="lv-LV" sz="1100"/>
                      <a:t> (0,66%)</a:t>
                    </a:r>
                    <a:endParaRPr lang="en-US"/>
                  </a:p>
                </c:rich>
              </c:tx>
              <c:showLegendKey val="0"/>
              <c:showVal val="1"/>
              <c:showCatName val="0"/>
              <c:showSerName val="0"/>
              <c:showPercent val="0"/>
              <c:showBubbleSize val="0"/>
            </c:dLbl>
            <c:txPr>
              <a:bodyPr rot="-5400000" vert="horz"/>
              <a:lstStyle/>
              <a:p>
                <a:pPr>
                  <a:defRPr sz="1100"/>
                </a:pPr>
                <a:endParaRPr lang="lv-LV"/>
              </a:p>
            </c:txPr>
            <c:showLegendKey val="0"/>
            <c:showVal val="1"/>
            <c:showCatName val="0"/>
            <c:showSerName val="0"/>
            <c:showPercent val="0"/>
            <c:showBubbleSize val="0"/>
            <c:showLeaderLines val="0"/>
          </c:dLbls>
          <c:val>
            <c:numRef>
              <c:f>Sheet1!$P$19</c:f>
              <c:numCache>
                <c:formatCode>General</c:formatCode>
                <c:ptCount val="1"/>
                <c:pt idx="0">
                  <c:v>0.02</c:v>
                </c:pt>
              </c:numCache>
            </c:numRef>
          </c:val>
        </c:ser>
        <c:dLbls>
          <c:showLegendKey val="0"/>
          <c:showVal val="0"/>
          <c:showCatName val="0"/>
          <c:showSerName val="0"/>
          <c:showPercent val="0"/>
          <c:showBubbleSize val="0"/>
        </c:dLbls>
        <c:gapWidth val="150"/>
        <c:axId val="78145408"/>
        <c:axId val="78146944"/>
      </c:barChart>
      <c:catAx>
        <c:axId val="78145408"/>
        <c:scaling>
          <c:orientation val="minMax"/>
        </c:scaling>
        <c:delete val="1"/>
        <c:axPos val="b"/>
        <c:majorTickMark val="out"/>
        <c:minorTickMark val="none"/>
        <c:tickLblPos val="nextTo"/>
        <c:crossAx val="78146944"/>
        <c:crosses val="autoZero"/>
        <c:auto val="1"/>
        <c:lblAlgn val="ctr"/>
        <c:lblOffset val="100"/>
        <c:noMultiLvlLbl val="0"/>
      </c:catAx>
      <c:valAx>
        <c:axId val="78146944"/>
        <c:scaling>
          <c:orientation val="minMax"/>
        </c:scaling>
        <c:delete val="0"/>
        <c:axPos val="l"/>
        <c:majorGridlines/>
        <c:numFmt formatCode="General" sourceLinked="1"/>
        <c:majorTickMark val="out"/>
        <c:minorTickMark val="none"/>
        <c:tickLblPos val="nextTo"/>
        <c:txPr>
          <a:bodyPr/>
          <a:lstStyle/>
          <a:p>
            <a:pPr>
              <a:defRPr sz="1100"/>
            </a:pPr>
            <a:endParaRPr lang="lv-LV"/>
          </a:p>
        </c:txPr>
        <c:crossAx val="78145408"/>
        <c:crosses val="autoZero"/>
        <c:crossBetween val="between"/>
      </c:valAx>
    </c:plotArea>
    <c:legend>
      <c:legendPos val="r"/>
      <c:layout>
        <c:manualLayout>
          <c:xMode val="edge"/>
          <c:yMode val="edge"/>
          <c:x val="0.76339548701314286"/>
          <c:y val="0.19129841591861499"/>
          <c:w val="0.23383154968473371"/>
          <c:h val="0.62488356180959359"/>
        </c:manualLayout>
      </c:layout>
      <c:overlay val="0"/>
      <c:txPr>
        <a:bodyPr/>
        <a:lstStyle/>
        <a:p>
          <a:pPr>
            <a:defRPr sz="1100"/>
          </a:pPr>
          <a:endParaRPr lang="lv-LV"/>
        </a:p>
      </c:txPr>
    </c:legend>
    <c:plotVisOnly val="1"/>
    <c:dispBlanksAs val="gap"/>
    <c:showDLblsOverMax val="0"/>
  </c:chart>
  <c:txPr>
    <a:bodyPr/>
    <a:lstStyle/>
    <a:p>
      <a:pPr>
        <a:defRPr sz="2000">
          <a:latin typeface="Times New Roman" pitchFamily="18" charset="0"/>
          <a:cs typeface="Times New Roman" pitchFamily="18" charset="0"/>
        </a:defRPr>
      </a:pPr>
      <a:endParaRPr lang="lv-LV"/>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Sheet1!$U$17</c:f>
              <c:strCache>
                <c:ptCount val="1"/>
                <c:pt idx="0">
                  <c:v>Kopā</c:v>
                </c:pt>
              </c:strCache>
            </c:strRef>
          </c:tx>
          <c:invertIfNegative val="0"/>
          <c:dLbls>
            <c:dLbl>
              <c:idx val="0"/>
              <c:layout>
                <c:manualLayout>
                  <c:x val="-3.3956692913385825E-4"/>
                  <c:y val="0.40820339705195541"/>
                </c:manualLayout>
              </c:layout>
              <c:tx>
                <c:rich>
                  <a:bodyPr/>
                  <a:lstStyle/>
                  <a:p>
                    <a:r>
                      <a:rPr lang="en-US"/>
                      <a:t>3,04</a:t>
                    </a:r>
                    <a:r>
                      <a:rPr lang="lv-LV"/>
                      <a:t> (100,0%)</a:t>
                    </a:r>
                    <a:endParaRPr lang="en-US"/>
                  </a:p>
                </c:rich>
              </c:tx>
              <c:dLblPos val="outEnd"/>
              <c:showLegendKey val="0"/>
              <c:showVal val="1"/>
              <c:showCatName val="0"/>
              <c:showSerName val="0"/>
              <c:showPercent val="0"/>
              <c:showBubbleSize val="0"/>
            </c:dLbl>
            <c:numFmt formatCode="#,##0.00" sourceLinked="0"/>
            <c:txPr>
              <a:bodyPr rot="-5400000" vert="horz"/>
              <a:lstStyle/>
              <a:p>
                <a:pPr>
                  <a:defRPr/>
                </a:pPr>
                <a:endParaRPr lang="lv-LV"/>
              </a:p>
            </c:txPr>
            <c:dLblPos val="outEnd"/>
            <c:showLegendKey val="0"/>
            <c:showVal val="1"/>
            <c:showCatName val="0"/>
            <c:showSerName val="0"/>
            <c:showPercent val="0"/>
            <c:showBubbleSize val="0"/>
            <c:showLeaderLines val="0"/>
          </c:dLbls>
          <c:val>
            <c:numRef>
              <c:f>Sheet1!$V$17</c:f>
              <c:numCache>
                <c:formatCode>General</c:formatCode>
                <c:ptCount val="1"/>
                <c:pt idx="0">
                  <c:v>3.0404</c:v>
                </c:pt>
              </c:numCache>
            </c:numRef>
          </c:val>
        </c:ser>
        <c:ser>
          <c:idx val="1"/>
          <c:order val="1"/>
          <c:tx>
            <c:strRef>
              <c:f>Sheet1!$U$18</c:f>
              <c:strCache>
                <c:ptCount val="1"/>
                <c:pt idx="0">
                  <c:v>Cita neatbilstība</c:v>
                </c:pt>
              </c:strCache>
            </c:strRef>
          </c:tx>
          <c:invertIfNegative val="0"/>
          <c:dLbls>
            <c:dLbl>
              <c:idx val="0"/>
              <c:layout>
                <c:manualLayout>
                  <c:x val="3.9506780402449697E-3"/>
                  <c:y val="0.35317220250592835"/>
                </c:manualLayout>
              </c:layout>
              <c:tx>
                <c:rich>
                  <a:bodyPr/>
                  <a:lstStyle/>
                  <a:p>
                    <a:r>
                      <a:rPr lang="en-US"/>
                      <a:t>2,68</a:t>
                    </a:r>
                    <a:r>
                      <a:rPr lang="lv-LV"/>
                      <a:t> (88,1%)</a:t>
                    </a:r>
                    <a:endParaRPr lang="en-US"/>
                  </a:p>
                </c:rich>
              </c:tx>
              <c:dLblPos val="outEnd"/>
              <c:showLegendKey val="0"/>
              <c:showVal val="1"/>
              <c:showCatName val="0"/>
              <c:showSerName val="0"/>
              <c:showPercent val="0"/>
              <c:showBubbleSize val="0"/>
            </c:dLbl>
            <c:numFmt formatCode="#,##0.00" sourceLinked="0"/>
            <c:txPr>
              <a:bodyPr rot="-5400000" vert="horz"/>
              <a:lstStyle/>
              <a:p>
                <a:pPr>
                  <a:defRPr/>
                </a:pPr>
                <a:endParaRPr lang="lv-LV"/>
              </a:p>
            </c:txPr>
            <c:dLblPos val="outEnd"/>
            <c:showLegendKey val="0"/>
            <c:showVal val="1"/>
            <c:showCatName val="0"/>
            <c:showSerName val="0"/>
            <c:showPercent val="0"/>
            <c:showBubbleSize val="0"/>
            <c:showLeaderLines val="0"/>
          </c:dLbls>
          <c:val>
            <c:numRef>
              <c:f>Sheet1!$V$18</c:f>
              <c:numCache>
                <c:formatCode>General</c:formatCode>
                <c:ptCount val="1"/>
                <c:pt idx="0">
                  <c:v>2.68</c:v>
                </c:pt>
              </c:numCache>
            </c:numRef>
          </c:val>
        </c:ser>
        <c:ser>
          <c:idx val="2"/>
          <c:order val="2"/>
          <c:tx>
            <c:strRef>
              <c:f>Sheet1!$U$19</c:f>
              <c:strCache>
                <c:ptCount val="1"/>
                <c:pt idx="0">
                  <c:v>Iepirkuma vai konkurences normu pārkāpums</c:v>
                </c:pt>
              </c:strCache>
            </c:strRef>
          </c:tx>
          <c:invertIfNegative val="0"/>
          <c:dLbls>
            <c:dLbl>
              <c:idx val="0"/>
              <c:tx>
                <c:rich>
                  <a:bodyPr/>
                  <a:lstStyle/>
                  <a:p>
                    <a:r>
                      <a:rPr lang="en-US"/>
                      <a:t>0,36</a:t>
                    </a:r>
                    <a:r>
                      <a:rPr lang="lv-LV"/>
                      <a:t> (11,8%)</a:t>
                    </a:r>
                    <a:endParaRPr lang="en-US"/>
                  </a:p>
                </c:rich>
              </c:tx>
              <c:dLblPos val="outEnd"/>
              <c:showLegendKey val="0"/>
              <c:showVal val="1"/>
              <c:showCatName val="0"/>
              <c:showSerName val="0"/>
              <c:showPercent val="0"/>
              <c:showBubbleSize val="0"/>
            </c:dLbl>
            <c:numFmt formatCode="#,##0.00" sourceLinked="0"/>
            <c:txPr>
              <a:bodyPr rot="-5400000" vert="horz"/>
              <a:lstStyle/>
              <a:p>
                <a:pPr>
                  <a:defRPr/>
                </a:pPr>
                <a:endParaRPr lang="lv-LV"/>
              </a:p>
            </c:txPr>
            <c:dLblPos val="outEnd"/>
            <c:showLegendKey val="0"/>
            <c:showVal val="1"/>
            <c:showCatName val="0"/>
            <c:showSerName val="0"/>
            <c:showPercent val="0"/>
            <c:showBubbleSize val="0"/>
            <c:showLeaderLines val="0"/>
          </c:dLbls>
          <c:val>
            <c:numRef>
              <c:f>Sheet1!$V$19</c:f>
              <c:numCache>
                <c:formatCode>General</c:formatCode>
                <c:ptCount val="1"/>
                <c:pt idx="0">
                  <c:v>0.36</c:v>
                </c:pt>
              </c:numCache>
            </c:numRef>
          </c:val>
        </c:ser>
        <c:ser>
          <c:idx val="3"/>
          <c:order val="3"/>
          <c:tx>
            <c:strRef>
              <c:f>Sheet1!$U$20</c:f>
              <c:strCache>
                <c:ptCount val="1"/>
                <c:pt idx="0">
                  <c:v>Iespējams interešu konflikts</c:v>
                </c:pt>
              </c:strCache>
            </c:strRef>
          </c:tx>
          <c:invertIfNegative val="0"/>
          <c:dLbls>
            <c:dLbl>
              <c:idx val="0"/>
              <c:tx>
                <c:rich>
                  <a:bodyPr/>
                  <a:lstStyle/>
                  <a:p>
                    <a:r>
                      <a:rPr lang="en-US"/>
                      <a:t>0,0004</a:t>
                    </a:r>
                    <a:r>
                      <a:rPr lang="lv-LV"/>
                      <a:t> (0,01%)</a:t>
                    </a:r>
                    <a:endParaRPr lang="en-US"/>
                  </a:p>
                </c:rich>
              </c:tx>
              <c:dLblPos val="outEnd"/>
              <c:showLegendKey val="0"/>
              <c:showVal val="1"/>
              <c:showCatName val="0"/>
              <c:showSerName val="0"/>
              <c:showPercent val="0"/>
              <c:showBubbleSize val="0"/>
            </c:dLbl>
            <c:numFmt formatCode="#,##0.0000" sourceLinked="0"/>
            <c:txPr>
              <a:bodyPr rot="-5400000" vert="horz"/>
              <a:lstStyle/>
              <a:p>
                <a:pPr>
                  <a:defRPr/>
                </a:pPr>
                <a:endParaRPr lang="lv-LV"/>
              </a:p>
            </c:txPr>
            <c:dLblPos val="outEnd"/>
            <c:showLegendKey val="0"/>
            <c:showVal val="1"/>
            <c:showCatName val="0"/>
            <c:showSerName val="0"/>
            <c:showPercent val="0"/>
            <c:showBubbleSize val="0"/>
            <c:showLeaderLines val="0"/>
          </c:dLbls>
          <c:val>
            <c:numRef>
              <c:f>Sheet1!$V$20</c:f>
              <c:numCache>
                <c:formatCode>General</c:formatCode>
                <c:ptCount val="1"/>
                <c:pt idx="0">
                  <c:v>4.0000000000000002E-4</c:v>
                </c:pt>
              </c:numCache>
            </c:numRef>
          </c:val>
        </c:ser>
        <c:ser>
          <c:idx val="4"/>
          <c:order val="4"/>
          <c:tx>
            <c:strRef>
              <c:f>Sheet1!$U$21</c:f>
              <c:strCache>
                <c:ptCount val="1"/>
                <c:pt idx="0">
                  <c:v>Aizdomas par krāpšanu vai organizēto noziedzību</c:v>
                </c:pt>
              </c:strCache>
            </c:strRef>
          </c:tx>
          <c:invertIfNegative val="0"/>
          <c:dLbls>
            <c:dLbl>
              <c:idx val="0"/>
              <c:tx>
                <c:rich>
                  <a:bodyPr/>
                  <a:lstStyle/>
                  <a:p>
                    <a:r>
                      <a:rPr lang="en-US"/>
                      <a:t>0,00</a:t>
                    </a:r>
                    <a:r>
                      <a:rPr lang="lv-LV"/>
                      <a:t> (0,0%)</a:t>
                    </a:r>
                    <a:endParaRPr lang="en-US"/>
                  </a:p>
                </c:rich>
              </c:tx>
              <c:dLblPos val="outEnd"/>
              <c:showLegendKey val="0"/>
              <c:showVal val="1"/>
              <c:showCatName val="0"/>
              <c:showSerName val="0"/>
              <c:showPercent val="0"/>
              <c:showBubbleSize val="0"/>
            </c:dLbl>
            <c:numFmt formatCode="#,##0.00" sourceLinked="0"/>
            <c:txPr>
              <a:bodyPr rot="-5400000" vert="horz"/>
              <a:lstStyle/>
              <a:p>
                <a:pPr>
                  <a:defRPr/>
                </a:pPr>
                <a:endParaRPr lang="lv-LV"/>
              </a:p>
            </c:txPr>
            <c:dLblPos val="outEnd"/>
            <c:showLegendKey val="0"/>
            <c:showVal val="1"/>
            <c:showCatName val="0"/>
            <c:showSerName val="0"/>
            <c:showPercent val="0"/>
            <c:showBubbleSize val="0"/>
            <c:showLeaderLines val="0"/>
          </c:dLbls>
          <c:val>
            <c:numRef>
              <c:f>Sheet1!$V$21</c:f>
              <c:numCache>
                <c:formatCode>General</c:formatCode>
                <c:ptCount val="1"/>
                <c:pt idx="0">
                  <c:v>0</c:v>
                </c:pt>
              </c:numCache>
            </c:numRef>
          </c:val>
        </c:ser>
        <c:dLbls>
          <c:dLblPos val="outEnd"/>
          <c:showLegendKey val="0"/>
          <c:showVal val="1"/>
          <c:showCatName val="0"/>
          <c:showSerName val="0"/>
          <c:showPercent val="0"/>
          <c:showBubbleSize val="0"/>
        </c:dLbls>
        <c:gapWidth val="150"/>
        <c:axId val="78258560"/>
        <c:axId val="78260096"/>
      </c:barChart>
      <c:catAx>
        <c:axId val="78258560"/>
        <c:scaling>
          <c:orientation val="minMax"/>
        </c:scaling>
        <c:delete val="1"/>
        <c:axPos val="b"/>
        <c:majorTickMark val="out"/>
        <c:minorTickMark val="none"/>
        <c:tickLblPos val="nextTo"/>
        <c:crossAx val="78260096"/>
        <c:crosses val="autoZero"/>
        <c:auto val="1"/>
        <c:lblAlgn val="ctr"/>
        <c:lblOffset val="100"/>
        <c:noMultiLvlLbl val="0"/>
      </c:catAx>
      <c:valAx>
        <c:axId val="78260096"/>
        <c:scaling>
          <c:orientation val="minMax"/>
          <c:max val="6.2"/>
          <c:min val="0"/>
        </c:scaling>
        <c:delete val="0"/>
        <c:axPos val="l"/>
        <c:majorGridlines/>
        <c:numFmt formatCode="General" sourceLinked="1"/>
        <c:majorTickMark val="out"/>
        <c:minorTickMark val="none"/>
        <c:tickLblPos val="nextTo"/>
        <c:crossAx val="78258560"/>
        <c:crosses val="autoZero"/>
        <c:crossBetween val="between"/>
      </c:valAx>
    </c:plotArea>
    <c:legend>
      <c:legendPos val="r"/>
      <c:overlay val="0"/>
      <c:txPr>
        <a:bodyPr/>
        <a:lstStyle/>
        <a:p>
          <a:pPr>
            <a:defRPr sz="1100"/>
          </a:pPr>
          <a:endParaRPr lang="lv-LV"/>
        </a:p>
      </c:txPr>
    </c:legend>
    <c:plotVisOnly val="1"/>
    <c:dispBlanksAs val="gap"/>
    <c:showDLblsOverMax val="0"/>
  </c:chart>
  <c:txPr>
    <a:bodyPr/>
    <a:lstStyle/>
    <a:p>
      <a:pPr>
        <a:defRPr sz="1200">
          <a:latin typeface="Times New Roman" pitchFamily="18" charset="0"/>
          <a:cs typeface="Times New Roman" pitchFamily="18" charset="0"/>
        </a:defRPr>
      </a:pPr>
      <a:endParaRPr lang="lv-LV"/>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'Zaud v budz uz 30.09 PIVOT'!$F$11</c:f>
              <c:strCache>
                <c:ptCount val="1"/>
                <c:pt idx="0">
                  <c:v>Pašvaldības</c:v>
                </c:pt>
              </c:strCache>
            </c:strRef>
          </c:tx>
          <c:invertIfNegative val="0"/>
          <c:dLbls>
            <c:numFmt formatCode="#,##0.0" sourceLinked="0"/>
            <c:txPr>
              <a:bodyPr rot="-5400000" vert="horz"/>
              <a:lstStyle/>
              <a:p>
                <a:pPr>
                  <a:defRPr/>
                </a:pPr>
                <a:endParaRPr lang="lv-LV"/>
              </a:p>
            </c:txPr>
            <c:showLegendKey val="0"/>
            <c:showVal val="1"/>
            <c:showCatName val="0"/>
            <c:showSerName val="0"/>
            <c:showPercent val="0"/>
            <c:showBubbleSize val="0"/>
            <c:showLeaderLines val="0"/>
          </c:dLbls>
          <c:cat>
            <c:strRef>
              <c:f>('Zaud v budz uz 30.09 PIVOT'!$C$10;'Zaud v budz uz 30.09 PIVOT'!$D$10)</c:f>
              <c:strCache>
                <c:ptCount val="2"/>
                <c:pt idx="0">
                  <c:v>Atgūstamie maksājumi</c:v>
                </c:pt>
                <c:pt idx="1">
                  <c:v>Faktiski atgūtie maksājumi</c:v>
                </c:pt>
              </c:strCache>
            </c:strRef>
          </c:cat>
          <c:val>
            <c:numRef>
              <c:f>'Zaud v budz uz 30.09 PIVOT'!$G$11:$H$11</c:f>
              <c:numCache>
                <c:formatCode>General</c:formatCode>
                <c:ptCount val="2"/>
                <c:pt idx="0">
                  <c:v>2.92</c:v>
                </c:pt>
                <c:pt idx="1">
                  <c:v>2.87</c:v>
                </c:pt>
              </c:numCache>
            </c:numRef>
          </c:val>
        </c:ser>
        <c:ser>
          <c:idx val="1"/>
          <c:order val="1"/>
          <c:tx>
            <c:strRef>
              <c:f>'Zaud v budz uz 30.09 PIVOT'!$F$12</c:f>
              <c:strCache>
                <c:ptCount val="1"/>
                <c:pt idx="0">
                  <c:v>Izglītības iestādes</c:v>
                </c:pt>
              </c:strCache>
            </c:strRef>
          </c:tx>
          <c:invertIfNegative val="0"/>
          <c:dLbls>
            <c:numFmt formatCode="#,##0.0" sourceLinked="0"/>
            <c:txPr>
              <a:bodyPr rot="-5400000" vert="horz"/>
              <a:lstStyle/>
              <a:p>
                <a:pPr>
                  <a:defRPr/>
                </a:pPr>
                <a:endParaRPr lang="lv-LV"/>
              </a:p>
            </c:txPr>
            <c:showLegendKey val="0"/>
            <c:showVal val="1"/>
            <c:showCatName val="0"/>
            <c:showSerName val="0"/>
            <c:showPercent val="0"/>
            <c:showBubbleSize val="0"/>
            <c:showLeaderLines val="0"/>
          </c:dLbls>
          <c:cat>
            <c:strRef>
              <c:f>('Zaud v budz uz 30.09 PIVOT'!$C$10;'Zaud v budz uz 30.09 PIVOT'!$D$10)</c:f>
              <c:strCache>
                <c:ptCount val="2"/>
                <c:pt idx="0">
                  <c:v>Atgūstamie maksājumi</c:v>
                </c:pt>
                <c:pt idx="1">
                  <c:v>Faktiski atgūtie maksājumi</c:v>
                </c:pt>
              </c:strCache>
            </c:strRef>
          </c:cat>
          <c:val>
            <c:numRef>
              <c:f>'Zaud v budz uz 30.09 PIVOT'!$G$12:$H$12</c:f>
              <c:numCache>
                <c:formatCode>General</c:formatCode>
                <c:ptCount val="2"/>
                <c:pt idx="0">
                  <c:v>1.43</c:v>
                </c:pt>
                <c:pt idx="1">
                  <c:v>1.4</c:v>
                </c:pt>
              </c:numCache>
            </c:numRef>
          </c:val>
        </c:ser>
        <c:ser>
          <c:idx val="2"/>
          <c:order val="2"/>
          <c:tx>
            <c:strRef>
              <c:f>'Zaud v budz uz 30.09 PIVOT'!$F$13</c:f>
              <c:strCache>
                <c:ptCount val="1"/>
                <c:pt idx="0">
                  <c:v>Valsts iestādes</c:v>
                </c:pt>
              </c:strCache>
            </c:strRef>
          </c:tx>
          <c:invertIfNegative val="0"/>
          <c:dLbls>
            <c:numFmt formatCode="#,##0.0" sourceLinked="0"/>
            <c:txPr>
              <a:bodyPr rot="-5400000" vert="horz"/>
              <a:lstStyle/>
              <a:p>
                <a:pPr>
                  <a:defRPr/>
                </a:pPr>
                <a:endParaRPr lang="lv-LV"/>
              </a:p>
            </c:txPr>
            <c:showLegendKey val="0"/>
            <c:showVal val="1"/>
            <c:showCatName val="0"/>
            <c:showSerName val="0"/>
            <c:showPercent val="0"/>
            <c:showBubbleSize val="0"/>
            <c:showLeaderLines val="0"/>
          </c:dLbls>
          <c:cat>
            <c:strRef>
              <c:f>('Zaud v budz uz 30.09 PIVOT'!$C$10;'Zaud v budz uz 30.09 PIVOT'!$D$10)</c:f>
              <c:strCache>
                <c:ptCount val="2"/>
                <c:pt idx="0">
                  <c:v>Atgūstamie maksājumi</c:v>
                </c:pt>
                <c:pt idx="1">
                  <c:v>Faktiski atgūtie maksājumi</c:v>
                </c:pt>
              </c:strCache>
            </c:strRef>
          </c:cat>
          <c:val>
            <c:numRef>
              <c:f>'Zaud v budz uz 30.09 PIVOT'!$G$13:$H$13</c:f>
              <c:numCache>
                <c:formatCode>General</c:formatCode>
                <c:ptCount val="2"/>
                <c:pt idx="0">
                  <c:v>0.63</c:v>
                </c:pt>
                <c:pt idx="1">
                  <c:v>0.61</c:v>
                </c:pt>
              </c:numCache>
            </c:numRef>
          </c:val>
        </c:ser>
        <c:dLbls>
          <c:showLegendKey val="0"/>
          <c:showVal val="0"/>
          <c:showCatName val="0"/>
          <c:showSerName val="0"/>
          <c:showPercent val="0"/>
          <c:showBubbleSize val="0"/>
        </c:dLbls>
        <c:gapWidth val="150"/>
        <c:axId val="78282112"/>
        <c:axId val="78304384"/>
      </c:barChart>
      <c:catAx>
        <c:axId val="78282112"/>
        <c:scaling>
          <c:orientation val="minMax"/>
        </c:scaling>
        <c:delete val="0"/>
        <c:axPos val="b"/>
        <c:numFmt formatCode="General" sourceLinked="1"/>
        <c:majorTickMark val="out"/>
        <c:minorTickMark val="none"/>
        <c:tickLblPos val="nextTo"/>
        <c:crossAx val="78304384"/>
        <c:crosses val="autoZero"/>
        <c:auto val="1"/>
        <c:lblAlgn val="ctr"/>
        <c:lblOffset val="100"/>
        <c:noMultiLvlLbl val="0"/>
      </c:catAx>
      <c:valAx>
        <c:axId val="78304384"/>
        <c:scaling>
          <c:orientation val="minMax"/>
          <c:max val="3"/>
          <c:min val="0"/>
        </c:scaling>
        <c:delete val="0"/>
        <c:axPos val="l"/>
        <c:majorGridlines/>
        <c:numFmt formatCode="#,##0" sourceLinked="0"/>
        <c:majorTickMark val="out"/>
        <c:minorTickMark val="none"/>
        <c:tickLblPos val="nextTo"/>
        <c:crossAx val="78282112"/>
        <c:crosses val="autoZero"/>
        <c:crossBetween val="between"/>
        <c:majorUnit val="1"/>
      </c:valAx>
    </c:plotArea>
    <c:legend>
      <c:legendPos val="r"/>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28531289838770152"/>
          <c:y val="1.1714492626220766E-2"/>
          <c:w val="0.59537776527934005"/>
          <c:h val="0.88144283747045837"/>
        </c:manualLayout>
      </c:layout>
      <c:bar3DChart>
        <c:barDir val="bar"/>
        <c:grouping val="clustered"/>
        <c:varyColors val="0"/>
        <c:ser>
          <c:idx val="2"/>
          <c:order val="0"/>
          <c:tx>
            <c:strRef>
              <c:f>Grafiki!$E$41</c:f>
              <c:strCache>
                <c:ptCount val="1"/>
                <c:pt idx="0">
                  <c:v>Maksājumi finansējuma saņēmējiem līdz 30.09.2011.</c:v>
                </c:pt>
              </c:strCache>
            </c:strRef>
          </c:tx>
          <c:invertIfNegative val="0"/>
          <c:dLbls>
            <c:dLbl>
              <c:idx val="0"/>
              <c:layout>
                <c:manualLayout>
                  <c:x val="4.0224189878429337E-17"/>
                  <c:y val="7.7349679222150514E-3"/>
                </c:manualLayout>
              </c:layout>
              <c:tx>
                <c:rich>
                  <a:bodyPr/>
                  <a:lstStyle/>
                  <a:p>
                    <a:r>
                      <a:rPr lang="en-US"/>
                      <a:t>1,5</a:t>
                    </a:r>
                    <a:r>
                      <a:rPr lang="lv-LV"/>
                      <a:t> (67,6%)</a:t>
                    </a:r>
                    <a:endParaRPr lang="en-US"/>
                  </a:p>
                </c:rich>
              </c:tx>
              <c:showLegendKey val="0"/>
              <c:showVal val="1"/>
              <c:showCatName val="0"/>
              <c:showSerName val="0"/>
              <c:showPercent val="0"/>
              <c:showBubbleSize val="0"/>
            </c:dLbl>
            <c:dLbl>
              <c:idx val="1"/>
              <c:layout>
                <c:manualLayout>
                  <c:x val="2.1940720664565426E-3"/>
                  <c:y val="5.156645281476701E-3"/>
                </c:manualLayout>
              </c:layout>
              <c:tx>
                <c:rich>
                  <a:bodyPr/>
                  <a:lstStyle/>
                  <a:p>
                    <a:r>
                      <a:rPr lang="en-US"/>
                      <a:t>2,4</a:t>
                    </a:r>
                    <a:r>
                      <a:rPr lang="lv-LV"/>
                      <a:t> (76,0%)</a:t>
                    </a:r>
                    <a:endParaRPr lang="en-US"/>
                  </a:p>
                </c:rich>
              </c:tx>
              <c:showLegendKey val="0"/>
              <c:showVal val="1"/>
              <c:showCatName val="0"/>
              <c:showSerName val="0"/>
              <c:showPercent val="0"/>
              <c:showBubbleSize val="0"/>
            </c:dLbl>
            <c:dLbl>
              <c:idx val="2"/>
              <c:layout>
                <c:manualLayout>
                  <c:x val="-4.0224189878429337E-17"/>
                  <c:y val="7.7349679222150514E-3"/>
                </c:manualLayout>
              </c:layout>
              <c:tx>
                <c:rich>
                  <a:bodyPr/>
                  <a:lstStyle/>
                  <a:p>
                    <a:r>
                      <a:rPr lang="en-US"/>
                      <a:t>7,6</a:t>
                    </a:r>
                    <a:r>
                      <a:rPr lang="lv-LV"/>
                      <a:t> (40,7%)</a:t>
                    </a:r>
                    <a:endParaRPr lang="en-US"/>
                  </a:p>
                </c:rich>
              </c:tx>
              <c:showLegendKey val="0"/>
              <c:showVal val="1"/>
              <c:showCatName val="0"/>
              <c:showSerName val="0"/>
              <c:showPercent val="0"/>
              <c:showBubbleSize val="0"/>
            </c:dLbl>
            <c:dLbl>
              <c:idx val="3"/>
              <c:layout>
                <c:manualLayout>
                  <c:x val="0"/>
                  <c:y val="1.2891613203691752E-2"/>
                </c:manualLayout>
              </c:layout>
              <c:tx>
                <c:rich>
                  <a:bodyPr/>
                  <a:lstStyle/>
                  <a:p>
                    <a:r>
                      <a:rPr lang="en-US"/>
                      <a:t>16,2</a:t>
                    </a:r>
                    <a:r>
                      <a:rPr lang="lv-LV"/>
                      <a:t> (56,2%)</a:t>
                    </a:r>
                    <a:endParaRPr lang="en-US"/>
                  </a:p>
                </c:rich>
              </c:tx>
              <c:showLegendKey val="0"/>
              <c:showVal val="1"/>
              <c:showCatName val="0"/>
              <c:showSerName val="0"/>
              <c:showPercent val="0"/>
              <c:showBubbleSize val="0"/>
            </c:dLbl>
            <c:dLbl>
              <c:idx val="4"/>
              <c:layout>
                <c:manualLayout>
                  <c:x val="0"/>
                  <c:y val="7.7349679222150514E-3"/>
                </c:manualLayout>
              </c:layout>
              <c:tx>
                <c:rich>
                  <a:bodyPr/>
                  <a:lstStyle/>
                  <a:p>
                    <a:r>
                      <a:rPr lang="en-US"/>
                      <a:t>36,3</a:t>
                    </a:r>
                    <a:r>
                      <a:rPr lang="lv-LV"/>
                      <a:t> (98,1%)</a:t>
                    </a:r>
                    <a:endParaRPr lang="en-US"/>
                  </a:p>
                </c:rich>
              </c:tx>
              <c:showLegendKey val="0"/>
              <c:showVal val="1"/>
              <c:showCatName val="0"/>
              <c:showSerName val="0"/>
              <c:showPercent val="0"/>
              <c:showBubbleSize val="0"/>
            </c:dLbl>
            <c:dLbl>
              <c:idx val="5"/>
              <c:layout>
                <c:manualLayout>
                  <c:x val="0"/>
                  <c:y val="7.7349679222150514E-3"/>
                </c:manualLayout>
              </c:layout>
              <c:tx>
                <c:rich>
                  <a:bodyPr/>
                  <a:lstStyle/>
                  <a:p>
                    <a:r>
                      <a:rPr lang="en-US"/>
                      <a:t>31,2</a:t>
                    </a:r>
                    <a:r>
                      <a:rPr lang="lv-LV"/>
                      <a:t> (41,7%)</a:t>
                    </a:r>
                    <a:endParaRPr lang="en-US"/>
                  </a:p>
                </c:rich>
              </c:tx>
              <c:showLegendKey val="0"/>
              <c:showVal val="1"/>
              <c:showCatName val="0"/>
              <c:showSerName val="0"/>
              <c:showPercent val="0"/>
              <c:showBubbleSize val="0"/>
            </c:dLbl>
            <c:dLbl>
              <c:idx val="6"/>
              <c:layout>
                <c:manualLayout>
                  <c:x val="4.3881441329130851E-3"/>
                  <c:y val="5.156645281476701E-3"/>
                </c:manualLayout>
              </c:layout>
              <c:tx>
                <c:rich>
                  <a:bodyPr/>
                  <a:lstStyle/>
                  <a:p>
                    <a:r>
                      <a:rPr lang="en-US"/>
                      <a:t>46,6</a:t>
                    </a:r>
                    <a:r>
                      <a:rPr lang="lv-LV"/>
                      <a:t> (46,7%)</a:t>
                    </a:r>
                    <a:endParaRPr lang="en-US"/>
                  </a:p>
                </c:rich>
              </c:tx>
              <c:showLegendKey val="0"/>
              <c:showVal val="1"/>
              <c:showCatName val="0"/>
              <c:showSerName val="0"/>
              <c:showPercent val="0"/>
              <c:showBubbleSize val="0"/>
            </c:dLbl>
            <c:dLbl>
              <c:idx val="7"/>
              <c:layout/>
              <c:tx>
                <c:rich>
                  <a:bodyPr/>
                  <a:lstStyle/>
                  <a:p>
                    <a:r>
                      <a:rPr lang="en-US"/>
                      <a:t>69,7</a:t>
                    </a:r>
                    <a:r>
                      <a:rPr lang="lv-LV"/>
                      <a:t> (61,3%)</a:t>
                    </a:r>
                    <a:endParaRPr lang="en-US"/>
                  </a:p>
                </c:rich>
              </c:tx>
              <c:showLegendKey val="0"/>
              <c:showVal val="1"/>
              <c:showCatName val="0"/>
              <c:showSerName val="0"/>
              <c:showPercent val="0"/>
              <c:showBubbleSize val="0"/>
            </c:dLbl>
            <c:dLbl>
              <c:idx val="8"/>
              <c:layout/>
              <c:tx>
                <c:rich>
                  <a:bodyPr/>
                  <a:lstStyle/>
                  <a:p>
                    <a:r>
                      <a:rPr lang="en-US"/>
                      <a:t>36,3</a:t>
                    </a:r>
                    <a:r>
                      <a:rPr lang="lv-LV"/>
                      <a:t> (27,2%)</a:t>
                    </a:r>
                    <a:endParaRPr lang="en-US"/>
                  </a:p>
                </c:rich>
              </c:tx>
              <c:showLegendKey val="0"/>
              <c:showVal val="1"/>
              <c:showCatName val="0"/>
              <c:showSerName val="0"/>
              <c:showPercent val="0"/>
              <c:showBubbleSize val="0"/>
            </c:dLbl>
            <c:numFmt formatCode="#,##0.0" sourceLinked="0"/>
            <c:txPr>
              <a:bodyPr/>
              <a:lstStyle/>
              <a:p>
                <a:pPr algn="ctr">
                  <a:defRPr/>
                </a:pPr>
                <a:endParaRPr lang="lv-LV"/>
              </a:p>
            </c:txPr>
            <c:showLegendKey val="0"/>
            <c:showVal val="1"/>
            <c:showCatName val="0"/>
            <c:showSerName val="0"/>
            <c:showPercent val="0"/>
            <c:showBubbleSize val="0"/>
            <c:showLeaderLines val="0"/>
          </c:dLbls>
          <c:cat>
            <c:strRef>
              <c:f>Grafiki!$B$42:$B$50</c:f>
              <c:strCache>
                <c:ptCount val="9"/>
                <c:pt idx="0">
                  <c:v>Valsts Kanceleja</c:v>
                </c:pt>
                <c:pt idx="1">
                  <c:v>Kultūras ministrija</c:v>
                </c:pt>
                <c:pt idx="2">
                  <c:v>Finanšu ministrija</c:v>
                </c:pt>
                <c:pt idx="3">
                  <c:v>Veselības ministrija</c:v>
                </c:pt>
                <c:pt idx="4">
                  <c:v>Labklājības ministrija</c:v>
                </c:pt>
                <c:pt idx="5">
                  <c:v>Ekonomikas ministrija</c:v>
                </c:pt>
                <c:pt idx="6">
                  <c:v>Izglītības un zinātnes ministrija</c:v>
                </c:pt>
                <c:pt idx="7">
                  <c:v>Vides aizsardz. un reģ.att. ministrija</c:v>
                </c:pt>
                <c:pt idx="8">
                  <c:v>Satiksmes ministrija</c:v>
                </c:pt>
              </c:strCache>
            </c:strRef>
          </c:cat>
          <c:val>
            <c:numRef>
              <c:f>Grafiki!$E$42:$E$50</c:f>
              <c:numCache>
                <c:formatCode>#,##0</c:formatCode>
                <c:ptCount val="9"/>
                <c:pt idx="0">
                  <c:v>1491195.15</c:v>
                </c:pt>
                <c:pt idx="1">
                  <c:v>2355286.5300000003</c:v>
                </c:pt>
                <c:pt idx="2">
                  <c:v>7599807.2899999991</c:v>
                </c:pt>
                <c:pt idx="3">
                  <c:v>16157243.850000001</c:v>
                </c:pt>
                <c:pt idx="4">
                  <c:v>36303496.43</c:v>
                </c:pt>
                <c:pt idx="5">
                  <c:v>31226806.379999992</c:v>
                </c:pt>
                <c:pt idx="6">
                  <c:v>46601978.770000011</c:v>
                </c:pt>
                <c:pt idx="7">
                  <c:v>69670101.389999986</c:v>
                </c:pt>
                <c:pt idx="8">
                  <c:v>36267721.599999994</c:v>
                </c:pt>
              </c:numCache>
            </c:numRef>
          </c:val>
        </c:ser>
        <c:ser>
          <c:idx val="1"/>
          <c:order val="1"/>
          <c:tx>
            <c:strRef>
              <c:f>Grafiki!$D$41</c:f>
              <c:strCache>
                <c:ptCount val="1"/>
                <c:pt idx="0">
                  <c:v>Plānotā apguve</c:v>
                </c:pt>
              </c:strCache>
            </c:strRef>
          </c:tx>
          <c:invertIfNegative val="0"/>
          <c:dLbls>
            <c:dLbl>
              <c:idx val="0"/>
              <c:layout/>
              <c:tx>
                <c:rich>
                  <a:bodyPr/>
                  <a:lstStyle/>
                  <a:p>
                    <a:r>
                      <a:rPr lang="en-US"/>
                      <a:t>2,2</a:t>
                    </a:r>
                    <a:r>
                      <a:rPr lang="lv-LV"/>
                      <a:t> (100%)</a:t>
                    </a:r>
                    <a:endParaRPr lang="en-US"/>
                  </a:p>
                </c:rich>
              </c:tx>
              <c:showLegendKey val="0"/>
              <c:showVal val="1"/>
              <c:showCatName val="0"/>
              <c:showSerName val="0"/>
              <c:showPercent val="0"/>
              <c:showBubbleSize val="0"/>
            </c:dLbl>
            <c:dLbl>
              <c:idx val="1"/>
              <c:layout/>
              <c:tx>
                <c:rich>
                  <a:bodyPr/>
                  <a:lstStyle/>
                  <a:p>
                    <a:r>
                      <a:rPr lang="en-US"/>
                      <a:t>3,1</a:t>
                    </a:r>
                    <a:r>
                      <a:rPr lang="lv-LV"/>
                      <a:t> (100%)</a:t>
                    </a:r>
                    <a:endParaRPr lang="en-US"/>
                  </a:p>
                </c:rich>
              </c:tx>
              <c:showLegendKey val="0"/>
              <c:showVal val="1"/>
              <c:showCatName val="0"/>
              <c:showSerName val="0"/>
              <c:showPercent val="0"/>
              <c:showBubbleSize val="0"/>
            </c:dLbl>
            <c:dLbl>
              <c:idx val="2"/>
              <c:layout/>
              <c:tx>
                <c:rich>
                  <a:bodyPr/>
                  <a:lstStyle/>
                  <a:p>
                    <a:r>
                      <a:rPr lang="en-US"/>
                      <a:t>18,7</a:t>
                    </a:r>
                    <a:r>
                      <a:rPr lang="lv-LV"/>
                      <a:t> (100%)</a:t>
                    </a:r>
                    <a:endParaRPr lang="en-US"/>
                  </a:p>
                </c:rich>
              </c:tx>
              <c:showLegendKey val="0"/>
              <c:showVal val="1"/>
              <c:showCatName val="0"/>
              <c:showSerName val="0"/>
              <c:showPercent val="0"/>
              <c:showBubbleSize val="0"/>
            </c:dLbl>
            <c:dLbl>
              <c:idx val="3"/>
              <c:layout>
                <c:manualLayout>
                  <c:x val="0"/>
                  <c:y val="7.7349679222150514E-3"/>
                </c:manualLayout>
              </c:layout>
              <c:tx>
                <c:rich>
                  <a:bodyPr/>
                  <a:lstStyle/>
                  <a:p>
                    <a:r>
                      <a:rPr lang="en-US"/>
                      <a:t>30,2</a:t>
                    </a:r>
                    <a:r>
                      <a:rPr lang="lv-LV"/>
                      <a:t> (105,1%)</a:t>
                    </a:r>
                    <a:endParaRPr lang="en-US"/>
                  </a:p>
                </c:rich>
              </c:tx>
              <c:showLegendKey val="0"/>
              <c:showVal val="1"/>
              <c:showCatName val="0"/>
              <c:showSerName val="0"/>
              <c:showPercent val="0"/>
              <c:showBubbleSize val="0"/>
            </c:dLbl>
            <c:dLbl>
              <c:idx val="4"/>
              <c:layout/>
              <c:tx>
                <c:rich>
                  <a:bodyPr/>
                  <a:lstStyle/>
                  <a:p>
                    <a:r>
                      <a:rPr lang="en-US"/>
                      <a:t>44,5</a:t>
                    </a:r>
                    <a:r>
                      <a:rPr lang="lv-LV"/>
                      <a:t> (120,3%)</a:t>
                    </a:r>
                    <a:endParaRPr lang="en-US"/>
                  </a:p>
                </c:rich>
              </c:tx>
              <c:showLegendKey val="0"/>
              <c:showVal val="1"/>
              <c:showCatName val="0"/>
              <c:showSerName val="0"/>
              <c:showPercent val="0"/>
              <c:showBubbleSize val="0"/>
            </c:dLbl>
            <c:dLbl>
              <c:idx val="5"/>
              <c:layout/>
              <c:tx>
                <c:rich>
                  <a:bodyPr/>
                  <a:lstStyle/>
                  <a:p>
                    <a:r>
                      <a:rPr lang="en-US"/>
                      <a:t>65,7</a:t>
                    </a:r>
                    <a:r>
                      <a:rPr lang="lv-LV"/>
                      <a:t> (87,7%)</a:t>
                    </a:r>
                    <a:endParaRPr lang="en-US"/>
                  </a:p>
                </c:rich>
              </c:tx>
              <c:showLegendKey val="0"/>
              <c:showVal val="1"/>
              <c:showCatName val="0"/>
              <c:showSerName val="0"/>
              <c:showPercent val="0"/>
              <c:showBubbleSize val="0"/>
            </c:dLbl>
            <c:dLbl>
              <c:idx val="6"/>
              <c:layout/>
              <c:tx>
                <c:rich>
                  <a:bodyPr/>
                  <a:lstStyle/>
                  <a:p>
                    <a:r>
                      <a:rPr lang="en-US"/>
                      <a:t>94,2</a:t>
                    </a:r>
                    <a:r>
                      <a:rPr lang="lv-LV"/>
                      <a:t> (94,4%)</a:t>
                    </a:r>
                    <a:endParaRPr lang="en-US"/>
                  </a:p>
                </c:rich>
              </c:tx>
              <c:showLegendKey val="0"/>
              <c:showVal val="1"/>
              <c:showCatName val="0"/>
              <c:showSerName val="0"/>
              <c:showPercent val="0"/>
              <c:showBubbleSize val="0"/>
            </c:dLbl>
            <c:dLbl>
              <c:idx val="7"/>
              <c:layout/>
              <c:tx>
                <c:rich>
                  <a:bodyPr/>
                  <a:lstStyle/>
                  <a:p>
                    <a:r>
                      <a:rPr lang="en-US"/>
                      <a:t>111,2</a:t>
                    </a:r>
                    <a:r>
                      <a:rPr lang="lv-LV"/>
                      <a:t> (97,9%)</a:t>
                    </a:r>
                    <a:endParaRPr lang="en-US"/>
                  </a:p>
                </c:rich>
              </c:tx>
              <c:showLegendKey val="0"/>
              <c:showVal val="1"/>
              <c:showCatName val="0"/>
              <c:showSerName val="0"/>
              <c:showPercent val="0"/>
              <c:showBubbleSize val="0"/>
            </c:dLbl>
            <c:dLbl>
              <c:idx val="8"/>
              <c:layout/>
              <c:tx>
                <c:rich>
                  <a:bodyPr/>
                  <a:lstStyle/>
                  <a:p>
                    <a:r>
                      <a:rPr lang="lv-LV"/>
                      <a:t>119,4 (89,5%)</a:t>
                    </a:r>
                    <a:endParaRPr lang="en-US"/>
                  </a:p>
                </c:rich>
              </c:tx>
              <c:showLegendKey val="0"/>
              <c:showVal val="1"/>
              <c:showCatName val="0"/>
              <c:showSerName val="0"/>
              <c:showPercent val="0"/>
              <c:showBubbleSize val="0"/>
            </c:dLbl>
            <c:numFmt formatCode="#,##0.0" sourceLinked="0"/>
            <c:txPr>
              <a:bodyPr/>
              <a:lstStyle/>
              <a:p>
                <a:pPr algn="ctr">
                  <a:defRPr/>
                </a:pPr>
                <a:endParaRPr lang="lv-LV"/>
              </a:p>
            </c:txPr>
            <c:showLegendKey val="0"/>
            <c:showVal val="1"/>
            <c:showCatName val="0"/>
            <c:showSerName val="0"/>
            <c:showPercent val="0"/>
            <c:showBubbleSize val="0"/>
            <c:showLeaderLines val="0"/>
          </c:dLbls>
          <c:cat>
            <c:strRef>
              <c:f>Grafiki!$B$42:$B$50</c:f>
              <c:strCache>
                <c:ptCount val="9"/>
                <c:pt idx="0">
                  <c:v>Valsts Kanceleja</c:v>
                </c:pt>
                <c:pt idx="1">
                  <c:v>Kultūras ministrija</c:v>
                </c:pt>
                <c:pt idx="2">
                  <c:v>Finanšu ministrija</c:v>
                </c:pt>
                <c:pt idx="3">
                  <c:v>Veselības ministrija</c:v>
                </c:pt>
                <c:pt idx="4">
                  <c:v>Labklājības ministrija</c:v>
                </c:pt>
                <c:pt idx="5">
                  <c:v>Ekonomikas ministrija</c:v>
                </c:pt>
                <c:pt idx="6">
                  <c:v>Izglītības un zinātnes ministrija</c:v>
                </c:pt>
                <c:pt idx="7">
                  <c:v>Vides aizsardz. un reģ.att. ministrija</c:v>
                </c:pt>
                <c:pt idx="8">
                  <c:v>Satiksmes ministrija</c:v>
                </c:pt>
              </c:strCache>
            </c:strRef>
          </c:cat>
          <c:val>
            <c:numRef>
              <c:f>Grafiki!$D$42:$D$50</c:f>
              <c:numCache>
                <c:formatCode>#,##0</c:formatCode>
                <c:ptCount val="9"/>
                <c:pt idx="0">
                  <c:v>2204322</c:v>
                </c:pt>
                <c:pt idx="1">
                  <c:v>3098464</c:v>
                </c:pt>
                <c:pt idx="2">
                  <c:v>18661527.270000003</c:v>
                </c:pt>
                <c:pt idx="3">
                  <c:v>30209650.039999999</c:v>
                </c:pt>
                <c:pt idx="4">
                  <c:v>44504615.071999997</c:v>
                </c:pt>
                <c:pt idx="5">
                  <c:v>65724418.459999993</c:v>
                </c:pt>
                <c:pt idx="6">
                  <c:v>94222786.25</c:v>
                </c:pt>
                <c:pt idx="7">
                  <c:v>111179960.1338</c:v>
                </c:pt>
                <c:pt idx="8">
                  <c:v>119381995</c:v>
                </c:pt>
              </c:numCache>
            </c:numRef>
          </c:val>
        </c:ser>
        <c:ser>
          <c:idx val="0"/>
          <c:order val="2"/>
          <c:tx>
            <c:strRef>
              <c:f>Grafiki!$C$41</c:f>
              <c:strCache>
                <c:ptCount val="1"/>
                <c:pt idx="0">
                  <c:v>Apstiprinātie mērķi</c:v>
                </c:pt>
              </c:strCache>
            </c:strRef>
          </c:tx>
          <c:invertIfNegative val="0"/>
          <c:dLbls>
            <c:dLbl>
              <c:idx val="0"/>
              <c:layout>
                <c:manualLayout>
                  <c:x val="4.0224189878429337E-17"/>
                  <c:y val="-5.1566452814766064E-3"/>
                </c:manualLayout>
              </c:layout>
              <c:tx>
                <c:rich>
                  <a:bodyPr/>
                  <a:lstStyle/>
                  <a:p>
                    <a:r>
                      <a:rPr lang="en-US"/>
                      <a:t>2,2</a:t>
                    </a:r>
                    <a:r>
                      <a:rPr lang="lv-LV"/>
                      <a:t> (100%)</a:t>
                    </a:r>
                    <a:endParaRPr lang="en-US"/>
                  </a:p>
                </c:rich>
              </c:tx>
              <c:showLegendKey val="0"/>
              <c:showVal val="1"/>
              <c:showCatName val="0"/>
              <c:showSerName val="0"/>
              <c:showPercent val="0"/>
              <c:showBubbleSize val="0"/>
            </c:dLbl>
            <c:dLbl>
              <c:idx val="1"/>
              <c:layout>
                <c:manualLayout>
                  <c:x val="0"/>
                  <c:y val="-5.156645281476701E-3"/>
                </c:manualLayout>
              </c:layout>
              <c:tx>
                <c:rich>
                  <a:bodyPr/>
                  <a:lstStyle/>
                  <a:p>
                    <a:r>
                      <a:rPr lang="en-US"/>
                      <a:t>3,1</a:t>
                    </a:r>
                    <a:r>
                      <a:rPr lang="lv-LV"/>
                      <a:t> (100%)</a:t>
                    </a:r>
                    <a:endParaRPr lang="en-US"/>
                  </a:p>
                </c:rich>
              </c:tx>
              <c:showLegendKey val="0"/>
              <c:showVal val="1"/>
              <c:showCatName val="0"/>
              <c:showSerName val="0"/>
              <c:showPercent val="0"/>
              <c:showBubbleSize val="0"/>
            </c:dLbl>
            <c:dLbl>
              <c:idx val="2"/>
              <c:layout/>
              <c:tx>
                <c:rich>
                  <a:bodyPr/>
                  <a:lstStyle/>
                  <a:p>
                    <a:r>
                      <a:rPr lang="en-US"/>
                      <a:t>18,7</a:t>
                    </a:r>
                    <a:r>
                      <a:rPr lang="lv-LV"/>
                      <a:t> (100%)</a:t>
                    </a:r>
                    <a:endParaRPr lang="en-US"/>
                  </a:p>
                </c:rich>
              </c:tx>
              <c:showLegendKey val="0"/>
              <c:showVal val="1"/>
              <c:showCatName val="0"/>
              <c:showSerName val="0"/>
              <c:showPercent val="0"/>
              <c:showBubbleSize val="0"/>
            </c:dLbl>
            <c:dLbl>
              <c:idx val="3"/>
              <c:layout/>
              <c:tx>
                <c:rich>
                  <a:bodyPr/>
                  <a:lstStyle/>
                  <a:p>
                    <a:r>
                      <a:rPr lang="en-US"/>
                      <a:t>28,8</a:t>
                    </a:r>
                    <a:r>
                      <a:rPr lang="lv-LV"/>
                      <a:t> (100%)</a:t>
                    </a:r>
                    <a:endParaRPr lang="en-US"/>
                  </a:p>
                </c:rich>
              </c:tx>
              <c:showLegendKey val="0"/>
              <c:showVal val="1"/>
              <c:showCatName val="0"/>
              <c:showSerName val="0"/>
              <c:showPercent val="0"/>
              <c:showBubbleSize val="0"/>
            </c:dLbl>
            <c:dLbl>
              <c:idx val="4"/>
              <c:layout>
                <c:manualLayout>
                  <c:x val="2.3809523809523812E-3"/>
                  <c:y val="-6.379585326953748E-3"/>
                </c:manualLayout>
              </c:layout>
              <c:tx>
                <c:rich>
                  <a:bodyPr/>
                  <a:lstStyle/>
                  <a:p>
                    <a:r>
                      <a:rPr lang="en-US"/>
                      <a:t>37,0</a:t>
                    </a:r>
                    <a:r>
                      <a:rPr lang="lv-LV"/>
                      <a:t> (100%)</a:t>
                    </a:r>
                    <a:endParaRPr lang="en-US"/>
                  </a:p>
                </c:rich>
              </c:tx>
              <c:showLegendKey val="0"/>
              <c:showVal val="1"/>
              <c:showCatName val="0"/>
              <c:showSerName val="0"/>
              <c:showPercent val="0"/>
              <c:showBubbleSize val="0"/>
            </c:dLbl>
            <c:dLbl>
              <c:idx val="5"/>
              <c:layout>
                <c:manualLayout>
                  <c:x val="1.0970360332282793E-2"/>
                  <c:y val="-1.2891613203691752E-2"/>
                </c:manualLayout>
              </c:layout>
              <c:tx>
                <c:rich>
                  <a:bodyPr/>
                  <a:lstStyle/>
                  <a:p>
                    <a:r>
                      <a:rPr lang="en-US"/>
                      <a:t>74,9</a:t>
                    </a:r>
                    <a:r>
                      <a:rPr lang="lv-LV"/>
                      <a:t> (100%)</a:t>
                    </a:r>
                    <a:endParaRPr lang="en-US"/>
                  </a:p>
                </c:rich>
              </c:tx>
              <c:showLegendKey val="0"/>
              <c:showVal val="1"/>
              <c:showCatName val="0"/>
              <c:showSerName val="0"/>
              <c:showPercent val="0"/>
              <c:showBubbleSize val="0"/>
            </c:dLbl>
            <c:dLbl>
              <c:idx val="6"/>
              <c:layout>
                <c:manualLayout>
                  <c:x val="2.1940720664564619E-3"/>
                  <c:y val="-1.0313290562953402E-2"/>
                </c:manualLayout>
              </c:layout>
              <c:tx>
                <c:rich>
                  <a:bodyPr/>
                  <a:lstStyle/>
                  <a:p>
                    <a:r>
                      <a:rPr lang="en-US"/>
                      <a:t>99,9</a:t>
                    </a:r>
                    <a:r>
                      <a:rPr lang="lv-LV"/>
                      <a:t> (100%)</a:t>
                    </a:r>
                    <a:endParaRPr lang="en-US"/>
                  </a:p>
                </c:rich>
              </c:tx>
              <c:showLegendKey val="0"/>
              <c:showVal val="1"/>
              <c:showCatName val="0"/>
              <c:showSerName val="0"/>
              <c:showPercent val="0"/>
              <c:showBubbleSize val="0"/>
            </c:dLbl>
            <c:dLbl>
              <c:idx val="7"/>
              <c:layout>
                <c:manualLayout>
                  <c:x val="8.7762882658261702E-3"/>
                  <c:y val="-1.0313290562953402E-2"/>
                </c:manualLayout>
              </c:layout>
              <c:tx>
                <c:rich>
                  <a:bodyPr/>
                  <a:lstStyle/>
                  <a:p>
                    <a:r>
                      <a:rPr lang="en-US"/>
                      <a:t>113,6</a:t>
                    </a:r>
                    <a:r>
                      <a:rPr lang="lv-LV"/>
                      <a:t> (100%)</a:t>
                    </a:r>
                    <a:endParaRPr lang="en-US"/>
                  </a:p>
                </c:rich>
              </c:tx>
              <c:showLegendKey val="0"/>
              <c:showVal val="1"/>
              <c:showCatName val="0"/>
              <c:showSerName val="0"/>
              <c:showPercent val="0"/>
              <c:showBubbleSize val="0"/>
            </c:dLbl>
            <c:dLbl>
              <c:idx val="8"/>
              <c:layout>
                <c:manualLayout>
                  <c:x val="4.3881441329130851E-3"/>
                  <c:y val="-1.0313290562953402E-2"/>
                </c:manualLayout>
              </c:layout>
              <c:tx>
                <c:rich>
                  <a:bodyPr/>
                  <a:lstStyle/>
                  <a:p>
                    <a:r>
                      <a:rPr lang="en-US"/>
                      <a:t>133,4</a:t>
                    </a:r>
                    <a:r>
                      <a:rPr lang="lv-LV"/>
                      <a:t> (100%)</a:t>
                    </a:r>
                    <a:endParaRPr lang="en-US"/>
                  </a:p>
                </c:rich>
              </c:tx>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strRef>
              <c:f>Grafiki!$B$42:$B$50</c:f>
              <c:strCache>
                <c:ptCount val="9"/>
                <c:pt idx="0">
                  <c:v>Valsts Kanceleja</c:v>
                </c:pt>
                <c:pt idx="1">
                  <c:v>Kultūras ministrija</c:v>
                </c:pt>
                <c:pt idx="2">
                  <c:v>Finanšu ministrija</c:v>
                </c:pt>
                <c:pt idx="3">
                  <c:v>Veselības ministrija</c:v>
                </c:pt>
                <c:pt idx="4">
                  <c:v>Labklājības ministrija</c:v>
                </c:pt>
                <c:pt idx="5">
                  <c:v>Ekonomikas ministrija</c:v>
                </c:pt>
                <c:pt idx="6">
                  <c:v>Izglītības un zinātnes ministrija</c:v>
                </c:pt>
                <c:pt idx="7">
                  <c:v>Vides aizsardz. un reģ.att. ministrija</c:v>
                </c:pt>
                <c:pt idx="8">
                  <c:v>Satiksmes ministrija</c:v>
                </c:pt>
              </c:strCache>
            </c:strRef>
          </c:cat>
          <c:val>
            <c:numRef>
              <c:f>Grafiki!$C$42:$C$50</c:f>
              <c:numCache>
                <c:formatCode>#,##0</c:formatCode>
                <c:ptCount val="9"/>
                <c:pt idx="0">
                  <c:v>2204322</c:v>
                </c:pt>
                <c:pt idx="1">
                  <c:v>3098464</c:v>
                </c:pt>
                <c:pt idx="2">
                  <c:v>18661527.270000003</c:v>
                </c:pt>
                <c:pt idx="3">
                  <c:v>28755461</c:v>
                </c:pt>
                <c:pt idx="4">
                  <c:v>37005633.552000001</c:v>
                </c:pt>
                <c:pt idx="5">
                  <c:v>74930424.289999992</c:v>
                </c:pt>
                <c:pt idx="6">
                  <c:v>99859972.409999996</c:v>
                </c:pt>
                <c:pt idx="7">
                  <c:v>113609258.4012</c:v>
                </c:pt>
                <c:pt idx="8">
                  <c:v>133383937</c:v>
                </c:pt>
              </c:numCache>
            </c:numRef>
          </c:val>
        </c:ser>
        <c:dLbls>
          <c:showLegendKey val="0"/>
          <c:showVal val="1"/>
          <c:showCatName val="0"/>
          <c:showSerName val="0"/>
          <c:showPercent val="0"/>
          <c:showBubbleSize val="0"/>
        </c:dLbls>
        <c:gapWidth val="150"/>
        <c:shape val="box"/>
        <c:axId val="130333696"/>
        <c:axId val="132416256"/>
        <c:axId val="0"/>
      </c:bar3DChart>
      <c:catAx>
        <c:axId val="130333696"/>
        <c:scaling>
          <c:orientation val="minMax"/>
        </c:scaling>
        <c:delete val="0"/>
        <c:axPos val="l"/>
        <c:majorTickMark val="out"/>
        <c:minorTickMark val="none"/>
        <c:tickLblPos val="nextTo"/>
        <c:crossAx val="132416256"/>
        <c:crosses val="autoZero"/>
        <c:auto val="1"/>
        <c:lblAlgn val="ctr"/>
        <c:lblOffset val="100"/>
        <c:noMultiLvlLbl val="0"/>
      </c:catAx>
      <c:valAx>
        <c:axId val="132416256"/>
        <c:scaling>
          <c:orientation val="minMax"/>
        </c:scaling>
        <c:delete val="0"/>
        <c:axPos val="b"/>
        <c:majorGridlines/>
        <c:numFmt formatCode="#,##0" sourceLinked="1"/>
        <c:majorTickMark val="out"/>
        <c:minorTickMark val="none"/>
        <c:tickLblPos val="nextTo"/>
        <c:crossAx val="130333696"/>
        <c:crosses val="autoZero"/>
        <c:crossBetween val="between"/>
        <c:dispUnits>
          <c:builtInUnit val="millions"/>
        </c:dispUnits>
      </c:valAx>
    </c:plotArea>
    <c:legend>
      <c:legendPos val="b"/>
      <c:layout>
        <c:manualLayout>
          <c:xMode val="edge"/>
          <c:yMode val="edge"/>
          <c:x val="0"/>
          <c:y val="0.92820635687687059"/>
          <c:w val="1"/>
          <c:h val="7.0667966249553613E-2"/>
        </c:manualLayout>
      </c:layout>
      <c:overlay val="1"/>
      <c:txPr>
        <a:bodyPr/>
        <a:lstStyle/>
        <a:p>
          <a:pPr>
            <a:defRPr sz="1150"/>
          </a:pPr>
          <a:endParaRPr lang="lv-LV"/>
        </a:p>
      </c:txPr>
    </c:legend>
    <c:plotVisOnly val="1"/>
    <c:dispBlanksAs val="gap"/>
    <c:showDLblsOverMax val="0"/>
  </c:chart>
  <c:spPr>
    <a:ln>
      <a:noFill/>
    </a:ln>
  </c:spPr>
  <c:txPr>
    <a:bodyPr/>
    <a:lstStyle/>
    <a:p>
      <a:pPr>
        <a:defRPr sz="1200" b="0">
          <a:latin typeface="Times New Roman" pitchFamily="18" charset="0"/>
          <a:cs typeface="Times New Roman" pitchFamily="18" charset="0"/>
        </a:defRPr>
      </a:pPr>
      <a:endParaRPr lang="lv-LV"/>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5560771249747629E-2"/>
          <c:y val="6.7185101598864941E-2"/>
          <c:w val="0.89274599093854112"/>
          <c:h val="0.519516757156258"/>
        </c:manualLayout>
      </c:layout>
      <c:bar3DChart>
        <c:barDir val="col"/>
        <c:grouping val="clustered"/>
        <c:varyColors val="0"/>
        <c:ser>
          <c:idx val="1"/>
          <c:order val="0"/>
          <c:tx>
            <c:strRef>
              <c:f>'uz 24.10.2011.'!$D$34</c:f>
              <c:strCache>
                <c:ptCount val="1"/>
                <c:pt idx="0">
                  <c:v>ES fondu budžets saskaņā ar MK 01.11.2011. sēdē nolemto</c:v>
                </c:pt>
              </c:strCache>
            </c:strRef>
          </c:tx>
          <c:invertIfNegative val="0"/>
          <c:dLbls>
            <c:dLbl>
              <c:idx val="0"/>
              <c:layout>
                <c:manualLayout>
                  <c:x val="3.9043435822352186E-3"/>
                  <c:y val="-1.9253910950661854E-2"/>
                </c:manualLayout>
              </c:layout>
              <c:showLegendKey val="0"/>
              <c:showVal val="1"/>
              <c:showCatName val="0"/>
              <c:showSerName val="0"/>
              <c:showPercent val="0"/>
              <c:showBubbleSize val="0"/>
            </c:dLbl>
            <c:dLbl>
              <c:idx val="1"/>
              <c:layout>
                <c:manualLayout>
                  <c:x val="-7.8086871644704736E-3"/>
                  <c:y val="0"/>
                </c:manualLayout>
              </c:layout>
              <c:showLegendKey val="0"/>
              <c:showVal val="1"/>
              <c:showCatName val="0"/>
              <c:showSerName val="0"/>
              <c:showPercent val="0"/>
              <c:showBubbleSize val="0"/>
            </c:dLbl>
            <c:dLbl>
              <c:idx val="5"/>
              <c:layout>
                <c:manualLayout>
                  <c:x val="0"/>
                  <c:y val="-1.444043321299639E-2"/>
                </c:manualLayout>
              </c:layout>
              <c:showLegendKey val="0"/>
              <c:showVal val="1"/>
              <c:showCatName val="0"/>
              <c:showSerName val="0"/>
              <c:showPercent val="0"/>
              <c:showBubbleSize val="0"/>
            </c:dLbl>
            <c:dLbl>
              <c:idx val="6"/>
              <c:layout>
                <c:manualLayout>
                  <c:x val="-5.8565153733528552E-3"/>
                  <c:y val="4.8134777376654635E-3"/>
                </c:manualLayout>
              </c:layout>
              <c:showLegendKey val="0"/>
              <c:showVal val="1"/>
              <c:showCatName val="0"/>
              <c:showSerName val="0"/>
              <c:showPercent val="0"/>
              <c:showBubbleSize val="0"/>
            </c:dLbl>
            <c:numFmt formatCode="#,##0.0" sourceLinked="0"/>
            <c:txPr>
              <a:bodyPr/>
              <a:lstStyle/>
              <a:p>
                <a:pPr>
                  <a:defRPr b="0">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dLbls>
          <c:cat>
            <c:strRef>
              <c:f>'uz 24.10.2011.'!$A$35:$A$43</c:f>
              <c:strCache>
                <c:ptCount val="9"/>
                <c:pt idx="0">
                  <c:v>SM</c:v>
                </c:pt>
                <c:pt idx="1">
                  <c:v>VARAM</c:v>
                </c:pt>
                <c:pt idx="2">
                  <c:v>IZM</c:v>
                </c:pt>
                <c:pt idx="3">
                  <c:v>EM</c:v>
                </c:pt>
                <c:pt idx="4">
                  <c:v>VM</c:v>
                </c:pt>
                <c:pt idx="5">
                  <c:v>LM</c:v>
                </c:pt>
                <c:pt idx="6">
                  <c:v>FM</c:v>
                </c:pt>
                <c:pt idx="7">
                  <c:v>KM</c:v>
                </c:pt>
                <c:pt idx="8">
                  <c:v>VKANC</c:v>
                </c:pt>
              </c:strCache>
            </c:strRef>
          </c:cat>
          <c:val>
            <c:numRef>
              <c:f>'uz 24.10.2011.'!$D$35:$D$43</c:f>
              <c:numCache>
                <c:formatCode>#,##0</c:formatCode>
                <c:ptCount val="9"/>
                <c:pt idx="0">
                  <c:v>188145240</c:v>
                </c:pt>
                <c:pt idx="1">
                  <c:v>107480204</c:v>
                </c:pt>
                <c:pt idx="2">
                  <c:v>93160705</c:v>
                </c:pt>
                <c:pt idx="3">
                  <c:v>67532806</c:v>
                </c:pt>
                <c:pt idx="4">
                  <c:v>33956252</c:v>
                </c:pt>
                <c:pt idx="5">
                  <c:v>17071922</c:v>
                </c:pt>
                <c:pt idx="6">
                  <c:v>764196</c:v>
                </c:pt>
                <c:pt idx="7">
                  <c:v>5956443</c:v>
                </c:pt>
                <c:pt idx="8">
                  <c:v>1717241</c:v>
                </c:pt>
              </c:numCache>
            </c:numRef>
          </c:val>
        </c:ser>
        <c:ser>
          <c:idx val="0"/>
          <c:order val="1"/>
          <c:tx>
            <c:strRef>
              <c:f>'uz 24.10.2011.'!$C$34</c:f>
              <c:strCache>
                <c:ptCount val="1"/>
                <c:pt idx="0">
                  <c:v>Ministriju prognozes par nepieciešamo 2012.gada budžetu, uz 30.09.2011.</c:v>
                </c:pt>
              </c:strCache>
            </c:strRef>
          </c:tx>
          <c:invertIfNegative val="0"/>
          <c:dLbls>
            <c:dLbl>
              <c:idx val="0"/>
              <c:layout>
                <c:manualLayout>
                  <c:x val="3.5139092240117131E-2"/>
                  <c:y val="-9.4518510095985293E-3"/>
                </c:manualLayout>
              </c:layout>
              <c:showLegendKey val="0"/>
              <c:showVal val="1"/>
              <c:showCatName val="0"/>
              <c:showSerName val="0"/>
              <c:showPercent val="0"/>
              <c:showBubbleSize val="0"/>
            </c:dLbl>
            <c:dLbl>
              <c:idx val="1"/>
              <c:layout>
                <c:manualLayout>
                  <c:x val="1.3665202537823329E-2"/>
                  <c:y val="-6.0606060606060606E-3"/>
                </c:manualLayout>
              </c:layout>
              <c:showLegendKey val="0"/>
              <c:showVal val="1"/>
              <c:showCatName val="0"/>
              <c:showSerName val="0"/>
              <c:showPercent val="0"/>
              <c:showBubbleSize val="0"/>
            </c:dLbl>
            <c:dLbl>
              <c:idx val="2"/>
              <c:layout>
                <c:manualLayout>
                  <c:x val="1.7569546120058566E-2"/>
                  <c:y val="-1.2121246577029857E-2"/>
                </c:manualLayout>
              </c:layout>
              <c:showLegendKey val="0"/>
              <c:showVal val="1"/>
              <c:showCatName val="0"/>
              <c:showSerName val="0"/>
              <c:showPercent val="0"/>
              <c:showBubbleSize val="0"/>
            </c:dLbl>
            <c:dLbl>
              <c:idx val="3"/>
              <c:layout>
                <c:manualLayout>
                  <c:x val="1.3665202537823329E-2"/>
                  <c:y val="0"/>
                </c:manualLayout>
              </c:layout>
              <c:showLegendKey val="0"/>
              <c:showVal val="1"/>
              <c:showCatName val="0"/>
              <c:showSerName val="0"/>
              <c:showPercent val="0"/>
              <c:showBubbleSize val="0"/>
            </c:dLbl>
            <c:dLbl>
              <c:idx val="4"/>
              <c:layout>
                <c:manualLayout>
                  <c:x val="9.760858955588092E-3"/>
                  <c:y val="-2.4242424242424242E-2"/>
                </c:manualLayout>
              </c:layout>
              <c:showLegendKey val="0"/>
              <c:showVal val="1"/>
              <c:showCatName val="0"/>
              <c:showSerName val="0"/>
              <c:showPercent val="0"/>
              <c:showBubbleSize val="0"/>
            </c:dLbl>
            <c:dLbl>
              <c:idx val="5"/>
              <c:layout>
                <c:manualLayout>
                  <c:x val="1.1713030746705782E-2"/>
                  <c:y val="1.2121212121212121E-2"/>
                </c:manualLayout>
              </c:layout>
              <c:tx>
                <c:rich>
                  <a:bodyPr/>
                  <a:lstStyle/>
                  <a:p>
                    <a:r>
                      <a:rPr lang="en-US" b="0">
                        <a:latin typeface="Times New Roman" pitchFamily="18" charset="0"/>
                        <a:cs typeface="Times New Roman" pitchFamily="18" charset="0"/>
                      </a:rPr>
                      <a:t>14,2</a:t>
                    </a:r>
                    <a:endParaRPr lang="en-US"/>
                  </a:p>
                </c:rich>
              </c:tx>
              <c:showLegendKey val="0"/>
              <c:showVal val="1"/>
              <c:showCatName val="0"/>
              <c:showSerName val="0"/>
              <c:showPercent val="0"/>
              <c:showBubbleSize val="0"/>
            </c:dLbl>
            <c:dLbl>
              <c:idx val="7"/>
              <c:layout>
                <c:manualLayout>
                  <c:x val="1.9521717911176184E-2"/>
                  <c:y val="0"/>
                </c:manualLayout>
              </c:layout>
              <c:showLegendKey val="0"/>
              <c:showVal val="1"/>
              <c:showCatName val="0"/>
              <c:showSerName val="0"/>
              <c:showPercent val="0"/>
              <c:showBubbleSize val="0"/>
            </c:dLbl>
            <c:dLbl>
              <c:idx val="8"/>
              <c:layout>
                <c:manualLayout>
                  <c:x val="2.5378233284529039E-2"/>
                  <c:y val="-4.8134777376654635E-3"/>
                </c:manualLayout>
              </c:layout>
              <c:showLegendKey val="0"/>
              <c:showVal val="1"/>
              <c:showCatName val="0"/>
              <c:showSerName val="0"/>
              <c:showPercent val="0"/>
              <c:showBubbleSize val="0"/>
            </c:dLbl>
            <c:numFmt formatCode="#,##0.0" sourceLinked="0"/>
            <c:txPr>
              <a:bodyPr/>
              <a:lstStyle/>
              <a:p>
                <a:pPr>
                  <a:defRPr b="0">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dLbls>
          <c:cat>
            <c:strRef>
              <c:f>'uz 24.10.2011.'!$A$35:$A$43</c:f>
              <c:strCache>
                <c:ptCount val="9"/>
                <c:pt idx="0">
                  <c:v>SM</c:v>
                </c:pt>
                <c:pt idx="1">
                  <c:v>VARAM</c:v>
                </c:pt>
                <c:pt idx="2">
                  <c:v>IZM</c:v>
                </c:pt>
                <c:pt idx="3">
                  <c:v>EM</c:v>
                </c:pt>
                <c:pt idx="4">
                  <c:v>VM</c:v>
                </c:pt>
                <c:pt idx="5">
                  <c:v>LM</c:v>
                </c:pt>
                <c:pt idx="6">
                  <c:v>FM</c:v>
                </c:pt>
                <c:pt idx="7">
                  <c:v>KM</c:v>
                </c:pt>
                <c:pt idx="8">
                  <c:v>VKANC</c:v>
                </c:pt>
              </c:strCache>
            </c:strRef>
          </c:cat>
          <c:val>
            <c:numRef>
              <c:f>'uz 24.10.2011.'!$C$35:$C$43</c:f>
              <c:numCache>
                <c:formatCode>#,##0</c:formatCode>
                <c:ptCount val="9"/>
                <c:pt idx="0">
                  <c:v>195314603</c:v>
                </c:pt>
                <c:pt idx="1">
                  <c:v>144546724.41000003</c:v>
                </c:pt>
                <c:pt idx="2">
                  <c:v>111209220</c:v>
                </c:pt>
                <c:pt idx="3">
                  <c:v>86796039.415124997</c:v>
                </c:pt>
                <c:pt idx="4">
                  <c:v>32024986.419999998</c:v>
                </c:pt>
                <c:pt idx="5">
                  <c:v>14156365.100000001</c:v>
                </c:pt>
                <c:pt idx="6">
                  <c:v>12684279.560000001</c:v>
                </c:pt>
                <c:pt idx="7">
                  <c:v>7907449</c:v>
                </c:pt>
                <c:pt idx="8">
                  <c:v>3349863.1999999997</c:v>
                </c:pt>
              </c:numCache>
            </c:numRef>
          </c:val>
        </c:ser>
        <c:dLbls>
          <c:showLegendKey val="0"/>
          <c:showVal val="0"/>
          <c:showCatName val="0"/>
          <c:showSerName val="0"/>
          <c:showPercent val="0"/>
          <c:showBubbleSize val="0"/>
        </c:dLbls>
        <c:gapWidth val="150"/>
        <c:shape val="box"/>
        <c:axId val="147408768"/>
        <c:axId val="149114880"/>
        <c:axId val="0"/>
      </c:bar3DChart>
      <c:catAx>
        <c:axId val="147408768"/>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lv-LV"/>
          </a:p>
        </c:txPr>
        <c:crossAx val="149114880"/>
        <c:crosses val="autoZero"/>
        <c:auto val="1"/>
        <c:lblAlgn val="ctr"/>
        <c:lblOffset val="100"/>
        <c:noMultiLvlLbl val="0"/>
      </c:catAx>
      <c:valAx>
        <c:axId val="149114880"/>
        <c:scaling>
          <c:orientation val="minMax"/>
        </c:scaling>
        <c:delete val="0"/>
        <c:axPos val="l"/>
        <c:majorGridlines/>
        <c:numFmt formatCode="#,##0" sourceLinked="1"/>
        <c:majorTickMark val="out"/>
        <c:minorTickMark val="none"/>
        <c:tickLblPos val="nextTo"/>
        <c:crossAx val="147408768"/>
        <c:crosses val="autoZero"/>
        <c:crossBetween val="between"/>
        <c:dispUnits>
          <c:builtInUnit val="millions"/>
        </c:dispUnits>
      </c:valAx>
      <c:spPr>
        <a:noFill/>
        <a:ln w="25400">
          <a:noFill/>
        </a:ln>
      </c:spPr>
    </c:plotArea>
    <c:legend>
      <c:legendPos val="b"/>
      <c:layout>
        <c:manualLayout>
          <c:xMode val="edge"/>
          <c:yMode val="edge"/>
          <c:x val="9.6680308812057345E-2"/>
          <c:y val="0.8138829036262164"/>
          <c:w val="0.83982614911057052"/>
          <c:h val="0.15723622994779082"/>
        </c:manualLayout>
      </c:layout>
      <c:overlay val="0"/>
      <c:txPr>
        <a:bodyPr/>
        <a:lstStyle/>
        <a:p>
          <a:pPr>
            <a:defRPr>
              <a:latin typeface="Times New Roman" pitchFamily="18" charset="0"/>
              <a:cs typeface="Times New Roman" pitchFamily="18" charset="0"/>
            </a:defRPr>
          </a:pPr>
          <a:endParaRPr lang="lv-LV"/>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9.7752405949256355E-2"/>
          <c:y val="5.1400554097404488E-2"/>
          <c:w val="0.61127515310586178"/>
          <c:h val="0.8326195683872849"/>
        </c:manualLayout>
      </c:layout>
      <c:bar3DChart>
        <c:barDir val="col"/>
        <c:grouping val="stacked"/>
        <c:varyColors val="0"/>
        <c:ser>
          <c:idx val="0"/>
          <c:order val="0"/>
          <c:tx>
            <c:strRef>
              <c:f>grafikam!$A$2</c:f>
              <c:strCache>
                <c:ptCount val="1"/>
                <c:pt idx="0">
                  <c:v>"Nedzēsto" avansu summa gada beigās</c:v>
                </c:pt>
              </c:strCache>
            </c:strRef>
          </c:tx>
          <c:invertIfNegative val="0"/>
          <c:dLbls>
            <c:numFmt formatCode="#,##0.0" sourceLinked="0"/>
            <c:showLegendKey val="0"/>
            <c:showVal val="1"/>
            <c:showCatName val="0"/>
            <c:showSerName val="0"/>
            <c:showPercent val="0"/>
            <c:showBubbleSize val="0"/>
            <c:showLeaderLines val="0"/>
          </c:dLbls>
          <c:cat>
            <c:numRef>
              <c:f>grafikam!$B$1:$E$1</c:f>
              <c:numCache>
                <c:formatCode>General</c:formatCode>
                <c:ptCount val="4"/>
                <c:pt idx="0">
                  <c:v>2011</c:v>
                </c:pt>
                <c:pt idx="1">
                  <c:v>2012</c:v>
                </c:pt>
                <c:pt idx="2">
                  <c:v>2013</c:v>
                </c:pt>
                <c:pt idx="3">
                  <c:v>2014</c:v>
                </c:pt>
              </c:numCache>
            </c:numRef>
          </c:cat>
          <c:val>
            <c:numRef>
              <c:f>grafikam!$B$2:$E$2</c:f>
              <c:numCache>
                <c:formatCode>#,##0</c:formatCode>
                <c:ptCount val="4"/>
                <c:pt idx="0">
                  <c:v>340198176.53200001</c:v>
                </c:pt>
                <c:pt idx="1">
                  <c:v>224891414.04400003</c:v>
                </c:pt>
                <c:pt idx="2">
                  <c:v>89849782.148999989</c:v>
                </c:pt>
                <c:pt idx="3">
                  <c:v>49056096.171999991</c:v>
                </c:pt>
              </c:numCache>
            </c:numRef>
          </c:val>
        </c:ser>
        <c:ser>
          <c:idx val="1"/>
          <c:order val="1"/>
          <c:tx>
            <c:strRef>
              <c:f>grafikam!$A$3</c:f>
              <c:strCache>
                <c:ptCount val="1"/>
                <c:pt idx="0">
                  <c:v>Izmaksāto avansa prognozētais izlietojums kārtējā gadā</c:v>
                </c:pt>
              </c:strCache>
            </c:strRef>
          </c:tx>
          <c:invertIfNegative val="0"/>
          <c:dLbls>
            <c:numFmt formatCode="#,##0.0" sourceLinked="0"/>
            <c:showLegendKey val="0"/>
            <c:showVal val="1"/>
            <c:showCatName val="0"/>
            <c:showSerName val="0"/>
            <c:showPercent val="0"/>
            <c:showBubbleSize val="0"/>
            <c:showLeaderLines val="0"/>
          </c:dLbls>
          <c:cat>
            <c:numRef>
              <c:f>grafikam!$B$1:$E$1</c:f>
              <c:numCache>
                <c:formatCode>General</c:formatCode>
                <c:ptCount val="4"/>
                <c:pt idx="0">
                  <c:v>2011</c:v>
                </c:pt>
                <c:pt idx="1">
                  <c:v>2012</c:v>
                </c:pt>
                <c:pt idx="2">
                  <c:v>2013</c:v>
                </c:pt>
                <c:pt idx="3">
                  <c:v>2014</c:v>
                </c:pt>
              </c:numCache>
            </c:numRef>
          </c:cat>
          <c:val>
            <c:numRef>
              <c:f>grafikam!$B$3:$E$3</c:f>
              <c:numCache>
                <c:formatCode>#,##0</c:formatCode>
                <c:ptCount val="4"/>
                <c:pt idx="0">
                  <c:v>80868993.060000002</c:v>
                </c:pt>
                <c:pt idx="1">
                  <c:v>157184028.91799998</c:v>
                </c:pt>
                <c:pt idx="2">
                  <c:v>95806189.694999993</c:v>
                </c:pt>
                <c:pt idx="3">
                  <c:v>42643336.604999989</c:v>
                </c:pt>
              </c:numCache>
            </c:numRef>
          </c:val>
        </c:ser>
        <c:dLbls>
          <c:showLegendKey val="0"/>
          <c:showVal val="0"/>
          <c:showCatName val="0"/>
          <c:showSerName val="0"/>
          <c:showPercent val="0"/>
          <c:showBubbleSize val="0"/>
        </c:dLbls>
        <c:gapWidth val="150"/>
        <c:shape val="box"/>
        <c:axId val="69283840"/>
        <c:axId val="69285376"/>
        <c:axId val="0"/>
      </c:bar3DChart>
      <c:catAx>
        <c:axId val="69283840"/>
        <c:scaling>
          <c:orientation val="minMax"/>
        </c:scaling>
        <c:delete val="0"/>
        <c:axPos val="b"/>
        <c:numFmt formatCode="General" sourceLinked="1"/>
        <c:majorTickMark val="out"/>
        <c:minorTickMark val="none"/>
        <c:tickLblPos val="nextTo"/>
        <c:crossAx val="69285376"/>
        <c:crosses val="autoZero"/>
        <c:auto val="1"/>
        <c:lblAlgn val="ctr"/>
        <c:lblOffset val="100"/>
        <c:noMultiLvlLbl val="0"/>
      </c:catAx>
      <c:valAx>
        <c:axId val="69285376"/>
        <c:scaling>
          <c:orientation val="minMax"/>
        </c:scaling>
        <c:delete val="0"/>
        <c:axPos val="l"/>
        <c:majorGridlines/>
        <c:numFmt formatCode="#,##0" sourceLinked="1"/>
        <c:majorTickMark val="out"/>
        <c:minorTickMark val="none"/>
        <c:tickLblPos val="nextTo"/>
        <c:crossAx val="69283840"/>
        <c:crosses val="autoZero"/>
        <c:crossBetween val="between"/>
        <c:dispUnits>
          <c:builtInUnit val="millions"/>
        </c:dispUnits>
      </c:valAx>
    </c:plotArea>
    <c:legend>
      <c:legendPos val="r"/>
      <c:layout>
        <c:manualLayout>
          <c:xMode val="edge"/>
          <c:yMode val="edge"/>
          <c:x val="0.71180533683289582"/>
          <c:y val="0.11921879556722076"/>
          <c:w val="0.27152799650043746"/>
          <c:h val="0.78008092738407697"/>
        </c:manualLayout>
      </c:layout>
      <c:overlay val="0"/>
      <c:txPr>
        <a:bodyPr/>
        <a:lstStyle/>
        <a:p>
          <a:pPr>
            <a:defRPr sz="1100"/>
          </a:pPr>
          <a:endParaRPr lang="lv-LV"/>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3516714056576261"/>
          <c:y val="0"/>
          <c:w val="0.45508785360163312"/>
          <c:h val="0.78716704467240772"/>
        </c:manualLayout>
      </c:layout>
      <c:barChart>
        <c:barDir val="bar"/>
        <c:grouping val="clustered"/>
        <c:varyColors val="0"/>
        <c:ser>
          <c:idx val="3"/>
          <c:order val="0"/>
          <c:tx>
            <c:strRef>
              <c:f>'1DP'!$J$4</c:f>
              <c:strCache>
                <c:ptCount val="1"/>
                <c:pt idx="0">
                  <c:v>Izmaksāts finansējuma saņēmējam</c:v>
                </c:pt>
              </c:strCache>
            </c:strRef>
          </c:tx>
          <c:invertIfNegative val="0"/>
          <c:dLbls>
            <c:dLbl>
              <c:idx val="0"/>
              <c:tx>
                <c:rich>
                  <a:bodyPr/>
                  <a:lstStyle/>
                  <a:p>
                    <a:r>
                      <a:rPr lang="en-US" sz="1000"/>
                      <a:t>5,4</a:t>
                    </a:r>
                    <a:r>
                      <a:rPr lang="lv-LV" sz="1000"/>
                      <a:t> (42,3%);5,2%</a:t>
                    </a:r>
                    <a:endParaRPr lang="en-US"/>
                  </a:p>
                </c:rich>
              </c:tx>
              <c:showLegendKey val="0"/>
              <c:showVal val="1"/>
              <c:showCatName val="0"/>
              <c:showSerName val="0"/>
              <c:showPercent val="0"/>
              <c:showBubbleSize val="0"/>
            </c:dLbl>
            <c:dLbl>
              <c:idx val="1"/>
              <c:tx>
                <c:rich>
                  <a:bodyPr/>
                  <a:lstStyle/>
                  <a:p>
                    <a:r>
                      <a:rPr lang="en-US" sz="1000"/>
                      <a:t>6,6</a:t>
                    </a:r>
                    <a:r>
                      <a:rPr lang="lv-LV" sz="1000"/>
                      <a:t> (33,2%);5,6%</a:t>
                    </a:r>
                    <a:endParaRPr lang="en-US"/>
                  </a:p>
                </c:rich>
              </c:tx>
              <c:showLegendKey val="0"/>
              <c:showVal val="1"/>
              <c:showCatName val="0"/>
              <c:showSerName val="0"/>
              <c:showPercent val="0"/>
              <c:showBubbleSize val="0"/>
            </c:dLbl>
            <c:dLbl>
              <c:idx val="2"/>
              <c:tx>
                <c:rich>
                  <a:bodyPr/>
                  <a:lstStyle/>
                  <a:p>
                    <a:r>
                      <a:rPr lang="en-US" sz="1000"/>
                      <a:t>15,1</a:t>
                    </a:r>
                    <a:r>
                      <a:rPr lang="lv-LV" sz="1000"/>
                      <a:t> (41,7%);10,9%</a:t>
                    </a:r>
                    <a:endParaRPr lang="en-US"/>
                  </a:p>
                </c:rich>
              </c:tx>
              <c:showLegendKey val="0"/>
              <c:showVal val="1"/>
              <c:showCatName val="0"/>
              <c:showSerName val="0"/>
              <c:showPercent val="0"/>
              <c:showBubbleSize val="0"/>
            </c:dLbl>
            <c:dLbl>
              <c:idx val="3"/>
              <c:tx>
                <c:rich>
                  <a:bodyPr/>
                  <a:lstStyle/>
                  <a:p>
                    <a:r>
                      <a:rPr lang="en-US" sz="1000"/>
                      <a:t>124,5</a:t>
                    </a:r>
                    <a:r>
                      <a:rPr lang="lv-LV" sz="1000"/>
                      <a:t> (75,4%);4,7%</a:t>
                    </a:r>
                    <a:endParaRPr lang="en-US"/>
                  </a:p>
                </c:rich>
              </c:tx>
              <c:showLegendKey val="0"/>
              <c:showVal val="1"/>
              <c:showCatName val="0"/>
              <c:showSerName val="0"/>
              <c:showPercent val="0"/>
              <c:showBubbleSize val="0"/>
            </c:dLbl>
            <c:dLbl>
              <c:idx val="4"/>
              <c:tx>
                <c:rich>
                  <a:bodyPr/>
                  <a:lstStyle/>
                  <a:p>
                    <a:r>
                      <a:rPr lang="en-US" sz="1000"/>
                      <a:t>44,4</a:t>
                    </a:r>
                    <a:r>
                      <a:rPr lang="lv-LV" sz="1000"/>
                      <a:t> (43,2%)5,6%</a:t>
                    </a:r>
                    <a:endParaRPr lang="en-US"/>
                  </a:p>
                </c:rich>
              </c:tx>
              <c:showLegendKey val="0"/>
              <c:showVal val="1"/>
              <c:showCatName val="0"/>
              <c:showSerName val="0"/>
              <c:showPercent val="0"/>
              <c:showBubbleSize val="0"/>
            </c:dLbl>
            <c:dLbl>
              <c:idx val="5"/>
              <c:tx>
                <c:rich>
                  <a:bodyPr/>
                  <a:lstStyle/>
                  <a:p>
                    <a:r>
                      <a:rPr lang="en-US" sz="1000"/>
                      <a:t>52,6</a:t>
                    </a:r>
                    <a:r>
                      <a:rPr lang="lv-LV" sz="1000"/>
                      <a:t> (57,6%);6,8%</a:t>
                    </a:r>
                    <a:endParaRPr lang="en-US"/>
                  </a:p>
                </c:rich>
              </c:tx>
              <c:showLegendKey val="0"/>
              <c:showVal val="1"/>
              <c:showCatName val="0"/>
              <c:showSerName val="0"/>
              <c:showPercent val="0"/>
              <c:showBubbleSize val="0"/>
            </c:dLbl>
            <c:dLbl>
              <c:idx val="6"/>
              <c:tx>
                <c:rich>
                  <a:bodyPr/>
                  <a:lstStyle/>
                  <a:p>
                    <a:r>
                      <a:rPr lang="en-US" sz="1000"/>
                      <a:t>248,7</a:t>
                    </a:r>
                    <a:r>
                      <a:rPr lang="lv-LV" sz="1000"/>
                      <a:t> (58,1%);6,4%</a:t>
                    </a:r>
                    <a:endParaRPr lang="en-US"/>
                  </a:p>
                </c:rich>
              </c:tx>
              <c:showLegendKey val="0"/>
              <c:showVal val="1"/>
              <c:showCatName val="0"/>
              <c:showSerName val="0"/>
              <c:showPercent val="0"/>
              <c:showBubbleSize val="0"/>
            </c:dLbl>
            <c:numFmt formatCode="#,##0.0" sourceLinked="0"/>
            <c:txPr>
              <a:bodyPr/>
              <a:lstStyle/>
              <a:p>
                <a:pPr>
                  <a:defRPr sz="1000"/>
                </a:pPr>
                <a:endParaRPr lang="lv-LV"/>
              </a:p>
            </c:txPr>
            <c:showLegendKey val="0"/>
            <c:showVal val="1"/>
            <c:showCatName val="0"/>
            <c:showSerName val="0"/>
            <c:showPercent val="0"/>
            <c:showBubbleSize val="0"/>
            <c:showLeaderLines val="0"/>
          </c:dLbls>
          <c:cat>
            <c:strRef>
              <c:f>'1DP'!$B$5:$B$11</c:f>
              <c:strCache>
                <c:ptCount val="7"/>
                <c:pt idx="0">
                  <c:v>Tehniskā palīdzība</c:v>
                </c:pt>
                <c:pt idx="1">
                  <c:v>Administratīvās kapacitātes stiprināšana</c:v>
                </c:pt>
                <c:pt idx="2">
                  <c:v>Sociālās iekļaušanas veicināšana</c:v>
                </c:pt>
                <c:pt idx="3">
                  <c:v>Nodarbinātības veicināšana un veselība darbā*</c:v>
                </c:pt>
                <c:pt idx="4">
                  <c:v>Izglītība un prasmes</c:v>
                </c:pt>
                <c:pt idx="5">
                  <c:v>Augstākā izglītība un zinātne</c:v>
                </c:pt>
                <c:pt idx="6">
                  <c:v>DP "Cilvēkresursi un nodarbinātība" kopā</c:v>
                </c:pt>
              </c:strCache>
            </c:strRef>
          </c:cat>
          <c:val>
            <c:numRef>
              <c:f>'1DP'!$J$5:$J$11</c:f>
              <c:numCache>
                <c:formatCode>_-* #,##0.0_-;\-* #,##0.0_-;_-* "-"??_-;_-@_-</c:formatCode>
                <c:ptCount val="7"/>
                <c:pt idx="0">
                  <c:v>5429757.9000000004</c:v>
                </c:pt>
                <c:pt idx="1">
                  <c:v>6591893.0700000003</c:v>
                </c:pt>
                <c:pt idx="2">
                  <c:v>15114288.810000001</c:v>
                </c:pt>
                <c:pt idx="3">
                  <c:v>124475537.14</c:v>
                </c:pt>
                <c:pt idx="4">
                  <c:v>44438766.700000003</c:v>
                </c:pt>
                <c:pt idx="5">
                  <c:v>52642614.960000001</c:v>
                </c:pt>
                <c:pt idx="6">
                  <c:v>248692858.58000001</c:v>
                </c:pt>
              </c:numCache>
            </c:numRef>
          </c:val>
        </c:ser>
        <c:ser>
          <c:idx val="2"/>
          <c:order val="1"/>
          <c:tx>
            <c:strRef>
              <c:f>'1DP'!$G$4</c:f>
              <c:strCache>
                <c:ptCount val="1"/>
                <c:pt idx="0">
                  <c:v>Noslēgti līgumi</c:v>
                </c:pt>
              </c:strCache>
            </c:strRef>
          </c:tx>
          <c:invertIfNegative val="0"/>
          <c:dLbls>
            <c:dLbl>
              <c:idx val="0"/>
              <c:tx>
                <c:rich>
                  <a:bodyPr/>
                  <a:lstStyle/>
                  <a:p>
                    <a:r>
                      <a:rPr lang="en-US" sz="1050"/>
                      <a:t>7,3</a:t>
                    </a:r>
                    <a:r>
                      <a:rPr lang="lv-LV" sz="1050"/>
                      <a:t> (57,0%);-1,4%</a:t>
                    </a:r>
                    <a:endParaRPr lang="en-US"/>
                  </a:p>
                </c:rich>
              </c:tx>
              <c:showLegendKey val="0"/>
              <c:showVal val="1"/>
              <c:showCatName val="0"/>
              <c:showSerName val="0"/>
              <c:showPercent val="0"/>
              <c:showBubbleSize val="0"/>
            </c:dLbl>
            <c:dLbl>
              <c:idx val="1"/>
              <c:tx>
                <c:rich>
                  <a:bodyPr/>
                  <a:lstStyle/>
                  <a:p>
                    <a:r>
                      <a:rPr lang="en-US" sz="1050"/>
                      <a:t>17,3</a:t>
                    </a:r>
                    <a:r>
                      <a:rPr lang="lv-LV" sz="1050"/>
                      <a:t> (87,1%);2,1%</a:t>
                    </a:r>
                    <a:endParaRPr lang="en-US"/>
                  </a:p>
                </c:rich>
              </c:tx>
              <c:showLegendKey val="0"/>
              <c:showVal val="1"/>
              <c:showCatName val="0"/>
              <c:showSerName val="0"/>
              <c:showPercent val="0"/>
              <c:showBubbleSize val="0"/>
            </c:dLbl>
            <c:dLbl>
              <c:idx val="2"/>
              <c:tx>
                <c:rich>
                  <a:bodyPr/>
                  <a:lstStyle/>
                  <a:p>
                    <a:r>
                      <a:rPr lang="en-US" sz="1050"/>
                      <a:t>28,9</a:t>
                    </a:r>
                    <a:r>
                      <a:rPr lang="lv-LV" sz="1050"/>
                      <a:t> (79,8%);5,4%</a:t>
                    </a:r>
                    <a:endParaRPr lang="en-US"/>
                  </a:p>
                </c:rich>
              </c:tx>
              <c:showLegendKey val="0"/>
              <c:showVal val="1"/>
              <c:showCatName val="0"/>
              <c:showSerName val="0"/>
              <c:showPercent val="0"/>
              <c:showBubbleSize val="0"/>
            </c:dLbl>
            <c:dLbl>
              <c:idx val="3"/>
              <c:tx>
                <c:rich>
                  <a:bodyPr/>
                  <a:lstStyle/>
                  <a:p>
                    <a:r>
                      <a:rPr lang="en-US" sz="1050"/>
                      <a:t>164,6</a:t>
                    </a:r>
                    <a:r>
                      <a:rPr lang="lv-LV" sz="1050"/>
                      <a:t> (99,7%);-3,2%</a:t>
                    </a:r>
                    <a:endParaRPr lang="en-US"/>
                  </a:p>
                </c:rich>
              </c:tx>
              <c:showLegendKey val="0"/>
              <c:showVal val="1"/>
              <c:showCatName val="0"/>
              <c:showSerName val="0"/>
              <c:showPercent val="0"/>
              <c:showBubbleSize val="0"/>
            </c:dLbl>
            <c:dLbl>
              <c:idx val="4"/>
              <c:tx>
                <c:rich>
                  <a:bodyPr/>
                  <a:lstStyle/>
                  <a:p>
                    <a:r>
                      <a:rPr lang="en-US" sz="1050"/>
                      <a:t>98,3</a:t>
                    </a:r>
                    <a:r>
                      <a:rPr lang="lv-LV" sz="1050"/>
                      <a:t> (95,7%);-0,1%</a:t>
                    </a:r>
                    <a:endParaRPr lang="en-US"/>
                  </a:p>
                </c:rich>
              </c:tx>
              <c:showLegendKey val="0"/>
              <c:showVal val="1"/>
              <c:showCatName val="0"/>
              <c:showSerName val="0"/>
              <c:showPercent val="0"/>
              <c:showBubbleSize val="0"/>
            </c:dLbl>
            <c:dLbl>
              <c:idx val="5"/>
              <c:tx>
                <c:rich>
                  <a:bodyPr/>
                  <a:lstStyle/>
                  <a:p>
                    <a:r>
                      <a:rPr lang="en-US" sz="1050"/>
                      <a:t>83,4</a:t>
                    </a:r>
                    <a:r>
                      <a:rPr lang="lv-LV" sz="1050"/>
                      <a:t> (91,3%);2,2%</a:t>
                    </a:r>
                    <a:endParaRPr lang="en-US"/>
                  </a:p>
                </c:rich>
              </c:tx>
              <c:showLegendKey val="0"/>
              <c:showVal val="1"/>
              <c:showCatName val="0"/>
              <c:showSerName val="0"/>
              <c:showPercent val="0"/>
              <c:showBubbleSize val="0"/>
            </c:dLbl>
            <c:dLbl>
              <c:idx val="6"/>
              <c:layout>
                <c:manualLayout>
                  <c:x val="-0.21636615811373092"/>
                  <c:y val="0"/>
                </c:manualLayout>
              </c:layout>
              <c:tx>
                <c:rich>
                  <a:bodyPr/>
                  <a:lstStyle/>
                  <a:p>
                    <a:r>
                      <a:rPr lang="en-US" sz="1050"/>
                      <a:t>399,9</a:t>
                    </a:r>
                    <a:r>
                      <a:rPr lang="lv-LV" sz="1050"/>
                      <a:t> (93,4%);0%</a:t>
                    </a:r>
                    <a:endParaRPr lang="en-US"/>
                  </a:p>
                </c:rich>
              </c:tx>
              <c:showLegendKey val="0"/>
              <c:showVal val="1"/>
              <c:showCatName val="0"/>
              <c:showSerName val="0"/>
              <c:showPercent val="0"/>
              <c:showBubbleSize val="0"/>
            </c:dLbl>
            <c:numFmt formatCode="#,##0.0" sourceLinked="0"/>
            <c:txPr>
              <a:bodyPr/>
              <a:lstStyle/>
              <a:p>
                <a:pPr>
                  <a:defRPr sz="1050"/>
                </a:pPr>
                <a:endParaRPr lang="lv-LV"/>
              </a:p>
            </c:txPr>
            <c:showLegendKey val="0"/>
            <c:showVal val="1"/>
            <c:showCatName val="0"/>
            <c:showSerName val="0"/>
            <c:showPercent val="0"/>
            <c:showBubbleSize val="0"/>
            <c:showLeaderLines val="0"/>
          </c:dLbls>
          <c:cat>
            <c:strRef>
              <c:f>'1DP'!$B$5:$B$11</c:f>
              <c:strCache>
                <c:ptCount val="7"/>
                <c:pt idx="0">
                  <c:v>Tehniskā palīdzība</c:v>
                </c:pt>
                <c:pt idx="1">
                  <c:v>Administratīvās kapacitātes stiprināšana</c:v>
                </c:pt>
                <c:pt idx="2">
                  <c:v>Sociālās iekļaušanas veicināšana</c:v>
                </c:pt>
                <c:pt idx="3">
                  <c:v>Nodarbinātības veicināšana un veselība darbā*</c:v>
                </c:pt>
                <c:pt idx="4">
                  <c:v>Izglītība un prasmes</c:v>
                </c:pt>
                <c:pt idx="5">
                  <c:v>Augstākā izglītība un zinātne</c:v>
                </c:pt>
                <c:pt idx="6">
                  <c:v>DP "Cilvēkresursi un nodarbinātība" kopā</c:v>
                </c:pt>
              </c:strCache>
            </c:strRef>
          </c:cat>
          <c:val>
            <c:numRef>
              <c:f>'1DP'!$G$5:$G$11</c:f>
              <c:numCache>
                <c:formatCode>_-* #,##0.0_-;\-* #,##0.0_-;_-* "-"??_-;_-@_-</c:formatCode>
                <c:ptCount val="7"/>
                <c:pt idx="0">
                  <c:v>7322297.29</c:v>
                </c:pt>
                <c:pt idx="1">
                  <c:v>17279917.469999999</c:v>
                </c:pt>
                <c:pt idx="2">
                  <c:v>28943482.350000001</c:v>
                </c:pt>
                <c:pt idx="3">
                  <c:v>164583747.65000001</c:v>
                </c:pt>
                <c:pt idx="4">
                  <c:v>98344223</c:v>
                </c:pt>
                <c:pt idx="5">
                  <c:v>83448081</c:v>
                </c:pt>
                <c:pt idx="6">
                  <c:v>399921748.76000005</c:v>
                </c:pt>
              </c:numCache>
            </c:numRef>
          </c:val>
        </c:ser>
        <c:ser>
          <c:idx val="1"/>
          <c:order val="2"/>
          <c:tx>
            <c:strRef>
              <c:f>'1DP'!$D$4</c:f>
              <c:strCache>
                <c:ptCount val="1"/>
                <c:pt idx="0">
                  <c:v>Apstiprinātie projekti </c:v>
                </c:pt>
              </c:strCache>
            </c:strRef>
          </c:tx>
          <c:invertIfNegative val="0"/>
          <c:dLbls>
            <c:dLbl>
              <c:idx val="0"/>
              <c:tx>
                <c:rich>
                  <a:bodyPr/>
                  <a:lstStyle/>
                  <a:p>
                    <a:r>
                      <a:rPr lang="en-US" sz="1000"/>
                      <a:t>7,3</a:t>
                    </a:r>
                    <a:r>
                      <a:rPr lang="lv-LV" sz="1000"/>
                      <a:t> (57,0%);-1,4%</a:t>
                    </a:r>
                    <a:endParaRPr lang="en-US"/>
                  </a:p>
                </c:rich>
              </c:tx>
              <c:showLegendKey val="0"/>
              <c:showVal val="1"/>
              <c:showCatName val="0"/>
              <c:showSerName val="0"/>
              <c:showPercent val="0"/>
              <c:showBubbleSize val="0"/>
            </c:dLbl>
            <c:dLbl>
              <c:idx val="1"/>
              <c:tx>
                <c:rich>
                  <a:bodyPr/>
                  <a:lstStyle/>
                  <a:p>
                    <a:r>
                      <a:rPr lang="en-US" sz="1000"/>
                      <a:t>18,2</a:t>
                    </a:r>
                    <a:r>
                      <a:rPr lang="lv-LV" sz="1000"/>
                      <a:t> (91,8%);4,5%</a:t>
                    </a:r>
                    <a:endParaRPr lang="en-US"/>
                  </a:p>
                </c:rich>
              </c:tx>
              <c:showLegendKey val="0"/>
              <c:showVal val="1"/>
              <c:showCatName val="0"/>
              <c:showSerName val="0"/>
              <c:showPercent val="0"/>
              <c:showBubbleSize val="0"/>
            </c:dLbl>
            <c:dLbl>
              <c:idx val="2"/>
              <c:tx>
                <c:rich>
                  <a:bodyPr/>
                  <a:lstStyle/>
                  <a:p>
                    <a:r>
                      <a:rPr lang="en-US" sz="1000"/>
                      <a:t>28,9</a:t>
                    </a:r>
                    <a:r>
                      <a:rPr lang="lv-LV" sz="1000"/>
                      <a:t> (79,8%);5,4%</a:t>
                    </a:r>
                    <a:endParaRPr lang="en-US"/>
                  </a:p>
                </c:rich>
              </c:tx>
              <c:showLegendKey val="0"/>
              <c:showVal val="1"/>
              <c:showCatName val="0"/>
              <c:showSerName val="0"/>
              <c:showPercent val="0"/>
              <c:showBubbleSize val="0"/>
            </c:dLbl>
            <c:dLbl>
              <c:idx val="3"/>
              <c:tx>
                <c:rich>
                  <a:bodyPr/>
                  <a:lstStyle/>
                  <a:p>
                    <a:r>
                      <a:rPr lang="en-US" sz="1000"/>
                      <a:t>164,6</a:t>
                    </a:r>
                    <a:r>
                      <a:rPr lang="lv-LV" sz="1000"/>
                      <a:t> (99,7%);-3,2%</a:t>
                    </a:r>
                    <a:endParaRPr lang="en-US"/>
                  </a:p>
                </c:rich>
              </c:tx>
              <c:showLegendKey val="0"/>
              <c:showVal val="1"/>
              <c:showCatName val="0"/>
              <c:showSerName val="0"/>
              <c:showPercent val="0"/>
              <c:showBubbleSize val="0"/>
            </c:dLbl>
            <c:dLbl>
              <c:idx val="4"/>
              <c:tx>
                <c:rich>
                  <a:bodyPr/>
                  <a:lstStyle/>
                  <a:p>
                    <a:r>
                      <a:rPr lang="en-US" sz="1000"/>
                      <a:t>100,3</a:t>
                    </a:r>
                    <a:r>
                      <a:rPr lang="lv-LV" sz="1000"/>
                      <a:t> (97,6%);1,9%</a:t>
                    </a:r>
                    <a:endParaRPr lang="en-US"/>
                  </a:p>
                </c:rich>
              </c:tx>
              <c:showLegendKey val="0"/>
              <c:showVal val="1"/>
              <c:showCatName val="0"/>
              <c:showSerName val="0"/>
              <c:showPercent val="0"/>
              <c:showBubbleSize val="0"/>
            </c:dLbl>
            <c:dLbl>
              <c:idx val="5"/>
              <c:tx>
                <c:rich>
                  <a:bodyPr/>
                  <a:lstStyle/>
                  <a:p>
                    <a:r>
                      <a:rPr lang="en-US" sz="1000"/>
                      <a:t>83,6</a:t>
                    </a:r>
                    <a:r>
                      <a:rPr lang="lv-LV" sz="1000"/>
                      <a:t> (91,5%);2,3%</a:t>
                    </a:r>
                    <a:endParaRPr lang="en-US"/>
                  </a:p>
                </c:rich>
              </c:tx>
              <c:showLegendKey val="0"/>
              <c:showVal val="1"/>
              <c:showCatName val="0"/>
              <c:showSerName val="0"/>
              <c:showPercent val="0"/>
              <c:showBubbleSize val="0"/>
            </c:dLbl>
            <c:dLbl>
              <c:idx val="6"/>
              <c:layout>
                <c:manualLayout>
                  <c:x val="-0.15903837263060563"/>
                  <c:y val="0"/>
                </c:manualLayout>
              </c:layout>
              <c:tx>
                <c:rich>
                  <a:bodyPr/>
                  <a:lstStyle/>
                  <a:p>
                    <a:r>
                      <a:rPr lang="en-US" sz="1000"/>
                      <a:t>403,0</a:t>
                    </a:r>
                    <a:r>
                      <a:rPr lang="lv-LV" sz="1000"/>
                      <a:t> (94,1%);0,6%</a:t>
                    </a:r>
                    <a:endParaRPr lang="en-US"/>
                  </a:p>
                </c:rich>
              </c:tx>
              <c:showLegendKey val="0"/>
              <c:showVal val="1"/>
              <c:showCatName val="0"/>
              <c:showSerName val="0"/>
              <c:showPercent val="0"/>
              <c:showBubbleSize val="0"/>
            </c:dLbl>
            <c:numFmt formatCode="#,##0.0" sourceLinked="0"/>
            <c:txPr>
              <a:bodyPr/>
              <a:lstStyle/>
              <a:p>
                <a:pPr>
                  <a:defRPr sz="1000"/>
                </a:pPr>
                <a:endParaRPr lang="lv-LV"/>
              </a:p>
            </c:txPr>
            <c:showLegendKey val="0"/>
            <c:showVal val="1"/>
            <c:showCatName val="0"/>
            <c:showSerName val="0"/>
            <c:showPercent val="0"/>
            <c:showBubbleSize val="0"/>
            <c:showLeaderLines val="0"/>
          </c:dLbls>
          <c:cat>
            <c:strRef>
              <c:f>'1DP'!$B$5:$B$11</c:f>
              <c:strCache>
                <c:ptCount val="7"/>
                <c:pt idx="0">
                  <c:v>Tehniskā palīdzība</c:v>
                </c:pt>
                <c:pt idx="1">
                  <c:v>Administratīvās kapacitātes stiprināšana</c:v>
                </c:pt>
                <c:pt idx="2">
                  <c:v>Sociālās iekļaušanas veicināšana</c:v>
                </c:pt>
                <c:pt idx="3">
                  <c:v>Nodarbinātības veicināšana un veselība darbā*</c:v>
                </c:pt>
                <c:pt idx="4">
                  <c:v>Izglītība un prasmes</c:v>
                </c:pt>
                <c:pt idx="5">
                  <c:v>Augstākā izglītība un zinātne</c:v>
                </c:pt>
                <c:pt idx="6">
                  <c:v>DP "Cilvēkresursi un nodarbinātība" kopā</c:v>
                </c:pt>
              </c:strCache>
            </c:strRef>
          </c:cat>
          <c:val>
            <c:numRef>
              <c:f>'1DP'!$D$5:$D$11</c:f>
              <c:numCache>
                <c:formatCode>_-* #,##0.0_-;\-* #,##0.0_-;_-* "-"??_-;_-@_-</c:formatCode>
                <c:ptCount val="7"/>
                <c:pt idx="0">
                  <c:v>7322297.29</c:v>
                </c:pt>
                <c:pt idx="1">
                  <c:v>18220297.91</c:v>
                </c:pt>
                <c:pt idx="2">
                  <c:v>28943482.350000001</c:v>
                </c:pt>
                <c:pt idx="3">
                  <c:v>164583747.65000001</c:v>
                </c:pt>
                <c:pt idx="4">
                  <c:v>100311916</c:v>
                </c:pt>
                <c:pt idx="5">
                  <c:v>83607155</c:v>
                </c:pt>
                <c:pt idx="6">
                  <c:v>402988896.20000005</c:v>
                </c:pt>
              </c:numCache>
            </c:numRef>
          </c:val>
        </c:ser>
        <c:ser>
          <c:idx val="0"/>
          <c:order val="3"/>
          <c:tx>
            <c:strRef>
              <c:f>'1DP'!$C$4</c:f>
              <c:strCache>
                <c:ptCount val="1"/>
                <c:pt idx="0">
                  <c:v>Pieejamais finansējums</c:v>
                </c:pt>
              </c:strCache>
            </c:strRef>
          </c:tx>
          <c:invertIfNegative val="0"/>
          <c:dLbls>
            <c:dLbl>
              <c:idx val="0"/>
              <c:tx>
                <c:rich>
                  <a:bodyPr/>
                  <a:lstStyle/>
                  <a:p>
                    <a:r>
                      <a:rPr lang="en-US" sz="1000"/>
                      <a:t>12,8</a:t>
                    </a:r>
                    <a:r>
                      <a:rPr lang="lv-LV" sz="1000"/>
                      <a:t> (100%)</a:t>
                    </a:r>
                    <a:endParaRPr lang="en-US"/>
                  </a:p>
                </c:rich>
              </c:tx>
              <c:showLegendKey val="0"/>
              <c:showVal val="1"/>
              <c:showCatName val="0"/>
              <c:showSerName val="0"/>
              <c:showPercent val="0"/>
              <c:showBubbleSize val="0"/>
            </c:dLbl>
            <c:dLbl>
              <c:idx val="1"/>
              <c:tx>
                <c:rich>
                  <a:bodyPr/>
                  <a:lstStyle/>
                  <a:p>
                    <a:r>
                      <a:rPr lang="en-US" sz="1000"/>
                      <a:t>19,8</a:t>
                    </a:r>
                    <a:r>
                      <a:rPr lang="lv-LV" sz="1000"/>
                      <a:t> (100%)</a:t>
                    </a:r>
                    <a:endParaRPr lang="en-US"/>
                  </a:p>
                </c:rich>
              </c:tx>
              <c:showLegendKey val="0"/>
              <c:showVal val="1"/>
              <c:showCatName val="0"/>
              <c:showSerName val="0"/>
              <c:showPercent val="0"/>
              <c:showBubbleSize val="0"/>
            </c:dLbl>
            <c:dLbl>
              <c:idx val="2"/>
              <c:tx>
                <c:rich>
                  <a:bodyPr/>
                  <a:lstStyle/>
                  <a:p>
                    <a:r>
                      <a:rPr lang="en-US" sz="1000"/>
                      <a:t>36,3</a:t>
                    </a:r>
                    <a:r>
                      <a:rPr lang="lv-LV" sz="1000"/>
                      <a:t> (100%)</a:t>
                    </a:r>
                    <a:endParaRPr lang="en-US"/>
                  </a:p>
                </c:rich>
              </c:tx>
              <c:showLegendKey val="0"/>
              <c:showVal val="1"/>
              <c:showCatName val="0"/>
              <c:showSerName val="0"/>
              <c:showPercent val="0"/>
              <c:showBubbleSize val="0"/>
            </c:dLbl>
            <c:dLbl>
              <c:idx val="3"/>
              <c:tx>
                <c:rich>
                  <a:bodyPr/>
                  <a:lstStyle/>
                  <a:p>
                    <a:r>
                      <a:rPr lang="en-US" sz="1000"/>
                      <a:t>165,1</a:t>
                    </a:r>
                    <a:r>
                      <a:rPr lang="lv-LV" sz="1000"/>
                      <a:t> (100%)</a:t>
                    </a:r>
                    <a:endParaRPr lang="en-US"/>
                  </a:p>
                </c:rich>
              </c:tx>
              <c:showLegendKey val="0"/>
              <c:showVal val="1"/>
              <c:showCatName val="0"/>
              <c:showSerName val="0"/>
              <c:showPercent val="0"/>
              <c:showBubbleSize val="0"/>
            </c:dLbl>
            <c:dLbl>
              <c:idx val="4"/>
              <c:tx>
                <c:rich>
                  <a:bodyPr/>
                  <a:lstStyle/>
                  <a:p>
                    <a:r>
                      <a:rPr lang="en-US" sz="1000"/>
                      <a:t>102,8</a:t>
                    </a:r>
                    <a:r>
                      <a:rPr lang="lv-LV" sz="1000"/>
                      <a:t> (100%)</a:t>
                    </a:r>
                    <a:endParaRPr lang="en-US"/>
                  </a:p>
                </c:rich>
              </c:tx>
              <c:showLegendKey val="0"/>
              <c:showVal val="1"/>
              <c:showCatName val="0"/>
              <c:showSerName val="0"/>
              <c:showPercent val="0"/>
              <c:showBubbleSize val="0"/>
            </c:dLbl>
            <c:dLbl>
              <c:idx val="5"/>
              <c:tx>
                <c:rich>
                  <a:bodyPr/>
                  <a:lstStyle/>
                  <a:p>
                    <a:r>
                      <a:rPr lang="en-US" sz="1000"/>
                      <a:t>91,4</a:t>
                    </a:r>
                    <a:r>
                      <a:rPr lang="lv-LV" sz="1000"/>
                      <a:t> (100%)</a:t>
                    </a:r>
                    <a:endParaRPr lang="en-US"/>
                  </a:p>
                </c:rich>
              </c:tx>
              <c:showLegendKey val="0"/>
              <c:showVal val="1"/>
              <c:showCatName val="0"/>
              <c:showSerName val="0"/>
              <c:showPercent val="0"/>
              <c:showBubbleSize val="0"/>
            </c:dLbl>
            <c:dLbl>
              <c:idx val="6"/>
              <c:layout>
                <c:manualLayout>
                  <c:x val="-0.13684697179842811"/>
                  <c:y val="1.1917003734294844E-18"/>
                </c:manualLayout>
              </c:layout>
              <c:tx>
                <c:rich>
                  <a:bodyPr/>
                  <a:lstStyle/>
                  <a:p>
                    <a:r>
                      <a:rPr lang="en-US" sz="1000"/>
                      <a:t>428,2</a:t>
                    </a:r>
                    <a:r>
                      <a:rPr lang="lv-LV" sz="1000"/>
                      <a:t> (100%)</a:t>
                    </a:r>
                    <a:endParaRPr lang="en-US"/>
                  </a:p>
                </c:rich>
              </c:tx>
              <c:showLegendKey val="0"/>
              <c:showVal val="1"/>
              <c:showCatName val="0"/>
              <c:showSerName val="0"/>
              <c:showPercent val="0"/>
              <c:showBubbleSize val="0"/>
            </c:dLbl>
            <c:numFmt formatCode="#,##0.0" sourceLinked="0"/>
            <c:txPr>
              <a:bodyPr/>
              <a:lstStyle/>
              <a:p>
                <a:pPr>
                  <a:defRPr sz="1000"/>
                </a:pPr>
                <a:endParaRPr lang="lv-LV"/>
              </a:p>
            </c:txPr>
            <c:showLegendKey val="0"/>
            <c:showVal val="1"/>
            <c:showCatName val="0"/>
            <c:showSerName val="0"/>
            <c:showPercent val="0"/>
            <c:showBubbleSize val="0"/>
            <c:showLeaderLines val="0"/>
          </c:dLbls>
          <c:cat>
            <c:strRef>
              <c:f>'1DP'!$B$5:$B$11</c:f>
              <c:strCache>
                <c:ptCount val="7"/>
                <c:pt idx="0">
                  <c:v>Tehniskā palīdzība</c:v>
                </c:pt>
                <c:pt idx="1">
                  <c:v>Administratīvās kapacitātes stiprināšana</c:v>
                </c:pt>
                <c:pt idx="2">
                  <c:v>Sociālās iekļaušanas veicināšana</c:v>
                </c:pt>
                <c:pt idx="3">
                  <c:v>Nodarbinātības veicināšana un veselība darbā*</c:v>
                </c:pt>
                <c:pt idx="4">
                  <c:v>Izglītība un prasmes</c:v>
                </c:pt>
                <c:pt idx="5">
                  <c:v>Augstākā izglītība un zinātne</c:v>
                </c:pt>
                <c:pt idx="6">
                  <c:v>DP "Cilvēkresursi un nodarbinātība" kopā</c:v>
                </c:pt>
              </c:strCache>
            </c:strRef>
          </c:cat>
          <c:val>
            <c:numRef>
              <c:f>'1DP'!$C$5:$C$11</c:f>
              <c:numCache>
                <c:formatCode>_-* #,##0.0_-;\-* #,##0.0_-;_-* "-"??_-;_-@_-</c:formatCode>
                <c:ptCount val="7"/>
                <c:pt idx="0">
                  <c:v>12847761.029999999</c:v>
                </c:pt>
                <c:pt idx="1">
                  <c:v>19842791.039999999</c:v>
                </c:pt>
                <c:pt idx="2">
                  <c:v>36258630.340000004</c:v>
                </c:pt>
                <c:pt idx="3">
                  <c:v>165081153.65000001</c:v>
                </c:pt>
                <c:pt idx="4">
                  <c:v>102794756.28</c:v>
                </c:pt>
                <c:pt idx="5">
                  <c:v>91384937.870000005</c:v>
                </c:pt>
                <c:pt idx="6">
                  <c:v>428210030.20999998</c:v>
                </c:pt>
              </c:numCache>
            </c:numRef>
          </c:val>
        </c:ser>
        <c:dLbls>
          <c:showLegendKey val="0"/>
          <c:showVal val="0"/>
          <c:showCatName val="0"/>
          <c:showSerName val="0"/>
          <c:showPercent val="0"/>
          <c:showBubbleSize val="0"/>
        </c:dLbls>
        <c:gapWidth val="150"/>
        <c:axId val="69318528"/>
        <c:axId val="69320064"/>
      </c:barChart>
      <c:catAx>
        <c:axId val="69318528"/>
        <c:scaling>
          <c:orientation val="minMax"/>
        </c:scaling>
        <c:delete val="0"/>
        <c:axPos val="l"/>
        <c:majorTickMark val="out"/>
        <c:minorTickMark val="none"/>
        <c:tickLblPos val="nextTo"/>
        <c:txPr>
          <a:bodyPr/>
          <a:lstStyle/>
          <a:p>
            <a:pPr>
              <a:defRPr sz="1100"/>
            </a:pPr>
            <a:endParaRPr lang="lv-LV"/>
          </a:p>
        </c:txPr>
        <c:crossAx val="69320064"/>
        <c:crosses val="autoZero"/>
        <c:auto val="1"/>
        <c:lblAlgn val="ctr"/>
        <c:lblOffset val="100"/>
        <c:noMultiLvlLbl val="0"/>
      </c:catAx>
      <c:valAx>
        <c:axId val="69320064"/>
        <c:scaling>
          <c:orientation val="minMax"/>
          <c:max val="450000000"/>
          <c:min val="0"/>
        </c:scaling>
        <c:delete val="0"/>
        <c:axPos val="b"/>
        <c:majorGridlines/>
        <c:numFmt formatCode="_(* #,##0_);_(* \(#,##0\);_(* &quot;-&quot;_);_(@_)" sourceLinked="0"/>
        <c:majorTickMark val="out"/>
        <c:minorTickMark val="none"/>
        <c:tickLblPos val="nextTo"/>
        <c:crossAx val="69318528"/>
        <c:crosses val="autoZero"/>
        <c:crossBetween val="between"/>
        <c:dispUnits>
          <c:builtInUnit val="millions"/>
        </c:dispUnits>
      </c:valAx>
    </c:plotArea>
    <c:legend>
      <c:legendPos val="b"/>
      <c:layout>
        <c:manualLayout>
          <c:xMode val="edge"/>
          <c:yMode val="edge"/>
          <c:x val="0"/>
          <c:y val="0.91013030088062408"/>
          <c:w val="0.9585313945213757"/>
          <c:h val="8.9250754401522386E-2"/>
        </c:manualLayout>
      </c:layout>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
          <c:y val="0"/>
          <c:w val="1"/>
          <c:h val="0.96990096237970269"/>
        </c:manualLayout>
      </c:layout>
      <c:pie3DChart>
        <c:varyColors val="1"/>
        <c:ser>
          <c:idx val="0"/>
          <c:order val="0"/>
          <c:dLbls>
            <c:dLbl>
              <c:idx val="0"/>
              <c:layout>
                <c:manualLayout>
                  <c:x val="-0.13638737089885422"/>
                  <c:y val="3.741614190476323E-2"/>
                </c:manualLayout>
              </c:layout>
              <c:tx>
                <c:rich>
                  <a:bodyPr/>
                  <a:lstStyle/>
                  <a:p>
                    <a:r>
                      <a:rPr lang="en-US" sz="1100"/>
                      <a:t>Kurzeme 12%</a:t>
                    </a:r>
                    <a:endParaRPr lang="en-US"/>
                  </a:p>
                </c:rich>
              </c:tx>
              <c:showLegendKey val="0"/>
              <c:showVal val="1"/>
              <c:showCatName val="1"/>
              <c:showSerName val="0"/>
              <c:showPercent val="0"/>
              <c:showBubbleSize val="0"/>
            </c:dLbl>
            <c:dLbl>
              <c:idx val="1"/>
              <c:layout>
                <c:manualLayout>
                  <c:x val="-0.27102777777777776"/>
                  <c:y val="-0.20963254593175853"/>
                </c:manualLayout>
              </c:layout>
              <c:tx>
                <c:rich>
                  <a:bodyPr/>
                  <a:lstStyle/>
                  <a:p>
                    <a:r>
                      <a:rPr lang="en-US" sz="1100"/>
                      <a:t>Rīga</a:t>
                    </a:r>
                    <a:endParaRPr lang="lv-LV" sz="1100"/>
                  </a:p>
                  <a:p>
                    <a:r>
                      <a:rPr lang="en-US" sz="1100"/>
                      <a:t>41%</a:t>
                    </a:r>
                    <a:endParaRPr lang="en-US"/>
                  </a:p>
                </c:rich>
              </c:tx>
              <c:showLegendKey val="0"/>
              <c:showVal val="1"/>
              <c:showCatName val="1"/>
              <c:showSerName val="0"/>
              <c:showPercent val="0"/>
              <c:showBubbleSize val="0"/>
            </c:dLbl>
            <c:dLbl>
              <c:idx val="2"/>
              <c:layout>
                <c:manualLayout>
                  <c:x val="0.24937084426946632"/>
                  <c:y val="-0.27586905803441236"/>
                </c:manualLayout>
              </c:layout>
              <c:tx>
                <c:rich>
                  <a:bodyPr/>
                  <a:lstStyle/>
                  <a:p>
                    <a:r>
                      <a:rPr lang="en-US" sz="1100"/>
                      <a:t>Vidzeme</a:t>
                    </a:r>
                    <a:endParaRPr lang="lv-LV" sz="1100"/>
                  </a:p>
                  <a:p>
                    <a:r>
                      <a:rPr lang="en-US" sz="1100"/>
                      <a:t> 20%</a:t>
                    </a:r>
                    <a:endParaRPr lang="en-US"/>
                  </a:p>
                </c:rich>
              </c:tx>
              <c:showLegendKey val="0"/>
              <c:showVal val="1"/>
              <c:showCatName val="1"/>
              <c:showSerName val="0"/>
              <c:showPercent val="0"/>
              <c:showBubbleSize val="0"/>
            </c:dLbl>
            <c:dLbl>
              <c:idx val="3"/>
              <c:layout>
                <c:manualLayout>
                  <c:x val="0.13263315645964999"/>
                  <c:y val="3.5303564088603231E-2"/>
                </c:manualLayout>
              </c:layout>
              <c:tx>
                <c:rich>
                  <a:bodyPr/>
                  <a:lstStyle/>
                  <a:p>
                    <a:r>
                      <a:rPr lang="en-US" sz="1100"/>
                      <a:t>Latgale</a:t>
                    </a:r>
                    <a:endParaRPr lang="lv-LV" sz="1100"/>
                  </a:p>
                  <a:p>
                    <a:r>
                      <a:rPr lang="en-US" sz="1100"/>
                      <a:t>11%</a:t>
                    </a:r>
                    <a:endParaRPr lang="en-US"/>
                  </a:p>
                </c:rich>
              </c:tx>
              <c:showLegendKey val="0"/>
              <c:showVal val="1"/>
              <c:showCatName val="1"/>
              <c:showSerName val="0"/>
              <c:showPercent val="0"/>
              <c:showBubbleSize val="0"/>
            </c:dLbl>
            <c:dLbl>
              <c:idx val="4"/>
              <c:layout>
                <c:manualLayout>
                  <c:x val="0.17169318656855806"/>
                  <c:y val="5.1009157188684748E-2"/>
                </c:manualLayout>
              </c:layout>
              <c:tx>
                <c:rich>
                  <a:bodyPr/>
                  <a:lstStyle/>
                  <a:p>
                    <a:r>
                      <a:rPr lang="en-US" sz="1100"/>
                      <a:t>Zemgale</a:t>
                    </a:r>
                    <a:endParaRPr lang="lv-LV" sz="1100"/>
                  </a:p>
                  <a:p>
                    <a:r>
                      <a:rPr lang="en-US" sz="1100"/>
                      <a:t> 16%</a:t>
                    </a:r>
                    <a:endParaRPr lang="en-US"/>
                  </a:p>
                </c:rich>
              </c:tx>
              <c:showLegendKey val="0"/>
              <c:showVal val="1"/>
              <c:showCatName val="1"/>
              <c:showSerName val="0"/>
              <c:showPercent val="0"/>
              <c:showBubbleSize val="0"/>
            </c:dLbl>
            <c:txPr>
              <a:bodyPr/>
              <a:lstStyle/>
              <a:p>
                <a:pPr>
                  <a:defRPr sz="1100"/>
                </a:pPr>
                <a:endParaRPr lang="lv-LV"/>
              </a:p>
            </c:txPr>
            <c:showLegendKey val="0"/>
            <c:showVal val="1"/>
            <c:showCatName val="1"/>
            <c:showSerName val="0"/>
            <c:showPercent val="0"/>
            <c:showBubbleSize val="0"/>
            <c:showLeaderLines val="1"/>
          </c:dLbls>
          <c:cat>
            <c:strRef>
              <c:f>Sheet1!$D$25:$D$29</c:f>
              <c:strCache>
                <c:ptCount val="5"/>
                <c:pt idx="0">
                  <c:v>Kurzeme</c:v>
                </c:pt>
                <c:pt idx="1">
                  <c:v>Rīga</c:v>
                </c:pt>
                <c:pt idx="2">
                  <c:v>Vidzeme</c:v>
                </c:pt>
                <c:pt idx="3">
                  <c:v>Latgale</c:v>
                </c:pt>
                <c:pt idx="4">
                  <c:v>Zemgale</c:v>
                </c:pt>
              </c:strCache>
            </c:strRef>
          </c:cat>
          <c:val>
            <c:numRef>
              <c:f>Sheet1!$E$25:$E$29</c:f>
              <c:numCache>
                <c:formatCode>0%</c:formatCode>
                <c:ptCount val="5"/>
                <c:pt idx="0">
                  <c:v>0.12</c:v>
                </c:pt>
                <c:pt idx="1">
                  <c:v>0.41</c:v>
                </c:pt>
                <c:pt idx="2">
                  <c:v>0.2</c:v>
                </c:pt>
                <c:pt idx="3">
                  <c:v>0.11</c:v>
                </c:pt>
                <c:pt idx="4">
                  <c:v>0.16</c:v>
                </c:pt>
              </c:numCache>
            </c:numRef>
          </c:val>
        </c:ser>
        <c:dLbls>
          <c:showLegendKey val="0"/>
          <c:showVal val="1"/>
          <c:showCatName val="1"/>
          <c:showSerName val="0"/>
          <c:showPercent val="0"/>
          <c:showBubbleSize val="0"/>
          <c:showLeaderLines val="1"/>
        </c:dLbls>
      </c:pie3DChart>
      <c:spPr>
        <a:ln>
          <a:noFill/>
        </a:ln>
      </c:spPr>
    </c:plotArea>
    <c:plotVisOnly val="1"/>
    <c:dispBlanksAs val="gap"/>
    <c:showDLblsOverMax val="0"/>
  </c:chart>
  <c:spPr>
    <a:ln>
      <a:noFill/>
    </a:ln>
  </c:spPr>
  <c:txPr>
    <a:bodyPr/>
    <a:lstStyle/>
    <a:p>
      <a:pPr>
        <a:defRPr sz="1200">
          <a:latin typeface="Times New Roman" pitchFamily="18" charset="0"/>
          <a:cs typeface="Times New Roman" pitchFamily="18" charset="0"/>
        </a:defRPr>
      </a:pPr>
      <a:endParaRPr lang="lv-LV"/>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6240527584567706"/>
          <c:y val="3.074772209341585E-2"/>
          <c:w val="0.56312018523482776"/>
          <c:h val="0.78384571466554098"/>
        </c:manualLayout>
      </c:layout>
      <c:barChart>
        <c:barDir val="bar"/>
        <c:grouping val="clustered"/>
        <c:varyColors val="0"/>
        <c:ser>
          <c:idx val="3"/>
          <c:order val="0"/>
          <c:tx>
            <c:strRef>
              <c:f>'2DP'!$L$3</c:f>
              <c:strCache>
                <c:ptCount val="1"/>
                <c:pt idx="0">
                  <c:v>Izmaksāts finansējuma saņēmējam </c:v>
                </c:pt>
              </c:strCache>
            </c:strRef>
          </c:tx>
          <c:invertIfNegative val="0"/>
          <c:dLbls>
            <c:dLbl>
              <c:idx val="0"/>
              <c:tx>
                <c:rich>
                  <a:bodyPr/>
                  <a:lstStyle/>
                  <a:p>
                    <a:r>
                      <a:rPr lang="en-US"/>
                      <a:t>5,2</a:t>
                    </a:r>
                    <a:r>
                      <a:rPr lang="lv-LV"/>
                      <a:t> (32,4%)3,1%</a:t>
                    </a:r>
                    <a:endParaRPr lang="en-US"/>
                  </a:p>
                </c:rich>
              </c:tx>
              <c:showLegendKey val="0"/>
              <c:showVal val="1"/>
              <c:showCatName val="0"/>
              <c:showSerName val="0"/>
              <c:showPercent val="0"/>
              <c:showBubbleSize val="0"/>
            </c:dLbl>
            <c:dLbl>
              <c:idx val="1"/>
              <c:tx>
                <c:rich>
                  <a:bodyPr/>
                  <a:lstStyle/>
                  <a:p>
                    <a:r>
                      <a:rPr lang="en-US"/>
                      <a:t>12,3</a:t>
                    </a:r>
                    <a:r>
                      <a:rPr lang="lv-LV"/>
                      <a:t> (21,3%);2,2%</a:t>
                    </a:r>
                    <a:endParaRPr lang="en-US"/>
                  </a:p>
                </c:rich>
              </c:tx>
              <c:showLegendKey val="0"/>
              <c:showVal val="1"/>
              <c:showCatName val="0"/>
              <c:showSerName val="0"/>
              <c:showPercent val="0"/>
              <c:showBubbleSize val="0"/>
            </c:dLbl>
            <c:dLbl>
              <c:idx val="2"/>
              <c:tx>
                <c:rich>
                  <a:bodyPr/>
                  <a:lstStyle/>
                  <a:p>
                    <a:r>
                      <a:rPr lang="en-US" sz="900"/>
                      <a:t>170,3</a:t>
                    </a:r>
                    <a:r>
                      <a:rPr lang="lv-LV" sz="900"/>
                      <a:t> (100%);0%</a:t>
                    </a:r>
                    <a:endParaRPr lang="en-US"/>
                  </a:p>
                </c:rich>
              </c:tx>
              <c:showLegendKey val="0"/>
              <c:showVal val="1"/>
              <c:showCatName val="0"/>
              <c:showSerName val="0"/>
              <c:showPercent val="0"/>
              <c:showBubbleSize val="0"/>
            </c:dLbl>
            <c:dLbl>
              <c:idx val="3"/>
              <c:tx>
                <c:rich>
                  <a:bodyPr/>
                  <a:lstStyle/>
                  <a:p>
                    <a:r>
                      <a:rPr lang="en-US"/>
                      <a:t>56,6</a:t>
                    </a:r>
                    <a:r>
                      <a:rPr lang="lv-LV"/>
                      <a:t> (17,8%);5,1%</a:t>
                    </a:r>
                    <a:endParaRPr lang="en-US"/>
                  </a:p>
                </c:rich>
              </c:tx>
              <c:showLegendKey val="0"/>
              <c:showVal val="1"/>
              <c:showCatName val="0"/>
              <c:showSerName val="0"/>
              <c:showPercent val="0"/>
              <c:showBubbleSize val="0"/>
            </c:dLbl>
            <c:dLbl>
              <c:idx val="4"/>
              <c:tx>
                <c:rich>
                  <a:bodyPr/>
                  <a:lstStyle/>
                  <a:p>
                    <a:r>
                      <a:rPr lang="en-US" sz="900"/>
                      <a:t>244,3</a:t>
                    </a:r>
                    <a:r>
                      <a:rPr lang="lv-LV" sz="900"/>
                      <a:t> (43,5%);3,5%</a:t>
                    </a:r>
                    <a:endParaRPr lang="en-US"/>
                  </a:p>
                </c:rich>
              </c:tx>
              <c:showLegendKey val="0"/>
              <c:showVal val="1"/>
              <c:showCatName val="0"/>
              <c:showSerName val="0"/>
              <c:showPercent val="0"/>
              <c:showBubbleSize val="0"/>
            </c:dLbl>
            <c:numFmt formatCode="#,##0.0" sourceLinked="0"/>
            <c:txPr>
              <a:bodyPr/>
              <a:lstStyle/>
              <a:p>
                <a:pPr>
                  <a:defRPr sz="900"/>
                </a:pPr>
                <a:endParaRPr lang="lv-LV"/>
              </a:p>
            </c:txPr>
            <c:showLegendKey val="0"/>
            <c:showVal val="1"/>
            <c:showCatName val="0"/>
            <c:showSerName val="0"/>
            <c:showPercent val="0"/>
            <c:showBubbleSize val="0"/>
            <c:showLeaderLines val="0"/>
          </c:dLbls>
          <c:cat>
            <c:strRef>
              <c:f>'2DP'!$B$4:$B$8</c:f>
              <c:strCache>
                <c:ptCount val="5"/>
                <c:pt idx="0">
                  <c:v>Tehniskā palīdzība</c:v>
                </c:pt>
                <c:pt idx="1">
                  <c:v>Uzņēmējdarbības veicināšana</c:v>
                </c:pt>
                <c:pt idx="2">
                  <c:v>Finanšu pieejamība*</c:v>
                </c:pt>
                <c:pt idx="3">
                  <c:v>Zinātne un inovācijas</c:v>
                </c:pt>
                <c:pt idx="4">
                  <c:v>DP „Uzņēmējdarbība un inovācijas" kopā</c:v>
                </c:pt>
              </c:strCache>
            </c:strRef>
          </c:cat>
          <c:val>
            <c:numRef>
              <c:f>'2DP'!$L$4:$L$8</c:f>
              <c:numCache>
                <c:formatCode>#,##0;\(#,##0\)</c:formatCode>
                <c:ptCount val="5"/>
                <c:pt idx="0">
                  <c:v>5229192.91</c:v>
                </c:pt>
                <c:pt idx="1">
                  <c:v>12259848.67</c:v>
                </c:pt>
                <c:pt idx="2">
                  <c:v>170300355.34999999</c:v>
                </c:pt>
                <c:pt idx="3">
                  <c:v>56550213.039999999</c:v>
                </c:pt>
                <c:pt idx="4" formatCode="#,##0">
                  <c:v>244339609.97</c:v>
                </c:pt>
              </c:numCache>
            </c:numRef>
          </c:val>
        </c:ser>
        <c:ser>
          <c:idx val="2"/>
          <c:order val="1"/>
          <c:tx>
            <c:strRef>
              <c:f>'2DP'!$H$3</c:f>
              <c:strCache>
                <c:ptCount val="1"/>
                <c:pt idx="0">
                  <c:v>Noslēgti līgumi</c:v>
                </c:pt>
              </c:strCache>
            </c:strRef>
          </c:tx>
          <c:invertIfNegative val="0"/>
          <c:dLbls>
            <c:dLbl>
              <c:idx val="0"/>
              <c:tx>
                <c:rich>
                  <a:bodyPr/>
                  <a:lstStyle/>
                  <a:p>
                    <a:r>
                      <a:rPr lang="en-US"/>
                      <a:t>7,5</a:t>
                    </a:r>
                    <a:r>
                      <a:rPr lang="lv-LV"/>
                      <a:t> (46,2%);-6,9%</a:t>
                    </a:r>
                    <a:endParaRPr lang="en-US"/>
                  </a:p>
                </c:rich>
              </c:tx>
              <c:showLegendKey val="0"/>
              <c:showVal val="1"/>
              <c:showCatName val="0"/>
              <c:showSerName val="0"/>
              <c:showPercent val="0"/>
              <c:showBubbleSize val="0"/>
            </c:dLbl>
            <c:dLbl>
              <c:idx val="1"/>
              <c:tx>
                <c:rich>
                  <a:bodyPr/>
                  <a:lstStyle/>
                  <a:p>
                    <a:r>
                      <a:rPr lang="en-US"/>
                      <a:t>40,5</a:t>
                    </a:r>
                    <a:r>
                      <a:rPr lang="lv-LV"/>
                      <a:t> (70,4%);-2,7</a:t>
                    </a:r>
                    <a:endParaRPr lang="en-US"/>
                  </a:p>
                </c:rich>
              </c:tx>
              <c:showLegendKey val="0"/>
              <c:showVal val="1"/>
              <c:showCatName val="0"/>
              <c:showSerName val="0"/>
              <c:showPercent val="0"/>
              <c:showBubbleSize val="0"/>
            </c:dLbl>
            <c:dLbl>
              <c:idx val="2"/>
              <c:tx>
                <c:rich>
                  <a:bodyPr/>
                  <a:lstStyle/>
                  <a:p>
                    <a:r>
                      <a:rPr lang="en-US" sz="900"/>
                      <a:t>170,3</a:t>
                    </a:r>
                    <a:r>
                      <a:rPr lang="lv-LV" sz="900"/>
                      <a:t> (100%);0%</a:t>
                    </a:r>
                    <a:endParaRPr lang="en-US"/>
                  </a:p>
                </c:rich>
              </c:tx>
              <c:showLegendKey val="0"/>
              <c:showVal val="1"/>
              <c:showCatName val="0"/>
              <c:showSerName val="0"/>
              <c:showPercent val="0"/>
              <c:showBubbleSize val="0"/>
            </c:dLbl>
            <c:dLbl>
              <c:idx val="3"/>
              <c:tx>
                <c:rich>
                  <a:bodyPr/>
                  <a:lstStyle/>
                  <a:p>
                    <a:r>
                      <a:rPr lang="en-US"/>
                      <a:t>184,0</a:t>
                    </a:r>
                    <a:r>
                      <a:rPr lang="lv-LV"/>
                      <a:t> (57,8%);4,9%</a:t>
                    </a:r>
                    <a:endParaRPr lang="en-US"/>
                  </a:p>
                </c:rich>
              </c:tx>
              <c:showLegendKey val="0"/>
              <c:showVal val="1"/>
              <c:showCatName val="0"/>
              <c:showSerName val="0"/>
              <c:showPercent val="0"/>
              <c:showBubbleSize val="0"/>
            </c:dLbl>
            <c:dLbl>
              <c:idx val="4"/>
              <c:tx>
                <c:rich>
                  <a:bodyPr/>
                  <a:lstStyle/>
                  <a:p>
                    <a:r>
                      <a:rPr lang="en-US"/>
                      <a:t>402,2</a:t>
                    </a:r>
                    <a:r>
                      <a:rPr lang="lv-LV"/>
                      <a:t> (71,6%);-0,8%</a:t>
                    </a:r>
                    <a:endParaRPr lang="en-US"/>
                  </a:p>
                </c:rich>
              </c:tx>
              <c:showLegendKey val="0"/>
              <c:showVal val="1"/>
              <c:showCatName val="0"/>
              <c:showSerName val="0"/>
              <c:showPercent val="0"/>
              <c:showBubbleSize val="0"/>
            </c:dLbl>
            <c:numFmt formatCode="#,##0.0" sourceLinked="0"/>
            <c:txPr>
              <a:bodyPr/>
              <a:lstStyle/>
              <a:p>
                <a:pPr>
                  <a:defRPr sz="900"/>
                </a:pPr>
                <a:endParaRPr lang="lv-LV"/>
              </a:p>
            </c:txPr>
            <c:showLegendKey val="0"/>
            <c:showVal val="1"/>
            <c:showCatName val="0"/>
            <c:showSerName val="0"/>
            <c:showPercent val="0"/>
            <c:showBubbleSize val="0"/>
            <c:showLeaderLines val="0"/>
          </c:dLbls>
          <c:cat>
            <c:strRef>
              <c:f>'2DP'!$B$4:$B$8</c:f>
              <c:strCache>
                <c:ptCount val="5"/>
                <c:pt idx="0">
                  <c:v>Tehniskā palīdzība</c:v>
                </c:pt>
                <c:pt idx="1">
                  <c:v>Uzņēmējdarbības veicināšana</c:v>
                </c:pt>
                <c:pt idx="2">
                  <c:v>Finanšu pieejamība*</c:v>
                </c:pt>
                <c:pt idx="3">
                  <c:v>Zinātne un inovācijas</c:v>
                </c:pt>
                <c:pt idx="4">
                  <c:v>DP „Uzņēmējdarbība un inovācijas" kopā</c:v>
                </c:pt>
              </c:strCache>
            </c:strRef>
          </c:cat>
          <c:val>
            <c:numRef>
              <c:f>'2DP'!$H$4:$H$8</c:f>
              <c:numCache>
                <c:formatCode>#,##0;\(#,##0\)</c:formatCode>
                <c:ptCount val="5"/>
                <c:pt idx="0">
                  <c:v>7466051.46</c:v>
                </c:pt>
                <c:pt idx="1">
                  <c:v>40456942.229999997</c:v>
                </c:pt>
                <c:pt idx="2">
                  <c:v>170300355.34999999</c:v>
                </c:pt>
                <c:pt idx="3">
                  <c:v>183974624.72999999</c:v>
                </c:pt>
                <c:pt idx="4">
                  <c:v>402197973.76999998</c:v>
                </c:pt>
              </c:numCache>
            </c:numRef>
          </c:val>
        </c:ser>
        <c:ser>
          <c:idx val="1"/>
          <c:order val="2"/>
          <c:tx>
            <c:strRef>
              <c:f>'2DP'!$D$3</c:f>
              <c:strCache>
                <c:ptCount val="1"/>
                <c:pt idx="0">
                  <c:v>Apstiprināti projekti</c:v>
                </c:pt>
              </c:strCache>
            </c:strRef>
          </c:tx>
          <c:invertIfNegative val="0"/>
          <c:dLbls>
            <c:dLbl>
              <c:idx val="0"/>
              <c:tx>
                <c:rich>
                  <a:bodyPr/>
                  <a:lstStyle/>
                  <a:p>
                    <a:r>
                      <a:rPr lang="en-US"/>
                      <a:t>7,5</a:t>
                    </a:r>
                    <a:r>
                      <a:rPr lang="lv-LV"/>
                      <a:t> (46,2%);-6,9%</a:t>
                    </a:r>
                    <a:endParaRPr lang="en-US"/>
                  </a:p>
                </c:rich>
              </c:tx>
              <c:showLegendKey val="0"/>
              <c:showVal val="1"/>
              <c:showCatName val="0"/>
              <c:showSerName val="0"/>
              <c:showPercent val="0"/>
              <c:showBubbleSize val="0"/>
            </c:dLbl>
            <c:dLbl>
              <c:idx val="1"/>
              <c:tx>
                <c:rich>
                  <a:bodyPr/>
                  <a:lstStyle/>
                  <a:p>
                    <a:r>
                      <a:rPr lang="en-US"/>
                      <a:t>40,7</a:t>
                    </a:r>
                    <a:r>
                      <a:rPr lang="lv-LV"/>
                      <a:t> (70,8%);-2,6%</a:t>
                    </a:r>
                    <a:endParaRPr lang="en-US"/>
                  </a:p>
                </c:rich>
              </c:tx>
              <c:showLegendKey val="0"/>
              <c:showVal val="1"/>
              <c:showCatName val="0"/>
              <c:showSerName val="0"/>
              <c:showPercent val="0"/>
              <c:showBubbleSize val="0"/>
            </c:dLbl>
            <c:dLbl>
              <c:idx val="2"/>
              <c:tx>
                <c:rich>
                  <a:bodyPr/>
                  <a:lstStyle/>
                  <a:p>
                    <a:r>
                      <a:rPr lang="en-US"/>
                      <a:t>170,3</a:t>
                    </a:r>
                    <a:r>
                      <a:rPr lang="lv-LV"/>
                      <a:t> (100%);0%</a:t>
                    </a:r>
                    <a:endParaRPr lang="en-US"/>
                  </a:p>
                </c:rich>
              </c:tx>
              <c:showLegendKey val="0"/>
              <c:showVal val="1"/>
              <c:showCatName val="0"/>
              <c:showSerName val="0"/>
              <c:showPercent val="0"/>
              <c:showBubbleSize val="0"/>
            </c:dLbl>
            <c:dLbl>
              <c:idx val="3"/>
              <c:tx>
                <c:rich>
                  <a:bodyPr/>
                  <a:lstStyle/>
                  <a:p>
                    <a:r>
                      <a:rPr lang="en-US"/>
                      <a:t>197,1</a:t>
                    </a:r>
                    <a:r>
                      <a:rPr lang="lv-LV"/>
                      <a:t> (62,0%);-2,2%</a:t>
                    </a:r>
                    <a:endParaRPr lang="en-US"/>
                  </a:p>
                </c:rich>
              </c:tx>
              <c:showLegendKey val="0"/>
              <c:showVal val="1"/>
              <c:showCatName val="0"/>
              <c:showSerName val="0"/>
              <c:showPercent val="0"/>
              <c:showBubbleSize val="0"/>
            </c:dLbl>
            <c:dLbl>
              <c:idx val="4"/>
              <c:layout>
                <c:manualLayout>
                  <c:x val="-1.2012012012012012E-2"/>
                  <c:y val="0"/>
                </c:manualLayout>
              </c:layout>
              <c:tx>
                <c:rich>
                  <a:bodyPr/>
                  <a:lstStyle/>
                  <a:p>
                    <a:pPr>
                      <a:defRPr sz="900"/>
                    </a:pPr>
                    <a:r>
                      <a:rPr lang="en-US" sz="900"/>
                      <a:t>415,5</a:t>
                    </a:r>
                    <a:r>
                      <a:rPr lang="lv-LV" sz="900"/>
                      <a:t> (73,9%);-1,7%</a:t>
                    </a:r>
                    <a:endParaRPr lang="en-US" sz="900"/>
                  </a:p>
                </c:rich>
              </c:tx>
              <c:numFmt formatCode="#,##0.0" sourceLinked="0"/>
              <c:spPr/>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strRef>
              <c:f>'2DP'!$B$4:$B$8</c:f>
              <c:strCache>
                <c:ptCount val="5"/>
                <c:pt idx="0">
                  <c:v>Tehniskā palīdzība</c:v>
                </c:pt>
                <c:pt idx="1">
                  <c:v>Uzņēmējdarbības veicināšana</c:v>
                </c:pt>
                <c:pt idx="2">
                  <c:v>Finanšu pieejamība*</c:v>
                </c:pt>
                <c:pt idx="3">
                  <c:v>Zinātne un inovācijas</c:v>
                </c:pt>
                <c:pt idx="4">
                  <c:v>DP „Uzņēmējdarbība un inovācijas" kopā</c:v>
                </c:pt>
              </c:strCache>
            </c:strRef>
          </c:cat>
          <c:val>
            <c:numRef>
              <c:f>'2DP'!$D$4:$D$8</c:f>
              <c:numCache>
                <c:formatCode>#,##0;\(#,##0\)</c:formatCode>
                <c:ptCount val="5"/>
                <c:pt idx="0">
                  <c:v>7466051.46</c:v>
                </c:pt>
                <c:pt idx="1">
                  <c:v>40661920.880000003</c:v>
                </c:pt>
                <c:pt idx="2">
                  <c:v>170300355.34999999</c:v>
                </c:pt>
                <c:pt idx="3">
                  <c:v>197079004.37</c:v>
                </c:pt>
                <c:pt idx="4">
                  <c:v>415507332.06</c:v>
                </c:pt>
              </c:numCache>
            </c:numRef>
          </c:val>
        </c:ser>
        <c:ser>
          <c:idx val="0"/>
          <c:order val="3"/>
          <c:tx>
            <c:strRef>
              <c:f>'2DP'!$C$3</c:f>
              <c:strCache>
                <c:ptCount val="1"/>
                <c:pt idx="0">
                  <c:v>Prioritātē pieejamais  finansējums</c:v>
                </c:pt>
              </c:strCache>
            </c:strRef>
          </c:tx>
          <c:invertIfNegative val="0"/>
          <c:dLbls>
            <c:dLbl>
              <c:idx val="0"/>
              <c:tx>
                <c:rich>
                  <a:bodyPr/>
                  <a:lstStyle/>
                  <a:p>
                    <a:r>
                      <a:rPr lang="en-US"/>
                      <a:t>16,2</a:t>
                    </a:r>
                    <a:r>
                      <a:rPr lang="lv-LV"/>
                      <a:t> (100%)</a:t>
                    </a:r>
                    <a:endParaRPr lang="en-US"/>
                  </a:p>
                </c:rich>
              </c:tx>
              <c:showLegendKey val="0"/>
              <c:showVal val="1"/>
              <c:showCatName val="0"/>
              <c:showSerName val="0"/>
              <c:showPercent val="0"/>
              <c:showBubbleSize val="0"/>
            </c:dLbl>
            <c:dLbl>
              <c:idx val="1"/>
              <c:tx>
                <c:rich>
                  <a:bodyPr/>
                  <a:lstStyle/>
                  <a:p>
                    <a:r>
                      <a:rPr lang="en-US"/>
                      <a:t>57,4</a:t>
                    </a:r>
                    <a:r>
                      <a:rPr lang="lv-LV"/>
                      <a:t> (100%)</a:t>
                    </a:r>
                    <a:endParaRPr lang="en-US"/>
                  </a:p>
                </c:rich>
              </c:tx>
              <c:showLegendKey val="0"/>
              <c:showVal val="1"/>
              <c:showCatName val="0"/>
              <c:showSerName val="0"/>
              <c:showPercent val="0"/>
              <c:showBubbleSize val="0"/>
            </c:dLbl>
            <c:dLbl>
              <c:idx val="2"/>
              <c:tx>
                <c:rich>
                  <a:bodyPr/>
                  <a:lstStyle/>
                  <a:p>
                    <a:r>
                      <a:rPr lang="en-US"/>
                      <a:t>170,3</a:t>
                    </a:r>
                    <a:r>
                      <a:rPr lang="lv-LV"/>
                      <a:t> (100%)</a:t>
                    </a:r>
                    <a:endParaRPr lang="en-US"/>
                  </a:p>
                </c:rich>
              </c:tx>
              <c:showLegendKey val="0"/>
              <c:showVal val="1"/>
              <c:showCatName val="0"/>
              <c:showSerName val="0"/>
              <c:showPercent val="0"/>
              <c:showBubbleSize val="0"/>
            </c:dLbl>
            <c:dLbl>
              <c:idx val="3"/>
              <c:tx>
                <c:rich>
                  <a:bodyPr/>
                  <a:lstStyle/>
                  <a:p>
                    <a:r>
                      <a:rPr lang="en-US"/>
                      <a:t>318,0</a:t>
                    </a:r>
                    <a:r>
                      <a:rPr lang="lv-LV"/>
                      <a:t> (100%)</a:t>
                    </a:r>
                    <a:endParaRPr lang="en-US"/>
                  </a:p>
                </c:rich>
              </c:tx>
              <c:showLegendKey val="0"/>
              <c:showVal val="1"/>
              <c:showCatName val="0"/>
              <c:showSerName val="0"/>
              <c:showPercent val="0"/>
              <c:showBubbleSize val="0"/>
            </c:dLbl>
            <c:dLbl>
              <c:idx val="4"/>
              <c:tx>
                <c:rich>
                  <a:bodyPr/>
                  <a:lstStyle/>
                  <a:p>
                    <a:r>
                      <a:rPr lang="en-US"/>
                      <a:t>561,9</a:t>
                    </a:r>
                    <a:r>
                      <a:rPr lang="lv-LV"/>
                      <a:t> (100%)</a:t>
                    </a:r>
                    <a:endParaRPr lang="en-US"/>
                  </a:p>
                </c:rich>
              </c:tx>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strRef>
              <c:f>'2DP'!$B$4:$B$8</c:f>
              <c:strCache>
                <c:ptCount val="5"/>
                <c:pt idx="0">
                  <c:v>Tehniskā palīdzība</c:v>
                </c:pt>
                <c:pt idx="1">
                  <c:v>Uzņēmējdarbības veicināšana</c:v>
                </c:pt>
                <c:pt idx="2">
                  <c:v>Finanšu pieejamība*</c:v>
                </c:pt>
                <c:pt idx="3">
                  <c:v>Zinātne un inovācijas</c:v>
                </c:pt>
                <c:pt idx="4">
                  <c:v>DP „Uzņēmējdarbība un inovācijas" kopā</c:v>
                </c:pt>
              </c:strCache>
            </c:strRef>
          </c:cat>
          <c:val>
            <c:numRef>
              <c:f>'2DP'!$C$4:$C$8</c:f>
              <c:numCache>
                <c:formatCode>#,##0;\(#,##0\)</c:formatCode>
                <c:ptCount val="5"/>
                <c:pt idx="0">
                  <c:v>16153989.300000001</c:v>
                </c:pt>
                <c:pt idx="1">
                  <c:v>57433653.120000005</c:v>
                </c:pt>
                <c:pt idx="2">
                  <c:v>170300356.06999999</c:v>
                </c:pt>
                <c:pt idx="3">
                  <c:v>318045093.45999998</c:v>
                </c:pt>
                <c:pt idx="4">
                  <c:v>561933091.95000005</c:v>
                </c:pt>
              </c:numCache>
            </c:numRef>
          </c:val>
        </c:ser>
        <c:dLbls>
          <c:showLegendKey val="0"/>
          <c:showVal val="0"/>
          <c:showCatName val="0"/>
          <c:showSerName val="0"/>
          <c:showPercent val="0"/>
          <c:showBubbleSize val="0"/>
        </c:dLbls>
        <c:gapWidth val="150"/>
        <c:axId val="69859200"/>
        <c:axId val="69860736"/>
      </c:barChart>
      <c:catAx>
        <c:axId val="69859200"/>
        <c:scaling>
          <c:orientation val="minMax"/>
        </c:scaling>
        <c:delete val="0"/>
        <c:axPos val="l"/>
        <c:majorTickMark val="out"/>
        <c:minorTickMark val="none"/>
        <c:tickLblPos val="nextTo"/>
        <c:txPr>
          <a:bodyPr/>
          <a:lstStyle/>
          <a:p>
            <a:pPr>
              <a:defRPr sz="1100"/>
            </a:pPr>
            <a:endParaRPr lang="lv-LV"/>
          </a:p>
        </c:txPr>
        <c:crossAx val="69860736"/>
        <c:crosses val="autoZero"/>
        <c:auto val="1"/>
        <c:lblAlgn val="ctr"/>
        <c:lblOffset val="100"/>
        <c:noMultiLvlLbl val="0"/>
      </c:catAx>
      <c:valAx>
        <c:axId val="69860736"/>
        <c:scaling>
          <c:orientation val="minMax"/>
        </c:scaling>
        <c:delete val="0"/>
        <c:axPos val="b"/>
        <c:majorGridlines/>
        <c:numFmt formatCode="#,##0;\(#,##0\)" sourceLinked="1"/>
        <c:majorTickMark val="out"/>
        <c:minorTickMark val="none"/>
        <c:tickLblPos val="nextTo"/>
        <c:crossAx val="69859200"/>
        <c:crosses val="autoZero"/>
        <c:crossBetween val="between"/>
        <c:dispUnits>
          <c:builtInUnit val="millions"/>
        </c:dispUnits>
      </c:valAx>
    </c:plotArea>
    <c:legend>
      <c:legendPos val="b"/>
      <c:overlay val="0"/>
      <c:txPr>
        <a:bodyPr/>
        <a:lstStyle/>
        <a:p>
          <a:pPr>
            <a:defRPr sz="1000"/>
          </a:pPr>
          <a:endParaRPr lang="lv-LV"/>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37641794592979455"/>
          <c:y val="0"/>
          <c:w val="0.5358355704003257"/>
          <c:h val="0.82444444444444442"/>
        </c:manualLayout>
      </c:layout>
      <c:bar3DChart>
        <c:barDir val="bar"/>
        <c:grouping val="clustered"/>
        <c:varyColors val="1"/>
        <c:ser>
          <c:idx val="0"/>
          <c:order val="0"/>
          <c:invertIfNegative val="0"/>
          <c:dLbls>
            <c:dLbl>
              <c:idx val="0"/>
              <c:layout>
                <c:manualLayout>
                  <c:x val="1.3300083125519595E-2"/>
                  <c:y val="-4.6296296296297144E-3"/>
                </c:manualLayout>
              </c:layout>
              <c:tx>
                <c:rich>
                  <a:bodyPr/>
                  <a:lstStyle/>
                  <a:p>
                    <a:r>
                      <a:rPr lang="en-US" sz="1050"/>
                      <a:t>25,9</a:t>
                    </a:r>
                    <a:r>
                      <a:rPr lang="lv-LV" sz="1050"/>
                      <a:t> (18,0%);</a:t>
                    </a:r>
                    <a:r>
                      <a:rPr lang="lv-LV" sz="1050" baseline="0"/>
                      <a:t> 3,5%</a:t>
                    </a:r>
                    <a:endParaRPr lang="en-US"/>
                  </a:p>
                </c:rich>
              </c:tx>
              <c:showLegendKey val="0"/>
              <c:showVal val="1"/>
              <c:showCatName val="0"/>
              <c:showSerName val="0"/>
              <c:showPercent val="0"/>
              <c:showBubbleSize val="0"/>
            </c:dLbl>
            <c:dLbl>
              <c:idx val="1"/>
              <c:layout>
                <c:manualLayout>
                  <c:x val="9.9750623441395899E-3"/>
                  <c:y val="-9.2592592592592587E-3"/>
                </c:manualLayout>
              </c:layout>
              <c:tx>
                <c:rich>
                  <a:bodyPr/>
                  <a:lstStyle/>
                  <a:p>
                    <a:r>
                      <a:rPr lang="en-US" sz="1050"/>
                      <a:t>35,3</a:t>
                    </a:r>
                    <a:r>
                      <a:rPr lang="lv-LV" sz="1050"/>
                      <a:t> (24,5%);</a:t>
                    </a:r>
                    <a:r>
                      <a:rPr lang="lv-LV" sz="1050" baseline="0"/>
                      <a:t> 4,4%</a:t>
                    </a:r>
                    <a:endParaRPr lang="en-US"/>
                  </a:p>
                </c:rich>
              </c:tx>
              <c:showLegendKey val="0"/>
              <c:showVal val="1"/>
              <c:showCatName val="0"/>
              <c:showSerName val="0"/>
              <c:showPercent val="0"/>
              <c:showBubbleSize val="0"/>
            </c:dLbl>
            <c:dLbl>
              <c:idx val="2"/>
              <c:layout>
                <c:manualLayout>
                  <c:x val="1.4962593516209476E-2"/>
                  <c:y val="-9.2592592592592379E-3"/>
                </c:manualLayout>
              </c:layout>
              <c:tx>
                <c:rich>
                  <a:bodyPr/>
                  <a:lstStyle/>
                  <a:p>
                    <a:r>
                      <a:rPr lang="en-US" sz="1050"/>
                      <a:t>144,1</a:t>
                    </a:r>
                    <a:r>
                      <a:rPr lang="lv-LV" sz="1050"/>
                      <a:t> (100%)</a:t>
                    </a:r>
                    <a:endParaRPr lang="en-US"/>
                  </a:p>
                </c:rich>
              </c:tx>
              <c:showLegendKey val="0"/>
              <c:showVal val="1"/>
              <c:showCatName val="0"/>
              <c:showSerName val="0"/>
              <c:showPercent val="0"/>
              <c:showBubbleSize val="0"/>
            </c:dLbl>
            <c:numFmt formatCode="#,##0.0" sourceLinked="0"/>
            <c:txPr>
              <a:bodyPr/>
              <a:lstStyle/>
              <a:p>
                <a:pPr>
                  <a:defRPr sz="1050"/>
                </a:pPr>
                <a:endParaRPr lang="lv-LV"/>
              </a:p>
            </c:txPr>
            <c:showLegendKey val="0"/>
            <c:showVal val="1"/>
            <c:showCatName val="0"/>
            <c:showSerName val="0"/>
            <c:showPercent val="0"/>
            <c:showBubbleSize val="0"/>
            <c:showLeaderLines val="0"/>
          </c:dLbls>
          <c:cat>
            <c:strRef>
              <c:f>Grafiks!$A$3:$A$5</c:f>
              <c:strCache>
                <c:ptCount val="3"/>
                <c:pt idx="0">
                  <c:v>Veiktie maksājumi komersantiem / investīcijas</c:v>
                </c:pt>
                <c:pt idx="1">
                  <c:v>Noslēgtie līgumi</c:v>
                </c:pt>
                <c:pt idx="2">
                  <c:v>Pieejamais finansējums</c:v>
                </c:pt>
              </c:strCache>
            </c:strRef>
          </c:cat>
          <c:val>
            <c:numRef>
              <c:f>Grafiks!$B$3:$B$5</c:f>
              <c:numCache>
                <c:formatCode>_(* #,##0.00_);_(* \(#,##0.00\);_(* "-"??_);_(@_)</c:formatCode>
                <c:ptCount val="3"/>
                <c:pt idx="0">
                  <c:v>25878148.814013302</c:v>
                </c:pt>
                <c:pt idx="1">
                  <c:v>35320885.142000005</c:v>
                </c:pt>
                <c:pt idx="2">
                  <c:v>144134546.47912636</c:v>
                </c:pt>
              </c:numCache>
            </c:numRef>
          </c:val>
        </c:ser>
        <c:dLbls>
          <c:showLegendKey val="0"/>
          <c:showVal val="0"/>
          <c:showCatName val="0"/>
          <c:showSerName val="0"/>
          <c:showPercent val="0"/>
          <c:showBubbleSize val="0"/>
        </c:dLbls>
        <c:gapWidth val="150"/>
        <c:shape val="box"/>
        <c:axId val="71332224"/>
        <c:axId val="71333760"/>
        <c:axId val="0"/>
      </c:bar3DChart>
      <c:catAx>
        <c:axId val="71332224"/>
        <c:scaling>
          <c:orientation val="minMax"/>
        </c:scaling>
        <c:delete val="0"/>
        <c:axPos val="l"/>
        <c:majorTickMark val="out"/>
        <c:minorTickMark val="none"/>
        <c:tickLblPos val="nextTo"/>
        <c:crossAx val="71333760"/>
        <c:crosses val="autoZero"/>
        <c:auto val="1"/>
        <c:lblAlgn val="ctr"/>
        <c:lblOffset val="100"/>
        <c:noMultiLvlLbl val="0"/>
      </c:catAx>
      <c:valAx>
        <c:axId val="71333760"/>
        <c:scaling>
          <c:orientation val="minMax"/>
        </c:scaling>
        <c:delete val="0"/>
        <c:axPos val="b"/>
        <c:majorGridlines/>
        <c:numFmt formatCode="_(* #,##0_);_(* \(#,##0\);_(* &quot;-&quot;_);_(@_)" sourceLinked="0"/>
        <c:majorTickMark val="out"/>
        <c:minorTickMark val="none"/>
        <c:tickLblPos val="nextTo"/>
        <c:crossAx val="71332224"/>
        <c:crosses val="autoZero"/>
        <c:crossBetween val="between"/>
        <c:dispUnits>
          <c:builtInUnit val="millions"/>
        </c:dispUnits>
      </c:valAx>
    </c:plotArea>
    <c:plotVisOnly val="1"/>
    <c:dispBlanksAs val="gap"/>
    <c:showDLblsOverMax val="0"/>
  </c:chart>
  <c:spPr>
    <a:ln>
      <a:noFill/>
    </a:ln>
  </c:spPr>
  <c:txPr>
    <a:bodyPr/>
    <a:lstStyle/>
    <a:p>
      <a:pPr>
        <a:defRPr sz="1100">
          <a:latin typeface="Times New Roman" pitchFamily="18" charset="0"/>
          <a:cs typeface="Times New Roman" pitchFamily="18" charset="0"/>
        </a:defRPr>
      </a:pPr>
      <a:endParaRPr lang="lv-LV"/>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0.65714</cdr:x>
      <cdr:y>0.53748</cdr:y>
    </cdr:from>
    <cdr:to>
      <cdr:x>0.93036</cdr:x>
      <cdr:y>0.83254</cdr:y>
    </cdr:to>
    <cdr:sp macro="" textlink="">
      <cdr:nvSpPr>
        <cdr:cNvPr id="2" name="TextBox 1"/>
        <cdr:cNvSpPr txBox="1"/>
      </cdr:nvSpPr>
      <cdr:spPr>
        <a:xfrm xmlns:a="http://schemas.openxmlformats.org/drawingml/2006/main">
          <a:off x="3505200" y="3209925"/>
          <a:ext cx="1457325" cy="1762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dr:relSizeAnchor xmlns:cdr="http://schemas.openxmlformats.org/drawingml/2006/chartDrawing">
    <cdr:from>
      <cdr:x>0.70357</cdr:x>
      <cdr:y>0.49123</cdr:y>
    </cdr:from>
    <cdr:to>
      <cdr:x>0.93393</cdr:x>
      <cdr:y>0.79426</cdr:y>
    </cdr:to>
    <cdr:sp macro="" textlink="">
      <cdr:nvSpPr>
        <cdr:cNvPr id="3" name="TextBox 2"/>
        <cdr:cNvSpPr txBox="1"/>
      </cdr:nvSpPr>
      <cdr:spPr>
        <a:xfrm xmlns:a="http://schemas.openxmlformats.org/drawingml/2006/main">
          <a:off x="3752850" y="2933700"/>
          <a:ext cx="1228725" cy="1809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dr:relSizeAnchor xmlns:cdr="http://schemas.openxmlformats.org/drawingml/2006/chartDrawing">
    <cdr:from>
      <cdr:x>0.69643</cdr:x>
      <cdr:y>0.51675</cdr:y>
    </cdr:from>
    <cdr:to>
      <cdr:x>0.93929</cdr:x>
      <cdr:y>0.78309</cdr:y>
    </cdr:to>
    <cdr:sp macro="" textlink="">
      <cdr:nvSpPr>
        <cdr:cNvPr id="5" name="TextBox 4"/>
        <cdr:cNvSpPr txBox="1"/>
      </cdr:nvSpPr>
      <cdr:spPr>
        <a:xfrm xmlns:a="http://schemas.openxmlformats.org/drawingml/2006/main">
          <a:off x="3714750" y="3086100"/>
          <a:ext cx="1295400" cy="15906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dr:relSizeAnchor xmlns:cdr="http://schemas.openxmlformats.org/drawingml/2006/chartDrawing">
    <cdr:from>
      <cdr:x>0.65714</cdr:x>
      <cdr:y>0.53748</cdr:y>
    </cdr:from>
    <cdr:to>
      <cdr:x>0.93036</cdr:x>
      <cdr:y>0.83254</cdr:y>
    </cdr:to>
    <cdr:sp macro="" textlink="">
      <cdr:nvSpPr>
        <cdr:cNvPr id="6" name="TextBox 1"/>
        <cdr:cNvSpPr txBox="1"/>
      </cdr:nvSpPr>
      <cdr:spPr>
        <a:xfrm xmlns:a="http://schemas.openxmlformats.org/drawingml/2006/main">
          <a:off x="3505200" y="3209925"/>
          <a:ext cx="1457325" cy="1762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dr:relSizeAnchor xmlns:cdr="http://schemas.openxmlformats.org/drawingml/2006/chartDrawing">
    <cdr:from>
      <cdr:x>0.70357</cdr:x>
      <cdr:y>0.49123</cdr:y>
    </cdr:from>
    <cdr:to>
      <cdr:x>0.93393</cdr:x>
      <cdr:y>0.79426</cdr:y>
    </cdr:to>
    <cdr:sp macro="" textlink="">
      <cdr:nvSpPr>
        <cdr:cNvPr id="7" name="TextBox 2"/>
        <cdr:cNvSpPr txBox="1"/>
      </cdr:nvSpPr>
      <cdr:spPr>
        <a:xfrm xmlns:a="http://schemas.openxmlformats.org/drawingml/2006/main">
          <a:off x="3752850" y="2933700"/>
          <a:ext cx="1228725" cy="1809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dr:relSizeAnchor xmlns:cdr="http://schemas.openxmlformats.org/drawingml/2006/chartDrawing">
    <cdr:from>
      <cdr:x>0.65714</cdr:x>
      <cdr:y>0.53748</cdr:y>
    </cdr:from>
    <cdr:to>
      <cdr:x>0.93036</cdr:x>
      <cdr:y>0.83254</cdr:y>
    </cdr:to>
    <cdr:sp macro="" textlink="">
      <cdr:nvSpPr>
        <cdr:cNvPr id="8" name="TextBox 1"/>
        <cdr:cNvSpPr txBox="1"/>
      </cdr:nvSpPr>
      <cdr:spPr>
        <a:xfrm xmlns:a="http://schemas.openxmlformats.org/drawingml/2006/main">
          <a:off x="3505200" y="3209925"/>
          <a:ext cx="1457325" cy="1762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dr:relSizeAnchor xmlns:cdr="http://schemas.openxmlformats.org/drawingml/2006/chartDrawing">
    <cdr:from>
      <cdr:x>0.70357</cdr:x>
      <cdr:y>0.49123</cdr:y>
    </cdr:from>
    <cdr:to>
      <cdr:x>0.93393</cdr:x>
      <cdr:y>0.79426</cdr:y>
    </cdr:to>
    <cdr:sp macro="" textlink="">
      <cdr:nvSpPr>
        <cdr:cNvPr id="9" name="TextBox 2"/>
        <cdr:cNvSpPr txBox="1"/>
      </cdr:nvSpPr>
      <cdr:spPr>
        <a:xfrm xmlns:a="http://schemas.openxmlformats.org/drawingml/2006/main">
          <a:off x="3752850" y="2933700"/>
          <a:ext cx="1228725" cy="1809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dr:relSizeAnchor xmlns:cdr="http://schemas.openxmlformats.org/drawingml/2006/chartDrawing">
    <cdr:from>
      <cdr:x>0.69643</cdr:x>
      <cdr:y>0.51675</cdr:y>
    </cdr:from>
    <cdr:to>
      <cdr:x>0.93929</cdr:x>
      <cdr:y>0.78309</cdr:y>
    </cdr:to>
    <cdr:sp macro="" textlink="">
      <cdr:nvSpPr>
        <cdr:cNvPr id="10" name="TextBox 4"/>
        <cdr:cNvSpPr txBox="1"/>
      </cdr:nvSpPr>
      <cdr:spPr>
        <a:xfrm xmlns:a="http://schemas.openxmlformats.org/drawingml/2006/main">
          <a:off x="3714750" y="3086100"/>
          <a:ext cx="1295400" cy="15906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dr:relSizeAnchor xmlns:cdr="http://schemas.openxmlformats.org/drawingml/2006/chartDrawing">
    <cdr:from>
      <cdr:x>0.65714</cdr:x>
      <cdr:y>0.53748</cdr:y>
    </cdr:from>
    <cdr:to>
      <cdr:x>0.93036</cdr:x>
      <cdr:y>0.83254</cdr:y>
    </cdr:to>
    <cdr:sp macro="" textlink="">
      <cdr:nvSpPr>
        <cdr:cNvPr id="11" name="TextBox 1"/>
        <cdr:cNvSpPr txBox="1"/>
      </cdr:nvSpPr>
      <cdr:spPr>
        <a:xfrm xmlns:a="http://schemas.openxmlformats.org/drawingml/2006/main">
          <a:off x="3505200" y="3209925"/>
          <a:ext cx="1457325" cy="1762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dr:relSizeAnchor xmlns:cdr="http://schemas.openxmlformats.org/drawingml/2006/chartDrawing">
    <cdr:from>
      <cdr:x>0.70357</cdr:x>
      <cdr:y>0.49123</cdr:y>
    </cdr:from>
    <cdr:to>
      <cdr:x>0.93393</cdr:x>
      <cdr:y>0.79426</cdr:y>
    </cdr:to>
    <cdr:sp macro="" textlink="">
      <cdr:nvSpPr>
        <cdr:cNvPr id="12" name="TextBox 2"/>
        <cdr:cNvSpPr txBox="1"/>
      </cdr:nvSpPr>
      <cdr:spPr>
        <a:xfrm xmlns:a="http://schemas.openxmlformats.org/drawingml/2006/main">
          <a:off x="3752850" y="2933700"/>
          <a:ext cx="1228725" cy="1809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dr:relSizeAnchor xmlns:cdr="http://schemas.openxmlformats.org/drawingml/2006/chartDrawing">
    <cdr:from>
      <cdr:x>0.64286</cdr:x>
      <cdr:y>0.51356</cdr:y>
    </cdr:from>
    <cdr:to>
      <cdr:x>0.98036</cdr:x>
      <cdr:y>0.78469</cdr:y>
    </cdr:to>
    <cdr:sp macro="" textlink="">
      <cdr:nvSpPr>
        <cdr:cNvPr id="13" name="TextBox 12"/>
        <cdr:cNvSpPr txBox="1"/>
      </cdr:nvSpPr>
      <cdr:spPr>
        <a:xfrm xmlns:a="http://schemas.openxmlformats.org/drawingml/2006/main">
          <a:off x="3429000" y="3067050"/>
          <a:ext cx="1800225" cy="1619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200">
              <a:latin typeface="Times New Roman" pitchFamily="18" charset="0"/>
              <a:cs typeface="Times New Roman" pitchFamily="18" charset="0"/>
            </a:rPr>
            <a:t>    Kopā - 511,5 milj. latu</a:t>
          </a:r>
        </a:p>
        <a:p xmlns:a="http://schemas.openxmlformats.org/drawingml/2006/main">
          <a:endParaRPr lang="lv-LV" sz="1200">
            <a:latin typeface="Times New Roman" pitchFamily="18" charset="0"/>
            <a:cs typeface="Times New Roman" pitchFamily="18" charset="0"/>
          </a:endParaRPr>
        </a:p>
        <a:p xmlns:a="http://schemas.openxmlformats.org/drawingml/2006/main">
          <a:r>
            <a:rPr lang="lv-LV" sz="1200">
              <a:latin typeface="Times New Roman" pitchFamily="18" charset="0"/>
              <a:cs typeface="Times New Roman" pitchFamily="18" charset="0"/>
            </a:rPr>
            <a:t>   Kopā - 489,2 milj. latu</a:t>
          </a:r>
        </a:p>
        <a:p xmlns:a="http://schemas.openxmlformats.org/drawingml/2006/main">
          <a:endParaRPr lang="lv-LV" sz="1200">
            <a:latin typeface="Times New Roman" pitchFamily="18" charset="0"/>
            <a:cs typeface="Times New Roman" pitchFamily="18" charset="0"/>
          </a:endParaRPr>
        </a:p>
        <a:p xmlns:a="http://schemas.openxmlformats.org/drawingml/2006/main">
          <a:r>
            <a:rPr lang="lv-LV" sz="1200" baseline="0">
              <a:latin typeface="Times New Roman" pitchFamily="18" charset="0"/>
              <a:cs typeface="Times New Roman" pitchFamily="18" charset="0"/>
            </a:rPr>
            <a:t>   Kopā - 247,7 milj. latu</a:t>
          </a:r>
          <a:endParaRPr lang="lv-LV" sz="1200">
            <a:latin typeface="Times New Roman" pitchFamily="18" charset="0"/>
            <a:cs typeface="Times New Roman" pitchFamily="18" charset="0"/>
          </a:endParaRPr>
        </a:p>
        <a:p xmlns:a="http://schemas.openxmlformats.org/drawingml/2006/main">
          <a:endParaRPr lang="lv-LV" sz="1200">
            <a:latin typeface="Times New Roman" pitchFamily="18" charset="0"/>
            <a:cs typeface="Times New Roman" pitchFamily="18" charset="0"/>
          </a:endParaRPr>
        </a:p>
        <a:p xmlns:a="http://schemas.openxmlformats.org/drawingml/2006/main">
          <a:endParaRPr lang="lv-LV" sz="1200">
            <a:latin typeface="Times New Roman" pitchFamily="18" charset="0"/>
            <a:cs typeface="Times New Roman" pitchFamily="18" charset="0"/>
          </a:endParaRPr>
        </a:p>
      </cdr:txBody>
    </cdr:sp>
  </cdr:relSizeAnchor>
  <cdr:relSizeAnchor xmlns:cdr="http://schemas.openxmlformats.org/drawingml/2006/chartDrawing">
    <cdr:from>
      <cdr:x>0.65149</cdr:x>
      <cdr:y>0.53333</cdr:y>
    </cdr:from>
    <cdr:to>
      <cdr:x>0.68006</cdr:x>
      <cdr:y>0.55725</cdr:y>
    </cdr:to>
    <cdr:sp macro="" textlink="">
      <cdr:nvSpPr>
        <cdr:cNvPr id="14" name="Rectangle 13"/>
        <cdr:cNvSpPr/>
      </cdr:nvSpPr>
      <cdr:spPr>
        <a:xfrm xmlns:a="http://schemas.openxmlformats.org/drawingml/2006/main">
          <a:off x="3770843" y="2626663"/>
          <a:ext cx="165364" cy="117807"/>
        </a:xfrm>
        <a:prstGeom xmlns:a="http://schemas.openxmlformats.org/drawingml/2006/main" prst="rect">
          <a:avLst/>
        </a:prstGeom>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lv-LV"/>
        </a:p>
      </cdr:txBody>
    </cdr:sp>
  </cdr:relSizeAnchor>
  <cdr:relSizeAnchor xmlns:cdr="http://schemas.openxmlformats.org/drawingml/2006/chartDrawing">
    <cdr:from>
      <cdr:x>0.64463</cdr:x>
      <cdr:y>0.60331</cdr:y>
    </cdr:from>
    <cdr:to>
      <cdr:x>0.67677</cdr:x>
      <cdr:y>0.63202</cdr:y>
    </cdr:to>
    <cdr:sp macro="" textlink="">
      <cdr:nvSpPr>
        <cdr:cNvPr id="17" name="Rectangle 16"/>
        <cdr:cNvSpPr/>
      </cdr:nvSpPr>
      <cdr:spPr>
        <a:xfrm xmlns:a="http://schemas.openxmlformats.org/drawingml/2006/main">
          <a:off x="3731121" y="2971337"/>
          <a:ext cx="186028" cy="141399"/>
        </a:xfrm>
        <a:prstGeom xmlns:a="http://schemas.openxmlformats.org/drawingml/2006/main" prst="rect">
          <a:avLst/>
        </a:prstGeom>
        <a:solidFill xmlns:a="http://schemas.openxmlformats.org/drawingml/2006/main">
          <a:schemeClr val="accent2"/>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lv-LV"/>
        </a:p>
      </cdr:txBody>
    </cdr:sp>
  </cdr:relSizeAnchor>
  <cdr:relSizeAnchor xmlns:cdr="http://schemas.openxmlformats.org/drawingml/2006/chartDrawing">
    <cdr:from>
      <cdr:x>0.64463</cdr:x>
      <cdr:y>0.67155</cdr:y>
    </cdr:from>
    <cdr:to>
      <cdr:x>0.67677</cdr:x>
      <cdr:y>0.69707</cdr:y>
    </cdr:to>
    <cdr:sp macro="" textlink="">
      <cdr:nvSpPr>
        <cdr:cNvPr id="18" name="Rectangle 17"/>
        <cdr:cNvSpPr/>
      </cdr:nvSpPr>
      <cdr:spPr>
        <a:xfrm xmlns:a="http://schemas.openxmlformats.org/drawingml/2006/main">
          <a:off x="3731120" y="3307435"/>
          <a:ext cx="186028" cy="125688"/>
        </a:xfrm>
        <a:prstGeom xmlns:a="http://schemas.openxmlformats.org/drawingml/2006/main" prst="rect">
          <a:avLst/>
        </a:prstGeom>
        <a:solidFill xmlns:a="http://schemas.openxmlformats.org/drawingml/2006/main">
          <a:schemeClr val="accent3"/>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lv-LV"/>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A38F6-B90F-4D41-A04C-1B2BE2FD4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75</Pages>
  <Words>117462</Words>
  <Characters>66954</Characters>
  <Application>Microsoft Office Word</Application>
  <DocSecurity>0</DocSecurity>
  <Lines>557</Lines>
  <Paragraphs>368</Paragraphs>
  <ScaleCrop>false</ScaleCrop>
  <HeadingPairs>
    <vt:vector size="2" baseType="variant">
      <vt:variant>
        <vt:lpstr>Title</vt:lpstr>
      </vt:variant>
      <vt:variant>
        <vt:i4>1</vt:i4>
      </vt:variant>
    </vt:vector>
  </HeadingPairs>
  <TitlesOfParts>
    <vt:vector size="1" baseType="lpstr">
      <vt:lpstr>Finanšu ministrijas informatīvais ziņojums par ārvalstu finanšu resursu(ES struktūrfondu un Kohēzijas fonda, Eiropas Ekonomikas zonas finanšu instrumenta, Norvēģijas valdības divpusējā finanšu instrumenta un Latvijas un Šveices sadarbības programmas) apgu</vt:lpstr>
    </vt:vector>
  </TitlesOfParts>
  <Company>Finanšu ministrija</Company>
  <LinksUpToDate>false</LinksUpToDate>
  <CharactersWithSpaces>184048</CharactersWithSpaces>
  <SharedDoc>false</SharedDoc>
  <HLinks>
    <vt:vector size="174" baseType="variant">
      <vt:variant>
        <vt:i4>1376297</vt:i4>
      </vt:variant>
      <vt:variant>
        <vt:i4>132</vt:i4>
      </vt:variant>
      <vt:variant>
        <vt:i4>0</vt:i4>
      </vt:variant>
      <vt:variant>
        <vt:i4>5</vt:i4>
      </vt:variant>
      <vt:variant>
        <vt:lpwstr>mailto:Sintija.Laugale@fm.gov.lv</vt:lpwstr>
      </vt:variant>
      <vt:variant>
        <vt:lpwstr/>
      </vt:variant>
      <vt:variant>
        <vt:i4>7078000</vt:i4>
      </vt:variant>
      <vt:variant>
        <vt:i4>129</vt:i4>
      </vt:variant>
      <vt:variant>
        <vt:i4>0</vt:i4>
      </vt:variant>
      <vt:variant>
        <vt:i4>5</vt:i4>
      </vt:variant>
      <vt:variant>
        <vt:lpwstr>http://www.esfondi.lv/</vt:lpwstr>
      </vt:variant>
      <vt:variant>
        <vt:lpwstr/>
      </vt:variant>
      <vt:variant>
        <vt:i4>7078000</vt:i4>
      </vt:variant>
      <vt:variant>
        <vt:i4>126</vt:i4>
      </vt:variant>
      <vt:variant>
        <vt:i4>0</vt:i4>
      </vt:variant>
      <vt:variant>
        <vt:i4>5</vt:i4>
      </vt:variant>
      <vt:variant>
        <vt:lpwstr>http://www.esfondi.lv/</vt:lpwstr>
      </vt:variant>
      <vt:variant>
        <vt:lpwstr/>
      </vt:variant>
      <vt:variant>
        <vt:i4>7078000</vt:i4>
      </vt:variant>
      <vt:variant>
        <vt:i4>123</vt:i4>
      </vt:variant>
      <vt:variant>
        <vt:i4>0</vt:i4>
      </vt:variant>
      <vt:variant>
        <vt:i4>5</vt:i4>
      </vt:variant>
      <vt:variant>
        <vt:lpwstr>http://www.esfondi.lv/</vt:lpwstr>
      </vt:variant>
      <vt:variant>
        <vt:lpwstr/>
      </vt:variant>
      <vt:variant>
        <vt:i4>852035</vt:i4>
      </vt:variant>
      <vt:variant>
        <vt:i4>114</vt:i4>
      </vt:variant>
      <vt:variant>
        <vt:i4>0</vt:i4>
      </vt:variant>
      <vt:variant>
        <vt:i4>5</vt:i4>
      </vt:variant>
      <vt:variant>
        <vt:lpwstr>http://www.esfondi.lv/page.php?id=913</vt:lpwstr>
      </vt:variant>
      <vt:variant>
        <vt:lpwstr/>
      </vt:variant>
      <vt:variant>
        <vt:i4>852035</vt:i4>
      </vt:variant>
      <vt:variant>
        <vt:i4>111</vt:i4>
      </vt:variant>
      <vt:variant>
        <vt:i4>0</vt:i4>
      </vt:variant>
      <vt:variant>
        <vt:i4>5</vt:i4>
      </vt:variant>
      <vt:variant>
        <vt:lpwstr>http://www.esfondi.lv/page.php?id=913</vt:lpwstr>
      </vt:variant>
      <vt:variant>
        <vt:lpwstr/>
      </vt:variant>
      <vt:variant>
        <vt:i4>1048638</vt:i4>
      </vt:variant>
      <vt:variant>
        <vt:i4>104</vt:i4>
      </vt:variant>
      <vt:variant>
        <vt:i4>0</vt:i4>
      </vt:variant>
      <vt:variant>
        <vt:i4>5</vt:i4>
      </vt:variant>
      <vt:variant>
        <vt:lpwstr/>
      </vt:variant>
      <vt:variant>
        <vt:lpwstr>_Toc298933745</vt:lpwstr>
      </vt:variant>
      <vt:variant>
        <vt:i4>1048638</vt:i4>
      </vt:variant>
      <vt:variant>
        <vt:i4>98</vt:i4>
      </vt:variant>
      <vt:variant>
        <vt:i4>0</vt:i4>
      </vt:variant>
      <vt:variant>
        <vt:i4>5</vt:i4>
      </vt:variant>
      <vt:variant>
        <vt:lpwstr/>
      </vt:variant>
      <vt:variant>
        <vt:lpwstr>_Toc298933744</vt:lpwstr>
      </vt:variant>
      <vt:variant>
        <vt:i4>1048638</vt:i4>
      </vt:variant>
      <vt:variant>
        <vt:i4>92</vt:i4>
      </vt:variant>
      <vt:variant>
        <vt:i4>0</vt:i4>
      </vt:variant>
      <vt:variant>
        <vt:i4>5</vt:i4>
      </vt:variant>
      <vt:variant>
        <vt:lpwstr/>
      </vt:variant>
      <vt:variant>
        <vt:lpwstr>_Toc298933743</vt:lpwstr>
      </vt:variant>
      <vt:variant>
        <vt:i4>1048638</vt:i4>
      </vt:variant>
      <vt:variant>
        <vt:i4>86</vt:i4>
      </vt:variant>
      <vt:variant>
        <vt:i4>0</vt:i4>
      </vt:variant>
      <vt:variant>
        <vt:i4>5</vt:i4>
      </vt:variant>
      <vt:variant>
        <vt:lpwstr/>
      </vt:variant>
      <vt:variant>
        <vt:lpwstr>_Toc298933742</vt:lpwstr>
      </vt:variant>
      <vt:variant>
        <vt:i4>1048638</vt:i4>
      </vt:variant>
      <vt:variant>
        <vt:i4>80</vt:i4>
      </vt:variant>
      <vt:variant>
        <vt:i4>0</vt:i4>
      </vt:variant>
      <vt:variant>
        <vt:i4>5</vt:i4>
      </vt:variant>
      <vt:variant>
        <vt:lpwstr/>
      </vt:variant>
      <vt:variant>
        <vt:lpwstr>_Toc298933741</vt:lpwstr>
      </vt:variant>
      <vt:variant>
        <vt:i4>1048638</vt:i4>
      </vt:variant>
      <vt:variant>
        <vt:i4>74</vt:i4>
      </vt:variant>
      <vt:variant>
        <vt:i4>0</vt:i4>
      </vt:variant>
      <vt:variant>
        <vt:i4>5</vt:i4>
      </vt:variant>
      <vt:variant>
        <vt:lpwstr/>
      </vt:variant>
      <vt:variant>
        <vt:lpwstr>_Toc298933740</vt:lpwstr>
      </vt:variant>
      <vt:variant>
        <vt:i4>1507390</vt:i4>
      </vt:variant>
      <vt:variant>
        <vt:i4>68</vt:i4>
      </vt:variant>
      <vt:variant>
        <vt:i4>0</vt:i4>
      </vt:variant>
      <vt:variant>
        <vt:i4>5</vt:i4>
      </vt:variant>
      <vt:variant>
        <vt:lpwstr/>
      </vt:variant>
      <vt:variant>
        <vt:lpwstr>_Toc298933739</vt:lpwstr>
      </vt:variant>
      <vt:variant>
        <vt:i4>1507390</vt:i4>
      </vt:variant>
      <vt:variant>
        <vt:i4>62</vt:i4>
      </vt:variant>
      <vt:variant>
        <vt:i4>0</vt:i4>
      </vt:variant>
      <vt:variant>
        <vt:i4>5</vt:i4>
      </vt:variant>
      <vt:variant>
        <vt:lpwstr/>
      </vt:variant>
      <vt:variant>
        <vt:lpwstr>_Toc298933738</vt:lpwstr>
      </vt:variant>
      <vt:variant>
        <vt:i4>1507390</vt:i4>
      </vt:variant>
      <vt:variant>
        <vt:i4>56</vt:i4>
      </vt:variant>
      <vt:variant>
        <vt:i4>0</vt:i4>
      </vt:variant>
      <vt:variant>
        <vt:i4>5</vt:i4>
      </vt:variant>
      <vt:variant>
        <vt:lpwstr/>
      </vt:variant>
      <vt:variant>
        <vt:lpwstr>_Toc298933737</vt:lpwstr>
      </vt:variant>
      <vt:variant>
        <vt:i4>1507390</vt:i4>
      </vt:variant>
      <vt:variant>
        <vt:i4>50</vt:i4>
      </vt:variant>
      <vt:variant>
        <vt:i4>0</vt:i4>
      </vt:variant>
      <vt:variant>
        <vt:i4>5</vt:i4>
      </vt:variant>
      <vt:variant>
        <vt:lpwstr/>
      </vt:variant>
      <vt:variant>
        <vt:lpwstr>_Toc298933736</vt:lpwstr>
      </vt:variant>
      <vt:variant>
        <vt:i4>1507390</vt:i4>
      </vt:variant>
      <vt:variant>
        <vt:i4>44</vt:i4>
      </vt:variant>
      <vt:variant>
        <vt:i4>0</vt:i4>
      </vt:variant>
      <vt:variant>
        <vt:i4>5</vt:i4>
      </vt:variant>
      <vt:variant>
        <vt:lpwstr/>
      </vt:variant>
      <vt:variant>
        <vt:lpwstr>_Toc298933735</vt:lpwstr>
      </vt:variant>
      <vt:variant>
        <vt:i4>1507390</vt:i4>
      </vt:variant>
      <vt:variant>
        <vt:i4>38</vt:i4>
      </vt:variant>
      <vt:variant>
        <vt:i4>0</vt:i4>
      </vt:variant>
      <vt:variant>
        <vt:i4>5</vt:i4>
      </vt:variant>
      <vt:variant>
        <vt:lpwstr/>
      </vt:variant>
      <vt:variant>
        <vt:lpwstr>_Toc298933734</vt:lpwstr>
      </vt:variant>
      <vt:variant>
        <vt:i4>1507390</vt:i4>
      </vt:variant>
      <vt:variant>
        <vt:i4>32</vt:i4>
      </vt:variant>
      <vt:variant>
        <vt:i4>0</vt:i4>
      </vt:variant>
      <vt:variant>
        <vt:i4>5</vt:i4>
      </vt:variant>
      <vt:variant>
        <vt:lpwstr/>
      </vt:variant>
      <vt:variant>
        <vt:lpwstr>_Toc298933733</vt:lpwstr>
      </vt:variant>
      <vt:variant>
        <vt:i4>1507390</vt:i4>
      </vt:variant>
      <vt:variant>
        <vt:i4>26</vt:i4>
      </vt:variant>
      <vt:variant>
        <vt:i4>0</vt:i4>
      </vt:variant>
      <vt:variant>
        <vt:i4>5</vt:i4>
      </vt:variant>
      <vt:variant>
        <vt:lpwstr/>
      </vt:variant>
      <vt:variant>
        <vt:lpwstr>_Toc298933732</vt:lpwstr>
      </vt:variant>
      <vt:variant>
        <vt:i4>1507390</vt:i4>
      </vt:variant>
      <vt:variant>
        <vt:i4>20</vt:i4>
      </vt:variant>
      <vt:variant>
        <vt:i4>0</vt:i4>
      </vt:variant>
      <vt:variant>
        <vt:i4>5</vt:i4>
      </vt:variant>
      <vt:variant>
        <vt:lpwstr/>
      </vt:variant>
      <vt:variant>
        <vt:lpwstr>_Toc298933731</vt:lpwstr>
      </vt:variant>
      <vt:variant>
        <vt:i4>1507390</vt:i4>
      </vt:variant>
      <vt:variant>
        <vt:i4>14</vt:i4>
      </vt:variant>
      <vt:variant>
        <vt:i4>0</vt:i4>
      </vt:variant>
      <vt:variant>
        <vt:i4>5</vt:i4>
      </vt:variant>
      <vt:variant>
        <vt:lpwstr/>
      </vt:variant>
      <vt:variant>
        <vt:lpwstr>_Toc298933730</vt:lpwstr>
      </vt:variant>
      <vt:variant>
        <vt:i4>1441854</vt:i4>
      </vt:variant>
      <vt:variant>
        <vt:i4>8</vt:i4>
      </vt:variant>
      <vt:variant>
        <vt:i4>0</vt:i4>
      </vt:variant>
      <vt:variant>
        <vt:i4>5</vt:i4>
      </vt:variant>
      <vt:variant>
        <vt:lpwstr/>
      </vt:variant>
      <vt:variant>
        <vt:lpwstr>_Toc298933729</vt:lpwstr>
      </vt:variant>
      <vt:variant>
        <vt:i4>1441854</vt:i4>
      </vt:variant>
      <vt:variant>
        <vt:i4>2</vt:i4>
      </vt:variant>
      <vt:variant>
        <vt:i4>0</vt:i4>
      </vt:variant>
      <vt:variant>
        <vt:i4>5</vt:i4>
      </vt:variant>
      <vt:variant>
        <vt:lpwstr/>
      </vt:variant>
      <vt:variant>
        <vt:lpwstr>_Toc298933728</vt:lpwstr>
      </vt:variant>
      <vt:variant>
        <vt:i4>4259915</vt:i4>
      </vt:variant>
      <vt:variant>
        <vt:i4>0</vt:i4>
      </vt:variant>
      <vt:variant>
        <vt:i4>0</vt:i4>
      </vt:variant>
      <vt:variant>
        <vt:i4>5</vt:i4>
      </vt:variant>
      <vt:variant>
        <vt:lpwstr>http://www.mk.gov.lv/lv/mk/tap/?pid=40220835&amp;mode=mk&amp;date=2011-06-28</vt:lpwstr>
      </vt:variant>
      <vt:variant>
        <vt:lpwstr/>
      </vt:variant>
      <vt:variant>
        <vt:i4>7602252</vt:i4>
      </vt:variant>
      <vt:variant>
        <vt:i4>-1</vt:i4>
      </vt:variant>
      <vt:variant>
        <vt:i4>1028</vt:i4>
      </vt:variant>
      <vt:variant>
        <vt:i4>1</vt:i4>
      </vt:variant>
      <vt:variant>
        <vt:lpwstr>cid:image009.jpg@01CBC3A8.FD1A1C60</vt:lpwstr>
      </vt:variant>
      <vt:variant>
        <vt:lpwstr/>
      </vt:variant>
      <vt:variant>
        <vt:i4>8061004</vt:i4>
      </vt:variant>
      <vt:variant>
        <vt:i4>-1</vt:i4>
      </vt:variant>
      <vt:variant>
        <vt:i4>1030</vt:i4>
      </vt:variant>
      <vt:variant>
        <vt:i4>1</vt:i4>
      </vt:variant>
      <vt:variant>
        <vt:lpwstr>cid:image006.jpg@01CBC3A8.FD1A1C60</vt:lpwstr>
      </vt:variant>
      <vt:variant>
        <vt:lpwstr/>
      </vt:variant>
      <vt:variant>
        <vt:i4>8192077</vt:i4>
      </vt:variant>
      <vt:variant>
        <vt:i4>-1</vt:i4>
      </vt:variant>
      <vt:variant>
        <vt:i4>1029</vt:i4>
      </vt:variant>
      <vt:variant>
        <vt:i4>1</vt:i4>
      </vt:variant>
      <vt:variant>
        <vt:lpwstr>cid:image010.jpg@01CBC3A8.FD1A1C60</vt:lpwstr>
      </vt:variant>
      <vt:variant>
        <vt:lpwstr/>
      </vt:variant>
      <vt:variant>
        <vt:i4>6684755</vt:i4>
      </vt:variant>
      <vt:variant>
        <vt:i4>-1</vt:i4>
      </vt:variant>
      <vt:variant>
        <vt:i4>1027</vt:i4>
      </vt:variant>
      <vt:variant>
        <vt:i4>1</vt:i4>
      </vt:variant>
      <vt:variant>
        <vt:lpwstr>cid:image011.png@01CBC3A8.FD1A1C60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Finanšu ministrijas informatīvais ziņojums par ārvalstu finanšu resursu(ES struktūrfondu un Kohēzijas fonda, Eiropas Ekonomikas zonas finanšu instrumenta, Norvēģijas valdības divpusējā finanšu instrumenta un Latvijas un Šveices sadarbības programmas) apgu</dc:title>
  <dc:subject>Finanšu ministrijas informatīvais ziņojums par Eiropas Savienības struktūrfondu un Kohēzijas fonda, Eiropas Ekonomikas zonas finanšu instrumenta, Norvēģijas valdības divpusējā finanšu instrumenta un Latvijas un Šveices sadarbības programmas apguvi līdz 2011.gada 30.septembrim</dc:subject>
  <dc:creator>Signe Albiņa</dc:creator>
  <dc:description>Signe Albiņa
Finanšu ministrijas Eiropas Savienības fondu uzraudzības departamenta
Uzņēmējdarbības un inovāciju uzraudzības nodaļas vadītāja vietniece
Tālr. 670083808, fakss 67095697
Signe.Albina@fm.gov.lv</dc:description>
  <cp:lastModifiedBy>Anna Pukse FM ESFUD PIUN</cp:lastModifiedBy>
  <cp:revision>142</cp:revision>
  <cp:lastPrinted>2011-11-11T09:29:00Z</cp:lastPrinted>
  <dcterms:created xsi:type="dcterms:W3CDTF">2011-10-28T06:46:00Z</dcterms:created>
  <dcterms:modified xsi:type="dcterms:W3CDTF">2011-12-08T09:44:00Z</dcterms:modified>
</cp:coreProperties>
</file>