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theme/themeOverride4.xml" ContentType="application/vnd.openxmlformats-officedocument.themeOverride+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theme/themeOverride7.xml" ContentType="application/vnd.openxmlformats-officedocument.themeOverride+xml"/>
  <Override PartName="/word/charts/chart13.xml" ContentType="application/vnd.openxmlformats-officedocument.drawingml.chart+xml"/>
  <Override PartName="/word/theme/themeOverride8.xml" ContentType="application/vnd.openxmlformats-officedocument.themeOverride+xml"/>
  <Override PartName="/word/charts/chart14.xml" ContentType="application/vnd.openxmlformats-officedocument.drawingml.chart+xml"/>
  <Override PartName="/word/theme/themeOverride9.xml" ContentType="application/vnd.openxmlformats-officedocument.themeOverride+xml"/>
  <Override PartName="/word/charts/chart15.xml" ContentType="application/vnd.openxmlformats-officedocument.drawingml.chart+xml"/>
  <Override PartName="/word/theme/themeOverride10.xml" ContentType="application/vnd.openxmlformats-officedocument.themeOverride+xml"/>
  <Override PartName="/word/charts/chart16.xml" ContentType="application/vnd.openxmlformats-officedocument.drawingml.chart+xml"/>
  <Override PartName="/word/theme/themeOverride11.xml" ContentType="application/vnd.openxmlformats-officedocument.themeOverride+xml"/>
  <Override PartName="/word/charts/chart17.xml" ContentType="application/vnd.openxmlformats-officedocument.drawingml.chart+xml"/>
  <Override PartName="/word/theme/themeOverride1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4209" w:rsidRPr="00603CA3" w:rsidRDefault="00E81671" w:rsidP="00603CA3">
      <w:pPr>
        <w:spacing w:line="276" w:lineRule="auto"/>
        <w:rPr>
          <w:color w:val="000000" w:themeColor="text1"/>
          <w:szCs w:val="24"/>
          <w:highlight w:val="yellow"/>
        </w:rPr>
      </w:pPr>
      <w:bookmarkStart w:id="0" w:name="OLE_LINK4"/>
      <w:bookmarkStart w:id="1" w:name="OLE_LINK5"/>
      <w:bookmarkStart w:id="2" w:name="_GoBack"/>
      <w:bookmarkEnd w:id="2"/>
      <w:r w:rsidRPr="00603CA3">
        <w:rPr>
          <w:noProof/>
          <w:color w:val="000000" w:themeColor="text1"/>
          <w:szCs w:val="24"/>
          <w:lang w:eastAsia="lv-LV"/>
        </w:rPr>
        <w:drawing>
          <wp:anchor distT="0" distB="0" distL="114300" distR="114300" simplePos="0" relativeHeight="251657216" behindDoc="0" locked="0" layoutInCell="1" allowOverlap="1" wp14:anchorId="03B16314" wp14:editId="4732A446">
            <wp:simplePos x="0" y="0"/>
            <wp:positionH relativeFrom="column">
              <wp:posOffset>577850</wp:posOffset>
            </wp:positionH>
            <wp:positionV relativeFrom="paragraph">
              <wp:posOffset>-314960</wp:posOffset>
            </wp:positionV>
            <wp:extent cx="2604770" cy="701675"/>
            <wp:effectExtent l="0" t="0" r="5080" b="3175"/>
            <wp:wrapSquare wrapText="bothSides"/>
            <wp:docPr id="26" name="Picture 27" descr="Description: Description: Description: Swiss Contribution_garaa_vers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escription: Description: Swiss Contribution_garaa_versija"/>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2604770"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3CA3">
        <w:rPr>
          <w:noProof/>
          <w:color w:val="000000" w:themeColor="text1"/>
          <w:szCs w:val="24"/>
          <w:lang w:eastAsia="lv-LV"/>
        </w:rPr>
        <w:drawing>
          <wp:anchor distT="0" distB="0" distL="114300" distR="114300" simplePos="0" relativeHeight="251658240" behindDoc="0" locked="0" layoutInCell="1" allowOverlap="1" wp14:anchorId="7CD4D922" wp14:editId="0C9AE70A">
            <wp:simplePos x="0" y="0"/>
            <wp:positionH relativeFrom="column">
              <wp:posOffset>3204210</wp:posOffset>
            </wp:positionH>
            <wp:positionV relativeFrom="paragraph">
              <wp:posOffset>-433070</wp:posOffset>
            </wp:positionV>
            <wp:extent cx="1329055" cy="935355"/>
            <wp:effectExtent l="0" t="0" r="4445" b="0"/>
            <wp:wrapSquare wrapText="bothSides"/>
            <wp:docPr id="25" name="Picture 12" descr="Description: http://www.eeagrants.lv/images/logo_le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www.eeagrants.lv/images/logo_left.jpg"/>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1329055" cy="935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3CA3">
        <w:rPr>
          <w:noProof/>
          <w:color w:val="000000" w:themeColor="text1"/>
          <w:szCs w:val="24"/>
          <w:lang w:eastAsia="lv-LV"/>
        </w:rPr>
        <w:drawing>
          <wp:anchor distT="0" distB="0" distL="114300" distR="114300" simplePos="0" relativeHeight="251656192" behindDoc="0" locked="0" layoutInCell="1" allowOverlap="1" wp14:anchorId="2D9E1D83" wp14:editId="25DEEAE1">
            <wp:simplePos x="0" y="0"/>
            <wp:positionH relativeFrom="column">
              <wp:posOffset>-574675</wp:posOffset>
            </wp:positionH>
            <wp:positionV relativeFrom="paragraph">
              <wp:posOffset>-409575</wp:posOffset>
            </wp:positionV>
            <wp:extent cx="1137285" cy="924560"/>
            <wp:effectExtent l="0" t="0" r="5715" b="8890"/>
            <wp:wrapSquare wrapText="bothSides"/>
            <wp:docPr id="24" name="Picture 26" descr="Description: http://www.esfondi.lv/upload/Logotipi/EK_logo_ar_atsauc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http://www.esfondi.lv/upload/Logotipi/EK_logo_ar_atsauci.bmp"/>
                    <pic:cNvPicPr>
                      <a:picLocks noChangeAspect="1" noChangeArrowheads="1"/>
                    </pic:cNvPicPr>
                  </pic:nvPicPr>
                  <pic:blipFill>
                    <a:blip r:embed="rId13" r:link="rId14">
                      <a:extLst>
                        <a:ext uri="{28A0092B-C50C-407E-A947-70E740481C1C}">
                          <a14:useLocalDpi xmlns:a14="http://schemas.microsoft.com/office/drawing/2010/main" val="0"/>
                        </a:ext>
                      </a:extLst>
                    </a:blip>
                    <a:srcRect/>
                    <a:stretch>
                      <a:fillRect/>
                    </a:stretch>
                  </pic:blipFill>
                  <pic:spPr bwMode="auto">
                    <a:xfrm>
                      <a:off x="0" y="0"/>
                      <a:ext cx="1137285" cy="924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3CA3">
        <w:rPr>
          <w:noProof/>
          <w:color w:val="000000" w:themeColor="text1"/>
          <w:szCs w:val="24"/>
          <w:lang w:eastAsia="lv-LV"/>
        </w:rPr>
        <w:drawing>
          <wp:anchor distT="0" distB="0" distL="114300" distR="114300" simplePos="0" relativeHeight="251659264" behindDoc="0" locked="0" layoutInCell="1" allowOverlap="1" wp14:anchorId="73E58DBB" wp14:editId="487B3086">
            <wp:simplePos x="0" y="0"/>
            <wp:positionH relativeFrom="column">
              <wp:posOffset>4532630</wp:posOffset>
            </wp:positionH>
            <wp:positionV relativeFrom="paragraph">
              <wp:posOffset>-423545</wp:posOffset>
            </wp:positionV>
            <wp:extent cx="1488440" cy="924560"/>
            <wp:effectExtent l="0" t="0" r="0" b="8890"/>
            <wp:wrapSquare wrapText="bothSides"/>
            <wp:docPr id="23" name="Picture 9" descr="Description: cid:image011.png@01CBC3A8.FD1A1C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id:image011.png@01CBC3A8.FD1A1C60"/>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488440" cy="924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F4209" w:rsidRPr="00603CA3" w:rsidRDefault="00FF4209" w:rsidP="00603CA3">
      <w:pPr>
        <w:pStyle w:val="BodyText"/>
        <w:spacing w:line="276" w:lineRule="auto"/>
        <w:jc w:val="both"/>
        <w:rPr>
          <w:color w:val="000000" w:themeColor="text1"/>
          <w:highlight w:val="yellow"/>
          <w:lang w:val="lv-LV"/>
        </w:rPr>
      </w:pPr>
    </w:p>
    <w:p w:rsidR="00FF4209" w:rsidRPr="00603CA3" w:rsidRDefault="00FF4209" w:rsidP="00603CA3">
      <w:pPr>
        <w:pStyle w:val="BodyText"/>
        <w:spacing w:line="276" w:lineRule="auto"/>
        <w:jc w:val="both"/>
        <w:rPr>
          <w:color w:val="000000" w:themeColor="text1"/>
          <w:highlight w:val="yellow"/>
          <w:lang w:val="lv-LV"/>
        </w:rPr>
      </w:pPr>
    </w:p>
    <w:p w:rsidR="00FF4209" w:rsidRPr="00603CA3" w:rsidRDefault="00FF4209" w:rsidP="00603CA3">
      <w:pPr>
        <w:pStyle w:val="BodyText"/>
        <w:spacing w:line="276" w:lineRule="auto"/>
        <w:jc w:val="both"/>
        <w:rPr>
          <w:color w:val="000000" w:themeColor="text1"/>
          <w:highlight w:val="yellow"/>
          <w:lang w:val="lv-LV"/>
        </w:rPr>
      </w:pPr>
    </w:p>
    <w:p w:rsidR="00FF4209" w:rsidRPr="00603CA3" w:rsidRDefault="00FF4209" w:rsidP="00603CA3">
      <w:pPr>
        <w:pStyle w:val="BodyText"/>
        <w:spacing w:line="276" w:lineRule="auto"/>
        <w:jc w:val="both"/>
        <w:rPr>
          <w:color w:val="000000" w:themeColor="text1"/>
          <w:highlight w:val="yellow"/>
          <w:lang w:val="lv-LV"/>
        </w:rPr>
      </w:pPr>
    </w:p>
    <w:p w:rsidR="00FF4209" w:rsidRPr="00603CA3" w:rsidRDefault="00FF4209" w:rsidP="00603CA3">
      <w:pPr>
        <w:pStyle w:val="BodyText"/>
        <w:spacing w:line="276" w:lineRule="auto"/>
        <w:jc w:val="both"/>
        <w:rPr>
          <w:color w:val="000000" w:themeColor="text1"/>
          <w:highlight w:val="yellow"/>
          <w:lang w:val="lv-LV"/>
        </w:rPr>
      </w:pPr>
    </w:p>
    <w:p w:rsidR="00FF4209" w:rsidRPr="00603CA3" w:rsidRDefault="00FF4209" w:rsidP="00603CA3">
      <w:pPr>
        <w:pStyle w:val="BodyText"/>
        <w:spacing w:line="276" w:lineRule="auto"/>
        <w:jc w:val="both"/>
        <w:rPr>
          <w:color w:val="000000" w:themeColor="text1"/>
          <w:highlight w:val="yellow"/>
          <w:lang w:val="lv-LV"/>
        </w:rPr>
      </w:pPr>
    </w:p>
    <w:p w:rsidR="00FF4209" w:rsidRPr="00603CA3" w:rsidRDefault="00FF4209" w:rsidP="00603CA3">
      <w:pPr>
        <w:pStyle w:val="BodyText"/>
        <w:spacing w:line="276" w:lineRule="auto"/>
        <w:jc w:val="both"/>
        <w:rPr>
          <w:color w:val="000000" w:themeColor="text1"/>
          <w:highlight w:val="yellow"/>
          <w:lang w:val="lv-LV"/>
        </w:rPr>
      </w:pPr>
    </w:p>
    <w:p w:rsidR="00FF4209" w:rsidRPr="00810227" w:rsidRDefault="00FF4209" w:rsidP="00603CA3">
      <w:pPr>
        <w:pStyle w:val="BodyText"/>
        <w:spacing w:line="276" w:lineRule="auto"/>
        <w:jc w:val="both"/>
        <w:rPr>
          <w:color w:val="000000" w:themeColor="text1"/>
          <w:sz w:val="32"/>
          <w:szCs w:val="32"/>
          <w:highlight w:val="yellow"/>
          <w:lang w:val="lv-LV"/>
        </w:rPr>
      </w:pPr>
    </w:p>
    <w:p w:rsidR="00596455" w:rsidRPr="00810227" w:rsidRDefault="00596455" w:rsidP="00603CA3">
      <w:pPr>
        <w:pStyle w:val="BodyText"/>
        <w:spacing w:line="276" w:lineRule="auto"/>
        <w:jc w:val="center"/>
        <w:rPr>
          <w:color w:val="000000" w:themeColor="text1"/>
          <w:sz w:val="32"/>
          <w:szCs w:val="32"/>
          <w:lang w:val="lv-LV"/>
        </w:rPr>
      </w:pPr>
      <w:bookmarkStart w:id="3" w:name="OLE_LINK8"/>
      <w:bookmarkStart w:id="4" w:name="OLE_LINK9"/>
      <w:r w:rsidRPr="00810227">
        <w:rPr>
          <w:color w:val="000000" w:themeColor="text1"/>
          <w:sz w:val="32"/>
          <w:szCs w:val="32"/>
          <w:lang w:val="lv-LV"/>
        </w:rPr>
        <w:t>Finanšu ministrijas</w:t>
      </w:r>
    </w:p>
    <w:p w:rsidR="00596455" w:rsidRPr="00810227" w:rsidRDefault="00596455" w:rsidP="00603CA3">
      <w:pPr>
        <w:pStyle w:val="Title"/>
        <w:spacing w:line="276" w:lineRule="auto"/>
        <w:rPr>
          <w:color w:val="000000" w:themeColor="text1"/>
          <w:sz w:val="32"/>
          <w:szCs w:val="32"/>
          <w:lang w:val="lv-LV"/>
        </w:rPr>
      </w:pPr>
      <w:r w:rsidRPr="00810227">
        <w:rPr>
          <w:color w:val="000000" w:themeColor="text1"/>
          <w:sz w:val="32"/>
          <w:szCs w:val="32"/>
          <w:lang w:val="lv-LV"/>
        </w:rPr>
        <w:t>informatīvais ziņojums par ārvalstu finanšu resursu</w:t>
      </w:r>
    </w:p>
    <w:p w:rsidR="00596455" w:rsidRPr="00810227" w:rsidRDefault="00596455" w:rsidP="00603CA3">
      <w:pPr>
        <w:pStyle w:val="Title"/>
        <w:spacing w:line="276" w:lineRule="auto"/>
        <w:rPr>
          <w:color w:val="000000" w:themeColor="text1"/>
          <w:sz w:val="32"/>
          <w:szCs w:val="32"/>
          <w:lang w:val="lv-LV"/>
        </w:rPr>
      </w:pPr>
      <w:r w:rsidRPr="00810227">
        <w:rPr>
          <w:color w:val="000000" w:themeColor="text1"/>
          <w:sz w:val="32"/>
          <w:szCs w:val="32"/>
          <w:lang w:val="lv-LV"/>
        </w:rPr>
        <w:t>(Eiropas Savienības struktūrfondu un Kohēzijas fonda, Eiropas Ekonomikas zonas finanšu instrumenta, Norvēģijas valdības divpusējā finanšu instrumenta un Latvijas un Šveices sadarbības programmas) apguvi</w:t>
      </w:r>
    </w:p>
    <w:p w:rsidR="00596455" w:rsidRPr="00810227" w:rsidRDefault="00F77C0D" w:rsidP="00603CA3">
      <w:pPr>
        <w:pStyle w:val="Title"/>
        <w:spacing w:line="276" w:lineRule="auto"/>
        <w:rPr>
          <w:color w:val="000000" w:themeColor="text1"/>
          <w:sz w:val="32"/>
          <w:szCs w:val="32"/>
          <w:lang w:val="lv-LV"/>
        </w:rPr>
      </w:pPr>
      <w:r w:rsidRPr="00810227">
        <w:rPr>
          <w:color w:val="000000" w:themeColor="text1"/>
          <w:sz w:val="32"/>
          <w:szCs w:val="32"/>
          <w:lang w:val="lv-LV"/>
        </w:rPr>
        <w:t>līdz 2011.gada 30.jūnijam</w:t>
      </w:r>
    </w:p>
    <w:bookmarkEnd w:id="3"/>
    <w:bookmarkEnd w:id="4"/>
    <w:p w:rsidR="00FF4209" w:rsidRPr="00603CA3" w:rsidRDefault="00FF4209" w:rsidP="00603CA3">
      <w:pPr>
        <w:pStyle w:val="BodyText"/>
        <w:spacing w:line="276" w:lineRule="auto"/>
        <w:jc w:val="both"/>
        <w:rPr>
          <w:color w:val="000000" w:themeColor="text1"/>
          <w:highlight w:val="yellow"/>
          <w:lang w:val="lv-LV"/>
        </w:rPr>
      </w:pPr>
    </w:p>
    <w:p w:rsidR="00111702" w:rsidRPr="00603CA3" w:rsidRDefault="00111702" w:rsidP="00603CA3">
      <w:pPr>
        <w:spacing w:line="276" w:lineRule="auto"/>
        <w:jc w:val="center"/>
        <w:rPr>
          <w:b/>
          <w:bCs/>
          <w:color w:val="000000" w:themeColor="text1"/>
          <w:szCs w:val="24"/>
          <w:highlight w:val="yellow"/>
        </w:rPr>
      </w:pPr>
      <w:r w:rsidRPr="00603CA3">
        <w:rPr>
          <w:b/>
          <w:bCs/>
          <w:color w:val="000000" w:themeColor="text1"/>
          <w:szCs w:val="24"/>
          <w:highlight w:val="yellow"/>
        </w:rPr>
        <w:br w:type="page"/>
      </w:r>
    </w:p>
    <w:p w:rsidR="0042642A" w:rsidRPr="00603CA3" w:rsidRDefault="0042642A" w:rsidP="00603CA3">
      <w:pPr>
        <w:pStyle w:val="1lmenis"/>
        <w:numPr>
          <w:ilvl w:val="0"/>
          <w:numId w:val="0"/>
        </w:numPr>
        <w:spacing w:before="0" w:after="0" w:line="276" w:lineRule="auto"/>
        <w:ind w:left="491"/>
        <w:rPr>
          <w:rFonts w:ascii="Times New Roman" w:hAnsi="Times New Roman"/>
          <w:color w:val="000000" w:themeColor="text1"/>
          <w:sz w:val="24"/>
          <w:szCs w:val="24"/>
          <w:lang w:val="lv-LV"/>
        </w:rPr>
      </w:pPr>
      <w:bookmarkStart w:id="5" w:name="_Toc293402658"/>
      <w:bookmarkStart w:id="6" w:name="_Toc300759818"/>
      <w:r w:rsidRPr="00603CA3">
        <w:rPr>
          <w:rFonts w:ascii="Times New Roman" w:hAnsi="Times New Roman"/>
          <w:color w:val="000000" w:themeColor="text1"/>
          <w:sz w:val="24"/>
          <w:szCs w:val="24"/>
          <w:lang w:val="lv-LV"/>
        </w:rPr>
        <w:lastRenderedPageBreak/>
        <w:t>Satura rādītājs</w:t>
      </w:r>
      <w:bookmarkEnd w:id="5"/>
      <w:bookmarkEnd w:id="6"/>
    </w:p>
    <w:bookmarkStart w:id="7" w:name="_Toc276049969"/>
    <w:bookmarkStart w:id="8" w:name="_Toc290449010"/>
    <w:p w:rsidR="00810227" w:rsidRDefault="00F770EA">
      <w:pPr>
        <w:pStyle w:val="TOC1"/>
        <w:rPr>
          <w:rFonts w:asciiTheme="minorHAnsi" w:eastAsiaTheme="minorEastAsia" w:hAnsiTheme="minorHAnsi" w:cstheme="minorBidi"/>
          <w:b w:val="0"/>
          <w:bCs w:val="0"/>
          <w:caps w:val="0"/>
          <w:noProof/>
          <w:sz w:val="22"/>
          <w:szCs w:val="22"/>
          <w:lang w:eastAsia="lv-LV"/>
        </w:rPr>
      </w:pPr>
      <w:r w:rsidRPr="00603CA3">
        <w:rPr>
          <w:rFonts w:ascii="Times New Roman" w:hAnsi="Times New Roman"/>
          <w:color w:val="000000" w:themeColor="text1"/>
          <w:szCs w:val="24"/>
          <w:highlight w:val="yellow"/>
        </w:rPr>
        <w:fldChar w:fldCharType="begin"/>
      </w:r>
      <w:r w:rsidRPr="00603CA3">
        <w:rPr>
          <w:rFonts w:ascii="Times New Roman" w:hAnsi="Times New Roman"/>
          <w:color w:val="000000" w:themeColor="text1"/>
          <w:szCs w:val="24"/>
          <w:highlight w:val="yellow"/>
        </w:rPr>
        <w:instrText xml:space="preserve"> TOC \o "1-3" \h \z \u </w:instrText>
      </w:r>
      <w:r w:rsidRPr="00603CA3">
        <w:rPr>
          <w:rFonts w:ascii="Times New Roman" w:hAnsi="Times New Roman"/>
          <w:color w:val="000000" w:themeColor="text1"/>
          <w:szCs w:val="24"/>
          <w:highlight w:val="yellow"/>
        </w:rPr>
        <w:fldChar w:fldCharType="separate"/>
      </w:r>
      <w:hyperlink w:anchor="_Toc300759818" w:history="1">
        <w:r w:rsidR="00810227" w:rsidRPr="00C31535">
          <w:rPr>
            <w:rStyle w:val="Hyperlink"/>
            <w:rFonts w:ascii="Times New Roman" w:hAnsi="Times New Roman"/>
            <w:noProof/>
          </w:rPr>
          <w:t>Satura rādītājs</w:t>
        </w:r>
        <w:r w:rsidR="00810227">
          <w:rPr>
            <w:noProof/>
            <w:webHidden/>
          </w:rPr>
          <w:tab/>
        </w:r>
        <w:r w:rsidR="00810227">
          <w:rPr>
            <w:noProof/>
            <w:webHidden/>
          </w:rPr>
          <w:fldChar w:fldCharType="begin"/>
        </w:r>
        <w:r w:rsidR="00810227">
          <w:rPr>
            <w:noProof/>
            <w:webHidden/>
          </w:rPr>
          <w:instrText xml:space="preserve"> PAGEREF _Toc300759818 \h </w:instrText>
        </w:r>
        <w:r w:rsidR="00810227">
          <w:rPr>
            <w:noProof/>
            <w:webHidden/>
          </w:rPr>
        </w:r>
        <w:r w:rsidR="00810227">
          <w:rPr>
            <w:noProof/>
            <w:webHidden/>
          </w:rPr>
          <w:fldChar w:fldCharType="separate"/>
        </w:r>
        <w:r w:rsidR="00F56EF5">
          <w:rPr>
            <w:noProof/>
            <w:webHidden/>
          </w:rPr>
          <w:t>2</w:t>
        </w:r>
        <w:r w:rsidR="00810227">
          <w:rPr>
            <w:noProof/>
            <w:webHidden/>
          </w:rPr>
          <w:fldChar w:fldCharType="end"/>
        </w:r>
      </w:hyperlink>
    </w:p>
    <w:p w:rsidR="00810227" w:rsidRDefault="00BA61A3">
      <w:pPr>
        <w:pStyle w:val="TOC1"/>
        <w:rPr>
          <w:rFonts w:asciiTheme="minorHAnsi" w:eastAsiaTheme="minorEastAsia" w:hAnsiTheme="minorHAnsi" w:cstheme="minorBidi"/>
          <w:b w:val="0"/>
          <w:bCs w:val="0"/>
          <w:caps w:val="0"/>
          <w:noProof/>
          <w:sz w:val="22"/>
          <w:szCs w:val="22"/>
          <w:lang w:eastAsia="lv-LV"/>
        </w:rPr>
      </w:pPr>
      <w:hyperlink w:anchor="_Toc300759819" w:history="1">
        <w:r w:rsidR="00810227" w:rsidRPr="00C31535">
          <w:rPr>
            <w:rStyle w:val="Hyperlink"/>
            <w:rFonts w:ascii="Times New Roman" w:hAnsi="Times New Roman"/>
            <w:noProof/>
          </w:rPr>
          <w:t>Kopsavilkums</w:t>
        </w:r>
        <w:r w:rsidR="00810227">
          <w:rPr>
            <w:noProof/>
            <w:webHidden/>
          </w:rPr>
          <w:tab/>
        </w:r>
        <w:r w:rsidR="00810227">
          <w:rPr>
            <w:noProof/>
            <w:webHidden/>
          </w:rPr>
          <w:fldChar w:fldCharType="begin"/>
        </w:r>
        <w:r w:rsidR="00810227">
          <w:rPr>
            <w:noProof/>
            <w:webHidden/>
          </w:rPr>
          <w:instrText xml:space="preserve"> PAGEREF _Toc300759819 \h </w:instrText>
        </w:r>
        <w:r w:rsidR="00810227">
          <w:rPr>
            <w:noProof/>
            <w:webHidden/>
          </w:rPr>
        </w:r>
        <w:r w:rsidR="00810227">
          <w:rPr>
            <w:noProof/>
            <w:webHidden/>
          </w:rPr>
          <w:fldChar w:fldCharType="separate"/>
        </w:r>
        <w:r w:rsidR="00F56EF5">
          <w:rPr>
            <w:noProof/>
            <w:webHidden/>
          </w:rPr>
          <w:t>3</w:t>
        </w:r>
        <w:r w:rsidR="00810227">
          <w:rPr>
            <w:noProof/>
            <w:webHidden/>
          </w:rPr>
          <w:fldChar w:fldCharType="end"/>
        </w:r>
      </w:hyperlink>
    </w:p>
    <w:p w:rsidR="00810227" w:rsidRDefault="00BA61A3">
      <w:pPr>
        <w:pStyle w:val="TOC1"/>
        <w:rPr>
          <w:rFonts w:asciiTheme="minorHAnsi" w:eastAsiaTheme="minorEastAsia" w:hAnsiTheme="minorHAnsi" w:cstheme="minorBidi"/>
          <w:b w:val="0"/>
          <w:bCs w:val="0"/>
          <w:caps w:val="0"/>
          <w:noProof/>
          <w:sz w:val="22"/>
          <w:szCs w:val="22"/>
          <w:lang w:eastAsia="lv-LV"/>
        </w:rPr>
      </w:pPr>
      <w:hyperlink w:anchor="_Toc300759820" w:history="1">
        <w:r w:rsidR="00810227" w:rsidRPr="00C31535">
          <w:rPr>
            <w:rStyle w:val="Hyperlink"/>
            <w:rFonts w:ascii="Times New Roman" w:hAnsi="Times New Roman"/>
            <w:noProof/>
            <w14:scene3d>
              <w14:camera w14:prst="orthographicFront"/>
              <w14:lightRig w14:rig="threePt" w14:dir="t">
                <w14:rot w14:lat="0" w14:lon="0" w14:rev="0"/>
              </w14:lightRig>
            </w14:scene3d>
          </w:rPr>
          <w:t>1.</w:t>
        </w:r>
        <w:r w:rsidR="00810227">
          <w:rPr>
            <w:rFonts w:asciiTheme="minorHAnsi" w:eastAsiaTheme="minorEastAsia" w:hAnsiTheme="minorHAnsi" w:cstheme="minorBidi"/>
            <w:b w:val="0"/>
            <w:bCs w:val="0"/>
            <w:caps w:val="0"/>
            <w:noProof/>
            <w:sz w:val="22"/>
            <w:szCs w:val="22"/>
            <w:lang w:eastAsia="lv-LV"/>
          </w:rPr>
          <w:tab/>
        </w:r>
        <w:r w:rsidR="00810227" w:rsidRPr="00C31535">
          <w:rPr>
            <w:rStyle w:val="Hyperlink"/>
            <w:rFonts w:ascii="Times New Roman" w:hAnsi="Times New Roman"/>
            <w:noProof/>
          </w:rPr>
          <w:t>2007.-2013.gada plānošanas perioda ES struktūrfondu un Kohēzijas fonda apguve</w:t>
        </w:r>
        <w:r w:rsidR="00810227">
          <w:rPr>
            <w:noProof/>
            <w:webHidden/>
          </w:rPr>
          <w:tab/>
        </w:r>
        <w:r w:rsidR="00810227">
          <w:rPr>
            <w:noProof/>
            <w:webHidden/>
          </w:rPr>
          <w:fldChar w:fldCharType="begin"/>
        </w:r>
        <w:r w:rsidR="00810227">
          <w:rPr>
            <w:noProof/>
            <w:webHidden/>
          </w:rPr>
          <w:instrText xml:space="preserve"> PAGEREF _Toc300759820 \h </w:instrText>
        </w:r>
        <w:r w:rsidR="00810227">
          <w:rPr>
            <w:noProof/>
            <w:webHidden/>
          </w:rPr>
        </w:r>
        <w:r w:rsidR="00810227">
          <w:rPr>
            <w:noProof/>
            <w:webHidden/>
          </w:rPr>
          <w:fldChar w:fldCharType="separate"/>
        </w:r>
        <w:r w:rsidR="00F56EF5">
          <w:rPr>
            <w:noProof/>
            <w:webHidden/>
          </w:rPr>
          <w:t>7</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21" w:history="1">
        <w:r w:rsidR="00810227" w:rsidRPr="00C31535">
          <w:rPr>
            <w:rStyle w:val="Hyperlink"/>
            <w:noProof/>
          </w:rPr>
          <w:t>1.1.</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Darbības programmu un darbības programmu papildinājumu grozījumi</w:t>
        </w:r>
        <w:r w:rsidR="00810227">
          <w:rPr>
            <w:noProof/>
            <w:webHidden/>
          </w:rPr>
          <w:tab/>
        </w:r>
        <w:r w:rsidR="00810227">
          <w:rPr>
            <w:noProof/>
            <w:webHidden/>
          </w:rPr>
          <w:fldChar w:fldCharType="begin"/>
        </w:r>
        <w:r w:rsidR="00810227">
          <w:rPr>
            <w:noProof/>
            <w:webHidden/>
          </w:rPr>
          <w:instrText xml:space="preserve"> PAGEREF _Toc300759821 \h </w:instrText>
        </w:r>
        <w:r w:rsidR="00810227">
          <w:rPr>
            <w:noProof/>
            <w:webHidden/>
          </w:rPr>
        </w:r>
        <w:r w:rsidR="00810227">
          <w:rPr>
            <w:noProof/>
            <w:webHidden/>
          </w:rPr>
          <w:fldChar w:fldCharType="separate"/>
        </w:r>
        <w:r w:rsidR="00F56EF5">
          <w:rPr>
            <w:noProof/>
            <w:webHidden/>
          </w:rPr>
          <w:t>7</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22" w:history="1">
        <w:r w:rsidR="00810227" w:rsidRPr="00C31535">
          <w:rPr>
            <w:rStyle w:val="Hyperlink"/>
            <w:noProof/>
          </w:rPr>
          <w:t>1.2.</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ES struktūrfondu un Kohēzijas fonda finanšu apguve</w:t>
        </w:r>
        <w:r w:rsidR="00810227">
          <w:rPr>
            <w:noProof/>
            <w:webHidden/>
          </w:rPr>
          <w:tab/>
        </w:r>
        <w:r w:rsidR="00810227">
          <w:rPr>
            <w:noProof/>
            <w:webHidden/>
          </w:rPr>
          <w:fldChar w:fldCharType="begin"/>
        </w:r>
        <w:r w:rsidR="00810227">
          <w:rPr>
            <w:noProof/>
            <w:webHidden/>
          </w:rPr>
          <w:instrText xml:space="preserve"> PAGEREF _Toc300759822 \h </w:instrText>
        </w:r>
        <w:r w:rsidR="00810227">
          <w:rPr>
            <w:noProof/>
            <w:webHidden/>
          </w:rPr>
        </w:r>
        <w:r w:rsidR="00810227">
          <w:rPr>
            <w:noProof/>
            <w:webHidden/>
          </w:rPr>
          <w:fldChar w:fldCharType="separate"/>
        </w:r>
        <w:r w:rsidR="00F56EF5">
          <w:rPr>
            <w:noProof/>
            <w:webHidden/>
          </w:rPr>
          <w:t>13</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23" w:history="1">
        <w:r w:rsidR="00810227" w:rsidRPr="00C31535">
          <w:rPr>
            <w:rStyle w:val="Hyperlink"/>
            <w:noProof/>
          </w:rPr>
          <w:t>1.3.</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Publisko resursu ieguldījums un sasniegtie rezultāti</w:t>
        </w:r>
        <w:r w:rsidR="00810227">
          <w:rPr>
            <w:noProof/>
            <w:webHidden/>
          </w:rPr>
          <w:tab/>
        </w:r>
        <w:r w:rsidR="00810227">
          <w:rPr>
            <w:noProof/>
            <w:webHidden/>
          </w:rPr>
          <w:fldChar w:fldCharType="begin"/>
        </w:r>
        <w:r w:rsidR="00810227">
          <w:rPr>
            <w:noProof/>
            <w:webHidden/>
          </w:rPr>
          <w:instrText xml:space="preserve"> PAGEREF _Toc300759823 \h </w:instrText>
        </w:r>
        <w:r w:rsidR="00810227">
          <w:rPr>
            <w:noProof/>
            <w:webHidden/>
          </w:rPr>
        </w:r>
        <w:r w:rsidR="00810227">
          <w:rPr>
            <w:noProof/>
            <w:webHidden/>
          </w:rPr>
          <w:fldChar w:fldCharType="separate"/>
        </w:r>
        <w:r w:rsidR="00F56EF5">
          <w:rPr>
            <w:noProof/>
            <w:webHidden/>
          </w:rPr>
          <w:t>18</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24" w:history="1">
        <w:r w:rsidR="00810227" w:rsidRPr="00C31535">
          <w:rPr>
            <w:rStyle w:val="Hyperlink"/>
            <w:noProof/>
          </w:rPr>
          <w:t>1.4.</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2007.-2013.gada plānošanas perioda finanšu apguves salīdzinājums starp jaunajām ES dalībvalstīm</w:t>
        </w:r>
        <w:r w:rsidR="00810227">
          <w:rPr>
            <w:noProof/>
            <w:webHidden/>
          </w:rPr>
          <w:tab/>
        </w:r>
        <w:r w:rsidR="00810227">
          <w:rPr>
            <w:noProof/>
            <w:webHidden/>
          </w:rPr>
          <w:fldChar w:fldCharType="begin"/>
        </w:r>
        <w:r w:rsidR="00810227">
          <w:rPr>
            <w:noProof/>
            <w:webHidden/>
          </w:rPr>
          <w:instrText xml:space="preserve"> PAGEREF _Toc300759824 \h </w:instrText>
        </w:r>
        <w:r w:rsidR="00810227">
          <w:rPr>
            <w:noProof/>
            <w:webHidden/>
          </w:rPr>
        </w:r>
        <w:r w:rsidR="00810227">
          <w:rPr>
            <w:noProof/>
            <w:webHidden/>
          </w:rPr>
          <w:fldChar w:fldCharType="separate"/>
        </w:r>
        <w:r w:rsidR="00F56EF5">
          <w:rPr>
            <w:noProof/>
            <w:webHidden/>
          </w:rPr>
          <w:t>39</w:t>
        </w:r>
        <w:r w:rsidR="00810227">
          <w:rPr>
            <w:noProof/>
            <w:webHidden/>
          </w:rPr>
          <w:fldChar w:fldCharType="end"/>
        </w:r>
      </w:hyperlink>
    </w:p>
    <w:p w:rsidR="00810227" w:rsidRDefault="00BA61A3">
      <w:pPr>
        <w:pStyle w:val="TOC1"/>
        <w:rPr>
          <w:rFonts w:asciiTheme="minorHAnsi" w:eastAsiaTheme="minorEastAsia" w:hAnsiTheme="minorHAnsi" w:cstheme="minorBidi"/>
          <w:b w:val="0"/>
          <w:bCs w:val="0"/>
          <w:caps w:val="0"/>
          <w:noProof/>
          <w:sz w:val="22"/>
          <w:szCs w:val="22"/>
          <w:lang w:eastAsia="lv-LV"/>
        </w:rPr>
      </w:pPr>
      <w:hyperlink w:anchor="_Toc300759825" w:history="1">
        <w:r w:rsidR="00810227" w:rsidRPr="00C31535">
          <w:rPr>
            <w:rStyle w:val="Hyperlink"/>
            <w:rFonts w:ascii="Times New Roman" w:hAnsi="Times New Roman"/>
            <w:noProof/>
            <w14:scene3d>
              <w14:camera w14:prst="orthographicFront"/>
              <w14:lightRig w14:rig="threePt" w14:dir="t">
                <w14:rot w14:lat="0" w14:lon="0" w14:rev="0"/>
              </w14:lightRig>
            </w14:scene3d>
          </w:rPr>
          <w:t>2.</w:t>
        </w:r>
        <w:r w:rsidR="00810227">
          <w:rPr>
            <w:rFonts w:asciiTheme="minorHAnsi" w:eastAsiaTheme="minorEastAsia" w:hAnsiTheme="minorHAnsi" w:cstheme="minorBidi"/>
            <w:b w:val="0"/>
            <w:bCs w:val="0"/>
            <w:caps w:val="0"/>
            <w:noProof/>
            <w:sz w:val="22"/>
            <w:szCs w:val="22"/>
            <w:lang w:eastAsia="lv-LV"/>
          </w:rPr>
          <w:tab/>
        </w:r>
        <w:r w:rsidR="00810227" w:rsidRPr="00C31535">
          <w:rPr>
            <w:rStyle w:val="Hyperlink"/>
            <w:rFonts w:ascii="Times New Roman" w:hAnsi="Times New Roman"/>
            <w:noProof/>
          </w:rPr>
          <w:t>2004.-2006.gada plānošanas perioda slēgšana</w:t>
        </w:r>
        <w:r w:rsidR="00810227">
          <w:rPr>
            <w:noProof/>
            <w:webHidden/>
          </w:rPr>
          <w:tab/>
        </w:r>
        <w:r w:rsidR="00810227">
          <w:rPr>
            <w:noProof/>
            <w:webHidden/>
          </w:rPr>
          <w:fldChar w:fldCharType="begin"/>
        </w:r>
        <w:r w:rsidR="00810227">
          <w:rPr>
            <w:noProof/>
            <w:webHidden/>
          </w:rPr>
          <w:instrText xml:space="preserve"> PAGEREF _Toc300759825 \h </w:instrText>
        </w:r>
        <w:r w:rsidR="00810227">
          <w:rPr>
            <w:noProof/>
            <w:webHidden/>
          </w:rPr>
        </w:r>
        <w:r w:rsidR="00810227">
          <w:rPr>
            <w:noProof/>
            <w:webHidden/>
          </w:rPr>
          <w:fldChar w:fldCharType="separate"/>
        </w:r>
        <w:r w:rsidR="00F56EF5">
          <w:rPr>
            <w:noProof/>
            <w:webHidden/>
          </w:rPr>
          <w:t>41</w:t>
        </w:r>
        <w:r w:rsidR="00810227">
          <w:rPr>
            <w:noProof/>
            <w:webHidden/>
          </w:rPr>
          <w:fldChar w:fldCharType="end"/>
        </w:r>
      </w:hyperlink>
    </w:p>
    <w:p w:rsidR="00810227" w:rsidRDefault="00BA61A3">
      <w:pPr>
        <w:pStyle w:val="TOC1"/>
        <w:rPr>
          <w:rFonts w:asciiTheme="minorHAnsi" w:eastAsiaTheme="minorEastAsia" w:hAnsiTheme="minorHAnsi" w:cstheme="minorBidi"/>
          <w:b w:val="0"/>
          <w:bCs w:val="0"/>
          <w:caps w:val="0"/>
          <w:noProof/>
          <w:sz w:val="22"/>
          <w:szCs w:val="22"/>
          <w:lang w:eastAsia="lv-LV"/>
        </w:rPr>
      </w:pPr>
      <w:hyperlink w:anchor="_Toc300759826" w:history="1">
        <w:r w:rsidR="00810227" w:rsidRPr="00C31535">
          <w:rPr>
            <w:rStyle w:val="Hyperlink"/>
            <w:rFonts w:ascii="Times New Roman" w:hAnsi="Times New Roman"/>
            <w:noProof/>
            <w14:scene3d>
              <w14:camera w14:prst="orthographicFront"/>
              <w14:lightRig w14:rig="threePt" w14:dir="t">
                <w14:rot w14:lat="0" w14:lon="0" w14:rev="0"/>
              </w14:lightRig>
            </w14:scene3d>
          </w:rPr>
          <w:t>3.</w:t>
        </w:r>
        <w:r w:rsidR="00810227">
          <w:rPr>
            <w:rFonts w:asciiTheme="minorHAnsi" w:eastAsiaTheme="minorEastAsia" w:hAnsiTheme="minorHAnsi" w:cstheme="minorBidi"/>
            <w:b w:val="0"/>
            <w:bCs w:val="0"/>
            <w:caps w:val="0"/>
            <w:noProof/>
            <w:sz w:val="22"/>
            <w:szCs w:val="22"/>
            <w:lang w:eastAsia="lv-LV"/>
          </w:rPr>
          <w:tab/>
        </w:r>
        <w:r w:rsidR="00810227" w:rsidRPr="00C31535">
          <w:rPr>
            <w:rStyle w:val="Hyperlink"/>
            <w:rFonts w:ascii="Times New Roman" w:hAnsi="Times New Roman"/>
            <w:noProof/>
          </w:rPr>
          <w:t>Eiropas Ekonomikas zonas un Norvēģijas finanšu instrumentu apguve</w:t>
        </w:r>
        <w:r w:rsidR="00810227">
          <w:rPr>
            <w:noProof/>
            <w:webHidden/>
          </w:rPr>
          <w:tab/>
        </w:r>
        <w:r w:rsidR="00810227">
          <w:rPr>
            <w:noProof/>
            <w:webHidden/>
          </w:rPr>
          <w:fldChar w:fldCharType="begin"/>
        </w:r>
        <w:r w:rsidR="00810227">
          <w:rPr>
            <w:noProof/>
            <w:webHidden/>
          </w:rPr>
          <w:instrText xml:space="preserve"> PAGEREF _Toc300759826 \h </w:instrText>
        </w:r>
        <w:r w:rsidR="00810227">
          <w:rPr>
            <w:noProof/>
            <w:webHidden/>
          </w:rPr>
        </w:r>
        <w:r w:rsidR="00810227">
          <w:rPr>
            <w:noProof/>
            <w:webHidden/>
          </w:rPr>
          <w:fldChar w:fldCharType="separate"/>
        </w:r>
        <w:r w:rsidR="00F56EF5">
          <w:rPr>
            <w:noProof/>
            <w:webHidden/>
          </w:rPr>
          <w:t>42</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27" w:history="1">
        <w:r w:rsidR="00810227" w:rsidRPr="00C31535">
          <w:rPr>
            <w:rStyle w:val="Hyperlink"/>
            <w:noProof/>
          </w:rPr>
          <w:t>3.1.</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2004.-2009.gada plānošanas periods</w:t>
        </w:r>
        <w:r w:rsidR="00810227">
          <w:rPr>
            <w:noProof/>
            <w:webHidden/>
          </w:rPr>
          <w:tab/>
        </w:r>
        <w:r w:rsidR="00810227">
          <w:rPr>
            <w:noProof/>
            <w:webHidden/>
          </w:rPr>
          <w:fldChar w:fldCharType="begin"/>
        </w:r>
        <w:r w:rsidR="00810227">
          <w:rPr>
            <w:noProof/>
            <w:webHidden/>
          </w:rPr>
          <w:instrText xml:space="preserve"> PAGEREF _Toc300759827 \h </w:instrText>
        </w:r>
        <w:r w:rsidR="00810227">
          <w:rPr>
            <w:noProof/>
            <w:webHidden/>
          </w:rPr>
        </w:r>
        <w:r w:rsidR="00810227">
          <w:rPr>
            <w:noProof/>
            <w:webHidden/>
          </w:rPr>
          <w:fldChar w:fldCharType="separate"/>
        </w:r>
        <w:r w:rsidR="00F56EF5">
          <w:rPr>
            <w:noProof/>
            <w:webHidden/>
          </w:rPr>
          <w:t>42</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28" w:history="1">
        <w:r w:rsidR="00810227" w:rsidRPr="00C31535">
          <w:rPr>
            <w:rStyle w:val="Hyperlink"/>
            <w:noProof/>
          </w:rPr>
          <w:t>3.2.</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2009.-2014.gada plānošanas periods</w:t>
        </w:r>
        <w:r w:rsidR="00810227">
          <w:rPr>
            <w:noProof/>
            <w:webHidden/>
          </w:rPr>
          <w:tab/>
        </w:r>
        <w:r w:rsidR="00810227">
          <w:rPr>
            <w:noProof/>
            <w:webHidden/>
          </w:rPr>
          <w:fldChar w:fldCharType="begin"/>
        </w:r>
        <w:r w:rsidR="00810227">
          <w:rPr>
            <w:noProof/>
            <w:webHidden/>
          </w:rPr>
          <w:instrText xml:space="preserve"> PAGEREF _Toc300759828 \h </w:instrText>
        </w:r>
        <w:r w:rsidR="00810227">
          <w:rPr>
            <w:noProof/>
            <w:webHidden/>
          </w:rPr>
        </w:r>
        <w:r w:rsidR="00810227">
          <w:rPr>
            <w:noProof/>
            <w:webHidden/>
          </w:rPr>
          <w:fldChar w:fldCharType="separate"/>
        </w:r>
        <w:r w:rsidR="00F56EF5">
          <w:rPr>
            <w:noProof/>
            <w:webHidden/>
          </w:rPr>
          <w:t>44</w:t>
        </w:r>
        <w:r w:rsidR="00810227">
          <w:rPr>
            <w:noProof/>
            <w:webHidden/>
          </w:rPr>
          <w:fldChar w:fldCharType="end"/>
        </w:r>
      </w:hyperlink>
    </w:p>
    <w:p w:rsidR="00810227" w:rsidRDefault="00BA61A3">
      <w:pPr>
        <w:pStyle w:val="TOC1"/>
        <w:rPr>
          <w:rFonts w:asciiTheme="minorHAnsi" w:eastAsiaTheme="minorEastAsia" w:hAnsiTheme="minorHAnsi" w:cstheme="minorBidi"/>
          <w:b w:val="0"/>
          <w:bCs w:val="0"/>
          <w:caps w:val="0"/>
          <w:noProof/>
          <w:sz w:val="22"/>
          <w:szCs w:val="22"/>
          <w:lang w:eastAsia="lv-LV"/>
        </w:rPr>
      </w:pPr>
      <w:hyperlink w:anchor="_Toc300759829" w:history="1">
        <w:r w:rsidR="00810227" w:rsidRPr="00C31535">
          <w:rPr>
            <w:rStyle w:val="Hyperlink"/>
            <w:rFonts w:ascii="Times New Roman" w:hAnsi="Times New Roman"/>
            <w:noProof/>
            <w14:scene3d>
              <w14:camera w14:prst="orthographicFront"/>
              <w14:lightRig w14:rig="threePt" w14:dir="t">
                <w14:rot w14:lat="0" w14:lon="0" w14:rev="0"/>
              </w14:lightRig>
            </w14:scene3d>
          </w:rPr>
          <w:t>4.</w:t>
        </w:r>
        <w:r w:rsidR="00810227">
          <w:rPr>
            <w:rFonts w:asciiTheme="minorHAnsi" w:eastAsiaTheme="minorEastAsia" w:hAnsiTheme="minorHAnsi" w:cstheme="minorBidi"/>
            <w:b w:val="0"/>
            <w:bCs w:val="0"/>
            <w:caps w:val="0"/>
            <w:noProof/>
            <w:sz w:val="22"/>
            <w:szCs w:val="22"/>
            <w:lang w:eastAsia="lv-LV"/>
          </w:rPr>
          <w:tab/>
        </w:r>
        <w:r w:rsidR="00810227" w:rsidRPr="00C31535">
          <w:rPr>
            <w:rStyle w:val="Hyperlink"/>
            <w:rFonts w:ascii="Times New Roman" w:hAnsi="Times New Roman"/>
            <w:noProof/>
          </w:rPr>
          <w:t>Latvijas un Šveices sadarbības programmas apguve</w:t>
        </w:r>
        <w:r w:rsidR="00810227">
          <w:rPr>
            <w:noProof/>
            <w:webHidden/>
          </w:rPr>
          <w:tab/>
        </w:r>
        <w:r w:rsidR="00810227">
          <w:rPr>
            <w:noProof/>
            <w:webHidden/>
          </w:rPr>
          <w:fldChar w:fldCharType="begin"/>
        </w:r>
        <w:r w:rsidR="00810227">
          <w:rPr>
            <w:noProof/>
            <w:webHidden/>
          </w:rPr>
          <w:instrText xml:space="preserve"> PAGEREF _Toc300759829 \h </w:instrText>
        </w:r>
        <w:r w:rsidR="00810227">
          <w:rPr>
            <w:noProof/>
            <w:webHidden/>
          </w:rPr>
        </w:r>
        <w:r w:rsidR="00810227">
          <w:rPr>
            <w:noProof/>
            <w:webHidden/>
          </w:rPr>
          <w:fldChar w:fldCharType="separate"/>
        </w:r>
        <w:r w:rsidR="00F56EF5">
          <w:rPr>
            <w:noProof/>
            <w:webHidden/>
          </w:rPr>
          <w:t>46</w:t>
        </w:r>
        <w:r w:rsidR="00810227">
          <w:rPr>
            <w:noProof/>
            <w:webHidden/>
          </w:rPr>
          <w:fldChar w:fldCharType="end"/>
        </w:r>
      </w:hyperlink>
    </w:p>
    <w:p w:rsidR="00810227" w:rsidRDefault="00BA61A3">
      <w:pPr>
        <w:pStyle w:val="TOC1"/>
        <w:rPr>
          <w:rFonts w:asciiTheme="minorHAnsi" w:eastAsiaTheme="minorEastAsia" w:hAnsiTheme="minorHAnsi" w:cstheme="minorBidi"/>
          <w:b w:val="0"/>
          <w:bCs w:val="0"/>
          <w:caps w:val="0"/>
          <w:noProof/>
          <w:sz w:val="22"/>
          <w:szCs w:val="22"/>
          <w:lang w:eastAsia="lv-LV"/>
        </w:rPr>
      </w:pPr>
      <w:hyperlink w:anchor="_Toc300759830" w:history="1">
        <w:r w:rsidR="00810227" w:rsidRPr="00C31535">
          <w:rPr>
            <w:rStyle w:val="Hyperlink"/>
            <w:rFonts w:ascii="Times New Roman" w:hAnsi="Times New Roman"/>
            <w:noProof/>
            <w14:scene3d>
              <w14:camera w14:prst="orthographicFront"/>
              <w14:lightRig w14:rig="threePt" w14:dir="t">
                <w14:rot w14:lat="0" w14:lon="0" w14:rev="0"/>
              </w14:lightRig>
            </w14:scene3d>
          </w:rPr>
          <w:t>5.</w:t>
        </w:r>
        <w:r w:rsidR="00810227">
          <w:rPr>
            <w:rFonts w:asciiTheme="minorHAnsi" w:eastAsiaTheme="minorEastAsia" w:hAnsiTheme="minorHAnsi" w:cstheme="minorBidi"/>
            <w:b w:val="0"/>
            <w:bCs w:val="0"/>
            <w:caps w:val="0"/>
            <w:noProof/>
            <w:sz w:val="22"/>
            <w:szCs w:val="22"/>
            <w:lang w:eastAsia="lv-LV"/>
          </w:rPr>
          <w:tab/>
        </w:r>
        <w:r w:rsidR="00810227" w:rsidRPr="00C31535">
          <w:rPr>
            <w:rStyle w:val="Hyperlink"/>
            <w:rFonts w:ascii="Times New Roman" w:hAnsi="Times New Roman"/>
            <w:noProof/>
          </w:rPr>
          <w:t>Neatbilstības un neatbilstoši veikti izdevumi ES fondu projektu ietvaros</w:t>
        </w:r>
        <w:r w:rsidR="00810227">
          <w:rPr>
            <w:noProof/>
            <w:webHidden/>
          </w:rPr>
          <w:tab/>
        </w:r>
        <w:r w:rsidR="00810227">
          <w:rPr>
            <w:noProof/>
            <w:webHidden/>
          </w:rPr>
          <w:fldChar w:fldCharType="begin"/>
        </w:r>
        <w:r w:rsidR="00810227">
          <w:rPr>
            <w:noProof/>
            <w:webHidden/>
          </w:rPr>
          <w:instrText xml:space="preserve"> PAGEREF _Toc300759830 \h </w:instrText>
        </w:r>
        <w:r w:rsidR="00810227">
          <w:rPr>
            <w:noProof/>
            <w:webHidden/>
          </w:rPr>
        </w:r>
        <w:r w:rsidR="00810227">
          <w:rPr>
            <w:noProof/>
            <w:webHidden/>
          </w:rPr>
          <w:fldChar w:fldCharType="separate"/>
        </w:r>
        <w:r w:rsidR="00F56EF5">
          <w:rPr>
            <w:noProof/>
            <w:webHidden/>
          </w:rPr>
          <w:t>48</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31" w:history="1">
        <w:r w:rsidR="00810227" w:rsidRPr="00C31535">
          <w:rPr>
            <w:rStyle w:val="Hyperlink"/>
            <w:noProof/>
          </w:rPr>
          <w:t>5.1.</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2007.-2013.gada plānošanas perioda ES fondi</w:t>
        </w:r>
        <w:r w:rsidR="00810227">
          <w:rPr>
            <w:noProof/>
            <w:webHidden/>
          </w:rPr>
          <w:tab/>
        </w:r>
        <w:r w:rsidR="00810227">
          <w:rPr>
            <w:noProof/>
            <w:webHidden/>
          </w:rPr>
          <w:fldChar w:fldCharType="begin"/>
        </w:r>
        <w:r w:rsidR="00810227">
          <w:rPr>
            <w:noProof/>
            <w:webHidden/>
          </w:rPr>
          <w:instrText xml:space="preserve"> PAGEREF _Toc300759831 \h </w:instrText>
        </w:r>
        <w:r w:rsidR="00810227">
          <w:rPr>
            <w:noProof/>
            <w:webHidden/>
          </w:rPr>
        </w:r>
        <w:r w:rsidR="00810227">
          <w:rPr>
            <w:noProof/>
            <w:webHidden/>
          </w:rPr>
          <w:fldChar w:fldCharType="separate"/>
        </w:r>
        <w:r w:rsidR="00F56EF5">
          <w:rPr>
            <w:noProof/>
            <w:webHidden/>
          </w:rPr>
          <w:t>49</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32" w:history="1">
        <w:r w:rsidR="00810227" w:rsidRPr="00C31535">
          <w:rPr>
            <w:rStyle w:val="Hyperlink"/>
            <w:noProof/>
          </w:rPr>
          <w:t>5.2.</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Neatbilstoši veikti izdevumi un zaudējumi valsts budžetam 2007 – 2013. gada plānošanas periodā ES fondi</w:t>
        </w:r>
        <w:r w:rsidR="00810227">
          <w:rPr>
            <w:noProof/>
            <w:webHidden/>
          </w:rPr>
          <w:tab/>
        </w:r>
        <w:r w:rsidR="00810227">
          <w:rPr>
            <w:noProof/>
            <w:webHidden/>
          </w:rPr>
          <w:fldChar w:fldCharType="begin"/>
        </w:r>
        <w:r w:rsidR="00810227">
          <w:rPr>
            <w:noProof/>
            <w:webHidden/>
          </w:rPr>
          <w:instrText xml:space="preserve"> PAGEREF _Toc300759832 \h </w:instrText>
        </w:r>
        <w:r w:rsidR="00810227">
          <w:rPr>
            <w:noProof/>
            <w:webHidden/>
          </w:rPr>
        </w:r>
        <w:r w:rsidR="00810227">
          <w:rPr>
            <w:noProof/>
            <w:webHidden/>
          </w:rPr>
          <w:fldChar w:fldCharType="separate"/>
        </w:r>
        <w:r w:rsidR="00F56EF5">
          <w:rPr>
            <w:noProof/>
            <w:webHidden/>
          </w:rPr>
          <w:t>56</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33" w:history="1">
        <w:r w:rsidR="00810227" w:rsidRPr="00C31535">
          <w:rPr>
            <w:rStyle w:val="Hyperlink"/>
            <w:noProof/>
          </w:rPr>
          <w:t>5.3.</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2004.-2006.gada plānošanas periods</w:t>
        </w:r>
        <w:r w:rsidR="00810227">
          <w:rPr>
            <w:noProof/>
            <w:webHidden/>
          </w:rPr>
          <w:tab/>
        </w:r>
        <w:r w:rsidR="00810227">
          <w:rPr>
            <w:noProof/>
            <w:webHidden/>
          </w:rPr>
          <w:fldChar w:fldCharType="begin"/>
        </w:r>
        <w:r w:rsidR="00810227">
          <w:rPr>
            <w:noProof/>
            <w:webHidden/>
          </w:rPr>
          <w:instrText xml:space="preserve"> PAGEREF _Toc300759833 \h </w:instrText>
        </w:r>
        <w:r w:rsidR="00810227">
          <w:rPr>
            <w:noProof/>
            <w:webHidden/>
          </w:rPr>
        </w:r>
        <w:r w:rsidR="00810227">
          <w:rPr>
            <w:noProof/>
            <w:webHidden/>
          </w:rPr>
          <w:fldChar w:fldCharType="separate"/>
        </w:r>
        <w:r w:rsidR="00F56EF5">
          <w:rPr>
            <w:noProof/>
            <w:webHidden/>
          </w:rPr>
          <w:t>58</w:t>
        </w:r>
        <w:r w:rsidR="00810227">
          <w:rPr>
            <w:noProof/>
            <w:webHidden/>
          </w:rPr>
          <w:fldChar w:fldCharType="end"/>
        </w:r>
      </w:hyperlink>
    </w:p>
    <w:p w:rsidR="00810227" w:rsidRDefault="00BA61A3">
      <w:pPr>
        <w:pStyle w:val="TOC2"/>
        <w:tabs>
          <w:tab w:val="left" w:pos="720"/>
          <w:tab w:val="right" w:leader="dot" w:pos="9061"/>
        </w:tabs>
        <w:rPr>
          <w:rFonts w:asciiTheme="minorHAnsi" w:eastAsiaTheme="minorEastAsia" w:hAnsiTheme="minorHAnsi" w:cstheme="minorBidi"/>
          <w:b w:val="0"/>
          <w:bCs w:val="0"/>
          <w:noProof/>
          <w:sz w:val="22"/>
          <w:szCs w:val="22"/>
          <w:lang w:eastAsia="lv-LV"/>
        </w:rPr>
      </w:pPr>
      <w:hyperlink w:anchor="_Toc300759834" w:history="1">
        <w:r w:rsidR="00810227" w:rsidRPr="00C31535">
          <w:rPr>
            <w:rStyle w:val="Hyperlink"/>
            <w:noProof/>
          </w:rPr>
          <w:t>5.4.</w:t>
        </w:r>
        <w:r w:rsidR="00810227">
          <w:rPr>
            <w:rFonts w:asciiTheme="minorHAnsi" w:eastAsiaTheme="minorEastAsia" w:hAnsiTheme="minorHAnsi" w:cstheme="minorBidi"/>
            <w:b w:val="0"/>
            <w:bCs w:val="0"/>
            <w:noProof/>
            <w:sz w:val="22"/>
            <w:szCs w:val="22"/>
            <w:lang w:eastAsia="lv-LV"/>
          </w:rPr>
          <w:tab/>
        </w:r>
        <w:r w:rsidR="00810227" w:rsidRPr="00C31535">
          <w:rPr>
            <w:rStyle w:val="Hyperlink"/>
            <w:noProof/>
          </w:rPr>
          <w:t>Eiropas Ekonomikas zonas un Norvēģijas finanšu instrumentu, Latvijas un Šveices sadarbības programma</w:t>
        </w:r>
        <w:r w:rsidR="00810227">
          <w:rPr>
            <w:noProof/>
            <w:webHidden/>
          </w:rPr>
          <w:tab/>
        </w:r>
        <w:r w:rsidR="00810227">
          <w:rPr>
            <w:noProof/>
            <w:webHidden/>
          </w:rPr>
          <w:fldChar w:fldCharType="begin"/>
        </w:r>
        <w:r w:rsidR="00810227">
          <w:rPr>
            <w:noProof/>
            <w:webHidden/>
          </w:rPr>
          <w:instrText xml:space="preserve"> PAGEREF _Toc300759834 \h </w:instrText>
        </w:r>
        <w:r w:rsidR="00810227">
          <w:rPr>
            <w:noProof/>
            <w:webHidden/>
          </w:rPr>
        </w:r>
        <w:r w:rsidR="00810227">
          <w:rPr>
            <w:noProof/>
            <w:webHidden/>
          </w:rPr>
          <w:fldChar w:fldCharType="separate"/>
        </w:r>
        <w:r w:rsidR="00F56EF5">
          <w:rPr>
            <w:noProof/>
            <w:webHidden/>
          </w:rPr>
          <w:t>58</w:t>
        </w:r>
        <w:r w:rsidR="00810227">
          <w:rPr>
            <w:noProof/>
            <w:webHidden/>
          </w:rPr>
          <w:fldChar w:fldCharType="end"/>
        </w:r>
      </w:hyperlink>
    </w:p>
    <w:p w:rsidR="00810227" w:rsidRDefault="00BA61A3">
      <w:pPr>
        <w:pStyle w:val="TOC1"/>
        <w:rPr>
          <w:rFonts w:asciiTheme="minorHAnsi" w:eastAsiaTheme="minorEastAsia" w:hAnsiTheme="minorHAnsi" w:cstheme="minorBidi"/>
          <w:b w:val="0"/>
          <w:bCs w:val="0"/>
          <w:caps w:val="0"/>
          <w:noProof/>
          <w:sz w:val="22"/>
          <w:szCs w:val="22"/>
          <w:lang w:eastAsia="lv-LV"/>
        </w:rPr>
      </w:pPr>
      <w:hyperlink w:anchor="_Toc300759835" w:history="1">
        <w:r w:rsidR="00810227" w:rsidRPr="00C31535">
          <w:rPr>
            <w:rStyle w:val="Hyperlink"/>
            <w:rFonts w:ascii="Times New Roman" w:hAnsi="Times New Roman"/>
            <w:noProof/>
            <w14:scene3d>
              <w14:camera w14:prst="orthographicFront"/>
              <w14:lightRig w14:rig="threePt" w14:dir="t">
                <w14:rot w14:lat="0" w14:lon="0" w14:rev="0"/>
              </w14:lightRig>
            </w14:scene3d>
          </w:rPr>
          <w:t>6.</w:t>
        </w:r>
        <w:r w:rsidR="00810227">
          <w:rPr>
            <w:rFonts w:asciiTheme="minorHAnsi" w:eastAsiaTheme="minorEastAsia" w:hAnsiTheme="minorHAnsi" w:cstheme="minorBidi"/>
            <w:b w:val="0"/>
            <w:bCs w:val="0"/>
            <w:caps w:val="0"/>
            <w:noProof/>
            <w:sz w:val="22"/>
            <w:szCs w:val="22"/>
            <w:lang w:eastAsia="lv-LV"/>
          </w:rPr>
          <w:tab/>
        </w:r>
        <w:r w:rsidR="00810227" w:rsidRPr="00C31535">
          <w:rPr>
            <w:rStyle w:val="Hyperlink"/>
            <w:rFonts w:ascii="Times New Roman" w:hAnsi="Times New Roman"/>
            <w:noProof/>
          </w:rPr>
          <w:t>ES fondu ieviešanas un uzraudzības sistēmas pilnveidošana</w:t>
        </w:r>
        <w:r w:rsidR="00810227">
          <w:rPr>
            <w:noProof/>
            <w:webHidden/>
          </w:rPr>
          <w:tab/>
        </w:r>
        <w:r w:rsidR="00810227">
          <w:rPr>
            <w:noProof/>
            <w:webHidden/>
          </w:rPr>
          <w:fldChar w:fldCharType="begin"/>
        </w:r>
        <w:r w:rsidR="00810227">
          <w:rPr>
            <w:noProof/>
            <w:webHidden/>
          </w:rPr>
          <w:instrText xml:space="preserve"> PAGEREF _Toc300759835 \h </w:instrText>
        </w:r>
        <w:r w:rsidR="00810227">
          <w:rPr>
            <w:noProof/>
            <w:webHidden/>
          </w:rPr>
        </w:r>
        <w:r w:rsidR="00810227">
          <w:rPr>
            <w:noProof/>
            <w:webHidden/>
          </w:rPr>
          <w:fldChar w:fldCharType="separate"/>
        </w:r>
        <w:r w:rsidR="00F56EF5">
          <w:rPr>
            <w:noProof/>
            <w:webHidden/>
          </w:rPr>
          <w:t>60</w:t>
        </w:r>
        <w:r w:rsidR="00810227">
          <w:rPr>
            <w:noProof/>
            <w:webHidden/>
          </w:rPr>
          <w:fldChar w:fldCharType="end"/>
        </w:r>
      </w:hyperlink>
    </w:p>
    <w:p w:rsidR="00810227" w:rsidRDefault="00BA61A3">
      <w:pPr>
        <w:pStyle w:val="TOC1"/>
        <w:rPr>
          <w:rFonts w:asciiTheme="minorHAnsi" w:eastAsiaTheme="minorEastAsia" w:hAnsiTheme="minorHAnsi" w:cstheme="minorBidi"/>
          <w:b w:val="0"/>
          <w:bCs w:val="0"/>
          <w:caps w:val="0"/>
          <w:noProof/>
          <w:sz w:val="22"/>
          <w:szCs w:val="22"/>
          <w:lang w:eastAsia="lv-LV"/>
        </w:rPr>
      </w:pPr>
      <w:hyperlink w:anchor="_Toc300759836" w:history="1">
        <w:r w:rsidR="00810227" w:rsidRPr="00C31535">
          <w:rPr>
            <w:rStyle w:val="Hyperlink"/>
            <w:rFonts w:ascii="Times New Roman" w:hAnsi="Times New Roman"/>
            <w:noProof/>
          </w:rPr>
          <w:t>Secinājumi un turpmākā rīcība</w:t>
        </w:r>
        <w:r w:rsidR="00810227">
          <w:rPr>
            <w:noProof/>
            <w:webHidden/>
          </w:rPr>
          <w:tab/>
        </w:r>
        <w:r w:rsidR="00810227">
          <w:rPr>
            <w:noProof/>
            <w:webHidden/>
          </w:rPr>
          <w:fldChar w:fldCharType="begin"/>
        </w:r>
        <w:r w:rsidR="00810227">
          <w:rPr>
            <w:noProof/>
            <w:webHidden/>
          </w:rPr>
          <w:instrText xml:space="preserve"> PAGEREF _Toc300759836 \h </w:instrText>
        </w:r>
        <w:r w:rsidR="00810227">
          <w:rPr>
            <w:noProof/>
            <w:webHidden/>
          </w:rPr>
        </w:r>
        <w:r w:rsidR="00810227">
          <w:rPr>
            <w:noProof/>
            <w:webHidden/>
          </w:rPr>
          <w:fldChar w:fldCharType="separate"/>
        </w:r>
        <w:r w:rsidR="00F56EF5">
          <w:rPr>
            <w:noProof/>
            <w:webHidden/>
          </w:rPr>
          <w:t>65</w:t>
        </w:r>
        <w:r w:rsidR="00810227">
          <w:rPr>
            <w:noProof/>
            <w:webHidden/>
          </w:rPr>
          <w:fldChar w:fldCharType="end"/>
        </w:r>
      </w:hyperlink>
    </w:p>
    <w:p w:rsidR="00F770EA" w:rsidRPr="00603CA3" w:rsidRDefault="00F770EA" w:rsidP="00603CA3">
      <w:pPr>
        <w:spacing w:line="276" w:lineRule="auto"/>
        <w:rPr>
          <w:color w:val="000000" w:themeColor="text1"/>
          <w:szCs w:val="24"/>
          <w:highlight w:val="yellow"/>
        </w:rPr>
      </w:pPr>
      <w:r w:rsidRPr="00603CA3">
        <w:rPr>
          <w:b/>
          <w:bCs/>
          <w:noProof/>
          <w:color w:val="000000" w:themeColor="text1"/>
          <w:szCs w:val="24"/>
          <w:highlight w:val="yellow"/>
        </w:rPr>
        <w:fldChar w:fldCharType="end"/>
      </w:r>
    </w:p>
    <w:p w:rsidR="00FF4209" w:rsidRPr="00603CA3" w:rsidRDefault="00F770EA" w:rsidP="00603CA3">
      <w:pPr>
        <w:pStyle w:val="1lmenis"/>
        <w:numPr>
          <w:ilvl w:val="0"/>
          <w:numId w:val="0"/>
        </w:numPr>
        <w:spacing w:before="0" w:after="0" w:line="276" w:lineRule="auto"/>
        <w:ind w:left="491"/>
        <w:rPr>
          <w:rFonts w:ascii="Times New Roman" w:hAnsi="Times New Roman"/>
          <w:color w:val="000000" w:themeColor="text1"/>
          <w:sz w:val="24"/>
          <w:szCs w:val="24"/>
          <w:lang w:val="lv-LV"/>
        </w:rPr>
      </w:pPr>
      <w:r w:rsidRPr="00603CA3">
        <w:rPr>
          <w:rFonts w:ascii="Times New Roman" w:hAnsi="Times New Roman"/>
          <w:color w:val="000000" w:themeColor="text1"/>
          <w:sz w:val="24"/>
          <w:szCs w:val="24"/>
          <w:lang w:val="lv-LV"/>
        </w:rPr>
        <w:br w:type="page"/>
      </w:r>
      <w:bookmarkStart w:id="9" w:name="_Toc300759819"/>
      <w:r w:rsidR="00FF4209" w:rsidRPr="00603CA3">
        <w:rPr>
          <w:rFonts w:ascii="Times New Roman" w:hAnsi="Times New Roman"/>
          <w:color w:val="000000" w:themeColor="text1"/>
          <w:sz w:val="24"/>
          <w:szCs w:val="24"/>
          <w:lang w:val="lv-LV"/>
        </w:rPr>
        <w:lastRenderedPageBreak/>
        <w:t>Kopsavilkums</w:t>
      </w:r>
      <w:bookmarkEnd w:id="7"/>
      <w:bookmarkEnd w:id="8"/>
      <w:bookmarkEnd w:id="9"/>
    </w:p>
    <w:p w:rsidR="00945919" w:rsidRPr="00603CA3" w:rsidRDefault="00347D60" w:rsidP="00603CA3">
      <w:pPr>
        <w:spacing w:line="276" w:lineRule="auto"/>
        <w:rPr>
          <w:color w:val="000000" w:themeColor="text1"/>
          <w:szCs w:val="24"/>
        </w:rPr>
      </w:pPr>
      <w:bookmarkStart w:id="10" w:name="_Toc290449011"/>
      <w:bookmarkStart w:id="11" w:name="_Toc276049970"/>
      <w:bookmarkStart w:id="12" w:name="_Toc283655975"/>
      <w:r w:rsidRPr="00603CA3">
        <w:rPr>
          <w:color w:val="000000" w:themeColor="text1"/>
          <w:szCs w:val="24"/>
        </w:rPr>
        <w:t>Atskatoties uz paveikto līdz šim un aktualitātēm pārskata periodā saistībā ar ES fondu apguves jautājumiem, viens no nozīmīgākiem stratēģiskiem notikumiem ir atkārtoti uzsāktā ievērojama ES fondu finansējuma pārstrukturizācija, ņ</w:t>
      </w:r>
      <w:r w:rsidR="00945919" w:rsidRPr="00603CA3">
        <w:rPr>
          <w:color w:val="000000" w:themeColor="text1"/>
          <w:szCs w:val="24"/>
        </w:rPr>
        <w:t>emot vērā līdzšinējos ES fondu apguves rezultātus un situāciju tautsaimniecībā, īpaši attiecībā uz tuvāko gadu nodarbinātības prognozēm . Pārskata periodā veikti grozījumi darbības programmas „Cilvēkresursi un nodarbinātība” papildinājumā, paredzot Eiropas Sociālā fonda (turpmāk – ESF) finansējuma pārdales darba praktizēšanas ar stipendiju pašvaldībās īstenošanai (bezdarbnieku, kas nesaņem bezdarbnieka pabalstu nodarbināšanai), doktora studiju programmu īstenošanai, lai sekmētu doktora zinātniskā grāda ieguvēju skaita pieaugumu, kā arī bezdarbnieku un darba meklētāju apmācībai pēc darba devēju pieprasījuma Latvijas tautsaimniecības attīstībai prioritārās nozarēs, finansējumu pārdalot no nodarbināto apmācībām komersantu konkurētspējas veicināšanai.</w:t>
      </w:r>
    </w:p>
    <w:p w:rsidR="00945919" w:rsidRPr="00603CA3" w:rsidRDefault="00945919" w:rsidP="00603CA3">
      <w:pPr>
        <w:spacing w:line="276" w:lineRule="auto"/>
        <w:rPr>
          <w:color w:val="000000" w:themeColor="text1"/>
          <w:szCs w:val="24"/>
        </w:rPr>
      </w:pPr>
      <w:r w:rsidRPr="00603CA3">
        <w:rPr>
          <w:color w:val="000000" w:themeColor="text1"/>
          <w:szCs w:val="24"/>
        </w:rPr>
        <w:t xml:space="preserve">Pārskata periodā veikti grozījumi darbības programmas „Uzņēmējdarbība un inovācijas” papildinājumā, kas, cita starpā, paredz izveidot jaunu </w:t>
      </w:r>
      <w:proofErr w:type="spellStart"/>
      <w:r w:rsidRPr="00603CA3">
        <w:rPr>
          <w:color w:val="000000" w:themeColor="text1"/>
          <w:szCs w:val="24"/>
        </w:rPr>
        <w:t>apakšaktivitāti</w:t>
      </w:r>
      <w:proofErr w:type="spellEnd"/>
      <w:r w:rsidRPr="00603CA3">
        <w:rPr>
          <w:color w:val="000000" w:themeColor="text1"/>
          <w:szCs w:val="24"/>
        </w:rPr>
        <w:t xml:space="preserve"> „</w:t>
      </w:r>
      <w:proofErr w:type="spellStart"/>
      <w:r w:rsidRPr="00603CA3">
        <w:rPr>
          <w:color w:val="000000" w:themeColor="text1"/>
          <w:szCs w:val="24"/>
        </w:rPr>
        <w:t>Mezanīna</w:t>
      </w:r>
      <w:proofErr w:type="spellEnd"/>
      <w:r w:rsidRPr="00603CA3">
        <w:rPr>
          <w:color w:val="000000" w:themeColor="text1"/>
          <w:szCs w:val="24"/>
        </w:rPr>
        <w:t xml:space="preserve"> aizdevumi investīcijām komersantu konkurētspējas uzlabošanai” piešķirot tās īstenošanai  17,7 </w:t>
      </w:r>
      <w:proofErr w:type="spellStart"/>
      <w:r w:rsidRPr="00603CA3">
        <w:rPr>
          <w:color w:val="000000" w:themeColor="text1"/>
          <w:szCs w:val="24"/>
        </w:rPr>
        <w:t>milj</w:t>
      </w:r>
      <w:proofErr w:type="spellEnd"/>
      <w:r w:rsidRPr="00603CA3">
        <w:rPr>
          <w:color w:val="000000" w:themeColor="text1"/>
          <w:szCs w:val="24"/>
        </w:rPr>
        <w:t xml:space="preserve">. latu - ERAF finansējumu 10,7 </w:t>
      </w:r>
      <w:proofErr w:type="spellStart"/>
      <w:r w:rsidRPr="00603CA3">
        <w:rPr>
          <w:color w:val="000000" w:themeColor="text1"/>
          <w:szCs w:val="24"/>
        </w:rPr>
        <w:t>milj</w:t>
      </w:r>
      <w:proofErr w:type="spellEnd"/>
      <w:r w:rsidRPr="00603CA3">
        <w:rPr>
          <w:color w:val="000000" w:themeColor="text1"/>
          <w:szCs w:val="24"/>
        </w:rPr>
        <w:t xml:space="preserve">. latu apmērā un valsts budžeta finansējumu 7,1 </w:t>
      </w:r>
      <w:proofErr w:type="spellStart"/>
      <w:r w:rsidRPr="00603CA3">
        <w:rPr>
          <w:color w:val="000000" w:themeColor="text1"/>
          <w:szCs w:val="24"/>
        </w:rPr>
        <w:t>milj</w:t>
      </w:r>
      <w:proofErr w:type="spellEnd"/>
      <w:r w:rsidRPr="00603CA3">
        <w:rPr>
          <w:color w:val="000000" w:themeColor="text1"/>
          <w:szCs w:val="24"/>
        </w:rPr>
        <w:t xml:space="preserve">. latu apmērā. Tāpat grozījumi paredz paplašināt </w:t>
      </w:r>
      <w:proofErr w:type="spellStart"/>
      <w:r w:rsidRPr="00603CA3">
        <w:rPr>
          <w:color w:val="000000" w:themeColor="text1"/>
          <w:szCs w:val="24"/>
        </w:rPr>
        <w:t>apakšaktivitātes</w:t>
      </w:r>
      <w:proofErr w:type="spellEnd"/>
      <w:r w:rsidRPr="00603CA3">
        <w:rPr>
          <w:color w:val="000000" w:themeColor="text1"/>
          <w:szCs w:val="24"/>
        </w:rPr>
        <w:t xml:space="preserve"> „Ārējo tirgu apgūšana – ārējais mārketings” un </w:t>
      </w:r>
      <w:proofErr w:type="spellStart"/>
      <w:r w:rsidRPr="00603CA3">
        <w:rPr>
          <w:color w:val="000000" w:themeColor="text1"/>
          <w:szCs w:val="24"/>
        </w:rPr>
        <w:t>apakšaktivitātes</w:t>
      </w:r>
      <w:proofErr w:type="spellEnd"/>
      <w:r w:rsidRPr="00603CA3">
        <w:rPr>
          <w:color w:val="000000" w:themeColor="text1"/>
          <w:szCs w:val="24"/>
        </w:rPr>
        <w:t xml:space="preserve"> „Ārējo tirgu apgūšana – nozaru starptautiskās konkurētspējas stiprināšana” ietvaros noteikto atbalsta saņēmēju loku. </w:t>
      </w:r>
    </w:p>
    <w:p w:rsidR="00945919" w:rsidRPr="00603CA3" w:rsidRDefault="00945919" w:rsidP="00603CA3">
      <w:pPr>
        <w:spacing w:line="276" w:lineRule="auto"/>
        <w:rPr>
          <w:color w:val="000000" w:themeColor="text1"/>
          <w:szCs w:val="24"/>
        </w:rPr>
      </w:pPr>
      <w:r w:rsidRPr="00603CA3">
        <w:rPr>
          <w:color w:val="000000" w:themeColor="text1"/>
          <w:szCs w:val="24"/>
        </w:rPr>
        <w:t xml:space="preserve">2011.gada 3. ceturksnī ir plānots veikt ERAF finansējuma pārdali 22,8 </w:t>
      </w:r>
      <w:proofErr w:type="spellStart"/>
      <w:r w:rsidRPr="00603CA3">
        <w:rPr>
          <w:color w:val="000000" w:themeColor="text1"/>
          <w:szCs w:val="24"/>
        </w:rPr>
        <w:t>milj</w:t>
      </w:r>
      <w:proofErr w:type="spellEnd"/>
      <w:r w:rsidRPr="00603CA3">
        <w:rPr>
          <w:color w:val="000000" w:themeColor="text1"/>
          <w:szCs w:val="24"/>
        </w:rPr>
        <w:t>. latu apmērā no darbības programmas „Uzņēmējdarbība un inovācijas” uz  darbības programmu “Cilvēkresursi un nodarbinātība</w:t>
      </w:r>
      <w:r w:rsidRPr="00603CA3">
        <w:rPr>
          <w:color w:val="000000" w:themeColor="text1"/>
          <w:spacing w:val="6"/>
          <w:szCs w:val="24"/>
        </w:rPr>
        <w:t>”, tās aktīvo darba tirgus pasākumu īstenošanai 2012.un 2013.gadā. Šobrīd notiek aktīvs minēto grozījumu saskaņošanas darbs ar E</w:t>
      </w:r>
      <w:r w:rsidR="00347D60" w:rsidRPr="00603CA3">
        <w:rPr>
          <w:color w:val="000000" w:themeColor="text1"/>
          <w:spacing w:val="6"/>
          <w:szCs w:val="24"/>
        </w:rPr>
        <w:t>iropas Komisiju</w:t>
      </w:r>
      <w:r w:rsidRPr="00603CA3">
        <w:rPr>
          <w:color w:val="000000" w:themeColor="text1"/>
          <w:spacing w:val="6"/>
          <w:szCs w:val="24"/>
        </w:rPr>
        <w:t xml:space="preserve">.   </w:t>
      </w:r>
    </w:p>
    <w:p w:rsidR="00945919" w:rsidRPr="00603CA3" w:rsidRDefault="00945919" w:rsidP="00603CA3">
      <w:pPr>
        <w:spacing w:line="276" w:lineRule="auto"/>
        <w:rPr>
          <w:color w:val="000000" w:themeColor="text1"/>
          <w:szCs w:val="24"/>
        </w:rPr>
      </w:pPr>
      <w:r w:rsidRPr="00603CA3">
        <w:rPr>
          <w:color w:val="000000" w:themeColor="text1"/>
          <w:szCs w:val="24"/>
        </w:rPr>
        <w:t xml:space="preserve">Tāpat veikti grozījumi darbības programmas „Infrastruktūra un pakalpojumi” papildinājumā, kas paredz ES fondu finansējuma pārdales mācību aprīkojuma modernizācijai un infrastruktūras uzlabošanai profesionālās izglītības programmu īstenošanai, jauna specializētā neatliekamās medicīniskās palīdzības autotransporta iegādei, veselības aprūpes pakalpojumu uzlabošanai reģionālajās slimnīcās ārpus Rīgas, </w:t>
      </w:r>
      <w:proofErr w:type="spellStart"/>
      <w:r w:rsidRPr="00603CA3">
        <w:rPr>
          <w:color w:val="000000" w:themeColor="text1"/>
          <w:szCs w:val="24"/>
        </w:rPr>
        <w:t>tranzītielu</w:t>
      </w:r>
      <w:proofErr w:type="spellEnd"/>
      <w:r w:rsidRPr="00603CA3">
        <w:rPr>
          <w:color w:val="000000" w:themeColor="text1"/>
          <w:szCs w:val="24"/>
        </w:rPr>
        <w:t xml:space="preserve"> sakārtošanai pilsētu teritorijās, kā arī TEN-T autoceļu tīkla uzlabošanai.</w:t>
      </w:r>
    </w:p>
    <w:p w:rsidR="00CE0C31" w:rsidRPr="00603CA3" w:rsidRDefault="00A7256C" w:rsidP="00603CA3">
      <w:pPr>
        <w:spacing w:line="276" w:lineRule="auto"/>
        <w:rPr>
          <w:rFonts w:eastAsia="EUAlbertina-Bold-Identity-H"/>
          <w:color w:val="000000" w:themeColor="text1"/>
          <w:szCs w:val="24"/>
        </w:rPr>
      </w:pPr>
      <w:proofErr w:type="spellStart"/>
      <w:r w:rsidRPr="00603CA3">
        <w:rPr>
          <w:color w:val="000000" w:themeColor="text1"/>
          <w:szCs w:val="24"/>
        </w:rPr>
        <w:t>Š.g</w:t>
      </w:r>
      <w:proofErr w:type="spellEnd"/>
      <w:r w:rsidRPr="00603CA3">
        <w:rPr>
          <w:color w:val="000000" w:themeColor="text1"/>
          <w:szCs w:val="24"/>
        </w:rPr>
        <w:t>. 15.-16.jūnijā, Ventspilī notika ES fondu apakškomiteju un uzraudzības komitejas izbraukuma sēdes, kur tika lemts par  projektu iesniegumu vērtēšanas kritērijiem vairākās nodarbinātības un ekonomikas attīstības veicināšanai būtiskās aktivitātēs</w:t>
      </w:r>
      <w:r w:rsidR="00CE0C31" w:rsidRPr="00603CA3">
        <w:rPr>
          <w:color w:val="000000" w:themeColor="text1"/>
          <w:szCs w:val="24"/>
        </w:rPr>
        <w:t>, kā arī</w:t>
      </w:r>
      <w:r w:rsidRPr="00603CA3">
        <w:rPr>
          <w:color w:val="000000" w:themeColor="text1"/>
          <w:szCs w:val="24"/>
        </w:rPr>
        <w:t xml:space="preserve"> </w:t>
      </w:r>
      <w:r w:rsidR="00CE0C31" w:rsidRPr="00603CA3">
        <w:rPr>
          <w:color w:val="000000" w:themeColor="text1"/>
          <w:szCs w:val="24"/>
        </w:rPr>
        <w:t xml:space="preserve">Finanšu ministrija aktualizēja jautājumu </w:t>
      </w:r>
      <w:r w:rsidRPr="00603CA3">
        <w:rPr>
          <w:color w:val="000000" w:themeColor="text1"/>
          <w:szCs w:val="24"/>
        </w:rPr>
        <w:t>par cenu svārstību rezultātā projektu ietvaros radušos sadārdzinājumu</w:t>
      </w:r>
      <w:r w:rsidR="00CE0C31" w:rsidRPr="00603CA3">
        <w:rPr>
          <w:color w:val="000000" w:themeColor="text1"/>
          <w:szCs w:val="24"/>
        </w:rPr>
        <w:t xml:space="preserve">. Atbilstoši vienošanās Uzraudzības komitejā, lai </w:t>
      </w:r>
      <w:r w:rsidR="00CE0C31" w:rsidRPr="00603CA3">
        <w:rPr>
          <w:rFonts w:eastAsia="EUAlbertina-Bold-Identity-H"/>
          <w:color w:val="000000" w:themeColor="text1"/>
          <w:szCs w:val="24"/>
        </w:rPr>
        <w:t xml:space="preserve">rastu vienotu risinājumu ES fondu projektos, </w:t>
      </w:r>
      <w:proofErr w:type="spellStart"/>
      <w:r w:rsidR="00CE0C31" w:rsidRPr="00603CA3">
        <w:rPr>
          <w:rFonts w:eastAsia="EUAlbertina-Bold-Identity-H"/>
          <w:color w:val="000000" w:themeColor="text1"/>
          <w:szCs w:val="24"/>
        </w:rPr>
        <w:t>š.g</w:t>
      </w:r>
      <w:proofErr w:type="spellEnd"/>
      <w:r w:rsidR="00CE0C31" w:rsidRPr="00603CA3">
        <w:rPr>
          <w:rFonts w:eastAsia="EUAlbertina-Bold-Identity-H"/>
          <w:color w:val="000000" w:themeColor="text1"/>
          <w:szCs w:val="24"/>
        </w:rPr>
        <w:t>. 28.jūnijā Ministru kabinetā valdība atkārtoti lēma, ka iepriekš neparedzēts un nepamatots izmaksu pieaugums nav pieļaujams un netiks finansēts no publiskajiem resursiem, paredzot arī turpmāku atbildīgu pasūtītāju rīcību iepirkumu konkursu ietvaros.</w:t>
      </w:r>
    </w:p>
    <w:p w:rsidR="00945919" w:rsidRPr="00603CA3" w:rsidRDefault="00945919" w:rsidP="00603CA3">
      <w:pPr>
        <w:spacing w:line="276" w:lineRule="auto"/>
        <w:rPr>
          <w:rFonts w:eastAsia="EUAlbertina-Bold-Identity-H"/>
          <w:color w:val="000000" w:themeColor="text1"/>
          <w:szCs w:val="24"/>
        </w:rPr>
      </w:pPr>
      <w:r w:rsidRPr="00603CA3">
        <w:rPr>
          <w:rFonts w:eastAsia="EUAlbertina-Bold-Identity-H"/>
          <w:color w:val="000000" w:themeColor="text1"/>
          <w:szCs w:val="24"/>
        </w:rPr>
        <w:t xml:space="preserve">Attiecībā uz progresu finanšu apguvē, uzsākot projektu ieviešanu līdz 2011.gada 30.jūnijam, 2007.-2013.gada plānošanas perioda ietvaros kopumā apstiprināti Eiropas Savienības Struktūrfondu un Kohēzijas fonda (turpmāk- ES fondi) projekti par 2 837,7 </w:t>
      </w:r>
      <w:proofErr w:type="spellStart"/>
      <w:r w:rsidRPr="00603CA3">
        <w:rPr>
          <w:rFonts w:eastAsia="EUAlbertina-Bold-Identity-H"/>
          <w:color w:val="000000" w:themeColor="text1"/>
          <w:szCs w:val="24"/>
        </w:rPr>
        <w:t>milj</w:t>
      </w:r>
      <w:proofErr w:type="spellEnd"/>
      <w:r w:rsidRPr="00603CA3">
        <w:rPr>
          <w:rFonts w:eastAsia="EUAlbertina-Bold-Identity-H"/>
          <w:color w:val="000000" w:themeColor="text1"/>
          <w:szCs w:val="24"/>
        </w:rPr>
        <w:t xml:space="preserve">. latu jeb par </w:t>
      </w:r>
      <w:r w:rsidRPr="00603CA3">
        <w:rPr>
          <w:rFonts w:eastAsia="EUAlbertina-Bold-Identity-H"/>
          <w:color w:val="000000" w:themeColor="text1"/>
          <w:szCs w:val="24"/>
        </w:rPr>
        <w:lastRenderedPageBreak/>
        <w:t>81,8% no kopā pieejamā publiskā finansējuma</w:t>
      </w:r>
      <w:r w:rsidRPr="00603CA3">
        <w:rPr>
          <w:rStyle w:val="FootnoteReference"/>
          <w:rFonts w:eastAsia="EUAlbertina-Bold-Identity-H"/>
          <w:color w:val="000000" w:themeColor="text1"/>
          <w:szCs w:val="24"/>
        </w:rPr>
        <w:footnoteReference w:id="1"/>
      </w:r>
      <w:r w:rsidRPr="00603CA3">
        <w:rPr>
          <w:rFonts w:eastAsia="EUAlbertina-Bold-Identity-H"/>
          <w:color w:val="000000" w:themeColor="text1"/>
          <w:szCs w:val="24"/>
        </w:rPr>
        <w:t xml:space="preserve"> un </w:t>
      </w:r>
      <w:r w:rsidRPr="00603CA3">
        <w:rPr>
          <w:iCs/>
          <w:color w:val="000000" w:themeColor="text1"/>
          <w:szCs w:val="24"/>
        </w:rPr>
        <w:t>ES fondu finansējuma saņēmējiem</w:t>
      </w:r>
      <w:r w:rsidRPr="00603CA3">
        <w:rPr>
          <w:rFonts w:eastAsia="EUAlbertina-Bold-Identity-H"/>
          <w:color w:val="000000" w:themeColor="text1"/>
          <w:szCs w:val="24"/>
        </w:rPr>
        <w:t xml:space="preserve"> izmaksāti 1 184,5 </w:t>
      </w:r>
      <w:proofErr w:type="spellStart"/>
      <w:r w:rsidRPr="00603CA3">
        <w:rPr>
          <w:rFonts w:eastAsia="EUAlbertina-Bold-Identity-H"/>
          <w:color w:val="000000" w:themeColor="text1"/>
          <w:szCs w:val="24"/>
        </w:rPr>
        <w:t>milj</w:t>
      </w:r>
      <w:proofErr w:type="spellEnd"/>
      <w:r w:rsidRPr="00603CA3">
        <w:rPr>
          <w:rFonts w:eastAsia="EUAlbertina-Bold-Identity-H"/>
          <w:color w:val="000000" w:themeColor="text1"/>
          <w:szCs w:val="24"/>
        </w:rPr>
        <w:t xml:space="preserve">. latu jeb 34,2% no kopā pieejamā publiskā finansējuma. </w:t>
      </w:r>
    </w:p>
    <w:p w:rsidR="00945919" w:rsidRPr="00603CA3" w:rsidRDefault="00945919" w:rsidP="00603CA3">
      <w:pPr>
        <w:spacing w:line="276" w:lineRule="auto"/>
        <w:rPr>
          <w:rFonts w:eastAsia="EUAlbertina-Bold-Identity-H"/>
          <w:color w:val="000000" w:themeColor="text1"/>
          <w:szCs w:val="24"/>
        </w:rPr>
      </w:pPr>
      <w:r w:rsidRPr="00603CA3">
        <w:rPr>
          <w:rFonts w:eastAsia="EUAlbertina-Bold-Identity-H"/>
          <w:color w:val="000000" w:themeColor="text1"/>
          <w:szCs w:val="24"/>
        </w:rPr>
        <w:t xml:space="preserve">Vērtējot apguvi tieši </w:t>
      </w:r>
      <w:proofErr w:type="spellStart"/>
      <w:r w:rsidRPr="00603CA3">
        <w:rPr>
          <w:rFonts w:eastAsia="EUAlbertina-Bold-Identity-H"/>
          <w:color w:val="000000" w:themeColor="text1"/>
          <w:szCs w:val="24"/>
        </w:rPr>
        <w:t>š.g</w:t>
      </w:r>
      <w:proofErr w:type="spellEnd"/>
      <w:r w:rsidRPr="00603CA3">
        <w:rPr>
          <w:rFonts w:eastAsia="EUAlbertina-Bold-Identity-H"/>
          <w:color w:val="000000" w:themeColor="text1"/>
          <w:szCs w:val="24"/>
        </w:rPr>
        <w:t xml:space="preserve">. 2.ceturksnī, secināms, ka lielākā daļa atbildīgo iestāžu </w:t>
      </w:r>
      <w:r w:rsidR="00347D60" w:rsidRPr="00603CA3">
        <w:rPr>
          <w:rFonts w:eastAsia="EUAlbertina-Bold-Identity-H"/>
          <w:color w:val="000000" w:themeColor="text1"/>
          <w:szCs w:val="24"/>
        </w:rPr>
        <w:t>nav spējušas sasniegt</w:t>
      </w:r>
      <w:r w:rsidRPr="00603CA3">
        <w:rPr>
          <w:rFonts w:eastAsia="EUAlbertina-Bold-Identity-H"/>
          <w:color w:val="000000" w:themeColor="text1"/>
          <w:szCs w:val="24"/>
        </w:rPr>
        <w:t xml:space="preserve"> iepriekš noteikt</w:t>
      </w:r>
      <w:r w:rsidR="00347D60" w:rsidRPr="00603CA3">
        <w:rPr>
          <w:rFonts w:eastAsia="EUAlbertina-Bold-Identity-H"/>
          <w:color w:val="000000" w:themeColor="text1"/>
          <w:szCs w:val="24"/>
        </w:rPr>
        <w:t>os</w:t>
      </w:r>
      <w:r w:rsidRPr="00603CA3">
        <w:rPr>
          <w:rFonts w:eastAsia="EUAlbertina-Bold-Identity-H"/>
          <w:color w:val="000000" w:themeColor="text1"/>
          <w:szCs w:val="24"/>
        </w:rPr>
        <w:t xml:space="preserve"> finansējuma apguves plān</w:t>
      </w:r>
      <w:r w:rsidR="00347D60" w:rsidRPr="00603CA3">
        <w:rPr>
          <w:rFonts w:eastAsia="EUAlbertina-Bold-Identity-H"/>
          <w:color w:val="000000" w:themeColor="text1"/>
          <w:szCs w:val="24"/>
        </w:rPr>
        <w:t>us</w:t>
      </w:r>
      <w:r w:rsidRPr="00603CA3">
        <w:rPr>
          <w:rFonts w:eastAsia="EUAlbertina-Bold-Identity-H"/>
          <w:color w:val="000000" w:themeColor="text1"/>
          <w:szCs w:val="24"/>
        </w:rPr>
        <w:t xml:space="preserve">, kopumā veicot </w:t>
      </w:r>
      <w:r w:rsidR="00347D60" w:rsidRPr="00603CA3">
        <w:rPr>
          <w:rFonts w:eastAsia="EUAlbertina-Bold-Identity-H"/>
          <w:color w:val="000000" w:themeColor="text1"/>
          <w:szCs w:val="24"/>
        </w:rPr>
        <w:t xml:space="preserve">vidēji </w:t>
      </w:r>
      <w:r w:rsidRPr="00603CA3">
        <w:rPr>
          <w:rFonts w:eastAsia="EUAlbertina-Bold-Identity-H"/>
          <w:color w:val="000000" w:themeColor="text1"/>
          <w:szCs w:val="24"/>
        </w:rPr>
        <w:t xml:space="preserve">70,7% no paredzētā maksājumu apjoma finansējuma saņēmējiem. Lai arī 2.ceturksnī vērojams neliels maksājumu tempa pieaugums salīdzinājumā ar 1.ceturksni, kopumā pirmajā pusgadā no ES fondiem veikti maksājumi 131,7 </w:t>
      </w:r>
      <w:proofErr w:type="spellStart"/>
      <w:r w:rsidRPr="00603CA3">
        <w:rPr>
          <w:rFonts w:eastAsia="EUAlbertina-Bold-Identity-H"/>
          <w:color w:val="000000" w:themeColor="text1"/>
          <w:szCs w:val="24"/>
        </w:rPr>
        <w:t>milj</w:t>
      </w:r>
      <w:proofErr w:type="spellEnd"/>
      <w:r w:rsidRPr="00603CA3">
        <w:rPr>
          <w:rFonts w:eastAsia="EUAlbertina-Bold-Identity-H"/>
          <w:color w:val="000000" w:themeColor="text1"/>
          <w:szCs w:val="24"/>
        </w:rPr>
        <w:t xml:space="preserve"> latu apmērā, kas ir tikai 25,6% no šajā gadā plānotā. Līdzīgi kā iepriekš, vislēnāk finansējums tiek apgūts tieši darbības programmas „Infrastruktūra un pakalpojumi” ietvaros, kas pamatā skaidrojams ar sarežģījumiem iepirkumu procesā un aizvien pieaugošo cenu sadārdzinājumu, īpaši būvniecībā infrastruktūras projektos. </w:t>
      </w:r>
      <w:r w:rsidR="00A7256C" w:rsidRPr="00603CA3">
        <w:rPr>
          <w:rFonts w:eastAsia="EUAlbertina-Bold-Identity-H"/>
          <w:color w:val="000000" w:themeColor="text1"/>
          <w:szCs w:val="24"/>
        </w:rPr>
        <w:t>Iekavēto joprojām plānots apgūt šī gada 2.pusē.</w:t>
      </w:r>
    </w:p>
    <w:p w:rsidR="00945919" w:rsidRPr="00603CA3" w:rsidRDefault="00A7256C" w:rsidP="00603CA3">
      <w:pPr>
        <w:spacing w:line="276" w:lineRule="auto"/>
        <w:rPr>
          <w:rFonts w:eastAsiaTheme="minorHAnsi"/>
          <w:color w:val="000000" w:themeColor="text1"/>
          <w:szCs w:val="24"/>
        </w:rPr>
      </w:pPr>
      <w:r w:rsidRPr="00603CA3">
        <w:rPr>
          <w:rFonts w:eastAsia="EUAlbertina-Bold-Identity-H"/>
          <w:color w:val="000000" w:themeColor="text1"/>
          <w:szCs w:val="24"/>
        </w:rPr>
        <w:t>Ņemot vērā ES fondu finansējuma savlaicīgas apguves nozīmību reizi mēnesī valsts sekretāru sanāksmē Finanšu ministrija ziņo par situāciju, par noteikto finanšu disciplīnas pasākumu izpildi un atbildīgās m</w:t>
      </w:r>
      <w:r w:rsidR="00945919" w:rsidRPr="00603CA3">
        <w:rPr>
          <w:rFonts w:eastAsia="EUAlbertina-Bold-Identity-H"/>
          <w:color w:val="000000" w:themeColor="text1"/>
          <w:szCs w:val="24"/>
        </w:rPr>
        <w:t>inistrijas regulāri analizē situāciju projektos kontekstā ar budžeta izpildes prognozēm un atkāpēm no budžeta izpildes plāniem, nepieciešamības gadījumā pārstrukturējot līdzekļus starp aktivitātēm sava budžeta ietvaros vai arī, ja nepieciešams, iesniedzot līdzekļu pārdales pieprasījumus uz Finanšu ministrijas budžeta programmu 80.00.00 „</w:t>
      </w:r>
      <w:r w:rsidR="00945919" w:rsidRPr="00603CA3">
        <w:rPr>
          <w:color w:val="000000" w:themeColor="text1"/>
          <w:szCs w:val="24"/>
        </w:rPr>
        <w:t>Gadskārtējā valsts budžeta izpildes procesā pārdalāmais finansējums</w:t>
      </w:r>
      <w:r w:rsidR="00945919" w:rsidRPr="00603CA3">
        <w:rPr>
          <w:rFonts w:eastAsia="EUAlbertina-Bold-Identity-H"/>
          <w:color w:val="000000" w:themeColor="text1"/>
          <w:szCs w:val="24"/>
        </w:rPr>
        <w:t>” (turpmāk – 80.00.00 programma), lai finansējumu varētu izmantot citu nozaru projektu ietvaros.</w:t>
      </w:r>
      <w:r w:rsidRPr="00603CA3">
        <w:rPr>
          <w:rFonts w:eastAsia="EUAlbertina-Bold-Identity-H"/>
          <w:color w:val="000000" w:themeColor="text1"/>
          <w:szCs w:val="24"/>
        </w:rPr>
        <w:t xml:space="preserve"> Finanšu ministrija, i</w:t>
      </w:r>
      <w:r w:rsidRPr="00603CA3">
        <w:rPr>
          <w:rFonts w:eastAsiaTheme="minorHAnsi"/>
          <w:color w:val="000000" w:themeColor="text1"/>
          <w:szCs w:val="24"/>
        </w:rPr>
        <w:t xml:space="preserve">zpildot 28.07.2011. </w:t>
      </w:r>
      <w:r w:rsidRPr="00603CA3">
        <w:rPr>
          <w:rFonts w:eastAsia="EUAlbertina-Bold-Identity-H"/>
          <w:color w:val="000000" w:themeColor="text1"/>
          <w:szCs w:val="24"/>
        </w:rPr>
        <w:t>valsts sekretāru sanāksmē</w:t>
      </w:r>
      <w:r w:rsidRPr="00603CA3">
        <w:rPr>
          <w:rFonts w:eastAsiaTheme="minorHAnsi"/>
          <w:color w:val="000000" w:themeColor="text1"/>
          <w:szCs w:val="24"/>
        </w:rPr>
        <w:t xml:space="preserve"> protokola Nr.29 45.§ nolemto, sadarbībā ar iesaistītajām ministrijām ir izvērtējusi pieprasījumu pēc papildu finansējuma no 80.00.00.programmas un līdzšinējos finansējuma apguves kavējumu iemeslus un secina, ka nav nepieciešams veikt izmainās pieņemtos lēmumos par finanšu disciplīnas pasākumiem, kas nostiprināti normatīvos aktos. </w:t>
      </w:r>
    </w:p>
    <w:p w:rsidR="00945919" w:rsidRPr="00603CA3" w:rsidRDefault="00945919" w:rsidP="00603CA3">
      <w:pPr>
        <w:spacing w:line="276" w:lineRule="auto"/>
        <w:rPr>
          <w:rFonts w:eastAsia="EUAlbertina-Bold-Identity-H"/>
          <w:color w:val="000000" w:themeColor="text1"/>
          <w:szCs w:val="24"/>
        </w:rPr>
      </w:pPr>
      <w:r w:rsidRPr="00603CA3">
        <w:rPr>
          <w:rFonts w:eastAsia="EUAlbertina-Bold-Identity-H"/>
          <w:color w:val="000000" w:themeColor="text1"/>
          <w:szCs w:val="24"/>
        </w:rPr>
        <w:t xml:space="preserve">Pārskata periodā Latvija no EK saņēmusi pirmo noslēguma maksājumu attiecībā uz 2004.-2006.gada plānošanas perioda struktūrfondiem – 3,2 miljonu latu apmērā Eiropas Lauksaimniecības virzības un garantiju fonda ietvaros.  </w:t>
      </w:r>
    </w:p>
    <w:p w:rsidR="00945919" w:rsidRPr="00603CA3" w:rsidRDefault="00945919" w:rsidP="00603CA3">
      <w:pPr>
        <w:spacing w:line="276" w:lineRule="auto"/>
        <w:rPr>
          <w:rFonts w:eastAsia="Calibri"/>
          <w:color w:val="000000" w:themeColor="text1"/>
          <w:szCs w:val="24"/>
        </w:rPr>
      </w:pPr>
      <w:r w:rsidRPr="00603CA3">
        <w:rPr>
          <w:rFonts w:eastAsia="Calibri"/>
          <w:color w:val="000000" w:themeColor="text1"/>
          <w:szCs w:val="24"/>
        </w:rPr>
        <w:t xml:space="preserve">2011.gada 2.ceturksnī noslēdzās Eiropas Ekonomikas zonas (turpmāk – EEZ) finanšu instrumenta un Norvēģijas valdības divpusējā finanšu instrumenta 2004.-2009.gada perioda finansējuma apguve. Kopumā ieviesti 66 projekti, 6 grantu shēmas un 3 programmas par kopējo pieejamo finansējumu </w:t>
      </w:r>
      <w:r w:rsidRPr="00603CA3">
        <w:rPr>
          <w:color w:val="000000" w:themeColor="text1"/>
          <w:szCs w:val="24"/>
        </w:rPr>
        <w:t xml:space="preserve">35 </w:t>
      </w:r>
      <w:proofErr w:type="spellStart"/>
      <w:r w:rsidRPr="00603CA3">
        <w:rPr>
          <w:color w:val="000000" w:themeColor="text1"/>
          <w:szCs w:val="24"/>
        </w:rPr>
        <w:t>milj</w:t>
      </w:r>
      <w:proofErr w:type="spellEnd"/>
      <w:r w:rsidRPr="00603CA3">
        <w:rPr>
          <w:color w:val="000000" w:themeColor="text1"/>
          <w:szCs w:val="24"/>
        </w:rPr>
        <w:t>. latu (aptuveni 90% no  projektiem piešķirtajiem līdzekļiem).</w:t>
      </w:r>
    </w:p>
    <w:p w:rsidR="00945919" w:rsidRPr="00603CA3" w:rsidRDefault="00945919" w:rsidP="00603CA3">
      <w:pPr>
        <w:spacing w:line="276" w:lineRule="auto"/>
        <w:rPr>
          <w:rFonts w:eastAsia="Calibri"/>
          <w:color w:val="000000" w:themeColor="text1"/>
          <w:szCs w:val="24"/>
        </w:rPr>
      </w:pPr>
      <w:r w:rsidRPr="00603CA3">
        <w:rPr>
          <w:rFonts w:eastAsia="Calibri"/>
          <w:color w:val="000000" w:themeColor="text1"/>
          <w:szCs w:val="24"/>
        </w:rPr>
        <w:t xml:space="preserve">Savukārt EEZ finanšu instrumenta un Norvēģijas valdības divpusējā finanšu instrumenta 2009.-2014.gada perioda uzsākšanā 2011.gada 2.ceturksnī </w:t>
      </w:r>
      <w:r w:rsidR="003E7BD1" w:rsidRPr="00603CA3">
        <w:rPr>
          <w:rFonts w:eastAsia="Calibri"/>
          <w:color w:val="000000" w:themeColor="text1"/>
          <w:szCs w:val="24"/>
        </w:rPr>
        <w:t xml:space="preserve">Latvija ievērojami virzījusies </w:t>
      </w:r>
      <w:r w:rsidRPr="00603CA3">
        <w:rPr>
          <w:rFonts w:eastAsia="Calibri"/>
          <w:color w:val="000000" w:themeColor="text1"/>
          <w:szCs w:val="24"/>
        </w:rPr>
        <w:t>uz priekšu, jo noslēgti abu finanšu instrumentu saprašanās memorandi</w:t>
      </w:r>
      <w:r w:rsidR="003E7BD1" w:rsidRPr="00603CA3">
        <w:rPr>
          <w:rFonts w:eastAsia="Calibri"/>
          <w:color w:val="000000" w:themeColor="text1"/>
          <w:szCs w:val="24"/>
        </w:rPr>
        <w:t>, valdībā pieņemti lēmumi par programmu iesniegumu izstrādi</w:t>
      </w:r>
      <w:r w:rsidRPr="00603CA3">
        <w:rPr>
          <w:rFonts w:eastAsia="Calibri"/>
          <w:color w:val="000000" w:themeColor="text1"/>
          <w:szCs w:val="24"/>
        </w:rPr>
        <w:t>. Līdz ar to nozaru ministrijas uzsākušas darbu pie programmu iesniegumu izstrādes, lai nodrošinātu to iesniegšanu MK 2011.gada 3. un 4.ceturksnī.</w:t>
      </w:r>
    </w:p>
    <w:p w:rsidR="00945919" w:rsidRPr="00603CA3" w:rsidRDefault="00945919" w:rsidP="00603CA3">
      <w:pPr>
        <w:spacing w:line="276" w:lineRule="auto"/>
        <w:rPr>
          <w:rFonts w:eastAsia="Calibri"/>
          <w:color w:val="000000" w:themeColor="text1"/>
          <w:szCs w:val="24"/>
        </w:rPr>
      </w:pPr>
      <w:r w:rsidRPr="00603CA3">
        <w:rPr>
          <w:rFonts w:eastAsia="Calibri"/>
          <w:color w:val="000000" w:themeColor="text1"/>
          <w:szCs w:val="24"/>
        </w:rPr>
        <w:t xml:space="preserve">2011.gada 2.cetuksnī Latvijas un Šveices sadarbības programmas ietvaros tika noslēgti trīs pēdējie no plānotajiem projektu līgumiem, tostarp par programmu </w:t>
      </w:r>
      <w:r w:rsidRPr="00603CA3">
        <w:rPr>
          <w:iCs/>
          <w:color w:val="000000" w:themeColor="text1"/>
          <w:szCs w:val="24"/>
        </w:rPr>
        <w:t xml:space="preserve">aizdevumu izsniegšanai </w:t>
      </w:r>
      <w:proofErr w:type="spellStart"/>
      <w:r w:rsidRPr="00603CA3">
        <w:rPr>
          <w:iCs/>
          <w:color w:val="000000" w:themeColor="text1"/>
          <w:szCs w:val="24"/>
        </w:rPr>
        <w:t>mikrouzņēmumiem</w:t>
      </w:r>
      <w:proofErr w:type="spellEnd"/>
      <w:r w:rsidRPr="00603CA3">
        <w:rPr>
          <w:iCs/>
          <w:color w:val="000000" w:themeColor="text1"/>
          <w:szCs w:val="24"/>
        </w:rPr>
        <w:t xml:space="preserve"> un pašnodarbinātām personām uzņēmējdarbības uzsākšanai vai attīstībai.</w:t>
      </w:r>
    </w:p>
    <w:p w:rsidR="00945919" w:rsidRPr="00603CA3" w:rsidRDefault="00945919" w:rsidP="00603CA3">
      <w:pPr>
        <w:spacing w:line="276" w:lineRule="auto"/>
        <w:rPr>
          <w:rFonts w:eastAsia="EUAlbertina-Bold-Identity-H"/>
          <w:color w:val="000000" w:themeColor="text1"/>
          <w:szCs w:val="24"/>
        </w:rPr>
      </w:pPr>
      <w:r w:rsidRPr="00603CA3">
        <w:rPr>
          <w:rFonts w:eastAsia="EUAlbertina-Bold-Identity-H"/>
          <w:color w:val="000000" w:themeColor="text1"/>
          <w:szCs w:val="24"/>
        </w:rPr>
        <w:lastRenderedPageBreak/>
        <w:t xml:space="preserve">Pārskata periodā aktīvi tika meklēti risinājumi un komunicēts ar Eiropas Komisiju par Komisijas auditoru atklājumiem attiecībā uz auditu sistēmas darbību, dēļ kuriem Latvija bija uz laiku pārtraukusi izdevumu deklarēšanu, lai mazinātu problēmu eskalācijas riskus. Lai risinātu problēmas, tika būtiski stiprināta Revīzijas iestādes neatkarība, nosakot, ka Revīzijas iestāde ir pakļauta tieši ministram un Revīzijas iestādei ir pienākums ziņot Ministru kabinetam un Eiropas Komisijai, kā arī veikt citus pasākumus. Šobrīd Eiropas Komisija oficiālā vēstulē apstiprinājusi, ka Latvija ir novērsusi būtiskākos riskus un  šobrīd ES fondu sistēmā nepastāv tādi trūkumi, kas liegtu deklarēt veiktos izdevumus. Attiecīgi Valsts Kase jau iesniegusi maksājumu pieprasījumus Eiropas Komisijā par aptuveni 190 </w:t>
      </w:r>
      <w:proofErr w:type="spellStart"/>
      <w:r w:rsidRPr="00603CA3">
        <w:rPr>
          <w:rFonts w:eastAsia="EUAlbertina-Bold-Identity-H"/>
          <w:color w:val="000000" w:themeColor="text1"/>
          <w:szCs w:val="24"/>
        </w:rPr>
        <w:t>milj</w:t>
      </w:r>
      <w:proofErr w:type="spellEnd"/>
      <w:r w:rsidRPr="00603CA3">
        <w:rPr>
          <w:rFonts w:eastAsia="EUAlbertina-Bold-Identity-H"/>
          <w:color w:val="000000" w:themeColor="text1"/>
          <w:szCs w:val="24"/>
        </w:rPr>
        <w:t>. latu, kurus plānots saņemt vēl 2011.gadā. Atsevišķi Latvijai jāturpina risināt E</w:t>
      </w:r>
      <w:r w:rsidR="003E7BD1" w:rsidRPr="00603CA3">
        <w:rPr>
          <w:rFonts w:eastAsia="EUAlbertina-Bold-Identity-H"/>
          <w:color w:val="000000" w:themeColor="text1"/>
          <w:szCs w:val="24"/>
        </w:rPr>
        <w:t>iropas Komisijas</w:t>
      </w:r>
      <w:r w:rsidRPr="00603CA3">
        <w:rPr>
          <w:rFonts w:eastAsia="EUAlbertina-Bold-Identity-H"/>
          <w:color w:val="000000" w:themeColor="text1"/>
          <w:szCs w:val="24"/>
        </w:rPr>
        <w:t xml:space="preserve"> auditoru </w:t>
      </w:r>
      <w:r w:rsidR="003E7BD1" w:rsidRPr="00603CA3">
        <w:rPr>
          <w:rFonts w:eastAsia="EUAlbertina-Bold-Identity-H"/>
          <w:color w:val="000000" w:themeColor="text1"/>
          <w:szCs w:val="24"/>
        </w:rPr>
        <w:t xml:space="preserve">izvirzītie </w:t>
      </w:r>
      <w:r w:rsidRPr="00603CA3">
        <w:rPr>
          <w:rFonts w:eastAsia="EUAlbertina-Bold-Identity-H"/>
          <w:color w:val="000000" w:themeColor="text1"/>
          <w:szCs w:val="24"/>
        </w:rPr>
        <w:t xml:space="preserve">jautājumi, kas saistīti ar finanšu vadības instrumentu darbību. </w:t>
      </w:r>
    </w:p>
    <w:p w:rsidR="00BB0C28" w:rsidRPr="00603CA3" w:rsidRDefault="00BB0C28" w:rsidP="00603CA3">
      <w:pPr>
        <w:spacing w:line="276" w:lineRule="auto"/>
        <w:rPr>
          <w:rFonts w:eastAsia="Calibri"/>
          <w:color w:val="000000" w:themeColor="text1"/>
          <w:szCs w:val="24"/>
        </w:rPr>
      </w:pPr>
      <w:r w:rsidRPr="00603CA3">
        <w:rPr>
          <w:rFonts w:eastAsia="Calibri"/>
          <w:color w:val="000000" w:themeColor="text1"/>
          <w:szCs w:val="24"/>
        </w:rPr>
        <w:t xml:space="preserve">2007.-2013.gada plānošanas periodā līdz 2011.gada 30.jūnijam konstatēto neatbilstību ar finansiālu ietekmi kopējā publiskā finansējuma summa ir 7,3 </w:t>
      </w:r>
      <w:proofErr w:type="spellStart"/>
      <w:r w:rsidRPr="00603CA3">
        <w:rPr>
          <w:rFonts w:eastAsia="Calibri"/>
          <w:color w:val="000000" w:themeColor="text1"/>
          <w:szCs w:val="24"/>
        </w:rPr>
        <w:t>milj</w:t>
      </w:r>
      <w:proofErr w:type="spellEnd"/>
      <w:r w:rsidRPr="00603CA3">
        <w:rPr>
          <w:rFonts w:eastAsia="Calibri"/>
          <w:color w:val="000000" w:themeColor="text1"/>
          <w:szCs w:val="24"/>
        </w:rPr>
        <w:t xml:space="preserve">. latu jeb  0,59% no kopējā finansējuma saņēmēju pieprasītā finansējuma (1,25 miljards latu), no kuriem 1,2 </w:t>
      </w:r>
      <w:proofErr w:type="spellStart"/>
      <w:r w:rsidRPr="00603CA3">
        <w:rPr>
          <w:rFonts w:eastAsia="Calibri"/>
          <w:color w:val="000000" w:themeColor="text1"/>
          <w:szCs w:val="24"/>
        </w:rPr>
        <w:t>milj</w:t>
      </w:r>
      <w:proofErr w:type="spellEnd"/>
      <w:r w:rsidRPr="00603CA3">
        <w:rPr>
          <w:rFonts w:eastAsia="Calibri"/>
          <w:color w:val="000000" w:themeColor="text1"/>
          <w:szCs w:val="24"/>
        </w:rPr>
        <w:t xml:space="preserve">. latu klasificēti kā neatbilstības </w:t>
      </w:r>
      <w:proofErr w:type="spellStart"/>
      <w:r w:rsidRPr="00603CA3">
        <w:rPr>
          <w:rFonts w:eastAsia="Calibri"/>
          <w:color w:val="000000" w:themeColor="text1"/>
          <w:szCs w:val="24"/>
        </w:rPr>
        <w:t>š.g</w:t>
      </w:r>
      <w:proofErr w:type="spellEnd"/>
      <w:r w:rsidRPr="00603CA3">
        <w:rPr>
          <w:rFonts w:eastAsia="Calibri"/>
          <w:color w:val="000000" w:themeColor="text1"/>
          <w:szCs w:val="24"/>
        </w:rPr>
        <w:t>. 2.ceturkšņa laikā.  Secināms, ka būtiskākie neatbilstību rašanās iemesli joprojām ir pārkāpumi publiskā iepirkuma procedūrās, citu normatīvo aktu pārkāpumi, finansējuma saņēmēju saimnieciskās darbības neveikšana, kā arī aktivitāšu īstenošanas nosacījumu vai projekta tāmei neatbilstoši veikti darbu apjomi. Kopumā  vērtējot situāciju, var secināt, ka pastāvīgi uzlabojas uzraugošo iestāžu darbība un koordinācija izdevumu atbilstības kontrolē un nodrošināšanā. Īpaši vērojama valsts budžeta iestāžu kā finansējuma saņēmēju rīcības uzlabošanās, ņemot vērā iepriekšējā pārskata periodā valdībā pieņemtos lēmumus par finansējuma saņēmēja atbildīgo personu disciplināratbildības pastiprināšanu, uzsverot, ka atbildība jāuzņemas tieši finansējuma saņēmējam par radītiem neatbilstoši veiktiem izdevumiem un zaudējumiem budžetam, nevis kontrolējošām, uzraugošām ES fondu vadībā iesaistītām institūcijām.</w:t>
      </w:r>
    </w:p>
    <w:p w:rsidR="0026753D" w:rsidRPr="00603CA3" w:rsidRDefault="00C36D9D" w:rsidP="00603CA3">
      <w:pPr>
        <w:spacing w:line="276" w:lineRule="auto"/>
        <w:rPr>
          <w:color w:val="000000" w:themeColor="text1"/>
          <w:szCs w:val="24"/>
        </w:rPr>
      </w:pPr>
      <w:r w:rsidRPr="00603CA3">
        <w:rPr>
          <w:rFonts w:eastAsia="Calibri"/>
          <w:color w:val="000000" w:themeColor="text1"/>
          <w:szCs w:val="24"/>
        </w:rPr>
        <w:t>U</w:t>
      </w:r>
      <w:r w:rsidR="00945919" w:rsidRPr="00603CA3">
        <w:rPr>
          <w:rFonts w:eastAsia="Calibri"/>
          <w:color w:val="000000" w:themeColor="text1"/>
          <w:szCs w:val="24"/>
        </w:rPr>
        <w:t xml:space="preserve">zraugot ES fondu programmu ieviešanu, </w:t>
      </w:r>
      <w:r w:rsidRPr="00603CA3">
        <w:rPr>
          <w:rFonts w:eastAsia="Calibri"/>
          <w:color w:val="000000" w:themeColor="text1"/>
          <w:szCs w:val="24"/>
        </w:rPr>
        <w:t xml:space="preserve">analizējot konstatētos gadījumus, kur vērojams neatbilstošu izdevumu risks, īpaši </w:t>
      </w:r>
      <w:r w:rsidR="003F1ACE" w:rsidRPr="00603CA3">
        <w:rPr>
          <w:rFonts w:eastAsia="Calibri"/>
          <w:color w:val="000000" w:themeColor="text1"/>
          <w:szCs w:val="24"/>
        </w:rPr>
        <w:t xml:space="preserve">ar </w:t>
      </w:r>
      <w:r w:rsidRPr="00603CA3">
        <w:rPr>
          <w:rFonts w:eastAsia="Calibri"/>
          <w:color w:val="000000" w:themeColor="text1"/>
          <w:szCs w:val="24"/>
        </w:rPr>
        <w:t>sistēmisk</w:t>
      </w:r>
      <w:r w:rsidR="003F1ACE" w:rsidRPr="00603CA3">
        <w:rPr>
          <w:rFonts w:eastAsia="Calibri"/>
          <w:color w:val="000000" w:themeColor="text1"/>
          <w:szCs w:val="24"/>
        </w:rPr>
        <w:t>u raksturu</w:t>
      </w:r>
      <w:r w:rsidRPr="00603CA3">
        <w:rPr>
          <w:rFonts w:eastAsia="Calibri"/>
          <w:color w:val="000000" w:themeColor="text1"/>
          <w:szCs w:val="24"/>
        </w:rPr>
        <w:t xml:space="preserve">, </w:t>
      </w:r>
      <w:r w:rsidR="00945919" w:rsidRPr="00603CA3">
        <w:rPr>
          <w:rFonts w:eastAsia="Calibri"/>
          <w:color w:val="000000" w:themeColor="text1"/>
          <w:szCs w:val="24"/>
        </w:rPr>
        <w:t>Finanšu ministrija ir identificējusi, k</w:t>
      </w:r>
      <w:r w:rsidR="003F1ACE" w:rsidRPr="00603CA3">
        <w:rPr>
          <w:rFonts w:eastAsia="Calibri"/>
          <w:color w:val="000000" w:themeColor="text1"/>
          <w:szCs w:val="24"/>
        </w:rPr>
        <w:t>a</w:t>
      </w:r>
      <w:r w:rsidR="00945919" w:rsidRPr="00603CA3">
        <w:rPr>
          <w:rFonts w:eastAsia="Calibri"/>
          <w:color w:val="000000" w:themeColor="text1"/>
          <w:szCs w:val="24"/>
        </w:rPr>
        <w:t xml:space="preserve"> nepieciešams </w:t>
      </w:r>
      <w:r w:rsidR="003F1ACE" w:rsidRPr="00603CA3">
        <w:rPr>
          <w:rFonts w:eastAsia="Calibri"/>
          <w:color w:val="000000" w:themeColor="text1"/>
          <w:szCs w:val="24"/>
        </w:rPr>
        <w:t>ierobežot</w:t>
      </w:r>
      <w:r w:rsidR="003F1ACE" w:rsidRPr="00603CA3">
        <w:rPr>
          <w:color w:val="000000" w:themeColor="text1"/>
          <w:szCs w:val="24"/>
        </w:rPr>
        <w:t xml:space="preserve"> uzņēmuma līgumu ar esošajiem vai bijušajiem finansējuma saņēmēja darbiniekiem slēgšanu</w:t>
      </w:r>
      <w:r w:rsidR="00945919" w:rsidRPr="00603CA3">
        <w:rPr>
          <w:rFonts w:eastAsia="Calibri"/>
          <w:color w:val="000000" w:themeColor="text1"/>
          <w:szCs w:val="24"/>
        </w:rPr>
        <w:t>, ņemot vērā, ka šobrīd trūkst pietiekoši skaidra normatīvā regulējuma</w:t>
      </w:r>
      <w:r w:rsidR="003F1ACE" w:rsidRPr="00603CA3">
        <w:rPr>
          <w:rFonts w:eastAsia="Calibri"/>
          <w:color w:val="000000" w:themeColor="text1"/>
          <w:szCs w:val="24"/>
        </w:rPr>
        <w:t xml:space="preserve"> nacionālā un arī </w:t>
      </w:r>
      <w:r w:rsidR="003F1ACE" w:rsidRPr="00603CA3">
        <w:rPr>
          <w:color w:val="000000" w:themeColor="text1"/>
          <w:szCs w:val="24"/>
        </w:rPr>
        <w:t>Eiropas Savienības</w:t>
      </w:r>
      <w:r w:rsidR="003F1ACE" w:rsidRPr="00603CA3">
        <w:rPr>
          <w:rFonts w:eastAsia="Calibri"/>
          <w:color w:val="000000" w:themeColor="text1"/>
          <w:szCs w:val="24"/>
        </w:rPr>
        <w:t xml:space="preserve"> līmenī, pastāvot plašas interpretācijas iespējām</w:t>
      </w:r>
      <w:r w:rsidR="00945919" w:rsidRPr="00603CA3">
        <w:rPr>
          <w:rFonts w:eastAsia="Calibri"/>
          <w:color w:val="000000" w:themeColor="text1"/>
          <w:szCs w:val="24"/>
        </w:rPr>
        <w:t>. Lai nākotnē mazinātu neatbilstoši veikto izdevumu risku</w:t>
      </w:r>
      <w:r w:rsidR="00945919" w:rsidRPr="00603CA3">
        <w:rPr>
          <w:color w:val="000000" w:themeColor="text1"/>
          <w:szCs w:val="24"/>
        </w:rPr>
        <w:t xml:space="preserve">, Finanšu ministrija </w:t>
      </w:r>
      <w:r w:rsidR="003F1ACE" w:rsidRPr="00603CA3">
        <w:rPr>
          <w:color w:val="000000" w:themeColor="text1"/>
          <w:szCs w:val="24"/>
        </w:rPr>
        <w:t xml:space="preserve">virza </w:t>
      </w:r>
      <w:r w:rsidR="00945919" w:rsidRPr="00603CA3">
        <w:rPr>
          <w:color w:val="000000" w:themeColor="text1"/>
          <w:szCs w:val="24"/>
        </w:rPr>
        <w:t>priekšlikumu</w:t>
      </w:r>
      <w:r w:rsidR="003F1ACE" w:rsidRPr="00603CA3">
        <w:rPr>
          <w:color w:val="000000" w:themeColor="text1"/>
          <w:szCs w:val="24"/>
        </w:rPr>
        <w:t xml:space="preserve"> valdības lēmumam noteikt ka sākot ar 2011.gada 1.novembri atbildīgajām iestādēm un sadarbības iestādēm nodrošināt, ka ES fondu projektos netiek slēgti uzņēmuma līgumi ar esošajiem finansējuma saņēmēja darbiniekiem vai bijušajiem darbiniekiem, ar kuriem darba attiecības izbeigtas laika posmā, kas ir mazāks kā seši mēneši no uzņēmuma līguma noslēgšanas. Spēkā esošos līgumus iestādēm būs iespēja turpināt līdz to termiņa izbeigšanai, kā arī ir ievērots pārejas perioda – pilni divi mēneši, kuru laikā iestādes varēs noslēgt atvērtos iepirkuma konkursus. Tā kā </w:t>
      </w:r>
      <w:r w:rsidR="00945919" w:rsidRPr="00603CA3">
        <w:rPr>
          <w:color w:val="000000" w:themeColor="text1"/>
          <w:szCs w:val="24"/>
        </w:rPr>
        <w:t xml:space="preserve">normatīvajos aktos nav noteikts skaidrs aizliegums vai ierobežojums finansējuma saņēmēja esošo darbinieku un ierobežojošs termiņš bijušo darbinieku iepirkšanai uz uzņēmumu līguma pamata, </w:t>
      </w:r>
      <w:r w:rsidR="003F1ACE" w:rsidRPr="00603CA3">
        <w:rPr>
          <w:color w:val="000000" w:themeColor="text1"/>
          <w:szCs w:val="24"/>
        </w:rPr>
        <w:t xml:space="preserve">šāda iespēja tiek izmantota un </w:t>
      </w:r>
      <w:r w:rsidR="00945919" w:rsidRPr="00603CA3">
        <w:rPr>
          <w:color w:val="000000" w:themeColor="text1"/>
          <w:szCs w:val="24"/>
        </w:rPr>
        <w:t xml:space="preserve">rezultātā ir projekti, kuros ir tikuši slēgti šādi līgumi ar darbiniekiem, kas vēl nesen bijuši vai vēl joprojām ir darba attiecībās ar finansējuma saņēmēju. Praksē ir gandrīz neiespējami nodrošināt un pierādīt, ka šie darbinieki nav saņēmuši nepamatotas priekšrocības (piemēram, ietekmējot konkursa nosacījumu izstrādi) salīdzinājumā ar pārējiem pretendentiem, kuri </w:t>
      </w:r>
      <w:r w:rsidR="00945919" w:rsidRPr="00603CA3">
        <w:rPr>
          <w:color w:val="000000" w:themeColor="text1"/>
          <w:szCs w:val="24"/>
        </w:rPr>
        <w:lastRenderedPageBreak/>
        <w:t xml:space="preserve">piedalījušies vai varētu būt piedalījušies iepirkumā. Turklāt šādi iespējamie interešu konflikta gadījumi rada ievērojamu neatbilstoši veikto izdevumu risku, jo kā tas ir pierādījies praksē, arī Eiropas Komisijas auditori interešu konflikta jēdzienu piemēro plašāk, kā tas ir skaidrots Latvijas tiesību aktos. </w:t>
      </w:r>
      <w:r w:rsidR="003F1ACE" w:rsidRPr="00603CA3">
        <w:rPr>
          <w:color w:val="000000" w:themeColor="text1"/>
          <w:szCs w:val="24"/>
        </w:rPr>
        <w:t>Š</w:t>
      </w:r>
      <w:r w:rsidR="00126BA1" w:rsidRPr="00603CA3">
        <w:rPr>
          <w:color w:val="000000" w:themeColor="text1"/>
          <w:szCs w:val="24"/>
        </w:rPr>
        <w:t>is</w:t>
      </w:r>
      <w:r w:rsidR="003F1ACE" w:rsidRPr="00603CA3">
        <w:rPr>
          <w:color w:val="000000" w:themeColor="text1"/>
          <w:szCs w:val="24"/>
        </w:rPr>
        <w:t xml:space="preserve"> jautājum</w:t>
      </w:r>
      <w:r w:rsidR="00126BA1" w:rsidRPr="00603CA3">
        <w:rPr>
          <w:color w:val="000000" w:themeColor="text1"/>
          <w:szCs w:val="24"/>
        </w:rPr>
        <w:t xml:space="preserve">s preventīvi sistēmiski jāsakārto, lai novērstu risku, ka </w:t>
      </w:r>
      <w:r w:rsidR="003F1ACE" w:rsidRPr="00603CA3">
        <w:rPr>
          <w:color w:val="000000" w:themeColor="text1"/>
          <w:szCs w:val="24"/>
        </w:rPr>
        <w:t xml:space="preserve">Eiropas Komisijas auditori </w:t>
      </w:r>
      <w:r w:rsidR="00126BA1" w:rsidRPr="00603CA3">
        <w:rPr>
          <w:color w:val="000000" w:themeColor="text1"/>
          <w:szCs w:val="24"/>
        </w:rPr>
        <w:t xml:space="preserve">secina sistēmisku nepilnību ar finansiālu ietekmi. </w:t>
      </w:r>
    </w:p>
    <w:p w:rsidR="00945919" w:rsidRPr="00603CA3" w:rsidRDefault="003F1ACE" w:rsidP="00603CA3">
      <w:pPr>
        <w:spacing w:line="276" w:lineRule="auto"/>
        <w:rPr>
          <w:color w:val="000000" w:themeColor="text1"/>
          <w:szCs w:val="24"/>
        </w:rPr>
      </w:pPr>
      <w:r w:rsidRPr="00603CA3">
        <w:rPr>
          <w:color w:val="000000" w:themeColor="text1"/>
          <w:szCs w:val="24"/>
        </w:rPr>
        <w:t xml:space="preserve">Finanšu ministrija ir identificējusi arī vairākus citus projektu vadības </w:t>
      </w:r>
      <w:r w:rsidR="00EC1179" w:rsidRPr="00603CA3">
        <w:rPr>
          <w:color w:val="000000" w:themeColor="text1"/>
          <w:szCs w:val="24"/>
        </w:rPr>
        <w:t xml:space="preserve">un administrēšanas </w:t>
      </w:r>
      <w:r w:rsidRPr="00603CA3">
        <w:rPr>
          <w:color w:val="000000" w:themeColor="text1"/>
          <w:szCs w:val="24"/>
        </w:rPr>
        <w:t xml:space="preserve">aspektus, </w:t>
      </w:r>
      <w:r w:rsidR="00EC1179" w:rsidRPr="00603CA3">
        <w:rPr>
          <w:color w:val="000000" w:themeColor="text1"/>
          <w:szCs w:val="24"/>
        </w:rPr>
        <w:t xml:space="preserve">piemēram valsts budžeta iestāžu rīcība ar darījumu kontiem </w:t>
      </w:r>
      <w:r w:rsidR="0026753D" w:rsidRPr="00603CA3">
        <w:rPr>
          <w:color w:val="000000" w:themeColor="text1"/>
          <w:szCs w:val="24"/>
        </w:rPr>
        <w:t>komercbankās</w:t>
      </w:r>
      <w:r w:rsidR="00EC1179" w:rsidRPr="00603CA3">
        <w:rPr>
          <w:color w:val="000000" w:themeColor="text1"/>
          <w:szCs w:val="24"/>
        </w:rPr>
        <w:t xml:space="preserve">, </w:t>
      </w:r>
      <w:r w:rsidRPr="00603CA3">
        <w:rPr>
          <w:rFonts w:eastAsia="Calibri"/>
          <w:color w:val="000000" w:themeColor="text1"/>
          <w:szCs w:val="24"/>
        </w:rPr>
        <w:t xml:space="preserve">kur nepieciešams nostiprināt drošas finanšu vadības principu ievērošanu, </w:t>
      </w:r>
      <w:r w:rsidR="0026753D" w:rsidRPr="00603CA3">
        <w:rPr>
          <w:rFonts w:eastAsia="Calibri"/>
          <w:color w:val="000000" w:themeColor="text1"/>
          <w:szCs w:val="24"/>
        </w:rPr>
        <w:t>un virza priekšlikumus rīcībai.</w:t>
      </w:r>
      <w:r w:rsidRPr="00603CA3">
        <w:rPr>
          <w:rFonts w:eastAsia="Calibri"/>
          <w:color w:val="000000" w:themeColor="text1"/>
          <w:szCs w:val="24"/>
        </w:rPr>
        <w:t xml:space="preserve"> </w:t>
      </w:r>
    </w:p>
    <w:p w:rsidR="00AC0E27" w:rsidRPr="00603CA3" w:rsidRDefault="00945919" w:rsidP="00603CA3">
      <w:pPr>
        <w:spacing w:line="276" w:lineRule="auto"/>
        <w:rPr>
          <w:color w:val="000000" w:themeColor="text1"/>
          <w:szCs w:val="24"/>
        </w:rPr>
      </w:pPr>
      <w:r w:rsidRPr="00603CA3">
        <w:rPr>
          <w:rFonts w:eastAsiaTheme="minorHAnsi"/>
          <w:color w:val="000000" w:themeColor="text1"/>
          <w:szCs w:val="24"/>
        </w:rPr>
        <w:t xml:space="preserve">Finanšu ministrija turpina aktīvi </w:t>
      </w:r>
      <w:r w:rsidRPr="00603CA3">
        <w:rPr>
          <w:color w:val="000000" w:themeColor="text1"/>
          <w:szCs w:val="24"/>
        </w:rPr>
        <w:t>gatavoties nākošajam plānošanas periodam, formulējot Latvijas intereses Kohēzijas politikai pēc 2013.gada. Pašreiz norisinās aktīvs darbs, izvērtējot Eiropas Komisijas jūnijā beigās publicēto priekšlikumu nākošajai finanšu perspektīvai. Nākamajā ceturksnī plānots turpināt aktīvi risināt Latvijai svarīgos jautājumus, tā kā tiek plānots, ka šajā laikā Eiropas Komisija publicēs priekšlikumu Kohēzijas politikas regulām pēc 2013.gada.</w:t>
      </w:r>
    </w:p>
    <w:p w:rsidR="00E7490D" w:rsidRPr="00603CA3" w:rsidRDefault="00E7490D" w:rsidP="00603CA3">
      <w:pPr>
        <w:spacing w:line="276" w:lineRule="auto"/>
        <w:jc w:val="left"/>
        <w:rPr>
          <w:color w:val="000000" w:themeColor="text1"/>
          <w:szCs w:val="24"/>
        </w:rPr>
      </w:pPr>
      <w:r w:rsidRPr="00603CA3">
        <w:rPr>
          <w:color w:val="000000" w:themeColor="text1"/>
          <w:szCs w:val="24"/>
        </w:rPr>
        <w:br w:type="page"/>
      </w:r>
    </w:p>
    <w:p w:rsidR="00E7490D" w:rsidRPr="00603CA3" w:rsidRDefault="00E7490D" w:rsidP="00603CA3">
      <w:pPr>
        <w:spacing w:line="276" w:lineRule="auto"/>
        <w:rPr>
          <w:color w:val="000000" w:themeColor="text1"/>
          <w:szCs w:val="24"/>
        </w:rPr>
      </w:pPr>
    </w:p>
    <w:p w:rsidR="004B7C6E" w:rsidRPr="00603CA3" w:rsidRDefault="00FD5EA9" w:rsidP="00603CA3">
      <w:pPr>
        <w:pStyle w:val="1lmenis"/>
        <w:spacing w:before="0" w:after="0" w:line="276" w:lineRule="auto"/>
        <w:ind w:left="851"/>
        <w:rPr>
          <w:rFonts w:ascii="Times New Roman" w:hAnsi="Times New Roman"/>
          <w:color w:val="000000" w:themeColor="text1"/>
          <w:sz w:val="24"/>
          <w:szCs w:val="24"/>
          <w:lang w:val="lv-LV"/>
        </w:rPr>
      </w:pPr>
      <w:bookmarkStart w:id="13" w:name="_Toc300759820"/>
      <w:r w:rsidRPr="00603CA3">
        <w:rPr>
          <w:rFonts w:ascii="Times New Roman" w:hAnsi="Times New Roman"/>
          <w:color w:val="000000" w:themeColor="text1"/>
          <w:sz w:val="24"/>
          <w:szCs w:val="24"/>
          <w:lang w:val="lv-LV"/>
        </w:rPr>
        <w:t>2007.-2013.gada plānošanas perioda ES struktūrfondu un Kohēzijas fonda apguve</w:t>
      </w:r>
      <w:bookmarkEnd w:id="10"/>
      <w:bookmarkEnd w:id="13"/>
    </w:p>
    <w:p w:rsidR="00A12973" w:rsidRPr="00603CA3" w:rsidRDefault="001E3C5A" w:rsidP="00603CA3">
      <w:pPr>
        <w:pStyle w:val="2lmenis"/>
        <w:numPr>
          <w:ilvl w:val="1"/>
          <w:numId w:val="2"/>
        </w:numPr>
        <w:spacing w:before="0" w:after="0" w:line="276" w:lineRule="auto"/>
        <w:ind w:left="1276" w:hanging="425"/>
        <w:rPr>
          <w:color w:val="000000" w:themeColor="text1"/>
          <w:sz w:val="24"/>
          <w:szCs w:val="24"/>
          <w:lang w:val="lv-LV"/>
        </w:rPr>
      </w:pPr>
      <w:r w:rsidRPr="00603CA3">
        <w:rPr>
          <w:color w:val="000000" w:themeColor="text1"/>
          <w:sz w:val="24"/>
          <w:szCs w:val="24"/>
          <w:lang w:val="lv-LV"/>
        </w:rPr>
        <w:t xml:space="preserve"> </w:t>
      </w:r>
      <w:bookmarkStart w:id="14" w:name="_Toc300759821"/>
      <w:r w:rsidR="00A12973" w:rsidRPr="00603CA3">
        <w:rPr>
          <w:color w:val="000000" w:themeColor="text1"/>
          <w:sz w:val="24"/>
          <w:szCs w:val="24"/>
          <w:lang w:val="lv-LV"/>
        </w:rPr>
        <w:t>Darbības programmu un darbības programmu papildinājumu grozījumi</w:t>
      </w:r>
      <w:bookmarkEnd w:id="14"/>
    </w:p>
    <w:p w:rsidR="006F4AF2" w:rsidRPr="00603CA3" w:rsidRDefault="00A12973" w:rsidP="00603CA3">
      <w:pPr>
        <w:spacing w:line="276" w:lineRule="auto"/>
        <w:rPr>
          <w:color w:val="000000" w:themeColor="text1"/>
          <w:szCs w:val="24"/>
        </w:rPr>
      </w:pPr>
      <w:r w:rsidRPr="00603CA3">
        <w:rPr>
          <w:color w:val="000000" w:themeColor="text1"/>
          <w:szCs w:val="24"/>
        </w:rPr>
        <w:t xml:space="preserve">Lai nodrošinātu efektīvu un operatīvu ES fondu apguvi, kā arī lai reaģētu uz pārmaiņām sociāli ekonomiskajā situācijā valstī un nozaru politikās, nozaru ministrijas un Finanšu ministrija ir veikušas </w:t>
      </w:r>
      <w:r w:rsidR="00D34BE3" w:rsidRPr="00603CA3">
        <w:rPr>
          <w:color w:val="000000" w:themeColor="text1"/>
          <w:szCs w:val="24"/>
        </w:rPr>
        <w:t xml:space="preserve">vairākus </w:t>
      </w:r>
      <w:r w:rsidRPr="00603CA3">
        <w:rPr>
          <w:color w:val="000000" w:themeColor="text1"/>
          <w:szCs w:val="24"/>
        </w:rPr>
        <w:t xml:space="preserve">nepieciešamos grozījumus plānošanas dokumentos – darbības programmās un darbības programmas papildinājumos. </w:t>
      </w:r>
    </w:p>
    <w:p w:rsidR="0070174B" w:rsidRPr="00603CA3" w:rsidRDefault="00F3490B" w:rsidP="00603CA3">
      <w:pPr>
        <w:spacing w:line="276" w:lineRule="auto"/>
        <w:rPr>
          <w:b/>
          <w:color w:val="000000" w:themeColor="text1"/>
          <w:szCs w:val="24"/>
        </w:rPr>
      </w:pPr>
      <w:r w:rsidRPr="00603CA3">
        <w:rPr>
          <w:b/>
          <w:color w:val="000000" w:themeColor="text1"/>
          <w:szCs w:val="24"/>
        </w:rPr>
        <w:t>1</w:t>
      </w:r>
      <w:r w:rsidR="00D57740" w:rsidRPr="00603CA3">
        <w:rPr>
          <w:b/>
          <w:color w:val="000000" w:themeColor="text1"/>
          <w:szCs w:val="24"/>
        </w:rPr>
        <w:t>.1.</w:t>
      </w:r>
      <w:r w:rsidR="002532B5" w:rsidRPr="00603CA3">
        <w:rPr>
          <w:b/>
          <w:color w:val="000000" w:themeColor="text1"/>
          <w:szCs w:val="24"/>
        </w:rPr>
        <w:t xml:space="preserve">1. </w:t>
      </w:r>
      <w:r w:rsidR="00A12973" w:rsidRPr="00603CA3">
        <w:rPr>
          <w:b/>
          <w:color w:val="000000" w:themeColor="text1"/>
          <w:szCs w:val="24"/>
        </w:rPr>
        <w:t>Darbības programma „Cilvēkresursi un nodar</w:t>
      </w:r>
      <w:r w:rsidR="00006F67" w:rsidRPr="00603CA3">
        <w:rPr>
          <w:b/>
          <w:color w:val="000000" w:themeColor="text1"/>
          <w:szCs w:val="24"/>
        </w:rPr>
        <w:t xml:space="preserve">binātība” un tās papildinājums </w:t>
      </w:r>
    </w:p>
    <w:p w:rsidR="0070174B" w:rsidRPr="00603CA3" w:rsidRDefault="0070174B" w:rsidP="00603CA3">
      <w:pPr>
        <w:spacing w:line="276" w:lineRule="auto"/>
        <w:rPr>
          <w:color w:val="000000" w:themeColor="text1"/>
          <w:szCs w:val="24"/>
        </w:rPr>
      </w:pPr>
      <w:r w:rsidRPr="00603CA3">
        <w:rPr>
          <w:color w:val="000000" w:themeColor="text1"/>
          <w:szCs w:val="24"/>
        </w:rPr>
        <w:t xml:space="preserve">2011.gada 14.aprīlī ar </w:t>
      </w:r>
      <w:r w:rsidR="009D77BB" w:rsidRPr="00603CA3">
        <w:rPr>
          <w:color w:val="000000" w:themeColor="text1"/>
          <w:szCs w:val="24"/>
        </w:rPr>
        <w:t>MK</w:t>
      </w:r>
      <w:r w:rsidRPr="00603CA3">
        <w:rPr>
          <w:color w:val="000000" w:themeColor="text1"/>
          <w:szCs w:val="24"/>
        </w:rPr>
        <w:t xml:space="preserve"> rīkojumu Nr.153 apstiprināti grozījumi darbības programmas „Cilvēkresursi un nodarbinātība” papildinājumā, paredzot šādus grozījumus:</w:t>
      </w:r>
    </w:p>
    <w:p w:rsidR="0070174B" w:rsidRPr="00603CA3" w:rsidRDefault="0070174B" w:rsidP="00603CA3">
      <w:pPr>
        <w:pStyle w:val="ListParagraph"/>
        <w:numPr>
          <w:ilvl w:val="0"/>
          <w:numId w:val="10"/>
        </w:numPr>
        <w:spacing w:after="0"/>
        <w:contextualSpacing w:val="0"/>
        <w:jc w:val="both"/>
        <w:rPr>
          <w:rFonts w:ascii="Times New Roman" w:hAnsi="Times New Roman"/>
          <w:color w:val="000000" w:themeColor="text1"/>
          <w:sz w:val="24"/>
          <w:szCs w:val="24"/>
        </w:rPr>
      </w:pPr>
      <w:r w:rsidRPr="00603CA3">
        <w:rPr>
          <w:rFonts w:ascii="Times New Roman" w:hAnsi="Times New Roman"/>
          <w:color w:val="000000" w:themeColor="text1"/>
          <w:sz w:val="24"/>
          <w:szCs w:val="24"/>
        </w:rPr>
        <w:t xml:space="preserve">palielināt </w:t>
      </w:r>
      <w:r w:rsidR="00B7581F" w:rsidRPr="00603CA3">
        <w:rPr>
          <w:rFonts w:ascii="Times New Roman" w:hAnsi="Times New Roman"/>
          <w:color w:val="000000" w:themeColor="text1"/>
          <w:sz w:val="24"/>
          <w:szCs w:val="24"/>
        </w:rPr>
        <w:t>darbības programmas papildinājumā</w:t>
      </w:r>
      <w:r w:rsidRPr="00603CA3">
        <w:rPr>
          <w:rFonts w:ascii="Times New Roman" w:hAnsi="Times New Roman"/>
          <w:color w:val="000000" w:themeColor="text1"/>
          <w:sz w:val="24"/>
          <w:szCs w:val="24"/>
        </w:rPr>
        <w:t xml:space="preserve"> 1.3.1.5.aktivitātes "Vietējo nodarbinātības veicināšanas pasākumu plānu ieviešanas atbalsts" pasākuma "Darba praktizēšana ar stipendiju pašvaldībās" finansējumu par </w:t>
      </w:r>
      <w:r w:rsidR="00A1401A" w:rsidRPr="00603CA3">
        <w:rPr>
          <w:rFonts w:ascii="Times New Roman" w:hAnsi="Times New Roman"/>
          <w:color w:val="000000" w:themeColor="text1"/>
          <w:sz w:val="24"/>
          <w:szCs w:val="24"/>
        </w:rPr>
        <w:t xml:space="preserve">5,1 </w:t>
      </w:r>
      <w:proofErr w:type="spellStart"/>
      <w:r w:rsidR="00A1401A" w:rsidRPr="00603CA3">
        <w:rPr>
          <w:rFonts w:ascii="Times New Roman" w:hAnsi="Times New Roman"/>
          <w:color w:val="000000" w:themeColor="text1"/>
          <w:sz w:val="24"/>
          <w:szCs w:val="24"/>
        </w:rPr>
        <w:t>milj</w:t>
      </w:r>
      <w:proofErr w:type="spellEnd"/>
      <w:r w:rsidR="00A1401A" w:rsidRPr="00603CA3">
        <w:rPr>
          <w:rFonts w:ascii="Times New Roman" w:hAnsi="Times New Roman"/>
          <w:color w:val="000000" w:themeColor="text1"/>
          <w:sz w:val="24"/>
          <w:szCs w:val="24"/>
        </w:rPr>
        <w:t>. latu</w:t>
      </w:r>
      <w:r w:rsidR="007A72A1" w:rsidRPr="00603CA3">
        <w:rPr>
          <w:rFonts w:ascii="Times New Roman" w:hAnsi="Times New Roman"/>
          <w:color w:val="000000" w:themeColor="text1"/>
          <w:sz w:val="24"/>
          <w:szCs w:val="24"/>
        </w:rPr>
        <w:t>,</w:t>
      </w:r>
      <w:r w:rsidR="00A1401A" w:rsidRPr="00603CA3">
        <w:rPr>
          <w:rFonts w:ascii="Times New Roman" w:hAnsi="Times New Roman"/>
          <w:color w:val="000000" w:themeColor="text1"/>
          <w:sz w:val="24"/>
          <w:szCs w:val="24"/>
        </w:rPr>
        <w:t xml:space="preserve"> </w:t>
      </w:r>
      <w:r w:rsidRPr="00603CA3">
        <w:rPr>
          <w:rFonts w:ascii="Times New Roman" w:hAnsi="Times New Roman"/>
          <w:color w:val="000000" w:themeColor="text1"/>
          <w:sz w:val="24"/>
          <w:szCs w:val="24"/>
        </w:rPr>
        <w:t xml:space="preserve">pārdalot Labklājības ministrijas </w:t>
      </w:r>
      <w:proofErr w:type="spellStart"/>
      <w:r w:rsidRPr="00603CA3">
        <w:rPr>
          <w:rFonts w:ascii="Times New Roman" w:hAnsi="Times New Roman"/>
          <w:color w:val="000000" w:themeColor="text1"/>
          <w:sz w:val="24"/>
          <w:szCs w:val="24"/>
        </w:rPr>
        <w:t>pārziņā</w:t>
      </w:r>
      <w:proofErr w:type="spellEnd"/>
      <w:r w:rsidRPr="00603CA3">
        <w:rPr>
          <w:rFonts w:ascii="Times New Roman" w:hAnsi="Times New Roman"/>
          <w:color w:val="000000" w:themeColor="text1"/>
          <w:sz w:val="24"/>
          <w:szCs w:val="24"/>
        </w:rPr>
        <w:t xml:space="preserve"> esošo aktivitāšu ietvaros līgumiem nepiesaistīto </w:t>
      </w:r>
      <w:r w:rsidR="00481693" w:rsidRPr="00603CA3">
        <w:rPr>
          <w:rFonts w:ascii="Times New Roman" w:hAnsi="Times New Roman"/>
          <w:color w:val="000000" w:themeColor="text1"/>
          <w:sz w:val="24"/>
          <w:szCs w:val="24"/>
        </w:rPr>
        <w:t>ESF</w:t>
      </w:r>
      <w:r w:rsidR="00CC7FE2" w:rsidRPr="00603CA3">
        <w:rPr>
          <w:rFonts w:ascii="Times New Roman" w:hAnsi="Times New Roman"/>
          <w:color w:val="000000" w:themeColor="text1"/>
          <w:sz w:val="24"/>
          <w:szCs w:val="24"/>
        </w:rPr>
        <w:t xml:space="preserve"> </w:t>
      </w:r>
      <w:r w:rsidRPr="00603CA3">
        <w:rPr>
          <w:rFonts w:ascii="Times New Roman" w:hAnsi="Times New Roman"/>
          <w:color w:val="000000" w:themeColor="text1"/>
          <w:sz w:val="24"/>
          <w:szCs w:val="24"/>
        </w:rPr>
        <w:t xml:space="preserve">finansējuma daļu, tādējādi ļaujot 2011.gadā pasākumā iesaistīt papildus </w:t>
      </w:r>
      <w:r w:rsidR="00BE3D8E" w:rsidRPr="00603CA3">
        <w:rPr>
          <w:rFonts w:ascii="Times New Roman" w:hAnsi="Times New Roman"/>
          <w:color w:val="000000" w:themeColor="text1"/>
          <w:sz w:val="24"/>
          <w:szCs w:val="24"/>
        </w:rPr>
        <w:t xml:space="preserve"> 15,3 </w:t>
      </w:r>
      <w:proofErr w:type="spellStart"/>
      <w:r w:rsidRPr="00603CA3">
        <w:rPr>
          <w:rFonts w:ascii="Times New Roman" w:hAnsi="Times New Roman"/>
          <w:color w:val="000000" w:themeColor="text1"/>
          <w:sz w:val="24"/>
          <w:szCs w:val="24"/>
        </w:rPr>
        <w:t>tūkst</w:t>
      </w:r>
      <w:proofErr w:type="spellEnd"/>
      <w:r w:rsidR="00C17C1C" w:rsidRPr="00603CA3">
        <w:rPr>
          <w:rFonts w:ascii="Times New Roman" w:hAnsi="Times New Roman"/>
          <w:color w:val="000000" w:themeColor="text1"/>
          <w:sz w:val="24"/>
          <w:szCs w:val="24"/>
        </w:rPr>
        <w:t>.</w:t>
      </w:r>
      <w:r w:rsidRPr="00603CA3">
        <w:rPr>
          <w:rFonts w:ascii="Times New Roman" w:hAnsi="Times New Roman"/>
          <w:color w:val="000000" w:themeColor="text1"/>
          <w:sz w:val="24"/>
          <w:szCs w:val="24"/>
        </w:rPr>
        <w:t xml:space="preserve"> bezdarbnieku, kas nesaņem bezdarbnieka pabalstu</w:t>
      </w:r>
      <w:r w:rsidR="009458B1" w:rsidRPr="00603CA3">
        <w:rPr>
          <w:rFonts w:ascii="Times New Roman" w:hAnsi="Times New Roman"/>
          <w:color w:val="000000" w:themeColor="text1"/>
          <w:sz w:val="24"/>
          <w:szCs w:val="24"/>
        </w:rPr>
        <w:t>;</w:t>
      </w:r>
    </w:p>
    <w:p w:rsidR="0070174B" w:rsidRPr="00603CA3" w:rsidRDefault="0070174B" w:rsidP="00603CA3">
      <w:pPr>
        <w:pStyle w:val="ListParagraph"/>
        <w:numPr>
          <w:ilvl w:val="0"/>
          <w:numId w:val="10"/>
        </w:numPr>
        <w:spacing w:after="0"/>
        <w:contextualSpacing w:val="0"/>
        <w:jc w:val="both"/>
        <w:rPr>
          <w:rFonts w:ascii="Times New Roman" w:hAnsi="Times New Roman"/>
          <w:color w:val="000000" w:themeColor="text1"/>
          <w:sz w:val="24"/>
          <w:szCs w:val="24"/>
        </w:rPr>
      </w:pPr>
      <w:r w:rsidRPr="00603CA3">
        <w:rPr>
          <w:rFonts w:ascii="Times New Roman" w:hAnsi="Times New Roman"/>
          <w:color w:val="000000" w:themeColor="text1"/>
          <w:sz w:val="24"/>
          <w:szCs w:val="24"/>
        </w:rPr>
        <w:t xml:space="preserve">lai dotu iespēju valsts atbalstu saņemt arī darba devējiem, kas darbojas lauksaimniecības un zivsaimniecības nozarē un nodarbināt bezdarbniekus ar invaliditāti lauku teritorijās, veicinot nodarbinātību lauku reģionos, tiek paredzēts papildināt regulu sarakstu, atbilstoši kurām sniedzams valsts atbalsts </w:t>
      </w:r>
      <w:r w:rsidR="00A82CC7" w:rsidRPr="00603CA3">
        <w:rPr>
          <w:rFonts w:ascii="Times New Roman" w:hAnsi="Times New Roman"/>
          <w:color w:val="000000" w:themeColor="text1"/>
          <w:sz w:val="24"/>
          <w:szCs w:val="24"/>
        </w:rPr>
        <w:t>darbības programmas papildinājumu</w:t>
      </w:r>
      <w:r w:rsidRPr="00603CA3">
        <w:rPr>
          <w:rFonts w:ascii="Times New Roman" w:hAnsi="Times New Roman"/>
          <w:color w:val="000000" w:themeColor="text1"/>
          <w:sz w:val="24"/>
          <w:szCs w:val="24"/>
        </w:rPr>
        <w:t xml:space="preserve"> 1.4.1.1.1.apakšaktivitātē „Kompleksi atbalsta pasākumi iedzīvotāju integrēšanai sabiedrībā un darba tirgū” un 1.4.1.1.2.apakšaktivitātē „Atbalstītās nodarbinātības pasākumi </w:t>
      </w:r>
      <w:proofErr w:type="spellStart"/>
      <w:r w:rsidRPr="00603CA3">
        <w:rPr>
          <w:rFonts w:ascii="Times New Roman" w:hAnsi="Times New Roman"/>
          <w:color w:val="000000" w:themeColor="text1"/>
          <w:sz w:val="24"/>
          <w:szCs w:val="24"/>
        </w:rPr>
        <w:t>mērķgrupu</w:t>
      </w:r>
      <w:proofErr w:type="spellEnd"/>
      <w:r w:rsidRPr="00603CA3">
        <w:rPr>
          <w:rFonts w:ascii="Times New Roman" w:hAnsi="Times New Roman"/>
          <w:color w:val="000000" w:themeColor="text1"/>
          <w:sz w:val="24"/>
          <w:szCs w:val="24"/>
        </w:rPr>
        <w:t xml:space="preserve"> bezdarbniekiem” ar Komisijas 2007.gada 20.decembra Regulu (EK) Nr.1535/2007 un Komisijas 2007.gada 24.jūlija Regulu (EK) Nr.875/2007. </w:t>
      </w:r>
    </w:p>
    <w:p w:rsidR="0070174B" w:rsidRPr="00603CA3" w:rsidRDefault="0070174B" w:rsidP="00603CA3">
      <w:pPr>
        <w:spacing w:line="276" w:lineRule="auto"/>
        <w:rPr>
          <w:color w:val="000000" w:themeColor="text1"/>
          <w:szCs w:val="24"/>
        </w:rPr>
      </w:pPr>
      <w:r w:rsidRPr="00603CA3">
        <w:rPr>
          <w:color w:val="000000" w:themeColor="text1"/>
          <w:szCs w:val="24"/>
        </w:rPr>
        <w:t xml:space="preserve">2011.gada 20.aprīlī ar </w:t>
      </w:r>
      <w:r w:rsidR="009D77BB" w:rsidRPr="00603CA3">
        <w:rPr>
          <w:color w:val="000000" w:themeColor="text1"/>
          <w:szCs w:val="24"/>
        </w:rPr>
        <w:t>MK</w:t>
      </w:r>
      <w:r w:rsidRPr="00603CA3">
        <w:rPr>
          <w:color w:val="000000" w:themeColor="text1"/>
          <w:szCs w:val="24"/>
        </w:rPr>
        <w:t xml:space="preserve"> rīkojumu Nr.160 apstiprināti grozījumi darbības programmas „Cilvēkresursi un nodarbinātība” papild</w:t>
      </w:r>
      <w:r w:rsidR="00FF143A" w:rsidRPr="00603CA3">
        <w:rPr>
          <w:color w:val="000000" w:themeColor="text1"/>
          <w:szCs w:val="24"/>
        </w:rPr>
        <w:t xml:space="preserve">inājumā, paredzot </w:t>
      </w:r>
      <w:r w:rsidRPr="00603CA3">
        <w:rPr>
          <w:color w:val="000000" w:themeColor="text1"/>
          <w:szCs w:val="24"/>
        </w:rPr>
        <w:t xml:space="preserve">355 164 </w:t>
      </w:r>
      <w:r w:rsidR="003F52B3" w:rsidRPr="00603CA3">
        <w:rPr>
          <w:rFonts w:eastAsia="Calibri"/>
          <w:color w:val="000000" w:themeColor="text1"/>
          <w:szCs w:val="24"/>
        </w:rPr>
        <w:t>latu</w:t>
      </w:r>
      <w:r w:rsidRPr="00603CA3">
        <w:rPr>
          <w:color w:val="000000" w:themeColor="text1"/>
          <w:szCs w:val="24"/>
        </w:rPr>
        <w:t xml:space="preserve"> no </w:t>
      </w:r>
      <w:r w:rsidR="00A82CC7" w:rsidRPr="00603CA3">
        <w:rPr>
          <w:color w:val="000000" w:themeColor="text1"/>
          <w:szCs w:val="24"/>
        </w:rPr>
        <w:t>darbības programmu papildinājumu</w:t>
      </w:r>
      <w:r w:rsidRPr="00603CA3">
        <w:rPr>
          <w:color w:val="000000" w:themeColor="text1"/>
          <w:szCs w:val="24"/>
        </w:rPr>
        <w:t xml:space="preserve"> 1.1.1.2.aktivitātes „Cilvēkresursu piesaiste zinātnei” pirmās atlases kārtas finansējuma atlikuma novirzīt 1.1.2.1.2.apakšaktivitātes „Atbalsts doktora studiju programmu īstenošanai” otrās projektu iesniegumu atlases kārtas īstenošanai, lai sekmētu valstī nepieciešamo doktora zinātniskā grā</w:t>
      </w:r>
      <w:r w:rsidR="004676CA" w:rsidRPr="00603CA3">
        <w:rPr>
          <w:color w:val="000000" w:themeColor="text1"/>
          <w:szCs w:val="24"/>
        </w:rPr>
        <w:t>da ieguvēju skaita pieaugumu.</w:t>
      </w:r>
    </w:p>
    <w:p w:rsidR="0070174B" w:rsidRPr="00603CA3" w:rsidRDefault="00F7624D" w:rsidP="00603CA3">
      <w:pPr>
        <w:spacing w:line="276" w:lineRule="auto"/>
        <w:rPr>
          <w:color w:val="000000" w:themeColor="text1"/>
          <w:szCs w:val="24"/>
        </w:rPr>
      </w:pPr>
      <w:r w:rsidRPr="00603CA3">
        <w:rPr>
          <w:color w:val="000000" w:themeColor="text1"/>
          <w:szCs w:val="24"/>
        </w:rPr>
        <w:t xml:space="preserve">2011.gada 26.aprīlī ar MK rīkojumu Nr.172 apstiprināti grozījumi darbības programmas „Cilvēkresursi un nodarbinātība” papildinājumā. Grozījumi paredz papildināt 1.5.1.2.aktivitātes „Administratīvo šķēršļu samazināšana un publisko pakalpojumu kvalitātes uzlabošana” finansējuma saņēmēju uzskaitījumu ar Vides aizsardzības un reģionālās attīstības ministriju, lai uzlabotu tās ietvaros īstenotā projekta "Publisko pakalpojumu sistēmas pilnveidošana" ieviešanu. Tāpat minētie grozījumi paredz precizēt terminu par sabiedriskā labuma nevalstiskajām organizācijām (turpmāk – NVO), lai novērstu 1.5.2.2.2.apakšaktivitātes "NVO administratīvās kapacitātes stiprināšana" īstenošanas gaitā konstatēto nepilnību, jo ne visas organizācijas, kuras veic sabiedriskā labuma darbību un kuras atbilst Pilsoniskās sabiedrības stiprināšanas politikas pamatnostādnēs (apstiprinātas ar Ministru kabineta 2005.gada 15.beruāra rīkojumu Nr.98) noteiktajai sabiedriskā labuma organizācijas definīcijai ir ieguvušas sabiedriskā labuma statusu Sabiedriskā labuma </w:t>
      </w:r>
      <w:r w:rsidRPr="00603CA3">
        <w:rPr>
          <w:color w:val="000000" w:themeColor="text1"/>
          <w:szCs w:val="24"/>
        </w:rPr>
        <w:lastRenderedPageBreak/>
        <w:t>organizāciju likuma izpratnē. Tādējādi vārdi  „sabiedriskā labuma NVO” tika aizvietoti ar vārdiem „NVO, kas darbojas sabiedriskā labuma darbības jomā”.</w:t>
      </w:r>
    </w:p>
    <w:p w:rsidR="0053004A" w:rsidRPr="00603CA3" w:rsidRDefault="0053004A" w:rsidP="00603CA3">
      <w:pPr>
        <w:spacing w:line="276" w:lineRule="auto"/>
        <w:rPr>
          <w:color w:val="000000" w:themeColor="text1"/>
          <w:szCs w:val="24"/>
        </w:rPr>
      </w:pPr>
      <w:r w:rsidRPr="00603CA3">
        <w:rPr>
          <w:color w:val="000000" w:themeColor="text1"/>
          <w:szCs w:val="24"/>
        </w:rPr>
        <w:t xml:space="preserve">2011.gada 5.jūlijā ar MK rīkojumu Nr.294 apstiprināti grozījumi darbības programmas „Cilvēkresursi un nodarbinātība” papildinājumā, paredzot pārdalīt finansējumu </w:t>
      </w:r>
      <w:r w:rsidR="00906E08" w:rsidRPr="00603CA3">
        <w:rPr>
          <w:color w:val="000000" w:themeColor="text1"/>
          <w:szCs w:val="24"/>
        </w:rPr>
        <w:t xml:space="preserve">7,2 </w:t>
      </w:r>
      <w:proofErr w:type="spellStart"/>
      <w:r w:rsidR="00906E08" w:rsidRPr="00603CA3">
        <w:rPr>
          <w:color w:val="000000" w:themeColor="text1"/>
          <w:szCs w:val="24"/>
        </w:rPr>
        <w:t>milj</w:t>
      </w:r>
      <w:proofErr w:type="spellEnd"/>
      <w:r w:rsidR="00906E08" w:rsidRPr="00603CA3">
        <w:rPr>
          <w:color w:val="000000" w:themeColor="text1"/>
          <w:szCs w:val="24"/>
        </w:rPr>
        <w:t xml:space="preserve">. </w:t>
      </w:r>
      <w:r w:rsidR="00906E08" w:rsidRPr="00603CA3">
        <w:rPr>
          <w:rFonts w:eastAsia="Calibri"/>
          <w:color w:val="000000" w:themeColor="text1"/>
          <w:szCs w:val="24"/>
        </w:rPr>
        <w:t>latu</w:t>
      </w:r>
      <w:r w:rsidR="00906E08" w:rsidRPr="00603CA3">
        <w:rPr>
          <w:color w:val="000000" w:themeColor="text1"/>
          <w:szCs w:val="24"/>
        </w:rPr>
        <w:t xml:space="preserve"> </w:t>
      </w:r>
      <w:r w:rsidRPr="00603CA3">
        <w:rPr>
          <w:color w:val="000000" w:themeColor="text1"/>
          <w:szCs w:val="24"/>
        </w:rPr>
        <w:t xml:space="preserve">apmērā (papildus iesaistot apmācībā ap </w:t>
      </w:r>
      <w:r w:rsidR="00BE3D8E" w:rsidRPr="00603CA3">
        <w:rPr>
          <w:color w:val="000000" w:themeColor="text1"/>
          <w:szCs w:val="24"/>
        </w:rPr>
        <w:t xml:space="preserve">7,3 </w:t>
      </w:r>
      <w:r w:rsidRPr="00603CA3">
        <w:rPr>
          <w:color w:val="000000" w:themeColor="text1"/>
          <w:szCs w:val="24"/>
        </w:rPr>
        <w:t xml:space="preserve"> </w:t>
      </w:r>
      <w:proofErr w:type="spellStart"/>
      <w:r w:rsidRPr="00603CA3">
        <w:rPr>
          <w:color w:val="000000" w:themeColor="text1"/>
          <w:szCs w:val="24"/>
        </w:rPr>
        <w:t>tūkst</w:t>
      </w:r>
      <w:proofErr w:type="spellEnd"/>
      <w:r w:rsidRPr="00603CA3">
        <w:rPr>
          <w:color w:val="000000" w:themeColor="text1"/>
          <w:szCs w:val="24"/>
        </w:rPr>
        <w:t xml:space="preserve">. bezdarbnieku un darba meklētāju) no </w:t>
      </w:r>
      <w:r w:rsidR="00DF3768" w:rsidRPr="00603CA3">
        <w:rPr>
          <w:color w:val="000000" w:themeColor="text1"/>
          <w:szCs w:val="24"/>
        </w:rPr>
        <w:t>darbības programmu papildinājumu</w:t>
      </w:r>
      <w:r w:rsidRPr="00603CA3">
        <w:rPr>
          <w:color w:val="000000" w:themeColor="text1"/>
          <w:szCs w:val="24"/>
        </w:rPr>
        <w:t xml:space="preserve"> 1.3.1.1.4.apakšaktivitātes „Atbalsts nodarbināto apmācībām komersantu konkurētspējas veicināšanai - atbalsts komersantu individuāli organizētām apmācībām” uz 1.3.1.1.3.apakšaktivitāti „Bezdarbnieku un darba meklētāju apmācība”, finansējumu novirzot bezdarbnieku un darba meklētāju apmācībai pēc darba devēju pieprasījuma Latvijas tautsaimniecības attīstībai prioritārās nozarēs, kā arī paredzot 1.3.1.1.1.apakšaktivitātes „Atbalsts nodarbināto apmācībām komersantu konkurētspējas veicināšanai – atbalsts partnerībās organizētām apmācībām” 3.kārtas un jaunas 1.3.1.1.6.apakšaktivitātes „Atbalsts darba vietu radīšanai” izveidi.</w:t>
      </w:r>
    </w:p>
    <w:p w:rsidR="0053004A" w:rsidRPr="00603CA3" w:rsidRDefault="0053004A" w:rsidP="00603CA3">
      <w:pPr>
        <w:spacing w:line="276" w:lineRule="auto"/>
        <w:rPr>
          <w:color w:val="000000" w:themeColor="text1"/>
          <w:szCs w:val="24"/>
        </w:rPr>
      </w:pPr>
      <w:r w:rsidRPr="00603CA3">
        <w:rPr>
          <w:color w:val="000000" w:themeColor="text1"/>
          <w:szCs w:val="24"/>
        </w:rPr>
        <w:t xml:space="preserve">2011.gada 22.jūnijā ar MK rīkojumu Nr.257 apstiprināti grozījumi darbības programmas „Cilvēkresursi un nodarbinātība” papildinājumā, paredzot precizēt </w:t>
      </w:r>
      <w:proofErr w:type="spellStart"/>
      <w:r w:rsidRPr="00603CA3">
        <w:rPr>
          <w:color w:val="000000" w:themeColor="text1"/>
          <w:szCs w:val="24"/>
        </w:rPr>
        <w:t>mērķgrupas</w:t>
      </w:r>
      <w:proofErr w:type="spellEnd"/>
      <w:r w:rsidRPr="00603CA3">
        <w:rPr>
          <w:color w:val="000000" w:themeColor="text1"/>
          <w:szCs w:val="24"/>
        </w:rPr>
        <w:t xml:space="preserve"> raksturojumu </w:t>
      </w:r>
      <w:r w:rsidR="00DF3768" w:rsidRPr="00603CA3">
        <w:rPr>
          <w:color w:val="000000" w:themeColor="text1"/>
          <w:szCs w:val="24"/>
        </w:rPr>
        <w:t>darbības programmu papildinājumu</w:t>
      </w:r>
      <w:r w:rsidRPr="00603CA3">
        <w:rPr>
          <w:color w:val="000000" w:themeColor="text1"/>
          <w:szCs w:val="24"/>
        </w:rPr>
        <w:t xml:space="preserve"> 1.4.1.1.1.apakšaktivitātes „Kompleksi atbalsta pasākumi iedzīvotāju integrēšanai sabiedrībā un darba tirgū” pasākumā „Darba vieta jaunietim”, samazinot bezdarbniekiem iesaistei pasākumā nepieciešamo reģistrācijas ilgumu </w:t>
      </w:r>
      <w:r w:rsidR="005E15DD" w:rsidRPr="00603CA3">
        <w:rPr>
          <w:bCs/>
          <w:color w:val="000000" w:themeColor="text1"/>
          <w:szCs w:val="24"/>
        </w:rPr>
        <w:t>Nodarbinātības valsts aģentūrā</w:t>
      </w:r>
      <w:r w:rsidRPr="00603CA3">
        <w:rPr>
          <w:color w:val="000000" w:themeColor="text1"/>
          <w:szCs w:val="24"/>
        </w:rPr>
        <w:t xml:space="preserve"> no sešiem mēnešiem uz četriem mēnešiem, lai paplašinātu pasākumā iesaistāmo personu loku, par obligātu izvirzot prasību darba devējam jaunieti darba vietā nodarbināt deviņus mēnešus.</w:t>
      </w:r>
    </w:p>
    <w:p w:rsidR="0070174B" w:rsidRPr="00603CA3" w:rsidRDefault="0070174B" w:rsidP="00603CA3">
      <w:pPr>
        <w:spacing w:line="276" w:lineRule="auto"/>
        <w:rPr>
          <w:color w:val="000000" w:themeColor="text1"/>
          <w:szCs w:val="24"/>
        </w:rPr>
      </w:pPr>
      <w:r w:rsidRPr="00603CA3">
        <w:rPr>
          <w:color w:val="000000" w:themeColor="text1"/>
          <w:szCs w:val="24"/>
        </w:rPr>
        <w:t>2011.gada 16.jūnija ES fondu uzraudzības komitejas sēdē tika apstiprināti projektu iesniegumu vērtēšanas kritēriji</w:t>
      </w:r>
      <w:bookmarkStart w:id="15" w:name="OLE_LINK10"/>
      <w:r w:rsidRPr="00603CA3">
        <w:rPr>
          <w:color w:val="000000" w:themeColor="text1"/>
          <w:szCs w:val="24"/>
        </w:rPr>
        <w:t xml:space="preserve"> 1.3.1.1.1.apakšaktivitātes „Atbalsts nodarbināto apmācībām komersantu konkurētspējas veicināšanai – atbalsts partnerībās organizētām apmācībām” </w:t>
      </w:r>
      <w:bookmarkEnd w:id="15"/>
      <w:r w:rsidRPr="00603CA3">
        <w:rPr>
          <w:color w:val="000000" w:themeColor="text1"/>
          <w:szCs w:val="24"/>
        </w:rPr>
        <w:t xml:space="preserve">3.kārtai un jaunai 1.3.1.1.6.apakšaktivitātei </w:t>
      </w:r>
      <w:r w:rsidR="005F383B" w:rsidRPr="00603CA3">
        <w:rPr>
          <w:color w:val="000000" w:themeColor="text1"/>
          <w:szCs w:val="24"/>
        </w:rPr>
        <w:t>„Atbalsts darba vietu radīšanai</w:t>
      </w:r>
      <w:r w:rsidRPr="00603CA3">
        <w:rPr>
          <w:color w:val="000000" w:themeColor="text1"/>
          <w:szCs w:val="24"/>
        </w:rPr>
        <w:t>”</w:t>
      </w:r>
      <w:r w:rsidR="005F383B" w:rsidRPr="00603CA3">
        <w:rPr>
          <w:color w:val="000000" w:themeColor="text1"/>
          <w:szCs w:val="24"/>
        </w:rPr>
        <w:t>.</w:t>
      </w:r>
      <w:r w:rsidRPr="00603CA3">
        <w:rPr>
          <w:color w:val="000000" w:themeColor="text1"/>
          <w:szCs w:val="24"/>
        </w:rPr>
        <w:t xml:space="preserve"> 1.3.1.1.1.apakšaktivitātes 3.kārtā atbalsts paredzēts, lai celtu </w:t>
      </w:r>
      <w:proofErr w:type="spellStart"/>
      <w:r w:rsidRPr="00603CA3">
        <w:rPr>
          <w:color w:val="000000" w:themeColor="text1"/>
          <w:szCs w:val="24"/>
        </w:rPr>
        <w:t>mikro</w:t>
      </w:r>
      <w:proofErr w:type="spellEnd"/>
      <w:r w:rsidRPr="00603CA3">
        <w:rPr>
          <w:color w:val="000000" w:themeColor="text1"/>
          <w:szCs w:val="24"/>
        </w:rPr>
        <w:t xml:space="preserve"> un mazo komersantu produktivitāti un darba efektivitāti, paaugstinot to darbinieku kvalifikāciju un prasmes informācijas un komunikācijas tehnoloģiju jomā, tādejādi nodrošinot komersanta konkurētspējas pieaugumu un veicinot tautsaimniecības attīstību. Savukārt 1.3.1.1.6.apakšaktivitātes ietvaros tiks veicināta jaunu darba vietu izveide, sniedzot finansiālu atbalstu komersantiem, kuri rada</w:t>
      </w:r>
      <w:r w:rsidR="004676CA" w:rsidRPr="00603CA3">
        <w:rPr>
          <w:color w:val="000000" w:themeColor="text1"/>
          <w:szCs w:val="24"/>
        </w:rPr>
        <w:t xml:space="preserve"> vismaz 50 jaunas darba vietas.</w:t>
      </w:r>
    </w:p>
    <w:p w:rsidR="0070174B" w:rsidRPr="00603CA3" w:rsidRDefault="0070174B" w:rsidP="00603CA3">
      <w:pPr>
        <w:spacing w:line="276" w:lineRule="auto"/>
        <w:rPr>
          <w:color w:val="000000" w:themeColor="text1"/>
          <w:szCs w:val="24"/>
        </w:rPr>
      </w:pPr>
      <w:r w:rsidRPr="00603CA3">
        <w:rPr>
          <w:color w:val="000000" w:themeColor="text1"/>
          <w:szCs w:val="24"/>
        </w:rPr>
        <w:t xml:space="preserve">2011.gada </w:t>
      </w:r>
      <w:r w:rsidR="000E337C" w:rsidRPr="00603CA3">
        <w:rPr>
          <w:color w:val="000000" w:themeColor="text1"/>
          <w:szCs w:val="24"/>
        </w:rPr>
        <w:t xml:space="preserve">otrajā </w:t>
      </w:r>
      <w:r w:rsidRPr="00603CA3">
        <w:rPr>
          <w:color w:val="000000" w:themeColor="text1"/>
          <w:szCs w:val="24"/>
        </w:rPr>
        <w:t>ceturksnī tika izsludināti pieci projektu iesniegumu atlases konkursi: otrā projektu iesniegumu atlases kārta 1.1.2.1.1.apakšaktivitātei „Atbalsts maģistra studiju programmu īstenošanai”, otrā projektu iesniegumu atlases kārta 1.1.2.1.2.apakšaktivitātei „Atbalsts doktora studiju programmu īstenošanai”, otrā projektu iesniegumu atlases kārta 1.2.2.4.2.apakšaktivitātei „Atbalsta pasākumu īstenošana jauniešu sociālās atstumtības riska mazināšanai un jauniešu ar funkcionālajiem traucējumiem integrācijai izglītībā”, kā arī otrā projektu iesniegumu atlases kārta 1.5.2.2.2.apakšaktivitātei „NVO administratī</w:t>
      </w:r>
      <w:r w:rsidR="004676CA" w:rsidRPr="00603CA3">
        <w:rPr>
          <w:color w:val="000000" w:themeColor="text1"/>
          <w:szCs w:val="24"/>
        </w:rPr>
        <w:t xml:space="preserve">vās kapacitātes stiprināšana.” </w:t>
      </w:r>
      <w:r w:rsidR="00BE3D8E" w:rsidRPr="00603CA3">
        <w:rPr>
          <w:color w:val="000000" w:themeColor="text1"/>
          <w:szCs w:val="24"/>
        </w:rPr>
        <w:t>Savukārt otrās kārtas otrā apakškārta 1.4.1.2.4.apakšaktivitātei „Sociālās rehabilitācijas un institūcijām alternatīvu sociālās aprūpes pakalpojumu attīstība reģionos” tika izsludināta 2011. gada 2. ceturksnī.</w:t>
      </w:r>
    </w:p>
    <w:p w:rsidR="003E26D7" w:rsidRPr="00603CA3" w:rsidRDefault="003E26D7" w:rsidP="00603CA3">
      <w:pPr>
        <w:spacing w:line="276" w:lineRule="auto"/>
        <w:rPr>
          <w:color w:val="000000" w:themeColor="text1"/>
          <w:szCs w:val="24"/>
        </w:rPr>
      </w:pPr>
      <w:r w:rsidRPr="00603CA3">
        <w:rPr>
          <w:color w:val="000000" w:themeColor="text1"/>
          <w:szCs w:val="24"/>
        </w:rPr>
        <w:t xml:space="preserve">2011.gada otrajā ceturksnī tika izsludināti pieci projektu iesniegumu atlases konkursi: otrā projektu iesniegumu atlases kārta 1.1.2.1.1.apakšaktivitātei „Atbalsts maģistra studiju programmu īstenošanai”, otrā projektu iesniegumu atlases kārta 1.1.2.1.2.apakšaktivitātei </w:t>
      </w:r>
      <w:r w:rsidRPr="00603CA3">
        <w:rPr>
          <w:color w:val="000000" w:themeColor="text1"/>
          <w:szCs w:val="24"/>
        </w:rPr>
        <w:lastRenderedPageBreak/>
        <w:t>„Atbalsts doktora studiju programmu īstenošanai”, otrā projektu iesniegumu atlases kārta 1.2.2.4.2.apakšaktivitātei „Atbalsta pasākumu īstenošana jauniešu sociālās atstumtības riska mazināšanai un jauniešu ar funkcionālajiem traucējumiem integrācijai izglītībā”, kā arī otrā projektu iesniegumu atlases kārta 1.5.2.2.2.apakšaktivitātei „NVO administratīvās kapacitātes stiprināšana.” Savukārt otrās kārtas otrā apakškārta 1.4.1.2.4.apakšaktivitātei „Sociālās rehabilitācijas un institūcijām alternatīvu sociālās aprūpes pakalpojumu attīstība reģionos” tika izsludināta 2011. gada 2. ceturksnī.</w:t>
      </w:r>
    </w:p>
    <w:p w:rsidR="0070174B" w:rsidRPr="00603CA3" w:rsidRDefault="0070174B" w:rsidP="00603CA3">
      <w:pPr>
        <w:spacing w:line="276" w:lineRule="auto"/>
        <w:rPr>
          <w:color w:val="000000" w:themeColor="text1"/>
          <w:szCs w:val="24"/>
        </w:rPr>
      </w:pPr>
      <w:r w:rsidRPr="00603CA3">
        <w:rPr>
          <w:color w:val="000000" w:themeColor="text1"/>
          <w:szCs w:val="24"/>
        </w:rPr>
        <w:t xml:space="preserve">Savukārt 2011.gada 4.ceturksnī plānots izsludināt projektu iesniegumu atlases konkursu  1.5.2.2.3.apakšaktivitātes „Atbalsts </w:t>
      </w:r>
      <w:r w:rsidR="00873D56" w:rsidRPr="00603CA3">
        <w:rPr>
          <w:color w:val="000000" w:themeColor="text1"/>
          <w:szCs w:val="24"/>
        </w:rPr>
        <w:t>NVO</w:t>
      </w:r>
      <w:r w:rsidRPr="00603CA3">
        <w:rPr>
          <w:color w:val="000000" w:themeColor="text1"/>
          <w:szCs w:val="24"/>
        </w:rPr>
        <w:t xml:space="preserve"> un pašvaldībām kapacitātes stiprināšanā </w:t>
      </w:r>
      <w:r w:rsidR="000A79C8" w:rsidRPr="00603CA3">
        <w:rPr>
          <w:color w:val="000000" w:themeColor="text1"/>
          <w:szCs w:val="24"/>
        </w:rPr>
        <w:t>ES</w:t>
      </w:r>
      <w:r w:rsidRPr="00603CA3">
        <w:rPr>
          <w:color w:val="000000" w:themeColor="text1"/>
          <w:szCs w:val="24"/>
        </w:rPr>
        <w:t xml:space="preserve"> politiku instrumentu un pārējās ārvalstu finanšu palīdzības līdzfinansēto pro</w:t>
      </w:r>
      <w:r w:rsidR="00024994" w:rsidRPr="00603CA3">
        <w:rPr>
          <w:color w:val="000000" w:themeColor="text1"/>
          <w:szCs w:val="24"/>
        </w:rPr>
        <w:t xml:space="preserve">jektu un pasākumu īstenošanai” </w:t>
      </w:r>
      <w:r w:rsidR="002C46DB" w:rsidRPr="00603CA3">
        <w:rPr>
          <w:color w:val="000000" w:themeColor="text1"/>
          <w:szCs w:val="24"/>
        </w:rPr>
        <w:t>3.kārtai.</w:t>
      </w:r>
    </w:p>
    <w:p w:rsidR="00A12973" w:rsidRPr="00603CA3" w:rsidRDefault="00F3490B" w:rsidP="00603CA3">
      <w:pPr>
        <w:spacing w:line="276" w:lineRule="auto"/>
        <w:rPr>
          <w:b/>
          <w:iCs/>
          <w:color w:val="000000" w:themeColor="text1"/>
          <w:szCs w:val="24"/>
        </w:rPr>
      </w:pPr>
      <w:r w:rsidRPr="00603CA3">
        <w:rPr>
          <w:b/>
          <w:iCs/>
          <w:color w:val="000000" w:themeColor="text1"/>
          <w:szCs w:val="24"/>
        </w:rPr>
        <w:t>1</w:t>
      </w:r>
      <w:r w:rsidR="002532B5" w:rsidRPr="00603CA3">
        <w:rPr>
          <w:b/>
          <w:iCs/>
          <w:color w:val="000000" w:themeColor="text1"/>
          <w:szCs w:val="24"/>
        </w:rPr>
        <w:t xml:space="preserve">.1.2. </w:t>
      </w:r>
      <w:r w:rsidR="00A12973" w:rsidRPr="00603CA3">
        <w:rPr>
          <w:b/>
          <w:iCs/>
          <w:color w:val="000000" w:themeColor="text1"/>
          <w:szCs w:val="24"/>
        </w:rPr>
        <w:t xml:space="preserve">Darbības programma „Uzņēmējdarbība un inovācijas” un tās papildinājums </w:t>
      </w:r>
    </w:p>
    <w:p w:rsidR="00A72377" w:rsidRPr="00603CA3" w:rsidRDefault="00A72377" w:rsidP="00603CA3">
      <w:pPr>
        <w:spacing w:line="276" w:lineRule="auto"/>
        <w:rPr>
          <w:color w:val="000000" w:themeColor="text1"/>
          <w:szCs w:val="24"/>
        </w:rPr>
      </w:pPr>
      <w:r w:rsidRPr="00603CA3">
        <w:rPr>
          <w:color w:val="000000" w:themeColor="text1"/>
          <w:szCs w:val="24"/>
        </w:rPr>
        <w:t>Pārskata periodā grozījumi darbības programmā nav veikti.</w:t>
      </w:r>
    </w:p>
    <w:p w:rsidR="00A72377" w:rsidRPr="00603CA3" w:rsidRDefault="00A72377" w:rsidP="00603CA3">
      <w:pPr>
        <w:spacing w:line="276" w:lineRule="auto"/>
        <w:rPr>
          <w:color w:val="000000" w:themeColor="text1"/>
          <w:szCs w:val="24"/>
        </w:rPr>
      </w:pPr>
      <w:r w:rsidRPr="00603CA3">
        <w:rPr>
          <w:color w:val="000000" w:themeColor="text1"/>
          <w:szCs w:val="24"/>
        </w:rPr>
        <w:t>2011. gad</w:t>
      </w:r>
      <w:r w:rsidR="00D34BE3" w:rsidRPr="00603CA3">
        <w:rPr>
          <w:color w:val="000000" w:themeColor="text1"/>
          <w:szCs w:val="24"/>
        </w:rPr>
        <w:t xml:space="preserve">a 24. maijā ar rīkojumu </w:t>
      </w:r>
      <w:proofErr w:type="spellStart"/>
      <w:r w:rsidR="00D34BE3" w:rsidRPr="00603CA3">
        <w:rPr>
          <w:color w:val="000000" w:themeColor="text1"/>
          <w:szCs w:val="24"/>
        </w:rPr>
        <w:t>Nr</w:t>
      </w:r>
      <w:proofErr w:type="spellEnd"/>
      <w:r w:rsidR="00D34BE3" w:rsidRPr="00603CA3">
        <w:rPr>
          <w:color w:val="000000" w:themeColor="text1"/>
          <w:szCs w:val="24"/>
        </w:rPr>
        <w:t>. 211</w:t>
      </w:r>
      <w:r w:rsidRPr="00603CA3">
        <w:rPr>
          <w:color w:val="000000" w:themeColor="text1"/>
          <w:szCs w:val="24"/>
        </w:rPr>
        <w:t xml:space="preserve"> </w:t>
      </w:r>
      <w:r w:rsidR="009D77BB" w:rsidRPr="00603CA3">
        <w:rPr>
          <w:color w:val="000000" w:themeColor="text1"/>
          <w:szCs w:val="24"/>
        </w:rPr>
        <w:t>MK</w:t>
      </w:r>
      <w:r w:rsidRPr="00603CA3">
        <w:rPr>
          <w:color w:val="000000" w:themeColor="text1"/>
          <w:szCs w:val="24"/>
        </w:rPr>
        <w:t xml:space="preserve"> apstiprināja grozījumus darbības programmas „Uzņēmējdarbība un inovāci</w:t>
      </w:r>
      <w:r w:rsidR="0086310F" w:rsidRPr="00603CA3">
        <w:rPr>
          <w:color w:val="000000" w:themeColor="text1"/>
          <w:szCs w:val="24"/>
        </w:rPr>
        <w:t>jas” papildinājumā, kas paredz:</w:t>
      </w:r>
    </w:p>
    <w:p w:rsidR="00A72377" w:rsidRPr="00603CA3" w:rsidRDefault="00A72377" w:rsidP="00603CA3">
      <w:pPr>
        <w:pStyle w:val="ListParagraph"/>
        <w:numPr>
          <w:ilvl w:val="0"/>
          <w:numId w:val="21"/>
        </w:numPr>
        <w:spacing w:after="0"/>
        <w:jc w:val="both"/>
        <w:rPr>
          <w:rFonts w:ascii="Times New Roman" w:hAnsi="Times New Roman"/>
          <w:color w:val="000000" w:themeColor="text1"/>
          <w:sz w:val="24"/>
          <w:szCs w:val="24"/>
        </w:rPr>
      </w:pPr>
      <w:r w:rsidRPr="00603CA3">
        <w:rPr>
          <w:rFonts w:ascii="Times New Roman" w:hAnsi="Times New Roman"/>
          <w:color w:val="000000" w:themeColor="text1"/>
          <w:sz w:val="24"/>
          <w:szCs w:val="24"/>
        </w:rPr>
        <w:t xml:space="preserve">sadalīt 2.2.1.4.aktivitāti „Aizdevumi komersantu konkurētspējas uzlabošanai” divās </w:t>
      </w:r>
      <w:proofErr w:type="spellStart"/>
      <w:r w:rsidRPr="00603CA3">
        <w:rPr>
          <w:rFonts w:ascii="Times New Roman" w:hAnsi="Times New Roman"/>
          <w:color w:val="000000" w:themeColor="text1"/>
          <w:sz w:val="24"/>
          <w:szCs w:val="24"/>
        </w:rPr>
        <w:t>apakšaktivitātēs</w:t>
      </w:r>
      <w:proofErr w:type="spellEnd"/>
      <w:r w:rsidRPr="00603CA3">
        <w:rPr>
          <w:rFonts w:ascii="Times New Roman" w:hAnsi="Times New Roman"/>
          <w:color w:val="000000" w:themeColor="text1"/>
          <w:sz w:val="24"/>
          <w:szCs w:val="24"/>
        </w:rPr>
        <w:t xml:space="preserve"> - 2.2.1.4.1.apakšaktivitātē „Atbalsts aizdevumu veidā komersantu konkurētspējas uzlabošanai” un 2.2.1.4.2.apakšaktivitātē „</w:t>
      </w:r>
      <w:proofErr w:type="spellStart"/>
      <w:r w:rsidRPr="00603CA3">
        <w:rPr>
          <w:rFonts w:ascii="Times New Roman" w:hAnsi="Times New Roman"/>
          <w:color w:val="000000" w:themeColor="text1"/>
          <w:sz w:val="24"/>
          <w:szCs w:val="24"/>
        </w:rPr>
        <w:t>Mezanīna</w:t>
      </w:r>
      <w:proofErr w:type="spellEnd"/>
      <w:r w:rsidRPr="00603CA3">
        <w:rPr>
          <w:rFonts w:ascii="Times New Roman" w:hAnsi="Times New Roman"/>
          <w:color w:val="000000" w:themeColor="text1"/>
          <w:sz w:val="24"/>
          <w:szCs w:val="24"/>
        </w:rPr>
        <w:t xml:space="preserve"> aizdevumi investīcijām komersantu konkurētspējas uzlabošanai” (turpmāk – 2.2.1.4.2.apakšaktivitāte). </w:t>
      </w:r>
      <w:proofErr w:type="spellStart"/>
      <w:r w:rsidRPr="00603CA3">
        <w:rPr>
          <w:rFonts w:ascii="Times New Roman" w:hAnsi="Times New Roman"/>
          <w:color w:val="000000" w:themeColor="text1"/>
          <w:sz w:val="24"/>
          <w:szCs w:val="24"/>
        </w:rPr>
        <w:t>Mezanīna</w:t>
      </w:r>
      <w:proofErr w:type="spellEnd"/>
      <w:r w:rsidRPr="00603CA3">
        <w:rPr>
          <w:rFonts w:ascii="Times New Roman" w:hAnsi="Times New Roman"/>
          <w:color w:val="000000" w:themeColor="text1"/>
          <w:sz w:val="24"/>
          <w:szCs w:val="24"/>
        </w:rPr>
        <w:t xml:space="preserve"> ai</w:t>
      </w:r>
      <w:r w:rsidR="007E62B3" w:rsidRPr="00603CA3">
        <w:rPr>
          <w:rFonts w:ascii="Times New Roman" w:hAnsi="Times New Roman"/>
          <w:color w:val="000000" w:themeColor="text1"/>
          <w:sz w:val="24"/>
          <w:szCs w:val="24"/>
        </w:rPr>
        <w:t xml:space="preserve">zdevumu investīcijām programma </w:t>
      </w:r>
      <w:r w:rsidRPr="00603CA3">
        <w:rPr>
          <w:rFonts w:ascii="Times New Roman" w:hAnsi="Times New Roman"/>
          <w:color w:val="000000" w:themeColor="text1"/>
          <w:sz w:val="24"/>
          <w:szCs w:val="24"/>
        </w:rPr>
        <w:t>ir izstrādāta, lai nodrošinātu komersantiem pieeju finansējumam komercdarbības attīstībai, saņemot aizdevumus situācijās, kad komersanta rīcībā esošais pašu kapitāls nav pietiekams kredītresursu piesaistei nepieciešamajā apjomā;</w:t>
      </w:r>
    </w:p>
    <w:p w:rsidR="00A72377" w:rsidRPr="00603CA3" w:rsidRDefault="00A72377" w:rsidP="00603CA3">
      <w:pPr>
        <w:pStyle w:val="ListParagraph"/>
        <w:numPr>
          <w:ilvl w:val="0"/>
          <w:numId w:val="21"/>
        </w:numPr>
        <w:spacing w:after="0"/>
        <w:jc w:val="both"/>
        <w:rPr>
          <w:rFonts w:ascii="Times New Roman" w:hAnsi="Times New Roman"/>
          <w:color w:val="000000" w:themeColor="text1"/>
          <w:sz w:val="24"/>
          <w:szCs w:val="24"/>
        </w:rPr>
      </w:pPr>
      <w:r w:rsidRPr="00603CA3">
        <w:rPr>
          <w:rFonts w:ascii="Times New Roman" w:hAnsi="Times New Roman"/>
          <w:color w:val="000000" w:themeColor="text1"/>
          <w:sz w:val="24"/>
          <w:szCs w:val="24"/>
        </w:rPr>
        <w:t xml:space="preserve">2.2.1.4.2.apakšaktivitātes īstenošanai pārdalīt </w:t>
      </w:r>
      <w:r w:rsidR="00E1751E" w:rsidRPr="00603CA3">
        <w:rPr>
          <w:rFonts w:ascii="Times New Roman" w:hAnsi="Times New Roman"/>
          <w:color w:val="000000" w:themeColor="text1"/>
          <w:sz w:val="24"/>
          <w:szCs w:val="24"/>
        </w:rPr>
        <w:t>Eiropas Reģionālas attīstības fonda</w:t>
      </w:r>
      <w:r w:rsidRPr="00603CA3">
        <w:rPr>
          <w:rFonts w:ascii="Times New Roman" w:hAnsi="Times New Roman"/>
          <w:color w:val="000000" w:themeColor="text1"/>
          <w:sz w:val="24"/>
          <w:szCs w:val="24"/>
        </w:rPr>
        <w:t xml:space="preserve"> </w:t>
      </w:r>
      <w:r w:rsidR="00E1751E" w:rsidRPr="00603CA3">
        <w:rPr>
          <w:rFonts w:ascii="Times New Roman" w:hAnsi="Times New Roman"/>
          <w:color w:val="000000" w:themeColor="text1"/>
          <w:sz w:val="24"/>
          <w:szCs w:val="24"/>
        </w:rPr>
        <w:t xml:space="preserve">(turpmāk-ERAF) </w:t>
      </w:r>
      <w:r w:rsidRPr="00603CA3">
        <w:rPr>
          <w:rFonts w:ascii="Times New Roman" w:hAnsi="Times New Roman"/>
          <w:color w:val="000000" w:themeColor="text1"/>
          <w:sz w:val="24"/>
          <w:szCs w:val="24"/>
        </w:rPr>
        <w:t xml:space="preserve">finansējumu no 2.2.1.3.aktivitātes „Garantijas komersantu konkurētspējas uzlabošanai” 20 </w:t>
      </w:r>
      <w:proofErr w:type="spellStart"/>
      <w:r w:rsidRPr="00603CA3">
        <w:rPr>
          <w:rFonts w:ascii="Times New Roman" w:hAnsi="Times New Roman"/>
          <w:color w:val="000000" w:themeColor="text1"/>
          <w:sz w:val="24"/>
          <w:szCs w:val="24"/>
        </w:rPr>
        <w:t>milj</w:t>
      </w:r>
      <w:proofErr w:type="spellEnd"/>
      <w:r w:rsidRPr="00603CA3">
        <w:rPr>
          <w:rFonts w:ascii="Times New Roman" w:hAnsi="Times New Roman"/>
          <w:color w:val="000000" w:themeColor="text1"/>
          <w:sz w:val="24"/>
          <w:szCs w:val="24"/>
        </w:rPr>
        <w:t>. latu apmērā</w:t>
      </w:r>
      <w:r w:rsidR="009458B1" w:rsidRPr="00603CA3">
        <w:rPr>
          <w:rFonts w:ascii="Times New Roman" w:hAnsi="Times New Roman"/>
          <w:color w:val="000000" w:themeColor="text1"/>
          <w:sz w:val="24"/>
          <w:szCs w:val="24"/>
        </w:rPr>
        <w:t>;</w:t>
      </w:r>
      <w:r w:rsidRPr="00603CA3">
        <w:rPr>
          <w:rFonts w:ascii="Times New Roman" w:hAnsi="Times New Roman"/>
          <w:color w:val="000000" w:themeColor="text1"/>
          <w:sz w:val="24"/>
          <w:szCs w:val="24"/>
        </w:rPr>
        <w:t xml:space="preserve"> </w:t>
      </w:r>
    </w:p>
    <w:p w:rsidR="00A72377" w:rsidRPr="00603CA3" w:rsidRDefault="00A72377" w:rsidP="00603CA3">
      <w:pPr>
        <w:pStyle w:val="ListParagraph"/>
        <w:numPr>
          <w:ilvl w:val="0"/>
          <w:numId w:val="21"/>
        </w:numPr>
        <w:spacing w:after="0"/>
        <w:jc w:val="both"/>
        <w:rPr>
          <w:rFonts w:ascii="Times New Roman" w:hAnsi="Times New Roman"/>
          <w:color w:val="000000" w:themeColor="text1"/>
          <w:sz w:val="24"/>
          <w:szCs w:val="24"/>
        </w:rPr>
      </w:pPr>
      <w:r w:rsidRPr="00603CA3">
        <w:rPr>
          <w:rFonts w:ascii="Times New Roman" w:hAnsi="Times New Roman"/>
          <w:color w:val="000000" w:themeColor="text1"/>
          <w:sz w:val="24"/>
          <w:szCs w:val="24"/>
        </w:rPr>
        <w:t xml:space="preserve">paplašināt darbības programmas „Uzņēmējdarbība un inovācijas” papildinājuma 2.3.1.1.1. </w:t>
      </w:r>
      <w:proofErr w:type="spellStart"/>
      <w:r w:rsidRPr="00603CA3">
        <w:rPr>
          <w:rFonts w:ascii="Times New Roman" w:hAnsi="Times New Roman"/>
          <w:color w:val="000000" w:themeColor="text1"/>
          <w:sz w:val="24"/>
          <w:szCs w:val="24"/>
        </w:rPr>
        <w:t>apakšaktivitātes</w:t>
      </w:r>
      <w:proofErr w:type="spellEnd"/>
      <w:r w:rsidRPr="00603CA3">
        <w:rPr>
          <w:rFonts w:ascii="Times New Roman" w:hAnsi="Times New Roman"/>
          <w:color w:val="000000" w:themeColor="text1"/>
          <w:sz w:val="24"/>
          <w:szCs w:val="24"/>
        </w:rPr>
        <w:t xml:space="preserve"> „Ārējo tirgu apgūšana – ārējais mārketings” ietvaros noteikto mērķa grupu (atbalsta saņēmēji) ar nodibinājumiem; </w:t>
      </w:r>
    </w:p>
    <w:p w:rsidR="00A72377" w:rsidRPr="00603CA3" w:rsidRDefault="00A72377" w:rsidP="00603CA3">
      <w:pPr>
        <w:pStyle w:val="ListParagraph"/>
        <w:numPr>
          <w:ilvl w:val="0"/>
          <w:numId w:val="21"/>
        </w:numPr>
        <w:spacing w:after="0"/>
        <w:jc w:val="both"/>
        <w:rPr>
          <w:rFonts w:ascii="Times New Roman" w:hAnsi="Times New Roman"/>
          <w:color w:val="000000" w:themeColor="text1"/>
          <w:sz w:val="24"/>
          <w:szCs w:val="24"/>
        </w:rPr>
      </w:pPr>
      <w:r w:rsidRPr="00603CA3">
        <w:rPr>
          <w:rFonts w:ascii="Times New Roman" w:hAnsi="Times New Roman"/>
          <w:color w:val="000000" w:themeColor="text1"/>
          <w:sz w:val="24"/>
          <w:szCs w:val="24"/>
        </w:rPr>
        <w:t xml:space="preserve">paplašināt darbības programmas „Uzņēmējdarbība un inovācijas” papildinājuma 2.3.1.1.2. </w:t>
      </w:r>
      <w:proofErr w:type="spellStart"/>
      <w:r w:rsidRPr="00603CA3">
        <w:rPr>
          <w:rFonts w:ascii="Times New Roman" w:hAnsi="Times New Roman"/>
          <w:color w:val="000000" w:themeColor="text1"/>
          <w:sz w:val="24"/>
          <w:szCs w:val="24"/>
        </w:rPr>
        <w:t>apakšaktivitātes</w:t>
      </w:r>
      <w:proofErr w:type="spellEnd"/>
      <w:r w:rsidRPr="00603CA3">
        <w:rPr>
          <w:rFonts w:ascii="Times New Roman" w:hAnsi="Times New Roman"/>
          <w:color w:val="000000" w:themeColor="text1"/>
          <w:sz w:val="24"/>
          <w:szCs w:val="24"/>
        </w:rPr>
        <w:t xml:space="preserve"> „Ārējo tirgu apgūšana – nozaru starptautiskās konkurētspējas stiprināšana” ietvaros noteikto mērķa grupu (atbalsta saņēmēji) ar kooperatīvajām sabiedrībām. </w:t>
      </w:r>
    </w:p>
    <w:p w:rsidR="00A72377" w:rsidRPr="00603CA3" w:rsidRDefault="00A72377" w:rsidP="00603CA3">
      <w:pPr>
        <w:spacing w:line="276" w:lineRule="auto"/>
        <w:rPr>
          <w:color w:val="000000" w:themeColor="text1"/>
          <w:szCs w:val="24"/>
        </w:rPr>
      </w:pPr>
      <w:r w:rsidRPr="00603CA3">
        <w:rPr>
          <w:color w:val="000000" w:themeColor="text1"/>
          <w:szCs w:val="24"/>
        </w:rPr>
        <w:t xml:space="preserve">Lai veicinātu finanšu resursu pieejamību komersantiem, kā arī sniegtu atbalstu zinātnes attīstībai </w:t>
      </w:r>
      <w:r w:rsidR="009D77BB" w:rsidRPr="00603CA3">
        <w:rPr>
          <w:color w:val="000000" w:themeColor="text1"/>
          <w:szCs w:val="24"/>
        </w:rPr>
        <w:t>MK</w:t>
      </w:r>
      <w:r w:rsidRPr="00603CA3">
        <w:rPr>
          <w:color w:val="000000" w:themeColor="text1"/>
          <w:szCs w:val="24"/>
        </w:rPr>
        <w:t xml:space="preserve"> 2011.gada 14.jūnija sēdē tika apstiprināti grozījumi darbības programmas „Uzņēmējdarbība un inovācijas” papildinājumā, kas paredz </w:t>
      </w:r>
      <w:r w:rsidRPr="00603CA3">
        <w:rPr>
          <w:color w:val="000000" w:themeColor="text1"/>
          <w:szCs w:val="24"/>
          <w:lang w:eastAsia="lv-LV"/>
        </w:rPr>
        <w:t>veikt finansējuma pārdales prioritāšu ietvaros, novirzot:</w:t>
      </w:r>
      <w:r w:rsidRPr="00603CA3">
        <w:rPr>
          <w:color w:val="000000" w:themeColor="text1"/>
          <w:szCs w:val="24"/>
        </w:rPr>
        <w:t xml:space="preserve"> </w:t>
      </w:r>
    </w:p>
    <w:p w:rsidR="00A72377" w:rsidRPr="00603CA3" w:rsidRDefault="00A72377" w:rsidP="00603CA3">
      <w:pPr>
        <w:numPr>
          <w:ilvl w:val="0"/>
          <w:numId w:val="20"/>
        </w:numPr>
        <w:spacing w:line="276" w:lineRule="auto"/>
        <w:ind w:left="317"/>
        <w:rPr>
          <w:color w:val="000000" w:themeColor="text1"/>
          <w:szCs w:val="24"/>
          <w:lang w:eastAsia="lv-LV"/>
        </w:rPr>
      </w:pPr>
      <w:r w:rsidRPr="00603CA3">
        <w:rPr>
          <w:color w:val="000000" w:themeColor="text1"/>
          <w:szCs w:val="24"/>
          <w:lang w:eastAsia="lv-LV"/>
        </w:rPr>
        <w:t xml:space="preserve">2.2.1.3.aktivitātes „Garantijas komersantu konkurētspējas uzlabošanai” ietvaros pieejamo ERAF </w:t>
      </w:r>
      <w:r w:rsidR="007E62B3" w:rsidRPr="00603CA3">
        <w:rPr>
          <w:color w:val="000000" w:themeColor="text1"/>
          <w:szCs w:val="24"/>
          <w:lang w:eastAsia="lv-LV"/>
        </w:rPr>
        <w:t>finansējumu</w:t>
      </w:r>
      <w:r w:rsidR="00F117F8" w:rsidRPr="00603CA3">
        <w:rPr>
          <w:color w:val="000000" w:themeColor="text1"/>
          <w:szCs w:val="24"/>
          <w:lang w:eastAsia="lv-LV"/>
        </w:rPr>
        <w:t xml:space="preserve"> 10,7 </w:t>
      </w:r>
      <w:proofErr w:type="spellStart"/>
      <w:r w:rsidR="00F117F8" w:rsidRPr="00603CA3">
        <w:rPr>
          <w:color w:val="000000" w:themeColor="text1"/>
          <w:szCs w:val="24"/>
          <w:lang w:eastAsia="lv-LV"/>
        </w:rPr>
        <w:t>milj</w:t>
      </w:r>
      <w:proofErr w:type="spellEnd"/>
      <w:r w:rsidR="00F117F8" w:rsidRPr="00603CA3">
        <w:rPr>
          <w:color w:val="000000" w:themeColor="text1"/>
          <w:szCs w:val="24"/>
          <w:lang w:eastAsia="lv-LV"/>
        </w:rPr>
        <w:t>.</w:t>
      </w:r>
      <w:r w:rsidR="00E63271" w:rsidRPr="00603CA3">
        <w:rPr>
          <w:color w:val="000000" w:themeColor="text1"/>
          <w:szCs w:val="24"/>
          <w:lang w:eastAsia="lv-LV"/>
        </w:rPr>
        <w:t xml:space="preserve"> </w:t>
      </w:r>
      <w:r w:rsidR="003F52B3" w:rsidRPr="00603CA3">
        <w:rPr>
          <w:rFonts w:eastAsia="Calibri"/>
          <w:color w:val="000000" w:themeColor="text1"/>
          <w:szCs w:val="24"/>
        </w:rPr>
        <w:t>latu</w:t>
      </w:r>
      <w:r w:rsidR="00645C24" w:rsidRPr="00603CA3">
        <w:rPr>
          <w:color w:val="000000" w:themeColor="text1"/>
          <w:szCs w:val="24"/>
          <w:lang w:eastAsia="lv-LV"/>
        </w:rPr>
        <w:t xml:space="preserve"> </w:t>
      </w:r>
      <w:r w:rsidRPr="00603CA3">
        <w:rPr>
          <w:color w:val="000000" w:themeColor="text1"/>
          <w:szCs w:val="24"/>
          <w:lang w:eastAsia="lv-LV"/>
        </w:rPr>
        <w:t>apmērā un valsts budžeta finansējumu 7</w:t>
      </w:r>
      <w:r w:rsidR="00F117F8" w:rsidRPr="00603CA3">
        <w:rPr>
          <w:color w:val="000000" w:themeColor="text1"/>
          <w:szCs w:val="24"/>
          <w:lang w:eastAsia="lv-LV"/>
        </w:rPr>
        <w:t xml:space="preserve">,1 </w:t>
      </w:r>
      <w:proofErr w:type="spellStart"/>
      <w:r w:rsidR="00F117F8" w:rsidRPr="00603CA3">
        <w:rPr>
          <w:color w:val="000000" w:themeColor="text1"/>
          <w:szCs w:val="24"/>
          <w:lang w:eastAsia="lv-LV"/>
        </w:rPr>
        <w:t>milj</w:t>
      </w:r>
      <w:proofErr w:type="spellEnd"/>
      <w:r w:rsidR="00F117F8" w:rsidRPr="00603CA3">
        <w:rPr>
          <w:color w:val="000000" w:themeColor="text1"/>
          <w:szCs w:val="24"/>
          <w:lang w:eastAsia="lv-LV"/>
        </w:rPr>
        <w:t>.</w:t>
      </w:r>
      <w:r w:rsidRPr="00603CA3">
        <w:rPr>
          <w:color w:val="000000" w:themeColor="text1"/>
          <w:szCs w:val="24"/>
          <w:lang w:eastAsia="lv-LV"/>
        </w:rPr>
        <w:t xml:space="preserve"> latu ap</w:t>
      </w:r>
      <w:r w:rsidR="007E62B3" w:rsidRPr="00603CA3">
        <w:rPr>
          <w:color w:val="000000" w:themeColor="text1"/>
          <w:szCs w:val="24"/>
          <w:lang w:eastAsia="lv-LV"/>
        </w:rPr>
        <w:t>mērā 2.2.1.4.2.apakšaktivitātes</w:t>
      </w:r>
      <w:r w:rsidRPr="00603CA3">
        <w:rPr>
          <w:color w:val="000000" w:themeColor="text1"/>
          <w:szCs w:val="24"/>
          <w:lang w:eastAsia="lv-LV"/>
        </w:rPr>
        <w:t xml:space="preserve"> īstenošanai;</w:t>
      </w:r>
    </w:p>
    <w:p w:rsidR="00A72377" w:rsidRPr="00603CA3" w:rsidRDefault="00A72377" w:rsidP="00603CA3">
      <w:pPr>
        <w:numPr>
          <w:ilvl w:val="0"/>
          <w:numId w:val="20"/>
        </w:numPr>
        <w:spacing w:line="276" w:lineRule="auto"/>
        <w:ind w:left="317"/>
        <w:rPr>
          <w:color w:val="000000" w:themeColor="text1"/>
          <w:szCs w:val="24"/>
          <w:lang w:eastAsia="lv-LV"/>
        </w:rPr>
      </w:pPr>
      <w:r w:rsidRPr="00603CA3">
        <w:rPr>
          <w:color w:val="000000" w:themeColor="text1"/>
          <w:szCs w:val="24"/>
          <w:lang w:eastAsia="lv-LV"/>
        </w:rPr>
        <w:t xml:space="preserve">2.3.1.2.aktivitātes „Pasākumi motivācijas celšanai inovācijām un uzņēmējdarbības uzsākšanai” ietvaros pieejamo ERAF finansējumu </w:t>
      </w:r>
      <w:smartTag w:uri="schemas-tilde-lv/tildestengine" w:element="currency2">
        <w:smartTagPr>
          <w:attr w:name="currency_id" w:val="48"/>
          <w:attr w:name="currency_key" w:val="LVL"/>
          <w:attr w:name="currency_value" w:val="440"/>
          <w:attr w:name="currency_text" w:val="latu"/>
        </w:smartTagPr>
        <w:r w:rsidRPr="00603CA3">
          <w:rPr>
            <w:color w:val="000000" w:themeColor="text1"/>
            <w:szCs w:val="24"/>
            <w:lang w:eastAsia="lv-LV"/>
          </w:rPr>
          <w:t>440 latu</w:t>
        </w:r>
      </w:smartTag>
      <w:r w:rsidRPr="00603CA3">
        <w:rPr>
          <w:color w:val="000000" w:themeColor="text1"/>
          <w:szCs w:val="24"/>
          <w:lang w:eastAsia="lv-LV"/>
        </w:rPr>
        <w:t xml:space="preserve"> apmērā un 2.3.2.2.aktivitātes „Atbalsts ieguldījumiem </w:t>
      </w:r>
      <w:proofErr w:type="spellStart"/>
      <w:r w:rsidRPr="00603CA3">
        <w:rPr>
          <w:color w:val="000000" w:themeColor="text1"/>
          <w:szCs w:val="24"/>
          <w:lang w:eastAsia="lv-LV"/>
        </w:rPr>
        <w:t>mikro</w:t>
      </w:r>
      <w:proofErr w:type="spellEnd"/>
      <w:r w:rsidRPr="00603CA3">
        <w:rPr>
          <w:color w:val="000000" w:themeColor="text1"/>
          <w:szCs w:val="24"/>
          <w:lang w:eastAsia="lv-LV"/>
        </w:rPr>
        <w:t xml:space="preserve">, maziem un vidējiem komersantiem īpaši atbalstāmajās </w:t>
      </w:r>
      <w:r w:rsidRPr="00603CA3">
        <w:rPr>
          <w:color w:val="000000" w:themeColor="text1"/>
          <w:szCs w:val="24"/>
          <w:lang w:eastAsia="lv-LV"/>
        </w:rPr>
        <w:lastRenderedPageBreak/>
        <w:t>teritorijās (ĪAT)” ERAF finansējumu 3</w:t>
      </w:r>
      <w:r w:rsidR="00F117F8" w:rsidRPr="00603CA3">
        <w:rPr>
          <w:color w:val="000000" w:themeColor="text1"/>
          <w:szCs w:val="24"/>
          <w:lang w:eastAsia="lv-LV"/>
        </w:rPr>
        <w:t xml:space="preserve">,4 </w:t>
      </w:r>
      <w:proofErr w:type="spellStart"/>
      <w:r w:rsidR="00F117F8" w:rsidRPr="00603CA3">
        <w:rPr>
          <w:color w:val="000000" w:themeColor="text1"/>
          <w:szCs w:val="24"/>
          <w:lang w:eastAsia="lv-LV"/>
        </w:rPr>
        <w:t>milj</w:t>
      </w:r>
      <w:proofErr w:type="spellEnd"/>
      <w:r w:rsidR="00F117F8" w:rsidRPr="00603CA3">
        <w:rPr>
          <w:color w:val="000000" w:themeColor="text1"/>
          <w:szCs w:val="24"/>
          <w:lang w:eastAsia="lv-LV"/>
        </w:rPr>
        <w:t xml:space="preserve">. </w:t>
      </w:r>
      <w:r w:rsidRPr="00603CA3">
        <w:rPr>
          <w:color w:val="000000" w:themeColor="text1"/>
          <w:szCs w:val="24"/>
          <w:lang w:eastAsia="lv-LV"/>
        </w:rPr>
        <w:t>latu apmērā 2.3.2.3.aktivitātes „Klasteru programma” īstenošanai;</w:t>
      </w:r>
    </w:p>
    <w:p w:rsidR="00A72377" w:rsidRPr="00603CA3" w:rsidRDefault="00A72377" w:rsidP="00603CA3">
      <w:pPr>
        <w:numPr>
          <w:ilvl w:val="0"/>
          <w:numId w:val="20"/>
        </w:numPr>
        <w:spacing w:line="276" w:lineRule="auto"/>
        <w:ind w:left="317"/>
        <w:rPr>
          <w:color w:val="000000" w:themeColor="text1"/>
          <w:szCs w:val="24"/>
          <w:lang w:eastAsia="lv-LV"/>
        </w:rPr>
      </w:pPr>
      <w:r w:rsidRPr="00603CA3">
        <w:rPr>
          <w:color w:val="000000" w:themeColor="text1"/>
          <w:szCs w:val="24"/>
          <w:lang w:eastAsia="lv-LV"/>
        </w:rPr>
        <w:t>2.1.1.1.aktivitātes „Atbalsts zinātnei un pētniecībai” pirmās projektu iesniegumu atlases kārtas ERAF finansējuma atlikumu 2</w:t>
      </w:r>
      <w:r w:rsidR="00F117F8" w:rsidRPr="00603CA3">
        <w:rPr>
          <w:color w:val="000000" w:themeColor="text1"/>
          <w:szCs w:val="24"/>
          <w:lang w:eastAsia="lv-LV"/>
        </w:rPr>
        <w:t xml:space="preserve">,5 </w:t>
      </w:r>
      <w:proofErr w:type="spellStart"/>
      <w:r w:rsidR="00F117F8" w:rsidRPr="00603CA3">
        <w:rPr>
          <w:color w:val="000000" w:themeColor="text1"/>
          <w:szCs w:val="24"/>
          <w:lang w:eastAsia="lv-LV"/>
        </w:rPr>
        <w:t>milj</w:t>
      </w:r>
      <w:proofErr w:type="spellEnd"/>
      <w:r w:rsidR="00F117F8" w:rsidRPr="00603CA3">
        <w:rPr>
          <w:color w:val="000000" w:themeColor="text1"/>
          <w:szCs w:val="24"/>
          <w:lang w:eastAsia="lv-LV"/>
        </w:rPr>
        <w:t>.</w:t>
      </w:r>
      <w:r w:rsidRPr="00603CA3">
        <w:rPr>
          <w:color w:val="000000" w:themeColor="text1"/>
          <w:szCs w:val="24"/>
          <w:lang w:eastAsia="lv-LV"/>
        </w:rPr>
        <w:t xml:space="preserve"> latu apmērā un 2.1.1.2.aktivitātes „Atbalsts starptautiskās sadarbības projektiem zinātnē un tehnoloģijās (EUREKA, 7.IP un citi)” ERAF finansējumu 553</w:t>
      </w:r>
      <w:r w:rsidR="000B7B18" w:rsidRPr="00603CA3">
        <w:rPr>
          <w:color w:val="000000" w:themeColor="text1"/>
          <w:szCs w:val="24"/>
          <w:lang w:eastAsia="lv-LV"/>
        </w:rPr>
        <w:t xml:space="preserve">,1 </w:t>
      </w:r>
      <w:proofErr w:type="spellStart"/>
      <w:r w:rsidR="000B7B18" w:rsidRPr="00603CA3">
        <w:rPr>
          <w:color w:val="000000" w:themeColor="text1"/>
          <w:szCs w:val="24"/>
          <w:lang w:eastAsia="lv-LV"/>
        </w:rPr>
        <w:t>tūkst</w:t>
      </w:r>
      <w:proofErr w:type="spellEnd"/>
      <w:r w:rsidR="000B7B18" w:rsidRPr="00603CA3">
        <w:rPr>
          <w:color w:val="000000" w:themeColor="text1"/>
          <w:szCs w:val="24"/>
          <w:lang w:eastAsia="lv-LV"/>
        </w:rPr>
        <w:t>.</w:t>
      </w:r>
      <w:r w:rsidRPr="00603CA3">
        <w:rPr>
          <w:color w:val="000000" w:themeColor="text1"/>
          <w:szCs w:val="24"/>
          <w:lang w:eastAsia="lv-LV"/>
        </w:rPr>
        <w:t xml:space="preserve"> latu apmērā 2.1.1.1.aktivitātes „Atbalsts zinātnei un pētniecībai” projektu iesniegumu atlases otrās kārtas īstenošanai;</w:t>
      </w:r>
    </w:p>
    <w:p w:rsidR="00A72377" w:rsidRPr="00603CA3" w:rsidRDefault="00A72377" w:rsidP="00603CA3">
      <w:pPr>
        <w:numPr>
          <w:ilvl w:val="0"/>
          <w:numId w:val="20"/>
        </w:numPr>
        <w:spacing w:line="276" w:lineRule="auto"/>
        <w:ind w:left="317"/>
        <w:rPr>
          <w:color w:val="000000" w:themeColor="text1"/>
          <w:szCs w:val="24"/>
          <w:lang w:eastAsia="lv-LV"/>
        </w:rPr>
      </w:pPr>
      <w:r w:rsidRPr="00603CA3">
        <w:rPr>
          <w:color w:val="000000" w:themeColor="text1"/>
          <w:szCs w:val="24"/>
          <w:lang w:eastAsia="lv-LV"/>
        </w:rPr>
        <w:t>2.1.2.4.aktivitātes „Augstas pievienotās vērtības investīcijas” projektu iesniegumu atlases pirmās kārtas ERAF finansējuma atlikumu 4</w:t>
      </w:r>
      <w:r w:rsidR="000B7B18" w:rsidRPr="00603CA3">
        <w:rPr>
          <w:color w:val="000000" w:themeColor="text1"/>
          <w:szCs w:val="24"/>
          <w:lang w:eastAsia="lv-LV"/>
        </w:rPr>
        <w:t xml:space="preserve">,8 </w:t>
      </w:r>
      <w:proofErr w:type="spellStart"/>
      <w:r w:rsidR="000B7B18" w:rsidRPr="00603CA3">
        <w:rPr>
          <w:color w:val="000000" w:themeColor="text1"/>
          <w:szCs w:val="24"/>
          <w:lang w:eastAsia="lv-LV"/>
        </w:rPr>
        <w:t>milj</w:t>
      </w:r>
      <w:proofErr w:type="spellEnd"/>
      <w:r w:rsidR="000B7B18" w:rsidRPr="00603CA3">
        <w:rPr>
          <w:color w:val="000000" w:themeColor="text1"/>
          <w:szCs w:val="24"/>
          <w:lang w:eastAsia="lv-LV"/>
        </w:rPr>
        <w:t>.</w:t>
      </w:r>
      <w:r w:rsidRPr="00603CA3">
        <w:rPr>
          <w:color w:val="000000" w:themeColor="text1"/>
          <w:szCs w:val="24"/>
          <w:lang w:eastAsia="lv-LV"/>
        </w:rPr>
        <w:t xml:space="preserve"> latu apmērā, 2.1.2.1.1.apakšaktivitātes „Kompetences centri” ietvaros pieejamo ERAF finansējuma atlikumu </w:t>
      </w:r>
      <w:smartTag w:uri="schemas-tilde-lv/tildestengine" w:element="currency2">
        <w:smartTagPr>
          <w:attr w:name="currency_id" w:val="48"/>
          <w:attr w:name="currency_key" w:val="LVL"/>
          <w:attr w:name="currency_value" w:val="398"/>
          <w:attr w:name="currency_text" w:val="latu"/>
        </w:smartTagPr>
        <w:r w:rsidRPr="00603CA3">
          <w:rPr>
            <w:color w:val="000000" w:themeColor="text1"/>
            <w:szCs w:val="24"/>
            <w:lang w:eastAsia="lv-LV"/>
          </w:rPr>
          <w:t>398 latu</w:t>
        </w:r>
      </w:smartTag>
      <w:r w:rsidRPr="00603CA3">
        <w:rPr>
          <w:color w:val="000000" w:themeColor="text1"/>
          <w:szCs w:val="24"/>
          <w:lang w:eastAsia="lv-LV"/>
        </w:rPr>
        <w:t xml:space="preserve"> apmērā, 2.1.2.1.2.apakšaktivitātes „Tehnoloģiju pārneses kontaktpunkti” ietvaros pieejamo ERAF finansējuma atlikumu 11</w:t>
      </w:r>
      <w:r w:rsidR="00DA1A45" w:rsidRPr="00603CA3">
        <w:rPr>
          <w:color w:val="000000" w:themeColor="text1"/>
          <w:szCs w:val="24"/>
          <w:lang w:eastAsia="lv-LV"/>
        </w:rPr>
        <w:t>,9</w:t>
      </w:r>
      <w:r w:rsidRPr="00603CA3">
        <w:rPr>
          <w:color w:val="000000" w:themeColor="text1"/>
          <w:szCs w:val="24"/>
          <w:lang w:eastAsia="lv-LV"/>
        </w:rPr>
        <w:t xml:space="preserve"> </w:t>
      </w:r>
      <w:proofErr w:type="spellStart"/>
      <w:r w:rsidR="00E63271" w:rsidRPr="00603CA3">
        <w:rPr>
          <w:color w:val="000000" w:themeColor="text1"/>
          <w:szCs w:val="24"/>
          <w:lang w:eastAsia="lv-LV"/>
        </w:rPr>
        <w:t>tūkst.</w:t>
      </w:r>
      <w:r w:rsidRPr="00603CA3">
        <w:rPr>
          <w:color w:val="000000" w:themeColor="text1"/>
          <w:szCs w:val="24"/>
          <w:lang w:eastAsia="lv-LV"/>
        </w:rPr>
        <w:t>latu</w:t>
      </w:r>
      <w:proofErr w:type="spellEnd"/>
      <w:r w:rsidRPr="00603CA3">
        <w:rPr>
          <w:color w:val="000000" w:themeColor="text1"/>
          <w:szCs w:val="24"/>
          <w:lang w:eastAsia="lv-LV"/>
        </w:rPr>
        <w:t xml:space="preserve"> apmērā, 2.1.2.2.3.apakšaktivitātes „Jaunu produktu un tehnoloģiju izstrāde - atbalsts rūpnieciskā īpašuma tiesību nostiprināšanai” ietvaros pieejamo ERAF finansējuma atlikumu 28</w:t>
      </w:r>
      <w:r w:rsidR="000B7B18" w:rsidRPr="00603CA3">
        <w:rPr>
          <w:color w:val="000000" w:themeColor="text1"/>
          <w:szCs w:val="24"/>
          <w:lang w:eastAsia="lv-LV"/>
        </w:rPr>
        <w:t xml:space="preserve">,4 </w:t>
      </w:r>
      <w:proofErr w:type="spellStart"/>
      <w:r w:rsidR="000B7B18" w:rsidRPr="00603CA3">
        <w:rPr>
          <w:color w:val="000000" w:themeColor="text1"/>
          <w:szCs w:val="24"/>
          <w:lang w:eastAsia="lv-LV"/>
        </w:rPr>
        <w:t>tūk</w:t>
      </w:r>
      <w:r w:rsidR="00E63271" w:rsidRPr="00603CA3">
        <w:rPr>
          <w:color w:val="000000" w:themeColor="text1"/>
          <w:szCs w:val="24"/>
          <w:lang w:eastAsia="lv-LV"/>
        </w:rPr>
        <w:t>s</w:t>
      </w:r>
      <w:r w:rsidR="000B7B18" w:rsidRPr="00603CA3">
        <w:rPr>
          <w:color w:val="000000" w:themeColor="text1"/>
          <w:szCs w:val="24"/>
          <w:lang w:eastAsia="lv-LV"/>
        </w:rPr>
        <w:t>t</w:t>
      </w:r>
      <w:proofErr w:type="spellEnd"/>
      <w:r w:rsidR="000B7B18" w:rsidRPr="00603CA3">
        <w:rPr>
          <w:color w:val="000000" w:themeColor="text1"/>
          <w:szCs w:val="24"/>
          <w:lang w:eastAsia="lv-LV"/>
        </w:rPr>
        <w:t>.</w:t>
      </w:r>
      <w:r w:rsidRPr="00603CA3">
        <w:rPr>
          <w:color w:val="000000" w:themeColor="text1"/>
          <w:szCs w:val="24"/>
          <w:lang w:eastAsia="lv-LV"/>
        </w:rPr>
        <w:t xml:space="preserve"> latu apmērā un 2.1.2.2.1.apakšaktivitātes „Jaunu produktu un tehnoloģiju izstrāde” ietvaros pieejamo ERAF finansējuma atlikumu 801</w:t>
      </w:r>
      <w:r w:rsidR="000B7B18" w:rsidRPr="00603CA3">
        <w:rPr>
          <w:color w:val="000000" w:themeColor="text1"/>
          <w:szCs w:val="24"/>
          <w:lang w:eastAsia="lv-LV"/>
        </w:rPr>
        <w:t xml:space="preserve">,9 </w:t>
      </w:r>
      <w:proofErr w:type="spellStart"/>
      <w:r w:rsidR="000B7B18" w:rsidRPr="00603CA3">
        <w:rPr>
          <w:color w:val="000000" w:themeColor="text1"/>
          <w:szCs w:val="24"/>
          <w:lang w:eastAsia="lv-LV"/>
        </w:rPr>
        <w:t>tūkst</w:t>
      </w:r>
      <w:proofErr w:type="spellEnd"/>
      <w:r w:rsidR="000B7B18" w:rsidRPr="00603CA3">
        <w:rPr>
          <w:color w:val="000000" w:themeColor="text1"/>
          <w:szCs w:val="24"/>
          <w:lang w:eastAsia="lv-LV"/>
        </w:rPr>
        <w:t>.</w:t>
      </w:r>
      <w:r w:rsidRPr="00603CA3">
        <w:rPr>
          <w:color w:val="000000" w:themeColor="text1"/>
          <w:szCs w:val="24"/>
          <w:lang w:eastAsia="lv-LV"/>
        </w:rPr>
        <w:t xml:space="preserve"> lata apmērā 2.1.2.4.aktivitātes „Augstas pievienotās vērtības investīcijas” projektu iesniegumu atlases otrās kārtas īstenošanai;</w:t>
      </w:r>
    </w:p>
    <w:p w:rsidR="00A72377" w:rsidRPr="00603CA3" w:rsidRDefault="00A72377" w:rsidP="00603CA3">
      <w:pPr>
        <w:numPr>
          <w:ilvl w:val="0"/>
          <w:numId w:val="20"/>
        </w:numPr>
        <w:spacing w:line="276" w:lineRule="auto"/>
        <w:ind w:left="317"/>
        <w:rPr>
          <w:color w:val="000000" w:themeColor="text1"/>
          <w:szCs w:val="24"/>
          <w:lang w:eastAsia="lv-LV"/>
        </w:rPr>
      </w:pPr>
      <w:r w:rsidRPr="00603CA3">
        <w:rPr>
          <w:color w:val="000000" w:themeColor="text1"/>
          <w:szCs w:val="24"/>
          <w:lang w:eastAsia="lv-LV"/>
        </w:rPr>
        <w:t>2.1.2.4.aktivitātes „Augstas pievienotās vērtības investīcijas” projektu iesniegumu atlases pirmās kārtas ERAF finansējuma atlikumu 2</w:t>
      </w:r>
      <w:r w:rsidR="00EF436A" w:rsidRPr="00603CA3">
        <w:rPr>
          <w:color w:val="000000" w:themeColor="text1"/>
          <w:szCs w:val="24"/>
          <w:lang w:eastAsia="lv-LV"/>
        </w:rPr>
        <w:t>,</w:t>
      </w:r>
      <w:r w:rsidR="000B7B18" w:rsidRPr="00603CA3">
        <w:rPr>
          <w:color w:val="000000" w:themeColor="text1"/>
          <w:szCs w:val="24"/>
          <w:lang w:eastAsia="lv-LV"/>
        </w:rPr>
        <w:t xml:space="preserve">0 </w:t>
      </w:r>
      <w:proofErr w:type="spellStart"/>
      <w:r w:rsidR="000B7B18" w:rsidRPr="00603CA3">
        <w:rPr>
          <w:color w:val="000000" w:themeColor="text1"/>
          <w:szCs w:val="24"/>
          <w:lang w:eastAsia="lv-LV"/>
        </w:rPr>
        <w:t>milj</w:t>
      </w:r>
      <w:proofErr w:type="spellEnd"/>
      <w:r w:rsidR="000B7B18" w:rsidRPr="00603CA3">
        <w:rPr>
          <w:color w:val="000000" w:themeColor="text1"/>
          <w:szCs w:val="24"/>
          <w:lang w:eastAsia="lv-LV"/>
        </w:rPr>
        <w:t>.</w:t>
      </w:r>
      <w:r w:rsidRPr="00603CA3">
        <w:rPr>
          <w:color w:val="000000" w:themeColor="text1"/>
          <w:szCs w:val="24"/>
          <w:lang w:eastAsia="lv-LV"/>
        </w:rPr>
        <w:t xml:space="preserve"> latu apmērā </w:t>
      </w:r>
      <w:r w:rsidRPr="00603CA3">
        <w:rPr>
          <w:color w:val="000000" w:themeColor="text1"/>
          <w:szCs w:val="24"/>
        </w:rPr>
        <w:t>2.1.2.2.4.apakšaktivitātes „MVK jaunu produktu un tehnoloģiju attīstības programma” īstenošanai.</w:t>
      </w:r>
    </w:p>
    <w:p w:rsidR="00A72377" w:rsidRPr="00603CA3" w:rsidRDefault="00A72377" w:rsidP="00603CA3">
      <w:pPr>
        <w:spacing w:line="276" w:lineRule="auto"/>
        <w:rPr>
          <w:color w:val="000000" w:themeColor="text1"/>
          <w:szCs w:val="24"/>
        </w:rPr>
      </w:pPr>
      <w:r w:rsidRPr="00603CA3">
        <w:rPr>
          <w:color w:val="000000" w:themeColor="text1"/>
          <w:szCs w:val="24"/>
        </w:rPr>
        <w:t xml:space="preserve">Uzraudzības komitejas </w:t>
      </w:r>
      <w:proofErr w:type="spellStart"/>
      <w:r w:rsidRPr="00603CA3">
        <w:rPr>
          <w:color w:val="000000" w:themeColor="text1"/>
          <w:szCs w:val="24"/>
        </w:rPr>
        <w:t>š.g</w:t>
      </w:r>
      <w:proofErr w:type="spellEnd"/>
      <w:r w:rsidRPr="00603CA3">
        <w:rPr>
          <w:color w:val="000000" w:themeColor="text1"/>
          <w:szCs w:val="24"/>
        </w:rPr>
        <w:t>. 25.maija rakstiskajā procedūrā tika pieņemts lēmums apstiprināt 2.2.1.4.2.apakšaktivitātes projektu iesniegumu vērtēšanas kritērijus.</w:t>
      </w:r>
    </w:p>
    <w:p w:rsidR="00A72377" w:rsidRPr="00603CA3" w:rsidRDefault="00A72377" w:rsidP="00603CA3">
      <w:pPr>
        <w:spacing w:line="276" w:lineRule="auto"/>
        <w:rPr>
          <w:color w:val="000000" w:themeColor="text1"/>
          <w:szCs w:val="24"/>
        </w:rPr>
      </w:pPr>
      <w:r w:rsidRPr="00603CA3">
        <w:rPr>
          <w:color w:val="000000" w:themeColor="text1"/>
          <w:szCs w:val="24"/>
        </w:rPr>
        <w:t xml:space="preserve">2007.-2013.gada </w:t>
      </w:r>
      <w:r w:rsidR="000A79C8" w:rsidRPr="00603CA3">
        <w:rPr>
          <w:color w:val="000000" w:themeColor="text1"/>
          <w:szCs w:val="24"/>
        </w:rPr>
        <w:t>ES</w:t>
      </w:r>
      <w:r w:rsidRPr="00603CA3">
        <w:rPr>
          <w:color w:val="000000" w:themeColor="text1"/>
          <w:szCs w:val="24"/>
        </w:rPr>
        <w:t xml:space="preserve"> fondu plānošanas perioda </w:t>
      </w:r>
      <w:r w:rsidR="000A79C8" w:rsidRPr="00603CA3">
        <w:rPr>
          <w:color w:val="000000" w:themeColor="text1"/>
          <w:szCs w:val="24"/>
        </w:rPr>
        <w:t>ES</w:t>
      </w:r>
      <w:r w:rsidRPr="00603CA3">
        <w:rPr>
          <w:color w:val="000000" w:themeColor="text1"/>
          <w:szCs w:val="24"/>
        </w:rPr>
        <w:t xml:space="preserve"> fondu uzraudzība</w:t>
      </w:r>
      <w:r w:rsidR="007E62B3" w:rsidRPr="00603CA3">
        <w:rPr>
          <w:color w:val="000000" w:themeColor="text1"/>
          <w:szCs w:val="24"/>
        </w:rPr>
        <w:t xml:space="preserve">s komitejas </w:t>
      </w:r>
      <w:proofErr w:type="spellStart"/>
      <w:r w:rsidR="007E62B3" w:rsidRPr="00603CA3">
        <w:rPr>
          <w:color w:val="000000" w:themeColor="text1"/>
          <w:szCs w:val="24"/>
        </w:rPr>
        <w:t>š.g</w:t>
      </w:r>
      <w:proofErr w:type="spellEnd"/>
      <w:r w:rsidR="007E62B3" w:rsidRPr="00603CA3">
        <w:rPr>
          <w:color w:val="000000" w:themeColor="text1"/>
          <w:szCs w:val="24"/>
        </w:rPr>
        <w:t>. 16.jūnija sēdē</w:t>
      </w:r>
      <w:r w:rsidRPr="00603CA3">
        <w:rPr>
          <w:color w:val="000000" w:themeColor="text1"/>
          <w:szCs w:val="24"/>
        </w:rPr>
        <w:t xml:space="preserve"> 2.3.2.3. aktivitātei „Klasteru programma” (pirmās projektu iesniegumu atlases kārtas īstenošanai) un 2.1.2.4.aktivitātei „Augstas pie</w:t>
      </w:r>
      <w:r w:rsidR="007E62B3" w:rsidRPr="00603CA3">
        <w:rPr>
          <w:color w:val="000000" w:themeColor="text1"/>
          <w:szCs w:val="24"/>
        </w:rPr>
        <w:t>vienotās vērtības investīcijas”</w:t>
      </w:r>
      <w:r w:rsidRPr="00603CA3">
        <w:rPr>
          <w:color w:val="000000" w:themeColor="text1"/>
          <w:szCs w:val="24"/>
        </w:rPr>
        <w:t xml:space="preserve"> (otrās projektu iesniegumu atlases kārtas īstenošanai) tika apstiprinātas projektu iesniegumu vērtēšanas kritēriju kopas. </w:t>
      </w:r>
    </w:p>
    <w:p w:rsidR="00A72377" w:rsidRPr="00603CA3" w:rsidRDefault="00A72377" w:rsidP="00603CA3">
      <w:pPr>
        <w:spacing w:line="276" w:lineRule="auto"/>
        <w:rPr>
          <w:color w:val="000000" w:themeColor="text1"/>
          <w:szCs w:val="24"/>
        </w:rPr>
      </w:pPr>
      <w:r w:rsidRPr="00603CA3">
        <w:rPr>
          <w:color w:val="000000" w:themeColor="text1"/>
          <w:szCs w:val="24"/>
        </w:rPr>
        <w:t xml:space="preserve">2011.gada 7.jūnijā tika noslēgta otrā projektu iesniegumu atlases kārta 2.1.2.2.2. </w:t>
      </w:r>
      <w:proofErr w:type="spellStart"/>
      <w:r w:rsidRPr="00603CA3">
        <w:rPr>
          <w:color w:val="000000" w:themeColor="text1"/>
          <w:szCs w:val="24"/>
        </w:rPr>
        <w:t>apakšaktivitātei</w:t>
      </w:r>
      <w:proofErr w:type="spellEnd"/>
      <w:r w:rsidR="007E62B3" w:rsidRPr="00603CA3">
        <w:rPr>
          <w:color w:val="000000" w:themeColor="text1"/>
          <w:szCs w:val="24"/>
        </w:rPr>
        <w:t xml:space="preserve"> „Jaunu produktu un tehnoloģiju</w:t>
      </w:r>
      <w:r w:rsidRPr="00603CA3">
        <w:rPr>
          <w:color w:val="000000" w:themeColor="text1"/>
          <w:szCs w:val="24"/>
        </w:rPr>
        <w:t xml:space="preserve"> izstrāde – atbalsts jaunu produktu un tehnoloģiju ieviešanai ražošanā”. </w:t>
      </w:r>
      <w:proofErr w:type="spellStart"/>
      <w:r w:rsidRPr="00603CA3">
        <w:rPr>
          <w:color w:val="000000" w:themeColor="text1"/>
          <w:szCs w:val="24"/>
        </w:rPr>
        <w:t>Apakšaktivitātes</w:t>
      </w:r>
      <w:proofErr w:type="spellEnd"/>
      <w:r w:rsidRPr="00603CA3">
        <w:rPr>
          <w:color w:val="000000" w:themeColor="text1"/>
          <w:szCs w:val="24"/>
        </w:rPr>
        <w:t xml:space="preserve"> mērķis: atbalstīt veiksmīgi izstrādāto jauno produktu (tajā skaitā preču vai pakalpojumu) vai tehnoloģiju (tajā skaitā tehnoloģis</w:t>
      </w:r>
      <w:r w:rsidR="007E62B3" w:rsidRPr="00603CA3">
        <w:rPr>
          <w:color w:val="000000" w:themeColor="text1"/>
          <w:szCs w:val="24"/>
        </w:rPr>
        <w:t>ko procesu) ieviešanu ražošanā.</w:t>
      </w:r>
      <w:r w:rsidRPr="00603CA3">
        <w:rPr>
          <w:color w:val="000000" w:themeColor="text1"/>
          <w:szCs w:val="24"/>
        </w:rPr>
        <w:t xml:space="preserve"> </w:t>
      </w:r>
      <w:proofErr w:type="spellStart"/>
      <w:r w:rsidRPr="00603CA3">
        <w:rPr>
          <w:color w:val="000000" w:themeColor="text1"/>
          <w:szCs w:val="24"/>
        </w:rPr>
        <w:t>Apakšaktivitātes</w:t>
      </w:r>
      <w:proofErr w:type="spellEnd"/>
      <w:r w:rsidRPr="00603CA3">
        <w:rPr>
          <w:color w:val="000000" w:themeColor="text1"/>
          <w:szCs w:val="24"/>
        </w:rPr>
        <w:t xml:space="preserve"> ietvaros pieejamais ERAF </w:t>
      </w:r>
      <w:r w:rsidR="00C17411" w:rsidRPr="00603CA3">
        <w:rPr>
          <w:color w:val="000000" w:themeColor="text1"/>
          <w:szCs w:val="24"/>
        </w:rPr>
        <w:t xml:space="preserve">finansējums ir 44,7 </w:t>
      </w:r>
      <w:proofErr w:type="spellStart"/>
      <w:r w:rsidR="00C17411" w:rsidRPr="00603CA3">
        <w:rPr>
          <w:color w:val="000000" w:themeColor="text1"/>
          <w:szCs w:val="24"/>
        </w:rPr>
        <w:t>milj</w:t>
      </w:r>
      <w:proofErr w:type="spellEnd"/>
      <w:r w:rsidR="00C17411" w:rsidRPr="00603CA3">
        <w:rPr>
          <w:color w:val="000000" w:themeColor="text1"/>
          <w:szCs w:val="24"/>
        </w:rPr>
        <w:t>. latu.</w:t>
      </w:r>
    </w:p>
    <w:p w:rsidR="00A72377" w:rsidRPr="00603CA3" w:rsidRDefault="00A72377" w:rsidP="00603CA3">
      <w:pPr>
        <w:spacing w:line="276" w:lineRule="auto"/>
        <w:rPr>
          <w:color w:val="000000" w:themeColor="text1"/>
          <w:szCs w:val="24"/>
        </w:rPr>
      </w:pPr>
      <w:r w:rsidRPr="00603CA3">
        <w:rPr>
          <w:color w:val="000000" w:themeColor="text1"/>
          <w:szCs w:val="24"/>
        </w:rPr>
        <w:t>2011.gada otrajā ceturksnī ir noslēgusies 2.1.1.1.aktivitātes „Atbalsts zinātnei un pētniecībai” pirmās projektu iesniegumu atlases kārtas ietvaros iesniegto projektu iesniegumu vērtēšana. Aktivitātes mērķis: Atbalstīt praktiskas ievirzes pētniecības projektus, kuri sekmētu zinātnes un ražošanas integrāciju un pētniecisko rezultātu ieviešanu atbilstoši valstī izvirzītajiem prioritārajiem zinātnes virzieniem. Aktivitātes ietvaros pieejamais ERAF fi</w:t>
      </w:r>
      <w:r w:rsidR="007E62B3" w:rsidRPr="00603CA3">
        <w:rPr>
          <w:color w:val="000000" w:themeColor="text1"/>
          <w:szCs w:val="24"/>
        </w:rPr>
        <w:t>nansējums ir</w:t>
      </w:r>
      <w:r w:rsidR="00C17411" w:rsidRPr="00603CA3">
        <w:rPr>
          <w:color w:val="000000" w:themeColor="text1"/>
          <w:szCs w:val="24"/>
        </w:rPr>
        <w:t xml:space="preserve"> 35,8 </w:t>
      </w:r>
      <w:proofErr w:type="spellStart"/>
      <w:r w:rsidR="00C17411" w:rsidRPr="00603CA3">
        <w:rPr>
          <w:color w:val="000000" w:themeColor="text1"/>
          <w:szCs w:val="24"/>
        </w:rPr>
        <w:t>milj</w:t>
      </w:r>
      <w:proofErr w:type="spellEnd"/>
      <w:r w:rsidR="00C17411" w:rsidRPr="00603CA3">
        <w:rPr>
          <w:color w:val="000000" w:themeColor="text1"/>
          <w:szCs w:val="24"/>
        </w:rPr>
        <w:t xml:space="preserve">. latu. </w:t>
      </w:r>
    </w:p>
    <w:p w:rsidR="00A72377" w:rsidRPr="00603CA3" w:rsidRDefault="00A72377" w:rsidP="00603CA3">
      <w:pPr>
        <w:spacing w:line="276" w:lineRule="auto"/>
        <w:rPr>
          <w:color w:val="000000" w:themeColor="text1"/>
          <w:szCs w:val="24"/>
        </w:rPr>
      </w:pPr>
      <w:r w:rsidRPr="00603CA3">
        <w:rPr>
          <w:color w:val="000000" w:themeColor="text1"/>
          <w:szCs w:val="24"/>
        </w:rPr>
        <w:t xml:space="preserve">2011.gada otrajā ceturksnī turpinās 2.3.1.1.1. </w:t>
      </w:r>
      <w:proofErr w:type="spellStart"/>
      <w:r w:rsidRPr="00603CA3">
        <w:rPr>
          <w:color w:val="000000" w:themeColor="text1"/>
          <w:szCs w:val="24"/>
        </w:rPr>
        <w:t>apakšaktivitātes</w:t>
      </w:r>
      <w:proofErr w:type="spellEnd"/>
      <w:r w:rsidRPr="00603CA3">
        <w:rPr>
          <w:color w:val="000000" w:themeColor="text1"/>
          <w:szCs w:val="24"/>
        </w:rPr>
        <w:t xml:space="preserve"> „Ārējo tirgu apgūšana – ārējais mārketings” projektu iesniegumu pieņemšana. </w:t>
      </w:r>
      <w:proofErr w:type="spellStart"/>
      <w:r w:rsidRPr="00603CA3">
        <w:rPr>
          <w:color w:val="000000" w:themeColor="text1"/>
          <w:szCs w:val="24"/>
        </w:rPr>
        <w:t>Apakšaktivitātes</w:t>
      </w:r>
      <w:proofErr w:type="spellEnd"/>
      <w:r w:rsidRPr="00603CA3">
        <w:rPr>
          <w:color w:val="000000" w:themeColor="text1"/>
          <w:szCs w:val="24"/>
        </w:rPr>
        <w:t xml:space="preserve"> mērķis ir atbalstīt ar ieiešanu ārvalstu tirgos saistītās aktivitātes - ārējo mārketingu ārvalstīs un pasākumus, kas sekmē komersantu iekļaušanos starptautiskajās piegāžu ķēdēs, veicina Latvijas komersantu dalību </w:t>
      </w:r>
      <w:r w:rsidRPr="00603CA3">
        <w:rPr>
          <w:color w:val="000000" w:themeColor="text1"/>
          <w:szCs w:val="24"/>
        </w:rPr>
        <w:lastRenderedPageBreak/>
        <w:t xml:space="preserve">starptautiskās izstādēs un tirdzniecības misijās. </w:t>
      </w:r>
      <w:proofErr w:type="spellStart"/>
      <w:r w:rsidRPr="00603CA3">
        <w:rPr>
          <w:color w:val="000000" w:themeColor="text1"/>
          <w:szCs w:val="24"/>
        </w:rPr>
        <w:t>Apakšaktivitātes</w:t>
      </w:r>
      <w:proofErr w:type="spellEnd"/>
      <w:r w:rsidRPr="00603CA3">
        <w:rPr>
          <w:color w:val="000000" w:themeColor="text1"/>
          <w:szCs w:val="24"/>
        </w:rPr>
        <w:t xml:space="preserve"> ietvaros </w:t>
      </w:r>
      <w:r w:rsidR="007E62B3" w:rsidRPr="00603CA3">
        <w:rPr>
          <w:color w:val="000000" w:themeColor="text1"/>
          <w:szCs w:val="24"/>
        </w:rPr>
        <w:t xml:space="preserve">pieejamais ERAF finansējums ir </w:t>
      </w:r>
      <w:r w:rsidRPr="00603CA3">
        <w:rPr>
          <w:color w:val="000000" w:themeColor="text1"/>
          <w:szCs w:val="24"/>
        </w:rPr>
        <w:t xml:space="preserve">14,7 </w:t>
      </w:r>
      <w:proofErr w:type="spellStart"/>
      <w:r w:rsidRPr="00603CA3">
        <w:rPr>
          <w:color w:val="000000" w:themeColor="text1"/>
          <w:szCs w:val="24"/>
        </w:rPr>
        <w:t>milj</w:t>
      </w:r>
      <w:proofErr w:type="spellEnd"/>
      <w:r w:rsidRPr="00603CA3">
        <w:rPr>
          <w:color w:val="000000" w:themeColor="text1"/>
          <w:szCs w:val="24"/>
        </w:rPr>
        <w:t>. latu.</w:t>
      </w:r>
    </w:p>
    <w:p w:rsidR="00A72377" w:rsidRPr="00603CA3" w:rsidRDefault="00A72377" w:rsidP="00603CA3">
      <w:pPr>
        <w:spacing w:line="276" w:lineRule="auto"/>
        <w:rPr>
          <w:color w:val="000000" w:themeColor="text1"/>
          <w:szCs w:val="24"/>
        </w:rPr>
      </w:pPr>
      <w:r w:rsidRPr="00603CA3">
        <w:rPr>
          <w:color w:val="000000" w:themeColor="text1"/>
          <w:szCs w:val="24"/>
        </w:rPr>
        <w:t xml:space="preserve">2011.gada 15.jūnijā tika izsludināta otrā projektu iesniegumu atlases kārta 2.1.1.3.1. </w:t>
      </w:r>
      <w:proofErr w:type="spellStart"/>
      <w:r w:rsidRPr="00603CA3">
        <w:rPr>
          <w:color w:val="000000" w:themeColor="text1"/>
          <w:szCs w:val="24"/>
        </w:rPr>
        <w:t>apakšaktivitātei</w:t>
      </w:r>
      <w:proofErr w:type="spellEnd"/>
      <w:r w:rsidRPr="00603CA3">
        <w:rPr>
          <w:color w:val="000000" w:themeColor="text1"/>
          <w:szCs w:val="24"/>
        </w:rPr>
        <w:t xml:space="preserve"> „Zinātnes infrastruktūras attīstība”, kas turpināsies līdz 2011.gada 19.septembrim. 2.1.1.3.1.apakšaktivitātes projektu iesniegumu atlases otrās kārtas mērķis ir attīstīt pētniecības infrastruktūru, lai veicinātu komercdarbību pētniecības pakalpojumu sektorā un sekmētu zināšanu pārnesi tautsaimniecībā un augstākas </w:t>
      </w:r>
      <w:proofErr w:type="spellStart"/>
      <w:r w:rsidRPr="00603CA3">
        <w:rPr>
          <w:color w:val="000000" w:themeColor="text1"/>
          <w:szCs w:val="24"/>
        </w:rPr>
        <w:t>eksportspējas</w:t>
      </w:r>
      <w:proofErr w:type="spellEnd"/>
      <w:r w:rsidRPr="00603CA3">
        <w:rPr>
          <w:color w:val="000000" w:themeColor="text1"/>
          <w:szCs w:val="24"/>
        </w:rPr>
        <w:t xml:space="preserve"> produktu ražošanu. Pieejamais ERAF finansējums otrās kārtas ietvaros ir 46 </w:t>
      </w:r>
      <w:proofErr w:type="spellStart"/>
      <w:r w:rsidRPr="00603CA3">
        <w:rPr>
          <w:color w:val="000000" w:themeColor="text1"/>
          <w:szCs w:val="24"/>
        </w:rPr>
        <w:t>milj</w:t>
      </w:r>
      <w:proofErr w:type="spellEnd"/>
      <w:r w:rsidRPr="00603CA3">
        <w:rPr>
          <w:color w:val="000000" w:themeColor="text1"/>
          <w:szCs w:val="24"/>
        </w:rPr>
        <w:t>. latu.</w:t>
      </w:r>
    </w:p>
    <w:p w:rsidR="00A72377" w:rsidRPr="00603CA3" w:rsidRDefault="00A72377" w:rsidP="00603CA3">
      <w:pPr>
        <w:spacing w:line="276" w:lineRule="auto"/>
        <w:rPr>
          <w:color w:val="000000" w:themeColor="text1"/>
          <w:szCs w:val="24"/>
        </w:rPr>
      </w:pPr>
      <w:r w:rsidRPr="00603CA3">
        <w:rPr>
          <w:color w:val="000000" w:themeColor="text1"/>
          <w:szCs w:val="24"/>
        </w:rPr>
        <w:t>2011.gada otrajā ceturksnī aktivitātes 2.1.2.1.1. „Kompetences centri” ietvaros tika noslēgts pēdējais līgums par projektu īstenošanu. Aktivitātes mērķis ir komersantu konkurētspējas paaugstināšana, veicinot pētniecības un rūpniecības sektoru sadarbību rūpniecisko pētījumu, jaunu produktu un tehnoloģiju attīstības projektu īstenošanā. Aktivitātes ietvaros pieejamais ERAF finansējums ir</w:t>
      </w:r>
      <w:r w:rsidR="00AE4160" w:rsidRPr="00603CA3">
        <w:rPr>
          <w:color w:val="000000" w:themeColor="text1"/>
          <w:szCs w:val="24"/>
        </w:rPr>
        <w:t xml:space="preserve"> 37 </w:t>
      </w:r>
      <w:proofErr w:type="spellStart"/>
      <w:r w:rsidR="00AE4160" w:rsidRPr="00603CA3">
        <w:rPr>
          <w:color w:val="000000" w:themeColor="text1"/>
          <w:szCs w:val="24"/>
        </w:rPr>
        <w:t>milj</w:t>
      </w:r>
      <w:proofErr w:type="spellEnd"/>
      <w:r w:rsidR="00AE4160" w:rsidRPr="00603CA3">
        <w:rPr>
          <w:color w:val="000000" w:themeColor="text1"/>
          <w:szCs w:val="24"/>
        </w:rPr>
        <w:t>. latu.</w:t>
      </w:r>
    </w:p>
    <w:p w:rsidR="007709BD" w:rsidRPr="00603CA3" w:rsidRDefault="007709BD" w:rsidP="00603CA3">
      <w:pPr>
        <w:spacing w:line="276" w:lineRule="auto"/>
        <w:rPr>
          <w:color w:val="000000" w:themeColor="text1"/>
          <w:szCs w:val="24"/>
        </w:rPr>
      </w:pPr>
      <w:r w:rsidRPr="00603CA3">
        <w:rPr>
          <w:color w:val="000000" w:themeColor="text1"/>
          <w:szCs w:val="24"/>
        </w:rPr>
        <w:t xml:space="preserve">Finanšu ministrijai joprojām norit diskusijas ar Eiropas Komisiju (turpmāk - EK) par līdzekļu </w:t>
      </w:r>
      <w:proofErr w:type="spellStart"/>
      <w:r w:rsidRPr="00603CA3">
        <w:rPr>
          <w:color w:val="000000" w:themeColor="text1"/>
          <w:szCs w:val="24"/>
        </w:rPr>
        <w:t>attiecināmību</w:t>
      </w:r>
      <w:proofErr w:type="spellEnd"/>
      <w:r w:rsidRPr="00603CA3">
        <w:rPr>
          <w:color w:val="000000" w:themeColor="text1"/>
          <w:szCs w:val="24"/>
        </w:rPr>
        <w:t xml:space="preserve"> 2.2.1.3.aktivitātes „Garantijas komersantu konkurētspējas uzlabošanai” ietvaros un 2.2.1.4.aktivitātes „Aizdevumi komersantu konkurētspējas uzlabošanai” ietvaros, lai panāktu vienotu izpratni, par to, kas EK 2006.gada 8. decembra Regulas Nr.1828/2006 (kas paredz noteikumus par to, kā īstenot Padomes Regulu (EK) </w:t>
      </w:r>
      <w:proofErr w:type="spellStart"/>
      <w:r w:rsidRPr="00603CA3">
        <w:rPr>
          <w:color w:val="000000" w:themeColor="text1"/>
          <w:szCs w:val="24"/>
        </w:rPr>
        <w:t>Nr</w:t>
      </w:r>
      <w:proofErr w:type="spellEnd"/>
      <w:r w:rsidRPr="00603CA3">
        <w:rPr>
          <w:color w:val="000000" w:themeColor="text1"/>
          <w:szCs w:val="24"/>
        </w:rPr>
        <w:t xml:space="preserve">. 1083/2006, ar ko paredz vispārīgus noteikumus par ERAF, ESF un KF, un Eiropas Parlamenta un Padomes Regulu (EK) </w:t>
      </w:r>
      <w:proofErr w:type="spellStart"/>
      <w:r w:rsidRPr="00603CA3">
        <w:rPr>
          <w:color w:val="000000" w:themeColor="text1"/>
          <w:szCs w:val="24"/>
        </w:rPr>
        <w:t>Nr</w:t>
      </w:r>
      <w:proofErr w:type="spellEnd"/>
      <w:r w:rsidRPr="00603CA3">
        <w:rPr>
          <w:color w:val="000000" w:themeColor="text1"/>
          <w:szCs w:val="24"/>
        </w:rPr>
        <w:t xml:space="preserve">. 1080/2006 par ERAF) (turpmāk - Komisijas Regula Nr.1828/2006) 45.panta izpratnē ir uzskatāms par attiecināmu. </w:t>
      </w:r>
    </w:p>
    <w:p w:rsidR="00A72377" w:rsidRPr="00603CA3" w:rsidRDefault="00E021A4" w:rsidP="00603CA3">
      <w:pPr>
        <w:spacing w:line="276" w:lineRule="auto"/>
        <w:rPr>
          <w:color w:val="000000" w:themeColor="text1"/>
          <w:szCs w:val="24"/>
        </w:rPr>
      </w:pPr>
      <w:r w:rsidRPr="00603CA3">
        <w:rPr>
          <w:color w:val="000000" w:themeColor="text1"/>
          <w:szCs w:val="24"/>
        </w:rPr>
        <w:t>Ir saņemti revīzijas iestādes veiktā speciālā audita SIA „Latvijas Garantiju aģentūra” (turpmāk - LGA) un valsts akciju sabiedrībā (turpmāk – VAS) „Latvijas Hipotēku un zemes banka” (turpmāk - LHZB), lai noteiktu izsniegto garantiju un aizdevumu atbilstību Regulas Nr.1828/2006 45.panta prasībām, rezultāti. Šobrīd tiek izstrādāts rīcības plāns audita rezultātā konstatēto trūkumu novēršanai un situācijas risināšanai.</w:t>
      </w:r>
    </w:p>
    <w:p w:rsidR="00CE51F5" w:rsidRPr="00603CA3" w:rsidRDefault="00CE51F5" w:rsidP="00603CA3">
      <w:pPr>
        <w:pStyle w:val="BodyTextIndent"/>
        <w:spacing w:after="0" w:line="276" w:lineRule="auto"/>
        <w:ind w:left="0"/>
        <w:rPr>
          <w:b/>
          <w:iCs/>
          <w:color w:val="000000" w:themeColor="text1"/>
          <w:szCs w:val="24"/>
          <w:lang w:val="lv-LV"/>
        </w:rPr>
      </w:pPr>
      <w:r w:rsidRPr="00603CA3">
        <w:rPr>
          <w:b/>
          <w:iCs/>
          <w:color w:val="000000" w:themeColor="text1"/>
          <w:szCs w:val="24"/>
          <w:lang w:val="lv-LV"/>
        </w:rPr>
        <w:t>1.1.3. Darbības programma „</w:t>
      </w:r>
      <w:r w:rsidR="00906730" w:rsidRPr="00603CA3">
        <w:rPr>
          <w:b/>
          <w:color w:val="000000" w:themeColor="text1"/>
          <w:szCs w:val="24"/>
          <w:lang w:val="lv-LV"/>
        </w:rPr>
        <w:t>Infrastruktūra un pakalpojumi</w:t>
      </w:r>
      <w:r w:rsidRPr="00603CA3">
        <w:rPr>
          <w:b/>
          <w:iCs/>
          <w:color w:val="000000" w:themeColor="text1"/>
          <w:szCs w:val="24"/>
          <w:lang w:val="lv-LV"/>
        </w:rPr>
        <w:t>” un tās papildinājums</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t xml:space="preserve">Pārskata periodā veikti grozījumi darbības programmas „Infrastruktūra un pakalpojumi” papildinājumā, kas paredz </w:t>
      </w:r>
      <w:r w:rsidR="006F7ADA" w:rsidRPr="00603CA3">
        <w:rPr>
          <w:color w:val="000000" w:themeColor="text1"/>
          <w:szCs w:val="24"/>
          <w:lang w:val="lv-LV"/>
        </w:rPr>
        <w:t>ES fondu</w:t>
      </w:r>
      <w:r w:rsidRPr="00603CA3">
        <w:rPr>
          <w:color w:val="000000" w:themeColor="text1"/>
          <w:szCs w:val="24"/>
          <w:lang w:val="lv-LV"/>
        </w:rPr>
        <w:t xml:space="preserve"> finansējuma pārdales un atbalsta veidu paplašināšanu.</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t xml:space="preserve">Ņemot vērā, ka potenciālie finansējuma saņēmēji 3.1.2.1.2.apakšaktivitātes „Jaunu koledžas studiju programmu attīstība aviācijas nozarē” pirmās projektu iesniegumu atlases kārtas ietvaros neizrādīja interesi saņemt </w:t>
      </w:r>
      <w:r w:rsidR="00FD62E2" w:rsidRPr="00603CA3">
        <w:rPr>
          <w:color w:val="000000" w:themeColor="text1"/>
          <w:szCs w:val="24"/>
          <w:lang w:val="lv-LV"/>
        </w:rPr>
        <w:t>ERAF</w:t>
      </w:r>
      <w:r w:rsidRPr="00603CA3">
        <w:rPr>
          <w:color w:val="000000" w:themeColor="text1"/>
          <w:szCs w:val="24"/>
          <w:lang w:val="lv-LV"/>
        </w:rPr>
        <w:t xml:space="preserve"> finansējuma atbalstu, visu 3.1.2.1.2.apakšaktivitātes „Jaunu koledžas studiju programmu attīstība aviācijas nozarē” </w:t>
      </w:r>
      <w:r w:rsidR="00FD62E2" w:rsidRPr="00603CA3">
        <w:rPr>
          <w:color w:val="000000" w:themeColor="text1"/>
          <w:szCs w:val="24"/>
          <w:lang w:val="lv-LV"/>
        </w:rPr>
        <w:t>ERAF</w:t>
      </w:r>
      <w:r w:rsidRPr="00603CA3">
        <w:rPr>
          <w:color w:val="000000" w:themeColor="text1"/>
          <w:szCs w:val="24"/>
          <w:lang w:val="lv-LV"/>
        </w:rPr>
        <w:t xml:space="preserve"> finansējumu 1,7 </w:t>
      </w:r>
      <w:proofErr w:type="spellStart"/>
      <w:r w:rsidRPr="00603CA3">
        <w:rPr>
          <w:color w:val="000000" w:themeColor="text1"/>
          <w:szCs w:val="24"/>
          <w:lang w:val="lv-LV"/>
        </w:rPr>
        <w:t>milj</w:t>
      </w:r>
      <w:proofErr w:type="spellEnd"/>
      <w:r w:rsidRPr="00603CA3">
        <w:rPr>
          <w:color w:val="000000" w:themeColor="text1"/>
          <w:szCs w:val="24"/>
          <w:lang w:val="lv-LV"/>
        </w:rPr>
        <w:t>. latu apmērā novirzīja 3.1.1.1.aktivitātes „Mācību aprīkojuma modernizācija un infrastruktūras uzlabošana profesionālās izglītības programmu īstenošanai” īstenošanai, lai katrā reģionā nodrošinātu atbilstošu, moderni aprīkotu daudzprofilu profesionālās izglītības centru izveidi, kas spēj nodrošināt speciālistu sagatavošanu atbilstoši reģiona darba tirgus pieprasījumam.</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t xml:space="preserve">Lai nodrošinātu jauna specializētā neatliekamās medicīniskās palīdzības autotransporta iegādi un sekmētu veselības aprūpes pakalpojumu uzlabošanu reģionālajās slimnīcās ārpus Rīgas 3.1.5.1.2.apakšaktivitātes „Veselības aprūpes centru attīstība” ietvaros projektiem nepiesaistīto </w:t>
      </w:r>
      <w:r w:rsidR="00FD62E2" w:rsidRPr="00603CA3">
        <w:rPr>
          <w:color w:val="000000" w:themeColor="text1"/>
          <w:szCs w:val="24"/>
          <w:lang w:val="lv-LV"/>
        </w:rPr>
        <w:t>ERAF</w:t>
      </w:r>
      <w:r w:rsidRPr="00603CA3">
        <w:rPr>
          <w:color w:val="000000" w:themeColor="text1"/>
          <w:szCs w:val="24"/>
          <w:lang w:val="lv-LV"/>
        </w:rPr>
        <w:t xml:space="preserve"> finansējuma atlikumu novirzīja 3.1.5.2.aktivitātes „Neatliekamās medicīniskās palīdzības attīstība” īstenošanai 3,0 </w:t>
      </w:r>
      <w:proofErr w:type="spellStart"/>
      <w:r w:rsidRPr="00603CA3">
        <w:rPr>
          <w:color w:val="000000" w:themeColor="text1"/>
          <w:szCs w:val="24"/>
          <w:lang w:val="lv-LV"/>
        </w:rPr>
        <w:t>milj</w:t>
      </w:r>
      <w:proofErr w:type="spellEnd"/>
      <w:r w:rsidRPr="00603CA3">
        <w:rPr>
          <w:color w:val="000000" w:themeColor="text1"/>
          <w:szCs w:val="24"/>
          <w:lang w:val="lv-LV"/>
        </w:rPr>
        <w:t xml:space="preserve">. latus un 3.1.5.3.1.apakšaktivitātes „Stacionārās veselības aprūpes attīstība” īstenošanai 5,0 </w:t>
      </w:r>
      <w:proofErr w:type="spellStart"/>
      <w:r w:rsidRPr="00603CA3">
        <w:rPr>
          <w:color w:val="000000" w:themeColor="text1"/>
          <w:szCs w:val="24"/>
          <w:lang w:val="lv-LV"/>
        </w:rPr>
        <w:t>milj</w:t>
      </w:r>
      <w:proofErr w:type="spellEnd"/>
      <w:r w:rsidRPr="00603CA3">
        <w:rPr>
          <w:color w:val="000000" w:themeColor="text1"/>
          <w:szCs w:val="24"/>
          <w:lang w:val="lv-LV"/>
        </w:rPr>
        <w:t>. latus.</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lastRenderedPageBreak/>
        <w:t xml:space="preserve">Ņemot vērā Papildu saprašanās memorandā starp </w:t>
      </w:r>
      <w:r w:rsidR="007C5AE8" w:rsidRPr="00603CA3">
        <w:rPr>
          <w:color w:val="000000" w:themeColor="text1"/>
          <w:szCs w:val="24"/>
          <w:lang w:val="lv-LV"/>
        </w:rPr>
        <w:t>ES</w:t>
      </w:r>
      <w:r w:rsidRPr="00603CA3">
        <w:rPr>
          <w:color w:val="000000" w:themeColor="text1"/>
          <w:szCs w:val="24"/>
          <w:lang w:val="lv-LV"/>
        </w:rPr>
        <w:t xml:space="preserve"> un </w:t>
      </w:r>
      <w:r w:rsidR="007C5AE8" w:rsidRPr="00603CA3">
        <w:rPr>
          <w:color w:val="000000" w:themeColor="text1"/>
          <w:szCs w:val="24"/>
          <w:lang w:val="lv-LV"/>
        </w:rPr>
        <w:t>LR</w:t>
      </w:r>
      <w:r w:rsidRPr="00603CA3">
        <w:rPr>
          <w:color w:val="000000" w:themeColor="text1"/>
          <w:szCs w:val="24"/>
          <w:lang w:val="lv-LV"/>
        </w:rPr>
        <w:t xml:space="preserve"> (saprašanās memoranda ceturtais papildinājums) noteikto Ekonomikas politikas kritēriju „Lai nodrošinātu atbilstošu, efektīvu un caurskatāmu Eiropas Savienības fondu vadību un apguvi, līdz 2011.gada jūlija beigām veikt pasākumus, lai pārdalītu Eiropas Savienības fondu finansējumu no tām aktivitātēm, kurām līdz 2010.gada beigām nebija apstiprināti </w:t>
      </w:r>
      <w:r w:rsidR="00D30C92" w:rsidRPr="00603CA3">
        <w:rPr>
          <w:color w:val="000000" w:themeColor="text1"/>
          <w:szCs w:val="24"/>
          <w:lang w:val="lv-LV"/>
        </w:rPr>
        <w:t>MK</w:t>
      </w:r>
      <w:r w:rsidRPr="00603CA3">
        <w:rPr>
          <w:color w:val="000000" w:themeColor="text1"/>
          <w:szCs w:val="24"/>
          <w:lang w:val="lv-LV"/>
        </w:rPr>
        <w:t xml:space="preserve"> noteikumi par aktivitātes īstenošanu (atbilstoši Likumā par ES struktūrfondu un Kohēzijas fonda </w:t>
      </w:r>
      <w:r w:rsidR="006F7ADA" w:rsidRPr="00603CA3">
        <w:rPr>
          <w:rFonts w:eastAsia="EUAlbertina-Bold-Identity-H"/>
          <w:color w:val="000000" w:themeColor="text1"/>
          <w:szCs w:val="24"/>
          <w:lang w:val="lv-LV"/>
        </w:rPr>
        <w:t xml:space="preserve">(turpmāk – KF) </w:t>
      </w:r>
      <w:r w:rsidRPr="00603CA3">
        <w:rPr>
          <w:color w:val="000000" w:themeColor="text1"/>
          <w:szCs w:val="24"/>
          <w:lang w:val="lv-LV"/>
        </w:rPr>
        <w:t xml:space="preserve">vadību noteiktajam”, apturēja 3.2.2.4.1.apakšaktivitātes „Valsts nozīmes elektronisko sakaru tīklu izveide, attīstība un pilnveidošana” īstenošanu, izņemot visu </w:t>
      </w:r>
      <w:r w:rsidR="00FD62E2" w:rsidRPr="00603CA3">
        <w:rPr>
          <w:color w:val="000000" w:themeColor="text1"/>
          <w:szCs w:val="24"/>
          <w:lang w:val="lv-LV"/>
        </w:rPr>
        <w:t>ERAF</w:t>
      </w:r>
      <w:r w:rsidRPr="00603CA3">
        <w:rPr>
          <w:color w:val="000000" w:themeColor="text1"/>
          <w:szCs w:val="24"/>
          <w:lang w:val="lv-LV"/>
        </w:rPr>
        <w:t xml:space="preserve"> finansējumu. 3.2.2.4.1.apakšaktivitātes „Valsts nozīmes elektronisko sakaru tīklu izveide, attīstība un pilnveidošana” </w:t>
      </w:r>
      <w:r w:rsidR="006C49C8" w:rsidRPr="00603CA3">
        <w:rPr>
          <w:color w:val="000000" w:themeColor="text1"/>
          <w:szCs w:val="24"/>
          <w:lang w:val="lv-LV"/>
        </w:rPr>
        <w:t>ERAF</w:t>
      </w:r>
      <w:r w:rsidRPr="00603CA3">
        <w:rPr>
          <w:color w:val="000000" w:themeColor="text1"/>
          <w:szCs w:val="24"/>
          <w:lang w:val="lv-LV"/>
        </w:rPr>
        <w:t xml:space="preserve"> finansējumu 5,0 </w:t>
      </w:r>
      <w:proofErr w:type="spellStart"/>
      <w:r w:rsidRPr="00603CA3">
        <w:rPr>
          <w:color w:val="000000" w:themeColor="text1"/>
          <w:szCs w:val="24"/>
          <w:lang w:val="lv-LV"/>
        </w:rPr>
        <w:t>milj</w:t>
      </w:r>
      <w:proofErr w:type="spellEnd"/>
      <w:r w:rsidRPr="00603CA3">
        <w:rPr>
          <w:color w:val="000000" w:themeColor="text1"/>
          <w:szCs w:val="24"/>
          <w:lang w:val="lv-LV"/>
        </w:rPr>
        <w:t>. latu apmērā novirzīja 3.2.1.2.aktivitātes „</w:t>
      </w:r>
      <w:proofErr w:type="spellStart"/>
      <w:r w:rsidRPr="00603CA3">
        <w:rPr>
          <w:color w:val="000000" w:themeColor="text1"/>
          <w:szCs w:val="24"/>
          <w:lang w:val="lv-LV"/>
        </w:rPr>
        <w:t>Tranzītielu</w:t>
      </w:r>
      <w:proofErr w:type="spellEnd"/>
      <w:r w:rsidRPr="00603CA3">
        <w:rPr>
          <w:color w:val="000000" w:themeColor="text1"/>
          <w:szCs w:val="24"/>
          <w:lang w:val="lv-LV"/>
        </w:rPr>
        <w:t xml:space="preserve"> sakārtošana pilsētu teritorijās” īstenošanai, tādējādi nodrošinot, ka tiek novērsta straujā </w:t>
      </w:r>
      <w:proofErr w:type="spellStart"/>
      <w:r w:rsidRPr="00603CA3">
        <w:rPr>
          <w:color w:val="000000" w:themeColor="text1"/>
          <w:szCs w:val="24"/>
          <w:lang w:val="lv-LV"/>
        </w:rPr>
        <w:t>tranzītielu</w:t>
      </w:r>
      <w:proofErr w:type="spellEnd"/>
      <w:r w:rsidRPr="00603CA3">
        <w:rPr>
          <w:color w:val="000000" w:themeColor="text1"/>
          <w:szCs w:val="24"/>
          <w:lang w:val="lv-LV"/>
        </w:rPr>
        <w:t xml:space="preserve"> stāvokļa pasliktināšanās, kā rezultātā tie nespēj uzņemt atbilstošas satiksmes slodzes. </w:t>
      </w:r>
      <w:r w:rsidR="006C49C8" w:rsidRPr="00603CA3">
        <w:rPr>
          <w:color w:val="000000" w:themeColor="text1"/>
          <w:szCs w:val="24"/>
          <w:lang w:val="lv-LV"/>
        </w:rPr>
        <w:t>ERAF</w:t>
      </w:r>
      <w:r w:rsidRPr="00603CA3">
        <w:rPr>
          <w:color w:val="000000" w:themeColor="text1"/>
          <w:szCs w:val="24"/>
          <w:lang w:val="lv-LV"/>
        </w:rPr>
        <w:t xml:space="preserve"> finansējuma pārdales rezultātā 3.2.1.2.aktivitāties „</w:t>
      </w:r>
      <w:proofErr w:type="spellStart"/>
      <w:r w:rsidRPr="00603CA3">
        <w:rPr>
          <w:color w:val="000000" w:themeColor="text1"/>
          <w:szCs w:val="24"/>
          <w:lang w:val="lv-LV"/>
        </w:rPr>
        <w:t>Tranzītielu</w:t>
      </w:r>
      <w:proofErr w:type="spellEnd"/>
      <w:r w:rsidRPr="00603CA3">
        <w:rPr>
          <w:color w:val="000000" w:themeColor="text1"/>
          <w:szCs w:val="24"/>
          <w:lang w:val="lv-LV"/>
        </w:rPr>
        <w:t xml:space="preserve"> sakārtošana pilsētu teritorijās” ietvaros tiks rasta iespēja uzlabot </w:t>
      </w:r>
      <w:proofErr w:type="spellStart"/>
      <w:r w:rsidRPr="00603CA3">
        <w:rPr>
          <w:color w:val="000000" w:themeColor="text1"/>
          <w:szCs w:val="24"/>
          <w:lang w:val="lv-LV"/>
        </w:rPr>
        <w:t>tranzītielu</w:t>
      </w:r>
      <w:proofErr w:type="spellEnd"/>
      <w:r w:rsidRPr="00603CA3">
        <w:rPr>
          <w:color w:val="000000" w:themeColor="text1"/>
          <w:szCs w:val="24"/>
          <w:lang w:val="lv-LV"/>
        </w:rPr>
        <w:t xml:space="preserve"> stāvokli un ceļu satiksmes dalībnieku drošību. </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t xml:space="preserve">Lai izpildītu iepriekš minētā kritērija izpildi nākamajā pārskata periodā plānots izvērtēt 3.2.2.2.aktivitātes „Publisko interneta pieejas punktu attīstība” un 3.2.2.3.aktivitātes „Elektronisko sakaru pakalpojumu vienlīdzīgas pieejamības nodrošināšana visā valsts teritorijā (platjoslas tīkla attīstība)” īstenošanas progresu un nepieciešamības gadījumā pieņemt lēmumu par </w:t>
      </w:r>
      <w:r w:rsidR="006C49C8" w:rsidRPr="00603CA3">
        <w:rPr>
          <w:color w:val="000000" w:themeColor="text1"/>
          <w:szCs w:val="24"/>
          <w:lang w:val="lv-LV"/>
        </w:rPr>
        <w:t>ERAF</w:t>
      </w:r>
      <w:r w:rsidRPr="00603CA3">
        <w:rPr>
          <w:color w:val="000000" w:themeColor="text1"/>
          <w:szCs w:val="24"/>
          <w:lang w:val="lv-LV"/>
        </w:rPr>
        <w:t xml:space="preserve"> finansējuma pārdali.</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t xml:space="preserve">Lai novērstu valsts galveno autoceļu straujo stāvokļa pasliktināšanos un papildus sakārtotu aptuveni 18,3 km valsts galvenos autoceļus, 3.3.1.5.aktivitātes „Pilsētu infrastruktūras uzlabojumi sasaistei ar TEN-T” ietvaros nepiesaistīto </w:t>
      </w:r>
      <w:r w:rsidR="006F7ADA" w:rsidRPr="00603CA3">
        <w:rPr>
          <w:color w:val="000000" w:themeColor="text1"/>
          <w:szCs w:val="24"/>
          <w:lang w:val="lv-LV"/>
        </w:rPr>
        <w:t>KF</w:t>
      </w:r>
      <w:r w:rsidRPr="00603CA3">
        <w:rPr>
          <w:color w:val="000000" w:themeColor="text1"/>
          <w:szCs w:val="24"/>
          <w:lang w:val="lv-LV"/>
        </w:rPr>
        <w:t xml:space="preserve"> finansējuma atlikumu 7,0 </w:t>
      </w:r>
      <w:proofErr w:type="spellStart"/>
      <w:r w:rsidRPr="00603CA3">
        <w:rPr>
          <w:color w:val="000000" w:themeColor="text1"/>
          <w:szCs w:val="24"/>
          <w:lang w:val="lv-LV"/>
        </w:rPr>
        <w:t>milj</w:t>
      </w:r>
      <w:proofErr w:type="spellEnd"/>
      <w:r w:rsidRPr="00603CA3">
        <w:rPr>
          <w:color w:val="000000" w:themeColor="text1"/>
          <w:szCs w:val="24"/>
          <w:lang w:val="lv-LV"/>
        </w:rPr>
        <w:t>. latu apmērā novirzīja 3.3.1.1.aktivitātes īstenošanai „TEN-T autoceļu tīkla uzlabojumi”.</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t xml:space="preserve">Latvijai kā </w:t>
      </w:r>
      <w:r w:rsidR="005313FD" w:rsidRPr="00603CA3">
        <w:rPr>
          <w:color w:val="000000" w:themeColor="text1"/>
          <w:szCs w:val="24"/>
          <w:lang w:val="lv-LV"/>
        </w:rPr>
        <w:t>ES</w:t>
      </w:r>
      <w:r w:rsidRPr="00603CA3">
        <w:rPr>
          <w:color w:val="000000" w:themeColor="text1"/>
          <w:szCs w:val="24"/>
          <w:lang w:val="lv-LV"/>
        </w:rPr>
        <w:t xml:space="preserve"> dalībvalstij ir jānodrošina plašas sabiedrības informēšanu par veicamajiem veselības aizsardzības pasākumiem un par rīcību radiācijas avārijas gadījumā, tāpat ir jānodrošina operatīva informācijas apmaiņa radiācijas avāriju gadījumos, radioaktivitātes līmeņa monitorings, kā arī maksimāli ātri jāreaģē uz radiācijas drošības draudiem. Ņemot vērā, ka Latvijā esošā infrastruktūra nenodrošina pilnīgu radiācijas kontroli, paplašināts 3.5.1.4.aktivitātes „Vides monitoringa un kontroles sistēmas attīstība” atbalsta veids, paredzot sniegt </w:t>
      </w:r>
      <w:r w:rsidR="006F7ADA" w:rsidRPr="00603CA3">
        <w:rPr>
          <w:color w:val="000000" w:themeColor="text1"/>
          <w:szCs w:val="24"/>
          <w:lang w:val="lv-LV"/>
        </w:rPr>
        <w:t>KF</w:t>
      </w:r>
      <w:r w:rsidRPr="00603CA3">
        <w:rPr>
          <w:color w:val="000000" w:themeColor="text1"/>
          <w:szCs w:val="24"/>
          <w:lang w:val="lv-LV"/>
        </w:rPr>
        <w:t xml:space="preserve"> atbalstu arī radiācijas avāriju agrīnās brīdināšanas sistēmas uzlabošanai, kas ir viena no gaisa un ūdens monitoringa daļām, lai pastāvīgi un efektīvi kontrolētu gaisa, ūdens, un augsnes  radioaktivitātes līmeni un nodroši</w:t>
      </w:r>
      <w:r w:rsidR="006F7ADA" w:rsidRPr="00603CA3">
        <w:rPr>
          <w:color w:val="000000" w:themeColor="text1"/>
          <w:szCs w:val="24"/>
          <w:lang w:val="lv-LV"/>
        </w:rPr>
        <w:t>nātu pamatstandartu ievērošanu.</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t xml:space="preserve">2011.gada otrajā ceturksnī tika izsludināta 3.3.1.1.aktivitātes „TEN-T autoceļu tīkla uzlabojumi” ceturtā projektu iesniegumu atlases kārta (projektu iesniegumu pieņemšana norisinājās līdz 2011.gada 19.aprīlim), ar mērķi atbalstīt kvalitatīvu, drošu, kopējā Eirāzijas transporta sistēmā integrētu autotransporta infrastruktūras attīstību. Ceturtajai projektu iesniegumu atlases kārtai  pieejamais </w:t>
      </w:r>
      <w:r w:rsidR="006F7ADA" w:rsidRPr="00603CA3">
        <w:rPr>
          <w:color w:val="000000" w:themeColor="text1"/>
          <w:szCs w:val="24"/>
          <w:lang w:val="lv-LV"/>
        </w:rPr>
        <w:t>KF</w:t>
      </w:r>
      <w:r w:rsidRPr="00603CA3">
        <w:rPr>
          <w:color w:val="000000" w:themeColor="text1"/>
          <w:szCs w:val="24"/>
          <w:lang w:val="lv-LV"/>
        </w:rPr>
        <w:t xml:space="preserve"> finansējums ir 86,0 </w:t>
      </w:r>
      <w:proofErr w:type="spellStart"/>
      <w:r w:rsidRPr="00603CA3">
        <w:rPr>
          <w:color w:val="000000" w:themeColor="text1"/>
          <w:szCs w:val="24"/>
          <w:lang w:val="lv-LV"/>
        </w:rPr>
        <w:t>milj</w:t>
      </w:r>
      <w:proofErr w:type="spellEnd"/>
      <w:r w:rsidRPr="00603CA3">
        <w:rPr>
          <w:color w:val="000000" w:themeColor="text1"/>
          <w:szCs w:val="24"/>
          <w:lang w:val="lv-LV"/>
        </w:rPr>
        <w:t>. latu.</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t xml:space="preserve">2011.gada 15.martā tika izsludināta 3.4.1.1.aktivitātes „Ūdenssaimniecības attīstība apdzīvotās vietās ar iedzīvotāju skaitu līdz 2000” piektā projektu iesniegumu atlases kārta (projektu iesniegumu pieņemšana norisinājās no 2011.gada 15.marta līdz 2011.gada 15.jūnijam.), ar mērķi uzlabot ūdensapgādes un notekūdeņu savākšanas un attīrīšanas kvalitāti un paplašināt pakalpojumu pieejamību, nodrošinot kvalitatīvu dzīves vidi, samazinot vides </w:t>
      </w:r>
      <w:r w:rsidRPr="00603CA3">
        <w:rPr>
          <w:color w:val="000000" w:themeColor="text1"/>
          <w:szCs w:val="24"/>
          <w:lang w:val="lv-LV"/>
        </w:rPr>
        <w:lastRenderedPageBreak/>
        <w:t xml:space="preserve">piesārņojumu un ūdenstilpju eitrofikāciju, sekmējot ūdens resursu racionālu izmantošanu. Piektajai projektu iesniegumu atlases kārtai pieejamais </w:t>
      </w:r>
      <w:r w:rsidR="006C49C8" w:rsidRPr="00603CA3">
        <w:rPr>
          <w:color w:val="000000" w:themeColor="text1"/>
          <w:szCs w:val="24"/>
          <w:lang w:val="lv-LV"/>
        </w:rPr>
        <w:t>ERAF</w:t>
      </w:r>
      <w:r w:rsidRPr="00603CA3">
        <w:rPr>
          <w:color w:val="000000" w:themeColor="text1"/>
          <w:szCs w:val="24"/>
          <w:lang w:val="lv-LV"/>
        </w:rPr>
        <w:t xml:space="preserve"> finansējums ir 14,7 </w:t>
      </w:r>
      <w:proofErr w:type="spellStart"/>
      <w:r w:rsidRPr="00603CA3">
        <w:rPr>
          <w:color w:val="000000" w:themeColor="text1"/>
          <w:szCs w:val="24"/>
          <w:lang w:val="lv-LV"/>
        </w:rPr>
        <w:t>milj</w:t>
      </w:r>
      <w:proofErr w:type="spellEnd"/>
      <w:r w:rsidRPr="00603CA3">
        <w:rPr>
          <w:color w:val="000000" w:themeColor="text1"/>
          <w:szCs w:val="24"/>
          <w:lang w:val="lv-LV"/>
        </w:rPr>
        <w:t>. latu.</w:t>
      </w:r>
    </w:p>
    <w:p w:rsidR="00906730" w:rsidRPr="00603CA3" w:rsidRDefault="00906730" w:rsidP="00603CA3">
      <w:pPr>
        <w:pStyle w:val="BodyTextIndent"/>
        <w:spacing w:after="0" w:line="276" w:lineRule="auto"/>
        <w:ind w:left="0"/>
        <w:rPr>
          <w:color w:val="000000" w:themeColor="text1"/>
          <w:szCs w:val="24"/>
          <w:lang w:val="lv-LV"/>
        </w:rPr>
      </w:pPr>
      <w:r w:rsidRPr="00603CA3">
        <w:rPr>
          <w:color w:val="000000" w:themeColor="text1"/>
          <w:szCs w:val="24"/>
          <w:lang w:val="lv-LV"/>
        </w:rPr>
        <w:t xml:space="preserve">Trešo projektu iesniegumu atlases kārtu no 2011.gada 1.jūnija līdz 2012.gada 1.aprīlim plānots izsludināt 3.1.5.3.1.apakšaktivitātei „Stacionārās veselības aprūpes attīstība” par kopējo </w:t>
      </w:r>
      <w:r w:rsidR="001C3749" w:rsidRPr="00603CA3">
        <w:rPr>
          <w:color w:val="000000" w:themeColor="text1"/>
          <w:szCs w:val="24"/>
          <w:lang w:val="lv-LV"/>
        </w:rPr>
        <w:t>ERAF</w:t>
      </w:r>
      <w:r w:rsidRPr="00603CA3">
        <w:rPr>
          <w:color w:val="000000" w:themeColor="text1"/>
          <w:szCs w:val="24"/>
          <w:lang w:val="lv-LV"/>
        </w:rPr>
        <w:t xml:space="preserve"> finansējumu 59,8 </w:t>
      </w:r>
      <w:proofErr w:type="spellStart"/>
      <w:r w:rsidRPr="00603CA3">
        <w:rPr>
          <w:color w:val="000000" w:themeColor="text1"/>
          <w:szCs w:val="24"/>
          <w:lang w:val="lv-LV"/>
        </w:rPr>
        <w:t>milj</w:t>
      </w:r>
      <w:proofErr w:type="spellEnd"/>
      <w:r w:rsidRPr="00603CA3">
        <w:rPr>
          <w:color w:val="000000" w:themeColor="text1"/>
          <w:szCs w:val="24"/>
          <w:lang w:val="lv-LV"/>
        </w:rPr>
        <w:t>. latu apmērā, ar mērķi optimizēt stacionārās veselības aprūpes pakalpojumu sniedzēju tīklu, paaugstinot veselības aprūpes pakalpojuma kvalitāti, tādējādi nodrošinot ātru un efektīvu ārstēšanu, racionālu un efektīvu veselības aprūpes resursu izvietojumu un izlietojumu.</w:t>
      </w:r>
    </w:p>
    <w:p w:rsidR="00156D50" w:rsidRPr="00603CA3" w:rsidRDefault="00D877AA" w:rsidP="00603CA3">
      <w:pPr>
        <w:pStyle w:val="2lmenis"/>
        <w:numPr>
          <w:ilvl w:val="1"/>
          <w:numId w:val="2"/>
        </w:numPr>
        <w:spacing w:before="0" w:after="0" w:line="276" w:lineRule="auto"/>
        <w:ind w:left="1276" w:hanging="425"/>
        <w:rPr>
          <w:color w:val="000000" w:themeColor="text1"/>
          <w:sz w:val="24"/>
          <w:szCs w:val="24"/>
          <w:lang w:val="lv-LV"/>
        </w:rPr>
      </w:pPr>
      <w:bookmarkStart w:id="16" w:name="_Toc300759822"/>
      <w:r w:rsidRPr="00603CA3">
        <w:rPr>
          <w:color w:val="000000" w:themeColor="text1"/>
          <w:sz w:val="24"/>
          <w:szCs w:val="24"/>
          <w:lang w:val="lv-LV"/>
        </w:rPr>
        <w:t>ES struktūrfondu un Kohēzijas fonda finanšu apguve</w:t>
      </w:r>
      <w:bookmarkEnd w:id="16"/>
      <w:r w:rsidR="003E6F9F" w:rsidRPr="00603CA3">
        <w:rPr>
          <w:color w:val="000000" w:themeColor="text1"/>
          <w:sz w:val="24"/>
          <w:szCs w:val="24"/>
          <w:lang w:val="lv-LV"/>
        </w:rPr>
        <w:t xml:space="preserve"> </w:t>
      </w:r>
    </w:p>
    <w:p w:rsidR="00D877AA" w:rsidRPr="00603CA3" w:rsidRDefault="003E7597" w:rsidP="00603CA3">
      <w:pPr>
        <w:spacing w:line="276" w:lineRule="auto"/>
        <w:rPr>
          <w:b/>
          <w:iCs/>
          <w:color w:val="000000" w:themeColor="text1"/>
          <w:szCs w:val="24"/>
        </w:rPr>
      </w:pPr>
      <w:r w:rsidRPr="00603CA3">
        <w:rPr>
          <w:b/>
          <w:iCs/>
          <w:color w:val="000000" w:themeColor="text1"/>
          <w:szCs w:val="24"/>
        </w:rPr>
        <w:t xml:space="preserve">1.2.1. </w:t>
      </w:r>
      <w:r w:rsidR="00AF4B5E" w:rsidRPr="00603CA3">
        <w:rPr>
          <w:b/>
          <w:iCs/>
          <w:color w:val="000000" w:themeColor="text1"/>
          <w:szCs w:val="24"/>
        </w:rPr>
        <w:t xml:space="preserve">ES struktūrfondu un Kohēzijas fonda </w:t>
      </w:r>
      <w:r w:rsidR="00462CEF" w:rsidRPr="00603CA3">
        <w:rPr>
          <w:b/>
          <w:iCs/>
          <w:color w:val="000000" w:themeColor="text1"/>
          <w:szCs w:val="24"/>
        </w:rPr>
        <w:t>finanšu apguves mērķu un prognožu sasniegšana</w:t>
      </w:r>
    </w:p>
    <w:bookmarkEnd w:id="11"/>
    <w:bookmarkEnd w:id="12"/>
    <w:p w:rsidR="00BC6905" w:rsidRPr="00603CA3" w:rsidRDefault="00BC6905" w:rsidP="00603CA3">
      <w:pPr>
        <w:spacing w:line="276" w:lineRule="auto"/>
        <w:rPr>
          <w:rFonts w:eastAsia="EUAlbertina-Bold-Identity-H"/>
          <w:color w:val="000000" w:themeColor="text1"/>
          <w:szCs w:val="24"/>
        </w:rPr>
      </w:pPr>
      <w:r w:rsidRPr="00603CA3">
        <w:rPr>
          <w:rFonts w:eastAsia="EUAlbertina-Bold-Identity-H"/>
          <w:color w:val="000000" w:themeColor="text1"/>
          <w:szCs w:val="24"/>
        </w:rPr>
        <w:t xml:space="preserve">2007.-2013.gada plānošanas periodā uzsākot projektu ieviešanu līdz 2011.gada 30.jūnijam kopumā ES fondu projekti apstiprināti par 2 837,7 </w:t>
      </w:r>
      <w:proofErr w:type="spellStart"/>
      <w:r w:rsidRPr="00603CA3">
        <w:rPr>
          <w:rFonts w:eastAsia="EUAlbertina-Bold-Identity-H"/>
          <w:color w:val="000000" w:themeColor="text1"/>
          <w:szCs w:val="24"/>
        </w:rPr>
        <w:t>milj</w:t>
      </w:r>
      <w:proofErr w:type="spellEnd"/>
      <w:r w:rsidRPr="00603CA3">
        <w:rPr>
          <w:rFonts w:eastAsia="EUAlbertina-Bold-Identity-H"/>
          <w:color w:val="000000" w:themeColor="text1"/>
          <w:szCs w:val="24"/>
        </w:rPr>
        <w:t xml:space="preserve">. latu jeb par 81,8%, noslēgti līgumi ar finansējuma saņēmējiem par 2 735,2 </w:t>
      </w:r>
      <w:proofErr w:type="spellStart"/>
      <w:r w:rsidRPr="00603CA3">
        <w:rPr>
          <w:rFonts w:eastAsia="EUAlbertina-Bold-Identity-H"/>
          <w:color w:val="000000" w:themeColor="text1"/>
          <w:szCs w:val="24"/>
        </w:rPr>
        <w:t>milj</w:t>
      </w:r>
      <w:proofErr w:type="spellEnd"/>
      <w:r w:rsidRPr="00603CA3">
        <w:rPr>
          <w:rFonts w:eastAsia="EUAlbertina-Bold-Identity-H"/>
          <w:color w:val="000000" w:themeColor="text1"/>
          <w:szCs w:val="24"/>
        </w:rPr>
        <w:t xml:space="preserve">. latu jeb 78,9% un finansējuma saņēmējiem izmaksāti 1 184,5 </w:t>
      </w:r>
      <w:proofErr w:type="spellStart"/>
      <w:r w:rsidRPr="00603CA3">
        <w:rPr>
          <w:rFonts w:eastAsia="EUAlbertina-Bold-Identity-H"/>
          <w:color w:val="000000" w:themeColor="text1"/>
          <w:szCs w:val="24"/>
        </w:rPr>
        <w:t>milj</w:t>
      </w:r>
      <w:proofErr w:type="spellEnd"/>
      <w:r w:rsidRPr="00603CA3">
        <w:rPr>
          <w:rFonts w:eastAsia="EUAlbertina-Bold-Identity-H"/>
          <w:color w:val="000000" w:themeColor="text1"/>
          <w:szCs w:val="24"/>
        </w:rPr>
        <w:t>. latu jeb 34,2% no kopā pieejamā publiskā finansējuma. Publiskais finansējums sevī ietver gan ES fondu finansējumu, gan arī valsts budžeta un pašvaldību budžeta līdzfinansējumu projektu īstenošanai.</w:t>
      </w:r>
    </w:p>
    <w:p w:rsidR="00BC6905" w:rsidRPr="00603CA3" w:rsidRDefault="00BC6905" w:rsidP="00603CA3">
      <w:pPr>
        <w:spacing w:line="276" w:lineRule="auto"/>
        <w:rPr>
          <w:rFonts w:eastAsia="EUAlbertina-Bold-Identity-H"/>
          <w:color w:val="000000" w:themeColor="text1"/>
          <w:szCs w:val="24"/>
        </w:rPr>
      </w:pPr>
      <w:r w:rsidRPr="00603CA3">
        <w:rPr>
          <w:rFonts w:eastAsia="EUAlbertina-Bold-Identity-H"/>
          <w:color w:val="000000" w:themeColor="text1"/>
          <w:szCs w:val="24"/>
        </w:rPr>
        <w:t xml:space="preserve">Salīdzinot 2011.gada pirmo ceturksni ar pārskata periodu līdz 2011.gada jūnijam par 65,5 </w:t>
      </w:r>
      <w:proofErr w:type="spellStart"/>
      <w:r w:rsidRPr="00603CA3">
        <w:rPr>
          <w:rFonts w:eastAsia="EUAlbertina-Bold-Identity-H"/>
          <w:color w:val="000000" w:themeColor="text1"/>
          <w:szCs w:val="24"/>
        </w:rPr>
        <w:t>milj</w:t>
      </w:r>
      <w:proofErr w:type="spellEnd"/>
      <w:r w:rsidRPr="00603CA3">
        <w:rPr>
          <w:rFonts w:eastAsia="EUAlbertina-Bold-Identity-H"/>
          <w:color w:val="000000" w:themeColor="text1"/>
          <w:szCs w:val="24"/>
        </w:rPr>
        <w:t xml:space="preserve">. latu jeb 1,9% palielinājies apstiprināto projektu summa. Noslēgto līgumu apjoms pieaudzis par 1,7%. </w:t>
      </w:r>
      <w:r w:rsidR="00D109BF" w:rsidRPr="00603CA3">
        <w:rPr>
          <w:rFonts w:eastAsia="EUAlbertina-Bold-Identity-H"/>
          <w:color w:val="000000" w:themeColor="text1"/>
          <w:szCs w:val="24"/>
        </w:rPr>
        <w:t xml:space="preserve"> M</w:t>
      </w:r>
      <w:r w:rsidRPr="00603CA3">
        <w:rPr>
          <w:rFonts w:eastAsia="EUAlbertina-Bold-Identity-H"/>
          <w:color w:val="000000" w:themeColor="text1"/>
          <w:szCs w:val="24"/>
        </w:rPr>
        <w:t>aksājumu</w:t>
      </w:r>
      <w:r w:rsidR="00D109BF" w:rsidRPr="00603CA3">
        <w:rPr>
          <w:rFonts w:eastAsia="EUAlbertina-Bold-Identity-H"/>
          <w:color w:val="000000" w:themeColor="text1"/>
          <w:szCs w:val="24"/>
        </w:rPr>
        <w:t xml:space="preserve"> apjoms</w:t>
      </w:r>
      <w:r w:rsidRPr="00603CA3">
        <w:rPr>
          <w:rFonts w:eastAsia="EUAlbertina-Bold-Identity-H"/>
          <w:color w:val="000000" w:themeColor="text1"/>
          <w:szCs w:val="24"/>
        </w:rPr>
        <w:t xml:space="preserve"> </w:t>
      </w:r>
      <w:r w:rsidR="00D109BF" w:rsidRPr="00603CA3">
        <w:rPr>
          <w:rFonts w:eastAsia="EUAlbertina-Bold-Identity-H"/>
          <w:color w:val="000000" w:themeColor="text1"/>
          <w:szCs w:val="24"/>
        </w:rPr>
        <w:t xml:space="preserve">finansējuma saņēmējiem </w:t>
      </w:r>
      <w:r w:rsidRPr="00603CA3">
        <w:rPr>
          <w:rFonts w:eastAsia="EUAlbertina-Bold-Identity-H"/>
          <w:color w:val="000000" w:themeColor="text1"/>
          <w:szCs w:val="24"/>
        </w:rPr>
        <w:t>pieaudzis par 2,4%.</w:t>
      </w:r>
    </w:p>
    <w:p w:rsidR="00BC6905" w:rsidRPr="00603CA3" w:rsidRDefault="00BC6905" w:rsidP="00603CA3">
      <w:pPr>
        <w:spacing w:line="276" w:lineRule="auto"/>
        <w:rPr>
          <w:rFonts w:eastAsia="EUAlbertina-Bold-Identity-H"/>
          <w:color w:val="000000" w:themeColor="text1"/>
          <w:szCs w:val="24"/>
        </w:rPr>
      </w:pPr>
      <w:r w:rsidRPr="00603CA3">
        <w:rPr>
          <w:rFonts w:eastAsia="EUAlbertina-Bold-Identity-H"/>
          <w:color w:val="000000" w:themeColor="text1"/>
          <w:szCs w:val="24"/>
        </w:rPr>
        <w:t xml:space="preserve">Detalizētu informāciju skatīt </w:t>
      </w:r>
      <w:r w:rsidRPr="00603CA3">
        <w:rPr>
          <w:rFonts w:eastAsia="EUAlbertina-Bold-Identity-H"/>
          <w:color w:val="000000" w:themeColor="text1"/>
          <w:szCs w:val="24"/>
          <w:u w:val="single"/>
        </w:rPr>
        <w:t>grafikā Nr.1 un pielikumā Nr.1</w:t>
      </w:r>
      <w:r w:rsidRPr="00603CA3">
        <w:rPr>
          <w:rFonts w:eastAsia="EUAlbertina-Bold-Identity-H"/>
          <w:color w:val="000000" w:themeColor="text1"/>
          <w:szCs w:val="24"/>
        </w:rPr>
        <w:t xml:space="preserve"> „2007.-2013.gada plānošanas perioda vispārīgā ES fondu apguve līdz 30.06.2011.”</w:t>
      </w:r>
    </w:p>
    <w:p w:rsidR="00BC6905" w:rsidRPr="00603CA3" w:rsidRDefault="00BC6905" w:rsidP="00603CA3">
      <w:pPr>
        <w:tabs>
          <w:tab w:val="left" w:pos="426"/>
        </w:tabs>
        <w:spacing w:line="276" w:lineRule="auto"/>
        <w:rPr>
          <w:rFonts w:eastAsia="EUAlbertina-Bold-Identity-H"/>
          <w:noProof/>
          <w:color w:val="000000" w:themeColor="text1"/>
          <w:szCs w:val="24"/>
          <w:lang w:eastAsia="lv-LV"/>
        </w:rPr>
      </w:pPr>
      <w:r w:rsidRPr="00603CA3">
        <w:rPr>
          <w:rFonts w:eastAsia="EUAlbertina-Bold-Identity-H"/>
          <w:color w:val="000000" w:themeColor="text1"/>
          <w:szCs w:val="24"/>
          <w:lang w:eastAsia="lv-LV"/>
        </w:rPr>
        <w:t xml:space="preserve">Grafiks Nr.1 </w:t>
      </w:r>
      <w:r w:rsidRPr="00603CA3">
        <w:rPr>
          <w:rFonts w:eastAsia="EUAlbertina-Bold-Identity-H"/>
          <w:i/>
          <w:color w:val="000000" w:themeColor="text1"/>
          <w:szCs w:val="24"/>
        </w:rPr>
        <w:t xml:space="preserve">„ES fondu finanšu apguve līdz 30.06.2011., publiskais attiecināmais finansējums; </w:t>
      </w:r>
      <w:proofErr w:type="spellStart"/>
      <w:r w:rsidRPr="00603CA3">
        <w:rPr>
          <w:rFonts w:eastAsia="EUAlbertina-Bold-Identity-H"/>
          <w:i/>
          <w:color w:val="000000" w:themeColor="text1"/>
          <w:szCs w:val="24"/>
        </w:rPr>
        <w:t>milj</w:t>
      </w:r>
      <w:proofErr w:type="spellEnd"/>
      <w:r w:rsidRPr="00603CA3">
        <w:rPr>
          <w:rFonts w:eastAsia="EUAlbertina-Bold-Identity-H"/>
          <w:i/>
          <w:color w:val="000000" w:themeColor="text1"/>
          <w:szCs w:val="24"/>
        </w:rPr>
        <w:t xml:space="preserve">. LVL, % no kopā pieejamā publiskā finansējuma; </w:t>
      </w:r>
      <w:r w:rsidRPr="00603CA3">
        <w:rPr>
          <w:i/>
          <w:color w:val="000000" w:themeColor="text1"/>
          <w:szCs w:val="24"/>
        </w:rPr>
        <w:t>% progress pret datiem uz 31.03.2011.</w:t>
      </w:r>
      <w:r w:rsidRPr="00603CA3">
        <w:rPr>
          <w:rFonts w:eastAsia="EUAlbertina-Bold-Identity-H"/>
          <w:i/>
          <w:color w:val="000000" w:themeColor="text1"/>
          <w:szCs w:val="24"/>
        </w:rPr>
        <w:t>”</w:t>
      </w:r>
      <w:r w:rsidRPr="00603CA3">
        <w:rPr>
          <w:rFonts w:eastAsia="EUAlbertina-Bold-Identity-H"/>
          <w:noProof/>
          <w:color w:val="000000" w:themeColor="text1"/>
          <w:szCs w:val="24"/>
          <w:lang w:eastAsia="lv-LV"/>
        </w:rPr>
        <w:tab/>
      </w:r>
    </w:p>
    <w:p w:rsidR="00BC6905" w:rsidRPr="00603CA3" w:rsidRDefault="00BC6905" w:rsidP="00603CA3">
      <w:pPr>
        <w:spacing w:line="276" w:lineRule="auto"/>
        <w:rPr>
          <w:color w:val="000000" w:themeColor="text1"/>
          <w:szCs w:val="24"/>
          <w:highlight w:val="green"/>
        </w:rPr>
      </w:pPr>
      <w:r w:rsidRPr="00603CA3">
        <w:rPr>
          <w:noProof/>
          <w:color w:val="000000" w:themeColor="text1"/>
          <w:szCs w:val="24"/>
          <w:lang w:eastAsia="lv-LV"/>
        </w:rPr>
        <w:drawing>
          <wp:inline distT="0" distB="0" distL="0" distR="0" wp14:anchorId="39016C9B" wp14:editId="06B04DAE">
            <wp:extent cx="5486400" cy="21971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C6905" w:rsidRPr="00603CA3" w:rsidRDefault="00BC6905" w:rsidP="00603CA3">
      <w:pPr>
        <w:spacing w:line="276" w:lineRule="auto"/>
        <w:rPr>
          <w:b/>
          <w:bCs/>
          <w:color w:val="000000" w:themeColor="text1"/>
          <w:szCs w:val="24"/>
          <w:lang w:eastAsia="lv-LV"/>
        </w:rPr>
      </w:pPr>
      <w:r w:rsidRPr="00603CA3">
        <w:rPr>
          <w:iCs/>
          <w:color w:val="000000" w:themeColor="text1"/>
          <w:szCs w:val="24"/>
        </w:rPr>
        <w:t xml:space="preserve">Lai nodrošinātu Latvijas valdības, un Eiropas Kopienas noslēgtās vienošanās – 2009.gada 28.janvāra Saprašanās memoranda un tā papildinājumos (turpmāk – Saprašanās memorands) iekļauto apņemšanos attiecībā uz ES fondu finansējuma apguvi izpildi,  kopējo finansējuma apguves mērķu izpildi un nodrošinātu plānotās EK atmaksas valsts budžeta ieņēmumos 2011.gadā, </w:t>
      </w:r>
      <w:proofErr w:type="spellStart"/>
      <w:r w:rsidRPr="00603CA3">
        <w:rPr>
          <w:iCs/>
          <w:color w:val="000000" w:themeColor="text1"/>
          <w:szCs w:val="24"/>
        </w:rPr>
        <w:t>š.g</w:t>
      </w:r>
      <w:proofErr w:type="spellEnd"/>
      <w:r w:rsidRPr="00603CA3">
        <w:rPr>
          <w:iCs/>
          <w:color w:val="000000" w:themeColor="text1"/>
          <w:szCs w:val="24"/>
        </w:rPr>
        <w:t>. 8.martā tika apstiprināti atbildīgo ministriju finanšu apguves mērķi, nosakot, ka 2011.gada laikā atbildīgās iestādes nodrošina maksājumus finansējuma saņēmēji par ES fondu līdzfinansējuma daļu kopā vismaz 511,5 latu apmērā.</w:t>
      </w:r>
    </w:p>
    <w:p w:rsidR="00BC6905" w:rsidRPr="00603CA3" w:rsidRDefault="00BC6905" w:rsidP="00603CA3">
      <w:pPr>
        <w:spacing w:line="276" w:lineRule="auto"/>
        <w:rPr>
          <w:color w:val="000000" w:themeColor="text1"/>
          <w:szCs w:val="24"/>
          <w:lang w:eastAsia="lv-LV"/>
        </w:rPr>
      </w:pPr>
      <w:r w:rsidRPr="00603CA3">
        <w:rPr>
          <w:color w:val="000000" w:themeColor="text1"/>
          <w:szCs w:val="24"/>
          <w:lang w:eastAsia="lv-LV"/>
        </w:rPr>
        <w:lastRenderedPageBreak/>
        <w:t xml:space="preserve">Šie apguves mērķi korelē ar 2011.gadā pieejamo budžetu (~648 </w:t>
      </w:r>
      <w:proofErr w:type="spellStart"/>
      <w:r w:rsidRPr="00603CA3">
        <w:rPr>
          <w:color w:val="000000" w:themeColor="text1"/>
          <w:szCs w:val="24"/>
          <w:lang w:eastAsia="lv-LV"/>
        </w:rPr>
        <w:t>milj</w:t>
      </w:r>
      <w:proofErr w:type="spellEnd"/>
      <w:r w:rsidRPr="00603CA3">
        <w:rPr>
          <w:color w:val="000000" w:themeColor="text1"/>
          <w:szCs w:val="24"/>
          <w:lang w:eastAsia="lv-LV"/>
        </w:rPr>
        <w:t xml:space="preserve">. latu) un tas ļauj pārpildīt Saprašanās memorandā noteiktās saistības 2011.gadam (detalizētu informāciju skatīt </w:t>
      </w:r>
      <w:r w:rsidRPr="00603CA3">
        <w:rPr>
          <w:color w:val="000000" w:themeColor="text1"/>
          <w:szCs w:val="24"/>
          <w:u w:val="single"/>
          <w:lang w:eastAsia="lv-LV"/>
        </w:rPr>
        <w:t>pielikumā Nr.2</w:t>
      </w:r>
      <w:r w:rsidRPr="00603CA3">
        <w:rPr>
          <w:color w:val="000000" w:themeColor="text1"/>
          <w:szCs w:val="24"/>
          <w:lang w:eastAsia="lv-LV"/>
        </w:rPr>
        <w:t xml:space="preserve"> „Finanšu apguves mērķa un prognožu izpilde līdz 2011.gada 30.jūnijam” un</w:t>
      </w:r>
      <w:r w:rsidRPr="00603CA3">
        <w:rPr>
          <w:color w:val="000000" w:themeColor="text1"/>
          <w:szCs w:val="24"/>
          <w:u w:val="single"/>
          <w:lang w:eastAsia="lv-LV"/>
        </w:rPr>
        <w:t xml:space="preserve"> grafikā Nr.2</w:t>
      </w:r>
      <w:r w:rsidRPr="00603CA3">
        <w:rPr>
          <w:color w:val="000000" w:themeColor="text1"/>
          <w:szCs w:val="24"/>
          <w:lang w:eastAsia="lv-LV"/>
        </w:rPr>
        <w:t xml:space="preserve">). </w:t>
      </w:r>
    </w:p>
    <w:p w:rsidR="00BC6905" w:rsidRPr="00603CA3" w:rsidRDefault="00BC6905" w:rsidP="00603CA3">
      <w:pPr>
        <w:spacing w:line="276" w:lineRule="auto"/>
        <w:rPr>
          <w:i/>
          <w:color w:val="000000" w:themeColor="text1"/>
          <w:szCs w:val="24"/>
          <w:lang w:eastAsia="lv-LV"/>
        </w:rPr>
      </w:pPr>
      <w:r w:rsidRPr="00603CA3">
        <w:rPr>
          <w:color w:val="000000" w:themeColor="text1"/>
          <w:szCs w:val="24"/>
          <w:lang w:eastAsia="lv-LV"/>
        </w:rPr>
        <w:t xml:space="preserve">Grafiks Nr.2 </w:t>
      </w:r>
      <w:r w:rsidRPr="00603CA3">
        <w:rPr>
          <w:i/>
          <w:color w:val="000000" w:themeColor="text1"/>
          <w:szCs w:val="24"/>
          <w:lang w:eastAsia="lv-LV"/>
        </w:rPr>
        <w:t xml:space="preserve">„Atbildīgo iestāžu apguves mērķis 2011.gadam salīdzinājumā ar Saprašanās Memorandā noteiktām saistībām, 2011.gada 2.ceturkšņa mērķa izpilde; </w:t>
      </w:r>
      <w:proofErr w:type="spellStart"/>
      <w:r w:rsidRPr="00603CA3">
        <w:rPr>
          <w:i/>
          <w:color w:val="000000" w:themeColor="text1"/>
          <w:szCs w:val="24"/>
          <w:lang w:eastAsia="lv-LV"/>
        </w:rPr>
        <w:t>milj</w:t>
      </w:r>
      <w:proofErr w:type="spellEnd"/>
      <w:r w:rsidRPr="00603CA3">
        <w:rPr>
          <w:i/>
          <w:color w:val="000000" w:themeColor="text1"/>
          <w:szCs w:val="24"/>
          <w:lang w:eastAsia="lv-LV"/>
        </w:rPr>
        <w:t>. LVL”</w:t>
      </w:r>
    </w:p>
    <w:p w:rsidR="00BC6905" w:rsidRPr="00603CA3" w:rsidRDefault="00BC6905" w:rsidP="00603CA3">
      <w:pPr>
        <w:spacing w:line="276" w:lineRule="auto"/>
        <w:rPr>
          <w:color w:val="000000" w:themeColor="text1"/>
          <w:szCs w:val="24"/>
          <w:highlight w:val="green"/>
          <w:lang w:eastAsia="lv-LV"/>
        </w:rPr>
      </w:pPr>
      <w:r w:rsidRPr="00603CA3">
        <w:rPr>
          <w:noProof/>
          <w:color w:val="000000" w:themeColor="text1"/>
          <w:szCs w:val="24"/>
          <w:lang w:eastAsia="lv-LV"/>
        </w:rPr>
        <w:drawing>
          <wp:inline distT="0" distB="0" distL="0" distR="0" wp14:anchorId="34A0B7BF" wp14:editId="14B5E252">
            <wp:extent cx="5486400" cy="2743200"/>
            <wp:effectExtent l="0" t="0" r="0" b="0"/>
            <wp:docPr id="2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C6905" w:rsidRPr="00603CA3" w:rsidRDefault="00BC6905" w:rsidP="00603CA3">
      <w:pPr>
        <w:spacing w:line="276" w:lineRule="auto"/>
        <w:rPr>
          <w:color w:val="000000" w:themeColor="text1"/>
          <w:szCs w:val="24"/>
        </w:rPr>
      </w:pPr>
      <w:r w:rsidRPr="00603CA3">
        <w:rPr>
          <w:rFonts w:eastAsia="EUAlbertina-Bold-Identity-H"/>
          <w:color w:val="000000" w:themeColor="text1"/>
          <w:szCs w:val="24"/>
          <w:lang w:eastAsia="lv-LV"/>
        </w:rPr>
        <w:t xml:space="preserve">Vērtējot apguvi </w:t>
      </w:r>
      <w:proofErr w:type="spellStart"/>
      <w:r w:rsidRPr="00603CA3">
        <w:rPr>
          <w:rFonts w:eastAsia="EUAlbertina-Bold-Identity-H"/>
          <w:color w:val="000000" w:themeColor="text1"/>
          <w:szCs w:val="24"/>
          <w:lang w:eastAsia="lv-LV"/>
        </w:rPr>
        <w:t>š.g</w:t>
      </w:r>
      <w:proofErr w:type="spellEnd"/>
      <w:r w:rsidRPr="00603CA3">
        <w:rPr>
          <w:rFonts w:eastAsia="EUAlbertina-Bold-Identity-H"/>
          <w:color w:val="000000" w:themeColor="text1"/>
          <w:szCs w:val="24"/>
          <w:lang w:eastAsia="lv-LV"/>
        </w:rPr>
        <w:t xml:space="preserve">. 2.ceturksnī, secināms, ka lielākā daļa ministriju nav pildījušas savus noteiktos plānus, apgūstot tikai 70,7% no </w:t>
      </w:r>
      <w:r w:rsidR="00D109BF" w:rsidRPr="00603CA3">
        <w:rPr>
          <w:rFonts w:eastAsia="EUAlbertina-Bold-Identity-H"/>
          <w:color w:val="000000" w:themeColor="text1"/>
          <w:szCs w:val="24"/>
          <w:lang w:eastAsia="lv-LV"/>
        </w:rPr>
        <w:t xml:space="preserve">pirmajā pusgadā </w:t>
      </w:r>
      <w:r w:rsidRPr="00603CA3">
        <w:rPr>
          <w:rFonts w:eastAsia="EUAlbertina-Bold-Identity-H"/>
          <w:color w:val="000000" w:themeColor="text1"/>
          <w:szCs w:val="24"/>
          <w:lang w:eastAsia="lv-LV"/>
        </w:rPr>
        <w:t>paredzētā maksājumu apjoma finansējuma saņēmējiem, Saprašanās memorandā noteiktās saistības 2011.gadam sasniedzot par 31,7% (</w:t>
      </w:r>
      <w:r w:rsidRPr="00603CA3">
        <w:rPr>
          <w:color w:val="000000" w:themeColor="text1"/>
          <w:szCs w:val="24"/>
          <w:u w:val="single"/>
          <w:lang w:eastAsia="lv-LV"/>
        </w:rPr>
        <w:t>pielikumā Nr.2</w:t>
      </w:r>
      <w:r w:rsidRPr="00603CA3">
        <w:rPr>
          <w:color w:val="000000" w:themeColor="text1"/>
          <w:szCs w:val="24"/>
          <w:lang w:eastAsia="lv-LV"/>
        </w:rPr>
        <w:t xml:space="preserve"> „Finanšu apguves mērķa un prognožu izpilde līdz 2011.gada 30.jūnijam”). </w:t>
      </w:r>
      <w:r w:rsidRPr="00603CA3">
        <w:rPr>
          <w:rFonts w:eastAsia="EUAlbertina-Bold-Identity-H"/>
          <w:color w:val="000000" w:themeColor="text1"/>
          <w:szCs w:val="24"/>
          <w:lang w:eastAsia="lv-LV"/>
        </w:rPr>
        <w:t xml:space="preserve">2011.gads tiek plānots, kā viens no aktīvākajiem ES fondu apguves gadiem šajā plānošanas periodā un budžetā ES fondiem atvēlētais finansējums 648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ir ievērojami lielāks nekā iepriekšējos gados. Turklāt jāņem vērā, ka fiskālo ierobežojumu dēļ nākamā turpmākajos gados ES fondu projektu finansēšanai </w:t>
      </w:r>
      <w:r w:rsidR="00D109BF" w:rsidRPr="00603CA3">
        <w:rPr>
          <w:rFonts w:eastAsia="EUAlbertina-Bold-Identity-H"/>
          <w:color w:val="000000" w:themeColor="text1"/>
          <w:szCs w:val="24"/>
          <w:lang w:eastAsia="lv-LV"/>
        </w:rPr>
        <w:t xml:space="preserve">iespējams </w:t>
      </w:r>
      <w:r w:rsidRPr="00603CA3">
        <w:rPr>
          <w:rFonts w:eastAsia="EUAlbertina-Bold-Identity-H"/>
          <w:color w:val="000000" w:themeColor="text1"/>
          <w:szCs w:val="24"/>
          <w:lang w:eastAsia="lv-LV"/>
        </w:rPr>
        <w:t>būs nedaudz jāsamazina, tādēļ svarīgi ir šī gada budžetu izmantot pilnā a</w:t>
      </w:r>
      <w:r w:rsidR="00D109BF" w:rsidRPr="00603CA3">
        <w:rPr>
          <w:rFonts w:eastAsia="EUAlbertina-Bold-Identity-H"/>
          <w:color w:val="000000" w:themeColor="text1"/>
          <w:szCs w:val="24"/>
          <w:lang w:eastAsia="lv-LV"/>
        </w:rPr>
        <w:t>p</w:t>
      </w:r>
      <w:r w:rsidRPr="00603CA3">
        <w:rPr>
          <w:rFonts w:eastAsia="EUAlbertina-Bold-Identity-H"/>
          <w:color w:val="000000" w:themeColor="text1"/>
          <w:szCs w:val="24"/>
          <w:lang w:eastAsia="lv-LV"/>
        </w:rPr>
        <w:t xml:space="preserve">mērā. Šajā kontekstā apguves plāna neizpilde otrajā ceturksnī ir satraucošs faktors. </w:t>
      </w:r>
    </w:p>
    <w:p w:rsidR="00BC6905" w:rsidRPr="00603CA3" w:rsidRDefault="00BC6905"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Vislabākā izpilde bijusi ESF – 121,5%</w:t>
      </w:r>
      <w:r w:rsidR="00D109BF" w:rsidRPr="00603CA3">
        <w:rPr>
          <w:rFonts w:eastAsia="EUAlbertina-Bold-Identity-H"/>
          <w:color w:val="000000" w:themeColor="text1"/>
          <w:szCs w:val="24"/>
          <w:lang w:eastAsia="lv-LV"/>
        </w:rPr>
        <w:t xml:space="preserve"> no plānotā maksājumu apjoma</w:t>
      </w:r>
      <w:r w:rsidRPr="00603CA3">
        <w:rPr>
          <w:rFonts w:eastAsia="EUAlbertina-Bold-Identity-H"/>
          <w:color w:val="000000" w:themeColor="text1"/>
          <w:szCs w:val="24"/>
          <w:lang w:eastAsia="lv-LV"/>
        </w:rPr>
        <w:t>. KF ietvaros mērķis pildīts 69,1% apmērā, savukārt ERAF – 54,6% apmērā. Sīkāka apguves analīze un mērķu neizpildes iemesli sniegti 1.3. sadaļā. „Publisko resursu ieguldījums un sasniegtie rezultāti”.</w:t>
      </w:r>
    </w:p>
    <w:p w:rsidR="00BC6905" w:rsidRPr="00603CA3" w:rsidRDefault="00D109BF" w:rsidP="00603CA3">
      <w:pPr>
        <w:spacing w:line="276" w:lineRule="auto"/>
        <w:rPr>
          <w:color w:val="000000" w:themeColor="text1"/>
          <w:spacing w:val="6"/>
          <w:szCs w:val="24"/>
        </w:rPr>
      </w:pPr>
      <w:r w:rsidRPr="00603CA3">
        <w:rPr>
          <w:color w:val="000000" w:themeColor="text1"/>
          <w:spacing w:val="6"/>
          <w:szCs w:val="24"/>
        </w:rPr>
        <w:t>J</w:t>
      </w:r>
      <w:r w:rsidR="00BC6905" w:rsidRPr="00603CA3">
        <w:rPr>
          <w:color w:val="000000" w:themeColor="text1"/>
          <w:spacing w:val="6"/>
          <w:szCs w:val="24"/>
        </w:rPr>
        <w:t>a situācija ar problēmām iepirkumu procesos</w:t>
      </w:r>
      <w:r w:rsidRPr="00603CA3">
        <w:rPr>
          <w:color w:val="000000" w:themeColor="text1"/>
          <w:spacing w:val="6"/>
          <w:szCs w:val="24"/>
        </w:rPr>
        <w:t xml:space="preserve"> ERAF un KF projektos</w:t>
      </w:r>
      <w:r w:rsidR="00BC6905" w:rsidRPr="00603CA3">
        <w:rPr>
          <w:color w:val="000000" w:themeColor="text1"/>
          <w:spacing w:val="6"/>
          <w:szCs w:val="24"/>
        </w:rPr>
        <w:t xml:space="preserve"> neuzlabosies, turpināsies </w:t>
      </w:r>
      <w:r w:rsidR="00BC6905" w:rsidRPr="00603CA3">
        <w:rPr>
          <w:color w:val="000000" w:themeColor="text1"/>
          <w:szCs w:val="24"/>
        </w:rPr>
        <w:t>kavējumi no finansējuma saņēmēja puses, iesniedzot maksājumu pieprasījumus, kā arī pastāvēs citi faktori, kas negatīvi ietekmē mērķa profilu izpildi,</w:t>
      </w:r>
      <w:r w:rsidR="00BC6905" w:rsidRPr="00603CA3">
        <w:rPr>
          <w:color w:val="000000" w:themeColor="text1"/>
          <w:spacing w:val="6"/>
          <w:szCs w:val="24"/>
        </w:rPr>
        <w:t xml:space="preserve"> pastāv risks, ka līdzīgi kā </w:t>
      </w:r>
      <w:r w:rsidR="00BC6905" w:rsidRPr="00603CA3">
        <w:rPr>
          <w:color w:val="000000" w:themeColor="text1"/>
          <w:szCs w:val="24"/>
        </w:rPr>
        <w:t>pagājušogad, ministrijas atsevišķos gadījumos nespēs ievērot MK apstiprinātos finanšu disciplīnas nosacījumus - neveikt ES fondu apmaksas būs lielākas par 40% no gada plāna pēdējā ceturksnī un 20% no gada plāna decembra mēnesī.</w:t>
      </w:r>
    </w:p>
    <w:p w:rsidR="001E53C0" w:rsidRPr="00603CA3" w:rsidRDefault="00BC6905"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Lai nodrošinātu EK prasību ievērošanu, Latvija pirms noteiktā termiņa līdz </w:t>
      </w:r>
      <w:proofErr w:type="spellStart"/>
      <w:r w:rsidRPr="00603CA3">
        <w:rPr>
          <w:rFonts w:eastAsia="EUAlbertina-Bold-Identity-H"/>
          <w:color w:val="000000" w:themeColor="text1"/>
          <w:szCs w:val="24"/>
          <w:lang w:eastAsia="lv-LV"/>
        </w:rPr>
        <w:t>š.g</w:t>
      </w:r>
      <w:proofErr w:type="spellEnd"/>
      <w:r w:rsidRPr="00603CA3">
        <w:rPr>
          <w:rFonts w:eastAsia="EUAlbertina-Bold-Identity-H"/>
          <w:color w:val="000000" w:themeColor="text1"/>
          <w:szCs w:val="24"/>
          <w:lang w:eastAsia="lv-LV"/>
        </w:rPr>
        <w:t xml:space="preserve">. 30.jūnijam ir iesniegusi EK gada ziņojumus par ES fondu 2007.-2013.gada plānošanas perioda darbības programmu ieviešanu 2010.gadā. Gada ziņojumos tika sniegta detalizēta informācija par ES fondu ieviešanas gaitu 2010.gadā, sasniegtajiem finanšu un fiziskajiem rezultātiem, paveikto ES fondu ieviešanas un uzraudzības sistēmas vienkāršošanā, kā arī vispārēja informācija par </w:t>
      </w:r>
      <w:r w:rsidRPr="00603CA3">
        <w:rPr>
          <w:rFonts w:eastAsia="EUAlbertina-Bold-Identity-H"/>
          <w:color w:val="000000" w:themeColor="text1"/>
          <w:szCs w:val="24"/>
          <w:lang w:eastAsia="lv-LV"/>
        </w:rPr>
        <w:lastRenderedPageBreak/>
        <w:t xml:space="preserve">sociāli ekonomiskajām tendencēm, valsts, reģionālās un nozaru politikas pārmaiņām, kuras ietekmē ES fondu projektu īstenošanu, veiktajiem auditiem un dažāda veida pārbaudēm, informatīvajiem un publicitātes pasākumiem un citiem jautājumiem. Ziņojumi ir pieejami ES fondu mājas lapā </w:t>
      </w:r>
      <w:hyperlink r:id="rId19" w:history="1">
        <w:r w:rsidRPr="00603CA3">
          <w:rPr>
            <w:rFonts w:eastAsia="EUAlbertina-Bold-Identity-H"/>
            <w:color w:val="000000" w:themeColor="text1"/>
            <w:szCs w:val="24"/>
            <w:lang w:eastAsia="lv-LV"/>
          </w:rPr>
          <w:t>http://www.esfondi.lv/page.php?id=913</w:t>
        </w:r>
      </w:hyperlink>
      <w:r w:rsidRPr="00603CA3">
        <w:rPr>
          <w:rFonts w:eastAsia="EUAlbertina-Bold-Identity-H"/>
          <w:color w:val="000000" w:themeColor="text1"/>
          <w:szCs w:val="24"/>
          <w:lang w:eastAsia="lv-LV"/>
        </w:rPr>
        <w:t xml:space="preserve">. </w:t>
      </w:r>
      <w:proofErr w:type="spellStart"/>
      <w:r w:rsidR="008E7491" w:rsidRPr="00603CA3">
        <w:rPr>
          <w:rFonts w:eastAsia="EUAlbertina-Bold-Identity-H"/>
          <w:color w:val="000000" w:themeColor="text1"/>
          <w:szCs w:val="24"/>
          <w:lang w:eastAsia="lv-LV"/>
        </w:rPr>
        <w:t>Š.g</w:t>
      </w:r>
      <w:proofErr w:type="spellEnd"/>
      <w:r w:rsidR="008E7491" w:rsidRPr="00603CA3">
        <w:rPr>
          <w:rFonts w:eastAsia="EUAlbertina-Bold-Identity-H"/>
          <w:color w:val="000000" w:themeColor="text1"/>
          <w:szCs w:val="24"/>
          <w:lang w:eastAsia="lv-LV"/>
        </w:rPr>
        <w:t xml:space="preserve">. 13.septembrī plānota ikgadējā tikšanās ar Eiropas Komisiju, kurā Eiropas Komisija paudīs savus komentārus par augstākminētajiem ziņojumiem, kā arī sniegs rekomendācijas un vispārēju vērtējumu sasniegtajam </w:t>
      </w:r>
      <w:r w:rsidR="000340C4" w:rsidRPr="00603CA3">
        <w:rPr>
          <w:rFonts w:eastAsia="EUAlbertina-Bold-Identity-H"/>
          <w:color w:val="000000" w:themeColor="text1"/>
          <w:szCs w:val="24"/>
          <w:lang w:eastAsia="lv-LV"/>
        </w:rPr>
        <w:t>progresam</w:t>
      </w:r>
      <w:r w:rsidR="008E7491" w:rsidRPr="00603CA3">
        <w:rPr>
          <w:rFonts w:eastAsia="EUAlbertina-Bold-Identity-H"/>
          <w:color w:val="000000" w:themeColor="text1"/>
          <w:szCs w:val="24"/>
          <w:lang w:eastAsia="lv-LV"/>
        </w:rPr>
        <w:t xml:space="preserve"> darbības programmu ieviešanā.</w:t>
      </w:r>
    </w:p>
    <w:p w:rsidR="00F3091C" w:rsidRPr="00603CA3" w:rsidRDefault="00F3091C" w:rsidP="00603CA3">
      <w:pPr>
        <w:spacing w:line="276" w:lineRule="auto"/>
        <w:rPr>
          <w:b/>
          <w:iCs/>
          <w:color w:val="000000" w:themeColor="text1"/>
          <w:szCs w:val="24"/>
        </w:rPr>
      </w:pPr>
      <w:r w:rsidRPr="00603CA3">
        <w:rPr>
          <w:b/>
          <w:iCs/>
          <w:color w:val="000000" w:themeColor="text1"/>
          <w:szCs w:val="24"/>
        </w:rPr>
        <w:t>1.2.2. ES struktūrfondu un Kohēzijas fonda valsts budžeta apguve</w:t>
      </w:r>
    </w:p>
    <w:p w:rsidR="00B70927" w:rsidRPr="00603CA3" w:rsidRDefault="00B70927" w:rsidP="00603CA3">
      <w:pPr>
        <w:spacing w:line="276" w:lineRule="auto"/>
        <w:rPr>
          <w:color w:val="000000" w:themeColor="text1"/>
          <w:szCs w:val="24"/>
          <w:u w:val="single"/>
        </w:rPr>
      </w:pPr>
      <w:r w:rsidRPr="00603CA3">
        <w:rPr>
          <w:color w:val="000000" w:themeColor="text1"/>
          <w:szCs w:val="24"/>
          <w:u w:val="single"/>
        </w:rPr>
        <w:t>Kopējā ES fondiem piešķirtā finansējuma apguve, tai skaitā, valsts budžeta iestāžu projektos</w:t>
      </w:r>
    </w:p>
    <w:p w:rsidR="0004241F" w:rsidRPr="00603CA3" w:rsidRDefault="0004241F" w:rsidP="00603CA3">
      <w:pPr>
        <w:spacing w:line="276" w:lineRule="auto"/>
        <w:rPr>
          <w:color w:val="000000" w:themeColor="text1"/>
          <w:szCs w:val="24"/>
        </w:rPr>
      </w:pPr>
      <w:r w:rsidRPr="00603CA3">
        <w:rPr>
          <w:color w:val="000000" w:themeColor="text1"/>
          <w:szCs w:val="24"/>
        </w:rPr>
        <w:t xml:space="preserve">Kopumā ES fondu valsts budžeta izdevumu plāns līdz 30.06.2011. izpildīts par  92.6% (dotācijas atlikums 13.4 </w:t>
      </w:r>
      <w:proofErr w:type="spellStart"/>
      <w:r w:rsidRPr="00603CA3">
        <w:rPr>
          <w:color w:val="000000" w:themeColor="text1"/>
          <w:szCs w:val="24"/>
        </w:rPr>
        <w:t>milj</w:t>
      </w:r>
      <w:proofErr w:type="spellEnd"/>
      <w:r w:rsidRPr="00603CA3">
        <w:rPr>
          <w:color w:val="000000" w:themeColor="text1"/>
          <w:szCs w:val="24"/>
        </w:rPr>
        <w:t xml:space="preserve">. latu). Salīdzinot ar situāciju uz marta, aprīļa un maija beigām, kad budžeta izpilde bija apmēram 93.9% (neizpilde līdz 31.03.2011. – 3.2 </w:t>
      </w:r>
      <w:proofErr w:type="spellStart"/>
      <w:r w:rsidRPr="00603CA3">
        <w:rPr>
          <w:color w:val="000000" w:themeColor="text1"/>
          <w:szCs w:val="24"/>
        </w:rPr>
        <w:t>milj</w:t>
      </w:r>
      <w:proofErr w:type="spellEnd"/>
      <w:r w:rsidRPr="00603CA3">
        <w:rPr>
          <w:color w:val="000000" w:themeColor="text1"/>
          <w:szCs w:val="24"/>
        </w:rPr>
        <w:t xml:space="preserve">. latu, līdz 30.04.2011. – 4.5 </w:t>
      </w:r>
      <w:proofErr w:type="spellStart"/>
      <w:r w:rsidRPr="00603CA3">
        <w:rPr>
          <w:color w:val="000000" w:themeColor="text1"/>
          <w:szCs w:val="24"/>
        </w:rPr>
        <w:t>milj</w:t>
      </w:r>
      <w:proofErr w:type="spellEnd"/>
      <w:r w:rsidRPr="00603CA3">
        <w:rPr>
          <w:color w:val="000000" w:themeColor="text1"/>
          <w:szCs w:val="24"/>
        </w:rPr>
        <w:t xml:space="preserve">. latu un līdz 31.05.2011. – 8.7 </w:t>
      </w:r>
      <w:proofErr w:type="spellStart"/>
      <w:r w:rsidRPr="00603CA3">
        <w:rPr>
          <w:color w:val="000000" w:themeColor="text1"/>
          <w:szCs w:val="24"/>
        </w:rPr>
        <w:t>milj</w:t>
      </w:r>
      <w:proofErr w:type="spellEnd"/>
      <w:r w:rsidRPr="00603CA3">
        <w:rPr>
          <w:color w:val="000000" w:themeColor="text1"/>
          <w:szCs w:val="24"/>
        </w:rPr>
        <w:t>. latu), secināms, ka budžeta izpildes rezultātiem ir tendence pasliktināties.</w:t>
      </w:r>
    </w:p>
    <w:p w:rsidR="002C59D2" w:rsidRPr="00603CA3" w:rsidRDefault="0004241F" w:rsidP="00603CA3">
      <w:pPr>
        <w:spacing w:line="276" w:lineRule="auto"/>
        <w:rPr>
          <w:color w:val="000000" w:themeColor="text1"/>
          <w:szCs w:val="24"/>
        </w:rPr>
      </w:pPr>
      <w:r w:rsidRPr="00603CA3">
        <w:rPr>
          <w:color w:val="000000" w:themeColor="text1"/>
          <w:szCs w:val="24"/>
        </w:rPr>
        <w:t>L</w:t>
      </w:r>
      <w:r w:rsidR="002C59D2" w:rsidRPr="00603CA3">
        <w:rPr>
          <w:color w:val="000000" w:themeColor="text1"/>
          <w:szCs w:val="24"/>
        </w:rPr>
        <w:t xml:space="preserve">īdz 2011.gada beigām valsts budžeta iestādes kā ES fondu projektu finansējuma saņēmēji plāno veikt maksājumus 297,5 </w:t>
      </w:r>
      <w:proofErr w:type="spellStart"/>
      <w:r w:rsidR="002C59D2" w:rsidRPr="00603CA3">
        <w:rPr>
          <w:color w:val="000000" w:themeColor="text1"/>
          <w:szCs w:val="24"/>
        </w:rPr>
        <w:t>milj</w:t>
      </w:r>
      <w:proofErr w:type="spellEnd"/>
      <w:r w:rsidR="002C59D2" w:rsidRPr="00603CA3">
        <w:rPr>
          <w:color w:val="000000" w:themeColor="text1"/>
          <w:szCs w:val="24"/>
        </w:rPr>
        <w:t xml:space="preserve">. latu apmērā. Līdz 2011.gada 30.jūnijam ir izpildīti 30.7% no gada plāna jeb projektu ietvaros veikti maksājumi par 91.3 </w:t>
      </w:r>
      <w:proofErr w:type="spellStart"/>
      <w:r w:rsidR="002C59D2" w:rsidRPr="00603CA3">
        <w:rPr>
          <w:color w:val="000000" w:themeColor="text1"/>
          <w:szCs w:val="24"/>
        </w:rPr>
        <w:t>milj</w:t>
      </w:r>
      <w:proofErr w:type="spellEnd"/>
      <w:r w:rsidR="002C59D2" w:rsidRPr="00603CA3">
        <w:rPr>
          <w:color w:val="000000" w:themeColor="text1"/>
          <w:szCs w:val="24"/>
        </w:rPr>
        <w:t>. latu (detalizētu informāciju skatīt pielikumā Nr.5 „Informācija par valsts budžeta iestāžu noslēgtajiem līgumiem uz 30.06.2011”).</w:t>
      </w:r>
    </w:p>
    <w:p w:rsidR="002C59D2" w:rsidRPr="00603CA3" w:rsidRDefault="002C59D2" w:rsidP="00603CA3">
      <w:pPr>
        <w:spacing w:line="276" w:lineRule="auto"/>
        <w:rPr>
          <w:color w:val="000000" w:themeColor="text1"/>
          <w:szCs w:val="24"/>
        </w:rPr>
      </w:pPr>
      <w:r w:rsidRPr="00603CA3">
        <w:rPr>
          <w:color w:val="000000" w:themeColor="text1"/>
          <w:szCs w:val="24"/>
        </w:rPr>
        <w:t xml:space="preserve">Valsts budžeta iestāžu īstenojamo projektu ietvaros budžeta izdevumu plāna neizpilde pastāvīgi palielinās un </w:t>
      </w:r>
      <w:proofErr w:type="spellStart"/>
      <w:r w:rsidRPr="00603CA3">
        <w:rPr>
          <w:color w:val="000000" w:themeColor="text1"/>
          <w:szCs w:val="24"/>
        </w:rPr>
        <w:t>š.g</w:t>
      </w:r>
      <w:proofErr w:type="spellEnd"/>
      <w:r w:rsidRPr="00603CA3">
        <w:rPr>
          <w:color w:val="000000" w:themeColor="text1"/>
          <w:szCs w:val="24"/>
        </w:rPr>
        <w:t xml:space="preserve">. 1.pusgadā ir sasniegusi  6.8 </w:t>
      </w:r>
      <w:proofErr w:type="spellStart"/>
      <w:r w:rsidRPr="00603CA3">
        <w:rPr>
          <w:color w:val="000000" w:themeColor="text1"/>
          <w:szCs w:val="24"/>
        </w:rPr>
        <w:t>milj</w:t>
      </w:r>
      <w:proofErr w:type="spellEnd"/>
      <w:r w:rsidRPr="00603CA3">
        <w:rPr>
          <w:color w:val="000000" w:themeColor="text1"/>
          <w:szCs w:val="24"/>
        </w:rPr>
        <w:t xml:space="preserve">. latu  jeb 7.5% (līdz 30.04.2011. – 1.2 </w:t>
      </w:r>
      <w:proofErr w:type="spellStart"/>
      <w:r w:rsidRPr="00603CA3">
        <w:rPr>
          <w:color w:val="000000" w:themeColor="text1"/>
          <w:szCs w:val="24"/>
        </w:rPr>
        <w:t>milj</w:t>
      </w:r>
      <w:proofErr w:type="spellEnd"/>
      <w:r w:rsidRPr="00603CA3">
        <w:rPr>
          <w:color w:val="000000" w:themeColor="text1"/>
          <w:szCs w:val="24"/>
        </w:rPr>
        <w:t xml:space="preserve">. latu jeb 2.1%; līdz 31.05.2011. -  2.4 </w:t>
      </w:r>
      <w:proofErr w:type="spellStart"/>
      <w:r w:rsidRPr="00603CA3">
        <w:rPr>
          <w:color w:val="000000" w:themeColor="text1"/>
          <w:szCs w:val="24"/>
        </w:rPr>
        <w:t>milj</w:t>
      </w:r>
      <w:proofErr w:type="spellEnd"/>
      <w:r w:rsidRPr="00603CA3">
        <w:rPr>
          <w:color w:val="000000" w:themeColor="text1"/>
          <w:szCs w:val="24"/>
        </w:rPr>
        <w:t xml:space="preserve">. latu  jeb 2.9%). Lielākie atlikumi jau no </w:t>
      </w:r>
      <w:proofErr w:type="spellStart"/>
      <w:r w:rsidRPr="00603CA3">
        <w:rPr>
          <w:color w:val="000000" w:themeColor="text1"/>
          <w:szCs w:val="24"/>
        </w:rPr>
        <w:t>š.g</w:t>
      </w:r>
      <w:proofErr w:type="spellEnd"/>
      <w:r w:rsidRPr="00603CA3">
        <w:rPr>
          <w:color w:val="000000" w:themeColor="text1"/>
          <w:szCs w:val="24"/>
        </w:rPr>
        <w:t>. sākuma, kā arī iepriekšējos gados ir bijuši e-pārvaldes (aktivitāte 3.2.2.1.1.) un skolu projektu ietvaros (galvenokārt aktivitāte 3.1.1.1.) (skatīt tabulu Nr.1.)., kura</w:t>
      </w:r>
      <w:r w:rsidR="00B70927" w:rsidRPr="00603CA3">
        <w:rPr>
          <w:color w:val="000000" w:themeColor="text1"/>
          <w:szCs w:val="24"/>
        </w:rPr>
        <w:t xml:space="preserve"> a</w:t>
      </w:r>
      <w:r w:rsidRPr="00603CA3">
        <w:rPr>
          <w:color w:val="000000" w:themeColor="text1"/>
          <w:szCs w:val="24"/>
        </w:rPr>
        <w:t>pkopota informācija par projektiem, kuru novirze no plānotā pārsniedz 30%, kā arī aprīlī un/vai maijā ir konstatētas novirzes no plānotā.</w:t>
      </w:r>
    </w:p>
    <w:p w:rsidR="00F34F38" w:rsidRPr="00603CA3" w:rsidRDefault="00F34F38" w:rsidP="00603CA3">
      <w:pPr>
        <w:spacing w:line="276" w:lineRule="auto"/>
        <w:rPr>
          <w:color w:val="000000" w:themeColor="text1"/>
          <w:szCs w:val="24"/>
        </w:rPr>
      </w:pPr>
      <w:r w:rsidRPr="00603CA3">
        <w:rPr>
          <w:color w:val="000000" w:themeColor="text1"/>
          <w:szCs w:val="24"/>
        </w:rPr>
        <w:t xml:space="preserve">Vienlaikus, ņemot vērā MK </w:t>
      </w:r>
      <w:proofErr w:type="spellStart"/>
      <w:r w:rsidRPr="00603CA3">
        <w:rPr>
          <w:color w:val="000000" w:themeColor="text1"/>
          <w:szCs w:val="24"/>
        </w:rPr>
        <w:t>protokollēmumos</w:t>
      </w:r>
      <w:proofErr w:type="spellEnd"/>
      <w:r w:rsidRPr="00603CA3">
        <w:rPr>
          <w:color w:val="000000" w:themeColor="text1"/>
          <w:szCs w:val="24"/>
        </w:rPr>
        <w:t xml:space="preserve"> noteikto rīcību valsts budžeta iestāžu neatbilstoši veiktu izdevumu gadījumos (ja konstatēti neatbilstoši veikti izdevumi virs 85 latiem </w:t>
      </w:r>
      <w:proofErr w:type="spellStart"/>
      <w:r w:rsidRPr="00603CA3">
        <w:rPr>
          <w:color w:val="000000" w:themeColor="text1"/>
          <w:szCs w:val="24"/>
        </w:rPr>
        <w:t>vairākkārt</w:t>
      </w:r>
      <w:proofErr w:type="spellEnd"/>
      <w:r w:rsidRPr="00603CA3">
        <w:rPr>
          <w:color w:val="000000" w:themeColor="text1"/>
          <w:szCs w:val="24"/>
        </w:rPr>
        <w:t xml:space="preserve"> – dienesta pārbaude un disciplinārlieta), likumsakarīgi, ka  turpmākā finansējuma apguve būs ļoti piesardzīga, kas turpmākajos pārskata periodos var radīt būtiski lielākus piešķirtā finansējuma atlikumus. Pozitīvais ir, ka tomēr šie finanšu disciplīnas pasākumi liks plānot piesardzīgāk nākamo gadu budžetus. </w:t>
      </w:r>
      <w:r w:rsidRPr="00603CA3">
        <w:rPr>
          <w:rStyle w:val="CommentReference"/>
          <w:color w:val="000000" w:themeColor="text1"/>
          <w:sz w:val="24"/>
          <w:szCs w:val="24"/>
          <w:lang w:eastAsia="x-none"/>
        </w:rPr>
        <w:t>  </w:t>
      </w:r>
      <w:r w:rsidRPr="00603CA3">
        <w:rPr>
          <w:rStyle w:val="CommentReference"/>
          <w:color w:val="000000" w:themeColor="text1"/>
          <w:sz w:val="24"/>
          <w:szCs w:val="24"/>
        </w:rPr>
        <w:t> </w:t>
      </w:r>
    </w:p>
    <w:p w:rsidR="002C59D2" w:rsidRPr="00603CA3" w:rsidRDefault="002C59D2" w:rsidP="00603CA3">
      <w:pPr>
        <w:spacing w:line="276" w:lineRule="auto"/>
        <w:rPr>
          <w:color w:val="000000" w:themeColor="text1"/>
          <w:szCs w:val="24"/>
        </w:rPr>
      </w:pPr>
      <w:r w:rsidRPr="00603CA3">
        <w:rPr>
          <w:color w:val="000000" w:themeColor="text1"/>
          <w:szCs w:val="24"/>
        </w:rPr>
        <w:t xml:space="preserve">Finansējuma apguves novirze no plānotā lielākoties rodas iepirkuma procedūru aizkavēšanās dēļ un tādēļ projektos veicamo grozījumu dēļ. Tāpat arī, lai mazinātu neattiecināmo izmaksu risku, piemēram, sadarbības iestāde veic Izglītības un zinātnes ministrijas padotībā esošo profesionālās izglītības iestāžu pastiprinātas uzraudzības pasākumus, kas nedaudz palēnina finansējuma apguvi un rada novirzes finansēšanas plānos. </w:t>
      </w:r>
    </w:p>
    <w:p w:rsidR="002C59D2" w:rsidRPr="00603CA3" w:rsidRDefault="002C59D2" w:rsidP="00603CA3">
      <w:pPr>
        <w:spacing w:line="276" w:lineRule="auto"/>
        <w:rPr>
          <w:color w:val="000000" w:themeColor="text1"/>
          <w:szCs w:val="24"/>
        </w:rPr>
      </w:pPr>
      <w:r w:rsidRPr="00603CA3">
        <w:rPr>
          <w:color w:val="000000" w:themeColor="text1"/>
          <w:szCs w:val="24"/>
        </w:rPr>
        <w:t xml:space="preserve">Ņemot vērā zemāk minēto projektu budžeta izpildi, uzskatām, ka Vides aizsardzības un reģionālās attīstības ministrijai un Izglītības un zinātnes ministrijai ir kritiski jāpārvērtē šo projektu finansējuma apgūšanas iespējas. Līdz ar to Finanšu ministrija rosinās uzdot ministrijām  sniegt informāciju Valsts sekretāru sanāksmē, kas notiek katra mēneša pēdējā nedēļā, par valsts budžeta iestāžu projektu problēmu analīzi un priekšlikumiem turpmākai rīcībai.  </w:t>
      </w:r>
    </w:p>
    <w:p w:rsidR="00F3091C" w:rsidRPr="00603CA3" w:rsidRDefault="002C59D2" w:rsidP="00603CA3">
      <w:pPr>
        <w:spacing w:line="276" w:lineRule="auto"/>
        <w:rPr>
          <w:color w:val="000000" w:themeColor="text1"/>
          <w:szCs w:val="24"/>
        </w:rPr>
      </w:pPr>
      <w:r w:rsidRPr="00603CA3">
        <w:rPr>
          <w:color w:val="000000" w:themeColor="text1"/>
          <w:szCs w:val="24"/>
        </w:rPr>
        <w:lastRenderedPageBreak/>
        <w:t xml:space="preserve">Tabula Nr.1. </w:t>
      </w:r>
      <w:r w:rsidRPr="00603CA3">
        <w:rPr>
          <w:i/>
          <w:color w:val="000000" w:themeColor="text1"/>
          <w:szCs w:val="24"/>
        </w:rPr>
        <w:t>„Valsts budžeta iestāžu īstenojamo projektu saraksts, kuros konstatētas ievērojamākās novirzes no budžeta plāna izpildes 2011.gada aprīlī, maijā un jūnijā.”</w:t>
      </w:r>
    </w:p>
    <w:p w:rsidR="00576459" w:rsidRPr="00603CA3" w:rsidRDefault="00576459" w:rsidP="00603CA3">
      <w:pPr>
        <w:spacing w:line="276" w:lineRule="auto"/>
        <w:rPr>
          <w:color w:val="000000" w:themeColor="text1"/>
          <w:szCs w:val="24"/>
        </w:rPr>
      </w:pPr>
      <w:bookmarkStart w:id="17" w:name="_Toc276049975"/>
    </w:p>
    <w:p w:rsidR="003E5F73" w:rsidRPr="00603CA3" w:rsidRDefault="003E5F73" w:rsidP="00603CA3">
      <w:pPr>
        <w:spacing w:line="276" w:lineRule="auto"/>
        <w:rPr>
          <w:color w:val="000000" w:themeColor="text1"/>
          <w:szCs w:val="24"/>
        </w:rPr>
      </w:pPr>
    </w:p>
    <w:p w:rsidR="000873A2" w:rsidRPr="00603CA3" w:rsidRDefault="00903292" w:rsidP="00603CA3">
      <w:pPr>
        <w:spacing w:line="276" w:lineRule="auto"/>
        <w:rPr>
          <w:color w:val="000000" w:themeColor="text1"/>
          <w:szCs w:val="24"/>
        </w:rPr>
      </w:pPr>
      <w:r w:rsidRPr="00603CA3">
        <w:rPr>
          <w:noProof/>
          <w:color w:val="000000" w:themeColor="text1"/>
          <w:szCs w:val="24"/>
          <w:lang w:eastAsia="lv-LV"/>
        </w:rPr>
        <w:drawing>
          <wp:inline distT="0" distB="0" distL="0" distR="0" wp14:anchorId="20B825A7" wp14:editId="5389448B">
            <wp:extent cx="5760085" cy="725678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ula 1.JPG"/>
                    <pic:cNvPicPr/>
                  </pic:nvPicPr>
                  <pic:blipFill>
                    <a:blip r:embed="rId20">
                      <a:extLst>
                        <a:ext uri="{28A0092B-C50C-407E-A947-70E740481C1C}">
                          <a14:useLocalDpi xmlns:a14="http://schemas.microsoft.com/office/drawing/2010/main" val="0"/>
                        </a:ext>
                      </a:extLst>
                    </a:blip>
                    <a:stretch>
                      <a:fillRect/>
                    </a:stretch>
                  </pic:blipFill>
                  <pic:spPr>
                    <a:xfrm>
                      <a:off x="0" y="0"/>
                      <a:ext cx="5760085" cy="7256780"/>
                    </a:xfrm>
                    <a:prstGeom prst="rect">
                      <a:avLst/>
                    </a:prstGeom>
                  </pic:spPr>
                </pic:pic>
              </a:graphicData>
            </a:graphic>
          </wp:inline>
        </w:drawing>
      </w:r>
    </w:p>
    <w:p w:rsidR="002C59D2" w:rsidRPr="00603CA3" w:rsidRDefault="00B70927" w:rsidP="00603CA3">
      <w:pPr>
        <w:spacing w:line="276" w:lineRule="auto"/>
        <w:rPr>
          <w:rFonts w:eastAsiaTheme="minorHAnsi"/>
          <w:color w:val="000000" w:themeColor="text1"/>
          <w:szCs w:val="24"/>
        </w:rPr>
      </w:pPr>
      <w:r w:rsidRPr="00603CA3">
        <w:rPr>
          <w:rFonts w:eastAsiaTheme="minorHAnsi"/>
          <w:color w:val="000000" w:themeColor="text1"/>
          <w:szCs w:val="24"/>
        </w:rPr>
        <w:t xml:space="preserve">28.07.2011. Valsts sekretāru sanāksmē tika apspriests jautājums par </w:t>
      </w:r>
      <w:r w:rsidR="00FF6B77" w:rsidRPr="00603CA3">
        <w:rPr>
          <w:rFonts w:eastAsiaTheme="minorHAnsi"/>
          <w:color w:val="000000" w:themeColor="text1"/>
          <w:szCs w:val="24"/>
        </w:rPr>
        <w:t>līdzekļu</w:t>
      </w:r>
      <w:r w:rsidRPr="00603CA3">
        <w:rPr>
          <w:rFonts w:eastAsiaTheme="minorHAnsi"/>
          <w:color w:val="000000" w:themeColor="text1"/>
          <w:szCs w:val="24"/>
        </w:rPr>
        <w:t xml:space="preserve"> </w:t>
      </w:r>
      <w:r w:rsidR="00FF6B77" w:rsidRPr="00603CA3">
        <w:rPr>
          <w:rFonts w:eastAsiaTheme="minorHAnsi"/>
          <w:color w:val="000000" w:themeColor="text1"/>
          <w:szCs w:val="24"/>
        </w:rPr>
        <w:t>apguvi</w:t>
      </w:r>
      <w:r w:rsidRPr="00603CA3">
        <w:rPr>
          <w:rFonts w:eastAsiaTheme="minorHAnsi"/>
          <w:color w:val="000000" w:themeColor="text1"/>
          <w:szCs w:val="24"/>
        </w:rPr>
        <w:t xml:space="preserve"> un tika </w:t>
      </w:r>
      <w:r w:rsidR="0004241F" w:rsidRPr="00603CA3">
        <w:rPr>
          <w:rFonts w:eastAsiaTheme="minorHAnsi"/>
          <w:color w:val="000000" w:themeColor="text1"/>
          <w:szCs w:val="24"/>
        </w:rPr>
        <w:t xml:space="preserve">nolemts izvērtēt pasliktinājušos situāciju budžeta izpildē un sniegt priekšlikumus tās uzlabošanai, par ko sniegta informācija tālāk. </w:t>
      </w:r>
      <w:r w:rsidRPr="00603CA3">
        <w:rPr>
          <w:rFonts w:eastAsiaTheme="minorHAnsi"/>
          <w:color w:val="000000" w:themeColor="text1"/>
          <w:szCs w:val="24"/>
        </w:rPr>
        <w:t xml:space="preserve"> </w:t>
      </w:r>
    </w:p>
    <w:p w:rsidR="00B70927" w:rsidRPr="00603CA3" w:rsidRDefault="00B70927" w:rsidP="00603CA3">
      <w:pPr>
        <w:spacing w:line="276" w:lineRule="auto"/>
        <w:rPr>
          <w:rFonts w:eastAsiaTheme="minorHAnsi"/>
          <w:color w:val="000000" w:themeColor="text1"/>
          <w:szCs w:val="24"/>
          <w:u w:val="single"/>
        </w:rPr>
      </w:pPr>
      <w:r w:rsidRPr="00603CA3">
        <w:rPr>
          <w:rFonts w:eastAsiaTheme="minorHAnsi"/>
          <w:color w:val="000000" w:themeColor="text1"/>
          <w:szCs w:val="24"/>
          <w:u w:val="single"/>
        </w:rPr>
        <w:t>Finanšu disciplīnas pasākumu izvērtēšana</w:t>
      </w:r>
    </w:p>
    <w:p w:rsidR="002C59D2" w:rsidRPr="00603CA3" w:rsidRDefault="002C59D2" w:rsidP="00603CA3">
      <w:pPr>
        <w:spacing w:line="276" w:lineRule="auto"/>
        <w:rPr>
          <w:rFonts w:eastAsiaTheme="minorHAnsi"/>
          <w:color w:val="000000" w:themeColor="text1"/>
          <w:szCs w:val="24"/>
          <w:highlight w:val="yellow"/>
        </w:rPr>
      </w:pPr>
      <w:r w:rsidRPr="00603CA3">
        <w:rPr>
          <w:rFonts w:eastAsiaTheme="minorHAnsi"/>
          <w:color w:val="000000" w:themeColor="text1"/>
          <w:szCs w:val="24"/>
        </w:rPr>
        <w:lastRenderedPageBreak/>
        <w:t xml:space="preserve">Izpildot VSS 28.07.2011. protokola Nr.29 45.§ nolemto, FM sadarbībā ar iesaistītajām ministrijām, izvērtējusi pieprasījumu pēc papildu finansējuma no 80.00.00.programmas un līdzšinējos finansējuma apguves kavējumu iemeslus, sniedz priekšlikumus par 2011.gada ES fondu projektu īstenošanai paredzētā atlikušā budžeta finansējuma izlietojumam, tai skaitā izskatot iespēju diferencēt finansēšanas plānu izmaiņu veikšanas principus. </w:t>
      </w:r>
    </w:p>
    <w:p w:rsidR="002C59D2" w:rsidRPr="00603CA3" w:rsidRDefault="002C59D2" w:rsidP="00603CA3">
      <w:pPr>
        <w:spacing w:line="276" w:lineRule="auto"/>
        <w:rPr>
          <w:rFonts w:eastAsiaTheme="minorHAnsi"/>
          <w:color w:val="000000" w:themeColor="text1"/>
          <w:szCs w:val="24"/>
        </w:rPr>
      </w:pPr>
      <w:r w:rsidRPr="00603CA3">
        <w:rPr>
          <w:rFonts w:eastAsiaTheme="minorHAnsi"/>
          <w:color w:val="000000" w:themeColor="text1"/>
          <w:szCs w:val="24"/>
        </w:rPr>
        <w:t xml:space="preserve">Izvērtējot ministriju </w:t>
      </w:r>
      <w:proofErr w:type="spellStart"/>
      <w:r w:rsidRPr="00603CA3">
        <w:rPr>
          <w:rFonts w:eastAsiaTheme="minorHAnsi"/>
          <w:color w:val="000000" w:themeColor="text1"/>
          <w:szCs w:val="24"/>
        </w:rPr>
        <w:t>š.g</w:t>
      </w:r>
      <w:proofErr w:type="spellEnd"/>
      <w:r w:rsidRPr="00603CA3">
        <w:rPr>
          <w:rFonts w:eastAsiaTheme="minorHAnsi"/>
          <w:color w:val="000000" w:themeColor="text1"/>
          <w:szCs w:val="24"/>
        </w:rPr>
        <w:t xml:space="preserve">. jūlijā sniegto informāciju par papildu līdzekļu nepieciešamību 2011.gada atlikušajos mēnešos, secinām, ka kopumā ir nepieciešami papildu līdzekļi~14.2 </w:t>
      </w:r>
      <w:proofErr w:type="spellStart"/>
      <w:r w:rsidRPr="00603CA3">
        <w:rPr>
          <w:rFonts w:eastAsiaTheme="minorHAnsi"/>
          <w:color w:val="000000" w:themeColor="text1"/>
          <w:szCs w:val="24"/>
        </w:rPr>
        <w:t>milj</w:t>
      </w:r>
      <w:proofErr w:type="spellEnd"/>
      <w:r w:rsidRPr="00603CA3">
        <w:rPr>
          <w:rFonts w:eastAsiaTheme="minorHAnsi"/>
          <w:color w:val="000000" w:themeColor="text1"/>
          <w:szCs w:val="24"/>
        </w:rPr>
        <w:t xml:space="preserve">. latu, </w:t>
      </w:r>
      <w:proofErr w:type="spellStart"/>
      <w:r w:rsidRPr="00603CA3">
        <w:rPr>
          <w:rFonts w:eastAsiaTheme="minorHAnsi"/>
          <w:color w:val="000000" w:themeColor="text1"/>
          <w:szCs w:val="24"/>
        </w:rPr>
        <w:t>t.sk</w:t>
      </w:r>
      <w:proofErr w:type="spellEnd"/>
      <w:r w:rsidRPr="00603CA3">
        <w:rPr>
          <w:rFonts w:eastAsiaTheme="minorHAnsi"/>
          <w:color w:val="000000" w:themeColor="text1"/>
          <w:szCs w:val="24"/>
        </w:rPr>
        <w:t>.</w:t>
      </w:r>
    </w:p>
    <w:p w:rsidR="002C59D2" w:rsidRPr="00603CA3" w:rsidRDefault="002C59D2" w:rsidP="00603CA3">
      <w:pPr>
        <w:numPr>
          <w:ilvl w:val="0"/>
          <w:numId w:val="35"/>
        </w:numPr>
        <w:spacing w:line="276" w:lineRule="auto"/>
        <w:contextualSpacing/>
        <w:jc w:val="left"/>
        <w:rPr>
          <w:rFonts w:eastAsiaTheme="minorHAnsi"/>
          <w:color w:val="000000" w:themeColor="text1"/>
          <w:szCs w:val="24"/>
        </w:rPr>
      </w:pPr>
      <w:r w:rsidRPr="00603CA3">
        <w:rPr>
          <w:rFonts w:eastAsiaTheme="minorHAnsi"/>
          <w:color w:val="000000" w:themeColor="text1"/>
          <w:szCs w:val="24"/>
        </w:rPr>
        <w:t xml:space="preserve">Valsts kancelejai ~ 200 </w:t>
      </w:r>
      <w:proofErr w:type="spellStart"/>
      <w:r w:rsidRPr="00603CA3">
        <w:rPr>
          <w:rFonts w:eastAsiaTheme="minorHAnsi"/>
          <w:color w:val="000000" w:themeColor="text1"/>
          <w:szCs w:val="24"/>
        </w:rPr>
        <w:t>tūkst</w:t>
      </w:r>
      <w:proofErr w:type="spellEnd"/>
      <w:r w:rsidRPr="00603CA3">
        <w:rPr>
          <w:rFonts w:eastAsiaTheme="minorHAnsi"/>
          <w:color w:val="000000" w:themeColor="text1"/>
          <w:szCs w:val="24"/>
        </w:rPr>
        <w:t>. latu apmērā septembrī un oktobrī;</w:t>
      </w:r>
    </w:p>
    <w:p w:rsidR="002C59D2" w:rsidRPr="00603CA3" w:rsidRDefault="002C59D2" w:rsidP="00603CA3">
      <w:pPr>
        <w:numPr>
          <w:ilvl w:val="0"/>
          <w:numId w:val="35"/>
        </w:numPr>
        <w:spacing w:line="276" w:lineRule="auto"/>
        <w:contextualSpacing/>
        <w:jc w:val="left"/>
        <w:rPr>
          <w:rFonts w:eastAsiaTheme="minorHAnsi"/>
          <w:color w:val="000000" w:themeColor="text1"/>
          <w:szCs w:val="24"/>
        </w:rPr>
      </w:pPr>
      <w:r w:rsidRPr="00603CA3">
        <w:rPr>
          <w:rFonts w:eastAsiaTheme="minorHAnsi"/>
          <w:color w:val="000000" w:themeColor="text1"/>
          <w:szCs w:val="24"/>
        </w:rPr>
        <w:t xml:space="preserve">IZM 14 </w:t>
      </w:r>
      <w:proofErr w:type="spellStart"/>
      <w:r w:rsidRPr="00603CA3">
        <w:rPr>
          <w:rFonts w:eastAsiaTheme="minorHAnsi"/>
          <w:color w:val="000000" w:themeColor="text1"/>
          <w:szCs w:val="24"/>
        </w:rPr>
        <w:t>milj</w:t>
      </w:r>
      <w:proofErr w:type="spellEnd"/>
      <w:r w:rsidRPr="00603CA3">
        <w:rPr>
          <w:rFonts w:eastAsiaTheme="minorHAnsi"/>
          <w:color w:val="000000" w:themeColor="text1"/>
          <w:szCs w:val="24"/>
        </w:rPr>
        <w:t xml:space="preserve">. latu apmērā oktobrī un novembrī, lai nodrošinātu avansa maksājumus finansējuma saņēmējiem 2.1.1.3.1 </w:t>
      </w:r>
      <w:proofErr w:type="spellStart"/>
      <w:r w:rsidRPr="00603CA3">
        <w:rPr>
          <w:rFonts w:eastAsiaTheme="minorHAnsi"/>
          <w:color w:val="000000" w:themeColor="text1"/>
          <w:szCs w:val="24"/>
        </w:rPr>
        <w:t>apakšaktivitātes</w:t>
      </w:r>
      <w:proofErr w:type="spellEnd"/>
      <w:r w:rsidRPr="00603CA3">
        <w:rPr>
          <w:rFonts w:eastAsiaTheme="minorHAnsi"/>
          <w:color w:val="000000" w:themeColor="text1"/>
          <w:szCs w:val="24"/>
        </w:rPr>
        <w:t xml:space="preserve"> „Zinātnes infrastruktūras attīstība”  apstiprināto projektu ietvaros.</w:t>
      </w:r>
    </w:p>
    <w:p w:rsidR="002C59D2" w:rsidRPr="00603CA3" w:rsidRDefault="002C59D2" w:rsidP="00603CA3">
      <w:pPr>
        <w:spacing w:line="276" w:lineRule="auto"/>
        <w:rPr>
          <w:rFonts w:eastAsiaTheme="minorHAnsi"/>
          <w:color w:val="000000" w:themeColor="text1"/>
          <w:szCs w:val="24"/>
        </w:rPr>
      </w:pPr>
      <w:r w:rsidRPr="00603CA3">
        <w:rPr>
          <w:rFonts w:eastAsiaTheme="minorHAnsi"/>
          <w:color w:val="000000" w:themeColor="text1"/>
          <w:szCs w:val="24"/>
        </w:rPr>
        <w:t xml:space="preserve">Uz 31.07.2001. 80.00.00 programmas kopējais atlikums ir 51.2 </w:t>
      </w:r>
      <w:proofErr w:type="spellStart"/>
      <w:r w:rsidRPr="00603CA3">
        <w:rPr>
          <w:rFonts w:eastAsiaTheme="minorHAnsi"/>
          <w:color w:val="000000" w:themeColor="text1"/>
          <w:szCs w:val="24"/>
        </w:rPr>
        <w:t>milj</w:t>
      </w:r>
      <w:proofErr w:type="spellEnd"/>
      <w:r w:rsidRPr="00603CA3">
        <w:rPr>
          <w:rFonts w:eastAsiaTheme="minorHAnsi"/>
          <w:color w:val="000000" w:themeColor="text1"/>
          <w:szCs w:val="24"/>
        </w:rPr>
        <w:t xml:space="preserve">. latu, no tā ES fondiem indikatīvi paredzēti 18 </w:t>
      </w:r>
      <w:proofErr w:type="spellStart"/>
      <w:r w:rsidRPr="00603CA3">
        <w:rPr>
          <w:rFonts w:eastAsiaTheme="minorHAnsi"/>
          <w:color w:val="000000" w:themeColor="text1"/>
          <w:szCs w:val="24"/>
        </w:rPr>
        <w:t>milj</w:t>
      </w:r>
      <w:proofErr w:type="spellEnd"/>
      <w:r w:rsidRPr="00603CA3">
        <w:rPr>
          <w:rFonts w:eastAsiaTheme="minorHAnsi"/>
          <w:color w:val="000000" w:themeColor="text1"/>
          <w:szCs w:val="24"/>
        </w:rPr>
        <w:t>. latu</w:t>
      </w:r>
      <w:r w:rsidRPr="00603CA3">
        <w:rPr>
          <w:rFonts w:eastAsiaTheme="minorHAnsi"/>
          <w:color w:val="000000" w:themeColor="text1"/>
          <w:szCs w:val="24"/>
          <w:vertAlign w:val="superscript"/>
        </w:rPr>
        <w:footnoteReference w:id="2"/>
      </w:r>
      <w:r w:rsidRPr="00603CA3">
        <w:rPr>
          <w:rFonts w:eastAsiaTheme="minorHAnsi"/>
          <w:color w:val="000000" w:themeColor="text1"/>
          <w:szCs w:val="24"/>
        </w:rPr>
        <w:t xml:space="preserve">, kas pilnībā nosedz šobrīd individuālu projektu papildu vajadzības 14.2 </w:t>
      </w:r>
      <w:proofErr w:type="spellStart"/>
      <w:r w:rsidRPr="00603CA3">
        <w:rPr>
          <w:rFonts w:eastAsiaTheme="minorHAnsi"/>
          <w:color w:val="000000" w:themeColor="text1"/>
          <w:szCs w:val="24"/>
        </w:rPr>
        <w:t>milj</w:t>
      </w:r>
      <w:proofErr w:type="spellEnd"/>
      <w:r w:rsidRPr="00603CA3">
        <w:rPr>
          <w:rFonts w:eastAsiaTheme="minorHAnsi"/>
          <w:color w:val="000000" w:themeColor="text1"/>
          <w:szCs w:val="24"/>
        </w:rPr>
        <w:t>. latu apmērā. Līdz ar to pastāv iespēja, ka 80.00.00. programmas atlikušie līdzekļi var tikt pārdalīti citiem instrumentiem vai palikt neizmantoti.</w:t>
      </w:r>
    </w:p>
    <w:p w:rsidR="002C59D2" w:rsidRPr="00603CA3" w:rsidRDefault="002C59D2" w:rsidP="00603CA3">
      <w:pPr>
        <w:spacing w:line="276" w:lineRule="auto"/>
        <w:rPr>
          <w:rFonts w:eastAsiaTheme="minorHAnsi"/>
          <w:color w:val="000000" w:themeColor="text1"/>
          <w:szCs w:val="24"/>
        </w:rPr>
      </w:pPr>
      <w:r w:rsidRPr="00603CA3">
        <w:rPr>
          <w:rFonts w:eastAsiaTheme="minorHAnsi"/>
          <w:color w:val="000000" w:themeColor="text1"/>
          <w:szCs w:val="24"/>
        </w:rPr>
        <w:t>Ņemot vērā vadošās iestādes iepriekšējo gadu pieredzi un to, ka jau pašlaik ir saņemta neformāla informācija, ka finansējumu uz 80.00.00 programmu plāno pārdalīt SM un EM, vadošā iestāde secina, ka iestādes labprāt izmantos iespēju pārdalīt finansējumu uz 80.00.00 programmu, nevis veikt visas nepieciešamās darbības līdzekļu apgūšanai.</w:t>
      </w:r>
    </w:p>
    <w:p w:rsidR="002C59D2" w:rsidRPr="00603CA3" w:rsidRDefault="002C59D2" w:rsidP="00603CA3">
      <w:pPr>
        <w:spacing w:line="276" w:lineRule="auto"/>
        <w:rPr>
          <w:rFonts w:eastAsiaTheme="minorHAnsi"/>
          <w:color w:val="000000" w:themeColor="text1"/>
          <w:szCs w:val="24"/>
        </w:rPr>
      </w:pPr>
      <w:r w:rsidRPr="00603CA3">
        <w:rPr>
          <w:rFonts w:eastAsiaTheme="minorHAnsi"/>
          <w:color w:val="000000" w:themeColor="text1"/>
          <w:szCs w:val="24"/>
        </w:rPr>
        <w:t>Galvenie iemesli līdzekļu apgūšanas kavējumiem ir saistīti ar problēmas iepirkumu jomā – pārkāpumiem, kā arī pārsūdzībām, kas bieži vien nepamatotas. Pārējie iemesli – kavējumi darbu izpildē, nekvalitatīvi sagatavotie dokumenti no finansējuma saņēmēju puses, neprecīza plānošana (detalizētāku informāciju skatīt 1.3. sadaļā „Publisko resursu ieguldījums un sasniegtie rezultāti”). Iestādes arī informējušas, ka maksājumu tempi palēninājušies sakarā ar stingrākiem finanšu disciplīnas pasākumiem, kā arī disciplināro atbildību.</w:t>
      </w:r>
    </w:p>
    <w:p w:rsidR="002C59D2" w:rsidRPr="00603CA3" w:rsidRDefault="002C59D2" w:rsidP="00603CA3">
      <w:pPr>
        <w:spacing w:line="276" w:lineRule="auto"/>
        <w:rPr>
          <w:rFonts w:eastAsiaTheme="minorHAnsi"/>
          <w:color w:val="000000" w:themeColor="text1"/>
          <w:szCs w:val="24"/>
        </w:rPr>
      </w:pPr>
      <w:r w:rsidRPr="00603CA3">
        <w:rPr>
          <w:rFonts w:eastAsiaTheme="minorHAnsi"/>
          <w:color w:val="000000" w:themeColor="text1"/>
          <w:szCs w:val="24"/>
        </w:rPr>
        <w:t>FM jau iepriekš bija vērsusi iestāžu uzmanību uz piesardzīgu budžeta plānošanas principu ievērošanu, piemēram, piemērot korekciju iesniegtajām finansējuma saņēmēju prognozēm par nepieciešamo finansējumu kārtējā gadā, ņemot vērā iepriekšējo pieredzi un visus kavējošos faktorus. Tāpat saskaņā ar Ministru kabineta 28.12.2010. noteikumiem Nr.1220 „Asignējumu piešķiršanas un izpildes kārtība” 12.punktu  finansējumu var izlietot ātrāk, veicot grozījumus finansēšanas plānos  (vismaz 3 darbdienas pirms kārtējā mēneša sākuma).  Vienlaicīgi FM  apņēmās veikt nepieciešamos pasākumus, lai nodrošinātu pietiekamu papildu finansējumu ministrijām, kas būs ieplānojušas finansējumu pārāk piesardzīgi.</w:t>
      </w:r>
    </w:p>
    <w:p w:rsidR="00C50E0A" w:rsidRPr="00603CA3" w:rsidRDefault="002C59D2" w:rsidP="00603CA3">
      <w:pPr>
        <w:spacing w:line="276" w:lineRule="auto"/>
        <w:rPr>
          <w:color w:val="000000" w:themeColor="text1"/>
          <w:szCs w:val="24"/>
        </w:rPr>
      </w:pPr>
      <w:r w:rsidRPr="00603CA3">
        <w:rPr>
          <w:rFonts w:eastAsiaTheme="minorHAnsi"/>
          <w:color w:val="000000" w:themeColor="text1"/>
          <w:szCs w:val="24"/>
        </w:rPr>
        <w:t xml:space="preserve">Ņemot vērā iepriekš minēto, Finanšu ministrija secina, ka, pirmkārt, jāuztur spēkā esošie finanšu disciplīnas pasākumi, otrkārt, iestādes var izmantot jau šobrīd spēkā esošo normu interpretāciju, ko Finanšu ministrija skaidroja normas izstrādes procesā, tas ir, gadījumos, ja saskaņā 18.05.2010. MK noteikumu Nr.464 31.1punktu iestādei jāiesniedz pārdale uz 80.00.00 programmu, bet iestāde, izvērtējot situāciju, tomēr spēj nodrošināt finansējuma apguvi, bet tikai vēlākajos mēnešos,  tad iesniedzot pārdali uz 80.00.00 programmu, pavadvēstulē iestāde sniedz skaidrojumu un lūdz atļauju finansējumu izlietot turpmākajos </w:t>
      </w:r>
      <w:r w:rsidRPr="00603CA3">
        <w:rPr>
          <w:rFonts w:eastAsiaTheme="minorHAnsi"/>
          <w:color w:val="000000" w:themeColor="text1"/>
          <w:szCs w:val="24"/>
        </w:rPr>
        <w:lastRenderedPageBreak/>
        <w:t xml:space="preserve">mēnešos. Finanšu ministrija lemj par atbalstu šādai rīcībai pamatotos gadījumos, ja tas atbilst drošiem un efektīviem finanšu pārvaldes principiem. </w:t>
      </w:r>
      <w:r w:rsidR="00FB6CCF" w:rsidRPr="00603CA3">
        <w:rPr>
          <w:color w:val="000000" w:themeColor="text1"/>
          <w:szCs w:val="24"/>
        </w:rPr>
        <w:t xml:space="preserve"> </w:t>
      </w:r>
    </w:p>
    <w:p w:rsidR="00787F29" w:rsidRPr="00603CA3" w:rsidRDefault="00787F29" w:rsidP="00603CA3">
      <w:pPr>
        <w:spacing w:line="276" w:lineRule="auto"/>
        <w:rPr>
          <w:rFonts w:eastAsiaTheme="minorHAnsi"/>
          <w:color w:val="000000" w:themeColor="text1"/>
          <w:szCs w:val="24"/>
        </w:rPr>
      </w:pPr>
    </w:p>
    <w:p w:rsidR="00A31531" w:rsidRPr="00603CA3" w:rsidRDefault="00A31531" w:rsidP="00603CA3">
      <w:pPr>
        <w:pStyle w:val="2lmenis"/>
        <w:numPr>
          <w:ilvl w:val="1"/>
          <w:numId w:val="2"/>
        </w:numPr>
        <w:spacing w:before="0" w:after="0" w:line="276" w:lineRule="auto"/>
        <w:ind w:left="1276" w:hanging="425"/>
        <w:rPr>
          <w:color w:val="000000" w:themeColor="text1"/>
          <w:sz w:val="24"/>
          <w:szCs w:val="24"/>
          <w:lang w:val="lv-LV"/>
        </w:rPr>
      </w:pPr>
      <w:bookmarkStart w:id="18" w:name="_Toc300759823"/>
      <w:r w:rsidRPr="00603CA3">
        <w:rPr>
          <w:color w:val="000000" w:themeColor="text1"/>
          <w:sz w:val="24"/>
          <w:szCs w:val="24"/>
          <w:lang w:val="lv-LV"/>
        </w:rPr>
        <w:t>Publisko resursu ieguldījums un sasniegtie rezultāti</w:t>
      </w:r>
      <w:bookmarkEnd w:id="18"/>
    </w:p>
    <w:p w:rsidR="004B48A2" w:rsidRPr="00603CA3" w:rsidRDefault="00D068FA" w:rsidP="00603CA3">
      <w:pPr>
        <w:spacing w:line="276" w:lineRule="auto"/>
        <w:rPr>
          <w:b/>
          <w:iCs/>
          <w:color w:val="000000" w:themeColor="text1"/>
          <w:szCs w:val="24"/>
        </w:rPr>
      </w:pPr>
      <w:bookmarkStart w:id="19" w:name="_Toc276049976"/>
      <w:bookmarkEnd w:id="17"/>
      <w:r w:rsidRPr="00603CA3">
        <w:rPr>
          <w:b/>
          <w:iCs/>
          <w:color w:val="000000" w:themeColor="text1"/>
          <w:szCs w:val="24"/>
        </w:rPr>
        <w:t xml:space="preserve">1.3.1. </w:t>
      </w:r>
      <w:r w:rsidR="004B48A2" w:rsidRPr="00603CA3">
        <w:rPr>
          <w:b/>
          <w:iCs/>
          <w:color w:val="000000" w:themeColor="text1"/>
          <w:szCs w:val="24"/>
        </w:rPr>
        <w:t>Darbības programma „Cilvēkresursi un nodarbinātība”</w:t>
      </w:r>
      <w:bookmarkEnd w:id="19"/>
    </w:p>
    <w:p w:rsidR="004B48A2" w:rsidRPr="00603CA3" w:rsidRDefault="00AC09D1" w:rsidP="00603CA3">
      <w:pPr>
        <w:spacing w:line="276" w:lineRule="auto"/>
        <w:rPr>
          <w:b/>
          <w:iCs/>
          <w:color w:val="000000" w:themeColor="text1"/>
          <w:szCs w:val="24"/>
        </w:rPr>
      </w:pPr>
      <w:r w:rsidRPr="00603CA3">
        <w:rPr>
          <w:color w:val="000000" w:themeColor="text1"/>
          <w:szCs w:val="24"/>
        </w:rPr>
        <w:t xml:space="preserve">No ESF līdzfinansētajām aktivitātēm pārskata periodā ieviešana visstraujāk virzījusies sociālās iekļaušanas aktivitātēs, nodarbinātības atbalsta jomā, kā arī vispārējās un profesionālās izglītības atbalsta aktivitātēs, kur pieaudzis gan noslēgto līgumu skaits, gan finansējuma saņēmējiem veikto maksājumu apjoms. Augstākās izglītības un zinātnes atbalsta jomā īpaši palielinājies veikto maksājumu kopapjoms, sasniedzot 13,5% pieaugumu salīdzinot ar 2011. gada 1. ceturksni. </w:t>
      </w:r>
      <w:r w:rsidR="008B6287" w:rsidRPr="00603CA3">
        <w:rPr>
          <w:color w:val="000000" w:themeColor="text1"/>
          <w:szCs w:val="24"/>
        </w:rPr>
        <w:t xml:space="preserve"> </w:t>
      </w:r>
      <w:r w:rsidR="00EF40EE" w:rsidRPr="00603CA3">
        <w:rPr>
          <w:color w:val="000000" w:themeColor="text1"/>
          <w:szCs w:val="24"/>
        </w:rPr>
        <w:t>(</w:t>
      </w:r>
      <w:r w:rsidR="000913FD" w:rsidRPr="00603CA3">
        <w:rPr>
          <w:color w:val="000000" w:themeColor="text1"/>
          <w:szCs w:val="24"/>
        </w:rPr>
        <w:t>skatīt</w:t>
      </w:r>
      <w:r w:rsidR="00EF40EE" w:rsidRPr="00603CA3">
        <w:rPr>
          <w:color w:val="000000" w:themeColor="text1"/>
          <w:szCs w:val="24"/>
        </w:rPr>
        <w:t xml:space="preserve"> </w:t>
      </w:r>
      <w:r w:rsidR="00EF40EE" w:rsidRPr="00603CA3">
        <w:rPr>
          <w:color w:val="000000" w:themeColor="text1"/>
          <w:szCs w:val="24"/>
          <w:u w:val="single"/>
        </w:rPr>
        <w:t>grafiku Nr.</w:t>
      </w:r>
      <w:r w:rsidR="00D661EE" w:rsidRPr="00603CA3">
        <w:rPr>
          <w:color w:val="000000" w:themeColor="text1"/>
          <w:szCs w:val="24"/>
          <w:u w:val="single"/>
        </w:rPr>
        <w:t>3</w:t>
      </w:r>
      <w:r w:rsidR="00EF40EE" w:rsidRPr="00603CA3">
        <w:rPr>
          <w:color w:val="000000" w:themeColor="text1"/>
          <w:szCs w:val="24"/>
        </w:rPr>
        <w:t>)</w:t>
      </w:r>
    </w:p>
    <w:p w:rsidR="00C1489E" w:rsidRPr="00603CA3" w:rsidRDefault="00427D80" w:rsidP="00603CA3">
      <w:pPr>
        <w:spacing w:line="276" w:lineRule="auto"/>
        <w:rPr>
          <w:color w:val="000000" w:themeColor="text1"/>
          <w:szCs w:val="24"/>
          <w:lang w:eastAsia="lv-LV"/>
        </w:rPr>
      </w:pPr>
      <w:r w:rsidRPr="00603CA3">
        <w:rPr>
          <w:color w:val="000000" w:themeColor="text1"/>
          <w:szCs w:val="24"/>
          <w:lang w:eastAsia="lv-LV"/>
        </w:rPr>
        <w:t>Grafiks Nr.</w:t>
      </w:r>
      <w:r w:rsidR="009E049A" w:rsidRPr="00603CA3">
        <w:rPr>
          <w:color w:val="000000" w:themeColor="text1"/>
          <w:szCs w:val="24"/>
          <w:lang w:eastAsia="lv-LV"/>
        </w:rPr>
        <w:t>3</w:t>
      </w:r>
      <w:r w:rsidRPr="00603CA3">
        <w:rPr>
          <w:i/>
          <w:iCs/>
          <w:color w:val="000000" w:themeColor="text1"/>
          <w:szCs w:val="24"/>
          <w:lang w:eastAsia="lv-LV"/>
        </w:rPr>
        <w:t xml:space="preserve"> „ES fondu finanšu apguve darbības programmā „Cilvēkresursi un nodarbinātība</w:t>
      </w:r>
      <w:r w:rsidR="00261CFD" w:rsidRPr="00603CA3">
        <w:rPr>
          <w:i/>
          <w:iCs/>
          <w:color w:val="000000" w:themeColor="text1"/>
          <w:szCs w:val="24"/>
          <w:lang w:eastAsia="lv-LV"/>
        </w:rPr>
        <w:t>” uz 30.06.2011.</w:t>
      </w:r>
      <w:r w:rsidRPr="00603CA3">
        <w:rPr>
          <w:i/>
          <w:iCs/>
          <w:color w:val="000000" w:themeColor="text1"/>
          <w:szCs w:val="24"/>
          <w:lang w:eastAsia="lv-LV"/>
        </w:rPr>
        <w:t xml:space="preserve">; </w:t>
      </w:r>
      <w:proofErr w:type="spellStart"/>
      <w:r w:rsidRPr="00603CA3">
        <w:rPr>
          <w:i/>
          <w:iCs/>
          <w:color w:val="000000" w:themeColor="text1"/>
          <w:szCs w:val="24"/>
          <w:lang w:eastAsia="lv-LV"/>
        </w:rPr>
        <w:t>milj</w:t>
      </w:r>
      <w:proofErr w:type="spellEnd"/>
      <w:r w:rsidRPr="00603CA3">
        <w:rPr>
          <w:i/>
          <w:iCs/>
          <w:color w:val="000000" w:themeColor="text1"/>
          <w:szCs w:val="24"/>
          <w:lang w:eastAsia="lv-LV"/>
        </w:rPr>
        <w:t>. LVL, (% no pieejamā publiskā finansējuma); % progress pret datiem uz 31.03.2011.”</w:t>
      </w:r>
    </w:p>
    <w:p w:rsidR="004B48A2" w:rsidRPr="00603CA3" w:rsidRDefault="00E717CF" w:rsidP="00603CA3">
      <w:pPr>
        <w:spacing w:line="276" w:lineRule="auto"/>
        <w:rPr>
          <w:color w:val="000000" w:themeColor="text1"/>
          <w:szCs w:val="24"/>
          <w:lang w:eastAsia="lv-LV"/>
        </w:rPr>
      </w:pPr>
      <w:r w:rsidRPr="00603CA3">
        <w:rPr>
          <w:noProof/>
          <w:color w:val="000000" w:themeColor="text1"/>
          <w:szCs w:val="24"/>
          <w:lang w:eastAsia="lv-LV"/>
        </w:rPr>
        <w:drawing>
          <wp:inline distT="0" distB="0" distL="0" distR="0" wp14:anchorId="54177045" wp14:editId="223AF6DD">
            <wp:extent cx="5486400" cy="469959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C09D1" w:rsidRPr="00603CA3" w:rsidRDefault="00AC09D1" w:rsidP="00603CA3">
      <w:pPr>
        <w:pStyle w:val="Default"/>
        <w:spacing w:line="276" w:lineRule="auto"/>
        <w:jc w:val="both"/>
        <w:rPr>
          <w:color w:val="000000" w:themeColor="text1"/>
        </w:rPr>
      </w:pPr>
      <w:r w:rsidRPr="00603CA3">
        <w:rPr>
          <w:color w:val="000000" w:themeColor="text1"/>
        </w:rPr>
        <w:t xml:space="preserve">Galvenās konstatētās problēmas aktivitāšu un projektu ieviešanā ir saistītas ar plānošanas nepilnībām, iepirkumu pārsūdzības, kā arī finansējuma saņēmēju iesniegtās projekta dokumentācijas ─ progresa pārskatu, maksājumu pieprasījumu prognožu un maksājumu pieprasījumu un to pamatojošo dokumentu nepietiekamā kvalitāte un dokumentu iesniegšanas termiņu neievērošana. Atbildīgās iestādes un sadarbības iestādes situācijas uzlabošanai </w:t>
      </w:r>
      <w:r w:rsidRPr="00603CA3">
        <w:rPr>
          <w:color w:val="000000" w:themeColor="text1"/>
        </w:rPr>
        <w:lastRenderedPageBreak/>
        <w:t xml:space="preserve">turpina darbu ar finansējuma saņēmējiem, sniedzot papildu konsultācijas, organizējot seminārus, </w:t>
      </w:r>
      <w:proofErr w:type="spellStart"/>
      <w:r w:rsidRPr="00603CA3">
        <w:rPr>
          <w:color w:val="000000" w:themeColor="text1"/>
        </w:rPr>
        <w:t>t.sk</w:t>
      </w:r>
      <w:proofErr w:type="spellEnd"/>
      <w:r w:rsidRPr="00603CA3">
        <w:rPr>
          <w:color w:val="000000" w:themeColor="text1"/>
        </w:rPr>
        <w:t>. ar Iepirkumu uzraudzības biroja speciālistu dalību.</w:t>
      </w:r>
    </w:p>
    <w:p w:rsidR="00AC09D1" w:rsidRPr="00603CA3" w:rsidRDefault="00AC09D1" w:rsidP="00603CA3">
      <w:pPr>
        <w:shd w:val="clear" w:color="auto" w:fill="FFFFFF"/>
        <w:spacing w:line="276" w:lineRule="auto"/>
        <w:rPr>
          <w:b/>
          <w:color w:val="000000" w:themeColor="text1"/>
          <w:szCs w:val="24"/>
        </w:rPr>
      </w:pPr>
      <w:r w:rsidRPr="00603CA3">
        <w:rPr>
          <w:b/>
          <w:color w:val="000000" w:themeColor="text1"/>
          <w:szCs w:val="24"/>
        </w:rPr>
        <w:t>„Augstākā izglītība un zinātne”</w:t>
      </w:r>
    </w:p>
    <w:p w:rsidR="00AC09D1" w:rsidRPr="00603CA3" w:rsidRDefault="00AC09D1" w:rsidP="00603CA3">
      <w:pPr>
        <w:shd w:val="clear" w:color="auto" w:fill="FFFFFF"/>
        <w:spacing w:line="276" w:lineRule="auto"/>
        <w:rPr>
          <w:color w:val="000000" w:themeColor="text1"/>
          <w:szCs w:val="24"/>
        </w:rPr>
      </w:pPr>
      <w:r w:rsidRPr="00603CA3">
        <w:rPr>
          <w:color w:val="000000" w:themeColor="text1"/>
          <w:szCs w:val="24"/>
        </w:rPr>
        <w:t xml:space="preserve">Prioritāte ir vērsta uz augstākās izglītības kvalitātes un pieejamības uzlabošanu, motivācijas veicināšanu zinātniskajai darbībai un cilvēkresursu piesaisti augstākai izglītībai, zinātnei un pētniecībai un tās mērķis ir nodrošināt augsti kvalificētu speciālistu sagatavošanu tautsaimniecības attīstībai svarīgās nozarēs un nostiprināt cilvēku potenciālu zinātnes un pētniecības attīstībai, uzlabojot augstākās izglītības kvalitāti un pieejamību, piesaistot cilvēkresursus augstākai izglītībai, zinātnei un pētniecībai, palielinot studējošo skaitu maģistra un doktora studijās un veicinot motivāciju zinātniskajai darbībai. </w:t>
      </w:r>
    </w:p>
    <w:p w:rsidR="00AC09D1" w:rsidRPr="00603CA3" w:rsidRDefault="00AC09D1" w:rsidP="00603CA3">
      <w:pPr>
        <w:pStyle w:val="Default"/>
        <w:spacing w:line="276" w:lineRule="auto"/>
        <w:jc w:val="both"/>
        <w:rPr>
          <w:color w:val="000000" w:themeColor="text1"/>
        </w:rPr>
      </w:pPr>
      <w:r w:rsidRPr="00603CA3">
        <w:rPr>
          <w:color w:val="000000" w:themeColor="text1"/>
        </w:rPr>
        <w:t xml:space="preserve">Turpinājusies vairāku aktivitāšu ieviešana. Līdz pārskata perioda beigām ESF atbalstu maģistrantūras studijām ir saņēmuši 1062 maģistrantūras studenti, </w:t>
      </w:r>
      <w:proofErr w:type="spellStart"/>
      <w:r w:rsidRPr="00603CA3">
        <w:rPr>
          <w:color w:val="000000" w:themeColor="text1"/>
        </w:rPr>
        <w:t>t.i</w:t>
      </w:r>
      <w:proofErr w:type="spellEnd"/>
      <w:r w:rsidRPr="00603CA3">
        <w:rPr>
          <w:color w:val="000000" w:themeColor="text1"/>
        </w:rPr>
        <w:t xml:space="preserve">. 18% no kopējā (5 776) valstī 2009./2010.akadēmiskajā gadā studējošo maģistrantu skaita. Savukārt ESF atbalstu doktorantūras studijām ir saņēmuši 1346 doktorantūras studenti, </w:t>
      </w:r>
      <w:proofErr w:type="spellStart"/>
      <w:r w:rsidRPr="00603CA3">
        <w:rPr>
          <w:color w:val="000000" w:themeColor="text1"/>
        </w:rPr>
        <w:t>t.i</w:t>
      </w:r>
      <w:proofErr w:type="spellEnd"/>
      <w:r w:rsidRPr="00603CA3">
        <w:rPr>
          <w:color w:val="000000" w:themeColor="text1"/>
        </w:rPr>
        <w:t xml:space="preserve">. 63% no kopējā (2 152) valstī 2009./2010.akadēmiskajā gadā doktorantūrā studējošo skaita. </w:t>
      </w:r>
      <w:proofErr w:type="spellStart"/>
      <w:r w:rsidR="00877306" w:rsidRPr="00603CA3">
        <w:rPr>
          <w:color w:val="000000" w:themeColor="text1"/>
        </w:rPr>
        <w:t>Mērķstipendiju</w:t>
      </w:r>
      <w:proofErr w:type="spellEnd"/>
      <w:r w:rsidR="00877306" w:rsidRPr="00603CA3">
        <w:rPr>
          <w:color w:val="000000" w:themeColor="text1"/>
        </w:rPr>
        <w:t xml:space="preserve"> piešķiršana ir veicinājusi studēt gribētāju skaita pieaugumu konkrētajās studiju programmās. Tā kā viens no valsts budžeta līdzekļu piešķiršanas kritērijiem augstākās izglītības iestādei ir studentu skaita izmaiņas, palielinoties studentu skaitam augstākās izglītības iestādei tiek piešķirts attiecīgi lielāks valsts budžeta finansējums, ko tā var novirzīt valsts finansētu budžeta vietu skaita palielināšanai. </w:t>
      </w:r>
      <w:r w:rsidRPr="00603CA3">
        <w:rPr>
          <w:color w:val="000000" w:themeColor="text1"/>
        </w:rPr>
        <w:t xml:space="preserve"> </w:t>
      </w:r>
      <w:r w:rsidR="00877306" w:rsidRPr="00603CA3">
        <w:rPr>
          <w:color w:val="000000" w:themeColor="text1"/>
        </w:rPr>
        <w:t>R</w:t>
      </w:r>
      <w:r w:rsidRPr="00603CA3">
        <w:rPr>
          <w:color w:val="000000" w:themeColor="text1"/>
        </w:rPr>
        <w:t>ādītāju ieviešanas progress pamatā atbilst pārskata periodā sasniegtajam finanšu progresam.</w:t>
      </w:r>
    </w:p>
    <w:p w:rsidR="00AC09D1" w:rsidRPr="00603CA3" w:rsidRDefault="00AC09D1" w:rsidP="00603CA3">
      <w:pPr>
        <w:spacing w:line="276" w:lineRule="auto"/>
        <w:rPr>
          <w:b/>
          <w:color w:val="000000" w:themeColor="text1"/>
          <w:szCs w:val="24"/>
        </w:rPr>
      </w:pPr>
      <w:r w:rsidRPr="00603CA3">
        <w:rPr>
          <w:b/>
          <w:color w:val="000000" w:themeColor="text1"/>
          <w:szCs w:val="24"/>
        </w:rPr>
        <w:t>„Izglītība un prasmes”</w:t>
      </w:r>
    </w:p>
    <w:p w:rsidR="00AC09D1" w:rsidRPr="00603CA3" w:rsidRDefault="00AC09D1" w:rsidP="00603CA3">
      <w:pPr>
        <w:spacing w:line="276" w:lineRule="auto"/>
        <w:rPr>
          <w:color w:val="000000" w:themeColor="text1"/>
          <w:szCs w:val="24"/>
        </w:rPr>
      </w:pPr>
      <w:r w:rsidRPr="00603CA3">
        <w:rPr>
          <w:color w:val="000000" w:themeColor="text1"/>
          <w:szCs w:val="24"/>
        </w:rPr>
        <w:t>Prioritātes mērķis ir nodrošināt zinoša, prasmīga un darba tirgus prasībām atbilstoša darbaspēka sagatavošanu, uzlabojot izglītības kvalitāti un pieejamību, sniedzot iespējas attīstīt un papildināt zināšanas visām sabiedrības grupām mūža garumā, kā arī stiprinot izglītībā un mūžizglītībā iesaistīto institūciju kapacitāti un uzlabojot sadarbību izglītības politikas veidošanā un īstenošanā.</w:t>
      </w:r>
    </w:p>
    <w:p w:rsidR="00AC09D1" w:rsidRPr="00603CA3" w:rsidRDefault="00AC09D1" w:rsidP="00603CA3">
      <w:pPr>
        <w:pStyle w:val="Default"/>
        <w:spacing w:line="276" w:lineRule="auto"/>
        <w:jc w:val="both"/>
        <w:rPr>
          <w:color w:val="000000" w:themeColor="text1"/>
        </w:rPr>
      </w:pPr>
      <w:r w:rsidRPr="00603CA3">
        <w:rPr>
          <w:color w:val="000000" w:themeColor="text1"/>
        </w:rPr>
        <w:t xml:space="preserve">Prioritātes aktivitātēs atbalstīta profesionālās izglītības pilnveide, pedagogu konkurētspējas veicināšana, mūžizglītība. Sākotnējās profesionālās izglītības pievilcības veicināšanai </w:t>
      </w:r>
      <w:proofErr w:type="spellStart"/>
      <w:r w:rsidRPr="00603CA3">
        <w:rPr>
          <w:color w:val="000000" w:themeColor="text1"/>
        </w:rPr>
        <w:t>mērķstipendijas</w:t>
      </w:r>
      <w:proofErr w:type="spellEnd"/>
      <w:r w:rsidRPr="00603CA3">
        <w:rPr>
          <w:color w:val="000000" w:themeColor="text1"/>
        </w:rPr>
        <w:t xml:space="preserve"> ir piešķirtas 40 963 sākotnējā profesionālajā izglītībā studējošajiem jauniešiem, jeb 80% no kopējā profesionālās izglītības iestāžu audzēkņu skaita valstī.</w:t>
      </w:r>
    </w:p>
    <w:p w:rsidR="00AC09D1" w:rsidRPr="00603CA3" w:rsidRDefault="00AC09D1" w:rsidP="00603CA3">
      <w:pPr>
        <w:pStyle w:val="Default"/>
        <w:spacing w:line="276" w:lineRule="auto"/>
        <w:jc w:val="both"/>
        <w:rPr>
          <w:color w:val="000000" w:themeColor="text1"/>
        </w:rPr>
      </w:pPr>
      <w:r w:rsidRPr="00603CA3">
        <w:rPr>
          <w:color w:val="000000" w:themeColor="text1"/>
        </w:rPr>
        <w:t>Pedagogu konkurētspējas veicināšana izglītības sistēmas optimizācijas apstākļos īstenotā projekta aktivitātēs iesaistījušies 12 213 pedagogi. Pedag</w:t>
      </w:r>
      <w:r w:rsidR="00731BFF" w:rsidRPr="00603CA3">
        <w:rPr>
          <w:color w:val="000000" w:themeColor="text1"/>
        </w:rPr>
        <w:t>ogu apmācībām turpinoties 2011.</w:t>
      </w:r>
      <w:r w:rsidRPr="00603CA3">
        <w:rPr>
          <w:color w:val="000000" w:themeColor="text1"/>
        </w:rPr>
        <w:t>gadā, iznākuma rādītāja vērtība pieaugs.</w:t>
      </w:r>
    </w:p>
    <w:p w:rsidR="000E337C" w:rsidRPr="00603CA3" w:rsidRDefault="00BE3D8E" w:rsidP="00603CA3">
      <w:pPr>
        <w:spacing w:line="276" w:lineRule="auto"/>
        <w:rPr>
          <w:color w:val="000000" w:themeColor="text1"/>
          <w:szCs w:val="24"/>
        </w:rPr>
      </w:pPr>
      <w:r w:rsidRPr="00603CA3">
        <w:rPr>
          <w:color w:val="000000" w:themeColor="text1"/>
          <w:szCs w:val="24"/>
        </w:rPr>
        <w:t xml:space="preserve">Atbalstot Mūžizglītības politikas pamatnostādņu īstenošanu nodarbinātām personām, apmācības profesionālās pilnveides programmās uzsākušas 9 863 personas, kas ir 49% no DPP noteiktā apjoma uz 31.12.2013. 2010.gadā pieprasījums pēc mūžizglītības pakalpojuma būtiski pārsniedza plānoto, tādēļ 2010.gada nogalē reģistrācija mūžizglītības pakalpojuma saņemšanai uz laiku tika pārtraukta. Lai nodrošinātu iespēju lielākam skaitam bezdarba riskam pakļauto personu iesaistīties mūžizglītības pasākumā un veicinātu mērķētāku, pārdomātāku apmācību programmu izvēli un lielāku motivāciju mācību norises laikā 21.06.2011. veikti grozījumi MK 20.10.2009. noteikumos Nr.1213 „Noteikumi par darbības programmas „Cilvēkresursi un nodarbinātība” papildinājuma 1.2.2.1.2.apakšaktivitāti „Atbalsts mūžizglītības politikas pamatnostādņu īstenošanai”. Veiktās izmaiņas paredz no </w:t>
      </w:r>
      <w:r w:rsidRPr="00603CA3">
        <w:rPr>
          <w:color w:val="000000" w:themeColor="text1"/>
          <w:szCs w:val="24"/>
        </w:rPr>
        <w:lastRenderedPageBreak/>
        <w:t xml:space="preserve">2011.gada 1.jūlija palielināt bezdarba riskam pakļauto personu (izņemot personas ar invaliditāti, pirmspensijas vecuma personas, personas ar diviem vai vairāk bērniem vai trūcīgas personas) mūžizglītības kupona </w:t>
      </w:r>
      <w:proofErr w:type="spellStart"/>
      <w:r w:rsidRPr="00603CA3">
        <w:rPr>
          <w:color w:val="000000" w:themeColor="text1"/>
          <w:szCs w:val="24"/>
        </w:rPr>
        <w:t>līdzmaksājuma</w:t>
      </w:r>
      <w:proofErr w:type="spellEnd"/>
      <w:r w:rsidRPr="00603CA3">
        <w:rPr>
          <w:color w:val="000000" w:themeColor="text1"/>
          <w:szCs w:val="24"/>
        </w:rPr>
        <w:t xml:space="preserve"> apmēru no 10%, nepārsniedzot 25 latus, uz 30%, nepārsniedzot 75 latus, no apmācību kupona vērtības - 250 latiem (atbilstoši grozījumiem MK noteikumos Nr.75)</w:t>
      </w:r>
      <w:r w:rsidR="000E337C" w:rsidRPr="00603CA3">
        <w:rPr>
          <w:color w:val="000000" w:themeColor="text1"/>
          <w:szCs w:val="24"/>
        </w:rPr>
        <w:t>.</w:t>
      </w:r>
      <w:r w:rsidRPr="00603CA3" w:rsidDel="00BE3D8E">
        <w:rPr>
          <w:color w:val="000000" w:themeColor="text1"/>
          <w:szCs w:val="24"/>
        </w:rPr>
        <w:t xml:space="preserve"> </w:t>
      </w:r>
    </w:p>
    <w:p w:rsidR="00AC09D1" w:rsidRPr="00603CA3" w:rsidRDefault="00AC09D1" w:rsidP="00603CA3">
      <w:pPr>
        <w:spacing w:line="276" w:lineRule="auto"/>
        <w:rPr>
          <w:b/>
          <w:color w:val="000000" w:themeColor="text1"/>
          <w:szCs w:val="24"/>
        </w:rPr>
      </w:pPr>
      <w:r w:rsidRPr="00603CA3">
        <w:rPr>
          <w:b/>
          <w:color w:val="000000" w:themeColor="text1"/>
          <w:szCs w:val="24"/>
        </w:rPr>
        <w:t>„Nodarbinātības veicināšana un veselība darbā”</w:t>
      </w:r>
    </w:p>
    <w:p w:rsidR="00AC09D1" w:rsidRPr="00603CA3" w:rsidRDefault="00AC09D1" w:rsidP="00603CA3">
      <w:pPr>
        <w:spacing w:line="276" w:lineRule="auto"/>
        <w:rPr>
          <w:color w:val="000000" w:themeColor="text1"/>
          <w:szCs w:val="24"/>
        </w:rPr>
      </w:pPr>
      <w:r w:rsidRPr="00603CA3">
        <w:rPr>
          <w:color w:val="000000" w:themeColor="text1"/>
          <w:szCs w:val="24"/>
        </w:rPr>
        <w:t>Prioritāte ir vērsta uz iedzīvotāju sekmīgu iekļaušanu un noturēšanu darbaspēka tirgū, ar aktīvo nodarbinātības pasākumu un citu instrumentu atbalstu nodrošinot tiem nepieciešamās prasmes, paaugstinot darba drošību un līdztiesību darba tirgū, kā arī uzlabojot darbaspēka veselības stāvokli. Prioritātes mērķis ir veicināt iedzīvotāju sekmīgu iekļaušanos un noturēšanos darbaspēka tirgū, nodrošinot prasmes, paaugstinot drošību, veicinot līdztiesību un veselību.</w:t>
      </w:r>
    </w:p>
    <w:p w:rsidR="000E337C" w:rsidRPr="00603CA3" w:rsidRDefault="00B8179B" w:rsidP="00603CA3">
      <w:pPr>
        <w:spacing w:line="276" w:lineRule="auto"/>
        <w:rPr>
          <w:color w:val="000000" w:themeColor="text1"/>
          <w:szCs w:val="24"/>
        </w:rPr>
      </w:pPr>
      <w:r w:rsidRPr="00603CA3">
        <w:rPr>
          <w:color w:val="000000" w:themeColor="text1"/>
          <w:szCs w:val="24"/>
        </w:rPr>
        <w:t xml:space="preserve">Pārskata periodā būtiski pieaudzis vietējo nodarbinātības veicināšanas pasākumu plānu ieviešanā (100 latu stipendiju programmā), iesaistīto personu skaits, sasniedzot 103 044 (117% no 2013.gadam plānotās vērtības). Nozīmīgs rādītāju sasniegšanas progress jāatzīmē Labklājības ministrijas </w:t>
      </w:r>
      <w:proofErr w:type="spellStart"/>
      <w:r w:rsidRPr="00603CA3">
        <w:rPr>
          <w:color w:val="000000" w:themeColor="text1"/>
          <w:szCs w:val="24"/>
        </w:rPr>
        <w:t>pārziņā</w:t>
      </w:r>
      <w:proofErr w:type="spellEnd"/>
      <w:r w:rsidRPr="00603CA3">
        <w:rPr>
          <w:color w:val="000000" w:themeColor="text1"/>
          <w:szCs w:val="24"/>
        </w:rPr>
        <w:t xml:space="preserve"> esošajās nodarbinātības veicināšanas aktivitātēs, veicot bezdarbnieku un darba meklētāju apmācību, aptverto personu loks sasniedzis 82 291 (93% no plānotā).</w:t>
      </w:r>
    </w:p>
    <w:p w:rsidR="00AC09D1" w:rsidRPr="00603CA3" w:rsidRDefault="00AC09D1" w:rsidP="00603CA3">
      <w:pPr>
        <w:spacing w:line="276" w:lineRule="auto"/>
        <w:rPr>
          <w:color w:val="000000" w:themeColor="text1"/>
          <w:szCs w:val="24"/>
          <w:u w:val="single"/>
        </w:rPr>
      </w:pPr>
      <w:r w:rsidRPr="00603CA3">
        <w:rPr>
          <w:color w:val="000000" w:themeColor="text1"/>
          <w:szCs w:val="24"/>
          <w:u w:val="single"/>
        </w:rPr>
        <w:t xml:space="preserve">Instruments uzņēmējdarbības un </w:t>
      </w:r>
      <w:proofErr w:type="spellStart"/>
      <w:r w:rsidRPr="00603CA3">
        <w:rPr>
          <w:color w:val="000000" w:themeColor="text1"/>
          <w:szCs w:val="24"/>
          <w:u w:val="single"/>
        </w:rPr>
        <w:t>pašnodarbinātības</w:t>
      </w:r>
      <w:proofErr w:type="spellEnd"/>
      <w:r w:rsidRPr="00603CA3">
        <w:rPr>
          <w:color w:val="000000" w:themeColor="text1"/>
          <w:szCs w:val="24"/>
          <w:u w:val="single"/>
        </w:rPr>
        <w:t xml:space="preserve"> veicināšanai</w:t>
      </w:r>
    </w:p>
    <w:p w:rsidR="00AC09D1" w:rsidRPr="00603CA3" w:rsidRDefault="00AC09D1" w:rsidP="00603CA3">
      <w:pPr>
        <w:pStyle w:val="Default"/>
        <w:spacing w:line="276" w:lineRule="auto"/>
        <w:contextualSpacing/>
        <w:jc w:val="both"/>
        <w:rPr>
          <w:color w:val="000000" w:themeColor="text1"/>
        </w:rPr>
      </w:pPr>
      <w:r w:rsidRPr="00603CA3">
        <w:rPr>
          <w:color w:val="000000" w:themeColor="text1"/>
        </w:rPr>
        <w:t xml:space="preserve">Ar </w:t>
      </w:r>
      <w:r w:rsidRPr="00603CA3">
        <w:rPr>
          <w:bCs/>
          <w:color w:val="000000" w:themeColor="text1"/>
        </w:rPr>
        <w:t>ESF</w:t>
      </w:r>
      <w:r w:rsidRPr="00603CA3">
        <w:rPr>
          <w:color w:val="000000" w:themeColor="text1"/>
        </w:rPr>
        <w:t xml:space="preserve"> atbalstu tiek sniegts atbalsts uzņēmējdarbības un </w:t>
      </w:r>
      <w:proofErr w:type="spellStart"/>
      <w:r w:rsidRPr="00603CA3">
        <w:rPr>
          <w:color w:val="000000" w:themeColor="text1"/>
        </w:rPr>
        <w:t>pašnodarbinātības</w:t>
      </w:r>
      <w:proofErr w:type="spellEnd"/>
      <w:r w:rsidRPr="00603CA3">
        <w:rPr>
          <w:color w:val="000000" w:themeColor="text1"/>
        </w:rPr>
        <w:t xml:space="preserve"> veicināšanai – programmas „Atbalsts uzņēmējdarbības un </w:t>
      </w:r>
      <w:proofErr w:type="spellStart"/>
      <w:r w:rsidRPr="00603CA3">
        <w:rPr>
          <w:color w:val="000000" w:themeColor="text1"/>
        </w:rPr>
        <w:t>pašnodarbinātības</w:t>
      </w:r>
      <w:proofErr w:type="spellEnd"/>
      <w:r w:rsidRPr="00603CA3">
        <w:rPr>
          <w:color w:val="000000" w:themeColor="text1"/>
        </w:rPr>
        <w:t xml:space="preserve"> uzsākšanai” ietvaros ar </w:t>
      </w:r>
      <w:r w:rsidR="00AE01EB" w:rsidRPr="00603CA3">
        <w:rPr>
          <w:color w:val="000000" w:themeColor="text1"/>
        </w:rPr>
        <w:t xml:space="preserve">LHZB </w:t>
      </w:r>
      <w:r w:rsidRPr="00603CA3">
        <w:rPr>
          <w:color w:val="000000" w:themeColor="text1"/>
        </w:rPr>
        <w:t xml:space="preserve">starpniecību potenciālajiem komersantiem un pašnodarbinātajiem, kā arī jaundibinātajiem komersantiem tiek sniegts komplekss atbalsts konsultāciju, apmācību un finanšu atbalsta veidā. </w:t>
      </w:r>
    </w:p>
    <w:p w:rsidR="00AC09D1" w:rsidRPr="00603CA3" w:rsidRDefault="00AC09D1" w:rsidP="00603CA3">
      <w:pPr>
        <w:pStyle w:val="NormalWeb"/>
        <w:spacing w:before="0" w:beforeAutospacing="0" w:after="0" w:afterAutospacing="0" w:line="276" w:lineRule="auto"/>
        <w:jc w:val="both"/>
        <w:rPr>
          <w:color w:val="000000" w:themeColor="text1"/>
          <w:lang w:val="lv-LV"/>
        </w:rPr>
      </w:pPr>
      <w:r w:rsidRPr="00603CA3">
        <w:rPr>
          <w:color w:val="000000" w:themeColor="text1"/>
          <w:lang w:val="lv-LV"/>
        </w:rPr>
        <w:t xml:space="preserve">Kopējais atbalsta programmas finansējums ir 23,0 </w:t>
      </w:r>
      <w:proofErr w:type="spellStart"/>
      <w:r w:rsidRPr="00603CA3">
        <w:rPr>
          <w:color w:val="000000" w:themeColor="text1"/>
          <w:lang w:val="lv-LV"/>
        </w:rPr>
        <w:t>milj</w:t>
      </w:r>
      <w:proofErr w:type="spellEnd"/>
      <w:r w:rsidRPr="00603CA3">
        <w:rPr>
          <w:color w:val="000000" w:themeColor="text1"/>
          <w:lang w:val="lv-LV"/>
        </w:rPr>
        <w:t xml:space="preserve">. latu – 12,2 </w:t>
      </w:r>
      <w:proofErr w:type="spellStart"/>
      <w:r w:rsidRPr="00603CA3">
        <w:rPr>
          <w:color w:val="000000" w:themeColor="text1"/>
          <w:lang w:val="lv-LV"/>
        </w:rPr>
        <w:t>milj</w:t>
      </w:r>
      <w:proofErr w:type="spellEnd"/>
      <w:r w:rsidRPr="00603CA3">
        <w:rPr>
          <w:color w:val="000000" w:themeColor="text1"/>
          <w:lang w:val="lv-LV"/>
        </w:rPr>
        <w:t xml:space="preserve">. latu </w:t>
      </w:r>
      <w:r w:rsidRPr="00603CA3">
        <w:rPr>
          <w:bCs/>
          <w:color w:val="000000" w:themeColor="text1"/>
          <w:lang w:val="lv-LV"/>
        </w:rPr>
        <w:t>ESF</w:t>
      </w:r>
      <w:r w:rsidRPr="00603CA3">
        <w:rPr>
          <w:color w:val="000000" w:themeColor="text1"/>
          <w:lang w:val="lv-LV"/>
        </w:rPr>
        <w:t xml:space="preserve"> finansējums, 2,1 </w:t>
      </w:r>
      <w:proofErr w:type="spellStart"/>
      <w:r w:rsidRPr="00603CA3">
        <w:rPr>
          <w:color w:val="000000" w:themeColor="text1"/>
          <w:lang w:val="lv-LV"/>
        </w:rPr>
        <w:t>milj</w:t>
      </w:r>
      <w:proofErr w:type="spellEnd"/>
      <w:r w:rsidRPr="00603CA3">
        <w:rPr>
          <w:color w:val="000000" w:themeColor="text1"/>
          <w:lang w:val="lv-LV"/>
        </w:rPr>
        <w:t xml:space="preserve">. latu valsts budžeta finansējums un 8,7 </w:t>
      </w:r>
      <w:proofErr w:type="spellStart"/>
      <w:r w:rsidRPr="00603CA3">
        <w:rPr>
          <w:color w:val="000000" w:themeColor="text1"/>
          <w:lang w:val="lv-LV"/>
        </w:rPr>
        <w:t>milj</w:t>
      </w:r>
      <w:proofErr w:type="spellEnd"/>
      <w:r w:rsidRPr="00603CA3">
        <w:rPr>
          <w:color w:val="000000" w:themeColor="text1"/>
          <w:lang w:val="lv-LV"/>
        </w:rPr>
        <w:t xml:space="preserve">. latu ir </w:t>
      </w:r>
      <w:r w:rsidR="00543E45" w:rsidRPr="00603CA3">
        <w:rPr>
          <w:color w:val="000000" w:themeColor="text1"/>
          <w:lang w:val="lv-LV"/>
        </w:rPr>
        <w:t xml:space="preserve">LHZB </w:t>
      </w:r>
      <w:r w:rsidRPr="00603CA3">
        <w:rPr>
          <w:color w:val="000000" w:themeColor="text1"/>
          <w:lang w:val="lv-LV"/>
        </w:rPr>
        <w:t xml:space="preserve">papildu līdzfinansējums. 17,5 </w:t>
      </w:r>
      <w:proofErr w:type="spellStart"/>
      <w:r w:rsidRPr="00603CA3">
        <w:rPr>
          <w:color w:val="000000" w:themeColor="text1"/>
          <w:lang w:val="lv-LV"/>
        </w:rPr>
        <w:t>milj</w:t>
      </w:r>
      <w:proofErr w:type="spellEnd"/>
      <w:r w:rsidRPr="00603CA3">
        <w:rPr>
          <w:color w:val="000000" w:themeColor="text1"/>
          <w:lang w:val="lv-LV"/>
        </w:rPr>
        <w:t xml:space="preserve">. latu paredzēti aizdevumu nodrošināšanai, 3,4 </w:t>
      </w:r>
      <w:proofErr w:type="spellStart"/>
      <w:r w:rsidRPr="00603CA3">
        <w:rPr>
          <w:color w:val="000000" w:themeColor="text1"/>
          <w:lang w:val="lv-LV"/>
        </w:rPr>
        <w:t>milj</w:t>
      </w:r>
      <w:proofErr w:type="spellEnd"/>
      <w:r w:rsidRPr="00603CA3">
        <w:rPr>
          <w:color w:val="000000" w:themeColor="text1"/>
          <w:lang w:val="lv-LV"/>
        </w:rPr>
        <w:t xml:space="preserve">. latu grantu izsniegšanai, 0,6 </w:t>
      </w:r>
      <w:proofErr w:type="spellStart"/>
      <w:r w:rsidRPr="00603CA3">
        <w:rPr>
          <w:color w:val="000000" w:themeColor="text1"/>
          <w:lang w:val="lv-LV"/>
        </w:rPr>
        <w:t>milj</w:t>
      </w:r>
      <w:proofErr w:type="spellEnd"/>
      <w:r w:rsidRPr="00603CA3">
        <w:rPr>
          <w:color w:val="000000" w:themeColor="text1"/>
          <w:lang w:val="lv-LV"/>
        </w:rPr>
        <w:t xml:space="preserve">. latu jauno komersantu apmācībai un 1,6 </w:t>
      </w:r>
      <w:proofErr w:type="spellStart"/>
      <w:r w:rsidRPr="00603CA3">
        <w:rPr>
          <w:color w:val="000000" w:themeColor="text1"/>
          <w:lang w:val="lv-LV"/>
        </w:rPr>
        <w:t>milj</w:t>
      </w:r>
      <w:proofErr w:type="spellEnd"/>
      <w:r w:rsidRPr="00603CA3">
        <w:rPr>
          <w:color w:val="000000" w:themeColor="text1"/>
          <w:lang w:val="lv-LV"/>
        </w:rPr>
        <w:t xml:space="preserve">. latu aizdevumu fonda darbības nodrošināšanai (skatīt </w:t>
      </w:r>
      <w:r w:rsidRPr="00603CA3">
        <w:rPr>
          <w:color w:val="000000" w:themeColor="text1"/>
          <w:u w:val="single"/>
          <w:lang w:val="lv-LV"/>
        </w:rPr>
        <w:t>tabulu Nr.</w:t>
      </w:r>
      <w:r w:rsidR="00400892" w:rsidRPr="00603CA3">
        <w:rPr>
          <w:color w:val="000000" w:themeColor="text1"/>
          <w:u w:val="single"/>
          <w:lang w:val="lv-LV"/>
        </w:rPr>
        <w:t>2</w:t>
      </w:r>
      <w:r w:rsidRPr="00603CA3">
        <w:rPr>
          <w:color w:val="000000" w:themeColor="text1"/>
          <w:u w:val="single"/>
          <w:lang w:val="lv-LV"/>
        </w:rPr>
        <w:t>)</w:t>
      </w:r>
    </w:p>
    <w:p w:rsidR="00AC09D1" w:rsidRPr="00603CA3" w:rsidRDefault="00AC09D1" w:rsidP="00603CA3">
      <w:pPr>
        <w:pStyle w:val="NormalWeb"/>
        <w:spacing w:before="0" w:beforeAutospacing="0" w:after="0" w:afterAutospacing="0" w:line="276" w:lineRule="auto"/>
        <w:jc w:val="both"/>
        <w:rPr>
          <w:color w:val="000000" w:themeColor="text1"/>
          <w:lang w:val="lv-LV"/>
        </w:rPr>
      </w:pPr>
      <w:r w:rsidRPr="00603CA3">
        <w:rPr>
          <w:color w:val="000000" w:themeColor="text1"/>
          <w:lang w:val="lv-LV"/>
        </w:rPr>
        <w:t xml:space="preserve">Projekta ietvaros atbalsts tiek sniegts jaunizveidotiem un līdz 3 gadu veciem uzņēmumiem, kuru biznesa plāni nepārsniedz 60 </w:t>
      </w:r>
      <w:proofErr w:type="spellStart"/>
      <w:r w:rsidRPr="00603CA3">
        <w:rPr>
          <w:color w:val="000000" w:themeColor="text1"/>
          <w:lang w:val="lv-LV"/>
        </w:rPr>
        <w:t>tūkst</w:t>
      </w:r>
      <w:proofErr w:type="spellEnd"/>
      <w:r w:rsidRPr="00603CA3">
        <w:rPr>
          <w:color w:val="000000" w:themeColor="text1"/>
          <w:lang w:val="lv-LV"/>
        </w:rPr>
        <w:t>. latu. Kopumā programmas ietvaros plānots sniegt konsultācijas 1200 potenciālajiem komersantiem, apmācības 900 potenciālajiem komersantiem un sniegt finansiālu atbalstu 600 jaunajiem komersantiem. Programma tiek īstenota no 2009.</w:t>
      </w:r>
      <w:r w:rsidR="007A72A1" w:rsidRPr="00603CA3">
        <w:rPr>
          <w:color w:val="000000" w:themeColor="text1"/>
          <w:lang w:val="lv-LV"/>
        </w:rPr>
        <w:t>gada 21.augusta</w:t>
      </w:r>
      <w:r w:rsidRPr="00603CA3">
        <w:rPr>
          <w:color w:val="000000" w:themeColor="text1"/>
          <w:lang w:val="lv-LV"/>
        </w:rPr>
        <w:t xml:space="preserve"> līdz 2015.</w:t>
      </w:r>
      <w:r w:rsidR="007A72A1" w:rsidRPr="00603CA3">
        <w:rPr>
          <w:color w:val="000000" w:themeColor="text1"/>
          <w:lang w:val="lv-LV"/>
        </w:rPr>
        <w:t>gada 30.jūnijam.</w:t>
      </w:r>
    </w:p>
    <w:p w:rsidR="00C11F15" w:rsidRPr="00603CA3" w:rsidRDefault="00AC09D1" w:rsidP="00603CA3">
      <w:pPr>
        <w:pStyle w:val="NormalWeb"/>
        <w:spacing w:before="0" w:beforeAutospacing="0" w:after="0" w:afterAutospacing="0" w:line="276" w:lineRule="auto"/>
        <w:jc w:val="both"/>
        <w:rPr>
          <w:color w:val="000000" w:themeColor="text1"/>
          <w:highlight w:val="yellow"/>
          <w:lang w:val="lv-LV"/>
        </w:rPr>
      </w:pPr>
      <w:r w:rsidRPr="00603CA3">
        <w:rPr>
          <w:color w:val="000000" w:themeColor="text1"/>
          <w:lang w:val="lv-LV"/>
        </w:rPr>
        <w:t xml:space="preserve">Līdz 2011.gada 30.jūnijam parakstītas vienošanās par dalību programmā 7,4  </w:t>
      </w:r>
      <w:proofErr w:type="spellStart"/>
      <w:r w:rsidRPr="00603CA3">
        <w:rPr>
          <w:color w:val="000000" w:themeColor="text1"/>
          <w:lang w:val="lv-LV"/>
        </w:rPr>
        <w:t>milj</w:t>
      </w:r>
      <w:proofErr w:type="spellEnd"/>
      <w:r w:rsidRPr="00603CA3">
        <w:rPr>
          <w:color w:val="000000" w:themeColor="text1"/>
          <w:lang w:val="lv-LV"/>
        </w:rPr>
        <w:t xml:space="preserve">. latu apmērā, veikti maksājumi 5,83 </w:t>
      </w:r>
      <w:proofErr w:type="spellStart"/>
      <w:r w:rsidRPr="00603CA3">
        <w:rPr>
          <w:color w:val="000000" w:themeColor="text1"/>
          <w:lang w:val="lv-LV"/>
        </w:rPr>
        <w:t>milj</w:t>
      </w:r>
      <w:proofErr w:type="spellEnd"/>
      <w:r w:rsidRPr="00603CA3">
        <w:rPr>
          <w:color w:val="000000" w:themeColor="text1"/>
          <w:lang w:val="lv-LV"/>
        </w:rPr>
        <w:t xml:space="preserve">. latu apjomā; izsniegti 430 aizdevumi un granti. Vidējais aizdevuma apjoms ir 14,2 </w:t>
      </w:r>
      <w:proofErr w:type="spellStart"/>
      <w:r w:rsidRPr="00603CA3">
        <w:rPr>
          <w:color w:val="000000" w:themeColor="text1"/>
          <w:lang w:val="lv-LV"/>
        </w:rPr>
        <w:t>tūkst</w:t>
      </w:r>
      <w:proofErr w:type="spellEnd"/>
      <w:r w:rsidRPr="00603CA3">
        <w:rPr>
          <w:color w:val="000000" w:themeColor="text1"/>
          <w:lang w:val="lv-LV"/>
        </w:rPr>
        <w:t xml:space="preserve">. latu, kas skaidrojams ar atbalsta programmas nosacījumiem – aizdevumiem līdz 17,5 </w:t>
      </w:r>
      <w:proofErr w:type="spellStart"/>
      <w:r w:rsidRPr="00603CA3">
        <w:rPr>
          <w:color w:val="000000" w:themeColor="text1"/>
          <w:lang w:val="lv-LV"/>
        </w:rPr>
        <w:t>tūkst</w:t>
      </w:r>
      <w:proofErr w:type="spellEnd"/>
      <w:r w:rsidRPr="00603CA3">
        <w:rPr>
          <w:color w:val="000000" w:themeColor="text1"/>
          <w:lang w:val="lv-LV"/>
        </w:rPr>
        <w:t>. latu nav aizdevuma nodrošinājuma prasību, turklāt jaunie uzņēmēji, uzsākot uzņēmējdarbību, dod priekšroku nelieliem aizdevumiem, tādējādi mazinot risku iespējamās neveiksmes gadījumā.</w:t>
      </w:r>
    </w:p>
    <w:p w:rsidR="00180736" w:rsidRPr="00603CA3" w:rsidRDefault="00180736" w:rsidP="00603CA3">
      <w:pPr>
        <w:pStyle w:val="NormalWeb"/>
        <w:spacing w:before="0" w:beforeAutospacing="0" w:after="0" w:afterAutospacing="0" w:line="276" w:lineRule="auto"/>
        <w:jc w:val="both"/>
        <w:rPr>
          <w:color w:val="000000" w:themeColor="text1"/>
          <w:lang w:val="lv-LV"/>
        </w:rPr>
      </w:pPr>
      <w:r w:rsidRPr="00603CA3">
        <w:rPr>
          <w:color w:val="000000" w:themeColor="text1"/>
          <w:lang w:val="lv-LV"/>
        </w:rPr>
        <w:t>Tabula Nr.</w:t>
      </w:r>
      <w:r w:rsidR="00400892" w:rsidRPr="00603CA3">
        <w:rPr>
          <w:color w:val="000000" w:themeColor="text1"/>
          <w:lang w:val="lv-LV"/>
        </w:rPr>
        <w:t>2</w:t>
      </w:r>
      <w:r w:rsidRPr="00603CA3">
        <w:rPr>
          <w:i/>
          <w:color w:val="000000" w:themeColor="text1"/>
          <w:lang w:val="lv-LV"/>
        </w:rPr>
        <w:t xml:space="preserve"> </w:t>
      </w:r>
      <w:r w:rsidRPr="00603CA3">
        <w:rPr>
          <w:rFonts w:eastAsia="Calibri"/>
          <w:i/>
          <w:color w:val="000000" w:themeColor="text1"/>
          <w:lang w:val="lv-LV"/>
        </w:rPr>
        <w:t xml:space="preserve">„Finanšu apguves progress aktivitātes </w:t>
      </w:r>
      <w:r w:rsidRPr="00603CA3">
        <w:rPr>
          <w:i/>
          <w:color w:val="000000" w:themeColor="text1"/>
          <w:lang w:val="lv-LV"/>
        </w:rPr>
        <w:t xml:space="preserve">„Atbalsts uzņēmējdarbības un </w:t>
      </w:r>
      <w:proofErr w:type="spellStart"/>
      <w:r w:rsidRPr="00603CA3">
        <w:rPr>
          <w:i/>
          <w:color w:val="000000" w:themeColor="text1"/>
          <w:lang w:val="lv-LV"/>
        </w:rPr>
        <w:t>pašnodarbinātības</w:t>
      </w:r>
      <w:proofErr w:type="spellEnd"/>
      <w:r w:rsidRPr="00603CA3">
        <w:rPr>
          <w:i/>
          <w:color w:val="000000" w:themeColor="text1"/>
          <w:lang w:val="lv-LV"/>
        </w:rPr>
        <w:t xml:space="preserve"> uzsākšanai” ietvaros; LVL</w:t>
      </w:r>
      <w:r w:rsidR="00DD33D7" w:rsidRPr="00603CA3">
        <w:rPr>
          <w:i/>
          <w:color w:val="000000" w:themeColor="text1"/>
          <w:lang w:val="lv-LV"/>
        </w:rPr>
        <w:t>; % progress pret datiem uz 31.03.2011.</w:t>
      </w:r>
      <w:r w:rsidRPr="00603CA3">
        <w:rPr>
          <w:rFonts w:eastAsia="Calibri"/>
          <w:i/>
          <w:color w:val="000000" w:themeColor="text1"/>
          <w:lang w:val="lv-LV"/>
        </w:rPr>
        <w:t>”</w:t>
      </w:r>
    </w:p>
    <w:tbl>
      <w:tblPr>
        <w:tblW w:w="5018" w:type="pct"/>
        <w:jc w:val="center"/>
        <w:tblInd w:w="-34"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ayout w:type="fixed"/>
        <w:tblLook w:val="04A0" w:firstRow="1" w:lastRow="0" w:firstColumn="1" w:lastColumn="0" w:noHBand="0" w:noVBand="1"/>
      </w:tblPr>
      <w:tblGrid>
        <w:gridCol w:w="992"/>
        <w:gridCol w:w="1450"/>
        <w:gridCol w:w="557"/>
        <w:gridCol w:w="891"/>
        <w:gridCol w:w="902"/>
        <w:gridCol w:w="880"/>
        <w:gridCol w:w="977"/>
        <w:gridCol w:w="891"/>
        <w:gridCol w:w="900"/>
        <w:gridCol w:w="880"/>
      </w:tblGrid>
      <w:tr w:rsidR="00603CA3" w:rsidRPr="004A0BD9" w:rsidTr="000C5BE9">
        <w:trPr>
          <w:trHeight w:val="253"/>
          <w:jc w:val="center"/>
        </w:trPr>
        <w:tc>
          <w:tcPr>
            <w:tcW w:w="532" w:type="pct"/>
            <w:vMerge w:val="restart"/>
            <w:tcBorders>
              <w:top w:val="nil"/>
              <w:left w:val="nil"/>
              <w:bottom w:val="single" w:sz="18" w:space="0" w:color="9BBB59"/>
              <w:right w:val="single" w:sz="8" w:space="0" w:color="9BBB59"/>
            </w:tcBorders>
            <w:noWrap/>
            <w:hideMark/>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p>
        </w:tc>
        <w:tc>
          <w:tcPr>
            <w:tcW w:w="778" w:type="pct"/>
            <w:vMerge w:val="restart"/>
            <w:tcBorders>
              <w:top w:val="single" w:sz="8" w:space="0" w:color="9BBB59"/>
              <w:left w:val="single" w:sz="8" w:space="0" w:color="9BBB59"/>
              <w:bottom w:val="single" w:sz="18" w:space="0" w:color="9BBB59"/>
              <w:right w:val="single" w:sz="8" w:space="0" w:color="9BBB59"/>
            </w:tcBorders>
            <w:shd w:val="clear" w:color="auto" w:fill="D6E3BC"/>
            <w:noWrap/>
            <w:hideMark/>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r w:rsidRPr="004A0BD9">
              <w:rPr>
                <w:b/>
                <w:bCs/>
                <w:color w:val="000000" w:themeColor="text1"/>
                <w:sz w:val="22"/>
                <w:szCs w:val="22"/>
                <w:lang w:val="lv-LV"/>
              </w:rPr>
              <w:t>Kopējais finansējums</w:t>
            </w:r>
          </w:p>
        </w:tc>
        <w:tc>
          <w:tcPr>
            <w:tcW w:w="1261" w:type="pct"/>
            <w:gridSpan w:val="3"/>
            <w:tcBorders>
              <w:top w:val="single" w:sz="8" w:space="0" w:color="9BBB59"/>
              <w:left w:val="single" w:sz="8" w:space="0" w:color="9BBB59"/>
              <w:bottom w:val="single" w:sz="18" w:space="0" w:color="9BBB59"/>
              <w:right w:val="single" w:sz="8" w:space="0" w:color="9BBB59"/>
            </w:tcBorders>
            <w:shd w:val="clear" w:color="auto" w:fill="D6E3BC"/>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r w:rsidRPr="004A0BD9">
              <w:rPr>
                <w:b/>
                <w:bCs/>
                <w:color w:val="000000" w:themeColor="text1"/>
                <w:sz w:val="22"/>
                <w:szCs w:val="22"/>
                <w:lang w:val="lv-LV"/>
              </w:rPr>
              <w:t>Apstiprināti projekti</w:t>
            </w:r>
          </w:p>
        </w:tc>
        <w:tc>
          <w:tcPr>
            <w:tcW w:w="472" w:type="pct"/>
            <w:tcBorders>
              <w:top w:val="single" w:sz="8" w:space="0" w:color="9BBB59"/>
              <w:left w:val="single" w:sz="8" w:space="0" w:color="9BBB59"/>
              <w:bottom w:val="single" w:sz="18" w:space="0" w:color="9BBB59"/>
              <w:right w:val="single" w:sz="8" w:space="0" w:color="9BBB59"/>
            </w:tcBorders>
            <w:shd w:val="clear" w:color="auto" w:fill="D6E3BC"/>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p>
        </w:tc>
        <w:tc>
          <w:tcPr>
            <w:tcW w:w="1485" w:type="pct"/>
            <w:gridSpan w:val="3"/>
            <w:tcBorders>
              <w:top w:val="single" w:sz="8" w:space="0" w:color="9BBB59"/>
              <w:left w:val="single" w:sz="8" w:space="0" w:color="9BBB59"/>
              <w:bottom w:val="single" w:sz="18" w:space="0" w:color="9BBB59"/>
              <w:right w:val="single" w:sz="8" w:space="0" w:color="9BBB59"/>
            </w:tcBorders>
            <w:shd w:val="clear" w:color="auto" w:fill="D6E3BC"/>
            <w:noWrap/>
            <w:hideMark/>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r w:rsidRPr="004A0BD9">
              <w:rPr>
                <w:b/>
                <w:bCs/>
                <w:color w:val="000000" w:themeColor="text1"/>
                <w:sz w:val="22"/>
                <w:szCs w:val="22"/>
                <w:lang w:val="lv-LV"/>
              </w:rPr>
              <w:t>Noslēgti līgumi</w:t>
            </w:r>
          </w:p>
        </w:tc>
        <w:tc>
          <w:tcPr>
            <w:tcW w:w="472" w:type="pct"/>
            <w:tcBorders>
              <w:top w:val="single" w:sz="8" w:space="0" w:color="9BBB59"/>
              <w:left w:val="single" w:sz="8" w:space="0" w:color="9BBB59"/>
              <w:bottom w:val="single" w:sz="18" w:space="0" w:color="9BBB59"/>
              <w:right w:val="single" w:sz="8" w:space="0" w:color="9BBB59"/>
            </w:tcBorders>
            <w:shd w:val="clear" w:color="auto" w:fill="D6E3BC"/>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p>
        </w:tc>
      </w:tr>
      <w:tr w:rsidR="00603CA3" w:rsidRPr="004A0BD9" w:rsidTr="000C5BE9">
        <w:trPr>
          <w:trHeight w:val="231"/>
          <w:jc w:val="center"/>
        </w:trPr>
        <w:tc>
          <w:tcPr>
            <w:tcW w:w="532" w:type="pct"/>
            <w:vMerge/>
            <w:tcBorders>
              <w:top w:val="single" w:sz="8" w:space="0" w:color="9BBB59"/>
              <w:left w:val="nil"/>
              <w:bottom w:val="single" w:sz="8" w:space="0" w:color="9BBB59"/>
              <w:right w:val="single" w:sz="8" w:space="0" w:color="9BBB59"/>
            </w:tcBorders>
            <w:shd w:val="clear" w:color="auto" w:fill="E6EED5"/>
            <w:noWrap/>
            <w:hideMark/>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p>
        </w:tc>
        <w:tc>
          <w:tcPr>
            <w:tcW w:w="778" w:type="pct"/>
            <w:vMerge/>
            <w:tcBorders>
              <w:top w:val="single" w:sz="8" w:space="0" w:color="9BBB59"/>
              <w:left w:val="single" w:sz="8" w:space="0" w:color="9BBB59"/>
              <w:bottom w:val="single" w:sz="8" w:space="0" w:color="9BBB59"/>
              <w:right w:val="single" w:sz="8" w:space="0" w:color="9BBB59"/>
            </w:tcBorders>
            <w:shd w:val="clear" w:color="auto" w:fill="E6EED5"/>
            <w:noWrap/>
            <w:hideMark/>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p>
        </w:tc>
        <w:tc>
          <w:tcPr>
            <w:tcW w:w="299" w:type="pct"/>
            <w:tcBorders>
              <w:top w:val="single" w:sz="8" w:space="0" w:color="9BBB59"/>
              <w:left w:val="single" w:sz="8" w:space="0" w:color="9BBB59"/>
              <w:bottom w:val="single" w:sz="8" w:space="0" w:color="9BBB59"/>
              <w:right w:val="single" w:sz="8" w:space="0" w:color="9BBB59"/>
            </w:tcBorders>
            <w:shd w:val="clear" w:color="auto" w:fill="E6EED5"/>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Ska</w:t>
            </w:r>
            <w:r w:rsidRPr="004A0BD9">
              <w:rPr>
                <w:rFonts w:eastAsia="Calibri"/>
                <w:color w:val="000000" w:themeColor="text1"/>
                <w:sz w:val="22"/>
                <w:szCs w:val="22"/>
                <w:lang w:val="lv-LV"/>
              </w:rPr>
              <w:lastRenderedPageBreak/>
              <w:t>its</w:t>
            </w:r>
          </w:p>
        </w:tc>
        <w:tc>
          <w:tcPr>
            <w:tcW w:w="478" w:type="pct"/>
            <w:tcBorders>
              <w:top w:val="single" w:sz="8" w:space="0" w:color="9BBB59"/>
              <w:left w:val="single" w:sz="8" w:space="0" w:color="9BBB59"/>
              <w:bottom w:val="single" w:sz="8" w:space="0" w:color="9BBB59"/>
              <w:right w:val="single" w:sz="8" w:space="0" w:color="9BBB59"/>
            </w:tcBorders>
            <w:shd w:val="clear" w:color="auto" w:fill="E6EED5"/>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lastRenderedPageBreak/>
              <w:t>Kopēja</w:t>
            </w:r>
            <w:r w:rsidRPr="004A0BD9">
              <w:rPr>
                <w:rFonts w:eastAsia="Calibri"/>
                <w:color w:val="000000" w:themeColor="text1"/>
                <w:sz w:val="22"/>
                <w:szCs w:val="22"/>
                <w:lang w:val="lv-LV"/>
              </w:rPr>
              <w:lastRenderedPageBreak/>
              <w:t>is finansējums</w:t>
            </w:r>
          </w:p>
        </w:tc>
        <w:tc>
          <w:tcPr>
            <w:tcW w:w="483" w:type="pct"/>
            <w:tcBorders>
              <w:top w:val="single" w:sz="8" w:space="0" w:color="9BBB59"/>
              <w:left w:val="single" w:sz="8" w:space="0" w:color="9BBB59"/>
              <w:bottom w:val="single" w:sz="8" w:space="0" w:color="9BBB59"/>
              <w:right w:val="single" w:sz="8" w:space="0" w:color="9BBB59"/>
            </w:tcBorders>
            <w:shd w:val="clear" w:color="auto" w:fill="E6EED5"/>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lastRenderedPageBreak/>
              <w:t xml:space="preserve">% no </w:t>
            </w:r>
            <w:r w:rsidRPr="004A0BD9">
              <w:rPr>
                <w:rFonts w:eastAsia="Calibri"/>
                <w:color w:val="000000" w:themeColor="text1"/>
                <w:sz w:val="22"/>
                <w:szCs w:val="22"/>
                <w:lang w:val="lv-LV"/>
              </w:rPr>
              <w:lastRenderedPageBreak/>
              <w:t>kopējā finansējuma</w:t>
            </w:r>
          </w:p>
        </w:tc>
        <w:tc>
          <w:tcPr>
            <w:tcW w:w="472" w:type="pct"/>
            <w:tcBorders>
              <w:top w:val="single" w:sz="8" w:space="0" w:color="9BBB59"/>
              <w:left w:val="single" w:sz="8" w:space="0" w:color="9BBB59"/>
              <w:bottom w:val="single" w:sz="8" w:space="0" w:color="9BBB59"/>
              <w:right w:val="single" w:sz="8" w:space="0" w:color="9BBB59"/>
            </w:tcBorders>
            <w:shd w:val="clear" w:color="auto" w:fill="E6EED5"/>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lastRenderedPageBreak/>
              <w:t xml:space="preserve">% </w:t>
            </w:r>
            <w:r w:rsidRPr="004A0BD9">
              <w:rPr>
                <w:rFonts w:eastAsia="Calibri"/>
                <w:color w:val="000000" w:themeColor="text1"/>
                <w:sz w:val="22"/>
                <w:szCs w:val="22"/>
                <w:lang w:val="lv-LV"/>
              </w:rPr>
              <w:lastRenderedPageBreak/>
              <w:t xml:space="preserve">progress, salīdzinot ar statusu uz 31.03.2011. </w:t>
            </w:r>
          </w:p>
        </w:tc>
        <w:tc>
          <w:tcPr>
            <w:tcW w:w="524" w:type="pct"/>
            <w:tcBorders>
              <w:top w:val="single" w:sz="8" w:space="0" w:color="9BBB59"/>
              <w:left w:val="single" w:sz="8" w:space="0" w:color="9BBB59"/>
              <w:bottom w:val="single" w:sz="8" w:space="0" w:color="9BBB59"/>
              <w:right w:val="single" w:sz="8" w:space="0" w:color="9BBB59"/>
            </w:tcBorders>
            <w:shd w:val="clear" w:color="auto" w:fill="E6EED5"/>
            <w:noWrap/>
            <w:hideMark/>
          </w:tcPr>
          <w:p w:rsidR="00DD33D7" w:rsidRPr="004A0BD9" w:rsidRDefault="00DD33D7" w:rsidP="00603CA3">
            <w:pPr>
              <w:pStyle w:val="NormalWeb"/>
              <w:spacing w:before="0" w:beforeAutospacing="0" w:after="0" w:afterAutospacing="0" w:line="276" w:lineRule="auto"/>
              <w:ind w:left="720"/>
              <w:jc w:val="both"/>
              <w:rPr>
                <w:rFonts w:eastAsia="Calibri"/>
                <w:color w:val="000000" w:themeColor="text1"/>
                <w:sz w:val="22"/>
                <w:szCs w:val="22"/>
                <w:lang w:val="lv-LV"/>
              </w:rPr>
            </w:pPr>
            <w:r w:rsidRPr="004A0BD9">
              <w:rPr>
                <w:rFonts w:eastAsia="Calibri"/>
                <w:color w:val="000000" w:themeColor="text1"/>
                <w:sz w:val="22"/>
                <w:szCs w:val="22"/>
                <w:lang w:val="lv-LV"/>
              </w:rPr>
              <w:lastRenderedPageBreak/>
              <w:t>S</w:t>
            </w:r>
            <w:r w:rsidRPr="004A0BD9">
              <w:rPr>
                <w:rFonts w:eastAsia="Calibri"/>
                <w:color w:val="000000" w:themeColor="text1"/>
                <w:sz w:val="22"/>
                <w:szCs w:val="22"/>
                <w:lang w:val="lv-LV"/>
              </w:rPr>
              <w:lastRenderedPageBreak/>
              <w:t>kaits</w:t>
            </w:r>
          </w:p>
        </w:tc>
        <w:tc>
          <w:tcPr>
            <w:tcW w:w="478" w:type="pct"/>
            <w:tcBorders>
              <w:top w:val="single" w:sz="8" w:space="0" w:color="9BBB59"/>
              <w:left w:val="single" w:sz="8" w:space="0" w:color="9BBB59"/>
              <w:bottom w:val="single" w:sz="8" w:space="0" w:color="9BBB59"/>
              <w:right w:val="single" w:sz="8" w:space="0" w:color="9BBB59"/>
            </w:tcBorders>
            <w:shd w:val="clear" w:color="auto" w:fill="E6EED5"/>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lastRenderedPageBreak/>
              <w:t>Kopēja</w:t>
            </w:r>
            <w:r w:rsidRPr="004A0BD9">
              <w:rPr>
                <w:rFonts w:eastAsia="Calibri"/>
                <w:color w:val="000000" w:themeColor="text1"/>
                <w:sz w:val="22"/>
                <w:szCs w:val="22"/>
                <w:lang w:val="lv-LV"/>
              </w:rPr>
              <w:lastRenderedPageBreak/>
              <w:t>is finansējums</w:t>
            </w:r>
          </w:p>
        </w:tc>
        <w:tc>
          <w:tcPr>
            <w:tcW w:w="482" w:type="pct"/>
            <w:tcBorders>
              <w:top w:val="single" w:sz="8" w:space="0" w:color="9BBB59"/>
              <w:left w:val="single" w:sz="8" w:space="0" w:color="9BBB59"/>
              <w:bottom w:val="single" w:sz="8" w:space="0" w:color="9BBB59"/>
              <w:right w:val="single" w:sz="8" w:space="0" w:color="9BBB59"/>
            </w:tcBorders>
            <w:shd w:val="clear" w:color="auto" w:fill="E6EED5"/>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lastRenderedPageBreak/>
              <w:t xml:space="preserve">% no </w:t>
            </w:r>
            <w:r w:rsidRPr="004A0BD9">
              <w:rPr>
                <w:rFonts w:eastAsia="Calibri"/>
                <w:color w:val="000000" w:themeColor="text1"/>
                <w:sz w:val="22"/>
                <w:szCs w:val="22"/>
                <w:lang w:val="lv-LV"/>
              </w:rPr>
              <w:lastRenderedPageBreak/>
              <w:t>kopējā finansējuma</w:t>
            </w:r>
          </w:p>
        </w:tc>
        <w:tc>
          <w:tcPr>
            <w:tcW w:w="472" w:type="pct"/>
            <w:tcBorders>
              <w:top w:val="single" w:sz="8" w:space="0" w:color="9BBB59"/>
              <w:left w:val="single" w:sz="8" w:space="0" w:color="9BBB59"/>
              <w:bottom w:val="single" w:sz="8" w:space="0" w:color="9BBB59"/>
              <w:right w:val="single" w:sz="8" w:space="0" w:color="9BBB59"/>
            </w:tcBorders>
            <w:shd w:val="clear" w:color="auto" w:fill="E6EED5"/>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lastRenderedPageBreak/>
              <w:t xml:space="preserve">% </w:t>
            </w:r>
            <w:r w:rsidRPr="004A0BD9">
              <w:rPr>
                <w:rFonts w:eastAsia="Calibri"/>
                <w:color w:val="000000" w:themeColor="text1"/>
                <w:sz w:val="22"/>
                <w:szCs w:val="22"/>
                <w:lang w:val="lv-LV"/>
              </w:rPr>
              <w:lastRenderedPageBreak/>
              <w:t>progress, salīdzinot ar statusu uz 31.03.2011.</w:t>
            </w:r>
          </w:p>
        </w:tc>
      </w:tr>
      <w:tr w:rsidR="00603CA3" w:rsidRPr="004A0BD9" w:rsidTr="000C5BE9">
        <w:trPr>
          <w:trHeight w:val="412"/>
          <w:jc w:val="center"/>
        </w:trPr>
        <w:tc>
          <w:tcPr>
            <w:tcW w:w="532" w:type="pct"/>
            <w:tcBorders>
              <w:top w:val="single" w:sz="8" w:space="0" w:color="9BBB59"/>
              <w:left w:val="single" w:sz="8" w:space="0" w:color="9BBB59"/>
              <w:bottom w:val="single" w:sz="8" w:space="0" w:color="9BBB59"/>
              <w:right w:val="single" w:sz="8" w:space="0" w:color="9BBB59"/>
            </w:tcBorders>
            <w:noWrap/>
            <w:vAlign w:val="center"/>
            <w:hideMark/>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r w:rsidRPr="004A0BD9">
              <w:rPr>
                <w:b/>
                <w:bCs/>
                <w:color w:val="000000" w:themeColor="text1"/>
                <w:sz w:val="22"/>
                <w:szCs w:val="22"/>
                <w:lang w:val="lv-LV"/>
              </w:rPr>
              <w:lastRenderedPageBreak/>
              <w:t>Aizdevumi</w:t>
            </w:r>
          </w:p>
        </w:tc>
        <w:tc>
          <w:tcPr>
            <w:tcW w:w="778" w:type="pct"/>
            <w:tcBorders>
              <w:top w:val="single" w:sz="8" w:space="0" w:color="9BBB59"/>
              <w:left w:val="single" w:sz="8" w:space="0" w:color="9BBB59"/>
              <w:bottom w:val="single" w:sz="8" w:space="0" w:color="9BBB59"/>
              <w:right w:val="single" w:sz="8" w:space="0" w:color="9BBB59"/>
            </w:tcBorders>
            <w:noWrap/>
            <w:vAlign w:val="center"/>
            <w:hideMark/>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16 480 000</w:t>
            </w:r>
          </w:p>
        </w:tc>
        <w:tc>
          <w:tcPr>
            <w:tcW w:w="299" w:type="pct"/>
            <w:tcBorders>
              <w:top w:val="single" w:sz="8" w:space="0" w:color="9BBB59"/>
              <w:left w:val="single" w:sz="8" w:space="0" w:color="9BBB59"/>
              <w:bottom w:val="single" w:sz="8" w:space="0" w:color="9BBB59"/>
              <w:right w:val="single" w:sz="8" w:space="0" w:color="9BBB59"/>
            </w:tcBorders>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462</w:t>
            </w:r>
          </w:p>
        </w:tc>
        <w:tc>
          <w:tcPr>
            <w:tcW w:w="478" w:type="pct"/>
            <w:tcBorders>
              <w:top w:val="single" w:sz="8" w:space="0" w:color="9BBB59"/>
              <w:left w:val="single" w:sz="8" w:space="0" w:color="9BBB59"/>
              <w:bottom w:val="single" w:sz="8" w:space="0" w:color="9BBB59"/>
              <w:right w:val="single" w:sz="8" w:space="0" w:color="9BBB59"/>
            </w:tcBorders>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5 845 006</w:t>
            </w:r>
          </w:p>
        </w:tc>
        <w:tc>
          <w:tcPr>
            <w:tcW w:w="483"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35,5</w:t>
            </w:r>
          </w:p>
        </w:tc>
        <w:tc>
          <w:tcPr>
            <w:tcW w:w="472"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11,1</w:t>
            </w:r>
          </w:p>
        </w:tc>
        <w:tc>
          <w:tcPr>
            <w:tcW w:w="524" w:type="pct"/>
            <w:vMerge w:val="restart"/>
            <w:tcBorders>
              <w:top w:val="single" w:sz="8" w:space="0" w:color="9BBB59"/>
              <w:left w:val="single" w:sz="8" w:space="0" w:color="9BBB59"/>
              <w:bottom w:val="single" w:sz="8" w:space="0" w:color="9BBB59"/>
              <w:right w:val="single" w:sz="8" w:space="0" w:color="9BBB59"/>
            </w:tcBorders>
            <w:noWrap/>
            <w:vAlign w:val="center"/>
            <w:hideMark/>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430</w:t>
            </w:r>
          </w:p>
        </w:tc>
        <w:tc>
          <w:tcPr>
            <w:tcW w:w="478" w:type="pct"/>
            <w:tcBorders>
              <w:top w:val="single" w:sz="8" w:space="0" w:color="9BBB59"/>
              <w:left w:val="single" w:sz="8" w:space="0" w:color="9BBB59"/>
              <w:bottom w:val="single" w:sz="8" w:space="0" w:color="9BBB59"/>
              <w:right w:val="single" w:sz="8" w:space="0" w:color="9BBB59"/>
            </w:tcBorders>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5 590 857</w:t>
            </w:r>
          </w:p>
        </w:tc>
        <w:tc>
          <w:tcPr>
            <w:tcW w:w="482"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33,9</w:t>
            </w:r>
          </w:p>
        </w:tc>
        <w:tc>
          <w:tcPr>
            <w:tcW w:w="472"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15,0</w:t>
            </w:r>
          </w:p>
        </w:tc>
      </w:tr>
      <w:tr w:rsidR="00603CA3" w:rsidRPr="004A0BD9" w:rsidTr="000C5BE9">
        <w:trPr>
          <w:trHeight w:val="461"/>
          <w:jc w:val="center"/>
        </w:trPr>
        <w:tc>
          <w:tcPr>
            <w:tcW w:w="532" w:type="pct"/>
            <w:tcBorders>
              <w:top w:val="single" w:sz="8" w:space="0" w:color="9BBB59"/>
              <w:left w:val="single" w:sz="8" w:space="0" w:color="9BBB59"/>
              <w:bottom w:val="single" w:sz="8" w:space="0" w:color="9BBB59"/>
              <w:right w:val="single" w:sz="8" w:space="0" w:color="9BBB59"/>
            </w:tcBorders>
            <w:shd w:val="clear" w:color="auto" w:fill="auto"/>
            <w:noWrap/>
            <w:vAlign w:val="center"/>
            <w:hideMark/>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r w:rsidRPr="004A0BD9">
              <w:rPr>
                <w:b/>
                <w:bCs/>
                <w:color w:val="000000" w:themeColor="text1"/>
                <w:sz w:val="22"/>
                <w:szCs w:val="22"/>
                <w:lang w:val="lv-LV"/>
              </w:rPr>
              <w:t>Granti</w:t>
            </w:r>
          </w:p>
        </w:tc>
        <w:tc>
          <w:tcPr>
            <w:tcW w:w="778" w:type="pct"/>
            <w:tcBorders>
              <w:top w:val="single" w:sz="8" w:space="0" w:color="9BBB59"/>
              <w:left w:val="single" w:sz="8" w:space="0" w:color="9BBB59"/>
              <w:bottom w:val="single" w:sz="8" w:space="0" w:color="9BBB59"/>
              <w:right w:val="single" w:sz="8" w:space="0" w:color="9BBB59"/>
            </w:tcBorders>
            <w:shd w:val="clear" w:color="auto" w:fill="auto"/>
            <w:noWrap/>
            <w:vAlign w:val="center"/>
            <w:hideMark/>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4 318 000</w:t>
            </w:r>
          </w:p>
        </w:tc>
        <w:tc>
          <w:tcPr>
            <w:tcW w:w="299" w:type="pct"/>
            <w:tcBorders>
              <w:top w:val="single" w:sz="8" w:space="0" w:color="9BBB59"/>
              <w:left w:val="single" w:sz="8" w:space="0" w:color="9BBB59"/>
              <w:bottom w:val="single" w:sz="8" w:space="0" w:color="9BBB59"/>
              <w:right w:val="single" w:sz="8" w:space="0" w:color="9BBB59"/>
            </w:tcBorders>
            <w:shd w:val="clear" w:color="auto" w:fill="auto"/>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425</w:t>
            </w:r>
          </w:p>
        </w:tc>
        <w:tc>
          <w:tcPr>
            <w:tcW w:w="478" w:type="pct"/>
            <w:tcBorders>
              <w:top w:val="single" w:sz="8" w:space="0" w:color="9BBB59"/>
              <w:left w:val="single" w:sz="8" w:space="0" w:color="9BBB59"/>
              <w:bottom w:val="single" w:sz="8" w:space="0" w:color="9BBB59"/>
              <w:right w:val="single" w:sz="8" w:space="0" w:color="9BBB59"/>
            </w:tcBorders>
            <w:shd w:val="clear" w:color="auto" w:fill="auto"/>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1 930 656</w:t>
            </w:r>
          </w:p>
        </w:tc>
        <w:tc>
          <w:tcPr>
            <w:tcW w:w="483"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44,7</w:t>
            </w:r>
          </w:p>
        </w:tc>
        <w:tc>
          <w:tcPr>
            <w:tcW w:w="472"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16,1</w:t>
            </w:r>
          </w:p>
        </w:tc>
        <w:tc>
          <w:tcPr>
            <w:tcW w:w="524" w:type="pct"/>
            <w:vMerge/>
            <w:tcBorders>
              <w:top w:val="single" w:sz="8" w:space="0" w:color="9BBB59"/>
              <w:left w:val="single" w:sz="8" w:space="0" w:color="9BBB59"/>
              <w:bottom w:val="single" w:sz="8" w:space="0" w:color="9BBB59"/>
              <w:right w:val="single" w:sz="8" w:space="0" w:color="9BBB59"/>
            </w:tcBorders>
            <w:shd w:val="clear" w:color="auto" w:fill="auto"/>
            <w:noWrap/>
            <w:vAlign w:val="center"/>
            <w:hideMark/>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p>
        </w:tc>
        <w:tc>
          <w:tcPr>
            <w:tcW w:w="478" w:type="pct"/>
            <w:tcBorders>
              <w:top w:val="single" w:sz="8" w:space="0" w:color="9BBB59"/>
              <w:left w:val="single" w:sz="8" w:space="0" w:color="9BBB59"/>
              <w:bottom w:val="single" w:sz="8" w:space="0" w:color="9BBB59"/>
              <w:right w:val="single" w:sz="8" w:space="0" w:color="9BBB59"/>
            </w:tcBorders>
            <w:shd w:val="clear" w:color="auto" w:fill="auto"/>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1 829 709</w:t>
            </w:r>
          </w:p>
        </w:tc>
        <w:tc>
          <w:tcPr>
            <w:tcW w:w="482"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42,4</w:t>
            </w:r>
          </w:p>
        </w:tc>
        <w:tc>
          <w:tcPr>
            <w:tcW w:w="472"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20,4</w:t>
            </w:r>
          </w:p>
        </w:tc>
      </w:tr>
      <w:tr w:rsidR="00603CA3" w:rsidRPr="004A0BD9" w:rsidTr="000C5BE9">
        <w:trPr>
          <w:trHeight w:val="461"/>
          <w:jc w:val="center"/>
        </w:trPr>
        <w:tc>
          <w:tcPr>
            <w:tcW w:w="532" w:type="pct"/>
            <w:tcBorders>
              <w:top w:val="single" w:sz="8" w:space="0" w:color="9BBB59"/>
              <w:left w:val="single" w:sz="8" w:space="0" w:color="9BBB59"/>
              <w:bottom w:val="single" w:sz="8" w:space="0" w:color="9BBB59"/>
              <w:right w:val="single" w:sz="8" w:space="0" w:color="9BBB59"/>
            </w:tcBorders>
            <w:shd w:val="clear" w:color="auto" w:fill="auto"/>
            <w:noWrap/>
            <w:vAlign w:val="center"/>
          </w:tcPr>
          <w:p w:rsidR="00DD33D7" w:rsidRPr="004A0BD9" w:rsidRDefault="00DD33D7" w:rsidP="00603CA3">
            <w:pPr>
              <w:pStyle w:val="NormalWeb"/>
              <w:spacing w:before="0" w:beforeAutospacing="0" w:after="0" w:afterAutospacing="0" w:line="276" w:lineRule="auto"/>
              <w:jc w:val="both"/>
              <w:rPr>
                <w:b/>
                <w:bCs/>
                <w:color w:val="000000" w:themeColor="text1"/>
                <w:sz w:val="22"/>
                <w:szCs w:val="22"/>
                <w:lang w:val="lv-LV"/>
              </w:rPr>
            </w:pPr>
            <w:r w:rsidRPr="004A0BD9">
              <w:rPr>
                <w:b/>
                <w:bCs/>
                <w:color w:val="000000" w:themeColor="text1"/>
                <w:sz w:val="22"/>
                <w:szCs w:val="22"/>
                <w:lang w:val="lv-LV"/>
              </w:rPr>
              <w:t xml:space="preserve">Kopā </w:t>
            </w:r>
          </w:p>
        </w:tc>
        <w:tc>
          <w:tcPr>
            <w:tcW w:w="778" w:type="pct"/>
            <w:tcBorders>
              <w:top w:val="single" w:sz="8" w:space="0" w:color="9BBB59"/>
              <w:left w:val="single" w:sz="8" w:space="0" w:color="9BBB59"/>
              <w:bottom w:val="single" w:sz="8" w:space="0" w:color="9BBB59"/>
              <w:right w:val="single" w:sz="8" w:space="0" w:color="9BBB59"/>
            </w:tcBorders>
            <w:shd w:val="clear" w:color="auto" w:fill="auto"/>
            <w:noWrap/>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20 798 000</w:t>
            </w:r>
          </w:p>
        </w:tc>
        <w:tc>
          <w:tcPr>
            <w:tcW w:w="299" w:type="pct"/>
            <w:tcBorders>
              <w:top w:val="single" w:sz="8" w:space="0" w:color="9BBB59"/>
              <w:left w:val="single" w:sz="8" w:space="0" w:color="9BBB59"/>
              <w:bottom w:val="single" w:sz="8" w:space="0" w:color="9BBB59"/>
              <w:right w:val="single" w:sz="8" w:space="0" w:color="9BBB59"/>
            </w:tcBorders>
            <w:shd w:val="clear" w:color="auto" w:fill="auto"/>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887</w:t>
            </w:r>
          </w:p>
        </w:tc>
        <w:tc>
          <w:tcPr>
            <w:tcW w:w="478" w:type="pct"/>
            <w:tcBorders>
              <w:top w:val="single" w:sz="8" w:space="0" w:color="9BBB59"/>
              <w:left w:val="single" w:sz="8" w:space="0" w:color="9BBB59"/>
              <w:bottom w:val="single" w:sz="8" w:space="0" w:color="9BBB59"/>
              <w:right w:val="single" w:sz="8" w:space="0" w:color="9BBB59"/>
            </w:tcBorders>
            <w:shd w:val="clear" w:color="auto" w:fill="auto"/>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7 775 662</w:t>
            </w:r>
          </w:p>
        </w:tc>
        <w:tc>
          <w:tcPr>
            <w:tcW w:w="483"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37,4</w:t>
            </w:r>
          </w:p>
        </w:tc>
        <w:tc>
          <w:tcPr>
            <w:tcW w:w="472"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12,1</w:t>
            </w:r>
          </w:p>
        </w:tc>
        <w:tc>
          <w:tcPr>
            <w:tcW w:w="524" w:type="pct"/>
            <w:tcBorders>
              <w:top w:val="single" w:sz="8" w:space="0" w:color="9BBB59"/>
              <w:left w:val="single" w:sz="8" w:space="0" w:color="9BBB59"/>
              <w:bottom w:val="single" w:sz="8" w:space="0" w:color="9BBB59"/>
              <w:right w:val="single" w:sz="8" w:space="0" w:color="9BBB59"/>
            </w:tcBorders>
            <w:shd w:val="clear" w:color="auto" w:fill="auto"/>
            <w:noWrap/>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430</w:t>
            </w:r>
          </w:p>
        </w:tc>
        <w:tc>
          <w:tcPr>
            <w:tcW w:w="478" w:type="pct"/>
            <w:tcBorders>
              <w:top w:val="single" w:sz="8" w:space="0" w:color="9BBB59"/>
              <w:left w:val="single" w:sz="8" w:space="0" w:color="9BBB59"/>
              <w:bottom w:val="single" w:sz="8" w:space="0" w:color="9BBB59"/>
              <w:right w:val="single" w:sz="8" w:space="0" w:color="9BBB59"/>
            </w:tcBorders>
            <w:shd w:val="clear" w:color="auto" w:fill="auto"/>
            <w:vAlign w:val="center"/>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7 420 566</w:t>
            </w:r>
          </w:p>
        </w:tc>
        <w:tc>
          <w:tcPr>
            <w:tcW w:w="482"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35,7</w:t>
            </w:r>
          </w:p>
        </w:tc>
        <w:tc>
          <w:tcPr>
            <w:tcW w:w="472" w:type="pct"/>
            <w:tcBorders>
              <w:top w:val="single" w:sz="8" w:space="0" w:color="9BBB59"/>
              <w:left w:val="single" w:sz="8" w:space="0" w:color="9BBB59"/>
              <w:bottom w:val="single" w:sz="8" w:space="0" w:color="9BBB59"/>
              <w:right w:val="single" w:sz="8" w:space="0" w:color="9BBB59"/>
            </w:tcBorders>
          </w:tcPr>
          <w:p w:rsidR="00DD33D7" w:rsidRPr="004A0BD9" w:rsidRDefault="00DD33D7" w:rsidP="00603CA3">
            <w:pPr>
              <w:pStyle w:val="NormalWeb"/>
              <w:spacing w:before="0" w:beforeAutospacing="0" w:after="0" w:afterAutospacing="0" w:line="276" w:lineRule="auto"/>
              <w:jc w:val="both"/>
              <w:rPr>
                <w:rFonts w:eastAsia="Calibri"/>
                <w:color w:val="000000" w:themeColor="text1"/>
                <w:sz w:val="22"/>
                <w:szCs w:val="22"/>
                <w:lang w:val="lv-LV"/>
              </w:rPr>
            </w:pPr>
            <w:r w:rsidRPr="004A0BD9">
              <w:rPr>
                <w:rFonts w:eastAsia="Calibri"/>
                <w:color w:val="000000" w:themeColor="text1"/>
                <w:sz w:val="22"/>
                <w:szCs w:val="22"/>
                <w:lang w:val="lv-LV"/>
              </w:rPr>
              <w:t>16,1</w:t>
            </w:r>
          </w:p>
        </w:tc>
      </w:tr>
    </w:tbl>
    <w:p w:rsidR="00180736" w:rsidRPr="00603CA3" w:rsidRDefault="00180736" w:rsidP="00603CA3">
      <w:pPr>
        <w:pStyle w:val="NormalWeb"/>
        <w:spacing w:before="0" w:beforeAutospacing="0" w:after="0" w:afterAutospacing="0" w:line="276" w:lineRule="auto"/>
        <w:jc w:val="both"/>
        <w:rPr>
          <w:color w:val="000000" w:themeColor="text1"/>
          <w:highlight w:val="yellow"/>
          <w:lang w:val="lv-LV"/>
        </w:rPr>
      </w:pPr>
    </w:p>
    <w:p w:rsidR="00AC09D1" w:rsidRPr="00603CA3" w:rsidRDefault="00AC09D1" w:rsidP="00603CA3">
      <w:pPr>
        <w:pStyle w:val="NormalWeb"/>
        <w:spacing w:before="0" w:beforeAutospacing="0" w:after="0" w:afterAutospacing="0" w:line="276" w:lineRule="auto"/>
        <w:jc w:val="both"/>
        <w:rPr>
          <w:color w:val="000000" w:themeColor="text1"/>
          <w:lang w:val="lv-LV"/>
        </w:rPr>
      </w:pPr>
      <w:r w:rsidRPr="00603CA3">
        <w:rPr>
          <w:color w:val="000000" w:themeColor="text1"/>
          <w:lang w:val="lv-LV"/>
        </w:rPr>
        <w:t xml:space="preserve">Projekta ietvaros konsultēto un apmācīto personu skaits sasniedzis vai pārsniedzis plānoto apjomu un šī rādītāja izpildes progress vērtējams pozitīvi, savukārt izsniegto aizdevumu un grantu apjoms uz pārskata perioda beigām atpaliek no plānotā – atbalstīto komersantu skaits </w:t>
      </w:r>
      <w:r w:rsidR="004835CF" w:rsidRPr="00603CA3">
        <w:rPr>
          <w:color w:val="000000" w:themeColor="text1"/>
          <w:lang w:val="lv-LV"/>
        </w:rPr>
        <w:t xml:space="preserve">ir </w:t>
      </w:r>
      <w:r w:rsidRPr="00603CA3">
        <w:rPr>
          <w:color w:val="000000" w:themeColor="text1"/>
          <w:lang w:val="lv-LV"/>
        </w:rPr>
        <w:t xml:space="preserve">55% no projekta ietvaros plānotā kopējā apjoma. </w:t>
      </w:r>
      <w:r w:rsidR="00543E45" w:rsidRPr="00603CA3">
        <w:rPr>
          <w:color w:val="000000" w:themeColor="text1"/>
          <w:lang w:val="lv-LV"/>
        </w:rPr>
        <w:t xml:space="preserve">LHZB </w:t>
      </w:r>
      <w:r w:rsidRPr="00603CA3">
        <w:rPr>
          <w:color w:val="000000" w:themeColor="text1"/>
          <w:lang w:val="lv-LV"/>
        </w:rPr>
        <w:t xml:space="preserve">ir veikusi pasākumus, kas veicinātu programmas finansējuma apguvi, piemēram, lai stimulētu </w:t>
      </w:r>
      <w:proofErr w:type="spellStart"/>
      <w:r w:rsidRPr="00603CA3">
        <w:rPr>
          <w:color w:val="000000" w:themeColor="text1"/>
          <w:lang w:val="lv-LV"/>
        </w:rPr>
        <w:t>mikrouzņēmumu</w:t>
      </w:r>
      <w:proofErr w:type="spellEnd"/>
      <w:r w:rsidRPr="00603CA3">
        <w:rPr>
          <w:color w:val="000000" w:themeColor="text1"/>
          <w:lang w:val="lv-LV"/>
        </w:rPr>
        <w:t xml:space="preserve"> iesaistīšanos atbalsta programmā, aizdevumiem līdz 5 000 latiem vairs netiek prasīts uzņēmuma līdzfinansējums, kā arī ir paplašināta grantu saņēmēja mērķa grupa. </w:t>
      </w:r>
    </w:p>
    <w:p w:rsidR="00AC09D1" w:rsidRPr="00603CA3" w:rsidRDefault="00AC09D1" w:rsidP="00603CA3">
      <w:pPr>
        <w:pStyle w:val="NormalWeb"/>
        <w:spacing w:before="0" w:beforeAutospacing="0" w:after="0" w:afterAutospacing="0" w:line="276" w:lineRule="auto"/>
        <w:jc w:val="both"/>
        <w:rPr>
          <w:color w:val="000000" w:themeColor="text1"/>
          <w:lang w:val="lv-LV"/>
        </w:rPr>
      </w:pPr>
      <w:r w:rsidRPr="00603CA3">
        <w:rPr>
          <w:color w:val="000000" w:themeColor="text1"/>
          <w:lang w:val="lv-LV"/>
        </w:rPr>
        <w:t xml:space="preserve">Lai veicinātu potenciālo atbalsta saņēmēju informēšanu, </w:t>
      </w:r>
      <w:r w:rsidR="00543E45" w:rsidRPr="00603CA3">
        <w:rPr>
          <w:color w:val="000000" w:themeColor="text1"/>
          <w:lang w:val="lv-LV"/>
        </w:rPr>
        <w:t xml:space="preserve">LHZB </w:t>
      </w:r>
      <w:r w:rsidRPr="00603CA3">
        <w:rPr>
          <w:color w:val="000000" w:themeColor="text1"/>
          <w:lang w:val="lv-LV"/>
        </w:rPr>
        <w:t xml:space="preserve">organizē publikāciju sagatavošanu reģionālajos plašsaziņas līdzekļos, organizē tikšanās ar reģionu plašsaziņas līdzekļu pārstāvjiem. Kopumā atbalsta programmas ietvaros 28% no sniegtā atbalsta tikuši virzīti ražošanas nozares jaunajiem komersantiem, 22% tirdzniecības nozarei, 8% veselības aprūpes jomai (zobārstniecība, ārstu privātprakses), 4% informātikai, 9% ēdināšanas nozarei, 7% pakalpojumiem un 22% citām nozarēm. </w:t>
      </w:r>
    </w:p>
    <w:p w:rsidR="00AC09D1" w:rsidRPr="00603CA3" w:rsidRDefault="00AC09D1" w:rsidP="00603CA3">
      <w:pPr>
        <w:pStyle w:val="NormalWeb"/>
        <w:spacing w:before="0" w:beforeAutospacing="0" w:after="0" w:afterAutospacing="0" w:line="276" w:lineRule="auto"/>
        <w:jc w:val="both"/>
        <w:rPr>
          <w:color w:val="000000" w:themeColor="text1"/>
          <w:lang w:val="lv-LV"/>
        </w:rPr>
      </w:pPr>
      <w:r w:rsidRPr="00603CA3">
        <w:rPr>
          <w:color w:val="000000" w:themeColor="text1"/>
          <w:lang w:val="lv-LV"/>
        </w:rPr>
        <w:t xml:space="preserve">Atbalsta saņēmēju sadalījums pa reģioniem ir salīdzinošo vienmērīgs un proporcionāls reģionu lielumam, savukārt Rīgas reģionā atbalsta saņēmēju skaits ir lielāks nekā pārējos reģionos, kas skaidrojams ar lielāku iedzīvotāju skaitu Rīgas reģionā, līdz ar to lielāku interesi no potenciālo komersantu puses par programmas piedāvātajām iespējām. </w:t>
      </w:r>
    </w:p>
    <w:p w:rsidR="00AC09D1" w:rsidRPr="00603CA3" w:rsidRDefault="00AC09D1" w:rsidP="00603CA3">
      <w:pPr>
        <w:spacing w:line="276" w:lineRule="auto"/>
        <w:rPr>
          <w:b/>
          <w:color w:val="000000" w:themeColor="text1"/>
          <w:szCs w:val="24"/>
        </w:rPr>
      </w:pPr>
      <w:r w:rsidRPr="00603CA3">
        <w:rPr>
          <w:b/>
          <w:color w:val="000000" w:themeColor="text1"/>
          <w:szCs w:val="24"/>
        </w:rPr>
        <w:t>„Sociālās iekļaušanas veicināšana”</w:t>
      </w:r>
    </w:p>
    <w:p w:rsidR="00AC09D1" w:rsidRPr="00603CA3" w:rsidRDefault="00AC09D1" w:rsidP="00603CA3">
      <w:pPr>
        <w:spacing w:line="276" w:lineRule="auto"/>
        <w:rPr>
          <w:color w:val="000000" w:themeColor="text1"/>
          <w:szCs w:val="24"/>
        </w:rPr>
      </w:pPr>
      <w:r w:rsidRPr="00603CA3">
        <w:rPr>
          <w:color w:val="000000" w:themeColor="text1"/>
          <w:szCs w:val="24"/>
        </w:rPr>
        <w:t xml:space="preserve">Prioritāte ir vērsta uz nabadzības un sociālās atstumtības risku mazināšanu, atbalstot sociālās iekļaušanas pasākumus un veicinot iekļaujoša darba tirgus attīstību. </w:t>
      </w:r>
    </w:p>
    <w:p w:rsidR="00AC09D1" w:rsidRPr="00603CA3" w:rsidRDefault="00AC09D1" w:rsidP="00603CA3">
      <w:pPr>
        <w:pStyle w:val="Default"/>
        <w:spacing w:line="276" w:lineRule="auto"/>
        <w:jc w:val="both"/>
        <w:rPr>
          <w:color w:val="000000" w:themeColor="text1"/>
        </w:rPr>
      </w:pPr>
      <w:r w:rsidRPr="00603CA3">
        <w:rPr>
          <w:color w:val="000000" w:themeColor="text1"/>
        </w:rPr>
        <w:t>Progress sociālās iekļaušanas aktivitāšu ieviešanā pārskata periodā saistīts galvenokārt ar pasākuma „Darba vieta jaunietim” ieviešanu. Sociālās rehabilitācijas un institūcijām alternatīvu sociālās aprūpes p</w:t>
      </w:r>
      <w:r w:rsidR="006B12C9" w:rsidRPr="00603CA3">
        <w:rPr>
          <w:color w:val="000000" w:themeColor="text1"/>
        </w:rPr>
        <w:t>akalpojumu attīstības aktivitātē</w:t>
      </w:r>
      <w:r w:rsidRPr="00603CA3">
        <w:rPr>
          <w:color w:val="000000" w:themeColor="text1"/>
        </w:rPr>
        <w:t xml:space="preserve"> turpinās projektu īstenošana, kuros plānots attīstīt sociālās rehabilitācijas un institūcijām alternatīvus sociālās aprūpes pakalpojumus plānošanas reģionos ar nolūku pilnveidot personu ar funkcionāliem traucējumiem un viņu ģimenes locekļu, bezpajumtnieku un citu sociālās atstumtības riskam pakļauto iedzīvotāju grupu sociālās un funkcionālās prasmes, lai palielinātu mērķa grupas nodarbinātību un integrāciju sabiedrībā. Finansējuma saņēmēji ir sociālo pakalpojumu reģistrā kā sociālās aprūpes vai sociālās rehabilitācijas pakalpojumu sniedzēji reģistrētas privāto tiesību juridiskās personas, kā arī pašvaldības, pašvaldību institūcijas un valsts institūcijas. </w:t>
      </w:r>
    </w:p>
    <w:p w:rsidR="00AC09D1" w:rsidRPr="00603CA3" w:rsidRDefault="00AC09D1" w:rsidP="00603CA3">
      <w:pPr>
        <w:spacing w:line="276" w:lineRule="auto"/>
        <w:rPr>
          <w:b/>
          <w:color w:val="000000" w:themeColor="text1"/>
          <w:szCs w:val="24"/>
        </w:rPr>
      </w:pPr>
      <w:r w:rsidRPr="00603CA3">
        <w:rPr>
          <w:b/>
          <w:color w:val="000000" w:themeColor="text1"/>
          <w:szCs w:val="24"/>
        </w:rPr>
        <w:lastRenderedPageBreak/>
        <w:t>„Administratīvās kapacitātes stiprināšana”</w:t>
      </w:r>
    </w:p>
    <w:p w:rsidR="00AC09D1" w:rsidRPr="00603CA3" w:rsidRDefault="00AC09D1" w:rsidP="00603CA3">
      <w:pPr>
        <w:spacing w:line="276" w:lineRule="auto"/>
        <w:rPr>
          <w:color w:val="000000" w:themeColor="text1"/>
          <w:szCs w:val="24"/>
        </w:rPr>
      </w:pPr>
      <w:r w:rsidRPr="00603CA3">
        <w:rPr>
          <w:color w:val="000000" w:themeColor="text1"/>
          <w:szCs w:val="24"/>
        </w:rPr>
        <w:t xml:space="preserve">Prioritāte ir vērsta uz valsts, reģionālā un vietējā līmeņa pārvaldes institūciju kapacitātes stiprināšanu, paaugstinot to efektivitāti un pienesumu valsts ekonomiskai un sociālai izaugsmei, kā arī veicinot valsts, reģionālā un vietējā līmeņa pārvaldes institūciju, sociālo partneru un </w:t>
      </w:r>
      <w:r w:rsidR="00873D56" w:rsidRPr="00603CA3">
        <w:rPr>
          <w:color w:val="000000" w:themeColor="text1"/>
          <w:szCs w:val="24"/>
        </w:rPr>
        <w:t>NVO</w:t>
      </w:r>
      <w:r w:rsidRPr="00603CA3">
        <w:rPr>
          <w:color w:val="000000" w:themeColor="text1"/>
          <w:szCs w:val="24"/>
        </w:rPr>
        <w:t xml:space="preserve"> savstarpējo sadarbību labākas, uz sabiedrības vajadzībām vērstas politikas veidošanā un ieviešanā, kā arī efektīvas un caurskatāmas publiskās pārvaldes veidošanā.</w:t>
      </w:r>
    </w:p>
    <w:p w:rsidR="004B48A2" w:rsidRPr="00603CA3" w:rsidRDefault="00AC09D1" w:rsidP="00603CA3">
      <w:pPr>
        <w:pStyle w:val="Default"/>
        <w:spacing w:line="276" w:lineRule="auto"/>
        <w:jc w:val="both"/>
        <w:rPr>
          <w:color w:val="000000" w:themeColor="text1"/>
        </w:rPr>
      </w:pPr>
      <w:r w:rsidRPr="00603CA3">
        <w:rPr>
          <w:color w:val="000000" w:themeColor="text1"/>
        </w:rPr>
        <w:t xml:space="preserve">Pārskata periodā kopumā administratīvās kapacitātes atbalsta aktivitāšu ieviešanas progress ir saglabājies līdzšinējā apjomā attiecībā uz veiktajiem maksājumiem finansējuma saņēmējiem (maksājumu apjoms pieaudzis par </w:t>
      </w:r>
      <w:r w:rsidR="000E337C" w:rsidRPr="00603CA3">
        <w:rPr>
          <w:color w:val="000000" w:themeColor="text1"/>
        </w:rPr>
        <w:t>4</w:t>
      </w:r>
      <w:r w:rsidRPr="00603CA3">
        <w:rPr>
          <w:color w:val="000000" w:themeColor="text1"/>
        </w:rPr>
        <w:t xml:space="preserve">%), vienlaikus vairākās aktivitātēs progress vērtējams kā nepietiekams. Vides aizsardzības un reģionālās attīstības ministrijas </w:t>
      </w:r>
      <w:proofErr w:type="spellStart"/>
      <w:r w:rsidRPr="00603CA3">
        <w:rPr>
          <w:color w:val="000000" w:themeColor="text1"/>
        </w:rPr>
        <w:t>pārziņā</w:t>
      </w:r>
      <w:proofErr w:type="spellEnd"/>
      <w:r w:rsidRPr="00603CA3">
        <w:rPr>
          <w:color w:val="000000" w:themeColor="text1"/>
        </w:rPr>
        <w:t xml:space="preserve"> esošo plānošanas reģionu un vietējo pašvaldību attīstības plānošanas kapacitātes paaugstināšanas aktivitātēs, kuru īstenošana uzsākta 2010. gada decembrī, turpinās projektu ieviešana un rādītāju sasniegšana plānojama 2011.gada 2. pusē.</w:t>
      </w:r>
      <w:r w:rsidR="00BC44C9" w:rsidRPr="00603CA3">
        <w:rPr>
          <w:color w:val="000000" w:themeColor="text1"/>
        </w:rPr>
        <w:t xml:space="preserve"> </w:t>
      </w:r>
    </w:p>
    <w:p w:rsidR="00FF4209" w:rsidRPr="00603CA3" w:rsidRDefault="001215E7" w:rsidP="00603CA3">
      <w:pPr>
        <w:spacing w:line="276" w:lineRule="auto"/>
        <w:rPr>
          <w:b/>
          <w:color w:val="000000" w:themeColor="text1"/>
          <w:szCs w:val="24"/>
        </w:rPr>
      </w:pPr>
      <w:bookmarkStart w:id="20" w:name="_Toc276049977"/>
      <w:r w:rsidRPr="00603CA3">
        <w:rPr>
          <w:b/>
          <w:color w:val="000000" w:themeColor="text1"/>
          <w:szCs w:val="24"/>
        </w:rPr>
        <w:t xml:space="preserve">1.3.2. </w:t>
      </w:r>
      <w:r w:rsidR="00FF4209" w:rsidRPr="00603CA3">
        <w:rPr>
          <w:b/>
          <w:color w:val="000000" w:themeColor="text1"/>
          <w:szCs w:val="24"/>
        </w:rPr>
        <w:t>Darbības programma „Uzņēmējdarbība un inovācijas”</w:t>
      </w:r>
      <w:bookmarkEnd w:id="20"/>
    </w:p>
    <w:p w:rsidR="00947DF5" w:rsidRPr="00603CA3" w:rsidRDefault="00947DF5" w:rsidP="00603CA3">
      <w:pPr>
        <w:pStyle w:val="Default"/>
        <w:spacing w:line="276" w:lineRule="auto"/>
        <w:jc w:val="both"/>
        <w:rPr>
          <w:color w:val="000000" w:themeColor="text1"/>
        </w:rPr>
      </w:pPr>
      <w:bookmarkStart w:id="21" w:name="_Toc276049978"/>
      <w:r w:rsidRPr="00603CA3">
        <w:rPr>
          <w:color w:val="000000" w:themeColor="text1"/>
        </w:rPr>
        <w:t xml:space="preserve">Pārskata periodā sākusies projektu īstenošana aktivitātēs, kuru mērķis ir sekmēt starptautiski konkurētspējīgas zinātnes attīstību, stiprināt zinātnes un pētniecības potenciāla kapacitāti un sniegt atbalstu zinātnes infrastruktūras modernizācijai, veicinot zināšanu pārnesi tautsaimniecībā un uz zināšanām balstītas uzņēmējdarbības nostiprināšanos. </w:t>
      </w:r>
    </w:p>
    <w:p w:rsidR="00947DF5" w:rsidRPr="00603CA3" w:rsidRDefault="00947DF5" w:rsidP="00603CA3">
      <w:pPr>
        <w:pStyle w:val="Default"/>
        <w:spacing w:line="276" w:lineRule="auto"/>
        <w:jc w:val="both"/>
        <w:rPr>
          <w:color w:val="000000" w:themeColor="text1"/>
        </w:rPr>
      </w:pPr>
      <w:r w:rsidRPr="00603CA3">
        <w:rPr>
          <w:color w:val="000000" w:themeColor="text1"/>
        </w:rPr>
        <w:t xml:space="preserve">Pārējās aktivitātēs turpinās maksājumu veikšana un finanšu progress ir mazāks, nekā sākotnēji tika plānots. Informāciju par finansējuma apguvi skatīt </w:t>
      </w:r>
      <w:r w:rsidRPr="00603CA3">
        <w:rPr>
          <w:color w:val="000000" w:themeColor="text1"/>
          <w:u w:val="single"/>
        </w:rPr>
        <w:t>grafikā Nr.4.</w:t>
      </w:r>
    </w:p>
    <w:p w:rsidR="00947DF5" w:rsidRPr="00603CA3" w:rsidRDefault="00947DF5" w:rsidP="00603CA3">
      <w:pPr>
        <w:spacing w:line="276" w:lineRule="auto"/>
        <w:rPr>
          <w:noProof/>
          <w:color w:val="000000" w:themeColor="text1"/>
          <w:szCs w:val="24"/>
          <w:highlight w:val="green"/>
          <w:lang w:eastAsia="lv-LV"/>
        </w:rPr>
      </w:pPr>
      <w:r w:rsidRPr="00603CA3">
        <w:rPr>
          <w:color w:val="000000" w:themeColor="text1"/>
          <w:szCs w:val="24"/>
        </w:rPr>
        <w:t>Grafiks Nr.4</w:t>
      </w:r>
      <w:r w:rsidRPr="00603CA3">
        <w:rPr>
          <w:i/>
          <w:color w:val="000000" w:themeColor="text1"/>
          <w:szCs w:val="24"/>
        </w:rPr>
        <w:t xml:space="preserve"> „ES fondu finanšu apguve darbības programmā „Uzņēmējdarbība un inovācijas</w:t>
      </w:r>
      <w:r w:rsidR="00261CFD" w:rsidRPr="00603CA3">
        <w:rPr>
          <w:i/>
          <w:color w:val="000000" w:themeColor="text1"/>
          <w:szCs w:val="24"/>
        </w:rPr>
        <w:t xml:space="preserve"> uz 30.06.2011.</w:t>
      </w:r>
      <w:r w:rsidRPr="00603CA3">
        <w:rPr>
          <w:i/>
          <w:color w:val="000000" w:themeColor="text1"/>
          <w:szCs w:val="24"/>
        </w:rPr>
        <w:t xml:space="preserve">; </w:t>
      </w:r>
      <w:proofErr w:type="spellStart"/>
      <w:r w:rsidRPr="00603CA3">
        <w:rPr>
          <w:i/>
          <w:color w:val="000000" w:themeColor="text1"/>
          <w:szCs w:val="24"/>
        </w:rPr>
        <w:t>milj</w:t>
      </w:r>
      <w:proofErr w:type="spellEnd"/>
      <w:r w:rsidRPr="00603CA3">
        <w:rPr>
          <w:i/>
          <w:color w:val="000000" w:themeColor="text1"/>
          <w:szCs w:val="24"/>
        </w:rPr>
        <w:t>. LVL, (% no pieejamā publiskā finansējuma); % progress pret datiem uz 31.03.2011.”</w:t>
      </w:r>
    </w:p>
    <w:p w:rsidR="00947DF5" w:rsidRPr="00603CA3" w:rsidRDefault="00947DF5" w:rsidP="00603CA3">
      <w:pPr>
        <w:spacing w:line="276" w:lineRule="auto"/>
        <w:rPr>
          <w:noProof/>
          <w:color w:val="000000" w:themeColor="text1"/>
          <w:szCs w:val="24"/>
          <w:highlight w:val="green"/>
          <w:lang w:eastAsia="lv-LV"/>
        </w:rPr>
      </w:pPr>
      <w:r w:rsidRPr="00603CA3">
        <w:rPr>
          <w:noProof/>
          <w:color w:val="000000" w:themeColor="text1"/>
          <w:szCs w:val="24"/>
          <w:lang w:eastAsia="lv-LV"/>
        </w:rPr>
        <w:drawing>
          <wp:inline distT="0" distB="0" distL="0" distR="0" wp14:anchorId="4B1D300F" wp14:editId="39C99CFF">
            <wp:extent cx="5486400" cy="3476847"/>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47DF5" w:rsidRPr="00603CA3" w:rsidRDefault="00947DF5" w:rsidP="00603CA3">
      <w:pPr>
        <w:spacing w:line="276" w:lineRule="auto"/>
        <w:rPr>
          <w:b/>
          <w:color w:val="000000" w:themeColor="text1"/>
          <w:szCs w:val="24"/>
        </w:rPr>
      </w:pPr>
      <w:r w:rsidRPr="00603CA3">
        <w:rPr>
          <w:b/>
          <w:color w:val="000000" w:themeColor="text1"/>
          <w:szCs w:val="24"/>
        </w:rPr>
        <w:t xml:space="preserve">„Zinātne un inovācijas” </w:t>
      </w:r>
    </w:p>
    <w:p w:rsidR="00947DF5" w:rsidRPr="00603CA3" w:rsidRDefault="00947DF5" w:rsidP="00603CA3">
      <w:pPr>
        <w:pStyle w:val="Default"/>
        <w:spacing w:line="276" w:lineRule="auto"/>
        <w:jc w:val="both"/>
        <w:rPr>
          <w:color w:val="000000" w:themeColor="text1"/>
        </w:rPr>
      </w:pPr>
      <w:r w:rsidRPr="00603CA3">
        <w:rPr>
          <w:color w:val="000000" w:themeColor="text1"/>
        </w:rPr>
        <w:t xml:space="preserve">Prioritāte vērsta uz valsts zinātnes un pētniecības potenciāla nostiprināšanu, starptautiskās konkurētspējas palielināšanu, kā arī zināšanu pārneses un to </w:t>
      </w:r>
      <w:proofErr w:type="spellStart"/>
      <w:r w:rsidRPr="00603CA3">
        <w:rPr>
          <w:color w:val="000000" w:themeColor="text1"/>
        </w:rPr>
        <w:t>komercializācijas</w:t>
      </w:r>
      <w:proofErr w:type="spellEnd"/>
      <w:r w:rsidRPr="00603CA3">
        <w:rPr>
          <w:color w:val="000000" w:themeColor="text1"/>
        </w:rPr>
        <w:t xml:space="preserve"> veicināšanu. </w:t>
      </w:r>
      <w:r w:rsidRPr="00603CA3">
        <w:rPr>
          <w:color w:val="000000" w:themeColor="text1"/>
        </w:rPr>
        <w:lastRenderedPageBreak/>
        <w:t xml:space="preserve">Šie mērķi sasniedzami, investējot zinātnes un pētniecības centru aprīkojumā, pētniecības veicināšanā, izveidojot zināšanu pārneses infrastruktūru un atbalsta mehānismus. </w:t>
      </w:r>
    </w:p>
    <w:p w:rsidR="00947DF5" w:rsidRPr="00603CA3" w:rsidRDefault="00947DF5" w:rsidP="00603CA3">
      <w:pPr>
        <w:pStyle w:val="Default"/>
        <w:spacing w:line="276" w:lineRule="auto"/>
        <w:jc w:val="both"/>
        <w:rPr>
          <w:color w:val="000000" w:themeColor="text1"/>
          <w:u w:val="single"/>
        </w:rPr>
      </w:pPr>
      <w:r w:rsidRPr="00603CA3">
        <w:rPr>
          <w:color w:val="000000" w:themeColor="text1"/>
          <w:u w:val="single"/>
        </w:rPr>
        <w:t>Zinātne, pētniecība, attīstība</w:t>
      </w:r>
    </w:p>
    <w:p w:rsidR="00947DF5" w:rsidRPr="00603CA3" w:rsidRDefault="00947DF5" w:rsidP="00603CA3">
      <w:pPr>
        <w:pStyle w:val="Default"/>
        <w:spacing w:line="276" w:lineRule="auto"/>
        <w:jc w:val="both"/>
        <w:rPr>
          <w:color w:val="000000" w:themeColor="text1"/>
        </w:rPr>
      </w:pPr>
      <w:r w:rsidRPr="00603CA3">
        <w:rPr>
          <w:color w:val="000000" w:themeColor="text1"/>
        </w:rPr>
        <w:t>Kopumā zinātnes un pētniecības aktivitāšu ieviešana pārskata ceturksnī bijusi atbilstoši plānotajam. Notiek aktīva aktivitāšu ieviešana.</w:t>
      </w:r>
    </w:p>
    <w:p w:rsidR="00947DF5" w:rsidRPr="00603CA3" w:rsidRDefault="00947DF5" w:rsidP="00603CA3">
      <w:pPr>
        <w:pStyle w:val="Default"/>
        <w:spacing w:line="276" w:lineRule="auto"/>
        <w:jc w:val="both"/>
        <w:rPr>
          <w:color w:val="000000" w:themeColor="text1"/>
        </w:rPr>
      </w:pPr>
      <w:r w:rsidRPr="00603CA3">
        <w:rPr>
          <w:color w:val="000000" w:themeColor="text1"/>
        </w:rPr>
        <w:t xml:space="preserve">Pasākuma "Zinātne, pētniecība un attīstība" ietvaros aktivitātē „Atbalsts zinātnei un pētniecībai” un aktivitātē "Atbalsts starptautiskās sadarbības projektiem zinātnē un tehnoloģijās (EUREKA, 7.IP un citi)" apstiprināti projekti par gandrīz visu aktivitātēm pieejamo finansējumu (atbilstoši 95,7% un 95,3%). Līdz ar to zinātniskās institūcijas, kuras ir reģistrētas zinātnisko institūciju reģistrā, saņems konkrēto pētījumu veikšanai nepieciešamo aprīkojumu un iespēju piedalīties zinātniskos kongresos, kā arī valsts zinātniskajām institūcijām - starptautiskās izstādēs, gadatirgos, tādējādi veicinot Latvijas zinātnes atpazīstamību ES un pasaulē, kā arī tiks nodrošināta zinātnisko institūciju kapacitātes attīstība, sekmēta projektu īstenošana, jaunu sadarbības projektu izstrāde un dalība tehnoloģiskajās platformās. Aktivitātes „Atbalsts zinātnei un pētniecībai” ietvaros apstiprināti projekti 35,8 </w:t>
      </w:r>
      <w:proofErr w:type="spellStart"/>
      <w:r w:rsidRPr="00603CA3">
        <w:rPr>
          <w:color w:val="000000" w:themeColor="text1"/>
        </w:rPr>
        <w:t>milj</w:t>
      </w:r>
      <w:proofErr w:type="spellEnd"/>
      <w:r w:rsidRPr="00603CA3">
        <w:rPr>
          <w:color w:val="000000" w:themeColor="text1"/>
        </w:rPr>
        <w:t>. latu ES fondu finansējuma apmērā. Visvairāk apstiprināti projekti farmācijas nozarē, projekti, kuru ietvaros paredzēts ražot iekārtas, aparātus un instrumentus, kā arī projekti, kuros tiks veikti zinātniskie pētījumi lauksaimniecības un mežsaimniecības nozarē.</w:t>
      </w:r>
    </w:p>
    <w:p w:rsidR="00947DF5" w:rsidRPr="00603CA3" w:rsidRDefault="00947DF5" w:rsidP="00603CA3">
      <w:pPr>
        <w:pStyle w:val="Default"/>
        <w:spacing w:line="276" w:lineRule="auto"/>
        <w:jc w:val="both"/>
        <w:rPr>
          <w:color w:val="000000" w:themeColor="text1"/>
        </w:rPr>
      </w:pPr>
      <w:r w:rsidRPr="00603CA3">
        <w:rPr>
          <w:color w:val="000000" w:themeColor="text1"/>
        </w:rPr>
        <w:t xml:space="preserve">Aktivitātē „Atbalsts zinātnei un pētniecībai” veikti maksājumi 7,5 </w:t>
      </w:r>
      <w:proofErr w:type="spellStart"/>
      <w:r w:rsidRPr="00603CA3">
        <w:rPr>
          <w:color w:val="000000" w:themeColor="text1"/>
        </w:rPr>
        <w:t>milj</w:t>
      </w:r>
      <w:proofErr w:type="spellEnd"/>
      <w:r w:rsidRPr="00603CA3">
        <w:rPr>
          <w:color w:val="000000" w:themeColor="text1"/>
        </w:rPr>
        <w:t xml:space="preserve">. latu apmērā jeb 23,1% no plānotā. Ņemot vērā, ka vienošanās par projektu īstenošanu tika noslēgtas 2010.gada nogalē (vēlāk, kā plānots), attiecīgi aizkavējās projektos plānoto iepirkumu uzsākšana. Tāpat arī sadarbības, pakalpojumu un darba līgumu slēgšana kavējās vai prasīja vairāk laika, kā sākotnēji projektos tika plānots. </w:t>
      </w:r>
    </w:p>
    <w:p w:rsidR="00947DF5" w:rsidRPr="00603CA3" w:rsidRDefault="00947DF5" w:rsidP="00603CA3">
      <w:pPr>
        <w:pStyle w:val="Default"/>
        <w:spacing w:line="276" w:lineRule="auto"/>
        <w:jc w:val="both"/>
        <w:rPr>
          <w:color w:val="000000" w:themeColor="text1"/>
        </w:rPr>
      </w:pPr>
      <w:proofErr w:type="spellStart"/>
      <w:r w:rsidRPr="00603CA3">
        <w:rPr>
          <w:color w:val="000000" w:themeColor="text1"/>
        </w:rPr>
        <w:t>Š.g</w:t>
      </w:r>
      <w:proofErr w:type="spellEnd"/>
      <w:r w:rsidRPr="00603CA3">
        <w:rPr>
          <w:color w:val="000000" w:themeColor="text1"/>
        </w:rPr>
        <w:t xml:space="preserve">. 5.aprīlī apstiprināti MK noteikumi par aktivitātes "Zinātnes infrastruktūras attīstība”. Līdz 18.jūlijam </w:t>
      </w:r>
      <w:proofErr w:type="spellStart"/>
      <w:r w:rsidRPr="00603CA3">
        <w:rPr>
          <w:color w:val="000000" w:themeColor="text1"/>
        </w:rPr>
        <w:t>apakšaktivitātē</w:t>
      </w:r>
      <w:proofErr w:type="spellEnd"/>
      <w:r w:rsidRPr="00603CA3">
        <w:rPr>
          <w:color w:val="000000" w:themeColor="text1"/>
        </w:rPr>
        <w:t xml:space="preserve"> „Zinātnes infrastruktūras attīstība” notiek pirmā iesniegumu atlases kārta – ierobežota atlase 9 vadošo Valsts nacionālo pētniecības centru izveidei, un 15.jūnijā Izglītības un zinātnes ministrija ir izsludinājusi otro projektu iesniegumu atlases kārtu - atklātu projektu iesniegumu konkursu atbalsts komercdarbības atbalsta projektiem. Kopējais </w:t>
      </w:r>
      <w:proofErr w:type="spellStart"/>
      <w:r w:rsidRPr="00603CA3">
        <w:rPr>
          <w:color w:val="000000" w:themeColor="text1"/>
        </w:rPr>
        <w:t>apakšaktivitātes</w:t>
      </w:r>
      <w:proofErr w:type="spellEnd"/>
      <w:r w:rsidRPr="00603CA3">
        <w:rPr>
          <w:color w:val="000000" w:themeColor="text1"/>
        </w:rPr>
        <w:t xml:space="preserve"> otrās projektu iesniegumu atlases kārtas ietvaros pieejamais ERAF finansējums ir 46,3 </w:t>
      </w:r>
      <w:proofErr w:type="spellStart"/>
      <w:r w:rsidRPr="00603CA3">
        <w:rPr>
          <w:color w:val="000000" w:themeColor="text1"/>
        </w:rPr>
        <w:t>milj</w:t>
      </w:r>
      <w:proofErr w:type="spellEnd"/>
      <w:r w:rsidRPr="00603CA3">
        <w:rPr>
          <w:color w:val="000000" w:themeColor="text1"/>
        </w:rPr>
        <w:t xml:space="preserve">. latu. Projektu iesniegumu iesniegšanas termiņš ir 2011.gada 19.septembris. Šīs aktivitātes ietvaros tiks izveidota mūsdienīga materiāltehniskā bāze pētniecības aktivitātēm valsts nozīmes pētniecības centros, tādējādi sekmējot pētniecības intelektuālā potenciāla attīstību, kā arī attīstīta pētniecības infrastruktūru, lai veicinātu komercdarbību pētniecības pakalpojumu sektorā un sekmētu zināšanu pārnesi tautsaimniecībā. Līdz 2011.gada decembra beigām paredzēts izvērtēt </w:t>
      </w:r>
      <w:proofErr w:type="spellStart"/>
      <w:r w:rsidRPr="00603CA3">
        <w:rPr>
          <w:color w:val="000000" w:themeColor="text1"/>
        </w:rPr>
        <w:t>apakšaktivitātes</w:t>
      </w:r>
      <w:proofErr w:type="spellEnd"/>
      <w:r w:rsidRPr="00603CA3">
        <w:rPr>
          <w:color w:val="000000" w:themeColor="text1"/>
        </w:rPr>
        <w:t xml:space="preserve"> „Zinātnes infrastruktūras attīstība” pirmās kārtas projektu iesniegumus un noslēgt vienošanās par projektu īstenošanu, kā tas noteikts 07.06.2011. noslēgtajā Papildu Saprašanās memorandā. Tāpat arī paredzēts veikt vērtēšanu 2.1.1.3.1.apakšaktivitātes otrās kārtas projektiem. Vienošanās tiks slēgtas un projektu īstenošana uzsākta 2012.gadā.</w:t>
      </w:r>
    </w:p>
    <w:p w:rsidR="00947DF5" w:rsidRPr="00603CA3" w:rsidRDefault="00947DF5" w:rsidP="00603CA3">
      <w:pPr>
        <w:pStyle w:val="Default"/>
        <w:spacing w:line="276" w:lineRule="auto"/>
        <w:jc w:val="both"/>
        <w:rPr>
          <w:color w:val="000000" w:themeColor="text1"/>
        </w:rPr>
      </w:pPr>
      <w:r w:rsidRPr="00603CA3">
        <w:rPr>
          <w:color w:val="000000" w:themeColor="text1"/>
        </w:rPr>
        <w:t xml:space="preserve">2011.gada 7.jūnijā starp ES un LR tika parakstīts Papildu saprašanās memorands (Saprašanās memoranda ceturtais papildinājums), kas paredz līdz 2011.gada beigām parakstīt visus līgumus 2.1.1.3.1.apakšaktivitātes "Zinātnes infrastruktūras attīstība" pirmās projektu atlases kārtas ietvaros ar mērķi sākt projektu ieviešanu līdz 2011.gada beigām un nodrošināt, ka </w:t>
      </w:r>
      <w:r w:rsidRPr="00603CA3">
        <w:rPr>
          <w:color w:val="000000" w:themeColor="text1"/>
        </w:rPr>
        <w:lastRenderedPageBreak/>
        <w:t xml:space="preserve">starpniekinstitūcijas maksājumi finansējuma saņēmējiem aktivitātes ietvaros no ERAF 2011.gadā sasniedz vismaz 14,1 </w:t>
      </w:r>
      <w:proofErr w:type="spellStart"/>
      <w:r w:rsidRPr="00603CA3">
        <w:rPr>
          <w:color w:val="000000" w:themeColor="text1"/>
        </w:rPr>
        <w:t>milj</w:t>
      </w:r>
      <w:proofErr w:type="spellEnd"/>
      <w:r w:rsidRPr="00603CA3">
        <w:rPr>
          <w:color w:val="000000" w:themeColor="text1"/>
        </w:rPr>
        <w:t>. latu.</w:t>
      </w:r>
    </w:p>
    <w:p w:rsidR="00947DF5" w:rsidRPr="00603CA3" w:rsidRDefault="00947DF5" w:rsidP="00603CA3">
      <w:pPr>
        <w:pStyle w:val="Default"/>
        <w:spacing w:line="276" w:lineRule="auto"/>
        <w:jc w:val="both"/>
        <w:rPr>
          <w:color w:val="000000" w:themeColor="text1"/>
          <w:u w:val="single"/>
        </w:rPr>
      </w:pPr>
      <w:r w:rsidRPr="00603CA3">
        <w:rPr>
          <w:color w:val="000000" w:themeColor="text1"/>
          <w:u w:val="single"/>
        </w:rPr>
        <w:t>Inovācijas</w:t>
      </w:r>
    </w:p>
    <w:p w:rsidR="00947DF5" w:rsidRPr="00603CA3" w:rsidRDefault="00947DF5" w:rsidP="00603CA3">
      <w:pPr>
        <w:spacing w:line="276" w:lineRule="auto"/>
        <w:rPr>
          <w:color w:val="000000" w:themeColor="text1"/>
          <w:szCs w:val="24"/>
          <w:lang w:eastAsia="lv-LV"/>
        </w:rPr>
      </w:pPr>
      <w:r w:rsidRPr="00603CA3">
        <w:rPr>
          <w:color w:val="000000" w:themeColor="text1"/>
          <w:szCs w:val="24"/>
        </w:rPr>
        <w:t xml:space="preserve">Aktivitātes „Kompetences centri” ietvaros ir apstiprināti projekti un noslēgti līgumi par 100% jeb par 37,4 </w:t>
      </w:r>
      <w:proofErr w:type="spellStart"/>
      <w:r w:rsidRPr="00603CA3">
        <w:rPr>
          <w:color w:val="000000" w:themeColor="text1"/>
          <w:szCs w:val="24"/>
        </w:rPr>
        <w:t>milj</w:t>
      </w:r>
      <w:proofErr w:type="spellEnd"/>
      <w:r w:rsidRPr="00603CA3">
        <w:rPr>
          <w:color w:val="000000" w:themeColor="text1"/>
          <w:szCs w:val="24"/>
        </w:rPr>
        <w:t xml:space="preserve">. latu kopējā publiskā finansējuma. Apstiprināti kompetences centri meža nozarē, farmācijā un ķīmijā, elektronikā, optikā, transporta un mašīnbūves nozarē. Izveidoti arī 8 tehnoloģiju pārneses kontaktpunkti dažādās Latvijas augstskolās, lai veicinātu zināšanu un tehnoloģiju pārneses aktivitātes. </w:t>
      </w:r>
    </w:p>
    <w:p w:rsidR="00947DF5" w:rsidRPr="00603CA3" w:rsidRDefault="00947DF5" w:rsidP="00603CA3">
      <w:pPr>
        <w:spacing w:line="276" w:lineRule="auto"/>
        <w:rPr>
          <w:color w:val="000000" w:themeColor="text1"/>
          <w:szCs w:val="24"/>
        </w:rPr>
      </w:pPr>
      <w:r w:rsidRPr="00603CA3">
        <w:rPr>
          <w:color w:val="000000" w:themeColor="text1"/>
          <w:szCs w:val="24"/>
        </w:rPr>
        <w:t xml:space="preserve">Aktivitātes „Jaunu produktu un tehnoloģiju izstrāde”, kura vērsta uz jaunu, nozīmīgi uzlabotu produktu vai tehnoloģiju izstrādes atbalstīšanu, tai skaitā, patentēšanu un ieviešanu ražošanā, ieviešana nenotiek tik veiksmīgi kā cerēts. Aktivitātes ietvaros ir apstiprināti projekti un noslēgti līgumi par 14,9 </w:t>
      </w:r>
      <w:proofErr w:type="spellStart"/>
      <w:r w:rsidRPr="00603CA3">
        <w:rPr>
          <w:color w:val="000000" w:themeColor="text1"/>
          <w:szCs w:val="24"/>
        </w:rPr>
        <w:t>milj</w:t>
      </w:r>
      <w:proofErr w:type="spellEnd"/>
      <w:r w:rsidRPr="00603CA3">
        <w:rPr>
          <w:color w:val="000000" w:themeColor="text1"/>
          <w:szCs w:val="24"/>
        </w:rPr>
        <w:t xml:space="preserve">. latu jeb 29,6% no publiskā finansējuma un finansējuma saņēmējiem ir izmaksāti 7,0 </w:t>
      </w:r>
      <w:proofErr w:type="spellStart"/>
      <w:r w:rsidRPr="00603CA3">
        <w:rPr>
          <w:color w:val="000000" w:themeColor="text1"/>
          <w:szCs w:val="24"/>
        </w:rPr>
        <w:t>milj</w:t>
      </w:r>
      <w:proofErr w:type="spellEnd"/>
      <w:r w:rsidRPr="00603CA3">
        <w:rPr>
          <w:color w:val="000000" w:themeColor="text1"/>
          <w:szCs w:val="24"/>
        </w:rPr>
        <w:t>. latu, tai skaitā starpposma un gala maksājumi.</w:t>
      </w:r>
    </w:p>
    <w:p w:rsidR="00947DF5" w:rsidRPr="00603CA3" w:rsidRDefault="00947DF5" w:rsidP="00603CA3">
      <w:pPr>
        <w:spacing w:line="276" w:lineRule="auto"/>
        <w:rPr>
          <w:color w:val="000000" w:themeColor="text1"/>
          <w:szCs w:val="24"/>
        </w:rPr>
      </w:pPr>
      <w:r w:rsidRPr="00603CA3">
        <w:rPr>
          <w:color w:val="000000" w:themeColor="text1"/>
          <w:szCs w:val="24"/>
        </w:rPr>
        <w:t xml:space="preserve">Aktivitātes ieviešanas galvenās grūtības saistītas ar finanšu resursu nepietiekamību, kredītiestāžu augstajām prasībām, kā arī līgumu grozījumu veikšanu, kas saistīta ar finansējuma saņēmēju ierosinātajām izmaiņām līgumos, kas paredz pieprasījumu pēc </w:t>
      </w:r>
      <w:proofErr w:type="spellStart"/>
      <w:r w:rsidRPr="00603CA3">
        <w:rPr>
          <w:color w:val="000000" w:themeColor="text1"/>
          <w:szCs w:val="24"/>
        </w:rPr>
        <w:t>inovatīvāku</w:t>
      </w:r>
      <w:proofErr w:type="spellEnd"/>
      <w:r w:rsidRPr="00603CA3">
        <w:rPr>
          <w:color w:val="000000" w:themeColor="text1"/>
          <w:szCs w:val="24"/>
        </w:rPr>
        <w:t xml:space="preserve"> un efektīvāku iekārtu un tehnoloģiju iegādes. Pirms grozījumu veikšanas līgumos, finansējuma saņēmēji pamato nepieciešamību veikt izmaiņas, pierādot attiecīgo iekārtu efektivitāti, kā arī sasniedzamos rezultātus. Process ir laikietilpīgs, tāpēc aizkavējas projektu īstenošanas gaita.</w:t>
      </w:r>
    </w:p>
    <w:p w:rsidR="00947DF5" w:rsidRPr="00603CA3" w:rsidRDefault="00947DF5" w:rsidP="00603CA3">
      <w:pPr>
        <w:spacing w:line="276" w:lineRule="auto"/>
        <w:rPr>
          <w:b/>
          <w:color w:val="000000" w:themeColor="text1"/>
          <w:szCs w:val="24"/>
          <w:highlight w:val="green"/>
        </w:rPr>
      </w:pPr>
      <w:r w:rsidRPr="00603CA3">
        <w:rPr>
          <w:color w:val="000000" w:themeColor="text1"/>
          <w:szCs w:val="24"/>
        </w:rPr>
        <w:t xml:space="preserve">Aktivitātē „Augstas pievienotās vērtības investīcijas" joprojām pastāv augsts projektu ieviešanas risks, kā rezultātā aizkavējas maksājumu veikšana. Latvijas Investīciju un attīstības aģentūra realizē stingru un detalizētu projektu ieviešanas procesa, tai skaitā, norādīto iekārtu specifikāciju uzraudzību un kontroli. </w:t>
      </w:r>
    </w:p>
    <w:p w:rsidR="00947DF5" w:rsidRPr="00603CA3" w:rsidRDefault="00947DF5" w:rsidP="00603CA3">
      <w:pPr>
        <w:spacing w:line="276" w:lineRule="auto"/>
        <w:rPr>
          <w:b/>
          <w:color w:val="000000" w:themeColor="text1"/>
          <w:szCs w:val="24"/>
        </w:rPr>
      </w:pPr>
      <w:r w:rsidRPr="00603CA3">
        <w:rPr>
          <w:b/>
          <w:color w:val="000000" w:themeColor="text1"/>
          <w:szCs w:val="24"/>
        </w:rPr>
        <w:t xml:space="preserve">„Finanšu pieejamība” </w:t>
      </w:r>
    </w:p>
    <w:p w:rsidR="00947DF5" w:rsidRPr="00603CA3" w:rsidRDefault="00947DF5" w:rsidP="00603CA3">
      <w:pPr>
        <w:autoSpaceDE w:val="0"/>
        <w:autoSpaceDN w:val="0"/>
        <w:adjustRightInd w:val="0"/>
        <w:spacing w:line="276" w:lineRule="auto"/>
        <w:rPr>
          <w:color w:val="000000" w:themeColor="text1"/>
          <w:szCs w:val="24"/>
          <w:lang w:eastAsia="lv-LV"/>
        </w:rPr>
      </w:pPr>
      <w:r w:rsidRPr="00603CA3">
        <w:rPr>
          <w:color w:val="000000" w:themeColor="text1"/>
          <w:szCs w:val="24"/>
          <w:lang w:eastAsia="lv-LV"/>
        </w:rPr>
        <w:t xml:space="preserve">Prioritāte vērsta uz finansējuma pieejamības veicināšanu uzņēmējdarbības attīstībai. Mērķis sasniedzams ar aptverošu finanšu instrumentu realizēšanu, kas ietver garantiju, aizdevumu, riska kapitāla un citu finanšu instrumentu klāstu. </w:t>
      </w:r>
    </w:p>
    <w:p w:rsidR="00947DF5" w:rsidRPr="00603CA3" w:rsidRDefault="00947DF5" w:rsidP="00603CA3">
      <w:pPr>
        <w:autoSpaceDE w:val="0"/>
        <w:autoSpaceDN w:val="0"/>
        <w:adjustRightInd w:val="0"/>
        <w:spacing w:line="276" w:lineRule="auto"/>
        <w:rPr>
          <w:color w:val="000000" w:themeColor="text1"/>
          <w:szCs w:val="24"/>
          <w:lang w:eastAsia="lv-LV"/>
        </w:rPr>
      </w:pPr>
      <w:r w:rsidRPr="00603CA3">
        <w:rPr>
          <w:color w:val="000000" w:themeColor="text1"/>
          <w:szCs w:val="24"/>
          <w:lang w:eastAsia="lv-LV"/>
        </w:rPr>
        <w:t xml:space="preserve">Komersantiem ir pieejams atbalsts dažādu finanšu instrumentu aktivitāšu ietvaros, kuras ievieš </w:t>
      </w:r>
      <w:r w:rsidRPr="00603CA3">
        <w:rPr>
          <w:color w:val="000000" w:themeColor="text1"/>
          <w:szCs w:val="24"/>
        </w:rPr>
        <w:t>LHZB</w:t>
      </w:r>
      <w:r w:rsidRPr="00603CA3">
        <w:rPr>
          <w:color w:val="000000" w:themeColor="text1"/>
          <w:szCs w:val="24"/>
          <w:lang w:eastAsia="lv-LV"/>
        </w:rPr>
        <w:t>, LGA un Eiropas Investīciju fonds (turpmāk - EIF):</w:t>
      </w:r>
    </w:p>
    <w:p w:rsidR="00947DF5" w:rsidRPr="00603CA3" w:rsidRDefault="00947DF5" w:rsidP="00603CA3">
      <w:pPr>
        <w:numPr>
          <w:ilvl w:val="0"/>
          <w:numId w:val="15"/>
        </w:numPr>
        <w:spacing w:line="276" w:lineRule="auto"/>
        <w:ind w:left="709"/>
        <w:contextualSpacing/>
        <w:rPr>
          <w:rFonts w:eastAsia="Calibri"/>
          <w:color w:val="000000" w:themeColor="text1"/>
          <w:szCs w:val="24"/>
        </w:rPr>
      </w:pPr>
      <w:r w:rsidRPr="00603CA3">
        <w:rPr>
          <w:color w:val="000000" w:themeColor="text1"/>
          <w:szCs w:val="24"/>
        </w:rPr>
        <w:t>LHZB</w:t>
      </w:r>
      <w:r w:rsidRPr="00603CA3">
        <w:rPr>
          <w:rFonts w:eastAsia="Calibri"/>
          <w:color w:val="000000" w:themeColor="text1"/>
          <w:szCs w:val="24"/>
        </w:rPr>
        <w:t xml:space="preserve"> „Konkurētspējas programma”, kuras ietvaros tiek sniegti aizdevumi komersantu konkurētspējas uzlabošanai;</w:t>
      </w:r>
    </w:p>
    <w:p w:rsidR="00947DF5" w:rsidRPr="00603CA3" w:rsidRDefault="00947DF5" w:rsidP="00603CA3">
      <w:pPr>
        <w:numPr>
          <w:ilvl w:val="0"/>
          <w:numId w:val="15"/>
        </w:numPr>
        <w:spacing w:line="276" w:lineRule="auto"/>
        <w:ind w:left="709"/>
        <w:contextualSpacing/>
        <w:rPr>
          <w:rFonts w:eastAsia="Calibri"/>
          <w:color w:val="000000" w:themeColor="text1"/>
          <w:szCs w:val="24"/>
        </w:rPr>
      </w:pPr>
      <w:r w:rsidRPr="00603CA3">
        <w:rPr>
          <w:color w:val="000000" w:themeColor="text1"/>
          <w:szCs w:val="24"/>
        </w:rPr>
        <w:t>LHZB</w:t>
      </w:r>
      <w:r w:rsidRPr="00603CA3">
        <w:rPr>
          <w:rFonts w:eastAsia="Calibri"/>
          <w:color w:val="000000" w:themeColor="text1"/>
          <w:szCs w:val="24"/>
        </w:rPr>
        <w:t xml:space="preserve"> „MVU izaugsmes aizdevumu programma”, kuras ietvaros tiek sniegti aizdevumi sīko (</w:t>
      </w:r>
      <w:proofErr w:type="spellStart"/>
      <w:r w:rsidRPr="00603CA3">
        <w:rPr>
          <w:rFonts w:eastAsia="Calibri"/>
          <w:color w:val="000000" w:themeColor="text1"/>
          <w:szCs w:val="24"/>
        </w:rPr>
        <w:t>mikro</w:t>
      </w:r>
      <w:proofErr w:type="spellEnd"/>
      <w:r w:rsidRPr="00603CA3">
        <w:rPr>
          <w:rFonts w:eastAsia="Calibri"/>
          <w:color w:val="000000" w:themeColor="text1"/>
          <w:szCs w:val="24"/>
        </w:rPr>
        <w:t>), mazo un vidējo komersantu un lauksaimniecības pakalpojumu kooperatīvo sabiedrību attīstības veicināšanai;</w:t>
      </w:r>
    </w:p>
    <w:p w:rsidR="00947DF5" w:rsidRPr="00603CA3" w:rsidRDefault="00947DF5" w:rsidP="00603CA3">
      <w:pPr>
        <w:numPr>
          <w:ilvl w:val="0"/>
          <w:numId w:val="15"/>
        </w:numPr>
        <w:spacing w:line="276" w:lineRule="auto"/>
        <w:ind w:left="709"/>
        <w:contextualSpacing/>
        <w:rPr>
          <w:rFonts w:eastAsia="Calibri"/>
          <w:color w:val="000000" w:themeColor="text1"/>
          <w:szCs w:val="24"/>
        </w:rPr>
      </w:pPr>
      <w:r w:rsidRPr="00603CA3">
        <w:rPr>
          <w:rFonts w:eastAsia="Calibri"/>
          <w:color w:val="000000" w:themeColor="text1"/>
          <w:szCs w:val="24"/>
        </w:rPr>
        <w:t>LGA „Garantijas komersantu konkurētspējas uzlabošanai”, kuras ietvaros tiek sniegtas gan aizdevumu, gan eksporta garantijas;</w:t>
      </w:r>
    </w:p>
    <w:p w:rsidR="00947DF5" w:rsidRPr="00603CA3" w:rsidRDefault="00947DF5" w:rsidP="00603CA3">
      <w:pPr>
        <w:numPr>
          <w:ilvl w:val="0"/>
          <w:numId w:val="15"/>
        </w:numPr>
        <w:spacing w:line="276" w:lineRule="auto"/>
        <w:ind w:left="709"/>
        <w:contextualSpacing/>
        <w:rPr>
          <w:rFonts w:eastAsia="Calibri"/>
          <w:color w:val="000000" w:themeColor="text1"/>
          <w:szCs w:val="24"/>
        </w:rPr>
      </w:pPr>
      <w:r w:rsidRPr="00603CA3">
        <w:rPr>
          <w:rFonts w:eastAsia="Calibri"/>
          <w:color w:val="000000" w:themeColor="text1"/>
          <w:szCs w:val="24"/>
        </w:rPr>
        <w:t xml:space="preserve">EIF aizdevumu programma, kuru ievieš </w:t>
      </w:r>
      <w:r w:rsidRPr="00603CA3">
        <w:rPr>
          <w:rFonts w:eastAsia="Calibri"/>
          <w:i/>
          <w:color w:val="000000" w:themeColor="text1"/>
          <w:szCs w:val="24"/>
        </w:rPr>
        <w:t>SEB banka</w:t>
      </w:r>
      <w:r w:rsidRPr="00603CA3">
        <w:rPr>
          <w:rFonts w:eastAsia="Calibri"/>
          <w:color w:val="000000" w:themeColor="text1"/>
          <w:szCs w:val="24"/>
        </w:rPr>
        <w:t xml:space="preserve"> un </w:t>
      </w:r>
      <w:proofErr w:type="spellStart"/>
      <w:r w:rsidRPr="00603CA3">
        <w:rPr>
          <w:rFonts w:eastAsia="Calibri"/>
          <w:i/>
          <w:color w:val="000000" w:themeColor="text1"/>
          <w:szCs w:val="24"/>
        </w:rPr>
        <w:t>Swedbanka</w:t>
      </w:r>
      <w:proofErr w:type="spellEnd"/>
      <w:r w:rsidRPr="00603CA3">
        <w:rPr>
          <w:rFonts w:eastAsia="Calibri"/>
          <w:color w:val="000000" w:themeColor="text1"/>
          <w:szCs w:val="24"/>
        </w:rPr>
        <w:t>;</w:t>
      </w:r>
    </w:p>
    <w:p w:rsidR="00947DF5" w:rsidRPr="00603CA3" w:rsidRDefault="00947DF5" w:rsidP="00603CA3">
      <w:pPr>
        <w:numPr>
          <w:ilvl w:val="0"/>
          <w:numId w:val="15"/>
        </w:numPr>
        <w:spacing w:line="276" w:lineRule="auto"/>
        <w:ind w:left="709"/>
        <w:rPr>
          <w:rFonts w:eastAsia="Calibri"/>
          <w:color w:val="000000" w:themeColor="text1"/>
          <w:szCs w:val="24"/>
        </w:rPr>
      </w:pPr>
      <w:r w:rsidRPr="00603CA3">
        <w:rPr>
          <w:rFonts w:eastAsia="Calibri"/>
          <w:color w:val="000000" w:themeColor="text1"/>
          <w:szCs w:val="24"/>
        </w:rPr>
        <w:t xml:space="preserve">EIF riska kapitāla fonds, sēklas un uzsākšanas kapitāla fondi (ieguldījumu fondi), kurus administrē </w:t>
      </w:r>
      <w:proofErr w:type="spellStart"/>
      <w:r w:rsidRPr="00603CA3">
        <w:rPr>
          <w:rFonts w:eastAsia="Calibri"/>
          <w:i/>
          <w:color w:val="000000" w:themeColor="text1"/>
          <w:szCs w:val="24"/>
        </w:rPr>
        <w:t>BaltCap</w:t>
      </w:r>
      <w:proofErr w:type="spellEnd"/>
      <w:r w:rsidRPr="00603CA3">
        <w:rPr>
          <w:rFonts w:eastAsia="Calibri"/>
          <w:i/>
          <w:color w:val="000000" w:themeColor="text1"/>
          <w:szCs w:val="24"/>
        </w:rPr>
        <w:t xml:space="preserve"> </w:t>
      </w:r>
      <w:proofErr w:type="spellStart"/>
      <w:r w:rsidRPr="00603CA3">
        <w:rPr>
          <w:rFonts w:eastAsia="Calibri"/>
          <w:i/>
          <w:color w:val="000000" w:themeColor="text1"/>
          <w:szCs w:val="24"/>
        </w:rPr>
        <w:t>Management</w:t>
      </w:r>
      <w:proofErr w:type="spellEnd"/>
      <w:r w:rsidRPr="00603CA3">
        <w:rPr>
          <w:rFonts w:eastAsia="Calibri"/>
          <w:i/>
          <w:color w:val="000000" w:themeColor="text1"/>
          <w:szCs w:val="24"/>
        </w:rPr>
        <w:t xml:space="preserve"> </w:t>
      </w:r>
      <w:proofErr w:type="spellStart"/>
      <w:r w:rsidRPr="00603CA3">
        <w:rPr>
          <w:rFonts w:eastAsia="Calibri"/>
          <w:i/>
          <w:color w:val="000000" w:themeColor="text1"/>
          <w:szCs w:val="24"/>
        </w:rPr>
        <w:t>Latvia</w:t>
      </w:r>
      <w:proofErr w:type="spellEnd"/>
      <w:r w:rsidRPr="00603CA3">
        <w:rPr>
          <w:rFonts w:eastAsia="Calibri"/>
          <w:color w:val="000000" w:themeColor="text1"/>
          <w:szCs w:val="24"/>
        </w:rPr>
        <w:t xml:space="preserve"> un </w:t>
      </w:r>
      <w:proofErr w:type="spellStart"/>
      <w:r w:rsidRPr="00603CA3">
        <w:rPr>
          <w:rFonts w:eastAsia="Calibri"/>
          <w:i/>
          <w:color w:val="000000" w:themeColor="text1"/>
          <w:szCs w:val="24"/>
        </w:rPr>
        <w:t>Imprimatur</w:t>
      </w:r>
      <w:proofErr w:type="spellEnd"/>
      <w:r w:rsidRPr="00603CA3">
        <w:rPr>
          <w:rFonts w:eastAsia="Calibri"/>
          <w:i/>
          <w:color w:val="000000" w:themeColor="text1"/>
          <w:szCs w:val="24"/>
        </w:rPr>
        <w:t xml:space="preserve"> </w:t>
      </w:r>
      <w:proofErr w:type="spellStart"/>
      <w:r w:rsidRPr="00603CA3">
        <w:rPr>
          <w:rFonts w:eastAsia="Calibri"/>
          <w:i/>
          <w:color w:val="000000" w:themeColor="text1"/>
          <w:szCs w:val="24"/>
        </w:rPr>
        <w:t>Capital</w:t>
      </w:r>
      <w:proofErr w:type="spellEnd"/>
      <w:r w:rsidRPr="00603CA3">
        <w:rPr>
          <w:rFonts w:eastAsia="Calibri"/>
          <w:i/>
          <w:color w:val="000000" w:themeColor="text1"/>
          <w:szCs w:val="24"/>
        </w:rPr>
        <w:t xml:space="preserve"> </w:t>
      </w:r>
      <w:proofErr w:type="spellStart"/>
      <w:r w:rsidRPr="00603CA3">
        <w:rPr>
          <w:rFonts w:eastAsia="Calibri"/>
          <w:i/>
          <w:color w:val="000000" w:themeColor="text1"/>
          <w:szCs w:val="24"/>
        </w:rPr>
        <w:t>Fund</w:t>
      </w:r>
      <w:proofErr w:type="spellEnd"/>
      <w:r w:rsidRPr="00603CA3">
        <w:rPr>
          <w:rFonts w:eastAsia="Calibri"/>
          <w:i/>
          <w:color w:val="000000" w:themeColor="text1"/>
          <w:szCs w:val="24"/>
        </w:rPr>
        <w:t xml:space="preserve"> </w:t>
      </w:r>
      <w:proofErr w:type="spellStart"/>
      <w:r w:rsidRPr="00603CA3">
        <w:rPr>
          <w:rFonts w:eastAsia="Calibri"/>
          <w:i/>
          <w:color w:val="000000" w:themeColor="text1"/>
          <w:szCs w:val="24"/>
        </w:rPr>
        <w:t>Management</w:t>
      </w:r>
      <w:proofErr w:type="spellEnd"/>
      <w:r w:rsidRPr="00603CA3">
        <w:rPr>
          <w:rFonts w:eastAsia="Calibri"/>
          <w:color w:val="000000" w:themeColor="text1"/>
          <w:szCs w:val="24"/>
        </w:rPr>
        <w:t>.</w:t>
      </w:r>
    </w:p>
    <w:p w:rsidR="00947DF5" w:rsidRPr="00603CA3" w:rsidRDefault="00947DF5" w:rsidP="00603CA3">
      <w:pPr>
        <w:autoSpaceDE w:val="0"/>
        <w:autoSpaceDN w:val="0"/>
        <w:adjustRightInd w:val="0"/>
        <w:spacing w:line="276" w:lineRule="auto"/>
        <w:rPr>
          <w:color w:val="000000" w:themeColor="text1"/>
          <w:szCs w:val="24"/>
          <w:lang w:eastAsia="lv-LV"/>
        </w:rPr>
      </w:pPr>
      <w:r w:rsidRPr="00603CA3">
        <w:rPr>
          <w:color w:val="000000" w:themeColor="text1"/>
          <w:szCs w:val="24"/>
          <w:lang w:eastAsia="lv-LV"/>
        </w:rPr>
        <w:t xml:space="preserve">Pēc konsultācijām ar Latvijas Komercbanku asociācijas pārstāvjiem un sociālajiem partneriem 2011.gada 1.ceturksnī Ekonomikas ministrija sadarbībā ar SIA „Latvijas Garantiju aģentūra” izstrādāja jaunas valsta atbalsta programmas nosacījumus par </w:t>
      </w:r>
      <w:proofErr w:type="spellStart"/>
      <w:r w:rsidRPr="00603CA3">
        <w:rPr>
          <w:color w:val="000000" w:themeColor="text1"/>
          <w:szCs w:val="24"/>
          <w:lang w:eastAsia="lv-LV"/>
        </w:rPr>
        <w:t>mezanīna</w:t>
      </w:r>
      <w:proofErr w:type="spellEnd"/>
      <w:r w:rsidRPr="00603CA3">
        <w:rPr>
          <w:color w:val="000000" w:themeColor="text1"/>
          <w:szCs w:val="24"/>
          <w:lang w:eastAsia="lv-LV"/>
        </w:rPr>
        <w:t xml:space="preserve"> aizdevumu </w:t>
      </w:r>
      <w:r w:rsidRPr="00603CA3">
        <w:rPr>
          <w:color w:val="000000" w:themeColor="text1"/>
          <w:szCs w:val="24"/>
          <w:lang w:eastAsia="lv-LV"/>
        </w:rPr>
        <w:lastRenderedPageBreak/>
        <w:t xml:space="preserve">izsniegšanu. Š.g.2.ceturksnī tika apstiprināti grozījumi darbības programmas „Uzņēmējdarbība un inovācijas” papildinājumā, kas paredzēja jaunas </w:t>
      </w:r>
      <w:proofErr w:type="spellStart"/>
      <w:r w:rsidRPr="00603CA3">
        <w:rPr>
          <w:color w:val="000000" w:themeColor="text1"/>
          <w:szCs w:val="24"/>
          <w:lang w:eastAsia="lv-LV"/>
        </w:rPr>
        <w:t>apakšaktivitātes</w:t>
      </w:r>
      <w:proofErr w:type="spellEnd"/>
      <w:r w:rsidRPr="00603CA3">
        <w:rPr>
          <w:color w:val="000000" w:themeColor="text1"/>
          <w:szCs w:val="24"/>
          <w:lang w:eastAsia="lv-LV"/>
        </w:rPr>
        <w:t xml:space="preserve"> izveidi „</w:t>
      </w:r>
      <w:proofErr w:type="spellStart"/>
      <w:r w:rsidRPr="00603CA3">
        <w:rPr>
          <w:color w:val="000000" w:themeColor="text1"/>
          <w:szCs w:val="24"/>
          <w:lang w:eastAsia="lv-LV"/>
        </w:rPr>
        <w:t>Mezanīna</w:t>
      </w:r>
      <w:proofErr w:type="spellEnd"/>
      <w:r w:rsidRPr="00603CA3">
        <w:rPr>
          <w:color w:val="000000" w:themeColor="text1"/>
          <w:szCs w:val="24"/>
          <w:lang w:eastAsia="lv-LV"/>
        </w:rPr>
        <w:t xml:space="preserve"> aizdevumi investīcijām komersantu konkurētspējas uzlabošanai". </w:t>
      </w:r>
      <w:proofErr w:type="spellStart"/>
      <w:r w:rsidRPr="00603CA3">
        <w:rPr>
          <w:color w:val="000000" w:themeColor="text1"/>
          <w:szCs w:val="24"/>
          <w:lang w:eastAsia="lv-LV"/>
        </w:rPr>
        <w:t>Apakšaktivitātes</w:t>
      </w:r>
      <w:proofErr w:type="spellEnd"/>
      <w:r w:rsidRPr="00603CA3">
        <w:rPr>
          <w:color w:val="000000" w:themeColor="text1"/>
          <w:szCs w:val="24"/>
          <w:lang w:eastAsia="lv-LV"/>
        </w:rPr>
        <w:t xml:space="preserve"> mērķis ir nodrošināt komersantiem pieeju finansējumam komercdarbības attīstībai un ES fondu projektu ieviešanai, saņemot aizdevumus situācijās, kad komersanta rīcībā esošais pašu kapitāls nav pietiekams kredītresursu piesaistei nepieciešamajā apjomā, kā arī veicināt Latvijas komersantu konkurētspēju, sekmēt jaunu tirgu apgūšanu un nostiprināšanos esošajos.</w:t>
      </w:r>
    </w:p>
    <w:p w:rsidR="00947DF5" w:rsidRPr="00603CA3" w:rsidRDefault="00947DF5" w:rsidP="00603CA3">
      <w:pPr>
        <w:autoSpaceDE w:val="0"/>
        <w:autoSpaceDN w:val="0"/>
        <w:adjustRightInd w:val="0"/>
        <w:spacing w:line="276" w:lineRule="auto"/>
        <w:rPr>
          <w:color w:val="000000" w:themeColor="text1"/>
          <w:szCs w:val="24"/>
          <w:lang w:eastAsia="lv-LV"/>
        </w:rPr>
      </w:pPr>
      <w:r w:rsidRPr="00603CA3">
        <w:rPr>
          <w:color w:val="000000" w:themeColor="text1"/>
          <w:szCs w:val="24"/>
          <w:lang w:eastAsia="lv-LV"/>
        </w:rPr>
        <w:t>Finansējuma pieejamības nodrošināšanai uzņēmumiem ir izveidoti sekojoši finanšu instrumenti ERAF ietvaros:</w:t>
      </w:r>
    </w:p>
    <w:p w:rsidR="00947DF5" w:rsidRPr="00603CA3" w:rsidRDefault="00947DF5" w:rsidP="00603CA3">
      <w:pPr>
        <w:pStyle w:val="NormalWeb"/>
        <w:numPr>
          <w:ilvl w:val="0"/>
          <w:numId w:val="5"/>
        </w:numPr>
        <w:spacing w:before="0" w:beforeAutospacing="0" w:after="0" w:afterAutospacing="0" w:line="276" w:lineRule="auto"/>
        <w:jc w:val="both"/>
        <w:rPr>
          <w:rFonts w:eastAsia="Calibri"/>
          <w:color w:val="000000" w:themeColor="text1"/>
          <w:lang w:val="lv-LV"/>
        </w:rPr>
      </w:pPr>
      <w:r w:rsidRPr="00603CA3">
        <w:rPr>
          <w:b/>
          <w:color w:val="000000" w:themeColor="text1"/>
          <w:lang w:val="lv-LV"/>
        </w:rPr>
        <w:t>„Ieguldījumu fonds investīcijām garantijās, paaugstināta riska aizdevumos, riska</w:t>
      </w:r>
      <w:r w:rsidRPr="00603CA3">
        <w:rPr>
          <w:rFonts w:eastAsia="Calibri"/>
          <w:color w:val="000000" w:themeColor="text1"/>
          <w:lang w:val="lv-LV"/>
        </w:rPr>
        <w:t xml:space="preserve"> </w:t>
      </w:r>
      <w:r w:rsidRPr="00603CA3">
        <w:rPr>
          <w:rFonts w:eastAsia="Calibri"/>
          <w:b/>
          <w:color w:val="000000" w:themeColor="text1"/>
          <w:lang w:val="lv-LV"/>
        </w:rPr>
        <w:t>kapitāla fondos un cita veida finanšu instrumentos”</w:t>
      </w:r>
      <w:r w:rsidRPr="00603CA3">
        <w:rPr>
          <w:rFonts w:eastAsia="Calibri"/>
          <w:color w:val="000000" w:themeColor="text1"/>
          <w:lang w:val="lv-LV"/>
        </w:rPr>
        <w:t xml:space="preserve"> finansējuma pārvaldītājs ir EIF. Kopējais instrumentu līmenī piesaistītais ES fondu līdzfinansējums ir 58,5 </w:t>
      </w:r>
      <w:proofErr w:type="spellStart"/>
      <w:r w:rsidRPr="00603CA3">
        <w:rPr>
          <w:rFonts w:eastAsia="Calibri"/>
          <w:color w:val="000000" w:themeColor="text1"/>
          <w:lang w:val="lv-LV"/>
        </w:rPr>
        <w:t>milj</w:t>
      </w:r>
      <w:proofErr w:type="spellEnd"/>
      <w:r w:rsidRPr="00603CA3">
        <w:rPr>
          <w:rFonts w:eastAsia="Calibri"/>
          <w:color w:val="000000" w:themeColor="text1"/>
          <w:lang w:val="lv-LV"/>
        </w:rPr>
        <w:t xml:space="preserve">. latu, valsts budžeta līdzfinansējums ir 5,8 </w:t>
      </w:r>
      <w:proofErr w:type="spellStart"/>
      <w:r w:rsidRPr="00603CA3">
        <w:rPr>
          <w:rFonts w:eastAsia="Calibri"/>
          <w:color w:val="000000" w:themeColor="text1"/>
          <w:lang w:val="lv-LV"/>
        </w:rPr>
        <w:t>milj</w:t>
      </w:r>
      <w:proofErr w:type="spellEnd"/>
      <w:r w:rsidRPr="00603CA3">
        <w:rPr>
          <w:rFonts w:eastAsia="Calibri"/>
          <w:color w:val="000000" w:themeColor="text1"/>
          <w:lang w:val="lv-LV"/>
        </w:rPr>
        <w:t xml:space="preserve">. latu un privātais līdzfinansējums ir 43,6 </w:t>
      </w:r>
      <w:proofErr w:type="spellStart"/>
      <w:r w:rsidRPr="00603CA3">
        <w:rPr>
          <w:rFonts w:eastAsia="Calibri"/>
          <w:color w:val="000000" w:themeColor="text1"/>
          <w:lang w:val="lv-LV"/>
        </w:rPr>
        <w:t>milj</w:t>
      </w:r>
      <w:proofErr w:type="spellEnd"/>
      <w:r w:rsidRPr="00603CA3">
        <w:rPr>
          <w:rFonts w:eastAsia="Calibri"/>
          <w:color w:val="000000" w:themeColor="text1"/>
          <w:lang w:val="lv-LV"/>
        </w:rPr>
        <w:t xml:space="preserve">. latu, kā rezultātā maziem un vidējiem komersantiem pieejami kopsummā 107,9 </w:t>
      </w:r>
      <w:proofErr w:type="spellStart"/>
      <w:r w:rsidRPr="00603CA3">
        <w:rPr>
          <w:rFonts w:eastAsia="Calibri"/>
          <w:color w:val="000000" w:themeColor="text1"/>
          <w:lang w:val="lv-LV"/>
        </w:rPr>
        <w:t>milj</w:t>
      </w:r>
      <w:proofErr w:type="spellEnd"/>
      <w:r w:rsidRPr="00603CA3">
        <w:rPr>
          <w:rFonts w:eastAsia="Calibri"/>
          <w:color w:val="000000" w:themeColor="text1"/>
          <w:lang w:val="lv-LV"/>
        </w:rPr>
        <w:t>. latu aizdevumu un pašu kapitāla investīciju veidā. (skatīt</w:t>
      </w:r>
      <w:r w:rsidRPr="00603CA3">
        <w:rPr>
          <w:rFonts w:eastAsia="Calibri"/>
          <w:color w:val="000000" w:themeColor="text1"/>
          <w:u w:val="single"/>
          <w:lang w:val="lv-LV"/>
        </w:rPr>
        <w:t xml:space="preserve"> grafiku Nr.5)</w:t>
      </w:r>
    </w:p>
    <w:p w:rsidR="00947DF5" w:rsidRPr="00603CA3" w:rsidRDefault="00947DF5" w:rsidP="00603CA3">
      <w:pPr>
        <w:pStyle w:val="NormalWeb"/>
        <w:spacing w:before="0" w:beforeAutospacing="0" w:after="0" w:afterAutospacing="0" w:line="276" w:lineRule="auto"/>
        <w:ind w:left="360"/>
        <w:jc w:val="both"/>
        <w:rPr>
          <w:rFonts w:eastAsia="Calibri"/>
          <w:color w:val="000000" w:themeColor="text1"/>
          <w:lang w:val="lv-LV"/>
        </w:rPr>
      </w:pPr>
      <w:r w:rsidRPr="00603CA3">
        <w:rPr>
          <w:color w:val="000000" w:themeColor="text1"/>
          <w:lang w:val="lv-LV" w:eastAsia="lv-LV"/>
        </w:rPr>
        <w:t xml:space="preserve">Līdz 2011.gada 30.jūnijam aizdevumu instrumenta ietvaros ir noslēgti 11 līgumi par kopējo finansējuma apjomu 3,8 </w:t>
      </w:r>
      <w:proofErr w:type="spellStart"/>
      <w:r w:rsidRPr="00603CA3">
        <w:rPr>
          <w:color w:val="000000" w:themeColor="text1"/>
          <w:lang w:val="lv-LV" w:eastAsia="lv-LV"/>
        </w:rPr>
        <w:t>milj</w:t>
      </w:r>
      <w:proofErr w:type="spellEnd"/>
      <w:r w:rsidRPr="00603CA3">
        <w:rPr>
          <w:color w:val="000000" w:themeColor="text1"/>
          <w:lang w:val="lv-LV" w:eastAsia="lv-LV"/>
        </w:rPr>
        <w:t xml:space="preserve">. latu, tai skaitā finanšu starpinstitūciju līdzfinansējumu, ES fondu finansējuma apjomu 1,3 </w:t>
      </w:r>
      <w:proofErr w:type="spellStart"/>
      <w:r w:rsidRPr="00603CA3">
        <w:rPr>
          <w:color w:val="000000" w:themeColor="text1"/>
          <w:lang w:val="lv-LV" w:eastAsia="lv-LV"/>
        </w:rPr>
        <w:t>tūkst</w:t>
      </w:r>
      <w:proofErr w:type="spellEnd"/>
      <w:r w:rsidRPr="00603CA3">
        <w:rPr>
          <w:color w:val="000000" w:themeColor="text1"/>
          <w:lang w:val="lv-LV" w:eastAsia="lv-LV"/>
        </w:rPr>
        <w:t xml:space="preserve">. latu. Savukārt riska kapitāla ietvaros ir noslēgti 10 līgumi par kopējo finansējuma apjomu 5,4 </w:t>
      </w:r>
      <w:proofErr w:type="spellStart"/>
      <w:r w:rsidRPr="00603CA3">
        <w:rPr>
          <w:color w:val="000000" w:themeColor="text1"/>
          <w:lang w:val="lv-LV" w:eastAsia="lv-LV"/>
        </w:rPr>
        <w:t>milj</w:t>
      </w:r>
      <w:proofErr w:type="spellEnd"/>
      <w:r w:rsidRPr="00603CA3">
        <w:rPr>
          <w:color w:val="000000" w:themeColor="text1"/>
          <w:lang w:val="lv-LV" w:eastAsia="lv-LV"/>
        </w:rPr>
        <w:t xml:space="preserve">. latu, tai skaitā par ES fondu finansējuma apjomu 2,6 </w:t>
      </w:r>
      <w:proofErr w:type="spellStart"/>
      <w:r w:rsidRPr="00603CA3">
        <w:rPr>
          <w:color w:val="000000" w:themeColor="text1"/>
          <w:lang w:val="lv-LV" w:eastAsia="lv-LV"/>
        </w:rPr>
        <w:t>milj</w:t>
      </w:r>
      <w:proofErr w:type="spellEnd"/>
      <w:r w:rsidRPr="00603CA3">
        <w:rPr>
          <w:color w:val="000000" w:themeColor="text1"/>
          <w:lang w:val="lv-LV" w:eastAsia="lv-LV"/>
        </w:rPr>
        <w:t xml:space="preserve">. latu. Kopējais veikto finanšu instrumentu investīciju apjoms ir 9,2 </w:t>
      </w:r>
      <w:proofErr w:type="spellStart"/>
      <w:r w:rsidRPr="00603CA3">
        <w:rPr>
          <w:color w:val="000000" w:themeColor="text1"/>
          <w:lang w:val="lv-LV" w:eastAsia="lv-LV"/>
        </w:rPr>
        <w:t>milj</w:t>
      </w:r>
      <w:proofErr w:type="spellEnd"/>
      <w:r w:rsidRPr="00603CA3">
        <w:rPr>
          <w:color w:val="000000" w:themeColor="text1"/>
          <w:lang w:val="lv-LV" w:eastAsia="lv-LV"/>
        </w:rPr>
        <w:t xml:space="preserve">. latu apjomā, tai skaitā 3,9 </w:t>
      </w:r>
      <w:proofErr w:type="spellStart"/>
      <w:r w:rsidRPr="00603CA3">
        <w:rPr>
          <w:color w:val="000000" w:themeColor="text1"/>
          <w:lang w:val="lv-LV" w:eastAsia="lv-LV"/>
        </w:rPr>
        <w:t>milj</w:t>
      </w:r>
      <w:proofErr w:type="spellEnd"/>
      <w:r w:rsidRPr="00603CA3">
        <w:rPr>
          <w:color w:val="000000" w:themeColor="text1"/>
          <w:lang w:val="lv-LV" w:eastAsia="lv-LV"/>
        </w:rPr>
        <w:t>. latu no ES fonda finansējuma apjoma.</w:t>
      </w:r>
    </w:p>
    <w:p w:rsidR="00947DF5" w:rsidRPr="00603CA3" w:rsidRDefault="00947DF5" w:rsidP="00603CA3">
      <w:pPr>
        <w:pStyle w:val="NormalWeb"/>
        <w:spacing w:before="0" w:beforeAutospacing="0" w:after="0" w:afterAutospacing="0" w:line="276" w:lineRule="auto"/>
        <w:ind w:left="360"/>
        <w:jc w:val="both"/>
        <w:rPr>
          <w:color w:val="000000" w:themeColor="text1"/>
          <w:lang w:val="lv-LV" w:eastAsia="lv-LV"/>
        </w:rPr>
      </w:pPr>
      <w:r w:rsidRPr="00603CA3">
        <w:rPr>
          <w:color w:val="000000" w:themeColor="text1"/>
          <w:lang w:val="lv-LV" w:eastAsia="lv-LV"/>
        </w:rPr>
        <w:t>Kopumā ieguldījumu fondi veiksmīgi uzsākuši savu darbu un 2011.gadā plāno veikt 7 līdz 10 investīcijas. Attiecībā uz darījumiem ar pašu kapitālu no JEREMIE ieguldījumu fonda (turpmāk - JIF), „</w:t>
      </w:r>
      <w:proofErr w:type="spellStart"/>
      <w:r w:rsidRPr="00603CA3">
        <w:rPr>
          <w:color w:val="000000" w:themeColor="text1"/>
          <w:lang w:val="lv-LV" w:eastAsia="lv-LV"/>
        </w:rPr>
        <w:t>Imprimatur</w:t>
      </w:r>
      <w:proofErr w:type="spellEnd"/>
      <w:r w:rsidRPr="00603CA3">
        <w:rPr>
          <w:color w:val="000000" w:themeColor="text1"/>
          <w:lang w:val="lv-LV" w:eastAsia="lv-LV"/>
        </w:rPr>
        <w:t xml:space="preserve"> </w:t>
      </w:r>
      <w:proofErr w:type="spellStart"/>
      <w:r w:rsidRPr="00603CA3">
        <w:rPr>
          <w:color w:val="000000" w:themeColor="text1"/>
          <w:lang w:val="lv-LV" w:eastAsia="lv-LV"/>
        </w:rPr>
        <w:t>Capital</w:t>
      </w:r>
      <w:proofErr w:type="spellEnd"/>
      <w:r w:rsidRPr="00603CA3">
        <w:rPr>
          <w:color w:val="000000" w:themeColor="text1"/>
          <w:lang w:val="lv-LV" w:eastAsia="lv-LV"/>
        </w:rPr>
        <w:t>” sēklas kapitāla fonds ir parakstījis divus sēklas kapitāla investīciju līgumus. „</w:t>
      </w:r>
      <w:proofErr w:type="spellStart"/>
      <w:r w:rsidRPr="00603CA3">
        <w:rPr>
          <w:color w:val="000000" w:themeColor="text1"/>
          <w:lang w:val="lv-LV" w:eastAsia="lv-LV"/>
        </w:rPr>
        <w:t>Imprimatur</w:t>
      </w:r>
      <w:proofErr w:type="spellEnd"/>
      <w:r w:rsidRPr="00603CA3">
        <w:rPr>
          <w:color w:val="000000" w:themeColor="text1"/>
          <w:lang w:val="lv-LV" w:eastAsia="lv-LV"/>
        </w:rPr>
        <w:t xml:space="preserve"> </w:t>
      </w:r>
      <w:proofErr w:type="spellStart"/>
      <w:r w:rsidRPr="00603CA3">
        <w:rPr>
          <w:color w:val="000000" w:themeColor="text1"/>
          <w:lang w:val="lv-LV" w:eastAsia="lv-LV"/>
        </w:rPr>
        <w:t>Capital</w:t>
      </w:r>
      <w:proofErr w:type="spellEnd"/>
      <w:r w:rsidRPr="00603CA3">
        <w:rPr>
          <w:color w:val="000000" w:themeColor="text1"/>
          <w:lang w:val="lv-LV" w:eastAsia="lv-LV"/>
        </w:rPr>
        <w:t>” tehnoloģiju riska kapitāla fonds slēdz savu pirmo uzsākto investīciju projektu. „</w:t>
      </w:r>
      <w:proofErr w:type="spellStart"/>
      <w:r w:rsidRPr="00603CA3">
        <w:rPr>
          <w:color w:val="000000" w:themeColor="text1"/>
          <w:lang w:val="lv-LV" w:eastAsia="lv-LV"/>
        </w:rPr>
        <w:t>Baltcap</w:t>
      </w:r>
      <w:proofErr w:type="spellEnd"/>
      <w:r w:rsidRPr="00603CA3">
        <w:rPr>
          <w:color w:val="000000" w:themeColor="text1"/>
          <w:lang w:val="lv-LV" w:eastAsia="lv-LV"/>
        </w:rPr>
        <w:t xml:space="preserve"> Latvija” riska kapitāla fonds turpina sarunas un "</w:t>
      </w:r>
      <w:proofErr w:type="spellStart"/>
      <w:r w:rsidRPr="00603CA3">
        <w:rPr>
          <w:color w:val="000000" w:themeColor="text1"/>
          <w:lang w:val="lv-LV" w:eastAsia="lv-LV"/>
        </w:rPr>
        <w:t>due</w:t>
      </w:r>
      <w:proofErr w:type="spellEnd"/>
      <w:r w:rsidRPr="00603CA3">
        <w:rPr>
          <w:color w:val="000000" w:themeColor="text1"/>
          <w:lang w:val="lv-LV" w:eastAsia="lv-LV"/>
        </w:rPr>
        <w:t xml:space="preserve"> </w:t>
      </w:r>
      <w:proofErr w:type="spellStart"/>
      <w:r w:rsidRPr="00603CA3">
        <w:rPr>
          <w:color w:val="000000" w:themeColor="text1"/>
          <w:lang w:val="lv-LV" w:eastAsia="lv-LV"/>
        </w:rPr>
        <w:t>diligence</w:t>
      </w:r>
      <w:proofErr w:type="spellEnd"/>
      <w:r w:rsidRPr="00603CA3">
        <w:rPr>
          <w:color w:val="000000" w:themeColor="text1"/>
          <w:lang w:val="lv-LV" w:eastAsia="lv-LV"/>
        </w:rPr>
        <w:t xml:space="preserve">" (padziļināta projekta izpēte) procesu vairākos potenciālos investīciju projektos, lai 2.ceturksnī noslēgtu vismaz 2 investīciju līgumus. </w:t>
      </w:r>
    </w:p>
    <w:p w:rsidR="00947DF5" w:rsidRPr="00603CA3" w:rsidRDefault="00947DF5" w:rsidP="00603CA3">
      <w:pPr>
        <w:pStyle w:val="NormalWeb"/>
        <w:spacing w:before="0" w:beforeAutospacing="0" w:after="0" w:afterAutospacing="0" w:line="276" w:lineRule="auto"/>
        <w:ind w:left="360"/>
        <w:jc w:val="both"/>
        <w:rPr>
          <w:color w:val="000000" w:themeColor="text1"/>
          <w:lang w:val="lv-LV" w:eastAsia="lv-LV"/>
        </w:rPr>
      </w:pPr>
      <w:r w:rsidRPr="00603CA3">
        <w:rPr>
          <w:color w:val="000000" w:themeColor="text1"/>
          <w:lang w:val="lv-LV" w:eastAsia="lv-LV"/>
        </w:rPr>
        <w:t>Kā labas prakses piemēru, atbalstot paaugstināta riska komercdarbības uzsākšanu un atbalstot valsts ekonomikas attīstību, var minēt ES struktūrfondu līdzfinansētās un EIF Latvijā pārvaldītās JEREMIE iniciatīvas ietvarā riska kapitāla investora "</w:t>
      </w:r>
      <w:proofErr w:type="spellStart"/>
      <w:r w:rsidRPr="00603CA3">
        <w:rPr>
          <w:color w:val="000000" w:themeColor="text1"/>
          <w:lang w:val="lv-LV" w:eastAsia="lv-LV"/>
        </w:rPr>
        <w:t>BaltCap</w:t>
      </w:r>
      <w:proofErr w:type="spellEnd"/>
      <w:r w:rsidRPr="00603CA3">
        <w:rPr>
          <w:color w:val="000000" w:themeColor="text1"/>
          <w:lang w:val="lv-LV" w:eastAsia="lv-LV"/>
        </w:rPr>
        <w:t>" veikto starta kapitālu ieguldījumu kristālu displeju ražošanas uzņēmuma SIA "EUROLCDS" biznesa uzsākšanā. Uzņēmuma mērķis ir izveidot specializētu šķidro kristālu displeju ražotni un klientu bāzi visā pasaulē, piemēram, ES valstu, ASV un Japānas industriālo un medicīnas iekārtu ražošanas un tirdzniecības uzņēmumi.</w:t>
      </w:r>
    </w:p>
    <w:p w:rsidR="00947DF5" w:rsidRPr="00603CA3" w:rsidRDefault="00947DF5" w:rsidP="00603CA3">
      <w:pPr>
        <w:pStyle w:val="NormalWeb"/>
        <w:spacing w:before="0" w:beforeAutospacing="0" w:after="0" w:afterAutospacing="0" w:line="276" w:lineRule="auto"/>
        <w:ind w:left="360"/>
        <w:jc w:val="both"/>
        <w:rPr>
          <w:color w:val="000000" w:themeColor="text1"/>
          <w:lang w:val="lv-LV" w:eastAsia="lv-LV"/>
        </w:rPr>
      </w:pPr>
      <w:r w:rsidRPr="00603CA3">
        <w:rPr>
          <w:color w:val="000000" w:themeColor="text1"/>
          <w:lang w:val="lv-LV" w:eastAsia="lv-LV"/>
        </w:rPr>
        <w:t xml:space="preserve">EIF aizdevumu programmas uzrādītais progress nav apmierinošs. Programmas ietvaros SEB banka un </w:t>
      </w:r>
      <w:proofErr w:type="spellStart"/>
      <w:r w:rsidRPr="00603CA3">
        <w:rPr>
          <w:color w:val="000000" w:themeColor="text1"/>
          <w:lang w:val="lv-LV" w:eastAsia="lv-LV"/>
        </w:rPr>
        <w:t>Swedbanka</w:t>
      </w:r>
      <w:proofErr w:type="spellEnd"/>
      <w:r w:rsidRPr="00603CA3">
        <w:rPr>
          <w:color w:val="000000" w:themeColor="text1"/>
          <w:lang w:val="lv-LV" w:eastAsia="lv-LV"/>
        </w:rPr>
        <w:t xml:space="preserve"> nav noslēgušas nevienu aizdevumu līgumu. Tas tiek skaidrots ar zemo pieprasījumu pēc aizdevumiem un uzņēmumu neatbilstību atbalsta saņēmējiem noteiktajiem kritērijiem. Ir uzsākts process, lai veiktu grozījumus MVU aizņēmumu atbalsta programmā tādā veidā veicinot finanšu instrumentu ieviešanu un 2011.gada jūlijā EIF plāno veikt nākamo pārskatu, lai novērtētu, vai izmaiņas ir devušas vēlamo rezultātu.</w:t>
      </w:r>
    </w:p>
    <w:p w:rsidR="00947DF5" w:rsidRPr="00603CA3" w:rsidRDefault="00947DF5" w:rsidP="00603CA3">
      <w:pPr>
        <w:pStyle w:val="NormalWeb"/>
        <w:spacing w:before="0" w:beforeAutospacing="0" w:after="0" w:afterAutospacing="0" w:line="276" w:lineRule="auto"/>
        <w:jc w:val="both"/>
        <w:rPr>
          <w:rFonts w:eastAsia="Calibri"/>
          <w:i/>
          <w:color w:val="000000" w:themeColor="text1"/>
          <w:lang w:val="lv-LV"/>
        </w:rPr>
      </w:pPr>
      <w:r w:rsidRPr="00603CA3">
        <w:rPr>
          <w:rFonts w:eastAsia="Calibri"/>
          <w:color w:val="000000" w:themeColor="text1"/>
          <w:lang w:val="lv-LV"/>
        </w:rPr>
        <w:t xml:space="preserve">Grafiks Nr.5 </w:t>
      </w:r>
      <w:r w:rsidRPr="00603CA3">
        <w:rPr>
          <w:rFonts w:eastAsia="Calibri"/>
          <w:i/>
          <w:color w:val="000000" w:themeColor="text1"/>
          <w:lang w:val="lv-LV"/>
        </w:rPr>
        <w:t xml:space="preserve">„Finanšu apguves progress aktivitātes „Ieguldījumu fonds investīcijām garantijās, paaugstināta riska aizdevumos, riska kapitāla fondos un cita veida finanšu </w:t>
      </w:r>
      <w:r w:rsidRPr="00603CA3">
        <w:rPr>
          <w:rFonts w:eastAsia="Calibri"/>
          <w:i/>
          <w:color w:val="000000" w:themeColor="text1"/>
          <w:lang w:val="lv-LV"/>
        </w:rPr>
        <w:lastRenderedPageBreak/>
        <w:t xml:space="preserve">instrumentu ietvaros; uz 30.06.2011. (% no pieejamā </w:t>
      </w:r>
      <w:r w:rsidR="000C0843" w:rsidRPr="00603CA3">
        <w:rPr>
          <w:rFonts w:eastAsia="Calibri"/>
          <w:i/>
          <w:color w:val="000000" w:themeColor="text1"/>
          <w:lang w:val="lv-LV"/>
        </w:rPr>
        <w:t xml:space="preserve">ES fondu </w:t>
      </w:r>
      <w:r w:rsidRPr="00603CA3">
        <w:rPr>
          <w:rFonts w:eastAsia="Calibri"/>
          <w:i/>
          <w:color w:val="000000" w:themeColor="text1"/>
          <w:lang w:val="lv-LV"/>
        </w:rPr>
        <w:t xml:space="preserve">finansējuma); </w:t>
      </w:r>
      <w:proofErr w:type="spellStart"/>
      <w:r w:rsidRPr="00603CA3">
        <w:rPr>
          <w:i/>
          <w:color w:val="000000" w:themeColor="text1"/>
          <w:lang w:val="lv-LV"/>
        </w:rPr>
        <w:t>milj</w:t>
      </w:r>
      <w:proofErr w:type="spellEnd"/>
      <w:r w:rsidRPr="00603CA3">
        <w:rPr>
          <w:i/>
          <w:color w:val="000000" w:themeColor="text1"/>
          <w:lang w:val="lv-LV"/>
        </w:rPr>
        <w:t>. LVL,</w:t>
      </w:r>
      <w:r w:rsidRPr="00603CA3">
        <w:rPr>
          <w:rFonts w:eastAsia="Calibri"/>
          <w:i/>
          <w:color w:val="000000" w:themeColor="text1"/>
          <w:lang w:val="lv-LV"/>
        </w:rPr>
        <w:t xml:space="preserve"> % progress pret datiem uz 31.03.2011.””</w:t>
      </w:r>
    </w:p>
    <w:p w:rsidR="00947DF5" w:rsidRPr="00603CA3" w:rsidRDefault="00947DF5" w:rsidP="00603CA3">
      <w:pPr>
        <w:pStyle w:val="NormalWeb"/>
        <w:spacing w:before="0" w:beforeAutospacing="0" w:after="0" w:afterAutospacing="0" w:line="276" w:lineRule="auto"/>
        <w:jc w:val="center"/>
        <w:rPr>
          <w:rFonts w:eastAsia="Calibri"/>
          <w:color w:val="000000" w:themeColor="text1"/>
          <w:highlight w:val="green"/>
          <w:lang w:val="lv-LV"/>
        </w:rPr>
      </w:pPr>
      <w:r w:rsidRPr="00603CA3">
        <w:rPr>
          <w:noProof/>
          <w:color w:val="000000" w:themeColor="text1"/>
          <w:lang w:val="lv-LV" w:eastAsia="lv-LV"/>
        </w:rPr>
        <w:drawing>
          <wp:inline distT="0" distB="0" distL="0" distR="0" wp14:anchorId="0698AB8C" wp14:editId="29F9C339">
            <wp:extent cx="5357346" cy="30861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47DF5" w:rsidRPr="00603CA3" w:rsidRDefault="00947DF5" w:rsidP="00603CA3">
      <w:pPr>
        <w:pStyle w:val="Default"/>
        <w:spacing w:line="276" w:lineRule="auto"/>
        <w:ind w:left="426" w:hanging="426"/>
        <w:jc w:val="both"/>
        <w:rPr>
          <w:rFonts w:eastAsia="Times New Roman"/>
          <w:color w:val="000000" w:themeColor="text1"/>
          <w:lang w:eastAsia="en-US"/>
        </w:rPr>
      </w:pPr>
      <w:r w:rsidRPr="00603CA3">
        <w:rPr>
          <w:bCs/>
          <w:color w:val="000000" w:themeColor="text1"/>
          <w:lang w:eastAsia="en-US"/>
        </w:rPr>
        <w:t xml:space="preserve">2) </w:t>
      </w:r>
      <w:r w:rsidRPr="00603CA3">
        <w:rPr>
          <w:rFonts w:eastAsia="Times New Roman"/>
          <w:b/>
          <w:color w:val="000000" w:themeColor="text1"/>
          <w:lang w:eastAsia="en-US"/>
        </w:rPr>
        <w:t xml:space="preserve">„Garantijas komersantu konkurētspējas uzlabošanai” </w:t>
      </w:r>
      <w:r w:rsidRPr="00603CA3">
        <w:rPr>
          <w:color w:val="000000" w:themeColor="text1"/>
          <w:lang w:eastAsia="en-US"/>
        </w:rPr>
        <w:t xml:space="preserve">finanšu instrumenta ietvaros paredzēts izsniegt finansējuma saņēmējiem kopumā 60,5 </w:t>
      </w:r>
      <w:proofErr w:type="spellStart"/>
      <w:r w:rsidRPr="00603CA3">
        <w:rPr>
          <w:color w:val="000000" w:themeColor="text1"/>
          <w:lang w:eastAsia="en-US"/>
        </w:rPr>
        <w:t>milj</w:t>
      </w:r>
      <w:proofErr w:type="spellEnd"/>
      <w:r w:rsidRPr="00603CA3">
        <w:rPr>
          <w:color w:val="000000" w:themeColor="text1"/>
          <w:lang w:eastAsia="en-US"/>
        </w:rPr>
        <w:t xml:space="preserve">. latu finansējuma (ieskaitot finanšu starpinstitūciju līdzfinansējumu), tai skaitā 53,5 </w:t>
      </w:r>
      <w:proofErr w:type="spellStart"/>
      <w:r w:rsidRPr="00603CA3">
        <w:rPr>
          <w:color w:val="000000" w:themeColor="text1"/>
          <w:lang w:eastAsia="en-US"/>
        </w:rPr>
        <w:t>milj</w:t>
      </w:r>
      <w:proofErr w:type="spellEnd"/>
      <w:r w:rsidRPr="00603CA3">
        <w:rPr>
          <w:color w:val="000000" w:themeColor="text1"/>
          <w:lang w:eastAsia="en-US"/>
        </w:rPr>
        <w:t>. latu ES fondu finansējuma.</w:t>
      </w:r>
    </w:p>
    <w:p w:rsidR="00947DF5" w:rsidRPr="00603CA3" w:rsidRDefault="00947DF5" w:rsidP="00603CA3">
      <w:pPr>
        <w:pStyle w:val="NormalWeb"/>
        <w:numPr>
          <w:ilvl w:val="0"/>
          <w:numId w:val="3"/>
        </w:numPr>
        <w:spacing w:before="0" w:beforeAutospacing="0" w:after="0" w:afterAutospacing="0" w:line="276" w:lineRule="auto"/>
        <w:ind w:left="709" w:hanging="283"/>
        <w:jc w:val="both"/>
        <w:rPr>
          <w:color w:val="000000" w:themeColor="text1"/>
          <w:lang w:val="lv-LV"/>
        </w:rPr>
      </w:pPr>
      <w:r w:rsidRPr="00603CA3">
        <w:rPr>
          <w:color w:val="000000" w:themeColor="text1"/>
          <w:lang w:val="lv-LV"/>
        </w:rPr>
        <w:t xml:space="preserve">Konkurētspējas (kredīta) garantijas programma uzsākta 2009.gada 1.aprīlī, kuras ietvaros vairumā garantiju tiek izsniegtas komersantiem, kuri darbojas ražošanas sektorā. Līdz 2011.gada 30.jūnijam ir apstiprināti 820 projekti par 102,6 </w:t>
      </w:r>
      <w:proofErr w:type="spellStart"/>
      <w:r w:rsidRPr="00603CA3">
        <w:rPr>
          <w:color w:val="000000" w:themeColor="text1"/>
          <w:lang w:val="lv-LV"/>
        </w:rPr>
        <w:t>milj</w:t>
      </w:r>
      <w:proofErr w:type="spellEnd"/>
      <w:r w:rsidRPr="00603CA3">
        <w:rPr>
          <w:color w:val="000000" w:themeColor="text1"/>
          <w:lang w:val="lv-LV"/>
        </w:rPr>
        <w:t xml:space="preserve">. latu kopējā finansējuma un noslēgti 511 līgumi par 80,8 </w:t>
      </w:r>
      <w:proofErr w:type="spellStart"/>
      <w:r w:rsidRPr="00603CA3">
        <w:rPr>
          <w:color w:val="000000" w:themeColor="text1"/>
          <w:lang w:val="lv-LV"/>
        </w:rPr>
        <w:t>milj</w:t>
      </w:r>
      <w:proofErr w:type="spellEnd"/>
      <w:r w:rsidRPr="00603CA3">
        <w:rPr>
          <w:color w:val="000000" w:themeColor="text1"/>
          <w:lang w:val="lv-LV"/>
        </w:rPr>
        <w:t>. latu kopējā finansējuma;</w:t>
      </w:r>
    </w:p>
    <w:p w:rsidR="00947DF5" w:rsidRPr="00603CA3" w:rsidRDefault="00947DF5" w:rsidP="00603CA3">
      <w:pPr>
        <w:pStyle w:val="NormalWeb"/>
        <w:numPr>
          <w:ilvl w:val="0"/>
          <w:numId w:val="3"/>
        </w:numPr>
        <w:spacing w:before="0" w:beforeAutospacing="0" w:after="0" w:afterAutospacing="0" w:line="276" w:lineRule="auto"/>
        <w:ind w:left="709" w:hanging="283"/>
        <w:jc w:val="both"/>
        <w:rPr>
          <w:color w:val="000000" w:themeColor="text1"/>
          <w:lang w:val="lv-LV"/>
        </w:rPr>
      </w:pPr>
      <w:r w:rsidRPr="00603CA3">
        <w:rPr>
          <w:color w:val="000000" w:themeColor="text1"/>
          <w:lang w:val="lv-LV"/>
        </w:rPr>
        <w:t xml:space="preserve">Eksporta garantijas programma uzsākta 2009.gada 1.jūnijā un tās mērķis ir atbalstīt eksportētājus, sedzot ar eksporta darījumiem saistītos riskus, kā arī kalpot par nodrošinājumu eksporta darījuma finansējuma saņemšanai. Līdz 2011.gada 30.jūnijam ir apstiprināti 89 projekti par 4,9 </w:t>
      </w:r>
      <w:proofErr w:type="spellStart"/>
      <w:r w:rsidRPr="00603CA3">
        <w:rPr>
          <w:color w:val="000000" w:themeColor="text1"/>
          <w:lang w:val="lv-LV"/>
        </w:rPr>
        <w:t>milj</w:t>
      </w:r>
      <w:proofErr w:type="spellEnd"/>
      <w:r w:rsidRPr="00603CA3">
        <w:rPr>
          <w:color w:val="000000" w:themeColor="text1"/>
          <w:lang w:val="lv-LV"/>
        </w:rPr>
        <w:t xml:space="preserve">. latu kopējā finansējuma un noslēgti 65 līgumi par 3,9 </w:t>
      </w:r>
      <w:proofErr w:type="spellStart"/>
      <w:r w:rsidRPr="00603CA3">
        <w:rPr>
          <w:color w:val="000000" w:themeColor="text1"/>
          <w:lang w:val="lv-LV"/>
        </w:rPr>
        <w:t>milj</w:t>
      </w:r>
      <w:proofErr w:type="spellEnd"/>
      <w:r w:rsidRPr="00603CA3">
        <w:rPr>
          <w:color w:val="000000" w:themeColor="text1"/>
          <w:lang w:val="lv-LV"/>
        </w:rPr>
        <w:t xml:space="preserve">. latu kopējā finansējuma. </w:t>
      </w:r>
    </w:p>
    <w:p w:rsidR="00947DF5" w:rsidRDefault="00947DF5" w:rsidP="0076499A">
      <w:pPr>
        <w:pStyle w:val="NormalWeb"/>
        <w:spacing w:before="0" w:beforeAutospacing="0" w:after="0" w:afterAutospacing="0" w:line="276" w:lineRule="auto"/>
        <w:jc w:val="both"/>
        <w:rPr>
          <w:color w:val="000000" w:themeColor="text1"/>
          <w:u w:val="single"/>
          <w:lang w:val="lv-LV"/>
        </w:rPr>
      </w:pPr>
      <w:r w:rsidRPr="00603CA3">
        <w:rPr>
          <w:color w:val="000000" w:themeColor="text1"/>
          <w:lang w:val="lv-LV"/>
        </w:rPr>
        <w:t xml:space="preserve">Sīkāku informāciju par finansējuma apguvi skatīt </w:t>
      </w:r>
      <w:r w:rsidRPr="00603CA3">
        <w:rPr>
          <w:color w:val="000000" w:themeColor="text1"/>
          <w:u w:val="single"/>
          <w:lang w:val="lv-LV"/>
        </w:rPr>
        <w:t>tabulā Nr.3.</w:t>
      </w:r>
    </w:p>
    <w:p w:rsidR="0076499A" w:rsidRPr="00603CA3" w:rsidRDefault="0076499A" w:rsidP="0076499A">
      <w:pPr>
        <w:pStyle w:val="NormalWeb"/>
        <w:spacing w:before="0" w:beforeAutospacing="0" w:after="0" w:afterAutospacing="0" w:line="276" w:lineRule="auto"/>
        <w:jc w:val="both"/>
        <w:rPr>
          <w:color w:val="000000" w:themeColor="text1"/>
          <w:lang w:val="lv-LV"/>
        </w:rPr>
      </w:pPr>
      <w:r w:rsidRPr="00603CA3">
        <w:rPr>
          <w:color w:val="000000" w:themeColor="text1"/>
          <w:lang w:val="lv-LV"/>
        </w:rPr>
        <w:t xml:space="preserve">Tabula Nr.3 </w:t>
      </w:r>
      <w:r w:rsidRPr="00603CA3">
        <w:rPr>
          <w:i/>
          <w:color w:val="000000" w:themeColor="text1"/>
          <w:lang w:val="lv-LV"/>
        </w:rPr>
        <w:t>„Finanšu apguves progress aktivitātes „Garantijas komersantu konkurētspējas uzlabošanai” ietvaros; LVL”</w:t>
      </w:r>
    </w:p>
    <w:tbl>
      <w:tblPr>
        <w:tblpPr w:leftFromText="180" w:rightFromText="180" w:vertAnchor="text" w:horzAnchor="margin" w:tblpXSpec="center" w:tblpY="537"/>
        <w:tblW w:w="10066"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ayout w:type="fixed"/>
        <w:tblLook w:val="04A0" w:firstRow="1" w:lastRow="0" w:firstColumn="1" w:lastColumn="0" w:noHBand="0" w:noVBand="1"/>
      </w:tblPr>
      <w:tblGrid>
        <w:gridCol w:w="1668"/>
        <w:gridCol w:w="1027"/>
        <w:gridCol w:w="709"/>
        <w:gridCol w:w="992"/>
        <w:gridCol w:w="992"/>
        <w:gridCol w:w="993"/>
        <w:gridCol w:w="708"/>
        <w:gridCol w:w="993"/>
        <w:gridCol w:w="992"/>
        <w:gridCol w:w="992"/>
      </w:tblGrid>
      <w:tr w:rsidR="00603CA3" w:rsidRPr="0076499A" w:rsidTr="00E93969">
        <w:trPr>
          <w:trHeight w:val="788"/>
        </w:trPr>
        <w:tc>
          <w:tcPr>
            <w:tcW w:w="1668" w:type="dxa"/>
            <w:vMerge w:val="restart"/>
            <w:tcBorders>
              <w:top w:val="nil"/>
              <w:left w:val="nil"/>
              <w:bottom w:val="single" w:sz="18" w:space="0" w:color="9BBB59"/>
              <w:right w:val="single" w:sz="8" w:space="0" w:color="9BBB59"/>
            </w:tcBorders>
            <w:noWrap/>
            <w:hideMark/>
          </w:tcPr>
          <w:p w:rsidR="00E93969" w:rsidRPr="0076499A" w:rsidRDefault="00E93969" w:rsidP="00603CA3">
            <w:pPr>
              <w:pStyle w:val="NormalWeb"/>
              <w:spacing w:before="0" w:beforeAutospacing="0" w:after="0" w:afterAutospacing="0" w:line="276" w:lineRule="auto"/>
              <w:jc w:val="both"/>
              <w:rPr>
                <w:b/>
                <w:bCs/>
                <w:color w:val="000000" w:themeColor="text1"/>
                <w:sz w:val="20"/>
                <w:szCs w:val="20"/>
                <w:lang w:val="lv-LV"/>
              </w:rPr>
            </w:pPr>
          </w:p>
        </w:tc>
        <w:tc>
          <w:tcPr>
            <w:tcW w:w="1027" w:type="dxa"/>
            <w:vMerge w:val="restart"/>
            <w:tcBorders>
              <w:top w:val="single" w:sz="8" w:space="0" w:color="9BBB59"/>
              <w:left w:val="single" w:sz="8" w:space="0" w:color="9BBB59"/>
              <w:bottom w:val="single" w:sz="18" w:space="0" w:color="9BBB59"/>
              <w:right w:val="single" w:sz="8" w:space="0" w:color="9BBB59"/>
            </w:tcBorders>
            <w:shd w:val="clear" w:color="auto" w:fill="D6E3BC"/>
            <w:noWrap/>
            <w:hideMark/>
          </w:tcPr>
          <w:p w:rsidR="00E93969" w:rsidRPr="0076499A" w:rsidRDefault="00E93969" w:rsidP="00603CA3">
            <w:pPr>
              <w:pStyle w:val="NormalWeb"/>
              <w:spacing w:before="0" w:beforeAutospacing="0" w:after="0" w:afterAutospacing="0" w:line="276" w:lineRule="auto"/>
              <w:jc w:val="both"/>
              <w:rPr>
                <w:b/>
                <w:bCs/>
                <w:color w:val="000000" w:themeColor="text1"/>
                <w:sz w:val="20"/>
                <w:szCs w:val="20"/>
                <w:lang w:val="lv-LV"/>
              </w:rPr>
            </w:pPr>
            <w:r w:rsidRPr="0076499A">
              <w:rPr>
                <w:b/>
                <w:bCs/>
                <w:color w:val="000000" w:themeColor="text1"/>
                <w:sz w:val="20"/>
                <w:szCs w:val="20"/>
                <w:lang w:val="lv-LV"/>
              </w:rPr>
              <w:t xml:space="preserve">Kopējais </w:t>
            </w:r>
            <w:proofErr w:type="spellStart"/>
            <w:r w:rsidRPr="0076499A">
              <w:rPr>
                <w:b/>
                <w:bCs/>
                <w:color w:val="000000" w:themeColor="text1"/>
                <w:sz w:val="20"/>
                <w:szCs w:val="20"/>
                <w:lang w:val="lv-LV"/>
              </w:rPr>
              <w:t>finan-sējums</w:t>
            </w:r>
            <w:proofErr w:type="spellEnd"/>
            <w:r w:rsidRPr="0076499A">
              <w:rPr>
                <w:b/>
                <w:bCs/>
                <w:color w:val="000000" w:themeColor="text1"/>
                <w:sz w:val="20"/>
                <w:szCs w:val="20"/>
                <w:lang w:val="lv-LV"/>
              </w:rPr>
              <w:t xml:space="preserve"> (ieskaitot finanšu </w:t>
            </w:r>
            <w:proofErr w:type="spellStart"/>
            <w:r w:rsidRPr="0076499A">
              <w:rPr>
                <w:b/>
                <w:bCs/>
                <w:color w:val="000000" w:themeColor="text1"/>
                <w:sz w:val="20"/>
                <w:szCs w:val="20"/>
                <w:lang w:val="lv-LV"/>
              </w:rPr>
              <w:t>starpinst</w:t>
            </w:r>
            <w:proofErr w:type="spellEnd"/>
            <w:r w:rsidRPr="0076499A">
              <w:rPr>
                <w:b/>
                <w:bCs/>
                <w:color w:val="000000" w:themeColor="text1"/>
                <w:sz w:val="20"/>
                <w:szCs w:val="20"/>
                <w:lang w:val="lv-LV"/>
              </w:rPr>
              <w:t xml:space="preserve">. </w:t>
            </w:r>
            <w:proofErr w:type="spellStart"/>
            <w:r w:rsidRPr="0076499A">
              <w:rPr>
                <w:b/>
                <w:bCs/>
                <w:color w:val="000000" w:themeColor="text1"/>
                <w:sz w:val="20"/>
                <w:szCs w:val="20"/>
                <w:lang w:val="lv-LV"/>
              </w:rPr>
              <w:t>līdzfin</w:t>
            </w:r>
            <w:proofErr w:type="spellEnd"/>
            <w:r w:rsidRPr="0076499A">
              <w:rPr>
                <w:b/>
                <w:bCs/>
                <w:color w:val="000000" w:themeColor="text1"/>
                <w:sz w:val="20"/>
                <w:szCs w:val="20"/>
                <w:lang w:val="lv-LV"/>
              </w:rPr>
              <w:t>.)</w:t>
            </w:r>
          </w:p>
        </w:tc>
        <w:tc>
          <w:tcPr>
            <w:tcW w:w="3686" w:type="dxa"/>
            <w:gridSpan w:val="4"/>
            <w:tcBorders>
              <w:top w:val="single" w:sz="8" w:space="0" w:color="9BBB59"/>
              <w:left w:val="single" w:sz="8" w:space="0" w:color="9BBB59"/>
              <w:bottom w:val="single" w:sz="18" w:space="0" w:color="9BBB59"/>
              <w:right w:val="single" w:sz="8" w:space="0" w:color="9BBB59"/>
            </w:tcBorders>
            <w:shd w:val="clear" w:color="auto" w:fill="D6E3BC"/>
          </w:tcPr>
          <w:p w:rsidR="00E93969" w:rsidRPr="0076499A" w:rsidRDefault="00E93969" w:rsidP="00603CA3">
            <w:pPr>
              <w:pStyle w:val="NormalWeb"/>
              <w:spacing w:before="0" w:beforeAutospacing="0" w:after="0" w:afterAutospacing="0" w:line="276" w:lineRule="auto"/>
              <w:jc w:val="both"/>
              <w:rPr>
                <w:b/>
                <w:bCs/>
                <w:color w:val="000000" w:themeColor="text1"/>
                <w:sz w:val="20"/>
                <w:szCs w:val="20"/>
                <w:lang w:val="lv-LV"/>
              </w:rPr>
            </w:pPr>
            <w:r w:rsidRPr="0076499A">
              <w:rPr>
                <w:b/>
                <w:bCs/>
                <w:color w:val="000000" w:themeColor="text1"/>
                <w:sz w:val="20"/>
                <w:szCs w:val="20"/>
                <w:lang w:val="lv-LV"/>
              </w:rPr>
              <w:t xml:space="preserve">Apstiprināti projekti (ieskaitot finanšu </w:t>
            </w:r>
            <w:proofErr w:type="spellStart"/>
            <w:r w:rsidRPr="0076499A">
              <w:rPr>
                <w:b/>
                <w:bCs/>
                <w:color w:val="000000" w:themeColor="text1"/>
                <w:sz w:val="20"/>
                <w:szCs w:val="20"/>
                <w:lang w:val="lv-LV"/>
              </w:rPr>
              <w:t>starpinst</w:t>
            </w:r>
            <w:proofErr w:type="spellEnd"/>
            <w:r w:rsidRPr="0076499A">
              <w:rPr>
                <w:b/>
                <w:bCs/>
                <w:color w:val="000000" w:themeColor="text1"/>
                <w:sz w:val="20"/>
                <w:szCs w:val="20"/>
                <w:lang w:val="lv-LV"/>
              </w:rPr>
              <w:t xml:space="preserve">. </w:t>
            </w:r>
            <w:proofErr w:type="spellStart"/>
            <w:r w:rsidRPr="0076499A">
              <w:rPr>
                <w:b/>
                <w:bCs/>
                <w:color w:val="000000" w:themeColor="text1"/>
                <w:sz w:val="20"/>
                <w:szCs w:val="20"/>
                <w:lang w:val="lv-LV"/>
              </w:rPr>
              <w:t>līdzfin</w:t>
            </w:r>
            <w:proofErr w:type="spellEnd"/>
            <w:r w:rsidRPr="0076499A">
              <w:rPr>
                <w:b/>
                <w:bCs/>
                <w:color w:val="000000" w:themeColor="text1"/>
                <w:sz w:val="20"/>
                <w:szCs w:val="20"/>
                <w:lang w:val="lv-LV"/>
              </w:rPr>
              <w:t>.)</w:t>
            </w:r>
          </w:p>
        </w:tc>
        <w:tc>
          <w:tcPr>
            <w:tcW w:w="3685" w:type="dxa"/>
            <w:gridSpan w:val="4"/>
            <w:tcBorders>
              <w:top w:val="single" w:sz="8" w:space="0" w:color="9BBB59"/>
              <w:left w:val="single" w:sz="8" w:space="0" w:color="9BBB59"/>
              <w:bottom w:val="single" w:sz="18" w:space="0" w:color="9BBB59"/>
              <w:right w:val="single" w:sz="8" w:space="0" w:color="9BBB59"/>
            </w:tcBorders>
            <w:shd w:val="clear" w:color="auto" w:fill="D6E3BC"/>
          </w:tcPr>
          <w:p w:rsidR="00E93969" w:rsidRPr="0076499A" w:rsidRDefault="00E93969" w:rsidP="00603CA3">
            <w:pPr>
              <w:pStyle w:val="NormalWeb"/>
              <w:spacing w:before="0" w:beforeAutospacing="0" w:after="0" w:afterAutospacing="0" w:line="276" w:lineRule="auto"/>
              <w:jc w:val="both"/>
              <w:rPr>
                <w:b/>
                <w:bCs/>
                <w:color w:val="000000" w:themeColor="text1"/>
                <w:sz w:val="20"/>
                <w:szCs w:val="20"/>
                <w:lang w:val="lv-LV"/>
              </w:rPr>
            </w:pPr>
            <w:r w:rsidRPr="0076499A">
              <w:rPr>
                <w:b/>
                <w:bCs/>
                <w:color w:val="000000" w:themeColor="text1"/>
                <w:sz w:val="20"/>
                <w:szCs w:val="20"/>
                <w:lang w:val="lv-LV"/>
              </w:rPr>
              <w:t xml:space="preserve">Noslēgti līgumi (ieskaitot finanšu </w:t>
            </w:r>
            <w:proofErr w:type="spellStart"/>
            <w:r w:rsidRPr="0076499A">
              <w:rPr>
                <w:b/>
                <w:bCs/>
                <w:color w:val="000000" w:themeColor="text1"/>
                <w:sz w:val="20"/>
                <w:szCs w:val="20"/>
                <w:lang w:val="lv-LV"/>
              </w:rPr>
              <w:t>starpinst</w:t>
            </w:r>
            <w:proofErr w:type="spellEnd"/>
            <w:r w:rsidRPr="0076499A">
              <w:rPr>
                <w:b/>
                <w:bCs/>
                <w:color w:val="000000" w:themeColor="text1"/>
                <w:sz w:val="20"/>
                <w:szCs w:val="20"/>
                <w:lang w:val="lv-LV"/>
              </w:rPr>
              <w:t xml:space="preserve">. </w:t>
            </w:r>
            <w:proofErr w:type="spellStart"/>
            <w:r w:rsidRPr="0076499A">
              <w:rPr>
                <w:b/>
                <w:bCs/>
                <w:color w:val="000000" w:themeColor="text1"/>
                <w:sz w:val="20"/>
                <w:szCs w:val="20"/>
                <w:lang w:val="lv-LV"/>
              </w:rPr>
              <w:t>līdzfin</w:t>
            </w:r>
            <w:proofErr w:type="spellEnd"/>
            <w:r w:rsidRPr="0076499A">
              <w:rPr>
                <w:b/>
                <w:bCs/>
                <w:color w:val="000000" w:themeColor="text1"/>
                <w:sz w:val="20"/>
                <w:szCs w:val="20"/>
                <w:lang w:val="lv-LV"/>
              </w:rPr>
              <w:t>.)</w:t>
            </w:r>
          </w:p>
        </w:tc>
      </w:tr>
      <w:tr w:rsidR="00603CA3" w:rsidRPr="0076499A" w:rsidTr="00E93969">
        <w:trPr>
          <w:trHeight w:val="285"/>
        </w:trPr>
        <w:tc>
          <w:tcPr>
            <w:tcW w:w="1668" w:type="dxa"/>
            <w:vMerge/>
            <w:tcBorders>
              <w:top w:val="single" w:sz="8" w:space="0" w:color="9BBB59"/>
              <w:left w:val="nil"/>
              <w:bottom w:val="single" w:sz="8" w:space="0" w:color="9BBB59"/>
              <w:right w:val="single" w:sz="8" w:space="0" w:color="9BBB59"/>
            </w:tcBorders>
            <w:shd w:val="clear" w:color="auto" w:fill="E6EED5"/>
            <w:noWrap/>
            <w:hideMark/>
          </w:tcPr>
          <w:p w:rsidR="00E93969" w:rsidRPr="0076499A" w:rsidRDefault="00E93969" w:rsidP="00603CA3">
            <w:pPr>
              <w:pStyle w:val="NormalWeb"/>
              <w:spacing w:before="0" w:beforeAutospacing="0" w:after="0" w:afterAutospacing="0" w:line="276" w:lineRule="auto"/>
              <w:jc w:val="both"/>
              <w:rPr>
                <w:b/>
                <w:bCs/>
                <w:color w:val="000000" w:themeColor="text1"/>
                <w:sz w:val="20"/>
                <w:szCs w:val="20"/>
                <w:lang w:val="lv-LV"/>
              </w:rPr>
            </w:pPr>
          </w:p>
        </w:tc>
        <w:tc>
          <w:tcPr>
            <w:tcW w:w="1027" w:type="dxa"/>
            <w:vMerge/>
            <w:tcBorders>
              <w:top w:val="single" w:sz="8" w:space="0" w:color="9BBB59"/>
              <w:left w:val="single" w:sz="8" w:space="0" w:color="9BBB59"/>
              <w:bottom w:val="single" w:sz="8" w:space="0" w:color="9BBB59"/>
              <w:right w:val="single" w:sz="8" w:space="0" w:color="9BBB59"/>
            </w:tcBorders>
            <w:shd w:val="clear" w:color="auto" w:fill="E6EED5"/>
            <w:noWrap/>
            <w:hideMark/>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p>
        </w:tc>
        <w:tc>
          <w:tcPr>
            <w:tcW w:w="709" w:type="dxa"/>
            <w:tcBorders>
              <w:top w:val="single" w:sz="8" w:space="0" w:color="9BBB59"/>
              <w:left w:val="single" w:sz="8" w:space="0" w:color="9BBB59"/>
              <w:bottom w:val="single" w:sz="8" w:space="0" w:color="9BBB59"/>
              <w:right w:val="single" w:sz="8" w:space="0" w:color="9BBB59"/>
            </w:tcBorders>
            <w:shd w:val="clear" w:color="auto" w:fill="E6EED5"/>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Skaits</w:t>
            </w:r>
          </w:p>
        </w:tc>
        <w:tc>
          <w:tcPr>
            <w:tcW w:w="992" w:type="dxa"/>
            <w:tcBorders>
              <w:top w:val="single" w:sz="8" w:space="0" w:color="9BBB59"/>
              <w:left w:val="single" w:sz="8" w:space="0" w:color="9BBB59"/>
              <w:bottom w:val="single" w:sz="8" w:space="0" w:color="9BBB59"/>
              <w:right w:val="single" w:sz="8" w:space="0" w:color="9BBB59"/>
            </w:tcBorders>
            <w:shd w:val="clear" w:color="auto" w:fill="E6EED5"/>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xml:space="preserve">Kopējais </w:t>
            </w:r>
            <w:proofErr w:type="spellStart"/>
            <w:r w:rsidRPr="0076499A">
              <w:rPr>
                <w:rFonts w:eastAsia="Calibri"/>
                <w:color w:val="000000" w:themeColor="text1"/>
                <w:sz w:val="20"/>
                <w:szCs w:val="20"/>
                <w:lang w:val="lv-LV"/>
              </w:rPr>
              <w:t>finan-sējums</w:t>
            </w:r>
            <w:proofErr w:type="spellEnd"/>
            <w:r w:rsidRPr="0076499A">
              <w:rPr>
                <w:rFonts w:eastAsia="Calibri"/>
                <w:color w:val="000000" w:themeColor="text1"/>
                <w:sz w:val="20"/>
                <w:szCs w:val="20"/>
                <w:lang w:val="lv-LV"/>
              </w:rPr>
              <w:t xml:space="preserve"> </w:t>
            </w:r>
          </w:p>
        </w:tc>
        <w:tc>
          <w:tcPr>
            <w:tcW w:w="992" w:type="dxa"/>
            <w:tcBorders>
              <w:top w:val="single" w:sz="8" w:space="0" w:color="9BBB59"/>
              <w:left w:val="single" w:sz="8" w:space="0" w:color="9BBB59"/>
              <w:bottom w:val="single" w:sz="8" w:space="0" w:color="9BBB59"/>
              <w:right w:val="single" w:sz="8" w:space="0" w:color="9BBB59"/>
            </w:tcBorders>
            <w:shd w:val="clear" w:color="auto" w:fill="E6EED5"/>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no prioritātē pieejamā finansējuma</w:t>
            </w:r>
          </w:p>
        </w:tc>
        <w:tc>
          <w:tcPr>
            <w:tcW w:w="993" w:type="dxa"/>
            <w:tcBorders>
              <w:top w:val="single" w:sz="8" w:space="0" w:color="9BBB59"/>
              <w:left w:val="single" w:sz="8" w:space="0" w:color="9BBB59"/>
              <w:bottom w:val="single" w:sz="8" w:space="0" w:color="9BBB59"/>
              <w:right w:val="single" w:sz="8" w:space="0" w:color="9BBB59"/>
            </w:tcBorders>
            <w:shd w:val="clear" w:color="auto" w:fill="E6EED5"/>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xml:space="preserve">Progress pret datiem uz 31.03.2011.; % no prioritātē pieejamā </w:t>
            </w:r>
            <w:proofErr w:type="spellStart"/>
            <w:r w:rsidRPr="0076499A">
              <w:rPr>
                <w:rFonts w:eastAsia="Calibri"/>
                <w:color w:val="000000" w:themeColor="text1"/>
                <w:sz w:val="20"/>
                <w:szCs w:val="20"/>
                <w:lang w:val="lv-LV"/>
              </w:rPr>
              <w:lastRenderedPageBreak/>
              <w:t>finan-sējuma</w:t>
            </w:r>
            <w:proofErr w:type="spellEnd"/>
          </w:p>
        </w:tc>
        <w:tc>
          <w:tcPr>
            <w:tcW w:w="708" w:type="dxa"/>
            <w:tcBorders>
              <w:top w:val="single" w:sz="8" w:space="0" w:color="9BBB59"/>
              <w:left w:val="single" w:sz="8" w:space="0" w:color="9BBB59"/>
              <w:bottom w:val="single" w:sz="8" w:space="0" w:color="9BBB59"/>
              <w:right w:val="single" w:sz="8" w:space="0" w:color="9BBB59"/>
            </w:tcBorders>
            <w:shd w:val="clear" w:color="auto" w:fill="E6EED5"/>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lastRenderedPageBreak/>
              <w:t>Skaits</w:t>
            </w:r>
          </w:p>
        </w:tc>
        <w:tc>
          <w:tcPr>
            <w:tcW w:w="993" w:type="dxa"/>
            <w:tcBorders>
              <w:top w:val="single" w:sz="8" w:space="0" w:color="9BBB59"/>
              <w:left w:val="single" w:sz="8" w:space="0" w:color="9BBB59"/>
              <w:bottom w:val="single" w:sz="8" w:space="0" w:color="9BBB59"/>
              <w:right w:val="single" w:sz="8" w:space="0" w:color="9BBB59"/>
            </w:tcBorders>
            <w:shd w:val="clear" w:color="auto" w:fill="E6EED5"/>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xml:space="preserve">Kopējais </w:t>
            </w:r>
            <w:proofErr w:type="spellStart"/>
            <w:r w:rsidRPr="0076499A">
              <w:rPr>
                <w:rFonts w:eastAsia="Calibri"/>
                <w:color w:val="000000" w:themeColor="text1"/>
                <w:sz w:val="20"/>
                <w:szCs w:val="20"/>
                <w:lang w:val="lv-LV"/>
              </w:rPr>
              <w:t>finan-sējums</w:t>
            </w:r>
            <w:proofErr w:type="spellEnd"/>
            <w:r w:rsidRPr="0076499A">
              <w:rPr>
                <w:rFonts w:eastAsia="Calibri"/>
                <w:color w:val="000000" w:themeColor="text1"/>
                <w:sz w:val="20"/>
                <w:szCs w:val="20"/>
                <w:lang w:val="lv-LV"/>
              </w:rPr>
              <w:t xml:space="preserve"> </w:t>
            </w:r>
          </w:p>
        </w:tc>
        <w:tc>
          <w:tcPr>
            <w:tcW w:w="992" w:type="dxa"/>
            <w:tcBorders>
              <w:top w:val="single" w:sz="8" w:space="0" w:color="9BBB59"/>
              <w:left w:val="single" w:sz="8" w:space="0" w:color="9BBB59"/>
              <w:bottom w:val="single" w:sz="8" w:space="0" w:color="9BBB59"/>
              <w:right w:val="single" w:sz="8" w:space="0" w:color="9BBB59"/>
            </w:tcBorders>
            <w:shd w:val="clear" w:color="auto" w:fill="E6EED5"/>
            <w:noWrap/>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xml:space="preserve">% no prioritātē pieejamā </w:t>
            </w:r>
            <w:proofErr w:type="spellStart"/>
            <w:r w:rsidRPr="0076499A">
              <w:rPr>
                <w:rFonts w:eastAsia="Calibri"/>
                <w:color w:val="000000" w:themeColor="text1"/>
                <w:sz w:val="20"/>
                <w:szCs w:val="20"/>
                <w:lang w:val="lv-LV"/>
              </w:rPr>
              <w:t>finan-sējuma</w:t>
            </w:r>
            <w:proofErr w:type="spellEnd"/>
          </w:p>
        </w:tc>
        <w:tc>
          <w:tcPr>
            <w:tcW w:w="992" w:type="dxa"/>
            <w:tcBorders>
              <w:top w:val="single" w:sz="8" w:space="0" w:color="9BBB59"/>
              <w:left w:val="single" w:sz="8" w:space="0" w:color="9BBB59"/>
              <w:bottom w:val="single" w:sz="8" w:space="0" w:color="9BBB59"/>
              <w:right w:val="single" w:sz="8" w:space="0" w:color="9BBB59"/>
            </w:tcBorders>
            <w:shd w:val="clear" w:color="auto" w:fill="E6EED5"/>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xml:space="preserve">Progress pret datiem uz 31.03.2011.; % no prioritātē pieejamā </w:t>
            </w:r>
            <w:proofErr w:type="spellStart"/>
            <w:r w:rsidRPr="0076499A">
              <w:rPr>
                <w:rFonts w:eastAsia="Calibri"/>
                <w:color w:val="000000" w:themeColor="text1"/>
                <w:sz w:val="20"/>
                <w:szCs w:val="20"/>
                <w:lang w:val="lv-LV"/>
              </w:rPr>
              <w:lastRenderedPageBreak/>
              <w:t>finan-sējuma</w:t>
            </w:r>
            <w:proofErr w:type="spellEnd"/>
          </w:p>
        </w:tc>
      </w:tr>
      <w:tr w:rsidR="00603CA3" w:rsidRPr="0076499A" w:rsidTr="00E93969">
        <w:tc>
          <w:tcPr>
            <w:tcW w:w="1668" w:type="dxa"/>
            <w:tcBorders>
              <w:top w:val="single" w:sz="8" w:space="0" w:color="9BBB59"/>
              <w:left w:val="single" w:sz="8" w:space="0" w:color="9BBB59"/>
              <w:bottom w:val="single" w:sz="8" w:space="0" w:color="9BBB59"/>
              <w:right w:val="single" w:sz="8" w:space="0" w:color="9BBB59"/>
            </w:tcBorders>
            <w:shd w:val="clear" w:color="auto" w:fill="auto"/>
            <w:noWrap/>
            <w:vAlign w:val="center"/>
            <w:hideMark/>
          </w:tcPr>
          <w:p w:rsidR="00E93969" w:rsidRPr="0076499A" w:rsidRDefault="00E93969" w:rsidP="00603CA3">
            <w:pPr>
              <w:pStyle w:val="NormalWeb"/>
              <w:spacing w:before="0" w:beforeAutospacing="0" w:after="0" w:afterAutospacing="0" w:line="276" w:lineRule="auto"/>
              <w:ind w:left="131" w:hanging="131"/>
              <w:jc w:val="both"/>
              <w:rPr>
                <w:b/>
                <w:bCs/>
                <w:color w:val="000000" w:themeColor="text1"/>
                <w:sz w:val="20"/>
                <w:szCs w:val="20"/>
                <w:lang w:val="lv-LV"/>
              </w:rPr>
            </w:pPr>
            <w:r w:rsidRPr="0076499A">
              <w:rPr>
                <w:b/>
                <w:bCs/>
                <w:color w:val="000000" w:themeColor="text1"/>
                <w:sz w:val="20"/>
                <w:szCs w:val="20"/>
                <w:lang w:val="lv-LV"/>
              </w:rPr>
              <w:lastRenderedPageBreak/>
              <w:t>Konkurētspējas</w:t>
            </w:r>
            <w:r w:rsidRPr="0076499A">
              <w:rPr>
                <w:b/>
                <w:bCs/>
                <w:color w:val="000000" w:themeColor="text1"/>
                <w:sz w:val="20"/>
                <w:szCs w:val="20"/>
                <w:lang w:val="lv-LV"/>
              </w:rPr>
              <w:br/>
              <w:t>garantijas</w:t>
            </w:r>
          </w:p>
        </w:tc>
        <w:tc>
          <w:tcPr>
            <w:tcW w:w="1027" w:type="dxa"/>
            <w:tcBorders>
              <w:top w:val="single" w:sz="8" w:space="0" w:color="9BBB59"/>
              <w:left w:val="single" w:sz="8" w:space="0" w:color="9BBB59"/>
              <w:bottom w:val="single" w:sz="8" w:space="0" w:color="9BBB59"/>
              <w:right w:val="single" w:sz="8" w:space="0" w:color="9BBB59"/>
            </w:tcBorders>
            <w:shd w:val="clear" w:color="auto" w:fill="auto"/>
            <w:noWrap/>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40 544 547</w:t>
            </w:r>
          </w:p>
        </w:tc>
        <w:tc>
          <w:tcPr>
            <w:tcW w:w="709" w:type="dxa"/>
            <w:tcBorders>
              <w:top w:val="single" w:sz="8" w:space="0" w:color="9BBB59"/>
              <w:left w:val="single" w:sz="8" w:space="0" w:color="9BBB59"/>
              <w:bottom w:val="single" w:sz="8" w:space="0" w:color="9BBB59"/>
              <w:right w:val="single" w:sz="8" w:space="0" w:color="9BBB59"/>
            </w:tcBorders>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820</w:t>
            </w:r>
          </w:p>
        </w:tc>
        <w:tc>
          <w:tcPr>
            <w:tcW w:w="992" w:type="dxa"/>
            <w:tcBorders>
              <w:top w:val="single" w:sz="8" w:space="0" w:color="9BBB59"/>
              <w:left w:val="single" w:sz="8" w:space="0" w:color="9BBB59"/>
              <w:bottom w:val="single" w:sz="8" w:space="0" w:color="9BBB59"/>
              <w:right w:val="single" w:sz="8" w:space="0" w:color="9BBB59"/>
            </w:tcBorders>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102 608 348</w:t>
            </w:r>
          </w:p>
        </w:tc>
        <w:tc>
          <w:tcPr>
            <w:tcW w:w="992" w:type="dxa"/>
            <w:tcBorders>
              <w:top w:val="single" w:sz="8" w:space="0" w:color="9BBB59"/>
              <w:left w:val="single" w:sz="8" w:space="0" w:color="9BBB59"/>
              <w:bottom w:val="single" w:sz="8" w:space="0" w:color="9BBB59"/>
              <w:right w:val="single" w:sz="8" w:space="0" w:color="9BBB59"/>
            </w:tcBorders>
            <w:shd w:val="clear" w:color="auto" w:fill="auto"/>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84,4%</w:t>
            </w:r>
          </w:p>
        </w:tc>
        <w:tc>
          <w:tcPr>
            <w:tcW w:w="993" w:type="dxa"/>
            <w:tcBorders>
              <w:top w:val="single" w:sz="8" w:space="0" w:color="9BBB59"/>
              <w:left w:val="single" w:sz="8" w:space="0" w:color="9BBB59"/>
              <w:bottom w:val="single" w:sz="8" w:space="0" w:color="9BBB59"/>
              <w:right w:val="single" w:sz="8" w:space="0" w:color="9BBB59"/>
            </w:tcBorders>
            <w:shd w:val="clear" w:color="auto" w:fill="auto"/>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9,2%</w:t>
            </w:r>
          </w:p>
        </w:tc>
        <w:tc>
          <w:tcPr>
            <w:tcW w:w="708" w:type="dxa"/>
            <w:tcBorders>
              <w:top w:val="single" w:sz="8" w:space="0" w:color="9BBB59"/>
              <w:left w:val="single" w:sz="8" w:space="0" w:color="9BBB59"/>
              <w:bottom w:val="single" w:sz="8" w:space="0" w:color="9BBB59"/>
              <w:right w:val="single" w:sz="8" w:space="0" w:color="9BBB59"/>
            </w:tcBorders>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511</w:t>
            </w:r>
          </w:p>
        </w:tc>
        <w:tc>
          <w:tcPr>
            <w:tcW w:w="993" w:type="dxa"/>
            <w:tcBorders>
              <w:top w:val="single" w:sz="8" w:space="0" w:color="9BBB59"/>
              <w:left w:val="single" w:sz="8" w:space="0" w:color="9BBB59"/>
              <w:bottom w:val="single" w:sz="8" w:space="0" w:color="9BBB59"/>
              <w:right w:val="single" w:sz="8" w:space="0" w:color="9BBB59"/>
            </w:tcBorders>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80 840 652</w:t>
            </w:r>
          </w:p>
        </w:tc>
        <w:tc>
          <w:tcPr>
            <w:tcW w:w="992" w:type="dxa"/>
            <w:tcBorders>
              <w:top w:val="single" w:sz="8" w:space="0" w:color="9BBB59"/>
              <w:left w:val="single" w:sz="8" w:space="0" w:color="9BBB59"/>
              <w:bottom w:val="single" w:sz="8" w:space="0" w:color="9BBB59"/>
              <w:right w:val="single" w:sz="8" w:space="0" w:color="9BBB59"/>
            </w:tcBorders>
            <w:shd w:val="clear" w:color="auto" w:fill="auto"/>
            <w:noWrap/>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66,5%</w:t>
            </w:r>
          </w:p>
        </w:tc>
        <w:tc>
          <w:tcPr>
            <w:tcW w:w="992" w:type="dxa"/>
            <w:tcBorders>
              <w:top w:val="single" w:sz="8" w:space="0" w:color="9BBB59"/>
              <w:left w:val="single" w:sz="8" w:space="0" w:color="9BBB59"/>
              <w:bottom w:val="single" w:sz="8" w:space="0" w:color="9BBB59"/>
              <w:right w:val="single" w:sz="8" w:space="0" w:color="9BBB59"/>
            </w:tcBorders>
            <w:shd w:val="clear" w:color="auto" w:fill="auto"/>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9,6%</w:t>
            </w:r>
          </w:p>
        </w:tc>
      </w:tr>
      <w:tr w:rsidR="00603CA3" w:rsidRPr="0076499A" w:rsidTr="00E93969">
        <w:trPr>
          <w:trHeight w:val="568"/>
        </w:trPr>
        <w:tc>
          <w:tcPr>
            <w:tcW w:w="1668" w:type="dxa"/>
            <w:tcBorders>
              <w:top w:val="single" w:sz="8" w:space="0" w:color="9BBB59"/>
              <w:left w:val="single" w:sz="8" w:space="0" w:color="9BBB59"/>
              <w:bottom w:val="single" w:sz="8" w:space="0" w:color="9BBB59"/>
              <w:right w:val="single" w:sz="8" w:space="0" w:color="9BBB59"/>
            </w:tcBorders>
            <w:shd w:val="clear" w:color="auto" w:fill="auto"/>
            <w:noWrap/>
            <w:vAlign w:val="center"/>
            <w:hideMark/>
          </w:tcPr>
          <w:p w:rsidR="00E93969" w:rsidRPr="0076499A" w:rsidRDefault="00E93969" w:rsidP="00603CA3">
            <w:pPr>
              <w:pStyle w:val="NormalWeb"/>
              <w:spacing w:before="0" w:beforeAutospacing="0" w:after="0" w:afterAutospacing="0" w:line="276" w:lineRule="auto"/>
              <w:jc w:val="both"/>
              <w:rPr>
                <w:b/>
                <w:bCs/>
                <w:color w:val="000000" w:themeColor="text1"/>
                <w:sz w:val="20"/>
                <w:szCs w:val="20"/>
                <w:lang w:val="lv-LV"/>
              </w:rPr>
            </w:pPr>
            <w:r w:rsidRPr="0076499A">
              <w:rPr>
                <w:b/>
                <w:bCs/>
                <w:color w:val="000000" w:themeColor="text1"/>
                <w:sz w:val="20"/>
                <w:szCs w:val="20"/>
                <w:lang w:val="lv-LV"/>
              </w:rPr>
              <w:t>Eksporta garantijas</w:t>
            </w:r>
          </w:p>
        </w:tc>
        <w:tc>
          <w:tcPr>
            <w:tcW w:w="1027" w:type="dxa"/>
            <w:tcBorders>
              <w:top w:val="single" w:sz="8" w:space="0" w:color="9BBB59"/>
              <w:left w:val="single" w:sz="8" w:space="0" w:color="9BBB59"/>
              <w:bottom w:val="single" w:sz="8" w:space="0" w:color="9BBB59"/>
              <w:right w:val="single" w:sz="8" w:space="0" w:color="9BBB59"/>
            </w:tcBorders>
            <w:shd w:val="clear" w:color="auto" w:fill="auto"/>
            <w:noWrap/>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20 000 000</w:t>
            </w:r>
          </w:p>
        </w:tc>
        <w:tc>
          <w:tcPr>
            <w:tcW w:w="709" w:type="dxa"/>
            <w:tcBorders>
              <w:top w:val="single" w:sz="8" w:space="0" w:color="9BBB59"/>
              <w:left w:val="single" w:sz="8" w:space="0" w:color="9BBB59"/>
              <w:bottom w:val="single" w:sz="8" w:space="0" w:color="9BBB59"/>
              <w:right w:val="single" w:sz="8" w:space="0" w:color="9BBB59"/>
            </w:tcBorders>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89</w:t>
            </w:r>
          </w:p>
        </w:tc>
        <w:tc>
          <w:tcPr>
            <w:tcW w:w="992" w:type="dxa"/>
            <w:tcBorders>
              <w:top w:val="single" w:sz="8" w:space="0" w:color="9BBB59"/>
              <w:left w:val="single" w:sz="8" w:space="0" w:color="9BBB59"/>
              <w:bottom w:val="single" w:sz="8" w:space="0" w:color="9BBB59"/>
              <w:right w:val="single" w:sz="8" w:space="0" w:color="9BBB59"/>
            </w:tcBorders>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4 935 184</w:t>
            </w:r>
          </w:p>
        </w:tc>
        <w:tc>
          <w:tcPr>
            <w:tcW w:w="992" w:type="dxa"/>
            <w:tcBorders>
              <w:top w:val="single" w:sz="8" w:space="0" w:color="9BBB59"/>
              <w:left w:val="single" w:sz="8" w:space="0" w:color="9BBB59"/>
              <w:bottom w:val="single" w:sz="8" w:space="0" w:color="9BBB59"/>
              <w:right w:val="single" w:sz="8" w:space="0" w:color="9BBB59"/>
            </w:tcBorders>
            <w:shd w:val="clear" w:color="auto" w:fill="auto"/>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24,7</w:t>
            </w:r>
          </w:p>
        </w:tc>
        <w:tc>
          <w:tcPr>
            <w:tcW w:w="993" w:type="dxa"/>
            <w:tcBorders>
              <w:top w:val="single" w:sz="8" w:space="0" w:color="9BBB59"/>
              <w:left w:val="single" w:sz="8" w:space="0" w:color="9BBB59"/>
              <w:bottom w:val="single" w:sz="8" w:space="0" w:color="9BBB59"/>
              <w:right w:val="single" w:sz="8" w:space="0" w:color="9BBB59"/>
            </w:tcBorders>
            <w:shd w:val="clear" w:color="auto" w:fill="auto"/>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2,2%</w:t>
            </w:r>
          </w:p>
        </w:tc>
        <w:tc>
          <w:tcPr>
            <w:tcW w:w="708" w:type="dxa"/>
            <w:tcBorders>
              <w:top w:val="single" w:sz="8" w:space="0" w:color="9BBB59"/>
              <w:left w:val="single" w:sz="8" w:space="0" w:color="9BBB59"/>
              <w:bottom w:val="single" w:sz="8" w:space="0" w:color="9BBB59"/>
              <w:right w:val="single" w:sz="8" w:space="0" w:color="9BBB59"/>
            </w:tcBorders>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65</w:t>
            </w:r>
          </w:p>
        </w:tc>
        <w:tc>
          <w:tcPr>
            <w:tcW w:w="993" w:type="dxa"/>
            <w:tcBorders>
              <w:top w:val="single" w:sz="8" w:space="0" w:color="9BBB59"/>
              <w:left w:val="single" w:sz="8" w:space="0" w:color="9BBB59"/>
              <w:bottom w:val="single" w:sz="8" w:space="0" w:color="9BBB59"/>
              <w:right w:val="single" w:sz="8" w:space="0" w:color="9BBB59"/>
            </w:tcBorders>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3 868 914</w:t>
            </w:r>
          </w:p>
        </w:tc>
        <w:tc>
          <w:tcPr>
            <w:tcW w:w="992" w:type="dxa"/>
            <w:tcBorders>
              <w:top w:val="single" w:sz="8" w:space="0" w:color="9BBB59"/>
              <w:left w:val="single" w:sz="8" w:space="0" w:color="9BBB59"/>
              <w:bottom w:val="single" w:sz="8" w:space="0" w:color="9BBB59"/>
              <w:right w:val="single" w:sz="8" w:space="0" w:color="9BBB59"/>
            </w:tcBorders>
            <w:shd w:val="clear" w:color="auto" w:fill="auto"/>
            <w:noWrap/>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19,3%</w:t>
            </w:r>
          </w:p>
        </w:tc>
        <w:tc>
          <w:tcPr>
            <w:tcW w:w="992" w:type="dxa"/>
            <w:tcBorders>
              <w:top w:val="single" w:sz="8" w:space="0" w:color="9BBB59"/>
              <w:left w:val="single" w:sz="8" w:space="0" w:color="9BBB59"/>
              <w:bottom w:val="single" w:sz="8" w:space="0" w:color="9BBB59"/>
              <w:right w:val="single" w:sz="8" w:space="0" w:color="9BBB59"/>
            </w:tcBorders>
            <w:shd w:val="clear" w:color="auto" w:fill="auto"/>
            <w:vAlign w:val="center"/>
          </w:tcPr>
          <w:p w:rsidR="00E93969" w:rsidRPr="0076499A" w:rsidRDefault="00E93969"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3,2%</w:t>
            </w:r>
          </w:p>
        </w:tc>
      </w:tr>
    </w:tbl>
    <w:p w:rsidR="00192F26" w:rsidRPr="00603CA3" w:rsidRDefault="00192F26" w:rsidP="00603CA3">
      <w:pPr>
        <w:spacing w:line="276" w:lineRule="auto"/>
        <w:rPr>
          <w:color w:val="000000" w:themeColor="text1"/>
          <w:szCs w:val="24"/>
        </w:rPr>
      </w:pPr>
    </w:p>
    <w:p w:rsidR="00F369C8" w:rsidRPr="00603CA3" w:rsidRDefault="00947DF5" w:rsidP="00603CA3">
      <w:pPr>
        <w:spacing w:line="276" w:lineRule="auto"/>
        <w:rPr>
          <w:color w:val="000000" w:themeColor="text1"/>
          <w:szCs w:val="24"/>
        </w:rPr>
      </w:pPr>
      <w:r w:rsidRPr="00603CA3">
        <w:rPr>
          <w:color w:val="000000" w:themeColor="text1"/>
          <w:szCs w:val="24"/>
        </w:rPr>
        <w:t>Lielāko daļu jeb 66% izsniegtā finansējuma „Garantijas komersantu konkurētspējas uzlabošanai” finanšu instrumenta ietvaros saņēmuši apstrādes rūpniecības nozares uzņēmumi, savukārt citu nozaru uzņēmumu īpatsvars izsniegto garantiju apjomā svārstās no 2% līdz 10%.</w:t>
      </w:r>
      <w:r w:rsidRPr="00603CA3">
        <w:rPr>
          <w:rFonts w:eastAsia="Calibri"/>
          <w:color w:val="000000" w:themeColor="text1"/>
          <w:szCs w:val="24"/>
        </w:rPr>
        <w:t xml:space="preserve"> </w:t>
      </w:r>
      <w:r w:rsidR="00F369C8" w:rsidRPr="00603CA3">
        <w:rPr>
          <w:rFonts w:eastAsia="Calibri"/>
          <w:color w:val="000000" w:themeColor="text1"/>
          <w:szCs w:val="24"/>
        </w:rPr>
        <w:t xml:space="preserve">Sīkāka informācija par </w:t>
      </w:r>
      <w:proofErr w:type="spellStart"/>
      <w:r w:rsidR="00F369C8" w:rsidRPr="00603CA3">
        <w:rPr>
          <w:rFonts w:eastAsia="Calibri"/>
          <w:color w:val="000000" w:themeColor="text1"/>
          <w:szCs w:val="24"/>
        </w:rPr>
        <w:t>attiecināmības</w:t>
      </w:r>
      <w:proofErr w:type="spellEnd"/>
      <w:r w:rsidR="00F369C8" w:rsidRPr="00603CA3">
        <w:rPr>
          <w:rFonts w:eastAsia="Calibri"/>
          <w:color w:val="000000" w:themeColor="text1"/>
          <w:szCs w:val="24"/>
        </w:rPr>
        <w:t xml:space="preserve"> problēmām ir sniegta </w:t>
      </w:r>
      <w:r w:rsidR="0046411C" w:rsidRPr="00603CA3">
        <w:rPr>
          <w:rFonts w:eastAsia="Calibri"/>
          <w:color w:val="000000" w:themeColor="text1"/>
          <w:szCs w:val="24"/>
        </w:rPr>
        <w:t>6.sadaļā.</w:t>
      </w:r>
    </w:p>
    <w:p w:rsidR="00947DF5" w:rsidRPr="00603CA3" w:rsidRDefault="00947DF5" w:rsidP="00603CA3">
      <w:pPr>
        <w:spacing w:line="276" w:lineRule="auto"/>
        <w:rPr>
          <w:color w:val="000000" w:themeColor="text1"/>
          <w:szCs w:val="24"/>
        </w:rPr>
      </w:pPr>
      <w:r w:rsidRPr="00603CA3">
        <w:rPr>
          <w:color w:val="000000" w:themeColor="text1"/>
          <w:szCs w:val="24"/>
        </w:rPr>
        <w:t xml:space="preserve">3) </w:t>
      </w:r>
      <w:r w:rsidRPr="00603CA3">
        <w:rPr>
          <w:b/>
          <w:color w:val="000000" w:themeColor="text1"/>
          <w:szCs w:val="24"/>
        </w:rPr>
        <w:t>„Aizdevumi komersantu konkurētspējas uzlabošanai”</w:t>
      </w:r>
      <w:r w:rsidRPr="00603CA3">
        <w:rPr>
          <w:color w:val="000000" w:themeColor="text1"/>
          <w:szCs w:val="24"/>
        </w:rPr>
        <w:t xml:space="preserve"> nodrošina aizdevumu izsniegšanu komersantiem. Līdz 2011.gada </w:t>
      </w:r>
      <w:r w:rsidR="00921C9D" w:rsidRPr="00603CA3">
        <w:rPr>
          <w:color w:val="000000" w:themeColor="text1"/>
          <w:szCs w:val="24"/>
        </w:rPr>
        <w:t>30.jūnijam</w:t>
      </w:r>
      <w:r w:rsidRPr="00603CA3">
        <w:rPr>
          <w:color w:val="000000" w:themeColor="text1"/>
          <w:szCs w:val="24"/>
        </w:rPr>
        <w:t xml:space="preserve"> ir noslēgti 41 aizdevumu līgumi par kopējo ES fondu finansējuma apjomu 26,3 </w:t>
      </w:r>
      <w:proofErr w:type="spellStart"/>
      <w:r w:rsidRPr="00603CA3">
        <w:rPr>
          <w:color w:val="000000" w:themeColor="text1"/>
          <w:szCs w:val="24"/>
        </w:rPr>
        <w:t>milj</w:t>
      </w:r>
      <w:proofErr w:type="spellEnd"/>
      <w:r w:rsidRPr="00603CA3">
        <w:rPr>
          <w:color w:val="000000" w:themeColor="text1"/>
          <w:szCs w:val="24"/>
        </w:rPr>
        <w:t xml:space="preserve">. latu. (skatīt </w:t>
      </w:r>
      <w:r w:rsidRPr="00603CA3">
        <w:rPr>
          <w:color w:val="000000" w:themeColor="text1"/>
          <w:szCs w:val="24"/>
          <w:u w:val="single"/>
        </w:rPr>
        <w:t>tabulu Nr.4)</w:t>
      </w:r>
    </w:p>
    <w:p w:rsidR="002E47E3" w:rsidRPr="00603CA3" w:rsidRDefault="00947DF5" w:rsidP="00603CA3">
      <w:pPr>
        <w:pStyle w:val="NormalWeb"/>
        <w:spacing w:before="0" w:beforeAutospacing="0" w:after="0" w:afterAutospacing="0" w:line="276" w:lineRule="auto"/>
        <w:jc w:val="both"/>
        <w:rPr>
          <w:rFonts w:eastAsia="Calibri"/>
          <w:i/>
          <w:color w:val="000000" w:themeColor="text1"/>
          <w:lang w:val="lv-LV"/>
        </w:rPr>
      </w:pPr>
      <w:r w:rsidRPr="00603CA3">
        <w:rPr>
          <w:color w:val="000000" w:themeColor="text1"/>
          <w:lang w:val="lv-LV"/>
        </w:rPr>
        <w:t>Tabula Nr.4</w:t>
      </w:r>
      <w:r w:rsidRPr="00603CA3">
        <w:rPr>
          <w:i/>
          <w:color w:val="000000" w:themeColor="text1"/>
          <w:lang w:val="lv-LV"/>
        </w:rPr>
        <w:t xml:space="preserve"> </w:t>
      </w:r>
      <w:r w:rsidRPr="00603CA3">
        <w:rPr>
          <w:rFonts w:eastAsia="Calibri"/>
          <w:i/>
          <w:color w:val="000000" w:themeColor="text1"/>
          <w:lang w:val="lv-LV"/>
        </w:rPr>
        <w:t xml:space="preserve">„Finanšu apguves progress aktivitātes </w:t>
      </w:r>
      <w:r w:rsidRPr="00603CA3">
        <w:rPr>
          <w:i/>
          <w:color w:val="000000" w:themeColor="text1"/>
          <w:lang w:val="lv-LV"/>
        </w:rPr>
        <w:t>„Aizdevumi komersantu konkurētspējas uzlabošanai</w:t>
      </w:r>
      <w:r w:rsidRPr="00603CA3">
        <w:rPr>
          <w:bCs/>
          <w:i/>
          <w:color w:val="000000" w:themeColor="text1"/>
          <w:lang w:val="lv-LV"/>
        </w:rPr>
        <w:t>”</w:t>
      </w:r>
      <w:r w:rsidRPr="00603CA3">
        <w:rPr>
          <w:rFonts w:eastAsia="Calibri"/>
          <w:i/>
          <w:color w:val="000000" w:themeColor="text1"/>
          <w:lang w:val="lv-LV"/>
        </w:rPr>
        <w:t xml:space="preserve"> ietvaros</w:t>
      </w:r>
      <w:r w:rsidR="00593B38" w:rsidRPr="00603CA3">
        <w:rPr>
          <w:rFonts w:eastAsia="Calibri"/>
          <w:i/>
          <w:color w:val="000000" w:themeColor="text1"/>
          <w:lang w:val="lv-LV"/>
        </w:rPr>
        <w:t xml:space="preserve"> uz 30.06.2011.</w:t>
      </w:r>
      <w:r w:rsidR="002E47E3" w:rsidRPr="00603CA3">
        <w:rPr>
          <w:rFonts w:eastAsia="Calibri"/>
          <w:i/>
          <w:color w:val="000000" w:themeColor="text1"/>
          <w:lang w:val="lv-LV"/>
        </w:rPr>
        <w:t>; LVL”</w:t>
      </w:r>
    </w:p>
    <w:tbl>
      <w:tblPr>
        <w:tblW w:w="9945" w:type="dxa"/>
        <w:jc w:val="center"/>
        <w:tblInd w:w="3081"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Layout w:type="fixed"/>
        <w:tblLook w:val="04A0" w:firstRow="1" w:lastRow="0" w:firstColumn="1" w:lastColumn="0" w:noHBand="0" w:noVBand="1"/>
      </w:tblPr>
      <w:tblGrid>
        <w:gridCol w:w="1184"/>
        <w:gridCol w:w="1107"/>
        <w:gridCol w:w="850"/>
        <w:gridCol w:w="992"/>
        <w:gridCol w:w="993"/>
        <w:gridCol w:w="1134"/>
        <w:gridCol w:w="708"/>
        <w:gridCol w:w="993"/>
        <w:gridCol w:w="992"/>
        <w:gridCol w:w="992"/>
      </w:tblGrid>
      <w:tr w:rsidR="00603CA3" w:rsidRPr="0076499A" w:rsidTr="00136509">
        <w:trPr>
          <w:trHeight w:val="788"/>
          <w:jc w:val="center"/>
        </w:trPr>
        <w:tc>
          <w:tcPr>
            <w:tcW w:w="1184" w:type="dxa"/>
            <w:vMerge w:val="restart"/>
            <w:tcBorders>
              <w:top w:val="nil"/>
              <w:left w:val="nil"/>
              <w:bottom w:val="single" w:sz="18" w:space="0" w:color="9BBB59"/>
              <w:right w:val="single" w:sz="8" w:space="0" w:color="9BBB59"/>
            </w:tcBorders>
            <w:noWrap/>
            <w:hideMark/>
          </w:tcPr>
          <w:p w:rsidR="002E47E3" w:rsidRPr="0076499A" w:rsidRDefault="002E47E3" w:rsidP="00603CA3">
            <w:pPr>
              <w:pStyle w:val="NormalWeb"/>
              <w:spacing w:before="0" w:beforeAutospacing="0" w:after="0" w:afterAutospacing="0" w:line="276" w:lineRule="auto"/>
              <w:jc w:val="both"/>
              <w:rPr>
                <w:b/>
                <w:bCs/>
                <w:color w:val="000000" w:themeColor="text1"/>
                <w:sz w:val="20"/>
                <w:szCs w:val="20"/>
                <w:lang w:val="lv-LV"/>
              </w:rPr>
            </w:pPr>
          </w:p>
        </w:tc>
        <w:tc>
          <w:tcPr>
            <w:tcW w:w="1107" w:type="dxa"/>
            <w:vMerge w:val="restart"/>
            <w:tcBorders>
              <w:top w:val="single" w:sz="8" w:space="0" w:color="9BBB59"/>
              <w:left w:val="single" w:sz="8" w:space="0" w:color="9BBB59"/>
              <w:bottom w:val="single" w:sz="18" w:space="0" w:color="9BBB59"/>
              <w:right w:val="single" w:sz="8" w:space="0" w:color="9BBB59"/>
            </w:tcBorders>
            <w:shd w:val="clear" w:color="auto" w:fill="D6E3BC"/>
            <w:noWrap/>
            <w:hideMark/>
          </w:tcPr>
          <w:p w:rsidR="002E47E3" w:rsidRPr="0076499A" w:rsidRDefault="002E47E3" w:rsidP="00603CA3">
            <w:pPr>
              <w:pStyle w:val="NormalWeb"/>
              <w:spacing w:before="0" w:beforeAutospacing="0" w:after="0" w:afterAutospacing="0" w:line="276" w:lineRule="auto"/>
              <w:jc w:val="both"/>
              <w:rPr>
                <w:b/>
                <w:bCs/>
                <w:color w:val="000000" w:themeColor="text1"/>
                <w:sz w:val="20"/>
                <w:szCs w:val="20"/>
                <w:lang w:val="lv-LV"/>
              </w:rPr>
            </w:pPr>
            <w:r w:rsidRPr="0076499A">
              <w:rPr>
                <w:b/>
                <w:bCs/>
                <w:color w:val="000000" w:themeColor="text1"/>
                <w:sz w:val="20"/>
                <w:szCs w:val="20"/>
                <w:lang w:val="lv-LV"/>
              </w:rPr>
              <w:t xml:space="preserve">Kopējais </w:t>
            </w:r>
            <w:proofErr w:type="spellStart"/>
            <w:r w:rsidRPr="0076499A">
              <w:rPr>
                <w:b/>
                <w:bCs/>
                <w:color w:val="000000" w:themeColor="text1"/>
                <w:sz w:val="20"/>
                <w:szCs w:val="20"/>
                <w:lang w:val="lv-LV"/>
              </w:rPr>
              <w:t>finan</w:t>
            </w:r>
            <w:r w:rsidR="00CA0820" w:rsidRPr="0076499A">
              <w:rPr>
                <w:b/>
                <w:bCs/>
                <w:color w:val="000000" w:themeColor="text1"/>
                <w:sz w:val="20"/>
                <w:szCs w:val="20"/>
                <w:lang w:val="lv-LV"/>
              </w:rPr>
              <w:t>-</w:t>
            </w:r>
            <w:r w:rsidRPr="0076499A">
              <w:rPr>
                <w:b/>
                <w:bCs/>
                <w:color w:val="000000" w:themeColor="text1"/>
                <w:sz w:val="20"/>
                <w:szCs w:val="20"/>
                <w:lang w:val="lv-LV"/>
              </w:rPr>
              <w:t>sējums</w:t>
            </w:r>
            <w:proofErr w:type="spellEnd"/>
            <w:r w:rsidRPr="0076499A">
              <w:rPr>
                <w:b/>
                <w:bCs/>
                <w:color w:val="000000" w:themeColor="text1"/>
                <w:sz w:val="20"/>
                <w:szCs w:val="20"/>
                <w:lang w:val="lv-LV"/>
              </w:rPr>
              <w:t xml:space="preserve"> (ieskaitot finanšu </w:t>
            </w:r>
            <w:proofErr w:type="spellStart"/>
            <w:r w:rsidRPr="0076499A">
              <w:rPr>
                <w:b/>
                <w:bCs/>
                <w:color w:val="000000" w:themeColor="text1"/>
                <w:sz w:val="20"/>
                <w:szCs w:val="20"/>
                <w:lang w:val="lv-LV"/>
              </w:rPr>
              <w:t>starpinst</w:t>
            </w:r>
            <w:proofErr w:type="spellEnd"/>
            <w:r w:rsidRPr="0076499A">
              <w:rPr>
                <w:b/>
                <w:bCs/>
                <w:color w:val="000000" w:themeColor="text1"/>
                <w:sz w:val="20"/>
                <w:szCs w:val="20"/>
                <w:lang w:val="lv-LV"/>
              </w:rPr>
              <w:t xml:space="preserve">. </w:t>
            </w:r>
            <w:proofErr w:type="spellStart"/>
            <w:r w:rsidRPr="0076499A">
              <w:rPr>
                <w:b/>
                <w:bCs/>
                <w:color w:val="000000" w:themeColor="text1"/>
                <w:sz w:val="20"/>
                <w:szCs w:val="20"/>
                <w:lang w:val="lv-LV"/>
              </w:rPr>
              <w:t>līdzfin</w:t>
            </w:r>
            <w:proofErr w:type="spellEnd"/>
            <w:r w:rsidRPr="0076499A">
              <w:rPr>
                <w:b/>
                <w:bCs/>
                <w:color w:val="000000" w:themeColor="text1"/>
                <w:sz w:val="20"/>
                <w:szCs w:val="20"/>
                <w:lang w:val="lv-LV"/>
              </w:rPr>
              <w:t>.)</w:t>
            </w:r>
          </w:p>
        </w:tc>
        <w:tc>
          <w:tcPr>
            <w:tcW w:w="3969" w:type="dxa"/>
            <w:gridSpan w:val="4"/>
            <w:tcBorders>
              <w:top w:val="single" w:sz="8" w:space="0" w:color="9BBB59"/>
              <w:left w:val="single" w:sz="8" w:space="0" w:color="9BBB59"/>
              <w:bottom w:val="single" w:sz="18" w:space="0" w:color="9BBB59"/>
              <w:right w:val="single" w:sz="8" w:space="0" w:color="9BBB59"/>
            </w:tcBorders>
            <w:shd w:val="clear" w:color="auto" w:fill="D6E3BC"/>
          </w:tcPr>
          <w:p w:rsidR="002E47E3" w:rsidRPr="0076499A" w:rsidRDefault="002E47E3" w:rsidP="00603CA3">
            <w:pPr>
              <w:pStyle w:val="NormalWeb"/>
              <w:spacing w:before="0" w:beforeAutospacing="0" w:after="0" w:afterAutospacing="0" w:line="276" w:lineRule="auto"/>
              <w:jc w:val="both"/>
              <w:rPr>
                <w:b/>
                <w:bCs/>
                <w:color w:val="000000" w:themeColor="text1"/>
                <w:sz w:val="20"/>
                <w:szCs w:val="20"/>
                <w:lang w:val="lv-LV"/>
              </w:rPr>
            </w:pPr>
            <w:r w:rsidRPr="0076499A">
              <w:rPr>
                <w:b/>
                <w:bCs/>
                <w:color w:val="000000" w:themeColor="text1"/>
                <w:sz w:val="20"/>
                <w:szCs w:val="20"/>
                <w:lang w:val="lv-LV"/>
              </w:rPr>
              <w:t xml:space="preserve">Apstiprināti projekti (ieskaitot finanšu </w:t>
            </w:r>
            <w:proofErr w:type="spellStart"/>
            <w:r w:rsidRPr="0076499A">
              <w:rPr>
                <w:b/>
                <w:bCs/>
                <w:color w:val="000000" w:themeColor="text1"/>
                <w:sz w:val="20"/>
                <w:szCs w:val="20"/>
                <w:lang w:val="lv-LV"/>
              </w:rPr>
              <w:t>starpinst</w:t>
            </w:r>
            <w:proofErr w:type="spellEnd"/>
            <w:r w:rsidRPr="0076499A">
              <w:rPr>
                <w:b/>
                <w:bCs/>
                <w:color w:val="000000" w:themeColor="text1"/>
                <w:sz w:val="20"/>
                <w:szCs w:val="20"/>
                <w:lang w:val="lv-LV"/>
              </w:rPr>
              <w:t xml:space="preserve">. </w:t>
            </w:r>
            <w:proofErr w:type="spellStart"/>
            <w:r w:rsidRPr="0076499A">
              <w:rPr>
                <w:b/>
                <w:bCs/>
                <w:color w:val="000000" w:themeColor="text1"/>
                <w:sz w:val="20"/>
                <w:szCs w:val="20"/>
                <w:lang w:val="lv-LV"/>
              </w:rPr>
              <w:t>līdzfin</w:t>
            </w:r>
            <w:proofErr w:type="spellEnd"/>
            <w:r w:rsidRPr="0076499A">
              <w:rPr>
                <w:b/>
                <w:bCs/>
                <w:color w:val="000000" w:themeColor="text1"/>
                <w:sz w:val="20"/>
                <w:szCs w:val="20"/>
                <w:lang w:val="lv-LV"/>
              </w:rPr>
              <w:t>.)</w:t>
            </w:r>
          </w:p>
        </w:tc>
        <w:tc>
          <w:tcPr>
            <w:tcW w:w="3685" w:type="dxa"/>
            <w:gridSpan w:val="4"/>
            <w:tcBorders>
              <w:top w:val="single" w:sz="8" w:space="0" w:color="9BBB59"/>
              <w:left w:val="single" w:sz="8" w:space="0" w:color="9BBB59"/>
              <w:bottom w:val="single" w:sz="18" w:space="0" w:color="9BBB59"/>
              <w:right w:val="single" w:sz="8" w:space="0" w:color="9BBB59"/>
            </w:tcBorders>
            <w:shd w:val="clear" w:color="auto" w:fill="D6E3BC"/>
          </w:tcPr>
          <w:p w:rsidR="002E47E3" w:rsidRPr="0076499A" w:rsidRDefault="002E47E3" w:rsidP="00603CA3">
            <w:pPr>
              <w:pStyle w:val="NormalWeb"/>
              <w:spacing w:before="0" w:beforeAutospacing="0" w:after="0" w:afterAutospacing="0" w:line="276" w:lineRule="auto"/>
              <w:jc w:val="both"/>
              <w:rPr>
                <w:b/>
                <w:bCs/>
                <w:color w:val="000000" w:themeColor="text1"/>
                <w:sz w:val="20"/>
                <w:szCs w:val="20"/>
                <w:lang w:val="lv-LV"/>
              </w:rPr>
            </w:pPr>
            <w:r w:rsidRPr="0076499A">
              <w:rPr>
                <w:b/>
                <w:bCs/>
                <w:color w:val="000000" w:themeColor="text1"/>
                <w:sz w:val="20"/>
                <w:szCs w:val="20"/>
                <w:lang w:val="lv-LV"/>
              </w:rPr>
              <w:t xml:space="preserve">Noslēgti līgumi (ieskaitot finanšu </w:t>
            </w:r>
            <w:proofErr w:type="spellStart"/>
            <w:r w:rsidRPr="0076499A">
              <w:rPr>
                <w:b/>
                <w:bCs/>
                <w:color w:val="000000" w:themeColor="text1"/>
                <w:sz w:val="20"/>
                <w:szCs w:val="20"/>
                <w:lang w:val="lv-LV"/>
              </w:rPr>
              <w:t>starpinst</w:t>
            </w:r>
            <w:proofErr w:type="spellEnd"/>
            <w:r w:rsidRPr="0076499A">
              <w:rPr>
                <w:b/>
                <w:bCs/>
                <w:color w:val="000000" w:themeColor="text1"/>
                <w:sz w:val="20"/>
                <w:szCs w:val="20"/>
                <w:lang w:val="lv-LV"/>
              </w:rPr>
              <w:t xml:space="preserve">. </w:t>
            </w:r>
            <w:proofErr w:type="spellStart"/>
            <w:r w:rsidRPr="0076499A">
              <w:rPr>
                <w:b/>
                <w:bCs/>
                <w:color w:val="000000" w:themeColor="text1"/>
                <w:sz w:val="20"/>
                <w:szCs w:val="20"/>
                <w:lang w:val="lv-LV"/>
              </w:rPr>
              <w:t>līdzfin</w:t>
            </w:r>
            <w:proofErr w:type="spellEnd"/>
            <w:r w:rsidRPr="0076499A">
              <w:rPr>
                <w:b/>
                <w:bCs/>
                <w:color w:val="000000" w:themeColor="text1"/>
                <w:sz w:val="20"/>
                <w:szCs w:val="20"/>
                <w:lang w:val="lv-LV"/>
              </w:rPr>
              <w:t>.)</w:t>
            </w:r>
          </w:p>
        </w:tc>
      </w:tr>
      <w:tr w:rsidR="00603CA3" w:rsidRPr="0076499A" w:rsidTr="00E93969">
        <w:trPr>
          <w:trHeight w:val="3606"/>
          <w:jc w:val="center"/>
        </w:trPr>
        <w:tc>
          <w:tcPr>
            <w:tcW w:w="1184" w:type="dxa"/>
            <w:vMerge/>
            <w:tcBorders>
              <w:top w:val="single" w:sz="8" w:space="0" w:color="9BBB59"/>
              <w:left w:val="nil"/>
              <w:bottom w:val="single" w:sz="8" w:space="0" w:color="9BBB59"/>
              <w:right w:val="single" w:sz="8" w:space="0" w:color="9BBB59"/>
            </w:tcBorders>
            <w:shd w:val="clear" w:color="auto" w:fill="E6EED5"/>
            <w:noWrap/>
            <w:hideMark/>
          </w:tcPr>
          <w:p w:rsidR="002E47E3" w:rsidRPr="0076499A" w:rsidRDefault="002E47E3" w:rsidP="00603CA3">
            <w:pPr>
              <w:pStyle w:val="NormalWeb"/>
              <w:spacing w:before="0" w:beforeAutospacing="0" w:after="0" w:afterAutospacing="0" w:line="276" w:lineRule="auto"/>
              <w:jc w:val="both"/>
              <w:rPr>
                <w:b/>
                <w:bCs/>
                <w:color w:val="000000" w:themeColor="text1"/>
                <w:sz w:val="20"/>
                <w:szCs w:val="20"/>
                <w:lang w:val="lv-LV"/>
              </w:rPr>
            </w:pPr>
          </w:p>
        </w:tc>
        <w:tc>
          <w:tcPr>
            <w:tcW w:w="1107" w:type="dxa"/>
            <w:vMerge/>
            <w:tcBorders>
              <w:top w:val="single" w:sz="8" w:space="0" w:color="9BBB59"/>
              <w:left w:val="single" w:sz="8" w:space="0" w:color="9BBB59"/>
              <w:bottom w:val="single" w:sz="8" w:space="0" w:color="9BBB59"/>
              <w:right w:val="single" w:sz="8" w:space="0" w:color="9BBB59"/>
            </w:tcBorders>
            <w:shd w:val="clear" w:color="auto" w:fill="E6EED5"/>
            <w:noWrap/>
            <w:hideMark/>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p>
        </w:tc>
        <w:tc>
          <w:tcPr>
            <w:tcW w:w="850" w:type="dxa"/>
            <w:tcBorders>
              <w:top w:val="single" w:sz="8" w:space="0" w:color="9BBB59"/>
              <w:left w:val="single" w:sz="8" w:space="0" w:color="9BBB59"/>
              <w:bottom w:val="single" w:sz="8" w:space="0" w:color="9BBB59"/>
              <w:right w:val="single" w:sz="8" w:space="0" w:color="9BBB59"/>
            </w:tcBorders>
            <w:shd w:val="clear" w:color="auto" w:fill="E6EED5"/>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Skaits</w:t>
            </w:r>
          </w:p>
        </w:tc>
        <w:tc>
          <w:tcPr>
            <w:tcW w:w="992" w:type="dxa"/>
            <w:tcBorders>
              <w:top w:val="single" w:sz="8" w:space="0" w:color="9BBB59"/>
              <w:left w:val="single" w:sz="8" w:space="0" w:color="9BBB59"/>
              <w:bottom w:val="single" w:sz="8" w:space="0" w:color="9BBB59"/>
              <w:right w:val="single" w:sz="8" w:space="0" w:color="9BBB59"/>
            </w:tcBorders>
            <w:shd w:val="clear" w:color="auto" w:fill="E6EED5"/>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xml:space="preserve">Kopējais </w:t>
            </w:r>
            <w:proofErr w:type="spellStart"/>
            <w:r w:rsidRPr="0076499A">
              <w:rPr>
                <w:rFonts w:eastAsia="Calibri"/>
                <w:color w:val="000000" w:themeColor="text1"/>
                <w:sz w:val="20"/>
                <w:szCs w:val="20"/>
                <w:lang w:val="lv-LV"/>
              </w:rPr>
              <w:t>finan</w:t>
            </w:r>
            <w:r w:rsidR="00CA0820" w:rsidRPr="0076499A">
              <w:rPr>
                <w:rFonts w:eastAsia="Calibri"/>
                <w:color w:val="000000" w:themeColor="text1"/>
                <w:sz w:val="20"/>
                <w:szCs w:val="20"/>
                <w:lang w:val="lv-LV"/>
              </w:rPr>
              <w:t>-</w:t>
            </w:r>
            <w:r w:rsidRPr="0076499A">
              <w:rPr>
                <w:rFonts w:eastAsia="Calibri"/>
                <w:color w:val="000000" w:themeColor="text1"/>
                <w:sz w:val="20"/>
                <w:szCs w:val="20"/>
                <w:lang w:val="lv-LV"/>
              </w:rPr>
              <w:t>sējums</w:t>
            </w:r>
            <w:proofErr w:type="spellEnd"/>
            <w:r w:rsidRPr="0076499A">
              <w:rPr>
                <w:rFonts w:eastAsia="Calibri"/>
                <w:color w:val="000000" w:themeColor="text1"/>
                <w:sz w:val="20"/>
                <w:szCs w:val="20"/>
                <w:lang w:val="lv-LV"/>
              </w:rPr>
              <w:t xml:space="preserve"> </w:t>
            </w:r>
          </w:p>
        </w:tc>
        <w:tc>
          <w:tcPr>
            <w:tcW w:w="993" w:type="dxa"/>
            <w:tcBorders>
              <w:top w:val="single" w:sz="8" w:space="0" w:color="9BBB59"/>
              <w:left w:val="single" w:sz="8" w:space="0" w:color="9BBB59"/>
              <w:bottom w:val="single" w:sz="8" w:space="0" w:color="9BBB59"/>
              <w:right w:val="single" w:sz="8" w:space="0" w:color="9BBB59"/>
            </w:tcBorders>
            <w:shd w:val="clear" w:color="auto" w:fill="E6EED5"/>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no prioritātē pieejamā finansējuma</w:t>
            </w:r>
          </w:p>
        </w:tc>
        <w:tc>
          <w:tcPr>
            <w:tcW w:w="1134" w:type="dxa"/>
            <w:tcBorders>
              <w:top w:val="single" w:sz="8" w:space="0" w:color="9BBB59"/>
              <w:left w:val="single" w:sz="8" w:space="0" w:color="9BBB59"/>
              <w:bottom w:val="single" w:sz="8" w:space="0" w:color="9BBB59"/>
              <w:right w:val="single" w:sz="8" w:space="0" w:color="9BBB59"/>
            </w:tcBorders>
            <w:shd w:val="clear" w:color="auto" w:fill="E6EED5"/>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xml:space="preserve">Progress pret datiem uz 31.03.2011.; % no prioritātē pieejamā </w:t>
            </w:r>
            <w:proofErr w:type="spellStart"/>
            <w:r w:rsidRPr="0076499A">
              <w:rPr>
                <w:rFonts w:eastAsia="Calibri"/>
                <w:color w:val="000000" w:themeColor="text1"/>
                <w:sz w:val="20"/>
                <w:szCs w:val="20"/>
                <w:lang w:val="lv-LV"/>
              </w:rPr>
              <w:t>finan</w:t>
            </w:r>
            <w:r w:rsidR="00CA0820" w:rsidRPr="0076499A">
              <w:rPr>
                <w:rFonts w:eastAsia="Calibri"/>
                <w:color w:val="000000" w:themeColor="text1"/>
                <w:sz w:val="20"/>
                <w:szCs w:val="20"/>
                <w:lang w:val="lv-LV"/>
              </w:rPr>
              <w:t>-</w:t>
            </w:r>
            <w:r w:rsidRPr="0076499A">
              <w:rPr>
                <w:rFonts w:eastAsia="Calibri"/>
                <w:color w:val="000000" w:themeColor="text1"/>
                <w:sz w:val="20"/>
                <w:szCs w:val="20"/>
                <w:lang w:val="lv-LV"/>
              </w:rPr>
              <w:t>sējuma</w:t>
            </w:r>
            <w:proofErr w:type="spellEnd"/>
          </w:p>
        </w:tc>
        <w:tc>
          <w:tcPr>
            <w:tcW w:w="708" w:type="dxa"/>
            <w:tcBorders>
              <w:top w:val="single" w:sz="8" w:space="0" w:color="9BBB59"/>
              <w:left w:val="single" w:sz="8" w:space="0" w:color="9BBB59"/>
              <w:bottom w:val="single" w:sz="8" w:space="0" w:color="9BBB59"/>
              <w:right w:val="single" w:sz="8" w:space="0" w:color="9BBB59"/>
            </w:tcBorders>
            <w:shd w:val="clear" w:color="auto" w:fill="E6EED5"/>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Skaits</w:t>
            </w:r>
          </w:p>
        </w:tc>
        <w:tc>
          <w:tcPr>
            <w:tcW w:w="993" w:type="dxa"/>
            <w:tcBorders>
              <w:top w:val="single" w:sz="8" w:space="0" w:color="9BBB59"/>
              <w:left w:val="single" w:sz="8" w:space="0" w:color="9BBB59"/>
              <w:bottom w:val="single" w:sz="8" w:space="0" w:color="9BBB59"/>
              <w:right w:val="single" w:sz="8" w:space="0" w:color="9BBB59"/>
            </w:tcBorders>
            <w:shd w:val="clear" w:color="auto" w:fill="E6EED5"/>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xml:space="preserve">Kopējais </w:t>
            </w:r>
            <w:proofErr w:type="spellStart"/>
            <w:r w:rsidRPr="0076499A">
              <w:rPr>
                <w:rFonts w:eastAsia="Calibri"/>
                <w:color w:val="000000" w:themeColor="text1"/>
                <w:sz w:val="20"/>
                <w:szCs w:val="20"/>
                <w:lang w:val="lv-LV"/>
              </w:rPr>
              <w:t>finan</w:t>
            </w:r>
            <w:r w:rsidR="00CA0820" w:rsidRPr="0076499A">
              <w:rPr>
                <w:rFonts w:eastAsia="Calibri"/>
                <w:color w:val="000000" w:themeColor="text1"/>
                <w:sz w:val="20"/>
                <w:szCs w:val="20"/>
                <w:lang w:val="lv-LV"/>
              </w:rPr>
              <w:t>-</w:t>
            </w:r>
            <w:r w:rsidRPr="0076499A">
              <w:rPr>
                <w:rFonts w:eastAsia="Calibri"/>
                <w:color w:val="000000" w:themeColor="text1"/>
                <w:sz w:val="20"/>
                <w:szCs w:val="20"/>
                <w:lang w:val="lv-LV"/>
              </w:rPr>
              <w:t>sējums</w:t>
            </w:r>
            <w:proofErr w:type="spellEnd"/>
            <w:r w:rsidRPr="0076499A">
              <w:rPr>
                <w:rFonts w:eastAsia="Calibri"/>
                <w:color w:val="000000" w:themeColor="text1"/>
                <w:sz w:val="20"/>
                <w:szCs w:val="20"/>
                <w:lang w:val="lv-LV"/>
              </w:rPr>
              <w:t xml:space="preserve"> </w:t>
            </w:r>
          </w:p>
        </w:tc>
        <w:tc>
          <w:tcPr>
            <w:tcW w:w="992" w:type="dxa"/>
            <w:tcBorders>
              <w:top w:val="single" w:sz="8" w:space="0" w:color="9BBB59"/>
              <w:left w:val="single" w:sz="8" w:space="0" w:color="9BBB59"/>
              <w:bottom w:val="single" w:sz="8" w:space="0" w:color="9BBB59"/>
              <w:right w:val="single" w:sz="8" w:space="0" w:color="9BBB59"/>
            </w:tcBorders>
            <w:shd w:val="clear" w:color="auto" w:fill="E6EED5"/>
            <w:noWrap/>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 no prioritātē pieejamā finansējuma</w:t>
            </w:r>
          </w:p>
        </w:tc>
        <w:tc>
          <w:tcPr>
            <w:tcW w:w="992" w:type="dxa"/>
            <w:tcBorders>
              <w:top w:val="single" w:sz="8" w:space="0" w:color="9BBB59"/>
              <w:left w:val="single" w:sz="8" w:space="0" w:color="9BBB59"/>
              <w:bottom w:val="single" w:sz="8" w:space="0" w:color="9BBB59"/>
              <w:right w:val="single" w:sz="8" w:space="0" w:color="9BBB59"/>
            </w:tcBorders>
            <w:shd w:val="clear" w:color="auto" w:fill="E6EED5"/>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Progress pret datiem uz 31.03.2011.; % no prioritātē pieejamā finansējuma</w:t>
            </w:r>
          </w:p>
        </w:tc>
      </w:tr>
      <w:tr w:rsidR="00603CA3" w:rsidRPr="0076499A" w:rsidTr="00136509">
        <w:trPr>
          <w:jc w:val="center"/>
        </w:trPr>
        <w:tc>
          <w:tcPr>
            <w:tcW w:w="1184" w:type="dxa"/>
            <w:tcBorders>
              <w:top w:val="single" w:sz="8" w:space="0" w:color="9BBB59"/>
              <w:left w:val="single" w:sz="8" w:space="0" w:color="9BBB59"/>
              <w:bottom w:val="single" w:sz="8" w:space="0" w:color="9BBB59"/>
              <w:right w:val="single" w:sz="8" w:space="0" w:color="9BBB59"/>
            </w:tcBorders>
            <w:shd w:val="clear" w:color="auto" w:fill="auto"/>
            <w:noWrap/>
            <w:vAlign w:val="center"/>
            <w:hideMark/>
          </w:tcPr>
          <w:p w:rsidR="002E47E3" w:rsidRPr="0076499A" w:rsidRDefault="002E47E3" w:rsidP="00603CA3">
            <w:pPr>
              <w:pStyle w:val="NormalWeb"/>
              <w:spacing w:before="0" w:beforeAutospacing="0" w:after="0" w:afterAutospacing="0" w:line="276" w:lineRule="auto"/>
              <w:ind w:left="131" w:hanging="131"/>
              <w:jc w:val="both"/>
              <w:rPr>
                <w:b/>
                <w:bCs/>
                <w:color w:val="000000" w:themeColor="text1"/>
                <w:sz w:val="20"/>
                <w:szCs w:val="20"/>
                <w:lang w:val="lv-LV"/>
              </w:rPr>
            </w:pPr>
            <w:r w:rsidRPr="0076499A">
              <w:rPr>
                <w:b/>
                <w:bCs/>
                <w:color w:val="000000" w:themeColor="text1"/>
                <w:sz w:val="20"/>
                <w:szCs w:val="20"/>
                <w:lang w:val="lv-LV"/>
              </w:rPr>
              <w:t>Aizdevumi</w:t>
            </w:r>
          </w:p>
        </w:tc>
        <w:tc>
          <w:tcPr>
            <w:tcW w:w="1107" w:type="dxa"/>
            <w:tcBorders>
              <w:top w:val="single" w:sz="8" w:space="0" w:color="9BBB59"/>
              <w:left w:val="single" w:sz="8" w:space="0" w:color="9BBB59"/>
              <w:bottom w:val="single" w:sz="8" w:space="0" w:color="9BBB59"/>
              <w:right w:val="single" w:sz="8" w:space="0" w:color="9BBB59"/>
            </w:tcBorders>
            <w:shd w:val="clear" w:color="auto" w:fill="auto"/>
            <w:noWrap/>
            <w:vAlign w:val="center"/>
          </w:tcPr>
          <w:p w:rsidR="002E47E3" w:rsidRPr="0076499A" w:rsidRDefault="002E47E3" w:rsidP="00603CA3">
            <w:pPr>
              <w:pStyle w:val="NormalWeb"/>
              <w:spacing w:before="0" w:beforeAutospacing="0" w:after="0" w:afterAutospacing="0" w:line="276" w:lineRule="auto"/>
              <w:jc w:val="both"/>
              <w:rPr>
                <w:color w:val="000000" w:themeColor="text1"/>
                <w:sz w:val="20"/>
                <w:szCs w:val="20"/>
                <w:lang w:val="lv-LV"/>
              </w:rPr>
            </w:pPr>
            <w:r w:rsidRPr="0076499A">
              <w:rPr>
                <w:rFonts w:eastAsia="Calibri"/>
                <w:color w:val="000000" w:themeColor="text1"/>
                <w:sz w:val="20"/>
                <w:szCs w:val="20"/>
                <w:lang w:val="lv-LV"/>
              </w:rPr>
              <w:t>58 500 000</w:t>
            </w:r>
          </w:p>
        </w:tc>
        <w:tc>
          <w:tcPr>
            <w:tcW w:w="850" w:type="dxa"/>
            <w:tcBorders>
              <w:top w:val="single" w:sz="8" w:space="0" w:color="9BBB59"/>
              <w:left w:val="single" w:sz="8" w:space="0" w:color="9BBB59"/>
              <w:bottom w:val="single" w:sz="8" w:space="0" w:color="9BBB59"/>
              <w:right w:val="single" w:sz="8" w:space="0" w:color="9BBB59"/>
            </w:tcBorders>
            <w:vAlign w:val="center"/>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57</w:t>
            </w:r>
          </w:p>
        </w:tc>
        <w:tc>
          <w:tcPr>
            <w:tcW w:w="992" w:type="dxa"/>
            <w:tcBorders>
              <w:top w:val="single" w:sz="8" w:space="0" w:color="9BBB59"/>
              <w:left w:val="single" w:sz="8" w:space="0" w:color="9BBB59"/>
              <w:bottom w:val="single" w:sz="8" w:space="0" w:color="9BBB59"/>
              <w:right w:val="single" w:sz="8" w:space="0" w:color="9BBB59"/>
            </w:tcBorders>
            <w:vAlign w:val="center"/>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41 338 457</w:t>
            </w:r>
          </w:p>
        </w:tc>
        <w:tc>
          <w:tcPr>
            <w:tcW w:w="993" w:type="dxa"/>
            <w:tcBorders>
              <w:top w:val="single" w:sz="8" w:space="0" w:color="9BBB59"/>
              <w:left w:val="single" w:sz="8" w:space="0" w:color="9BBB59"/>
              <w:bottom w:val="single" w:sz="8" w:space="0" w:color="9BBB59"/>
              <w:right w:val="single" w:sz="8" w:space="0" w:color="9BBB59"/>
            </w:tcBorders>
            <w:shd w:val="clear" w:color="auto" w:fill="auto"/>
            <w:vAlign w:val="center"/>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70,7%</w:t>
            </w:r>
          </w:p>
        </w:tc>
        <w:tc>
          <w:tcPr>
            <w:tcW w:w="1134" w:type="dxa"/>
            <w:tcBorders>
              <w:top w:val="single" w:sz="8" w:space="0" w:color="9BBB59"/>
              <w:left w:val="single" w:sz="8" w:space="0" w:color="9BBB59"/>
              <w:bottom w:val="single" w:sz="8" w:space="0" w:color="9BBB59"/>
              <w:right w:val="single" w:sz="8" w:space="0" w:color="9BBB59"/>
            </w:tcBorders>
            <w:shd w:val="clear" w:color="auto" w:fill="auto"/>
            <w:vAlign w:val="center"/>
          </w:tcPr>
          <w:p w:rsidR="002E47E3" w:rsidRPr="0076499A" w:rsidRDefault="00DD6F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5,0%</w:t>
            </w:r>
          </w:p>
        </w:tc>
        <w:tc>
          <w:tcPr>
            <w:tcW w:w="708" w:type="dxa"/>
            <w:tcBorders>
              <w:top w:val="single" w:sz="8" w:space="0" w:color="9BBB59"/>
              <w:left w:val="single" w:sz="8" w:space="0" w:color="9BBB59"/>
              <w:bottom w:val="single" w:sz="8" w:space="0" w:color="9BBB59"/>
              <w:right w:val="single" w:sz="8" w:space="0" w:color="9BBB59"/>
            </w:tcBorders>
            <w:vAlign w:val="center"/>
          </w:tcPr>
          <w:p w:rsidR="002E47E3" w:rsidRPr="0076499A" w:rsidRDefault="002E47E3" w:rsidP="00603CA3">
            <w:pPr>
              <w:pStyle w:val="NormalWeb"/>
              <w:spacing w:before="0" w:beforeAutospacing="0" w:after="0" w:afterAutospacing="0" w:line="276" w:lineRule="auto"/>
              <w:ind w:right="-5"/>
              <w:jc w:val="both"/>
              <w:rPr>
                <w:rFonts w:eastAsia="Calibri"/>
                <w:b/>
                <w:bCs/>
                <w:color w:val="000000" w:themeColor="text1"/>
                <w:sz w:val="20"/>
                <w:szCs w:val="20"/>
                <w:u w:val="single"/>
                <w:lang w:val="lv-LV"/>
              </w:rPr>
            </w:pPr>
            <w:r w:rsidRPr="0076499A">
              <w:rPr>
                <w:rFonts w:eastAsia="Calibri"/>
                <w:color w:val="000000" w:themeColor="text1"/>
                <w:sz w:val="20"/>
                <w:szCs w:val="20"/>
                <w:lang w:val="lv-LV"/>
              </w:rPr>
              <w:t>41</w:t>
            </w:r>
          </w:p>
        </w:tc>
        <w:tc>
          <w:tcPr>
            <w:tcW w:w="993" w:type="dxa"/>
            <w:tcBorders>
              <w:top w:val="single" w:sz="8" w:space="0" w:color="9BBB59"/>
              <w:left w:val="single" w:sz="8" w:space="0" w:color="9BBB59"/>
              <w:bottom w:val="single" w:sz="8" w:space="0" w:color="9BBB59"/>
              <w:right w:val="single" w:sz="8" w:space="0" w:color="9BBB59"/>
            </w:tcBorders>
            <w:vAlign w:val="center"/>
          </w:tcPr>
          <w:p w:rsidR="002E47E3" w:rsidRPr="0076499A" w:rsidRDefault="002E47E3" w:rsidP="00603CA3">
            <w:pPr>
              <w:pStyle w:val="NormalWeb"/>
              <w:spacing w:before="0" w:beforeAutospacing="0" w:after="0" w:afterAutospacing="0" w:line="276" w:lineRule="auto"/>
              <w:jc w:val="both"/>
              <w:rPr>
                <w:rFonts w:eastAsia="Calibri"/>
                <w:b/>
                <w:bCs/>
                <w:color w:val="000000" w:themeColor="text1"/>
                <w:sz w:val="20"/>
                <w:szCs w:val="20"/>
                <w:u w:val="single"/>
                <w:lang w:val="lv-LV"/>
              </w:rPr>
            </w:pPr>
            <w:r w:rsidRPr="0076499A">
              <w:rPr>
                <w:rFonts w:eastAsia="Calibri"/>
                <w:color w:val="000000" w:themeColor="text1"/>
                <w:sz w:val="20"/>
                <w:szCs w:val="20"/>
                <w:lang w:val="lv-LV"/>
              </w:rPr>
              <w:t>40 021 388</w:t>
            </w:r>
          </w:p>
        </w:tc>
        <w:tc>
          <w:tcPr>
            <w:tcW w:w="992" w:type="dxa"/>
            <w:tcBorders>
              <w:top w:val="single" w:sz="8" w:space="0" w:color="9BBB59"/>
              <w:left w:val="single" w:sz="8" w:space="0" w:color="9BBB59"/>
              <w:bottom w:val="single" w:sz="8" w:space="0" w:color="9BBB59"/>
              <w:right w:val="single" w:sz="8" w:space="0" w:color="9BBB59"/>
            </w:tcBorders>
            <w:shd w:val="clear" w:color="auto" w:fill="auto"/>
            <w:noWrap/>
            <w:vAlign w:val="center"/>
          </w:tcPr>
          <w:p w:rsidR="002E47E3" w:rsidRPr="0076499A" w:rsidRDefault="002E47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68,4%</w:t>
            </w:r>
          </w:p>
        </w:tc>
        <w:tc>
          <w:tcPr>
            <w:tcW w:w="992" w:type="dxa"/>
            <w:tcBorders>
              <w:top w:val="single" w:sz="8" w:space="0" w:color="9BBB59"/>
              <w:left w:val="single" w:sz="8" w:space="0" w:color="9BBB59"/>
              <w:bottom w:val="single" w:sz="8" w:space="0" w:color="9BBB59"/>
              <w:right w:val="single" w:sz="8" w:space="0" w:color="9BBB59"/>
            </w:tcBorders>
            <w:shd w:val="clear" w:color="auto" w:fill="auto"/>
            <w:vAlign w:val="center"/>
          </w:tcPr>
          <w:p w:rsidR="002E47E3" w:rsidRPr="0076499A" w:rsidRDefault="00DD6FE3" w:rsidP="00603CA3">
            <w:pPr>
              <w:pStyle w:val="NormalWeb"/>
              <w:spacing w:before="0" w:beforeAutospacing="0" w:after="0" w:afterAutospacing="0" w:line="276" w:lineRule="auto"/>
              <w:jc w:val="both"/>
              <w:rPr>
                <w:rFonts w:eastAsia="Calibri"/>
                <w:color w:val="000000" w:themeColor="text1"/>
                <w:sz w:val="20"/>
                <w:szCs w:val="20"/>
                <w:lang w:val="lv-LV"/>
              </w:rPr>
            </w:pPr>
            <w:r w:rsidRPr="0076499A">
              <w:rPr>
                <w:rFonts w:eastAsia="Calibri"/>
                <w:color w:val="000000" w:themeColor="text1"/>
                <w:sz w:val="20"/>
                <w:szCs w:val="20"/>
                <w:lang w:val="lv-LV"/>
              </w:rPr>
              <w:t>-29,5</w:t>
            </w:r>
          </w:p>
        </w:tc>
      </w:tr>
    </w:tbl>
    <w:p w:rsidR="002E47E3" w:rsidRPr="00603CA3" w:rsidRDefault="002E47E3" w:rsidP="00603CA3">
      <w:pPr>
        <w:spacing w:line="276" w:lineRule="auto"/>
        <w:rPr>
          <w:b/>
          <w:color w:val="000000" w:themeColor="text1"/>
          <w:szCs w:val="24"/>
        </w:rPr>
      </w:pPr>
    </w:p>
    <w:p w:rsidR="00947DF5" w:rsidRPr="00603CA3" w:rsidRDefault="00947DF5" w:rsidP="00603CA3">
      <w:pPr>
        <w:spacing w:line="276" w:lineRule="auto"/>
        <w:rPr>
          <w:b/>
          <w:color w:val="000000" w:themeColor="text1"/>
          <w:szCs w:val="24"/>
        </w:rPr>
      </w:pPr>
      <w:r w:rsidRPr="00603CA3">
        <w:rPr>
          <w:b/>
          <w:color w:val="000000" w:themeColor="text1"/>
          <w:szCs w:val="24"/>
        </w:rPr>
        <w:t>„Uzņēmējdarbības veicināšana”</w:t>
      </w:r>
    </w:p>
    <w:p w:rsidR="00947DF5" w:rsidRPr="00603CA3" w:rsidRDefault="00947DF5" w:rsidP="00603CA3">
      <w:pPr>
        <w:autoSpaceDE w:val="0"/>
        <w:autoSpaceDN w:val="0"/>
        <w:adjustRightInd w:val="0"/>
        <w:spacing w:line="276" w:lineRule="auto"/>
        <w:rPr>
          <w:color w:val="000000" w:themeColor="text1"/>
          <w:szCs w:val="24"/>
          <w:lang w:eastAsia="lv-LV"/>
        </w:rPr>
      </w:pPr>
      <w:r w:rsidRPr="00603CA3">
        <w:rPr>
          <w:color w:val="000000" w:themeColor="text1"/>
          <w:szCs w:val="24"/>
          <w:lang w:eastAsia="lv-LV"/>
        </w:rPr>
        <w:t>Prioritāte vērsta uz ekonomiskās aktivitātes stimulēšanu un konkurētspējas pieaugumu, veidojot jaunus un nostiprinot esošos komersantus. Šo mērķu sasniegšanai tiek sekmēta komersantu konkurētspēja gan nacionālā, gan starptautiskā mērogā. Prioritātes ieviešanas gaita 2011.gada 2.ceturksnī nesokas tik veiksmīgi kā plānots</w:t>
      </w:r>
      <w:r w:rsidR="00E62967" w:rsidRPr="00603CA3">
        <w:rPr>
          <w:color w:val="000000" w:themeColor="text1"/>
          <w:szCs w:val="24"/>
          <w:lang w:eastAsia="lv-LV"/>
        </w:rPr>
        <w:t>, par ko liecina pastāvīga līgumu laušana atsevišķās aktivitātēs un līdz ar to arī pilnā apjomā nesasniegtie mērķi maksājumiem finansējuma saņēmējiem</w:t>
      </w:r>
      <w:r w:rsidRPr="00603CA3">
        <w:rPr>
          <w:color w:val="000000" w:themeColor="text1"/>
          <w:szCs w:val="24"/>
          <w:lang w:eastAsia="lv-LV"/>
        </w:rPr>
        <w:t xml:space="preserve">. </w:t>
      </w:r>
    </w:p>
    <w:p w:rsidR="00947DF5" w:rsidRPr="00603CA3" w:rsidRDefault="00947DF5" w:rsidP="00603CA3">
      <w:pPr>
        <w:autoSpaceDE w:val="0"/>
        <w:autoSpaceDN w:val="0"/>
        <w:adjustRightInd w:val="0"/>
        <w:spacing w:line="276" w:lineRule="auto"/>
        <w:rPr>
          <w:color w:val="000000" w:themeColor="text1"/>
          <w:szCs w:val="24"/>
          <w:lang w:eastAsia="lv-LV"/>
        </w:rPr>
      </w:pPr>
      <w:r w:rsidRPr="00603CA3">
        <w:rPr>
          <w:color w:val="000000" w:themeColor="text1"/>
          <w:szCs w:val="24"/>
          <w:lang w:eastAsia="lv-LV"/>
        </w:rPr>
        <w:t>Aktivitātes „Pasākumi motivācijas celšanai inovācijām un uzņēmējdarbības uzsākšanai” ietvaros pārskata periodā īstenoti šādi pasākumi:</w:t>
      </w:r>
    </w:p>
    <w:p w:rsidR="00947DF5" w:rsidRPr="00603CA3" w:rsidRDefault="00947DF5"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Rīgas Ekonomikas un vadības augstskolas </w:t>
      </w:r>
      <w:proofErr w:type="spellStart"/>
      <w:r w:rsidRPr="00603CA3">
        <w:rPr>
          <w:rFonts w:eastAsia="EUAlbertina-Bold-Identity-H"/>
          <w:color w:val="000000" w:themeColor="text1"/>
          <w:szCs w:val="24"/>
          <w:lang w:eastAsia="lv-LV"/>
        </w:rPr>
        <w:t>Mentoru</w:t>
      </w:r>
      <w:proofErr w:type="spellEnd"/>
      <w:r w:rsidRPr="00603CA3">
        <w:rPr>
          <w:rFonts w:eastAsia="EUAlbertina-Bold-Identity-H"/>
          <w:color w:val="000000" w:themeColor="text1"/>
          <w:szCs w:val="24"/>
          <w:lang w:eastAsia="lv-LV"/>
        </w:rPr>
        <w:t xml:space="preserve"> kluba īstenotās </w:t>
      </w:r>
      <w:proofErr w:type="spellStart"/>
      <w:r w:rsidRPr="00603CA3">
        <w:rPr>
          <w:rFonts w:eastAsia="EUAlbertina-Bold-Identity-H"/>
          <w:color w:val="000000" w:themeColor="text1"/>
          <w:szCs w:val="24"/>
          <w:lang w:eastAsia="lv-LV"/>
        </w:rPr>
        <w:t>Mentoringa</w:t>
      </w:r>
      <w:proofErr w:type="spellEnd"/>
      <w:r w:rsidRPr="00603CA3">
        <w:rPr>
          <w:rFonts w:eastAsia="EUAlbertina-Bold-Identity-H"/>
          <w:color w:val="000000" w:themeColor="text1"/>
          <w:szCs w:val="24"/>
          <w:lang w:eastAsia="lv-LV"/>
        </w:rPr>
        <w:t xml:space="preserve"> programmas ietvaros apstiprināta dalība 20 uzņēmējiem; </w:t>
      </w:r>
    </w:p>
    <w:p w:rsidR="00947DF5" w:rsidRPr="00603CA3" w:rsidRDefault="00947DF5"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lastRenderedPageBreak/>
        <w:t xml:space="preserve">Atbilstoši iepirkuma konkursa rezultātiem SIA „Biznesa augstskola Turība” rīko inovatīvo biznesa ideju konkursu „Ideju kauss 2011”, kas tika atklāts šā gada 28.jūnijā; </w:t>
      </w:r>
    </w:p>
    <w:p w:rsidR="00947DF5" w:rsidRPr="00603CA3" w:rsidRDefault="00947DF5"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Banku augstskolas īstenotā pasākuma - Mobilā ekspozīcija ietvaros kopš maija tiek rīkoti „Inovācijas </w:t>
      </w:r>
      <w:proofErr w:type="spellStart"/>
      <w:r w:rsidRPr="00603CA3">
        <w:rPr>
          <w:rFonts w:eastAsia="EUAlbertina-Bold-Identity-H"/>
          <w:color w:val="000000" w:themeColor="text1"/>
          <w:szCs w:val="24"/>
          <w:lang w:eastAsia="lv-LV"/>
        </w:rPr>
        <w:t>busiņa</w:t>
      </w:r>
      <w:proofErr w:type="spellEnd"/>
      <w:r w:rsidRPr="00603CA3">
        <w:rPr>
          <w:rFonts w:eastAsia="EUAlbertina-Bold-Identity-H"/>
          <w:color w:val="000000" w:themeColor="text1"/>
          <w:szCs w:val="24"/>
          <w:lang w:eastAsia="lv-LV"/>
        </w:rPr>
        <w:t xml:space="preserve">” izbraukumi uz dažādām Latvijas pilsētām. Līdz šim ir veikti 6 izbraukumi. </w:t>
      </w:r>
    </w:p>
    <w:p w:rsidR="00947DF5" w:rsidRPr="00603CA3" w:rsidRDefault="00947DF5"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Norisinājušies arī sekojoši semināri:</w:t>
      </w:r>
    </w:p>
    <w:p w:rsidR="00947DF5" w:rsidRPr="00603CA3" w:rsidRDefault="00947DF5"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Tehnoloģiju komercializēšanas veicināšanas seminārs, </w:t>
      </w:r>
      <w:r w:rsidR="00A6156E" w:rsidRPr="00603CA3">
        <w:rPr>
          <w:rFonts w:eastAsia="EUAlbertina-Bold-Identity-H"/>
          <w:color w:val="000000" w:themeColor="text1"/>
          <w:szCs w:val="24"/>
          <w:lang w:eastAsia="lv-LV"/>
        </w:rPr>
        <w:t>kurā</w:t>
      </w:r>
      <w:r w:rsidRPr="00603CA3">
        <w:rPr>
          <w:rFonts w:eastAsia="EUAlbertina-Bold-Identity-H"/>
          <w:color w:val="000000" w:themeColor="text1"/>
          <w:szCs w:val="24"/>
          <w:lang w:eastAsia="lv-LV"/>
        </w:rPr>
        <w:t xml:space="preserve"> piedalījās 25 dalībnieki, galvenokārt Latvijas augstskolu un pētniecisko institūtu pētnieki, topošie doktoranti un tehnoloģiju pārneses speciālisti;</w:t>
      </w:r>
    </w:p>
    <w:p w:rsidR="00947DF5" w:rsidRPr="00603CA3" w:rsidRDefault="00947DF5"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Jaunu ideju ģenerēšanas seminārs, </w:t>
      </w:r>
      <w:r w:rsidR="00A6156E" w:rsidRPr="00603CA3">
        <w:rPr>
          <w:rFonts w:eastAsia="EUAlbertina-Bold-Identity-H"/>
          <w:color w:val="000000" w:themeColor="text1"/>
          <w:szCs w:val="24"/>
          <w:lang w:eastAsia="lv-LV"/>
        </w:rPr>
        <w:t xml:space="preserve">kura </w:t>
      </w:r>
      <w:r w:rsidRPr="00603CA3">
        <w:rPr>
          <w:rFonts w:eastAsia="EUAlbertina-Bold-Identity-H"/>
          <w:color w:val="000000" w:themeColor="text1"/>
          <w:szCs w:val="24"/>
          <w:lang w:eastAsia="lv-LV"/>
        </w:rPr>
        <w:t>mērķis - iepazīstināt ar ideju ģenerēšanas metodēm, apgūt to praktisko pielietošanu, kā arī ideju attīstīšanas un potenciāla novērtēšanas metodes, patērētāja vajadzību analīzi, industriālā dizaina lomu jauna produkta izstrādē, komandas kompetenču novērtēšanu un pilnvērtīgas komandas veidošanas vadlīnijas;</w:t>
      </w:r>
    </w:p>
    <w:p w:rsidR="00947DF5" w:rsidRPr="00603CA3" w:rsidRDefault="00947DF5"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Inovācijas portāla izveide – ir sagatavots saturs portālam un noslēdzies iepirkuma konkurss par portāla tehnisko izveidi.</w:t>
      </w:r>
    </w:p>
    <w:p w:rsidR="00A6156E" w:rsidRPr="00603CA3" w:rsidRDefault="00947DF5" w:rsidP="00603CA3">
      <w:pPr>
        <w:spacing w:line="276" w:lineRule="auto"/>
        <w:rPr>
          <w:color w:val="000000" w:themeColor="text1"/>
          <w:szCs w:val="24"/>
        </w:rPr>
      </w:pPr>
      <w:r w:rsidRPr="00603CA3">
        <w:rPr>
          <w:color w:val="000000" w:themeColor="text1"/>
          <w:szCs w:val="24"/>
        </w:rPr>
        <w:t xml:space="preserve">Pārskata periodā aktivitātē 2.3.2.2. “Atbalsts ieguldījumiem </w:t>
      </w:r>
      <w:proofErr w:type="spellStart"/>
      <w:r w:rsidRPr="00603CA3">
        <w:rPr>
          <w:color w:val="000000" w:themeColor="text1"/>
          <w:szCs w:val="24"/>
        </w:rPr>
        <w:t>mikro</w:t>
      </w:r>
      <w:proofErr w:type="spellEnd"/>
      <w:r w:rsidRPr="00603CA3">
        <w:rPr>
          <w:color w:val="000000" w:themeColor="text1"/>
          <w:szCs w:val="24"/>
        </w:rPr>
        <w:t>, maziem un vidējiem komersantiem īpaši atbalstāmajās teritorijās” ir pabeigti 9 projekti un 25 līgumi ir pārtraukti vai atsaukti</w:t>
      </w:r>
      <w:r w:rsidR="00A6156E" w:rsidRPr="00603CA3">
        <w:rPr>
          <w:color w:val="000000" w:themeColor="text1"/>
          <w:szCs w:val="24"/>
        </w:rPr>
        <w:t>, un līgumu pārtraukšana notiek pastāvīgi</w:t>
      </w:r>
      <w:r w:rsidRPr="00603CA3">
        <w:rPr>
          <w:color w:val="000000" w:themeColor="text1"/>
          <w:szCs w:val="24"/>
        </w:rPr>
        <w:t>. Galvenās problēmas, kas saistītas ar aktivitātes ieviešanu</w:t>
      </w:r>
      <w:r w:rsidR="00A6156E" w:rsidRPr="00603CA3">
        <w:rPr>
          <w:color w:val="000000" w:themeColor="text1"/>
          <w:szCs w:val="24"/>
        </w:rPr>
        <w:t xml:space="preserve">, </w:t>
      </w:r>
      <w:r w:rsidRPr="00603CA3">
        <w:rPr>
          <w:color w:val="000000" w:themeColor="text1"/>
          <w:szCs w:val="24"/>
        </w:rPr>
        <w:t xml:space="preserve"> ir nekvalitatīva projektu</w:t>
      </w:r>
      <w:r w:rsidR="00A6156E" w:rsidRPr="00603CA3">
        <w:rPr>
          <w:color w:val="000000" w:themeColor="text1"/>
          <w:szCs w:val="24"/>
        </w:rPr>
        <w:t xml:space="preserve"> dokumentācijas sagatavošana</w:t>
      </w:r>
      <w:r w:rsidRPr="00603CA3">
        <w:rPr>
          <w:color w:val="000000" w:themeColor="text1"/>
          <w:szCs w:val="24"/>
        </w:rPr>
        <w:t>, atkārtoti līguma termiņu pagarinājumu pieprasījumi, kā arī nepieciešamība veikt atkārtotas iepirkuma procedūras. Lai nodrošinātu veiksmīgāku aktivitātes īstenošanu, Latvijas Investīciju un attīstības aģentūra turpina aktīvu projektu uzraudzību, veicot iegādāto iekārtu cenu atbilstības tirgus cenām izvērtēšanu.</w:t>
      </w:r>
      <w:r w:rsidR="0076499A">
        <w:rPr>
          <w:color w:val="000000" w:themeColor="text1"/>
          <w:szCs w:val="24"/>
        </w:rPr>
        <w:t xml:space="preserve"> </w:t>
      </w:r>
    </w:p>
    <w:p w:rsidR="001E53C0" w:rsidRPr="00603CA3" w:rsidRDefault="001E53C0" w:rsidP="00603CA3">
      <w:pPr>
        <w:spacing w:line="276" w:lineRule="auto"/>
        <w:rPr>
          <w:b/>
          <w:color w:val="000000" w:themeColor="text1"/>
          <w:szCs w:val="24"/>
        </w:rPr>
      </w:pPr>
      <w:r w:rsidRPr="00603CA3">
        <w:rPr>
          <w:b/>
          <w:color w:val="000000" w:themeColor="text1"/>
          <w:szCs w:val="24"/>
        </w:rPr>
        <w:t xml:space="preserve">1.3.3. Darbības programma </w:t>
      </w:r>
      <w:bookmarkEnd w:id="21"/>
      <w:r w:rsidRPr="00603CA3">
        <w:rPr>
          <w:b/>
          <w:color w:val="000000" w:themeColor="text1"/>
          <w:szCs w:val="24"/>
        </w:rPr>
        <w:t>„Infrastruktūra un pakalpojumi”</w:t>
      </w:r>
    </w:p>
    <w:p w:rsidR="000F06EF" w:rsidRPr="00603CA3" w:rsidRDefault="000F06EF" w:rsidP="00603CA3">
      <w:pPr>
        <w:spacing w:line="276" w:lineRule="auto"/>
        <w:rPr>
          <w:color w:val="000000" w:themeColor="text1"/>
          <w:szCs w:val="24"/>
        </w:rPr>
      </w:pPr>
      <w:r w:rsidRPr="00603CA3">
        <w:rPr>
          <w:color w:val="000000" w:themeColor="text1"/>
          <w:szCs w:val="24"/>
        </w:rPr>
        <w:t xml:space="preserve">Kopumā darbības programmas ietvaros apstiprināto projektu un noslēgto līgumu progress ir neliels, taču vērā ņemami pieauguši ceturkšņa ietvaros veikto maksājumu finansējuma saņēmējiem apjomi, kas liecina par aktīvu projektu ieviešanu. 2011.gada 2.ceturksnī, salīdzinot ar iepriekšējo ceturksni, veikto maksājumu apjoms palielinājies izglītības infrastruktūras projektos, kā arī veselības nozares projektos. Lielākais noslēgto līgumu projektu progress vērojams transporta un energoefektivitātes jomās. </w:t>
      </w:r>
    </w:p>
    <w:p w:rsidR="00746FF9" w:rsidRPr="00603CA3" w:rsidRDefault="000F06EF" w:rsidP="00603CA3">
      <w:pPr>
        <w:spacing w:line="276" w:lineRule="auto"/>
        <w:rPr>
          <w:color w:val="000000" w:themeColor="text1"/>
          <w:szCs w:val="24"/>
        </w:rPr>
      </w:pPr>
      <w:r w:rsidRPr="00603CA3">
        <w:rPr>
          <w:color w:val="000000" w:themeColor="text1"/>
          <w:szCs w:val="24"/>
        </w:rPr>
        <w:t xml:space="preserve"> Ņemot vērā sezonalitātes ietekmi uz infrastruktūras projektiem, lielāks progress darbības programmas ieviešanā sagaidāms 2011.gada 3.ceturksnī. Galvenie projektu ieviešanu kavējošie faktori ir joprojām iepirkumu problēmas (sūdzības, iepirkumu beigšanās bez rezultātiem, problēmas  iepirkumu procedūras norisē), arvien pieaugošs sadārdzinājums autoceļu būvniecības ūdenssaimniecības projektos (detalizētāka informācija sadaļā 1.2.1.„ES struktūrfondu un Kohēzijas fonda finanšu apguves mērķu un prognožu sasniegšana”), problēmas būvdarbu izpildē.</w:t>
      </w:r>
    </w:p>
    <w:p w:rsidR="001E53C0" w:rsidRPr="00603CA3" w:rsidRDefault="001E53C0" w:rsidP="00603CA3">
      <w:pPr>
        <w:spacing w:line="276" w:lineRule="auto"/>
        <w:rPr>
          <w:i/>
          <w:color w:val="000000" w:themeColor="text1"/>
          <w:szCs w:val="24"/>
        </w:rPr>
      </w:pPr>
      <w:r w:rsidRPr="00603CA3">
        <w:rPr>
          <w:color w:val="000000" w:themeColor="text1"/>
          <w:szCs w:val="24"/>
        </w:rPr>
        <w:t>Grafiks Nr.</w:t>
      </w:r>
      <w:r w:rsidR="00771185" w:rsidRPr="00603CA3">
        <w:rPr>
          <w:color w:val="000000" w:themeColor="text1"/>
          <w:szCs w:val="24"/>
        </w:rPr>
        <w:t>6</w:t>
      </w:r>
      <w:r w:rsidRPr="00603CA3">
        <w:rPr>
          <w:i/>
          <w:color w:val="000000" w:themeColor="text1"/>
          <w:szCs w:val="24"/>
        </w:rPr>
        <w:t xml:space="preserve"> „ES fondu finanšu apguve darbības programmā „Infrastruktūra un pakalpojumi; </w:t>
      </w:r>
      <w:proofErr w:type="spellStart"/>
      <w:r w:rsidRPr="00603CA3">
        <w:rPr>
          <w:i/>
          <w:color w:val="000000" w:themeColor="text1"/>
          <w:szCs w:val="24"/>
        </w:rPr>
        <w:t>milj</w:t>
      </w:r>
      <w:proofErr w:type="spellEnd"/>
      <w:r w:rsidRPr="00603CA3">
        <w:rPr>
          <w:i/>
          <w:color w:val="000000" w:themeColor="text1"/>
          <w:szCs w:val="24"/>
        </w:rPr>
        <w:t>. LVL, (% no pieejamā publiskā finansējuma)</w:t>
      </w:r>
      <w:r w:rsidR="00A20B0C" w:rsidRPr="00603CA3">
        <w:rPr>
          <w:i/>
          <w:color w:val="000000" w:themeColor="text1"/>
          <w:szCs w:val="24"/>
        </w:rPr>
        <w:t xml:space="preserve"> uz 30.06.2011.</w:t>
      </w:r>
      <w:r w:rsidRPr="00603CA3">
        <w:rPr>
          <w:i/>
          <w:color w:val="000000" w:themeColor="text1"/>
          <w:szCs w:val="24"/>
        </w:rPr>
        <w:t xml:space="preserve">; % progress pret datiem uz </w:t>
      </w:r>
      <w:bookmarkStart w:id="22" w:name="_MailAutoSig"/>
      <w:r w:rsidRPr="00603CA3">
        <w:rPr>
          <w:i/>
          <w:color w:val="000000" w:themeColor="text1"/>
          <w:szCs w:val="24"/>
        </w:rPr>
        <w:t>31.03.2011.”</w:t>
      </w:r>
    </w:p>
    <w:bookmarkEnd w:id="22"/>
    <w:p w:rsidR="00B54F3B" w:rsidRPr="00603CA3" w:rsidRDefault="00E717CF" w:rsidP="00603CA3">
      <w:pPr>
        <w:spacing w:line="276" w:lineRule="auto"/>
        <w:rPr>
          <w:noProof/>
          <w:color w:val="000000" w:themeColor="text1"/>
          <w:szCs w:val="24"/>
          <w:highlight w:val="yellow"/>
          <w:lang w:eastAsia="lv-LV"/>
        </w:rPr>
      </w:pPr>
      <w:r w:rsidRPr="00603CA3">
        <w:rPr>
          <w:noProof/>
          <w:color w:val="000000" w:themeColor="text1"/>
          <w:szCs w:val="24"/>
          <w:lang w:eastAsia="lv-LV"/>
        </w:rPr>
        <w:lastRenderedPageBreak/>
        <w:drawing>
          <wp:inline distT="0" distB="0" distL="0" distR="0" wp14:anchorId="6DC31F5F" wp14:editId="71976C28">
            <wp:extent cx="5486400" cy="6791325"/>
            <wp:effectExtent l="0" t="0" r="0"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E53C0" w:rsidRPr="00603CA3" w:rsidRDefault="001E53C0" w:rsidP="00603CA3">
      <w:pPr>
        <w:pStyle w:val="NoSpacing"/>
        <w:spacing w:line="276" w:lineRule="auto"/>
        <w:jc w:val="both"/>
        <w:rPr>
          <w:b/>
          <w:color w:val="000000" w:themeColor="text1"/>
        </w:rPr>
      </w:pPr>
      <w:r w:rsidRPr="00603CA3">
        <w:rPr>
          <w:b/>
          <w:color w:val="000000" w:themeColor="text1"/>
        </w:rPr>
        <w:t>„Infrastruktūra cilvēku kapitāla nostiprināšanai”</w:t>
      </w:r>
    </w:p>
    <w:p w:rsidR="000F06EF" w:rsidRPr="00603CA3" w:rsidRDefault="000F06EF" w:rsidP="00603CA3">
      <w:pPr>
        <w:pStyle w:val="Default"/>
        <w:spacing w:line="276" w:lineRule="auto"/>
        <w:jc w:val="both"/>
        <w:rPr>
          <w:color w:val="000000" w:themeColor="text1"/>
        </w:rPr>
      </w:pPr>
      <w:r w:rsidRPr="00603CA3">
        <w:rPr>
          <w:color w:val="000000" w:themeColor="text1"/>
        </w:rPr>
        <w:t xml:space="preserve">Prioritāte vērsta uz mūsdienīgas un augstas kvalitātes pakalpojumu nodrošināšanu izglītības, nodarbinātības, sociālās un veselības aprūpes jomās, atbalstu pamatā novirzot infrastruktūras un aprīkojuma uzlabošanai. </w:t>
      </w:r>
    </w:p>
    <w:p w:rsidR="000F06EF" w:rsidRPr="00603CA3" w:rsidRDefault="000F06EF" w:rsidP="00603CA3">
      <w:pPr>
        <w:spacing w:line="276" w:lineRule="auto"/>
        <w:rPr>
          <w:color w:val="000000" w:themeColor="text1"/>
          <w:szCs w:val="24"/>
        </w:rPr>
      </w:pPr>
      <w:r w:rsidRPr="00603CA3">
        <w:rPr>
          <w:color w:val="000000" w:themeColor="text1"/>
          <w:szCs w:val="24"/>
        </w:rPr>
        <w:t xml:space="preserve">Attiecībā uz maksājumiem finansējuma saņēmējiem, pozitīvi vērtējams progress  infrastruktūras pilnveidošanā sociālās rehabilitācijas pakalpojumu sniegšanai personām ar redzes un dzirdes traucējumiem vērstajā </w:t>
      </w:r>
      <w:proofErr w:type="spellStart"/>
      <w:r w:rsidRPr="00603CA3">
        <w:rPr>
          <w:color w:val="000000" w:themeColor="text1"/>
          <w:szCs w:val="24"/>
        </w:rPr>
        <w:t>apakšaktivitātē</w:t>
      </w:r>
      <w:proofErr w:type="spellEnd"/>
      <w:r w:rsidRPr="00603CA3">
        <w:rPr>
          <w:color w:val="000000" w:themeColor="text1"/>
          <w:szCs w:val="24"/>
        </w:rPr>
        <w:t xml:space="preserve"> (veikti maksājumu par gandrīz trešdaļu no </w:t>
      </w:r>
      <w:proofErr w:type="spellStart"/>
      <w:r w:rsidRPr="00603CA3">
        <w:rPr>
          <w:color w:val="000000" w:themeColor="text1"/>
          <w:szCs w:val="24"/>
        </w:rPr>
        <w:t>apakšaktivitātei</w:t>
      </w:r>
      <w:proofErr w:type="spellEnd"/>
      <w:r w:rsidRPr="00603CA3">
        <w:rPr>
          <w:color w:val="000000" w:themeColor="text1"/>
          <w:szCs w:val="24"/>
        </w:rPr>
        <w:t xml:space="preserve"> pieejamā publiskā finansējuma), kā arī izglītības infrastruktūras uzlabošanas vispārējo prasmju nodrošināšanai jomā kopumā ceturkšņa ietvaros veikti maksājumi finansējuma saņēmējiem 1.5% jeb ap 1 </w:t>
      </w:r>
      <w:proofErr w:type="spellStart"/>
      <w:r w:rsidRPr="00603CA3">
        <w:rPr>
          <w:color w:val="000000" w:themeColor="text1"/>
          <w:szCs w:val="24"/>
        </w:rPr>
        <w:t>milj</w:t>
      </w:r>
      <w:proofErr w:type="spellEnd"/>
      <w:r w:rsidRPr="00603CA3">
        <w:rPr>
          <w:color w:val="000000" w:themeColor="text1"/>
          <w:szCs w:val="24"/>
        </w:rPr>
        <w:t xml:space="preserve">. latu no pasākumam pieejamā </w:t>
      </w:r>
      <w:r w:rsidRPr="00603CA3">
        <w:rPr>
          <w:color w:val="000000" w:themeColor="text1"/>
          <w:szCs w:val="24"/>
        </w:rPr>
        <w:lastRenderedPageBreak/>
        <w:t xml:space="preserve">publiskā finansējuma, savukārt </w:t>
      </w:r>
      <w:proofErr w:type="spellStart"/>
      <w:r w:rsidRPr="00603CA3">
        <w:rPr>
          <w:color w:val="000000" w:themeColor="text1"/>
          <w:szCs w:val="24"/>
        </w:rPr>
        <w:t>apakšaktivitātē</w:t>
      </w:r>
      <w:proofErr w:type="spellEnd"/>
      <w:r w:rsidRPr="00603CA3">
        <w:rPr>
          <w:color w:val="000000" w:themeColor="text1"/>
          <w:szCs w:val="24"/>
        </w:rPr>
        <w:t xml:space="preserve">, kas vērsta uz speciālo izglītības iestāžu infrastruktūras un aprīkojuma uzlabošanu, ceturkšņa ietvaros veikti maksājumi par piekto daļu no </w:t>
      </w:r>
      <w:proofErr w:type="spellStart"/>
      <w:r w:rsidRPr="00603CA3">
        <w:rPr>
          <w:color w:val="000000" w:themeColor="text1"/>
          <w:szCs w:val="24"/>
        </w:rPr>
        <w:t>apakšaktivitātei</w:t>
      </w:r>
      <w:proofErr w:type="spellEnd"/>
      <w:r w:rsidRPr="00603CA3">
        <w:rPr>
          <w:color w:val="000000" w:themeColor="text1"/>
          <w:szCs w:val="24"/>
        </w:rPr>
        <w:t xml:space="preserve"> pieejamā publiskā finansējuma. Lai gan atsevišķās prioritātes aktivitātēs veikto maksājumu progress atbilst atbildīgo iestāžu noteiktajiem apguves mērķiem, kopumā finanšu apguves mērķu sasniegšana kavējas. </w:t>
      </w:r>
    </w:p>
    <w:p w:rsidR="000F06EF" w:rsidRPr="00603CA3" w:rsidRDefault="000F06EF" w:rsidP="00603CA3">
      <w:pPr>
        <w:spacing w:line="276" w:lineRule="auto"/>
        <w:rPr>
          <w:color w:val="000000" w:themeColor="text1"/>
          <w:szCs w:val="24"/>
        </w:rPr>
      </w:pPr>
      <w:r w:rsidRPr="00603CA3">
        <w:rPr>
          <w:color w:val="000000" w:themeColor="text1"/>
          <w:szCs w:val="24"/>
        </w:rPr>
        <w:t>Situācijā, kad prioritātē noslēgti līgumi par projektu īstenošanu par 87% un progress vērojams tieši finansējuma saņēmējiem izmaksātā finansējuma par projektu īstenošanu ziņā, parāda, ka lielākā daļa projektu nonākuši to īstenošanas stadijā un kontekstā ar aktīvu būvniecības sezonu turpmākajos ceturkšņos sagaidāmi arī lielāki sasniegtie rezultāti.</w:t>
      </w:r>
    </w:p>
    <w:p w:rsidR="000F06EF" w:rsidRPr="00603CA3" w:rsidRDefault="000F06EF" w:rsidP="00603CA3">
      <w:pPr>
        <w:spacing w:line="276" w:lineRule="auto"/>
        <w:rPr>
          <w:color w:val="000000" w:themeColor="text1"/>
          <w:szCs w:val="24"/>
        </w:rPr>
      </w:pPr>
      <w:r w:rsidRPr="00603CA3">
        <w:rPr>
          <w:b/>
          <w:color w:val="000000" w:themeColor="text1"/>
          <w:szCs w:val="24"/>
        </w:rPr>
        <w:t>Izglītības jomā</w:t>
      </w:r>
      <w:r w:rsidRPr="00603CA3">
        <w:rPr>
          <w:color w:val="000000" w:themeColor="text1"/>
          <w:szCs w:val="24"/>
        </w:rPr>
        <w:t xml:space="preserve"> turpinājusies projektu ieviešana - remontdarbi izglītības iestādēs, iepirkumu veikšana un iepirkumu līgumu slēgšana. Pozitīvi vērtējams fakts, ka  līdz pārskata perioda beigām 71 vispārējās izglītības iestādē ir modernizēti dabas zinātņu kabineti, 19 speciālās izglītības iestādēs uzlabota infrastruktūra un mācību vide un 25 vispārējās izglītības iestādēs telpas pielāgotas skolēniem ar funkcionāliem traucējumiem , tādejādi padarot mācību procesu skolās gan kvalitatīvāku, gan pieejamāku. Jāatzīmē, ka faktiski remontdarbi beigušies vēl daudzās izglītības iestādēs, taču nav pabeigta mēbeļu un aprīkojuma iegāde un uzstādīšana. Savukārt otrā ceturkšņa beigās un trešajā ceturksnī sagaidāma aktīvākā projektu īstenošana, jo lielākajā daļā izglītības iestāžu aktīvus remontdarbus ir iespējams veikt tikai vasaras brīvdienās, kad telpas nav noslogotas. Ņemot vērā iepriekšējās vasaras pieredzi, šogad iepirkumi ir tikuši īpaši plānoti un organizēti, nosakot detalizētākas prasības iepirkuma dalībniekiem tā, lai uzņēmumi, kas uzvar iepirkumu konkursos, būtu spējīgi nodrošināt nepieciešamo tehnisko nodrošinājumu un darbaspēku darbu savlaicīgai veikšanai pirms nākošā mācību gada uzsākšanas.</w:t>
      </w:r>
    </w:p>
    <w:p w:rsidR="000F06EF" w:rsidRPr="00603CA3" w:rsidRDefault="000F06EF" w:rsidP="00603CA3">
      <w:pPr>
        <w:autoSpaceDE w:val="0"/>
        <w:autoSpaceDN w:val="0"/>
        <w:adjustRightInd w:val="0"/>
        <w:spacing w:line="276" w:lineRule="auto"/>
        <w:rPr>
          <w:color w:val="000000" w:themeColor="text1"/>
          <w:szCs w:val="24"/>
        </w:rPr>
      </w:pPr>
      <w:r w:rsidRPr="00603CA3">
        <w:rPr>
          <w:color w:val="000000" w:themeColor="text1"/>
          <w:szCs w:val="24"/>
        </w:rPr>
        <w:t xml:space="preserve">Vērtējot kopējo izglītības jomā noteikto mērķi maksājumiem finansējuma saņēmējiem, secināms, kā 2011.gada 2.ceturksnī tas nav izpildīts, neskatoties uz to, ka iestādes izdevumus pa mēnešiem plānoja ļoti piesardzīgi un nenoteica pārlieku lielus izpildes mērķus. Galvenie kavējumu iemesli ir iepriekšminētas iepirkumu problēmas, kā arī konstatētas neatbilstības projektu ietvaros, kā rezultātā netiek veikti maksājumi finansējuma saņēmējiem. 3.1.1. pasākuma „Profesionālās izglītības infrastruktūra” īstenošanas lēnā gaita saistīta arī ar notiekošajām reformām profesionālajā izglītībā, </w:t>
      </w:r>
      <w:proofErr w:type="spellStart"/>
      <w:r w:rsidRPr="00603CA3">
        <w:rPr>
          <w:color w:val="000000" w:themeColor="text1"/>
          <w:szCs w:val="24"/>
        </w:rPr>
        <w:t>t.sk</w:t>
      </w:r>
      <w:proofErr w:type="spellEnd"/>
      <w:r w:rsidRPr="00603CA3">
        <w:rPr>
          <w:color w:val="000000" w:themeColor="text1"/>
          <w:szCs w:val="24"/>
        </w:rPr>
        <w:t>. izglītības iestāžu reorganizāciju, kā rezultātā 3.1.1.1.aktivitātes „Mācību aprīkojuma modernizācija un infrastruktūras uzlabošana profesionālās izglītības programmu īstenošanai” projektos iesaistītās profesionālās izglītības iestādes tiek apvienotas un attiecīgi projektos veicamās darbības precizētas, lai sekmētu ieguldījumu efektivitāti, atbilstību īstenotajām reformām un no</w:t>
      </w:r>
      <w:r w:rsidR="00AB0D59" w:rsidRPr="00603CA3">
        <w:rPr>
          <w:color w:val="000000" w:themeColor="text1"/>
          <w:szCs w:val="24"/>
        </w:rPr>
        <w:t>drošinātu ieguldījumu ilgtspēju</w:t>
      </w:r>
      <w:r w:rsidRPr="00603CA3">
        <w:rPr>
          <w:color w:val="000000" w:themeColor="text1"/>
          <w:szCs w:val="24"/>
        </w:rPr>
        <w:t>. Izglītības un zinātnes ministrija ir izvērtējusi notiekošās reformas izglītības iestāžu tīkla optimizācijā un tās iespējamo ietekmi uz ES fondu ieviešanu, un attiecīgi izdevusi iekšējo normatīvo aktu, kas nodrošina pastiprinātu uzraudzību ES fondu ieguldījumu ilgtspējas nodrošināšanai.</w:t>
      </w:r>
    </w:p>
    <w:p w:rsidR="000F06EF" w:rsidRPr="00603CA3" w:rsidRDefault="000F06EF" w:rsidP="00603CA3">
      <w:pPr>
        <w:spacing w:line="276" w:lineRule="auto"/>
        <w:rPr>
          <w:color w:val="000000" w:themeColor="text1"/>
          <w:szCs w:val="24"/>
          <w:highlight w:val="yellow"/>
        </w:rPr>
      </w:pPr>
      <w:r w:rsidRPr="00603CA3">
        <w:rPr>
          <w:color w:val="000000" w:themeColor="text1"/>
          <w:szCs w:val="24"/>
        </w:rPr>
        <w:t xml:space="preserve">Vienlaikus, ņemot vērā MK </w:t>
      </w:r>
      <w:proofErr w:type="spellStart"/>
      <w:r w:rsidRPr="00603CA3">
        <w:rPr>
          <w:color w:val="000000" w:themeColor="text1"/>
          <w:szCs w:val="24"/>
        </w:rPr>
        <w:t>protokollēmumos</w:t>
      </w:r>
      <w:proofErr w:type="spellEnd"/>
      <w:r w:rsidRPr="00603CA3">
        <w:rPr>
          <w:color w:val="000000" w:themeColor="text1"/>
          <w:szCs w:val="24"/>
        </w:rPr>
        <w:t xml:space="preserve"> noteikto rīcību neatbilstoši veiktu izdevumu gadījumos (ja konstatēti neatbilstoši veikti izdevumi virs 85 latiem – dienesta pārbaude un disciplinārlieta), turpmākā finansējuma apguve būs ļoti piesardzīga, kas turpmākajos pārskata periodos var radīt būtiski lielākus piešķirtā finansējuma atlikumus.</w:t>
      </w:r>
    </w:p>
    <w:p w:rsidR="00AB0D59" w:rsidRPr="00603CA3" w:rsidRDefault="000F06EF" w:rsidP="00603CA3">
      <w:pPr>
        <w:spacing w:line="276" w:lineRule="auto"/>
        <w:rPr>
          <w:color w:val="000000" w:themeColor="text1"/>
          <w:szCs w:val="24"/>
        </w:rPr>
      </w:pPr>
      <w:r w:rsidRPr="00603CA3">
        <w:rPr>
          <w:color w:val="000000" w:themeColor="text1"/>
          <w:szCs w:val="24"/>
        </w:rPr>
        <w:t xml:space="preserve">Vienlaikus jāatzīmē, ka 2011.gada 2.ceturksnī tika konstatēti atsevišķi gadījumi, kuros kontekstā ar īstenoto izglītības  reformu valstī, reorganizāciju rezultātā pastāv risks, ka ES </w:t>
      </w:r>
      <w:r w:rsidRPr="00603CA3">
        <w:rPr>
          <w:color w:val="000000" w:themeColor="text1"/>
          <w:szCs w:val="24"/>
        </w:rPr>
        <w:lastRenderedPageBreak/>
        <w:t xml:space="preserve">fondu projektu ietvaros nebūs nodrošināta </w:t>
      </w:r>
      <w:r w:rsidR="00126E4E" w:rsidRPr="00603CA3">
        <w:rPr>
          <w:color w:val="000000" w:themeColor="text1"/>
          <w:szCs w:val="24"/>
        </w:rPr>
        <w:t xml:space="preserve">sasniegto rezultātu </w:t>
      </w:r>
      <w:r w:rsidRPr="00603CA3">
        <w:rPr>
          <w:color w:val="000000" w:themeColor="text1"/>
          <w:szCs w:val="24"/>
        </w:rPr>
        <w:t xml:space="preserve">ilgtspēja. Finanšu ministrija lūdza Izglītības un zinātnes ministriju kā atbildīgo iestādi par ERAF līdzfinansētajām izglītības infrastruktūras aktivitātēm informēt par rīcības plānu, pasākumiem, kas veikti un plānoti, lai šī plānotā reorganizācija noritētu ar pēc iespējas mazākiem zaudējumiem valsts budžetam, tai skaitā ES fondu projektu ietvaros nenotiktu nelietderīga līdzekļu izmantošana un nerastos neattiecināmie izdevumi. </w:t>
      </w:r>
      <w:r w:rsidR="0054698C" w:rsidRPr="00603CA3">
        <w:rPr>
          <w:color w:val="000000" w:themeColor="text1"/>
          <w:szCs w:val="24"/>
        </w:rPr>
        <w:t>Izglītības un zinātnes ministrija sniegusi informāciju par izstrādātajiem papildu uzraudzības pasākumiem projektu ilgtspējas nodrošināšanā, piemēram,  izstrādājusi kārtības, kādā ministrijā tiek nodrošināta informācijas aprite, kādā saskaņojami ministrijas sniegtie atzinumi par pašvaldības izglītības iestāžu reorganizāciju vai slēgšanu.</w:t>
      </w:r>
    </w:p>
    <w:p w:rsidR="000F06EF" w:rsidRPr="00603CA3" w:rsidRDefault="000F06EF" w:rsidP="00603CA3">
      <w:pPr>
        <w:spacing w:line="276" w:lineRule="auto"/>
        <w:rPr>
          <w:color w:val="000000" w:themeColor="text1"/>
          <w:szCs w:val="24"/>
        </w:rPr>
      </w:pPr>
      <w:r w:rsidRPr="00603CA3">
        <w:rPr>
          <w:color w:val="000000" w:themeColor="text1"/>
          <w:szCs w:val="24"/>
        </w:rPr>
        <w:t>Pasākuma „</w:t>
      </w:r>
      <w:r w:rsidRPr="00603CA3">
        <w:rPr>
          <w:b/>
          <w:color w:val="000000" w:themeColor="text1"/>
          <w:szCs w:val="24"/>
        </w:rPr>
        <w:t>Veselības aprūpes infrastruktūra</w:t>
      </w:r>
      <w:r w:rsidRPr="00603CA3">
        <w:rPr>
          <w:color w:val="000000" w:themeColor="text1"/>
          <w:szCs w:val="24"/>
        </w:rPr>
        <w:t xml:space="preserve">” ietvaros turpinājusies visu uzsākto projektu īstenošana, pārskata periodā veikti maksājumi finansējuma saņēmējiem 4.5 </w:t>
      </w:r>
      <w:proofErr w:type="spellStart"/>
      <w:r w:rsidRPr="00603CA3">
        <w:rPr>
          <w:color w:val="000000" w:themeColor="text1"/>
          <w:szCs w:val="24"/>
        </w:rPr>
        <w:t>milj</w:t>
      </w:r>
      <w:proofErr w:type="spellEnd"/>
      <w:r w:rsidRPr="00603CA3">
        <w:rPr>
          <w:color w:val="000000" w:themeColor="text1"/>
          <w:szCs w:val="24"/>
        </w:rPr>
        <w:t>. latu apmērā. Pasākuma ietvaros vislielākais progress bija vērojams aktivitātē, kas vērsta uz veselības aprūpes centru attīstību. Pārskata periodā ir pabeigts projekts „Ogres rajona slimnīcas attīstība”, rezultātā ir uzbūvēts un nodots ekspluatācijā jauns slimnīcas korpuss. Jaunais korpuss ir savienots ar slimnīcas galveno korpusu, tādējādi īstenojot projekta mērķi - uzlabot ambulatoro un stacionāro pacientu aprūpes kvalitāti, izmaksu efektivitāti un pieejamību Ogres rajona un pieguļošo rajonu iedzīvotājiem, kas ir panākts ar pacientu, medicīniskā personāla un medicīnisko tehnoloģiju racionālu izvietojumu un vienlaicīgi ļauj samazināt slimnīcas uzturēšanas izdevumus.</w:t>
      </w:r>
    </w:p>
    <w:p w:rsidR="000F06EF" w:rsidRPr="00603CA3" w:rsidRDefault="000F06EF" w:rsidP="00603CA3">
      <w:pPr>
        <w:spacing w:line="276" w:lineRule="auto"/>
        <w:rPr>
          <w:color w:val="000000" w:themeColor="text1"/>
          <w:szCs w:val="24"/>
        </w:rPr>
      </w:pPr>
      <w:r w:rsidRPr="00603CA3">
        <w:rPr>
          <w:b/>
          <w:color w:val="000000" w:themeColor="text1"/>
          <w:szCs w:val="24"/>
        </w:rPr>
        <w:t>Nodarbinātības un sociālo pakalpojumu infrastruktūras</w:t>
      </w:r>
      <w:r w:rsidRPr="00603CA3">
        <w:rPr>
          <w:color w:val="000000" w:themeColor="text1"/>
          <w:szCs w:val="24"/>
        </w:rPr>
        <w:t xml:space="preserve"> aktivitāšu ietvaros jau līdz pārskata perioda sākumam apstiprināti projekti un noslēgti līgumi par visu piešķirto finansējumu, savukārt maksājumi finansējuma saņēmējiem veikti par 73%. </w:t>
      </w:r>
    </w:p>
    <w:p w:rsidR="000F06EF" w:rsidRPr="00603CA3" w:rsidRDefault="000F06EF" w:rsidP="00603CA3">
      <w:pPr>
        <w:spacing w:line="276" w:lineRule="auto"/>
        <w:rPr>
          <w:color w:val="000000" w:themeColor="text1"/>
          <w:szCs w:val="24"/>
        </w:rPr>
      </w:pPr>
      <w:r w:rsidRPr="00603CA3">
        <w:rPr>
          <w:color w:val="000000" w:themeColor="text1"/>
          <w:szCs w:val="24"/>
        </w:rPr>
        <w:t xml:space="preserve">Pozitīvi atzīmējams progress darba tirgus institūciju infrastruktūras pilnveidošanas aktivitātē, kur veikto maksājumu summa pārskata periodā palielinājusies par 9% un kopā ir 75% no aktivitātei piešķirtā finansējuma. </w:t>
      </w:r>
    </w:p>
    <w:p w:rsidR="000F06EF" w:rsidRPr="00603CA3" w:rsidRDefault="000F06EF" w:rsidP="00603CA3">
      <w:pPr>
        <w:pStyle w:val="NoSpacing"/>
        <w:spacing w:line="276" w:lineRule="auto"/>
        <w:jc w:val="both"/>
        <w:rPr>
          <w:color w:val="000000" w:themeColor="text1"/>
        </w:rPr>
      </w:pPr>
      <w:r w:rsidRPr="00603CA3">
        <w:rPr>
          <w:color w:val="000000" w:themeColor="text1"/>
        </w:rPr>
        <w:t xml:space="preserve">Savukārt, uz pirmsskolas izglītības iestāžu infrastruktūras attīstību nacionālās un reģionālas nozīmes attīstības centros vērstajā aktivitātē 2011.gada II. ceturksnī tika pabeigti četri projekti: „Valkas pilsētas pirmsskolas izglītības iestādes „Pasaciņa” telpu renovācija”, „Gulbenes pilsētas pirmsskolas izglītības iestāžu renovācija 2.kārta”, „Cēsu pilsētas pirmsskolas izglītības iestāžu renovācija” un „Pirmsskolas izglītības iestāžu infrastruktūras attīstība Rēzeknes pilsētā”. Līdz ar to, plānošanas perioda ietvaros līdz 2011.gada 30.jūnijam tika renovētas vai labiekārtotas jau 36 pirmsskolas izglītības iestādes jeb 300% no 2013.gada mērķa, kā arī paplašinātas vai uzceltas 12 pirmsskolas izglītības iestādes jeb 63% no 2013.gada mērķa. Mērķa pārsniegšana bija iespējama projektu izdevumu samazināšanas dēļ un par pieejamo finansējumu bija iespējams īstenot vairāk projektu nekā sākotnēji bija plānots. </w:t>
      </w:r>
    </w:p>
    <w:p w:rsidR="000F06EF" w:rsidRPr="00603CA3" w:rsidRDefault="000F06EF" w:rsidP="00603CA3">
      <w:pPr>
        <w:pStyle w:val="NoSpacing"/>
        <w:spacing w:line="276" w:lineRule="auto"/>
        <w:jc w:val="both"/>
        <w:rPr>
          <w:color w:val="000000" w:themeColor="text1"/>
        </w:rPr>
      </w:pPr>
      <w:r w:rsidRPr="00603CA3">
        <w:rPr>
          <w:color w:val="000000" w:themeColor="text1"/>
        </w:rPr>
        <w:t xml:space="preserve">Tāpat pārskata periodā tika atbalstīti seši alternatīvās aprūpes centri Jaunjelgavā, Ķekavā, Iecavā, Līvānos, Varakļānos un Aglonā. Līdz ar to plānošanas perioda ietvaros līdz 2011.gada 30.jūnijam kopumā ir renovēti vai rekonstruēti 22 alternatīvās aprūpes centri, kas veido 169% no 2013.gada mērķa. Mērķa pārsniegšana bija iespējama projektu izdevumu samazināšanas dēļ. Līdz ar to par pieejamo finansējumu bija iespējams atbalstīt vairāk alternatīvās aprūpes centru nekā sākotnēji bija plānots. Atbalstīto alternatīvās aprūpes centru pakalpojumus var izmantot 5 844 personas. Tas pārsniedz 2013.gada noteikto mērķi – 500 alternatīvās aprūpes centru pakalpojumu izmantojošās personas. Ņemot vērā, ka administratīvi teritoriālās </w:t>
      </w:r>
      <w:r w:rsidRPr="00603CA3">
        <w:rPr>
          <w:color w:val="000000" w:themeColor="text1"/>
        </w:rPr>
        <w:lastRenderedPageBreak/>
        <w:t>reformas rezultātā, apvienojoties pagastiem, paplašinājās pašvaldības administratīvā teritorija, palielinājās arī potenciālais personu skaits, kas saņems alternatīvās aprūpes pakalpojumus.</w:t>
      </w:r>
    </w:p>
    <w:p w:rsidR="000F06EF" w:rsidRPr="00603CA3" w:rsidRDefault="000F06EF" w:rsidP="00603CA3">
      <w:pPr>
        <w:pStyle w:val="NoSpacing"/>
        <w:spacing w:line="276" w:lineRule="auto"/>
        <w:jc w:val="both"/>
        <w:rPr>
          <w:b/>
          <w:color w:val="000000" w:themeColor="text1"/>
        </w:rPr>
      </w:pPr>
      <w:r w:rsidRPr="00603CA3">
        <w:rPr>
          <w:b/>
          <w:color w:val="000000" w:themeColor="text1"/>
        </w:rPr>
        <w:t>„Teritoriju pieejamības un sasniedzamības veicināšana”</w:t>
      </w:r>
    </w:p>
    <w:p w:rsidR="000F06EF" w:rsidRPr="00603CA3" w:rsidRDefault="000F06EF" w:rsidP="00603CA3">
      <w:pPr>
        <w:spacing w:line="276" w:lineRule="auto"/>
        <w:rPr>
          <w:color w:val="000000" w:themeColor="text1"/>
          <w:szCs w:val="24"/>
        </w:rPr>
      </w:pPr>
      <w:r w:rsidRPr="00603CA3">
        <w:rPr>
          <w:color w:val="000000" w:themeColor="text1"/>
          <w:szCs w:val="24"/>
        </w:rPr>
        <w:t xml:space="preserve">Prioritāte vērsta uz dažādu valsts teritorijas daļu sasniedzamību un pakalpojumu pieejamību iedzīvotājiem, to panākot ar informācijas komunikācijas tehnoloģiju attīstību, elektroniskās pārvaldes ieviešanu un reģionālās nozīmes transporta savienojumu uzlabošanu. </w:t>
      </w:r>
    </w:p>
    <w:p w:rsidR="000F06EF" w:rsidRPr="00603CA3" w:rsidRDefault="000F06EF" w:rsidP="00603CA3">
      <w:pPr>
        <w:spacing w:line="276" w:lineRule="auto"/>
        <w:rPr>
          <w:color w:val="000000" w:themeColor="text1"/>
          <w:szCs w:val="24"/>
        </w:rPr>
      </w:pPr>
      <w:r w:rsidRPr="00603CA3">
        <w:rPr>
          <w:color w:val="000000" w:themeColor="text1"/>
          <w:szCs w:val="24"/>
        </w:rPr>
        <w:t xml:space="preserve">Prioritātes ietvaros </w:t>
      </w:r>
      <w:proofErr w:type="spellStart"/>
      <w:r w:rsidRPr="00603CA3">
        <w:rPr>
          <w:color w:val="000000" w:themeColor="text1"/>
          <w:szCs w:val="24"/>
        </w:rPr>
        <w:t>š.g</w:t>
      </w:r>
      <w:proofErr w:type="spellEnd"/>
      <w:r w:rsidRPr="00603CA3">
        <w:rPr>
          <w:color w:val="000000" w:themeColor="text1"/>
          <w:szCs w:val="24"/>
        </w:rPr>
        <w:t>. 2.cetruksnī būtisks progress projektu apstiprināšanā un līgumu slēgšanā nav vērojams. Izņēmums ir aktivitāte, kas saistīta ar publiskā transporta infrastruktūras uzlabošanu ārpus Rīgas, kurā pārskata periodā noslēgti divi līgumi par visu aktivitātei pieejamo finansējumu. Minēto projektu ietvaros tiks veikta Daugavpils pilsētas tramvaju transporta infrastruktūras renovācija un jaunas tramvaja līnijas izbūve un esošo sliežu posmu rekonstrukcija Liepājā, tādejādi ne tikai uzlabojot pilsētu transporta infrastruktūru, bet arī padarot publisko transportu pievilcīgāku un pieejamāku iedzīvotājiem, rosinot tos atteikties no privātā transporta izmantošanas ikdienā.</w:t>
      </w:r>
    </w:p>
    <w:p w:rsidR="000F06EF" w:rsidRPr="00603CA3" w:rsidRDefault="000F06EF" w:rsidP="00603CA3">
      <w:pPr>
        <w:spacing w:line="276" w:lineRule="auto"/>
        <w:rPr>
          <w:color w:val="000000" w:themeColor="text1"/>
          <w:szCs w:val="24"/>
        </w:rPr>
      </w:pPr>
      <w:r w:rsidRPr="00603CA3">
        <w:rPr>
          <w:color w:val="000000" w:themeColor="text1"/>
          <w:szCs w:val="24"/>
        </w:rPr>
        <w:t xml:space="preserve">Veikto maksājumu finansējuma saņēmējiem apmērs </w:t>
      </w:r>
      <w:proofErr w:type="spellStart"/>
      <w:r w:rsidRPr="00603CA3">
        <w:rPr>
          <w:color w:val="000000" w:themeColor="text1"/>
          <w:szCs w:val="24"/>
        </w:rPr>
        <w:t>š.g</w:t>
      </w:r>
      <w:proofErr w:type="spellEnd"/>
      <w:r w:rsidRPr="00603CA3">
        <w:rPr>
          <w:color w:val="000000" w:themeColor="text1"/>
          <w:szCs w:val="24"/>
        </w:rPr>
        <w:t xml:space="preserve">. 2.cetruksnī nav būtisks. Pozitīvi vērtējams progress </w:t>
      </w:r>
      <w:proofErr w:type="spellStart"/>
      <w:r w:rsidRPr="00603CA3">
        <w:rPr>
          <w:color w:val="000000" w:themeColor="text1"/>
          <w:szCs w:val="24"/>
        </w:rPr>
        <w:t>tranzītielu</w:t>
      </w:r>
      <w:proofErr w:type="spellEnd"/>
      <w:r w:rsidRPr="00603CA3">
        <w:rPr>
          <w:color w:val="000000" w:themeColor="text1"/>
          <w:szCs w:val="24"/>
        </w:rPr>
        <w:t xml:space="preserve"> sakārtošanas projektos, kuru veikti maksājumi finansējuma saņēmējiem vairāk kā par 3.4 </w:t>
      </w:r>
      <w:proofErr w:type="spellStart"/>
      <w:r w:rsidRPr="00603CA3">
        <w:rPr>
          <w:color w:val="000000" w:themeColor="text1"/>
          <w:szCs w:val="24"/>
        </w:rPr>
        <w:t>milj</w:t>
      </w:r>
      <w:proofErr w:type="spellEnd"/>
      <w:r w:rsidRPr="00603CA3">
        <w:rPr>
          <w:color w:val="000000" w:themeColor="text1"/>
          <w:szCs w:val="24"/>
        </w:rPr>
        <w:t xml:space="preserve">. latu jeb 6% no aktivitātei pieejamā publiskā finansējuma. </w:t>
      </w:r>
    </w:p>
    <w:p w:rsidR="000F06EF" w:rsidRPr="00603CA3" w:rsidRDefault="000F06EF" w:rsidP="00603CA3">
      <w:pPr>
        <w:spacing w:line="276" w:lineRule="auto"/>
        <w:rPr>
          <w:color w:val="000000" w:themeColor="text1"/>
          <w:szCs w:val="24"/>
        </w:rPr>
      </w:pPr>
      <w:r w:rsidRPr="00603CA3">
        <w:rPr>
          <w:color w:val="000000" w:themeColor="text1"/>
          <w:szCs w:val="24"/>
        </w:rPr>
        <w:t xml:space="preserve">Satiksmes infrastruktūras jomā projektu ieviešanu kavējušas problēmas iepirkumos (pārsūdzības, nepilnīgas iepirkuma dokumentācijas, kuras tikušas pārstrādātas un uzlabotas un iepirkums ticis izsludināts atkāroti). Savukārt aktivitātē, kuras ietvaros tiek sakārtoti valsts 1.šķiras autoceļu maršruti, pašlaik nevar apgūt finansējumu pilnībā, jo finansējums ir sadalīts pa reģionālajām kvotām, kas ierobežo projektu atlasi. Pēc iepirkuma procedūru pabeigšanas apstiprināto projektu ietvaros tiks noteikts ietaupījums, kas būs radies katrā attiecīgajā reģionā, un, ņemot vērā atlikušo finansējumu, kurš iepriekšējā atlases kārtā nav apgūts, tiks izsludināta nākamā projektu iesniegumu atlases kārta. </w:t>
      </w:r>
    </w:p>
    <w:p w:rsidR="000F06EF" w:rsidRPr="00603CA3" w:rsidRDefault="000F06EF" w:rsidP="00603CA3">
      <w:pPr>
        <w:spacing w:line="276" w:lineRule="auto"/>
        <w:rPr>
          <w:color w:val="000000" w:themeColor="text1"/>
          <w:szCs w:val="24"/>
        </w:rPr>
      </w:pPr>
      <w:r w:rsidRPr="00603CA3">
        <w:rPr>
          <w:color w:val="000000" w:themeColor="text1"/>
          <w:szCs w:val="24"/>
        </w:rPr>
        <w:t xml:space="preserve">Ņemot vērā, ka radītājs autoceļu projektos par sasniegtu tiek uzskatīts tikai pēc pilnīgas projekta pabeigšanas un to, ka visos apstiprinātajos projektos šobrīd norit intensīvs darbs, rādītāji prioritātes ietvaros būs sasniegti pēc projektu īstenošanas, kad arī varēs izvērtēt kopējo ES fondu ietekmi uz transporta nozari un ekonomisko labumu, ko ES fondi snieguši. Taču jau tagad viennozīmīgi var minēt, ka aktivitāšu ieviešana pieejamības un transporta sistēmas attīstības ietvaros uzlabojusi ceļu kvalitāti un satiksmes drošību, sniedzot pozitīvu ietekmi uz visiem satiksmē iesaistītajiem dalībniekiem, kas ir ļoti būtiski. </w:t>
      </w:r>
    </w:p>
    <w:p w:rsidR="000F06EF" w:rsidRPr="00603CA3" w:rsidRDefault="000F06EF" w:rsidP="00603CA3">
      <w:pPr>
        <w:spacing w:line="276" w:lineRule="auto"/>
        <w:rPr>
          <w:color w:val="000000" w:themeColor="text1"/>
          <w:szCs w:val="24"/>
        </w:rPr>
      </w:pPr>
      <w:r w:rsidRPr="00603CA3">
        <w:rPr>
          <w:b/>
          <w:color w:val="000000" w:themeColor="text1"/>
          <w:szCs w:val="24"/>
        </w:rPr>
        <w:t xml:space="preserve">Informācijas un komunikāciju tehnoloģiju nozares </w:t>
      </w:r>
      <w:r w:rsidRPr="00603CA3">
        <w:rPr>
          <w:color w:val="000000" w:themeColor="text1"/>
          <w:szCs w:val="24"/>
        </w:rPr>
        <w:t>projektos 2.ceturksnī nav vērojams būtisks progress. Pirmie sasniegtie rezultāti aktivitātē, kas saistīta ar informācijas sistēmu un elektronisko pakalpojumu izveidi, plānoti šā gada otrajā pusgadā, kad noslēgsies vairāku projektu īstenošana.</w:t>
      </w:r>
    </w:p>
    <w:p w:rsidR="000F06EF" w:rsidRPr="00603CA3" w:rsidRDefault="000F06EF" w:rsidP="00603CA3">
      <w:pPr>
        <w:spacing w:line="276" w:lineRule="auto"/>
        <w:rPr>
          <w:color w:val="000000" w:themeColor="text1"/>
          <w:szCs w:val="24"/>
        </w:rPr>
      </w:pPr>
      <w:r w:rsidRPr="00603CA3">
        <w:rPr>
          <w:color w:val="000000" w:themeColor="text1"/>
          <w:szCs w:val="24"/>
        </w:rPr>
        <w:t xml:space="preserve">Progress veikto maksājumu finansējuma saņēmējiem apjomā vērojams tikai </w:t>
      </w:r>
      <w:proofErr w:type="spellStart"/>
      <w:r w:rsidRPr="00603CA3">
        <w:rPr>
          <w:color w:val="000000" w:themeColor="text1"/>
          <w:szCs w:val="24"/>
        </w:rPr>
        <w:t>apakšaktivitātē</w:t>
      </w:r>
      <w:proofErr w:type="spellEnd"/>
      <w:r w:rsidRPr="00603CA3">
        <w:rPr>
          <w:color w:val="000000" w:themeColor="text1"/>
          <w:szCs w:val="24"/>
        </w:rPr>
        <w:t xml:space="preserve">, kas saistīta ar informāciju sistēmu un elektronisko pakalpojumu attīstību, kur veikti maksājumi finansējuma saņēmējiem par 16.3 </w:t>
      </w:r>
      <w:proofErr w:type="spellStart"/>
      <w:r w:rsidRPr="00603CA3">
        <w:rPr>
          <w:color w:val="000000" w:themeColor="text1"/>
          <w:szCs w:val="24"/>
        </w:rPr>
        <w:t>milj</w:t>
      </w:r>
      <w:proofErr w:type="spellEnd"/>
      <w:r w:rsidRPr="00603CA3">
        <w:rPr>
          <w:color w:val="000000" w:themeColor="text1"/>
          <w:szCs w:val="24"/>
        </w:rPr>
        <w:t xml:space="preserve">. latu jeb 17% no </w:t>
      </w:r>
      <w:proofErr w:type="spellStart"/>
      <w:r w:rsidRPr="00603CA3">
        <w:rPr>
          <w:color w:val="000000" w:themeColor="text1"/>
          <w:szCs w:val="24"/>
        </w:rPr>
        <w:t>akpakšaktivitātei</w:t>
      </w:r>
      <w:proofErr w:type="spellEnd"/>
      <w:r w:rsidRPr="00603CA3">
        <w:rPr>
          <w:color w:val="000000" w:themeColor="text1"/>
          <w:szCs w:val="24"/>
        </w:rPr>
        <w:t xml:space="preserve"> pieejamā publiskā finansējuma.</w:t>
      </w:r>
    </w:p>
    <w:p w:rsidR="000F06EF" w:rsidRPr="00603CA3" w:rsidRDefault="000F06EF" w:rsidP="00603CA3">
      <w:pPr>
        <w:spacing w:line="276" w:lineRule="auto"/>
        <w:rPr>
          <w:color w:val="000000" w:themeColor="text1"/>
          <w:szCs w:val="24"/>
        </w:rPr>
      </w:pPr>
      <w:r w:rsidRPr="00603CA3">
        <w:rPr>
          <w:color w:val="000000" w:themeColor="text1"/>
          <w:szCs w:val="24"/>
        </w:rPr>
        <w:t xml:space="preserve">Kā galveno aktivitāšu projektu ieviešanas kavējošos faktorus arī šajā ceturksnī var minēt iepirkumu problēmas (pārsūdzības, problēmas ar iepirkuma dokumentāciju saistībā ar  iepirkumu ietvaros izvirzītajām nozarei specifiskajām prasībām, kuras nereti potenciālie iepirkuma dalībnieki uzskatījuši par nesamērīgi augstām vai pretrunīgām). Lai risinātu </w:t>
      </w:r>
      <w:r w:rsidRPr="00603CA3">
        <w:rPr>
          <w:color w:val="000000" w:themeColor="text1"/>
          <w:szCs w:val="24"/>
        </w:rPr>
        <w:lastRenderedPageBreak/>
        <w:t>situāciju, kad tiek iesniegtas daudzas sūdzības tieši par informācijas un komunikāciju tehnoloģiju (turpmāk - IKT) projektu ietvaros izsludinātajiem iepirkumiem, ir uzsākta aktīvāka sadarbība ar IKT jomas asociācijām (Latvijas Informācijas un komunikācijas tehnoloģijas asociācija,  Latvijas atvērto tehnoloģiju asociācija) ar mērķi pilnveidot IKT projektu ieviešanas kvalitāti, kā arī sadarbojoties veidot vienotu izpratni par valsts nozīmes informācijas sistēmu attīstības nākotni. Kā piemēru var minēt asociāciju ierosinājumu par IKT jomas iepirkumiem ES fondu projektos izskatīšanu Koalīcijas partiju Sadarbības padomes darba grupā par ES fondu jautājumiem.</w:t>
      </w:r>
    </w:p>
    <w:p w:rsidR="000F06EF" w:rsidRPr="00603CA3" w:rsidRDefault="000F06EF" w:rsidP="00603CA3">
      <w:pPr>
        <w:spacing w:line="276" w:lineRule="auto"/>
        <w:rPr>
          <w:color w:val="000000" w:themeColor="text1"/>
          <w:szCs w:val="24"/>
        </w:rPr>
      </w:pPr>
      <w:r w:rsidRPr="00603CA3">
        <w:rPr>
          <w:color w:val="000000" w:themeColor="text1"/>
          <w:szCs w:val="24"/>
        </w:rPr>
        <w:t xml:space="preserve">Aktivitāšu, kas saistītas ar elektronisko sakaru vienlīdzīgas pieejamības nodrošināšana visā valsts teritorijā (platjoslas tīkla attīstību) un </w:t>
      </w:r>
      <w:r w:rsidRPr="00603CA3">
        <w:rPr>
          <w:bCs/>
          <w:color w:val="000000" w:themeColor="text1"/>
          <w:szCs w:val="24"/>
        </w:rPr>
        <w:t>publisko interneta pieejas punktu attīstību</w:t>
      </w:r>
      <w:r w:rsidRPr="00603CA3">
        <w:rPr>
          <w:color w:val="000000" w:themeColor="text1"/>
          <w:szCs w:val="24"/>
        </w:rPr>
        <w:t xml:space="preserve">, projektu </w:t>
      </w:r>
      <w:r w:rsidRPr="00603CA3">
        <w:rPr>
          <w:bCs/>
          <w:color w:val="000000" w:themeColor="text1"/>
          <w:szCs w:val="24"/>
        </w:rPr>
        <w:t xml:space="preserve">iesniegumu vērtēšanas kritēriji tikuši apstiprināti </w:t>
      </w:r>
      <w:proofErr w:type="spellStart"/>
      <w:r w:rsidRPr="00603CA3">
        <w:rPr>
          <w:bCs/>
          <w:color w:val="000000" w:themeColor="text1"/>
          <w:szCs w:val="24"/>
        </w:rPr>
        <w:t>š.g</w:t>
      </w:r>
      <w:proofErr w:type="spellEnd"/>
      <w:r w:rsidRPr="00603CA3">
        <w:rPr>
          <w:bCs/>
          <w:color w:val="000000" w:themeColor="text1"/>
          <w:szCs w:val="24"/>
        </w:rPr>
        <w:t xml:space="preserve">. 16. jūnija ES fondu uzraudzības komitejā. Šobrīd norit darbs pie minēto aktivitāšu ieviešanas MK noteikumu izstrādes. </w:t>
      </w:r>
      <w:r w:rsidRPr="00603CA3">
        <w:rPr>
          <w:color w:val="000000" w:themeColor="text1"/>
          <w:szCs w:val="24"/>
        </w:rPr>
        <w:t xml:space="preserve">Minēto aktivitāšu ietvaros plānots paaugstināt piekļuves iespējas internetam pēc iespējas plašākām sabiedrības grupām, veicinot piekļuvi publiskās pārvaldes un komercsabiedrību piedāvātajiem elektroniskajiem </w:t>
      </w:r>
      <w:proofErr w:type="spellStart"/>
      <w:r w:rsidRPr="00603CA3">
        <w:rPr>
          <w:color w:val="000000" w:themeColor="text1"/>
          <w:szCs w:val="24"/>
        </w:rPr>
        <w:t>u.c</w:t>
      </w:r>
      <w:proofErr w:type="spellEnd"/>
      <w:r w:rsidRPr="00603CA3">
        <w:rPr>
          <w:color w:val="000000" w:themeColor="text1"/>
          <w:szCs w:val="24"/>
        </w:rPr>
        <w:t>. pakalpojumiem un informācijai, lai veicinātu iedzīvotāju iekļaušanos sabiedrības sociālajos, ekonomiskajos un kultūras procesos un uzlabotu viņu dzīves kvalitāti, kā arī nodrošināt iedzīvotājiem, komercsabiedrībām un publiskās pārvaldes iestādēm un citiem lietotājiem visā valsts teritorijā ērtu, ātru un kvalitatīvu piekļuvi publiskai informācijai, publiskās pārvaldes un komercpakalpojumiem, izmantojot elektronisko sakaru pakalpojumus vai nodrošinot infrastruktūru platjoslu tīkla attīstībai visā valsts teritorijā, sniedzot atbalstu pakalpojuma sniedzēja veiktajām investīcijām.</w:t>
      </w:r>
    </w:p>
    <w:p w:rsidR="000F06EF" w:rsidRPr="00603CA3" w:rsidRDefault="000F06EF" w:rsidP="00603CA3">
      <w:pPr>
        <w:pStyle w:val="NoSpacing"/>
        <w:spacing w:line="276" w:lineRule="auto"/>
        <w:jc w:val="both"/>
        <w:rPr>
          <w:b/>
          <w:color w:val="000000" w:themeColor="text1"/>
        </w:rPr>
      </w:pPr>
      <w:r w:rsidRPr="00603CA3">
        <w:rPr>
          <w:b/>
          <w:color w:val="000000" w:themeColor="text1"/>
        </w:rPr>
        <w:t>„Eiropas nozīmes transporta tīklu attīstība un ilgtspējīga transporta veicināšana”</w:t>
      </w:r>
    </w:p>
    <w:p w:rsidR="000F06EF" w:rsidRPr="00603CA3" w:rsidRDefault="000F06EF" w:rsidP="00603CA3">
      <w:pPr>
        <w:spacing w:line="276" w:lineRule="auto"/>
        <w:rPr>
          <w:color w:val="000000" w:themeColor="text1"/>
          <w:szCs w:val="24"/>
        </w:rPr>
      </w:pPr>
      <w:r w:rsidRPr="00603CA3">
        <w:rPr>
          <w:color w:val="000000" w:themeColor="text1"/>
          <w:szCs w:val="24"/>
        </w:rPr>
        <w:t xml:space="preserve">Prioritāte vērsta uz valsts un atsevišķu valsts teritorijas daļu sasniedzamības uzlabošanu, pilnveidojot transporta infrastruktūru, kā arī veicinot videi draudzīgas transporta sistēmu attīstību. </w:t>
      </w:r>
    </w:p>
    <w:p w:rsidR="000F06EF" w:rsidRPr="00603CA3" w:rsidRDefault="000F06EF" w:rsidP="00603CA3">
      <w:pPr>
        <w:pStyle w:val="NormalWeb"/>
        <w:tabs>
          <w:tab w:val="left" w:pos="284"/>
        </w:tabs>
        <w:spacing w:before="0" w:beforeAutospacing="0" w:after="0" w:afterAutospacing="0" w:line="276" w:lineRule="auto"/>
        <w:jc w:val="both"/>
        <w:rPr>
          <w:rFonts w:eastAsia="Calibri"/>
          <w:color w:val="000000" w:themeColor="text1"/>
          <w:lang w:val="lv-LV"/>
        </w:rPr>
      </w:pPr>
      <w:r w:rsidRPr="00603CA3">
        <w:rPr>
          <w:rFonts w:eastAsia="Calibri"/>
          <w:color w:val="000000" w:themeColor="text1"/>
          <w:lang w:val="lv-LV"/>
        </w:rPr>
        <w:t xml:space="preserve">Darbības programmas ietvaros šī ir viena no prioritātēm, kur jau iepriekšējos pārskata periodos līgumi par projektu īstenošanu noslēgti par gandrīz visu pasākumam pieejamo finansējumu. </w:t>
      </w:r>
    </w:p>
    <w:p w:rsidR="000F06EF" w:rsidRPr="00603CA3" w:rsidRDefault="000F06EF" w:rsidP="00603CA3">
      <w:pPr>
        <w:spacing w:line="276" w:lineRule="auto"/>
        <w:rPr>
          <w:rFonts w:eastAsia="Calibri"/>
          <w:color w:val="000000" w:themeColor="text1"/>
          <w:szCs w:val="24"/>
        </w:rPr>
      </w:pPr>
      <w:r w:rsidRPr="00603CA3">
        <w:rPr>
          <w:rFonts w:eastAsia="Calibri"/>
          <w:color w:val="000000" w:themeColor="text1"/>
          <w:szCs w:val="24"/>
        </w:rPr>
        <w:t xml:space="preserve">Kopumā prioritātes ietvaros veikti maksājumi finansējuma saņēmējiem par vairāk kā piekto daļu no prioritātei pieejamā finansējuma. 2011.gada 2.ceturksnī lielākie maksājumi ir veikti aktivitātē „TEN-T autoceļu tīkla uzlabojumi”, izmaksājot </w:t>
      </w:r>
      <w:r w:rsidRPr="00603CA3">
        <w:rPr>
          <w:color w:val="000000" w:themeColor="text1"/>
          <w:szCs w:val="24"/>
        </w:rPr>
        <w:t xml:space="preserve">vairāk kā 3,9 </w:t>
      </w:r>
      <w:proofErr w:type="spellStart"/>
      <w:r w:rsidRPr="00603CA3">
        <w:rPr>
          <w:color w:val="000000" w:themeColor="text1"/>
          <w:szCs w:val="24"/>
        </w:rPr>
        <w:t>milj</w:t>
      </w:r>
      <w:proofErr w:type="spellEnd"/>
      <w:r w:rsidRPr="00603CA3">
        <w:rPr>
          <w:color w:val="000000" w:themeColor="text1"/>
          <w:szCs w:val="24"/>
        </w:rPr>
        <w:t>. latu publiskā finansējuma</w:t>
      </w:r>
      <w:r w:rsidRPr="00603CA3">
        <w:rPr>
          <w:rFonts w:eastAsia="Calibri"/>
          <w:color w:val="000000" w:themeColor="text1"/>
          <w:szCs w:val="24"/>
        </w:rPr>
        <w:t xml:space="preserve">. </w:t>
      </w:r>
    </w:p>
    <w:p w:rsidR="000F06EF" w:rsidRPr="00603CA3" w:rsidRDefault="000F06EF" w:rsidP="00603CA3">
      <w:pPr>
        <w:spacing w:line="276" w:lineRule="auto"/>
        <w:rPr>
          <w:color w:val="000000" w:themeColor="text1"/>
          <w:szCs w:val="24"/>
          <w:lang w:eastAsia="lv-LV"/>
        </w:rPr>
      </w:pPr>
      <w:r w:rsidRPr="00603CA3">
        <w:rPr>
          <w:color w:val="000000" w:themeColor="text1"/>
          <w:szCs w:val="24"/>
          <w:lang w:eastAsia="lv-LV"/>
        </w:rPr>
        <w:t xml:space="preserve">Galvenās problēmas prioritātes projektu īstenošanā saistītas ar iepirkuma problēmām, tai skaitā iepirkuma procedūras ieilgšanu, ņemot vērā, ka iepirkumi ir tehniski sarežģīti un par lielu finansējuma apjomu. Vienlaikus izsludināto iepirkumu ietvaros 2011.gadā tika konstatēts būvniecības izmaksu kāpums salīdzinājumā ar sākotnēji </w:t>
      </w:r>
      <w:r w:rsidRPr="00603CA3">
        <w:rPr>
          <w:color w:val="000000" w:themeColor="text1"/>
          <w:szCs w:val="24"/>
        </w:rPr>
        <w:t>plānotajām izmaksām</w:t>
      </w:r>
      <w:r w:rsidRPr="00603CA3">
        <w:rPr>
          <w:color w:val="000000" w:themeColor="text1"/>
          <w:szCs w:val="24"/>
          <w:lang w:eastAsia="lv-LV"/>
        </w:rPr>
        <w:t xml:space="preserve"> autoceļu segas rekonstrukcijas projektos, līdz ar to iepirkuma līgumi netika noslēgti. Izvērtējot neuzsākto projektu īstenošanas laika grafiku un pieejamo finansējumu, kā risinājumu situācijai finansējuma saņēmējs izvēlējās atcelt šo projektu īstenošanu. Tā vietā tika izsludināta jaunu projektu iesniegumu atlases kārta par neīstenoto projektu finansējumu. Iemesls tam ir apstāklis, ka finansējuma saņēmējs ir valsts budžeta iestāde, kura papildu nepieciešamo finansējumu projektu īstenošanai nevar gūt nekur citur kā vien no valsts budžeta. Projektos, kurus īsteno citi finansējuma saņēmēji, sadārdzinājumus (ja tādi radīsies) saskaņā ar valdības lēmumiem būs jāsedz finansējuma saņēmējiem.</w:t>
      </w:r>
    </w:p>
    <w:p w:rsidR="000F06EF" w:rsidRPr="00603CA3" w:rsidRDefault="000F06EF" w:rsidP="00603CA3">
      <w:pPr>
        <w:spacing w:line="276" w:lineRule="auto"/>
        <w:rPr>
          <w:color w:val="000000" w:themeColor="text1"/>
          <w:szCs w:val="24"/>
        </w:rPr>
      </w:pPr>
      <w:r w:rsidRPr="00603CA3">
        <w:rPr>
          <w:color w:val="000000" w:themeColor="text1"/>
          <w:szCs w:val="24"/>
          <w:lang w:eastAsia="lv-LV"/>
        </w:rPr>
        <w:lastRenderedPageBreak/>
        <w:t xml:space="preserve">Neskatoties uz iepriekš minēto, noteikto rādītāju sasniegšana notiek bez nobīdes- jau iepriekšējā ceturksnī 2013.gadam noteiktais rādītājs sasniegts 42% apmērā. </w:t>
      </w:r>
      <w:r w:rsidRPr="00603CA3">
        <w:rPr>
          <w:rFonts w:eastAsia="Calibri"/>
          <w:color w:val="000000" w:themeColor="text1"/>
          <w:szCs w:val="24"/>
        </w:rPr>
        <w:t>Turklāt, j</w:t>
      </w:r>
      <w:r w:rsidRPr="00603CA3">
        <w:rPr>
          <w:color w:val="000000" w:themeColor="text1"/>
          <w:szCs w:val="24"/>
        </w:rPr>
        <w:t>a projekti tiks īstenoti atbilstoši apstiprinātajiem projektu iesniegumiem, rādītājs tiks ievērojami pārsniegts.</w:t>
      </w:r>
    </w:p>
    <w:p w:rsidR="000F06EF" w:rsidRPr="00603CA3" w:rsidRDefault="000F06EF" w:rsidP="00603CA3">
      <w:pPr>
        <w:spacing w:line="276" w:lineRule="auto"/>
        <w:rPr>
          <w:rFonts w:eastAsia="Calibri"/>
          <w:color w:val="000000" w:themeColor="text1"/>
          <w:szCs w:val="24"/>
        </w:rPr>
      </w:pPr>
      <w:r w:rsidRPr="00603CA3">
        <w:rPr>
          <w:rFonts w:eastAsia="Calibri"/>
          <w:color w:val="000000" w:themeColor="text1"/>
          <w:szCs w:val="24"/>
        </w:rPr>
        <w:t>Ņemot vērā, ka 55,4% no prioritātes finansējuma atvēlēts lielajiem projektiem, prioritātes īstenošanas gaita lielā mērā atkarīga no lielo projektu ieviešanas progresa, par kuriem vairāk informācijas sniegts šī ziņojuma 1.3.4.sadaļā „Lielo projektu īstenošana”.</w:t>
      </w:r>
    </w:p>
    <w:p w:rsidR="000F06EF" w:rsidRPr="00603CA3" w:rsidRDefault="000F06EF" w:rsidP="00603CA3">
      <w:pPr>
        <w:pStyle w:val="NoSpacing"/>
        <w:spacing w:line="276" w:lineRule="auto"/>
        <w:jc w:val="both"/>
        <w:rPr>
          <w:b/>
          <w:color w:val="000000" w:themeColor="text1"/>
        </w:rPr>
      </w:pPr>
      <w:r w:rsidRPr="00603CA3">
        <w:rPr>
          <w:b/>
          <w:color w:val="000000" w:themeColor="text1"/>
        </w:rPr>
        <w:t>„Kvalitatīvas vides dzīvei un ekonomiskai aktivitātei nodrošināšana”</w:t>
      </w:r>
    </w:p>
    <w:p w:rsidR="000F06EF" w:rsidRPr="00603CA3" w:rsidRDefault="000F06EF" w:rsidP="00603CA3">
      <w:pPr>
        <w:spacing w:line="276" w:lineRule="auto"/>
        <w:rPr>
          <w:color w:val="000000" w:themeColor="text1"/>
          <w:szCs w:val="24"/>
        </w:rPr>
      </w:pPr>
      <w:r w:rsidRPr="00603CA3">
        <w:rPr>
          <w:color w:val="000000" w:themeColor="text1"/>
          <w:szCs w:val="24"/>
        </w:rPr>
        <w:t xml:space="preserve">ERAF līdzfinansēta prioritāte vērsta uz nepieciešamo priekšnosacījumu veidošanu ekonomiskai aktivitātei, kā arī dzīves kvalitātes rādītāju uzlabošanai dažādās valsts teritorijas daļās, investējot vides infrastruktūrā un pakalpojumos, dabas un kultūras mantojuma saglabāšanā, tūrisma produktu attīstībā. </w:t>
      </w:r>
    </w:p>
    <w:p w:rsidR="000F06EF" w:rsidRPr="00603CA3" w:rsidRDefault="000F06EF" w:rsidP="00603CA3">
      <w:pPr>
        <w:spacing w:line="276" w:lineRule="auto"/>
        <w:rPr>
          <w:color w:val="000000" w:themeColor="text1"/>
          <w:szCs w:val="24"/>
        </w:rPr>
      </w:pPr>
      <w:r w:rsidRPr="00603CA3">
        <w:rPr>
          <w:color w:val="000000" w:themeColor="text1"/>
          <w:szCs w:val="24"/>
        </w:rPr>
        <w:t xml:space="preserve">Prioritātes ietvaros </w:t>
      </w:r>
      <w:proofErr w:type="spellStart"/>
      <w:r w:rsidRPr="00603CA3">
        <w:rPr>
          <w:color w:val="000000" w:themeColor="text1"/>
          <w:szCs w:val="24"/>
        </w:rPr>
        <w:t>š.g</w:t>
      </w:r>
      <w:proofErr w:type="spellEnd"/>
      <w:r w:rsidRPr="00603CA3">
        <w:rPr>
          <w:color w:val="000000" w:themeColor="text1"/>
          <w:szCs w:val="24"/>
        </w:rPr>
        <w:t xml:space="preserve">. </w:t>
      </w:r>
      <w:r w:rsidR="00AB0D59" w:rsidRPr="00603CA3">
        <w:rPr>
          <w:color w:val="000000" w:themeColor="text1"/>
          <w:szCs w:val="24"/>
        </w:rPr>
        <w:t>2</w:t>
      </w:r>
      <w:r w:rsidRPr="00603CA3">
        <w:rPr>
          <w:color w:val="000000" w:themeColor="text1"/>
          <w:szCs w:val="24"/>
        </w:rPr>
        <w:t xml:space="preserve"> </w:t>
      </w:r>
      <w:r w:rsidR="00AB0D59" w:rsidRPr="00603CA3">
        <w:rPr>
          <w:color w:val="000000" w:themeColor="text1"/>
          <w:szCs w:val="24"/>
        </w:rPr>
        <w:t>ceturksnī</w:t>
      </w:r>
      <w:r w:rsidRPr="00603CA3">
        <w:rPr>
          <w:color w:val="000000" w:themeColor="text1"/>
          <w:szCs w:val="24"/>
        </w:rPr>
        <w:t xml:space="preserve"> apstiprināti projekti par vairāk kā 12.1 </w:t>
      </w:r>
      <w:proofErr w:type="spellStart"/>
      <w:r w:rsidRPr="00603CA3">
        <w:rPr>
          <w:color w:val="000000" w:themeColor="text1"/>
          <w:szCs w:val="24"/>
        </w:rPr>
        <w:t>milj</w:t>
      </w:r>
      <w:proofErr w:type="spellEnd"/>
      <w:r w:rsidRPr="00603CA3">
        <w:rPr>
          <w:color w:val="000000" w:themeColor="text1"/>
          <w:szCs w:val="24"/>
        </w:rPr>
        <w:t xml:space="preserve">. latu un noslēgti līgumi par 5.3 </w:t>
      </w:r>
      <w:proofErr w:type="spellStart"/>
      <w:r w:rsidRPr="00603CA3">
        <w:rPr>
          <w:color w:val="000000" w:themeColor="text1"/>
          <w:szCs w:val="24"/>
        </w:rPr>
        <w:t>milj</w:t>
      </w:r>
      <w:proofErr w:type="spellEnd"/>
      <w:r w:rsidRPr="00603CA3">
        <w:rPr>
          <w:color w:val="000000" w:themeColor="text1"/>
          <w:szCs w:val="24"/>
        </w:rPr>
        <w:t xml:space="preserve">. latu no prioritātei pieejamā publiskā finansējuma. Kopumā prioritātes ietvaros apstiprināti projekti  par 63% , savukārt noslēgti līgumi par 51% no pieejamā finansējuma. Aktivitātē, kas saistīta ar ūdenssaimniecības infrastruktūras attīstību apdzīvotās vietās ar iedzīvotāju skaitu līdz 2000, ceturkšņa ietvaros apstiprināto projektu progress ir 9%, savukārt aktivitātē, kas saistīta ar sociālekonomiski nozīmīgu kultūras mantojuma objektu atjaunošanu ceturksnī noslēgti līgumi par piekto daļu jeb 20% no aktivitātei pieejamā finansējuma. Vērā ņemams progress noslēgto līgumu ziņā vērojams arī aktivitātē, kas saistīta ar nacionālas nozīmes </w:t>
      </w:r>
      <w:proofErr w:type="spellStart"/>
      <w:r w:rsidRPr="00603CA3">
        <w:rPr>
          <w:color w:val="000000" w:themeColor="text1"/>
          <w:szCs w:val="24"/>
        </w:rPr>
        <w:t>velotūrisma</w:t>
      </w:r>
      <w:proofErr w:type="spellEnd"/>
      <w:r w:rsidRPr="00603CA3">
        <w:rPr>
          <w:color w:val="000000" w:themeColor="text1"/>
          <w:szCs w:val="24"/>
        </w:rPr>
        <w:t xml:space="preserve"> produkta attīstību, kurā ceturksnī noslēgti līgumi 13% apmērā no aktivitātei pieejamā finansējuma.</w:t>
      </w:r>
    </w:p>
    <w:p w:rsidR="000F06EF" w:rsidRPr="00603CA3" w:rsidRDefault="000F06EF" w:rsidP="00603CA3">
      <w:pPr>
        <w:spacing w:line="276" w:lineRule="auto"/>
        <w:rPr>
          <w:color w:val="000000" w:themeColor="text1"/>
          <w:szCs w:val="24"/>
        </w:rPr>
      </w:pPr>
      <w:r w:rsidRPr="00603CA3">
        <w:rPr>
          <w:color w:val="000000" w:themeColor="text1"/>
          <w:szCs w:val="24"/>
        </w:rPr>
        <w:t xml:space="preserve">Progress veikto maksājumu ziņā ceturkšņa ietvaros bijis neliels, jo veikti maksājumi finansējuma saņēmējiem 4.6 </w:t>
      </w:r>
      <w:proofErr w:type="spellStart"/>
      <w:r w:rsidRPr="00603CA3">
        <w:rPr>
          <w:color w:val="000000" w:themeColor="text1"/>
          <w:szCs w:val="24"/>
        </w:rPr>
        <w:t>milj</w:t>
      </w:r>
      <w:proofErr w:type="spellEnd"/>
      <w:r w:rsidRPr="00603CA3">
        <w:rPr>
          <w:color w:val="000000" w:themeColor="text1"/>
          <w:szCs w:val="24"/>
        </w:rPr>
        <w:t>. latu apmērā, kas kontekstā ar prioritātes projektu finansiālo apjomu ir tikai nedaudz vairāk kā 2%. Lielākais progress ir vērojams iepriekšminētajās aktivitātēs, kurās progress ir arī apstiprināto projektu un noslēgto līgumu ziņā.</w:t>
      </w:r>
    </w:p>
    <w:p w:rsidR="000F06EF" w:rsidRPr="00603CA3" w:rsidRDefault="000F06EF" w:rsidP="00603CA3">
      <w:pPr>
        <w:spacing w:line="276" w:lineRule="auto"/>
        <w:rPr>
          <w:color w:val="000000" w:themeColor="text1"/>
          <w:szCs w:val="24"/>
        </w:rPr>
      </w:pPr>
      <w:r w:rsidRPr="00603CA3">
        <w:rPr>
          <w:color w:val="000000" w:themeColor="text1"/>
          <w:szCs w:val="24"/>
        </w:rPr>
        <w:t>Mājokļu energoefektivitātes uzlabošanas jomā ar ERAF palīdzību 2011.gada II. ceturksnī tika pabeigta 15 daudzdzīvokļu māju un 2 sociālo māju energoefektivitātes uzlabošana. Līdz ar to plānošanas periodā līdz 2011.gada II. ceturkšņa beigām 38 daudzdzīvokļu mājās un 12 sociālajās mājās ir pabeigta energoefektivitātes uzlabošana, noslēgti vēl 167 līgumi par daudzdzīvokļu māju un 49 līgumi par sociālo māju energoefektivitātes uzlabošanu, kā arī apstiprināti vēl 76 projektu iesniegumi par daudzdzīvokļu māju energoefektivitātes uzlabošanu.</w:t>
      </w:r>
    </w:p>
    <w:p w:rsidR="000F06EF" w:rsidRPr="00603CA3" w:rsidRDefault="000F06EF" w:rsidP="00603CA3">
      <w:pPr>
        <w:spacing w:line="276" w:lineRule="auto"/>
        <w:rPr>
          <w:color w:val="000000" w:themeColor="text1"/>
          <w:szCs w:val="24"/>
        </w:rPr>
      </w:pPr>
      <w:r w:rsidRPr="00603CA3">
        <w:rPr>
          <w:color w:val="000000" w:themeColor="text1"/>
          <w:szCs w:val="24"/>
        </w:rPr>
        <w:t>Pasākuma „</w:t>
      </w:r>
      <w:r w:rsidRPr="00603CA3">
        <w:rPr>
          <w:bCs/>
          <w:color w:val="000000" w:themeColor="text1"/>
          <w:szCs w:val="24"/>
        </w:rPr>
        <w:t>Kultūrvides sociālekonomiskā ietekme</w:t>
      </w:r>
      <w:r w:rsidRPr="00603CA3">
        <w:rPr>
          <w:color w:val="000000" w:themeColor="text1"/>
          <w:szCs w:val="24"/>
        </w:rPr>
        <w:t>” ietvaros vislielākais progress 2011.gada  II ceturksnī līgumu slēgšanā un izmaksātā finansējuma apjomā ir bijis aktivitātē „Sociālekonomiski nozīmīgu kultūras mantojuma objektu atjaunošana”, kas ir pozitīvi vērtējams. Projekts par Liepājas daudzfunkcionālā centra „Liepājas dzintars” izveidi ir apstiprināts, bet līguma slēgšana ar Liepājas novada pašvaldību iekavējusies un pagaidām nav zināms kad  līgums tiks noslēgts. Kā galveno aktivitāšu projektu ieviešanas kavējošos faktorus var minēt iepirkumu problēmas</w:t>
      </w:r>
      <w:r w:rsidRPr="00603CA3">
        <w:rPr>
          <w:color w:val="000000" w:themeColor="text1"/>
          <w:szCs w:val="24"/>
          <w:lang w:eastAsia="lv-LV"/>
        </w:rPr>
        <w:t xml:space="preserve">, tai skaitā </w:t>
      </w:r>
      <w:r w:rsidRPr="00603CA3">
        <w:rPr>
          <w:color w:val="000000" w:themeColor="text1"/>
          <w:szCs w:val="24"/>
        </w:rPr>
        <w:t xml:space="preserve">pārkāpumi būvdarbu iepirkuma nolikumā, sūdzības par iepirkuma procedūras rezultātu. Kultūras ministrijas </w:t>
      </w:r>
      <w:proofErr w:type="spellStart"/>
      <w:r w:rsidRPr="00603CA3">
        <w:rPr>
          <w:color w:val="000000" w:themeColor="text1"/>
          <w:szCs w:val="24"/>
        </w:rPr>
        <w:t>pārziņā</w:t>
      </w:r>
      <w:proofErr w:type="spellEnd"/>
      <w:r w:rsidRPr="00603CA3">
        <w:rPr>
          <w:color w:val="000000" w:themeColor="text1"/>
          <w:szCs w:val="24"/>
        </w:rPr>
        <w:t xml:space="preserve"> esošajās aktivitātēs gan iznākuma, gan rezultāta rādītāji pagaidām nav sasniegti, jo projekti ir uzsākšanas stadijā. </w:t>
      </w:r>
    </w:p>
    <w:p w:rsidR="000F06EF" w:rsidRPr="00603CA3" w:rsidRDefault="000F06EF" w:rsidP="00603CA3">
      <w:pPr>
        <w:pStyle w:val="NoSpacing"/>
        <w:spacing w:line="276" w:lineRule="auto"/>
        <w:jc w:val="both"/>
        <w:rPr>
          <w:b/>
          <w:color w:val="000000" w:themeColor="text1"/>
        </w:rPr>
      </w:pPr>
      <w:r w:rsidRPr="00603CA3">
        <w:rPr>
          <w:b/>
          <w:color w:val="000000" w:themeColor="text1"/>
        </w:rPr>
        <w:t xml:space="preserve"> „Vides infrastruktūras un videi draudzīgas enerģētikas veicināšana”</w:t>
      </w:r>
    </w:p>
    <w:p w:rsidR="000F06EF" w:rsidRPr="00603CA3" w:rsidRDefault="000F06EF" w:rsidP="00603CA3">
      <w:pPr>
        <w:spacing w:line="276" w:lineRule="auto"/>
        <w:rPr>
          <w:color w:val="000000" w:themeColor="text1"/>
          <w:szCs w:val="24"/>
        </w:rPr>
      </w:pPr>
      <w:r w:rsidRPr="00603CA3">
        <w:rPr>
          <w:color w:val="000000" w:themeColor="text1"/>
          <w:szCs w:val="24"/>
        </w:rPr>
        <w:lastRenderedPageBreak/>
        <w:t xml:space="preserve">Prioritāte vērsta uz videi draudzīgu attīstības priekšnoteikumu radīšanu, pilnveidojot vides un dabas aizsardzības infrastruktūru, kā arī ar energoefektivitātes paaugstināšanu un atjaunojamo energoresursu izmantošanu centralizētās siltumapgādes </w:t>
      </w:r>
      <w:r w:rsidRPr="00603CA3">
        <w:rPr>
          <w:iCs/>
          <w:color w:val="000000" w:themeColor="text1"/>
          <w:szCs w:val="24"/>
        </w:rPr>
        <w:t>pakalpojumos</w:t>
      </w:r>
      <w:r w:rsidRPr="00603CA3">
        <w:rPr>
          <w:color w:val="000000" w:themeColor="text1"/>
          <w:szCs w:val="24"/>
        </w:rPr>
        <w:t xml:space="preserve">. Prioritāte tiek īstenota, investējot vides, enerģijas ražošanas un apgādes infrastruktūrā. </w:t>
      </w:r>
    </w:p>
    <w:p w:rsidR="000F06EF" w:rsidRPr="00603CA3" w:rsidRDefault="000F06EF" w:rsidP="00603CA3">
      <w:pPr>
        <w:spacing w:line="276" w:lineRule="auto"/>
        <w:rPr>
          <w:color w:val="000000" w:themeColor="text1"/>
          <w:szCs w:val="24"/>
        </w:rPr>
      </w:pPr>
      <w:r w:rsidRPr="00603CA3">
        <w:rPr>
          <w:color w:val="000000" w:themeColor="text1"/>
          <w:szCs w:val="24"/>
        </w:rPr>
        <w:t xml:space="preserve">Kopumā prioritātes ietvaros pārskata periodā gan apstiprināto projektu, gan noslēgto līgumu, gan veikto maksājumu progress bijis nedaudz lielāks kā 1%. Ceturksnī vērā ņemams progress noslēgto līgumu par projektu īstenošanu 29% apmērā aktivitātē, kas saistīta ar centralizētas siltumapgādes efektivitātes paaugstināšanu, kā arī progress 14% apmērā </w:t>
      </w:r>
      <w:proofErr w:type="spellStart"/>
      <w:r w:rsidRPr="00603CA3">
        <w:rPr>
          <w:color w:val="000000" w:themeColor="text1"/>
          <w:szCs w:val="24"/>
        </w:rPr>
        <w:t>apakšaktivitātes</w:t>
      </w:r>
      <w:proofErr w:type="spellEnd"/>
      <w:r w:rsidRPr="00603CA3">
        <w:rPr>
          <w:color w:val="000000" w:themeColor="text1"/>
          <w:szCs w:val="24"/>
        </w:rPr>
        <w:t>, kas saistīta ar normatīvo aktu prasībām neatbilstošu izgāztuvju rekultivāciju, ietvaros.</w:t>
      </w:r>
    </w:p>
    <w:p w:rsidR="000F06EF" w:rsidRPr="00603CA3" w:rsidRDefault="000F06EF" w:rsidP="00603CA3">
      <w:pPr>
        <w:spacing w:line="276" w:lineRule="auto"/>
        <w:rPr>
          <w:color w:val="000000" w:themeColor="text1"/>
          <w:szCs w:val="24"/>
        </w:rPr>
      </w:pPr>
      <w:r w:rsidRPr="00603CA3">
        <w:rPr>
          <w:color w:val="000000" w:themeColor="text1"/>
          <w:szCs w:val="24"/>
        </w:rPr>
        <w:t xml:space="preserve">Prioritātes ietvaros kopumā veikti maksājumi finansējuma saņēmējiem par gandrīz pusi no pieejamā finansējuma. Progress veikto maksājumu ziņā ceturkšņa ietvaros, ir 9.6 </w:t>
      </w:r>
      <w:proofErr w:type="spellStart"/>
      <w:r w:rsidRPr="00603CA3">
        <w:rPr>
          <w:color w:val="000000" w:themeColor="text1"/>
          <w:szCs w:val="24"/>
        </w:rPr>
        <w:t>milj</w:t>
      </w:r>
      <w:proofErr w:type="spellEnd"/>
      <w:r w:rsidRPr="00603CA3">
        <w:rPr>
          <w:color w:val="000000" w:themeColor="text1"/>
          <w:szCs w:val="24"/>
        </w:rPr>
        <w:t>. latu apmērā, kas nav uzskatāms par ievērojamu, taču, prognozējams, ka 3.ceturksnī tiks veikta aktīvākā būvdarbu veikšana un līdzekļu apgūšana, ņemot vērā prioritātes projektu ietvaros veicamo darbu specifiku un sezonalitāti, kā arī atbildīgās iestādes prognozes. Ceturksnī veikto maksājumu salīdzinoši neliels  apjoms nenorāda un zemu aktivitāti projektos, bet uz pagājušā gada nogalē piešķirto avansu aktīvu izlietošanu.</w:t>
      </w:r>
    </w:p>
    <w:p w:rsidR="000F06EF" w:rsidRPr="00603CA3" w:rsidRDefault="000F06EF" w:rsidP="00603CA3">
      <w:pPr>
        <w:spacing w:line="276" w:lineRule="auto"/>
        <w:rPr>
          <w:iCs/>
          <w:color w:val="000000" w:themeColor="text1"/>
          <w:szCs w:val="24"/>
          <w:highlight w:val="yellow"/>
        </w:rPr>
      </w:pPr>
      <w:r w:rsidRPr="00603CA3">
        <w:rPr>
          <w:iCs/>
          <w:color w:val="000000" w:themeColor="text1"/>
          <w:szCs w:val="24"/>
        </w:rPr>
        <w:t>Aktivitātē, kas ir vērsta uz centralizētās siltumapgādes sistēmu efektivitātes paaugstināšanu, pārskata periodā notika līgumu noslēgšana par 2.atlases kārtas apstiprinātajiem projektiem.</w:t>
      </w:r>
    </w:p>
    <w:p w:rsidR="000F06EF" w:rsidRPr="00603CA3" w:rsidRDefault="000F06EF" w:rsidP="00603CA3">
      <w:pPr>
        <w:spacing w:line="276" w:lineRule="auto"/>
        <w:rPr>
          <w:iCs/>
          <w:color w:val="000000" w:themeColor="text1"/>
          <w:szCs w:val="24"/>
        </w:rPr>
      </w:pPr>
      <w:r w:rsidRPr="00603CA3">
        <w:rPr>
          <w:iCs/>
          <w:color w:val="000000" w:themeColor="text1"/>
          <w:szCs w:val="24"/>
        </w:rPr>
        <w:t xml:space="preserve">Kā galvenos projektu ieviešanu kavējošos faktorus arī šajā prioritātē var minēt problēmas iepirkumu procedūras norisē un būvdarbu izpildē, atsevišķos gadījumos arī būvdarbu pārtraukšana vai neveikšana. Turklāt arī 2011.gada II ceturksnī iepirkumos ir parādījusies tendence, ka piedāvātās cenas par veicamajiem darbiem pārsniedz plānoto apjomu līdz pat 60%, līdz ar to iepirkumi tika izbeigti bez rezultāta un tiek izsludināti jauni iepirkumi, pārskatot prasības un specifikācijas. </w:t>
      </w:r>
    </w:p>
    <w:p w:rsidR="000F06EF" w:rsidRPr="00603CA3" w:rsidRDefault="000F06EF" w:rsidP="00603CA3">
      <w:pPr>
        <w:spacing w:line="276" w:lineRule="auto"/>
        <w:rPr>
          <w:iCs/>
          <w:color w:val="000000" w:themeColor="text1"/>
          <w:szCs w:val="24"/>
        </w:rPr>
      </w:pPr>
      <w:r w:rsidRPr="00603CA3">
        <w:rPr>
          <w:iCs/>
          <w:color w:val="000000" w:themeColor="text1"/>
          <w:szCs w:val="24"/>
        </w:rPr>
        <w:t xml:space="preserve">Vides aizsardzības un reģionālās attīstības ministrija ir informējusi finansējuma saņēmējus, kuri īsteno ūdenssaimniecības projektus par iespējamajiem risinājumiem un rīcību, lai mazinātu vai novērstu sadārdzinājuma rezultātā radītās finansiālās sekas uz projektiem. Gadījumos, kad konstatēts sadārdzinājums, nepieciešams izvērtēt, vai sadārdzinājums ir objektīvs un atbilst tirgus tendencēm vai tas ir nesamērīgi augsts. Situācijā, kad konstatēts nesamērīgi augsts izmaksu pieaugums, finansējuma saņēmējam jāizvērtē iespēja pārtraukt esošo iepirkuma procedūru un pirms jaunas iepirkuma procedūras pārsludināšanas izvērtēt iespēju sadalīt būvdarbu iepirkumu vairākās iepirkuma daļās, pārskatīt iepirkuma procedūrā izvirzītās prasības pretendentiem, darbu veikšanas tehniskos risinājumus, lai iespējami paplašinātu iespējamo pretendentu loku, kā arī piedāvāto cenu. </w:t>
      </w:r>
    </w:p>
    <w:p w:rsidR="000F06EF" w:rsidRPr="00603CA3" w:rsidRDefault="000F06EF" w:rsidP="00603CA3">
      <w:pPr>
        <w:pStyle w:val="NoSpacing"/>
        <w:spacing w:line="276" w:lineRule="auto"/>
        <w:jc w:val="both"/>
        <w:rPr>
          <w:b/>
          <w:color w:val="000000" w:themeColor="text1"/>
        </w:rPr>
      </w:pPr>
      <w:r w:rsidRPr="00603CA3">
        <w:rPr>
          <w:b/>
          <w:color w:val="000000" w:themeColor="text1"/>
        </w:rPr>
        <w:t xml:space="preserve"> „</w:t>
      </w:r>
      <w:proofErr w:type="spellStart"/>
      <w:r w:rsidRPr="00603CA3">
        <w:rPr>
          <w:b/>
          <w:color w:val="000000" w:themeColor="text1"/>
        </w:rPr>
        <w:t>Policentriska</w:t>
      </w:r>
      <w:proofErr w:type="spellEnd"/>
      <w:r w:rsidRPr="00603CA3">
        <w:rPr>
          <w:b/>
          <w:color w:val="000000" w:themeColor="text1"/>
        </w:rPr>
        <w:t xml:space="preserve"> attīstība”</w:t>
      </w:r>
    </w:p>
    <w:p w:rsidR="000F06EF" w:rsidRPr="00603CA3" w:rsidRDefault="000F06EF" w:rsidP="00603CA3">
      <w:pPr>
        <w:spacing w:line="276" w:lineRule="auto"/>
        <w:rPr>
          <w:color w:val="000000" w:themeColor="text1"/>
          <w:szCs w:val="24"/>
        </w:rPr>
      </w:pPr>
      <w:r w:rsidRPr="00603CA3">
        <w:rPr>
          <w:color w:val="000000" w:themeColor="text1"/>
          <w:szCs w:val="24"/>
        </w:rPr>
        <w:t xml:space="preserve">Prioritātes mērķis ir veicināt valsts </w:t>
      </w:r>
      <w:proofErr w:type="spellStart"/>
      <w:r w:rsidRPr="00603CA3">
        <w:rPr>
          <w:color w:val="000000" w:themeColor="text1"/>
          <w:szCs w:val="24"/>
        </w:rPr>
        <w:t>policentrisku</w:t>
      </w:r>
      <w:proofErr w:type="spellEnd"/>
      <w:r w:rsidRPr="00603CA3">
        <w:rPr>
          <w:color w:val="000000" w:themeColor="text1"/>
          <w:szCs w:val="24"/>
        </w:rPr>
        <w:t xml:space="preserve"> attīstību, sniedzot atbalstu pilsētvides un </w:t>
      </w:r>
      <w:proofErr w:type="spellStart"/>
      <w:r w:rsidRPr="00603CA3">
        <w:rPr>
          <w:color w:val="000000" w:themeColor="text1"/>
          <w:szCs w:val="24"/>
        </w:rPr>
        <w:t>pilsētreģionu</w:t>
      </w:r>
      <w:proofErr w:type="spellEnd"/>
      <w:r w:rsidRPr="00603CA3">
        <w:rPr>
          <w:color w:val="000000" w:themeColor="text1"/>
          <w:szCs w:val="24"/>
        </w:rPr>
        <w:t xml:space="preserve"> konkurētspējas, pieejamības un pievilcības faktoru attīstībai saskaņā ar integrētām pašvaldību attīstības programmām. Plānošanas perioda ietvaros līdz 2011.gada 30.jūnijam tika apstiprināti projekti par publisko finansējumu 171,7 </w:t>
      </w:r>
      <w:proofErr w:type="spellStart"/>
      <w:r w:rsidRPr="00603CA3">
        <w:rPr>
          <w:color w:val="000000" w:themeColor="text1"/>
          <w:szCs w:val="24"/>
        </w:rPr>
        <w:t>milj</w:t>
      </w:r>
      <w:proofErr w:type="spellEnd"/>
      <w:r w:rsidRPr="00603CA3">
        <w:rPr>
          <w:color w:val="000000" w:themeColor="text1"/>
          <w:szCs w:val="24"/>
        </w:rPr>
        <w:t xml:space="preserve">. latu apmērā jeb 75,6% no prioritātei pieejamā publiskā finansējuma, pārskata periodā progress apstiprinātajiem projektiem ir 2,8% no prioritātei pieejamā publiskā finansējuma. Savukārt plānošanas perioda ietvaros līdz 2011.gada 30.jūnijam tika noslēgti līgumi par publisko finansējumu 168,3 </w:t>
      </w:r>
      <w:proofErr w:type="spellStart"/>
      <w:r w:rsidRPr="00603CA3">
        <w:rPr>
          <w:color w:val="000000" w:themeColor="text1"/>
          <w:szCs w:val="24"/>
        </w:rPr>
        <w:t>milj</w:t>
      </w:r>
      <w:proofErr w:type="spellEnd"/>
      <w:r w:rsidRPr="00603CA3">
        <w:rPr>
          <w:color w:val="000000" w:themeColor="text1"/>
          <w:szCs w:val="24"/>
        </w:rPr>
        <w:t xml:space="preserve">. latu apmērā jeb 74,2% no prioritātei pieejamā publiskā finansējuma, līdz ar to pārskata periodā prioritātē progress noslēgtajiem līgumiem ir 1,3% no prioritātei </w:t>
      </w:r>
      <w:r w:rsidRPr="00603CA3">
        <w:rPr>
          <w:color w:val="000000" w:themeColor="text1"/>
          <w:szCs w:val="24"/>
        </w:rPr>
        <w:lastRenderedPageBreak/>
        <w:t xml:space="preserve">pieejamā publiskā finansējuma. 2011.gada II. ceturksnī notika vairāku projektu īstenošana, kuru rezultātā tiek veikta Latvijas pilsētu ielu rekonstrukcija un infrastruktūras uzlabošana, kultūrizglītības centru ēku izveide vai rekonstrukcija un aprīkojuma iegāde, bibliotēku un muzeju rekonstrukcija </w:t>
      </w:r>
      <w:proofErr w:type="spellStart"/>
      <w:r w:rsidRPr="00603CA3">
        <w:rPr>
          <w:color w:val="000000" w:themeColor="text1"/>
          <w:szCs w:val="24"/>
        </w:rPr>
        <w:t>u.c</w:t>
      </w:r>
      <w:proofErr w:type="spellEnd"/>
      <w:r w:rsidRPr="00603CA3">
        <w:rPr>
          <w:color w:val="000000" w:themeColor="text1"/>
          <w:szCs w:val="24"/>
        </w:rPr>
        <w:t>.</w:t>
      </w:r>
    </w:p>
    <w:p w:rsidR="000F06EF" w:rsidRPr="00603CA3" w:rsidRDefault="000F06EF" w:rsidP="00603CA3">
      <w:pPr>
        <w:spacing w:line="276" w:lineRule="auto"/>
        <w:rPr>
          <w:color w:val="000000" w:themeColor="text1"/>
          <w:szCs w:val="24"/>
        </w:rPr>
      </w:pPr>
      <w:r w:rsidRPr="00603CA3">
        <w:rPr>
          <w:color w:val="000000" w:themeColor="text1"/>
          <w:szCs w:val="24"/>
        </w:rPr>
        <w:t xml:space="preserve">Plānošanas perioda ietvaros līdz 2011.gada 30.jūnijam tika veikti maksājumi par publisko finansējumu 106,7 </w:t>
      </w:r>
      <w:proofErr w:type="spellStart"/>
      <w:r w:rsidRPr="00603CA3">
        <w:rPr>
          <w:color w:val="000000" w:themeColor="text1"/>
          <w:szCs w:val="24"/>
        </w:rPr>
        <w:t>milj</w:t>
      </w:r>
      <w:proofErr w:type="spellEnd"/>
      <w:r w:rsidRPr="00603CA3">
        <w:rPr>
          <w:color w:val="000000" w:themeColor="text1"/>
          <w:szCs w:val="24"/>
        </w:rPr>
        <w:t xml:space="preserve">. latu apmērā (nedeklarējamo avansa maksājumu summa ir 77,5 </w:t>
      </w:r>
      <w:proofErr w:type="spellStart"/>
      <w:r w:rsidRPr="00603CA3">
        <w:rPr>
          <w:color w:val="000000" w:themeColor="text1"/>
          <w:szCs w:val="24"/>
        </w:rPr>
        <w:t>milj</w:t>
      </w:r>
      <w:proofErr w:type="spellEnd"/>
      <w:r w:rsidRPr="00603CA3">
        <w:rPr>
          <w:color w:val="000000" w:themeColor="text1"/>
          <w:szCs w:val="24"/>
        </w:rPr>
        <w:t>. latu) jeb 47% no prioritātei pieejamā publiskā finansējuma, līdz ar to pārskata periodā prioritātē progress veiktajiem maksājumiem ir 1,9% no prioritātei pieejamā publiskā finansējuma.</w:t>
      </w:r>
    </w:p>
    <w:p w:rsidR="000F06EF" w:rsidRPr="00603CA3" w:rsidRDefault="000F06EF" w:rsidP="00603CA3">
      <w:pPr>
        <w:spacing w:line="276" w:lineRule="auto"/>
        <w:rPr>
          <w:color w:val="000000" w:themeColor="text1"/>
          <w:szCs w:val="24"/>
        </w:rPr>
      </w:pPr>
      <w:r w:rsidRPr="00603CA3">
        <w:rPr>
          <w:color w:val="000000" w:themeColor="text1"/>
          <w:szCs w:val="24"/>
        </w:rPr>
        <w:t>2011.gada II. ceturksnī finanšu apguves mērķis tika izpildīts par 50%. Galvenie projektu īstenošanu kavējošie faktori ir plānotā projekta ieviešanas laika grafika neizpilde, jo bieži tiek iesniegtas sūdzības par būvniecības iepirkumiem. Problēmas prioritātes īstenošanā ir saistītas arī ar problēmām iepirkumu jomā, kuru rezultātā dažos projektos tika piemērota finanšu korekcija.</w:t>
      </w:r>
    </w:p>
    <w:p w:rsidR="000F06EF" w:rsidRPr="00603CA3" w:rsidRDefault="000F06EF" w:rsidP="00603CA3">
      <w:pPr>
        <w:spacing w:line="276" w:lineRule="auto"/>
        <w:rPr>
          <w:color w:val="000000" w:themeColor="text1"/>
          <w:szCs w:val="24"/>
        </w:rPr>
      </w:pPr>
      <w:r w:rsidRPr="00603CA3">
        <w:rPr>
          <w:color w:val="000000" w:themeColor="text1"/>
          <w:szCs w:val="24"/>
        </w:rPr>
        <w:t xml:space="preserve">Prioritātes ietvaros progress ir vērojams aktivitātē „Nacionālas un reģionālas nozīmes attīstības centru izaugsmes veicināšana līdzsvarotai valsts attīstībai”, kuras ietvaros pārskata periodā tika pabeigti četri projekti: „Atbrīvošanas alejas un satiksmes pārvadu rekonstrukcija, nodrošinot Rēzeknes kā </w:t>
      </w:r>
      <w:proofErr w:type="spellStart"/>
      <w:r w:rsidRPr="00603CA3">
        <w:rPr>
          <w:color w:val="000000" w:themeColor="text1"/>
          <w:szCs w:val="24"/>
        </w:rPr>
        <w:t>Austrumlatvijas</w:t>
      </w:r>
      <w:proofErr w:type="spellEnd"/>
      <w:r w:rsidRPr="00603CA3">
        <w:rPr>
          <w:color w:val="000000" w:themeColor="text1"/>
          <w:szCs w:val="24"/>
        </w:rPr>
        <w:t xml:space="preserve"> kultūras un izglītības centra pieejamību”, „Reģiona nozīmes tūrisma un kultūrizglītības centra izveide Jelgavā”, „Gulbenes kultūras centra renovācija” un „Rīgas ielas Valmierā rekonstrukcija”. Savukārt vēl tiek turpināta 41 projekta īstenošana. </w:t>
      </w:r>
    </w:p>
    <w:p w:rsidR="000F06EF" w:rsidRPr="00603CA3" w:rsidRDefault="000F06EF" w:rsidP="00603CA3">
      <w:pPr>
        <w:spacing w:line="276" w:lineRule="auto"/>
        <w:rPr>
          <w:b/>
          <w:color w:val="000000" w:themeColor="text1"/>
          <w:szCs w:val="24"/>
        </w:rPr>
      </w:pPr>
      <w:r w:rsidRPr="00603CA3">
        <w:rPr>
          <w:color w:val="000000" w:themeColor="text1"/>
          <w:szCs w:val="24"/>
        </w:rPr>
        <w:t>3.6.1.2. aktivitāte „Rīgas pilsētas ilgtspējīga attīstība” pārskata periodā tika noslēgts līgums par otrā projekta „</w:t>
      </w:r>
      <w:proofErr w:type="spellStart"/>
      <w:r w:rsidRPr="00603CA3">
        <w:rPr>
          <w:color w:val="000000" w:themeColor="text1"/>
          <w:szCs w:val="24"/>
        </w:rPr>
        <w:t>Grīziņkalna</w:t>
      </w:r>
      <w:proofErr w:type="spellEnd"/>
      <w:r w:rsidRPr="00603CA3">
        <w:rPr>
          <w:color w:val="000000" w:themeColor="text1"/>
          <w:szCs w:val="24"/>
        </w:rPr>
        <w:t xml:space="preserve"> un tam pieguļošā Miera dārza teritorijas </w:t>
      </w:r>
      <w:proofErr w:type="spellStart"/>
      <w:r w:rsidRPr="00603CA3">
        <w:rPr>
          <w:color w:val="000000" w:themeColor="text1"/>
          <w:szCs w:val="24"/>
        </w:rPr>
        <w:t>revitalizācija</w:t>
      </w:r>
      <w:proofErr w:type="spellEnd"/>
      <w:r w:rsidRPr="00603CA3">
        <w:rPr>
          <w:color w:val="000000" w:themeColor="text1"/>
          <w:szCs w:val="24"/>
        </w:rPr>
        <w:t>” īstenošanu. Līdz ar to aktivitātē projekti ir apstiprināti un līgumi noslēgti par visu aktivitātei pieejamo publisko finansējumu</w:t>
      </w:r>
      <w:bookmarkStart w:id="23" w:name="_Toc276049982"/>
      <w:r w:rsidRPr="00603CA3">
        <w:rPr>
          <w:b/>
          <w:color w:val="000000" w:themeColor="text1"/>
          <w:szCs w:val="24"/>
        </w:rPr>
        <w:t xml:space="preserve">. </w:t>
      </w:r>
    </w:p>
    <w:p w:rsidR="000F06EF" w:rsidRPr="00603CA3" w:rsidRDefault="000F06EF" w:rsidP="00603CA3">
      <w:pPr>
        <w:spacing w:line="276" w:lineRule="auto"/>
        <w:rPr>
          <w:b/>
          <w:color w:val="000000" w:themeColor="text1"/>
          <w:szCs w:val="24"/>
        </w:rPr>
      </w:pPr>
      <w:r w:rsidRPr="00603CA3">
        <w:rPr>
          <w:b/>
          <w:color w:val="000000" w:themeColor="text1"/>
          <w:szCs w:val="24"/>
        </w:rPr>
        <w:t>1.3.4. Lielo projektu īstenošana</w:t>
      </w:r>
      <w:bookmarkEnd w:id="23"/>
    </w:p>
    <w:p w:rsidR="000F06EF" w:rsidRPr="00603CA3" w:rsidRDefault="000F06EF" w:rsidP="00603CA3">
      <w:pPr>
        <w:spacing w:line="276" w:lineRule="auto"/>
        <w:rPr>
          <w:color w:val="000000" w:themeColor="text1"/>
          <w:szCs w:val="24"/>
        </w:rPr>
      </w:pPr>
      <w:r w:rsidRPr="00603CA3">
        <w:rPr>
          <w:color w:val="000000" w:themeColor="text1"/>
          <w:szCs w:val="24"/>
        </w:rPr>
        <w:t>Finanšu ministrija EK ir nosūtījusi visus 7 plānotos projektu iesniegumus un uz šo brīdi EK ir apstiprinājusi 6 lielos projektus – „Otrā sliežu ceļa būvniecība Skrīveri-Krustpils (Rīga – Krustpils iecirknis)”, „Autoceļa E22 posma Rīga (Tīnūži) – Koknese būvniecība”, „Autoceļa E22 posma Ludza-Terehova būvniecība”, „Rīgas piepilsētas dzelzceļa pasažieru pārvadājumu sistēmas modernizācija un dīzeļvilcienu ritošā sastāva atjaunošana”, „Infrastruktūras attīstība lidostā „Rīga””</w:t>
      </w:r>
      <w:r w:rsidRPr="00603CA3">
        <w:rPr>
          <w:rStyle w:val="FootnoteReference"/>
          <w:color w:val="000000" w:themeColor="text1"/>
          <w:szCs w:val="24"/>
        </w:rPr>
        <w:footnoteReference w:id="3"/>
      </w:r>
      <w:r w:rsidRPr="00603CA3">
        <w:rPr>
          <w:color w:val="000000" w:themeColor="text1"/>
          <w:szCs w:val="24"/>
        </w:rPr>
        <w:t xml:space="preserve"> un „Vēsturiski piesārņoto vietu „Inčukalna </w:t>
      </w:r>
      <w:proofErr w:type="spellStart"/>
      <w:r w:rsidRPr="00603CA3">
        <w:rPr>
          <w:color w:val="000000" w:themeColor="text1"/>
          <w:szCs w:val="24"/>
        </w:rPr>
        <w:t>sērskābā</w:t>
      </w:r>
      <w:proofErr w:type="spellEnd"/>
      <w:r w:rsidRPr="00603CA3">
        <w:rPr>
          <w:color w:val="000000" w:themeColor="text1"/>
          <w:szCs w:val="24"/>
        </w:rPr>
        <w:t xml:space="preserve"> gudrona dīķa” sanācijas darbi”. </w:t>
      </w:r>
    </w:p>
    <w:p w:rsidR="000F06EF" w:rsidRPr="00603CA3" w:rsidRDefault="000F06EF" w:rsidP="00603CA3">
      <w:pPr>
        <w:spacing w:line="276" w:lineRule="auto"/>
        <w:rPr>
          <w:color w:val="000000" w:themeColor="text1"/>
          <w:szCs w:val="24"/>
        </w:rPr>
      </w:pPr>
      <w:r w:rsidRPr="00603CA3">
        <w:rPr>
          <w:color w:val="000000" w:themeColor="text1"/>
          <w:szCs w:val="24"/>
        </w:rPr>
        <w:t xml:space="preserve">Visos 7 lielajos projektos ir izsludinātas plānotās būvdarbu un būvdarbu uzraudzības iepirkumu procedūras. Lielo projektu ietvaros iepirkumu līgumu slēgšana notiek jau no 2007.gada un lielākā daļa no paredzētajiem līgumiem līdz 2010.gada beigām ir jau noslēgti. Dažu iepirkumu līgumu slēgšana turpinās arī 2011.gadā. Jāpiebilst, ka iepirkumu procedūru laikā pasūtītāji saskaras ar vairākām problēmām, kas aizkavē līgumu noslēgšanu. Piemēram, projekta „Rīgas piepilsētas dzelzceļa pasažieru pārvadājumu sistēmas modernizācija un dīzeļvilcienu ritošā sastāva atjaunošana” iepirkumā ir saņemtas vairākas sūdzības no pretendentiem par nekorektu iepirkumu dokumentācijas sagatavošanu, kā rezultātā tika </w:t>
      </w:r>
      <w:r w:rsidRPr="00603CA3">
        <w:rPr>
          <w:color w:val="000000" w:themeColor="text1"/>
          <w:szCs w:val="24"/>
        </w:rPr>
        <w:lastRenderedPageBreak/>
        <w:t xml:space="preserve">precizēta iepirkumu procedūras dokumentācija un izsludinātā iepirkuma konkursa piedāvājumu iesniegšanas termiņš ir noteikts 2011.gada 29.jūnijs. Savukārt projektā „Infrastruktūras attīstība lidostā „Rīga” projektēšanas darbu līguma slēgšanu aizkavēja uzvarētāja organizācijā veiktās iekšējās administratīvās reformas, taču līgums tika noslēgts 2011.gada 18.maijā un būvdarbus plānots uzsākt nākošajā būvniecības sezonā.  </w:t>
      </w:r>
    </w:p>
    <w:p w:rsidR="000F06EF" w:rsidRPr="00603CA3" w:rsidRDefault="000F06EF" w:rsidP="00603CA3">
      <w:pPr>
        <w:spacing w:line="276" w:lineRule="auto"/>
        <w:rPr>
          <w:color w:val="000000" w:themeColor="text1"/>
          <w:szCs w:val="24"/>
        </w:rPr>
      </w:pPr>
      <w:r w:rsidRPr="00603CA3">
        <w:rPr>
          <w:color w:val="000000" w:themeColor="text1"/>
          <w:szCs w:val="24"/>
        </w:rPr>
        <w:t xml:space="preserve">Savukārt projektos „Autoceļa E 22 posma Ludza – Terehova būvniecība” un „Autoceļa E 22 posma Rīga (Tīnūži) – Koknese būvniecība” ir noslēgti visi plānotie būvdarbu līgumi, līdz ar to norisinās fiziskie būvniecības darbi projektu īstenošanas vietās. Šo divu projektu ietvaros atsevišķu ceļu posmu rekonstrukcija ir pabeigta, kā rezultātā jau ir izbūvēti/rekonstruēti 29,4 km asfaltētie ceļi. </w:t>
      </w:r>
    </w:p>
    <w:p w:rsidR="000F06EF" w:rsidRPr="00603CA3" w:rsidRDefault="000F06EF" w:rsidP="00603CA3">
      <w:pPr>
        <w:spacing w:line="276" w:lineRule="auto"/>
        <w:rPr>
          <w:color w:val="000000" w:themeColor="text1"/>
          <w:szCs w:val="24"/>
        </w:rPr>
      </w:pPr>
      <w:r w:rsidRPr="00603CA3">
        <w:rPr>
          <w:color w:val="000000" w:themeColor="text1"/>
          <w:szCs w:val="24"/>
        </w:rPr>
        <w:t xml:space="preserve">Lielo projektu ietvaros kopējās plānotās attiecināmās izmaksas ir 554,1 </w:t>
      </w:r>
      <w:proofErr w:type="spellStart"/>
      <w:r w:rsidRPr="00603CA3">
        <w:rPr>
          <w:color w:val="000000" w:themeColor="text1"/>
          <w:szCs w:val="24"/>
        </w:rPr>
        <w:t>milj</w:t>
      </w:r>
      <w:proofErr w:type="spellEnd"/>
      <w:r w:rsidRPr="00603CA3">
        <w:rPr>
          <w:color w:val="000000" w:themeColor="text1"/>
          <w:szCs w:val="24"/>
        </w:rPr>
        <w:t xml:space="preserve">. latu, no tā plānotais ES fondu (KF un ERAF) līdzfinansējums ir 385,2 </w:t>
      </w:r>
      <w:proofErr w:type="spellStart"/>
      <w:r w:rsidRPr="00603CA3">
        <w:rPr>
          <w:color w:val="000000" w:themeColor="text1"/>
          <w:szCs w:val="24"/>
        </w:rPr>
        <w:t>milj</w:t>
      </w:r>
      <w:proofErr w:type="spellEnd"/>
      <w:r w:rsidRPr="00603CA3">
        <w:rPr>
          <w:color w:val="000000" w:themeColor="text1"/>
          <w:szCs w:val="24"/>
        </w:rPr>
        <w:t xml:space="preserve">. latu. Līdz 2011.gada 30.jūnijam lielo projektu ietvaros ir veikti attiecināmie izdevumi (avansa un starpposma maksājumi) par kopējo summu 107,8 </w:t>
      </w:r>
      <w:proofErr w:type="spellStart"/>
      <w:r w:rsidRPr="00603CA3">
        <w:rPr>
          <w:color w:val="000000" w:themeColor="text1"/>
          <w:szCs w:val="24"/>
        </w:rPr>
        <w:t>milj</w:t>
      </w:r>
      <w:proofErr w:type="spellEnd"/>
      <w:r w:rsidRPr="00603CA3">
        <w:rPr>
          <w:color w:val="000000" w:themeColor="text1"/>
          <w:szCs w:val="24"/>
        </w:rPr>
        <w:t>. latu apmērā jeb 19,46% no kopējām attiecināmajām izmaksām.</w:t>
      </w:r>
    </w:p>
    <w:p w:rsidR="000F06EF" w:rsidRPr="00603CA3" w:rsidRDefault="000F06EF" w:rsidP="00603CA3">
      <w:pPr>
        <w:spacing w:line="276" w:lineRule="auto"/>
        <w:rPr>
          <w:color w:val="000000" w:themeColor="text1"/>
          <w:szCs w:val="24"/>
        </w:rPr>
      </w:pPr>
      <w:r w:rsidRPr="00603CA3">
        <w:rPr>
          <w:color w:val="000000" w:themeColor="text1"/>
          <w:szCs w:val="24"/>
        </w:rPr>
        <w:t xml:space="preserve">Savukārt, analizējot maksājumu progresu atsevišķās jomās, jāatzīmē, ka 2011.gada 2.ceturksnī satiksmes nozares lielo projektu ietvaros finansējuma saņēmējiem ir veikti maksājumi 3,3 </w:t>
      </w:r>
      <w:proofErr w:type="spellStart"/>
      <w:r w:rsidRPr="00603CA3">
        <w:rPr>
          <w:color w:val="000000" w:themeColor="text1"/>
          <w:szCs w:val="24"/>
        </w:rPr>
        <w:t>milj</w:t>
      </w:r>
      <w:proofErr w:type="spellEnd"/>
      <w:r w:rsidRPr="00603CA3">
        <w:rPr>
          <w:color w:val="000000" w:themeColor="text1"/>
          <w:szCs w:val="24"/>
        </w:rPr>
        <w:t xml:space="preserve">. latu apmērā, kas ir 33,5% no </w:t>
      </w:r>
      <w:r w:rsidRPr="00603CA3">
        <w:rPr>
          <w:bCs/>
          <w:color w:val="000000" w:themeColor="text1"/>
          <w:szCs w:val="24"/>
        </w:rPr>
        <w:t>KF</w:t>
      </w:r>
      <w:r w:rsidRPr="00603CA3">
        <w:rPr>
          <w:color w:val="000000" w:themeColor="text1"/>
          <w:szCs w:val="24"/>
        </w:rPr>
        <w:t xml:space="preserve"> 2011.gadā II ceturksnī plānotā apgūstamā finansējuma 9,9 </w:t>
      </w:r>
      <w:proofErr w:type="spellStart"/>
      <w:r w:rsidRPr="00603CA3">
        <w:rPr>
          <w:color w:val="000000" w:themeColor="text1"/>
          <w:szCs w:val="24"/>
        </w:rPr>
        <w:t>milj</w:t>
      </w:r>
      <w:proofErr w:type="spellEnd"/>
      <w:r w:rsidRPr="00603CA3">
        <w:rPr>
          <w:color w:val="000000" w:themeColor="text1"/>
          <w:szCs w:val="24"/>
        </w:rPr>
        <w:t>. latu. Taču jāatzīmē, ka maksājumi II ceturksnī netika plānoti projektiem  „Infrastruktūras attīstība Krievu salā ostas aktivitāšu pārcelšanai no pilsētas centra (Rīgas brīvostas teritorija)”, „Infrastruktūras attīstība lidostā „Rīga”” un „Rīgas piepilsētas dzelzceļa pasažieru pārvadājumu sistēmas modernizācija un dīzeļvilcienu ritošā sastāva atjaunošana”.  Kavējumi mērķa apguvē ir saistīti ar projekta „Infrastruktūras attīstība lidostā „Rīga”” ietvaros projektēšanas līguma noslēgšanas aizkavēšanos. Projektos „Autoceļa E22 posma Rīga (Tīnūži) – Koknese būvniecība”, „Autoceļa E22 posma Ludza-Terehova būvniecība” plānoto līdzekļu apguvi kavēja juridiskās problēmas saistībā ar būvniecībai nepieciešamo zemju iegādi (būs nepieciešams veikt to piespiedu atsavināšanu), kā arī būvniecības procesa plānoto termiņu novirzes rezultātā uzņēmēji nav iesnieguši rēķinus apmaksai, kā tas sākotnēji tika plānots. Finansējumu plānots apgūt 2011.gada 3. un 4. ceturksnī.</w:t>
      </w:r>
    </w:p>
    <w:p w:rsidR="000F06EF" w:rsidRPr="00603CA3" w:rsidRDefault="000F06EF" w:rsidP="00603CA3">
      <w:pPr>
        <w:spacing w:line="276" w:lineRule="auto"/>
        <w:rPr>
          <w:color w:val="000000" w:themeColor="text1"/>
          <w:szCs w:val="24"/>
        </w:rPr>
      </w:pPr>
      <w:r w:rsidRPr="00603CA3">
        <w:rPr>
          <w:color w:val="000000" w:themeColor="text1"/>
          <w:szCs w:val="24"/>
        </w:rPr>
        <w:t xml:space="preserve">Vides nozares lielajam projektam 2011.gada 2. ceturksnī saskaņā ar apguves mērķī noteikto tika plānots apgūt finansējumu 2,8 </w:t>
      </w:r>
      <w:proofErr w:type="spellStart"/>
      <w:r w:rsidRPr="00603CA3">
        <w:rPr>
          <w:color w:val="000000" w:themeColor="text1"/>
          <w:szCs w:val="24"/>
        </w:rPr>
        <w:t>milj</w:t>
      </w:r>
      <w:proofErr w:type="spellEnd"/>
      <w:r w:rsidRPr="00603CA3">
        <w:rPr>
          <w:color w:val="000000" w:themeColor="text1"/>
          <w:szCs w:val="24"/>
        </w:rPr>
        <w:t xml:space="preserve">. latu apmērā jeb 60% no 2011.gadā  projekta ietvaros ieplānotā finansējuma apjoma, t.i.4,7 </w:t>
      </w:r>
      <w:proofErr w:type="spellStart"/>
      <w:r w:rsidRPr="00603CA3">
        <w:rPr>
          <w:color w:val="000000" w:themeColor="text1"/>
          <w:szCs w:val="24"/>
        </w:rPr>
        <w:t>milj</w:t>
      </w:r>
      <w:proofErr w:type="spellEnd"/>
      <w:r w:rsidRPr="00603CA3">
        <w:rPr>
          <w:color w:val="000000" w:themeColor="text1"/>
          <w:szCs w:val="24"/>
        </w:rPr>
        <w:t>. latiem Plānotais finansējums tiks apgūts 3.ceturksnī, jo maksājuma pieprasījums  tiks iesniegts nedaudz vēlāk nekā plānots –2011.gada jūlijā.</w:t>
      </w:r>
      <w:r w:rsidRPr="00603CA3" w:rsidDel="00EB76AF">
        <w:rPr>
          <w:color w:val="000000" w:themeColor="text1"/>
          <w:szCs w:val="24"/>
        </w:rPr>
        <w:t xml:space="preserve"> </w:t>
      </w:r>
      <w:r w:rsidRPr="00603CA3">
        <w:rPr>
          <w:color w:val="000000" w:themeColor="text1"/>
          <w:szCs w:val="24"/>
        </w:rPr>
        <w:t xml:space="preserve"> Sīkāk par lielajos projektos apgūstamo finansējumu skatīt ES fondu mājas lapā </w:t>
      </w:r>
      <w:proofErr w:type="spellStart"/>
      <w:r w:rsidRPr="00603CA3">
        <w:rPr>
          <w:color w:val="000000" w:themeColor="text1"/>
          <w:szCs w:val="24"/>
        </w:rPr>
        <w:t>www.esfondi.lv</w:t>
      </w:r>
      <w:proofErr w:type="spellEnd"/>
      <w:r w:rsidRPr="00603CA3">
        <w:rPr>
          <w:color w:val="000000" w:themeColor="text1"/>
          <w:szCs w:val="24"/>
        </w:rPr>
        <w:t>.</w:t>
      </w:r>
    </w:p>
    <w:p w:rsidR="00D65EC5" w:rsidRPr="00603CA3" w:rsidRDefault="000F06EF" w:rsidP="00603CA3">
      <w:pPr>
        <w:spacing w:line="276" w:lineRule="auto"/>
        <w:rPr>
          <w:color w:val="000000" w:themeColor="text1"/>
          <w:szCs w:val="24"/>
        </w:rPr>
      </w:pPr>
      <w:r w:rsidRPr="00603CA3">
        <w:rPr>
          <w:color w:val="000000" w:themeColor="text1"/>
          <w:szCs w:val="24"/>
        </w:rPr>
        <w:t xml:space="preserve">2011.gada 2.ceturksnī ir aktuāls jautājums par projekta „Infrastruktūras attīstība Krievu salā ostas aktivitāšu pārcelšanai no pilsētas centra (Rīgas brīvostas teritorija)” turpmākajām īstenošanas iespējām. Šobrīd EK ir apstiprinājusi komercdarbības atbalsta nosacījumus un starp Rīgas brīvostas pārvaldi un </w:t>
      </w:r>
      <w:proofErr w:type="spellStart"/>
      <w:r w:rsidRPr="00603CA3">
        <w:rPr>
          <w:color w:val="000000" w:themeColor="text1"/>
          <w:szCs w:val="24"/>
        </w:rPr>
        <w:t>stividoru</w:t>
      </w:r>
      <w:proofErr w:type="spellEnd"/>
      <w:r w:rsidRPr="00603CA3">
        <w:rPr>
          <w:color w:val="000000" w:themeColor="text1"/>
          <w:szCs w:val="24"/>
        </w:rPr>
        <w:t xml:space="preserve"> kompānijām notiek sarunas par līgumu noteikumiem ar mērķi, lai vienotos par to darbības pārcelšanu uz Krievu salu pēc projekta pabeigšanas un pēc iespējas ātrāk tiktu uzsākta faktiskā projekta īstenošana. Atkarībā no šo sarunu rezultātiem ir atkarīga darbu uzsākšana.</w:t>
      </w:r>
    </w:p>
    <w:p w:rsidR="0003086E" w:rsidRPr="00603CA3" w:rsidRDefault="00E17AF8" w:rsidP="00603CA3">
      <w:pPr>
        <w:spacing w:line="276" w:lineRule="auto"/>
        <w:rPr>
          <w:b/>
          <w:color w:val="000000" w:themeColor="text1"/>
          <w:szCs w:val="24"/>
        </w:rPr>
      </w:pPr>
      <w:bookmarkStart w:id="24" w:name="_Toc276049983"/>
      <w:r w:rsidRPr="00603CA3">
        <w:rPr>
          <w:b/>
          <w:color w:val="000000" w:themeColor="text1"/>
          <w:szCs w:val="24"/>
        </w:rPr>
        <w:t>1.3.5</w:t>
      </w:r>
      <w:r w:rsidR="0038245B" w:rsidRPr="00603CA3">
        <w:rPr>
          <w:b/>
          <w:color w:val="000000" w:themeColor="text1"/>
          <w:szCs w:val="24"/>
        </w:rPr>
        <w:t xml:space="preserve">. </w:t>
      </w:r>
      <w:r w:rsidR="00FF4209" w:rsidRPr="00603CA3">
        <w:rPr>
          <w:b/>
          <w:color w:val="000000" w:themeColor="text1"/>
          <w:szCs w:val="24"/>
        </w:rPr>
        <w:t>Tehniskās palīdzības aktivitāšu īstenošana</w:t>
      </w:r>
      <w:bookmarkEnd w:id="24"/>
    </w:p>
    <w:p w:rsidR="00A55DD4" w:rsidRPr="00603CA3" w:rsidRDefault="00A55DD4" w:rsidP="00603CA3">
      <w:pPr>
        <w:spacing w:line="276" w:lineRule="auto"/>
        <w:rPr>
          <w:color w:val="000000" w:themeColor="text1"/>
          <w:szCs w:val="24"/>
        </w:rPr>
      </w:pPr>
      <w:r w:rsidRPr="00603CA3">
        <w:rPr>
          <w:color w:val="000000" w:themeColor="text1"/>
          <w:szCs w:val="24"/>
        </w:rPr>
        <w:lastRenderedPageBreak/>
        <w:t xml:space="preserve">Saskaņā ar Likumu par valsts budžetu 2011.gadam ES fondu tehniskās palīdzības projektiem plānotais finansējums ir 16,5 </w:t>
      </w:r>
      <w:proofErr w:type="spellStart"/>
      <w:r w:rsidRPr="00603CA3">
        <w:rPr>
          <w:color w:val="000000" w:themeColor="text1"/>
          <w:szCs w:val="24"/>
        </w:rPr>
        <w:t>milj</w:t>
      </w:r>
      <w:proofErr w:type="spellEnd"/>
      <w:r w:rsidRPr="00603CA3">
        <w:rPr>
          <w:color w:val="000000" w:themeColor="text1"/>
          <w:szCs w:val="24"/>
        </w:rPr>
        <w:t xml:space="preserve">. lati. Kopējās atmaksas valsts pamatbudžetā par izdevumiem, kas veikti laika posmā no 2008.gada 1.janvāra līdz 2011.gada 30.jūnijam ir 21,4 </w:t>
      </w:r>
      <w:proofErr w:type="spellStart"/>
      <w:r w:rsidRPr="00603CA3">
        <w:rPr>
          <w:color w:val="000000" w:themeColor="text1"/>
          <w:szCs w:val="24"/>
        </w:rPr>
        <w:t>milj</w:t>
      </w:r>
      <w:proofErr w:type="spellEnd"/>
      <w:r w:rsidRPr="00603CA3">
        <w:rPr>
          <w:color w:val="000000" w:themeColor="text1"/>
          <w:szCs w:val="24"/>
        </w:rPr>
        <w:t xml:space="preserve">. latu apmērā, kas ir 60% no kopējā ES fondu tehniskās palīdzības 1.kārtas projektiem apstiprinātā finansējuma. Neatbilstoši veiktās izmaksas visu ES fondu tehniskās palīdzības projektu ietvaros laika posmā no 2008.gada 1.janvāra līdz 2011.gada 30.jūnijam ir 210 104,98 lats. </w:t>
      </w:r>
    </w:p>
    <w:p w:rsidR="00F72622" w:rsidRPr="00603CA3" w:rsidRDefault="00A55DD4" w:rsidP="00603CA3">
      <w:pPr>
        <w:spacing w:line="276" w:lineRule="auto"/>
        <w:rPr>
          <w:color w:val="000000" w:themeColor="text1"/>
          <w:szCs w:val="24"/>
        </w:rPr>
      </w:pPr>
      <w:r w:rsidRPr="00603CA3">
        <w:rPr>
          <w:color w:val="000000" w:themeColor="text1"/>
          <w:szCs w:val="24"/>
        </w:rPr>
        <w:t>Analizējot maksājumu mērķa izpildi pārskata periodā, ES fondu tehniskās palīdzības prioritāšu ietvaros, secināms, ka salīdzinājumā ar 2011.gada 1.ceturksni finanšu apguves progress ir samazinājies  1.6., 2.4. un 3.7. prioritātēs (finansētas no ESF un ERAF) un pieaudzis 3.8. prioritātē (finansēta no KF), kas skaidrojams ar ES fondu tehniskās palīdzības projektos apstiprinātā finansējuma apjoma pārskatīšanu un 2011.gada martā un aprīlī finansējuma saņēmēju iesniegtajiem priekšlikumiem projektu grozījumiem. Kopējā maksājuma mērķa izpilde 70% apmērā no plānotā skaidrojama ar faktu, ka  mērķa prognoze sagatavota, pamatojoties uz 2011.gada sākumā finansējuma saņēmēju sniegto informāciju</w:t>
      </w:r>
      <w:r w:rsidR="00F21D28" w:rsidRPr="00603CA3">
        <w:rPr>
          <w:color w:val="000000" w:themeColor="text1"/>
          <w:szCs w:val="24"/>
        </w:rPr>
        <w:t xml:space="preserve">, bet līdz pārskata perioda beigām ES fondu tehniskās palīdzības projektos apstiprinātā finansējuma pārskatīšanas rezultātā lielākajā daļā projektu ir tikušas samazinātas vienošanās summas, un izveidojušos ietaupījumus ir paredzēts novirzīt ES fondu tehniskās palīdzības 2.kārtas projektu iesniegumu atlasei </w:t>
      </w:r>
    </w:p>
    <w:p w:rsidR="007B5B4B" w:rsidRPr="00603CA3" w:rsidRDefault="007B5B4B" w:rsidP="00603CA3">
      <w:pPr>
        <w:spacing w:line="276" w:lineRule="auto"/>
        <w:rPr>
          <w:color w:val="000000" w:themeColor="text1"/>
          <w:szCs w:val="24"/>
        </w:rPr>
      </w:pPr>
      <w:bookmarkStart w:id="25" w:name="_Toc276049985"/>
      <w:r w:rsidRPr="00603CA3">
        <w:rPr>
          <w:color w:val="000000" w:themeColor="text1"/>
          <w:szCs w:val="24"/>
        </w:rPr>
        <w:t>Vislielākie izdevumi ES fondu tehniskās palīdzības projektu ietvaros ir bijuši tādās izdevumu pozīcijās kā „ierēdņu un darbinieku atlīdzība” (</w:t>
      </w:r>
      <w:proofErr w:type="spellStart"/>
      <w:r w:rsidRPr="00603CA3">
        <w:rPr>
          <w:color w:val="000000" w:themeColor="text1"/>
          <w:szCs w:val="24"/>
        </w:rPr>
        <w:t>t.sk</w:t>
      </w:r>
      <w:proofErr w:type="spellEnd"/>
      <w:r w:rsidRPr="00603CA3">
        <w:rPr>
          <w:color w:val="000000" w:themeColor="text1"/>
          <w:szCs w:val="24"/>
        </w:rPr>
        <w:t xml:space="preserve">. piemaksas un valsts sociālās apdrošināšanas obligātās iemaksas), kas ir aptuveni 70% no kopējā finansējuma izlietojuma un  „pakalpojumi”, kas ir aptuveni 15% no kopējā finansējuma izlietojuma. Pārējās izdevumu pozīcijās „pamatkapitāla veidošana”, „informācija un publicitāte” (publicitāte plašsaziņas līdzekļos, reprezentācijas materiāli, izdoti bukleti </w:t>
      </w:r>
      <w:proofErr w:type="spellStart"/>
      <w:r w:rsidRPr="00603CA3">
        <w:rPr>
          <w:color w:val="000000" w:themeColor="text1"/>
          <w:szCs w:val="24"/>
        </w:rPr>
        <w:t>u.c</w:t>
      </w:r>
      <w:proofErr w:type="spellEnd"/>
      <w:r w:rsidRPr="00603CA3">
        <w:rPr>
          <w:color w:val="000000" w:themeColor="text1"/>
          <w:szCs w:val="24"/>
        </w:rPr>
        <w:t>. informācijas nesēji, organizēti semināri un konferences), „komandējumi un dienesta braucieni” „telpu noma”, „izvērtējumi un pētījumi” (dažāda veida izvērtējumi un pētījumi, kas saistīti ar ES fondu ieviešanu Latvijā), kā arī citi izdevumi (krājumi, materiāli, energoresursi, preces un inventārs, ko neuzskaita ekonomiskās klasifikācijas kodā 5000, ES fondu vadības informācijas sistēmas attīstība un sasaiste ar citām informācijas sistēmām, dalība citu institūciju organizētajos semināros, apmācībās, konferencēs) veiktie izdevumi ir sadalījušies vienmērīgi robežās 2% - 4% no kopējā finansējuma izlietojuma.</w:t>
      </w:r>
    </w:p>
    <w:p w:rsidR="007B5B4B" w:rsidRPr="00603CA3" w:rsidRDefault="007B5B4B" w:rsidP="00603CA3">
      <w:pPr>
        <w:spacing w:line="276" w:lineRule="auto"/>
        <w:rPr>
          <w:color w:val="000000" w:themeColor="text1"/>
          <w:szCs w:val="24"/>
        </w:rPr>
      </w:pPr>
      <w:r w:rsidRPr="00603CA3">
        <w:rPr>
          <w:color w:val="000000" w:themeColor="text1"/>
          <w:szCs w:val="24"/>
        </w:rPr>
        <w:t xml:space="preserve">Lai nodrošinātu ES fondu tehniskās palīdzības aktivitāšu ieviešanu laika posmā no 2012.gada 1.janvāra līdz 2015.gada 31.decembrim (2. kārtā), kā arī veiktu izmaiņas pašreizējā ES fondu tehniskās palīdzības aktivitāšu ieviešanas sistēmā (paredzēts precizēt finansējuma saņēmēju loku, atbalstāmās darbības un izmaksas, neparedzēt neattiecināmās izmaksas), </w:t>
      </w:r>
      <w:r w:rsidR="00B22EB1" w:rsidRPr="00603CA3">
        <w:rPr>
          <w:color w:val="000000" w:themeColor="text1"/>
          <w:szCs w:val="24"/>
        </w:rPr>
        <w:t>Finanšu ministrija</w:t>
      </w:r>
      <w:r w:rsidRPr="00603CA3">
        <w:rPr>
          <w:color w:val="000000" w:themeColor="text1"/>
          <w:szCs w:val="24"/>
        </w:rPr>
        <w:t xml:space="preserve"> veic </w:t>
      </w:r>
      <w:r w:rsidR="00D30C92" w:rsidRPr="00603CA3">
        <w:rPr>
          <w:color w:val="000000" w:themeColor="text1"/>
          <w:szCs w:val="24"/>
        </w:rPr>
        <w:t>MK</w:t>
      </w:r>
      <w:r w:rsidRPr="00603CA3">
        <w:rPr>
          <w:color w:val="000000" w:themeColor="text1"/>
          <w:szCs w:val="24"/>
        </w:rPr>
        <w:t xml:space="preserve">  noteikumu projekta „Noteikumi par darbības programmas "Cilvēkresursi un nodarbinātība" papildinājuma 1.6.1.1. aktivitātes "Programmas vadības un atbalsta funkciju nodrošināšana", darbības programmas "Uzņēmējdarbība un inovācijas" papildinājuma 2.4.1.1. aktivitātes "Programmas vadības un atbalsta funkciju nodrošināšana", darbības programmas "Infrastruktūra un pakalpojumi" papildinājuma 3.7.1.1. aktivitātes "Programmas vadības un atbalsta funkciju nodrošināšana" un 3.8.1.1. aktivitātes "Programmas vadības un atbalsta funkciju nodrošināšana" projektu iesniegumu atlases otro kārtu” (turpmāk – MK noteikumu projekts) izstrādi. </w:t>
      </w:r>
    </w:p>
    <w:p w:rsidR="002B7937" w:rsidRPr="00603CA3" w:rsidRDefault="007B5B4B" w:rsidP="00603CA3">
      <w:pPr>
        <w:spacing w:line="276" w:lineRule="auto"/>
        <w:rPr>
          <w:color w:val="000000" w:themeColor="text1"/>
          <w:szCs w:val="24"/>
          <w:highlight w:val="yellow"/>
        </w:rPr>
      </w:pPr>
      <w:r w:rsidRPr="00603CA3">
        <w:rPr>
          <w:color w:val="000000" w:themeColor="text1"/>
          <w:szCs w:val="24"/>
        </w:rPr>
        <w:lastRenderedPageBreak/>
        <w:t xml:space="preserve">2011.gada 24.maijā ES fondu Uzraudzības komiteja ar lēmumu </w:t>
      </w:r>
      <w:proofErr w:type="spellStart"/>
      <w:r w:rsidRPr="00603CA3">
        <w:rPr>
          <w:color w:val="000000" w:themeColor="text1"/>
          <w:szCs w:val="24"/>
        </w:rPr>
        <w:t>Nr</w:t>
      </w:r>
      <w:proofErr w:type="spellEnd"/>
      <w:r w:rsidRPr="00603CA3">
        <w:rPr>
          <w:color w:val="000000" w:themeColor="text1"/>
          <w:szCs w:val="24"/>
        </w:rPr>
        <w:t xml:space="preserve">. L-2011/7 apstiprināja projektu </w:t>
      </w:r>
      <w:r w:rsidRPr="00603CA3">
        <w:rPr>
          <w:bCs/>
          <w:color w:val="000000" w:themeColor="text1"/>
          <w:szCs w:val="24"/>
        </w:rPr>
        <w:t xml:space="preserve">iesniegumu vērtēšanas kritērijus. </w:t>
      </w:r>
      <w:r w:rsidRPr="00603CA3">
        <w:rPr>
          <w:color w:val="000000" w:themeColor="text1"/>
          <w:szCs w:val="24"/>
        </w:rPr>
        <w:t xml:space="preserve">MK noteikumu projekta izsludināšana VSS notika 2011.gada 9.jūnijā.  MK noteikumu apstiprināšana </w:t>
      </w:r>
      <w:r w:rsidR="00D30C92" w:rsidRPr="00603CA3">
        <w:rPr>
          <w:color w:val="000000" w:themeColor="text1"/>
          <w:szCs w:val="24"/>
        </w:rPr>
        <w:t>MK</w:t>
      </w:r>
      <w:r w:rsidRPr="00603CA3">
        <w:rPr>
          <w:color w:val="000000" w:themeColor="text1"/>
          <w:szCs w:val="24"/>
        </w:rPr>
        <w:t>, projektu iesniegumu iesniegšana sadarbības iestādē to vērtēšanai plānota 2011. gada 3. ceturksnī.</w:t>
      </w:r>
    </w:p>
    <w:p w:rsidR="002B7937" w:rsidRPr="00603CA3" w:rsidRDefault="00A1120A" w:rsidP="00603CA3">
      <w:pPr>
        <w:pStyle w:val="2lmenis"/>
        <w:numPr>
          <w:ilvl w:val="1"/>
          <w:numId w:val="2"/>
        </w:numPr>
        <w:spacing w:before="0" w:after="0" w:line="276" w:lineRule="auto"/>
        <w:ind w:left="1276" w:hanging="425"/>
        <w:rPr>
          <w:color w:val="000000" w:themeColor="text1"/>
          <w:sz w:val="24"/>
          <w:szCs w:val="24"/>
          <w:lang w:val="lv-LV"/>
        </w:rPr>
      </w:pPr>
      <w:r w:rsidRPr="00603CA3">
        <w:rPr>
          <w:color w:val="000000" w:themeColor="text1"/>
          <w:sz w:val="24"/>
          <w:szCs w:val="24"/>
          <w:lang w:val="lv-LV"/>
        </w:rPr>
        <w:t xml:space="preserve"> </w:t>
      </w:r>
      <w:bookmarkStart w:id="26" w:name="_Toc300759824"/>
      <w:r w:rsidR="00FD3E8A" w:rsidRPr="00603CA3">
        <w:rPr>
          <w:color w:val="000000" w:themeColor="text1"/>
          <w:sz w:val="24"/>
          <w:szCs w:val="24"/>
          <w:lang w:val="lv-LV"/>
        </w:rPr>
        <w:t xml:space="preserve">2007.-2013.gada plānošanas perioda finanšu apguves salīdzinājums </w:t>
      </w:r>
      <w:r w:rsidR="009C5406" w:rsidRPr="00603CA3">
        <w:rPr>
          <w:color w:val="000000" w:themeColor="text1"/>
          <w:sz w:val="24"/>
          <w:szCs w:val="24"/>
          <w:lang w:val="lv-LV"/>
        </w:rPr>
        <w:t>starp jaunajām ES dalībvalstīm</w:t>
      </w:r>
      <w:bookmarkEnd w:id="26"/>
    </w:p>
    <w:p w:rsidR="00BE0389" w:rsidRPr="00603CA3" w:rsidRDefault="00BE0389" w:rsidP="00603CA3">
      <w:pPr>
        <w:spacing w:line="276" w:lineRule="auto"/>
        <w:rPr>
          <w:color w:val="000000" w:themeColor="text1"/>
          <w:szCs w:val="24"/>
        </w:rPr>
      </w:pPr>
      <w:r w:rsidRPr="00603CA3">
        <w:rPr>
          <w:color w:val="000000" w:themeColor="text1"/>
          <w:szCs w:val="24"/>
        </w:rPr>
        <w:t xml:space="preserve">Pēc EK sniegtās informācijas Latvija ierindojusies sestajā vietā starp pārējām ES jaunajām dalībvalstīm no EK saņemto starpposma un avansa maksājumu ziņā (skatīt </w:t>
      </w:r>
      <w:r w:rsidRPr="00603CA3">
        <w:rPr>
          <w:color w:val="000000" w:themeColor="text1"/>
          <w:szCs w:val="24"/>
          <w:u w:val="single"/>
        </w:rPr>
        <w:t>grafiku Nr.</w:t>
      </w:r>
      <w:r w:rsidR="00592EC2" w:rsidRPr="00603CA3">
        <w:rPr>
          <w:color w:val="000000" w:themeColor="text1"/>
          <w:szCs w:val="24"/>
          <w:u w:val="single"/>
        </w:rPr>
        <w:t>7</w:t>
      </w:r>
      <w:r w:rsidRPr="00603CA3">
        <w:rPr>
          <w:color w:val="000000" w:themeColor="text1"/>
          <w:szCs w:val="24"/>
        </w:rPr>
        <w:t>).</w:t>
      </w:r>
    </w:p>
    <w:p w:rsidR="00BE0389" w:rsidRPr="00603CA3" w:rsidRDefault="00BE0389" w:rsidP="00603CA3">
      <w:pPr>
        <w:spacing w:line="276" w:lineRule="auto"/>
        <w:rPr>
          <w:color w:val="000000" w:themeColor="text1"/>
          <w:szCs w:val="24"/>
        </w:rPr>
      </w:pPr>
      <w:r w:rsidRPr="00603CA3">
        <w:rPr>
          <w:color w:val="000000" w:themeColor="text1"/>
          <w:szCs w:val="24"/>
        </w:rPr>
        <w:t>Grafiks Nr.</w:t>
      </w:r>
      <w:r w:rsidR="00592EC2" w:rsidRPr="00603CA3">
        <w:rPr>
          <w:color w:val="000000" w:themeColor="text1"/>
          <w:szCs w:val="24"/>
        </w:rPr>
        <w:t>7</w:t>
      </w:r>
      <w:r w:rsidRPr="00603CA3">
        <w:rPr>
          <w:color w:val="000000" w:themeColor="text1"/>
          <w:szCs w:val="24"/>
        </w:rPr>
        <w:t xml:space="preserve"> </w:t>
      </w:r>
      <w:r w:rsidRPr="00603CA3">
        <w:rPr>
          <w:i/>
          <w:color w:val="000000" w:themeColor="text1"/>
          <w:szCs w:val="24"/>
        </w:rPr>
        <w:t>„EK veiktie maksājumi (% pret ES fondu finansējumu) jaunajām ES dalībvalstīm 2007-2013.gada plānošanas periodā uz 30.06.2011.”</w:t>
      </w:r>
    </w:p>
    <w:p w:rsidR="00BE0389" w:rsidRPr="00603CA3" w:rsidRDefault="00E81671" w:rsidP="00603CA3">
      <w:pPr>
        <w:spacing w:line="276" w:lineRule="auto"/>
        <w:rPr>
          <w:noProof/>
          <w:color w:val="000000" w:themeColor="text1"/>
          <w:szCs w:val="24"/>
          <w:highlight w:val="yellow"/>
        </w:rPr>
      </w:pPr>
      <w:r w:rsidRPr="00603CA3">
        <w:rPr>
          <w:noProof/>
          <w:color w:val="000000" w:themeColor="text1"/>
          <w:szCs w:val="24"/>
          <w:lang w:eastAsia="lv-LV"/>
        </w:rPr>
        <w:drawing>
          <wp:inline distT="0" distB="0" distL="0" distR="0" wp14:anchorId="591D22E8" wp14:editId="4DD0F92B">
            <wp:extent cx="4971415" cy="3197225"/>
            <wp:effectExtent l="0" t="0" r="19685" b="22225"/>
            <wp:docPr id="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BE0389" w:rsidRPr="00603CA3" w:rsidRDefault="00BE0389" w:rsidP="00603CA3">
      <w:pPr>
        <w:spacing w:line="276" w:lineRule="auto"/>
        <w:rPr>
          <w:color w:val="000000" w:themeColor="text1"/>
          <w:szCs w:val="24"/>
        </w:rPr>
      </w:pPr>
    </w:p>
    <w:p w:rsidR="002B7937" w:rsidRPr="00603CA3" w:rsidRDefault="00BE0389" w:rsidP="00603CA3">
      <w:pPr>
        <w:spacing w:line="276" w:lineRule="auto"/>
        <w:rPr>
          <w:color w:val="000000" w:themeColor="text1"/>
          <w:szCs w:val="24"/>
        </w:rPr>
      </w:pPr>
      <w:r w:rsidRPr="00603CA3">
        <w:rPr>
          <w:color w:val="000000" w:themeColor="text1"/>
          <w:szCs w:val="24"/>
        </w:rPr>
        <w:t>Salīdzinot EK veiktos maksājumus ES jaunajām dalībvalstīm fondu griezumā, Latvija joprojām atrodas stabilā pirmajā vietā ESF ietvaros, kur no EK saņemti maksājumi 53,0% apmērā no ES fondu finansējuma.</w:t>
      </w:r>
      <w:r w:rsidR="00AB0D59" w:rsidRPr="00603CA3">
        <w:rPr>
          <w:color w:val="000000" w:themeColor="text1"/>
          <w:szCs w:val="24"/>
        </w:rPr>
        <w:t xml:space="preserve"> ERAF un KF ietvaros atmaksas no EK aizkavējušās dēļ izdevumu deklarēšanas procesa apturēšanas. Ņemot vērā, ka </w:t>
      </w:r>
      <w:proofErr w:type="spellStart"/>
      <w:r w:rsidR="00AB0D59" w:rsidRPr="00603CA3">
        <w:rPr>
          <w:color w:val="000000" w:themeColor="text1"/>
          <w:szCs w:val="24"/>
        </w:rPr>
        <w:t>š.g</w:t>
      </w:r>
      <w:proofErr w:type="spellEnd"/>
      <w:r w:rsidR="00AB0D59" w:rsidRPr="00603CA3">
        <w:rPr>
          <w:color w:val="000000" w:themeColor="text1"/>
          <w:szCs w:val="24"/>
        </w:rPr>
        <w:t xml:space="preserve">. augustā atsākta izdevumu deklarēšana un EK nodeklarēti kopš 2010.gada rudens finansējuma saņēmējiem veiktie ES fondu maksājumi 190 </w:t>
      </w:r>
      <w:proofErr w:type="spellStart"/>
      <w:r w:rsidR="00AB0D59" w:rsidRPr="00603CA3">
        <w:rPr>
          <w:color w:val="000000" w:themeColor="text1"/>
          <w:szCs w:val="24"/>
        </w:rPr>
        <w:t>milj</w:t>
      </w:r>
      <w:proofErr w:type="spellEnd"/>
      <w:r w:rsidR="00AB0D59" w:rsidRPr="00603CA3">
        <w:rPr>
          <w:color w:val="000000" w:themeColor="text1"/>
          <w:szCs w:val="24"/>
        </w:rPr>
        <w:t xml:space="preserve">. latu apmērā. Pēc šo līdzekļu saņemšanas Latvija pēc EK </w:t>
      </w:r>
      <w:proofErr w:type="spellStart"/>
      <w:r w:rsidR="00AB0D59" w:rsidRPr="00603CA3">
        <w:rPr>
          <w:color w:val="000000" w:themeColor="text1"/>
          <w:szCs w:val="24"/>
        </w:rPr>
        <w:t>vaiktajām</w:t>
      </w:r>
      <w:proofErr w:type="spellEnd"/>
      <w:r w:rsidR="00AB0D59" w:rsidRPr="00603CA3">
        <w:rPr>
          <w:color w:val="000000" w:themeColor="text1"/>
          <w:szCs w:val="24"/>
        </w:rPr>
        <w:t xml:space="preserve"> atmaksām ierindosies aptuveni 3.-4.vietā starp jaunajām ES dalībvalstīm.</w:t>
      </w:r>
    </w:p>
    <w:p w:rsidR="00362BBF" w:rsidRPr="00603CA3" w:rsidRDefault="002420D5" w:rsidP="00603CA3">
      <w:pPr>
        <w:spacing w:line="276" w:lineRule="auto"/>
        <w:rPr>
          <w:color w:val="000000" w:themeColor="text1"/>
          <w:szCs w:val="24"/>
        </w:rPr>
      </w:pPr>
      <w:r w:rsidRPr="00603CA3">
        <w:rPr>
          <w:color w:val="000000" w:themeColor="text1"/>
          <w:szCs w:val="24"/>
        </w:rPr>
        <w:t xml:space="preserve">Finanšu apguve visās trijās Baltijas valstīs ir </w:t>
      </w:r>
      <w:r w:rsidR="00ED016D" w:rsidRPr="00603CA3">
        <w:rPr>
          <w:color w:val="000000" w:themeColor="text1"/>
          <w:szCs w:val="24"/>
        </w:rPr>
        <w:t>apmierinoša un samērā vienlīdzīga</w:t>
      </w:r>
      <w:r w:rsidR="008D36DF" w:rsidRPr="00603CA3">
        <w:rPr>
          <w:color w:val="000000" w:themeColor="text1"/>
          <w:szCs w:val="24"/>
        </w:rPr>
        <w:t xml:space="preserve">. Pēc valstu sniegtās informācijas, Latvija </w:t>
      </w:r>
      <w:r w:rsidR="00621234" w:rsidRPr="00603CA3">
        <w:rPr>
          <w:color w:val="000000" w:themeColor="text1"/>
          <w:szCs w:val="24"/>
        </w:rPr>
        <w:t xml:space="preserve">ES finanšu apguvē </w:t>
      </w:r>
      <w:r w:rsidR="008D36DF" w:rsidRPr="00603CA3">
        <w:rPr>
          <w:color w:val="000000" w:themeColor="text1"/>
          <w:szCs w:val="24"/>
        </w:rPr>
        <w:t xml:space="preserve">ierindojas </w:t>
      </w:r>
      <w:r w:rsidR="00353718" w:rsidRPr="00603CA3">
        <w:rPr>
          <w:color w:val="000000" w:themeColor="text1"/>
          <w:szCs w:val="24"/>
        </w:rPr>
        <w:t xml:space="preserve">otrajā vietā. Latvija ir noslēgusi līgumus par </w:t>
      </w:r>
      <w:r w:rsidR="00F516BD" w:rsidRPr="00603CA3">
        <w:rPr>
          <w:color w:val="000000" w:themeColor="text1"/>
          <w:szCs w:val="24"/>
        </w:rPr>
        <w:t>77,7</w:t>
      </w:r>
      <w:r w:rsidR="00353718" w:rsidRPr="00603CA3">
        <w:rPr>
          <w:color w:val="000000" w:themeColor="text1"/>
          <w:szCs w:val="24"/>
        </w:rPr>
        <w:t>% no ES fondu finansējuma</w:t>
      </w:r>
      <w:r w:rsidR="00F516BD" w:rsidRPr="00603CA3">
        <w:rPr>
          <w:color w:val="000000" w:themeColor="text1"/>
          <w:szCs w:val="24"/>
        </w:rPr>
        <w:t xml:space="preserve">, </w:t>
      </w:r>
      <w:r w:rsidR="00B5289D" w:rsidRPr="00603CA3">
        <w:rPr>
          <w:color w:val="000000" w:themeColor="text1"/>
          <w:szCs w:val="24"/>
        </w:rPr>
        <w:t>apsteidzot</w:t>
      </w:r>
      <w:r w:rsidR="00F516BD" w:rsidRPr="00603CA3">
        <w:rPr>
          <w:color w:val="000000" w:themeColor="text1"/>
          <w:szCs w:val="24"/>
        </w:rPr>
        <w:t xml:space="preserve"> Lietuv</w:t>
      </w:r>
      <w:r w:rsidR="00B5289D" w:rsidRPr="00603CA3">
        <w:rPr>
          <w:color w:val="000000" w:themeColor="text1"/>
          <w:szCs w:val="24"/>
        </w:rPr>
        <w:t>u</w:t>
      </w:r>
      <w:r w:rsidR="00F516BD" w:rsidRPr="00603CA3">
        <w:rPr>
          <w:color w:val="000000" w:themeColor="text1"/>
          <w:szCs w:val="24"/>
        </w:rPr>
        <w:t xml:space="preserve"> </w:t>
      </w:r>
      <w:r w:rsidR="00B5289D" w:rsidRPr="00603CA3">
        <w:rPr>
          <w:color w:val="000000" w:themeColor="text1"/>
          <w:szCs w:val="24"/>
        </w:rPr>
        <w:t>par 9,1</w:t>
      </w:r>
      <w:r w:rsidR="0098555E" w:rsidRPr="00603CA3">
        <w:rPr>
          <w:color w:val="000000" w:themeColor="text1"/>
          <w:szCs w:val="24"/>
        </w:rPr>
        <w:t>%</w:t>
      </w:r>
      <w:r w:rsidR="00353718" w:rsidRPr="00603CA3">
        <w:rPr>
          <w:color w:val="000000" w:themeColor="text1"/>
          <w:szCs w:val="24"/>
        </w:rPr>
        <w:t xml:space="preserve"> un</w:t>
      </w:r>
      <w:r w:rsidR="00621234" w:rsidRPr="00603CA3">
        <w:rPr>
          <w:color w:val="000000" w:themeColor="text1"/>
          <w:szCs w:val="24"/>
        </w:rPr>
        <w:t xml:space="preserve"> </w:t>
      </w:r>
      <w:r w:rsidR="000A0087" w:rsidRPr="00603CA3">
        <w:rPr>
          <w:color w:val="000000" w:themeColor="text1"/>
          <w:szCs w:val="24"/>
        </w:rPr>
        <w:t>atpaliek</w:t>
      </w:r>
      <w:r w:rsidR="0098555E" w:rsidRPr="00603CA3">
        <w:rPr>
          <w:color w:val="000000" w:themeColor="text1"/>
          <w:szCs w:val="24"/>
        </w:rPr>
        <w:t>ot</w:t>
      </w:r>
      <w:r w:rsidR="000A0087" w:rsidRPr="00603CA3">
        <w:rPr>
          <w:color w:val="000000" w:themeColor="text1"/>
          <w:szCs w:val="24"/>
        </w:rPr>
        <w:t xml:space="preserve"> no Igaunijas </w:t>
      </w:r>
      <w:r w:rsidR="00621234" w:rsidRPr="00603CA3">
        <w:rPr>
          <w:color w:val="000000" w:themeColor="text1"/>
          <w:szCs w:val="24"/>
        </w:rPr>
        <w:t xml:space="preserve">tikai par </w:t>
      </w:r>
      <w:r w:rsidR="00F516BD" w:rsidRPr="00603CA3">
        <w:rPr>
          <w:color w:val="000000" w:themeColor="text1"/>
          <w:szCs w:val="24"/>
        </w:rPr>
        <w:t>2,0</w:t>
      </w:r>
      <w:r w:rsidR="00621234" w:rsidRPr="00603CA3">
        <w:rPr>
          <w:color w:val="000000" w:themeColor="text1"/>
          <w:szCs w:val="24"/>
        </w:rPr>
        <w:t xml:space="preserve">% </w:t>
      </w:r>
      <w:r w:rsidR="000A0087" w:rsidRPr="00603CA3">
        <w:rPr>
          <w:color w:val="000000" w:themeColor="text1"/>
          <w:szCs w:val="24"/>
        </w:rPr>
        <w:t>no noslēgto līgumu</w:t>
      </w:r>
      <w:r w:rsidR="00F6796B" w:rsidRPr="00603CA3">
        <w:rPr>
          <w:color w:val="000000" w:themeColor="text1"/>
          <w:szCs w:val="24"/>
        </w:rPr>
        <w:t xml:space="preserve"> apmēra no ES fondu finansējuma.</w:t>
      </w:r>
      <w:r w:rsidR="00ED016D" w:rsidRPr="00603CA3">
        <w:rPr>
          <w:color w:val="000000" w:themeColor="text1"/>
          <w:szCs w:val="24"/>
        </w:rPr>
        <w:t xml:space="preserve"> </w:t>
      </w:r>
    </w:p>
    <w:p w:rsidR="00B8671A" w:rsidRPr="00603CA3" w:rsidRDefault="009919C8" w:rsidP="00603CA3">
      <w:pPr>
        <w:spacing w:line="276" w:lineRule="auto"/>
        <w:rPr>
          <w:color w:val="000000" w:themeColor="text1"/>
          <w:szCs w:val="24"/>
        </w:rPr>
      </w:pPr>
      <w:r w:rsidRPr="00603CA3">
        <w:rPr>
          <w:color w:val="000000" w:themeColor="text1"/>
          <w:szCs w:val="24"/>
        </w:rPr>
        <w:t xml:space="preserve">Salīdzinājumā starp Baltijas valstīm fondu griezumā Latvija </w:t>
      </w:r>
      <w:r w:rsidR="002553FF" w:rsidRPr="00603CA3">
        <w:rPr>
          <w:color w:val="000000" w:themeColor="text1"/>
          <w:szCs w:val="24"/>
        </w:rPr>
        <w:t>ir līdere</w:t>
      </w:r>
      <w:r w:rsidR="00362BBF" w:rsidRPr="00603CA3">
        <w:rPr>
          <w:color w:val="000000" w:themeColor="text1"/>
          <w:szCs w:val="24"/>
        </w:rPr>
        <w:t xml:space="preserve"> ESF apguvē</w:t>
      </w:r>
      <w:r w:rsidR="002553FF" w:rsidRPr="00603CA3">
        <w:rPr>
          <w:color w:val="000000" w:themeColor="text1"/>
          <w:szCs w:val="24"/>
        </w:rPr>
        <w:t>. Latvij</w:t>
      </w:r>
      <w:r w:rsidR="006C1475" w:rsidRPr="00603CA3">
        <w:rPr>
          <w:color w:val="000000" w:themeColor="text1"/>
          <w:szCs w:val="24"/>
        </w:rPr>
        <w:t>ā</w:t>
      </w:r>
      <w:r w:rsidR="002553FF" w:rsidRPr="00603CA3">
        <w:rPr>
          <w:color w:val="000000" w:themeColor="text1"/>
          <w:szCs w:val="24"/>
        </w:rPr>
        <w:t xml:space="preserve"> ir noslēgusi līgum</w:t>
      </w:r>
      <w:r w:rsidR="006C1475" w:rsidRPr="00603CA3">
        <w:rPr>
          <w:color w:val="000000" w:themeColor="text1"/>
          <w:szCs w:val="24"/>
        </w:rPr>
        <w:t>i</w:t>
      </w:r>
      <w:r w:rsidR="002553FF" w:rsidRPr="00603CA3">
        <w:rPr>
          <w:color w:val="000000" w:themeColor="text1"/>
          <w:szCs w:val="24"/>
        </w:rPr>
        <w:t xml:space="preserve"> par 92,</w:t>
      </w:r>
      <w:r w:rsidR="0098555E" w:rsidRPr="00603CA3">
        <w:rPr>
          <w:color w:val="000000" w:themeColor="text1"/>
          <w:szCs w:val="24"/>
        </w:rPr>
        <w:t>5</w:t>
      </w:r>
      <w:r w:rsidR="002553FF" w:rsidRPr="00603CA3">
        <w:rPr>
          <w:color w:val="000000" w:themeColor="text1"/>
          <w:szCs w:val="24"/>
        </w:rPr>
        <w:t>%</w:t>
      </w:r>
      <w:r w:rsidR="007D6155" w:rsidRPr="00603CA3">
        <w:rPr>
          <w:color w:val="000000" w:themeColor="text1"/>
          <w:szCs w:val="24"/>
        </w:rPr>
        <w:t xml:space="preserve"> </w:t>
      </w:r>
      <w:r w:rsidR="002553FF" w:rsidRPr="00603CA3">
        <w:rPr>
          <w:color w:val="000000" w:themeColor="text1"/>
          <w:szCs w:val="24"/>
        </w:rPr>
        <w:t xml:space="preserve">no ES fondu finansējuma, </w:t>
      </w:r>
      <w:proofErr w:type="spellStart"/>
      <w:r w:rsidR="007D6155" w:rsidRPr="00603CA3">
        <w:rPr>
          <w:color w:val="000000" w:themeColor="text1"/>
          <w:szCs w:val="24"/>
        </w:rPr>
        <w:t>t.i</w:t>
      </w:r>
      <w:proofErr w:type="spellEnd"/>
      <w:r w:rsidR="007D6155" w:rsidRPr="00603CA3">
        <w:rPr>
          <w:color w:val="000000" w:themeColor="text1"/>
          <w:szCs w:val="24"/>
        </w:rPr>
        <w:t>. par 32,4% vairāk kā Lietuv</w:t>
      </w:r>
      <w:r w:rsidR="006C1475" w:rsidRPr="00603CA3">
        <w:rPr>
          <w:color w:val="000000" w:themeColor="text1"/>
          <w:szCs w:val="24"/>
        </w:rPr>
        <w:t>ā</w:t>
      </w:r>
      <w:r w:rsidR="007D6155" w:rsidRPr="00603CA3">
        <w:rPr>
          <w:color w:val="000000" w:themeColor="text1"/>
          <w:szCs w:val="24"/>
        </w:rPr>
        <w:t xml:space="preserve">, </w:t>
      </w:r>
      <w:r w:rsidR="001C3D07" w:rsidRPr="00603CA3">
        <w:rPr>
          <w:color w:val="000000" w:themeColor="text1"/>
          <w:szCs w:val="24"/>
        </w:rPr>
        <w:t xml:space="preserve">finansējuma saņēmējiem ir veikti maksājumi </w:t>
      </w:r>
      <w:r w:rsidR="0077359A" w:rsidRPr="00603CA3">
        <w:rPr>
          <w:color w:val="000000" w:themeColor="text1"/>
          <w:szCs w:val="24"/>
        </w:rPr>
        <w:t>47,3</w:t>
      </w:r>
      <w:r w:rsidR="001C3D07" w:rsidRPr="00603CA3">
        <w:rPr>
          <w:color w:val="000000" w:themeColor="text1"/>
          <w:szCs w:val="24"/>
        </w:rPr>
        <w:t>% apmērā no ES fondu pieejamā finansējuma</w:t>
      </w:r>
      <w:r w:rsidR="00C45C48" w:rsidRPr="00603CA3">
        <w:rPr>
          <w:color w:val="000000" w:themeColor="text1"/>
          <w:szCs w:val="24"/>
        </w:rPr>
        <w:t>, kas ir par 13,</w:t>
      </w:r>
      <w:r w:rsidR="0077359A" w:rsidRPr="00603CA3">
        <w:rPr>
          <w:color w:val="000000" w:themeColor="text1"/>
          <w:szCs w:val="24"/>
        </w:rPr>
        <w:t>4</w:t>
      </w:r>
      <w:r w:rsidR="00C45C48" w:rsidRPr="00603CA3">
        <w:rPr>
          <w:color w:val="000000" w:themeColor="text1"/>
          <w:szCs w:val="24"/>
        </w:rPr>
        <w:t xml:space="preserve">% vairāk nekā Lietuvā un par </w:t>
      </w:r>
      <w:r w:rsidR="0077359A" w:rsidRPr="00603CA3">
        <w:rPr>
          <w:color w:val="000000" w:themeColor="text1"/>
          <w:szCs w:val="24"/>
        </w:rPr>
        <w:t>2,3</w:t>
      </w:r>
      <w:r w:rsidR="006C1475" w:rsidRPr="00603CA3">
        <w:rPr>
          <w:color w:val="000000" w:themeColor="text1"/>
          <w:szCs w:val="24"/>
        </w:rPr>
        <w:t xml:space="preserve">% vairāk </w:t>
      </w:r>
      <w:r w:rsidR="0077359A" w:rsidRPr="00603CA3">
        <w:rPr>
          <w:color w:val="000000" w:themeColor="text1"/>
          <w:szCs w:val="24"/>
        </w:rPr>
        <w:t>ne</w:t>
      </w:r>
      <w:r w:rsidR="006C1475" w:rsidRPr="00603CA3">
        <w:rPr>
          <w:color w:val="000000" w:themeColor="text1"/>
          <w:szCs w:val="24"/>
        </w:rPr>
        <w:t>kā Igaunijā,</w:t>
      </w:r>
      <w:r w:rsidR="001C3D07" w:rsidRPr="00603CA3">
        <w:rPr>
          <w:color w:val="000000" w:themeColor="text1"/>
          <w:szCs w:val="24"/>
        </w:rPr>
        <w:t xml:space="preserve"> un no EK saņemti maksājumi par </w:t>
      </w:r>
      <w:r w:rsidR="0077359A" w:rsidRPr="00603CA3">
        <w:rPr>
          <w:color w:val="000000" w:themeColor="text1"/>
          <w:szCs w:val="24"/>
        </w:rPr>
        <w:t>53,0</w:t>
      </w:r>
      <w:r w:rsidR="00896655" w:rsidRPr="00603CA3">
        <w:rPr>
          <w:color w:val="000000" w:themeColor="text1"/>
          <w:szCs w:val="24"/>
        </w:rPr>
        <w:t xml:space="preserve">%, kas ir par </w:t>
      </w:r>
      <w:r w:rsidR="0077359A" w:rsidRPr="00603CA3">
        <w:rPr>
          <w:color w:val="000000" w:themeColor="text1"/>
          <w:szCs w:val="24"/>
        </w:rPr>
        <w:t>20,2</w:t>
      </w:r>
      <w:r w:rsidR="00896655" w:rsidRPr="00603CA3">
        <w:rPr>
          <w:color w:val="000000" w:themeColor="text1"/>
          <w:szCs w:val="24"/>
        </w:rPr>
        <w:t xml:space="preserve">% vairāk nekā Lietuvā un par </w:t>
      </w:r>
      <w:r w:rsidR="00E84BF5" w:rsidRPr="00603CA3">
        <w:rPr>
          <w:color w:val="000000" w:themeColor="text1"/>
          <w:szCs w:val="24"/>
        </w:rPr>
        <w:t>9,3</w:t>
      </w:r>
      <w:r w:rsidR="00896655" w:rsidRPr="00603CA3">
        <w:rPr>
          <w:color w:val="000000" w:themeColor="text1"/>
          <w:szCs w:val="24"/>
        </w:rPr>
        <w:t>%</w:t>
      </w:r>
      <w:r w:rsidR="0098555E" w:rsidRPr="00603CA3">
        <w:rPr>
          <w:color w:val="000000" w:themeColor="text1"/>
          <w:szCs w:val="24"/>
        </w:rPr>
        <w:t xml:space="preserve"> vairāk nekā </w:t>
      </w:r>
      <w:r w:rsidR="00896655" w:rsidRPr="00603CA3">
        <w:rPr>
          <w:color w:val="000000" w:themeColor="text1"/>
          <w:szCs w:val="24"/>
        </w:rPr>
        <w:t>Igaunijā</w:t>
      </w:r>
      <w:r w:rsidR="004C7E23" w:rsidRPr="00603CA3">
        <w:rPr>
          <w:color w:val="000000" w:themeColor="text1"/>
          <w:szCs w:val="24"/>
        </w:rPr>
        <w:t xml:space="preserve">. (skatīt </w:t>
      </w:r>
      <w:r w:rsidR="004C7E23" w:rsidRPr="00603CA3">
        <w:rPr>
          <w:color w:val="000000" w:themeColor="text1"/>
          <w:szCs w:val="24"/>
          <w:u w:val="single"/>
        </w:rPr>
        <w:t>grafiku Nr.</w:t>
      </w:r>
      <w:r w:rsidR="00592EC2" w:rsidRPr="00603CA3">
        <w:rPr>
          <w:color w:val="000000" w:themeColor="text1"/>
          <w:szCs w:val="24"/>
          <w:u w:val="single"/>
        </w:rPr>
        <w:t>8</w:t>
      </w:r>
      <w:r w:rsidR="004C7E23" w:rsidRPr="00603CA3">
        <w:rPr>
          <w:color w:val="000000" w:themeColor="text1"/>
          <w:szCs w:val="24"/>
        </w:rPr>
        <w:t>)</w:t>
      </w:r>
    </w:p>
    <w:p w:rsidR="002B7937" w:rsidRPr="00603CA3" w:rsidRDefault="00E335C6" w:rsidP="00603CA3">
      <w:pPr>
        <w:spacing w:line="276" w:lineRule="auto"/>
        <w:rPr>
          <w:i/>
          <w:color w:val="000000" w:themeColor="text1"/>
          <w:szCs w:val="24"/>
        </w:rPr>
      </w:pPr>
      <w:r w:rsidRPr="00603CA3">
        <w:rPr>
          <w:color w:val="000000" w:themeColor="text1"/>
          <w:szCs w:val="24"/>
        </w:rPr>
        <w:lastRenderedPageBreak/>
        <w:t>Grafiks Nr.</w:t>
      </w:r>
      <w:r w:rsidR="00592EC2" w:rsidRPr="00603CA3">
        <w:rPr>
          <w:color w:val="000000" w:themeColor="text1"/>
          <w:szCs w:val="24"/>
        </w:rPr>
        <w:t>8</w:t>
      </w:r>
      <w:r w:rsidRPr="00603CA3">
        <w:rPr>
          <w:color w:val="000000" w:themeColor="text1"/>
          <w:szCs w:val="24"/>
        </w:rPr>
        <w:t xml:space="preserve"> </w:t>
      </w:r>
      <w:r w:rsidRPr="00603CA3">
        <w:rPr>
          <w:i/>
          <w:color w:val="000000" w:themeColor="text1"/>
          <w:szCs w:val="24"/>
        </w:rPr>
        <w:t>„</w:t>
      </w:r>
      <w:r w:rsidR="00B8671A" w:rsidRPr="00603CA3">
        <w:rPr>
          <w:i/>
          <w:color w:val="000000" w:themeColor="text1"/>
          <w:szCs w:val="24"/>
        </w:rPr>
        <w:t xml:space="preserve">Baltijas valstu ESF apguves salīdzinājums (% no ES fondu finansējuma) </w:t>
      </w:r>
      <w:r w:rsidRPr="00603CA3">
        <w:rPr>
          <w:i/>
          <w:color w:val="000000" w:themeColor="text1"/>
          <w:szCs w:val="24"/>
        </w:rPr>
        <w:t>2007-2013.gada plānošanas periodā uz 30.06.2011.”</w:t>
      </w:r>
    </w:p>
    <w:p w:rsidR="006D00FB" w:rsidRPr="00603CA3" w:rsidRDefault="00E81671" w:rsidP="00603CA3">
      <w:pPr>
        <w:spacing w:line="276" w:lineRule="auto"/>
        <w:jc w:val="center"/>
        <w:rPr>
          <w:color w:val="000000" w:themeColor="text1"/>
          <w:szCs w:val="24"/>
        </w:rPr>
      </w:pPr>
      <w:r w:rsidRPr="00603CA3">
        <w:rPr>
          <w:noProof/>
          <w:color w:val="000000" w:themeColor="text1"/>
          <w:szCs w:val="24"/>
          <w:lang w:eastAsia="lv-LV"/>
        </w:rPr>
        <w:drawing>
          <wp:inline distT="0" distB="0" distL="0" distR="0" wp14:anchorId="64F3CD1F" wp14:editId="78110AAE">
            <wp:extent cx="5318760" cy="4071620"/>
            <wp:effectExtent l="0" t="0" r="15240" b="24130"/>
            <wp:docPr id="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9C5406" w:rsidRPr="00603CA3" w:rsidRDefault="009C5406" w:rsidP="00603CA3">
      <w:pPr>
        <w:spacing w:line="276" w:lineRule="auto"/>
        <w:rPr>
          <w:color w:val="000000" w:themeColor="text1"/>
          <w:szCs w:val="24"/>
        </w:rPr>
      </w:pPr>
    </w:p>
    <w:p w:rsidR="00484E94" w:rsidRPr="00603CA3" w:rsidRDefault="00C11F15" w:rsidP="00603CA3">
      <w:pPr>
        <w:pStyle w:val="1lmenis"/>
        <w:spacing w:before="0" w:after="0" w:line="276" w:lineRule="auto"/>
        <w:ind w:left="851"/>
        <w:rPr>
          <w:rFonts w:ascii="Times New Roman" w:hAnsi="Times New Roman"/>
          <w:color w:val="000000" w:themeColor="text1"/>
          <w:sz w:val="24"/>
          <w:szCs w:val="24"/>
          <w:lang w:val="lv-LV"/>
        </w:rPr>
      </w:pPr>
      <w:bookmarkStart w:id="27" w:name="_Toc290449012"/>
      <w:r w:rsidRPr="00603CA3">
        <w:rPr>
          <w:rFonts w:ascii="Times New Roman" w:hAnsi="Times New Roman"/>
          <w:color w:val="000000" w:themeColor="text1"/>
          <w:sz w:val="24"/>
          <w:szCs w:val="24"/>
          <w:lang w:val="lv-LV"/>
        </w:rPr>
        <w:br w:type="page"/>
      </w:r>
      <w:bookmarkStart w:id="28" w:name="_Toc293402671"/>
      <w:bookmarkStart w:id="29" w:name="_Toc300759825"/>
      <w:r w:rsidR="00484E94" w:rsidRPr="00603CA3">
        <w:rPr>
          <w:rFonts w:ascii="Times New Roman" w:hAnsi="Times New Roman"/>
          <w:color w:val="000000" w:themeColor="text1"/>
          <w:sz w:val="24"/>
          <w:szCs w:val="24"/>
          <w:lang w:val="lv-LV"/>
        </w:rPr>
        <w:lastRenderedPageBreak/>
        <w:t>2004.-2006.gada plānošanas period</w:t>
      </w:r>
      <w:bookmarkEnd w:id="28"/>
      <w:r w:rsidR="00484E94" w:rsidRPr="00603CA3">
        <w:rPr>
          <w:rFonts w:ascii="Times New Roman" w:hAnsi="Times New Roman"/>
          <w:color w:val="000000" w:themeColor="text1"/>
          <w:sz w:val="24"/>
          <w:szCs w:val="24"/>
          <w:lang w:val="lv-LV"/>
        </w:rPr>
        <w:t>a slēgšana</w:t>
      </w:r>
      <w:bookmarkEnd w:id="29"/>
    </w:p>
    <w:p w:rsidR="00142F59" w:rsidRPr="00603CA3" w:rsidRDefault="00142F59" w:rsidP="00603CA3">
      <w:pPr>
        <w:spacing w:line="276" w:lineRule="auto"/>
        <w:rPr>
          <w:b/>
          <w:color w:val="000000" w:themeColor="text1"/>
          <w:szCs w:val="24"/>
        </w:rPr>
      </w:pPr>
      <w:r w:rsidRPr="00603CA3">
        <w:rPr>
          <w:b/>
          <w:color w:val="000000" w:themeColor="text1"/>
          <w:szCs w:val="24"/>
        </w:rPr>
        <w:t>ES struktūrfondi</w:t>
      </w:r>
    </w:p>
    <w:p w:rsidR="00142F59" w:rsidRPr="00603CA3" w:rsidRDefault="00142F59" w:rsidP="00603CA3">
      <w:pPr>
        <w:spacing w:line="276" w:lineRule="auto"/>
        <w:rPr>
          <w:color w:val="000000" w:themeColor="text1"/>
          <w:szCs w:val="24"/>
        </w:rPr>
      </w:pPr>
      <w:r w:rsidRPr="00603CA3">
        <w:rPr>
          <w:color w:val="000000" w:themeColor="text1"/>
          <w:szCs w:val="24"/>
        </w:rPr>
        <w:t>Latvija noslēguma dokumentus par struktūrfondu apguvi EK iesniedza kā viena no pirmajām ES dalībvalstīm trīs mēnešus pirms noteiktā termiņa pagājušā gada jūnijā. Pašlaik EK vēl vērtē minētos dokumentus, nepieciešamības gadījumā pieprasot papildu informāciju (piemēram, papildu informācija par sasniegtajiem rādītājiem), ko Latvija iesniedz noteiktajos termiņos.</w:t>
      </w:r>
    </w:p>
    <w:p w:rsidR="00190973" w:rsidRPr="00603CA3" w:rsidRDefault="00142F59" w:rsidP="00603CA3">
      <w:pPr>
        <w:spacing w:line="276" w:lineRule="auto"/>
        <w:rPr>
          <w:color w:val="000000" w:themeColor="text1"/>
          <w:szCs w:val="24"/>
        </w:rPr>
      </w:pPr>
      <w:r w:rsidRPr="00603CA3">
        <w:rPr>
          <w:color w:val="000000" w:themeColor="text1"/>
          <w:szCs w:val="24"/>
        </w:rPr>
        <w:t xml:space="preserve">Pozitīvi atzīmējams fakts, ka pārskata periodā Latvija budžetā no EK saņēmusi pirmo no četriem 2004.-2006. </w:t>
      </w:r>
      <w:r w:rsidR="005120D4" w:rsidRPr="00603CA3">
        <w:rPr>
          <w:color w:val="000000" w:themeColor="text1"/>
          <w:szCs w:val="24"/>
        </w:rPr>
        <w:t xml:space="preserve">gada perioda ES </w:t>
      </w:r>
      <w:r w:rsidRPr="00603CA3">
        <w:rPr>
          <w:color w:val="000000" w:themeColor="text1"/>
          <w:szCs w:val="24"/>
        </w:rPr>
        <w:t>struktūrfondu noslēguma maksājumiem ~</w:t>
      </w:r>
      <w:r w:rsidR="00DD39E2" w:rsidRPr="00603CA3">
        <w:rPr>
          <w:color w:val="000000" w:themeColor="text1"/>
          <w:szCs w:val="24"/>
        </w:rPr>
        <w:t>3,2</w:t>
      </w:r>
      <w:r w:rsidRPr="00603CA3">
        <w:rPr>
          <w:color w:val="000000" w:themeColor="text1"/>
          <w:szCs w:val="24"/>
        </w:rPr>
        <w:t xml:space="preserve"> miljonu </w:t>
      </w:r>
      <w:r w:rsidR="00DD39E2" w:rsidRPr="00603CA3">
        <w:rPr>
          <w:color w:val="000000" w:themeColor="text1"/>
          <w:szCs w:val="24"/>
        </w:rPr>
        <w:t>latu</w:t>
      </w:r>
      <w:r w:rsidRPr="00603CA3">
        <w:rPr>
          <w:color w:val="000000" w:themeColor="text1"/>
          <w:szCs w:val="24"/>
        </w:rPr>
        <w:t xml:space="preserve"> apmērā Eiropas Lauksaimniecības virzības un garantiju fonda ietvaros. Minētais maksājums nozīmē, ka Latvija ir veiksmīgi apguvusi visus iepriekšējā periodā pieejamos līdzekļus Lauksaimniecības virzības un garantiju fonda ietvaros, un tagad EK atmaksājusi pēdējos 5% no Latvijas deklarētajiem izdevumiem. Tādējādi kopumā šīs investīcijas ir nodrošinājušas tādu ieguldījumu Latvija lauksaimniecības attīstībā, ko Latvija nebūtu spējusi panākt vienīgi ar budžeta līdzekļu un atbalsta s</w:t>
      </w:r>
      <w:r w:rsidR="00190973" w:rsidRPr="00603CA3">
        <w:rPr>
          <w:color w:val="000000" w:themeColor="text1"/>
          <w:szCs w:val="24"/>
        </w:rPr>
        <w:t>aņēmēju pašu resursu palīdzību.</w:t>
      </w:r>
    </w:p>
    <w:p w:rsidR="00142F59" w:rsidRPr="00603CA3" w:rsidRDefault="00142F59" w:rsidP="00603CA3">
      <w:pPr>
        <w:spacing w:line="276" w:lineRule="auto"/>
        <w:rPr>
          <w:b/>
          <w:color w:val="000000" w:themeColor="text1"/>
          <w:szCs w:val="24"/>
        </w:rPr>
      </w:pPr>
      <w:r w:rsidRPr="00603CA3">
        <w:rPr>
          <w:b/>
          <w:color w:val="000000" w:themeColor="text1"/>
          <w:szCs w:val="24"/>
        </w:rPr>
        <w:t>Kohēzijas fonds</w:t>
      </w:r>
    </w:p>
    <w:p w:rsidR="00484E94" w:rsidRPr="00603CA3" w:rsidRDefault="00142F59" w:rsidP="00603CA3">
      <w:pPr>
        <w:spacing w:line="276" w:lineRule="auto"/>
        <w:rPr>
          <w:color w:val="000000" w:themeColor="text1"/>
          <w:szCs w:val="24"/>
        </w:rPr>
      </w:pPr>
      <w:r w:rsidRPr="00603CA3">
        <w:rPr>
          <w:color w:val="000000" w:themeColor="text1"/>
          <w:szCs w:val="24"/>
        </w:rPr>
        <w:t xml:space="preserve">2011.gada II ceturksnī ir veiksmīgi noritējusi arī 2004.-2006.gada plānošanas perioda </w:t>
      </w:r>
      <w:r w:rsidR="001C3749" w:rsidRPr="00603CA3">
        <w:rPr>
          <w:color w:val="000000" w:themeColor="text1"/>
          <w:szCs w:val="24"/>
        </w:rPr>
        <w:t>KF</w:t>
      </w:r>
      <w:r w:rsidRPr="00603CA3">
        <w:rPr>
          <w:color w:val="000000" w:themeColor="text1"/>
          <w:szCs w:val="24"/>
        </w:rPr>
        <w:t xml:space="preserve"> vides un satiksmes sektora projektu slēgšana. Ir notikušas noslēguma izdevumu deklarāciju pārbaudes, kā rezultātā sagatavota un saskaņota noslēguma dokumentācija un iesniegta atbildīgajās institūcijās apstiprināšanai. Saskaņā ar Regulu (EK) Nr.1164/1994 līdz 2011.gada 30.jūnijam ir jāiesniedz EK piecpadsmit projektu noslēguma dokumenti. Iesniegšanai EK ir sagatavoti 14 projektu noslēguma dokumenti, savukārt projekta „Ūdenssaimniecības attīstība </w:t>
      </w:r>
      <w:proofErr w:type="spellStart"/>
      <w:r w:rsidRPr="00603CA3">
        <w:rPr>
          <w:color w:val="000000" w:themeColor="text1"/>
          <w:szCs w:val="24"/>
        </w:rPr>
        <w:t>Austrumlatvijas</w:t>
      </w:r>
      <w:proofErr w:type="spellEnd"/>
      <w:r w:rsidRPr="00603CA3">
        <w:rPr>
          <w:color w:val="000000" w:themeColor="text1"/>
          <w:szCs w:val="24"/>
        </w:rPr>
        <w:t xml:space="preserve"> upju baseinos” noslēguma dokumentācija tiks nosūtīta vēlāk sakarā ar to, ka projekta īstenošanā bija iesaistītas 18 Latvijas pašvaldības, un noslēguma dokumentācijas sagatavošanas procesā bija nepieciešams apkopot liela apjoma informāciju, turklāt apjomīgo audita pārbaužu veikšanu šobrīd ir plānots pabeigt līdz 2011.gada 15.augustam. Projekta „Vilcienu kustības vadības sistēmas modernizācija (Latvijas Austrumu-Rietumu dzelzceļa koridors” noslēguma izdevumu deklarācija ir iesniegta noteiktajā termiņā, bet pēc saskaņošanas ar EK, lai  nodrošinātu pilnīgu projekta pabeigšanu, noslēguma ziņojums tiks iesniegts EK līdz 2012.gada 2.cetruksnim.</w:t>
      </w:r>
    </w:p>
    <w:p w:rsidR="00FF4209" w:rsidRPr="00603CA3" w:rsidRDefault="00C657EB" w:rsidP="00603CA3">
      <w:pPr>
        <w:pStyle w:val="1lmenis"/>
        <w:spacing w:before="0" w:after="0" w:line="276" w:lineRule="auto"/>
        <w:ind w:left="851"/>
        <w:rPr>
          <w:rFonts w:ascii="Times New Roman" w:hAnsi="Times New Roman"/>
          <w:color w:val="000000" w:themeColor="text1"/>
          <w:sz w:val="24"/>
          <w:szCs w:val="24"/>
          <w:lang w:val="lv-LV"/>
        </w:rPr>
      </w:pPr>
      <w:r w:rsidRPr="00603CA3">
        <w:rPr>
          <w:rFonts w:ascii="Times New Roman" w:hAnsi="Times New Roman"/>
          <w:color w:val="000000" w:themeColor="text1"/>
          <w:sz w:val="24"/>
          <w:szCs w:val="24"/>
          <w:lang w:val="lv-LV"/>
        </w:rPr>
        <w:br w:type="page"/>
      </w:r>
      <w:bookmarkStart w:id="30" w:name="_Toc300759826"/>
      <w:r w:rsidR="00FF4209" w:rsidRPr="00603CA3">
        <w:rPr>
          <w:rFonts w:ascii="Times New Roman" w:hAnsi="Times New Roman"/>
          <w:color w:val="000000" w:themeColor="text1"/>
          <w:sz w:val="24"/>
          <w:szCs w:val="24"/>
          <w:lang w:val="lv-LV"/>
        </w:rPr>
        <w:lastRenderedPageBreak/>
        <w:t>Eiropas Ekonomikas zonas un Norvēģijas finanšu instrumentu apguve</w:t>
      </w:r>
      <w:bookmarkEnd w:id="25"/>
      <w:bookmarkEnd w:id="27"/>
      <w:bookmarkEnd w:id="30"/>
    </w:p>
    <w:p w:rsidR="00524E33" w:rsidRPr="00603CA3" w:rsidRDefault="006F4AF2" w:rsidP="00603CA3">
      <w:pPr>
        <w:pStyle w:val="2lmenis"/>
        <w:numPr>
          <w:ilvl w:val="1"/>
          <w:numId w:val="2"/>
        </w:numPr>
        <w:spacing w:before="0" w:after="0" w:line="276" w:lineRule="auto"/>
        <w:ind w:left="1276" w:hanging="425"/>
        <w:rPr>
          <w:color w:val="000000" w:themeColor="text1"/>
          <w:sz w:val="24"/>
          <w:szCs w:val="24"/>
          <w:lang w:val="lv-LV"/>
        </w:rPr>
      </w:pPr>
      <w:bookmarkStart w:id="31" w:name="_Toc276049986"/>
      <w:r w:rsidRPr="00603CA3">
        <w:rPr>
          <w:color w:val="000000" w:themeColor="text1"/>
          <w:sz w:val="24"/>
          <w:szCs w:val="24"/>
          <w:lang w:val="lv-LV"/>
        </w:rPr>
        <w:t xml:space="preserve"> </w:t>
      </w:r>
      <w:bookmarkStart w:id="32" w:name="_Toc300759827"/>
      <w:r w:rsidR="00FF4209" w:rsidRPr="00603CA3">
        <w:rPr>
          <w:color w:val="000000" w:themeColor="text1"/>
          <w:sz w:val="24"/>
          <w:szCs w:val="24"/>
          <w:lang w:val="lv-LV"/>
        </w:rPr>
        <w:t>2004.-2009.gada plānošanas periods</w:t>
      </w:r>
      <w:bookmarkEnd w:id="31"/>
      <w:bookmarkEnd w:id="32"/>
    </w:p>
    <w:p w:rsidR="00DA21ED" w:rsidRPr="00603CA3" w:rsidRDefault="00B50E14"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EEZ</w:t>
      </w:r>
      <w:r w:rsidR="00DA21ED" w:rsidRPr="00603CA3">
        <w:rPr>
          <w:rFonts w:eastAsia="EUAlbertina-Bold-Identity-H"/>
          <w:color w:val="000000" w:themeColor="text1"/>
          <w:szCs w:val="24"/>
          <w:lang w:eastAsia="lv-LV"/>
        </w:rPr>
        <w:t xml:space="preserve"> finanšu instrumenta un Norvēģijas valdības divpusējā finanšu instrumenta (turpmāk – EEZ/Norvēģijas finanšu instrumenti) finansējums 35,5 </w:t>
      </w:r>
      <w:proofErr w:type="spellStart"/>
      <w:r w:rsidR="00DA21ED" w:rsidRPr="00603CA3">
        <w:rPr>
          <w:rFonts w:eastAsia="EUAlbertina-Bold-Identity-H"/>
          <w:color w:val="000000" w:themeColor="text1"/>
          <w:szCs w:val="24"/>
          <w:lang w:eastAsia="lv-LV"/>
        </w:rPr>
        <w:t>milj</w:t>
      </w:r>
      <w:proofErr w:type="spellEnd"/>
      <w:r w:rsidR="00DA21ED" w:rsidRPr="00603CA3">
        <w:rPr>
          <w:rFonts w:eastAsia="EUAlbertina-Bold-Identity-H"/>
          <w:color w:val="000000" w:themeColor="text1"/>
          <w:szCs w:val="24"/>
          <w:lang w:eastAsia="lv-LV"/>
        </w:rPr>
        <w:t xml:space="preserve">. latu apmērā bija pieejams no 2004.gada 1.maija līdz 2009.gada 30.aprīlim (5 gadu saistību periods), paredzot iespēju īstenot projektus un līdz ar to arī apgūt piešķirto finansējumu līdz 2011.gada 30.aprīlim. Lai gan līdz 2009.gada 30.aprīlim Granta līgumi bija noslēgti 100% apmērā no pieejamā granta, tomēr līdz pārskata perioda beigām Granta līgumu summa ir samazinājusies līdz 98,2% no pieejamā granta, jo 8 individuālajos projektos un 5 </w:t>
      </w:r>
      <w:proofErr w:type="spellStart"/>
      <w:r w:rsidR="00DA21ED" w:rsidRPr="00603CA3">
        <w:rPr>
          <w:rFonts w:eastAsia="EUAlbertina-Bold-Identity-H"/>
          <w:color w:val="000000" w:themeColor="text1"/>
          <w:szCs w:val="24"/>
          <w:lang w:eastAsia="lv-LV"/>
        </w:rPr>
        <w:t>apakšprojektos</w:t>
      </w:r>
      <w:proofErr w:type="spellEnd"/>
      <w:r w:rsidR="00DA21ED" w:rsidRPr="00603CA3">
        <w:rPr>
          <w:rFonts w:eastAsia="EUAlbertina-Bold-Identity-H"/>
          <w:color w:val="000000" w:themeColor="text1"/>
          <w:szCs w:val="24"/>
          <w:lang w:eastAsia="lv-LV"/>
        </w:rPr>
        <w:t xml:space="preserve"> </w:t>
      </w:r>
      <w:proofErr w:type="spellStart"/>
      <w:r w:rsidR="00DA21ED" w:rsidRPr="00603CA3">
        <w:rPr>
          <w:rFonts w:eastAsia="EUAlbertina-Bold-Identity-H"/>
          <w:color w:val="000000" w:themeColor="text1"/>
          <w:szCs w:val="24"/>
          <w:lang w:eastAsia="lv-LV"/>
        </w:rPr>
        <w:t>donorvalstis</w:t>
      </w:r>
      <w:proofErr w:type="spellEnd"/>
      <w:r w:rsidR="00DA21ED" w:rsidRPr="00603CA3">
        <w:rPr>
          <w:rFonts w:eastAsia="EUAlbertina-Bold-Identity-H"/>
          <w:color w:val="000000" w:themeColor="text1"/>
          <w:szCs w:val="24"/>
          <w:lang w:eastAsia="lv-LV"/>
        </w:rPr>
        <w:t xml:space="preserve"> piemēroja finanšu korekciju par iepirkumu procedūru pārkāpšanu, savukārt viens no finansējuma saņēmējiem 2009.gada nogalē atteicās ieviest apstiprināto projektu. Tomēr šo finansējumu vairs nebija iespēja</w:t>
      </w:r>
      <w:r w:rsidR="00F50585" w:rsidRPr="00603CA3">
        <w:rPr>
          <w:rFonts w:eastAsia="EUAlbertina-Bold-Identity-H"/>
          <w:color w:val="000000" w:themeColor="text1"/>
          <w:szCs w:val="24"/>
          <w:lang w:eastAsia="lv-LV"/>
        </w:rPr>
        <w:t xml:space="preserve">ms izmantot citiem projektiem, </w:t>
      </w:r>
      <w:r w:rsidR="00DA21ED" w:rsidRPr="00603CA3">
        <w:rPr>
          <w:rFonts w:eastAsia="EUAlbertina-Bold-Identity-H"/>
          <w:color w:val="000000" w:themeColor="text1"/>
          <w:szCs w:val="24"/>
          <w:lang w:eastAsia="lv-LV"/>
        </w:rPr>
        <w:t xml:space="preserve">jo saskaņā ar </w:t>
      </w:r>
      <w:proofErr w:type="spellStart"/>
      <w:r w:rsidR="00DA21ED" w:rsidRPr="00603CA3">
        <w:rPr>
          <w:rFonts w:eastAsia="EUAlbertina-Bold-Identity-H"/>
          <w:color w:val="000000" w:themeColor="text1"/>
          <w:szCs w:val="24"/>
          <w:lang w:eastAsia="lv-LV"/>
        </w:rPr>
        <w:t>donorvalstu</w:t>
      </w:r>
      <w:proofErr w:type="spellEnd"/>
      <w:r w:rsidR="00DA21ED" w:rsidRPr="00603CA3">
        <w:rPr>
          <w:rFonts w:eastAsia="EUAlbertina-Bold-Identity-H"/>
          <w:color w:val="000000" w:themeColor="text1"/>
          <w:szCs w:val="24"/>
          <w:lang w:eastAsia="lv-LV"/>
        </w:rPr>
        <w:t xml:space="preserve"> nosacījumiem visas pārdales starp projektiem bija veicamas līdz 2008.gada 31.oktobrim.</w:t>
      </w:r>
    </w:p>
    <w:p w:rsidR="00DA21ED" w:rsidRPr="00603CA3" w:rsidRDefault="00DA21ED"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Līdz 2011.gada 30.aprīlim tika ieviestas šādas aktivitātes:</w:t>
      </w:r>
    </w:p>
    <w:p w:rsidR="00DA21ED" w:rsidRPr="00603CA3" w:rsidRDefault="00DA21ED" w:rsidP="00603CA3">
      <w:pPr>
        <w:numPr>
          <w:ilvl w:val="0"/>
          <w:numId w:val="11"/>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66 individuālie projekti;</w:t>
      </w:r>
    </w:p>
    <w:p w:rsidR="00DA21ED" w:rsidRPr="00603CA3" w:rsidRDefault="00DA21ED" w:rsidP="00603CA3">
      <w:pPr>
        <w:numPr>
          <w:ilvl w:val="0"/>
          <w:numId w:val="11"/>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6 grantu shēmas (Pilsoniskās sabiedrības stiprināšana un sabiedrības integrācija, Akadēmiskie pētījumi, NVO fonds, Stipendiju grantu shēma, Projektu sagatavošanas fonds un Īstermiņa ekspertu fonds);</w:t>
      </w:r>
    </w:p>
    <w:p w:rsidR="00DA21ED" w:rsidRPr="00603CA3" w:rsidRDefault="00DA21ED" w:rsidP="00603CA3">
      <w:pPr>
        <w:numPr>
          <w:ilvl w:val="0"/>
          <w:numId w:val="11"/>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3 programmas (Vides politikas integrācija Latvijā, Valsts un privātās partnerības</w:t>
      </w:r>
      <w:r w:rsidR="0011005C" w:rsidRPr="00603CA3">
        <w:rPr>
          <w:rFonts w:eastAsia="EUAlbertina-Bold-Identity-H"/>
          <w:color w:val="000000" w:themeColor="text1"/>
          <w:szCs w:val="24"/>
          <w:lang w:eastAsia="lv-LV"/>
        </w:rPr>
        <w:t xml:space="preserve"> (turpmāk - VPP) </w:t>
      </w:r>
      <w:r w:rsidRPr="00603CA3">
        <w:rPr>
          <w:rFonts w:eastAsia="EUAlbertina-Bold-Identity-H"/>
          <w:color w:val="000000" w:themeColor="text1"/>
          <w:szCs w:val="24"/>
          <w:lang w:eastAsia="lv-LV"/>
        </w:rPr>
        <w:t xml:space="preserve"> veicināšana un Pārrobežu sadarbība).</w:t>
      </w:r>
    </w:p>
    <w:p w:rsidR="00DA21ED" w:rsidRPr="00603CA3" w:rsidRDefault="00DA21ED"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Vienai no grantu shēmām </w:t>
      </w:r>
      <w:r w:rsidR="009B1F63" w:rsidRPr="00603CA3">
        <w:rPr>
          <w:rFonts w:eastAsia="EUAlbertina-Bold-Identity-H"/>
          <w:color w:val="000000" w:themeColor="text1"/>
          <w:szCs w:val="24"/>
          <w:lang w:eastAsia="lv-LV"/>
        </w:rPr>
        <w:t xml:space="preserve">(Projektu sagatavošanas fonds) </w:t>
      </w:r>
      <w:r w:rsidRPr="00603CA3">
        <w:rPr>
          <w:rFonts w:eastAsia="EUAlbertina-Bold-Identity-H"/>
          <w:color w:val="000000" w:themeColor="text1"/>
          <w:szCs w:val="24"/>
          <w:lang w:eastAsia="lv-LV"/>
        </w:rPr>
        <w:t xml:space="preserve">un 7 individuālajiem projektiem </w:t>
      </w:r>
      <w:proofErr w:type="spellStart"/>
      <w:r w:rsidRPr="00603CA3">
        <w:rPr>
          <w:rFonts w:eastAsia="EUAlbertina-Bold-Identity-H"/>
          <w:color w:val="000000" w:themeColor="text1"/>
          <w:szCs w:val="24"/>
          <w:lang w:eastAsia="lv-LV"/>
        </w:rPr>
        <w:t>donorvalstis</w:t>
      </w:r>
      <w:proofErr w:type="spellEnd"/>
      <w:r w:rsidRPr="00603CA3">
        <w:rPr>
          <w:rFonts w:eastAsia="EUAlbertina-Bold-Identity-H"/>
          <w:color w:val="000000" w:themeColor="text1"/>
          <w:szCs w:val="24"/>
          <w:lang w:eastAsia="lv-LV"/>
        </w:rPr>
        <w:t xml:space="preserve"> ir jau apstiprinājušas</w:t>
      </w:r>
      <w:r w:rsidRPr="00603CA3">
        <w:rPr>
          <w:color w:val="000000" w:themeColor="text1"/>
          <w:szCs w:val="24"/>
        </w:rPr>
        <w:t xml:space="preserve"> </w:t>
      </w:r>
      <w:r w:rsidRPr="00603CA3">
        <w:rPr>
          <w:rFonts w:eastAsia="EUAlbertina-Bold-Identity-H"/>
          <w:color w:val="000000" w:themeColor="text1"/>
          <w:szCs w:val="24"/>
          <w:lang w:eastAsia="lv-LV"/>
        </w:rPr>
        <w:t>Projekta noslēguma pārskatus.</w:t>
      </w:r>
    </w:p>
    <w:p w:rsidR="00DA21ED" w:rsidRPr="00603CA3" w:rsidRDefault="00DA21ED" w:rsidP="00603CA3">
      <w:pPr>
        <w:spacing w:line="276" w:lineRule="auto"/>
        <w:rPr>
          <w:color w:val="000000" w:themeColor="text1"/>
          <w:szCs w:val="24"/>
        </w:rPr>
      </w:pPr>
      <w:r w:rsidRPr="00603CA3">
        <w:rPr>
          <w:color w:val="000000" w:themeColor="text1"/>
          <w:szCs w:val="24"/>
        </w:rPr>
        <w:t xml:space="preserve">Līdz pārskata perioda beigām atmaksas EEZ/Norvēģijas finanšu instrumentu finansējuma saņēmējiem ir 24,4 </w:t>
      </w:r>
      <w:proofErr w:type="spellStart"/>
      <w:r w:rsidRPr="00603CA3">
        <w:rPr>
          <w:color w:val="000000" w:themeColor="text1"/>
          <w:szCs w:val="24"/>
        </w:rPr>
        <w:t>milj</w:t>
      </w:r>
      <w:proofErr w:type="spellEnd"/>
      <w:r w:rsidRPr="00603CA3">
        <w:rPr>
          <w:color w:val="000000" w:themeColor="text1"/>
          <w:szCs w:val="24"/>
        </w:rPr>
        <w:t xml:space="preserve">. latu jeb 68,7% no finanšu instrumentu piešķīruma (skatīt </w:t>
      </w:r>
      <w:r w:rsidRPr="00603CA3">
        <w:rPr>
          <w:color w:val="000000" w:themeColor="text1"/>
          <w:szCs w:val="24"/>
          <w:u w:val="single"/>
        </w:rPr>
        <w:t>grafiku Nr.</w:t>
      </w:r>
      <w:r w:rsidR="00964982" w:rsidRPr="00603CA3">
        <w:rPr>
          <w:color w:val="000000" w:themeColor="text1"/>
          <w:szCs w:val="24"/>
          <w:u w:val="single"/>
        </w:rPr>
        <w:t>9</w:t>
      </w:r>
      <w:r w:rsidRPr="00603CA3">
        <w:rPr>
          <w:color w:val="000000" w:themeColor="text1"/>
          <w:szCs w:val="24"/>
        </w:rPr>
        <w:t xml:space="preserve">). Salīdzinoši ar iepriekšējo ceturksni atmaksas palielinājušās par 2,3 </w:t>
      </w:r>
      <w:proofErr w:type="spellStart"/>
      <w:r w:rsidRPr="00603CA3">
        <w:rPr>
          <w:color w:val="000000" w:themeColor="text1"/>
          <w:szCs w:val="24"/>
        </w:rPr>
        <w:t>milj</w:t>
      </w:r>
      <w:proofErr w:type="spellEnd"/>
      <w:r w:rsidRPr="00603CA3">
        <w:rPr>
          <w:color w:val="000000" w:themeColor="text1"/>
          <w:szCs w:val="24"/>
        </w:rPr>
        <w:t>. latu jeb 6,4%.</w:t>
      </w:r>
    </w:p>
    <w:p w:rsidR="00DA21ED" w:rsidRPr="00603CA3" w:rsidRDefault="00DA21ED" w:rsidP="00603CA3">
      <w:pPr>
        <w:spacing w:line="276" w:lineRule="auto"/>
        <w:rPr>
          <w:i/>
          <w:iCs/>
          <w:color w:val="000000" w:themeColor="text1"/>
          <w:szCs w:val="24"/>
        </w:rPr>
      </w:pPr>
      <w:r w:rsidRPr="00603CA3">
        <w:rPr>
          <w:iCs/>
          <w:color w:val="000000" w:themeColor="text1"/>
          <w:szCs w:val="24"/>
        </w:rPr>
        <w:t>Grafiks Nr.</w:t>
      </w:r>
      <w:r w:rsidR="00964982" w:rsidRPr="00603CA3">
        <w:rPr>
          <w:iCs/>
          <w:color w:val="000000" w:themeColor="text1"/>
          <w:szCs w:val="24"/>
        </w:rPr>
        <w:t>9</w:t>
      </w:r>
      <w:r w:rsidRPr="00603CA3">
        <w:rPr>
          <w:i/>
          <w:iCs/>
          <w:color w:val="000000" w:themeColor="text1"/>
          <w:szCs w:val="24"/>
        </w:rPr>
        <w:t xml:space="preserve"> „No </w:t>
      </w:r>
      <w:proofErr w:type="spellStart"/>
      <w:r w:rsidRPr="00603CA3">
        <w:rPr>
          <w:i/>
          <w:iCs/>
          <w:color w:val="000000" w:themeColor="text1"/>
          <w:szCs w:val="24"/>
        </w:rPr>
        <w:t>donorvalstīm</w:t>
      </w:r>
      <w:proofErr w:type="spellEnd"/>
      <w:r w:rsidRPr="00603CA3">
        <w:rPr>
          <w:i/>
          <w:iCs/>
          <w:color w:val="000000" w:themeColor="text1"/>
          <w:szCs w:val="24"/>
        </w:rPr>
        <w:t xml:space="preserve"> atgūtais EEZ/Norvēģijas finanšu instrumentu finansējums uz 30.06.2011.salīdzinājumā ar 31.03.2011., </w:t>
      </w:r>
      <w:proofErr w:type="spellStart"/>
      <w:r w:rsidRPr="00603CA3">
        <w:rPr>
          <w:i/>
          <w:iCs/>
          <w:color w:val="000000" w:themeColor="text1"/>
          <w:szCs w:val="24"/>
        </w:rPr>
        <w:t>milj</w:t>
      </w:r>
      <w:proofErr w:type="spellEnd"/>
      <w:r w:rsidRPr="00603CA3">
        <w:rPr>
          <w:i/>
          <w:iCs/>
          <w:color w:val="000000" w:themeColor="text1"/>
          <w:szCs w:val="24"/>
        </w:rPr>
        <w:t>. LVL”</w:t>
      </w:r>
    </w:p>
    <w:p w:rsidR="00DA21ED" w:rsidRPr="00603CA3" w:rsidRDefault="00561F8F" w:rsidP="00603CA3">
      <w:pPr>
        <w:spacing w:line="276" w:lineRule="auto"/>
        <w:rPr>
          <w:noProof/>
          <w:color w:val="000000" w:themeColor="text1"/>
          <w:szCs w:val="24"/>
          <w:lang w:eastAsia="lv-LV"/>
        </w:rPr>
      </w:pPr>
      <w:r w:rsidRPr="00603CA3">
        <w:rPr>
          <w:noProof/>
          <w:color w:val="000000" w:themeColor="text1"/>
          <w:szCs w:val="24"/>
          <w:lang w:eastAsia="lv-LV"/>
        </w:rPr>
        <w:object w:dxaOrig="8055" w:dyaOrig="4845">
          <v:shape id="_x0000_i1026" type="#_x0000_t75" style="width:404.25pt;height:242.25pt" o:ole="">
            <v:imagedata r:id="rId27" o:title=""/>
            <o:lock v:ext="edit" aspectratio="f"/>
          </v:shape>
          <o:OLEObject Type="Embed" ProgID="Excel.Sheet.8" ShapeID="_x0000_i1026" DrawAspect="Content" ObjectID="_1374664822" r:id="rId28">
            <o:FieldCodes>\s</o:FieldCodes>
          </o:OLEObject>
        </w:object>
      </w:r>
    </w:p>
    <w:p w:rsidR="00764C84" w:rsidRPr="00603CA3" w:rsidRDefault="00764C84"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lastRenderedPageBreak/>
        <w:t xml:space="preserve">Pamatojoties uz finansējumu saņēmēju Projektu īstenošanas plānos, kas ir Granta līgumu neatņemama sastāvdaļa, noteikto finanšu plūsmu 2011.gada 2.ceturksnī bija plānotas atmaksas 6,5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apmērā, faktiskā apguve ir 32%. </w:t>
      </w:r>
    </w:p>
    <w:p w:rsidR="00DA21ED" w:rsidRPr="00603CA3" w:rsidRDefault="00DA21ED"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Tā kā lielākā daļa projektu tika ieviesti līdz maksimālajam projektu īstenošanas termiņam – 2011.gada 30.aprīlim, tad šobrīd sasniegtie apguves rādītāji vērtējami kā apmierinoši, jo pēdējo starpposma pārskatu iesniegšana </w:t>
      </w:r>
      <w:proofErr w:type="spellStart"/>
      <w:r w:rsidRPr="00603CA3">
        <w:rPr>
          <w:rFonts w:eastAsia="EUAlbertina-Bold-Identity-H"/>
          <w:color w:val="000000" w:themeColor="text1"/>
          <w:szCs w:val="24"/>
          <w:lang w:eastAsia="lv-LV"/>
        </w:rPr>
        <w:t>donorvalstīm</w:t>
      </w:r>
      <w:proofErr w:type="spellEnd"/>
      <w:r w:rsidRPr="00603CA3">
        <w:rPr>
          <w:rFonts w:eastAsia="EUAlbertina-Bold-Identity-H"/>
          <w:color w:val="000000" w:themeColor="text1"/>
          <w:szCs w:val="24"/>
          <w:lang w:eastAsia="lv-LV"/>
        </w:rPr>
        <w:t xml:space="preserve"> turpināsies vēl līdz 2011.gada 30.oktobrim, savukārt noslēguma pārskatu </w:t>
      </w:r>
      <w:r w:rsidR="000B6520" w:rsidRPr="00603CA3">
        <w:rPr>
          <w:rFonts w:eastAsia="EUAlbertina-Bold-Identity-H"/>
          <w:color w:val="000000" w:themeColor="text1"/>
          <w:szCs w:val="24"/>
          <w:lang w:eastAsia="lv-LV"/>
        </w:rPr>
        <w:t>–</w:t>
      </w:r>
      <w:r w:rsidRPr="00603CA3">
        <w:rPr>
          <w:rFonts w:eastAsia="EUAlbertina-Bold-Identity-H"/>
          <w:color w:val="000000" w:themeColor="text1"/>
          <w:szCs w:val="24"/>
          <w:lang w:eastAsia="lv-LV"/>
        </w:rPr>
        <w:t xml:space="preserve"> līdz 2012.gada 1.ceturkšņa beigām. Līdz ar to gala maksājumus no </w:t>
      </w:r>
      <w:proofErr w:type="spellStart"/>
      <w:r w:rsidRPr="00603CA3">
        <w:rPr>
          <w:rFonts w:eastAsia="EUAlbertina-Bold-Identity-H"/>
          <w:color w:val="000000" w:themeColor="text1"/>
          <w:szCs w:val="24"/>
          <w:lang w:eastAsia="lv-LV"/>
        </w:rPr>
        <w:t>donorvalstīm</w:t>
      </w:r>
      <w:proofErr w:type="spellEnd"/>
      <w:r w:rsidRPr="00603CA3">
        <w:rPr>
          <w:rFonts w:eastAsia="EUAlbertina-Bold-Identity-H"/>
          <w:color w:val="000000" w:themeColor="text1"/>
          <w:szCs w:val="24"/>
          <w:lang w:eastAsia="lv-LV"/>
        </w:rPr>
        <w:t xml:space="preserve"> Latvija vēl saņems arī 2012.gada pirmajā pusē. Arī no </w:t>
      </w:r>
      <w:proofErr w:type="spellStart"/>
      <w:r w:rsidRPr="00603CA3">
        <w:rPr>
          <w:rFonts w:eastAsia="EUAlbertina-Bold-Identity-H"/>
          <w:color w:val="000000" w:themeColor="text1"/>
          <w:szCs w:val="24"/>
          <w:lang w:eastAsia="lv-LV"/>
        </w:rPr>
        <w:t>donorvalstīm</w:t>
      </w:r>
      <w:proofErr w:type="spellEnd"/>
      <w:r w:rsidRPr="00603CA3">
        <w:rPr>
          <w:rFonts w:eastAsia="EUAlbertina-Bold-Identity-H"/>
          <w:color w:val="000000" w:themeColor="text1"/>
          <w:szCs w:val="24"/>
          <w:lang w:eastAsia="lv-LV"/>
        </w:rPr>
        <w:t xml:space="preserve"> saņemtā informācija par EEZ/Norvēģijas finanšu instrumentu līdzekļu apguvi liecina, ka uz pārskata perioda beigām saskaņā ar procentuālajiem apguves rādītājiem Latvija ieņem 9 vietu no 15 saņēmējvalstīm. Jāņem vērā, ka trim saņēmējvalstīm (Slovēnija, kas ieņem 1.vietu; Igaunija </w:t>
      </w:r>
      <w:r w:rsidR="000B6520" w:rsidRPr="00603CA3">
        <w:rPr>
          <w:rFonts w:eastAsia="EUAlbertina-Bold-Identity-H"/>
          <w:color w:val="000000" w:themeColor="text1"/>
          <w:szCs w:val="24"/>
          <w:lang w:eastAsia="lv-LV"/>
        </w:rPr>
        <w:t>–</w:t>
      </w:r>
      <w:r w:rsidRPr="00603CA3">
        <w:rPr>
          <w:rFonts w:eastAsia="EUAlbertina-Bold-Identity-H"/>
          <w:color w:val="000000" w:themeColor="text1"/>
          <w:szCs w:val="24"/>
          <w:lang w:eastAsia="lv-LV"/>
        </w:rPr>
        <w:t xml:space="preserve"> 2.vieta; Kipra </w:t>
      </w:r>
      <w:r w:rsidR="000B6520" w:rsidRPr="00603CA3">
        <w:rPr>
          <w:rFonts w:eastAsia="EUAlbertina-Bold-Identity-H"/>
          <w:color w:val="000000" w:themeColor="text1"/>
          <w:szCs w:val="24"/>
          <w:lang w:eastAsia="lv-LV"/>
        </w:rPr>
        <w:t>–</w:t>
      </w:r>
      <w:r w:rsidRPr="00603CA3">
        <w:rPr>
          <w:rFonts w:eastAsia="EUAlbertina-Bold-Identity-H"/>
          <w:color w:val="000000" w:themeColor="text1"/>
          <w:szCs w:val="24"/>
          <w:lang w:eastAsia="lv-LV"/>
        </w:rPr>
        <w:t xml:space="preserve"> 8.vieta), kuras Latviju apsteidz, bija tiesības rīkot tikai vienu atklāto konkursu un naudu apgūt viena gada ietvaros, jo šīm valstīm piešķirtā EEZ/Norvēģijas finanšu instrumentu summa bija salīdzinoši neliela, savukārt Latvijai obligāti bija jāizsludina vismaz 2 atklātie individuālo projektu konkursi, kas prasa laikietilpīgas procedūras un rada dažādus citus sarežģījumus, un palēnina ieviešanas gaitu. Salīdzinājumam </w:t>
      </w:r>
      <w:r w:rsidR="000B6520" w:rsidRPr="00603CA3">
        <w:rPr>
          <w:rFonts w:eastAsia="EUAlbertina-Bold-Identity-H"/>
          <w:color w:val="000000" w:themeColor="text1"/>
          <w:szCs w:val="24"/>
          <w:lang w:eastAsia="lv-LV"/>
        </w:rPr>
        <w:t>–</w:t>
      </w:r>
      <w:r w:rsidRPr="00603CA3">
        <w:rPr>
          <w:rFonts w:eastAsia="EUAlbertina-Bold-Identity-H"/>
          <w:color w:val="000000" w:themeColor="text1"/>
          <w:szCs w:val="24"/>
          <w:lang w:eastAsia="lv-LV"/>
        </w:rPr>
        <w:t xml:space="preserve"> Lietuva uz pārskata perioda beigām ieņem 10.vietu apguves rādītājos, savukārt 3.vietā ir Polija.</w:t>
      </w:r>
    </w:p>
    <w:p w:rsidR="00DA21ED" w:rsidRPr="00603CA3" w:rsidRDefault="00DA21ED"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Jau šobrīd paredzams, ka projektiem piešķirtais EEZ/Norvēģijas finanšu instrumentu finansējums netika apgūts pilnā apmērā, jo vairāku projektu ietvaros ir izveidojušies ietaupījumi. Ietaupījumi galvenokārt veidojušies šādu iemeslu dēļ:</w:t>
      </w:r>
    </w:p>
    <w:p w:rsidR="00DA21ED" w:rsidRPr="00603CA3" w:rsidRDefault="00DA21ED" w:rsidP="00603CA3">
      <w:pPr>
        <w:spacing w:line="276" w:lineRule="auto"/>
        <w:rPr>
          <w:color w:val="000000" w:themeColor="text1"/>
          <w:szCs w:val="24"/>
        </w:rPr>
      </w:pPr>
      <w:r w:rsidRPr="00603CA3">
        <w:rPr>
          <w:rFonts w:eastAsia="EUAlbertina-Bold-Identity-H"/>
          <w:color w:val="000000" w:themeColor="text1"/>
          <w:szCs w:val="24"/>
          <w:lang w:eastAsia="lv-LV"/>
        </w:rPr>
        <w:t xml:space="preserve">daži no apstiprinātajiem </w:t>
      </w:r>
      <w:proofErr w:type="spellStart"/>
      <w:r w:rsidRPr="00603CA3">
        <w:rPr>
          <w:rFonts w:eastAsia="EUAlbertina-Bold-Identity-H"/>
          <w:color w:val="000000" w:themeColor="text1"/>
          <w:szCs w:val="24"/>
          <w:lang w:eastAsia="lv-LV"/>
        </w:rPr>
        <w:t>apakšprojektiem</w:t>
      </w:r>
      <w:proofErr w:type="spellEnd"/>
      <w:r w:rsidRPr="00603CA3">
        <w:rPr>
          <w:rFonts w:eastAsia="EUAlbertina-Bold-Identity-H"/>
          <w:color w:val="000000" w:themeColor="text1"/>
          <w:szCs w:val="24"/>
          <w:lang w:eastAsia="lv-LV"/>
        </w:rPr>
        <w:t xml:space="preserve"> programmu un grantu shēmu ietvaros novēloti</w:t>
      </w:r>
      <w:r w:rsidRPr="00603CA3">
        <w:rPr>
          <w:color w:val="000000" w:themeColor="text1"/>
          <w:szCs w:val="24"/>
        </w:rPr>
        <w:t xml:space="preserve"> atteicās no to īstenošanas;</w:t>
      </w:r>
    </w:p>
    <w:p w:rsidR="00DA21ED" w:rsidRPr="00603CA3" w:rsidRDefault="00DA21ED"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Līdz ar to kopējie ietaupījumi EEZ/Norvēģijas finanšu instrumentu ietvaros, kas netiks apgūti, uz doto brīdi veido aptuveni 2,8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jeb 8% no EEZ/Norvēģijas finanšu instrumentu finansējuma. </w:t>
      </w:r>
      <w:r w:rsidRPr="00603CA3">
        <w:rPr>
          <w:color w:val="000000" w:themeColor="text1"/>
          <w:szCs w:val="24"/>
        </w:rPr>
        <w:t>(</w:t>
      </w:r>
      <w:r w:rsidRPr="00603CA3">
        <w:rPr>
          <w:color w:val="000000" w:themeColor="text1"/>
          <w:szCs w:val="24"/>
          <w:u w:val="single"/>
        </w:rPr>
        <w:t>skatīt grafiku Nr.</w:t>
      </w:r>
      <w:r w:rsidR="00964982" w:rsidRPr="00603CA3">
        <w:rPr>
          <w:color w:val="000000" w:themeColor="text1"/>
          <w:szCs w:val="24"/>
          <w:u w:val="single"/>
        </w:rPr>
        <w:t>10</w:t>
      </w:r>
      <w:r w:rsidRPr="00603CA3">
        <w:rPr>
          <w:color w:val="000000" w:themeColor="text1"/>
          <w:szCs w:val="24"/>
        </w:rPr>
        <w:t>)</w:t>
      </w:r>
      <w:r w:rsidRPr="00603CA3">
        <w:rPr>
          <w:rFonts w:eastAsia="Calibri"/>
          <w:color w:val="000000" w:themeColor="text1"/>
          <w:szCs w:val="24"/>
        </w:rPr>
        <w:t>.</w:t>
      </w:r>
    </w:p>
    <w:p w:rsidR="00DA21ED" w:rsidRPr="00603CA3" w:rsidRDefault="00DA21ED" w:rsidP="00603CA3">
      <w:pPr>
        <w:spacing w:line="276" w:lineRule="auto"/>
        <w:rPr>
          <w:i/>
          <w:iCs/>
          <w:color w:val="000000" w:themeColor="text1"/>
          <w:szCs w:val="24"/>
        </w:rPr>
      </w:pPr>
      <w:r w:rsidRPr="00603CA3">
        <w:rPr>
          <w:iCs/>
          <w:color w:val="000000" w:themeColor="text1"/>
          <w:szCs w:val="24"/>
        </w:rPr>
        <w:t>Grafiks Nr.</w:t>
      </w:r>
      <w:r w:rsidR="00964982" w:rsidRPr="00603CA3">
        <w:rPr>
          <w:iCs/>
          <w:color w:val="000000" w:themeColor="text1"/>
          <w:szCs w:val="24"/>
        </w:rPr>
        <w:t>10</w:t>
      </w:r>
      <w:r w:rsidRPr="00603CA3">
        <w:rPr>
          <w:i/>
          <w:iCs/>
          <w:color w:val="000000" w:themeColor="text1"/>
          <w:szCs w:val="24"/>
        </w:rPr>
        <w:t xml:space="preserve"> „EEZ/Norvēģijas finanšu instrumentu faktiskās atmaksas no </w:t>
      </w:r>
      <w:proofErr w:type="spellStart"/>
      <w:r w:rsidRPr="00603CA3">
        <w:rPr>
          <w:i/>
          <w:iCs/>
          <w:color w:val="000000" w:themeColor="text1"/>
          <w:szCs w:val="24"/>
        </w:rPr>
        <w:t>donorvalstīm</w:t>
      </w:r>
      <w:proofErr w:type="spellEnd"/>
      <w:r w:rsidRPr="00603CA3">
        <w:rPr>
          <w:i/>
          <w:iCs/>
          <w:color w:val="000000" w:themeColor="text1"/>
          <w:szCs w:val="24"/>
        </w:rPr>
        <w:t xml:space="preserve"> pret plānotajām 2011.gada ceturkšņu griezumā; </w:t>
      </w:r>
      <w:proofErr w:type="spellStart"/>
      <w:r w:rsidRPr="00603CA3">
        <w:rPr>
          <w:i/>
          <w:iCs/>
          <w:color w:val="000000" w:themeColor="text1"/>
          <w:szCs w:val="24"/>
        </w:rPr>
        <w:t>milj</w:t>
      </w:r>
      <w:proofErr w:type="spellEnd"/>
      <w:r w:rsidRPr="00603CA3">
        <w:rPr>
          <w:i/>
          <w:iCs/>
          <w:color w:val="000000" w:themeColor="text1"/>
          <w:szCs w:val="24"/>
        </w:rPr>
        <w:t>. LVL”</w:t>
      </w:r>
    </w:p>
    <w:p w:rsidR="00DA21ED" w:rsidRPr="00603CA3" w:rsidRDefault="00E81671" w:rsidP="00603CA3">
      <w:pPr>
        <w:spacing w:line="276" w:lineRule="auto"/>
        <w:rPr>
          <w:color w:val="000000" w:themeColor="text1"/>
          <w:szCs w:val="24"/>
        </w:rPr>
      </w:pPr>
      <w:r w:rsidRPr="00603CA3">
        <w:rPr>
          <w:noProof/>
          <w:color w:val="000000" w:themeColor="text1"/>
          <w:szCs w:val="24"/>
          <w:lang w:eastAsia="lv-LV"/>
        </w:rPr>
        <w:drawing>
          <wp:inline distT="0" distB="0" distL="0" distR="0" wp14:anchorId="40D3AF0B" wp14:editId="13EF202D">
            <wp:extent cx="5274310" cy="3089910"/>
            <wp:effectExtent l="0" t="0" r="21590" b="15240"/>
            <wp:docPr id="2"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A7FC6" w:rsidRPr="00603CA3" w:rsidRDefault="003A7FC6" w:rsidP="00603CA3">
      <w:pPr>
        <w:pStyle w:val="2lmenis"/>
        <w:numPr>
          <w:ilvl w:val="1"/>
          <w:numId w:val="2"/>
        </w:numPr>
        <w:spacing w:before="0" w:after="0" w:line="276" w:lineRule="auto"/>
        <w:ind w:left="1276" w:hanging="425"/>
        <w:rPr>
          <w:color w:val="000000" w:themeColor="text1"/>
          <w:sz w:val="24"/>
          <w:szCs w:val="24"/>
          <w:lang w:val="lv-LV"/>
        </w:rPr>
      </w:pPr>
      <w:bookmarkStart w:id="33" w:name="_Toc300759828"/>
      <w:r w:rsidRPr="00603CA3">
        <w:rPr>
          <w:color w:val="000000" w:themeColor="text1"/>
          <w:sz w:val="24"/>
          <w:szCs w:val="24"/>
          <w:lang w:val="lv-LV"/>
        </w:rPr>
        <w:lastRenderedPageBreak/>
        <w:t>2009.-2014.gada plānošanas periods</w:t>
      </w:r>
      <w:bookmarkEnd w:id="33"/>
    </w:p>
    <w:p w:rsidR="00DA21ED" w:rsidRPr="00603CA3" w:rsidRDefault="00DA21ED" w:rsidP="00603CA3">
      <w:pPr>
        <w:spacing w:line="276" w:lineRule="auto"/>
        <w:rPr>
          <w:rFonts w:eastAsia="EUAlbertina-Bold-Identity-H"/>
          <w:color w:val="000000" w:themeColor="text1"/>
          <w:szCs w:val="24"/>
          <w:lang w:eastAsia="lv-LV"/>
        </w:rPr>
      </w:pPr>
      <w:bookmarkStart w:id="34" w:name="_Toc276049988"/>
      <w:r w:rsidRPr="00603CA3">
        <w:rPr>
          <w:rFonts w:eastAsia="EUAlbertina-Bold-Identity-H"/>
          <w:color w:val="000000" w:themeColor="text1"/>
          <w:szCs w:val="24"/>
          <w:lang w:eastAsia="lv-LV"/>
        </w:rPr>
        <w:t xml:space="preserve">2009.–2014.gada plānošanas perioda uzsākšana tika aizkavēta </w:t>
      </w:r>
      <w:proofErr w:type="spellStart"/>
      <w:r w:rsidRPr="00603CA3">
        <w:rPr>
          <w:rFonts w:eastAsia="EUAlbertina-Bold-Identity-H"/>
          <w:color w:val="000000" w:themeColor="text1"/>
          <w:szCs w:val="24"/>
          <w:lang w:eastAsia="lv-LV"/>
        </w:rPr>
        <w:t>donorvalstu</w:t>
      </w:r>
      <w:proofErr w:type="spellEnd"/>
      <w:r w:rsidRPr="00603CA3">
        <w:rPr>
          <w:rFonts w:eastAsia="EUAlbertina-Bold-Identity-H"/>
          <w:color w:val="000000" w:themeColor="text1"/>
          <w:szCs w:val="24"/>
          <w:lang w:eastAsia="lv-LV"/>
        </w:rPr>
        <w:t xml:space="preserve"> līmenī, jo bija sarežģījumi līgumu noslēgšanā starp ES un Norvēģijas Karalisti par Norvēģijas finanšu instrumenta 2009.–2014.gada periodam un ES un </w:t>
      </w:r>
      <w:proofErr w:type="spellStart"/>
      <w:r w:rsidRPr="00603CA3">
        <w:rPr>
          <w:rFonts w:eastAsia="EUAlbertina-Bold-Identity-H"/>
          <w:color w:val="000000" w:themeColor="text1"/>
          <w:szCs w:val="24"/>
          <w:lang w:eastAsia="lv-LV"/>
        </w:rPr>
        <w:t>Īslandi</w:t>
      </w:r>
      <w:proofErr w:type="spellEnd"/>
      <w:r w:rsidRPr="00603CA3">
        <w:rPr>
          <w:rFonts w:eastAsia="EUAlbertina-Bold-Identity-H"/>
          <w:color w:val="000000" w:themeColor="text1"/>
          <w:szCs w:val="24"/>
          <w:lang w:eastAsia="lv-LV"/>
        </w:rPr>
        <w:t>, Lihtenšteinas Firstisti un Norvēģijas karalisti par EEZ finanšu instrumenta 2009.–2014.gada periodam. Minēto līgumu noslēgšana aizkavējās par gadu un trīs mēnešiem, jo dažām no ES dalībvalstīm bija iebildumi par EEZ/Norvēģijas finanšu instrumentu finansējuma sadali starp saņēmējvalstīm. Attiecīgos līgumus parakstīja tikai 2010.gada 28.jūlijā.</w:t>
      </w:r>
    </w:p>
    <w:p w:rsidR="00DA21ED" w:rsidRPr="00603CA3" w:rsidRDefault="00DA21ED"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Latvijai jaunajā periodā būs pieejami aptuveni 51,3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no kuriem jāatskaita </w:t>
      </w:r>
      <w:proofErr w:type="spellStart"/>
      <w:r w:rsidRPr="00603CA3">
        <w:rPr>
          <w:rFonts w:eastAsia="EUAlbertina-Bold-Identity-H"/>
          <w:color w:val="000000" w:themeColor="text1"/>
          <w:szCs w:val="24"/>
          <w:lang w:eastAsia="lv-LV"/>
        </w:rPr>
        <w:t>donorvalstu</w:t>
      </w:r>
      <w:proofErr w:type="spellEnd"/>
      <w:r w:rsidRPr="00603CA3">
        <w:rPr>
          <w:rFonts w:eastAsia="EUAlbertina-Bold-Identity-H"/>
          <w:color w:val="000000" w:themeColor="text1"/>
          <w:szCs w:val="24"/>
          <w:lang w:eastAsia="lv-LV"/>
        </w:rPr>
        <w:t xml:space="preserve"> administratīvās izmaksas un izmaksas, kas paredzētas partnerību veidošanas iespēju veicināšanai ar </w:t>
      </w:r>
      <w:proofErr w:type="spellStart"/>
      <w:r w:rsidRPr="00603CA3">
        <w:rPr>
          <w:rFonts w:eastAsia="EUAlbertina-Bold-Identity-H"/>
          <w:color w:val="000000" w:themeColor="text1"/>
          <w:szCs w:val="24"/>
          <w:lang w:eastAsia="lv-LV"/>
        </w:rPr>
        <w:t>donorvalstu</w:t>
      </w:r>
      <w:proofErr w:type="spellEnd"/>
      <w:r w:rsidRPr="00603CA3">
        <w:rPr>
          <w:rFonts w:eastAsia="EUAlbertina-Bold-Identity-H"/>
          <w:color w:val="000000" w:themeColor="text1"/>
          <w:szCs w:val="24"/>
          <w:lang w:eastAsia="lv-LV"/>
        </w:rPr>
        <w:t xml:space="preserve"> institūcijām. Finansējuma apmērs ir par 13,5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lielāks nekā iepriekšējā plānošanas periodā (37,8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latu).</w:t>
      </w:r>
    </w:p>
    <w:p w:rsidR="00DA21ED" w:rsidRPr="00603CA3" w:rsidRDefault="00DA21ED"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Pēc iepriekš minēto līgumu noslēgšanas starp ES un </w:t>
      </w:r>
      <w:proofErr w:type="spellStart"/>
      <w:r w:rsidRPr="00603CA3">
        <w:rPr>
          <w:rFonts w:eastAsia="EUAlbertina-Bold-Identity-H"/>
          <w:color w:val="000000" w:themeColor="text1"/>
          <w:szCs w:val="24"/>
          <w:lang w:eastAsia="lv-LV"/>
        </w:rPr>
        <w:t>donorvalstīm</w:t>
      </w:r>
      <w:proofErr w:type="spellEnd"/>
      <w:r w:rsidRPr="00603CA3">
        <w:rPr>
          <w:rFonts w:eastAsia="EUAlbertina-Bold-Identity-H"/>
          <w:color w:val="000000" w:themeColor="text1"/>
          <w:szCs w:val="24"/>
          <w:lang w:eastAsia="lv-LV"/>
        </w:rPr>
        <w:t xml:space="preserve"> ar katru EEZ/Norvēģijas finanšu instrumentu saņēmējvalsti (kopā 15 valstis, </w:t>
      </w:r>
      <w:proofErr w:type="spellStart"/>
      <w:r w:rsidRPr="00603CA3">
        <w:rPr>
          <w:rFonts w:eastAsia="EUAlbertina-Bold-Identity-H"/>
          <w:color w:val="000000" w:themeColor="text1"/>
          <w:szCs w:val="24"/>
          <w:lang w:eastAsia="lv-LV"/>
        </w:rPr>
        <w:t>t.sk</w:t>
      </w:r>
      <w:proofErr w:type="spellEnd"/>
      <w:r w:rsidRPr="00603CA3">
        <w:rPr>
          <w:rFonts w:eastAsia="EUAlbertina-Bold-Identity-H"/>
          <w:color w:val="000000" w:themeColor="text1"/>
          <w:szCs w:val="24"/>
          <w:lang w:eastAsia="lv-LV"/>
        </w:rPr>
        <w:t xml:space="preserve">., Latviju) </w:t>
      </w:r>
      <w:proofErr w:type="spellStart"/>
      <w:r w:rsidRPr="00603CA3">
        <w:rPr>
          <w:rFonts w:eastAsia="EUAlbertina-Bold-Identity-H"/>
          <w:color w:val="000000" w:themeColor="text1"/>
          <w:szCs w:val="24"/>
          <w:lang w:eastAsia="lv-LV"/>
        </w:rPr>
        <w:t>donorvalstis</w:t>
      </w:r>
      <w:proofErr w:type="spellEnd"/>
      <w:r w:rsidRPr="00603CA3">
        <w:rPr>
          <w:rFonts w:eastAsia="EUAlbertina-Bold-Identity-H"/>
          <w:color w:val="000000" w:themeColor="text1"/>
          <w:szCs w:val="24"/>
          <w:lang w:eastAsia="lv-LV"/>
        </w:rPr>
        <w:t xml:space="preserve"> individuāli slēdz saprašanās memorandu</w:t>
      </w:r>
      <w:r w:rsidR="00F50585" w:rsidRPr="00603CA3">
        <w:rPr>
          <w:rFonts w:eastAsia="EUAlbertina-Bold-Identity-H"/>
          <w:color w:val="000000" w:themeColor="text1"/>
          <w:szCs w:val="24"/>
          <w:lang w:eastAsia="lv-LV"/>
        </w:rPr>
        <w:t xml:space="preserve">s, kuru ietvaros tiek noteikts </w:t>
      </w:r>
      <w:r w:rsidRPr="00603CA3">
        <w:rPr>
          <w:rFonts w:eastAsia="EUAlbertina-Bold-Identity-H"/>
          <w:color w:val="000000" w:themeColor="text1"/>
          <w:szCs w:val="24"/>
          <w:lang w:eastAsia="lv-LV"/>
        </w:rPr>
        <w:t xml:space="preserve">EEZ/Norvēģijas finanšu instrumentu ieviešanas mehānisms, kā arī konkrētas prioritātes, kuras dalībvalsts izvēlēsies no </w:t>
      </w:r>
      <w:proofErr w:type="spellStart"/>
      <w:r w:rsidRPr="00603CA3">
        <w:rPr>
          <w:rFonts w:eastAsia="EUAlbertina-Bold-Identity-H"/>
          <w:color w:val="000000" w:themeColor="text1"/>
          <w:szCs w:val="24"/>
          <w:lang w:eastAsia="lv-LV"/>
        </w:rPr>
        <w:t>donorvalstu</w:t>
      </w:r>
      <w:proofErr w:type="spellEnd"/>
      <w:r w:rsidRPr="00603CA3">
        <w:rPr>
          <w:rFonts w:eastAsia="EUAlbertina-Bold-Identity-H"/>
          <w:color w:val="000000" w:themeColor="text1"/>
          <w:szCs w:val="24"/>
          <w:lang w:eastAsia="lv-LV"/>
        </w:rPr>
        <w:t xml:space="preserve"> piedāvātā prioritāšu saraksta.</w:t>
      </w:r>
    </w:p>
    <w:p w:rsidR="00DA21ED" w:rsidRPr="00603CA3" w:rsidRDefault="00DA21ED"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Saprašanās memorandu par EEZ finanšu instrumenta īstenošanu Latvijā noslēdza 2011.gada 28.aprīlī, savukārt par Norvēģijas finanšu instrumenta </w:t>
      </w:r>
      <w:r w:rsidR="000B6520" w:rsidRPr="00603CA3">
        <w:rPr>
          <w:rFonts w:eastAsia="EUAlbertina-Bold-Identity-H"/>
          <w:color w:val="000000" w:themeColor="text1"/>
          <w:szCs w:val="24"/>
          <w:lang w:eastAsia="lv-LV"/>
        </w:rPr>
        <w:t>–</w:t>
      </w:r>
      <w:r w:rsidRPr="00603CA3">
        <w:rPr>
          <w:rFonts w:eastAsia="EUAlbertina-Bold-Identity-H"/>
          <w:color w:val="000000" w:themeColor="text1"/>
          <w:szCs w:val="24"/>
          <w:lang w:eastAsia="lv-LV"/>
        </w:rPr>
        <w:t xml:space="preserve"> 2011.gada 8.jūnijā. Līdz ar to nozaru ministrijas uzsākušas darbu pie programmu iesniegumu izstrādes, lai nodrošinātu to iesniegšanu </w:t>
      </w:r>
      <w:r w:rsidR="009D77BB" w:rsidRPr="00603CA3">
        <w:rPr>
          <w:rFonts w:eastAsia="EUAlbertina-Bold-Identity-H"/>
          <w:color w:val="000000" w:themeColor="text1"/>
          <w:szCs w:val="24"/>
          <w:lang w:eastAsia="lv-LV"/>
        </w:rPr>
        <w:t>MK</w:t>
      </w:r>
      <w:r w:rsidRPr="00603CA3">
        <w:rPr>
          <w:rFonts w:eastAsia="EUAlbertina-Bold-Identity-H"/>
          <w:color w:val="000000" w:themeColor="text1"/>
          <w:szCs w:val="24"/>
          <w:lang w:eastAsia="lv-LV"/>
        </w:rPr>
        <w:t xml:space="preserve"> 2011.gada 2. </w:t>
      </w:r>
      <w:r w:rsidR="000B6520" w:rsidRPr="00603CA3">
        <w:rPr>
          <w:rFonts w:eastAsia="EUAlbertina-Bold-Identity-H"/>
          <w:color w:val="000000" w:themeColor="text1"/>
          <w:szCs w:val="24"/>
          <w:lang w:eastAsia="lv-LV"/>
        </w:rPr>
        <w:t>U</w:t>
      </w:r>
      <w:r w:rsidRPr="00603CA3">
        <w:rPr>
          <w:rFonts w:eastAsia="EUAlbertina-Bold-Identity-H"/>
          <w:color w:val="000000" w:themeColor="text1"/>
          <w:szCs w:val="24"/>
          <w:lang w:eastAsia="lv-LV"/>
        </w:rPr>
        <w:t>n 3.ceturksnī. Programmas tiks izstrādātas šādās jomās:</w:t>
      </w:r>
    </w:p>
    <w:p w:rsidR="00DA21ED" w:rsidRPr="00603CA3" w:rsidRDefault="00DA21ED"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pielāgošanās klimata pārmaiņām (</w:t>
      </w:r>
      <w:r w:rsidR="00D25234" w:rsidRPr="00603CA3">
        <w:rPr>
          <w:rFonts w:eastAsia="EUAlbertina-Bold-Identity-H"/>
          <w:color w:val="000000" w:themeColor="text1"/>
          <w:szCs w:val="24"/>
          <w:lang w:eastAsia="lv-LV"/>
        </w:rPr>
        <w:t>Vides aizsardzības un reģionālās attīstības ministrija</w:t>
      </w:r>
      <w:r w:rsidRPr="00603CA3">
        <w:rPr>
          <w:rFonts w:eastAsia="EUAlbertina-Bold-Identity-H"/>
          <w:color w:val="000000" w:themeColor="text1"/>
          <w:szCs w:val="24"/>
          <w:lang w:eastAsia="lv-LV"/>
        </w:rPr>
        <w:t>)</w:t>
      </w:r>
      <w:r w:rsidR="004E0F4C" w:rsidRPr="00603CA3">
        <w:rPr>
          <w:rFonts w:eastAsia="EUAlbertina-Bold-Identity-H"/>
          <w:color w:val="000000" w:themeColor="text1"/>
          <w:szCs w:val="24"/>
          <w:lang w:eastAsia="lv-LV"/>
        </w:rPr>
        <w:t>;</w:t>
      </w:r>
    </w:p>
    <w:p w:rsidR="00DA21ED" w:rsidRPr="00603CA3" w:rsidRDefault="00DA21ED"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NVO fonds (</w:t>
      </w:r>
      <w:r w:rsidR="00CC215D" w:rsidRPr="00603CA3">
        <w:rPr>
          <w:rFonts w:eastAsia="EUAlbertina-Bold-Identity-H"/>
          <w:color w:val="000000" w:themeColor="text1"/>
          <w:szCs w:val="24"/>
          <w:lang w:eastAsia="lv-LV"/>
        </w:rPr>
        <w:t>Sabiedrības</w:t>
      </w:r>
      <w:r w:rsidR="00EA34C8" w:rsidRPr="00603CA3">
        <w:rPr>
          <w:rFonts w:eastAsia="EUAlbertina-Bold-Identity-H"/>
          <w:color w:val="000000" w:themeColor="text1"/>
          <w:szCs w:val="24"/>
          <w:lang w:eastAsia="lv-LV"/>
        </w:rPr>
        <w:t xml:space="preserve"> </w:t>
      </w:r>
      <w:r w:rsidR="00CC215D" w:rsidRPr="00603CA3">
        <w:rPr>
          <w:rFonts w:eastAsia="EUAlbertina-Bold-Identity-H"/>
          <w:color w:val="000000" w:themeColor="text1"/>
          <w:szCs w:val="24"/>
          <w:lang w:eastAsia="lv-LV"/>
        </w:rPr>
        <w:t>integrācija fonds</w:t>
      </w:r>
      <w:r w:rsidRPr="00603CA3">
        <w:rPr>
          <w:rFonts w:eastAsia="EUAlbertina-Bold-Identity-H"/>
          <w:color w:val="000000" w:themeColor="text1"/>
          <w:szCs w:val="24"/>
          <w:lang w:eastAsia="lv-LV"/>
        </w:rPr>
        <w:t>)</w:t>
      </w:r>
      <w:r w:rsidR="004E0F4C" w:rsidRPr="00603CA3">
        <w:rPr>
          <w:rFonts w:eastAsia="EUAlbertina-Bold-Identity-H"/>
          <w:color w:val="000000" w:themeColor="text1"/>
          <w:szCs w:val="24"/>
          <w:lang w:eastAsia="lv-LV"/>
        </w:rPr>
        <w:t>;</w:t>
      </w:r>
    </w:p>
    <w:p w:rsidR="00DA21ED" w:rsidRPr="00603CA3" w:rsidRDefault="00DA21ED"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Kultūras un dabas mantojuma saglabāšana un atjaunināšana (</w:t>
      </w:r>
      <w:r w:rsidR="00D25234" w:rsidRPr="00603CA3">
        <w:rPr>
          <w:rFonts w:eastAsia="EUAlbertina-Bold-Identity-H"/>
          <w:color w:val="000000" w:themeColor="text1"/>
          <w:szCs w:val="24"/>
          <w:lang w:eastAsia="lv-LV"/>
        </w:rPr>
        <w:t>Kultūras ministrija</w:t>
      </w:r>
      <w:r w:rsidRPr="00603CA3">
        <w:rPr>
          <w:rFonts w:eastAsia="EUAlbertina-Bold-Identity-H"/>
          <w:color w:val="000000" w:themeColor="text1"/>
          <w:szCs w:val="24"/>
          <w:lang w:eastAsia="lv-LV"/>
        </w:rPr>
        <w:t>)</w:t>
      </w:r>
      <w:r w:rsidR="004E0F4C" w:rsidRPr="00603CA3">
        <w:rPr>
          <w:rFonts w:eastAsia="EUAlbertina-Bold-Identity-H"/>
          <w:color w:val="000000" w:themeColor="text1"/>
          <w:szCs w:val="24"/>
          <w:lang w:eastAsia="lv-LV"/>
        </w:rPr>
        <w:t>;</w:t>
      </w:r>
    </w:p>
    <w:p w:rsidR="00DA21ED" w:rsidRPr="00603CA3" w:rsidRDefault="00DA21ED"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Inovācijas „zaļās” ražošanas jomā (</w:t>
      </w:r>
      <w:r w:rsidR="00D25234" w:rsidRPr="00603CA3">
        <w:rPr>
          <w:rFonts w:eastAsia="EUAlbertina-Bold-Identity-H"/>
          <w:color w:val="000000" w:themeColor="text1"/>
          <w:szCs w:val="24"/>
          <w:lang w:eastAsia="lv-LV"/>
        </w:rPr>
        <w:t>Ekonomikas ministrija</w:t>
      </w:r>
      <w:r w:rsidRPr="00603CA3">
        <w:rPr>
          <w:rFonts w:eastAsia="EUAlbertina-Bold-Identity-H"/>
          <w:color w:val="000000" w:themeColor="text1"/>
          <w:szCs w:val="24"/>
          <w:lang w:eastAsia="lv-LV"/>
        </w:rPr>
        <w:t>)</w:t>
      </w:r>
      <w:r w:rsidR="004E0F4C" w:rsidRPr="00603CA3">
        <w:rPr>
          <w:rFonts w:eastAsia="EUAlbertina-Bold-Identity-H"/>
          <w:color w:val="000000" w:themeColor="text1"/>
          <w:szCs w:val="24"/>
          <w:lang w:eastAsia="lv-LV"/>
        </w:rPr>
        <w:t>;</w:t>
      </w:r>
    </w:p>
    <w:p w:rsidR="00DA21ED" w:rsidRPr="00603CA3" w:rsidRDefault="00DA21ED"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kapacitātes stiprināšana un institucionālā sadarbība ar Norvēģijas valsts, vietējām un reģionālām iestādēm (</w:t>
      </w:r>
      <w:r w:rsidR="00D25234" w:rsidRPr="00603CA3">
        <w:rPr>
          <w:rFonts w:eastAsia="EUAlbertina-Bold-Identity-H"/>
          <w:color w:val="000000" w:themeColor="text1"/>
          <w:szCs w:val="24"/>
          <w:lang w:eastAsia="lv-LV"/>
        </w:rPr>
        <w:t>Vides aizsardzības un reģionālās attīstības ministrija</w:t>
      </w:r>
      <w:r w:rsidRPr="00603CA3">
        <w:rPr>
          <w:rFonts w:eastAsia="EUAlbertina-Bold-Identity-H"/>
          <w:color w:val="000000" w:themeColor="text1"/>
          <w:szCs w:val="24"/>
          <w:lang w:eastAsia="lv-LV"/>
        </w:rPr>
        <w:t>)</w:t>
      </w:r>
      <w:r w:rsidR="004E0F4C" w:rsidRPr="00603CA3">
        <w:rPr>
          <w:rFonts w:eastAsia="EUAlbertina-Bold-Identity-H"/>
          <w:color w:val="000000" w:themeColor="text1"/>
          <w:szCs w:val="24"/>
          <w:lang w:eastAsia="lv-LV"/>
        </w:rPr>
        <w:t>;</w:t>
      </w:r>
    </w:p>
    <w:p w:rsidR="00DA21ED" w:rsidRPr="00603CA3" w:rsidRDefault="00DA21ED"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divpusējā sadarbība pētniecības jomā un stipendijas (</w:t>
      </w:r>
      <w:r w:rsidR="00D25234" w:rsidRPr="00603CA3">
        <w:rPr>
          <w:rFonts w:eastAsia="EUAlbertina-Bold-Identity-H"/>
          <w:color w:val="000000" w:themeColor="text1"/>
          <w:szCs w:val="24"/>
          <w:lang w:eastAsia="lv-LV"/>
        </w:rPr>
        <w:t>Izglītības un zinātnes ministrija</w:t>
      </w:r>
      <w:r w:rsidRPr="00603CA3">
        <w:rPr>
          <w:rFonts w:eastAsia="EUAlbertina-Bold-Identity-H"/>
          <w:color w:val="000000" w:themeColor="text1"/>
          <w:szCs w:val="24"/>
          <w:lang w:eastAsia="lv-LV"/>
        </w:rPr>
        <w:t>)</w:t>
      </w:r>
      <w:r w:rsidR="004E0F4C" w:rsidRPr="00603CA3">
        <w:rPr>
          <w:rFonts w:eastAsia="EUAlbertina-Bold-Identity-H"/>
          <w:color w:val="000000" w:themeColor="text1"/>
          <w:szCs w:val="24"/>
          <w:lang w:eastAsia="lv-LV"/>
        </w:rPr>
        <w:t>;</w:t>
      </w:r>
    </w:p>
    <w:p w:rsidR="004E0F4C" w:rsidRPr="00603CA3" w:rsidRDefault="00DA21ED"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korekcijas pakalpojumi, </w:t>
      </w:r>
      <w:proofErr w:type="spellStart"/>
      <w:r w:rsidRPr="00603CA3">
        <w:rPr>
          <w:rFonts w:eastAsia="EUAlbertina-Bold-Identity-H"/>
          <w:color w:val="000000" w:themeColor="text1"/>
          <w:szCs w:val="24"/>
          <w:lang w:eastAsia="lv-LV"/>
        </w:rPr>
        <w:t>t.sk</w:t>
      </w:r>
      <w:proofErr w:type="spellEnd"/>
      <w:r w:rsidRPr="00603CA3">
        <w:rPr>
          <w:rFonts w:eastAsia="EUAlbertina-Bold-Identity-H"/>
          <w:color w:val="000000" w:themeColor="text1"/>
          <w:szCs w:val="24"/>
          <w:lang w:eastAsia="lv-LV"/>
        </w:rPr>
        <w:t>. ar ieslodzījumu nesaistītas sankcijas (T</w:t>
      </w:r>
      <w:r w:rsidR="00D25234" w:rsidRPr="00603CA3">
        <w:rPr>
          <w:rFonts w:eastAsia="EUAlbertina-Bold-Identity-H"/>
          <w:color w:val="000000" w:themeColor="text1"/>
          <w:szCs w:val="24"/>
          <w:lang w:eastAsia="lv-LV"/>
        </w:rPr>
        <w:t xml:space="preserve">ieslietu ministrija </w:t>
      </w:r>
      <w:r w:rsidRPr="00603CA3">
        <w:rPr>
          <w:rFonts w:eastAsia="EUAlbertina-Bold-Identity-H"/>
          <w:color w:val="000000" w:themeColor="text1"/>
          <w:szCs w:val="24"/>
          <w:lang w:eastAsia="lv-LV"/>
        </w:rPr>
        <w:t>/Ie</w:t>
      </w:r>
      <w:r w:rsidR="00D25234" w:rsidRPr="00603CA3">
        <w:rPr>
          <w:rFonts w:eastAsia="EUAlbertina-Bold-Identity-H"/>
          <w:color w:val="000000" w:themeColor="text1"/>
          <w:szCs w:val="24"/>
          <w:lang w:eastAsia="lv-LV"/>
        </w:rPr>
        <w:t>kšlietu ministrija</w:t>
      </w:r>
      <w:r w:rsidRPr="00603CA3">
        <w:rPr>
          <w:rFonts w:eastAsia="EUAlbertina-Bold-Identity-H"/>
          <w:color w:val="000000" w:themeColor="text1"/>
          <w:szCs w:val="24"/>
          <w:lang w:eastAsia="lv-LV"/>
        </w:rPr>
        <w:t>)</w:t>
      </w:r>
      <w:r w:rsidR="004E0F4C" w:rsidRPr="00603CA3">
        <w:rPr>
          <w:rFonts w:eastAsia="EUAlbertina-Bold-Identity-H"/>
          <w:color w:val="000000" w:themeColor="text1"/>
          <w:szCs w:val="24"/>
          <w:lang w:eastAsia="lv-LV"/>
        </w:rPr>
        <w:t>;</w:t>
      </w:r>
    </w:p>
    <w:p w:rsidR="00EF7900" w:rsidRPr="00603CA3" w:rsidRDefault="00DA21ED" w:rsidP="00603CA3">
      <w:pPr>
        <w:numPr>
          <w:ilvl w:val="0"/>
          <w:numId w:val="13"/>
        </w:num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cienīga darba un trīspusējās sadarbības veicināšana (programmu izstrādā un ievieš Norvēģijas institūcija).</w:t>
      </w:r>
    </w:p>
    <w:p w:rsidR="00A31A63" w:rsidRPr="00603CA3" w:rsidRDefault="00A31A63" w:rsidP="00603CA3">
      <w:pPr>
        <w:spacing w:line="276" w:lineRule="auto"/>
        <w:rPr>
          <w:rFonts w:eastAsia="EUAlbertina-Bold-Identity-H"/>
          <w:color w:val="000000" w:themeColor="text1"/>
          <w:szCs w:val="24"/>
          <w:lang w:eastAsia="lv-LV"/>
        </w:rPr>
      </w:pPr>
      <w:bookmarkStart w:id="35" w:name="_Toc290449013"/>
      <w:r w:rsidRPr="00603CA3">
        <w:rPr>
          <w:rFonts w:eastAsia="EUAlbertina-Bold-Identity-H"/>
          <w:color w:val="000000" w:themeColor="text1"/>
          <w:szCs w:val="24"/>
          <w:lang w:eastAsia="lv-LV"/>
        </w:rPr>
        <w:t>Saskaņā ar 2011.gada 29.marta Ministru kabineta sēdes protokola Nr.20 62. un 63.punktu  ir apstiprināts šāds programmu iesniegumu iesniegšanas laika grafiks Ministru kabinetā:</w:t>
      </w:r>
    </w:p>
    <w:p w:rsidR="00A31A63" w:rsidRPr="00603CA3" w:rsidRDefault="00A31A63" w:rsidP="00603CA3">
      <w:pPr>
        <w:pStyle w:val="ListParagraph"/>
        <w:numPr>
          <w:ilvl w:val="0"/>
          <w:numId w:val="13"/>
        </w:numPr>
        <w:spacing w:after="0"/>
        <w:jc w:val="both"/>
        <w:rPr>
          <w:rFonts w:ascii="Times New Roman" w:eastAsia="EUAlbertina-Bold-Identity-H" w:hAnsi="Times New Roman"/>
          <w:color w:val="000000" w:themeColor="text1"/>
          <w:sz w:val="24"/>
          <w:szCs w:val="24"/>
          <w:lang w:eastAsia="lv-LV"/>
        </w:rPr>
      </w:pPr>
      <w:r w:rsidRPr="00603CA3">
        <w:rPr>
          <w:rFonts w:ascii="Times New Roman" w:eastAsia="EUAlbertina-Bold-Identity-H" w:hAnsi="Times New Roman"/>
          <w:color w:val="000000" w:themeColor="text1"/>
          <w:sz w:val="24"/>
          <w:szCs w:val="24"/>
          <w:lang w:eastAsia="lv-LV"/>
        </w:rPr>
        <w:t>līdz 31.augustam Sabiedrības integrācijas fondam programma „NVO fonds” un Vides aizsardzības un reģionālās attīstības ministrijai programma „Kapacitātes stiprināšana un institucionālā sadarbība starp Latvijas un Norvēģijas valsts iestādēm, vietējām un reģionālām iestādēm”;</w:t>
      </w:r>
    </w:p>
    <w:p w:rsidR="00A31A63" w:rsidRPr="00603CA3" w:rsidRDefault="00A31A63" w:rsidP="00603CA3">
      <w:pPr>
        <w:pStyle w:val="ListParagraph"/>
        <w:numPr>
          <w:ilvl w:val="0"/>
          <w:numId w:val="13"/>
        </w:numPr>
        <w:spacing w:after="0"/>
        <w:jc w:val="both"/>
        <w:rPr>
          <w:rFonts w:ascii="Times New Roman" w:eastAsia="EUAlbertina-Bold-Identity-H" w:hAnsi="Times New Roman"/>
          <w:color w:val="000000" w:themeColor="text1"/>
          <w:sz w:val="24"/>
          <w:szCs w:val="24"/>
          <w:lang w:eastAsia="lv-LV"/>
        </w:rPr>
      </w:pPr>
      <w:r w:rsidRPr="00603CA3">
        <w:rPr>
          <w:rFonts w:ascii="Times New Roman" w:eastAsia="EUAlbertina-Bold-Identity-H" w:hAnsi="Times New Roman"/>
          <w:color w:val="000000" w:themeColor="text1"/>
          <w:sz w:val="24"/>
          <w:szCs w:val="24"/>
          <w:lang w:eastAsia="lv-LV"/>
        </w:rPr>
        <w:t>līdz 30.septembrim Ekonomikas ministrijai programma „Inovācijas „zaļās” ražošanas jomā” un Vides aizsardzības un reģionālās attīstības ministrijai programma „Pielāgošanās klimata pārmaiņām”;</w:t>
      </w:r>
    </w:p>
    <w:p w:rsidR="00A31A63" w:rsidRPr="00603CA3" w:rsidRDefault="00A31A63" w:rsidP="00603CA3">
      <w:pPr>
        <w:pStyle w:val="ListParagraph"/>
        <w:numPr>
          <w:ilvl w:val="0"/>
          <w:numId w:val="13"/>
        </w:numPr>
        <w:spacing w:after="0"/>
        <w:jc w:val="both"/>
        <w:rPr>
          <w:rFonts w:ascii="Times New Roman" w:eastAsia="EUAlbertina-Bold-Identity-H" w:hAnsi="Times New Roman"/>
          <w:color w:val="000000" w:themeColor="text1"/>
          <w:sz w:val="24"/>
          <w:szCs w:val="24"/>
          <w:lang w:eastAsia="lv-LV"/>
        </w:rPr>
      </w:pPr>
      <w:r w:rsidRPr="00603CA3">
        <w:rPr>
          <w:rFonts w:ascii="Times New Roman" w:eastAsia="EUAlbertina-Bold-Identity-H" w:hAnsi="Times New Roman"/>
          <w:color w:val="000000" w:themeColor="text1"/>
          <w:sz w:val="24"/>
          <w:szCs w:val="24"/>
          <w:lang w:eastAsia="lv-LV"/>
        </w:rPr>
        <w:lastRenderedPageBreak/>
        <w:t>līdz 31.oktobrm Kultūras ministrijai programma „Kultūras un dabas mantojuma saglabāšana un atjaunināšana” un Tieslietu ministrijai „Latvijas korekcijas dienestu un Valsts policijas īslaicīgās aizturēšanas vietu reforma”;</w:t>
      </w:r>
    </w:p>
    <w:p w:rsidR="00A31A63" w:rsidRPr="00603CA3" w:rsidRDefault="00A31A63" w:rsidP="00603CA3">
      <w:pPr>
        <w:pStyle w:val="ListParagraph"/>
        <w:numPr>
          <w:ilvl w:val="0"/>
          <w:numId w:val="13"/>
        </w:numPr>
        <w:spacing w:after="0"/>
        <w:jc w:val="both"/>
        <w:rPr>
          <w:rFonts w:ascii="Times New Roman" w:eastAsia="EUAlbertina-Bold-Identity-H" w:hAnsi="Times New Roman"/>
          <w:color w:val="000000" w:themeColor="text1"/>
          <w:sz w:val="24"/>
          <w:szCs w:val="24"/>
          <w:lang w:eastAsia="lv-LV"/>
        </w:rPr>
      </w:pPr>
      <w:r w:rsidRPr="00603CA3">
        <w:rPr>
          <w:rFonts w:ascii="Times New Roman" w:eastAsia="EUAlbertina-Bold-Identity-H" w:hAnsi="Times New Roman"/>
          <w:color w:val="000000" w:themeColor="text1"/>
          <w:sz w:val="24"/>
          <w:szCs w:val="24"/>
          <w:lang w:eastAsia="lv-LV"/>
        </w:rPr>
        <w:t>līdz 30.novembrim Izglītības un zinātnes ministrijai programma „Divpusējā sadarbība pētniecības jomā un stipendijas”.</w:t>
      </w:r>
    </w:p>
    <w:p w:rsidR="00FF4209" w:rsidRPr="00603CA3" w:rsidRDefault="00E52E3C" w:rsidP="00603CA3">
      <w:pPr>
        <w:pStyle w:val="1lmenis"/>
        <w:spacing w:before="0" w:after="0" w:line="276" w:lineRule="auto"/>
        <w:ind w:left="851"/>
        <w:rPr>
          <w:rFonts w:ascii="Times New Roman" w:hAnsi="Times New Roman"/>
          <w:color w:val="000000" w:themeColor="text1"/>
          <w:sz w:val="24"/>
          <w:szCs w:val="24"/>
          <w:lang w:val="lv-LV"/>
        </w:rPr>
      </w:pPr>
      <w:r w:rsidRPr="00603CA3">
        <w:rPr>
          <w:rFonts w:ascii="Times New Roman" w:eastAsia="EUAlbertina-Bold-Identity-H" w:hAnsi="Times New Roman"/>
          <w:color w:val="000000" w:themeColor="text1"/>
          <w:kern w:val="0"/>
          <w:sz w:val="24"/>
          <w:szCs w:val="24"/>
          <w:lang w:eastAsia="lv-LV"/>
        </w:rPr>
        <w:br w:type="page"/>
      </w:r>
      <w:bookmarkStart w:id="36" w:name="_Toc300759829"/>
      <w:r w:rsidR="001A24DF" w:rsidRPr="00603CA3">
        <w:rPr>
          <w:rFonts w:ascii="Times New Roman" w:hAnsi="Times New Roman"/>
          <w:color w:val="000000" w:themeColor="text1"/>
          <w:sz w:val="24"/>
          <w:szCs w:val="24"/>
          <w:lang w:val="lv-LV"/>
        </w:rPr>
        <w:lastRenderedPageBreak/>
        <w:t xml:space="preserve">Latvijas un </w:t>
      </w:r>
      <w:r w:rsidR="00FF4209" w:rsidRPr="00603CA3">
        <w:rPr>
          <w:rFonts w:ascii="Times New Roman" w:hAnsi="Times New Roman"/>
          <w:color w:val="000000" w:themeColor="text1"/>
          <w:sz w:val="24"/>
          <w:szCs w:val="24"/>
          <w:lang w:val="lv-LV"/>
        </w:rPr>
        <w:t>Šveices sadarbības programmas apguve</w:t>
      </w:r>
      <w:bookmarkEnd w:id="34"/>
      <w:bookmarkEnd w:id="35"/>
      <w:bookmarkEnd w:id="36"/>
    </w:p>
    <w:p w:rsidR="007940B3" w:rsidRPr="00603CA3" w:rsidRDefault="007940B3" w:rsidP="00603CA3">
      <w:pPr>
        <w:spacing w:line="276" w:lineRule="auto"/>
        <w:rPr>
          <w:rFonts w:eastAsia="EUAlbertina-Bold-Identity-H"/>
          <w:color w:val="000000" w:themeColor="text1"/>
          <w:szCs w:val="24"/>
          <w:lang w:eastAsia="lv-LV"/>
        </w:rPr>
      </w:pPr>
      <w:bookmarkStart w:id="37" w:name="_Toc276049989"/>
      <w:bookmarkStart w:id="38" w:name="_Toc290449014"/>
      <w:bookmarkStart w:id="39" w:name="_Toc290449856"/>
      <w:r w:rsidRPr="00603CA3">
        <w:rPr>
          <w:rFonts w:eastAsia="EUAlbertina-Bold-Identity-H"/>
          <w:color w:val="000000" w:themeColor="text1"/>
          <w:szCs w:val="24"/>
          <w:lang w:eastAsia="lv-LV"/>
        </w:rPr>
        <w:t xml:space="preserve">Šveices programmas finansējums Latvijai ir pieejams no 2007.gada 14.jūnija līdz 2012.gada 14.jūnijam (5 gadu saistību periods), paredzot iespēju īstenot projektus un līdz ar to arī apgūt piešķirto finansējumu līdz 2017.gada 14.jūnijam. Šveices programmas ietvaros Latvijai kopumā ir pieejami 56,9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Šveices franku jeb 33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Līdz pārskata perioda beigām Šveices kompetentās iestādes ir apstiprinājušas 5 individuālos projektus, 1 programmu, 3 grantu shēmas, 1 tehniskās palīdzības, </w:t>
      </w:r>
      <w:proofErr w:type="spellStart"/>
      <w:r w:rsidRPr="00603CA3">
        <w:rPr>
          <w:rFonts w:eastAsia="EUAlbertina-Bold-Identity-H"/>
          <w:color w:val="000000" w:themeColor="text1"/>
          <w:szCs w:val="24"/>
          <w:lang w:eastAsia="lv-LV"/>
        </w:rPr>
        <w:t>t.sk</w:t>
      </w:r>
      <w:proofErr w:type="spellEnd"/>
      <w:r w:rsidRPr="00603CA3">
        <w:rPr>
          <w:rFonts w:eastAsia="EUAlbertina-Bold-Identity-H"/>
          <w:color w:val="000000" w:themeColor="text1"/>
          <w:szCs w:val="24"/>
          <w:lang w:eastAsia="lv-LV"/>
        </w:rPr>
        <w:t xml:space="preserve">., projektu sagatavošanas fonda projektu par visu Latvijai pieejamo finansējumu 56,9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Šveices franku jeb 33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latu.</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Līdz pārskata perioda beigām atmaksas Šveices programmas finansēju</w:t>
      </w:r>
      <w:r w:rsidR="00F50585" w:rsidRPr="00603CA3">
        <w:rPr>
          <w:rFonts w:eastAsia="EUAlbertina-Bold-Identity-H"/>
          <w:color w:val="000000" w:themeColor="text1"/>
          <w:szCs w:val="24"/>
          <w:lang w:eastAsia="lv-LV"/>
        </w:rPr>
        <w:t xml:space="preserve">ma saņēmējiem ir 3,7 </w:t>
      </w:r>
      <w:proofErr w:type="spellStart"/>
      <w:r w:rsidR="00F50585" w:rsidRPr="00603CA3">
        <w:rPr>
          <w:rFonts w:eastAsia="EUAlbertina-Bold-Identity-H"/>
          <w:color w:val="000000" w:themeColor="text1"/>
          <w:szCs w:val="24"/>
          <w:lang w:eastAsia="lv-LV"/>
        </w:rPr>
        <w:t>milj</w:t>
      </w:r>
      <w:proofErr w:type="spellEnd"/>
      <w:r w:rsidR="00F50585" w:rsidRPr="00603CA3">
        <w:rPr>
          <w:rFonts w:eastAsia="EUAlbertina-Bold-Identity-H"/>
          <w:color w:val="000000" w:themeColor="text1"/>
          <w:szCs w:val="24"/>
          <w:lang w:eastAsia="lv-LV"/>
        </w:rPr>
        <w:t>. latu</w:t>
      </w:r>
      <w:r w:rsidRPr="00603CA3">
        <w:rPr>
          <w:rFonts w:eastAsia="EUAlbertina-Bold-Identity-H"/>
          <w:color w:val="000000" w:themeColor="text1"/>
          <w:szCs w:val="24"/>
          <w:lang w:eastAsia="lv-LV"/>
        </w:rPr>
        <w:t xml:space="preserve"> jeb 11,9% no Šveices programmas kopējā finansējuma (skatīt grafiku Nr.1</w:t>
      </w:r>
      <w:r w:rsidR="00964982" w:rsidRPr="00603CA3">
        <w:rPr>
          <w:rFonts w:eastAsia="EUAlbertina-Bold-Identity-H"/>
          <w:color w:val="000000" w:themeColor="text1"/>
          <w:szCs w:val="24"/>
          <w:lang w:eastAsia="lv-LV"/>
        </w:rPr>
        <w:t>1</w:t>
      </w:r>
      <w:r w:rsidRPr="00603CA3">
        <w:rPr>
          <w:rFonts w:eastAsia="EUAlbertina-Bold-Identity-H"/>
          <w:color w:val="000000" w:themeColor="text1"/>
          <w:szCs w:val="24"/>
          <w:lang w:eastAsia="lv-LV"/>
        </w:rPr>
        <w:t xml:space="preserve">). Salīdzinoši ar iepriekšējo ceturksni atmaksas palielinājušās par 64 </w:t>
      </w:r>
      <w:proofErr w:type="spellStart"/>
      <w:r w:rsidRPr="00603CA3">
        <w:rPr>
          <w:rFonts w:eastAsia="EUAlbertina-Bold-Identity-H"/>
          <w:color w:val="000000" w:themeColor="text1"/>
          <w:szCs w:val="24"/>
          <w:lang w:eastAsia="lv-LV"/>
        </w:rPr>
        <w:t>tūkst</w:t>
      </w:r>
      <w:proofErr w:type="spellEnd"/>
      <w:r w:rsidRPr="00603CA3">
        <w:rPr>
          <w:rFonts w:eastAsia="EUAlbertina-Bold-Identity-H"/>
          <w:color w:val="000000" w:themeColor="text1"/>
          <w:szCs w:val="24"/>
          <w:lang w:eastAsia="lv-LV"/>
        </w:rPr>
        <w:t>. latu jeb 0,2%.</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Grafiks Nr.</w:t>
      </w:r>
      <w:r w:rsidR="00424A44" w:rsidRPr="00603CA3">
        <w:rPr>
          <w:rFonts w:eastAsia="EUAlbertina-Bold-Identity-H"/>
          <w:color w:val="000000" w:themeColor="text1"/>
          <w:szCs w:val="24"/>
          <w:lang w:eastAsia="lv-LV"/>
        </w:rPr>
        <w:t>1</w:t>
      </w:r>
      <w:r w:rsidR="00964982" w:rsidRPr="00603CA3">
        <w:rPr>
          <w:rFonts w:eastAsia="EUAlbertina-Bold-Identity-H"/>
          <w:color w:val="000000" w:themeColor="text1"/>
          <w:szCs w:val="24"/>
          <w:lang w:eastAsia="lv-LV"/>
        </w:rPr>
        <w:t>1</w:t>
      </w:r>
      <w:r w:rsidRPr="00603CA3">
        <w:rPr>
          <w:rFonts w:eastAsia="EUAlbertina-Bold-Identity-H"/>
          <w:color w:val="000000" w:themeColor="text1"/>
          <w:szCs w:val="24"/>
          <w:lang w:eastAsia="lv-LV"/>
        </w:rPr>
        <w:t xml:space="preserve"> </w:t>
      </w:r>
      <w:r w:rsidRPr="00603CA3">
        <w:rPr>
          <w:rFonts w:eastAsia="EUAlbertina-Bold-Identity-H"/>
          <w:i/>
          <w:color w:val="000000" w:themeColor="text1"/>
          <w:szCs w:val="24"/>
          <w:lang w:eastAsia="lv-LV"/>
        </w:rPr>
        <w:t>„No Šveices atgūtais Šveices programmas finansējums uz 30.06.2011.salīdzināj</w:t>
      </w:r>
      <w:r w:rsidR="00C006C0" w:rsidRPr="00603CA3">
        <w:rPr>
          <w:rFonts w:eastAsia="EUAlbertina-Bold-Identity-H"/>
          <w:i/>
          <w:color w:val="000000" w:themeColor="text1"/>
          <w:szCs w:val="24"/>
          <w:lang w:eastAsia="lv-LV"/>
        </w:rPr>
        <w:t xml:space="preserve">umā ar 31.03.2011., </w:t>
      </w:r>
      <w:proofErr w:type="spellStart"/>
      <w:r w:rsidR="00C006C0" w:rsidRPr="00603CA3">
        <w:rPr>
          <w:rFonts w:eastAsia="EUAlbertina-Bold-Identity-H"/>
          <w:i/>
          <w:color w:val="000000" w:themeColor="text1"/>
          <w:szCs w:val="24"/>
          <w:lang w:eastAsia="lv-LV"/>
        </w:rPr>
        <w:t>milj</w:t>
      </w:r>
      <w:proofErr w:type="spellEnd"/>
      <w:r w:rsidR="00C006C0" w:rsidRPr="00603CA3">
        <w:rPr>
          <w:rFonts w:eastAsia="EUAlbertina-Bold-Identity-H"/>
          <w:i/>
          <w:color w:val="000000" w:themeColor="text1"/>
          <w:szCs w:val="24"/>
          <w:lang w:eastAsia="lv-LV"/>
        </w:rPr>
        <w:t>. CHF</w:t>
      </w:r>
      <w:r w:rsidR="00C006C0" w:rsidRPr="00603CA3">
        <w:rPr>
          <w:rStyle w:val="FootnoteReference"/>
          <w:rFonts w:eastAsia="EUAlbertina-Bold-Identity-H"/>
          <w:i/>
          <w:color w:val="000000" w:themeColor="text1"/>
          <w:szCs w:val="24"/>
          <w:lang w:eastAsia="lv-LV"/>
        </w:rPr>
        <w:footnoteReference w:id="4"/>
      </w:r>
      <w:r w:rsidR="00424A44" w:rsidRPr="00603CA3">
        <w:rPr>
          <w:rFonts w:eastAsia="EUAlbertina-Bold-Identity-H"/>
          <w:i/>
          <w:color w:val="000000" w:themeColor="text1"/>
          <w:szCs w:val="24"/>
          <w:lang w:eastAsia="lv-LV"/>
        </w:rPr>
        <w:t>”</w:t>
      </w:r>
    </w:p>
    <w:p w:rsidR="00E52E3C" w:rsidRPr="00603CA3" w:rsidRDefault="00E81671" w:rsidP="00603CA3">
      <w:pPr>
        <w:spacing w:line="276" w:lineRule="auto"/>
        <w:rPr>
          <w:rFonts w:eastAsia="EUAlbertina-Bold-Identity-H"/>
          <w:color w:val="000000" w:themeColor="text1"/>
          <w:szCs w:val="24"/>
          <w:lang w:eastAsia="lv-LV"/>
        </w:rPr>
      </w:pPr>
      <w:r w:rsidRPr="00603CA3">
        <w:rPr>
          <w:noProof/>
          <w:color w:val="000000" w:themeColor="text1"/>
          <w:szCs w:val="24"/>
          <w:lang w:eastAsia="lv-LV"/>
        </w:rPr>
        <w:drawing>
          <wp:inline distT="0" distB="0" distL="0" distR="0" wp14:anchorId="57B21665" wp14:editId="6611F56F">
            <wp:extent cx="5259070" cy="3185795"/>
            <wp:effectExtent l="0" t="0" r="17780" b="14605"/>
            <wp:docPr id="1"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Tā kā pirmo projektu ieviešana ir uzsākusies tikai 2009.gada vidū, tad šobrīd sasniegtie apguves rādītāji vēl nav lieli. No </w:t>
      </w:r>
      <w:proofErr w:type="spellStart"/>
      <w:r w:rsidRPr="00603CA3">
        <w:rPr>
          <w:rFonts w:eastAsia="EUAlbertina-Bold-Identity-H"/>
          <w:color w:val="000000" w:themeColor="text1"/>
          <w:szCs w:val="24"/>
          <w:lang w:eastAsia="lv-LV"/>
        </w:rPr>
        <w:t>donorvalsts</w:t>
      </w:r>
      <w:proofErr w:type="spellEnd"/>
      <w:r w:rsidRPr="00603CA3">
        <w:rPr>
          <w:rFonts w:eastAsia="EUAlbertina-Bold-Identity-H"/>
          <w:color w:val="000000" w:themeColor="text1"/>
          <w:szCs w:val="24"/>
          <w:lang w:eastAsia="lv-LV"/>
        </w:rPr>
        <w:t xml:space="preserve"> saņemtā informācija liecina, ka Latvija ieņem 1.vietu no 3 Baltijas valstīm Šveices programmas līdzekļu apguves ziņā.</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Līdz pārskata perioda beigām ir noslēgti visi paredzētie 10 Projektu līgumi </w:t>
      </w:r>
      <w:r w:rsidR="005313FD" w:rsidRPr="00603CA3">
        <w:rPr>
          <w:rFonts w:eastAsia="EUAlbertina-Bold-Identity-H"/>
          <w:color w:val="000000" w:themeColor="text1"/>
          <w:szCs w:val="24"/>
          <w:lang w:eastAsia="lv-LV"/>
        </w:rPr>
        <w:t>LR</w:t>
      </w:r>
      <w:r w:rsidRPr="00603CA3">
        <w:rPr>
          <w:rFonts w:eastAsia="EUAlbertina-Bold-Identity-H"/>
          <w:color w:val="000000" w:themeColor="text1"/>
          <w:szCs w:val="24"/>
          <w:lang w:eastAsia="lv-LV"/>
        </w:rPr>
        <w:t xml:space="preserve"> un Šveices Konfederācijas starpā.</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Projekta „Pašvaldību aktivitāšu īstenošana, lai nodrošinātu skolnieku pārvadāšanu un ar to saistītos atbalsta pasākumus” ietvaros 59 pašvaldības ir saņēmušas 110 autobusus skolnieku pārvadāšanai. Projekts veiksmīgi noslēdzās 2011.gada jūnijā.</w:t>
      </w:r>
    </w:p>
    <w:p w:rsidR="008F11B9" w:rsidRPr="00603CA3" w:rsidRDefault="008F11B9" w:rsidP="00603CA3">
      <w:pPr>
        <w:spacing w:line="276" w:lineRule="auto"/>
        <w:rPr>
          <w:color w:val="000000" w:themeColor="text1"/>
          <w:szCs w:val="24"/>
        </w:rPr>
      </w:pPr>
      <w:r w:rsidRPr="00603CA3">
        <w:rPr>
          <w:color w:val="000000" w:themeColor="text1"/>
          <w:szCs w:val="24"/>
        </w:rPr>
        <w:t xml:space="preserve">Tā kā projekts noslēdzās ar 2,9 </w:t>
      </w:r>
      <w:r w:rsidR="003365DF" w:rsidRPr="00603CA3">
        <w:rPr>
          <w:color w:val="000000" w:themeColor="text1"/>
          <w:szCs w:val="24"/>
        </w:rPr>
        <w:t>miljoniem</w:t>
      </w:r>
      <w:r w:rsidRPr="00603CA3">
        <w:rPr>
          <w:color w:val="000000" w:themeColor="text1"/>
          <w:szCs w:val="24"/>
        </w:rPr>
        <w:t xml:space="preserve">. Šveices franku jeb 1,6 latu lielu </w:t>
      </w:r>
      <w:r w:rsidR="003365DF" w:rsidRPr="00603CA3">
        <w:rPr>
          <w:color w:val="000000" w:themeColor="text1"/>
          <w:szCs w:val="24"/>
        </w:rPr>
        <w:t>ietaupījumu</w:t>
      </w:r>
      <w:r w:rsidRPr="00603CA3">
        <w:rPr>
          <w:color w:val="000000" w:themeColor="text1"/>
          <w:szCs w:val="24"/>
        </w:rPr>
        <w:t>, tad 2011.gada Šveices programmas trešajā gada uzraudzības  sanāksmē Šveices kompetentās iestādes atbalstīja ideju par jauna projekta „Atbalsts ugunsdrošības pasākumiem pašvaldību vispārējās izglītības iestādēs” izstrādi un iesniegšanu Šveicei apstiprināšanai. Projekta mērķis</w:t>
      </w:r>
      <w:r w:rsidRPr="00603CA3">
        <w:rPr>
          <w:b/>
          <w:bCs/>
          <w:color w:val="000000" w:themeColor="text1"/>
          <w:szCs w:val="24"/>
        </w:rPr>
        <w:t xml:space="preserve"> </w:t>
      </w:r>
      <w:r w:rsidRPr="00603CA3">
        <w:rPr>
          <w:color w:val="000000" w:themeColor="text1"/>
          <w:szCs w:val="24"/>
        </w:rPr>
        <w:lastRenderedPageBreak/>
        <w:t>būs ugunsdrošības pasākumu īstenošana pašvaldību vispārējās izglītības iestādēs, lai radītu bērniem un jauniešiem drošu vidi.</w:t>
      </w:r>
    </w:p>
    <w:p w:rsidR="007940B3" w:rsidRPr="00603CA3" w:rsidRDefault="008F11B9"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 </w:t>
      </w:r>
      <w:r w:rsidR="007940B3" w:rsidRPr="00603CA3">
        <w:rPr>
          <w:rFonts w:eastAsia="EUAlbertina-Bold-Identity-H"/>
          <w:color w:val="000000" w:themeColor="text1"/>
          <w:szCs w:val="24"/>
          <w:lang w:eastAsia="lv-LV"/>
        </w:rPr>
        <w:t>Projekta „Tiesu modernizācija Latvijā” ietvaros iepirkums „Video konferences un ierakstu iekārtu piegāde, uzstādīšana un uzturēšana tiesu un ieslodzījuma vietu vajadzībām” tika pagarināts un</w:t>
      </w:r>
      <w:r w:rsidR="00F50585" w:rsidRPr="00603CA3">
        <w:rPr>
          <w:rFonts w:eastAsia="EUAlbertina-Bold-Identity-H"/>
          <w:color w:val="000000" w:themeColor="text1"/>
          <w:szCs w:val="24"/>
          <w:lang w:eastAsia="lv-LV"/>
        </w:rPr>
        <w:t xml:space="preserve"> tas noslēdzās 2011.gada maijā.</w:t>
      </w:r>
      <w:r w:rsidR="007940B3" w:rsidRPr="00603CA3">
        <w:rPr>
          <w:rFonts w:eastAsia="EUAlbertina-Bold-Identity-H"/>
          <w:color w:val="000000" w:themeColor="text1"/>
          <w:szCs w:val="24"/>
          <w:lang w:eastAsia="lv-LV"/>
        </w:rPr>
        <w:t xml:space="preserve"> Tā ietvaros plānots iegādāties un uzstādīt 81 videokonferenču iekārtu visās tiesu sēžu zālēs (41 tiesas zālēs un Augstākā tiesas zālē) un visās ieslodzījuma vietās (12 vietas), kā arī 295 audio ierakstu iekārtas, kuras paredzētas visām tiesu sēžu zālēm.</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NVO fonda ietvaros ar 2011.gadu ir uzsākta visu 56 </w:t>
      </w:r>
      <w:proofErr w:type="spellStart"/>
      <w:r w:rsidRPr="00603CA3">
        <w:rPr>
          <w:rFonts w:eastAsia="EUAlbertina-Bold-Identity-H"/>
          <w:color w:val="000000" w:themeColor="text1"/>
          <w:szCs w:val="24"/>
          <w:lang w:eastAsia="lv-LV"/>
        </w:rPr>
        <w:t>apakšprojektu</w:t>
      </w:r>
      <w:proofErr w:type="spellEnd"/>
      <w:r w:rsidRPr="00603CA3">
        <w:rPr>
          <w:rFonts w:eastAsia="EUAlbertina-Bold-Identity-H"/>
          <w:color w:val="000000" w:themeColor="text1"/>
          <w:szCs w:val="24"/>
          <w:lang w:eastAsia="lv-LV"/>
        </w:rPr>
        <w:t xml:space="preserve"> īstenošana. To aktivitāšu veikšanā ir iesaistīti 18 partneri no Šveices, un lielākā daļa projektu tiks īstenoti sadarbībā ar Latvijas pašvaldībām, valsts un citām nevalstiskā sektora organizācijām. Uz pārskata perioda beigām jau ir noslēdzies viens </w:t>
      </w:r>
      <w:proofErr w:type="spellStart"/>
      <w:r w:rsidRPr="00603CA3">
        <w:rPr>
          <w:rFonts w:eastAsia="EUAlbertina-Bold-Identity-H"/>
          <w:color w:val="000000" w:themeColor="text1"/>
          <w:szCs w:val="24"/>
          <w:lang w:eastAsia="lv-LV"/>
        </w:rPr>
        <w:t>apakšprojekts</w:t>
      </w:r>
      <w:proofErr w:type="spellEnd"/>
      <w:r w:rsidRPr="00603CA3">
        <w:rPr>
          <w:rFonts w:eastAsia="EUAlbertina-Bold-Identity-H"/>
          <w:color w:val="000000" w:themeColor="text1"/>
          <w:szCs w:val="24"/>
          <w:lang w:eastAsia="lv-LV"/>
        </w:rPr>
        <w:t>.</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Stipendiju fonda ietvaros 2010.gada 1.novembrī noslēdzās pirmais stipendiju konkurss doktorantiem un jaunajiem zinātniekiem, kura ietvaros Stipendiju fonda vadības komiteja Šveicē 2011.gada m</w:t>
      </w:r>
      <w:r w:rsidR="00F50585" w:rsidRPr="00603CA3">
        <w:rPr>
          <w:rFonts w:eastAsia="EUAlbertina-Bold-Identity-H"/>
          <w:color w:val="000000" w:themeColor="text1"/>
          <w:szCs w:val="24"/>
          <w:lang w:eastAsia="lv-LV"/>
        </w:rPr>
        <w:t>artā apstiprināja 3 iesniegumus</w:t>
      </w:r>
      <w:r w:rsidRPr="00603CA3">
        <w:rPr>
          <w:rFonts w:eastAsia="EUAlbertina-Bold-Identity-H"/>
          <w:color w:val="000000" w:themeColor="text1"/>
          <w:szCs w:val="24"/>
          <w:lang w:eastAsia="lv-LV"/>
        </w:rPr>
        <w:t xml:space="preserve"> no 5 iesniegtajiem. Nākamais stipendiju konkurss tiks izsludināts 2011.gada 1.septembrī.</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Projekta „Vēsturiski piesārņoto vietu sanācija – Sarkandaugavas teritorijā” īstenošana tika uzsākta ar 2011.gada aprīli. Projekts paredz attīrīšanas darbu veikšanu piecos objektos Rīgas Brīvostas teritorijā. Kopumā plānots attīrīt aptuveni 77 000 m2 lielu platību. Pirmo iepirkumu par attīrīšanas darbu veikšanu plānots izsludināt 2011.gada 3.ceturksnī.</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Programmas „Atbalsts jaunatnes iniciatīvu attīs</w:t>
      </w:r>
      <w:r w:rsidR="00F50585" w:rsidRPr="00603CA3">
        <w:rPr>
          <w:rFonts w:eastAsia="EUAlbertina-Bold-Identity-H"/>
          <w:color w:val="000000" w:themeColor="text1"/>
          <w:szCs w:val="24"/>
          <w:lang w:eastAsia="lv-LV"/>
        </w:rPr>
        <w:t>tībai attālos vai mazattīstītos</w:t>
      </w:r>
      <w:r w:rsidRPr="00603CA3">
        <w:rPr>
          <w:rFonts w:eastAsia="EUAlbertina-Bold-Identity-H"/>
          <w:color w:val="000000" w:themeColor="text1"/>
          <w:szCs w:val="24"/>
          <w:lang w:eastAsia="lv-LV"/>
        </w:rPr>
        <w:t xml:space="preserve"> reģionos” īstenošana ir uzsākta ar 2011.ga</w:t>
      </w:r>
      <w:r w:rsidR="00F50585" w:rsidRPr="00603CA3">
        <w:rPr>
          <w:rFonts w:eastAsia="EUAlbertina-Bold-Identity-H"/>
          <w:color w:val="000000" w:themeColor="text1"/>
          <w:szCs w:val="24"/>
          <w:lang w:eastAsia="lv-LV"/>
        </w:rPr>
        <w:t>da 1.jūniju. Projekts paredz 17</w:t>
      </w:r>
      <w:r w:rsidRPr="00603CA3">
        <w:rPr>
          <w:rFonts w:eastAsia="EUAlbertina-Bold-Identity-H"/>
          <w:color w:val="000000" w:themeColor="text1"/>
          <w:szCs w:val="24"/>
          <w:lang w:eastAsia="lv-LV"/>
        </w:rPr>
        <w:t xml:space="preserve"> </w:t>
      </w:r>
      <w:proofErr w:type="spellStart"/>
      <w:r w:rsidRPr="00603CA3">
        <w:rPr>
          <w:rFonts w:eastAsia="EUAlbertina-Bold-Identity-H"/>
          <w:color w:val="000000" w:themeColor="text1"/>
          <w:szCs w:val="24"/>
          <w:lang w:eastAsia="lv-LV"/>
        </w:rPr>
        <w:t>multifunkcionālu</w:t>
      </w:r>
      <w:proofErr w:type="spellEnd"/>
      <w:r w:rsidRPr="00603CA3">
        <w:rPr>
          <w:rFonts w:eastAsia="EUAlbertina-Bold-Identity-H"/>
          <w:color w:val="000000" w:themeColor="text1"/>
          <w:szCs w:val="24"/>
          <w:lang w:eastAsia="lv-LV"/>
        </w:rPr>
        <w:t xml:space="preserve"> jauniešu iniciatīvu centru izveidi 17 dažādās Latvijas pašvaldībās un semināru, konferenču un forumu organizēšanu visā Latvijā jauniešiem un personām, kas iesaistītas darbā ar jauniešiem, par jauniešiem aktuālām tēmām. Uz pārskata perioda beigām ar visām 17 pašvaldībām ir jau parakstīti īstenošanas līgumi par </w:t>
      </w:r>
      <w:proofErr w:type="spellStart"/>
      <w:r w:rsidRPr="00603CA3">
        <w:rPr>
          <w:rFonts w:eastAsia="EUAlbertina-Bold-Identity-H"/>
          <w:color w:val="000000" w:themeColor="text1"/>
          <w:szCs w:val="24"/>
          <w:lang w:eastAsia="lv-LV"/>
        </w:rPr>
        <w:t>multifunkcionālo</w:t>
      </w:r>
      <w:proofErr w:type="spellEnd"/>
      <w:r w:rsidRPr="00603CA3">
        <w:rPr>
          <w:rFonts w:eastAsia="EUAlbertina-Bold-Identity-H"/>
          <w:color w:val="000000" w:themeColor="text1"/>
          <w:szCs w:val="24"/>
          <w:lang w:eastAsia="lv-LV"/>
        </w:rPr>
        <w:t xml:space="preserve"> jauniešu iniciatīvu centru izveidi.</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Grantu shēmas „Šveices pētnieku aktivitātes Latvijā” īstenošana tiks uzsākta ar 2011.gada 1.jūliju. Projekts paredz v</w:t>
      </w:r>
      <w:r w:rsidR="00F50585" w:rsidRPr="00603CA3">
        <w:rPr>
          <w:rFonts w:eastAsia="EUAlbertina-Bold-Identity-H"/>
          <w:color w:val="000000" w:themeColor="text1"/>
          <w:szCs w:val="24"/>
          <w:lang w:eastAsia="lv-LV"/>
        </w:rPr>
        <w:t>ismaz 45 stipendiju piešķiršanu</w:t>
      </w:r>
      <w:r w:rsidRPr="00603CA3">
        <w:rPr>
          <w:rFonts w:eastAsia="EUAlbertina-Bold-Identity-H"/>
          <w:color w:val="000000" w:themeColor="text1"/>
          <w:szCs w:val="24"/>
          <w:lang w:eastAsia="lv-LV"/>
        </w:rPr>
        <w:t xml:space="preserve"> Šveices pētniekiem lekciju lasīšanai un pieredzes apmaiņai Latvijas augstskolās un zinātniskajās institūcijās. </w:t>
      </w:r>
    </w:p>
    <w:p w:rsidR="007940B3" w:rsidRPr="00603CA3" w:rsidRDefault="007940B3"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Projekta „</w:t>
      </w:r>
      <w:proofErr w:type="spellStart"/>
      <w:r w:rsidRPr="00603CA3">
        <w:rPr>
          <w:rFonts w:eastAsia="EUAlbertina-Bold-Identity-H"/>
          <w:color w:val="000000" w:themeColor="text1"/>
          <w:szCs w:val="24"/>
          <w:lang w:eastAsia="lv-LV"/>
        </w:rPr>
        <w:t>Mikrokreditēšanas</w:t>
      </w:r>
      <w:proofErr w:type="spellEnd"/>
      <w:r w:rsidRPr="00603CA3">
        <w:rPr>
          <w:rFonts w:eastAsia="EUAlbertina-Bold-Identity-H"/>
          <w:color w:val="000000" w:themeColor="text1"/>
          <w:szCs w:val="24"/>
          <w:lang w:eastAsia="lv-LV"/>
        </w:rPr>
        <w:t xml:space="preserve"> programma” īstenošana tiks uzsākta ar 2011.gada 1.jūliju. Projekta ietvaros tiks piešķirti aizdevumi </w:t>
      </w:r>
      <w:proofErr w:type="spellStart"/>
      <w:r w:rsidRPr="00603CA3">
        <w:rPr>
          <w:rFonts w:eastAsia="EUAlbertina-Bold-Identity-H"/>
          <w:color w:val="000000" w:themeColor="text1"/>
          <w:szCs w:val="24"/>
          <w:lang w:eastAsia="lv-LV"/>
        </w:rPr>
        <w:t>mikrouzņēmumiem</w:t>
      </w:r>
      <w:proofErr w:type="spellEnd"/>
      <w:r w:rsidRPr="00603CA3">
        <w:rPr>
          <w:rFonts w:eastAsia="EUAlbertina-Bold-Identity-H"/>
          <w:color w:val="000000" w:themeColor="text1"/>
          <w:szCs w:val="24"/>
          <w:lang w:eastAsia="lv-LV"/>
        </w:rPr>
        <w:t xml:space="preserve"> un pašnodarbinātām personām uzņēmējdarbības uzsākšanai vai attīstībai.</w:t>
      </w:r>
    </w:p>
    <w:p w:rsidR="00C97F4E" w:rsidRPr="00603CA3" w:rsidRDefault="002C4608" w:rsidP="00603CA3">
      <w:pPr>
        <w:pStyle w:val="1lmenis"/>
        <w:spacing w:before="0" w:after="0" w:line="276" w:lineRule="auto"/>
        <w:ind w:left="851"/>
        <w:rPr>
          <w:rFonts w:ascii="Times New Roman" w:hAnsi="Times New Roman"/>
          <w:color w:val="000000" w:themeColor="text1"/>
          <w:sz w:val="24"/>
          <w:szCs w:val="24"/>
          <w:lang w:val="lv-LV"/>
        </w:rPr>
      </w:pPr>
      <w:r w:rsidRPr="00603CA3">
        <w:rPr>
          <w:rFonts w:ascii="Times New Roman" w:hAnsi="Times New Roman"/>
          <w:color w:val="000000" w:themeColor="text1"/>
          <w:sz w:val="24"/>
          <w:szCs w:val="24"/>
          <w:lang w:val="lv-LV"/>
        </w:rPr>
        <w:br w:type="page"/>
      </w:r>
      <w:bookmarkStart w:id="40" w:name="_Toc300759830"/>
      <w:r w:rsidR="004D5EBC" w:rsidRPr="00603CA3">
        <w:rPr>
          <w:rFonts w:ascii="Times New Roman" w:hAnsi="Times New Roman"/>
          <w:color w:val="000000" w:themeColor="text1"/>
          <w:sz w:val="24"/>
          <w:szCs w:val="24"/>
          <w:lang w:val="lv-LV"/>
        </w:rPr>
        <w:lastRenderedPageBreak/>
        <w:t xml:space="preserve">Neatbilstības </w:t>
      </w:r>
      <w:r w:rsidR="00691265" w:rsidRPr="00603CA3">
        <w:rPr>
          <w:rFonts w:ascii="Times New Roman" w:hAnsi="Times New Roman"/>
          <w:color w:val="000000" w:themeColor="text1"/>
          <w:sz w:val="24"/>
          <w:szCs w:val="24"/>
          <w:lang w:val="lv-LV"/>
        </w:rPr>
        <w:t xml:space="preserve">un neatbilstoši veikti izdevumi </w:t>
      </w:r>
      <w:r w:rsidR="00C97F4E" w:rsidRPr="00603CA3">
        <w:rPr>
          <w:rFonts w:ascii="Times New Roman" w:hAnsi="Times New Roman"/>
          <w:color w:val="000000" w:themeColor="text1"/>
          <w:sz w:val="24"/>
          <w:szCs w:val="24"/>
          <w:lang w:val="lv-LV"/>
        </w:rPr>
        <w:t>ES fondu projektu ietvaros</w:t>
      </w:r>
      <w:bookmarkEnd w:id="37"/>
      <w:bookmarkEnd w:id="38"/>
      <w:bookmarkEnd w:id="39"/>
      <w:bookmarkEnd w:id="40"/>
      <w:r w:rsidR="00C97F4E" w:rsidRPr="00603CA3">
        <w:rPr>
          <w:rFonts w:ascii="Times New Roman" w:hAnsi="Times New Roman"/>
          <w:color w:val="000000" w:themeColor="text1"/>
          <w:sz w:val="24"/>
          <w:szCs w:val="24"/>
          <w:lang w:val="lv-LV"/>
        </w:rPr>
        <w:t xml:space="preserve"> </w:t>
      </w:r>
    </w:p>
    <w:p w:rsidR="00BC3CB2" w:rsidRPr="00603CA3" w:rsidRDefault="00BC3CB2" w:rsidP="00603CA3">
      <w:pPr>
        <w:spacing w:line="276" w:lineRule="auto"/>
        <w:rPr>
          <w:rFonts w:eastAsia="EUAlbertina-Bold-Identity-H"/>
          <w:color w:val="000000" w:themeColor="text1"/>
          <w:szCs w:val="24"/>
          <w:lang w:eastAsia="lv-LV"/>
        </w:rPr>
      </w:pPr>
      <w:bookmarkStart w:id="41" w:name="_Toc290449857"/>
      <w:bookmarkStart w:id="42" w:name="_Toc276049997"/>
      <w:bookmarkStart w:id="43" w:name="_Toc277257111"/>
      <w:r w:rsidRPr="00603CA3">
        <w:rPr>
          <w:rFonts w:eastAsia="EUAlbertina-Bold-Identity-H"/>
          <w:color w:val="000000" w:themeColor="text1"/>
          <w:szCs w:val="24"/>
          <w:lang w:eastAsia="lv-LV"/>
        </w:rPr>
        <w:t xml:space="preserve">Kopējā kumulatīvā konstatēto neattiecināmo izdevumu summa atbildīgo ministriju griezumā ir atspoguļota šī ziņojuma pielikumā Nr.4 „Informācija par neatbilstībām un neatbilstoši veiktiem izdevumiem un atgūtiem neatbilstoši veiktiem izdevumiem uz 31.06.2011, latos (neieskaitot maksātnespējas gadījumus)”, savukārt šī ziņojuma pielikumā Nr.3 „Tiešās vai pastarpinātās valsts pārvaldes iestādes, atvasinātas publiskas personas vai citas valsts iestādes īstenotajos projektos konstatētie neatbilstoši veiktie izdevumi pārskata periodā (ceturksnī)” atspoguļota informācija par 2011.gada 2.ceturknī konstatētajām neatbilstībām un neattiecināmiem izdevumiem tiešo vai pastarpināto valsts pārvaldes iestāžu, atvasināto publisko personu vai citu valsts iestāžu īstenotajos projektos. </w:t>
      </w:r>
    </w:p>
    <w:p w:rsidR="00BC3CB2" w:rsidRPr="00603CA3" w:rsidRDefault="00BC3CB2"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Neatbilstība ir jebkurš Latvijas Republikas vai ES tiesību akta pārkāpums, kas atbilst Padomes 2006.gada 11.jūlija Regulas (EK) Nr.1083/2006, ar ko paredz vispārīgus noteikumus par Eiropas Reģionālās attīstības fondu, Eiropas Sociālo fondu un Kohēzijas fondu un atceļ Regulu (EK) Nr.1260/1999, 2.panta 7.punktā noteiktajam. Papildus tiek izdalītas neatbilstības ar finansiālu ietekmi, jeb gadījumi, kad finansējuma saņēmējam ir veikti maksājumi, bet konstatējot neatbilstību šie maksājumi tiek ieturēti no kārtējā vai nākamā maksājuma vai atgūti jebkādā citā veidā.  </w:t>
      </w:r>
    </w:p>
    <w:p w:rsidR="00BC3CB2" w:rsidRPr="00603CA3" w:rsidRDefault="00BC3CB2"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Neatbilstība bez finansiālas ietekmes – ir pārkāpumi, par kuriem netiek konstatēti neatbilstoši veikti izdevumi un šie izdevumi nav jāatgūst, jo finansējuma saņēmējiem nav izmaksāts finansējums, piemēram gadījumā, kad tiek lauzts līgums, pirms ir veikti maksājumi. </w:t>
      </w:r>
    </w:p>
    <w:p w:rsidR="00BC3CB2" w:rsidRPr="00603CA3" w:rsidRDefault="00BC3CB2"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Par neatbilstoši veikti izdevumiem tik uzskatīti izdevumi, kurus nav iespējams ieturēt no kārtējā maksājuma. Citiem vārdiem sakot, šie izdevumi ir izmaksāti finansējuma saņēmējam un attiecīgi neatbilstoši veiktie izdevumi tiek ieturēti no nākamā maksājuma, vai atgūti citos veidos. Papildus, kā neatbilstoši veikti izdevumi tiek uzskatīti valsts pārvalžu iestāžu projektos konstatētās neatbilstības, kuras tiek ieturētas no kārtējā maksājuma.</w:t>
      </w:r>
    </w:p>
    <w:p w:rsidR="00BC3CB2" w:rsidRPr="00603CA3" w:rsidRDefault="00BC3CB2"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Zaudējumus valsts budžetam ir neatbilstoši veikti izdevumi un neatbilstības kuras konstatētas tiešo vai pastarpināto valsts pārvaldes iestāžu, atvasināto publisko personu vai citu valsts iestāžu īstenotajos projektos un izdevumi tiek atgūti tos ieturot no kārtēja/nākamā maksājuma, norakstot, atgūstot un ziņojot Ministru kabinetam. Papildus zaudējumus valsts budžetam rada neatbilstoši veikti izdevumi kuri konstatēti komersantu un nevalstisko organizāciju īstenotajos projektos un tos nav iespējams atgūt.</w:t>
      </w:r>
    </w:p>
    <w:p w:rsidR="00BC3CB2" w:rsidRPr="00603CA3" w:rsidRDefault="00BC3CB2"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Detalizēta informācija par neatbilstībām ar finansiālu ietekmi (turpmāk – neatbilstības), neatbilstībām bez finansiālas ietekmes, neatbilstoši veiktiem izdevumiem un zaudējumiem valsts budžetam 2007.- 2013. gada plānošanas periodā līdz 2011. gada 30. jūnijam apkopoti grafikā </w:t>
      </w:r>
      <w:proofErr w:type="spellStart"/>
      <w:r w:rsidRPr="00603CA3">
        <w:rPr>
          <w:rFonts w:eastAsia="EUAlbertina-Bold-Identity-H"/>
          <w:color w:val="000000" w:themeColor="text1"/>
          <w:szCs w:val="24"/>
          <w:lang w:eastAsia="lv-LV"/>
        </w:rPr>
        <w:t>Nr</w:t>
      </w:r>
      <w:proofErr w:type="spellEnd"/>
      <w:r w:rsidRPr="00603CA3">
        <w:rPr>
          <w:rFonts w:eastAsia="EUAlbertina-Bold-Identity-H"/>
          <w:color w:val="000000" w:themeColor="text1"/>
          <w:szCs w:val="24"/>
          <w:lang w:eastAsia="lv-LV"/>
        </w:rPr>
        <w:t>. 1</w:t>
      </w:r>
      <w:r w:rsidR="00DE77F3" w:rsidRPr="00603CA3">
        <w:rPr>
          <w:rFonts w:eastAsia="EUAlbertina-Bold-Identity-H"/>
          <w:color w:val="000000" w:themeColor="text1"/>
          <w:szCs w:val="24"/>
          <w:lang w:eastAsia="lv-LV"/>
        </w:rPr>
        <w:t>2</w:t>
      </w:r>
      <w:r w:rsidRPr="00603CA3">
        <w:rPr>
          <w:rFonts w:eastAsia="EUAlbertina-Bold-Identity-H"/>
          <w:color w:val="000000" w:themeColor="text1"/>
          <w:szCs w:val="24"/>
          <w:lang w:eastAsia="lv-LV"/>
        </w:rPr>
        <w:t xml:space="preserve">. </w:t>
      </w:r>
    </w:p>
    <w:p w:rsidR="00BC3CB2" w:rsidRPr="00603CA3" w:rsidRDefault="00BC3CB2"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Turpmāk šajā ziņojuma sadaļā tiks analizētas neatbilstības, ieskaitot neatbilstoši veiktus izdevumus. Atsevišķa analīze tikai par neatbilstoši veiktiem izdevumiem un zaudējumiem valsts budžetam apkopota 4.2. sadaļā. </w:t>
      </w:r>
    </w:p>
    <w:p w:rsidR="00BC3CB2" w:rsidRPr="00603CA3" w:rsidRDefault="00BC3CB2" w:rsidP="00603CA3">
      <w:pPr>
        <w:spacing w:line="276" w:lineRule="auto"/>
        <w:rPr>
          <w:rFonts w:eastAsia="EUAlbertina-Bold-Identity-H"/>
          <w:i/>
          <w:color w:val="000000" w:themeColor="text1"/>
          <w:szCs w:val="24"/>
          <w:lang w:eastAsia="lv-LV"/>
        </w:rPr>
      </w:pPr>
      <w:r w:rsidRPr="00603CA3">
        <w:rPr>
          <w:rFonts w:eastAsia="EUAlbertina-Bold-Identity-H"/>
          <w:color w:val="000000" w:themeColor="text1"/>
          <w:szCs w:val="24"/>
          <w:lang w:eastAsia="lv-LV"/>
        </w:rPr>
        <w:t xml:space="preserve"> Grafiks Nr.1</w:t>
      </w:r>
      <w:r w:rsidR="00DE77F3" w:rsidRPr="00603CA3">
        <w:rPr>
          <w:rFonts w:eastAsia="EUAlbertina-Bold-Identity-H"/>
          <w:color w:val="000000" w:themeColor="text1"/>
          <w:szCs w:val="24"/>
          <w:lang w:eastAsia="lv-LV"/>
        </w:rPr>
        <w:t>2</w:t>
      </w:r>
      <w:r w:rsidRPr="00603CA3">
        <w:rPr>
          <w:rFonts w:eastAsia="EUAlbertina-Bold-Identity-H"/>
          <w:color w:val="000000" w:themeColor="text1"/>
          <w:szCs w:val="24"/>
          <w:lang w:eastAsia="lv-LV"/>
        </w:rPr>
        <w:t xml:space="preserve"> </w:t>
      </w:r>
      <w:r w:rsidRPr="00603CA3">
        <w:rPr>
          <w:rFonts w:eastAsia="EUAlbertina-Bold-Identity-H"/>
          <w:i/>
          <w:color w:val="000000" w:themeColor="text1"/>
          <w:szCs w:val="24"/>
          <w:lang w:eastAsia="lv-LV"/>
        </w:rPr>
        <w:t xml:space="preserve">„Konstatētās neatbilstības, neatbilstības bez finansiālas ietekmes, neatbilstoši veikti izdevumi un  zaudējumi valsts budžetam 2007.- 2013. gada plānošanas periodā  </w:t>
      </w:r>
      <w:proofErr w:type="spellStart"/>
      <w:r w:rsidRPr="00603CA3">
        <w:rPr>
          <w:rFonts w:eastAsia="EUAlbertina-Bold-Identity-H"/>
          <w:i/>
          <w:color w:val="000000" w:themeColor="text1"/>
          <w:szCs w:val="24"/>
          <w:lang w:eastAsia="lv-LV"/>
        </w:rPr>
        <w:t>milj</w:t>
      </w:r>
      <w:proofErr w:type="spellEnd"/>
      <w:r w:rsidRPr="00603CA3">
        <w:rPr>
          <w:rFonts w:eastAsia="EUAlbertina-Bold-Identity-H"/>
          <w:i/>
          <w:color w:val="000000" w:themeColor="text1"/>
          <w:szCs w:val="24"/>
          <w:lang w:eastAsia="lv-LV"/>
        </w:rPr>
        <w:t>. latu uz 30.06.2011.)</w:t>
      </w:r>
    </w:p>
    <w:p w:rsidR="00BC3CB2" w:rsidRPr="00603CA3" w:rsidRDefault="00BC3CB2" w:rsidP="00603CA3">
      <w:pPr>
        <w:spacing w:line="276" w:lineRule="auto"/>
        <w:rPr>
          <w:rFonts w:eastAsia="EUAlbertina-Bold-Identity-H"/>
          <w:color w:val="000000" w:themeColor="text1"/>
          <w:szCs w:val="24"/>
          <w:lang w:eastAsia="lv-LV"/>
        </w:rPr>
      </w:pPr>
      <w:r w:rsidRPr="00603CA3">
        <w:rPr>
          <w:rFonts w:eastAsia="EUAlbertina-Bold-Identity-H"/>
          <w:noProof/>
          <w:color w:val="000000" w:themeColor="text1"/>
          <w:szCs w:val="24"/>
          <w:lang w:eastAsia="lv-LV"/>
        </w:rPr>
        <w:lastRenderedPageBreak/>
        <w:drawing>
          <wp:inline distT="0" distB="0" distL="0" distR="0" wp14:anchorId="5A018DDF" wp14:editId="08AC8918">
            <wp:extent cx="4572000" cy="2743200"/>
            <wp:effectExtent l="0" t="0" r="19050" b="1905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63412B" w:rsidRPr="00603CA3" w:rsidRDefault="0063412B" w:rsidP="00603CA3">
      <w:pPr>
        <w:spacing w:line="276" w:lineRule="auto"/>
        <w:rPr>
          <w:color w:val="000000" w:themeColor="text1"/>
          <w:szCs w:val="24"/>
        </w:rPr>
      </w:pPr>
    </w:p>
    <w:p w:rsidR="00C97F4E" w:rsidRPr="00603CA3" w:rsidRDefault="00A1120A" w:rsidP="00603CA3">
      <w:pPr>
        <w:pStyle w:val="2lmenis"/>
        <w:numPr>
          <w:ilvl w:val="1"/>
          <w:numId w:val="2"/>
        </w:numPr>
        <w:spacing w:before="0" w:after="0" w:line="276" w:lineRule="auto"/>
        <w:ind w:left="1276" w:hanging="425"/>
        <w:rPr>
          <w:color w:val="000000" w:themeColor="text1"/>
          <w:sz w:val="24"/>
          <w:szCs w:val="24"/>
          <w:lang w:val="lv-LV"/>
        </w:rPr>
      </w:pPr>
      <w:r w:rsidRPr="00603CA3">
        <w:rPr>
          <w:color w:val="000000" w:themeColor="text1"/>
          <w:sz w:val="24"/>
          <w:szCs w:val="24"/>
          <w:lang w:val="lv-LV"/>
        </w:rPr>
        <w:t xml:space="preserve"> </w:t>
      </w:r>
      <w:bookmarkStart w:id="44" w:name="_Toc293402670"/>
      <w:bookmarkStart w:id="45" w:name="_Toc300759831"/>
      <w:bookmarkEnd w:id="41"/>
      <w:r w:rsidR="00203177" w:rsidRPr="00603CA3">
        <w:rPr>
          <w:color w:val="000000" w:themeColor="text1"/>
          <w:sz w:val="24"/>
          <w:szCs w:val="24"/>
          <w:lang w:val="lv-LV"/>
        </w:rPr>
        <w:t>2007.-2013.gada plānošanas perioda ES fondi</w:t>
      </w:r>
      <w:bookmarkEnd w:id="44"/>
      <w:bookmarkEnd w:id="45"/>
    </w:p>
    <w:bookmarkEnd w:id="42"/>
    <w:bookmarkEnd w:id="43"/>
    <w:p w:rsidR="00BC3CB2" w:rsidRPr="00603CA3" w:rsidRDefault="00BC3CB2" w:rsidP="00603CA3">
      <w:pPr>
        <w:spacing w:line="276" w:lineRule="auto"/>
        <w:rPr>
          <w:color w:val="000000" w:themeColor="text1"/>
          <w:szCs w:val="24"/>
        </w:rPr>
      </w:pPr>
      <w:r w:rsidRPr="00603CA3">
        <w:rPr>
          <w:color w:val="000000" w:themeColor="text1"/>
          <w:szCs w:val="24"/>
        </w:rPr>
        <w:t>2007.-2013.gada plānošanas periodā līdz 2011.gada 30.jūnijam konstatēto neatbilstību  summa 9tajā skaitā neatbilstoši veikti izdevumi) ir 7,3</w:t>
      </w:r>
      <w:r w:rsidRPr="00603CA3">
        <w:rPr>
          <w:color w:val="000000" w:themeColor="text1"/>
          <w:szCs w:val="24"/>
          <w:vertAlign w:val="superscript"/>
        </w:rPr>
        <w:footnoteReference w:id="5"/>
      </w:r>
      <w:r w:rsidRPr="00603CA3">
        <w:rPr>
          <w:color w:val="000000" w:themeColor="text1"/>
          <w:szCs w:val="24"/>
        </w:rPr>
        <w:t xml:space="preserve"> </w:t>
      </w:r>
      <w:proofErr w:type="spellStart"/>
      <w:r w:rsidRPr="00603CA3">
        <w:rPr>
          <w:color w:val="000000" w:themeColor="text1"/>
          <w:szCs w:val="24"/>
        </w:rPr>
        <w:t>milj</w:t>
      </w:r>
      <w:proofErr w:type="spellEnd"/>
      <w:r w:rsidRPr="00603CA3">
        <w:rPr>
          <w:color w:val="000000" w:themeColor="text1"/>
          <w:szCs w:val="24"/>
        </w:rPr>
        <w:t>. latu jeb 0,59% no kopējā finansējuma saņēmēju pieprasītā finansējuma (1,25 miljards latu). Tai pašā laikā līdz 2011. gada 30. jūnijam finansējuma saņēmējiem izmaksāti 1,18 miljardi latu. Analizējot neatbilstību īpatsvaru, jeb kopējo konstatēto neatbilstību apjomu pret kopējo pieprasīto finansējumu, secinām, ka tas ir 0,59%, kas nesasniedz Eiropas Komisijas noteikto kritisko 2% būtiskuma līmeni</w:t>
      </w:r>
      <w:r w:rsidRPr="00603CA3">
        <w:rPr>
          <w:color w:val="000000" w:themeColor="text1"/>
          <w:szCs w:val="24"/>
          <w:vertAlign w:val="superscript"/>
        </w:rPr>
        <w:footnoteReference w:id="6"/>
      </w:r>
      <w:r w:rsidRPr="00603CA3">
        <w:rPr>
          <w:color w:val="000000" w:themeColor="text1"/>
          <w:szCs w:val="24"/>
        </w:rPr>
        <w:t xml:space="preserve">. </w:t>
      </w:r>
    </w:p>
    <w:p w:rsidR="00BC3CB2" w:rsidRPr="00603CA3" w:rsidRDefault="00BC3CB2" w:rsidP="00603CA3">
      <w:pPr>
        <w:spacing w:line="276" w:lineRule="auto"/>
        <w:rPr>
          <w:color w:val="000000" w:themeColor="text1"/>
          <w:szCs w:val="24"/>
        </w:rPr>
      </w:pPr>
      <w:r w:rsidRPr="00603CA3">
        <w:rPr>
          <w:color w:val="000000" w:themeColor="text1"/>
          <w:szCs w:val="24"/>
        </w:rPr>
        <w:t xml:space="preserve">Pārsvarā neatbilstības ES fondu projektos rodas dēļ pārkāpumiem iepirkumu procedūrās un normatīvajos aktos, dēļ tā, ka finansējuma saņēmēji neveic saimniecisko darbību, kā arī aktivitāšu īstenošanas nosacījumu vai projekta saskaņotajai tāmei neatbilstoši veikto darbu apjomu dēļ. </w:t>
      </w:r>
    </w:p>
    <w:p w:rsidR="00BC3CB2" w:rsidRPr="00603CA3" w:rsidRDefault="00BC3CB2" w:rsidP="00603CA3">
      <w:pPr>
        <w:spacing w:line="276" w:lineRule="auto"/>
        <w:rPr>
          <w:color w:val="000000" w:themeColor="text1"/>
          <w:szCs w:val="24"/>
        </w:rPr>
      </w:pPr>
      <w:r w:rsidRPr="00603CA3">
        <w:rPr>
          <w:color w:val="000000" w:themeColor="text1"/>
          <w:szCs w:val="24"/>
        </w:rPr>
        <w:t>Neatbilstību apjomi pēc finansējuma avotiem sadalās šādi:</w:t>
      </w:r>
    </w:p>
    <w:p w:rsidR="00BC3CB2" w:rsidRPr="00603CA3" w:rsidRDefault="00BC3CB2" w:rsidP="00603CA3">
      <w:pPr>
        <w:numPr>
          <w:ilvl w:val="0"/>
          <w:numId w:val="8"/>
        </w:numPr>
        <w:spacing w:line="276" w:lineRule="auto"/>
        <w:rPr>
          <w:color w:val="000000" w:themeColor="text1"/>
          <w:szCs w:val="24"/>
        </w:rPr>
      </w:pPr>
      <w:r w:rsidRPr="00603CA3">
        <w:rPr>
          <w:color w:val="000000" w:themeColor="text1"/>
          <w:szCs w:val="24"/>
        </w:rPr>
        <w:t>0,5milj. latu valsts budžeta finansējums;</w:t>
      </w:r>
    </w:p>
    <w:p w:rsidR="00BC3CB2" w:rsidRPr="00603CA3" w:rsidRDefault="00BC3CB2" w:rsidP="00603CA3">
      <w:pPr>
        <w:numPr>
          <w:ilvl w:val="0"/>
          <w:numId w:val="8"/>
        </w:numPr>
        <w:spacing w:line="276" w:lineRule="auto"/>
        <w:rPr>
          <w:color w:val="000000" w:themeColor="text1"/>
          <w:szCs w:val="24"/>
        </w:rPr>
      </w:pPr>
      <w:r w:rsidRPr="00603CA3">
        <w:rPr>
          <w:color w:val="000000" w:themeColor="text1"/>
          <w:szCs w:val="24"/>
        </w:rPr>
        <w:t xml:space="preserve">6,6 </w:t>
      </w:r>
      <w:proofErr w:type="spellStart"/>
      <w:r w:rsidRPr="00603CA3">
        <w:rPr>
          <w:color w:val="000000" w:themeColor="text1"/>
          <w:szCs w:val="24"/>
        </w:rPr>
        <w:t>milj</w:t>
      </w:r>
      <w:proofErr w:type="spellEnd"/>
      <w:r w:rsidRPr="00603CA3">
        <w:rPr>
          <w:color w:val="000000" w:themeColor="text1"/>
          <w:szCs w:val="24"/>
        </w:rPr>
        <w:t>. latu ES fondu finansējums;</w:t>
      </w:r>
    </w:p>
    <w:p w:rsidR="00BC3CB2" w:rsidRPr="00603CA3" w:rsidRDefault="00BC3CB2" w:rsidP="00603CA3">
      <w:pPr>
        <w:numPr>
          <w:ilvl w:val="0"/>
          <w:numId w:val="8"/>
        </w:numPr>
        <w:spacing w:line="276" w:lineRule="auto"/>
        <w:rPr>
          <w:color w:val="000000" w:themeColor="text1"/>
          <w:szCs w:val="24"/>
        </w:rPr>
      </w:pPr>
      <w:r w:rsidRPr="00603CA3">
        <w:rPr>
          <w:color w:val="000000" w:themeColor="text1"/>
          <w:szCs w:val="24"/>
        </w:rPr>
        <w:t xml:space="preserve">0,2 </w:t>
      </w:r>
      <w:proofErr w:type="spellStart"/>
      <w:r w:rsidRPr="00603CA3">
        <w:rPr>
          <w:color w:val="000000" w:themeColor="text1"/>
          <w:szCs w:val="24"/>
        </w:rPr>
        <w:t>milj</w:t>
      </w:r>
      <w:proofErr w:type="spellEnd"/>
      <w:r w:rsidRPr="00603CA3">
        <w:rPr>
          <w:color w:val="000000" w:themeColor="text1"/>
          <w:szCs w:val="24"/>
        </w:rPr>
        <w:t>. latu cits publiskais finansējums.</w:t>
      </w:r>
    </w:p>
    <w:p w:rsidR="00BC3CB2" w:rsidRPr="00603CA3" w:rsidRDefault="00BC3CB2" w:rsidP="00603CA3">
      <w:pPr>
        <w:spacing w:line="276" w:lineRule="auto"/>
        <w:rPr>
          <w:color w:val="000000" w:themeColor="text1"/>
          <w:szCs w:val="24"/>
        </w:rPr>
      </w:pPr>
      <w:r w:rsidRPr="00603CA3">
        <w:rPr>
          <w:color w:val="000000" w:themeColor="text1"/>
          <w:szCs w:val="24"/>
        </w:rPr>
        <w:t>Salīdzinājumā ar 2011.gada 1.ceturksni neatbilstību apjoms 2011.gada 2.ceturksnī ir pieaudzis par 1</w:t>
      </w:r>
      <w:r w:rsidR="002F5D9A" w:rsidRPr="00603CA3">
        <w:rPr>
          <w:color w:val="000000" w:themeColor="text1"/>
          <w:szCs w:val="24"/>
        </w:rPr>
        <w:t>9</w:t>
      </w:r>
      <w:r w:rsidRPr="00603CA3">
        <w:rPr>
          <w:color w:val="000000" w:themeColor="text1"/>
          <w:szCs w:val="24"/>
        </w:rPr>
        <w:t>,</w:t>
      </w:r>
      <w:r w:rsidR="002F5D9A" w:rsidRPr="00603CA3">
        <w:rPr>
          <w:color w:val="000000" w:themeColor="text1"/>
          <w:szCs w:val="24"/>
        </w:rPr>
        <w:t>3</w:t>
      </w:r>
      <w:r w:rsidRPr="00603CA3">
        <w:rPr>
          <w:color w:val="000000" w:themeColor="text1"/>
          <w:szCs w:val="24"/>
        </w:rPr>
        <w:t>% jeb 1,</w:t>
      </w:r>
      <w:r w:rsidR="002F5D9A" w:rsidRPr="00603CA3">
        <w:rPr>
          <w:color w:val="000000" w:themeColor="text1"/>
          <w:szCs w:val="24"/>
        </w:rPr>
        <w:t>2</w:t>
      </w:r>
      <w:r w:rsidRPr="00603CA3">
        <w:rPr>
          <w:color w:val="000000" w:themeColor="text1"/>
          <w:szCs w:val="24"/>
        </w:rPr>
        <w:t xml:space="preserve"> </w:t>
      </w:r>
      <w:proofErr w:type="spellStart"/>
      <w:r w:rsidRPr="00603CA3">
        <w:rPr>
          <w:color w:val="000000" w:themeColor="text1"/>
          <w:szCs w:val="24"/>
        </w:rPr>
        <w:t>milj</w:t>
      </w:r>
      <w:proofErr w:type="spellEnd"/>
      <w:r w:rsidRPr="00603CA3">
        <w:rPr>
          <w:color w:val="000000" w:themeColor="text1"/>
          <w:szCs w:val="24"/>
        </w:rPr>
        <w:t xml:space="preserve">. latu. Tas pamatā saistāms nevis ar finansējuma saņēmēju pieaugošu nolaidību, bet gan ar stingrāku finanšu disciplīnu un efektīvākām un mērķtiecīgākām projektu īstenošanas kontrolēm, kā arī aizvien veiksmīgāku koordināciju un informācijas apmaiņu ES fondu vadībā iesaistīto iestāžu </w:t>
      </w:r>
      <w:proofErr w:type="spellStart"/>
      <w:r w:rsidRPr="00603CA3">
        <w:rPr>
          <w:color w:val="000000" w:themeColor="text1"/>
          <w:szCs w:val="24"/>
        </w:rPr>
        <w:t>starpā.Neatbilstību</w:t>
      </w:r>
      <w:proofErr w:type="spellEnd"/>
      <w:r w:rsidRPr="00603CA3">
        <w:rPr>
          <w:color w:val="000000" w:themeColor="text1"/>
          <w:szCs w:val="24"/>
        </w:rPr>
        <w:t xml:space="preserve"> apjoms uz 2011. gada 2. ceturkšņa beigām salīdzinājumā ar datiem uz 2011. gada 1. ceturkšņa beigām atspoguļots </w:t>
      </w:r>
      <w:r w:rsidRPr="00603CA3">
        <w:rPr>
          <w:color w:val="000000" w:themeColor="text1"/>
          <w:szCs w:val="24"/>
          <w:u w:val="single"/>
        </w:rPr>
        <w:t xml:space="preserve">grafikā </w:t>
      </w:r>
      <w:proofErr w:type="spellStart"/>
      <w:r w:rsidRPr="00603CA3">
        <w:rPr>
          <w:color w:val="000000" w:themeColor="text1"/>
          <w:szCs w:val="24"/>
          <w:u w:val="single"/>
        </w:rPr>
        <w:t>Nr</w:t>
      </w:r>
      <w:proofErr w:type="spellEnd"/>
      <w:r w:rsidRPr="00603CA3">
        <w:rPr>
          <w:color w:val="000000" w:themeColor="text1"/>
          <w:szCs w:val="24"/>
          <w:u w:val="single"/>
        </w:rPr>
        <w:t xml:space="preserve"> 1</w:t>
      </w:r>
      <w:r w:rsidR="00DE77F3" w:rsidRPr="00603CA3">
        <w:rPr>
          <w:color w:val="000000" w:themeColor="text1"/>
          <w:szCs w:val="24"/>
          <w:u w:val="single"/>
        </w:rPr>
        <w:t>3</w:t>
      </w:r>
      <w:r w:rsidRPr="00603CA3">
        <w:rPr>
          <w:color w:val="000000" w:themeColor="text1"/>
          <w:szCs w:val="24"/>
        </w:rPr>
        <w:t xml:space="preserve">. </w:t>
      </w:r>
    </w:p>
    <w:p w:rsidR="00BC3CB2" w:rsidRPr="00603CA3" w:rsidRDefault="00BC3CB2" w:rsidP="00603CA3">
      <w:pPr>
        <w:spacing w:line="276" w:lineRule="auto"/>
        <w:rPr>
          <w:i/>
          <w:color w:val="000000" w:themeColor="text1"/>
          <w:szCs w:val="24"/>
        </w:rPr>
      </w:pPr>
      <w:r w:rsidRPr="00603CA3">
        <w:rPr>
          <w:color w:val="000000" w:themeColor="text1"/>
          <w:szCs w:val="24"/>
        </w:rPr>
        <w:lastRenderedPageBreak/>
        <w:t>Grafiks Nr.1</w:t>
      </w:r>
      <w:r w:rsidR="00DE77F3" w:rsidRPr="00603CA3">
        <w:rPr>
          <w:color w:val="000000" w:themeColor="text1"/>
          <w:szCs w:val="24"/>
        </w:rPr>
        <w:t>3</w:t>
      </w:r>
      <w:r w:rsidRPr="00603CA3">
        <w:rPr>
          <w:color w:val="000000" w:themeColor="text1"/>
          <w:szCs w:val="24"/>
        </w:rPr>
        <w:t xml:space="preserve"> </w:t>
      </w:r>
      <w:r w:rsidRPr="00603CA3">
        <w:rPr>
          <w:i/>
          <w:color w:val="000000" w:themeColor="text1"/>
          <w:szCs w:val="24"/>
        </w:rPr>
        <w:t xml:space="preserve">„Konstatētās neatbilstības sadalījumā pa finansējuma saņēmēju veidiem uz 31.03.2010 un 30.06.2011”, </w:t>
      </w:r>
      <w:proofErr w:type="spellStart"/>
      <w:r w:rsidRPr="00603CA3">
        <w:rPr>
          <w:i/>
          <w:color w:val="000000" w:themeColor="text1"/>
          <w:szCs w:val="24"/>
        </w:rPr>
        <w:t>milj</w:t>
      </w:r>
      <w:proofErr w:type="spellEnd"/>
      <w:r w:rsidRPr="00603CA3">
        <w:rPr>
          <w:i/>
          <w:color w:val="000000" w:themeColor="text1"/>
          <w:szCs w:val="24"/>
        </w:rPr>
        <w:t>. LVL, (% no kopējiem veiktajiem maksājumiem finansējuma saņēmējam uz 31.03.2010 un 30.06.2011.)</w:t>
      </w:r>
    </w:p>
    <w:p w:rsidR="00BC3CB2" w:rsidRPr="00603CA3" w:rsidRDefault="00BC3CB2" w:rsidP="00603CA3">
      <w:pPr>
        <w:spacing w:line="276" w:lineRule="auto"/>
        <w:contextualSpacing/>
        <w:jc w:val="center"/>
        <w:rPr>
          <w:color w:val="000000" w:themeColor="text1"/>
          <w:szCs w:val="24"/>
        </w:rPr>
      </w:pPr>
      <w:r w:rsidRPr="00603CA3">
        <w:rPr>
          <w:noProof/>
          <w:color w:val="000000" w:themeColor="text1"/>
          <w:szCs w:val="24"/>
          <w:lang w:eastAsia="lv-LV"/>
        </w:rPr>
        <w:drawing>
          <wp:inline distT="0" distB="0" distL="0" distR="0" wp14:anchorId="5E141277" wp14:editId="43155AA3">
            <wp:extent cx="5129561" cy="2743200"/>
            <wp:effectExtent l="0" t="0" r="13970" b="1905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BC3CB2" w:rsidRPr="00603CA3" w:rsidRDefault="00BC3CB2" w:rsidP="00603CA3">
      <w:pPr>
        <w:spacing w:line="276" w:lineRule="auto"/>
        <w:ind w:left="780"/>
        <w:contextualSpacing/>
        <w:rPr>
          <w:color w:val="000000" w:themeColor="text1"/>
          <w:szCs w:val="24"/>
        </w:rPr>
      </w:pPr>
    </w:p>
    <w:p w:rsidR="00BC3CB2" w:rsidRPr="00603CA3" w:rsidRDefault="00BC3CB2" w:rsidP="00603CA3">
      <w:pPr>
        <w:spacing w:line="276" w:lineRule="auto"/>
        <w:rPr>
          <w:color w:val="000000" w:themeColor="text1"/>
          <w:szCs w:val="24"/>
        </w:rPr>
      </w:pPr>
      <w:r w:rsidRPr="00603CA3">
        <w:rPr>
          <w:color w:val="000000" w:themeColor="text1"/>
          <w:szCs w:val="24"/>
        </w:rPr>
        <w:t xml:space="preserve">2007.-2013.gada plānošanas periodā līdz 2011.gada 30.jūnijam kopumā atgūti 5,9 </w:t>
      </w:r>
      <w:proofErr w:type="spellStart"/>
      <w:r w:rsidRPr="00603CA3">
        <w:rPr>
          <w:color w:val="000000" w:themeColor="text1"/>
          <w:szCs w:val="24"/>
        </w:rPr>
        <w:t>milj</w:t>
      </w:r>
      <w:proofErr w:type="spellEnd"/>
      <w:r w:rsidRPr="00603CA3">
        <w:rPr>
          <w:color w:val="000000" w:themeColor="text1"/>
          <w:szCs w:val="24"/>
        </w:rPr>
        <w:t xml:space="preserve">. latu jeb 81,4 % apmērā no neatbilstību kopējās summas (7,3 </w:t>
      </w:r>
      <w:proofErr w:type="spellStart"/>
      <w:r w:rsidRPr="00603CA3">
        <w:rPr>
          <w:color w:val="000000" w:themeColor="text1"/>
          <w:szCs w:val="24"/>
        </w:rPr>
        <w:t>milj</w:t>
      </w:r>
      <w:proofErr w:type="spellEnd"/>
      <w:r w:rsidRPr="00603CA3">
        <w:rPr>
          <w:color w:val="000000" w:themeColor="text1"/>
          <w:szCs w:val="24"/>
        </w:rPr>
        <w:t xml:space="preserve">. latu). No tiem pārskata periodā atgūti 0,6 </w:t>
      </w:r>
      <w:proofErr w:type="spellStart"/>
      <w:r w:rsidRPr="00603CA3">
        <w:rPr>
          <w:color w:val="000000" w:themeColor="text1"/>
          <w:szCs w:val="24"/>
        </w:rPr>
        <w:t>milj</w:t>
      </w:r>
      <w:proofErr w:type="spellEnd"/>
      <w:r w:rsidRPr="00603CA3">
        <w:rPr>
          <w:color w:val="000000" w:themeColor="text1"/>
          <w:szCs w:val="24"/>
        </w:rPr>
        <w:t xml:space="preserve">. latu jeb 55,1 % no pārskata periodā konstatētā neatbilstību apjoma.  </w:t>
      </w:r>
    </w:p>
    <w:p w:rsidR="00BC3CB2" w:rsidRPr="00603CA3" w:rsidRDefault="00BC3CB2" w:rsidP="00603CA3">
      <w:pPr>
        <w:spacing w:line="276" w:lineRule="auto"/>
        <w:rPr>
          <w:color w:val="000000" w:themeColor="text1"/>
          <w:szCs w:val="24"/>
        </w:rPr>
      </w:pPr>
      <w:r w:rsidRPr="00603CA3">
        <w:rPr>
          <w:color w:val="000000" w:themeColor="text1"/>
          <w:szCs w:val="24"/>
        </w:rPr>
        <w:t xml:space="preserve">2007 – 2013. gada plānošanas periodā līdz 2011. gada 30. jūnijam lielākais neatbilstību apjoms konstatēts Vides aizsardzības un reģionālās attīstības ministrijas </w:t>
      </w:r>
      <w:proofErr w:type="spellStart"/>
      <w:r w:rsidRPr="00603CA3">
        <w:rPr>
          <w:color w:val="000000" w:themeColor="text1"/>
          <w:szCs w:val="24"/>
        </w:rPr>
        <w:t>pārziņā</w:t>
      </w:r>
      <w:proofErr w:type="spellEnd"/>
      <w:r w:rsidRPr="00603CA3">
        <w:rPr>
          <w:color w:val="000000" w:themeColor="text1"/>
          <w:szCs w:val="24"/>
        </w:rPr>
        <w:t xml:space="preserve"> esošajā 3.6.1.1 aktivitātē “Nacionālas un reģionālas nozīmes attīstības centru izaugsmes veicināšana līdzsvarotai valsts attīstībai”, kas ir 1,8 </w:t>
      </w:r>
      <w:proofErr w:type="spellStart"/>
      <w:r w:rsidRPr="00603CA3">
        <w:rPr>
          <w:color w:val="000000" w:themeColor="text1"/>
          <w:szCs w:val="24"/>
        </w:rPr>
        <w:t>milj</w:t>
      </w:r>
      <w:proofErr w:type="spellEnd"/>
      <w:r w:rsidRPr="00603CA3">
        <w:rPr>
          <w:color w:val="000000" w:themeColor="text1"/>
          <w:szCs w:val="24"/>
        </w:rPr>
        <w:t xml:space="preserve">. latu jeb 25,8% no kopējā konstatēto neatbilstību apjoma. Šo neatbilstību apjomu veido 12 neatbilstības, kuras konstatētas dažādos pašvaldību īstenotajos projektos. Kā otra lielākā aktivitāte kurā konstatēto neatbilstību apjoms ir 16,6 % no kopējā konstatēto neatbilstību apjoma ir Izglītības un zinātnes ministrijas </w:t>
      </w:r>
      <w:proofErr w:type="spellStart"/>
      <w:r w:rsidRPr="00603CA3">
        <w:rPr>
          <w:color w:val="000000" w:themeColor="text1"/>
          <w:szCs w:val="24"/>
        </w:rPr>
        <w:t>pārziņā</w:t>
      </w:r>
      <w:proofErr w:type="spellEnd"/>
      <w:r w:rsidRPr="00603CA3">
        <w:rPr>
          <w:color w:val="000000" w:themeColor="text1"/>
          <w:szCs w:val="24"/>
        </w:rPr>
        <w:t xml:space="preserve"> esošā 3.1.1.1. aktivitāte “Mācību aprīkojuma modernizācija un infrastruktūras uzlabošana profesionālās izglītības programmu īstenošanai” ar kopējo apjomu 1,2 </w:t>
      </w:r>
      <w:proofErr w:type="spellStart"/>
      <w:r w:rsidRPr="00603CA3">
        <w:rPr>
          <w:color w:val="000000" w:themeColor="text1"/>
          <w:szCs w:val="24"/>
        </w:rPr>
        <w:t>milj</w:t>
      </w:r>
      <w:proofErr w:type="spellEnd"/>
      <w:r w:rsidRPr="00603CA3">
        <w:rPr>
          <w:color w:val="000000" w:themeColor="text1"/>
          <w:szCs w:val="24"/>
        </w:rPr>
        <w:t xml:space="preserve">. latu. Šo summu veido 4 neatbilstības, kuras konstatētas izglītības iestāžu īstenotajos projektos.  </w:t>
      </w:r>
    </w:p>
    <w:p w:rsidR="00BC3CB2" w:rsidRPr="00603CA3" w:rsidRDefault="00BC3CB2" w:rsidP="00603CA3">
      <w:pPr>
        <w:spacing w:line="276" w:lineRule="auto"/>
        <w:rPr>
          <w:color w:val="000000" w:themeColor="text1"/>
          <w:szCs w:val="24"/>
        </w:rPr>
      </w:pPr>
      <w:r w:rsidRPr="00603CA3">
        <w:rPr>
          <w:color w:val="000000" w:themeColor="text1"/>
          <w:szCs w:val="24"/>
        </w:rPr>
        <w:t xml:space="preserve">Pārskata periodā (ceturksnī) kopējais neatbilstību apjoms ir 1,2 </w:t>
      </w:r>
      <w:proofErr w:type="spellStart"/>
      <w:r w:rsidRPr="00603CA3">
        <w:rPr>
          <w:color w:val="000000" w:themeColor="text1"/>
          <w:szCs w:val="24"/>
        </w:rPr>
        <w:t>milj</w:t>
      </w:r>
      <w:proofErr w:type="spellEnd"/>
      <w:r w:rsidRPr="00603CA3">
        <w:rPr>
          <w:color w:val="000000" w:themeColor="text1"/>
          <w:szCs w:val="24"/>
        </w:rPr>
        <w:t xml:space="preserve">. latu jeb 0,1% no kopējā finansējumu saņēmēju pieprasītā finansējuma. Pēc finansējuma saņēmēju veidiem pārskata periodā lielākais neatbilstību apjoms 0,5 </w:t>
      </w:r>
      <w:proofErr w:type="spellStart"/>
      <w:r w:rsidRPr="00603CA3">
        <w:rPr>
          <w:color w:val="000000" w:themeColor="text1"/>
          <w:szCs w:val="24"/>
        </w:rPr>
        <w:t>milj</w:t>
      </w:r>
      <w:proofErr w:type="spellEnd"/>
      <w:r w:rsidRPr="00603CA3">
        <w:rPr>
          <w:color w:val="000000" w:themeColor="text1"/>
          <w:szCs w:val="24"/>
        </w:rPr>
        <w:t xml:space="preserve">. latu jeb 39% pret pārskata periodā konstatēto neatbilstību apjoma apmērā, ir konstatēts komersantu un pašvaldību īstenotajos projektos. Salīdzinājumā ar 2011. gada 1. ceturksnī (2,3 </w:t>
      </w:r>
      <w:proofErr w:type="spellStart"/>
      <w:r w:rsidRPr="00603CA3">
        <w:rPr>
          <w:color w:val="000000" w:themeColor="text1"/>
          <w:szCs w:val="24"/>
        </w:rPr>
        <w:t>milj</w:t>
      </w:r>
      <w:proofErr w:type="spellEnd"/>
      <w:r w:rsidRPr="00603CA3">
        <w:rPr>
          <w:color w:val="000000" w:themeColor="text1"/>
          <w:szCs w:val="24"/>
        </w:rPr>
        <w:t xml:space="preserve">. latu) konstatēto neatbilstību apjomu, secinām, ka 2011.gada 2. ceturksnī konstatēto neatbilstību apjoms ir samazinājies par 45 %. Skaidrojam, ka 2011. gada 1. ceturksnī neatbilstību apjoms sasniedza 2,3 </w:t>
      </w:r>
      <w:proofErr w:type="spellStart"/>
      <w:r w:rsidRPr="00603CA3">
        <w:rPr>
          <w:color w:val="000000" w:themeColor="text1"/>
          <w:szCs w:val="24"/>
        </w:rPr>
        <w:t>milj</w:t>
      </w:r>
      <w:proofErr w:type="spellEnd"/>
      <w:r w:rsidRPr="00603CA3">
        <w:rPr>
          <w:color w:val="000000" w:themeColor="text1"/>
          <w:szCs w:val="24"/>
        </w:rPr>
        <w:t xml:space="preserve">. latu, jo </w:t>
      </w:r>
      <w:proofErr w:type="spellStart"/>
      <w:r w:rsidRPr="00603CA3">
        <w:rPr>
          <w:color w:val="000000" w:themeColor="text1"/>
          <w:szCs w:val="24"/>
        </w:rPr>
        <w:t>līgumslēdzējiestādes</w:t>
      </w:r>
      <w:proofErr w:type="spellEnd"/>
      <w:r w:rsidRPr="00603CA3">
        <w:rPr>
          <w:color w:val="000000" w:themeColor="text1"/>
          <w:szCs w:val="24"/>
        </w:rPr>
        <w:t xml:space="preserve"> balstoties uz Finanšu ministrijas sniegtajiem skaidrojumiem par neatbilstību būtību un to ievadi ES SF KF VIS bija pieņēmušas lēmumus par turpmāko rīcību un daudzu iepriekš atklāto gadījumu klasificēšanu, kā neatbilstības. Pārskata periodā konstatēto neatbilstību apjoms sadalījumā pa finansējuma saņēmēju tipiem apkopots </w:t>
      </w:r>
      <w:r w:rsidRPr="00603CA3">
        <w:rPr>
          <w:color w:val="000000" w:themeColor="text1"/>
          <w:szCs w:val="24"/>
          <w:u w:val="single"/>
        </w:rPr>
        <w:t xml:space="preserve">grafikā </w:t>
      </w:r>
      <w:proofErr w:type="spellStart"/>
      <w:r w:rsidRPr="00603CA3">
        <w:rPr>
          <w:color w:val="000000" w:themeColor="text1"/>
          <w:szCs w:val="24"/>
          <w:u w:val="single"/>
        </w:rPr>
        <w:t>Nr</w:t>
      </w:r>
      <w:proofErr w:type="spellEnd"/>
      <w:r w:rsidRPr="00603CA3">
        <w:rPr>
          <w:color w:val="000000" w:themeColor="text1"/>
          <w:szCs w:val="24"/>
          <w:u w:val="single"/>
        </w:rPr>
        <w:t>. 1</w:t>
      </w:r>
      <w:r w:rsidR="00DE77F3" w:rsidRPr="00603CA3">
        <w:rPr>
          <w:color w:val="000000" w:themeColor="text1"/>
          <w:szCs w:val="24"/>
          <w:u w:val="single"/>
        </w:rPr>
        <w:t>4</w:t>
      </w:r>
      <w:r w:rsidRPr="00603CA3">
        <w:rPr>
          <w:color w:val="000000" w:themeColor="text1"/>
          <w:szCs w:val="24"/>
        </w:rPr>
        <w:t xml:space="preserve">. </w:t>
      </w:r>
    </w:p>
    <w:p w:rsidR="00BC3CB2" w:rsidRPr="00603CA3" w:rsidRDefault="00BC3CB2" w:rsidP="00603CA3">
      <w:pPr>
        <w:spacing w:line="276" w:lineRule="auto"/>
        <w:rPr>
          <w:i/>
          <w:color w:val="000000" w:themeColor="text1"/>
          <w:szCs w:val="24"/>
        </w:rPr>
      </w:pPr>
      <w:r w:rsidRPr="00603CA3">
        <w:rPr>
          <w:color w:val="000000" w:themeColor="text1"/>
          <w:szCs w:val="24"/>
        </w:rPr>
        <w:lastRenderedPageBreak/>
        <w:t>Grafiks Nr.1</w:t>
      </w:r>
      <w:r w:rsidR="00DE77F3" w:rsidRPr="00603CA3">
        <w:rPr>
          <w:color w:val="000000" w:themeColor="text1"/>
          <w:szCs w:val="24"/>
        </w:rPr>
        <w:t>4</w:t>
      </w:r>
      <w:r w:rsidRPr="00603CA3">
        <w:rPr>
          <w:color w:val="000000" w:themeColor="text1"/>
          <w:szCs w:val="24"/>
        </w:rPr>
        <w:t xml:space="preserve"> </w:t>
      </w:r>
      <w:r w:rsidRPr="00603CA3">
        <w:rPr>
          <w:i/>
          <w:color w:val="000000" w:themeColor="text1"/>
          <w:szCs w:val="24"/>
        </w:rPr>
        <w:t xml:space="preserve">„Konstatētās neatbilstības sadalījumā pa finansējuma saņēmēju veidiem 2011.gada II ceturksnī </w:t>
      </w:r>
      <w:proofErr w:type="spellStart"/>
      <w:r w:rsidRPr="00603CA3">
        <w:rPr>
          <w:i/>
          <w:color w:val="000000" w:themeColor="text1"/>
          <w:szCs w:val="24"/>
        </w:rPr>
        <w:t>milj</w:t>
      </w:r>
      <w:proofErr w:type="spellEnd"/>
      <w:r w:rsidRPr="00603CA3">
        <w:rPr>
          <w:i/>
          <w:color w:val="000000" w:themeColor="text1"/>
          <w:szCs w:val="24"/>
        </w:rPr>
        <w:t>. LVL (% pret pārskata periodā konstatēto neatbilstību apjoma apmēru)”</w:t>
      </w:r>
    </w:p>
    <w:p w:rsidR="00BC3CB2" w:rsidRPr="00603CA3" w:rsidRDefault="00BC3CB2" w:rsidP="00603CA3">
      <w:pPr>
        <w:spacing w:line="276" w:lineRule="auto"/>
        <w:jc w:val="center"/>
        <w:rPr>
          <w:i/>
          <w:color w:val="000000" w:themeColor="text1"/>
          <w:szCs w:val="24"/>
        </w:rPr>
      </w:pPr>
      <w:r w:rsidRPr="00603CA3">
        <w:rPr>
          <w:noProof/>
          <w:color w:val="000000" w:themeColor="text1"/>
          <w:szCs w:val="24"/>
          <w:lang w:eastAsia="lv-LV"/>
        </w:rPr>
        <w:drawing>
          <wp:inline distT="0" distB="0" distL="0" distR="0" wp14:anchorId="2542FF46" wp14:editId="1647F507">
            <wp:extent cx="4572000" cy="2743200"/>
            <wp:effectExtent l="0" t="0" r="19050" b="1905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C3CB2" w:rsidRPr="00603CA3" w:rsidRDefault="00BC3CB2" w:rsidP="00603CA3">
      <w:pPr>
        <w:spacing w:line="276" w:lineRule="auto"/>
        <w:jc w:val="center"/>
        <w:rPr>
          <w:noProof/>
          <w:color w:val="000000" w:themeColor="text1"/>
          <w:szCs w:val="24"/>
          <w:lang w:eastAsia="lv-LV"/>
        </w:rPr>
      </w:pPr>
    </w:p>
    <w:p w:rsidR="00BC3CB2" w:rsidRPr="00603CA3" w:rsidRDefault="00BC3CB2" w:rsidP="00603CA3">
      <w:pPr>
        <w:spacing w:line="276" w:lineRule="auto"/>
        <w:rPr>
          <w:color w:val="000000" w:themeColor="text1"/>
          <w:szCs w:val="24"/>
        </w:rPr>
      </w:pPr>
      <w:r w:rsidRPr="00603CA3">
        <w:rPr>
          <w:color w:val="000000" w:themeColor="text1"/>
          <w:szCs w:val="24"/>
        </w:rPr>
        <w:t xml:space="preserve">Pārskata periodā lielākais neatbilstību apjoms konstatēts Vides un reģionālas attīstības ministrijas </w:t>
      </w:r>
      <w:proofErr w:type="spellStart"/>
      <w:r w:rsidRPr="00603CA3">
        <w:rPr>
          <w:color w:val="000000" w:themeColor="text1"/>
          <w:szCs w:val="24"/>
        </w:rPr>
        <w:t>pārziņā</w:t>
      </w:r>
      <w:proofErr w:type="spellEnd"/>
      <w:r w:rsidRPr="00603CA3">
        <w:rPr>
          <w:color w:val="000000" w:themeColor="text1"/>
          <w:szCs w:val="24"/>
        </w:rPr>
        <w:t xml:space="preserve"> esošajā aktivitātē 3.4.1.1.”Ūdenssaimniecības infrastruktūras attīstība apdzīvotās vietās ar iedzīvotāju skaitu līdz 2000” par kopējo summu 0,3 </w:t>
      </w:r>
      <w:proofErr w:type="spellStart"/>
      <w:r w:rsidRPr="00603CA3">
        <w:rPr>
          <w:color w:val="000000" w:themeColor="text1"/>
          <w:szCs w:val="24"/>
        </w:rPr>
        <w:t>milj</w:t>
      </w:r>
      <w:proofErr w:type="spellEnd"/>
      <w:r w:rsidRPr="00603CA3">
        <w:rPr>
          <w:color w:val="000000" w:themeColor="text1"/>
          <w:szCs w:val="24"/>
        </w:rPr>
        <w:t xml:space="preserve">., latu jeb 25,7 % no pārskatā periodā konstatēto neatbilstību apjoma. Neatbilstību apjomu aktivitātē veido 20 neatbilstības, no kurām vairākums konstatēts pašvaldību īstenotajos projektos. Lai uzlabotu situāciju Vides aizsardzības un reģionālās attīstības ministrija 2011.gada otrajā pusgadā plāno veikt apmācības Eiropas Savienības fondu finansējuma saņēmējiem (pašvaldībām un sabiedrisko pakalpojumu sniedzējiem) iepirkuma dokumentācijas sagatavošanas un iepirkumu veikšanas, kā arī komercdarbības atbalsta kontroles jautājumos. Finanšu ministrija un Iepirkumu uzraudzības birojs ir organizējis dažādus seminārus un apmācības, tomēr vēl joprojām pārkāpumi iepirkumu jomā rada lielāko daļu neatbilstības ES fondu projektos.  </w:t>
      </w:r>
      <w:r w:rsidRPr="00603CA3">
        <w:rPr>
          <w:rFonts w:eastAsia="Calibri"/>
          <w:color w:val="000000" w:themeColor="text1"/>
          <w:szCs w:val="24"/>
        </w:rPr>
        <w:t xml:space="preserve">Kā otrs lielākais neatbilstību apjoms pārskata periodā ir Veselības ministrijas </w:t>
      </w:r>
      <w:proofErr w:type="spellStart"/>
      <w:r w:rsidRPr="00603CA3">
        <w:rPr>
          <w:rFonts w:eastAsia="Calibri"/>
          <w:color w:val="000000" w:themeColor="text1"/>
          <w:szCs w:val="24"/>
        </w:rPr>
        <w:t>pārziņā</w:t>
      </w:r>
      <w:proofErr w:type="spellEnd"/>
      <w:r w:rsidRPr="00603CA3">
        <w:rPr>
          <w:rFonts w:eastAsia="Calibri"/>
          <w:color w:val="000000" w:themeColor="text1"/>
          <w:szCs w:val="24"/>
        </w:rPr>
        <w:t xml:space="preserve"> esošajā aktivitātē 3.1.5.3.1. “Stacionārās veselības aprūpes attīstība” konstatētā pašvaldībai piederošās kapitālsabiedrības neatbilstība par kopējo summu 0,2 </w:t>
      </w:r>
      <w:proofErr w:type="spellStart"/>
      <w:r w:rsidRPr="00603CA3">
        <w:rPr>
          <w:rFonts w:eastAsia="Calibri"/>
          <w:color w:val="000000" w:themeColor="text1"/>
          <w:szCs w:val="24"/>
        </w:rPr>
        <w:t>milj</w:t>
      </w:r>
      <w:proofErr w:type="spellEnd"/>
      <w:r w:rsidRPr="00603CA3">
        <w:rPr>
          <w:rFonts w:eastAsia="Calibri"/>
          <w:color w:val="000000" w:themeColor="text1"/>
          <w:szCs w:val="24"/>
        </w:rPr>
        <w:t>. latu jeb 23,5 % no pārskata periodā konstatēto neatbilstību apjoma</w:t>
      </w:r>
      <w:r w:rsidRPr="00603CA3">
        <w:rPr>
          <w:color w:val="000000" w:themeColor="text1"/>
          <w:szCs w:val="24"/>
        </w:rPr>
        <w:t xml:space="preserve">.   </w:t>
      </w:r>
    </w:p>
    <w:p w:rsidR="00BC3CB2" w:rsidRPr="00603CA3" w:rsidRDefault="00BC3CB2" w:rsidP="00603CA3">
      <w:pPr>
        <w:spacing w:line="276" w:lineRule="auto"/>
        <w:rPr>
          <w:color w:val="000000" w:themeColor="text1"/>
          <w:szCs w:val="24"/>
        </w:rPr>
      </w:pPr>
      <w:r w:rsidRPr="00603CA3">
        <w:rPr>
          <w:color w:val="000000" w:themeColor="text1"/>
          <w:szCs w:val="24"/>
        </w:rPr>
        <w:t xml:space="preserve">Pārskata periodā pēc neatbilstību veida visvairāk neatbilstību gadījumu klasificētas, kā „Iepirkuma vai konkurences normu pārkāpums” par kopējo summu 0,7 </w:t>
      </w:r>
      <w:proofErr w:type="spellStart"/>
      <w:r w:rsidRPr="00603CA3">
        <w:rPr>
          <w:color w:val="000000" w:themeColor="text1"/>
          <w:szCs w:val="24"/>
        </w:rPr>
        <w:t>milj</w:t>
      </w:r>
      <w:proofErr w:type="spellEnd"/>
      <w:r w:rsidRPr="00603CA3">
        <w:rPr>
          <w:color w:val="000000" w:themeColor="text1"/>
          <w:szCs w:val="24"/>
        </w:rPr>
        <w:t xml:space="preserve">. latu jeb 59,7% pret konstatēto neatbilstību apjoma. Kā otrs biežāk konstatētais neatbilstību veids klasificējams „Cita neatbilstība”, kas ir 0,3 </w:t>
      </w:r>
      <w:proofErr w:type="spellStart"/>
      <w:r w:rsidRPr="00603CA3">
        <w:rPr>
          <w:color w:val="000000" w:themeColor="text1"/>
          <w:szCs w:val="24"/>
        </w:rPr>
        <w:t>milj</w:t>
      </w:r>
      <w:proofErr w:type="spellEnd"/>
      <w:r w:rsidRPr="00603CA3">
        <w:rPr>
          <w:color w:val="000000" w:themeColor="text1"/>
          <w:szCs w:val="24"/>
        </w:rPr>
        <w:t xml:space="preserve">. latu jeb 30,6 % no pārskatā periodā konstatēto neatbilstību apjoma. Kā „cita neatbilstība” tiek klasificēti neatbilstību gadījumi, kas saistīti ar dažādiem pārkāpumiem ES fondu aktivitātes ieviešanas normu pārkāpumiem, kas noteikti MK noteikumos par aktivitātes ieviešanu (piemēram pārkāpts projekta īstenošanas termiņš). Neatbilstību veidu procentuālais dalījums pēc pārskata periodā konstatēto neatbilstību apjoma apkopots </w:t>
      </w:r>
      <w:r w:rsidRPr="00603CA3">
        <w:rPr>
          <w:color w:val="000000" w:themeColor="text1"/>
          <w:szCs w:val="24"/>
          <w:u w:val="single"/>
        </w:rPr>
        <w:t>grafikā Nr.1</w:t>
      </w:r>
      <w:r w:rsidR="00DE77F3" w:rsidRPr="00603CA3">
        <w:rPr>
          <w:color w:val="000000" w:themeColor="text1"/>
          <w:szCs w:val="24"/>
          <w:u w:val="single"/>
        </w:rPr>
        <w:t>5</w:t>
      </w:r>
      <w:r w:rsidRPr="00603CA3">
        <w:rPr>
          <w:color w:val="000000" w:themeColor="text1"/>
          <w:szCs w:val="24"/>
          <w:u w:val="single"/>
        </w:rPr>
        <w:t>.</w:t>
      </w:r>
    </w:p>
    <w:p w:rsidR="00BC3CB2" w:rsidRPr="00603CA3" w:rsidRDefault="00BC3CB2" w:rsidP="00603CA3">
      <w:pPr>
        <w:spacing w:line="276" w:lineRule="auto"/>
        <w:rPr>
          <w:i/>
          <w:color w:val="000000" w:themeColor="text1"/>
          <w:szCs w:val="24"/>
        </w:rPr>
      </w:pPr>
      <w:r w:rsidRPr="00603CA3">
        <w:rPr>
          <w:color w:val="000000" w:themeColor="text1"/>
          <w:szCs w:val="24"/>
        </w:rPr>
        <w:t>Grafiks Nr.1</w:t>
      </w:r>
      <w:r w:rsidR="00DE77F3" w:rsidRPr="00603CA3">
        <w:rPr>
          <w:color w:val="000000" w:themeColor="text1"/>
          <w:szCs w:val="24"/>
        </w:rPr>
        <w:t>5</w:t>
      </w:r>
      <w:r w:rsidRPr="00603CA3">
        <w:rPr>
          <w:color w:val="000000" w:themeColor="text1"/>
          <w:szCs w:val="24"/>
        </w:rPr>
        <w:t xml:space="preserve"> </w:t>
      </w:r>
      <w:r w:rsidRPr="00603CA3">
        <w:rPr>
          <w:i/>
          <w:color w:val="000000" w:themeColor="text1"/>
          <w:szCs w:val="24"/>
        </w:rPr>
        <w:t xml:space="preserve">„Neatbilstību sadalījums pēc to klasifikācijas 2011.gada II ceturksnī, </w:t>
      </w:r>
      <w:proofErr w:type="spellStart"/>
      <w:r w:rsidRPr="00603CA3">
        <w:rPr>
          <w:i/>
          <w:color w:val="000000" w:themeColor="text1"/>
          <w:szCs w:val="24"/>
        </w:rPr>
        <w:t>milj</w:t>
      </w:r>
      <w:proofErr w:type="spellEnd"/>
      <w:r w:rsidRPr="00603CA3">
        <w:rPr>
          <w:i/>
          <w:color w:val="000000" w:themeColor="text1"/>
          <w:szCs w:val="24"/>
        </w:rPr>
        <w:t>. LVL (% pret konstatēto neatbilstību apjoma)”</w:t>
      </w:r>
    </w:p>
    <w:p w:rsidR="00BC3CB2" w:rsidRPr="00603CA3" w:rsidRDefault="00BC3CB2" w:rsidP="00603CA3">
      <w:pPr>
        <w:spacing w:line="276" w:lineRule="auto"/>
        <w:jc w:val="center"/>
        <w:rPr>
          <w:i/>
          <w:color w:val="000000" w:themeColor="text1"/>
          <w:szCs w:val="24"/>
        </w:rPr>
      </w:pPr>
      <w:r w:rsidRPr="00603CA3">
        <w:rPr>
          <w:noProof/>
          <w:color w:val="000000" w:themeColor="text1"/>
          <w:szCs w:val="24"/>
          <w:lang w:eastAsia="lv-LV"/>
        </w:rPr>
        <w:lastRenderedPageBreak/>
        <w:drawing>
          <wp:inline distT="0" distB="0" distL="0" distR="0" wp14:anchorId="618FC3CA" wp14:editId="635709B4">
            <wp:extent cx="5080959" cy="2251494"/>
            <wp:effectExtent l="0" t="0" r="24765" b="1587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C3CB2" w:rsidRPr="00603CA3" w:rsidRDefault="00BC3CB2" w:rsidP="00603CA3">
      <w:pPr>
        <w:spacing w:line="276" w:lineRule="auto"/>
        <w:rPr>
          <w:color w:val="000000" w:themeColor="text1"/>
          <w:szCs w:val="24"/>
        </w:rPr>
      </w:pPr>
      <w:r w:rsidRPr="00603CA3">
        <w:rPr>
          <w:color w:val="000000" w:themeColor="text1"/>
          <w:szCs w:val="24"/>
        </w:rPr>
        <w:t xml:space="preserve">Analizējot 2007. – 2013. gada </w:t>
      </w:r>
      <w:proofErr w:type="spellStart"/>
      <w:r w:rsidRPr="00603CA3">
        <w:rPr>
          <w:color w:val="000000" w:themeColor="text1"/>
          <w:szCs w:val="24"/>
        </w:rPr>
        <w:t>plānošans</w:t>
      </w:r>
      <w:proofErr w:type="spellEnd"/>
      <w:r w:rsidRPr="00603CA3">
        <w:rPr>
          <w:color w:val="000000" w:themeColor="text1"/>
          <w:szCs w:val="24"/>
        </w:rPr>
        <w:t xml:space="preserve"> periodā darbības programmas secinām, ka lielākais neatbilstību apjoms, gan uz pārskata perioda beigām, gan pārskata periodā konstatēts 3.darbības programmā „Infrastruktūra un pakalpojumi”. Detalizēta informācija apkopota grafikā </w:t>
      </w:r>
      <w:proofErr w:type="spellStart"/>
      <w:r w:rsidRPr="00603CA3">
        <w:rPr>
          <w:color w:val="000000" w:themeColor="text1"/>
          <w:szCs w:val="24"/>
        </w:rPr>
        <w:t>Nr</w:t>
      </w:r>
      <w:proofErr w:type="spellEnd"/>
      <w:r w:rsidRPr="00603CA3">
        <w:rPr>
          <w:color w:val="000000" w:themeColor="text1"/>
          <w:szCs w:val="24"/>
        </w:rPr>
        <w:t>. 1</w:t>
      </w:r>
      <w:r w:rsidR="00DE77F3" w:rsidRPr="00603CA3">
        <w:rPr>
          <w:color w:val="000000" w:themeColor="text1"/>
          <w:szCs w:val="24"/>
        </w:rPr>
        <w:t>6</w:t>
      </w:r>
      <w:r w:rsidRPr="00603CA3">
        <w:rPr>
          <w:color w:val="000000" w:themeColor="text1"/>
          <w:szCs w:val="24"/>
        </w:rPr>
        <w:t>.</w:t>
      </w:r>
    </w:p>
    <w:p w:rsidR="00BC3CB2" w:rsidRPr="00603CA3" w:rsidRDefault="00BC3CB2" w:rsidP="00603CA3">
      <w:pPr>
        <w:spacing w:line="276" w:lineRule="auto"/>
        <w:rPr>
          <w:color w:val="000000" w:themeColor="text1"/>
          <w:szCs w:val="24"/>
        </w:rPr>
      </w:pPr>
      <w:r w:rsidRPr="00603CA3">
        <w:rPr>
          <w:color w:val="000000" w:themeColor="text1"/>
          <w:szCs w:val="24"/>
        </w:rPr>
        <w:t xml:space="preserve">Grafiks </w:t>
      </w:r>
      <w:proofErr w:type="spellStart"/>
      <w:r w:rsidRPr="00603CA3">
        <w:rPr>
          <w:color w:val="000000" w:themeColor="text1"/>
          <w:szCs w:val="24"/>
        </w:rPr>
        <w:t>Nr</w:t>
      </w:r>
      <w:proofErr w:type="spellEnd"/>
      <w:r w:rsidRPr="00603CA3">
        <w:rPr>
          <w:color w:val="000000" w:themeColor="text1"/>
          <w:szCs w:val="24"/>
        </w:rPr>
        <w:t xml:space="preserve">. </w:t>
      </w:r>
      <w:r w:rsidRPr="00603CA3">
        <w:rPr>
          <w:i/>
          <w:color w:val="000000" w:themeColor="text1"/>
          <w:szCs w:val="24"/>
        </w:rPr>
        <w:t>1</w:t>
      </w:r>
      <w:r w:rsidR="00DE77F3" w:rsidRPr="00603CA3">
        <w:rPr>
          <w:i/>
          <w:color w:val="000000" w:themeColor="text1"/>
          <w:szCs w:val="24"/>
        </w:rPr>
        <w:t>6</w:t>
      </w:r>
      <w:r w:rsidRPr="00603CA3">
        <w:rPr>
          <w:i/>
          <w:color w:val="000000" w:themeColor="text1"/>
          <w:szCs w:val="24"/>
        </w:rPr>
        <w:t>. „Konstatētās neatbilstības dalījumā pa darbības programmām uz 30.06.2011 un pārskata periodā”.</w:t>
      </w:r>
      <w:r w:rsidRPr="00603CA3">
        <w:rPr>
          <w:color w:val="000000" w:themeColor="text1"/>
          <w:szCs w:val="24"/>
        </w:rPr>
        <w:t xml:space="preserve"> </w:t>
      </w:r>
    </w:p>
    <w:p w:rsidR="00BC3CB2" w:rsidRPr="00603CA3" w:rsidRDefault="00BC3CB2" w:rsidP="00603CA3">
      <w:pPr>
        <w:spacing w:line="276" w:lineRule="auto"/>
        <w:jc w:val="center"/>
        <w:rPr>
          <w:color w:val="000000" w:themeColor="text1"/>
          <w:szCs w:val="24"/>
        </w:rPr>
      </w:pPr>
      <w:r w:rsidRPr="00603CA3">
        <w:rPr>
          <w:noProof/>
          <w:color w:val="000000" w:themeColor="text1"/>
          <w:szCs w:val="24"/>
          <w:lang w:eastAsia="lv-LV"/>
        </w:rPr>
        <w:drawing>
          <wp:inline distT="0" distB="0" distL="0" distR="0" wp14:anchorId="1D1C18C2" wp14:editId="59EE8033">
            <wp:extent cx="5003321" cy="2380890"/>
            <wp:effectExtent l="0" t="0" r="26035" b="1968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C3CB2" w:rsidRPr="00603CA3" w:rsidRDefault="00BC3CB2" w:rsidP="00603CA3">
      <w:pPr>
        <w:spacing w:line="276" w:lineRule="auto"/>
        <w:rPr>
          <w:color w:val="000000" w:themeColor="text1"/>
          <w:szCs w:val="24"/>
        </w:rPr>
      </w:pPr>
    </w:p>
    <w:p w:rsidR="0094245E" w:rsidRPr="00603CA3" w:rsidRDefault="0094245E" w:rsidP="00603CA3">
      <w:pPr>
        <w:spacing w:line="276" w:lineRule="auto"/>
        <w:rPr>
          <w:b/>
          <w:color w:val="000000" w:themeColor="text1"/>
          <w:szCs w:val="24"/>
          <w:lang w:eastAsia="lv-LV"/>
        </w:rPr>
      </w:pPr>
      <w:r w:rsidRPr="00603CA3">
        <w:rPr>
          <w:b/>
          <w:color w:val="000000" w:themeColor="text1"/>
          <w:szCs w:val="24"/>
          <w:lang w:eastAsia="lv-LV"/>
        </w:rPr>
        <w:t>Darbības programma „</w:t>
      </w:r>
      <w:r w:rsidRPr="00603CA3">
        <w:rPr>
          <w:b/>
          <w:color w:val="000000" w:themeColor="text1"/>
          <w:szCs w:val="24"/>
        </w:rPr>
        <w:t>Cilvēkresursi un nodarbinātība</w:t>
      </w:r>
      <w:r w:rsidRPr="00603CA3">
        <w:rPr>
          <w:b/>
          <w:color w:val="000000" w:themeColor="text1"/>
          <w:szCs w:val="24"/>
          <w:lang w:eastAsia="lv-LV"/>
        </w:rPr>
        <w:t>”</w:t>
      </w:r>
    </w:p>
    <w:p w:rsidR="00DF0A19" w:rsidRPr="00603CA3" w:rsidRDefault="00DF0A19" w:rsidP="00603CA3">
      <w:pPr>
        <w:spacing w:line="276" w:lineRule="auto"/>
        <w:rPr>
          <w:b/>
          <w:bCs/>
          <w:color w:val="000000" w:themeColor="text1"/>
          <w:szCs w:val="24"/>
        </w:rPr>
      </w:pPr>
      <w:r w:rsidRPr="00603CA3">
        <w:rPr>
          <w:color w:val="000000" w:themeColor="text1"/>
          <w:szCs w:val="24"/>
        </w:rPr>
        <w:t xml:space="preserve">2007.-2013.gada plānošanas periodā līdz 2011.gada 30.jūnijam neatbilstību apjoms ir </w:t>
      </w:r>
      <w:r w:rsidRPr="00603CA3">
        <w:rPr>
          <w:bCs/>
          <w:color w:val="000000" w:themeColor="text1"/>
          <w:szCs w:val="24"/>
        </w:rPr>
        <w:t>442,1 tūkst,</w:t>
      </w:r>
      <w:r w:rsidRPr="00603CA3">
        <w:rPr>
          <w:color w:val="000000" w:themeColor="text1"/>
          <w:szCs w:val="24"/>
        </w:rPr>
        <w:t xml:space="preserve"> latu jeb 0,2% no finansējuma saņēmēju pieprasītā finansējuma. Kopumā finansējumu saņēmējiem līdz 2011.gada 30.jūnijam izmaksāti 221,2 </w:t>
      </w:r>
      <w:proofErr w:type="spellStart"/>
      <w:r w:rsidRPr="00603CA3">
        <w:rPr>
          <w:color w:val="000000" w:themeColor="text1"/>
          <w:szCs w:val="24"/>
        </w:rPr>
        <w:t>milj</w:t>
      </w:r>
      <w:proofErr w:type="spellEnd"/>
      <w:r w:rsidRPr="00603CA3">
        <w:rPr>
          <w:color w:val="000000" w:themeColor="text1"/>
          <w:szCs w:val="24"/>
        </w:rPr>
        <w:t xml:space="preserve">. latu. 2007.-2013.gada plānošanas periodā līdz 2011.gada 30.jūnijam atgūti 351,4 </w:t>
      </w:r>
      <w:proofErr w:type="spellStart"/>
      <w:r w:rsidRPr="00603CA3">
        <w:rPr>
          <w:color w:val="000000" w:themeColor="text1"/>
          <w:szCs w:val="24"/>
        </w:rPr>
        <w:t>tūkst</w:t>
      </w:r>
      <w:proofErr w:type="spellEnd"/>
      <w:r w:rsidRPr="00603CA3">
        <w:rPr>
          <w:color w:val="000000" w:themeColor="text1"/>
          <w:szCs w:val="24"/>
        </w:rPr>
        <w:t xml:space="preserve">. latu jeb 79,5% no kopējās neatbilstību summas. </w:t>
      </w:r>
    </w:p>
    <w:p w:rsidR="00DF0A19" w:rsidRPr="00603CA3" w:rsidRDefault="00DF0A19" w:rsidP="00603CA3">
      <w:pPr>
        <w:spacing w:line="276" w:lineRule="auto"/>
        <w:rPr>
          <w:color w:val="000000" w:themeColor="text1"/>
          <w:szCs w:val="24"/>
        </w:rPr>
      </w:pPr>
      <w:r w:rsidRPr="00603CA3">
        <w:rPr>
          <w:color w:val="000000" w:themeColor="text1"/>
          <w:szCs w:val="24"/>
        </w:rPr>
        <w:t xml:space="preserve">Pārskata periodā darbības programmā „Cilvēkresursi un nodarbinātība” ietvaros konstatētas neatbilstību par kopējo summu 52,9 </w:t>
      </w:r>
      <w:proofErr w:type="spellStart"/>
      <w:r w:rsidRPr="00603CA3">
        <w:rPr>
          <w:color w:val="000000" w:themeColor="text1"/>
          <w:szCs w:val="24"/>
        </w:rPr>
        <w:t>tūkst</w:t>
      </w:r>
      <w:proofErr w:type="spellEnd"/>
      <w:r w:rsidRPr="00603CA3">
        <w:rPr>
          <w:color w:val="000000" w:themeColor="text1"/>
          <w:szCs w:val="24"/>
        </w:rPr>
        <w:t xml:space="preserve">. latu (0,02% no projekta ietvaros pieprasītā finansējuma), tajā skaitā </w:t>
      </w:r>
      <w:r w:rsidRPr="00603CA3">
        <w:rPr>
          <w:bCs/>
          <w:color w:val="000000" w:themeColor="text1"/>
          <w:szCs w:val="24"/>
        </w:rPr>
        <w:t xml:space="preserve">Eiropas Sociālā fonda </w:t>
      </w:r>
      <w:r w:rsidRPr="00603CA3">
        <w:rPr>
          <w:color w:val="000000" w:themeColor="text1"/>
          <w:szCs w:val="24"/>
        </w:rPr>
        <w:t xml:space="preserve">finansējums 47,1 </w:t>
      </w:r>
      <w:proofErr w:type="spellStart"/>
      <w:r w:rsidRPr="00603CA3">
        <w:rPr>
          <w:color w:val="000000" w:themeColor="text1"/>
          <w:szCs w:val="24"/>
        </w:rPr>
        <w:t>tūkst</w:t>
      </w:r>
      <w:proofErr w:type="spellEnd"/>
      <w:r w:rsidRPr="00603CA3">
        <w:rPr>
          <w:color w:val="000000" w:themeColor="text1"/>
          <w:szCs w:val="24"/>
        </w:rPr>
        <w:t xml:space="preserve">. latu un valsts budžeta finansējums 5,8 tūkstoši latu. Kopumā neatbilstoši veikto izdevumu summas ir nelielas, tomēr lielākā neatbilstoši veikto izdevumu summa ir konstatēta Nodarbinātības valsts aģentūras īstenotajā projektā </w:t>
      </w:r>
      <w:proofErr w:type="spellStart"/>
      <w:r w:rsidRPr="00603CA3">
        <w:rPr>
          <w:color w:val="000000" w:themeColor="text1"/>
          <w:szCs w:val="24"/>
        </w:rPr>
        <w:t>Nr</w:t>
      </w:r>
      <w:proofErr w:type="spellEnd"/>
      <w:r w:rsidRPr="00603CA3">
        <w:rPr>
          <w:color w:val="000000" w:themeColor="text1"/>
          <w:szCs w:val="24"/>
        </w:rPr>
        <w:t xml:space="preserve">. 1DP/1.3.1.1.3/09/IPIA/NVA/001 „Bezdarbnieku un darba meklētāju apmācība Latvijā – 2” par kopējo summu – 13,9 </w:t>
      </w:r>
      <w:proofErr w:type="spellStart"/>
      <w:r w:rsidRPr="00603CA3">
        <w:rPr>
          <w:color w:val="000000" w:themeColor="text1"/>
          <w:szCs w:val="24"/>
        </w:rPr>
        <w:t>tūkst</w:t>
      </w:r>
      <w:proofErr w:type="spellEnd"/>
      <w:r w:rsidRPr="00603CA3">
        <w:rPr>
          <w:color w:val="000000" w:themeColor="text1"/>
          <w:szCs w:val="24"/>
        </w:rPr>
        <w:t>. latu.</w:t>
      </w:r>
    </w:p>
    <w:p w:rsidR="00DF0A19" w:rsidRPr="00603CA3" w:rsidRDefault="00DF0A19" w:rsidP="00603CA3">
      <w:pPr>
        <w:spacing w:line="276" w:lineRule="auto"/>
        <w:rPr>
          <w:color w:val="000000" w:themeColor="text1"/>
          <w:szCs w:val="24"/>
        </w:rPr>
      </w:pPr>
      <w:r w:rsidRPr="00603CA3">
        <w:rPr>
          <w:color w:val="000000" w:themeColor="text1"/>
          <w:szCs w:val="24"/>
        </w:rPr>
        <w:lastRenderedPageBreak/>
        <w:t>Pārskata periodā liekākais neatbilstību apjoms konstatēts:</w:t>
      </w:r>
    </w:p>
    <w:p w:rsidR="00DF0A19" w:rsidRPr="00603CA3" w:rsidRDefault="00DF0A19" w:rsidP="00603CA3">
      <w:pPr>
        <w:numPr>
          <w:ilvl w:val="0"/>
          <w:numId w:val="6"/>
        </w:numPr>
        <w:spacing w:line="276" w:lineRule="auto"/>
        <w:rPr>
          <w:color w:val="000000" w:themeColor="text1"/>
          <w:szCs w:val="24"/>
        </w:rPr>
      </w:pPr>
      <w:r w:rsidRPr="00603CA3">
        <w:rPr>
          <w:color w:val="000000" w:themeColor="text1"/>
          <w:szCs w:val="24"/>
        </w:rPr>
        <w:t xml:space="preserve">Labklājības ministrijas </w:t>
      </w:r>
      <w:proofErr w:type="spellStart"/>
      <w:r w:rsidRPr="00603CA3">
        <w:rPr>
          <w:color w:val="000000" w:themeColor="text1"/>
          <w:szCs w:val="24"/>
        </w:rPr>
        <w:t>pārziņā</w:t>
      </w:r>
      <w:proofErr w:type="spellEnd"/>
      <w:r w:rsidRPr="00603CA3">
        <w:rPr>
          <w:color w:val="000000" w:themeColor="text1"/>
          <w:szCs w:val="24"/>
        </w:rPr>
        <w:t xml:space="preserve"> esošajās aktivitātēs – 31,4 </w:t>
      </w:r>
      <w:proofErr w:type="spellStart"/>
      <w:r w:rsidRPr="00603CA3">
        <w:rPr>
          <w:color w:val="000000" w:themeColor="text1"/>
          <w:szCs w:val="24"/>
        </w:rPr>
        <w:t>tūkst</w:t>
      </w:r>
      <w:proofErr w:type="spellEnd"/>
      <w:r w:rsidRPr="00603CA3">
        <w:rPr>
          <w:color w:val="000000" w:themeColor="text1"/>
          <w:szCs w:val="24"/>
        </w:rPr>
        <w:t xml:space="preserve">. latu; </w:t>
      </w:r>
    </w:p>
    <w:p w:rsidR="00DF0A19" w:rsidRPr="00603CA3" w:rsidRDefault="00DF0A19" w:rsidP="00603CA3">
      <w:pPr>
        <w:numPr>
          <w:ilvl w:val="0"/>
          <w:numId w:val="6"/>
        </w:numPr>
        <w:spacing w:line="276" w:lineRule="auto"/>
        <w:rPr>
          <w:color w:val="000000" w:themeColor="text1"/>
          <w:szCs w:val="24"/>
        </w:rPr>
      </w:pPr>
      <w:r w:rsidRPr="00603CA3">
        <w:rPr>
          <w:color w:val="000000" w:themeColor="text1"/>
          <w:szCs w:val="24"/>
        </w:rPr>
        <w:t xml:space="preserve">Izglītības zinātnes ministrijas </w:t>
      </w:r>
      <w:proofErr w:type="spellStart"/>
      <w:r w:rsidRPr="00603CA3">
        <w:rPr>
          <w:color w:val="000000" w:themeColor="text1"/>
          <w:szCs w:val="24"/>
        </w:rPr>
        <w:t>pārziņā</w:t>
      </w:r>
      <w:proofErr w:type="spellEnd"/>
      <w:r w:rsidRPr="00603CA3">
        <w:rPr>
          <w:color w:val="000000" w:themeColor="text1"/>
          <w:szCs w:val="24"/>
        </w:rPr>
        <w:t xml:space="preserve"> esošajās aktivitātēs – 13,6 </w:t>
      </w:r>
      <w:proofErr w:type="spellStart"/>
      <w:r w:rsidRPr="00603CA3">
        <w:rPr>
          <w:color w:val="000000" w:themeColor="text1"/>
          <w:szCs w:val="24"/>
        </w:rPr>
        <w:t>tūkst</w:t>
      </w:r>
      <w:proofErr w:type="spellEnd"/>
      <w:r w:rsidRPr="00603CA3">
        <w:rPr>
          <w:color w:val="000000" w:themeColor="text1"/>
          <w:szCs w:val="24"/>
        </w:rPr>
        <w:t xml:space="preserve">. latu. </w:t>
      </w:r>
    </w:p>
    <w:p w:rsidR="00DF0A19" w:rsidRPr="00603CA3" w:rsidRDefault="00DF0A19" w:rsidP="00603CA3">
      <w:pPr>
        <w:spacing w:line="276" w:lineRule="auto"/>
        <w:rPr>
          <w:color w:val="000000" w:themeColor="text1"/>
          <w:szCs w:val="24"/>
        </w:rPr>
      </w:pPr>
      <w:r w:rsidRPr="00603CA3">
        <w:rPr>
          <w:color w:val="000000" w:themeColor="text1"/>
          <w:szCs w:val="24"/>
        </w:rPr>
        <w:t xml:space="preserve">Pārskata periodā darbības programmā „Cilvēkresursi un nodarbinātība” aktivitātes vairākos projektos konstatēts, ka neatbilstoši veikto izdevumu summa pret tajā veiktajiem maksājumiem pārsniedz 2% būtiskuma līmeni (skatīt </w:t>
      </w:r>
      <w:r w:rsidRPr="00603CA3">
        <w:rPr>
          <w:color w:val="000000" w:themeColor="text1"/>
          <w:szCs w:val="24"/>
          <w:u w:val="single"/>
        </w:rPr>
        <w:t>tabulu Nr.</w:t>
      </w:r>
      <w:r w:rsidR="00810227">
        <w:rPr>
          <w:color w:val="000000" w:themeColor="text1"/>
          <w:szCs w:val="24"/>
          <w:u w:val="single"/>
        </w:rPr>
        <w:t>5</w:t>
      </w:r>
      <w:r w:rsidRPr="00603CA3">
        <w:rPr>
          <w:color w:val="000000" w:themeColor="text1"/>
          <w:szCs w:val="24"/>
        </w:rPr>
        <w:t xml:space="preserve">). Gadījumos, kad minētie projekti, nav pabeigti, to uzraudzībai jāpievērš pastiprināta uzraudzība. </w:t>
      </w:r>
    </w:p>
    <w:p w:rsidR="002F5D9A" w:rsidRPr="00603CA3" w:rsidRDefault="00DF0A19" w:rsidP="00603CA3">
      <w:pPr>
        <w:spacing w:line="276" w:lineRule="auto"/>
        <w:rPr>
          <w:i/>
          <w:color w:val="000000" w:themeColor="text1"/>
          <w:szCs w:val="24"/>
        </w:rPr>
      </w:pPr>
      <w:r w:rsidRPr="00603CA3">
        <w:rPr>
          <w:color w:val="000000" w:themeColor="text1"/>
          <w:szCs w:val="24"/>
        </w:rPr>
        <w:t>Tabula Nr.</w:t>
      </w:r>
      <w:r w:rsidR="00810227">
        <w:rPr>
          <w:color w:val="000000" w:themeColor="text1"/>
          <w:szCs w:val="24"/>
        </w:rPr>
        <w:t>5</w:t>
      </w:r>
      <w:r w:rsidRPr="00603CA3">
        <w:rPr>
          <w:color w:val="000000" w:themeColor="text1"/>
          <w:szCs w:val="24"/>
        </w:rPr>
        <w:t xml:space="preserve"> </w:t>
      </w:r>
      <w:r w:rsidRPr="00603CA3">
        <w:rPr>
          <w:i/>
          <w:color w:val="000000" w:themeColor="text1"/>
          <w:szCs w:val="24"/>
        </w:rPr>
        <w:t>„Projekti, kuros neatbilstību summas pret tajos veiktajiem maksājumiem pārsniedz 2% (EK noteikto) būtiskuma pakāpi”</w:t>
      </w:r>
    </w:p>
    <w:tbl>
      <w:tblPr>
        <w:tblW w:w="10490" w:type="dxa"/>
        <w:tblInd w:w="-34" w:type="dxa"/>
        <w:tblLayout w:type="fixed"/>
        <w:tblLook w:val="04A0" w:firstRow="1" w:lastRow="0" w:firstColumn="1" w:lastColumn="0" w:noHBand="0" w:noVBand="1"/>
      </w:tblPr>
      <w:tblGrid>
        <w:gridCol w:w="2410"/>
        <w:gridCol w:w="1843"/>
        <w:gridCol w:w="2268"/>
        <w:gridCol w:w="1985"/>
        <w:gridCol w:w="1984"/>
      </w:tblGrid>
      <w:tr w:rsidR="00603CA3" w:rsidRPr="000B0D4D" w:rsidTr="00301012">
        <w:trPr>
          <w:trHeight w:val="945"/>
        </w:trPr>
        <w:tc>
          <w:tcPr>
            <w:tcW w:w="2410" w:type="dxa"/>
            <w:tcBorders>
              <w:top w:val="single" w:sz="4" w:space="0" w:color="auto"/>
              <w:left w:val="single" w:sz="4" w:space="0" w:color="auto"/>
              <w:bottom w:val="single" w:sz="4" w:space="0" w:color="auto"/>
              <w:right w:val="single" w:sz="4" w:space="0" w:color="auto"/>
            </w:tcBorders>
            <w:shd w:val="clear" w:color="000000" w:fill="FFFFFF"/>
          </w:tcPr>
          <w:p w:rsidR="002F5D9A" w:rsidRPr="000B0D4D" w:rsidRDefault="002F5D9A" w:rsidP="00603CA3">
            <w:pPr>
              <w:spacing w:line="276" w:lineRule="auto"/>
              <w:jc w:val="center"/>
              <w:rPr>
                <w:b/>
                <w:color w:val="000000" w:themeColor="text1"/>
                <w:sz w:val="20"/>
              </w:rPr>
            </w:pPr>
            <w:r w:rsidRPr="000B0D4D">
              <w:rPr>
                <w:b/>
                <w:color w:val="000000" w:themeColor="text1"/>
                <w:sz w:val="20"/>
              </w:rPr>
              <w:t xml:space="preserve">Finansējuma saņēmējs/ projekta </w:t>
            </w:r>
            <w:proofErr w:type="spellStart"/>
            <w:r w:rsidRPr="000B0D4D">
              <w:rPr>
                <w:b/>
                <w:color w:val="000000" w:themeColor="text1"/>
                <w:sz w:val="20"/>
              </w:rPr>
              <w:t>Nr</w:t>
            </w:r>
            <w:proofErr w:type="spellEnd"/>
            <w:r w:rsidRPr="000B0D4D">
              <w:rPr>
                <w:b/>
                <w:color w:val="000000" w:themeColor="text1"/>
                <w:sz w:val="20"/>
              </w:rPr>
              <w:t xml:space="preserve">. </w:t>
            </w:r>
            <w:r w:rsidRPr="000B0D4D">
              <w:rPr>
                <w:b/>
                <w:color w:val="000000" w:themeColor="text1"/>
                <w:sz w:val="20"/>
                <w:vertAlign w:val="superscript"/>
              </w:rPr>
              <w:footnoteReference w:id="7"/>
            </w:r>
          </w:p>
        </w:tc>
        <w:tc>
          <w:tcPr>
            <w:tcW w:w="1843" w:type="dxa"/>
            <w:tcBorders>
              <w:top w:val="single" w:sz="4" w:space="0" w:color="auto"/>
              <w:left w:val="nil"/>
              <w:bottom w:val="single" w:sz="4" w:space="0" w:color="auto"/>
              <w:right w:val="single" w:sz="4" w:space="0" w:color="auto"/>
            </w:tcBorders>
            <w:shd w:val="clear" w:color="000000" w:fill="FFFFFF"/>
          </w:tcPr>
          <w:p w:rsidR="002F5D9A" w:rsidRPr="000B0D4D" w:rsidRDefault="002F5D9A" w:rsidP="00603CA3">
            <w:pPr>
              <w:spacing w:line="276" w:lineRule="auto"/>
              <w:jc w:val="center"/>
              <w:rPr>
                <w:b/>
                <w:color w:val="000000" w:themeColor="text1"/>
                <w:sz w:val="20"/>
              </w:rPr>
            </w:pPr>
            <w:r w:rsidRPr="000B0D4D">
              <w:rPr>
                <w:b/>
                <w:color w:val="000000" w:themeColor="text1"/>
                <w:sz w:val="20"/>
              </w:rPr>
              <w:t>Projekta finansējums (kopējās attiecināmās publiskās izmaksas), lati</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tcPr>
          <w:p w:rsidR="002F5D9A" w:rsidRPr="000B0D4D" w:rsidRDefault="002F5D9A" w:rsidP="00603CA3">
            <w:pPr>
              <w:spacing w:line="276" w:lineRule="auto"/>
              <w:jc w:val="center"/>
              <w:rPr>
                <w:b/>
                <w:bCs/>
                <w:color w:val="000000" w:themeColor="text1"/>
                <w:sz w:val="20"/>
              </w:rPr>
            </w:pPr>
            <w:r w:rsidRPr="000B0D4D">
              <w:rPr>
                <w:b/>
                <w:color w:val="000000" w:themeColor="text1"/>
                <w:sz w:val="20"/>
              </w:rPr>
              <w:t xml:space="preserve">Projekta ietvaros veiktie maksājumi </w:t>
            </w:r>
            <w:proofErr w:type="spellStart"/>
            <w:r w:rsidRPr="000B0D4D">
              <w:rPr>
                <w:b/>
                <w:color w:val="000000" w:themeColor="text1"/>
                <w:sz w:val="20"/>
              </w:rPr>
              <w:t>milj</w:t>
            </w:r>
            <w:proofErr w:type="spellEnd"/>
            <w:r w:rsidRPr="000B0D4D">
              <w:rPr>
                <w:b/>
                <w:color w:val="000000" w:themeColor="text1"/>
                <w:sz w:val="20"/>
              </w:rPr>
              <w:t xml:space="preserve">. latu, % no projekta kopējām attiecināmajām izmaksām </w:t>
            </w:r>
          </w:p>
        </w:tc>
        <w:tc>
          <w:tcPr>
            <w:tcW w:w="1985" w:type="dxa"/>
            <w:tcBorders>
              <w:top w:val="single" w:sz="4" w:space="0" w:color="auto"/>
              <w:left w:val="nil"/>
              <w:bottom w:val="single" w:sz="4" w:space="0" w:color="auto"/>
              <w:right w:val="single" w:sz="4" w:space="0" w:color="auto"/>
            </w:tcBorders>
            <w:shd w:val="clear" w:color="000000" w:fill="FFFFFF"/>
            <w:noWrap/>
          </w:tcPr>
          <w:p w:rsidR="002F5D9A" w:rsidRPr="000B0D4D" w:rsidRDefault="002F5D9A" w:rsidP="00603CA3">
            <w:pPr>
              <w:spacing w:line="276" w:lineRule="auto"/>
              <w:jc w:val="center"/>
              <w:rPr>
                <w:b/>
                <w:bCs/>
                <w:color w:val="000000" w:themeColor="text1"/>
                <w:sz w:val="20"/>
              </w:rPr>
            </w:pPr>
            <w:r w:rsidRPr="000B0D4D">
              <w:rPr>
                <w:b/>
                <w:color w:val="000000" w:themeColor="text1"/>
                <w:sz w:val="20"/>
              </w:rPr>
              <w:t>Neatbilstoši veikti izdevumi 2011. gada 2.ceturksnī</w:t>
            </w:r>
          </w:p>
        </w:tc>
        <w:tc>
          <w:tcPr>
            <w:tcW w:w="1984" w:type="dxa"/>
            <w:tcBorders>
              <w:top w:val="single" w:sz="4" w:space="0" w:color="auto"/>
              <w:left w:val="nil"/>
              <w:bottom w:val="single" w:sz="4" w:space="0" w:color="auto"/>
              <w:right w:val="single" w:sz="4" w:space="0" w:color="auto"/>
            </w:tcBorders>
            <w:shd w:val="clear" w:color="000000" w:fill="FFFFFF"/>
            <w:noWrap/>
          </w:tcPr>
          <w:p w:rsidR="002F5D9A" w:rsidRPr="000B0D4D" w:rsidRDefault="002F5D9A" w:rsidP="00603CA3">
            <w:pPr>
              <w:spacing w:line="276" w:lineRule="auto"/>
              <w:jc w:val="center"/>
              <w:rPr>
                <w:color w:val="000000" w:themeColor="text1"/>
                <w:sz w:val="20"/>
              </w:rPr>
            </w:pPr>
            <w:r w:rsidRPr="000B0D4D">
              <w:rPr>
                <w:b/>
                <w:color w:val="000000" w:themeColor="text1"/>
                <w:sz w:val="20"/>
              </w:rPr>
              <w:t>Neatbilstoši veiktie izdevumi no projekta ietvaros veiktajiem maksājumiem FS (%)</w:t>
            </w:r>
          </w:p>
        </w:tc>
      </w:tr>
      <w:tr w:rsidR="00603CA3" w:rsidRPr="000B0D4D" w:rsidTr="00301012">
        <w:trPr>
          <w:trHeight w:val="945"/>
        </w:trPr>
        <w:tc>
          <w:tcPr>
            <w:tcW w:w="2410"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2F5D9A" w:rsidRPr="000B0D4D" w:rsidRDefault="002F5D9A" w:rsidP="00603CA3">
            <w:pPr>
              <w:spacing w:line="276" w:lineRule="auto"/>
              <w:rPr>
                <w:color w:val="000000" w:themeColor="text1"/>
                <w:sz w:val="20"/>
              </w:rPr>
            </w:pPr>
            <w:r w:rsidRPr="000B0D4D">
              <w:rPr>
                <w:color w:val="000000" w:themeColor="text1"/>
                <w:sz w:val="20"/>
              </w:rPr>
              <w:t xml:space="preserve">Jēkabpils </w:t>
            </w:r>
            <w:proofErr w:type="spellStart"/>
            <w:r w:rsidRPr="000B0D4D">
              <w:rPr>
                <w:color w:val="000000" w:themeColor="text1"/>
                <w:sz w:val="20"/>
              </w:rPr>
              <w:t>Agrobiznesa</w:t>
            </w:r>
            <w:proofErr w:type="spellEnd"/>
            <w:r w:rsidRPr="000B0D4D">
              <w:rPr>
                <w:color w:val="000000" w:themeColor="text1"/>
                <w:sz w:val="20"/>
              </w:rPr>
              <w:t xml:space="preserve"> koledža 1DP/1.2.1.1.3/09/APIA/VIAA/041</w:t>
            </w:r>
          </w:p>
        </w:tc>
        <w:tc>
          <w:tcPr>
            <w:tcW w:w="1843" w:type="dxa"/>
            <w:tcBorders>
              <w:top w:val="single" w:sz="4" w:space="0" w:color="auto"/>
              <w:left w:val="nil"/>
              <w:bottom w:val="single" w:sz="4" w:space="0" w:color="auto"/>
              <w:right w:val="single" w:sz="4" w:space="0" w:color="auto"/>
            </w:tcBorders>
            <w:shd w:val="clear" w:color="000000" w:fill="FFFFFF"/>
            <w:vAlign w:val="bottom"/>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87278.00</w:t>
            </w:r>
          </w:p>
        </w:tc>
        <w:tc>
          <w:tcPr>
            <w:tcW w:w="2268"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 xml:space="preserve">0,028 (33%)  </w:t>
            </w:r>
          </w:p>
        </w:tc>
        <w:tc>
          <w:tcPr>
            <w:tcW w:w="1985" w:type="dxa"/>
            <w:tcBorders>
              <w:top w:val="single" w:sz="4" w:space="0" w:color="auto"/>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2 580,24</w:t>
            </w:r>
          </w:p>
        </w:tc>
        <w:tc>
          <w:tcPr>
            <w:tcW w:w="1984" w:type="dxa"/>
            <w:tcBorders>
              <w:top w:val="single" w:sz="4" w:space="0" w:color="auto"/>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9,07%</w:t>
            </w:r>
          </w:p>
        </w:tc>
      </w:tr>
      <w:tr w:rsidR="00603CA3" w:rsidRPr="000B0D4D" w:rsidTr="00301012">
        <w:trPr>
          <w:trHeight w:val="630"/>
        </w:trPr>
        <w:tc>
          <w:tcPr>
            <w:tcW w:w="2410" w:type="dxa"/>
            <w:tcBorders>
              <w:top w:val="nil"/>
              <w:left w:val="single" w:sz="4" w:space="0" w:color="auto"/>
              <w:bottom w:val="single" w:sz="4" w:space="0" w:color="auto"/>
              <w:right w:val="single" w:sz="4" w:space="0" w:color="auto"/>
            </w:tcBorders>
            <w:shd w:val="clear" w:color="000000" w:fill="FFFFFF"/>
            <w:vAlign w:val="bottom"/>
            <w:hideMark/>
          </w:tcPr>
          <w:p w:rsidR="002F5D9A" w:rsidRPr="000B0D4D" w:rsidRDefault="002F5D9A" w:rsidP="00603CA3">
            <w:pPr>
              <w:spacing w:line="276" w:lineRule="auto"/>
              <w:rPr>
                <w:color w:val="000000" w:themeColor="text1"/>
                <w:sz w:val="20"/>
              </w:rPr>
            </w:pPr>
            <w:r w:rsidRPr="000B0D4D">
              <w:rPr>
                <w:color w:val="000000" w:themeColor="text1"/>
                <w:sz w:val="20"/>
              </w:rPr>
              <w:t>Aizkraukles arodvidusskola 1DP/1.2.1.1.3/09/APIA/VIAA/056</w:t>
            </w:r>
          </w:p>
        </w:tc>
        <w:tc>
          <w:tcPr>
            <w:tcW w:w="1843" w:type="dxa"/>
            <w:tcBorders>
              <w:top w:val="single" w:sz="4" w:space="0" w:color="auto"/>
              <w:left w:val="nil"/>
              <w:bottom w:val="single" w:sz="4" w:space="0" w:color="auto"/>
              <w:right w:val="single" w:sz="4" w:space="0" w:color="auto"/>
            </w:tcBorders>
            <w:shd w:val="clear" w:color="000000" w:fill="FFFFFF"/>
            <w:vAlign w:val="bottom"/>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103049.00</w:t>
            </w:r>
          </w:p>
        </w:tc>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0,034 (34%)</w:t>
            </w:r>
          </w:p>
        </w:tc>
        <w:tc>
          <w:tcPr>
            <w:tcW w:w="1985" w:type="dxa"/>
            <w:tcBorders>
              <w:top w:val="nil"/>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bCs/>
                <w:color w:val="000000" w:themeColor="text1"/>
                <w:sz w:val="20"/>
              </w:rPr>
            </w:pPr>
            <w:r w:rsidRPr="000B0D4D">
              <w:rPr>
                <w:bCs/>
                <w:color w:val="000000" w:themeColor="text1"/>
                <w:sz w:val="20"/>
              </w:rPr>
              <w:t>1132,46</w:t>
            </w:r>
          </w:p>
        </w:tc>
        <w:tc>
          <w:tcPr>
            <w:tcW w:w="1984" w:type="dxa"/>
            <w:tcBorders>
              <w:top w:val="nil"/>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3,27%</w:t>
            </w:r>
          </w:p>
        </w:tc>
      </w:tr>
      <w:tr w:rsidR="00603CA3" w:rsidRPr="000B0D4D" w:rsidTr="00301012">
        <w:trPr>
          <w:trHeight w:val="945"/>
        </w:trPr>
        <w:tc>
          <w:tcPr>
            <w:tcW w:w="2410" w:type="dxa"/>
            <w:tcBorders>
              <w:top w:val="nil"/>
              <w:left w:val="single" w:sz="4" w:space="0" w:color="auto"/>
              <w:bottom w:val="single" w:sz="4" w:space="0" w:color="auto"/>
              <w:right w:val="single" w:sz="4" w:space="0" w:color="auto"/>
            </w:tcBorders>
            <w:shd w:val="clear" w:color="000000" w:fill="FFFFFF"/>
            <w:vAlign w:val="bottom"/>
            <w:hideMark/>
          </w:tcPr>
          <w:p w:rsidR="002F5D9A" w:rsidRPr="000B0D4D" w:rsidRDefault="002F5D9A" w:rsidP="00603CA3">
            <w:pPr>
              <w:spacing w:line="276" w:lineRule="auto"/>
              <w:rPr>
                <w:color w:val="000000" w:themeColor="text1"/>
                <w:sz w:val="20"/>
              </w:rPr>
            </w:pPr>
            <w:r w:rsidRPr="000B0D4D">
              <w:rPr>
                <w:color w:val="000000" w:themeColor="text1"/>
                <w:sz w:val="20"/>
              </w:rPr>
              <w:t>Dobeles Amatniecības vidusskola 1DP/1.2.1.1.3/09/APIA/VIAA/037</w:t>
            </w:r>
          </w:p>
        </w:tc>
        <w:tc>
          <w:tcPr>
            <w:tcW w:w="1843" w:type="dxa"/>
            <w:tcBorders>
              <w:top w:val="single" w:sz="4" w:space="0" w:color="auto"/>
              <w:left w:val="nil"/>
              <w:bottom w:val="single" w:sz="4" w:space="0" w:color="auto"/>
              <w:right w:val="single" w:sz="4" w:space="0" w:color="auto"/>
            </w:tcBorders>
            <w:shd w:val="clear" w:color="000000" w:fill="FFFFFF"/>
            <w:vAlign w:val="bottom"/>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76009.00</w:t>
            </w:r>
          </w:p>
        </w:tc>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0,024 (45%)</w:t>
            </w:r>
          </w:p>
        </w:tc>
        <w:tc>
          <w:tcPr>
            <w:tcW w:w="1985" w:type="dxa"/>
            <w:tcBorders>
              <w:top w:val="nil"/>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bCs/>
                <w:color w:val="000000" w:themeColor="text1"/>
                <w:sz w:val="20"/>
              </w:rPr>
            </w:pPr>
            <w:r w:rsidRPr="000B0D4D">
              <w:rPr>
                <w:bCs/>
                <w:color w:val="000000" w:themeColor="text1"/>
                <w:sz w:val="20"/>
              </w:rPr>
              <w:t>2497,37</w:t>
            </w:r>
          </w:p>
        </w:tc>
        <w:tc>
          <w:tcPr>
            <w:tcW w:w="1984" w:type="dxa"/>
            <w:tcBorders>
              <w:top w:val="nil"/>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10,31%</w:t>
            </w:r>
          </w:p>
        </w:tc>
      </w:tr>
      <w:tr w:rsidR="00603CA3" w:rsidRPr="000B0D4D" w:rsidTr="00301012">
        <w:trPr>
          <w:trHeight w:val="1500"/>
        </w:trPr>
        <w:tc>
          <w:tcPr>
            <w:tcW w:w="2410" w:type="dxa"/>
            <w:tcBorders>
              <w:top w:val="nil"/>
              <w:left w:val="single" w:sz="4" w:space="0" w:color="auto"/>
              <w:bottom w:val="single" w:sz="4" w:space="0" w:color="auto"/>
              <w:right w:val="single" w:sz="4" w:space="0" w:color="auto"/>
            </w:tcBorders>
            <w:shd w:val="clear" w:color="000000" w:fill="FFFFFF"/>
            <w:vAlign w:val="bottom"/>
            <w:hideMark/>
          </w:tcPr>
          <w:p w:rsidR="002F5D9A" w:rsidRPr="000B0D4D" w:rsidRDefault="002F5D9A" w:rsidP="00603CA3">
            <w:pPr>
              <w:spacing w:line="276" w:lineRule="auto"/>
              <w:rPr>
                <w:color w:val="000000" w:themeColor="text1"/>
                <w:sz w:val="20"/>
              </w:rPr>
            </w:pPr>
            <w:r w:rsidRPr="000B0D4D">
              <w:rPr>
                <w:color w:val="000000" w:themeColor="text1"/>
                <w:sz w:val="20"/>
              </w:rPr>
              <w:t>Veselības un darbspēju ekspertīzes ārstu valsts komisija 1DP/1.4.1.2.1/08/IPIA/NVA/001</w:t>
            </w:r>
          </w:p>
        </w:tc>
        <w:tc>
          <w:tcPr>
            <w:tcW w:w="1843" w:type="dxa"/>
            <w:tcBorders>
              <w:top w:val="single" w:sz="4" w:space="0" w:color="auto"/>
              <w:left w:val="nil"/>
              <w:bottom w:val="single" w:sz="4" w:space="0" w:color="auto"/>
              <w:right w:val="single" w:sz="4" w:space="0" w:color="auto"/>
            </w:tcBorders>
            <w:shd w:val="clear" w:color="000000" w:fill="FFFFFF"/>
            <w:vAlign w:val="bottom"/>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1484806.06</w:t>
            </w:r>
          </w:p>
        </w:tc>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0,361 (25%)</w:t>
            </w:r>
          </w:p>
        </w:tc>
        <w:tc>
          <w:tcPr>
            <w:tcW w:w="1985" w:type="dxa"/>
            <w:tcBorders>
              <w:top w:val="nil"/>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bCs/>
                <w:color w:val="000000" w:themeColor="text1"/>
                <w:sz w:val="20"/>
              </w:rPr>
            </w:pPr>
            <w:r w:rsidRPr="000B0D4D">
              <w:rPr>
                <w:bCs/>
                <w:color w:val="000000" w:themeColor="text1"/>
                <w:sz w:val="20"/>
              </w:rPr>
              <w:t>17568,26</w:t>
            </w:r>
          </w:p>
        </w:tc>
        <w:tc>
          <w:tcPr>
            <w:tcW w:w="1984" w:type="dxa"/>
            <w:tcBorders>
              <w:top w:val="nil"/>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5,00%</w:t>
            </w:r>
          </w:p>
        </w:tc>
      </w:tr>
      <w:tr w:rsidR="00603CA3" w:rsidRPr="000B0D4D" w:rsidTr="00301012">
        <w:trPr>
          <w:trHeight w:val="1710"/>
        </w:trPr>
        <w:tc>
          <w:tcPr>
            <w:tcW w:w="2410" w:type="dxa"/>
            <w:tcBorders>
              <w:top w:val="nil"/>
              <w:left w:val="single" w:sz="4" w:space="0" w:color="auto"/>
              <w:bottom w:val="single" w:sz="4" w:space="0" w:color="auto"/>
              <w:right w:val="single" w:sz="4" w:space="0" w:color="auto"/>
            </w:tcBorders>
            <w:shd w:val="clear" w:color="000000" w:fill="FFFFFF"/>
            <w:vAlign w:val="bottom"/>
            <w:hideMark/>
          </w:tcPr>
          <w:p w:rsidR="002F5D9A" w:rsidRPr="000B0D4D" w:rsidRDefault="002F5D9A" w:rsidP="00603CA3">
            <w:pPr>
              <w:spacing w:line="276" w:lineRule="auto"/>
              <w:rPr>
                <w:color w:val="000000" w:themeColor="text1"/>
                <w:sz w:val="20"/>
              </w:rPr>
            </w:pPr>
            <w:r w:rsidRPr="000B0D4D">
              <w:rPr>
                <w:color w:val="000000" w:themeColor="text1"/>
                <w:sz w:val="20"/>
              </w:rPr>
              <w:t>Kuldīgas novada pašvaldības aģentūra „Sociālais dienests”1DP/1.5.1.3.2/09/APIA/SIF/003</w:t>
            </w:r>
          </w:p>
        </w:tc>
        <w:tc>
          <w:tcPr>
            <w:tcW w:w="1843" w:type="dxa"/>
            <w:tcBorders>
              <w:top w:val="single" w:sz="4" w:space="0" w:color="auto"/>
              <w:left w:val="nil"/>
              <w:bottom w:val="single" w:sz="4" w:space="0" w:color="auto"/>
              <w:right w:val="single" w:sz="4" w:space="0" w:color="auto"/>
            </w:tcBorders>
            <w:shd w:val="clear" w:color="000000" w:fill="FFFFFF"/>
            <w:vAlign w:val="bottom"/>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26323.71</w:t>
            </w:r>
          </w:p>
        </w:tc>
        <w:tc>
          <w:tcPr>
            <w:tcW w:w="2268" w:type="dxa"/>
            <w:tcBorders>
              <w:top w:val="nil"/>
              <w:left w:val="single" w:sz="4" w:space="0" w:color="auto"/>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0,016 (62%)</w:t>
            </w:r>
          </w:p>
        </w:tc>
        <w:tc>
          <w:tcPr>
            <w:tcW w:w="1985" w:type="dxa"/>
            <w:tcBorders>
              <w:top w:val="nil"/>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bCs/>
                <w:color w:val="000000" w:themeColor="text1"/>
                <w:sz w:val="20"/>
              </w:rPr>
            </w:pPr>
            <w:r w:rsidRPr="000B0D4D">
              <w:rPr>
                <w:bCs/>
                <w:color w:val="000000" w:themeColor="text1"/>
                <w:sz w:val="20"/>
              </w:rPr>
              <w:t>826,26</w:t>
            </w:r>
          </w:p>
        </w:tc>
        <w:tc>
          <w:tcPr>
            <w:tcW w:w="1984" w:type="dxa"/>
            <w:tcBorders>
              <w:top w:val="nil"/>
              <w:left w:val="nil"/>
              <w:bottom w:val="single" w:sz="4" w:space="0" w:color="auto"/>
              <w:right w:val="single" w:sz="4" w:space="0" w:color="auto"/>
            </w:tcBorders>
            <w:shd w:val="clear" w:color="000000" w:fill="FFFFFF"/>
            <w:noWrap/>
            <w:vAlign w:val="bottom"/>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5,07%</w:t>
            </w:r>
          </w:p>
        </w:tc>
      </w:tr>
    </w:tbl>
    <w:p w:rsidR="00DF0A19" w:rsidRPr="00603CA3" w:rsidRDefault="00DF0A19" w:rsidP="00603CA3">
      <w:pPr>
        <w:spacing w:line="276" w:lineRule="auto"/>
        <w:rPr>
          <w:b/>
          <w:color w:val="000000" w:themeColor="text1"/>
          <w:szCs w:val="24"/>
        </w:rPr>
      </w:pPr>
    </w:p>
    <w:p w:rsidR="00DF0A19" w:rsidRPr="00603CA3" w:rsidRDefault="00DF0A19" w:rsidP="00603CA3">
      <w:pPr>
        <w:spacing w:line="276" w:lineRule="auto"/>
        <w:rPr>
          <w:b/>
          <w:color w:val="000000" w:themeColor="text1"/>
          <w:szCs w:val="24"/>
        </w:rPr>
      </w:pPr>
      <w:r w:rsidRPr="00603CA3">
        <w:rPr>
          <w:b/>
          <w:color w:val="000000" w:themeColor="text1"/>
          <w:szCs w:val="24"/>
        </w:rPr>
        <w:t xml:space="preserve">Darbības programma „Uzņēmējdarbība un inovācijas” </w:t>
      </w:r>
    </w:p>
    <w:p w:rsidR="00DF0A19" w:rsidRPr="00603CA3" w:rsidRDefault="00DF0A19" w:rsidP="00603CA3">
      <w:pPr>
        <w:spacing w:line="276" w:lineRule="auto"/>
        <w:rPr>
          <w:color w:val="000000" w:themeColor="text1"/>
          <w:szCs w:val="24"/>
        </w:rPr>
      </w:pPr>
      <w:r w:rsidRPr="00603CA3">
        <w:rPr>
          <w:color w:val="000000" w:themeColor="text1"/>
          <w:szCs w:val="24"/>
        </w:rPr>
        <w:t xml:space="preserve">Līdz 2011.gada 30.jūnijam konstatēto neatbilstību summa ir 1,19 </w:t>
      </w:r>
      <w:proofErr w:type="spellStart"/>
      <w:r w:rsidRPr="00603CA3">
        <w:rPr>
          <w:color w:val="000000" w:themeColor="text1"/>
          <w:szCs w:val="24"/>
        </w:rPr>
        <w:t>milj</w:t>
      </w:r>
      <w:proofErr w:type="spellEnd"/>
      <w:r w:rsidRPr="00603CA3">
        <w:rPr>
          <w:color w:val="000000" w:themeColor="text1"/>
          <w:szCs w:val="24"/>
        </w:rPr>
        <w:t xml:space="preserve">. latu (0,5% no kopējā pieprasītā finansējuma), un no tiem lielākā daļa jeb 1,12 </w:t>
      </w:r>
      <w:proofErr w:type="spellStart"/>
      <w:r w:rsidRPr="00603CA3">
        <w:rPr>
          <w:color w:val="000000" w:themeColor="text1"/>
          <w:szCs w:val="24"/>
        </w:rPr>
        <w:t>milj</w:t>
      </w:r>
      <w:proofErr w:type="spellEnd"/>
      <w:r w:rsidRPr="00603CA3">
        <w:rPr>
          <w:color w:val="000000" w:themeColor="text1"/>
          <w:szCs w:val="24"/>
        </w:rPr>
        <w:t xml:space="preserve">. latu ir ERAF finansējums. Neatbilstības galvenokārt konstatētas Ekonomikas ministrijas </w:t>
      </w:r>
      <w:proofErr w:type="spellStart"/>
      <w:r w:rsidRPr="00603CA3">
        <w:rPr>
          <w:color w:val="000000" w:themeColor="text1"/>
          <w:szCs w:val="24"/>
        </w:rPr>
        <w:t>pārziņā</w:t>
      </w:r>
      <w:proofErr w:type="spellEnd"/>
      <w:r w:rsidRPr="00603CA3">
        <w:rPr>
          <w:color w:val="000000" w:themeColor="text1"/>
          <w:szCs w:val="24"/>
        </w:rPr>
        <w:t xml:space="preserve"> esošo aktivitāšu projektos. No kopējās neatbilstību summas 0,66 </w:t>
      </w:r>
      <w:proofErr w:type="spellStart"/>
      <w:r w:rsidRPr="00603CA3">
        <w:rPr>
          <w:color w:val="000000" w:themeColor="text1"/>
          <w:szCs w:val="24"/>
        </w:rPr>
        <w:t>milj</w:t>
      </w:r>
      <w:proofErr w:type="spellEnd"/>
      <w:r w:rsidRPr="00603CA3">
        <w:rPr>
          <w:color w:val="000000" w:themeColor="text1"/>
          <w:szCs w:val="24"/>
        </w:rPr>
        <w:t xml:space="preserve">. latu jeb 55,9% ir atgūti. </w:t>
      </w:r>
    </w:p>
    <w:p w:rsidR="00DF0A19" w:rsidRPr="00603CA3" w:rsidRDefault="00DF0A19" w:rsidP="00603CA3">
      <w:pPr>
        <w:spacing w:line="276" w:lineRule="auto"/>
        <w:rPr>
          <w:color w:val="000000" w:themeColor="text1"/>
          <w:szCs w:val="24"/>
        </w:rPr>
      </w:pPr>
      <w:r w:rsidRPr="00603CA3">
        <w:rPr>
          <w:color w:val="000000" w:themeColor="text1"/>
          <w:szCs w:val="24"/>
        </w:rPr>
        <w:lastRenderedPageBreak/>
        <w:t xml:space="preserve">Informācija par pārskata periodā Eiropas Reģionālās attīstības fonda darbības programmas „Uzņēmējdarbība un inovācijas” ietvaros tiešo vai pastarpināto valsts pārvaldes iestāžu, atvasināto publisko personu vai citu valsts iestāžu īstenotajos projektos konstatēti neatbilstoši veiktiem izdevumiem apkopota šī ziņojuma </w:t>
      </w:r>
      <w:r w:rsidRPr="00603CA3">
        <w:rPr>
          <w:color w:val="000000" w:themeColor="text1"/>
          <w:szCs w:val="24"/>
          <w:u w:val="single"/>
        </w:rPr>
        <w:t>3. pielikumā</w:t>
      </w:r>
      <w:r w:rsidRPr="00603CA3">
        <w:rPr>
          <w:color w:val="000000" w:themeColor="text1"/>
          <w:szCs w:val="24"/>
        </w:rPr>
        <w:t xml:space="preserve">.  </w:t>
      </w:r>
    </w:p>
    <w:p w:rsidR="00DF0A19" w:rsidRPr="00603CA3" w:rsidRDefault="00DF0A19" w:rsidP="00603CA3">
      <w:pPr>
        <w:spacing w:line="276" w:lineRule="auto"/>
        <w:rPr>
          <w:color w:val="000000" w:themeColor="text1"/>
          <w:szCs w:val="24"/>
        </w:rPr>
      </w:pPr>
      <w:r w:rsidRPr="00603CA3">
        <w:rPr>
          <w:color w:val="000000" w:themeColor="text1"/>
          <w:szCs w:val="24"/>
        </w:rPr>
        <w:t xml:space="preserve">Kopumā pārskata periodā ERAF darbības programmas „Uzņēmējdarbība un inovācijas” ietvaros konstatētas neatbilstības par kopējo summu 0,14 </w:t>
      </w:r>
      <w:proofErr w:type="spellStart"/>
      <w:r w:rsidRPr="00603CA3">
        <w:rPr>
          <w:color w:val="000000" w:themeColor="text1"/>
          <w:szCs w:val="24"/>
        </w:rPr>
        <w:t>milj</w:t>
      </w:r>
      <w:proofErr w:type="spellEnd"/>
      <w:r w:rsidRPr="00603CA3">
        <w:rPr>
          <w:color w:val="000000" w:themeColor="text1"/>
          <w:szCs w:val="24"/>
        </w:rPr>
        <w:t>. latu (0,1% no pārskata periodā pieprasītā finansējuma. No tiem liekākais neatbilstību apjoms konstatēts:</w:t>
      </w:r>
    </w:p>
    <w:p w:rsidR="00DF0A19" w:rsidRPr="00603CA3" w:rsidRDefault="00DF0A19" w:rsidP="00603CA3">
      <w:pPr>
        <w:numPr>
          <w:ilvl w:val="0"/>
          <w:numId w:val="9"/>
        </w:numPr>
        <w:spacing w:line="276" w:lineRule="auto"/>
        <w:rPr>
          <w:color w:val="000000" w:themeColor="text1"/>
          <w:szCs w:val="24"/>
        </w:rPr>
      </w:pPr>
      <w:r w:rsidRPr="00603CA3">
        <w:rPr>
          <w:color w:val="000000" w:themeColor="text1"/>
          <w:szCs w:val="24"/>
        </w:rPr>
        <w:t xml:space="preserve">Ekonomikas ministrijas </w:t>
      </w:r>
      <w:proofErr w:type="spellStart"/>
      <w:r w:rsidRPr="00603CA3">
        <w:rPr>
          <w:color w:val="000000" w:themeColor="text1"/>
          <w:szCs w:val="24"/>
        </w:rPr>
        <w:t>pārziņā</w:t>
      </w:r>
      <w:proofErr w:type="spellEnd"/>
      <w:r w:rsidRPr="00603CA3">
        <w:rPr>
          <w:color w:val="000000" w:themeColor="text1"/>
          <w:szCs w:val="24"/>
        </w:rPr>
        <w:t xml:space="preserve"> esošajās aktivitātēs – 0,12 </w:t>
      </w:r>
      <w:proofErr w:type="spellStart"/>
      <w:r w:rsidRPr="00603CA3">
        <w:rPr>
          <w:color w:val="000000" w:themeColor="text1"/>
          <w:szCs w:val="24"/>
        </w:rPr>
        <w:t>milj</w:t>
      </w:r>
      <w:proofErr w:type="spellEnd"/>
      <w:r w:rsidRPr="00603CA3">
        <w:rPr>
          <w:color w:val="000000" w:themeColor="text1"/>
          <w:szCs w:val="24"/>
        </w:rPr>
        <w:t>. latu jeb 0,1 % apmērā no kopējā pieprasītā finansējuma</w:t>
      </w:r>
    </w:p>
    <w:p w:rsidR="00DF0A19" w:rsidRPr="00603CA3" w:rsidRDefault="00DF0A19" w:rsidP="00603CA3">
      <w:pPr>
        <w:numPr>
          <w:ilvl w:val="0"/>
          <w:numId w:val="9"/>
        </w:numPr>
        <w:spacing w:line="276" w:lineRule="auto"/>
        <w:rPr>
          <w:color w:val="000000" w:themeColor="text1"/>
          <w:szCs w:val="24"/>
        </w:rPr>
      </w:pPr>
      <w:r w:rsidRPr="00603CA3">
        <w:rPr>
          <w:color w:val="000000" w:themeColor="text1"/>
          <w:szCs w:val="24"/>
        </w:rPr>
        <w:t xml:space="preserve">Izglītības un zinātnes ministrijas </w:t>
      </w:r>
      <w:proofErr w:type="spellStart"/>
      <w:r w:rsidRPr="00603CA3">
        <w:rPr>
          <w:color w:val="000000" w:themeColor="text1"/>
          <w:szCs w:val="24"/>
        </w:rPr>
        <w:t>pārziņā</w:t>
      </w:r>
      <w:proofErr w:type="spellEnd"/>
      <w:r w:rsidRPr="00603CA3">
        <w:rPr>
          <w:color w:val="000000" w:themeColor="text1"/>
          <w:szCs w:val="24"/>
        </w:rPr>
        <w:t xml:space="preserve"> esošajās aktivitātēs – 0,02 </w:t>
      </w:r>
      <w:proofErr w:type="spellStart"/>
      <w:r w:rsidRPr="00603CA3">
        <w:rPr>
          <w:color w:val="000000" w:themeColor="text1"/>
          <w:szCs w:val="24"/>
        </w:rPr>
        <w:t>milj</w:t>
      </w:r>
      <w:proofErr w:type="spellEnd"/>
      <w:r w:rsidRPr="00603CA3">
        <w:rPr>
          <w:color w:val="000000" w:themeColor="text1"/>
          <w:szCs w:val="24"/>
        </w:rPr>
        <w:t>. latu jeb 0,2 % apmērā no kopējā pieprasītā finansējuma;</w:t>
      </w:r>
    </w:p>
    <w:p w:rsidR="00DF0A19" w:rsidRPr="00603CA3" w:rsidRDefault="00DF0A19" w:rsidP="00603CA3">
      <w:pPr>
        <w:spacing w:line="276" w:lineRule="auto"/>
        <w:rPr>
          <w:b/>
          <w:color w:val="000000" w:themeColor="text1"/>
          <w:szCs w:val="24"/>
        </w:rPr>
      </w:pPr>
      <w:r w:rsidRPr="00603CA3">
        <w:rPr>
          <w:color w:val="000000" w:themeColor="text1"/>
          <w:szCs w:val="24"/>
        </w:rPr>
        <w:t xml:space="preserve">Pārskata periodā lielāko neatbilstību summu veido neatbilstības, klasificētas kā „Aizdomas par krāpšanu vai organizēto noziedzību” par kopējo summu 0,1 </w:t>
      </w:r>
      <w:proofErr w:type="spellStart"/>
      <w:r w:rsidRPr="00603CA3">
        <w:rPr>
          <w:color w:val="000000" w:themeColor="text1"/>
          <w:szCs w:val="24"/>
        </w:rPr>
        <w:t>milj</w:t>
      </w:r>
      <w:proofErr w:type="spellEnd"/>
      <w:r w:rsidRPr="00603CA3">
        <w:rPr>
          <w:color w:val="000000" w:themeColor="text1"/>
          <w:szCs w:val="24"/>
        </w:rPr>
        <w:t xml:space="preserve">. latu, jeb un 81,4 % no darbības programmā pārskata periodā konstatētajām </w:t>
      </w:r>
      <w:proofErr w:type="spellStart"/>
      <w:r w:rsidRPr="00603CA3">
        <w:rPr>
          <w:color w:val="000000" w:themeColor="text1"/>
          <w:szCs w:val="24"/>
        </w:rPr>
        <w:t>neatbilstībām.Par</w:t>
      </w:r>
      <w:proofErr w:type="spellEnd"/>
      <w:r w:rsidRPr="00603CA3">
        <w:rPr>
          <w:color w:val="000000" w:themeColor="text1"/>
          <w:szCs w:val="24"/>
        </w:rPr>
        <w:t xml:space="preserve"> šiem gadījumiem </w:t>
      </w:r>
      <w:proofErr w:type="spellStart"/>
      <w:r w:rsidRPr="00603CA3">
        <w:rPr>
          <w:color w:val="000000" w:themeColor="text1"/>
          <w:szCs w:val="24"/>
        </w:rPr>
        <w:t>līgumslēdzējiestādes</w:t>
      </w:r>
      <w:proofErr w:type="spellEnd"/>
      <w:r w:rsidRPr="00603CA3">
        <w:rPr>
          <w:color w:val="000000" w:themeColor="text1"/>
          <w:szCs w:val="24"/>
        </w:rPr>
        <w:t xml:space="preserve"> ir ziņojušas atbildīgajām tiesībsargājošajām institūcijām, kuras izmeklēs šos gadījumus. Neatbilstības, kas klasificētas, kā „Iepirkumu vai konkurences normu pārkāpums” ir 0,01 </w:t>
      </w:r>
      <w:proofErr w:type="spellStart"/>
      <w:r w:rsidRPr="00603CA3">
        <w:rPr>
          <w:color w:val="000000" w:themeColor="text1"/>
          <w:szCs w:val="24"/>
        </w:rPr>
        <w:t>milj</w:t>
      </w:r>
      <w:proofErr w:type="spellEnd"/>
      <w:r w:rsidRPr="00603CA3">
        <w:rPr>
          <w:color w:val="000000" w:themeColor="text1"/>
          <w:szCs w:val="24"/>
        </w:rPr>
        <w:t xml:space="preserve">. latu, jeb 11,8 % no darbības programmā pārskata periodā konstatētajām neatbilstībām. </w:t>
      </w:r>
    </w:p>
    <w:p w:rsidR="00DF0A19" w:rsidRPr="00603CA3" w:rsidRDefault="00DF0A19" w:rsidP="00603CA3">
      <w:pPr>
        <w:spacing w:line="276" w:lineRule="auto"/>
        <w:rPr>
          <w:b/>
          <w:color w:val="000000" w:themeColor="text1"/>
          <w:szCs w:val="24"/>
        </w:rPr>
      </w:pPr>
      <w:r w:rsidRPr="00603CA3">
        <w:rPr>
          <w:b/>
          <w:color w:val="000000" w:themeColor="text1"/>
          <w:szCs w:val="24"/>
        </w:rPr>
        <w:t>Darbības programma „Infrastruktūra un pakalpojumi”</w:t>
      </w:r>
    </w:p>
    <w:p w:rsidR="00DF0A19" w:rsidRPr="00603CA3" w:rsidRDefault="00DF0A19" w:rsidP="00603CA3">
      <w:pPr>
        <w:spacing w:line="276" w:lineRule="auto"/>
        <w:rPr>
          <w:color w:val="000000" w:themeColor="text1"/>
          <w:szCs w:val="24"/>
        </w:rPr>
      </w:pPr>
      <w:r w:rsidRPr="00603CA3">
        <w:rPr>
          <w:color w:val="000000" w:themeColor="text1"/>
          <w:szCs w:val="24"/>
        </w:rPr>
        <w:t xml:space="preserve">Kopumā no plānošanas perioda sākuma līdz 2011.gada 30.jūnijam konstatēto neatbilstību apjoms ir 5,1 </w:t>
      </w:r>
      <w:proofErr w:type="spellStart"/>
      <w:r w:rsidRPr="00603CA3">
        <w:rPr>
          <w:color w:val="000000" w:themeColor="text1"/>
          <w:szCs w:val="24"/>
        </w:rPr>
        <w:t>milj</w:t>
      </w:r>
      <w:proofErr w:type="spellEnd"/>
      <w:r w:rsidRPr="00603CA3">
        <w:rPr>
          <w:color w:val="000000" w:themeColor="text1"/>
          <w:szCs w:val="24"/>
        </w:rPr>
        <w:t xml:space="preserve">. latu (1,3% no kopējā pieprasītā finansējuma). </w:t>
      </w:r>
    </w:p>
    <w:p w:rsidR="00DF0A19" w:rsidRPr="00603CA3" w:rsidRDefault="00DF0A19" w:rsidP="00603CA3">
      <w:pPr>
        <w:spacing w:line="276" w:lineRule="auto"/>
        <w:rPr>
          <w:color w:val="000000" w:themeColor="text1"/>
          <w:szCs w:val="24"/>
        </w:rPr>
      </w:pPr>
      <w:r w:rsidRPr="00603CA3">
        <w:rPr>
          <w:color w:val="000000" w:themeColor="text1"/>
          <w:szCs w:val="24"/>
        </w:rPr>
        <w:t xml:space="preserve">Pārskata periodā darbības programmas „Infrastruktūra un pakalpojumi” ietvaros valsts pārvaldes iestāžu īstenotajos projektos konstatētas neatbilstības par kopējo summu 0,7 </w:t>
      </w:r>
      <w:proofErr w:type="spellStart"/>
      <w:r w:rsidRPr="00603CA3">
        <w:rPr>
          <w:color w:val="000000" w:themeColor="text1"/>
          <w:szCs w:val="24"/>
        </w:rPr>
        <w:t>milj</w:t>
      </w:r>
      <w:proofErr w:type="spellEnd"/>
      <w:r w:rsidRPr="00603CA3">
        <w:rPr>
          <w:color w:val="000000" w:themeColor="text1"/>
          <w:szCs w:val="24"/>
        </w:rPr>
        <w:t xml:space="preserve">. latu jeb 68,2% (ERAF un KF) no pārskata periodā darbības programmā konstatētajām neatbilstībām (detalizēta informācija </w:t>
      </w:r>
      <w:r w:rsidRPr="00603CA3">
        <w:rPr>
          <w:color w:val="000000" w:themeColor="text1"/>
          <w:szCs w:val="24"/>
          <w:u w:val="single"/>
        </w:rPr>
        <w:t>pielikumā Nr.3</w:t>
      </w:r>
      <w:r w:rsidRPr="00603CA3">
        <w:rPr>
          <w:color w:val="000000" w:themeColor="text1"/>
          <w:szCs w:val="24"/>
        </w:rPr>
        <w:t>).</w:t>
      </w:r>
    </w:p>
    <w:p w:rsidR="00DF0A19" w:rsidRPr="00603CA3" w:rsidRDefault="00DF0A19" w:rsidP="00603CA3">
      <w:pPr>
        <w:spacing w:line="276" w:lineRule="auto"/>
        <w:rPr>
          <w:color w:val="000000" w:themeColor="text1"/>
          <w:szCs w:val="24"/>
        </w:rPr>
      </w:pPr>
      <w:r w:rsidRPr="00603CA3">
        <w:rPr>
          <w:color w:val="000000" w:themeColor="text1"/>
          <w:szCs w:val="24"/>
        </w:rPr>
        <w:t xml:space="preserve">Pārskata periodā darbības programmas „Infrastruktūra un pakalpojumi” ietvaros konstatētas neatbilstības par kopējo summu 1,0 </w:t>
      </w:r>
      <w:proofErr w:type="spellStart"/>
      <w:r w:rsidRPr="00603CA3">
        <w:rPr>
          <w:color w:val="000000" w:themeColor="text1"/>
          <w:szCs w:val="24"/>
        </w:rPr>
        <w:t>milj</w:t>
      </w:r>
      <w:proofErr w:type="spellEnd"/>
      <w:r w:rsidRPr="00603CA3">
        <w:rPr>
          <w:color w:val="000000" w:themeColor="text1"/>
          <w:szCs w:val="24"/>
        </w:rPr>
        <w:t xml:space="preserve">. latu (0,3% no pārskata periodā darbības programmā pieprasītā finansējuma). No tā vislielākā neatbilstību daļa 0,5 </w:t>
      </w:r>
      <w:proofErr w:type="spellStart"/>
      <w:r w:rsidRPr="00603CA3">
        <w:rPr>
          <w:color w:val="000000" w:themeColor="text1"/>
          <w:szCs w:val="24"/>
        </w:rPr>
        <w:t>milj</w:t>
      </w:r>
      <w:proofErr w:type="spellEnd"/>
      <w:r w:rsidRPr="00603CA3">
        <w:rPr>
          <w:color w:val="000000" w:themeColor="text1"/>
          <w:szCs w:val="24"/>
        </w:rPr>
        <w:t xml:space="preserve">. latu apmērā konstatēta Vides aizsardzības un reģionālās attīstības ministrijas </w:t>
      </w:r>
      <w:proofErr w:type="spellStart"/>
      <w:r w:rsidRPr="00603CA3">
        <w:rPr>
          <w:color w:val="000000" w:themeColor="text1"/>
          <w:szCs w:val="24"/>
        </w:rPr>
        <w:t>pārziņā</w:t>
      </w:r>
      <w:proofErr w:type="spellEnd"/>
      <w:r w:rsidRPr="00603CA3">
        <w:rPr>
          <w:color w:val="000000" w:themeColor="text1"/>
          <w:szCs w:val="24"/>
        </w:rPr>
        <w:t xml:space="preserve"> esošajās aktivitātēs (detalizēta informācija </w:t>
      </w:r>
      <w:r w:rsidRPr="00603CA3">
        <w:rPr>
          <w:color w:val="000000" w:themeColor="text1"/>
          <w:szCs w:val="24"/>
          <w:u w:val="single"/>
        </w:rPr>
        <w:t>pielikumā Nr.4</w:t>
      </w:r>
      <w:r w:rsidRPr="00603CA3">
        <w:rPr>
          <w:color w:val="000000" w:themeColor="text1"/>
          <w:szCs w:val="24"/>
        </w:rPr>
        <w:t xml:space="preserve"> (neieskaitot maksātnespējas gadījumus</w:t>
      </w:r>
      <w:r w:rsidRPr="00603CA3">
        <w:rPr>
          <w:color w:val="000000" w:themeColor="text1"/>
          <w:szCs w:val="24"/>
          <w:vertAlign w:val="superscript"/>
        </w:rPr>
        <w:footnoteReference w:id="8"/>
      </w:r>
      <w:r w:rsidRPr="00603CA3">
        <w:rPr>
          <w:color w:val="000000" w:themeColor="text1"/>
          <w:szCs w:val="24"/>
        </w:rPr>
        <w:t xml:space="preserve">)). </w:t>
      </w:r>
    </w:p>
    <w:p w:rsidR="00DF0A19" w:rsidRPr="00603CA3" w:rsidRDefault="00DF0A19" w:rsidP="00603CA3">
      <w:pPr>
        <w:spacing w:line="276" w:lineRule="auto"/>
        <w:rPr>
          <w:color w:val="000000" w:themeColor="text1"/>
          <w:szCs w:val="24"/>
        </w:rPr>
      </w:pPr>
      <w:r w:rsidRPr="00603CA3">
        <w:rPr>
          <w:color w:val="000000" w:themeColor="text1"/>
          <w:szCs w:val="24"/>
        </w:rPr>
        <w:t xml:space="preserve">Pārskata periodā darbības programmā „Infrastruktūra un pakalpojumi” aktivitātes ietvaros dažos projektos ir identificēti projekti, kuros neatbilstību summas pret tajos veiktajiem maksājumiem ir sasniegušas un pārsniedz 2% būtiskuma līmeni (skatīt </w:t>
      </w:r>
      <w:r w:rsidRPr="00603CA3">
        <w:rPr>
          <w:color w:val="000000" w:themeColor="text1"/>
          <w:szCs w:val="24"/>
          <w:u w:val="single"/>
        </w:rPr>
        <w:t>tabulu Nr.</w:t>
      </w:r>
      <w:r w:rsidR="002805DA">
        <w:rPr>
          <w:color w:val="000000" w:themeColor="text1"/>
          <w:szCs w:val="24"/>
          <w:u w:val="single"/>
        </w:rPr>
        <w:t>6</w:t>
      </w:r>
      <w:r w:rsidRPr="00603CA3">
        <w:rPr>
          <w:color w:val="000000" w:themeColor="text1"/>
          <w:szCs w:val="24"/>
        </w:rPr>
        <w:t>). Tabulā Nr.</w:t>
      </w:r>
      <w:r w:rsidR="000B0D4D">
        <w:rPr>
          <w:color w:val="000000" w:themeColor="text1"/>
          <w:szCs w:val="24"/>
        </w:rPr>
        <w:t>6</w:t>
      </w:r>
      <w:r w:rsidRPr="00603CA3">
        <w:rPr>
          <w:color w:val="000000" w:themeColor="text1"/>
          <w:szCs w:val="24"/>
        </w:rPr>
        <w:t xml:space="preserve"> iekļauti neatbilstoši veikto izdevumu ziņā apjomīgākie projekti. Minētie projekti ir uzskatāmi par riskantiem, līdz ar to nepieciešams īpaši uzraudzīt projektu norisi. Neatbilstoši veiktie izdevumi pašvaldību īstenotajos projektos pārsvarā radušies iepirkumu procedūru pārkāpumu dēļ, kā arī aktivitāšu īstenošanas nosacījumu vai projekta saskaņotajai tāmei neatbilstoši veikto faktisko darbu apjomu rezultātā. Lai uzlabotu situāciju gan Finanšu ministrija, gan Iepirkumu uzraudzības birojs ir organizējis dažādus seminārus un apmācības, tomēr vēl joprojām pārkāpumi iepirkumu jomā rada lielāko daļu neatbilstības ES fondu projektos.</w:t>
      </w:r>
    </w:p>
    <w:p w:rsidR="00DF0A19" w:rsidRPr="00603CA3" w:rsidRDefault="00DF0A19" w:rsidP="00603CA3">
      <w:pPr>
        <w:spacing w:line="276" w:lineRule="auto"/>
        <w:rPr>
          <w:i/>
          <w:color w:val="000000" w:themeColor="text1"/>
          <w:szCs w:val="24"/>
        </w:rPr>
      </w:pPr>
      <w:r w:rsidRPr="00603CA3">
        <w:rPr>
          <w:color w:val="000000" w:themeColor="text1"/>
          <w:szCs w:val="24"/>
        </w:rPr>
        <w:lastRenderedPageBreak/>
        <w:t>Tabula Nr.</w:t>
      </w:r>
      <w:r w:rsidR="00624CB8">
        <w:rPr>
          <w:color w:val="000000" w:themeColor="text1"/>
          <w:szCs w:val="24"/>
        </w:rPr>
        <w:t>6</w:t>
      </w:r>
      <w:r w:rsidRPr="00603CA3">
        <w:rPr>
          <w:color w:val="000000" w:themeColor="text1"/>
          <w:szCs w:val="24"/>
        </w:rPr>
        <w:t xml:space="preserve"> </w:t>
      </w:r>
      <w:r w:rsidRPr="00603CA3">
        <w:rPr>
          <w:i/>
          <w:color w:val="000000" w:themeColor="text1"/>
          <w:szCs w:val="24"/>
        </w:rPr>
        <w:t>„Projekti, kuros neatbilstību summas pret tajos veiktajiem maksājumiem pārsniedz 2% (EK noteikto) būtiskuma pakāpi”</w:t>
      </w:r>
    </w:p>
    <w:tbl>
      <w:tblPr>
        <w:tblW w:w="9938"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76"/>
        <w:gridCol w:w="1417"/>
        <w:gridCol w:w="1985"/>
        <w:gridCol w:w="1417"/>
        <w:gridCol w:w="1843"/>
      </w:tblGrid>
      <w:tr w:rsidR="00603CA3" w:rsidRPr="000B0D4D" w:rsidTr="00301012">
        <w:trPr>
          <w:trHeight w:val="1038"/>
          <w:tblHeader/>
        </w:trPr>
        <w:tc>
          <w:tcPr>
            <w:tcW w:w="3276" w:type="dxa"/>
            <w:shd w:val="clear" w:color="auto" w:fill="auto"/>
            <w:hideMark/>
          </w:tcPr>
          <w:p w:rsidR="002F5D9A" w:rsidRPr="000B0D4D" w:rsidRDefault="002F5D9A" w:rsidP="00603CA3">
            <w:pPr>
              <w:spacing w:line="276" w:lineRule="auto"/>
              <w:jc w:val="center"/>
              <w:rPr>
                <w:b/>
                <w:color w:val="000000" w:themeColor="text1"/>
                <w:sz w:val="20"/>
              </w:rPr>
            </w:pPr>
            <w:r w:rsidRPr="000B0D4D">
              <w:rPr>
                <w:b/>
                <w:color w:val="000000" w:themeColor="text1"/>
                <w:sz w:val="20"/>
              </w:rPr>
              <w:t xml:space="preserve">Finansējuma saņēmējs/projekta </w:t>
            </w:r>
            <w:proofErr w:type="spellStart"/>
            <w:r w:rsidRPr="000B0D4D">
              <w:rPr>
                <w:b/>
                <w:color w:val="000000" w:themeColor="text1"/>
                <w:sz w:val="20"/>
              </w:rPr>
              <w:t>Nr</w:t>
            </w:r>
            <w:proofErr w:type="spellEnd"/>
            <w:r w:rsidRPr="000B0D4D">
              <w:rPr>
                <w:b/>
                <w:color w:val="000000" w:themeColor="text1"/>
                <w:sz w:val="20"/>
              </w:rPr>
              <w:t xml:space="preserve">. </w:t>
            </w:r>
            <w:r w:rsidRPr="000B0D4D">
              <w:rPr>
                <w:b/>
                <w:color w:val="000000" w:themeColor="text1"/>
                <w:sz w:val="20"/>
                <w:vertAlign w:val="superscript"/>
              </w:rPr>
              <w:footnoteReference w:id="9"/>
            </w:r>
          </w:p>
        </w:tc>
        <w:tc>
          <w:tcPr>
            <w:tcW w:w="1417" w:type="dxa"/>
          </w:tcPr>
          <w:p w:rsidR="002F5D9A" w:rsidRPr="000B0D4D" w:rsidRDefault="002F5D9A" w:rsidP="00603CA3">
            <w:pPr>
              <w:spacing w:line="276" w:lineRule="auto"/>
              <w:jc w:val="center"/>
              <w:rPr>
                <w:b/>
                <w:color w:val="000000" w:themeColor="text1"/>
                <w:sz w:val="20"/>
              </w:rPr>
            </w:pPr>
            <w:r w:rsidRPr="000B0D4D">
              <w:rPr>
                <w:b/>
                <w:color w:val="000000" w:themeColor="text1"/>
                <w:sz w:val="20"/>
              </w:rPr>
              <w:t>Projekta finansējums (kopējās attiecināmās publiskās izmaksas), lati</w:t>
            </w:r>
          </w:p>
        </w:tc>
        <w:tc>
          <w:tcPr>
            <w:tcW w:w="1985" w:type="dxa"/>
            <w:shd w:val="clear" w:color="auto" w:fill="auto"/>
            <w:noWrap/>
            <w:hideMark/>
          </w:tcPr>
          <w:p w:rsidR="002F5D9A" w:rsidRPr="000B0D4D" w:rsidRDefault="002F5D9A" w:rsidP="00603CA3">
            <w:pPr>
              <w:spacing w:line="276" w:lineRule="auto"/>
              <w:jc w:val="center"/>
              <w:rPr>
                <w:b/>
                <w:bCs/>
                <w:color w:val="000000" w:themeColor="text1"/>
                <w:sz w:val="20"/>
              </w:rPr>
            </w:pPr>
            <w:r w:rsidRPr="000B0D4D">
              <w:rPr>
                <w:b/>
                <w:color w:val="000000" w:themeColor="text1"/>
                <w:sz w:val="20"/>
              </w:rPr>
              <w:t xml:space="preserve">Projekta ietvaros veiktie maksājumi </w:t>
            </w:r>
            <w:proofErr w:type="spellStart"/>
            <w:r w:rsidRPr="000B0D4D">
              <w:rPr>
                <w:b/>
                <w:color w:val="000000" w:themeColor="text1"/>
                <w:sz w:val="20"/>
              </w:rPr>
              <w:t>milj</w:t>
            </w:r>
            <w:proofErr w:type="spellEnd"/>
            <w:r w:rsidRPr="000B0D4D">
              <w:rPr>
                <w:b/>
                <w:color w:val="000000" w:themeColor="text1"/>
                <w:sz w:val="20"/>
              </w:rPr>
              <w:t xml:space="preserve"> latu,  % no projekta kopējām attiecināmajām izmaksām</w:t>
            </w:r>
          </w:p>
        </w:tc>
        <w:tc>
          <w:tcPr>
            <w:tcW w:w="1417" w:type="dxa"/>
            <w:shd w:val="clear" w:color="auto" w:fill="auto"/>
            <w:noWrap/>
            <w:hideMark/>
          </w:tcPr>
          <w:p w:rsidR="002F5D9A" w:rsidRPr="000B0D4D" w:rsidRDefault="002F5D9A" w:rsidP="00603CA3">
            <w:pPr>
              <w:spacing w:line="276" w:lineRule="auto"/>
              <w:jc w:val="center"/>
              <w:rPr>
                <w:b/>
                <w:bCs/>
                <w:color w:val="000000" w:themeColor="text1"/>
                <w:sz w:val="20"/>
              </w:rPr>
            </w:pPr>
            <w:r w:rsidRPr="000B0D4D">
              <w:rPr>
                <w:b/>
                <w:color w:val="000000" w:themeColor="text1"/>
                <w:sz w:val="20"/>
              </w:rPr>
              <w:t>Neatbilstoši veikti izdevumi 2011. gada 2.ceturksnī</w:t>
            </w:r>
          </w:p>
        </w:tc>
        <w:tc>
          <w:tcPr>
            <w:tcW w:w="1843" w:type="dxa"/>
            <w:shd w:val="clear" w:color="auto" w:fill="auto"/>
            <w:noWrap/>
            <w:hideMark/>
          </w:tcPr>
          <w:p w:rsidR="002F5D9A" w:rsidRPr="000B0D4D" w:rsidRDefault="002F5D9A" w:rsidP="00603CA3">
            <w:pPr>
              <w:spacing w:line="276" w:lineRule="auto"/>
              <w:jc w:val="center"/>
              <w:rPr>
                <w:color w:val="000000" w:themeColor="text1"/>
                <w:sz w:val="20"/>
              </w:rPr>
            </w:pPr>
            <w:r w:rsidRPr="000B0D4D">
              <w:rPr>
                <w:b/>
                <w:color w:val="000000" w:themeColor="text1"/>
                <w:sz w:val="20"/>
              </w:rPr>
              <w:t>Neatbilstoši veiktie izdevumi no projekta ietvaros veiktajiem maksājumiem FS (%)</w:t>
            </w:r>
          </w:p>
        </w:tc>
      </w:tr>
      <w:tr w:rsidR="00603CA3" w:rsidRPr="000B0D4D" w:rsidTr="00301012">
        <w:trPr>
          <w:trHeight w:val="115"/>
        </w:trPr>
        <w:tc>
          <w:tcPr>
            <w:tcW w:w="3276" w:type="dxa"/>
            <w:shd w:val="clear" w:color="auto" w:fill="auto"/>
            <w:vAlign w:val="center"/>
          </w:tcPr>
          <w:p w:rsidR="002F5D9A" w:rsidRPr="000B0D4D" w:rsidRDefault="002F5D9A" w:rsidP="00603CA3">
            <w:pPr>
              <w:spacing w:line="276" w:lineRule="auto"/>
              <w:jc w:val="center"/>
              <w:rPr>
                <w:color w:val="000000" w:themeColor="text1"/>
                <w:sz w:val="20"/>
              </w:rPr>
            </w:pPr>
            <w:r w:rsidRPr="000B0D4D">
              <w:rPr>
                <w:color w:val="000000" w:themeColor="text1"/>
                <w:sz w:val="20"/>
              </w:rPr>
              <w:t>Alūksnes novada pašvaldība 3DP/3.1.4.3.0/08/IPIA/VRAA/003 Pirmsskolas izglītības iestāžu "Sprīdītis" un "Pienenīte" infrastruktūras attīstīšana vienlīdzīgas nodarbinātības iespēju veicināšanai Alūksnē</w:t>
            </w:r>
          </w:p>
        </w:tc>
        <w:tc>
          <w:tcPr>
            <w:tcW w:w="1417" w:type="dxa"/>
            <w:vAlign w:val="bottom"/>
          </w:tcPr>
          <w:p w:rsidR="002F5D9A" w:rsidRPr="000B0D4D" w:rsidRDefault="00301012" w:rsidP="00603CA3">
            <w:pPr>
              <w:spacing w:line="276" w:lineRule="auto"/>
              <w:jc w:val="center"/>
              <w:rPr>
                <w:b/>
                <w:bCs/>
                <w:color w:val="000000" w:themeColor="text1"/>
                <w:sz w:val="20"/>
              </w:rPr>
            </w:pPr>
            <w:r w:rsidRPr="000B0D4D">
              <w:rPr>
                <w:b/>
                <w:bCs/>
                <w:color w:val="000000" w:themeColor="text1"/>
                <w:sz w:val="20"/>
              </w:rPr>
              <w:t>298743.56</w:t>
            </w:r>
          </w:p>
        </w:tc>
        <w:tc>
          <w:tcPr>
            <w:tcW w:w="1985" w:type="dxa"/>
            <w:shd w:val="clear" w:color="auto" w:fill="auto"/>
            <w:noWrap/>
            <w:vAlign w:val="bottom"/>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0,06 (99%)</w:t>
            </w:r>
          </w:p>
        </w:tc>
        <w:tc>
          <w:tcPr>
            <w:tcW w:w="1417" w:type="dxa"/>
            <w:shd w:val="clear" w:color="auto" w:fill="auto"/>
            <w:noWrap/>
            <w:vAlign w:val="bottom"/>
          </w:tcPr>
          <w:p w:rsidR="002F5D9A" w:rsidRPr="000B0D4D" w:rsidRDefault="002F5D9A" w:rsidP="00603CA3">
            <w:pPr>
              <w:spacing w:line="276" w:lineRule="auto"/>
              <w:jc w:val="center"/>
              <w:rPr>
                <w:color w:val="000000" w:themeColor="text1"/>
                <w:sz w:val="20"/>
              </w:rPr>
            </w:pPr>
            <w:r w:rsidRPr="000B0D4D">
              <w:rPr>
                <w:color w:val="000000" w:themeColor="text1"/>
                <w:sz w:val="20"/>
              </w:rPr>
              <w:t>63 784,74</w:t>
            </w:r>
          </w:p>
        </w:tc>
        <w:tc>
          <w:tcPr>
            <w:tcW w:w="1843" w:type="dxa"/>
            <w:shd w:val="clear" w:color="auto" w:fill="auto"/>
            <w:noWrap/>
            <w:vAlign w:val="center"/>
          </w:tcPr>
          <w:p w:rsidR="002F5D9A" w:rsidRPr="000B0D4D" w:rsidRDefault="002F5D9A" w:rsidP="00603CA3">
            <w:pPr>
              <w:spacing w:line="276" w:lineRule="auto"/>
              <w:jc w:val="center"/>
              <w:rPr>
                <w:color w:val="000000" w:themeColor="text1"/>
                <w:sz w:val="20"/>
              </w:rPr>
            </w:pPr>
            <w:r w:rsidRPr="000B0D4D">
              <w:rPr>
                <w:color w:val="000000" w:themeColor="text1"/>
                <w:sz w:val="20"/>
              </w:rPr>
              <w:t>21,6%</w:t>
            </w:r>
          </w:p>
        </w:tc>
      </w:tr>
      <w:tr w:rsidR="00603CA3" w:rsidRPr="000B0D4D" w:rsidTr="00301012">
        <w:trPr>
          <w:trHeight w:val="792"/>
        </w:trPr>
        <w:tc>
          <w:tcPr>
            <w:tcW w:w="3276" w:type="dxa"/>
            <w:shd w:val="clear" w:color="auto" w:fill="auto"/>
            <w:vAlign w:val="center"/>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 xml:space="preserve">Aglonas novada dome 3DP/3.1.4.4.0/09/APIA/VRAA/058 Bērnu brīvā laika pavadīšanas centra izveidošana Aglonā </w:t>
            </w:r>
          </w:p>
        </w:tc>
        <w:tc>
          <w:tcPr>
            <w:tcW w:w="1417" w:type="dxa"/>
            <w:vAlign w:val="bottom"/>
          </w:tcPr>
          <w:p w:rsidR="002F5D9A" w:rsidRPr="000B0D4D" w:rsidRDefault="00301012" w:rsidP="00603CA3">
            <w:pPr>
              <w:spacing w:line="276" w:lineRule="auto"/>
              <w:jc w:val="center"/>
              <w:rPr>
                <w:b/>
                <w:bCs/>
                <w:color w:val="000000" w:themeColor="text1"/>
                <w:sz w:val="20"/>
              </w:rPr>
            </w:pPr>
            <w:r w:rsidRPr="000B0D4D">
              <w:rPr>
                <w:b/>
                <w:bCs/>
                <w:color w:val="000000" w:themeColor="text1"/>
                <w:sz w:val="20"/>
              </w:rPr>
              <w:t>203584.51</w:t>
            </w:r>
          </w:p>
        </w:tc>
        <w:tc>
          <w:tcPr>
            <w:tcW w:w="1985" w:type="dxa"/>
            <w:shd w:val="clear" w:color="auto" w:fill="auto"/>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0,20 (99%)</w:t>
            </w:r>
          </w:p>
        </w:tc>
        <w:tc>
          <w:tcPr>
            <w:tcW w:w="1417" w:type="dxa"/>
            <w:shd w:val="clear" w:color="auto" w:fill="auto"/>
            <w:noWrap/>
            <w:vAlign w:val="bottom"/>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19 454,75</w:t>
            </w:r>
          </w:p>
        </w:tc>
        <w:tc>
          <w:tcPr>
            <w:tcW w:w="1843" w:type="dxa"/>
            <w:shd w:val="clear" w:color="auto" w:fill="auto"/>
            <w:noWrap/>
            <w:vAlign w:val="center"/>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9,6%</w:t>
            </w:r>
          </w:p>
        </w:tc>
      </w:tr>
      <w:tr w:rsidR="00603CA3" w:rsidRPr="000B0D4D" w:rsidTr="00301012">
        <w:trPr>
          <w:trHeight w:val="576"/>
        </w:trPr>
        <w:tc>
          <w:tcPr>
            <w:tcW w:w="3276" w:type="dxa"/>
            <w:shd w:val="clear" w:color="auto" w:fill="auto"/>
            <w:vAlign w:val="center"/>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Liepājas Jūrniecības koledža 3DP/3.1.2.1.1/09/IPIA/VIAA/007 Liepājas Jūrniecības koledžas kuģu vadības mehānikas un automātikas laboratorijas modernizēšana</w:t>
            </w:r>
          </w:p>
        </w:tc>
        <w:tc>
          <w:tcPr>
            <w:tcW w:w="1417" w:type="dxa"/>
            <w:vAlign w:val="bottom"/>
          </w:tcPr>
          <w:p w:rsidR="002F5D9A" w:rsidRPr="000B0D4D" w:rsidRDefault="00301012" w:rsidP="00603CA3">
            <w:pPr>
              <w:spacing w:line="276" w:lineRule="auto"/>
              <w:jc w:val="center"/>
              <w:rPr>
                <w:b/>
                <w:bCs/>
                <w:color w:val="000000" w:themeColor="text1"/>
                <w:sz w:val="20"/>
              </w:rPr>
            </w:pPr>
            <w:r w:rsidRPr="000B0D4D">
              <w:rPr>
                <w:b/>
                <w:bCs/>
                <w:color w:val="000000" w:themeColor="text1"/>
                <w:sz w:val="20"/>
              </w:rPr>
              <w:t>81622.0</w:t>
            </w:r>
          </w:p>
        </w:tc>
        <w:tc>
          <w:tcPr>
            <w:tcW w:w="1985" w:type="dxa"/>
            <w:shd w:val="clear" w:color="auto" w:fill="auto"/>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0,06 (76%)</w:t>
            </w:r>
          </w:p>
        </w:tc>
        <w:tc>
          <w:tcPr>
            <w:tcW w:w="1417" w:type="dxa"/>
            <w:shd w:val="clear" w:color="auto" w:fill="auto"/>
            <w:noWrap/>
            <w:vAlign w:val="bottom"/>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16 154,8</w:t>
            </w:r>
          </w:p>
        </w:tc>
        <w:tc>
          <w:tcPr>
            <w:tcW w:w="1843" w:type="dxa"/>
            <w:shd w:val="clear" w:color="auto" w:fill="auto"/>
            <w:noWrap/>
            <w:vAlign w:val="center"/>
            <w:hideMark/>
          </w:tcPr>
          <w:p w:rsidR="002F5D9A" w:rsidRPr="000B0D4D" w:rsidRDefault="002F5D9A" w:rsidP="00603CA3">
            <w:pPr>
              <w:spacing w:line="276" w:lineRule="auto"/>
              <w:jc w:val="right"/>
              <w:rPr>
                <w:color w:val="000000" w:themeColor="text1"/>
                <w:sz w:val="20"/>
              </w:rPr>
            </w:pPr>
            <w:r w:rsidRPr="000B0D4D">
              <w:rPr>
                <w:color w:val="000000" w:themeColor="text1"/>
                <w:sz w:val="20"/>
              </w:rPr>
              <w:t>26,0%</w:t>
            </w:r>
          </w:p>
        </w:tc>
      </w:tr>
      <w:tr w:rsidR="00603CA3" w:rsidRPr="000B0D4D" w:rsidTr="00301012">
        <w:trPr>
          <w:trHeight w:val="1260"/>
        </w:trPr>
        <w:tc>
          <w:tcPr>
            <w:tcW w:w="3276" w:type="dxa"/>
            <w:shd w:val="clear" w:color="auto" w:fill="auto"/>
            <w:vAlign w:val="center"/>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Saulkrastu novada dome 3DP/3.1.3.1.0/08/IPIA/VIAA/031 Kvalitatīvai dabas zinātņu apguvei atbilstošas materiālās bāzes nodrošināšana Zvejniekciema vidusskolā</w:t>
            </w:r>
          </w:p>
        </w:tc>
        <w:tc>
          <w:tcPr>
            <w:tcW w:w="1417" w:type="dxa"/>
            <w:vAlign w:val="bottom"/>
          </w:tcPr>
          <w:p w:rsidR="002F5D9A" w:rsidRPr="000B0D4D" w:rsidRDefault="00301012" w:rsidP="00603CA3">
            <w:pPr>
              <w:spacing w:line="276" w:lineRule="auto"/>
              <w:jc w:val="center"/>
              <w:rPr>
                <w:b/>
                <w:bCs/>
                <w:color w:val="000000" w:themeColor="text1"/>
                <w:sz w:val="20"/>
              </w:rPr>
            </w:pPr>
            <w:r w:rsidRPr="000B0D4D">
              <w:rPr>
                <w:b/>
                <w:bCs/>
                <w:color w:val="000000" w:themeColor="text1"/>
                <w:sz w:val="20"/>
              </w:rPr>
              <w:t>98392.0</w:t>
            </w:r>
          </w:p>
        </w:tc>
        <w:tc>
          <w:tcPr>
            <w:tcW w:w="1985" w:type="dxa"/>
            <w:shd w:val="clear" w:color="auto" w:fill="auto"/>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0,09 (95%)</w:t>
            </w:r>
          </w:p>
        </w:tc>
        <w:tc>
          <w:tcPr>
            <w:tcW w:w="1417" w:type="dxa"/>
            <w:shd w:val="clear" w:color="auto" w:fill="auto"/>
            <w:noWrap/>
            <w:vAlign w:val="bottom"/>
            <w:hideMark/>
          </w:tcPr>
          <w:p w:rsidR="002F5D9A" w:rsidRPr="000B0D4D" w:rsidRDefault="002F5D9A" w:rsidP="00603CA3">
            <w:pPr>
              <w:spacing w:line="276" w:lineRule="auto"/>
              <w:jc w:val="center"/>
              <w:rPr>
                <w:color w:val="000000" w:themeColor="text1"/>
                <w:sz w:val="20"/>
              </w:rPr>
            </w:pPr>
            <w:r w:rsidRPr="000B0D4D">
              <w:rPr>
                <w:color w:val="000000" w:themeColor="text1"/>
                <w:sz w:val="20"/>
              </w:rPr>
              <w:t>4 907,2</w:t>
            </w:r>
          </w:p>
        </w:tc>
        <w:tc>
          <w:tcPr>
            <w:tcW w:w="1843" w:type="dxa"/>
            <w:shd w:val="clear" w:color="auto" w:fill="auto"/>
            <w:noWrap/>
            <w:vAlign w:val="center"/>
            <w:hideMark/>
          </w:tcPr>
          <w:p w:rsidR="002F5D9A" w:rsidRPr="000B0D4D" w:rsidRDefault="002F5D9A" w:rsidP="00603CA3">
            <w:pPr>
              <w:spacing w:line="276" w:lineRule="auto"/>
              <w:jc w:val="right"/>
              <w:rPr>
                <w:color w:val="000000" w:themeColor="text1"/>
                <w:sz w:val="20"/>
              </w:rPr>
            </w:pPr>
            <w:r w:rsidRPr="000B0D4D">
              <w:rPr>
                <w:color w:val="000000" w:themeColor="text1"/>
                <w:sz w:val="20"/>
              </w:rPr>
              <w:t>5,3%</w:t>
            </w:r>
          </w:p>
        </w:tc>
      </w:tr>
      <w:tr w:rsidR="00603CA3" w:rsidRPr="000B0D4D" w:rsidTr="00301012">
        <w:trPr>
          <w:trHeight w:val="1245"/>
        </w:trPr>
        <w:tc>
          <w:tcPr>
            <w:tcW w:w="3276" w:type="dxa"/>
            <w:shd w:val="clear" w:color="auto" w:fill="auto"/>
            <w:vAlign w:val="center"/>
            <w:hideMark/>
          </w:tcPr>
          <w:p w:rsidR="002F5D9A" w:rsidRPr="000B0D4D" w:rsidRDefault="002F5D9A" w:rsidP="00603CA3">
            <w:pPr>
              <w:spacing w:line="276" w:lineRule="auto"/>
              <w:rPr>
                <w:color w:val="000000" w:themeColor="text1"/>
                <w:sz w:val="20"/>
              </w:rPr>
            </w:pPr>
            <w:r w:rsidRPr="000B0D4D">
              <w:rPr>
                <w:color w:val="000000" w:themeColor="text1"/>
                <w:sz w:val="20"/>
              </w:rPr>
              <w:t xml:space="preserve">Jelgavas novada pašvaldība 3DP/3.4.1.1.0/10/APIA/CFLA/015 Ūdenssaimniecības attīstība Daugavpils novada Kalkūnes pagasta </w:t>
            </w:r>
            <w:proofErr w:type="spellStart"/>
            <w:r w:rsidRPr="000B0D4D">
              <w:rPr>
                <w:color w:val="000000" w:themeColor="text1"/>
                <w:sz w:val="20"/>
              </w:rPr>
              <w:t>Birķeneles</w:t>
            </w:r>
            <w:proofErr w:type="spellEnd"/>
            <w:r w:rsidRPr="000B0D4D">
              <w:rPr>
                <w:color w:val="000000" w:themeColor="text1"/>
                <w:sz w:val="20"/>
              </w:rPr>
              <w:t xml:space="preserve"> ciemā</w:t>
            </w:r>
          </w:p>
        </w:tc>
        <w:tc>
          <w:tcPr>
            <w:tcW w:w="1417" w:type="dxa"/>
            <w:vAlign w:val="bottom"/>
          </w:tcPr>
          <w:p w:rsidR="002F5D9A" w:rsidRPr="000B0D4D" w:rsidRDefault="00301012" w:rsidP="00603CA3">
            <w:pPr>
              <w:spacing w:line="276" w:lineRule="auto"/>
              <w:jc w:val="center"/>
              <w:rPr>
                <w:b/>
                <w:bCs/>
                <w:color w:val="000000" w:themeColor="text1"/>
                <w:sz w:val="20"/>
              </w:rPr>
            </w:pPr>
            <w:r w:rsidRPr="000B0D4D">
              <w:rPr>
                <w:b/>
                <w:bCs/>
                <w:color w:val="000000" w:themeColor="text1"/>
                <w:sz w:val="20"/>
              </w:rPr>
              <w:t>108266.0</w:t>
            </w:r>
          </w:p>
        </w:tc>
        <w:tc>
          <w:tcPr>
            <w:tcW w:w="1985" w:type="dxa"/>
            <w:shd w:val="clear" w:color="auto" w:fill="auto"/>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0,04 (45%)</w:t>
            </w:r>
          </w:p>
        </w:tc>
        <w:tc>
          <w:tcPr>
            <w:tcW w:w="1417" w:type="dxa"/>
            <w:shd w:val="clear" w:color="auto" w:fill="auto"/>
            <w:noWrap/>
            <w:vAlign w:val="bottom"/>
            <w:hideMark/>
          </w:tcPr>
          <w:p w:rsidR="002F5D9A" w:rsidRPr="000B0D4D" w:rsidRDefault="002F5D9A" w:rsidP="00603CA3">
            <w:pPr>
              <w:spacing w:line="276" w:lineRule="auto"/>
              <w:jc w:val="center"/>
              <w:rPr>
                <w:bCs/>
                <w:color w:val="000000" w:themeColor="text1"/>
                <w:sz w:val="20"/>
              </w:rPr>
            </w:pPr>
            <w:r w:rsidRPr="000B0D4D">
              <w:rPr>
                <w:bCs/>
                <w:color w:val="000000" w:themeColor="text1"/>
                <w:sz w:val="20"/>
              </w:rPr>
              <w:t>46013,05</w:t>
            </w:r>
          </w:p>
        </w:tc>
        <w:tc>
          <w:tcPr>
            <w:tcW w:w="1843" w:type="dxa"/>
            <w:shd w:val="clear" w:color="auto" w:fill="auto"/>
            <w:noWrap/>
            <w:vAlign w:val="bottom"/>
            <w:hideMark/>
          </w:tcPr>
          <w:p w:rsidR="002F5D9A" w:rsidRPr="000B0D4D" w:rsidRDefault="002F5D9A" w:rsidP="00603CA3">
            <w:pPr>
              <w:spacing w:line="276" w:lineRule="auto"/>
              <w:jc w:val="right"/>
              <w:rPr>
                <w:color w:val="000000" w:themeColor="text1"/>
                <w:sz w:val="20"/>
              </w:rPr>
            </w:pPr>
            <w:r w:rsidRPr="000B0D4D">
              <w:rPr>
                <w:color w:val="000000" w:themeColor="text1"/>
                <w:sz w:val="20"/>
              </w:rPr>
              <w:t>93,6%</w:t>
            </w:r>
          </w:p>
        </w:tc>
      </w:tr>
      <w:tr w:rsidR="00603CA3" w:rsidRPr="000B0D4D" w:rsidTr="00301012">
        <w:trPr>
          <w:trHeight w:val="299"/>
        </w:trPr>
        <w:tc>
          <w:tcPr>
            <w:tcW w:w="3276" w:type="dxa"/>
            <w:vMerge w:val="restart"/>
            <w:shd w:val="clear" w:color="auto" w:fill="auto"/>
            <w:vAlign w:val="center"/>
            <w:hideMark/>
          </w:tcPr>
          <w:p w:rsidR="00301012" w:rsidRPr="000B0D4D" w:rsidRDefault="00301012" w:rsidP="00603CA3">
            <w:pPr>
              <w:spacing w:line="276" w:lineRule="auto"/>
              <w:jc w:val="center"/>
              <w:rPr>
                <w:color w:val="000000" w:themeColor="text1"/>
                <w:sz w:val="20"/>
              </w:rPr>
            </w:pPr>
            <w:r w:rsidRPr="000B0D4D">
              <w:rPr>
                <w:color w:val="000000" w:themeColor="text1"/>
                <w:sz w:val="20"/>
              </w:rPr>
              <w:t xml:space="preserve">Alojas novada dome 3DP/3.4.1.1.0/09/APIA/CFLA/065 Ūdenssaimniecības attīstība Limbažu rajona Braslavas pagasta </w:t>
            </w:r>
            <w:proofErr w:type="spellStart"/>
            <w:r w:rsidRPr="000B0D4D">
              <w:rPr>
                <w:color w:val="000000" w:themeColor="text1"/>
                <w:sz w:val="20"/>
              </w:rPr>
              <w:t>Vilzēnu</w:t>
            </w:r>
            <w:proofErr w:type="spellEnd"/>
            <w:r w:rsidRPr="000B0D4D">
              <w:rPr>
                <w:color w:val="000000" w:themeColor="text1"/>
                <w:sz w:val="20"/>
              </w:rPr>
              <w:t xml:space="preserve"> ciemā</w:t>
            </w:r>
          </w:p>
        </w:tc>
        <w:tc>
          <w:tcPr>
            <w:tcW w:w="1417" w:type="dxa"/>
            <w:vMerge w:val="restart"/>
            <w:vAlign w:val="bottom"/>
          </w:tcPr>
          <w:p w:rsidR="00301012" w:rsidRPr="000B0D4D" w:rsidRDefault="00301012" w:rsidP="00603CA3">
            <w:pPr>
              <w:spacing w:line="276" w:lineRule="auto"/>
              <w:jc w:val="center"/>
              <w:rPr>
                <w:b/>
                <w:bCs/>
                <w:color w:val="000000" w:themeColor="text1"/>
                <w:sz w:val="20"/>
              </w:rPr>
            </w:pPr>
            <w:r w:rsidRPr="000B0D4D">
              <w:rPr>
                <w:b/>
                <w:bCs/>
                <w:color w:val="000000" w:themeColor="text1"/>
                <w:sz w:val="20"/>
              </w:rPr>
              <w:t>203341.0</w:t>
            </w:r>
          </w:p>
        </w:tc>
        <w:tc>
          <w:tcPr>
            <w:tcW w:w="1985" w:type="dxa"/>
            <w:shd w:val="clear" w:color="auto" w:fill="auto"/>
            <w:noWrap/>
            <w:vAlign w:val="bottom"/>
            <w:hideMark/>
          </w:tcPr>
          <w:p w:rsidR="00301012" w:rsidRPr="000B0D4D" w:rsidRDefault="00301012" w:rsidP="00603CA3">
            <w:pPr>
              <w:spacing w:line="276" w:lineRule="auto"/>
              <w:jc w:val="center"/>
              <w:rPr>
                <w:b/>
                <w:bCs/>
                <w:color w:val="000000" w:themeColor="text1"/>
                <w:sz w:val="20"/>
              </w:rPr>
            </w:pPr>
            <w:r w:rsidRPr="000B0D4D">
              <w:rPr>
                <w:b/>
                <w:bCs/>
                <w:color w:val="000000" w:themeColor="text1"/>
                <w:sz w:val="20"/>
              </w:rPr>
              <w:t>0,01 (6%)</w:t>
            </w:r>
          </w:p>
        </w:tc>
        <w:tc>
          <w:tcPr>
            <w:tcW w:w="1417" w:type="dxa"/>
            <w:shd w:val="clear" w:color="auto" w:fill="auto"/>
            <w:noWrap/>
            <w:vAlign w:val="bottom"/>
            <w:hideMark/>
          </w:tcPr>
          <w:p w:rsidR="00301012" w:rsidRPr="000B0D4D" w:rsidRDefault="00301012" w:rsidP="00603CA3">
            <w:pPr>
              <w:spacing w:line="276" w:lineRule="auto"/>
              <w:jc w:val="center"/>
              <w:rPr>
                <w:bCs/>
                <w:color w:val="000000" w:themeColor="text1"/>
                <w:sz w:val="20"/>
              </w:rPr>
            </w:pPr>
            <w:r w:rsidRPr="000B0D4D">
              <w:rPr>
                <w:bCs/>
                <w:color w:val="000000" w:themeColor="text1"/>
                <w:sz w:val="20"/>
              </w:rPr>
              <w:t>10000,00</w:t>
            </w:r>
          </w:p>
        </w:tc>
        <w:tc>
          <w:tcPr>
            <w:tcW w:w="1843" w:type="dxa"/>
            <w:shd w:val="clear" w:color="auto" w:fill="auto"/>
            <w:noWrap/>
            <w:vAlign w:val="bottom"/>
            <w:hideMark/>
          </w:tcPr>
          <w:p w:rsidR="00301012" w:rsidRPr="000B0D4D" w:rsidRDefault="00301012" w:rsidP="00603CA3">
            <w:pPr>
              <w:spacing w:line="276" w:lineRule="auto"/>
              <w:jc w:val="right"/>
              <w:rPr>
                <w:color w:val="000000" w:themeColor="text1"/>
                <w:sz w:val="20"/>
              </w:rPr>
            </w:pPr>
            <w:r w:rsidRPr="000B0D4D">
              <w:rPr>
                <w:color w:val="000000" w:themeColor="text1"/>
                <w:sz w:val="20"/>
              </w:rPr>
              <w:t>82,2%</w:t>
            </w:r>
          </w:p>
        </w:tc>
      </w:tr>
      <w:tr w:rsidR="00603CA3" w:rsidRPr="000B0D4D" w:rsidTr="00301012">
        <w:trPr>
          <w:trHeight w:val="405"/>
        </w:trPr>
        <w:tc>
          <w:tcPr>
            <w:tcW w:w="3276" w:type="dxa"/>
            <w:vMerge/>
            <w:vAlign w:val="center"/>
            <w:hideMark/>
          </w:tcPr>
          <w:p w:rsidR="00301012" w:rsidRPr="000B0D4D" w:rsidRDefault="00301012" w:rsidP="00603CA3">
            <w:pPr>
              <w:spacing w:line="276" w:lineRule="auto"/>
              <w:rPr>
                <w:color w:val="000000" w:themeColor="text1"/>
                <w:sz w:val="20"/>
              </w:rPr>
            </w:pPr>
          </w:p>
        </w:tc>
        <w:tc>
          <w:tcPr>
            <w:tcW w:w="1417" w:type="dxa"/>
            <w:vMerge/>
            <w:vAlign w:val="bottom"/>
          </w:tcPr>
          <w:p w:rsidR="00301012" w:rsidRPr="000B0D4D" w:rsidRDefault="00301012" w:rsidP="00603CA3">
            <w:pPr>
              <w:spacing w:line="276" w:lineRule="auto"/>
              <w:jc w:val="center"/>
              <w:rPr>
                <w:b/>
                <w:bCs/>
                <w:color w:val="000000" w:themeColor="text1"/>
                <w:sz w:val="20"/>
              </w:rPr>
            </w:pPr>
          </w:p>
        </w:tc>
        <w:tc>
          <w:tcPr>
            <w:tcW w:w="1985" w:type="dxa"/>
            <w:shd w:val="clear" w:color="auto" w:fill="auto"/>
            <w:noWrap/>
            <w:vAlign w:val="bottom"/>
            <w:hideMark/>
          </w:tcPr>
          <w:p w:rsidR="00301012" w:rsidRPr="000B0D4D" w:rsidRDefault="00301012" w:rsidP="00603CA3">
            <w:pPr>
              <w:spacing w:line="276" w:lineRule="auto"/>
              <w:jc w:val="center"/>
              <w:rPr>
                <w:b/>
                <w:bCs/>
                <w:color w:val="000000" w:themeColor="text1"/>
                <w:sz w:val="20"/>
              </w:rPr>
            </w:pPr>
            <w:r w:rsidRPr="000B0D4D">
              <w:rPr>
                <w:b/>
                <w:bCs/>
                <w:color w:val="000000" w:themeColor="text1"/>
                <w:sz w:val="20"/>
              </w:rPr>
              <w:t>0,01 (6%)</w:t>
            </w:r>
          </w:p>
        </w:tc>
        <w:tc>
          <w:tcPr>
            <w:tcW w:w="1417" w:type="dxa"/>
            <w:shd w:val="clear" w:color="auto" w:fill="auto"/>
            <w:noWrap/>
            <w:vAlign w:val="bottom"/>
            <w:hideMark/>
          </w:tcPr>
          <w:p w:rsidR="00301012" w:rsidRPr="000B0D4D" w:rsidRDefault="00301012" w:rsidP="00603CA3">
            <w:pPr>
              <w:spacing w:line="276" w:lineRule="auto"/>
              <w:jc w:val="center"/>
              <w:rPr>
                <w:bCs/>
                <w:color w:val="000000" w:themeColor="text1"/>
                <w:sz w:val="20"/>
              </w:rPr>
            </w:pPr>
            <w:r w:rsidRPr="000B0D4D">
              <w:rPr>
                <w:bCs/>
                <w:color w:val="000000" w:themeColor="text1"/>
                <w:sz w:val="20"/>
              </w:rPr>
              <w:t>2280,00</w:t>
            </w:r>
          </w:p>
        </w:tc>
        <w:tc>
          <w:tcPr>
            <w:tcW w:w="1843" w:type="dxa"/>
            <w:shd w:val="clear" w:color="auto" w:fill="auto"/>
            <w:noWrap/>
            <w:vAlign w:val="bottom"/>
            <w:hideMark/>
          </w:tcPr>
          <w:p w:rsidR="00301012" w:rsidRPr="000B0D4D" w:rsidRDefault="00301012" w:rsidP="00603CA3">
            <w:pPr>
              <w:spacing w:line="276" w:lineRule="auto"/>
              <w:jc w:val="right"/>
              <w:rPr>
                <w:color w:val="000000" w:themeColor="text1"/>
                <w:sz w:val="20"/>
              </w:rPr>
            </w:pPr>
            <w:r w:rsidRPr="000B0D4D">
              <w:rPr>
                <w:color w:val="000000" w:themeColor="text1"/>
                <w:sz w:val="20"/>
              </w:rPr>
              <w:t>18,7%</w:t>
            </w:r>
          </w:p>
        </w:tc>
      </w:tr>
      <w:tr w:rsidR="00603CA3" w:rsidRPr="000B0D4D" w:rsidTr="00301012">
        <w:trPr>
          <w:trHeight w:val="492"/>
        </w:trPr>
        <w:tc>
          <w:tcPr>
            <w:tcW w:w="3276" w:type="dxa"/>
            <w:shd w:val="clear" w:color="auto" w:fill="auto"/>
            <w:vAlign w:val="center"/>
            <w:hideMark/>
          </w:tcPr>
          <w:p w:rsidR="002F5D9A" w:rsidRPr="000B0D4D" w:rsidRDefault="002F5D9A" w:rsidP="00603CA3">
            <w:pPr>
              <w:spacing w:line="276" w:lineRule="auto"/>
              <w:rPr>
                <w:color w:val="000000" w:themeColor="text1"/>
                <w:sz w:val="20"/>
              </w:rPr>
            </w:pPr>
            <w:r w:rsidRPr="000B0D4D">
              <w:rPr>
                <w:color w:val="000000" w:themeColor="text1"/>
                <w:sz w:val="20"/>
              </w:rPr>
              <w:t>Krāslavas novada dome 3DP/3.4.1.1.0/09/APIA/CFLA/060</w:t>
            </w:r>
          </w:p>
        </w:tc>
        <w:tc>
          <w:tcPr>
            <w:tcW w:w="1417" w:type="dxa"/>
            <w:vAlign w:val="bottom"/>
          </w:tcPr>
          <w:p w:rsidR="002F5D9A" w:rsidRPr="000B0D4D" w:rsidRDefault="00301012" w:rsidP="00603CA3">
            <w:pPr>
              <w:spacing w:line="276" w:lineRule="auto"/>
              <w:jc w:val="center"/>
              <w:rPr>
                <w:b/>
                <w:bCs/>
                <w:color w:val="000000" w:themeColor="text1"/>
                <w:sz w:val="20"/>
              </w:rPr>
            </w:pPr>
            <w:r w:rsidRPr="000B0D4D">
              <w:rPr>
                <w:b/>
                <w:bCs/>
                <w:color w:val="000000" w:themeColor="text1"/>
                <w:sz w:val="20"/>
              </w:rPr>
              <w:t>299688.6</w:t>
            </w:r>
          </w:p>
        </w:tc>
        <w:tc>
          <w:tcPr>
            <w:tcW w:w="1985" w:type="dxa"/>
            <w:shd w:val="clear" w:color="auto" w:fill="auto"/>
            <w:noWrap/>
            <w:vAlign w:val="bottom"/>
            <w:hideMark/>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0,14 (83%)</w:t>
            </w:r>
          </w:p>
        </w:tc>
        <w:tc>
          <w:tcPr>
            <w:tcW w:w="1417" w:type="dxa"/>
            <w:shd w:val="clear" w:color="auto" w:fill="auto"/>
            <w:noWrap/>
            <w:vAlign w:val="bottom"/>
            <w:hideMark/>
          </w:tcPr>
          <w:p w:rsidR="002F5D9A" w:rsidRPr="000B0D4D" w:rsidRDefault="002F5D9A" w:rsidP="00603CA3">
            <w:pPr>
              <w:spacing w:line="276" w:lineRule="auto"/>
              <w:jc w:val="center"/>
              <w:rPr>
                <w:bCs/>
                <w:color w:val="000000" w:themeColor="text1"/>
                <w:sz w:val="20"/>
              </w:rPr>
            </w:pPr>
            <w:r w:rsidRPr="000B0D4D">
              <w:rPr>
                <w:bCs/>
                <w:color w:val="000000" w:themeColor="text1"/>
                <w:sz w:val="20"/>
              </w:rPr>
              <w:t>32471,95</w:t>
            </w:r>
          </w:p>
        </w:tc>
        <w:tc>
          <w:tcPr>
            <w:tcW w:w="1843" w:type="dxa"/>
            <w:shd w:val="clear" w:color="auto" w:fill="auto"/>
            <w:noWrap/>
            <w:vAlign w:val="bottom"/>
            <w:hideMark/>
          </w:tcPr>
          <w:p w:rsidR="002F5D9A" w:rsidRPr="000B0D4D" w:rsidRDefault="002F5D9A" w:rsidP="00603CA3">
            <w:pPr>
              <w:spacing w:line="276" w:lineRule="auto"/>
              <w:jc w:val="right"/>
              <w:rPr>
                <w:color w:val="000000" w:themeColor="text1"/>
                <w:sz w:val="20"/>
              </w:rPr>
            </w:pPr>
            <w:r w:rsidRPr="000B0D4D">
              <w:rPr>
                <w:color w:val="000000" w:themeColor="text1"/>
                <w:sz w:val="20"/>
              </w:rPr>
              <w:t>13,0%</w:t>
            </w:r>
          </w:p>
        </w:tc>
      </w:tr>
      <w:tr w:rsidR="00603CA3" w:rsidRPr="000B0D4D" w:rsidTr="00301012">
        <w:trPr>
          <w:trHeight w:val="492"/>
        </w:trPr>
        <w:tc>
          <w:tcPr>
            <w:tcW w:w="3276" w:type="dxa"/>
            <w:tcBorders>
              <w:top w:val="single" w:sz="4" w:space="0" w:color="auto"/>
              <w:left w:val="single" w:sz="4" w:space="0" w:color="auto"/>
              <w:bottom w:val="single" w:sz="4" w:space="0" w:color="auto"/>
              <w:right w:val="single" w:sz="4" w:space="0" w:color="auto"/>
            </w:tcBorders>
            <w:shd w:val="clear" w:color="auto" w:fill="auto"/>
            <w:vAlign w:val="center"/>
          </w:tcPr>
          <w:p w:rsidR="002F5D9A" w:rsidRPr="000B0D4D" w:rsidRDefault="002F5D9A" w:rsidP="00603CA3">
            <w:pPr>
              <w:spacing w:line="276" w:lineRule="auto"/>
              <w:rPr>
                <w:color w:val="000000" w:themeColor="text1"/>
                <w:sz w:val="20"/>
              </w:rPr>
            </w:pPr>
            <w:r w:rsidRPr="000B0D4D">
              <w:rPr>
                <w:color w:val="000000" w:themeColor="text1"/>
                <w:sz w:val="20"/>
              </w:rPr>
              <w:t>Kalkūnes pagasta pārvalde 3DP/3.4.1.1.0/10/APIA/CFLA/015</w:t>
            </w:r>
          </w:p>
        </w:tc>
        <w:tc>
          <w:tcPr>
            <w:tcW w:w="1417" w:type="dxa"/>
            <w:tcBorders>
              <w:top w:val="single" w:sz="4" w:space="0" w:color="auto"/>
              <w:left w:val="single" w:sz="4" w:space="0" w:color="auto"/>
              <w:bottom w:val="single" w:sz="4" w:space="0" w:color="auto"/>
              <w:right w:val="single" w:sz="4" w:space="0" w:color="auto"/>
            </w:tcBorders>
            <w:vAlign w:val="bottom"/>
          </w:tcPr>
          <w:p w:rsidR="002F5D9A" w:rsidRPr="000B0D4D" w:rsidRDefault="00301012" w:rsidP="00603CA3">
            <w:pPr>
              <w:spacing w:line="276" w:lineRule="auto"/>
              <w:jc w:val="center"/>
              <w:rPr>
                <w:b/>
                <w:bCs/>
                <w:color w:val="000000" w:themeColor="text1"/>
                <w:sz w:val="20"/>
              </w:rPr>
            </w:pPr>
            <w:r w:rsidRPr="000B0D4D">
              <w:rPr>
                <w:b/>
                <w:bCs/>
                <w:color w:val="000000" w:themeColor="text1"/>
                <w:sz w:val="20"/>
              </w:rPr>
              <w:t>108266.0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tcPr>
          <w:p w:rsidR="002F5D9A" w:rsidRPr="000B0D4D" w:rsidRDefault="002F5D9A" w:rsidP="00603CA3">
            <w:pPr>
              <w:spacing w:line="276" w:lineRule="auto"/>
              <w:jc w:val="center"/>
              <w:rPr>
                <w:b/>
                <w:bCs/>
                <w:color w:val="000000" w:themeColor="text1"/>
                <w:sz w:val="20"/>
              </w:rPr>
            </w:pPr>
            <w:r w:rsidRPr="000B0D4D">
              <w:rPr>
                <w:b/>
                <w:bCs/>
                <w:color w:val="000000" w:themeColor="text1"/>
                <w:sz w:val="20"/>
              </w:rPr>
              <w:t>0.04 (45%)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2F5D9A" w:rsidRPr="000B0D4D" w:rsidRDefault="002F5D9A" w:rsidP="00603CA3">
            <w:pPr>
              <w:spacing w:line="276" w:lineRule="auto"/>
              <w:jc w:val="center"/>
              <w:rPr>
                <w:bCs/>
                <w:color w:val="000000" w:themeColor="text1"/>
                <w:sz w:val="20"/>
              </w:rPr>
            </w:pPr>
            <w:r w:rsidRPr="000B0D4D">
              <w:rPr>
                <w:bCs/>
                <w:color w:val="000000" w:themeColor="text1"/>
                <w:sz w:val="20"/>
              </w:rPr>
              <w:t>3132</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rsidR="002F5D9A" w:rsidRPr="000B0D4D" w:rsidRDefault="002F5D9A" w:rsidP="00603CA3">
            <w:pPr>
              <w:spacing w:line="276" w:lineRule="auto"/>
              <w:jc w:val="right"/>
              <w:rPr>
                <w:color w:val="000000" w:themeColor="text1"/>
                <w:sz w:val="20"/>
              </w:rPr>
            </w:pPr>
            <w:r w:rsidRPr="000B0D4D">
              <w:rPr>
                <w:color w:val="000000" w:themeColor="text1"/>
                <w:sz w:val="20"/>
              </w:rPr>
              <w:t>6,4%</w:t>
            </w:r>
          </w:p>
        </w:tc>
      </w:tr>
    </w:tbl>
    <w:p w:rsidR="00DF0A19" w:rsidRPr="00603CA3" w:rsidRDefault="00DF0A19" w:rsidP="00603CA3">
      <w:pPr>
        <w:tabs>
          <w:tab w:val="left" w:pos="1222"/>
        </w:tabs>
        <w:spacing w:line="276" w:lineRule="auto"/>
        <w:rPr>
          <w:color w:val="000000" w:themeColor="text1"/>
          <w:szCs w:val="24"/>
        </w:rPr>
      </w:pPr>
    </w:p>
    <w:p w:rsidR="00DF0A19" w:rsidRPr="00603CA3" w:rsidRDefault="00DF0A19" w:rsidP="00603CA3">
      <w:pPr>
        <w:spacing w:line="276" w:lineRule="auto"/>
        <w:rPr>
          <w:b/>
          <w:color w:val="000000" w:themeColor="text1"/>
          <w:szCs w:val="24"/>
          <w:lang w:eastAsia="lv-LV"/>
        </w:rPr>
      </w:pPr>
    </w:p>
    <w:p w:rsidR="00E755B6" w:rsidRPr="00603CA3" w:rsidRDefault="00E755B6" w:rsidP="00603CA3">
      <w:pPr>
        <w:pStyle w:val="2lmenis"/>
        <w:numPr>
          <w:ilvl w:val="1"/>
          <w:numId w:val="2"/>
        </w:numPr>
        <w:spacing w:before="0" w:after="0" w:line="276" w:lineRule="auto"/>
        <w:ind w:left="1276" w:hanging="425"/>
        <w:rPr>
          <w:color w:val="000000" w:themeColor="text1"/>
          <w:sz w:val="24"/>
          <w:szCs w:val="24"/>
          <w:lang w:val="lv-LV"/>
        </w:rPr>
      </w:pPr>
      <w:bookmarkStart w:id="46" w:name="_Toc300759832"/>
      <w:r w:rsidRPr="00603CA3">
        <w:rPr>
          <w:color w:val="000000" w:themeColor="text1"/>
          <w:sz w:val="24"/>
          <w:szCs w:val="24"/>
          <w:lang w:val="lv-LV"/>
        </w:rPr>
        <w:lastRenderedPageBreak/>
        <w:t>Neatbilstoši veikti izdevumi un zaudējumi valsts budžetam 2007 – 2013. gada plānošanas periodā ES fondi</w:t>
      </w:r>
      <w:bookmarkEnd w:id="46"/>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Kā minēts šīs nodaļas ievadā neatbilstoši veikti izdevumi rodas, ja tos nav iespējas ieturēt no kārtējā maksājuma, jeb neatbilstība ir konstatēta pēc maksājumu veikšanas finansējuma saņēmējam.  </w:t>
      </w:r>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Neatbilstoši veikto izdevumu apjoms līdz 2011. gada 30. jūnijam ir 2,2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jeb 30,1 % no kopējā konstatētā neatbilstību apjoma. No tiem uz pārskata perioda beigām atgūti neatbilstoši veikti izdevumi 70,2% apmērā jeb 1,6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Attiecīgi secinām, ka lielākā daļa neatbilstību tiek atklātas pirms maksājumu veikšanas finansējuma saņēmējam attiecīgi summas tiek ieturētas no kārtējā maksājuma. </w:t>
      </w:r>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Lielākais neatbilstoši veikto izdevumu apjoms konstatēts pašvaldību īstenotajos projektos un tas ir 1,7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jeb 80,1 % no kopējā neatbilstoši veikto izdevumu apjoma uz pārskata periodā beigām - 30.06.2011. No pašvaldību īstenotajos projektos konstatētā neatbilstoši veikto izdevumu apjoma atgūti 78% no kopēja neatbilstoši veikto izdevumu apjoma jeb 1,4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latu. Detalizēta informācija apkopota grafikā Nr.</w:t>
      </w:r>
      <w:r w:rsidR="00DE77F3" w:rsidRPr="00603CA3">
        <w:rPr>
          <w:rFonts w:eastAsia="EUAlbertina-Bold-Identity-H"/>
          <w:color w:val="000000" w:themeColor="text1"/>
          <w:szCs w:val="24"/>
          <w:lang w:eastAsia="lv-LV"/>
        </w:rPr>
        <w:t>17</w:t>
      </w:r>
      <w:r w:rsidRPr="00603CA3">
        <w:rPr>
          <w:rFonts w:eastAsia="EUAlbertina-Bold-Identity-H"/>
          <w:color w:val="000000" w:themeColor="text1"/>
          <w:szCs w:val="24"/>
          <w:lang w:eastAsia="lv-LV"/>
        </w:rPr>
        <w:t xml:space="preserve">. </w:t>
      </w:r>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Grafiks Nr.</w:t>
      </w:r>
      <w:r w:rsidR="00DE77F3" w:rsidRPr="00603CA3">
        <w:rPr>
          <w:rFonts w:eastAsia="EUAlbertina-Bold-Identity-H"/>
          <w:color w:val="000000" w:themeColor="text1"/>
          <w:szCs w:val="24"/>
          <w:lang w:eastAsia="lv-LV"/>
        </w:rPr>
        <w:t>17</w:t>
      </w:r>
      <w:r w:rsidRPr="00603CA3">
        <w:rPr>
          <w:rFonts w:eastAsia="EUAlbertina-Bold-Identity-H"/>
          <w:color w:val="000000" w:themeColor="text1"/>
          <w:szCs w:val="24"/>
          <w:lang w:eastAsia="lv-LV"/>
        </w:rPr>
        <w:t xml:space="preserve"> </w:t>
      </w:r>
      <w:r w:rsidRPr="00603CA3">
        <w:rPr>
          <w:rFonts w:eastAsia="EUAlbertina-Bold-Identity-H"/>
          <w:i/>
          <w:color w:val="000000" w:themeColor="text1"/>
          <w:szCs w:val="24"/>
          <w:lang w:eastAsia="lv-LV"/>
        </w:rPr>
        <w:t xml:space="preserve">„Neatbilstoši veikti izdevumi sadalījumā pa finansējuma saņēmēju veidiem līdz 30.06.2011 </w:t>
      </w:r>
      <w:proofErr w:type="spellStart"/>
      <w:r w:rsidRPr="00603CA3">
        <w:rPr>
          <w:rFonts w:eastAsia="EUAlbertina-Bold-Identity-H"/>
          <w:i/>
          <w:color w:val="000000" w:themeColor="text1"/>
          <w:szCs w:val="24"/>
          <w:lang w:eastAsia="lv-LV"/>
        </w:rPr>
        <w:t>milj</w:t>
      </w:r>
      <w:proofErr w:type="spellEnd"/>
      <w:r w:rsidRPr="00603CA3">
        <w:rPr>
          <w:rFonts w:eastAsia="EUAlbertina-Bold-Identity-H"/>
          <w:i/>
          <w:color w:val="000000" w:themeColor="text1"/>
          <w:szCs w:val="24"/>
          <w:lang w:eastAsia="lv-LV"/>
        </w:rPr>
        <w:t>. LVL (% no kopēja neatbilstoši veikto izdevumu apjoma)”</w:t>
      </w:r>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noProof/>
          <w:color w:val="000000" w:themeColor="text1"/>
          <w:szCs w:val="24"/>
          <w:lang w:eastAsia="lv-LV"/>
        </w:rPr>
        <w:drawing>
          <wp:inline distT="0" distB="0" distL="0" distR="0" wp14:anchorId="2DB9076F" wp14:editId="2E5EFE2C">
            <wp:extent cx="4731489" cy="2955851"/>
            <wp:effectExtent l="0" t="0" r="12065" b="1651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Pārskata periodā neatbilstoši veikto izdevumu apjoms ir 0,1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LVL jeb 8,3% no kopējā pārskata periodā konstatēto neatbilstību apjoma. No kopējā neatbilstoši veikto izdevumu apjoma pārskata periodā atgūts 43,6 </w:t>
      </w:r>
      <w:proofErr w:type="spellStart"/>
      <w:r w:rsidRPr="00603CA3">
        <w:rPr>
          <w:rFonts w:eastAsia="EUAlbertina-Bold-Identity-H"/>
          <w:color w:val="000000" w:themeColor="text1"/>
          <w:szCs w:val="24"/>
          <w:lang w:eastAsia="lv-LV"/>
        </w:rPr>
        <w:t>tūkst</w:t>
      </w:r>
      <w:proofErr w:type="spellEnd"/>
      <w:r w:rsidRPr="00603CA3">
        <w:rPr>
          <w:rFonts w:eastAsia="EUAlbertina-Bold-Identity-H"/>
          <w:color w:val="000000" w:themeColor="text1"/>
          <w:szCs w:val="24"/>
          <w:lang w:eastAsia="lv-LV"/>
        </w:rPr>
        <w:t xml:space="preserve">. latu jeb 43% no kopējiem pārskata periodā konstatēto neatbilstoši veikto izdevumu apjoma. Pārskata periodā lielākais neatbilstoši veikto izdevumu apjoms konstatēts pašvaldību īstenotajos projektos un tas ir 73,1 </w:t>
      </w:r>
      <w:proofErr w:type="spellStart"/>
      <w:r w:rsidRPr="00603CA3">
        <w:rPr>
          <w:rFonts w:eastAsia="EUAlbertina-Bold-Identity-H"/>
          <w:color w:val="000000" w:themeColor="text1"/>
          <w:szCs w:val="24"/>
          <w:lang w:eastAsia="lv-LV"/>
        </w:rPr>
        <w:t>tukst</w:t>
      </w:r>
      <w:proofErr w:type="spellEnd"/>
      <w:r w:rsidRPr="00603CA3">
        <w:rPr>
          <w:rFonts w:eastAsia="EUAlbertina-Bold-Identity-H"/>
          <w:color w:val="000000" w:themeColor="text1"/>
          <w:szCs w:val="24"/>
          <w:lang w:eastAsia="lv-LV"/>
        </w:rPr>
        <w:t xml:space="preserve">. latu jeb 71,3 % no pārskata periodā konstatētā neatbilstoši veikto izdevumu apjoma. Detalizēta informācija apkopota grafikā </w:t>
      </w:r>
      <w:proofErr w:type="spellStart"/>
      <w:r w:rsidRPr="00603CA3">
        <w:rPr>
          <w:rFonts w:eastAsia="EUAlbertina-Bold-Identity-H"/>
          <w:color w:val="000000" w:themeColor="text1"/>
          <w:szCs w:val="24"/>
          <w:lang w:eastAsia="lv-LV"/>
        </w:rPr>
        <w:t>Nr</w:t>
      </w:r>
      <w:proofErr w:type="spellEnd"/>
      <w:r w:rsidRPr="00603CA3">
        <w:rPr>
          <w:rFonts w:eastAsia="EUAlbertina-Bold-Identity-H"/>
          <w:color w:val="000000" w:themeColor="text1"/>
          <w:szCs w:val="24"/>
          <w:lang w:eastAsia="lv-LV"/>
        </w:rPr>
        <w:t xml:space="preserve">. </w:t>
      </w:r>
      <w:r w:rsidR="00DE77F3" w:rsidRPr="00603CA3">
        <w:rPr>
          <w:rFonts w:eastAsia="EUAlbertina-Bold-Identity-H"/>
          <w:color w:val="000000" w:themeColor="text1"/>
          <w:szCs w:val="24"/>
          <w:lang w:eastAsia="lv-LV"/>
        </w:rPr>
        <w:t>18</w:t>
      </w:r>
      <w:r w:rsidRPr="00603CA3">
        <w:rPr>
          <w:rFonts w:eastAsia="EUAlbertina-Bold-Identity-H"/>
          <w:color w:val="000000" w:themeColor="text1"/>
          <w:szCs w:val="24"/>
          <w:lang w:eastAsia="lv-LV"/>
        </w:rPr>
        <w:t xml:space="preserve">. </w:t>
      </w:r>
    </w:p>
    <w:p w:rsidR="00E755B6" w:rsidRPr="00603CA3" w:rsidRDefault="00E755B6" w:rsidP="00603CA3">
      <w:pPr>
        <w:spacing w:line="276" w:lineRule="auto"/>
        <w:rPr>
          <w:rFonts w:eastAsia="EUAlbertina-Bold-Identity-H"/>
          <w:i/>
          <w:color w:val="000000" w:themeColor="text1"/>
          <w:szCs w:val="24"/>
          <w:lang w:eastAsia="lv-LV"/>
        </w:rPr>
      </w:pPr>
      <w:r w:rsidRPr="00603CA3">
        <w:rPr>
          <w:rFonts w:eastAsia="EUAlbertina-Bold-Identity-H"/>
          <w:color w:val="000000" w:themeColor="text1"/>
          <w:szCs w:val="24"/>
          <w:lang w:eastAsia="lv-LV"/>
        </w:rPr>
        <w:t>Grafiks Nr.</w:t>
      </w:r>
      <w:r w:rsidR="00DE77F3" w:rsidRPr="00603CA3">
        <w:rPr>
          <w:rFonts w:eastAsia="EUAlbertina-Bold-Identity-H"/>
          <w:color w:val="000000" w:themeColor="text1"/>
          <w:szCs w:val="24"/>
          <w:lang w:eastAsia="lv-LV"/>
        </w:rPr>
        <w:t>18</w:t>
      </w:r>
      <w:r w:rsidRPr="00603CA3">
        <w:rPr>
          <w:rFonts w:eastAsia="EUAlbertina-Bold-Identity-H"/>
          <w:color w:val="000000" w:themeColor="text1"/>
          <w:szCs w:val="24"/>
          <w:lang w:eastAsia="lv-LV"/>
        </w:rPr>
        <w:t xml:space="preserve"> </w:t>
      </w:r>
      <w:r w:rsidRPr="00603CA3">
        <w:rPr>
          <w:rFonts w:eastAsia="EUAlbertina-Bold-Identity-H"/>
          <w:i/>
          <w:color w:val="000000" w:themeColor="text1"/>
          <w:szCs w:val="24"/>
          <w:lang w:eastAsia="lv-LV"/>
        </w:rPr>
        <w:t xml:space="preserve">„Neatbilstoši veikti izdevumi sadalījumā pa finansējuma saņēmēju veidiem 2011.gada II ceturksnī </w:t>
      </w:r>
      <w:proofErr w:type="spellStart"/>
      <w:r w:rsidRPr="00603CA3">
        <w:rPr>
          <w:rFonts w:eastAsia="EUAlbertina-Bold-Identity-H"/>
          <w:i/>
          <w:color w:val="000000" w:themeColor="text1"/>
          <w:szCs w:val="24"/>
          <w:lang w:eastAsia="lv-LV"/>
        </w:rPr>
        <w:t>tūkst</w:t>
      </w:r>
      <w:proofErr w:type="spellEnd"/>
      <w:r w:rsidRPr="00603CA3">
        <w:rPr>
          <w:rFonts w:eastAsia="EUAlbertina-Bold-Identity-H"/>
          <w:i/>
          <w:color w:val="000000" w:themeColor="text1"/>
          <w:szCs w:val="24"/>
          <w:lang w:eastAsia="lv-LV"/>
        </w:rPr>
        <w:t>. LVL (% no pārskata periodā konstatētā neatbilstoši veikto izdevumu apjoma)”</w:t>
      </w:r>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noProof/>
          <w:color w:val="000000" w:themeColor="text1"/>
          <w:szCs w:val="24"/>
          <w:lang w:eastAsia="lv-LV"/>
        </w:rPr>
        <w:lastRenderedPageBreak/>
        <w:drawing>
          <wp:inline distT="0" distB="0" distL="0" distR="0" wp14:anchorId="0D49B774" wp14:editId="600F8BF8">
            <wp:extent cx="5422605" cy="2264735"/>
            <wp:effectExtent l="0" t="0" r="26035" b="2159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Kopumā uz pārskata perioda beigām zaudējumi valsts budžetam ir 4,3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Zaudējumus valsts budžetam ir neatbilstoši veikti izdevumi kuri konstatēti tiešo vai pastarpināto valsts pārvaldes iestāžu, atvasināto publisko personu vai citu valsts iestāžu īstenotajos projektos un izdevumi tiek atgūti tos ieturot no kārtēja/nākamā maksājuma, norakstot, atgūstot un ziņojot Ministru kabinetam. Papildus zaudējumus valsts budžetam rada neatbilstoši veikti izdevumi kuri konstatēti komersantu un nevalstisko organizāciju īstenotajos projektos un tos nav iespējams atgūt. Kopumā uz pārskata perioda beigām atgūti 3,8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jeb 88,3 %. </w:t>
      </w:r>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Analizējot šī ziņojuma pielikumā Nr.3 informāciju par 2011.gada 2.ceturknī konstatētajiem neatbilstoši veiktajiem izdevumiem tiešo vai pastarpināto valsts pārvaldes iestāžu, atvasināto publisko personu vai citu valsts iestāžu īstenotajos projektos, redzams, ka tas kopumā rada zaudējumus valsts budžetam 761,5 </w:t>
      </w:r>
      <w:proofErr w:type="spellStart"/>
      <w:r w:rsidRPr="00603CA3">
        <w:rPr>
          <w:rFonts w:eastAsia="EUAlbertina-Bold-Identity-H"/>
          <w:color w:val="000000" w:themeColor="text1"/>
          <w:szCs w:val="24"/>
          <w:lang w:eastAsia="lv-LV"/>
        </w:rPr>
        <w:t>tukst</w:t>
      </w:r>
      <w:proofErr w:type="spellEnd"/>
      <w:r w:rsidRPr="00603CA3">
        <w:rPr>
          <w:rFonts w:eastAsia="EUAlbertina-Bold-Identity-H"/>
          <w:color w:val="000000" w:themeColor="text1"/>
          <w:szCs w:val="24"/>
          <w:lang w:eastAsia="lv-LV"/>
        </w:rPr>
        <w:t xml:space="preserve">. latu apmērā. Pārskata periodā konstatēto neatbilstoši veikto izdevumu apjoms tiešo vai pastarpināto valsts pārvaldes iestāžu, atvasināto publisko personu vai citu valsts iestāžu īstenotajos projektos ir 58,3% no pārskata periodā konstatēto neatbilstību apjoma. </w:t>
      </w:r>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Papildus skaidrojam, ka šī ziņojuma tabulās Nr.</w:t>
      </w:r>
      <w:r w:rsidR="002F4D6B">
        <w:rPr>
          <w:rFonts w:eastAsia="EUAlbertina-Bold-Identity-H"/>
          <w:color w:val="000000" w:themeColor="text1"/>
          <w:szCs w:val="24"/>
          <w:lang w:eastAsia="lv-LV"/>
        </w:rPr>
        <w:t>5 un 6</w:t>
      </w:r>
      <w:r w:rsidRPr="00603CA3">
        <w:rPr>
          <w:rFonts w:eastAsia="EUAlbertina-Bold-Identity-H"/>
          <w:color w:val="000000" w:themeColor="text1"/>
          <w:szCs w:val="24"/>
          <w:lang w:eastAsia="lv-LV"/>
        </w:rPr>
        <w:t xml:space="preserve"> ir norādīti pārskata periodā konstatētie projekti tiešo vai pastarpināto valsts pārvaldes iestāžu, atvasināto publisko personu vai citu valsts iestāžu īstenotajos projektos, kuros neatbilstību summas pret tajos veiktajiem maksājumiem pārsniedz 2% (EK noteikto) būtiskuma pakāpi, </w:t>
      </w:r>
      <w:r w:rsidR="00811D88" w:rsidRPr="00603CA3">
        <w:rPr>
          <w:rFonts w:eastAsia="EUAlbertina-Bold-Identity-H"/>
          <w:color w:val="000000" w:themeColor="text1"/>
          <w:szCs w:val="24"/>
          <w:lang w:eastAsia="lv-LV"/>
        </w:rPr>
        <w:t>attiecīgi šādi projekti ir īpaši uzraugāmi, lai gūtu pārliecību, ka plānotie mērķi tiks sasniegti un projekts īstenots.</w:t>
      </w:r>
    </w:p>
    <w:p w:rsidR="00E755B6" w:rsidRPr="00603CA3" w:rsidRDefault="00E755B6" w:rsidP="00603CA3">
      <w:pPr>
        <w:spacing w:line="276" w:lineRule="auto"/>
        <w:rPr>
          <w:color w:val="000000" w:themeColor="text1"/>
          <w:szCs w:val="24"/>
        </w:rPr>
      </w:pPr>
      <w:r w:rsidRPr="00603CA3">
        <w:rPr>
          <w:color w:val="000000" w:themeColor="text1"/>
          <w:szCs w:val="24"/>
        </w:rPr>
        <w:t xml:space="preserve">Pēc Finanšu ministrijas saņemtās informācijas no Eiropas </w:t>
      </w:r>
      <w:r w:rsidRPr="00603CA3">
        <w:rPr>
          <w:rFonts w:eastAsia="EUAlbertina-Bold-Identity-H"/>
          <w:color w:val="000000" w:themeColor="text1"/>
          <w:szCs w:val="24"/>
          <w:lang w:eastAsia="lv-LV"/>
        </w:rPr>
        <w:t>Savienību</w:t>
      </w:r>
      <w:r w:rsidRPr="00603CA3">
        <w:rPr>
          <w:color w:val="000000" w:themeColor="text1"/>
          <w:szCs w:val="24"/>
        </w:rPr>
        <w:t xml:space="preserve"> fondu administrēšanā iesaistītajām atbildīgajām iestādēm 2011. gada 2. ceturksnī disciplinārlietas ir ierosinātas pret Izglītības un zinātnes ministrijas, Valsts Izglītības un attīstības aģentūras un Nodarbinātības valsts aģentūras darbiniekiem. Kā arī viena disciplinārlieta ir ierosināta pret vienu no Eiropas Savienības fondu finansējuma saņēmējiem. Kā disciplinārsodi piemēroti rājieni (ierēdņiem) un piezīmes (darbiniekiem), kā arī vienā gadījumā pārtrauktas darba attiecības. </w:t>
      </w:r>
    </w:p>
    <w:p w:rsidR="00E755B6" w:rsidRPr="00603CA3" w:rsidRDefault="00E755B6" w:rsidP="00603CA3">
      <w:pPr>
        <w:spacing w:line="276" w:lineRule="auto"/>
        <w:rPr>
          <w:color w:val="000000" w:themeColor="text1"/>
          <w:szCs w:val="24"/>
        </w:rPr>
      </w:pPr>
      <w:r w:rsidRPr="00603CA3">
        <w:rPr>
          <w:color w:val="000000" w:themeColor="text1"/>
          <w:szCs w:val="24"/>
        </w:rPr>
        <w:t xml:space="preserve">Atbilstoši Ministru kabineta 2011. gada 8. marta sēdes protokolam </w:t>
      </w:r>
      <w:proofErr w:type="spellStart"/>
      <w:r w:rsidRPr="00603CA3">
        <w:rPr>
          <w:color w:val="000000" w:themeColor="text1"/>
          <w:szCs w:val="24"/>
        </w:rPr>
        <w:t>Nr</w:t>
      </w:r>
      <w:proofErr w:type="spellEnd"/>
      <w:r w:rsidRPr="00603CA3">
        <w:rPr>
          <w:color w:val="000000" w:themeColor="text1"/>
          <w:szCs w:val="24"/>
        </w:rPr>
        <w:t xml:space="preserve">. 14., 21§ 4. punktam atbildīgajai iestādei konstatējot neatbilstību vai neatbilstoši veiktus izdevumus valsts budžeta iestādes īstenotajā projektā vai tās kā ES fondu vadībā iesaistītās institūcijas pienākumu izpildē, izvērtējot lietas apstākļus nepieciešamības gadījumā jāveic dienesta pārbaudi atbilstoši Valsts pārvaldes iekārtas likuma 35.panta pirmajai daļai. Pēc dienesta pārbaudes atzinuma saņemšanas, ja nepieciešamas, jāierosina disciplinārlieta pret atbildīgajām amatpersonām un pārvaldes amatpersonām atbilstoši Valsts civildienesta ierēdņu </w:t>
      </w:r>
      <w:r w:rsidRPr="00603CA3">
        <w:rPr>
          <w:color w:val="000000" w:themeColor="text1"/>
          <w:szCs w:val="24"/>
        </w:rPr>
        <w:lastRenderedPageBreak/>
        <w:t xml:space="preserve">disciplināratbildības likumam, Darba likumam un citiem speciālajiem normatīvajiem aktiem, kuri regulē amatpersonu disciplināratbildību. </w:t>
      </w:r>
    </w:p>
    <w:p w:rsidR="00E755B6" w:rsidRPr="00603CA3" w:rsidRDefault="00E755B6" w:rsidP="00603CA3">
      <w:pPr>
        <w:spacing w:line="276" w:lineRule="auto"/>
        <w:rPr>
          <w:color w:val="000000" w:themeColor="text1"/>
          <w:szCs w:val="24"/>
        </w:rPr>
      </w:pPr>
      <w:r w:rsidRPr="00603CA3">
        <w:rPr>
          <w:color w:val="000000" w:themeColor="text1"/>
          <w:szCs w:val="24"/>
        </w:rPr>
        <w:t>Īpaši vēršam uzmanību uz to, ka jāizvērtē disciplinārlietas ierosināšanas nepieciešamība gadījumos, ja tiek radīti zaudējumi valsts budžetam, kas rodas, ja valsts budžeta iestāde ir finansējuma saņēmējs, kura darbības vai bezdarbības rezultātā ir radusies neatbilstība ar finansiālu ietekmi. Neatbalstām disciplinārlietu ierosināšanu pret uzraugošo (atbildīgo un sadarbības iestāžu) vai kontrolējošās iestādes (piemēram, revīzijas iestādes) darbinieku iespējamo sodīšanu par neatbilstību atklāšanu vai neatklāšanu.</w:t>
      </w:r>
    </w:p>
    <w:p w:rsidR="00E755B6" w:rsidRPr="00603CA3" w:rsidRDefault="00E755B6" w:rsidP="00603CA3">
      <w:pPr>
        <w:pStyle w:val="2lmenis"/>
        <w:numPr>
          <w:ilvl w:val="1"/>
          <w:numId w:val="2"/>
        </w:numPr>
        <w:spacing w:before="0" w:after="0" w:line="276" w:lineRule="auto"/>
        <w:ind w:left="1276" w:hanging="425"/>
        <w:rPr>
          <w:color w:val="000000" w:themeColor="text1"/>
          <w:sz w:val="24"/>
          <w:szCs w:val="24"/>
          <w:lang w:val="lv-LV"/>
        </w:rPr>
      </w:pPr>
      <w:bookmarkStart w:id="47" w:name="_Toc300759833"/>
      <w:r w:rsidRPr="00603CA3">
        <w:rPr>
          <w:color w:val="000000" w:themeColor="text1"/>
          <w:sz w:val="24"/>
          <w:szCs w:val="24"/>
          <w:lang w:val="lv-LV"/>
        </w:rPr>
        <w:t>2004.-2006.gada plānošanas periods</w:t>
      </w:r>
      <w:bookmarkEnd w:id="47"/>
    </w:p>
    <w:p w:rsidR="00E755B6" w:rsidRPr="00603CA3" w:rsidRDefault="00E755B6" w:rsidP="00603CA3">
      <w:pPr>
        <w:spacing w:line="276" w:lineRule="auto"/>
        <w:rPr>
          <w:rFonts w:eastAsia="EUAlbertina-Bold-Identity-H"/>
          <w:color w:val="000000" w:themeColor="text1"/>
          <w:szCs w:val="24"/>
          <w:lang w:eastAsia="lv-LV"/>
        </w:rPr>
      </w:pPr>
      <w:r w:rsidRPr="00603CA3">
        <w:rPr>
          <w:rFonts w:eastAsia="EUAlbertina-Bold-Identity-H"/>
          <w:color w:val="000000" w:themeColor="text1"/>
          <w:szCs w:val="24"/>
          <w:lang w:eastAsia="lv-LV"/>
        </w:rPr>
        <w:t xml:space="preserve">Pārskata periodā, ERAF, ESF, Eiropas Lauksaimniecības virzības un garantiju fonda un Zivsaimniecības virzības finanšu instrumenta aktivitātēs atbilstoši ES fondu vadības informācijas sistēmā esošiem datiem nav konstatēti jauni neatbilstību gadījumi. </w:t>
      </w:r>
    </w:p>
    <w:p w:rsidR="003A2487" w:rsidRPr="00603CA3" w:rsidRDefault="00E755B6" w:rsidP="00603CA3">
      <w:pPr>
        <w:spacing w:line="276" w:lineRule="auto"/>
        <w:rPr>
          <w:color w:val="000000" w:themeColor="text1"/>
          <w:szCs w:val="24"/>
        </w:rPr>
      </w:pPr>
      <w:r w:rsidRPr="00603CA3">
        <w:rPr>
          <w:rFonts w:eastAsia="EUAlbertina-Bold-Identity-H"/>
          <w:color w:val="000000" w:themeColor="text1"/>
          <w:szCs w:val="24"/>
          <w:lang w:eastAsia="lv-LV"/>
        </w:rPr>
        <w:t xml:space="preserve">Pārskata periodā Kohēzijas fonda projektā Nr.2005/LV/16/C/PE/004 konstatēta neatbilstība, kas klasificēta, kā „Aizdomas par krāpšanu vai organizēto noziedzību”. Konstatētās neatbilstības apjoms ir 0,1 </w:t>
      </w:r>
      <w:proofErr w:type="spellStart"/>
      <w:r w:rsidRPr="00603CA3">
        <w:rPr>
          <w:rFonts w:eastAsia="EUAlbertina-Bold-Identity-H"/>
          <w:color w:val="000000" w:themeColor="text1"/>
          <w:szCs w:val="24"/>
          <w:lang w:eastAsia="lv-LV"/>
        </w:rPr>
        <w:t>milj</w:t>
      </w:r>
      <w:proofErr w:type="spellEnd"/>
      <w:r w:rsidRPr="00603CA3">
        <w:rPr>
          <w:rFonts w:eastAsia="EUAlbertina-Bold-Identity-H"/>
          <w:color w:val="000000" w:themeColor="text1"/>
          <w:szCs w:val="24"/>
          <w:lang w:eastAsia="lv-LV"/>
        </w:rPr>
        <w:t xml:space="preserve"> latu. Papildus saskaņā ar neatbilstoši veikto izdevumu atgūšanas laika grafiku ir atgūti neatbilstoši veiktie izdevumi 3632,4 latu apmērā.</w:t>
      </w:r>
      <w:r w:rsidR="00DD26AC" w:rsidRPr="00603CA3">
        <w:rPr>
          <w:color w:val="000000" w:themeColor="text1"/>
          <w:szCs w:val="24"/>
        </w:rPr>
        <w:t xml:space="preserve">  </w:t>
      </w:r>
    </w:p>
    <w:p w:rsidR="008A3078" w:rsidRPr="00603CA3" w:rsidRDefault="00B85134" w:rsidP="00603CA3">
      <w:pPr>
        <w:pStyle w:val="2lmenis"/>
        <w:numPr>
          <w:ilvl w:val="1"/>
          <w:numId w:val="2"/>
        </w:numPr>
        <w:spacing w:before="0" w:after="0" w:line="276" w:lineRule="auto"/>
        <w:ind w:left="1276" w:hanging="425"/>
        <w:rPr>
          <w:color w:val="000000" w:themeColor="text1"/>
          <w:sz w:val="24"/>
          <w:szCs w:val="24"/>
          <w:lang w:val="lv-LV"/>
        </w:rPr>
      </w:pPr>
      <w:bookmarkStart w:id="48" w:name="_Toc300759834"/>
      <w:r w:rsidRPr="00603CA3">
        <w:rPr>
          <w:color w:val="000000" w:themeColor="text1"/>
          <w:sz w:val="24"/>
          <w:szCs w:val="24"/>
          <w:lang w:val="lv-LV"/>
        </w:rPr>
        <w:t xml:space="preserve">Eiropas Ekonomikas zonas un </w:t>
      </w:r>
      <w:r w:rsidR="008A3078" w:rsidRPr="00603CA3">
        <w:rPr>
          <w:color w:val="000000" w:themeColor="text1"/>
          <w:sz w:val="24"/>
          <w:szCs w:val="24"/>
          <w:lang w:val="lv-LV"/>
        </w:rPr>
        <w:t>Norvēģijas finanšu instrumentu, Latvijas un Šveices sadarbības programma</w:t>
      </w:r>
      <w:bookmarkEnd w:id="48"/>
    </w:p>
    <w:p w:rsidR="00B029CC" w:rsidRPr="00603CA3" w:rsidRDefault="00B029CC"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2011.gada 2.ceturknī ir konstatētas neatbilstības 2 individuālajos projektos un 1 </w:t>
      </w:r>
      <w:proofErr w:type="spellStart"/>
      <w:r w:rsidRPr="00603CA3">
        <w:rPr>
          <w:rFonts w:eastAsia="Calibri"/>
          <w:color w:val="000000" w:themeColor="text1"/>
          <w:szCs w:val="24"/>
        </w:rPr>
        <w:t>apakšprojektā</w:t>
      </w:r>
      <w:proofErr w:type="spellEnd"/>
      <w:r w:rsidRPr="00603CA3">
        <w:rPr>
          <w:rFonts w:eastAsia="Calibri"/>
          <w:color w:val="000000" w:themeColor="text1"/>
          <w:szCs w:val="24"/>
        </w:rPr>
        <w:t xml:space="preserve"> VPP programmas ietvaros, par kurām </w:t>
      </w:r>
      <w:proofErr w:type="spellStart"/>
      <w:r w:rsidRPr="00603CA3">
        <w:rPr>
          <w:rFonts w:eastAsia="Calibri"/>
          <w:color w:val="000000" w:themeColor="text1"/>
          <w:szCs w:val="24"/>
        </w:rPr>
        <w:t>donorvalstis</w:t>
      </w:r>
      <w:proofErr w:type="spellEnd"/>
      <w:r w:rsidRPr="00603CA3">
        <w:rPr>
          <w:rFonts w:eastAsia="Calibri"/>
          <w:color w:val="000000" w:themeColor="text1"/>
          <w:szCs w:val="24"/>
        </w:rPr>
        <w:t xml:space="preserve"> ir informētas ar ceturkšņa neatbilstību ziņojumiem. Sākot no pirmo projektu īstenošanas uzsākšanas 2007.gada janvārī līdz pārskata perioda beigām kopā ir konstatētas neatbilstības 8 individuālajos projektos, 5 VPP programmas  </w:t>
      </w:r>
      <w:proofErr w:type="spellStart"/>
      <w:r w:rsidRPr="00603CA3">
        <w:rPr>
          <w:rFonts w:eastAsia="Calibri"/>
          <w:color w:val="000000" w:themeColor="text1"/>
          <w:szCs w:val="24"/>
        </w:rPr>
        <w:t>apakšprojektos</w:t>
      </w:r>
      <w:proofErr w:type="spellEnd"/>
      <w:r w:rsidRPr="00603CA3">
        <w:rPr>
          <w:rFonts w:eastAsia="Calibri"/>
          <w:color w:val="000000" w:themeColor="text1"/>
          <w:szCs w:val="24"/>
        </w:rPr>
        <w:t xml:space="preserve"> un 1 Stipendiju grantu shēmas </w:t>
      </w:r>
      <w:proofErr w:type="spellStart"/>
      <w:r w:rsidRPr="00603CA3">
        <w:rPr>
          <w:rFonts w:eastAsia="Calibri"/>
          <w:color w:val="000000" w:themeColor="text1"/>
          <w:szCs w:val="24"/>
        </w:rPr>
        <w:t>apakšprojektā</w:t>
      </w:r>
      <w:proofErr w:type="spellEnd"/>
      <w:r w:rsidRPr="00603CA3">
        <w:rPr>
          <w:rFonts w:eastAsia="Calibri"/>
          <w:color w:val="000000" w:themeColor="text1"/>
          <w:szCs w:val="24"/>
        </w:rPr>
        <w:t>.</w:t>
      </w:r>
    </w:p>
    <w:p w:rsidR="00B029CC" w:rsidRPr="00603CA3" w:rsidRDefault="00B029CC"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Centrālā finanšu un līgumu aģentūra un Valsts kase līdz pārskata perioda beigām par neattiecināmiem izdevumiem ir atzinušas un samazinājušas projektu starpposma pārskatos iekļautos izdevumus kopsummā 689,7 </w:t>
      </w:r>
      <w:proofErr w:type="spellStart"/>
      <w:r w:rsidRPr="00603CA3">
        <w:rPr>
          <w:rFonts w:eastAsia="Calibri"/>
          <w:color w:val="000000" w:themeColor="text1"/>
          <w:szCs w:val="24"/>
        </w:rPr>
        <w:t>tūkst</w:t>
      </w:r>
      <w:proofErr w:type="spellEnd"/>
      <w:r w:rsidRPr="00603CA3">
        <w:rPr>
          <w:rFonts w:eastAsia="Calibri"/>
          <w:color w:val="000000" w:themeColor="text1"/>
          <w:szCs w:val="24"/>
        </w:rPr>
        <w:t xml:space="preserve">. latu apmērā jeb 1,5% no EEZ/Norvēģijas finanšu instrumentu ietvaros pieejamā kopējā publiskā finansējuma, </w:t>
      </w:r>
      <w:proofErr w:type="spellStart"/>
      <w:r w:rsidRPr="00603CA3">
        <w:rPr>
          <w:rFonts w:eastAsia="Calibri"/>
          <w:color w:val="000000" w:themeColor="text1"/>
          <w:szCs w:val="24"/>
        </w:rPr>
        <w:t>t.sk</w:t>
      </w:r>
      <w:proofErr w:type="spellEnd"/>
      <w:r w:rsidRPr="00603CA3">
        <w:rPr>
          <w:rFonts w:eastAsia="Calibri"/>
          <w:color w:val="000000" w:themeColor="text1"/>
          <w:szCs w:val="24"/>
        </w:rPr>
        <w:t>.:</w:t>
      </w:r>
    </w:p>
    <w:tbl>
      <w:tblPr>
        <w:tblW w:w="9108" w:type="dxa"/>
        <w:jc w:val="center"/>
        <w:tblInd w:w="-104" w:type="dxa"/>
        <w:tblLayout w:type="fixed"/>
        <w:tblLook w:val="04A0" w:firstRow="1" w:lastRow="0" w:firstColumn="1" w:lastColumn="0" w:noHBand="0" w:noVBand="1"/>
      </w:tblPr>
      <w:tblGrid>
        <w:gridCol w:w="1454"/>
        <w:gridCol w:w="1259"/>
        <w:gridCol w:w="1292"/>
        <w:gridCol w:w="1276"/>
        <w:gridCol w:w="1276"/>
        <w:gridCol w:w="1276"/>
        <w:gridCol w:w="1275"/>
      </w:tblGrid>
      <w:tr w:rsidR="00603CA3" w:rsidRPr="00624CB8" w:rsidTr="004906A4">
        <w:trPr>
          <w:trHeight w:val="311"/>
          <w:jc w:val="center"/>
        </w:trPr>
        <w:tc>
          <w:tcPr>
            <w:tcW w:w="145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Finansējuma saņēmējs</w:t>
            </w:r>
          </w:p>
        </w:tc>
        <w:tc>
          <w:tcPr>
            <w:tcW w:w="3827" w:type="dxa"/>
            <w:gridSpan w:val="3"/>
            <w:tcBorders>
              <w:top w:val="single" w:sz="8" w:space="0" w:color="auto"/>
              <w:left w:val="nil"/>
              <w:bottom w:val="single" w:sz="8" w:space="0" w:color="auto"/>
              <w:right w:val="single" w:sz="8" w:space="0" w:color="000000"/>
            </w:tcBorders>
            <w:shd w:val="clear" w:color="auto" w:fill="auto"/>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Kumulatīvi no 01.01.2007. līdz 30.06.2011.</w:t>
            </w:r>
          </w:p>
        </w:tc>
        <w:tc>
          <w:tcPr>
            <w:tcW w:w="3827" w:type="dxa"/>
            <w:gridSpan w:val="3"/>
            <w:tcBorders>
              <w:top w:val="single" w:sz="8" w:space="0" w:color="auto"/>
              <w:left w:val="nil"/>
              <w:bottom w:val="single" w:sz="8" w:space="0" w:color="auto"/>
              <w:right w:val="single" w:sz="8" w:space="0" w:color="000000"/>
            </w:tcBorders>
            <w:shd w:val="clear" w:color="auto" w:fill="auto"/>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 xml:space="preserve">t. </w:t>
            </w:r>
            <w:proofErr w:type="spellStart"/>
            <w:r w:rsidRPr="00624CB8">
              <w:rPr>
                <w:rFonts w:eastAsia="Calibri"/>
                <w:color w:val="000000" w:themeColor="text1"/>
                <w:sz w:val="20"/>
              </w:rPr>
              <w:t>sk</w:t>
            </w:r>
            <w:proofErr w:type="spellEnd"/>
            <w:r w:rsidRPr="00624CB8">
              <w:rPr>
                <w:rFonts w:eastAsia="Calibri"/>
                <w:color w:val="000000" w:themeColor="text1"/>
                <w:sz w:val="20"/>
              </w:rPr>
              <w:t>., 2011.gada 2.ceturksnī</w:t>
            </w:r>
          </w:p>
        </w:tc>
      </w:tr>
      <w:tr w:rsidR="00603CA3" w:rsidRPr="00624CB8" w:rsidTr="004906A4">
        <w:trPr>
          <w:trHeight w:val="503"/>
          <w:jc w:val="center"/>
        </w:trPr>
        <w:tc>
          <w:tcPr>
            <w:tcW w:w="1454" w:type="dxa"/>
            <w:vMerge/>
            <w:tcBorders>
              <w:top w:val="single" w:sz="8" w:space="0" w:color="auto"/>
              <w:left w:val="single" w:sz="8" w:space="0" w:color="auto"/>
              <w:bottom w:val="single" w:sz="8" w:space="0" w:color="000000"/>
              <w:right w:val="single" w:sz="8" w:space="0" w:color="auto"/>
            </w:tcBorders>
            <w:vAlign w:val="center"/>
            <w:hideMark/>
          </w:tcPr>
          <w:p w:rsidR="00B029CC" w:rsidRPr="00624CB8" w:rsidRDefault="00B029CC" w:rsidP="00603CA3">
            <w:pPr>
              <w:tabs>
                <w:tab w:val="left" w:pos="1475"/>
              </w:tabs>
              <w:spacing w:line="276" w:lineRule="auto"/>
              <w:rPr>
                <w:rFonts w:eastAsia="Calibri"/>
                <w:color w:val="000000" w:themeColor="text1"/>
                <w:sz w:val="20"/>
              </w:rPr>
            </w:pPr>
          </w:p>
        </w:tc>
        <w:tc>
          <w:tcPr>
            <w:tcW w:w="1259" w:type="dxa"/>
            <w:tcBorders>
              <w:top w:val="nil"/>
              <w:left w:val="nil"/>
              <w:bottom w:val="single" w:sz="8" w:space="0" w:color="auto"/>
              <w:right w:val="single" w:sz="8" w:space="0" w:color="auto"/>
            </w:tcBorders>
            <w:shd w:val="clear" w:color="auto" w:fill="auto"/>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Kopsumma</w:t>
            </w:r>
          </w:p>
        </w:tc>
        <w:tc>
          <w:tcPr>
            <w:tcW w:w="1292" w:type="dxa"/>
            <w:tcBorders>
              <w:top w:val="nil"/>
              <w:left w:val="nil"/>
              <w:bottom w:val="single" w:sz="8" w:space="0" w:color="auto"/>
              <w:right w:val="single" w:sz="8" w:space="0" w:color="auto"/>
            </w:tcBorders>
            <w:shd w:val="clear" w:color="auto" w:fill="auto"/>
            <w:vAlign w:val="center"/>
            <w:hideMark/>
          </w:tcPr>
          <w:p w:rsidR="00B029CC" w:rsidRPr="00624CB8" w:rsidRDefault="00B029CC" w:rsidP="00603CA3">
            <w:pPr>
              <w:tabs>
                <w:tab w:val="left" w:pos="1475"/>
              </w:tabs>
              <w:spacing w:line="276" w:lineRule="auto"/>
              <w:rPr>
                <w:rFonts w:eastAsia="Calibri"/>
                <w:color w:val="000000" w:themeColor="text1"/>
                <w:sz w:val="20"/>
              </w:rPr>
            </w:pPr>
            <w:proofErr w:type="spellStart"/>
            <w:r w:rsidRPr="00624CB8">
              <w:rPr>
                <w:rFonts w:eastAsia="Calibri"/>
                <w:color w:val="000000" w:themeColor="text1"/>
                <w:sz w:val="20"/>
              </w:rPr>
              <w:t>Donorvalstu</w:t>
            </w:r>
            <w:proofErr w:type="spellEnd"/>
            <w:r w:rsidRPr="00624CB8">
              <w:rPr>
                <w:rFonts w:eastAsia="Calibri"/>
                <w:color w:val="000000" w:themeColor="text1"/>
                <w:sz w:val="20"/>
              </w:rPr>
              <w:t xml:space="preserve"> grants</w:t>
            </w:r>
          </w:p>
        </w:tc>
        <w:tc>
          <w:tcPr>
            <w:tcW w:w="1276" w:type="dxa"/>
            <w:tcBorders>
              <w:top w:val="nil"/>
              <w:left w:val="nil"/>
              <w:bottom w:val="single" w:sz="8" w:space="0" w:color="auto"/>
              <w:right w:val="single" w:sz="8" w:space="0" w:color="auto"/>
            </w:tcBorders>
            <w:shd w:val="clear" w:color="auto" w:fill="auto"/>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Nacionālais finansējums</w:t>
            </w:r>
          </w:p>
        </w:tc>
        <w:tc>
          <w:tcPr>
            <w:tcW w:w="1276" w:type="dxa"/>
            <w:tcBorders>
              <w:top w:val="nil"/>
              <w:left w:val="nil"/>
              <w:bottom w:val="single" w:sz="8" w:space="0" w:color="auto"/>
              <w:right w:val="single" w:sz="8" w:space="0" w:color="auto"/>
            </w:tcBorders>
            <w:shd w:val="clear" w:color="auto" w:fill="auto"/>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Kopsumma</w:t>
            </w:r>
          </w:p>
        </w:tc>
        <w:tc>
          <w:tcPr>
            <w:tcW w:w="1276" w:type="dxa"/>
            <w:tcBorders>
              <w:top w:val="nil"/>
              <w:left w:val="nil"/>
              <w:bottom w:val="single" w:sz="8" w:space="0" w:color="auto"/>
              <w:right w:val="single" w:sz="8" w:space="0" w:color="auto"/>
            </w:tcBorders>
            <w:shd w:val="clear" w:color="auto" w:fill="auto"/>
            <w:vAlign w:val="center"/>
            <w:hideMark/>
          </w:tcPr>
          <w:p w:rsidR="00B029CC" w:rsidRPr="00624CB8" w:rsidRDefault="00B029CC" w:rsidP="00603CA3">
            <w:pPr>
              <w:tabs>
                <w:tab w:val="left" w:pos="1475"/>
              </w:tabs>
              <w:spacing w:line="276" w:lineRule="auto"/>
              <w:rPr>
                <w:rFonts w:eastAsia="Calibri"/>
                <w:color w:val="000000" w:themeColor="text1"/>
                <w:sz w:val="20"/>
              </w:rPr>
            </w:pPr>
            <w:proofErr w:type="spellStart"/>
            <w:r w:rsidRPr="00624CB8">
              <w:rPr>
                <w:rFonts w:eastAsia="Calibri"/>
                <w:color w:val="000000" w:themeColor="text1"/>
                <w:sz w:val="20"/>
              </w:rPr>
              <w:t>Donorvalstu</w:t>
            </w:r>
            <w:proofErr w:type="spellEnd"/>
            <w:r w:rsidRPr="00624CB8">
              <w:rPr>
                <w:rFonts w:eastAsia="Calibri"/>
                <w:color w:val="000000" w:themeColor="text1"/>
                <w:sz w:val="20"/>
              </w:rPr>
              <w:t xml:space="preserve"> grants</w:t>
            </w:r>
          </w:p>
        </w:tc>
        <w:tc>
          <w:tcPr>
            <w:tcW w:w="1275" w:type="dxa"/>
            <w:tcBorders>
              <w:top w:val="nil"/>
              <w:left w:val="nil"/>
              <w:bottom w:val="single" w:sz="8" w:space="0" w:color="auto"/>
              <w:right w:val="single" w:sz="8" w:space="0" w:color="auto"/>
            </w:tcBorders>
            <w:shd w:val="clear" w:color="auto" w:fill="auto"/>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Nacionālais finansējums</w:t>
            </w:r>
          </w:p>
        </w:tc>
      </w:tr>
      <w:tr w:rsidR="00603CA3" w:rsidRPr="00624CB8" w:rsidTr="004906A4">
        <w:trPr>
          <w:trHeight w:val="570"/>
          <w:jc w:val="center"/>
        </w:trPr>
        <w:tc>
          <w:tcPr>
            <w:tcW w:w="1454" w:type="dxa"/>
            <w:tcBorders>
              <w:top w:val="nil"/>
              <w:left w:val="single" w:sz="8" w:space="0" w:color="auto"/>
              <w:bottom w:val="single" w:sz="8" w:space="0" w:color="auto"/>
              <w:right w:val="single" w:sz="8" w:space="0" w:color="auto"/>
            </w:tcBorders>
            <w:shd w:val="clear" w:color="auto" w:fill="auto"/>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Tiešās vai pastarpinātās valsts pārvaldes iestādes*</w:t>
            </w:r>
          </w:p>
        </w:tc>
        <w:tc>
          <w:tcPr>
            <w:tcW w:w="1259"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516657,08</w:t>
            </w:r>
          </w:p>
        </w:tc>
        <w:tc>
          <w:tcPr>
            <w:tcW w:w="1292"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439231,24</w:t>
            </w:r>
          </w:p>
        </w:tc>
        <w:tc>
          <w:tcPr>
            <w:tcW w:w="1276"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77425,84</w:t>
            </w:r>
          </w:p>
        </w:tc>
        <w:tc>
          <w:tcPr>
            <w:tcW w:w="1276"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368444,08</w:t>
            </w:r>
          </w:p>
        </w:tc>
        <w:tc>
          <w:tcPr>
            <w:tcW w:w="1276"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313177,47</w:t>
            </w:r>
          </w:p>
        </w:tc>
        <w:tc>
          <w:tcPr>
            <w:tcW w:w="1275"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55266,61</w:t>
            </w:r>
          </w:p>
        </w:tc>
      </w:tr>
      <w:tr w:rsidR="00603CA3" w:rsidRPr="00624CB8" w:rsidTr="004906A4">
        <w:trPr>
          <w:trHeight w:val="400"/>
          <w:jc w:val="center"/>
        </w:trPr>
        <w:tc>
          <w:tcPr>
            <w:tcW w:w="1454" w:type="dxa"/>
            <w:tcBorders>
              <w:top w:val="nil"/>
              <w:left w:val="single" w:sz="8" w:space="0" w:color="auto"/>
              <w:bottom w:val="single" w:sz="8" w:space="0" w:color="auto"/>
              <w:right w:val="single" w:sz="8" w:space="0" w:color="auto"/>
            </w:tcBorders>
            <w:shd w:val="clear" w:color="auto" w:fill="auto"/>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Atvasinātās publiskās personas vai citas valsts iestādes</w:t>
            </w:r>
          </w:p>
        </w:tc>
        <w:tc>
          <w:tcPr>
            <w:tcW w:w="1259"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153 479,16</w:t>
            </w:r>
          </w:p>
        </w:tc>
        <w:tc>
          <w:tcPr>
            <w:tcW w:w="1292"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119334,31</w:t>
            </w:r>
          </w:p>
        </w:tc>
        <w:tc>
          <w:tcPr>
            <w:tcW w:w="1276"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34144,85</w:t>
            </w:r>
          </w:p>
        </w:tc>
        <w:tc>
          <w:tcPr>
            <w:tcW w:w="1276"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8613,20</w:t>
            </w:r>
          </w:p>
        </w:tc>
        <w:tc>
          <w:tcPr>
            <w:tcW w:w="1276"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7316,35</w:t>
            </w:r>
          </w:p>
        </w:tc>
        <w:tc>
          <w:tcPr>
            <w:tcW w:w="1275"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1296,85</w:t>
            </w:r>
          </w:p>
        </w:tc>
      </w:tr>
      <w:tr w:rsidR="00603CA3" w:rsidRPr="00624CB8" w:rsidTr="004906A4">
        <w:trPr>
          <w:trHeight w:val="67"/>
          <w:jc w:val="center"/>
        </w:trPr>
        <w:tc>
          <w:tcPr>
            <w:tcW w:w="1454" w:type="dxa"/>
            <w:tcBorders>
              <w:top w:val="nil"/>
              <w:left w:val="single" w:sz="8" w:space="0" w:color="auto"/>
              <w:bottom w:val="single" w:sz="8" w:space="0" w:color="auto"/>
              <w:right w:val="single" w:sz="8" w:space="0" w:color="auto"/>
            </w:tcBorders>
            <w:shd w:val="clear" w:color="auto" w:fill="auto"/>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NVO un privātais sektors</w:t>
            </w:r>
          </w:p>
        </w:tc>
        <w:tc>
          <w:tcPr>
            <w:tcW w:w="1259"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19523,02</w:t>
            </w:r>
          </w:p>
        </w:tc>
        <w:tc>
          <w:tcPr>
            <w:tcW w:w="1292"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11145,26</w:t>
            </w:r>
          </w:p>
        </w:tc>
        <w:tc>
          <w:tcPr>
            <w:tcW w:w="1276"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8377,76</w:t>
            </w:r>
          </w:p>
        </w:tc>
        <w:tc>
          <w:tcPr>
            <w:tcW w:w="1276"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591,53</w:t>
            </w:r>
          </w:p>
        </w:tc>
        <w:tc>
          <w:tcPr>
            <w:tcW w:w="1276"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341,417</w:t>
            </w:r>
          </w:p>
        </w:tc>
        <w:tc>
          <w:tcPr>
            <w:tcW w:w="1275"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250,113</w:t>
            </w:r>
          </w:p>
        </w:tc>
      </w:tr>
      <w:tr w:rsidR="00603CA3" w:rsidRPr="00624CB8" w:rsidTr="004906A4">
        <w:trPr>
          <w:trHeight w:val="67"/>
          <w:jc w:val="center"/>
        </w:trPr>
        <w:tc>
          <w:tcPr>
            <w:tcW w:w="1454" w:type="dxa"/>
            <w:tcBorders>
              <w:top w:val="nil"/>
              <w:left w:val="single" w:sz="8" w:space="0" w:color="auto"/>
              <w:bottom w:val="single" w:sz="8" w:space="0" w:color="auto"/>
              <w:right w:val="single" w:sz="8" w:space="0" w:color="auto"/>
            </w:tcBorders>
            <w:shd w:val="clear" w:color="auto" w:fill="auto"/>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 Kopā</w:t>
            </w:r>
          </w:p>
        </w:tc>
        <w:tc>
          <w:tcPr>
            <w:tcW w:w="1259"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689659,26</w:t>
            </w:r>
          </w:p>
        </w:tc>
        <w:tc>
          <w:tcPr>
            <w:tcW w:w="1292"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569710,81</w:t>
            </w:r>
          </w:p>
        </w:tc>
        <w:tc>
          <w:tcPr>
            <w:tcW w:w="1276" w:type="dxa"/>
            <w:tcBorders>
              <w:top w:val="nil"/>
              <w:left w:val="nil"/>
              <w:bottom w:val="single" w:sz="8" w:space="0" w:color="auto"/>
              <w:right w:val="single" w:sz="8" w:space="0" w:color="auto"/>
            </w:tcBorders>
            <w:shd w:val="clear" w:color="000000" w:fill="FFFFFF"/>
            <w:noWrap/>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119948,45</w:t>
            </w:r>
          </w:p>
        </w:tc>
        <w:tc>
          <w:tcPr>
            <w:tcW w:w="1276"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377648,81</w:t>
            </w:r>
          </w:p>
        </w:tc>
        <w:tc>
          <w:tcPr>
            <w:tcW w:w="1276"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320835,24</w:t>
            </w:r>
          </w:p>
        </w:tc>
        <w:tc>
          <w:tcPr>
            <w:tcW w:w="1275" w:type="dxa"/>
            <w:tcBorders>
              <w:top w:val="nil"/>
              <w:left w:val="nil"/>
              <w:bottom w:val="single" w:sz="8" w:space="0" w:color="auto"/>
              <w:right w:val="single" w:sz="8" w:space="0" w:color="auto"/>
            </w:tcBorders>
            <w:shd w:val="clear" w:color="000000" w:fill="FFFFFF"/>
            <w:vAlign w:val="center"/>
            <w:hideMark/>
          </w:tcPr>
          <w:p w:rsidR="00B029CC" w:rsidRPr="00624CB8" w:rsidRDefault="00B029CC" w:rsidP="00603CA3">
            <w:pPr>
              <w:tabs>
                <w:tab w:val="left" w:pos="1475"/>
              </w:tabs>
              <w:spacing w:line="276" w:lineRule="auto"/>
              <w:rPr>
                <w:rFonts w:eastAsia="Calibri"/>
                <w:color w:val="000000" w:themeColor="text1"/>
                <w:sz w:val="20"/>
              </w:rPr>
            </w:pPr>
            <w:r w:rsidRPr="00624CB8">
              <w:rPr>
                <w:rFonts w:eastAsia="Calibri"/>
                <w:color w:val="000000" w:themeColor="text1"/>
                <w:sz w:val="20"/>
              </w:rPr>
              <w:t>56813,57</w:t>
            </w:r>
          </w:p>
        </w:tc>
      </w:tr>
    </w:tbl>
    <w:p w:rsidR="00B029CC" w:rsidRPr="00603CA3" w:rsidRDefault="00B029CC"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*100% valsts budžeta </w:t>
      </w:r>
      <w:proofErr w:type="spellStart"/>
      <w:r w:rsidRPr="00603CA3">
        <w:rPr>
          <w:rFonts w:eastAsia="Calibri"/>
          <w:color w:val="000000" w:themeColor="text1"/>
          <w:szCs w:val="24"/>
        </w:rPr>
        <w:t>priekšfinansējums</w:t>
      </w:r>
      <w:proofErr w:type="spellEnd"/>
      <w:r w:rsidRPr="00603CA3">
        <w:rPr>
          <w:rFonts w:eastAsia="Calibri"/>
          <w:color w:val="000000" w:themeColor="text1"/>
          <w:szCs w:val="24"/>
        </w:rPr>
        <w:t xml:space="preserve"> – dotācija</w:t>
      </w:r>
    </w:p>
    <w:p w:rsidR="00B029CC" w:rsidRPr="00603CA3" w:rsidRDefault="00B029CC"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lastRenderedPageBreak/>
        <w:t xml:space="preserve">Atbildīgo ministriju griezumā no 2007.gada janvāra līdz pārskata perioda beigām lielākās neattiecināmās izmaksas 370,5 </w:t>
      </w:r>
      <w:proofErr w:type="spellStart"/>
      <w:r w:rsidRPr="00603CA3">
        <w:rPr>
          <w:rFonts w:eastAsia="Calibri"/>
          <w:color w:val="000000" w:themeColor="text1"/>
          <w:szCs w:val="24"/>
        </w:rPr>
        <w:t>tūkst</w:t>
      </w:r>
      <w:proofErr w:type="spellEnd"/>
      <w:r w:rsidRPr="00603CA3">
        <w:rPr>
          <w:rFonts w:eastAsia="Calibri"/>
          <w:color w:val="000000" w:themeColor="text1"/>
          <w:szCs w:val="24"/>
        </w:rPr>
        <w:t>. latu apmērā, kas ir vairāk kā puse no visām neattiecināmajām izmaksām kopā, ir konstatētas Tieslietu ministrijas pārraudzībā esošajos projektos.</w:t>
      </w:r>
    </w:p>
    <w:p w:rsidR="00B029CC" w:rsidRPr="00603CA3" w:rsidRDefault="00B029CC"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Izdevumi tika atzīti par neattiecināmiem lielākoties šādu iemeslu dēļ: izdevumi ir pretrunā ar projektu īstenošanu reglamentējošo normatīvo aktu prasībām, neatbilstošs administratīvo izdevumu (</w:t>
      </w:r>
      <w:proofErr w:type="spellStart"/>
      <w:r w:rsidRPr="00603CA3">
        <w:rPr>
          <w:rFonts w:eastAsia="Calibri"/>
          <w:color w:val="000000" w:themeColor="text1"/>
          <w:szCs w:val="24"/>
        </w:rPr>
        <w:t>t.sk</w:t>
      </w:r>
      <w:proofErr w:type="spellEnd"/>
      <w:r w:rsidRPr="00603CA3">
        <w:rPr>
          <w:rFonts w:eastAsia="Calibri"/>
          <w:color w:val="000000" w:themeColor="text1"/>
          <w:szCs w:val="24"/>
        </w:rPr>
        <w:t>. atalgojumu) aprēķins, finansējuma saņēmēju pieļautās aprēķinu kļūdas, kā arī pārkāpumi iepirkumu procedūrās.</w:t>
      </w:r>
    </w:p>
    <w:p w:rsidR="008A3078" w:rsidRPr="00603CA3" w:rsidRDefault="00B029CC"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Sākot ar pirmo projektu īstenošanas uzsākšanu 2009.gada janvārī līdz pārskata perioda beigām Latvijas un Šveices sadarbības programmas ietvaros neattiecināmie izdevumi un neatbilstības nav konstatētas.</w:t>
      </w:r>
    </w:p>
    <w:p w:rsidR="008A3078" w:rsidRPr="00603CA3" w:rsidRDefault="008A3078" w:rsidP="00603CA3">
      <w:pPr>
        <w:spacing w:line="276" w:lineRule="auto"/>
        <w:rPr>
          <w:rFonts w:eastAsia="EUAlbertina-Bold-Identity-H"/>
          <w:color w:val="000000" w:themeColor="text1"/>
          <w:szCs w:val="24"/>
          <w:lang w:eastAsia="lv-LV"/>
        </w:rPr>
      </w:pPr>
    </w:p>
    <w:p w:rsidR="00FF4209" w:rsidRPr="00603CA3" w:rsidRDefault="00C657EB" w:rsidP="00603CA3">
      <w:pPr>
        <w:pStyle w:val="1lmenis"/>
        <w:spacing w:before="0" w:after="0" w:line="276" w:lineRule="auto"/>
        <w:ind w:left="851"/>
        <w:rPr>
          <w:rFonts w:ascii="Times New Roman" w:hAnsi="Times New Roman"/>
          <w:color w:val="000000" w:themeColor="text1"/>
          <w:sz w:val="24"/>
          <w:szCs w:val="24"/>
          <w:lang w:val="lv-LV"/>
        </w:rPr>
      </w:pPr>
      <w:bookmarkStart w:id="49" w:name="_Toc276050004"/>
      <w:r w:rsidRPr="00603CA3">
        <w:rPr>
          <w:rFonts w:ascii="Times New Roman" w:hAnsi="Times New Roman"/>
          <w:color w:val="000000" w:themeColor="text1"/>
          <w:sz w:val="24"/>
          <w:szCs w:val="24"/>
          <w:lang w:val="lv-LV"/>
        </w:rPr>
        <w:br w:type="page"/>
      </w:r>
      <w:bookmarkStart w:id="50" w:name="_Toc300759835"/>
      <w:r w:rsidR="00F50585" w:rsidRPr="00603CA3">
        <w:rPr>
          <w:rFonts w:ascii="Times New Roman" w:hAnsi="Times New Roman"/>
          <w:color w:val="000000" w:themeColor="text1"/>
          <w:sz w:val="24"/>
          <w:szCs w:val="24"/>
          <w:lang w:val="lv-LV"/>
        </w:rPr>
        <w:lastRenderedPageBreak/>
        <w:t>ES fondu ieviešanas un</w:t>
      </w:r>
      <w:r w:rsidR="009826BA" w:rsidRPr="00603CA3">
        <w:rPr>
          <w:rFonts w:ascii="Times New Roman" w:hAnsi="Times New Roman"/>
          <w:color w:val="000000" w:themeColor="text1"/>
          <w:sz w:val="24"/>
          <w:szCs w:val="24"/>
          <w:lang w:val="lv-LV"/>
        </w:rPr>
        <w:t xml:space="preserve"> uzraudzības sistēmas pilnveidošana</w:t>
      </w:r>
      <w:bookmarkEnd w:id="50"/>
      <w:r w:rsidR="00FF4209" w:rsidRPr="00603CA3">
        <w:rPr>
          <w:rFonts w:ascii="Times New Roman" w:hAnsi="Times New Roman"/>
          <w:color w:val="000000" w:themeColor="text1"/>
          <w:sz w:val="24"/>
          <w:szCs w:val="24"/>
          <w:lang w:val="lv-LV"/>
        </w:rPr>
        <w:t xml:space="preserve"> </w:t>
      </w:r>
      <w:bookmarkEnd w:id="49"/>
    </w:p>
    <w:p w:rsidR="00070807" w:rsidRPr="00603CA3" w:rsidRDefault="00070807" w:rsidP="00603CA3">
      <w:pPr>
        <w:tabs>
          <w:tab w:val="left" w:pos="1475"/>
        </w:tabs>
        <w:spacing w:line="276" w:lineRule="auto"/>
        <w:rPr>
          <w:rFonts w:eastAsia="Calibri"/>
          <w:color w:val="000000" w:themeColor="text1"/>
          <w:szCs w:val="24"/>
        </w:rPr>
      </w:pPr>
      <w:bookmarkStart w:id="51" w:name="_Toc290449016"/>
      <w:bookmarkEnd w:id="0"/>
      <w:bookmarkEnd w:id="1"/>
      <w:r w:rsidRPr="00603CA3">
        <w:rPr>
          <w:rFonts w:eastAsia="Calibri"/>
          <w:color w:val="000000" w:themeColor="text1"/>
          <w:szCs w:val="24"/>
        </w:rPr>
        <w:t>2011.gada I ceturksnī attiecībā uz ES fondu ieviešanas un uzraudzības sistēmas pilnveidošanu ir veikti šādi pasākumi:</w:t>
      </w:r>
    </w:p>
    <w:p w:rsidR="00070807" w:rsidRPr="00603CA3" w:rsidRDefault="00070807" w:rsidP="00603CA3">
      <w:pPr>
        <w:numPr>
          <w:ilvl w:val="0"/>
          <w:numId w:val="33"/>
        </w:numPr>
        <w:spacing w:line="276" w:lineRule="auto"/>
        <w:rPr>
          <w:rFonts w:eastAsia="Calibri"/>
          <w:color w:val="000000" w:themeColor="text1"/>
          <w:szCs w:val="24"/>
        </w:rPr>
      </w:pPr>
      <w:r w:rsidRPr="00603CA3">
        <w:rPr>
          <w:rFonts w:eastAsia="Calibri"/>
          <w:color w:val="000000" w:themeColor="text1"/>
          <w:szCs w:val="24"/>
        </w:rPr>
        <w:t>Atvieglotas prasības attiecībā uz informācijas publiskošanu par ES fondu projektiem ES fondu vadībā iesaistītajām institūcijām.</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2010.gada beigās tika konstatēts, ka pastāv tehniskās iespējas savienot interneta mājas lapā </w:t>
      </w:r>
      <w:hyperlink r:id="rId38" w:history="1">
        <w:r w:rsidRPr="00603CA3">
          <w:rPr>
            <w:rStyle w:val="Hyperlink"/>
            <w:rFonts w:ascii="Times New Roman" w:eastAsia="Calibri" w:hAnsi="Times New Roman" w:cs="Times New Roman"/>
            <w:color w:val="000000" w:themeColor="text1"/>
            <w:sz w:val="24"/>
            <w:szCs w:val="24"/>
          </w:rPr>
          <w:t>www.esfondi.lv</w:t>
        </w:r>
      </w:hyperlink>
      <w:r w:rsidRPr="00603CA3">
        <w:rPr>
          <w:rFonts w:eastAsia="Calibri"/>
          <w:color w:val="000000" w:themeColor="text1"/>
          <w:szCs w:val="24"/>
        </w:rPr>
        <w:t xml:space="preserve"> esošo ES fondu aktivitāšu meklētāju ar ES struktūrfondu un KF Vadības informācijas sistēmu (turpmāk - VIS), tādējādi turpmāk nodrošinot pilnīgas informācijas līdz pat projektu līmenim pieejamību šajā mājas lapā. Pašlaik tiek veikti grozījumi MK noteikumos Nr.484</w:t>
      </w:r>
      <w:r w:rsidRPr="00603CA3">
        <w:rPr>
          <w:rFonts w:eastAsia="Calibri"/>
          <w:color w:val="000000" w:themeColor="text1"/>
          <w:szCs w:val="24"/>
          <w:vertAlign w:val="superscript"/>
        </w:rPr>
        <w:footnoteReference w:id="10"/>
      </w:r>
      <w:r w:rsidRPr="00603CA3">
        <w:rPr>
          <w:rFonts w:eastAsia="Calibri"/>
          <w:color w:val="000000" w:themeColor="text1"/>
          <w:szCs w:val="24"/>
        </w:rPr>
        <w:t xml:space="preserve"> un MK noteikumos Nr.441</w:t>
      </w:r>
      <w:r w:rsidRPr="00603CA3">
        <w:rPr>
          <w:rFonts w:eastAsia="Calibri"/>
          <w:color w:val="000000" w:themeColor="text1"/>
          <w:szCs w:val="24"/>
          <w:vertAlign w:val="superscript"/>
        </w:rPr>
        <w:footnoteReference w:id="11"/>
      </w:r>
      <w:r w:rsidRPr="00603CA3">
        <w:rPr>
          <w:rFonts w:eastAsia="Calibri"/>
          <w:color w:val="000000" w:themeColor="text1"/>
          <w:szCs w:val="24"/>
        </w:rPr>
        <w:t xml:space="preserve">, apvienojot šos noteikumus. Finanšu ministrija līdz šā gada 1.augustam plāno izveidot VIS un interneta mājas lapā </w:t>
      </w:r>
      <w:hyperlink r:id="rId39" w:history="1">
        <w:r w:rsidRPr="00603CA3">
          <w:rPr>
            <w:rStyle w:val="Hyperlink"/>
            <w:rFonts w:ascii="Times New Roman" w:eastAsia="Calibri" w:hAnsi="Times New Roman" w:cs="Times New Roman"/>
            <w:color w:val="000000" w:themeColor="text1"/>
            <w:sz w:val="24"/>
            <w:szCs w:val="24"/>
          </w:rPr>
          <w:t>www.esfondi.lv</w:t>
        </w:r>
      </w:hyperlink>
      <w:r w:rsidRPr="00603CA3">
        <w:rPr>
          <w:rFonts w:eastAsia="Calibri"/>
          <w:color w:val="000000" w:themeColor="text1"/>
          <w:szCs w:val="24"/>
        </w:rPr>
        <w:t xml:space="preserve"> pieejamā ES fondu aktivitāšu meklētāja sasaisti, kuras rezultātā tiks īstenota projektu informācijas automātiska publicēšana no VIS ES fondu aktivitāšu meklētājā. Tādējādi vienkopus tiks nodrošināta ērta pieeja tai informācijai, ko šobrīd atbildīgajām un sadarbības iestādēm nosaka publicēt MK noteikumi Nr.484.</w:t>
      </w:r>
      <w:r w:rsidRPr="009226D9">
        <w:rPr>
          <w:rFonts w:eastAsia="Calibri"/>
          <w:color w:val="000000" w:themeColor="text1"/>
          <w:szCs w:val="24"/>
          <w:vertAlign w:val="superscript"/>
        </w:rPr>
        <w:footnoteReference w:id="12"/>
      </w:r>
      <w:r w:rsidRPr="00603CA3">
        <w:rPr>
          <w:rFonts w:eastAsia="Calibri"/>
          <w:color w:val="000000" w:themeColor="text1"/>
          <w:szCs w:val="24"/>
        </w:rPr>
        <w:t xml:space="preserve"> Projektu informācija meklētājā būs apskatāma vairākos veidos, kā arī meklējot pēc dažādiem parametriem.</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Ņemot vērā iepriekšminēto, turpmāk vispārpieejamo informāciju par projektiem interneta mājas lapā </w:t>
      </w:r>
      <w:hyperlink r:id="rId40" w:history="1">
        <w:r w:rsidRPr="00603CA3">
          <w:rPr>
            <w:rStyle w:val="Hyperlink"/>
            <w:rFonts w:ascii="Times New Roman" w:eastAsia="Calibri" w:hAnsi="Times New Roman" w:cs="Times New Roman"/>
            <w:color w:val="000000" w:themeColor="text1"/>
            <w:sz w:val="24"/>
            <w:szCs w:val="24"/>
          </w:rPr>
          <w:t>www.esfondi.lv</w:t>
        </w:r>
      </w:hyperlink>
      <w:r w:rsidRPr="00603CA3">
        <w:rPr>
          <w:rFonts w:eastAsia="Calibri"/>
          <w:color w:val="000000" w:themeColor="text1"/>
          <w:szCs w:val="24"/>
        </w:rPr>
        <w:t xml:space="preserve"> nodrošinās Finanšu ministrija kā ES fondu vadošā iestāde. Tādējādi tiks atvieglots atbildīgo iestāžu un sadarbības iestāžu darbs, jo tām vairs nebūs jānodrošina minētās informācijas publiskošana. Tomēr </w:t>
      </w:r>
      <w:r w:rsidRPr="00603CA3">
        <w:rPr>
          <w:color w:val="000000" w:themeColor="text1"/>
          <w:szCs w:val="24"/>
        </w:rPr>
        <w:t>Finanšu ministrijas</w:t>
      </w:r>
      <w:r w:rsidRPr="00603CA3">
        <w:rPr>
          <w:rFonts w:eastAsia="Calibri"/>
          <w:color w:val="000000" w:themeColor="text1"/>
          <w:szCs w:val="24"/>
        </w:rPr>
        <w:t xml:space="preserve"> spēja nodrošināt informācijas atspoguļojumu no VIS par projektu lielā mērā ir atkarīga no tā, vai atbildīgās iestādes vai sadarbības iestādes atbilstošo informāciju par projektu savlaicīgi un korekti ir ievadījušas VIS. </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MK noteikumu projekts par kārtību, kādā publisko informāciju par ES fondu projektiem </w:t>
      </w:r>
      <w:proofErr w:type="spellStart"/>
      <w:r w:rsidRPr="00603CA3">
        <w:rPr>
          <w:rFonts w:eastAsia="Calibri"/>
          <w:color w:val="000000" w:themeColor="text1"/>
          <w:szCs w:val="24"/>
        </w:rPr>
        <w:t>š.g</w:t>
      </w:r>
      <w:proofErr w:type="spellEnd"/>
      <w:r w:rsidRPr="00603CA3">
        <w:rPr>
          <w:rFonts w:eastAsia="Calibri"/>
          <w:color w:val="000000" w:themeColor="text1"/>
          <w:szCs w:val="24"/>
        </w:rPr>
        <w:t>. 5.augustā tika iesniegts izskatīšanai MK.</w:t>
      </w:r>
    </w:p>
    <w:p w:rsidR="00070807" w:rsidRPr="00603CA3" w:rsidRDefault="00070807" w:rsidP="00603CA3">
      <w:pPr>
        <w:numPr>
          <w:ilvl w:val="0"/>
          <w:numId w:val="33"/>
        </w:numPr>
        <w:spacing w:line="276" w:lineRule="auto"/>
        <w:rPr>
          <w:rFonts w:eastAsia="Calibri"/>
          <w:color w:val="000000" w:themeColor="text1"/>
          <w:szCs w:val="24"/>
        </w:rPr>
      </w:pPr>
      <w:r w:rsidRPr="00603CA3">
        <w:rPr>
          <w:rFonts w:eastAsia="Calibri"/>
          <w:color w:val="000000" w:themeColor="text1"/>
          <w:szCs w:val="24"/>
        </w:rPr>
        <w:t>Pilnveidota ES fondu iepirkumu uzraudzības sistēma.</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Pašlaik Iepirkumu uzraudzības birojs, balstoties uz ES fondu finansējuma saņēmēja iepirkumu plāniem, līdz iepirkuma līguma noslēgšanai izlases veidā veic:</w:t>
      </w:r>
    </w:p>
    <w:p w:rsidR="00070807" w:rsidRPr="00603CA3" w:rsidRDefault="00070807" w:rsidP="00603CA3">
      <w:pPr>
        <w:numPr>
          <w:ilvl w:val="0"/>
          <w:numId w:val="42"/>
        </w:numPr>
        <w:spacing w:line="276" w:lineRule="auto"/>
        <w:rPr>
          <w:rFonts w:eastAsia="Calibri"/>
          <w:color w:val="000000" w:themeColor="text1"/>
          <w:szCs w:val="24"/>
        </w:rPr>
      </w:pPr>
      <w:r w:rsidRPr="00603CA3">
        <w:rPr>
          <w:rFonts w:eastAsia="Calibri"/>
          <w:color w:val="000000" w:themeColor="text1"/>
          <w:szCs w:val="24"/>
        </w:rPr>
        <w:t xml:space="preserve">Iepirkuma dokumentācijas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w:t>
      </w:r>
    </w:p>
    <w:p w:rsidR="00070807" w:rsidRPr="00603CA3" w:rsidRDefault="00070807" w:rsidP="00603CA3">
      <w:pPr>
        <w:numPr>
          <w:ilvl w:val="0"/>
          <w:numId w:val="42"/>
        </w:numPr>
        <w:spacing w:line="276" w:lineRule="auto"/>
        <w:rPr>
          <w:rFonts w:eastAsia="Calibri"/>
          <w:color w:val="000000" w:themeColor="text1"/>
          <w:szCs w:val="24"/>
        </w:rPr>
      </w:pPr>
      <w:r w:rsidRPr="00603CA3">
        <w:rPr>
          <w:rFonts w:eastAsia="Calibri"/>
          <w:color w:val="000000" w:themeColor="text1"/>
          <w:szCs w:val="24"/>
        </w:rPr>
        <w:t xml:space="preserve">Iepirkuma procedūras norises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w:t>
      </w:r>
    </w:p>
    <w:p w:rsidR="00070807" w:rsidRPr="00603CA3" w:rsidRDefault="003B40A5"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Iepriekšminētās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 xml:space="preserve"> tiek veiktas aptuveni 3% no iepirkumiem, kas tiek veikti ES fondu projektu ietvaros, kas ir nepietiekami un tādējādi tiek radīts risks, ka netiek izmantota iespēja preventīvi norādīt uz iepirkumu kļūdām un izvairīties no neattiecināmo izmaksu rašanās. </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Papildus iepriekšminētajam jānorāda, ka Iepirkumu uzraudzības birojam esošās administratīvās kapacitātes ietvaros ir ierobežotas iespējas veikt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 xml:space="preserve"> lielākam iepirkumu skaitam, kā arī Iepirkumu uzraudzības birojam nav pilnīgas informācijas par ES </w:t>
      </w:r>
      <w:r w:rsidRPr="00603CA3">
        <w:rPr>
          <w:rFonts w:eastAsia="Calibri"/>
          <w:color w:val="000000" w:themeColor="text1"/>
          <w:szCs w:val="24"/>
        </w:rPr>
        <w:lastRenderedPageBreak/>
        <w:t>fondu projektu specifiku nozaru griezumā, kas ļautu savlaicīgāk identificēt iespējamo pārkāpumu.</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Līdz ar to, ir izstrādāts MK noteikumu projekts „Grozījumi MK 2007.gada 26.jūnija noteikumos Nr.419 „Kārtība, kādā ES struktūrfondu un Kohēzijas fonda vadībā iesaistītās institūcijas nodrošina plānošanas dokumentu sagatavošanu un šo fondu ieviešanu””:</w:t>
      </w:r>
    </w:p>
    <w:p w:rsidR="00070807" w:rsidRPr="00603CA3" w:rsidRDefault="00070807" w:rsidP="00603CA3">
      <w:pPr>
        <w:numPr>
          <w:ilvl w:val="0"/>
          <w:numId w:val="16"/>
        </w:numPr>
        <w:spacing w:line="276" w:lineRule="auto"/>
        <w:rPr>
          <w:rFonts w:eastAsia="Calibri"/>
          <w:color w:val="000000" w:themeColor="text1"/>
          <w:szCs w:val="24"/>
        </w:rPr>
      </w:pPr>
      <w:r w:rsidRPr="00603CA3">
        <w:rPr>
          <w:rFonts w:eastAsia="Calibri"/>
          <w:color w:val="000000" w:themeColor="text1"/>
          <w:szCs w:val="24"/>
        </w:rPr>
        <w:t xml:space="preserve">Paplašina to institūciju loku, kam ir tiesības veikt iepirkumu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 nosakot atbildības sadalījumu, proti:</w:t>
      </w:r>
    </w:p>
    <w:p w:rsidR="00070807" w:rsidRPr="00603CA3" w:rsidRDefault="00070807" w:rsidP="00603CA3">
      <w:pPr>
        <w:numPr>
          <w:ilvl w:val="1"/>
          <w:numId w:val="16"/>
        </w:numPr>
        <w:spacing w:line="276" w:lineRule="auto"/>
        <w:rPr>
          <w:rFonts w:eastAsia="Calibri"/>
          <w:color w:val="000000" w:themeColor="text1"/>
          <w:szCs w:val="24"/>
        </w:rPr>
      </w:pPr>
      <w:r w:rsidRPr="00603CA3">
        <w:rPr>
          <w:rFonts w:eastAsia="Calibri"/>
          <w:color w:val="000000" w:themeColor="text1"/>
          <w:szCs w:val="24"/>
        </w:rPr>
        <w:t xml:space="preserve">Iepirkumu uzraudzības birojs 100% apmērā veic iepirkumu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 xml:space="preserve"> lielo projektu ietvaros (projekti, kuru kopējās attiecināmās izmaksas pārsniedz 71 </w:t>
      </w:r>
      <w:proofErr w:type="spellStart"/>
      <w:r w:rsidRPr="00603CA3">
        <w:rPr>
          <w:rFonts w:eastAsia="Calibri"/>
          <w:color w:val="000000" w:themeColor="text1"/>
          <w:szCs w:val="24"/>
        </w:rPr>
        <w:t>milj</w:t>
      </w:r>
      <w:proofErr w:type="spellEnd"/>
      <w:r w:rsidRPr="00603CA3">
        <w:rPr>
          <w:rFonts w:eastAsia="Calibri"/>
          <w:color w:val="000000" w:themeColor="text1"/>
          <w:szCs w:val="24"/>
        </w:rPr>
        <w:t xml:space="preserve">. latu), kā arī izlases veidā veic to iepirkumu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 xml:space="preserve">, par kuriem jāpublicē paziņojums ES Oficiālajā Vēstnesī un to iepirkumu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 xml:space="preserve">, kuros paredzētā publisko būvdarbu līguma summa pārsniedz 1 milj. latu; </w:t>
      </w:r>
    </w:p>
    <w:p w:rsidR="00070807" w:rsidRPr="00603CA3" w:rsidRDefault="00070807" w:rsidP="00603CA3">
      <w:pPr>
        <w:numPr>
          <w:ilvl w:val="1"/>
          <w:numId w:val="16"/>
        </w:numPr>
        <w:spacing w:line="276" w:lineRule="auto"/>
        <w:rPr>
          <w:rFonts w:eastAsia="Calibri"/>
          <w:color w:val="000000" w:themeColor="text1"/>
          <w:szCs w:val="24"/>
        </w:rPr>
      </w:pPr>
      <w:r w:rsidRPr="00603CA3">
        <w:rPr>
          <w:rFonts w:eastAsia="Calibri"/>
          <w:color w:val="000000" w:themeColor="text1"/>
          <w:szCs w:val="24"/>
        </w:rPr>
        <w:t xml:space="preserve">Atbildīgās iestādes vai sadarbības iestādes izlases veidā veic pārējo iepirkumu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 xml:space="preserve"> (pašvaldību, valsts pārvaldes iestāžu, komersantu veikto iepirkumu </w:t>
      </w:r>
      <w:proofErr w:type="spellStart"/>
      <w:r w:rsidRPr="00603CA3">
        <w:rPr>
          <w:rFonts w:eastAsia="Calibri"/>
          <w:color w:val="000000" w:themeColor="text1"/>
          <w:szCs w:val="24"/>
        </w:rPr>
        <w:t>pirmspārbaudes</w:t>
      </w:r>
      <w:proofErr w:type="spellEnd"/>
      <w:r w:rsidRPr="00603CA3">
        <w:rPr>
          <w:rFonts w:eastAsia="Calibri"/>
          <w:color w:val="000000" w:themeColor="text1"/>
          <w:szCs w:val="24"/>
        </w:rPr>
        <w:t>).</w:t>
      </w:r>
    </w:p>
    <w:p w:rsidR="00070807" w:rsidRPr="00603CA3" w:rsidRDefault="00070807" w:rsidP="00603CA3">
      <w:pPr>
        <w:numPr>
          <w:ilvl w:val="0"/>
          <w:numId w:val="16"/>
        </w:numPr>
        <w:spacing w:line="276" w:lineRule="auto"/>
        <w:rPr>
          <w:rFonts w:eastAsia="Calibri"/>
          <w:color w:val="000000" w:themeColor="text1"/>
          <w:szCs w:val="24"/>
        </w:rPr>
      </w:pPr>
      <w:r w:rsidRPr="00603CA3">
        <w:rPr>
          <w:rFonts w:eastAsia="Calibri"/>
          <w:color w:val="000000" w:themeColor="text1"/>
          <w:szCs w:val="24"/>
        </w:rPr>
        <w:t xml:space="preserve">Nosaka Iepirkumu uzraudzības birojam pienākumu izstrādāt un ar atbildīgajām iestādēm, sadarbības iestādēm un vadošo iestādi saskaņot metodiku par </w:t>
      </w:r>
      <w:proofErr w:type="spellStart"/>
      <w:r w:rsidRPr="00603CA3">
        <w:rPr>
          <w:rFonts w:eastAsia="Calibri"/>
          <w:color w:val="000000" w:themeColor="text1"/>
          <w:szCs w:val="24"/>
        </w:rPr>
        <w:t>pirmspārbaužu</w:t>
      </w:r>
      <w:proofErr w:type="spellEnd"/>
      <w:r w:rsidRPr="00603CA3">
        <w:rPr>
          <w:rFonts w:eastAsia="Calibri"/>
          <w:color w:val="000000" w:themeColor="text1"/>
          <w:szCs w:val="24"/>
        </w:rPr>
        <w:t xml:space="preserve"> veikšanu, regulāri organizēt sanāksmes par iepirkumu </w:t>
      </w:r>
      <w:proofErr w:type="spellStart"/>
      <w:r w:rsidRPr="00603CA3">
        <w:rPr>
          <w:rFonts w:eastAsia="Calibri"/>
          <w:color w:val="000000" w:themeColor="text1"/>
          <w:szCs w:val="24"/>
        </w:rPr>
        <w:t>pirmspārbaužu</w:t>
      </w:r>
      <w:proofErr w:type="spellEnd"/>
      <w:r w:rsidRPr="00603CA3">
        <w:rPr>
          <w:rFonts w:eastAsia="Calibri"/>
          <w:color w:val="000000" w:themeColor="text1"/>
          <w:szCs w:val="24"/>
        </w:rPr>
        <w:t xml:space="preserve"> veikšanā konstatētajiem </w:t>
      </w:r>
      <w:proofErr w:type="spellStart"/>
      <w:r w:rsidRPr="00603CA3">
        <w:rPr>
          <w:rFonts w:eastAsia="Calibri"/>
          <w:color w:val="000000" w:themeColor="text1"/>
          <w:szCs w:val="24"/>
        </w:rPr>
        <w:t>problēmjautājumiem</w:t>
      </w:r>
      <w:proofErr w:type="spellEnd"/>
      <w:r w:rsidRPr="00603CA3">
        <w:rPr>
          <w:rFonts w:eastAsia="Calibri"/>
          <w:color w:val="000000" w:themeColor="text1"/>
          <w:szCs w:val="24"/>
        </w:rPr>
        <w:t xml:space="preserve"> ar mērķi vienoties par to risinājumiem un veicināt vienotu pieeju </w:t>
      </w:r>
      <w:proofErr w:type="spellStart"/>
      <w:r w:rsidRPr="00603CA3">
        <w:rPr>
          <w:rFonts w:eastAsia="Calibri"/>
          <w:color w:val="000000" w:themeColor="text1"/>
          <w:szCs w:val="24"/>
        </w:rPr>
        <w:t>problēmjautājumu</w:t>
      </w:r>
      <w:proofErr w:type="spellEnd"/>
      <w:r w:rsidRPr="00603CA3">
        <w:rPr>
          <w:rFonts w:eastAsia="Calibri"/>
          <w:color w:val="000000" w:themeColor="text1"/>
          <w:szCs w:val="24"/>
        </w:rPr>
        <w:t xml:space="preserve"> risināšanai, kā arī regulāri aktualizēt iepriekšminēto metodiku.</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MK noteikumu projekts izskatīšanai MK tika iesniegts </w:t>
      </w:r>
      <w:proofErr w:type="spellStart"/>
      <w:r w:rsidRPr="00603CA3">
        <w:rPr>
          <w:rFonts w:eastAsia="Calibri"/>
          <w:color w:val="000000" w:themeColor="text1"/>
          <w:szCs w:val="24"/>
        </w:rPr>
        <w:t>š.g</w:t>
      </w:r>
      <w:proofErr w:type="spellEnd"/>
      <w:r w:rsidRPr="00603CA3">
        <w:rPr>
          <w:rFonts w:eastAsia="Calibri"/>
          <w:color w:val="000000" w:themeColor="text1"/>
          <w:szCs w:val="24"/>
        </w:rPr>
        <w:t xml:space="preserve">. 13.jūlijā. </w:t>
      </w:r>
    </w:p>
    <w:p w:rsidR="00070807" w:rsidRPr="00603CA3" w:rsidRDefault="00070807" w:rsidP="00603CA3">
      <w:pPr>
        <w:numPr>
          <w:ilvl w:val="0"/>
          <w:numId w:val="33"/>
        </w:numPr>
        <w:spacing w:line="276" w:lineRule="auto"/>
        <w:rPr>
          <w:rFonts w:eastAsia="Calibri"/>
          <w:color w:val="000000" w:themeColor="text1"/>
          <w:szCs w:val="24"/>
        </w:rPr>
      </w:pPr>
      <w:r w:rsidRPr="00603CA3">
        <w:rPr>
          <w:rFonts w:eastAsia="Calibri"/>
          <w:color w:val="000000" w:themeColor="text1"/>
          <w:szCs w:val="24"/>
        </w:rPr>
        <w:t>Stiprināta Revīzijas iestādes neatkarība</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Pagājušā gada rudenī Eiropas Komisijas audits Latvijai sniedza ieteikumu par to, ka, viņuprāt, revīzijas iestāde Latvijā nav pietiekami neatkarīga savās darbībās un lēmumos. Līdz brīdim, kad jautājums tiktu atrisināts, Latvija pārstāja deklarēt sertificētos izdevumus Eiropas Komisijai un nesaņēma atmaksas turpat 190 miljonu eiro apmērā.</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Jau audita ieteikuma saskaņošanas procesā Latvija pauda savu viedokli, skaidrojot, ka ES fondu vadības un kontroles sistēmai ir veikts atbilstības novērtējums un pēc pozitīva novērtējuma saņemšanas tas ir iesniegts Eiropas Komisijai, kā arī saņemts saskaņojums. Diemžēl Eiropas Komisija šos pierādījumus neņēma vērā un pieprasīja, lai tiktu īpaši stiprināta revīzijas iestādes neatkarība, tādējādi perioda vidū izvirzot papildus prasības. </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Lai risinātu problēmu, tika būtiski stiprināta revīzijas iestādes neatkarība, ES struktūrfondu un Kohēzijas fonda vadības likumā nosakot, ka revīzijas iestāde ir pakļauta tieši ministram un revīzijas iestādei ir pienākums par revīzijas rezultātiem reizi gadā ziņot Ministru kabinetam, bet īpaši būtisku pārkāpumu atklāšanas gadījumā, nekavējoties. </w:t>
      </w:r>
    </w:p>
    <w:p w:rsidR="003B40A5" w:rsidRPr="00603CA3" w:rsidRDefault="003B40A5"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Šobrīd Eiropas Komisija uzskata, ka Latvija ir izpildījusi tai izvirzītos nosacījumus un ir saņemta informācija, ka izdevumu deklarēšana Latvijai ir atjaunota.</w:t>
      </w:r>
    </w:p>
    <w:p w:rsidR="00070807" w:rsidRPr="00603CA3" w:rsidRDefault="00070807" w:rsidP="00603CA3">
      <w:pPr>
        <w:numPr>
          <w:ilvl w:val="0"/>
          <w:numId w:val="33"/>
        </w:numPr>
        <w:spacing w:line="276" w:lineRule="auto"/>
        <w:rPr>
          <w:rFonts w:eastAsia="Calibri"/>
          <w:color w:val="000000" w:themeColor="text1"/>
          <w:szCs w:val="24"/>
        </w:rPr>
      </w:pPr>
      <w:r w:rsidRPr="00603CA3">
        <w:rPr>
          <w:rFonts w:eastAsia="Calibri"/>
          <w:color w:val="000000" w:themeColor="text1"/>
          <w:szCs w:val="24"/>
        </w:rPr>
        <w:t>Pilnveidoti metodiskie un skaidrojošie materiāli ES fondu vadībā iesaistītajām iestādēm.</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Lai mazinātu sistēmisko kļūdu iespējamību, Finanšu ministrija 2011.gada II ceturksnī ir strādājusi pie vadlīniju un metodiku aktualizēšanas, ar mērķi atvieglot darbu gan ES fondu </w:t>
      </w:r>
      <w:r w:rsidRPr="00603CA3">
        <w:rPr>
          <w:rFonts w:eastAsia="Calibri"/>
          <w:color w:val="000000" w:themeColor="text1"/>
          <w:szCs w:val="24"/>
        </w:rPr>
        <w:lastRenderedPageBreak/>
        <w:t>vadībā iesaistītajām institūcijām, gan finansējuma saņēmējiem. Ir precizētas šādas vadlīnijas un metodika:</w:t>
      </w:r>
    </w:p>
    <w:p w:rsidR="00070807" w:rsidRPr="00603CA3" w:rsidRDefault="00070807" w:rsidP="00603CA3">
      <w:pPr>
        <w:numPr>
          <w:ilvl w:val="0"/>
          <w:numId w:val="19"/>
        </w:numPr>
        <w:spacing w:line="276" w:lineRule="auto"/>
        <w:rPr>
          <w:rFonts w:eastAsia="Calibri"/>
          <w:color w:val="000000" w:themeColor="text1"/>
          <w:szCs w:val="24"/>
        </w:rPr>
      </w:pPr>
      <w:r w:rsidRPr="00603CA3">
        <w:rPr>
          <w:rFonts w:eastAsia="Calibri"/>
          <w:color w:val="000000" w:themeColor="text1"/>
          <w:szCs w:val="24"/>
        </w:rPr>
        <w:t>Vadlīnijas par finanšu korekciju piemērošanu ES projektos</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2011.gada jūnijā ir aktualizētas Finanšu ministrijas vadlīnijas Nr.10.10. „Vadlīnijas par finanšu korekciju piemērošanu ES fondu finansētajos projektos”, kas sniedz skaidrojumu par finanšu korekciju būtību un piemērošanu ES struktūrfondu un KF 2004.-2006.gada un 2007.-2013.gada plānošanas perioda projektos, kā arī EEZ finanšu instrumenta, Norvēģijas valdības divpusējā finanšu instrumenta un Latvijas un Šveices sadarbības programmas finansētajos projektos. Vadlīniju mērķis ir veicināt sistēmisku, vienotu pieeju un praksi proporcionālas finanšu korekcijas piemērošanā līdzīgos gadījumos Latvijā. Vadlīnijas ir būtiski papildinātas ar jauniem piemēriem finanšu korekcijas apjoma noteikšanai, tādējādi atvieglojot ES fondu vadībā iesaistītajām iestādēm lēmuma pieņemšanu par finanšu korekcijas apjomu konkrētā gadījumā. </w:t>
      </w:r>
    </w:p>
    <w:p w:rsidR="00070807" w:rsidRPr="00603CA3" w:rsidRDefault="00070807" w:rsidP="00603CA3">
      <w:pPr>
        <w:numPr>
          <w:ilvl w:val="0"/>
          <w:numId w:val="19"/>
        </w:numPr>
        <w:spacing w:line="276" w:lineRule="auto"/>
        <w:rPr>
          <w:rFonts w:eastAsia="Calibri"/>
          <w:color w:val="000000" w:themeColor="text1"/>
          <w:szCs w:val="24"/>
        </w:rPr>
      </w:pPr>
      <w:r w:rsidRPr="00603CA3">
        <w:rPr>
          <w:rFonts w:eastAsia="Calibri"/>
          <w:color w:val="000000" w:themeColor="text1"/>
          <w:szCs w:val="24"/>
        </w:rPr>
        <w:t xml:space="preserve"> Vadlīnijas par netiešo izmaksu nemainīgās likmes plānošanu un piemērošanu</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2011.gada jūnijā ir aktualizēta metodika par netiešo izmaksu nemainīgās likmes plānošanu un piemērošanu. Ar tās apstiprināšanu visām ES fondu apguvē iesaistītajām institūcijām tiek nodrošināta vienota izpratne par netiešo izmaksu nemainīgās likmes plānošanu un piemērošanu, </w:t>
      </w:r>
      <w:proofErr w:type="spellStart"/>
      <w:r w:rsidRPr="00603CA3">
        <w:rPr>
          <w:rFonts w:eastAsia="Calibri"/>
          <w:color w:val="000000" w:themeColor="text1"/>
          <w:szCs w:val="24"/>
        </w:rPr>
        <w:t>t.sk</w:t>
      </w:r>
      <w:proofErr w:type="spellEnd"/>
      <w:r w:rsidRPr="00603CA3">
        <w:rPr>
          <w:rFonts w:eastAsia="Calibri"/>
          <w:color w:val="000000" w:themeColor="text1"/>
          <w:szCs w:val="24"/>
        </w:rPr>
        <w:t>. par ārpakalpojuma definīcijā iekļauto tehnisko atbalstu un nemainīgās likmes korekcijas piemērošanas jautājumiem.</w:t>
      </w:r>
    </w:p>
    <w:p w:rsidR="00070807" w:rsidRPr="00603CA3" w:rsidRDefault="00070807" w:rsidP="00603CA3">
      <w:pPr>
        <w:numPr>
          <w:ilvl w:val="0"/>
          <w:numId w:val="19"/>
        </w:numPr>
        <w:spacing w:line="276" w:lineRule="auto"/>
        <w:rPr>
          <w:rFonts w:eastAsia="Calibri"/>
          <w:color w:val="000000" w:themeColor="text1"/>
          <w:szCs w:val="24"/>
        </w:rPr>
      </w:pPr>
      <w:r w:rsidRPr="00603CA3">
        <w:rPr>
          <w:rFonts w:eastAsia="Calibri"/>
          <w:color w:val="000000" w:themeColor="text1"/>
          <w:szCs w:val="24"/>
        </w:rPr>
        <w:t>Vadlīnijas par projekta attiecināmo izmaksu pamatojošajiem dokumentiem</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Vadlīnijās </w:t>
      </w:r>
      <w:r w:rsidRPr="00603CA3">
        <w:rPr>
          <w:color w:val="000000" w:themeColor="text1"/>
          <w:szCs w:val="24"/>
        </w:rPr>
        <w:t>Finanšu ministrija</w:t>
      </w:r>
      <w:r w:rsidRPr="00603CA3">
        <w:rPr>
          <w:rFonts w:eastAsia="Calibri"/>
          <w:color w:val="000000" w:themeColor="text1"/>
          <w:szCs w:val="24"/>
        </w:rPr>
        <w:t xml:space="preserve"> sniedz viedokli par vienotu principu piemērošanu un izpratni attiecībā uz attiecināmo izmaksu pamatojošajiem dokumentiem un ar mērķi padarīt to pārbaudi finansiāli efektīvāku ES fondu 2007.-2013.gada plānošanas perioda projektos. Tādējādi atbildīgajai un sadarbības iestādei vienkopus ir pieejama informācija par prasībām, kādas izvirzīt finansējuma saņēmējiem attiecībā uz attiecināmo izmaksu pamatojošajiem dokumentiem un citiem dokumentiem, kas apliecina projekta aktivitātes izpildi, rezultatīvos rādītājus un publicitāti. Vadlīniju aktualizētajā versijā Finanšu ministrija atkārtoti aicina ES fondu atbildīgās un sadarbības iestādes nepieprasīt lieku dokumentāciju finansējuma saņēmējam, kā arī aicina veikt izdevumu pamatojošās dokumentācijas pārbaudes izlases veidā, sniedzot piemēru izlases veidošanai. Papildus vadlīnijas papildinātas ar pamatprincipiem maksājumu pieprasījumu pārbaužu veikšanai, tādējādi veicinot vienotu izpratni starp iestādēm ar mērķi uzlabot un </w:t>
      </w:r>
      <w:proofErr w:type="spellStart"/>
      <w:r w:rsidRPr="00603CA3">
        <w:rPr>
          <w:rFonts w:eastAsia="Calibri"/>
          <w:color w:val="000000" w:themeColor="text1"/>
          <w:szCs w:val="24"/>
        </w:rPr>
        <w:t>efektivizēt</w:t>
      </w:r>
      <w:proofErr w:type="spellEnd"/>
      <w:r w:rsidRPr="00603CA3">
        <w:rPr>
          <w:rFonts w:eastAsia="Calibri"/>
          <w:color w:val="000000" w:themeColor="text1"/>
          <w:szCs w:val="24"/>
        </w:rPr>
        <w:t xml:space="preserve"> maksājumu pieprasījumu pārbaudes.</w:t>
      </w:r>
    </w:p>
    <w:p w:rsidR="00070807" w:rsidRPr="00603CA3" w:rsidRDefault="00070807" w:rsidP="00603CA3">
      <w:pPr>
        <w:numPr>
          <w:ilvl w:val="0"/>
          <w:numId w:val="33"/>
        </w:numPr>
        <w:spacing w:line="276" w:lineRule="auto"/>
        <w:rPr>
          <w:rFonts w:eastAsia="Calibri"/>
          <w:color w:val="000000" w:themeColor="text1"/>
          <w:szCs w:val="24"/>
        </w:rPr>
      </w:pPr>
      <w:r w:rsidRPr="00603CA3">
        <w:rPr>
          <w:rFonts w:eastAsia="Calibri"/>
          <w:color w:val="000000" w:themeColor="text1"/>
          <w:szCs w:val="24"/>
        </w:rPr>
        <w:t>Papildus rosinātie uzlabojumi.</w:t>
      </w:r>
    </w:p>
    <w:p w:rsidR="00070807" w:rsidRPr="00603CA3" w:rsidRDefault="00070807" w:rsidP="00603CA3">
      <w:pPr>
        <w:numPr>
          <w:ilvl w:val="0"/>
          <w:numId w:val="19"/>
        </w:numPr>
        <w:spacing w:line="276" w:lineRule="auto"/>
        <w:rPr>
          <w:rFonts w:eastAsia="Calibri"/>
          <w:color w:val="000000" w:themeColor="text1"/>
          <w:szCs w:val="24"/>
        </w:rPr>
      </w:pPr>
      <w:r w:rsidRPr="00603CA3">
        <w:rPr>
          <w:rFonts w:eastAsia="Calibri"/>
          <w:color w:val="000000" w:themeColor="text1"/>
          <w:szCs w:val="24"/>
        </w:rPr>
        <w:t>Uzņēmumu līgumu ierobežojumi</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Šobrīd ne ES ne LR normatīvajos aktos nav noteikts aizliegums finansējuma saņēmēja esošo darbinieku un ierobežojošs termiņš bijušo darbinieku iepirkšanai uz uzņēmumu līguma pamata, ja šie darbinieki nav saņēmuši nepamatotas priekšrocības salīdzinājumā ar pārējiem pretendentiem, kuri piedalās iepirkumā. </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Likuma „Par interešu konflikta novēršanu valsts amatpersonu darbībā” </w:t>
      </w:r>
      <w:bookmarkStart w:id="52" w:name="bkm5"/>
      <w:r w:rsidRPr="00603CA3">
        <w:rPr>
          <w:rFonts w:eastAsia="Calibri"/>
          <w:color w:val="000000" w:themeColor="text1"/>
          <w:szCs w:val="24"/>
        </w:rPr>
        <w:t>II nodaļā „Ierobežojumi un aizliegumi valsts amatpersonām” noteikti ierobežojumi valsts amatpersonai savienot amatu, slēgt uzņēmuma līguma vai pilnvarojuma izpildi.</w:t>
      </w:r>
      <w:bookmarkEnd w:id="52"/>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Tomēr šāda rīcība rada tādu Padomes 2002.gada 25.jūnija Regulā Nr.1605/2002 par Finanšu regulu, ko piemēro Kopienas vispārējam budžetam (turpmāk – Finanšu regula), noteikto principu kā vienlīdzīgas attieksmes princips un drošas finanšu pārvaldības princips </w:t>
      </w:r>
      <w:r w:rsidRPr="00603CA3">
        <w:rPr>
          <w:rFonts w:eastAsia="Calibri"/>
          <w:color w:val="000000" w:themeColor="text1"/>
          <w:szCs w:val="24"/>
        </w:rPr>
        <w:lastRenderedPageBreak/>
        <w:t xml:space="preserve">neievērošanas risku. Tas var radīt neatbilstoši veiktos izdevumus, jo EK vadlīnijas ES fondu līdzfinansētajām izmaksām piemērojamo finanšu korekciju noteikšanai publiskā iepirkuma noteikumu neizpildes gadījumā paredz iespēju piemērot korekciju līdz 10% apmērā no noslēgtā līguma summas, atkarībā no pārkāpuma būtiskuma, vienlīdzīgas attieksmes principa pārkāpuma gadījumā. </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Šāda </w:t>
      </w:r>
      <w:proofErr w:type="spellStart"/>
      <w:r w:rsidRPr="00603CA3">
        <w:rPr>
          <w:rFonts w:eastAsia="Calibri"/>
          <w:color w:val="000000" w:themeColor="text1"/>
          <w:szCs w:val="24"/>
        </w:rPr>
        <w:t>problēmsituācija</w:t>
      </w:r>
      <w:proofErr w:type="spellEnd"/>
      <w:r w:rsidRPr="00603CA3">
        <w:rPr>
          <w:rFonts w:eastAsia="Calibri"/>
          <w:color w:val="000000" w:themeColor="text1"/>
          <w:szCs w:val="24"/>
        </w:rPr>
        <w:t xml:space="preserve"> skar ne tikai ES fondu administrēšanu, bet arī citu ārvalstu finanšu instrumentu administrēšanu, piemēram, arī Eiropas Ekonomikas zonas finanšu instrumenta un Norvēģijas valdības divpusējā finanšu instrumenta administrēšanu vai arī valsts budžeta līdzekļu administrēšanu.</w:t>
      </w:r>
    </w:p>
    <w:p w:rsidR="00070807" w:rsidRPr="00603CA3" w:rsidRDefault="00070807"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Tā rezultātā, lai novērstu šādus iespējamos riskus plānots noteikt aizliegumu ES fondu un EEZ/NOR vadībā iesaistītajām institūcijām uz uzņēmuma līguma pamata iepirkt savus darbiniekus, kas strādā vai ir beiguši darba attiecības mazāk kā sešus mēnešus pirms uzņēmuma līguma noslēgšanas.</w:t>
      </w:r>
    </w:p>
    <w:p w:rsidR="003B40A5" w:rsidRPr="00603CA3" w:rsidRDefault="003B40A5" w:rsidP="00603CA3">
      <w:pPr>
        <w:tabs>
          <w:tab w:val="left" w:pos="1475"/>
        </w:tabs>
        <w:spacing w:line="276" w:lineRule="auto"/>
        <w:rPr>
          <w:rFonts w:eastAsia="Calibri"/>
          <w:color w:val="000000" w:themeColor="text1"/>
          <w:szCs w:val="24"/>
        </w:rPr>
      </w:pPr>
      <w:r w:rsidRPr="00603CA3">
        <w:rPr>
          <w:rFonts w:eastAsia="Calibri"/>
          <w:color w:val="000000" w:themeColor="text1"/>
          <w:szCs w:val="24"/>
        </w:rPr>
        <w:t xml:space="preserve">Lai izstrādātu priekšlikumus, Finanšu ministrija ir noskaidrojusi arī esošo situāciju administrēto aktivitāšu/ </w:t>
      </w:r>
      <w:proofErr w:type="spellStart"/>
      <w:r w:rsidRPr="00603CA3">
        <w:rPr>
          <w:rFonts w:eastAsia="Calibri"/>
          <w:color w:val="000000" w:themeColor="text1"/>
          <w:szCs w:val="24"/>
        </w:rPr>
        <w:t>apakšaktivitāšu</w:t>
      </w:r>
      <w:proofErr w:type="spellEnd"/>
      <w:r w:rsidRPr="00603CA3">
        <w:rPr>
          <w:rFonts w:eastAsia="Calibri"/>
          <w:color w:val="000000" w:themeColor="text1"/>
          <w:szCs w:val="24"/>
        </w:rPr>
        <w:t xml:space="preserve"> ietvaros īstenotajiem projektiem, kuru īstenošanā ir piesaistīti attiecīgā finansējuma saņēmēja esošie vai bijušie darbinieki. Kā liecina iestāžu iesniegtā informācija</w:t>
      </w:r>
      <w:r w:rsidRPr="00603CA3">
        <w:rPr>
          <w:rStyle w:val="FootnoteReference"/>
          <w:rFonts w:eastAsia="Calibri"/>
          <w:color w:val="000000" w:themeColor="text1"/>
          <w:szCs w:val="24"/>
        </w:rPr>
        <w:footnoteReference w:id="13"/>
      </w:r>
      <w:r w:rsidRPr="00603CA3">
        <w:rPr>
          <w:rFonts w:eastAsia="Calibri"/>
          <w:color w:val="000000" w:themeColor="text1"/>
          <w:szCs w:val="24"/>
        </w:rPr>
        <w:t xml:space="preserve">, </w:t>
      </w:r>
      <w:r w:rsidRPr="00603CA3">
        <w:rPr>
          <w:color w:val="000000" w:themeColor="text1"/>
          <w:szCs w:val="24"/>
        </w:rPr>
        <w:t>summa, par kādu noslēgti līgumi ar esošajiem vai bijušajiem darbiniekiem ES fondu projekta ietvaros,</w:t>
      </w:r>
      <w:r w:rsidRPr="00603CA3">
        <w:rPr>
          <w:rFonts w:eastAsia="Calibri"/>
          <w:color w:val="000000" w:themeColor="text1"/>
          <w:szCs w:val="24"/>
        </w:rPr>
        <w:t xml:space="preserve"> ir 445 467,28 lati. Attiecīgi šādi uzņēmumu līgumi ir noslēgti Vides aizsardzības un reģionālās attīstības ministrijas, Izglītības un zinātnes ministrijas, Valsts kancelejas, Labklājības ministrijas administrēto aktivitāšu ietvaros īstenotajos ES fondu projektos.</w:t>
      </w:r>
    </w:p>
    <w:p w:rsidR="00070807" w:rsidRPr="00603CA3" w:rsidRDefault="00070807" w:rsidP="00603CA3">
      <w:pPr>
        <w:numPr>
          <w:ilvl w:val="0"/>
          <w:numId w:val="19"/>
        </w:numPr>
        <w:spacing w:line="276" w:lineRule="auto"/>
        <w:rPr>
          <w:rFonts w:eastAsia="Calibri"/>
          <w:color w:val="000000" w:themeColor="text1"/>
          <w:szCs w:val="24"/>
        </w:rPr>
      </w:pPr>
      <w:r w:rsidRPr="00603CA3">
        <w:rPr>
          <w:rFonts w:eastAsia="Calibri"/>
          <w:color w:val="000000" w:themeColor="text1"/>
          <w:szCs w:val="24"/>
        </w:rPr>
        <w:t>Darījumu kontu slēgšana</w:t>
      </w:r>
    </w:p>
    <w:p w:rsidR="00070807" w:rsidRPr="00603CA3" w:rsidRDefault="00070807" w:rsidP="00603CA3">
      <w:pPr>
        <w:spacing w:line="276" w:lineRule="auto"/>
        <w:rPr>
          <w:color w:val="000000" w:themeColor="text1"/>
          <w:szCs w:val="24"/>
        </w:rPr>
      </w:pPr>
      <w:r w:rsidRPr="00603CA3">
        <w:rPr>
          <w:color w:val="000000" w:themeColor="text1"/>
          <w:szCs w:val="24"/>
        </w:rPr>
        <w:t>Atbilstoši Valsts Kases sniegtajai informācijai, pastāv gadījumi, kad bankās atbildīgās iestādes un to padotībā esošās iestādes atvērušas darījuma kontus ES fonda projektiem, tādejādi veicot naudas ieskaitījumu šai darījumu kontā, bet nevis veicot pārskaitījumu par reāli veiktiem darbiem, pakalpojumiem uz preču vai pakalpojumu sniedzēja norēķinu kontu. Finanšu ministrija uzskata, ka līgumu slēgšana par darījuma kontu izmantošanu nav pieļaujama:</w:t>
      </w:r>
    </w:p>
    <w:p w:rsidR="00070807" w:rsidRPr="00603CA3" w:rsidRDefault="00070807" w:rsidP="00603CA3">
      <w:pPr>
        <w:pStyle w:val="ListParagraph"/>
        <w:numPr>
          <w:ilvl w:val="0"/>
          <w:numId w:val="43"/>
        </w:numPr>
        <w:spacing w:after="0"/>
        <w:jc w:val="both"/>
        <w:rPr>
          <w:rFonts w:ascii="Times New Roman" w:hAnsi="Times New Roman"/>
          <w:color w:val="000000" w:themeColor="text1"/>
          <w:sz w:val="24"/>
          <w:szCs w:val="24"/>
        </w:rPr>
      </w:pPr>
      <w:r w:rsidRPr="00603CA3">
        <w:rPr>
          <w:rFonts w:ascii="Times New Roman" w:hAnsi="Times New Roman"/>
          <w:color w:val="000000" w:themeColor="text1"/>
          <w:sz w:val="24"/>
          <w:szCs w:val="24"/>
        </w:rPr>
        <w:t xml:space="preserve">ņemot vērā Valsts pārvaldes iekārtas likuma 10.panta pirmo daļu, valsts budžeta iestādes var darboties tikai normatīvajos aktos noteiktās kompetences ietvaros. Saskaņā ar Likuma par budžetu un finanšu vadību  (turpmāk – likums) 27.panta pirmo daļu valsts budžeta iestādes asignējumu saņemšanai un izdevumu veikšanai no valsts budžeta līdzekļiem kontus var atvērt tikai Valsts kasē. Kā arī likuma 33.pantā noteikts, ka Valsts kase rīko visus valsts budžeta līdzekļu kontus bankās un finanšu ministrs var pilnvarot Valsts kasi vai citu juridisko personu atvērt un izmantot kontus bankās., Līdz ar to valsts budžeta iestāde nevar atvērt kontus, </w:t>
      </w:r>
      <w:proofErr w:type="spellStart"/>
      <w:r w:rsidRPr="00603CA3">
        <w:rPr>
          <w:rFonts w:ascii="Times New Roman" w:hAnsi="Times New Roman"/>
          <w:color w:val="000000" w:themeColor="text1"/>
          <w:sz w:val="24"/>
          <w:szCs w:val="24"/>
        </w:rPr>
        <w:t>t.sk</w:t>
      </w:r>
      <w:proofErr w:type="spellEnd"/>
      <w:r w:rsidRPr="00603CA3">
        <w:rPr>
          <w:rFonts w:ascii="Times New Roman" w:hAnsi="Times New Roman"/>
          <w:color w:val="000000" w:themeColor="text1"/>
          <w:sz w:val="24"/>
          <w:szCs w:val="24"/>
        </w:rPr>
        <w:t>. darījuma kontus, komercbankās. Arī gadījumos, kad darījuma kontu formāli atver nevis valsts budžeta iestāde (tai skaitā tā, kura īsteno projektu), bet izpildītājs, ar kuru valsts budžeta iestāde ir noslēgusi iepirkuma līgumu, valsts budžeta iestāde piedalās trīspusēja līguma slēgšanā, tādējādi pēc būtības piedaloties darījumu konta atvēršanā komercbankā.</w:t>
      </w:r>
    </w:p>
    <w:p w:rsidR="00070807" w:rsidRPr="00603CA3" w:rsidRDefault="00070807" w:rsidP="00603CA3">
      <w:pPr>
        <w:pStyle w:val="ListParagraph"/>
        <w:numPr>
          <w:ilvl w:val="0"/>
          <w:numId w:val="43"/>
        </w:numPr>
        <w:spacing w:after="0"/>
        <w:jc w:val="both"/>
        <w:rPr>
          <w:rFonts w:ascii="Times New Roman" w:hAnsi="Times New Roman"/>
          <w:color w:val="000000" w:themeColor="text1"/>
          <w:sz w:val="24"/>
          <w:szCs w:val="24"/>
        </w:rPr>
      </w:pPr>
      <w:r w:rsidRPr="00603CA3">
        <w:rPr>
          <w:rFonts w:ascii="Times New Roman" w:hAnsi="Times New Roman"/>
          <w:color w:val="000000" w:themeColor="text1"/>
          <w:sz w:val="24"/>
          <w:szCs w:val="24"/>
        </w:rPr>
        <w:t>valsts budžeta iestāde faktiski rada zaudējumus valsts budžetam un uz laiku brīvajiem resursiem peļņu ieņēmumu veidā negūst valsts budžets, bet komercbankas;</w:t>
      </w:r>
    </w:p>
    <w:p w:rsidR="00070807" w:rsidRPr="00603CA3" w:rsidRDefault="00070807" w:rsidP="00591033">
      <w:pPr>
        <w:pStyle w:val="ListParagraph"/>
        <w:numPr>
          <w:ilvl w:val="0"/>
          <w:numId w:val="43"/>
        </w:numPr>
        <w:spacing w:after="0"/>
        <w:jc w:val="both"/>
        <w:rPr>
          <w:rFonts w:ascii="Times New Roman" w:hAnsi="Times New Roman"/>
          <w:color w:val="000000" w:themeColor="text1"/>
          <w:sz w:val="24"/>
          <w:szCs w:val="24"/>
        </w:rPr>
      </w:pPr>
      <w:r w:rsidRPr="00603CA3">
        <w:rPr>
          <w:rFonts w:ascii="Times New Roman" w:hAnsi="Times New Roman"/>
          <w:color w:val="000000" w:themeColor="text1"/>
          <w:sz w:val="24"/>
          <w:szCs w:val="24"/>
        </w:rPr>
        <w:lastRenderedPageBreak/>
        <w:t>pastāv liela varbūtība, ka izpildītājs ierēķina šīs papildu izmaksas sava piedāvājuma cenā (kaut arī neatšifrējot tās), palielinot kopējās projekta izmaksas un samazinot valsts budžeta līdzekļu izmantošanas efektivitāti.</w:t>
      </w:r>
    </w:p>
    <w:p w:rsidR="001479F2" w:rsidRPr="00591033" w:rsidRDefault="00070807" w:rsidP="00591033">
      <w:pPr>
        <w:spacing w:line="276" w:lineRule="auto"/>
        <w:rPr>
          <w:color w:val="000000" w:themeColor="text1"/>
          <w:szCs w:val="24"/>
        </w:rPr>
      </w:pPr>
      <w:proofErr w:type="spellStart"/>
      <w:r w:rsidRPr="00603CA3">
        <w:rPr>
          <w:color w:val="000000" w:themeColor="text1"/>
          <w:szCs w:val="24"/>
        </w:rPr>
        <w:t>Protokollēmuma</w:t>
      </w:r>
      <w:proofErr w:type="spellEnd"/>
      <w:r w:rsidRPr="00603CA3">
        <w:rPr>
          <w:color w:val="000000" w:themeColor="text1"/>
          <w:szCs w:val="24"/>
        </w:rPr>
        <w:t xml:space="preserve"> projekts paredz valsts budžeta iestādēm nodrošināt ar piegādātājiem noslēgto līgumu par darījuma kontu izmantošanu laušanu (tai skaitā, gadījumos, kad darījuma kontu ir atvērusi nevis valsts budžeta iestāde, bet izpildītājs, ar kuru valsts budžeta iestāde ir noslēgusi iepirkuma līgumu ES fondu projekta īstenošanas ietvaros) līdz 2011.gada 11.septembrim, ja līgumos par darījuma konta izmantošanu nav paredzētas sankcijas, kas var radīt papildu zaudējumus budžetam, kā arī turpmāk nepieļaut iepriekš minēto līgumu slēgšanu un  informēt Finanšu ministriju līdz 2011.gada 11.septembrim par noslēgtajiem līgumiem par darījuma kontiem, ja tajos ir paredzētas sankcijas līguma laušanas gadījumā, norādot to apmērus un citus būtiskus </w:t>
      </w:r>
      <w:r w:rsidRPr="00591033">
        <w:rPr>
          <w:color w:val="000000" w:themeColor="text1"/>
          <w:szCs w:val="24"/>
        </w:rPr>
        <w:t>nosacījumus.</w:t>
      </w:r>
    </w:p>
    <w:p w:rsidR="00591033" w:rsidRPr="00591033" w:rsidRDefault="006C79DF" w:rsidP="00591033">
      <w:pPr>
        <w:pStyle w:val="ListParagraph"/>
        <w:numPr>
          <w:ilvl w:val="0"/>
          <w:numId w:val="19"/>
        </w:numPr>
        <w:spacing w:after="0"/>
        <w:rPr>
          <w:rFonts w:ascii="Times New Roman" w:hAnsi="Times New Roman"/>
          <w:color w:val="000000" w:themeColor="text1"/>
          <w:szCs w:val="24"/>
        </w:rPr>
      </w:pPr>
      <w:r w:rsidRPr="00591033">
        <w:rPr>
          <w:rFonts w:ascii="Times New Roman" w:hAnsi="Times New Roman"/>
          <w:bCs/>
          <w:color w:val="000000"/>
          <w:sz w:val="24"/>
          <w:szCs w:val="24"/>
        </w:rPr>
        <w:t>Daļveida atalgojumu attiecināšana</w:t>
      </w:r>
      <w:r w:rsidR="00591033">
        <w:rPr>
          <w:rFonts w:ascii="Times New Roman" w:hAnsi="Times New Roman"/>
          <w:bCs/>
          <w:color w:val="000000"/>
          <w:sz w:val="24"/>
          <w:szCs w:val="24"/>
        </w:rPr>
        <w:t xml:space="preserve"> no</w:t>
      </w:r>
      <w:r w:rsidRPr="00591033">
        <w:rPr>
          <w:rFonts w:ascii="Times New Roman" w:hAnsi="Times New Roman"/>
          <w:bCs/>
          <w:color w:val="000000"/>
          <w:sz w:val="24"/>
          <w:szCs w:val="24"/>
        </w:rPr>
        <w:t xml:space="preserve"> ES fondu tehniskās palīdzības </w:t>
      </w:r>
      <w:r w:rsidR="00591033">
        <w:rPr>
          <w:rFonts w:ascii="Times New Roman" w:hAnsi="Times New Roman"/>
          <w:bCs/>
          <w:color w:val="000000"/>
          <w:sz w:val="24"/>
          <w:szCs w:val="24"/>
        </w:rPr>
        <w:t>līdzekļiem</w:t>
      </w:r>
    </w:p>
    <w:p w:rsidR="006C79DF" w:rsidRPr="006E315C" w:rsidRDefault="00591033" w:rsidP="00591033">
      <w:pPr>
        <w:rPr>
          <w:bCs/>
          <w:color w:val="000000"/>
          <w:szCs w:val="24"/>
        </w:rPr>
      </w:pPr>
      <w:r>
        <w:rPr>
          <w:bCs/>
          <w:color w:val="000000"/>
          <w:szCs w:val="24"/>
        </w:rPr>
        <w:t xml:space="preserve">Šā gada 20.jūnija Koalīcijas darba grupā par ES fondu jautājumiem tika skatīs jautājums par iespējamo atalgojuma daļveida attiecināšanu no ES fondu tehniskās palīdzības. Tas nozīmē, ka tiem ierēdņiem vai darbiniekiem, kuri šobrīd daļēji strādā ar ES fondu jautājumiem un kuriem atalgojums tādēļ tiek maksāts no valsts budžeta līdzekļiem, turpmāk atalgojumu maksātu </w:t>
      </w:r>
      <w:proofErr w:type="spellStart"/>
      <w:r>
        <w:rPr>
          <w:bCs/>
          <w:color w:val="000000"/>
          <w:szCs w:val="24"/>
        </w:rPr>
        <w:t>daļveidā</w:t>
      </w:r>
      <w:proofErr w:type="spellEnd"/>
      <w:r>
        <w:rPr>
          <w:bCs/>
          <w:color w:val="000000"/>
          <w:szCs w:val="24"/>
        </w:rPr>
        <w:t xml:space="preserve">– mēneša beigās nosakot proporciju cik daudz laika darbinieks ir strādājis ar ES fondiem un cik ar citiem uzdevumiem. Lai pārliecinātos, ka šāda pieeja ir pieņemama Eiropas Komisijai </w:t>
      </w:r>
      <w:r w:rsidR="006E315C">
        <w:rPr>
          <w:bCs/>
          <w:color w:val="000000"/>
          <w:szCs w:val="24"/>
        </w:rPr>
        <w:t xml:space="preserve">un vēlāk nerastos problēmas ar izdevumu attiecināšanu, </w:t>
      </w:r>
      <w:r>
        <w:rPr>
          <w:bCs/>
          <w:color w:val="000000"/>
          <w:szCs w:val="24"/>
        </w:rPr>
        <w:t>Finanšu ministrija jūlijā tikās ar Komisijas pārstāvjiem</w:t>
      </w:r>
      <w:r w:rsidR="006E315C">
        <w:rPr>
          <w:bCs/>
          <w:color w:val="000000"/>
          <w:szCs w:val="24"/>
        </w:rPr>
        <w:t xml:space="preserve"> un pārrunāja šo priekšlikumu</w:t>
      </w:r>
      <w:r>
        <w:rPr>
          <w:bCs/>
          <w:color w:val="000000"/>
          <w:szCs w:val="24"/>
        </w:rPr>
        <w:t>. Konceptuāli tika saņemts atbalsts šāda</w:t>
      </w:r>
      <w:r w:rsidR="006E315C">
        <w:rPr>
          <w:bCs/>
          <w:color w:val="000000"/>
          <w:szCs w:val="24"/>
        </w:rPr>
        <w:t xml:space="preserve">m risinājumam </w:t>
      </w:r>
      <w:r>
        <w:rPr>
          <w:bCs/>
          <w:color w:val="000000"/>
          <w:szCs w:val="24"/>
        </w:rPr>
        <w:t>ar 2.kārtas tehniskās palīdzības projektu ieviešanu. Šobrīd Finanšu ministrija strādā pie optimālā atalgojuma daļveida attiecināšanas ieviešanas modeļa.</w:t>
      </w:r>
      <w:r w:rsidR="006E315C">
        <w:rPr>
          <w:bCs/>
          <w:color w:val="000000"/>
          <w:szCs w:val="24"/>
        </w:rPr>
        <w:t xml:space="preserve"> Papildus informācija tiks ziņota Ministru kabinetam šā gada novembrī, kad </w:t>
      </w:r>
      <w:r w:rsidR="006C79DF" w:rsidRPr="00591033">
        <w:rPr>
          <w:bCs/>
          <w:color w:val="000000"/>
          <w:szCs w:val="24"/>
        </w:rPr>
        <w:t xml:space="preserve">Finanšu ministrijai sadarbībā ar Valsts kanceleju </w:t>
      </w:r>
      <w:r w:rsidR="006E315C">
        <w:rPr>
          <w:bCs/>
          <w:color w:val="000000"/>
          <w:szCs w:val="24"/>
        </w:rPr>
        <w:t>iesniegs</w:t>
      </w:r>
      <w:r w:rsidR="006C79DF" w:rsidRPr="00591033">
        <w:rPr>
          <w:bCs/>
          <w:color w:val="000000"/>
          <w:szCs w:val="24"/>
        </w:rPr>
        <w:t xml:space="preserve"> Ministru kabinetā ziņojumu par ES fondu tehniskās palīdzības finansējuma izmantošanas paplašināšanu, piedāvājot risinājumu, kas ietaupītu valsts budžeta līdzekļus, bet vienlaikus minimizētu finansējuma </w:t>
      </w:r>
      <w:proofErr w:type="spellStart"/>
      <w:r w:rsidR="006C79DF" w:rsidRPr="00591033">
        <w:rPr>
          <w:bCs/>
          <w:color w:val="000000"/>
          <w:szCs w:val="24"/>
        </w:rPr>
        <w:t>neattiecināmības</w:t>
      </w:r>
      <w:proofErr w:type="spellEnd"/>
      <w:r w:rsidR="006C79DF" w:rsidRPr="00591033">
        <w:rPr>
          <w:bCs/>
          <w:color w:val="000000"/>
          <w:szCs w:val="24"/>
        </w:rPr>
        <w:t xml:space="preserve"> riskus</w:t>
      </w:r>
    </w:p>
    <w:p w:rsidR="006C79DF" w:rsidRPr="00591033" w:rsidRDefault="006E315C" w:rsidP="00591033">
      <w:pPr>
        <w:pStyle w:val="ListParagraph"/>
        <w:numPr>
          <w:ilvl w:val="0"/>
          <w:numId w:val="19"/>
        </w:numPr>
        <w:spacing w:after="0"/>
        <w:rPr>
          <w:rFonts w:ascii="Times New Roman" w:hAnsi="Times New Roman"/>
          <w:color w:val="000000" w:themeColor="text1"/>
          <w:szCs w:val="24"/>
        </w:rPr>
      </w:pPr>
      <w:r>
        <w:rPr>
          <w:rFonts w:ascii="Times New Roman" w:hAnsi="Times New Roman"/>
          <w:bCs/>
          <w:color w:val="000000"/>
          <w:sz w:val="24"/>
          <w:szCs w:val="24"/>
        </w:rPr>
        <w:t>P</w:t>
      </w:r>
      <w:r w:rsidR="006C79DF" w:rsidRPr="00591033">
        <w:rPr>
          <w:rFonts w:ascii="Times New Roman" w:hAnsi="Times New Roman"/>
          <w:bCs/>
          <w:color w:val="000000"/>
          <w:sz w:val="24"/>
          <w:szCs w:val="24"/>
        </w:rPr>
        <w:t>riekšlikum</w:t>
      </w:r>
      <w:r>
        <w:rPr>
          <w:rFonts w:ascii="Times New Roman" w:hAnsi="Times New Roman"/>
          <w:bCs/>
          <w:color w:val="000000"/>
          <w:sz w:val="24"/>
          <w:szCs w:val="24"/>
        </w:rPr>
        <w:t>i</w:t>
      </w:r>
      <w:r w:rsidR="006C79DF" w:rsidRPr="00591033">
        <w:rPr>
          <w:rFonts w:ascii="Times New Roman" w:hAnsi="Times New Roman"/>
          <w:bCs/>
          <w:color w:val="000000"/>
          <w:sz w:val="24"/>
          <w:szCs w:val="24"/>
        </w:rPr>
        <w:t xml:space="preserve"> neatbilst</w:t>
      </w:r>
      <w:r>
        <w:rPr>
          <w:rFonts w:ascii="Times New Roman" w:hAnsi="Times New Roman"/>
          <w:bCs/>
          <w:color w:val="000000"/>
          <w:sz w:val="24"/>
          <w:szCs w:val="24"/>
        </w:rPr>
        <w:t>ību novēršanai vai mazināšanai</w:t>
      </w:r>
    </w:p>
    <w:p w:rsidR="0005142E" w:rsidRPr="006E315C" w:rsidRDefault="006E315C" w:rsidP="00603CA3">
      <w:pPr>
        <w:pStyle w:val="1lmenis"/>
        <w:numPr>
          <w:ilvl w:val="0"/>
          <w:numId w:val="0"/>
        </w:numPr>
        <w:spacing w:before="0" w:after="0" w:line="276" w:lineRule="auto"/>
        <w:rPr>
          <w:rFonts w:ascii="Times New Roman" w:eastAsia="Calibri" w:hAnsi="Times New Roman"/>
          <w:b w:val="0"/>
          <w:bCs w:val="0"/>
          <w:color w:val="000000" w:themeColor="text1"/>
          <w:kern w:val="0"/>
          <w:sz w:val="24"/>
          <w:szCs w:val="24"/>
          <w:lang w:val="lv-LV" w:eastAsia="en-US"/>
        </w:rPr>
      </w:pPr>
      <w:r>
        <w:rPr>
          <w:rFonts w:ascii="Times New Roman" w:hAnsi="Times New Roman"/>
          <w:b w:val="0"/>
          <w:bCs w:val="0"/>
          <w:color w:val="000000"/>
          <w:sz w:val="24"/>
          <w:szCs w:val="24"/>
          <w:lang w:val="lv-LV"/>
        </w:rPr>
        <w:t>Šā gada 30.</w:t>
      </w:r>
      <w:r w:rsidRPr="006E315C">
        <w:rPr>
          <w:rFonts w:ascii="Times New Roman" w:hAnsi="Times New Roman"/>
          <w:b w:val="0"/>
          <w:bCs w:val="0"/>
          <w:color w:val="000000"/>
          <w:sz w:val="24"/>
          <w:szCs w:val="24"/>
          <w:lang w:val="lv-LV"/>
        </w:rPr>
        <w:t xml:space="preserve">maija </w:t>
      </w:r>
      <w:r w:rsidRPr="006E315C">
        <w:rPr>
          <w:rFonts w:ascii="Times New Roman" w:hAnsi="Times New Roman"/>
          <w:b w:val="0"/>
          <w:bCs w:val="0"/>
          <w:color w:val="000000"/>
          <w:sz w:val="24"/>
          <w:szCs w:val="24"/>
        </w:rPr>
        <w:t xml:space="preserve">Koalīcijas darba grupā par ES fondu jautājumiem Finanšu ministrijai </w:t>
      </w:r>
      <w:r>
        <w:rPr>
          <w:rFonts w:ascii="Times New Roman" w:hAnsi="Times New Roman"/>
          <w:b w:val="0"/>
          <w:bCs w:val="0"/>
          <w:color w:val="000000"/>
          <w:sz w:val="24"/>
          <w:szCs w:val="24"/>
          <w:lang w:val="lv-LV"/>
        </w:rPr>
        <w:t xml:space="preserve">tika uzdots </w:t>
      </w:r>
      <w:r w:rsidRPr="006E315C">
        <w:rPr>
          <w:rFonts w:ascii="Times New Roman" w:hAnsi="Times New Roman"/>
          <w:b w:val="0"/>
          <w:bCs w:val="0"/>
          <w:color w:val="000000"/>
          <w:sz w:val="24"/>
          <w:szCs w:val="24"/>
        </w:rPr>
        <w:t>izstrādāt priekšlikumus turpmāko neatbilstību novēršanai vai mazināšanai</w:t>
      </w:r>
      <w:r>
        <w:rPr>
          <w:rFonts w:ascii="Times New Roman" w:hAnsi="Times New Roman"/>
          <w:b w:val="0"/>
          <w:bCs w:val="0"/>
          <w:color w:val="000000"/>
          <w:sz w:val="24"/>
          <w:szCs w:val="24"/>
          <w:lang w:val="lv-LV"/>
        </w:rPr>
        <w:t>. Šobrīd Finanšu ministrija jau ievieš pasākumus neatbilstību mazināšanai – piemēram, tiek stiprināta Iepirkumu uzraudzības biroja</w:t>
      </w:r>
      <w:r w:rsidR="00DF13C7">
        <w:rPr>
          <w:rFonts w:ascii="Times New Roman" w:hAnsi="Times New Roman"/>
          <w:b w:val="0"/>
          <w:bCs w:val="0"/>
          <w:color w:val="000000"/>
          <w:sz w:val="24"/>
          <w:szCs w:val="24"/>
          <w:lang w:val="lv-LV"/>
        </w:rPr>
        <w:t xml:space="preserve"> un atbildīgo un sadarbības iestāžu</w:t>
      </w:r>
      <w:r>
        <w:rPr>
          <w:rFonts w:ascii="Times New Roman" w:hAnsi="Times New Roman"/>
          <w:b w:val="0"/>
          <w:bCs w:val="0"/>
          <w:color w:val="000000"/>
          <w:sz w:val="24"/>
          <w:szCs w:val="24"/>
          <w:lang w:val="lv-LV"/>
        </w:rPr>
        <w:t xml:space="preserve"> kapacitāte iepirkuma </w:t>
      </w:r>
      <w:proofErr w:type="spellStart"/>
      <w:r>
        <w:rPr>
          <w:rFonts w:ascii="Times New Roman" w:hAnsi="Times New Roman"/>
          <w:b w:val="0"/>
          <w:bCs w:val="0"/>
          <w:color w:val="000000"/>
          <w:sz w:val="24"/>
          <w:szCs w:val="24"/>
          <w:lang w:val="lv-LV"/>
        </w:rPr>
        <w:t>pirmspārbaužu</w:t>
      </w:r>
      <w:proofErr w:type="spellEnd"/>
      <w:r>
        <w:rPr>
          <w:rFonts w:ascii="Times New Roman" w:hAnsi="Times New Roman"/>
          <w:b w:val="0"/>
          <w:bCs w:val="0"/>
          <w:color w:val="000000"/>
          <w:sz w:val="24"/>
          <w:szCs w:val="24"/>
          <w:lang w:val="lv-LV"/>
        </w:rPr>
        <w:t xml:space="preserve"> veikšanai, lai preventīvi novērstu ieperējamos pārkāpumus iepirkumu jomā. </w:t>
      </w:r>
      <w:r w:rsidR="00DF13C7">
        <w:rPr>
          <w:rFonts w:ascii="Times New Roman" w:hAnsi="Times New Roman"/>
          <w:b w:val="0"/>
          <w:bCs w:val="0"/>
          <w:color w:val="000000"/>
          <w:sz w:val="24"/>
          <w:szCs w:val="24"/>
          <w:lang w:val="lv-LV"/>
        </w:rPr>
        <w:t xml:space="preserve">Tiek veikti grozījumi tiesību aktos, gan lai stiprinātu iepirkuma </w:t>
      </w:r>
      <w:proofErr w:type="spellStart"/>
      <w:r w:rsidR="00DF13C7">
        <w:rPr>
          <w:rFonts w:ascii="Times New Roman" w:hAnsi="Times New Roman"/>
          <w:b w:val="0"/>
          <w:bCs w:val="0"/>
          <w:color w:val="000000"/>
          <w:sz w:val="24"/>
          <w:szCs w:val="24"/>
          <w:lang w:val="lv-LV"/>
        </w:rPr>
        <w:t>pirmspārbaudes</w:t>
      </w:r>
      <w:proofErr w:type="spellEnd"/>
      <w:r w:rsidR="00DF13C7">
        <w:rPr>
          <w:rFonts w:ascii="Times New Roman" w:hAnsi="Times New Roman"/>
          <w:b w:val="0"/>
          <w:bCs w:val="0"/>
          <w:color w:val="000000"/>
          <w:sz w:val="24"/>
          <w:szCs w:val="24"/>
          <w:lang w:val="lv-LV"/>
        </w:rPr>
        <w:t xml:space="preserve">, gan lai precīzāk definētu nosacījumus par iepirkumu veikšanu pasūtītāju finansētajos projektos. </w:t>
      </w:r>
      <w:r>
        <w:rPr>
          <w:rFonts w:ascii="Times New Roman" w:hAnsi="Times New Roman"/>
          <w:b w:val="0"/>
          <w:bCs w:val="0"/>
          <w:color w:val="000000"/>
          <w:sz w:val="24"/>
          <w:szCs w:val="24"/>
          <w:lang w:val="lv-LV"/>
        </w:rPr>
        <w:t xml:space="preserve">Tāpat, lai </w:t>
      </w:r>
      <w:r w:rsidR="00A153A9">
        <w:rPr>
          <w:rFonts w:ascii="Times New Roman" w:hAnsi="Times New Roman"/>
          <w:b w:val="0"/>
          <w:bCs w:val="0"/>
          <w:color w:val="000000"/>
          <w:sz w:val="24"/>
          <w:szCs w:val="24"/>
          <w:lang w:val="lv-LV"/>
        </w:rPr>
        <w:t>stiprinātu</w:t>
      </w:r>
      <w:r>
        <w:rPr>
          <w:rFonts w:ascii="Times New Roman" w:hAnsi="Times New Roman"/>
          <w:b w:val="0"/>
          <w:bCs w:val="0"/>
          <w:color w:val="000000"/>
          <w:sz w:val="24"/>
          <w:szCs w:val="24"/>
          <w:lang w:val="lv-LV"/>
        </w:rPr>
        <w:t xml:space="preserve"> valsts pārvaldes iestāžu kā finansējuma saņēmēju atbildību ES fondu apguvē, jau šobrīd tiek </w:t>
      </w:r>
      <w:r w:rsidR="00A153A9">
        <w:rPr>
          <w:rFonts w:ascii="Times New Roman" w:hAnsi="Times New Roman"/>
          <w:b w:val="0"/>
          <w:bCs w:val="0"/>
          <w:color w:val="000000"/>
          <w:sz w:val="24"/>
          <w:szCs w:val="24"/>
          <w:lang w:val="lv-LV"/>
        </w:rPr>
        <w:t xml:space="preserve">īpaši pievērsta uzmanība un </w:t>
      </w:r>
      <w:r>
        <w:rPr>
          <w:rFonts w:ascii="Times New Roman" w:hAnsi="Times New Roman"/>
          <w:b w:val="0"/>
          <w:bCs w:val="0"/>
          <w:color w:val="000000"/>
          <w:sz w:val="24"/>
          <w:szCs w:val="24"/>
          <w:lang w:val="lv-LV"/>
        </w:rPr>
        <w:t xml:space="preserve">apkopota informācija par ierēdņu saukšanu </w:t>
      </w:r>
      <w:r w:rsidR="00A153A9">
        <w:rPr>
          <w:rFonts w:ascii="Times New Roman" w:hAnsi="Times New Roman"/>
          <w:b w:val="0"/>
          <w:bCs w:val="0"/>
          <w:color w:val="000000"/>
          <w:sz w:val="24"/>
          <w:szCs w:val="24"/>
          <w:lang w:val="lv-LV"/>
        </w:rPr>
        <w:t xml:space="preserve">pie disciplināratbildības, gadījumos, ja tiek konstatēti neatbilstoši veikti izdevumi. </w:t>
      </w:r>
      <w:r w:rsidR="00DF13C7">
        <w:rPr>
          <w:rFonts w:ascii="Times New Roman" w:hAnsi="Times New Roman"/>
          <w:b w:val="0"/>
          <w:bCs w:val="0"/>
          <w:color w:val="000000"/>
          <w:sz w:val="24"/>
          <w:szCs w:val="24"/>
          <w:lang w:val="lv-LV"/>
        </w:rPr>
        <w:t xml:space="preserve">Papildus tam šobrīd Finanšu ministrija plāno gūt pārliecību par atbildīgo un sadarbības iestāžu veikto pārbaužu projektu īstenošanas vietās kvalitāti. Pēc rezultātu saņemšanas tiks gatavoti priekšlikumi vadības un kontroles sistēmas uzlabošanai, kā arī priekšlikumi neatbilstību novēršanai un mazināšanai. </w:t>
      </w:r>
    </w:p>
    <w:p w:rsidR="00FE180D" w:rsidRPr="00603CA3" w:rsidRDefault="00B14E76" w:rsidP="00603CA3">
      <w:pPr>
        <w:pStyle w:val="1lmenis"/>
        <w:numPr>
          <w:ilvl w:val="0"/>
          <w:numId w:val="0"/>
        </w:numPr>
        <w:spacing w:before="0" w:after="0" w:line="276" w:lineRule="auto"/>
        <w:ind w:left="426"/>
        <w:rPr>
          <w:rFonts w:ascii="Times New Roman" w:hAnsi="Times New Roman"/>
          <w:color w:val="000000" w:themeColor="text1"/>
          <w:sz w:val="24"/>
          <w:szCs w:val="24"/>
          <w:lang w:val="lv-LV"/>
        </w:rPr>
      </w:pPr>
      <w:r w:rsidRPr="006E315C">
        <w:rPr>
          <w:rFonts w:ascii="Times New Roman" w:eastAsia="Calibri" w:hAnsi="Times New Roman"/>
          <w:b w:val="0"/>
          <w:color w:val="000000" w:themeColor="text1"/>
          <w:sz w:val="24"/>
          <w:szCs w:val="24"/>
          <w:lang w:val="lv-LV"/>
        </w:rPr>
        <w:br w:type="page"/>
      </w:r>
      <w:bookmarkStart w:id="53" w:name="_Toc300759836"/>
      <w:r w:rsidR="00421725" w:rsidRPr="00603CA3">
        <w:rPr>
          <w:rFonts w:ascii="Times New Roman" w:hAnsi="Times New Roman"/>
          <w:color w:val="000000" w:themeColor="text1"/>
          <w:sz w:val="24"/>
          <w:szCs w:val="24"/>
          <w:lang w:val="lv-LV"/>
        </w:rPr>
        <w:lastRenderedPageBreak/>
        <w:t>Secinājumi un turpmākā rīcība</w:t>
      </w:r>
      <w:bookmarkEnd w:id="51"/>
      <w:bookmarkEnd w:id="53"/>
    </w:p>
    <w:p w:rsidR="007E7C3A" w:rsidRPr="00F113D0" w:rsidRDefault="00945919" w:rsidP="00F113D0">
      <w:pPr>
        <w:spacing w:line="276" w:lineRule="auto"/>
        <w:rPr>
          <w:color w:val="000000" w:themeColor="text1"/>
          <w:szCs w:val="24"/>
        </w:rPr>
      </w:pPr>
      <w:r w:rsidRPr="00F113D0">
        <w:rPr>
          <w:color w:val="000000" w:themeColor="text1"/>
          <w:szCs w:val="24"/>
        </w:rPr>
        <w:t xml:space="preserve">ES struktūrfondu un Kohēzijas fonda finansējuma apguve </w:t>
      </w:r>
      <w:proofErr w:type="spellStart"/>
      <w:r w:rsidRPr="00F113D0">
        <w:rPr>
          <w:color w:val="000000" w:themeColor="text1"/>
          <w:szCs w:val="24"/>
        </w:rPr>
        <w:t>š.g</w:t>
      </w:r>
      <w:proofErr w:type="spellEnd"/>
      <w:r w:rsidRPr="00F113D0">
        <w:rPr>
          <w:color w:val="000000" w:themeColor="text1"/>
          <w:szCs w:val="24"/>
        </w:rPr>
        <w:t xml:space="preserve">. otrajā ceturksnī notikusi lēnāk nekā plānots un maksājumi finansējuma saņēmējiem veikti par 70,8% no ceturksnī plānotā. Tas nozīmē, ka atlikušajā laikā līdz gada beigām vēl jāveic maksājumi no ES fondiem par ~ 380 </w:t>
      </w:r>
      <w:proofErr w:type="spellStart"/>
      <w:r w:rsidRPr="00F113D0">
        <w:rPr>
          <w:color w:val="000000" w:themeColor="text1"/>
          <w:szCs w:val="24"/>
        </w:rPr>
        <w:t>milj</w:t>
      </w:r>
      <w:proofErr w:type="spellEnd"/>
      <w:r w:rsidRPr="00F113D0">
        <w:rPr>
          <w:color w:val="000000" w:themeColor="text1"/>
          <w:szCs w:val="24"/>
        </w:rPr>
        <w:t xml:space="preserve">. latu (jeb 74,2% no šajā gadā kopumā plānotā maksājumu apjoma). Vissmagnējāk ar finansējuma apguvi sokas infrastruktūras projektos, kas pamatā skaidrojams ar vēl joprojām pastāvošajiem problēmām iepirkumu procesā, kā arī būtisku cenu sadārdzinājumu, kas aktualizējies </w:t>
      </w:r>
      <w:proofErr w:type="spellStart"/>
      <w:r w:rsidRPr="00F113D0">
        <w:rPr>
          <w:color w:val="000000" w:themeColor="text1"/>
          <w:szCs w:val="24"/>
        </w:rPr>
        <w:t>š.g</w:t>
      </w:r>
      <w:proofErr w:type="spellEnd"/>
      <w:r w:rsidRPr="00F113D0">
        <w:rPr>
          <w:color w:val="000000" w:themeColor="text1"/>
          <w:szCs w:val="24"/>
        </w:rPr>
        <w:t xml:space="preserve">. pirmajā pusē. Tāpat vēl joprojām lēna ir inovācijām un zinātniskajai infrastruktūrai paredzētā finansējuma apguve, kā arī EIF pārvaldīto ieguldījumu fonda un aizdevumu programmas darbība. </w:t>
      </w:r>
      <w:r w:rsidR="007E7C3A" w:rsidRPr="00F113D0">
        <w:rPr>
          <w:color w:val="000000" w:themeColor="text1"/>
          <w:szCs w:val="24"/>
        </w:rPr>
        <w:t>Ņemot vērā, ka paveiktais gandrīz 3 gadu laikā salīdzinājumā ar plānoto ir neapmierinošs</w:t>
      </w:r>
      <w:r w:rsidR="0011793A" w:rsidRPr="00F113D0">
        <w:rPr>
          <w:color w:val="000000" w:themeColor="text1"/>
          <w:szCs w:val="24"/>
        </w:rPr>
        <w:t xml:space="preserve"> un</w:t>
      </w:r>
      <w:r w:rsidR="007E7C3A" w:rsidRPr="00F113D0">
        <w:rPr>
          <w:color w:val="000000" w:themeColor="text1"/>
          <w:szCs w:val="24"/>
        </w:rPr>
        <w:t xml:space="preserve">, </w:t>
      </w:r>
      <w:r w:rsidR="0011793A" w:rsidRPr="00F113D0">
        <w:rPr>
          <w:color w:val="000000" w:themeColor="text1"/>
          <w:szCs w:val="24"/>
        </w:rPr>
        <w:t xml:space="preserve">ņemot vērā ES fondu vadības un kontroles sistēmas pamatprasības, </w:t>
      </w:r>
      <w:r w:rsidR="007E7C3A" w:rsidRPr="00F113D0">
        <w:rPr>
          <w:color w:val="000000" w:themeColor="text1"/>
          <w:szCs w:val="24"/>
        </w:rPr>
        <w:t>Ekonomikas ministrijas virzītās koncepcijas par ieguldījuma fonda saistību tiesību nodošanu LGA</w:t>
      </w:r>
      <w:r w:rsidR="0011793A" w:rsidRPr="00F113D0">
        <w:rPr>
          <w:color w:val="000000" w:themeColor="text1"/>
          <w:szCs w:val="24"/>
        </w:rPr>
        <w:t xml:space="preserve"> īstenošanai jāpievērš nopietna uzmanība, kas būs aktuālais jautājums nākamos pārskata periodos.</w:t>
      </w:r>
    </w:p>
    <w:p w:rsidR="00462097" w:rsidRPr="00F113D0" w:rsidRDefault="00945919" w:rsidP="00F113D0">
      <w:pPr>
        <w:spacing w:line="276" w:lineRule="auto"/>
        <w:rPr>
          <w:color w:val="000000" w:themeColor="text1"/>
          <w:szCs w:val="24"/>
        </w:rPr>
      </w:pPr>
      <w:r w:rsidRPr="00F113D0">
        <w:rPr>
          <w:color w:val="000000" w:themeColor="text1"/>
          <w:szCs w:val="24"/>
        </w:rPr>
        <w:t xml:space="preserve">Jāatgādina, ka 2011.gads ir ticis plānots, kā viens no aktīvākajiem ES fondu apguves gadiem šajā plānošanas periodā un budžetā ES fondiem atvēlētais finansējums 648 </w:t>
      </w:r>
      <w:proofErr w:type="spellStart"/>
      <w:r w:rsidRPr="00F113D0">
        <w:rPr>
          <w:color w:val="000000" w:themeColor="text1"/>
          <w:szCs w:val="24"/>
        </w:rPr>
        <w:t>milj</w:t>
      </w:r>
      <w:proofErr w:type="spellEnd"/>
      <w:r w:rsidRPr="00F113D0">
        <w:rPr>
          <w:color w:val="000000" w:themeColor="text1"/>
          <w:szCs w:val="24"/>
        </w:rPr>
        <w:t xml:space="preserve">. latu ir ievērojami lielāks nekā iepriekšējos gados. Turklāt jāņem vērā, ka fiskālo ierobežojumu dēļ </w:t>
      </w:r>
      <w:r w:rsidR="007E7C3A" w:rsidRPr="00F113D0">
        <w:rPr>
          <w:color w:val="000000" w:themeColor="text1"/>
          <w:szCs w:val="24"/>
        </w:rPr>
        <w:t xml:space="preserve">arī </w:t>
      </w:r>
      <w:r w:rsidRPr="00F113D0">
        <w:rPr>
          <w:color w:val="000000" w:themeColor="text1"/>
          <w:szCs w:val="24"/>
        </w:rPr>
        <w:t xml:space="preserve">turpmākajos gados ES fondu projektu finansēšanai būs </w:t>
      </w:r>
      <w:r w:rsidR="007E7C3A" w:rsidRPr="00F113D0">
        <w:rPr>
          <w:color w:val="000000" w:themeColor="text1"/>
          <w:szCs w:val="24"/>
        </w:rPr>
        <w:t>ierobežots valsts budžeta finansējums</w:t>
      </w:r>
      <w:r w:rsidRPr="00F113D0">
        <w:rPr>
          <w:color w:val="000000" w:themeColor="text1"/>
          <w:szCs w:val="24"/>
        </w:rPr>
        <w:t xml:space="preserve">, tādēļ </w:t>
      </w:r>
      <w:r w:rsidR="007E7C3A" w:rsidRPr="00F113D0">
        <w:rPr>
          <w:color w:val="000000" w:themeColor="text1"/>
          <w:szCs w:val="24"/>
        </w:rPr>
        <w:t xml:space="preserve">īpaši </w:t>
      </w:r>
      <w:r w:rsidRPr="00F113D0">
        <w:rPr>
          <w:color w:val="000000" w:themeColor="text1"/>
          <w:szCs w:val="24"/>
        </w:rPr>
        <w:t xml:space="preserve">svarīgi ir </w:t>
      </w:r>
      <w:r w:rsidR="007E7C3A" w:rsidRPr="00F113D0">
        <w:rPr>
          <w:color w:val="000000" w:themeColor="text1"/>
          <w:szCs w:val="24"/>
        </w:rPr>
        <w:t xml:space="preserve">izmantot pilnā apmērā </w:t>
      </w:r>
      <w:r w:rsidRPr="00F113D0">
        <w:rPr>
          <w:color w:val="000000" w:themeColor="text1"/>
          <w:szCs w:val="24"/>
        </w:rPr>
        <w:t>šī gada budžeta sniegtās iespējas. Ņemot vērā lielo maksājumu apjomu, ko paredzēts veikt gada atlikušajos mēnešos, ir būtiski nodrošināt ne tikai atbilstošu finanšu apguves disciplīnu, bet arī to, ka saspringtajos darba apstākļos no fondu vadībā iesaistīto iestāžu puses tiek saglabāta atbilstoša uzraudzības un kontroles kvalitāte un nepieaug risks neefektīvi un neatbilstoši izlietot ES fondu līdzekļus</w:t>
      </w:r>
      <w:r w:rsidR="007E7C3A" w:rsidRPr="00F113D0">
        <w:rPr>
          <w:color w:val="000000" w:themeColor="text1"/>
          <w:szCs w:val="24"/>
        </w:rPr>
        <w:t xml:space="preserve">. </w:t>
      </w:r>
      <w:r w:rsidRPr="00F113D0">
        <w:rPr>
          <w:color w:val="000000" w:themeColor="text1"/>
          <w:szCs w:val="24"/>
        </w:rPr>
        <w:t xml:space="preserve">Tajā pašā laikā jāpiemin, ka Latvija vēl joprojām ir viena no līderēm fondu apguvē starp visām ES jaunajām dalībvalstīm. </w:t>
      </w:r>
    </w:p>
    <w:p w:rsidR="00945919" w:rsidRPr="00F113D0" w:rsidRDefault="00244627" w:rsidP="00F113D0">
      <w:pPr>
        <w:spacing w:line="276" w:lineRule="auto"/>
        <w:rPr>
          <w:color w:val="000000" w:themeColor="text1"/>
          <w:szCs w:val="24"/>
        </w:rPr>
      </w:pPr>
      <w:r w:rsidRPr="00F113D0">
        <w:rPr>
          <w:color w:val="000000" w:themeColor="text1"/>
          <w:szCs w:val="24"/>
        </w:rPr>
        <w:t>P</w:t>
      </w:r>
      <w:r w:rsidR="00945919" w:rsidRPr="00F113D0">
        <w:rPr>
          <w:color w:val="000000" w:themeColor="text1"/>
          <w:szCs w:val="24"/>
        </w:rPr>
        <w:t xml:space="preserve">ārskata periodā paveikta virkne būtisku darbu efektīvākai ES fondu apguvei turpmākajos gados. Pirmkārt, uzsākta finansējuma pārstrukturizācija starp programmām, paredzot novirzīt vidēja un ilgtermiņa aktīvās nodarbinātības pasākumiem papildus 22,8 </w:t>
      </w:r>
      <w:proofErr w:type="spellStart"/>
      <w:r w:rsidR="00945919" w:rsidRPr="00F113D0">
        <w:rPr>
          <w:color w:val="000000" w:themeColor="text1"/>
          <w:szCs w:val="24"/>
        </w:rPr>
        <w:t>milj.latu</w:t>
      </w:r>
      <w:proofErr w:type="spellEnd"/>
      <w:r w:rsidR="00945919" w:rsidRPr="00F113D0">
        <w:rPr>
          <w:color w:val="000000" w:themeColor="text1"/>
          <w:szCs w:val="24"/>
        </w:rPr>
        <w:t xml:space="preserve"> finansējuma, kas iepriekš bijis paredzēts finanšu instrumentu darbībai. Paralēli veikti grozījumi par finansējuma pārdalēm arī visos darbības programmu papildinājumos,  paredzot papildus finansējumu tādiem mērķiem kā darba praktizēšanas ar stipendiju pašvaldībās īstenošanai (bezdarbnieku, kas nesaņem bezdarbnieka pabalstu nodarbināšanai), doktora studiju programmu īstenošanai, bezdarbnieku un darba meklētāju apmācībai pēc darba devēju pieprasījuma Latvijas tautsaimniecības attīstībai prioritārās nozarēs, </w:t>
      </w:r>
      <w:proofErr w:type="spellStart"/>
      <w:r w:rsidR="00945919" w:rsidRPr="00F113D0">
        <w:rPr>
          <w:color w:val="000000" w:themeColor="text1"/>
          <w:szCs w:val="24"/>
        </w:rPr>
        <w:t>Mezanīna</w:t>
      </w:r>
      <w:proofErr w:type="spellEnd"/>
      <w:r w:rsidR="00945919" w:rsidRPr="00F113D0">
        <w:rPr>
          <w:color w:val="000000" w:themeColor="text1"/>
          <w:szCs w:val="24"/>
        </w:rPr>
        <w:t xml:space="preserve"> aizdevumi investīcijām komersantu konkurētspējas uzlabošanai, </w:t>
      </w:r>
      <w:r w:rsidR="00945919" w:rsidRPr="00603CA3">
        <w:rPr>
          <w:color w:val="000000" w:themeColor="text1"/>
          <w:szCs w:val="24"/>
        </w:rPr>
        <w:t xml:space="preserve">infrastruktūras uzlabošanai profesionālās izglītības programmu īstenošanai, veselības aprūpes pakalpojumu uzlabošanai reģionālajās slimnīcās ārpus Rīgas, </w:t>
      </w:r>
      <w:proofErr w:type="spellStart"/>
      <w:r w:rsidR="00945919" w:rsidRPr="00603CA3">
        <w:rPr>
          <w:color w:val="000000" w:themeColor="text1"/>
          <w:szCs w:val="24"/>
        </w:rPr>
        <w:t>tranzītielu</w:t>
      </w:r>
      <w:proofErr w:type="spellEnd"/>
      <w:r w:rsidR="00945919" w:rsidRPr="00603CA3">
        <w:rPr>
          <w:color w:val="000000" w:themeColor="text1"/>
          <w:szCs w:val="24"/>
        </w:rPr>
        <w:t xml:space="preserve"> sakārtošanai pilsētu teritorijās, kā arī TEN-T autoceļu tīkla uzlabošanai.</w:t>
      </w:r>
    </w:p>
    <w:p w:rsidR="00945919" w:rsidRPr="00F113D0" w:rsidRDefault="00945919" w:rsidP="00F113D0">
      <w:pPr>
        <w:spacing w:line="276" w:lineRule="auto"/>
        <w:rPr>
          <w:color w:val="000000" w:themeColor="text1"/>
          <w:szCs w:val="24"/>
        </w:rPr>
      </w:pPr>
      <w:r w:rsidRPr="00F113D0">
        <w:rPr>
          <w:color w:val="000000" w:themeColor="text1"/>
          <w:szCs w:val="24"/>
        </w:rPr>
        <w:t xml:space="preserve">Tāpat veiksmīgi sakārtoti jautājumi un </w:t>
      </w:r>
      <w:r w:rsidR="006F0179" w:rsidRPr="00F113D0">
        <w:rPr>
          <w:color w:val="000000" w:themeColor="text1"/>
          <w:szCs w:val="24"/>
        </w:rPr>
        <w:t xml:space="preserve">vadīti, mazināti </w:t>
      </w:r>
      <w:r w:rsidRPr="00F113D0">
        <w:rPr>
          <w:color w:val="000000" w:themeColor="text1"/>
          <w:szCs w:val="24"/>
        </w:rPr>
        <w:t xml:space="preserve">riski, kas saistīti ar audita sistēmas darbību, un ar EK panākta oficiāla vienošanās par to, ka Latvija ar </w:t>
      </w:r>
      <w:proofErr w:type="spellStart"/>
      <w:r w:rsidRPr="00F113D0">
        <w:rPr>
          <w:color w:val="000000" w:themeColor="text1"/>
          <w:szCs w:val="24"/>
        </w:rPr>
        <w:t>š.g</w:t>
      </w:r>
      <w:proofErr w:type="spellEnd"/>
      <w:r w:rsidRPr="00F113D0">
        <w:rPr>
          <w:color w:val="000000" w:themeColor="text1"/>
          <w:szCs w:val="24"/>
        </w:rPr>
        <w:t xml:space="preserve">. augustu var atsākt 2010.gada rudenī uz laiku apturēto izdevumu deklarēšanas procesu.  </w:t>
      </w:r>
    </w:p>
    <w:p w:rsidR="00945919" w:rsidRPr="00F113D0" w:rsidRDefault="00945919" w:rsidP="00F113D0">
      <w:pPr>
        <w:spacing w:line="276" w:lineRule="auto"/>
        <w:rPr>
          <w:color w:val="000000" w:themeColor="text1"/>
          <w:szCs w:val="24"/>
        </w:rPr>
      </w:pPr>
      <w:r w:rsidRPr="00F113D0">
        <w:rPr>
          <w:color w:val="000000" w:themeColor="text1"/>
          <w:szCs w:val="24"/>
        </w:rPr>
        <w:t xml:space="preserve">Ceturkšņa laikā veikti vairāki fondu vadības sistēmas pilnveidošanas pasākumi: atvieglotas prasības attiecībā uz informācijas publiskošanu, uzsākti pilnveidojumi iepirkumu </w:t>
      </w:r>
      <w:proofErr w:type="spellStart"/>
      <w:r w:rsidRPr="00F113D0">
        <w:rPr>
          <w:color w:val="000000" w:themeColor="text1"/>
          <w:szCs w:val="24"/>
        </w:rPr>
        <w:t>pirmspārbaužu</w:t>
      </w:r>
      <w:proofErr w:type="spellEnd"/>
      <w:r w:rsidRPr="00F113D0">
        <w:rPr>
          <w:color w:val="000000" w:themeColor="text1"/>
          <w:szCs w:val="24"/>
        </w:rPr>
        <w:t xml:space="preserve"> sistēmā, kā arī risinot </w:t>
      </w:r>
      <w:proofErr w:type="spellStart"/>
      <w:r w:rsidRPr="00F113D0">
        <w:rPr>
          <w:color w:val="000000" w:themeColor="text1"/>
          <w:szCs w:val="24"/>
        </w:rPr>
        <w:t>problēmjautājumus</w:t>
      </w:r>
      <w:proofErr w:type="spellEnd"/>
      <w:r w:rsidRPr="00F113D0">
        <w:rPr>
          <w:color w:val="000000" w:themeColor="text1"/>
          <w:szCs w:val="24"/>
        </w:rPr>
        <w:t xml:space="preserve">, kas izkristalizējušies projektu </w:t>
      </w:r>
      <w:r w:rsidRPr="00F113D0">
        <w:rPr>
          <w:color w:val="000000" w:themeColor="text1"/>
          <w:szCs w:val="24"/>
        </w:rPr>
        <w:lastRenderedPageBreak/>
        <w:t xml:space="preserve">ieviešanas gaitā, pilnveidoti metodiskie un skaidrojošie materiāli attiecībā uz ES fondu projektu ieviešanu un kontroli. </w:t>
      </w:r>
    </w:p>
    <w:p w:rsidR="00945919" w:rsidRPr="00F113D0" w:rsidRDefault="00945919" w:rsidP="00F113D0">
      <w:pPr>
        <w:spacing w:line="276" w:lineRule="auto"/>
        <w:rPr>
          <w:color w:val="000000" w:themeColor="text1"/>
          <w:szCs w:val="24"/>
        </w:rPr>
      </w:pPr>
      <w:r w:rsidRPr="00F113D0">
        <w:rPr>
          <w:color w:val="000000" w:themeColor="text1"/>
          <w:szCs w:val="24"/>
        </w:rPr>
        <w:t>Šajā pārskata periodā pieaudzis atklāto neatbilstoši veikto izdevumu apjoms projektos</w:t>
      </w:r>
      <w:r w:rsidR="006F0179" w:rsidRPr="00F113D0">
        <w:rPr>
          <w:color w:val="000000" w:themeColor="text1"/>
          <w:szCs w:val="24"/>
        </w:rPr>
        <w:t>, kas</w:t>
      </w:r>
      <w:r w:rsidRPr="00F113D0">
        <w:rPr>
          <w:color w:val="000000" w:themeColor="text1"/>
          <w:szCs w:val="24"/>
        </w:rPr>
        <w:t xml:space="preserve">. pamatā saistāms nevis ar </w:t>
      </w:r>
      <w:proofErr w:type="spellStart"/>
      <w:r w:rsidRPr="00F113D0">
        <w:rPr>
          <w:color w:val="000000" w:themeColor="text1"/>
          <w:szCs w:val="24"/>
        </w:rPr>
        <w:t>ar</w:t>
      </w:r>
      <w:proofErr w:type="spellEnd"/>
      <w:r w:rsidRPr="00F113D0">
        <w:rPr>
          <w:color w:val="000000" w:themeColor="text1"/>
          <w:szCs w:val="24"/>
        </w:rPr>
        <w:t xml:space="preserve"> stingrāku finanšu disciplīnu un efektīvākām un mērķtiecīgākām projektu īstenošanas kontrolēm, kā arī aizvien veiksmīgāku koordināciju un informācijas apmaiņu ES fondu vadībā iesaistīto iestāžu starpā. Jāpiezīmē, ka liela daļa no ceturksnī reģistrētajām neatbilstībām faktiski notikusi jau iepriekšējos pārskata periodos, bet līdz šim noticis aktīvs šo gadījumu izvērtēšanas darbs.</w:t>
      </w:r>
    </w:p>
    <w:p w:rsidR="00945919" w:rsidRPr="00F113D0" w:rsidRDefault="00945919" w:rsidP="00F113D0">
      <w:pPr>
        <w:spacing w:line="276" w:lineRule="auto"/>
        <w:rPr>
          <w:color w:val="000000" w:themeColor="text1"/>
          <w:szCs w:val="24"/>
        </w:rPr>
      </w:pPr>
      <w:r w:rsidRPr="00F113D0">
        <w:rPr>
          <w:color w:val="000000" w:themeColor="text1"/>
          <w:szCs w:val="24"/>
        </w:rPr>
        <w:t>Finanšu ministrija konstatējusi vairākus aspektus, kuros nepieciešams stingrāks un skaidrāks regulējums, lai mazinātu interešu konflikta riskus un stiprinātu drošas finanšu vadības principus un attiecīgi mazinātu neatbilstoši veikto izdevumu risku nākotnē</w:t>
      </w:r>
      <w:r w:rsidR="006F0179" w:rsidRPr="00F113D0">
        <w:rPr>
          <w:color w:val="000000" w:themeColor="text1"/>
          <w:szCs w:val="24"/>
        </w:rPr>
        <w:t xml:space="preserve">, par ko virzīti priekšlikumi valdībai lēmumu pieņemšanai. </w:t>
      </w:r>
    </w:p>
    <w:p w:rsidR="006F0179" w:rsidRPr="00603CA3" w:rsidRDefault="006F0179" w:rsidP="00603CA3">
      <w:pPr>
        <w:spacing w:line="276" w:lineRule="auto"/>
        <w:rPr>
          <w:color w:val="000000" w:themeColor="text1"/>
          <w:szCs w:val="24"/>
        </w:rPr>
      </w:pPr>
      <w:r w:rsidRPr="00603CA3">
        <w:rPr>
          <w:color w:val="000000" w:themeColor="text1"/>
          <w:szCs w:val="24"/>
        </w:rPr>
        <w:t xml:space="preserve">Nākamajā pārskata periodā </w:t>
      </w:r>
      <w:r w:rsidR="00945919" w:rsidRPr="00F113D0">
        <w:rPr>
          <w:color w:val="000000" w:themeColor="text1"/>
          <w:szCs w:val="24"/>
        </w:rPr>
        <w:t>Finanšu ministrija turpin</w:t>
      </w:r>
      <w:r w:rsidRPr="00F113D0">
        <w:rPr>
          <w:color w:val="000000" w:themeColor="text1"/>
          <w:szCs w:val="24"/>
        </w:rPr>
        <w:t>ās</w:t>
      </w:r>
      <w:r w:rsidR="00945919" w:rsidRPr="00F113D0">
        <w:rPr>
          <w:color w:val="000000" w:themeColor="text1"/>
          <w:szCs w:val="24"/>
        </w:rPr>
        <w:t xml:space="preserve"> aktīvi </w:t>
      </w:r>
      <w:r w:rsidR="00945919" w:rsidRPr="00603CA3">
        <w:rPr>
          <w:color w:val="000000" w:themeColor="text1"/>
          <w:szCs w:val="24"/>
        </w:rPr>
        <w:t xml:space="preserve">gatavoties nākošajam plānošanas periodam, formulējot Latvijas intereses Kohēzijas politikai pēc 2013.gada. </w:t>
      </w:r>
    </w:p>
    <w:p w:rsidR="00E7490D" w:rsidRDefault="006F0179" w:rsidP="00603CA3">
      <w:pPr>
        <w:spacing w:line="276" w:lineRule="auto"/>
        <w:rPr>
          <w:color w:val="000000" w:themeColor="text1"/>
          <w:szCs w:val="24"/>
        </w:rPr>
      </w:pPr>
      <w:r w:rsidRPr="00603CA3">
        <w:rPr>
          <w:color w:val="000000" w:themeColor="text1"/>
          <w:szCs w:val="24"/>
        </w:rPr>
        <w:t xml:space="preserve">Kopumā vērtējums par ES finansējuma apguves situāciju ir apmierinošs, ņemot vērā iespējas un īstenotos un aktuālos rīcības plānus sistēmas pilnveidē un finansējuma efektīvā pārstrukturēšanā atbilstoši prioritārajām vajadzībām tautsaimniecībā. </w:t>
      </w:r>
    </w:p>
    <w:p w:rsidR="00A153A9" w:rsidRDefault="00A153A9" w:rsidP="00603CA3">
      <w:pPr>
        <w:spacing w:line="276" w:lineRule="auto"/>
        <w:rPr>
          <w:bCs/>
          <w:color w:val="000000"/>
          <w:szCs w:val="24"/>
        </w:rPr>
      </w:pPr>
      <w:r>
        <w:rPr>
          <w:bCs/>
          <w:color w:val="000000"/>
          <w:szCs w:val="24"/>
        </w:rPr>
        <w:t>Turpināt darbu pie risinājumu meklēšanu</w:t>
      </w:r>
      <w:r w:rsidRPr="00A153A9">
        <w:rPr>
          <w:bCs/>
          <w:color w:val="000000"/>
          <w:szCs w:val="24"/>
        </w:rPr>
        <w:t xml:space="preserve"> </w:t>
      </w:r>
      <w:r>
        <w:rPr>
          <w:bCs/>
          <w:color w:val="000000"/>
          <w:szCs w:val="24"/>
        </w:rPr>
        <w:t xml:space="preserve">kā optimāli ieviest atalgojuma daļveida finansēšanu no dažādiem finanšu avotiem tādējādi </w:t>
      </w:r>
      <w:r w:rsidR="00E6093E">
        <w:rPr>
          <w:bCs/>
          <w:color w:val="000000"/>
          <w:szCs w:val="24"/>
        </w:rPr>
        <w:t>paplaši</w:t>
      </w:r>
      <w:r w:rsidRPr="00A153A9">
        <w:rPr>
          <w:bCs/>
          <w:color w:val="000000"/>
          <w:szCs w:val="24"/>
        </w:rPr>
        <w:t>n</w:t>
      </w:r>
      <w:r>
        <w:rPr>
          <w:bCs/>
          <w:color w:val="000000"/>
          <w:szCs w:val="24"/>
        </w:rPr>
        <w:t>ot</w:t>
      </w:r>
      <w:r w:rsidRPr="00A153A9">
        <w:rPr>
          <w:bCs/>
          <w:color w:val="000000"/>
          <w:szCs w:val="24"/>
        </w:rPr>
        <w:t xml:space="preserve"> ES fondu tehniskās palīdzības finansējuma izmantošanas</w:t>
      </w:r>
      <w:r>
        <w:rPr>
          <w:bCs/>
          <w:color w:val="000000"/>
          <w:szCs w:val="24"/>
        </w:rPr>
        <w:t xml:space="preserve"> iespējas</w:t>
      </w:r>
      <w:r w:rsidRPr="00A153A9">
        <w:rPr>
          <w:bCs/>
          <w:color w:val="000000"/>
          <w:szCs w:val="24"/>
        </w:rPr>
        <w:t xml:space="preserve">, kas ietaupītu valsts budžeta līdzekļus, bet vienlaikus minimizētu finansējuma </w:t>
      </w:r>
      <w:proofErr w:type="spellStart"/>
      <w:r w:rsidRPr="00A153A9">
        <w:rPr>
          <w:bCs/>
          <w:color w:val="000000"/>
          <w:szCs w:val="24"/>
        </w:rPr>
        <w:t>neattiecināmības</w:t>
      </w:r>
      <w:proofErr w:type="spellEnd"/>
      <w:r w:rsidRPr="00A153A9">
        <w:rPr>
          <w:bCs/>
          <w:color w:val="000000"/>
          <w:szCs w:val="24"/>
        </w:rPr>
        <w:t xml:space="preserve"> riskus</w:t>
      </w:r>
      <w:r>
        <w:rPr>
          <w:bCs/>
          <w:color w:val="000000"/>
          <w:szCs w:val="24"/>
        </w:rPr>
        <w:t xml:space="preserve">. </w:t>
      </w:r>
      <w:r w:rsidRPr="00A153A9">
        <w:rPr>
          <w:bCs/>
          <w:color w:val="000000"/>
          <w:szCs w:val="24"/>
        </w:rPr>
        <w:t>Finanšu ministrijai sadarbībā ar Valsts kanceleju 2011.gada novembra laikā ies</w:t>
      </w:r>
      <w:r>
        <w:rPr>
          <w:bCs/>
          <w:color w:val="000000"/>
          <w:szCs w:val="24"/>
        </w:rPr>
        <w:t>niegt Ministru kabinetā informatīvo ziņojumu par iespējamiem rīcības modeļiem.</w:t>
      </w:r>
      <w:r w:rsidRPr="00A153A9">
        <w:rPr>
          <w:bCs/>
          <w:color w:val="000000"/>
          <w:szCs w:val="24"/>
        </w:rPr>
        <w:t xml:space="preserve"> </w:t>
      </w:r>
    </w:p>
    <w:p w:rsidR="00A153A9" w:rsidRPr="00A153A9" w:rsidRDefault="00A153A9" w:rsidP="00603CA3">
      <w:pPr>
        <w:spacing w:line="276" w:lineRule="auto"/>
        <w:rPr>
          <w:color w:val="000000" w:themeColor="text1"/>
          <w:szCs w:val="24"/>
        </w:rPr>
      </w:pPr>
      <w:r>
        <w:rPr>
          <w:bCs/>
          <w:color w:val="000000"/>
          <w:szCs w:val="24"/>
        </w:rPr>
        <w:t xml:space="preserve">Finanšu ministrijai turpināt darbu pie </w:t>
      </w:r>
      <w:r w:rsidRPr="00A153A9">
        <w:rPr>
          <w:bCs/>
          <w:color w:val="000000"/>
          <w:szCs w:val="24"/>
        </w:rPr>
        <w:t>priekšlikumus turpmāko neatbilstību novēršanai vai mazināšanai</w:t>
      </w:r>
      <w:r w:rsidR="00A76D06">
        <w:rPr>
          <w:bCs/>
          <w:color w:val="000000"/>
          <w:szCs w:val="24"/>
        </w:rPr>
        <w:t xml:space="preserve"> izstrādes</w:t>
      </w:r>
      <w:r w:rsidRPr="00A153A9">
        <w:rPr>
          <w:bCs/>
          <w:color w:val="000000"/>
          <w:szCs w:val="24"/>
        </w:rPr>
        <w:t>.</w:t>
      </w:r>
    </w:p>
    <w:p w:rsidR="008C3FF2" w:rsidRPr="00603CA3" w:rsidRDefault="008C3FF2" w:rsidP="00603CA3">
      <w:pPr>
        <w:spacing w:line="276" w:lineRule="auto"/>
        <w:ind w:left="142" w:right="140"/>
        <w:rPr>
          <w:color w:val="000000" w:themeColor="text1"/>
          <w:spacing w:val="6"/>
          <w:szCs w:val="24"/>
          <w:highlight w:val="yellow"/>
        </w:rPr>
      </w:pPr>
    </w:p>
    <w:p w:rsidR="00FF4209" w:rsidRPr="00603CA3" w:rsidRDefault="00FF4209" w:rsidP="00603CA3">
      <w:pPr>
        <w:spacing w:line="276" w:lineRule="auto"/>
        <w:rPr>
          <w:color w:val="000000" w:themeColor="text1"/>
          <w:spacing w:val="6"/>
          <w:szCs w:val="24"/>
          <w:highlight w:val="yellow"/>
        </w:rPr>
      </w:pPr>
    </w:p>
    <w:p w:rsidR="00FF4209" w:rsidRPr="00603CA3" w:rsidRDefault="00FF4209" w:rsidP="00603CA3">
      <w:pPr>
        <w:spacing w:line="276" w:lineRule="auto"/>
        <w:rPr>
          <w:color w:val="000000" w:themeColor="text1"/>
          <w:spacing w:val="6"/>
          <w:szCs w:val="24"/>
          <w:highlight w:val="yellow"/>
        </w:rPr>
      </w:pPr>
    </w:p>
    <w:p w:rsidR="00FF4209" w:rsidRPr="00603CA3" w:rsidRDefault="00442F96" w:rsidP="00603CA3">
      <w:pPr>
        <w:tabs>
          <w:tab w:val="right" w:pos="8931"/>
        </w:tabs>
        <w:spacing w:line="276" w:lineRule="auto"/>
        <w:rPr>
          <w:color w:val="000000" w:themeColor="text1"/>
          <w:spacing w:val="6"/>
          <w:szCs w:val="24"/>
        </w:rPr>
      </w:pPr>
      <w:r w:rsidRPr="00603CA3">
        <w:rPr>
          <w:color w:val="000000" w:themeColor="text1"/>
          <w:spacing w:val="6"/>
          <w:szCs w:val="24"/>
        </w:rPr>
        <w:t>Finanšu ministr</w:t>
      </w:r>
      <w:r w:rsidR="00FE180D" w:rsidRPr="00603CA3">
        <w:rPr>
          <w:color w:val="000000" w:themeColor="text1"/>
          <w:spacing w:val="6"/>
          <w:szCs w:val="24"/>
        </w:rPr>
        <w:t>s</w:t>
      </w:r>
      <w:r w:rsidR="00FE180D" w:rsidRPr="00603CA3">
        <w:rPr>
          <w:color w:val="000000" w:themeColor="text1"/>
          <w:spacing w:val="6"/>
          <w:szCs w:val="24"/>
        </w:rPr>
        <w:tab/>
      </w:r>
      <w:r w:rsidR="00FF4209" w:rsidRPr="00603CA3">
        <w:rPr>
          <w:color w:val="000000" w:themeColor="text1"/>
          <w:spacing w:val="6"/>
          <w:szCs w:val="24"/>
        </w:rPr>
        <w:t xml:space="preserve"> </w:t>
      </w:r>
      <w:r w:rsidR="001F78FE" w:rsidRPr="00603CA3">
        <w:rPr>
          <w:color w:val="000000" w:themeColor="text1"/>
          <w:spacing w:val="6"/>
          <w:szCs w:val="24"/>
        </w:rPr>
        <w:t>A</w:t>
      </w:r>
      <w:r w:rsidR="00FF4209" w:rsidRPr="00603CA3">
        <w:rPr>
          <w:color w:val="000000" w:themeColor="text1"/>
          <w:spacing w:val="6"/>
          <w:szCs w:val="24"/>
        </w:rPr>
        <w:t>.</w:t>
      </w:r>
      <w:r w:rsidR="00360DD1" w:rsidRPr="00603CA3">
        <w:rPr>
          <w:color w:val="000000" w:themeColor="text1"/>
          <w:spacing w:val="6"/>
          <w:szCs w:val="24"/>
        </w:rPr>
        <w:t>Vilks</w:t>
      </w:r>
    </w:p>
    <w:p w:rsidR="00FF4209" w:rsidRPr="00603CA3" w:rsidRDefault="002A561D" w:rsidP="00603CA3">
      <w:pPr>
        <w:spacing w:line="276" w:lineRule="auto"/>
        <w:rPr>
          <w:color w:val="000000" w:themeColor="text1"/>
          <w:spacing w:val="6"/>
          <w:szCs w:val="24"/>
        </w:rPr>
      </w:pPr>
      <w:r w:rsidRPr="00603CA3">
        <w:rPr>
          <w:color w:val="000000" w:themeColor="text1"/>
          <w:spacing w:val="6"/>
          <w:szCs w:val="24"/>
        </w:rPr>
        <w:tab/>
      </w:r>
      <w:r w:rsidRPr="00603CA3">
        <w:rPr>
          <w:color w:val="000000" w:themeColor="text1"/>
          <w:spacing w:val="6"/>
          <w:szCs w:val="24"/>
        </w:rPr>
        <w:tab/>
      </w:r>
      <w:r w:rsidRPr="00603CA3">
        <w:rPr>
          <w:color w:val="000000" w:themeColor="text1"/>
          <w:spacing w:val="6"/>
          <w:szCs w:val="24"/>
        </w:rPr>
        <w:tab/>
      </w:r>
    </w:p>
    <w:p w:rsidR="00FF4209" w:rsidRPr="00603CA3" w:rsidRDefault="00FF4209" w:rsidP="00603CA3">
      <w:pPr>
        <w:spacing w:line="276" w:lineRule="auto"/>
        <w:rPr>
          <w:color w:val="000000" w:themeColor="text1"/>
          <w:spacing w:val="6"/>
          <w:szCs w:val="24"/>
        </w:rPr>
      </w:pPr>
    </w:p>
    <w:p w:rsidR="00FF4209" w:rsidRPr="00603CA3" w:rsidRDefault="00E6093E" w:rsidP="00603CA3">
      <w:pPr>
        <w:pStyle w:val="Header"/>
        <w:spacing w:line="276" w:lineRule="auto"/>
        <w:jc w:val="both"/>
        <w:rPr>
          <w:color w:val="000000" w:themeColor="text1"/>
          <w:spacing w:val="6"/>
          <w:lang w:val="lv-LV"/>
        </w:rPr>
      </w:pPr>
      <w:r>
        <w:rPr>
          <w:color w:val="000000" w:themeColor="text1"/>
          <w:spacing w:val="6"/>
          <w:lang w:val="lv-LV"/>
        </w:rPr>
        <w:t>11</w:t>
      </w:r>
      <w:r w:rsidR="000C0C4C" w:rsidRPr="00810227">
        <w:rPr>
          <w:color w:val="000000" w:themeColor="text1"/>
          <w:spacing w:val="6"/>
          <w:lang w:val="lv-LV"/>
        </w:rPr>
        <w:t>.08</w:t>
      </w:r>
      <w:r w:rsidR="00FF4209" w:rsidRPr="00810227">
        <w:rPr>
          <w:color w:val="000000" w:themeColor="text1"/>
          <w:spacing w:val="6"/>
          <w:lang w:val="lv-LV"/>
        </w:rPr>
        <w:t>.201</w:t>
      </w:r>
      <w:r w:rsidR="00F43C54" w:rsidRPr="00810227">
        <w:rPr>
          <w:color w:val="000000" w:themeColor="text1"/>
          <w:spacing w:val="6"/>
          <w:lang w:val="lv-LV"/>
        </w:rPr>
        <w:t>1</w:t>
      </w:r>
      <w:r w:rsidR="00FF4209" w:rsidRPr="00810227">
        <w:rPr>
          <w:color w:val="000000" w:themeColor="text1"/>
          <w:spacing w:val="6"/>
          <w:lang w:val="lv-LV"/>
        </w:rPr>
        <w:t>. 1</w:t>
      </w:r>
      <w:r>
        <w:rPr>
          <w:color w:val="000000" w:themeColor="text1"/>
          <w:spacing w:val="6"/>
          <w:lang w:val="lv-LV"/>
        </w:rPr>
        <w:t>1</w:t>
      </w:r>
      <w:r w:rsidR="00FF4209" w:rsidRPr="00810227">
        <w:rPr>
          <w:color w:val="000000" w:themeColor="text1"/>
          <w:spacing w:val="6"/>
          <w:lang w:val="lv-LV"/>
        </w:rPr>
        <w:t>:</w:t>
      </w:r>
      <w:r>
        <w:rPr>
          <w:color w:val="000000" w:themeColor="text1"/>
          <w:spacing w:val="6"/>
          <w:lang w:val="lv-LV"/>
        </w:rPr>
        <w:t>0</w:t>
      </w:r>
      <w:r w:rsidR="00FF4209" w:rsidRPr="00810227">
        <w:rPr>
          <w:color w:val="000000" w:themeColor="text1"/>
          <w:spacing w:val="6"/>
          <w:lang w:val="lv-LV"/>
        </w:rPr>
        <w:t>0</w:t>
      </w:r>
    </w:p>
    <w:p w:rsidR="00E86C9C" w:rsidRPr="00603CA3" w:rsidRDefault="00E6093E" w:rsidP="00603CA3">
      <w:pPr>
        <w:pStyle w:val="Header"/>
        <w:spacing w:line="276" w:lineRule="auto"/>
        <w:jc w:val="both"/>
        <w:rPr>
          <w:color w:val="000000" w:themeColor="text1"/>
          <w:spacing w:val="6"/>
          <w:lang w:val="lv-LV"/>
        </w:rPr>
      </w:pPr>
      <w:r>
        <w:rPr>
          <w:color w:val="000000" w:themeColor="text1"/>
          <w:spacing w:val="6"/>
          <w:lang w:val="lv-LV"/>
        </w:rPr>
        <w:t>21 380</w:t>
      </w:r>
    </w:p>
    <w:p w:rsidR="00FF4209" w:rsidRPr="00603CA3" w:rsidRDefault="00FF4209" w:rsidP="00603CA3">
      <w:pPr>
        <w:pStyle w:val="Header"/>
        <w:spacing w:line="276" w:lineRule="auto"/>
        <w:jc w:val="both"/>
        <w:rPr>
          <w:color w:val="000000" w:themeColor="text1"/>
          <w:spacing w:val="6"/>
          <w:lang w:val="lv-LV"/>
        </w:rPr>
      </w:pPr>
      <w:r w:rsidRPr="00603CA3">
        <w:rPr>
          <w:color w:val="000000" w:themeColor="text1"/>
          <w:spacing w:val="6"/>
          <w:lang w:val="lv-LV"/>
        </w:rPr>
        <w:t>S.</w:t>
      </w:r>
      <w:r w:rsidR="00E6093E">
        <w:rPr>
          <w:color w:val="000000" w:themeColor="text1"/>
          <w:spacing w:val="6"/>
          <w:lang w:val="lv-LV"/>
        </w:rPr>
        <w:t>Albiņa</w:t>
      </w:r>
    </w:p>
    <w:p w:rsidR="00790675" w:rsidRPr="00603CA3" w:rsidRDefault="00E6093E" w:rsidP="00603CA3">
      <w:pPr>
        <w:spacing w:line="276" w:lineRule="auto"/>
        <w:rPr>
          <w:color w:val="000000" w:themeColor="text1"/>
          <w:spacing w:val="6"/>
          <w:szCs w:val="24"/>
          <w:lang w:eastAsia="x-none"/>
        </w:rPr>
      </w:pPr>
      <w:bookmarkStart w:id="54" w:name="OLE_LINK7"/>
      <w:r>
        <w:rPr>
          <w:color w:val="000000" w:themeColor="text1"/>
          <w:spacing w:val="6"/>
          <w:szCs w:val="24"/>
          <w:lang w:eastAsia="x-none"/>
        </w:rPr>
        <w:t>67083808</w:t>
      </w:r>
      <w:r w:rsidR="00FF4209" w:rsidRPr="00603CA3">
        <w:rPr>
          <w:color w:val="000000" w:themeColor="text1"/>
          <w:spacing w:val="6"/>
          <w:szCs w:val="24"/>
          <w:lang w:eastAsia="x-none"/>
        </w:rPr>
        <w:t xml:space="preserve">, </w:t>
      </w:r>
      <w:bookmarkEnd w:id="54"/>
      <w:r w:rsidR="001D54DA" w:rsidRPr="00603CA3">
        <w:rPr>
          <w:color w:val="000000" w:themeColor="text1"/>
          <w:spacing w:val="6"/>
          <w:szCs w:val="24"/>
          <w:lang w:eastAsia="x-none"/>
        </w:rPr>
        <w:fldChar w:fldCharType="begin"/>
      </w:r>
      <w:r w:rsidR="001D54DA" w:rsidRPr="00603CA3">
        <w:rPr>
          <w:color w:val="000000" w:themeColor="text1"/>
          <w:spacing w:val="6"/>
          <w:szCs w:val="24"/>
          <w:lang w:eastAsia="x-none"/>
        </w:rPr>
        <w:instrText xml:space="preserve"> HYPERLINK "mailto:Sintija.Laugale@fm.gov.lv" </w:instrText>
      </w:r>
      <w:r w:rsidR="001D54DA" w:rsidRPr="00603CA3">
        <w:rPr>
          <w:color w:val="000000" w:themeColor="text1"/>
          <w:spacing w:val="6"/>
          <w:szCs w:val="24"/>
          <w:lang w:eastAsia="x-none"/>
        </w:rPr>
        <w:fldChar w:fldCharType="separate"/>
      </w:r>
      <w:r>
        <w:rPr>
          <w:color w:val="000000" w:themeColor="text1"/>
          <w:spacing w:val="6"/>
          <w:szCs w:val="24"/>
          <w:lang w:eastAsia="x-none"/>
        </w:rPr>
        <w:t>Signe.Albiņa</w:t>
      </w:r>
      <w:r w:rsidR="001D54DA" w:rsidRPr="00603CA3">
        <w:rPr>
          <w:color w:val="000000" w:themeColor="text1"/>
          <w:spacing w:val="6"/>
          <w:szCs w:val="24"/>
          <w:lang w:eastAsia="x-none"/>
        </w:rPr>
        <w:t>@fm.gov.lv</w:t>
      </w:r>
      <w:r w:rsidR="001D54DA" w:rsidRPr="00603CA3">
        <w:rPr>
          <w:color w:val="000000" w:themeColor="text1"/>
          <w:spacing w:val="6"/>
          <w:szCs w:val="24"/>
          <w:lang w:eastAsia="x-none"/>
        </w:rPr>
        <w:fldChar w:fldCharType="end"/>
      </w:r>
      <w:r w:rsidR="002503FD" w:rsidRPr="00603CA3">
        <w:rPr>
          <w:color w:val="000000" w:themeColor="text1"/>
          <w:spacing w:val="6"/>
          <w:szCs w:val="24"/>
          <w:lang w:eastAsia="x-none"/>
        </w:rPr>
        <w:tab/>
      </w:r>
    </w:p>
    <w:sectPr w:rsidR="00790675" w:rsidRPr="00603CA3" w:rsidSect="00790675">
      <w:headerReference w:type="even" r:id="rId41"/>
      <w:headerReference w:type="default" r:id="rId42"/>
      <w:footerReference w:type="even" r:id="rId43"/>
      <w:footerReference w:type="default" r:id="rId44"/>
      <w:pgSz w:w="11906" w:h="16838" w:code="9"/>
      <w:pgMar w:top="1418" w:right="1134" w:bottom="992"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6EF5" w:rsidRDefault="00F56EF5" w:rsidP="00FF4209">
      <w:r>
        <w:separator/>
      </w:r>
    </w:p>
  </w:endnote>
  <w:endnote w:type="continuationSeparator" w:id="0">
    <w:p w:rsidR="00F56EF5" w:rsidRDefault="00F56EF5" w:rsidP="00FF42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20002A87" w:usb1="80000000" w:usb2="00000008" w:usb3="00000000" w:csb0="000001FF" w:csb1="00000000"/>
  </w:font>
  <w:font w:name="Courier New">
    <w:panose1 w:val="02070309020205020404"/>
    <w:charset w:val="BA"/>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EUAlbertina-Bold-Identity-H">
    <w:altName w:val="MS Mincho"/>
    <w:panose1 w:val="00000000000000000000"/>
    <w:charset w:val="80"/>
    <w:family w:val="auto"/>
    <w:notTrueType/>
    <w:pitch w:val="default"/>
    <w:sig w:usb0="00000001" w:usb1="08070000" w:usb2="00000010" w:usb3="00000000" w:csb0="00020000" w:csb1="00000000"/>
  </w:font>
  <w:font w:name="Calibri">
    <w:panose1 w:val="020F0502020204030204"/>
    <w:charset w:val="BA"/>
    <w:family w:val="swiss"/>
    <w:pitch w:val="variable"/>
    <w:sig w:usb0="E10002FF" w:usb1="4000ACFF" w:usb2="00000009" w:usb3="00000000" w:csb0="0000019F" w:csb1="00000000"/>
  </w:font>
  <w:font w:name="Cambria">
    <w:panose1 w:val="02040503050406030204"/>
    <w:charset w:val="BA"/>
    <w:family w:val="roman"/>
    <w:pitch w:val="variable"/>
    <w:sig w:usb0="E00002FF" w:usb1="400004FF" w:usb2="00000000" w:usb3="00000000" w:csb0="0000019F" w:csb1="00000000"/>
  </w:font>
  <w:font w:name="Arial">
    <w:panose1 w:val="020B0604020202020204"/>
    <w:charset w:val="BA"/>
    <w:family w:val="swiss"/>
    <w:pitch w:val="variable"/>
    <w:sig w:usb0="20002A87" w:usb1="80000000" w:usb2="00000008" w:usb3="00000000" w:csb0="000001FF" w:csb1="00000000"/>
  </w:font>
  <w:font w:name="DokChampa">
    <w:altName w:val="Arial Unicode MS"/>
    <w:charset w:val="00"/>
    <w:family w:val="swiss"/>
    <w:pitch w:val="variable"/>
    <w:sig w:usb0="00000000" w:usb1="00000000" w:usb2="00000000" w:usb3="00000000" w:csb0="00010001" w:csb1="00000000"/>
  </w:font>
  <w:font w:name="Tahoma">
    <w:panose1 w:val="020B0604030504040204"/>
    <w:charset w:val="BA"/>
    <w:family w:val="swiss"/>
    <w:pitch w:val="variable"/>
    <w:sig w:usb0="61002A87" w:usb1="80000000" w:usb2="00000008" w:usb3="00000000" w:csb0="000101FF" w:csb1="00000000"/>
  </w:font>
  <w:font w:name="Verdana">
    <w:panose1 w:val="020B0604030504040204"/>
    <w:charset w:val="BA"/>
    <w:family w:val="swiss"/>
    <w:pitch w:val="variable"/>
    <w:sig w:usb0="20000287" w:usb1="00000000" w:usb2="00000000" w:usb3="00000000" w:csb0="0000019F" w:csb1="00000000"/>
  </w:font>
  <w:font w:name="Consolas">
    <w:panose1 w:val="020B0609020204030204"/>
    <w:charset w:val="BA"/>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EF5" w:rsidRDefault="00F56EF5" w:rsidP="0079067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56EF5" w:rsidRDefault="00F56EF5">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EF5" w:rsidRPr="002652DB" w:rsidRDefault="00F56EF5" w:rsidP="00790675">
    <w:pPr>
      <w:pStyle w:val="Footer"/>
      <w:jc w:val="left"/>
      <w:rPr>
        <w:lang w:val="lv-LV"/>
      </w:rPr>
    </w:pPr>
    <w:r>
      <w:rPr>
        <w:sz w:val="20"/>
      </w:rPr>
      <w:t>FMzino_</w:t>
    </w:r>
    <w:r>
      <w:rPr>
        <w:sz w:val="20"/>
        <w:lang w:val="lv-LV"/>
      </w:rPr>
      <w:t>1108</w:t>
    </w:r>
    <w:r>
      <w:rPr>
        <w:sz w:val="20"/>
      </w:rPr>
      <w:t>11</w:t>
    </w:r>
    <w:r w:rsidRPr="00663ABC">
      <w:rPr>
        <w:sz w:val="20"/>
      </w:rPr>
      <w:t xml:space="preserve">_ES_fondi; Informatīvais ziņojums par ārvalstu finanšu resursu (ES struktūrfondu un Kohēzijas fonda, Eiropas Ekonomikas zonas finanšu instrumenta, Norvēģijas valdības divpusējā finanšu instrumenta un Latvijas–Šveices sadarbības programmas) </w:t>
    </w:r>
    <w:r>
      <w:rPr>
        <w:sz w:val="20"/>
      </w:rPr>
      <w:t>apguvi līdz 201</w:t>
    </w:r>
    <w:r>
      <w:rPr>
        <w:sz w:val="20"/>
        <w:lang w:val="lv-LV"/>
      </w:rPr>
      <w:t>1</w:t>
    </w:r>
    <w:r>
      <w:rPr>
        <w:sz w:val="20"/>
      </w:rPr>
      <w:t>.gada 3</w:t>
    </w:r>
    <w:r>
      <w:rPr>
        <w:sz w:val="20"/>
        <w:lang w:val="lv-LV"/>
      </w:rPr>
      <w:t>0</w:t>
    </w:r>
    <w:r>
      <w:rPr>
        <w:sz w:val="20"/>
      </w:rPr>
      <w:t>.</w:t>
    </w:r>
    <w:r>
      <w:rPr>
        <w:sz w:val="20"/>
        <w:lang w:val="lv-LV"/>
      </w:rPr>
      <w:t>jūnijam</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6EF5" w:rsidRDefault="00F56EF5" w:rsidP="00FF4209">
      <w:r>
        <w:separator/>
      </w:r>
    </w:p>
  </w:footnote>
  <w:footnote w:type="continuationSeparator" w:id="0">
    <w:p w:rsidR="00F56EF5" w:rsidRDefault="00F56EF5" w:rsidP="00FF4209">
      <w:r>
        <w:continuationSeparator/>
      </w:r>
    </w:p>
  </w:footnote>
  <w:footnote w:id="1">
    <w:p w:rsidR="00F56EF5" w:rsidRPr="00154AB3" w:rsidRDefault="00F56EF5" w:rsidP="00945919">
      <w:pPr>
        <w:pStyle w:val="FootnoteText"/>
      </w:pPr>
      <w:r>
        <w:rPr>
          <w:rStyle w:val="FootnoteReference"/>
        </w:rPr>
        <w:footnoteRef/>
      </w:r>
      <w:r>
        <w:t xml:space="preserve"> </w:t>
      </w:r>
      <w:r w:rsidRPr="00121C67">
        <w:rPr>
          <w:rFonts w:eastAsia="EUAlbertina-Bold-Identity-H"/>
          <w:color w:val="000000"/>
          <w:szCs w:val="24"/>
        </w:rPr>
        <w:t>Publiskais finansējums sevī ietver gan ES fondu finansējumu, gan arī valsts budžeta un pašvaldību budžeta līdzfinansējumu projektu īstenošanai.</w:t>
      </w:r>
    </w:p>
  </w:footnote>
  <w:footnote w:id="2">
    <w:p w:rsidR="00F56EF5" w:rsidRDefault="00F56EF5" w:rsidP="002C59D2">
      <w:pPr>
        <w:pStyle w:val="FootnoteText"/>
      </w:pPr>
      <w:r>
        <w:rPr>
          <w:rStyle w:val="FootnoteReference"/>
        </w:rPr>
        <w:footnoteRef/>
      </w:r>
      <w:r>
        <w:t xml:space="preserve"> 80.00.00. programmas līdzekļu sadalījums nav oficiāls. Tas balstās uz pieņēmumu, ka ES fondiem gada sākumā 80.00.00.programmā bija paredzēti ~ 20 </w:t>
      </w:r>
      <w:proofErr w:type="spellStart"/>
      <w:r>
        <w:t>milj</w:t>
      </w:r>
      <w:proofErr w:type="spellEnd"/>
      <w:r>
        <w:t>. latu un no ES fondu projektiem uz 80.00.00. atdotie līdzekļi  tiks novirzīti citiem ES fondu projektiem</w:t>
      </w:r>
    </w:p>
  </w:footnote>
  <w:footnote w:id="3">
    <w:p w:rsidR="00F56EF5" w:rsidRPr="00854B74" w:rsidRDefault="00F56EF5" w:rsidP="000F06EF">
      <w:pPr>
        <w:pStyle w:val="FootnoteText"/>
        <w:rPr>
          <w:lang w:val="lv-LV"/>
        </w:rPr>
      </w:pPr>
      <w:r>
        <w:rPr>
          <w:rStyle w:val="FootnoteReference"/>
        </w:rPr>
        <w:footnoteRef/>
      </w:r>
      <w:r>
        <w:t xml:space="preserve"> </w:t>
      </w:r>
      <w:r>
        <w:rPr>
          <w:lang w:val="lv-LV"/>
        </w:rPr>
        <w:t>25.07.2011. Eiropas Komisija apstiprināja Kohēzijas fonda lielo projektu „Infrastruktūras attīstība lidostā „Rīga””</w:t>
      </w:r>
    </w:p>
  </w:footnote>
  <w:footnote w:id="4">
    <w:p w:rsidR="00F56EF5" w:rsidRPr="0028143C" w:rsidRDefault="00F56EF5" w:rsidP="00B94676">
      <w:pPr>
        <w:pStyle w:val="FootnoteText"/>
        <w:spacing w:line="276" w:lineRule="auto"/>
        <w:rPr>
          <w:i/>
          <w:lang w:val="lv-LV"/>
        </w:rPr>
      </w:pPr>
      <w:r>
        <w:rPr>
          <w:rStyle w:val="FootnoteReference"/>
        </w:rPr>
        <w:footnoteRef/>
      </w:r>
      <w:r>
        <w:t xml:space="preserve"> </w:t>
      </w:r>
      <w:r w:rsidRPr="0028143C">
        <w:rPr>
          <w:rFonts w:eastAsia="EUAlbertina-Bold-Identity-H"/>
          <w:i/>
          <w:sz w:val="24"/>
          <w:szCs w:val="24"/>
          <w:lang w:val="lv-LV" w:eastAsia="lv-LV"/>
        </w:rPr>
        <w:t>Ņemot vērā ļoti svārstīgo Šveices franka kursu grafikā informācija atspoguļota CHF nevis latos.</w:t>
      </w:r>
    </w:p>
  </w:footnote>
  <w:footnote w:id="5">
    <w:p w:rsidR="00F56EF5" w:rsidRPr="0086337C" w:rsidRDefault="00F56EF5" w:rsidP="00BC3CB2">
      <w:pPr>
        <w:pStyle w:val="FootnoteText"/>
        <w:rPr>
          <w:lang w:val="lv-LV"/>
        </w:rPr>
      </w:pPr>
      <w:r>
        <w:rPr>
          <w:rStyle w:val="FootnoteReference"/>
        </w:rPr>
        <w:footnoteRef/>
      </w:r>
      <w:r>
        <w:t xml:space="preserve"> </w:t>
      </w:r>
      <w:r>
        <w:rPr>
          <w:lang w:val="lv-LV"/>
        </w:rPr>
        <w:t>Analīzē izmantots publiskais finansējums, kas sevī ietver gan ES fondu finansējumu, gan arī valsts budžeta un pašvaldību budžeta līdzfinansējumu projektu īstenošanai.</w:t>
      </w:r>
    </w:p>
  </w:footnote>
  <w:footnote w:id="6">
    <w:p w:rsidR="00F56EF5" w:rsidRDefault="00F56EF5" w:rsidP="00BC3CB2">
      <w:pPr>
        <w:pStyle w:val="FootnoteText"/>
      </w:pPr>
      <w:r>
        <w:rPr>
          <w:rStyle w:val="FootnoteReference"/>
        </w:rPr>
        <w:footnoteRef/>
      </w:r>
      <w:r>
        <w:t xml:space="preserve"> </w:t>
      </w:r>
      <w:r w:rsidRPr="00D65923">
        <w:rPr>
          <w:rFonts w:eastAsia="Calibri"/>
        </w:rPr>
        <w:t xml:space="preserve">Komisijas 2006.gada 8.decembra Regulā </w:t>
      </w:r>
      <w:proofErr w:type="spellStart"/>
      <w:r w:rsidRPr="00D65923">
        <w:rPr>
          <w:rFonts w:eastAsia="Calibri"/>
        </w:rPr>
        <w:t>Nr</w:t>
      </w:r>
      <w:proofErr w:type="spellEnd"/>
      <w:r w:rsidRPr="00D65923">
        <w:rPr>
          <w:rFonts w:eastAsia="Calibri"/>
        </w:rPr>
        <w:t xml:space="preserve"> 1828/2006, kas paredz noteikumus par to, kā īstenot Padomes Regulu (EK) </w:t>
      </w:r>
      <w:proofErr w:type="spellStart"/>
      <w:r w:rsidRPr="00D65923">
        <w:rPr>
          <w:rFonts w:eastAsia="Calibri"/>
        </w:rPr>
        <w:t>Nr</w:t>
      </w:r>
      <w:proofErr w:type="spellEnd"/>
      <w:r w:rsidRPr="00D65923">
        <w:rPr>
          <w:rFonts w:eastAsia="Calibri"/>
        </w:rPr>
        <w:t xml:space="preserve">. 1083/2006, ar ko paredz vispārīgus noteikumus par Eiropas Reģionālās attīstības fondu, Eiropas Sociālo fondu un Kohēzijas fondu, un Eiropas Parlamenta un Padomes Regulu (EK) </w:t>
      </w:r>
      <w:proofErr w:type="spellStart"/>
      <w:r w:rsidRPr="00D65923">
        <w:rPr>
          <w:rFonts w:eastAsia="Calibri"/>
        </w:rPr>
        <w:t>Nr</w:t>
      </w:r>
      <w:proofErr w:type="spellEnd"/>
      <w:r w:rsidRPr="00D65923">
        <w:rPr>
          <w:rFonts w:eastAsia="Calibri"/>
        </w:rPr>
        <w:t>. 1080/2006 par Eiropas Reģionālās attīstības fondu IV pielikuma 2.punkt</w:t>
      </w:r>
      <w:r>
        <w:rPr>
          <w:rFonts w:eastAsia="Calibri"/>
        </w:rPr>
        <w:t>s</w:t>
      </w:r>
    </w:p>
  </w:footnote>
  <w:footnote w:id="7">
    <w:p w:rsidR="00F56EF5" w:rsidRDefault="00F56EF5" w:rsidP="00DF0A19">
      <w:pPr>
        <w:pStyle w:val="FootnoteText"/>
      </w:pPr>
      <w:r>
        <w:rPr>
          <w:rStyle w:val="FootnoteReference"/>
        </w:rPr>
        <w:footnoteRef/>
      </w:r>
      <w:r>
        <w:t xml:space="preserve"> Detalizēta informācija atrodama pielikumā Nr.</w:t>
      </w:r>
      <w:r>
        <w:rPr>
          <w:lang w:val="lv-LV"/>
        </w:rPr>
        <w:t>3</w:t>
      </w:r>
      <w:r>
        <w:t xml:space="preserve"> „Tiešās vai pastarpinātās valsts pārvaldes iestādes, atvasinātas publiskas personas vai citas iestādes īstenotajos projektos konstatētie neatbilstoši veiktie izdevumi pārskata periodā (ceturksnī)”. </w:t>
      </w:r>
    </w:p>
  </w:footnote>
  <w:footnote w:id="8">
    <w:p w:rsidR="00F56EF5" w:rsidRDefault="00F56EF5" w:rsidP="00DF0A19">
      <w:pPr>
        <w:pStyle w:val="FootnoteText"/>
      </w:pPr>
      <w:r w:rsidRPr="00A644C8">
        <w:rPr>
          <w:rStyle w:val="FootnoteReference"/>
        </w:rPr>
        <w:footnoteRef/>
      </w:r>
      <w:r w:rsidRPr="00A644C8">
        <w:t xml:space="preserve"> Maksātnespēju gadījumi netiek uzskatīti par neatbilstību.</w:t>
      </w:r>
      <w:r>
        <w:t xml:space="preserve"> </w:t>
      </w:r>
    </w:p>
  </w:footnote>
  <w:footnote w:id="9">
    <w:p w:rsidR="00F56EF5" w:rsidRDefault="00F56EF5" w:rsidP="00DF0A19">
      <w:pPr>
        <w:pStyle w:val="FootnoteText"/>
      </w:pPr>
      <w:r>
        <w:rPr>
          <w:rStyle w:val="FootnoteReference"/>
        </w:rPr>
        <w:footnoteRef/>
      </w:r>
      <w:r>
        <w:t xml:space="preserve"> Detalizēta informācija atrodama pielikumā Nr.</w:t>
      </w:r>
      <w:r>
        <w:rPr>
          <w:lang w:val="lv-LV"/>
        </w:rPr>
        <w:t>3</w:t>
      </w:r>
      <w:r>
        <w:t xml:space="preserve"> „Tiešās vai pastarpinātās valsts pārvaldes iestādes, atvasinātas publiskas personas vai citas iestādes īstenotajos projektos konstatētie neatbilstoši veiktie izdevumi pārskata periodā (ceturksnī)”. </w:t>
      </w:r>
    </w:p>
  </w:footnote>
  <w:footnote w:id="10">
    <w:p w:rsidR="00F56EF5" w:rsidRDefault="00F56EF5" w:rsidP="00070807">
      <w:pPr>
        <w:pStyle w:val="NormalWeb"/>
        <w:spacing w:before="0" w:beforeAutospacing="0" w:after="0" w:afterAutospacing="0" w:line="276" w:lineRule="auto"/>
        <w:jc w:val="both"/>
        <w:rPr>
          <w:sz w:val="20"/>
          <w:szCs w:val="20"/>
          <w:lang w:val="lv-LV"/>
        </w:rPr>
      </w:pPr>
      <w:r>
        <w:rPr>
          <w:rStyle w:val="FootnoteReference"/>
          <w:sz w:val="20"/>
          <w:szCs w:val="20"/>
        </w:rPr>
        <w:footnoteRef/>
      </w:r>
      <w:r>
        <w:rPr>
          <w:sz w:val="20"/>
          <w:szCs w:val="20"/>
          <w:lang w:val="lv-LV"/>
        </w:rPr>
        <w:t xml:space="preserve"> 2007.gada 10.jūlija Ministru kabineta noteikumi Nr.484 „Kārtība, kādā publisko informāciju par Eiropas Savienības struktūrfondu un Kohēzijas fonda projektiem”</w:t>
      </w:r>
    </w:p>
  </w:footnote>
  <w:footnote w:id="11">
    <w:p w:rsidR="00F56EF5" w:rsidRDefault="00F56EF5" w:rsidP="00070807">
      <w:pPr>
        <w:pStyle w:val="NormalWeb"/>
        <w:spacing w:before="0" w:beforeAutospacing="0" w:after="0" w:afterAutospacing="0" w:line="276" w:lineRule="auto"/>
        <w:jc w:val="both"/>
        <w:rPr>
          <w:sz w:val="20"/>
          <w:szCs w:val="20"/>
          <w:lang w:val="lv-LV"/>
        </w:rPr>
      </w:pPr>
      <w:r>
        <w:rPr>
          <w:rStyle w:val="FootnoteReference"/>
          <w:sz w:val="20"/>
          <w:szCs w:val="20"/>
        </w:rPr>
        <w:footnoteRef/>
      </w:r>
      <w:r>
        <w:rPr>
          <w:sz w:val="20"/>
          <w:szCs w:val="20"/>
          <w:lang w:val="lv-LV"/>
        </w:rPr>
        <w:t xml:space="preserve"> 2007.gada 26.jūnija Ministru kabineta noteikumi Nr.441 „Eiropas Savienības fondu publicitātes un vizuālās identitātes prasību nodrošināšanas kārtība”</w:t>
      </w:r>
    </w:p>
  </w:footnote>
  <w:footnote w:id="12">
    <w:p w:rsidR="00F56EF5" w:rsidRDefault="00F56EF5" w:rsidP="00070807">
      <w:pPr>
        <w:pStyle w:val="NormalWeb"/>
        <w:spacing w:before="0" w:beforeAutospacing="0" w:after="0" w:afterAutospacing="0" w:line="276" w:lineRule="auto"/>
        <w:jc w:val="both"/>
        <w:rPr>
          <w:sz w:val="20"/>
          <w:szCs w:val="20"/>
          <w:lang w:val="lv-LV"/>
        </w:rPr>
      </w:pPr>
      <w:r>
        <w:rPr>
          <w:rStyle w:val="FootnoteReference"/>
          <w:sz w:val="20"/>
          <w:szCs w:val="20"/>
        </w:rPr>
        <w:footnoteRef/>
      </w:r>
      <w:r>
        <w:rPr>
          <w:sz w:val="20"/>
          <w:szCs w:val="20"/>
          <w:lang w:val="lv-LV"/>
        </w:rPr>
        <w:t xml:space="preserve"> 2007.gada 10.jūlija Ministru kabineta noteikumi Nr.484 „Kārtība, kādā publisko informāciju par Eiropas Savienības struktūrfondu un Kohēzijas fonda projektiem”</w:t>
      </w:r>
    </w:p>
    <w:p w:rsidR="00F56EF5" w:rsidRDefault="00F56EF5" w:rsidP="00070807">
      <w:pPr>
        <w:pStyle w:val="FootnoteText"/>
        <w:spacing w:line="276" w:lineRule="auto"/>
      </w:pPr>
    </w:p>
  </w:footnote>
  <w:footnote w:id="13">
    <w:p w:rsidR="00F56EF5" w:rsidRPr="00923305" w:rsidRDefault="00F56EF5" w:rsidP="003B40A5">
      <w:pPr>
        <w:pStyle w:val="FootnoteText"/>
        <w:rPr>
          <w:lang w:val="lv-LV"/>
        </w:rPr>
      </w:pPr>
      <w:r>
        <w:rPr>
          <w:rStyle w:val="FootnoteReference"/>
        </w:rPr>
        <w:footnoteRef/>
      </w:r>
      <w:r>
        <w:t xml:space="preserve"> </w:t>
      </w:r>
      <w:r w:rsidRPr="00923305">
        <w:rPr>
          <w:lang w:val="lv-LV"/>
        </w:rPr>
        <w:t>Ekonomikas ministrija nav sniegusi informāciju.</w:t>
      </w:r>
      <w:r>
        <w:rPr>
          <w:lang w:val="lv-LV"/>
        </w:rP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EF5" w:rsidRDefault="00F56EF5" w:rsidP="0079067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56EF5" w:rsidRDefault="00F56EF5" w:rsidP="00790675">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EF5" w:rsidRDefault="00F56EF5" w:rsidP="00790675">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BA61A3">
      <w:rPr>
        <w:rStyle w:val="PageNumber"/>
        <w:noProof/>
      </w:rPr>
      <w:t>66</w:t>
    </w:r>
    <w:r>
      <w:rPr>
        <w:rStyle w:val="PageNumber"/>
      </w:rPr>
      <w:fldChar w:fldCharType="end"/>
    </w:r>
  </w:p>
  <w:p w:rsidR="00F56EF5" w:rsidRDefault="00F56EF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nsid w:val="05B40A31"/>
    <w:multiLevelType w:val="hybridMultilevel"/>
    <w:tmpl w:val="42CA9018"/>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nsid w:val="06714B44"/>
    <w:multiLevelType w:val="hybridMultilevel"/>
    <w:tmpl w:val="5DA4D658"/>
    <w:lvl w:ilvl="0" w:tplc="337EC6F4">
      <w:start w:val="3"/>
      <w:numFmt w:val="bullet"/>
      <w:lvlText w:val="-"/>
      <w:lvlJc w:val="left"/>
      <w:pPr>
        <w:ind w:left="720" w:hanging="360"/>
      </w:pPr>
      <w:rPr>
        <w:rFonts w:ascii="Times New Roman" w:eastAsia="Times New Roman" w:hAnsi="Times New Roman" w:cs="Times New Roman"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nsid w:val="0D273C1F"/>
    <w:multiLevelType w:val="hybridMultilevel"/>
    <w:tmpl w:val="45A8D006"/>
    <w:lvl w:ilvl="0" w:tplc="04260001">
      <w:start w:val="1"/>
      <w:numFmt w:val="bullet"/>
      <w:lvlText w:val=""/>
      <w:lvlJc w:val="left"/>
      <w:pPr>
        <w:ind w:left="788" w:hanging="360"/>
      </w:pPr>
      <w:rPr>
        <w:rFonts w:ascii="Symbol" w:hAnsi="Symbol" w:hint="default"/>
      </w:rPr>
    </w:lvl>
    <w:lvl w:ilvl="1" w:tplc="04260003" w:tentative="1">
      <w:start w:val="1"/>
      <w:numFmt w:val="bullet"/>
      <w:lvlText w:val="o"/>
      <w:lvlJc w:val="left"/>
      <w:pPr>
        <w:ind w:left="1508" w:hanging="360"/>
      </w:pPr>
      <w:rPr>
        <w:rFonts w:ascii="Courier New" w:hAnsi="Courier New" w:cs="Courier New" w:hint="default"/>
      </w:rPr>
    </w:lvl>
    <w:lvl w:ilvl="2" w:tplc="04260005" w:tentative="1">
      <w:start w:val="1"/>
      <w:numFmt w:val="bullet"/>
      <w:lvlText w:val=""/>
      <w:lvlJc w:val="left"/>
      <w:pPr>
        <w:ind w:left="2228" w:hanging="360"/>
      </w:pPr>
      <w:rPr>
        <w:rFonts w:ascii="Wingdings" w:hAnsi="Wingdings" w:hint="default"/>
      </w:rPr>
    </w:lvl>
    <w:lvl w:ilvl="3" w:tplc="04260001" w:tentative="1">
      <w:start w:val="1"/>
      <w:numFmt w:val="bullet"/>
      <w:lvlText w:val=""/>
      <w:lvlJc w:val="left"/>
      <w:pPr>
        <w:ind w:left="2948" w:hanging="360"/>
      </w:pPr>
      <w:rPr>
        <w:rFonts w:ascii="Symbol" w:hAnsi="Symbol" w:hint="default"/>
      </w:rPr>
    </w:lvl>
    <w:lvl w:ilvl="4" w:tplc="04260003" w:tentative="1">
      <w:start w:val="1"/>
      <w:numFmt w:val="bullet"/>
      <w:lvlText w:val="o"/>
      <w:lvlJc w:val="left"/>
      <w:pPr>
        <w:ind w:left="3668" w:hanging="360"/>
      </w:pPr>
      <w:rPr>
        <w:rFonts w:ascii="Courier New" w:hAnsi="Courier New" w:cs="Courier New" w:hint="default"/>
      </w:rPr>
    </w:lvl>
    <w:lvl w:ilvl="5" w:tplc="04260005" w:tentative="1">
      <w:start w:val="1"/>
      <w:numFmt w:val="bullet"/>
      <w:lvlText w:val=""/>
      <w:lvlJc w:val="left"/>
      <w:pPr>
        <w:ind w:left="4388" w:hanging="360"/>
      </w:pPr>
      <w:rPr>
        <w:rFonts w:ascii="Wingdings" w:hAnsi="Wingdings" w:hint="default"/>
      </w:rPr>
    </w:lvl>
    <w:lvl w:ilvl="6" w:tplc="04260001" w:tentative="1">
      <w:start w:val="1"/>
      <w:numFmt w:val="bullet"/>
      <w:lvlText w:val=""/>
      <w:lvlJc w:val="left"/>
      <w:pPr>
        <w:ind w:left="5108" w:hanging="360"/>
      </w:pPr>
      <w:rPr>
        <w:rFonts w:ascii="Symbol" w:hAnsi="Symbol" w:hint="default"/>
      </w:rPr>
    </w:lvl>
    <w:lvl w:ilvl="7" w:tplc="04260003" w:tentative="1">
      <w:start w:val="1"/>
      <w:numFmt w:val="bullet"/>
      <w:lvlText w:val="o"/>
      <w:lvlJc w:val="left"/>
      <w:pPr>
        <w:ind w:left="5828" w:hanging="360"/>
      </w:pPr>
      <w:rPr>
        <w:rFonts w:ascii="Courier New" w:hAnsi="Courier New" w:cs="Courier New" w:hint="default"/>
      </w:rPr>
    </w:lvl>
    <w:lvl w:ilvl="8" w:tplc="04260005" w:tentative="1">
      <w:start w:val="1"/>
      <w:numFmt w:val="bullet"/>
      <w:lvlText w:val=""/>
      <w:lvlJc w:val="left"/>
      <w:pPr>
        <w:ind w:left="6548" w:hanging="360"/>
      </w:pPr>
      <w:rPr>
        <w:rFonts w:ascii="Wingdings" w:hAnsi="Wingdings" w:hint="default"/>
      </w:rPr>
    </w:lvl>
  </w:abstractNum>
  <w:abstractNum w:abstractNumId="3">
    <w:nsid w:val="11B5119D"/>
    <w:multiLevelType w:val="hybridMultilevel"/>
    <w:tmpl w:val="69B24974"/>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
    <w:nsid w:val="18B05B29"/>
    <w:multiLevelType w:val="hybridMultilevel"/>
    <w:tmpl w:val="CDBE8A1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nsid w:val="1E57208C"/>
    <w:multiLevelType w:val="hybridMultilevel"/>
    <w:tmpl w:val="91E8F644"/>
    <w:lvl w:ilvl="0" w:tplc="AD6C9DB8">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nsid w:val="1E8500E3"/>
    <w:multiLevelType w:val="multilevel"/>
    <w:tmpl w:val="BAEEECDC"/>
    <w:lvl w:ilvl="0">
      <w:start w:val="1"/>
      <w:numFmt w:val="decimal"/>
      <w:lvlText w:val="%1)"/>
      <w:lvlJc w:val="left"/>
      <w:pPr>
        <w:ind w:left="720" w:hanging="360"/>
      </w:pPr>
      <w:rPr>
        <w:rFonts w:hint="default"/>
      </w:rPr>
    </w:lvl>
    <w:lvl w:ilvl="1">
      <w:start w:val="1"/>
      <w:numFmt w:val="decimal"/>
      <w:lvlText w:val="%2."/>
      <w:lvlJc w:val="left"/>
      <w:pPr>
        <w:ind w:left="2025" w:hanging="945"/>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1EE14C2C"/>
    <w:multiLevelType w:val="hybridMultilevel"/>
    <w:tmpl w:val="08B67392"/>
    <w:lvl w:ilvl="0" w:tplc="39E433DA">
      <w:start w:val="1"/>
      <w:numFmt w:val="bullet"/>
      <w:lvlText w:val="–"/>
      <w:lvlJc w:val="left"/>
      <w:pPr>
        <w:ind w:left="780" w:hanging="360"/>
      </w:pPr>
      <w:rPr>
        <w:rFonts w:ascii="Times New Roman" w:hAnsi="Times New Roman" w:cs="Times New Roman" w:hint="default"/>
      </w:rPr>
    </w:lvl>
    <w:lvl w:ilvl="1" w:tplc="04260003" w:tentative="1">
      <w:start w:val="1"/>
      <w:numFmt w:val="bullet"/>
      <w:lvlText w:val="o"/>
      <w:lvlJc w:val="left"/>
      <w:pPr>
        <w:ind w:left="1500" w:hanging="360"/>
      </w:pPr>
      <w:rPr>
        <w:rFonts w:ascii="Courier New" w:hAnsi="Courier New" w:cs="Courier New" w:hint="default"/>
      </w:rPr>
    </w:lvl>
    <w:lvl w:ilvl="2" w:tplc="04260005" w:tentative="1">
      <w:start w:val="1"/>
      <w:numFmt w:val="bullet"/>
      <w:lvlText w:val=""/>
      <w:lvlJc w:val="left"/>
      <w:pPr>
        <w:ind w:left="2220" w:hanging="360"/>
      </w:pPr>
      <w:rPr>
        <w:rFonts w:ascii="Wingdings" w:hAnsi="Wingdings" w:hint="default"/>
      </w:rPr>
    </w:lvl>
    <w:lvl w:ilvl="3" w:tplc="04260001" w:tentative="1">
      <w:start w:val="1"/>
      <w:numFmt w:val="bullet"/>
      <w:lvlText w:val=""/>
      <w:lvlJc w:val="left"/>
      <w:pPr>
        <w:ind w:left="2940" w:hanging="360"/>
      </w:pPr>
      <w:rPr>
        <w:rFonts w:ascii="Symbol" w:hAnsi="Symbol" w:hint="default"/>
      </w:rPr>
    </w:lvl>
    <w:lvl w:ilvl="4" w:tplc="04260003" w:tentative="1">
      <w:start w:val="1"/>
      <w:numFmt w:val="bullet"/>
      <w:lvlText w:val="o"/>
      <w:lvlJc w:val="left"/>
      <w:pPr>
        <w:ind w:left="3660" w:hanging="360"/>
      </w:pPr>
      <w:rPr>
        <w:rFonts w:ascii="Courier New" w:hAnsi="Courier New" w:cs="Courier New" w:hint="default"/>
      </w:rPr>
    </w:lvl>
    <w:lvl w:ilvl="5" w:tplc="04260005" w:tentative="1">
      <w:start w:val="1"/>
      <w:numFmt w:val="bullet"/>
      <w:lvlText w:val=""/>
      <w:lvlJc w:val="left"/>
      <w:pPr>
        <w:ind w:left="4380" w:hanging="360"/>
      </w:pPr>
      <w:rPr>
        <w:rFonts w:ascii="Wingdings" w:hAnsi="Wingdings" w:hint="default"/>
      </w:rPr>
    </w:lvl>
    <w:lvl w:ilvl="6" w:tplc="04260001" w:tentative="1">
      <w:start w:val="1"/>
      <w:numFmt w:val="bullet"/>
      <w:lvlText w:val=""/>
      <w:lvlJc w:val="left"/>
      <w:pPr>
        <w:ind w:left="5100" w:hanging="360"/>
      </w:pPr>
      <w:rPr>
        <w:rFonts w:ascii="Symbol" w:hAnsi="Symbol" w:hint="default"/>
      </w:rPr>
    </w:lvl>
    <w:lvl w:ilvl="7" w:tplc="04260003" w:tentative="1">
      <w:start w:val="1"/>
      <w:numFmt w:val="bullet"/>
      <w:lvlText w:val="o"/>
      <w:lvlJc w:val="left"/>
      <w:pPr>
        <w:ind w:left="5820" w:hanging="360"/>
      </w:pPr>
      <w:rPr>
        <w:rFonts w:ascii="Courier New" w:hAnsi="Courier New" w:cs="Courier New" w:hint="default"/>
      </w:rPr>
    </w:lvl>
    <w:lvl w:ilvl="8" w:tplc="04260005" w:tentative="1">
      <w:start w:val="1"/>
      <w:numFmt w:val="bullet"/>
      <w:lvlText w:val=""/>
      <w:lvlJc w:val="left"/>
      <w:pPr>
        <w:ind w:left="6540" w:hanging="360"/>
      </w:pPr>
      <w:rPr>
        <w:rFonts w:ascii="Wingdings" w:hAnsi="Wingdings" w:hint="default"/>
      </w:rPr>
    </w:lvl>
  </w:abstractNum>
  <w:abstractNum w:abstractNumId="8">
    <w:nsid w:val="21376763"/>
    <w:multiLevelType w:val="hybridMultilevel"/>
    <w:tmpl w:val="8BC69E34"/>
    <w:lvl w:ilvl="0" w:tplc="0426000F">
      <w:start w:val="1"/>
      <w:numFmt w:val="decimal"/>
      <w:lvlText w:val="%1."/>
      <w:lvlJc w:val="left"/>
      <w:pPr>
        <w:ind w:left="644"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nsid w:val="23B05761"/>
    <w:multiLevelType w:val="hybridMultilevel"/>
    <w:tmpl w:val="B67E793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nsid w:val="25957B88"/>
    <w:multiLevelType w:val="hybridMultilevel"/>
    <w:tmpl w:val="A30EF7C8"/>
    <w:lvl w:ilvl="0" w:tplc="39E433DA">
      <w:start w:val="1"/>
      <w:numFmt w:val="bullet"/>
      <w:lvlText w:val="–"/>
      <w:lvlJc w:val="left"/>
      <w:pPr>
        <w:ind w:left="790" w:hanging="360"/>
      </w:pPr>
      <w:rPr>
        <w:rFonts w:ascii="Times New Roman" w:hAnsi="Times New Roman" w:cs="Times New Roman" w:hint="default"/>
      </w:rPr>
    </w:lvl>
    <w:lvl w:ilvl="1" w:tplc="04260003" w:tentative="1">
      <w:start w:val="1"/>
      <w:numFmt w:val="bullet"/>
      <w:lvlText w:val="o"/>
      <w:lvlJc w:val="left"/>
      <w:pPr>
        <w:ind w:left="1510" w:hanging="360"/>
      </w:pPr>
      <w:rPr>
        <w:rFonts w:ascii="Courier New" w:hAnsi="Courier New" w:cs="Courier New" w:hint="default"/>
      </w:rPr>
    </w:lvl>
    <w:lvl w:ilvl="2" w:tplc="04260005" w:tentative="1">
      <w:start w:val="1"/>
      <w:numFmt w:val="bullet"/>
      <w:lvlText w:val=""/>
      <w:lvlJc w:val="left"/>
      <w:pPr>
        <w:ind w:left="2230" w:hanging="360"/>
      </w:pPr>
      <w:rPr>
        <w:rFonts w:ascii="Wingdings" w:hAnsi="Wingdings" w:hint="default"/>
      </w:rPr>
    </w:lvl>
    <w:lvl w:ilvl="3" w:tplc="04260001" w:tentative="1">
      <w:start w:val="1"/>
      <w:numFmt w:val="bullet"/>
      <w:lvlText w:val=""/>
      <w:lvlJc w:val="left"/>
      <w:pPr>
        <w:ind w:left="2950" w:hanging="360"/>
      </w:pPr>
      <w:rPr>
        <w:rFonts w:ascii="Symbol" w:hAnsi="Symbol" w:hint="default"/>
      </w:rPr>
    </w:lvl>
    <w:lvl w:ilvl="4" w:tplc="04260003" w:tentative="1">
      <w:start w:val="1"/>
      <w:numFmt w:val="bullet"/>
      <w:lvlText w:val="o"/>
      <w:lvlJc w:val="left"/>
      <w:pPr>
        <w:ind w:left="3670" w:hanging="360"/>
      </w:pPr>
      <w:rPr>
        <w:rFonts w:ascii="Courier New" w:hAnsi="Courier New" w:cs="Courier New" w:hint="default"/>
      </w:rPr>
    </w:lvl>
    <w:lvl w:ilvl="5" w:tplc="04260005" w:tentative="1">
      <w:start w:val="1"/>
      <w:numFmt w:val="bullet"/>
      <w:lvlText w:val=""/>
      <w:lvlJc w:val="left"/>
      <w:pPr>
        <w:ind w:left="4390" w:hanging="360"/>
      </w:pPr>
      <w:rPr>
        <w:rFonts w:ascii="Wingdings" w:hAnsi="Wingdings" w:hint="default"/>
      </w:rPr>
    </w:lvl>
    <w:lvl w:ilvl="6" w:tplc="04260001" w:tentative="1">
      <w:start w:val="1"/>
      <w:numFmt w:val="bullet"/>
      <w:lvlText w:val=""/>
      <w:lvlJc w:val="left"/>
      <w:pPr>
        <w:ind w:left="5110" w:hanging="360"/>
      </w:pPr>
      <w:rPr>
        <w:rFonts w:ascii="Symbol" w:hAnsi="Symbol" w:hint="default"/>
      </w:rPr>
    </w:lvl>
    <w:lvl w:ilvl="7" w:tplc="04260003" w:tentative="1">
      <w:start w:val="1"/>
      <w:numFmt w:val="bullet"/>
      <w:lvlText w:val="o"/>
      <w:lvlJc w:val="left"/>
      <w:pPr>
        <w:ind w:left="5830" w:hanging="360"/>
      </w:pPr>
      <w:rPr>
        <w:rFonts w:ascii="Courier New" w:hAnsi="Courier New" w:cs="Courier New" w:hint="default"/>
      </w:rPr>
    </w:lvl>
    <w:lvl w:ilvl="8" w:tplc="04260005" w:tentative="1">
      <w:start w:val="1"/>
      <w:numFmt w:val="bullet"/>
      <w:lvlText w:val=""/>
      <w:lvlJc w:val="left"/>
      <w:pPr>
        <w:ind w:left="6550" w:hanging="360"/>
      </w:pPr>
      <w:rPr>
        <w:rFonts w:ascii="Wingdings" w:hAnsi="Wingdings" w:hint="default"/>
      </w:rPr>
    </w:lvl>
  </w:abstractNum>
  <w:abstractNum w:abstractNumId="11">
    <w:nsid w:val="2B837165"/>
    <w:multiLevelType w:val="hybridMultilevel"/>
    <w:tmpl w:val="5F827F32"/>
    <w:lvl w:ilvl="0" w:tplc="0426000F">
      <w:start w:val="1"/>
      <w:numFmt w:val="decimal"/>
      <w:lvlText w:val="%1."/>
      <w:lvlJc w:val="left"/>
      <w:pPr>
        <w:ind w:left="720" w:hanging="360"/>
      </w:pPr>
    </w:lvl>
    <w:lvl w:ilvl="1" w:tplc="27506F58">
      <w:numFmt w:val="bullet"/>
      <w:lvlText w:val="•"/>
      <w:lvlJc w:val="left"/>
      <w:pPr>
        <w:ind w:left="1800" w:hanging="720"/>
      </w:pPr>
      <w:rPr>
        <w:rFonts w:ascii="Times New Roman" w:eastAsia="EUAlbertina-Bold-Identity-H" w:hAnsi="Times New Roman" w:cs="Times New Roman"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nsid w:val="2E372A74"/>
    <w:multiLevelType w:val="hybridMultilevel"/>
    <w:tmpl w:val="9A124B00"/>
    <w:lvl w:ilvl="0" w:tplc="04260001">
      <w:start w:val="1"/>
      <w:numFmt w:val="bullet"/>
      <w:lvlText w:val=""/>
      <w:lvlJc w:val="left"/>
      <w:pPr>
        <w:ind w:left="360" w:hanging="360"/>
      </w:pPr>
      <w:rPr>
        <w:rFonts w:ascii="Symbol" w:hAnsi="Symbol" w:hint="default"/>
      </w:rPr>
    </w:lvl>
    <w:lvl w:ilvl="1" w:tplc="04260003" w:tentative="1">
      <w:start w:val="1"/>
      <w:numFmt w:val="bullet"/>
      <w:lvlText w:val="o"/>
      <w:lvlJc w:val="left"/>
      <w:pPr>
        <w:ind w:left="1080" w:hanging="360"/>
      </w:pPr>
      <w:rPr>
        <w:rFonts w:ascii="Courier New" w:hAnsi="Courier New" w:cs="Courier New" w:hint="default"/>
      </w:rPr>
    </w:lvl>
    <w:lvl w:ilvl="2" w:tplc="04260005" w:tentative="1">
      <w:start w:val="1"/>
      <w:numFmt w:val="bullet"/>
      <w:lvlText w:val=""/>
      <w:lvlJc w:val="left"/>
      <w:pPr>
        <w:ind w:left="1800" w:hanging="360"/>
      </w:pPr>
      <w:rPr>
        <w:rFonts w:ascii="Wingdings" w:hAnsi="Wingdings" w:hint="default"/>
      </w:rPr>
    </w:lvl>
    <w:lvl w:ilvl="3" w:tplc="04260001" w:tentative="1">
      <w:start w:val="1"/>
      <w:numFmt w:val="bullet"/>
      <w:lvlText w:val=""/>
      <w:lvlJc w:val="left"/>
      <w:pPr>
        <w:ind w:left="2520" w:hanging="360"/>
      </w:pPr>
      <w:rPr>
        <w:rFonts w:ascii="Symbol" w:hAnsi="Symbol" w:hint="default"/>
      </w:rPr>
    </w:lvl>
    <w:lvl w:ilvl="4" w:tplc="04260003" w:tentative="1">
      <w:start w:val="1"/>
      <w:numFmt w:val="bullet"/>
      <w:lvlText w:val="o"/>
      <w:lvlJc w:val="left"/>
      <w:pPr>
        <w:ind w:left="3240" w:hanging="360"/>
      </w:pPr>
      <w:rPr>
        <w:rFonts w:ascii="Courier New" w:hAnsi="Courier New" w:cs="Courier New" w:hint="default"/>
      </w:rPr>
    </w:lvl>
    <w:lvl w:ilvl="5" w:tplc="04260005" w:tentative="1">
      <w:start w:val="1"/>
      <w:numFmt w:val="bullet"/>
      <w:lvlText w:val=""/>
      <w:lvlJc w:val="left"/>
      <w:pPr>
        <w:ind w:left="3960" w:hanging="360"/>
      </w:pPr>
      <w:rPr>
        <w:rFonts w:ascii="Wingdings" w:hAnsi="Wingdings" w:hint="default"/>
      </w:rPr>
    </w:lvl>
    <w:lvl w:ilvl="6" w:tplc="04260001" w:tentative="1">
      <w:start w:val="1"/>
      <w:numFmt w:val="bullet"/>
      <w:lvlText w:val=""/>
      <w:lvlJc w:val="left"/>
      <w:pPr>
        <w:ind w:left="4680" w:hanging="360"/>
      </w:pPr>
      <w:rPr>
        <w:rFonts w:ascii="Symbol" w:hAnsi="Symbol" w:hint="default"/>
      </w:rPr>
    </w:lvl>
    <w:lvl w:ilvl="7" w:tplc="04260003" w:tentative="1">
      <w:start w:val="1"/>
      <w:numFmt w:val="bullet"/>
      <w:lvlText w:val="o"/>
      <w:lvlJc w:val="left"/>
      <w:pPr>
        <w:ind w:left="5400" w:hanging="360"/>
      </w:pPr>
      <w:rPr>
        <w:rFonts w:ascii="Courier New" w:hAnsi="Courier New" w:cs="Courier New" w:hint="default"/>
      </w:rPr>
    </w:lvl>
    <w:lvl w:ilvl="8" w:tplc="04260005" w:tentative="1">
      <w:start w:val="1"/>
      <w:numFmt w:val="bullet"/>
      <w:lvlText w:val=""/>
      <w:lvlJc w:val="left"/>
      <w:pPr>
        <w:ind w:left="6120" w:hanging="360"/>
      </w:pPr>
      <w:rPr>
        <w:rFonts w:ascii="Wingdings" w:hAnsi="Wingdings" w:hint="default"/>
      </w:rPr>
    </w:lvl>
  </w:abstractNum>
  <w:abstractNum w:abstractNumId="13">
    <w:nsid w:val="33365C40"/>
    <w:multiLevelType w:val="hybridMultilevel"/>
    <w:tmpl w:val="7FB6FE7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4">
    <w:nsid w:val="39053BF7"/>
    <w:multiLevelType w:val="hybridMultilevel"/>
    <w:tmpl w:val="BAEEECDC"/>
    <w:lvl w:ilvl="0" w:tplc="04260011">
      <w:start w:val="1"/>
      <w:numFmt w:val="decimal"/>
      <w:lvlText w:val="%1)"/>
      <w:lvlJc w:val="left"/>
      <w:pPr>
        <w:ind w:left="720" w:hanging="360"/>
      </w:pPr>
      <w:rPr>
        <w:rFonts w:hint="default"/>
      </w:rPr>
    </w:lvl>
    <w:lvl w:ilvl="1" w:tplc="53C4E2EC">
      <w:start w:val="1"/>
      <w:numFmt w:val="decimal"/>
      <w:lvlText w:val="%2."/>
      <w:lvlJc w:val="left"/>
      <w:pPr>
        <w:ind w:left="2025" w:hanging="945"/>
      </w:pPr>
      <w:rPr>
        <w:rFonts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nsid w:val="39A24A91"/>
    <w:multiLevelType w:val="hybridMultilevel"/>
    <w:tmpl w:val="AAA0703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nsid w:val="3E423187"/>
    <w:multiLevelType w:val="hybridMultilevel"/>
    <w:tmpl w:val="6CB4C82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nsid w:val="4C077986"/>
    <w:multiLevelType w:val="hybridMultilevel"/>
    <w:tmpl w:val="ED0A543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nsid w:val="52C93CA0"/>
    <w:multiLevelType w:val="hybridMultilevel"/>
    <w:tmpl w:val="A264851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nsid w:val="5788451D"/>
    <w:multiLevelType w:val="hybridMultilevel"/>
    <w:tmpl w:val="628AC4BE"/>
    <w:lvl w:ilvl="0" w:tplc="04260011">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0">
    <w:nsid w:val="5BD07260"/>
    <w:multiLevelType w:val="hybridMultilevel"/>
    <w:tmpl w:val="3CF29EA2"/>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nsid w:val="5DF84969"/>
    <w:multiLevelType w:val="singleLevel"/>
    <w:tmpl w:val="1E12021A"/>
    <w:lvl w:ilvl="0">
      <w:start w:val="1"/>
      <w:numFmt w:val="bullet"/>
      <w:pStyle w:val="ListBullet"/>
      <w:lvlText w:val=""/>
      <w:lvlJc w:val="left"/>
      <w:pPr>
        <w:tabs>
          <w:tab w:val="num" w:pos="283"/>
        </w:tabs>
        <w:ind w:left="283" w:hanging="283"/>
      </w:pPr>
      <w:rPr>
        <w:rFonts w:ascii="Symbol" w:hAnsi="Symbol" w:hint="default"/>
      </w:rPr>
    </w:lvl>
  </w:abstractNum>
  <w:abstractNum w:abstractNumId="22">
    <w:nsid w:val="5E176C54"/>
    <w:multiLevelType w:val="hybridMultilevel"/>
    <w:tmpl w:val="9F38C0D4"/>
    <w:lvl w:ilvl="0" w:tplc="04260011">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23">
    <w:nsid w:val="5F96518B"/>
    <w:multiLevelType w:val="multilevel"/>
    <w:tmpl w:val="0AAE01CA"/>
    <w:lvl w:ilvl="0">
      <w:start w:val="1"/>
      <w:numFmt w:val="decimal"/>
      <w:pStyle w:val="1lmenis"/>
      <w:lvlText w:val="%1."/>
      <w:lvlJc w:val="left"/>
      <w:pPr>
        <w:ind w:left="786" w:hanging="360"/>
      </w:pPr>
      <w:rPr>
        <w:rFonts w:ascii="Times New Roman" w:hAnsi="Times New Roman" w:cs="Times New Roman" w:hint="default"/>
        <w:b/>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353"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nsid w:val="600A1BE6"/>
    <w:multiLevelType w:val="singleLevel"/>
    <w:tmpl w:val="CC80D138"/>
    <w:lvl w:ilvl="0">
      <w:start w:val="1"/>
      <w:numFmt w:val="decimal"/>
      <w:pStyle w:val="Bullet1Rakstz"/>
      <w:lvlText w:val="%1."/>
      <w:lvlJc w:val="left"/>
      <w:pPr>
        <w:tabs>
          <w:tab w:val="num" w:pos="717"/>
        </w:tabs>
        <w:ind w:left="717" w:hanging="360"/>
      </w:pPr>
    </w:lvl>
  </w:abstractNum>
  <w:abstractNum w:abstractNumId="25">
    <w:nsid w:val="6BD62D0E"/>
    <w:multiLevelType w:val="hybridMultilevel"/>
    <w:tmpl w:val="513CE60A"/>
    <w:lvl w:ilvl="0" w:tplc="04260017">
      <w:start w:val="1"/>
      <w:numFmt w:val="lowerLetter"/>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nsid w:val="6D6F1931"/>
    <w:multiLevelType w:val="hybridMultilevel"/>
    <w:tmpl w:val="CDBE8A1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nsid w:val="704C6444"/>
    <w:multiLevelType w:val="hybridMultilevel"/>
    <w:tmpl w:val="4D5C57A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75BF6751"/>
    <w:multiLevelType w:val="hybridMultilevel"/>
    <w:tmpl w:val="C79648FA"/>
    <w:lvl w:ilvl="0" w:tplc="337EC6F4">
      <w:start w:val="3"/>
      <w:numFmt w:val="bullet"/>
      <w:lvlText w:val="-"/>
      <w:lvlJc w:val="left"/>
      <w:pPr>
        <w:ind w:left="720" w:hanging="360"/>
      </w:pPr>
      <w:rPr>
        <w:rFonts w:ascii="Times New Roman" w:eastAsia="Times New Roman" w:hAnsi="Times New Roman" w:cs="Times New Roman"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nsid w:val="774158D6"/>
    <w:multiLevelType w:val="hybridMultilevel"/>
    <w:tmpl w:val="C69CEE4C"/>
    <w:lvl w:ilvl="0" w:tplc="0426000F">
      <w:start w:val="1"/>
      <w:numFmt w:val="decimal"/>
      <w:lvlText w:val="%1."/>
      <w:lvlJc w:val="left"/>
      <w:pPr>
        <w:ind w:left="786" w:hanging="360"/>
      </w:pPr>
    </w:lvl>
    <w:lvl w:ilvl="1" w:tplc="04260019" w:tentative="1">
      <w:start w:val="1"/>
      <w:numFmt w:val="lowerLetter"/>
      <w:lvlText w:val="%2."/>
      <w:lvlJc w:val="left"/>
      <w:pPr>
        <w:ind w:left="1506" w:hanging="360"/>
      </w:pPr>
    </w:lvl>
    <w:lvl w:ilvl="2" w:tplc="0426001B" w:tentative="1">
      <w:start w:val="1"/>
      <w:numFmt w:val="lowerRoman"/>
      <w:lvlText w:val="%3."/>
      <w:lvlJc w:val="right"/>
      <w:pPr>
        <w:ind w:left="2226" w:hanging="180"/>
      </w:pPr>
    </w:lvl>
    <w:lvl w:ilvl="3" w:tplc="0426000F" w:tentative="1">
      <w:start w:val="1"/>
      <w:numFmt w:val="decimal"/>
      <w:lvlText w:val="%4."/>
      <w:lvlJc w:val="left"/>
      <w:pPr>
        <w:ind w:left="2946" w:hanging="360"/>
      </w:pPr>
    </w:lvl>
    <w:lvl w:ilvl="4" w:tplc="04260019" w:tentative="1">
      <w:start w:val="1"/>
      <w:numFmt w:val="lowerLetter"/>
      <w:lvlText w:val="%5."/>
      <w:lvlJc w:val="left"/>
      <w:pPr>
        <w:ind w:left="3666" w:hanging="360"/>
      </w:pPr>
    </w:lvl>
    <w:lvl w:ilvl="5" w:tplc="0426001B" w:tentative="1">
      <w:start w:val="1"/>
      <w:numFmt w:val="lowerRoman"/>
      <w:lvlText w:val="%6."/>
      <w:lvlJc w:val="right"/>
      <w:pPr>
        <w:ind w:left="4386" w:hanging="180"/>
      </w:pPr>
    </w:lvl>
    <w:lvl w:ilvl="6" w:tplc="0426000F" w:tentative="1">
      <w:start w:val="1"/>
      <w:numFmt w:val="decimal"/>
      <w:lvlText w:val="%7."/>
      <w:lvlJc w:val="left"/>
      <w:pPr>
        <w:ind w:left="5106" w:hanging="360"/>
      </w:pPr>
    </w:lvl>
    <w:lvl w:ilvl="7" w:tplc="04260019" w:tentative="1">
      <w:start w:val="1"/>
      <w:numFmt w:val="lowerLetter"/>
      <w:lvlText w:val="%8."/>
      <w:lvlJc w:val="left"/>
      <w:pPr>
        <w:ind w:left="5826" w:hanging="360"/>
      </w:pPr>
    </w:lvl>
    <w:lvl w:ilvl="8" w:tplc="0426001B" w:tentative="1">
      <w:start w:val="1"/>
      <w:numFmt w:val="lowerRoman"/>
      <w:lvlText w:val="%9."/>
      <w:lvlJc w:val="right"/>
      <w:pPr>
        <w:ind w:left="6546" w:hanging="180"/>
      </w:pPr>
    </w:lvl>
  </w:abstractNum>
  <w:abstractNum w:abstractNumId="30">
    <w:nsid w:val="78E06DA3"/>
    <w:multiLevelType w:val="hybridMultilevel"/>
    <w:tmpl w:val="A4AE4910"/>
    <w:lvl w:ilvl="0" w:tplc="04260017">
      <w:start w:val="1"/>
      <w:numFmt w:val="lowerLetter"/>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1">
    <w:nsid w:val="7F3A328E"/>
    <w:multiLevelType w:val="hybridMultilevel"/>
    <w:tmpl w:val="62F2551E"/>
    <w:lvl w:ilvl="0" w:tplc="39E433DA">
      <w:start w:val="1"/>
      <w:numFmt w:val="bullet"/>
      <w:lvlText w:val="–"/>
      <w:lvlJc w:val="left"/>
      <w:pPr>
        <w:ind w:left="720" w:hanging="360"/>
      </w:pPr>
      <w:rPr>
        <w:rFonts w:ascii="Times New Roman" w:hAnsi="Times New Roman" w:cs="Times New Roman" w:hint="default"/>
        <w:color w:val="1F497D"/>
      </w:r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num w:numId="1">
    <w:abstractNumId w:val="24"/>
    <w:lvlOverride w:ilvl="0">
      <w:startOverride w:val="1"/>
    </w:lvlOverride>
  </w:num>
  <w:num w:numId="2">
    <w:abstractNumId w:val="23"/>
  </w:num>
  <w:num w:numId="3">
    <w:abstractNumId w:val="30"/>
  </w:num>
  <w:num w:numId="4">
    <w:abstractNumId w:val="21"/>
  </w:num>
  <w:num w:numId="5">
    <w:abstractNumId w:val="22"/>
  </w:num>
  <w:num w:numId="6">
    <w:abstractNumId w:val="26"/>
  </w:num>
  <w:num w:numId="7">
    <w:abstractNumId w:val="25"/>
  </w:num>
  <w:num w:numId="8">
    <w:abstractNumId w:val="1"/>
  </w:num>
  <w:num w:numId="9">
    <w:abstractNumId w:val="4"/>
  </w:num>
  <w:num w:numId="10">
    <w:abstractNumId w:val="13"/>
  </w:num>
  <w:num w:numId="11">
    <w:abstractNumId w:val="9"/>
  </w:num>
  <w:num w:numId="12">
    <w:abstractNumId w:val="11"/>
  </w:num>
  <w:num w:numId="13">
    <w:abstractNumId w:val="12"/>
  </w:num>
  <w:num w:numId="14">
    <w:abstractNumId w:val="16"/>
  </w:num>
  <w:num w:numId="15">
    <w:abstractNumId w:val="2"/>
  </w:num>
  <w:num w:numId="16">
    <w:abstractNumId w:val="0"/>
  </w:num>
  <w:num w:numId="17">
    <w:abstractNumId w:val="18"/>
  </w:num>
  <w:num w:numId="18">
    <w:abstractNumId w:val="19"/>
  </w:num>
  <w:num w:numId="19">
    <w:abstractNumId w:val="3"/>
  </w:num>
  <w:num w:numId="20">
    <w:abstractNumId w:val="5"/>
  </w:num>
  <w:num w:numId="21">
    <w:abstractNumId w:val="14"/>
  </w:num>
  <w:num w:numId="22">
    <w:abstractNumId w:val="23"/>
  </w:num>
  <w:num w:numId="23">
    <w:abstractNumId w:val="23"/>
  </w:num>
  <w:num w:numId="24">
    <w:abstractNumId w:val="23"/>
  </w:num>
  <w:num w:numId="25">
    <w:abstractNumId w:val="23"/>
  </w:num>
  <w:num w:numId="26">
    <w:abstractNumId w:val="10"/>
  </w:num>
  <w:num w:numId="27">
    <w:abstractNumId w:val="23"/>
  </w:num>
  <w:num w:numId="28">
    <w:abstractNumId w:val="3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29"/>
  </w:num>
  <w:num w:numId="31">
    <w:abstractNumId w:val="20"/>
  </w:num>
  <w:num w:numId="32">
    <w:abstractNumId w:val="28"/>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num>
  <w:num w:numId="3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3"/>
  </w:num>
  <w:num w:numId="3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num>
  <w:num w:numId="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7"/>
  </w:num>
  <w:num w:numId="4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3"/>
  </w:num>
  <w:num w:numId="47">
    <w:abstractNumId w:va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4209"/>
    <w:rsid w:val="0000065D"/>
    <w:rsid w:val="00001122"/>
    <w:rsid w:val="00001D4E"/>
    <w:rsid w:val="00002744"/>
    <w:rsid w:val="000031BC"/>
    <w:rsid w:val="000032F8"/>
    <w:rsid w:val="00003A1C"/>
    <w:rsid w:val="00003AA3"/>
    <w:rsid w:val="00004A7C"/>
    <w:rsid w:val="000058F8"/>
    <w:rsid w:val="0000602C"/>
    <w:rsid w:val="0000674E"/>
    <w:rsid w:val="000069DD"/>
    <w:rsid w:val="000069FC"/>
    <w:rsid w:val="00006F67"/>
    <w:rsid w:val="0000744B"/>
    <w:rsid w:val="00010D1E"/>
    <w:rsid w:val="000111FC"/>
    <w:rsid w:val="000129A0"/>
    <w:rsid w:val="000133DB"/>
    <w:rsid w:val="00014F70"/>
    <w:rsid w:val="00015892"/>
    <w:rsid w:val="00015E19"/>
    <w:rsid w:val="000165CA"/>
    <w:rsid w:val="00016876"/>
    <w:rsid w:val="00020071"/>
    <w:rsid w:val="0002029B"/>
    <w:rsid w:val="0002051C"/>
    <w:rsid w:val="00020D72"/>
    <w:rsid w:val="00021ED6"/>
    <w:rsid w:val="00022EC0"/>
    <w:rsid w:val="000246D3"/>
    <w:rsid w:val="00024994"/>
    <w:rsid w:val="00024A2A"/>
    <w:rsid w:val="00024BA1"/>
    <w:rsid w:val="00025092"/>
    <w:rsid w:val="000251F8"/>
    <w:rsid w:val="0002571F"/>
    <w:rsid w:val="0002641F"/>
    <w:rsid w:val="000300F4"/>
    <w:rsid w:val="00030592"/>
    <w:rsid w:val="00030864"/>
    <w:rsid w:val="0003086E"/>
    <w:rsid w:val="00031B1D"/>
    <w:rsid w:val="00032071"/>
    <w:rsid w:val="00033615"/>
    <w:rsid w:val="000340C4"/>
    <w:rsid w:val="00034754"/>
    <w:rsid w:val="00034EC5"/>
    <w:rsid w:val="0003548F"/>
    <w:rsid w:val="000359D6"/>
    <w:rsid w:val="00035E74"/>
    <w:rsid w:val="000362C6"/>
    <w:rsid w:val="00036C09"/>
    <w:rsid w:val="00037DB0"/>
    <w:rsid w:val="00037EC1"/>
    <w:rsid w:val="0004051C"/>
    <w:rsid w:val="00041C38"/>
    <w:rsid w:val="0004241F"/>
    <w:rsid w:val="00042B08"/>
    <w:rsid w:val="00043226"/>
    <w:rsid w:val="00043453"/>
    <w:rsid w:val="000439A5"/>
    <w:rsid w:val="00044AE3"/>
    <w:rsid w:val="000461C0"/>
    <w:rsid w:val="00046C9F"/>
    <w:rsid w:val="000474BC"/>
    <w:rsid w:val="0005142E"/>
    <w:rsid w:val="00051F93"/>
    <w:rsid w:val="00051FD5"/>
    <w:rsid w:val="00053776"/>
    <w:rsid w:val="00053C4C"/>
    <w:rsid w:val="00053D62"/>
    <w:rsid w:val="00056078"/>
    <w:rsid w:val="00057BFC"/>
    <w:rsid w:val="0006099D"/>
    <w:rsid w:val="00061878"/>
    <w:rsid w:val="00061D08"/>
    <w:rsid w:val="00062491"/>
    <w:rsid w:val="00062F39"/>
    <w:rsid w:val="00064317"/>
    <w:rsid w:val="000644A0"/>
    <w:rsid w:val="00065026"/>
    <w:rsid w:val="00065164"/>
    <w:rsid w:val="00065559"/>
    <w:rsid w:val="00066958"/>
    <w:rsid w:val="000705CF"/>
    <w:rsid w:val="00070807"/>
    <w:rsid w:val="00070F8E"/>
    <w:rsid w:val="00071EC1"/>
    <w:rsid w:val="0007351D"/>
    <w:rsid w:val="00073A7B"/>
    <w:rsid w:val="000748C8"/>
    <w:rsid w:val="000749C2"/>
    <w:rsid w:val="00075970"/>
    <w:rsid w:val="00075C2E"/>
    <w:rsid w:val="0007600B"/>
    <w:rsid w:val="000760F1"/>
    <w:rsid w:val="000762A3"/>
    <w:rsid w:val="000777EB"/>
    <w:rsid w:val="0008064B"/>
    <w:rsid w:val="0008190D"/>
    <w:rsid w:val="0008247D"/>
    <w:rsid w:val="00082EA4"/>
    <w:rsid w:val="000838B5"/>
    <w:rsid w:val="00083A61"/>
    <w:rsid w:val="00084B6F"/>
    <w:rsid w:val="000850F7"/>
    <w:rsid w:val="00085BF5"/>
    <w:rsid w:val="00086156"/>
    <w:rsid w:val="00086851"/>
    <w:rsid w:val="000868F2"/>
    <w:rsid w:val="000873A2"/>
    <w:rsid w:val="00090152"/>
    <w:rsid w:val="000913FD"/>
    <w:rsid w:val="0009150B"/>
    <w:rsid w:val="000916A2"/>
    <w:rsid w:val="000927EA"/>
    <w:rsid w:val="000929FB"/>
    <w:rsid w:val="00092BFC"/>
    <w:rsid w:val="0009340C"/>
    <w:rsid w:val="00093956"/>
    <w:rsid w:val="00095E11"/>
    <w:rsid w:val="00097AB4"/>
    <w:rsid w:val="000A0087"/>
    <w:rsid w:val="000A09B6"/>
    <w:rsid w:val="000A1738"/>
    <w:rsid w:val="000A2565"/>
    <w:rsid w:val="000A2833"/>
    <w:rsid w:val="000A2C40"/>
    <w:rsid w:val="000A2EB0"/>
    <w:rsid w:val="000A332F"/>
    <w:rsid w:val="000A3A68"/>
    <w:rsid w:val="000A3ABE"/>
    <w:rsid w:val="000A453B"/>
    <w:rsid w:val="000A4A90"/>
    <w:rsid w:val="000A5381"/>
    <w:rsid w:val="000A6E47"/>
    <w:rsid w:val="000A7595"/>
    <w:rsid w:val="000A7690"/>
    <w:rsid w:val="000A79C8"/>
    <w:rsid w:val="000B099C"/>
    <w:rsid w:val="000B0D4D"/>
    <w:rsid w:val="000B46C1"/>
    <w:rsid w:val="000B5033"/>
    <w:rsid w:val="000B58D9"/>
    <w:rsid w:val="000B5961"/>
    <w:rsid w:val="000B5B38"/>
    <w:rsid w:val="000B6520"/>
    <w:rsid w:val="000B71FF"/>
    <w:rsid w:val="000B789B"/>
    <w:rsid w:val="000B7B18"/>
    <w:rsid w:val="000B7B39"/>
    <w:rsid w:val="000C0247"/>
    <w:rsid w:val="000C02D2"/>
    <w:rsid w:val="000C0843"/>
    <w:rsid w:val="000C08BB"/>
    <w:rsid w:val="000C0C4C"/>
    <w:rsid w:val="000C1304"/>
    <w:rsid w:val="000C145C"/>
    <w:rsid w:val="000C19BC"/>
    <w:rsid w:val="000C1D8D"/>
    <w:rsid w:val="000C39A4"/>
    <w:rsid w:val="000C39F0"/>
    <w:rsid w:val="000C3A9A"/>
    <w:rsid w:val="000C5BE9"/>
    <w:rsid w:val="000C5DB7"/>
    <w:rsid w:val="000C6961"/>
    <w:rsid w:val="000C7166"/>
    <w:rsid w:val="000C7520"/>
    <w:rsid w:val="000C7BA4"/>
    <w:rsid w:val="000D2E60"/>
    <w:rsid w:val="000D2E8A"/>
    <w:rsid w:val="000D2EE6"/>
    <w:rsid w:val="000D3343"/>
    <w:rsid w:val="000D42BB"/>
    <w:rsid w:val="000D45A7"/>
    <w:rsid w:val="000D4BD2"/>
    <w:rsid w:val="000D4C69"/>
    <w:rsid w:val="000D56BA"/>
    <w:rsid w:val="000D5FF4"/>
    <w:rsid w:val="000D607F"/>
    <w:rsid w:val="000D624F"/>
    <w:rsid w:val="000D6475"/>
    <w:rsid w:val="000E0EC3"/>
    <w:rsid w:val="000E156A"/>
    <w:rsid w:val="000E1590"/>
    <w:rsid w:val="000E1BC0"/>
    <w:rsid w:val="000E1CD4"/>
    <w:rsid w:val="000E205C"/>
    <w:rsid w:val="000E2671"/>
    <w:rsid w:val="000E2BB6"/>
    <w:rsid w:val="000E2CC8"/>
    <w:rsid w:val="000E2E7C"/>
    <w:rsid w:val="000E3107"/>
    <w:rsid w:val="000E3168"/>
    <w:rsid w:val="000E337C"/>
    <w:rsid w:val="000E4ABC"/>
    <w:rsid w:val="000E4E98"/>
    <w:rsid w:val="000E5653"/>
    <w:rsid w:val="000E5A00"/>
    <w:rsid w:val="000E608F"/>
    <w:rsid w:val="000E6C24"/>
    <w:rsid w:val="000E7D3F"/>
    <w:rsid w:val="000F0356"/>
    <w:rsid w:val="000F06EF"/>
    <w:rsid w:val="000F0763"/>
    <w:rsid w:val="000F0B0A"/>
    <w:rsid w:val="000F0B40"/>
    <w:rsid w:val="000F0C17"/>
    <w:rsid w:val="000F1609"/>
    <w:rsid w:val="000F1969"/>
    <w:rsid w:val="000F25B5"/>
    <w:rsid w:val="000F4E7D"/>
    <w:rsid w:val="000F6B75"/>
    <w:rsid w:val="000F6F4B"/>
    <w:rsid w:val="000F766B"/>
    <w:rsid w:val="000F7C93"/>
    <w:rsid w:val="000F7DE3"/>
    <w:rsid w:val="00100480"/>
    <w:rsid w:val="001006B0"/>
    <w:rsid w:val="00100D01"/>
    <w:rsid w:val="00101615"/>
    <w:rsid w:val="00102307"/>
    <w:rsid w:val="0010251F"/>
    <w:rsid w:val="00102B81"/>
    <w:rsid w:val="00103476"/>
    <w:rsid w:val="0010353D"/>
    <w:rsid w:val="001037E0"/>
    <w:rsid w:val="00103A55"/>
    <w:rsid w:val="00103C0A"/>
    <w:rsid w:val="001045FA"/>
    <w:rsid w:val="0010491D"/>
    <w:rsid w:val="00106A71"/>
    <w:rsid w:val="00106B3D"/>
    <w:rsid w:val="00106CD4"/>
    <w:rsid w:val="0010751B"/>
    <w:rsid w:val="00110037"/>
    <w:rsid w:val="0011005C"/>
    <w:rsid w:val="00110D33"/>
    <w:rsid w:val="00111702"/>
    <w:rsid w:val="00112DB4"/>
    <w:rsid w:val="00113227"/>
    <w:rsid w:val="001132F5"/>
    <w:rsid w:val="0011512A"/>
    <w:rsid w:val="00115ECA"/>
    <w:rsid w:val="0011726F"/>
    <w:rsid w:val="0011793A"/>
    <w:rsid w:val="00120253"/>
    <w:rsid w:val="0012047D"/>
    <w:rsid w:val="001205E6"/>
    <w:rsid w:val="00120BA0"/>
    <w:rsid w:val="0012147E"/>
    <w:rsid w:val="001215E7"/>
    <w:rsid w:val="00121633"/>
    <w:rsid w:val="00121C67"/>
    <w:rsid w:val="001240C4"/>
    <w:rsid w:val="0012431C"/>
    <w:rsid w:val="001247E9"/>
    <w:rsid w:val="00124BB2"/>
    <w:rsid w:val="00125CED"/>
    <w:rsid w:val="00125EB2"/>
    <w:rsid w:val="001264F8"/>
    <w:rsid w:val="00126A4B"/>
    <w:rsid w:val="00126BA1"/>
    <w:rsid w:val="00126D13"/>
    <w:rsid w:val="00126E4E"/>
    <w:rsid w:val="00127129"/>
    <w:rsid w:val="0013014F"/>
    <w:rsid w:val="00130611"/>
    <w:rsid w:val="0013071B"/>
    <w:rsid w:val="001308C6"/>
    <w:rsid w:val="00130CCC"/>
    <w:rsid w:val="00131537"/>
    <w:rsid w:val="00131AFD"/>
    <w:rsid w:val="0013360F"/>
    <w:rsid w:val="0013471D"/>
    <w:rsid w:val="0013592F"/>
    <w:rsid w:val="00135FC6"/>
    <w:rsid w:val="00136509"/>
    <w:rsid w:val="00136649"/>
    <w:rsid w:val="00136A18"/>
    <w:rsid w:val="00136EC1"/>
    <w:rsid w:val="001401AE"/>
    <w:rsid w:val="001402C3"/>
    <w:rsid w:val="00140939"/>
    <w:rsid w:val="00140B05"/>
    <w:rsid w:val="00142DC1"/>
    <w:rsid w:val="00142F59"/>
    <w:rsid w:val="00142FE8"/>
    <w:rsid w:val="00143176"/>
    <w:rsid w:val="0014362D"/>
    <w:rsid w:val="001437B4"/>
    <w:rsid w:val="00144367"/>
    <w:rsid w:val="00144C2C"/>
    <w:rsid w:val="00144D6A"/>
    <w:rsid w:val="0014503E"/>
    <w:rsid w:val="00145B0B"/>
    <w:rsid w:val="00145E83"/>
    <w:rsid w:val="001479F2"/>
    <w:rsid w:val="00147B33"/>
    <w:rsid w:val="00150310"/>
    <w:rsid w:val="00154DD3"/>
    <w:rsid w:val="00155170"/>
    <w:rsid w:val="00155378"/>
    <w:rsid w:val="00155BB8"/>
    <w:rsid w:val="0015618B"/>
    <w:rsid w:val="00156D50"/>
    <w:rsid w:val="00157852"/>
    <w:rsid w:val="00161447"/>
    <w:rsid w:val="001618FC"/>
    <w:rsid w:val="00164566"/>
    <w:rsid w:val="00164905"/>
    <w:rsid w:val="00165397"/>
    <w:rsid w:val="0016597D"/>
    <w:rsid w:val="00165D86"/>
    <w:rsid w:val="00165F4D"/>
    <w:rsid w:val="00167814"/>
    <w:rsid w:val="00170945"/>
    <w:rsid w:val="00170B26"/>
    <w:rsid w:val="00170CB3"/>
    <w:rsid w:val="00170CFE"/>
    <w:rsid w:val="00170FDB"/>
    <w:rsid w:val="001718BB"/>
    <w:rsid w:val="00172070"/>
    <w:rsid w:val="0017352E"/>
    <w:rsid w:val="00175300"/>
    <w:rsid w:val="00175B82"/>
    <w:rsid w:val="001803B1"/>
    <w:rsid w:val="00180736"/>
    <w:rsid w:val="0018073F"/>
    <w:rsid w:val="0018139A"/>
    <w:rsid w:val="00181DDF"/>
    <w:rsid w:val="00181E4C"/>
    <w:rsid w:val="00182343"/>
    <w:rsid w:val="00182D65"/>
    <w:rsid w:val="00184BA0"/>
    <w:rsid w:val="00184F62"/>
    <w:rsid w:val="00185625"/>
    <w:rsid w:val="00185A0E"/>
    <w:rsid w:val="00185AC9"/>
    <w:rsid w:val="00186BAB"/>
    <w:rsid w:val="00190389"/>
    <w:rsid w:val="0019068A"/>
    <w:rsid w:val="001907E2"/>
    <w:rsid w:val="00190973"/>
    <w:rsid w:val="00191E31"/>
    <w:rsid w:val="00191FB6"/>
    <w:rsid w:val="00192918"/>
    <w:rsid w:val="00192BBA"/>
    <w:rsid w:val="00192D07"/>
    <w:rsid w:val="00192F26"/>
    <w:rsid w:val="00194496"/>
    <w:rsid w:val="00194693"/>
    <w:rsid w:val="00194D53"/>
    <w:rsid w:val="00195AC7"/>
    <w:rsid w:val="00196318"/>
    <w:rsid w:val="001964B7"/>
    <w:rsid w:val="001968F0"/>
    <w:rsid w:val="00196F01"/>
    <w:rsid w:val="00196F86"/>
    <w:rsid w:val="00197994"/>
    <w:rsid w:val="001A24DF"/>
    <w:rsid w:val="001A26F1"/>
    <w:rsid w:val="001A3F98"/>
    <w:rsid w:val="001A40C4"/>
    <w:rsid w:val="001A453A"/>
    <w:rsid w:val="001A4770"/>
    <w:rsid w:val="001A484F"/>
    <w:rsid w:val="001A4905"/>
    <w:rsid w:val="001A4DD5"/>
    <w:rsid w:val="001A4FA4"/>
    <w:rsid w:val="001A57C5"/>
    <w:rsid w:val="001A597D"/>
    <w:rsid w:val="001A77EA"/>
    <w:rsid w:val="001B02AD"/>
    <w:rsid w:val="001B08AA"/>
    <w:rsid w:val="001B0D32"/>
    <w:rsid w:val="001B1950"/>
    <w:rsid w:val="001B21C0"/>
    <w:rsid w:val="001B23EA"/>
    <w:rsid w:val="001B36CF"/>
    <w:rsid w:val="001B37AF"/>
    <w:rsid w:val="001B4A39"/>
    <w:rsid w:val="001B6A26"/>
    <w:rsid w:val="001B71CE"/>
    <w:rsid w:val="001C01A9"/>
    <w:rsid w:val="001C0502"/>
    <w:rsid w:val="001C1184"/>
    <w:rsid w:val="001C14D7"/>
    <w:rsid w:val="001C3749"/>
    <w:rsid w:val="001C3D07"/>
    <w:rsid w:val="001C4245"/>
    <w:rsid w:val="001C43AA"/>
    <w:rsid w:val="001C47C3"/>
    <w:rsid w:val="001C58F4"/>
    <w:rsid w:val="001C68C8"/>
    <w:rsid w:val="001C7176"/>
    <w:rsid w:val="001D0046"/>
    <w:rsid w:val="001D0EA8"/>
    <w:rsid w:val="001D19C0"/>
    <w:rsid w:val="001D1A19"/>
    <w:rsid w:val="001D2119"/>
    <w:rsid w:val="001D254E"/>
    <w:rsid w:val="001D327E"/>
    <w:rsid w:val="001D3AF7"/>
    <w:rsid w:val="001D3F6D"/>
    <w:rsid w:val="001D4BD2"/>
    <w:rsid w:val="001D4CB6"/>
    <w:rsid w:val="001D54DA"/>
    <w:rsid w:val="001D5869"/>
    <w:rsid w:val="001D5C74"/>
    <w:rsid w:val="001D6B38"/>
    <w:rsid w:val="001D6C0B"/>
    <w:rsid w:val="001D7300"/>
    <w:rsid w:val="001E0A5D"/>
    <w:rsid w:val="001E1008"/>
    <w:rsid w:val="001E113A"/>
    <w:rsid w:val="001E3C5A"/>
    <w:rsid w:val="001E4E9F"/>
    <w:rsid w:val="001E4F87"/>
    <w:rsid w:val="001E531D"/>
    <w:rsid w:val="001E53C0"/>
    <w:rsid w:val="001E64EE"/>
    <w:rsid w:val="001E668F"/>
    <w:rsid w:val="001E6AEF"/>
    <w:rsid w:val="001E6F30"/>
    <w:rsid w:val="001E6F89"/>
    <w:rsid w:val="001E791A"/>
    <w:rsid w:val="001E7AB0"/>
    <w:rsid w:val="001E7C31"/>
    <w:rsid w:val="001F0B14"/>
    <w:rsid w:val="001F0C5E"/>
    <w:rsid w:val="001F0FF5"/>
    <w:rsid w:val="001F1C96"/>
    <w:rsid w:val="001F29C8"/>
    <w:rsid w:val="001F2E56"/>
    <w:rsid w:val="001F43D6"/>
    <w:rsid w:val="001F5370"/>
    <w:rsid w:val="001F5A25"/>
    <w:rsid w:val="001F6413"/>
    <w:rsid w:val="001F78FE"/>
    <w:rsid w:val="0020010E"/>
    <w:rsid w:val="00201168"/>
    <w:rsid w:val="00202508"/>
    <w:rsid w:val="002028B7"/>
    <w:rsid w:val="00203177"/>
    <w:rsid w:val="002035B3"/>
    <w:rsid w:val="00203EE4"/>
    <w:rsid w:val="0020437B"/>
    <w:rsid w:val="00204BFD"/>
    <w:rsid w:val="002050FF"/>
    <w:rsid w:val="002051DD"/>
    <w:rsid w:val="002057CB"/>
    <w:rsid w:val="0020686D"/>
    <w:rsid w:val="002069AB"/>
    <w:rsid w:val="00207033"/>
    <w:rsid w:val="00207CDE"/>
    <w:rsid w:val="002106E9"/>
    <w:rsid w:val="00211C40"/>
    <w:rsid w:val="00213896"/>
    <w:rsid w:val="00213991"/>
    <w:rsid w:val="002139A9"/>
    <w:rsid w:val="00213AD5"/>
    <w:rsid w:val="00213C75"/>
    <w:rsid w:val="002141D4"/>
    <w:rsid w:val="002165C6"/>
    <w:rsid w:val="00216C12"/>
    <w:rsid w:val="00216CCE"/>
    <w:rsid w:val="00216DB0"/>
    <w:rsid w:val="0021778F"/>
    <w:rsid w:val="00217F11"/>
    <w:rsid w:val="00220AB4"/>
    <w:rsid w:val="00221313"/>
    <w:rsid w:val="002224CE"/>
    <w:rsid w:val="00224172"/>
    <w:rsid w:val="00225606"/>
    <w:rsid w:val="0022579F"/>
    <w:rsid w:val="00225A72"/>
    <w:rsid w:val="00225CBD"/>
    <w:rsid w:val="0022697F"/>
    <w:rsid w:val="00226E03"/>
    <w:rsid w:val="002278CC"/>
    <w:rsid w:val="00227CB3"/>
    <w:rsid w:val="00227D4E"/>
    <w:rsid w:val="0023107F"/>
    <w:rsid w:val="002337C4"/>
    <w:rsid w:val="00234D2F"/>
    <w:rsid w:val="00235541"/>
    <w:rsid w:val="002361B4"/>
    <w:rsid w:val="0023702B"/>
    <w:rsid w:val="0023788C"/>
    <w:rsid w:val="0024137F"/>
    <w:rsid w:val="00241750"/>
    <w:rsid w:val="002420D5"/>
    <w:rsid w:val="002434CF"/>
    <w:rsid w:val="00243A5E"/>
    <w:rsid w:val="00243ABB"/>
    <w:rsid w:val="00244336"/>
    <w:rsid w:val="00244627"/>
    <w:rsid w:val="0024518A"/>
    <w:rsid w:val="00246A2C"/>
    <w:rsid w:val="002478C2"/>
    <w:rsid w:val="00247A11"/>
    <w:rsid w:val="00247C46"/>
    <w:rsid w:val="002503FD"/>
    <w:rsid w:val="00250DB0"/>
    <w:rsid w:val="002532B5"/>
    <w:rsid w:val="0025362C"/>
    <w:rsid w:val="002536FD"/>
    <w:rsid w:val="00253B3C"/>
    <w:rsid w:val="002540EA"/>
    <w:rsid w:val="00254988"/>
    <w:rsid w:val="002553FF"/>
    <w:rsid w:val="002562A7"/>
    <w:rsid w:val="002577CE"/>
    <w:rsid w:val="002611D7"/>
    <w:rsid w:val="00261CE1"/>
    <w:rsid w:val="00261CFD"/>
    <w:rsid w:val="00261FDF"/>
    <w:rsid w:val="002626EE"/>
    <w:rsid w:val="00262D63"/>
    <w:rsid w:val="002644A5"/>
    <w:rsid w:val="002645EE"/>
    <w:rsid w:val="002648E1"/>
    <w:rsid w:val="0026512D"/>
    <w:rsid w:val="002652DB"/>
    <w:rsid w:val="002656FF"/>
    <w:rsid w:val="002659FD"/>
    <w:rsid w:val="00267069"/>
    <w:rsid w:val="0026753D"/>
    <w:rsid w:val="002677E4"/>
    <w:rsid w:val="00267A60"/>
    <w:rsid w:val="00270CBA"/>
    <w:rsid w:val="0027188B"/>
    <w:rsid w:val="00273D6D"/>
    <w:rsid w:val="002742A9"/>
    <w:rsid w:val="00274FFE"/>
    <w:rsid w:val="00275131"/>
    <w:rsid w:val="00275432"/>
    <w:rsid w:val="0027569F"/>
    <w:rsid w:val="00275E6C"/>
    <w:rsid w:val="00276C85"/>
    <w:rsid w:val="002805DA"/>
    <w:rsid w:val="0028070A"/>
    <w:rsid w:val="0028143C"/>
    <w:rsid w:val="00281CAB"/>
    <w:rsid w:val="002826C6"/>
    <w:rsid w:val="0028398E"/>
    <w:rsid w:val="00283E68"/>
    <w:rsid w:val="00284E0E"/>
    <w:rsid w:val="00284E6C"/>
    <w:rsid w:val="002852AD"/>
    <w:rsid w:val="00287C0B"/>
    <w:rsid w:val="00287FD2"/>
    <w:rsid w:val="002913AA"/>
    <w:rsid w:val="00291BE9"/>
    <w:rsid w:val="00291D4F"/>
    <w:rsid w:val="00292362"/>
    <w:rsid w:val="00292CC3"/>
    <w:rsid w:val="002938BC"/>
    <w:rsid w:val="00294A64"/>
    <w:rsid w:val="00296EB1"/>
    <w:rsid w:val="00297865"/>
    <w:rsid w:val="00297F57"/>
    <w:rsid w:val="002A0110"/>
    <w:rsid w:val="002A050F"/>
    <w:rsid w:val="002A2039"/>
    <w:rsid w:val="002A35AB"/>
    <w:rsid w:val="002A3E6A"/>
    <w:rsid w:val="002A43C0"/>
    <w:rsid w:val="002A561D"/>
    <w:rsid w:val="002A581E"/>
    <w:rsid w:val="002A58D2"/>
    <w:rsid w:val="002A58F7"/>
    <w:rsid w:val="002A635A"/>
    <w:rsid w:val="002A705F"/>
    <w:rsid w:val="002A727D"/>
    <w:rsid w:val="002A7644"/>
    <w:rsid w:val="002A770D"/>
    <w:rsid w:val="002B035B"/>
    <w:rsid w:val="002B0478"/>
    <w:rsid w:val="002B0986"/>
    <w:rsid w:val="002B0CCF"/>
    <w:rsid w:val="002B0D5C"/>
    <w:rsid w:val="002B1B52"/>
    <w:rsid w:val="002B2866"/>
    <w:rsid w:val="002B2C87"/>
    <w:rsid w:val="002B4DDE"/>
    <w:rsid w:val="002B7937"/>
    <w:rsid w:val="002C0E22"/>
    <w:rsid w:val="002C13A4"/>
    <w:rsid w:val="002C1556"/>
    <w:rsid w:val="002C19FA"/>
    <w:rsid w:val="002C4012"/>
    <w:rsid w:val="002C4608"/>
    <w:rsid w:val="002C46A4"/>
    <w:rsid w:val="002C46DB"/>
    <w:rsid w:val="002C488A"/>
    <w:rsid w:val="002C506D"/>
    <w:rsid w:val="002C59D2"/>
    <w:rsid w:val="002C61B4"/>
    <w:rsid w:val="002C6425"/>
    <w:rsid w:val="002C69BC"/>
    <w:rsid w:val="002D0C06"/>
    <w:rsid w:val="002D1F5C"/>
    <w:rsid w:val="002D3205"/>
    <w:rsid w:val="002D3311"/>
    <w:rsid w:val="002D3F72"/>
    <w:rsid w:val="002D49A0"/>
    <w:rsid w:val="002D4D59"/>
    <w:rsid w:val="002D50DC"/>
    <w:rsid w:val="002D50E7"/>
    <w:rsid w:val="002D54EA"/>
    <w:rsid w:val="002D5DD6"/>
    <w:rsid w:val="002D6887"/>
    <w:rsid w:val="002D6B0D"/>
    <w:rsid w:val="002D70A5"/>
    <w:rsid w:val="002D74C5"/>
    <w:rsid w:val="002E055C"/>
    <w:rsid w:val="002E0882"/>
    <w:rsid w:val="002E1363"/>
    <w:rsid w:val="002E205B"/>
    <w:rsid w:val="002E2E6B"/>
    <w:rsid w:val="002E2FE4"/>
    <w:rsid w:val="002E3C7A"/>
    <w:rsid w:val="002E43E8"/>
    <w:rsid w:val="002E47C7"/>
    <w:rsid w:val="002E47E3"/>
    <w:rsid w:val="002E49E2"/>
    <w:rsid w:val="002E4DDB"/>
    <w:rsid w:val="002E56D1"/>
    <w:rsid w:val="002E5E98"/>
    <w:rsid w:val="002E5F11"/>
    <w:rsid w:val="002E6804"/>
    <w:rsid w:val="002E690E"/>
    <w:rsid w:val="002F015D"/>
    <w:rsid w:val="002F088F"/>
    <w:rsid w:val="002F153D"/>
    <w:rsid w:val="002F21A0"/>
    <w:rsid w:val="002F258D"/>
    <w:rsid w:val="002F2731"/>
    <w:rsid w:val="002F2AEB"/>
    <w:rsid w:val="002F3075"/>
    <w:rsid w:val="002F32D1"/>
    <w:rsid w:val="002F331E"/>
    <w:rsid w:val="002F3334"/>
    <w:rsid w:val="002F4D6B"/>
    <w:rsid w:val="002F524B"/>
    <w:rsid w:val="002F5D9A"/>
    <w:rsid w:val="002F69AF"/>
    <w:rsid w:val="00300746"/>
    <w:rsid w:val="00301012"/>
    <w:rsid w:val="00301787"/>
    <w:rsid w:val="00301F41"/>
    <w:rsid w:val="00302B41"/>
    <w:rsid w:val="00303147"/>
    <w:rsid w:val="0030324B"/>
    <w:rsid w:val="00303B01"/>
    <w:rsid w:val="00304AFA"/>
    <w:rsid w:val="00305A99"/>
    <w:rsid w:val="00306F63"/>
    <w:rsid w:val="00306FDE"/>
    <w:rsid w:val="003076CA"/>
    <w:rsid w:val="003079BB"/>
    <w:rsid w:val="00307F67"/>
    <w:rsid w:val="003100E0"/>
    <w:rsid w:val="00310A62"/>
    <w:rsid w:val="00312173"/>
    <w:rsid w:val="0031231D"/>
    <w:rsid w:val="00314F5B"/>
    <w:rsid w:val="003154FF"/>
    <w:rsid w:val="00315ED5"/>
    <w:rsid w:val="00316A32"/>
    <w:rsid w:val="0031710E"/>
    <w:rsid w:val="00320508"/>
    <w:rsid w:val="00321442"/>
    <w:rsid w:val="00321701"/>
    <w:rsid w:val="00321873"/>
    <w:rsid w:val="003219FC"/>
    <w:rsid w:val="00321B99"/>
    <w:rsid w:val="00321E09"/>
    <w:rsid w:val="00322E98"/>
    <w:rsid w:val="00323B80"/>
    <w:rsid w:val="0032403D"/>
    <w:rsid w:val="0032470B"/>
    <w:rsid w:val="003250DF"/>
    <w:rsid w:val="00325937"/>
    <w:rsid w:val="00327113"/>
    <w:rsid w:val="003273FE"/>
    <w:rsid w:val="00327EF1"/>
    <w:rsid w:val="00330289"/>
    <w:rsid w:val="003302AA"/>
    <w:rsid w:val="00330E65"/>
    <w:rsid w:val="00331D11"/>
    <w:rsid w:val="00332DDE"/>
    <w:rsid w:val="00333689"/>
    <w:rsid w:val="003346AB"/>
    <w:rsid w:val="003355A7"/>
    <w:rsid w:val="00335C56"/>
    <w:rsid w:val="003365DF"/>
    <w:rsid w:val="003369AF"/>
    <w:rsid w:val="0034042A"/>
    <w:rsid w:val="0034089A"/>
    <w:rsid w:val="00340B60"/>
    <w:rsid w:val="00343864"/>
    <w:rsid w:val="00343C7E"/>
    <w:rsid w:val="0034461B"/>
    <w:rsid w:val="00344DE9"/>
    <w:rsid w:val="003454AF"/>
    <w:rsid w:val="00346DB9"/>
    <w:rsid w:val="00346E75"/>
    <w:rsid w:val="00346EBE"/>
    <w:rsid w:val="00347036"/>
    <w:rsid w:val="003470BF"/>
    <w:rsid w:val="00347898"/>
    <w:rsid w:val="00347D60"/>
    <w:rsid w:val="00350110"/>
    <w:rsid w:val="0035039F"/>
    <w:rsid w:val="00352058"/>
    <w:rsid w:val="00352284"/>
    <w:rsid w:val="00353718"/>
    <w:rsid w:val="003552A9"/>
    <w:rsid w:val="0035547B"/>
    <w:rsid w:val="00356E64"/>
    <w:rsid w:val="0035702B"/>
    <w:rsid w:val="0035796C"/>
    <w:rsid w:val="00357B7D"/>
    <w:rsid w:val="00360DD1"/>
    <w:rsid w:val="00361076"/>
    <w:rsid w:val="00362BBF"/>
    <w:rsid w:val="00362E94"/>
    <w:rsid w:val="003646AC"/>
    <w:rsid w:val="00364726"/>
    <w:rsid w:val="00364AEF"/>
    <w:rsid w:val="003652A1"/>
    <w:rsid w:val="003653B2"/>
    <w:rsid w:val="0036542B"/>
    <w:rsid w:val="00365741"/>
    <w:rsid w:val="00365885"/>
    <w:rsid w:val="0036597A"/>
    <w:rsid w:val="00367982"/>
    <w:rsid w:val="00367A2C"/>
    <w:rsid w:val="00367B29"/>
    <w:rsid w:val="00370894"/>
    <w:rsid w:val="003711BF"/>
    <w:rsid w:val="00372115"/>
    <w:rsid w:val="00372353"/>
    <w:rsid w:val="00372D09"/>
    <w:rsid w:val="003733C8"/>
    <w:rsid w:val="00373995"/>
    <w:rsid w:val="00374928"/>
    <w:rsid w:val="00376FAC"/>
    <w:rsid w:val="00380D1C"/>
    <w:rsid w:val="00380DB7"/>
    <w:rsid w:val="00380DD2"/>
    <w:rsid w:val="0038142C"/>
    <w:rsid w:val="00381677"/>
    <w:rsid w:val="0038245B"/>
    <w:rsid w:val="00382A30"/>
    <w:rsid w:val="00382E84"/>
    <w:rsid w:val="00384867"/>
    <w:rsid w:val="00384F24"/>
    <w:rsid w:val="0038538E"/>
    <w:rsid w:val="00385471"/>
    <w:rsid w:val="0038605F"/>
    <w:rsid w:val="00386400"/>
    <w:rsid w:val="003866B7"/>
    <w:rsid w:val="00386C3B"/>
    <w:rsid w:val="003876AE"/>
    <w:rsid w:val="00390F54"/>
    <w:rsid w:val="00392BFA"/>
    <w:rsid w:val="003932E9"/>
    <w:rsid w:val="0039542F"/>
    <w:rsid w:val="00395AD4"/>
    <w:rsid w:val="0039619B"/>
    <w:rsid w:val="00396CED"/>
    <w:rsid w:val="00397B36"/>
    <w:rsid w:val="00397C4C"/>
    <w:rsid w:val="003A0120"/>
    <w:rsid w:val="003A1888"/>
    <w:rsid w:val="003A240B"/>
    <w:rsid w:val="003A2487"/>
    <w:rsid w:val="003A30E5"/>
    <w:rsid w:val="003A33EA"/>
    <w:rsid w:val="003A3ECD"/>
    <w:rsid w:val="003A4572"/>
    <w:rsid w:val="003A4816"/>
    <w:rsid w:val="003A5F60"/>
    <w:rsid w:val="003A630D"/>
    <w:rsid w:val="003A66E1"/>
    <w:rsid w:val="003A7065"/>
    <w:rsid w:val="003A7885"/>
    <w:rsid w:val="003A7C18"/>
    <w:rsid w:val="003A7FC6"/>
    <w:rsid w:val="003B06AB"/>
    <w:rsid w:val="003B079F"/>
    <w:rsid w:val="003B0862"/>
    <w:rsid w:val="003B0E80"/>
    <w:rsid w:val="003B159C"/>
    <w:rsid w:val="003B2195"/>
    <w:rsid w:val="003B2503"/>
    <w:rsid w:val="003B293D"/>
    <w:rsid w:val="003B40A5"/>
    <w:rsid w:val="003B4923"/>
    <w:rsid w:val="003B4D8D"/>
    <w:rsid w:val="003B5821"/>
    <w:rsid w:val="003B6720"/>
    <w:rsid w:val="003B71C7"/>
    <w:rsid w:val="003B7606"/>
    <w:rsid w:val="003B7703"/>
    <w:rsid w:val="003C0166"/>
    <w:rsid w:val="003C08F1"/>
    <w:rsid w:val="003C290E"/>
    <w:rsid w:val="003C3F5F"/>
    <w:rsid w:val="003C41BB"/>
    <w:rsid w:val="003C4910"/>
    <w:rsid w:val="003C4C27"/>
    <w:rsid w:val="003C616B"/>
    <w:rsid w:val="003C6553"/>
    <w:rsid w:val="003C7DB7"/>
    <w:rsid w:val="003D00FE"/>
    <w:rsid w:val="003D1571"/>
    <w:rsid w:val="003D175D"/>
    <w:rsid w:val="003D1817"/>
    <w:rsid w:val="003D1A68"/>
    <w:rsid w:val="003D2BD0"/>
    <w:rsid w:val="003D2C88"/>
    <w:rsid w:val="003D394D"/>
    <w:rsid w:val="003D4E1F"/>
    <w:rsid w:val="003D53CF"/>
    <w:rsid w:val="003D580D"/>
    <w:rsid w:val="003D628E"/>
    <w:rsid w:val="003D6E8B"/>
    <w:rsid w:val="003D7555"/>
    <w:rsid w:val="003D75BB"/>
    <w:rsid w:val="003D7979"/>
    <w:rsid w:val="003E049B"/>
    <w:rsid w:val="003E082D"/>
    <w:rsid w:val="003E0A1A"/>
    <w:rsid w:val="003E0E97"/>
    <w:rsid w:val="003E2029"/>
    <w:rsid w:val="003E22E2"/>
    <w:rsid w:val="003E238D"/>
    <w:rsid w:val="003E26D7"/>
    <w:rsid w:val="003E478D"/>
    <w:rsid w:val="003E4999"/>
    <w:rsid w:val="003E514F"/>
    <w:rsid w:val="003E5214"/>
    <w:rsid w:val="003E5DE7"/>
    <w:rsid w:val="003E5EC9"/>
    <w:rsid w:val="003E5F73"/>
    <w:rsid w:val="003E603B"/>
    <w:rsid w:val="003E6300"/>
    <w:rsid w:val="003E6350"/>
    <w:rsid w:val="003E65C2"/>
    <w:rsid w:val="003E6BF6"/>
    <w:rsid w:val="003E6F9F"/>
    <w:rsid w:val="003E7597"/>
    <w:rsid w:val="003E7BD1"/>
    <w:rsid w:val="003F0394"/>
    <w:rsid w:val="003F039F"/>
    <w:rsid w:val="003F03F3"/>
    <w:rsid w:val="003F1582"/>
    <w:rsid w:val="003F1ACE"/>
    <w:rsid w:val="003F21E2"/>
    <w:rsid w:val="003F3203"/>
    <w:rsid w:val="003F378B"/>
    <w:rsid w:val="003F3E34"/>
    <w:rsid w:val="003F44B7"/>
    <w:rsid w:val="003F4A52"/>
    <w:rsid w:val="003F4CEE"/>
    <w:rsid w:val="003F52B3"/>
    <w:rsid w:val="003F5A98"/>
    <w:rsid w:val="003F5CC5"/>
    <w:rsid w:val="003F688E"/>
    <w:rsid w:val="003F6C4E"/>
    <w:rsid w:val="003F717E"/>
    <w:rsid w:val="003F7F59"/>
    <w:rsid w:val="0040041F"/>
    <w:rsid w:val="0040070F"/>
    <w:rsid w:val="00400892"/>
    <w:rsid w:val="00401240"/>
    <w:rsid w:val="00401437"/>
    <w:rsid w:val="00401F37"/>
    <w:rsid w:val="004025AB"/>
    <w:rsid w:val="004027DE"/>
    <w:rsid w:val="00402E90"/>
    <w:rsid w:val="00403A02"/>
    <w:rsid w:val="00404148"/>
    <w:rsid w:val="00404247"/>
    <w:rsid w:val="0040475A"/>
    <w:rsid w:val="00404AF0"/>
    <w:rsid w:val="00405635"/>
    <w:rsid w:val="0040573A"/>
    <w:rsid w:val="00407237"/>
    <w:rsid w:val="00407D65"/>
    <w:rsid w:val="00407FDC"/>
    <w:rsid w:val="004103B3"/>
    <w:rsid w:val="00410489"/>
    <w:rsid w:val="00410D3D"/>
    <w:rsid w:val="00411C11"/>
    <w:rsid w:val="00412513"/>
    <w:rsid w:val="00412834"/>
    <w:rsid w:val="00412F24"/>
    <w:rsid w:val="00414AD4"/>
    <w:rsid w:val="00414B16"/>
    <w:rsid w:val="004160E6"/>
    <w:rsid w:val="0041693F"/>
    <w:rsid w:val="00420737"/>
    <w:rsid w:val="004216DB"/>
    <w:rsid w:val="00421725"/>
    <w:rsid w:val="0042193E"/>
    <w:rsid w:val="004220EB"/>
    <w:rsid w:val="00423239"/>
    <w:rsid w:val="004238BF"/>
    <w:rsid w:val="00424A44"/>
    <w:rsid w:val="00424C87"/>
    <w:rsid w:val="0042502D"/>
    <w:rsid w:val="0042565B"/>
    <w:rsid w:val="00425BDF"/>
    <w:rsid w:val="0042624E"/>
    <w:rsid w:val="0042642A"/>
    <w:rsid w:val="00426B54"/>
    <w:rsid w:val="0042758D"/>
    <w:rsid w:val="00427B46"/>
    <w:rsid w:val="00427C26"/>
    <w:rsid w:val="00427D80"/>
    <w:rsid w:val="00427EFC"/>
    <w:rsid w:val="0043027D"/>
    <w:rsid w:val="00431262"/>
    <w:rsid w:val="00431416"/>
    <w:rsid w:val="00431472"/>
    <w:rsid w:val="004319FC"/>
    <w:rsid w:val="00431A67"/>
    <w:rsid w:val="00431D56"/>
    <w:rsid w:val="00432117"/>
    <w:rsid w:val="0043229E"/>
    <w:rsid w:val="004334C2"/>
    <w:rsid w:val="0043398F"/>
    <w:rsid w:val="00434343"/>
    <w:rsid w:val="004344A8"/>
    <w:rsid w:val="0043585F"/>
    <w:rsid w:val="00435D11"/>
    <w:rsid w:val="004366FF"/>
    <w:rsid w:val="00437291"/>
    <w:rsid w:val="00437FD0"/>
    <w:rsid w:val="00440BC4"/>
    <w:rsid w:val="00440F39"/>
    <w:rsid w:val="004414C4"/>
    <w:rsid w:val="00442D54"/>
    <w:rsid w:val="00442F96"/>
    <w:rsid w:val="00443868"/>
    <w:rsid w:val="00445286"/>
    <w:rsid w:val="00445FCE"/>
    <w:rsid w:val="00446906"/>
    <w:rsid w:val="004471C5"/>
    <w:rsid w:val="0044720C"/>
    <w:rsid w:val="00447A49"/>
    <w:rsid w:val="00450367"/>
    <w:rsid w:val="00450908"/>
    <w:rsid w:val="00450F40"/>
    <w:rsid w:val="00451650"/>
    <w:rsid w:val="00452D44"/>
    <w:rsid w:val="0045325A"/>
    <w:rsid w:val="004532A8"/>
    <w:rsid w:val="00453CEB"/>
    <w:rsid w:val="00453E68"/>
    <w:rsid w:val="00454223"/>
    <w:rsid w:val="004544D5"/>
    <w:rsid w:val="004546B6"/>
    <w:rsid w:val="00454865"/>
    <w:rsid w:val="0045636D"/>
    <w:rsid w:val="00456776"/>
    <w:rsid w:val="0045738F"/>
    <w:rsid w:val="00457C10"/>
    <w:rsid w:val="00461C07"/>
    <w:rsid w:val="00462097"/>
    <w:rsid w:val="0046255D"/>
    <w:rsid w:val="00462CEF"/>
    <w:rsid w:val="00463ED8"/>
    <w:rsid w:val="0046411C"/>
    <w:rsid w:val="004641E9"/>
    <w:rsid w:val="004652EB"/>
    <w:rsid w:val="00465ADC"/>
    <w:rsid w:val="004660A7"/>
    <w:rsid w:val="004661A8"/>
    <w:rsid w:val="004676CA"/>
    <w:rsid w:val="0047076F"/>
    <w:rsid w:val="00471436"/>
    <w:rsid w:val="004718B7"/>
    <w:rsid w:val="004719C3"/>
    <w:rsid w:val="00472B22"/>
    <w:rsid w:val="0047319B"/>
    <w:rsid w:val="004736C0"/>
    <w:rsid w:val="00473F3F"/>
    <w:rsid w:val="004751EA"/>
    <w:rsid w:val="004776F9"/>
    <w:rsid w:val="00477E89"/>
    <w:rsid w:val="00480D10"/>
    <w:rsid w:val="00481693"/>
    <w:rsid w:val="004825AF"/>
    <w:rsid w:val="0048270A"/>
    <w:rsid w:val="00483552"/>
    <w:rsid w:val="004835CF"/>
    <w:rsid w:val="00484550"/>
    <w:rsid w:val="00484B1F"/>
    <w:rsid w:val="00484E94"/>
    <w:rsid w:val="00485D7C"/>
    <w:rsid w:val="0048659F"/>
    <w:rsid w:val="00486A4A"/>
    <w:rsid w:val="00486E89"/>
    <w:rsid w:val="00487DEA"/>
    <w:rsid w:val="004906A4"/>
    <w:rsid w:val="004937C5"/>
    <w:rsid w:val="00493CC2"/>
    <w:rsid w:val="004946B7"/>
    <w:rsid w:val="004951F2"/>
    <w:rsid w:val="004954A0"/>
    <w:rsid w:val="00495646"/>
    <w:rsid w:val="0049628C"/>
    <w:rsid w:val="004966BA"/>
    <w:rsid w:val="00496B3A"/>
    <w:rsid w:val="00496E70"/>
    <w:rsid w:val="00497E58"/>
    <w:rsid w:val="004A0BD9"/>
    <w:rsid w:val="004A0EE8"/>
    <w:rsid w:val="004A29F9"/>
    <w:rsid w:val="004A4284"/>
    <w:rsid w:val="004A4B83"/>
    <w:rsid w:val="004A5E01"/>
    <w:rsid w:val="004A6017"/>
    <w:rsid w:val="004A69EB"/>
    <w:rsid w:val="004A6B94"/>
    <w:rsid w:val="004A72C4"/>
    <w:rsid w:val="004A7340"/>
    <w:rsid w:val="004A7D66"/>
    <w:rsid w:val="004A7DA9"/>
    <w:rsid w:val="004B0347"/>
    <w:rsid w:val="004B07B7"/>
    <w:rsid w:val="004B08FD"/>
    <w:rsid w:val="004B1502"/>
    <w:rsid w:val="004B15D9"/>
    <w:rsid w:val="004B3EF0"/>
    <w:rsid w:val="004B3FD3"/>
    <w:rsid w:val="004B4251"/>
    <w:rsid w:val="004B44FA"/>
    <w:rsid w:val="004B48A2"/>
    <w:rsid w:val="004B4B8C"/>
    <w:rsid w:val="004B50F1"/>
    <w:rsid w:val="004B649C"/>
    <w:rsid w:val="004B68B3"/>
    <w:rsid w:val="004B7C6E"/>
    <w:rsid w:val="004C15FE"/>
    <w:rsid w:val="004C1624"/>
    <w:rsid w:val="004C167A"/>
    <w:rsid w:val="004C16B5"/>
    <w:rsid w:val="004C25B2"/>
    <w:rsid w:val="004C295F"/>
    <w:rsid w:val="004C4F1B"/>
    <w:rsid w:val="004C52DF"/>
    <w:rsid w:val="004C5301"/>
    <w:rsid w:val="004C7AC0"/>
    <w:rsid w:val="004C7E23"/>
    <w:rsid w:val="004D0B53"/>
    <w:rsid w:val="004D131B"/>
    <w:rsid w:val="004D1E09"/>
    <w:rsid w:val="004D273E"/>
    <w:rsid w:val="004D37DA"/>
    <w:rsid w:val="004D40D9"/>
    <w:rsid w:val="004D426B"/>
    <w:rsid w:val="004D4343"/>
    <w:rsid w:val="004D4870"/>
    <w:rsid w:val="004D53B1"/>
    <w:rsid w:val="004D56B2"/>
    <w:rsid w:val="004D5EBC"/>
    <w:rsid w:val="004D7558"/>
    <w:rsid w:val="004D78E7"/>
    <w:rsid w:val="004D7B83"/>
    <w:rsid w:val="004E005A"/>
    <w:rsid w:val="004E0847"/>
    <w:rsid w:val="004E0F16"/>
    <w:rsid w:val="004E0F4C"/>
    <w:rsid w:val="004E17E2"/>
    <w:rsid w:val="004E3BBA"/>
    <w:rsid w:val="004E485A"/>
    <w:rsid w:val="004E5798"/>
    <w:rsid w:val="004E6475"/>
    <w:rsid w:val="004E6E73"/>
    <w:rsid w:val="004E70FD"/>
    <w:rsid w:val="004E7836"/>
    <w:rsid w:val="004E7988"/>
    <w:rsid w:val="004F04AE"/>
    <w:rsid w:val="004F1147"/>
    <w:rsid w:val="004F1CF2"/>
    <w:rsid w:val="004F20D4"/>
    <w:rsid w:val="004F3500"/>
    <w:rsid w:val="004F4219"/>
    <w:rsid w:val="004F4982"/>
    <w:rsid w:val="004F4F87"/>
    <w:rsid w:val="004F59F7"/>
    <w:rsid w:val="004F7420"/>
    <w:rsid w:val="004F7C4D"/>
    <w:rsid w:val="00500353"/>
    <w:rsid w:val="00500D6A"/>
    <w:rsid w:val="005013FF"/>
    <w:rsid w:val="00501662"/>
    <w:rsid w:val="005016B2"/>
    <w:rsid w:val="00503BE2"/>
    <w:rsid w:val="005050E0"/>
    <w:rsid w:val="005055D1"/>
    <w:rsid w:val="00506226"/>
    <w:rsid w:val="00506510"/>
    <w:rsid w:val="00506D96"/>
    <w:rsid w:val="00506DB5"/>
    <w:rsid w:val="00506F57"/>
    <w:rsid w:val="005072C1"/>
    <w:rsid w:val="00507330"/>
    <w:rsid w:val="00507BB1"/>
    <w:rsid w:val="00507FEC"/>
    <w:rsid w:val="00510B62"/>
    <w:rsid w:val="005114ED"/>
    <w:rsid w:val="005116ED"/>
    <w:rsid w:val="0051171E"/>
    <w:rsid w:val="005120D4"/>
    <w:rsid w:val="00512A97"/>
    <w:rsid w:val="00513357"/>
    <w:rsid w:val="00514224"/>
    <w:rsid w:val="00514363"/>
    <w:rsid w:val="0051569E"/>
    <w:rsid w:val="0051597E"/>
    <w:rsid w:val="005164BD"/>
    <w:rsid w:val="00516602"/>
    <w:rsid w:val="0051720D"/>
    <w:rsid w:val="0051765F"/>
    <w:rsid w:val="005178A3"/>
    <w:rsid w:val="00517A9E"/>
    <w:rsid w:val="00517E84"/>
    <w:rsid w:val="00517EAD"/>
    <w:rsid w:val="00517FBB"/>
    <w:rsid w:val="00520951"/>
    <w:rsid w:val="00520DB8"/>
    <w:rsid w:val="00521397"/>
    <w:rsid w:val="005213C3"/>
    <w:rsid w:val="00521A81"/>
    <w:rsid w:val="0052225D"/>
    <w:rsid w:val="005224FF"/>
    <w:rsid w:val="005228A3"/>
    <w:rsid w:val="00523038"/>
    <w:rsid w:val="0052308E"/>
    <w:rsid w:val="00523596"/>
    <w:rsid w:val="00523FA5"/>
    <w:rsid w:val="00524E33"/>
    <w:rsid w:val="00527FDD"/>
    <w:rsid w:val="0053004A"/>
    <w:rsid w:val="00530170"/>
    <w:rsid w:val="005301ED"/>
    <w:rsid w:val="005310C8"/>
    <w:rsid w:val="005313FD"/>
    <w:rsid w:val="00531644"/>
    <w:rsid w:val="00531FE4"/>
    <w:rsid w:val="0053216C"/>
    <w:rsid w:val="00532BA4"/>
    <w:rsid w:val="00532DE0"/>
    <w:rsid w:val="00533362"/>
    <w:rsid w:val="005347B5"/>
    <w:rsid w:val="00534B33"/>
    <w:rsid w:val="00537023"/>
    <w:rsid w:val="00540148"/>
    <w:rsid w:val="00540DA1"/>
    <w:rsid w:val="00541418"/>
    <w:rsid w:val="00541A08"/>
    <w:rsid w:val="00541AE9"/>
    <w:rsid w:val="00542E54"/>
    <w:rsid w:val="00543829"/>
    <w:rsid w:val="0054383A"/>
    <w:rsid w:val="00543E45"/>
    <w:rsid w:val="0054421D"/>
    <w:rsid w:val="005446A3"/>
    <w:rsid w:val="00544D8B"/>
    <w:rsid w:val="005455B7"/>
    <w:rsid w:val="00545B0F"/>
    <w:rsid w:val="00545EDD"/>
    <w:rsid w:val="00546483"/>
    <w:rsid w:val="0054698C"/>
    <w:rsid w:val="005470F5"/>
    <w:rsid w:val="00550587"/>
    <w:rsid w:val="005513AC"/>
    <w:rsid w:val="0055351E"/>
    <w:rsid w:val="0055386D"/>
    <w:rsid w:val="00554451"/>
    <w:rsid w:val="005550C0"/>
    <w:rsid w:val="00555A88"/>
    <w:rsid w:val="00556333"/>
    <w:rsid w:val="00556E49"/>
    <w:rsid w:val="00556FE0"/>
    <w:rsid w:val="005611A2"/>
    <w:rsid w:val="00561376"/>
    <w:rsid w:val="00561474"/>
    <w:rsid w:val="00561F8F"/>
    <w:rsid w:val="0056270F"/>
    <w:rsid w:val="005641DE"/>
    <w:rsid w:val="005647A8"/>
    <w:rsid w:val="00564BE8"/>
    <w:rsid w:val="00565006"/>
    <w:rsid w:val="005654F6"/>
    <w:rsid w:val="00565CD8"/>
    <w:rsid w:val="00565F46"/>
    <w:rsid w:val="005668B8"/>
    <w:rsid w:val="00566EF6"/>
    <w:rsid w:val="0056717C"/>
    <w:rsid w:val="0056777D"/>
    <w:rsid w:val="005706B9"/>
    <w:rsid w:val="005730ED"/>
    <w:rsid w:val="005734C9"/>
    <w:rsid w:val="005737DD"/>
    <w:rsid w:val="00573857"/>
    <w:rsid w:val="00573906"/>
    <w:rsid w:val="005748E5"/>
    <w:rsid w:val="00574D61"/>
    <w:rsid w:val="005750A2"/>
    <w:rsid w:val="005755DB"/>
    <w:rsid w:val="005755E6"/>
    <w:rsid w:val="0057624F"/>
    <w:rsid w:val="00576459"/>
    <w:rsid w:val="0057745E"/>
    <w:rsid w:val="0057778D"/>
    <w:rsid w:val="0058026F"/>
    <w:rsid w:val="00581447"/>
    <w:rsid w:val="00581892"/>
    <w:rsid w:val="00581FCE"/>
    <w:rsid w:val="0058348F"/>
    <w:rsid w:val="005834B5"/>
    <w:rsid w:val="005837EC"/>
    <w:rsid w:val="00583A35"/>
    <w:rsid w:val="00585197"/>
    <w:rsid w:val="00586507"/>
    <w:rsid w:val="00586D17"/>
    <w:rsid w:val="0059060E"/>
    <w:rsid w:val="00590647"/>
    <w:rsid w:val="00591033"/>
    <w:rsid w:val="00591909"/>
    <w:rsid w:val="00591DF4"/>
    <w:rsid w:val="00592D9B"/>
    <w:rsid w:val="00592EC2"/>
    <w:rsid w:val="0059340A"/>
    <w:rsid w:val="00593B38"/>
    <w:rsid w:val="005959E5"/>
    <w:rsid w:val="00595E64"/>
    <w:rsid w:val="005963E1"/>
    <w:rsid w:val="00596455"/>
    <w:rsid w:val="00596DF8"/>
    <w:rsid w:val="005970A3"/>
    <w:rsid w:val="00597B29"/>
    <w:rsid w:val="005A091A"/>
    <w:rsid w:val="005A1092"/>
    <w:rsid w:val="005A11A9"/>
    <w:rsid w:val="005A1ED4"/>
    <w:rsid w:val="005A28C5"/>
    <w:rsid w:val="005A2F71"/>
    <w:rsid w:val="005A55CD"/>
    <w:rsid w:val="005A5B06"/>
    <w:rsid w:val="005A5DA8"/>
    <w:rsid w:val="005B004E"/>
    <w:rsid w:val="005B010C"/>
    <w:rsid w:val="005B011F"/>
    <w:rsid w:val="005B0AF6"/>
    <w:rsid w:val="005B1852"/>
    <w:rsid w:val="005B22C9"/>
    <w:rsid w:val="005B235E"/>
    <w:rsid w:val="005B2513"/>
    <w:rsid w:val="005B271C"/>
    <w:rsid w:val="005B3972"/>
    <w:rsid w:val="005B46C3"/>
    <w:rsid w:val="005B4B95"/>
    <w:rsid w:val="005B5164"/>
    <w:rsid w:val="005C2227"/>
    <w:rsid w:val="005C255D"/>
    <w:rsid w:val="005C25D3"/>
    <w:rsid w:val="005C2995"/>
    <w:rsid w:val="005C3173"/>
    <w:rsid w:val="005C3E30"/>
    <w:rsid w:val="005C3F9A"/>
    <w:rsid w:val="005C5017"/>
    <w:rsid w:val="005C5CAD"/>
    <w:rsid w:val="005D037F"/>
    <w:rsid w:val="005D150A"/>
    <w:rsid w:val="005D1E30"/>
    <w:rsid w:val="005D23CF"/>
    <w:rsid w:val="005D257D"/>
    <w:rsid w:val="005D2A99"/>
    <w:rsid w:val="005D2D08"/>
    <w:rsid w:val="005D2EDB"/>
    <w:rsid w:val="005D2F06"/>
    <w:rsid w:val="005D346C"/>
    <w:rsid w:val="005D47B4"/>
    <w:rsid w:val="005D4B45"/>
    <w:rsid w:val="005D5ED0"/>
    <w:rsid w:val="005D6685"/>
    <w:rsid w:val="005E0121"/>
    <w:rsid w:val="005E1089"/>
    <w:rsid w:val="005E1345"/>
    <w:rsid w:val="005E15AC"/>
    <w:rsid w:val="005E15DD"/>
    <w:rsid w:val="005E32FB"/>
    <w:rsid w:val="005E3AE4"/>
    <w:rsid w:val="005E3D09"/>
    <w:rsid w:val="005E4089"/>
    <w:rsid w:val="005E5E1E"/>
    <w:rsid w:val="005E669B"/>
    <w:rsid w:val="005E703B"/>
    <w:rsid w:val="005E71F1"/>
    <w:rsid w:val="005F0594"/>
    <w:rsid w:val="005F1ECE"/>
    <w:rsid w:val="005F383B"/>
    <w:rsid w:val="005F4632"/>
    <w:rsid w:val="005F4C7F"/>
    <w:rsid w:val="005F4E4B"/>
    <w:rsid w:val="005F4FF4"/>
    <w:rsid w:val="005F60F4"/>
    <w:rsid w:val="005F68F4"/>
    <w:rsid w:val="005F748E"/>
    <w:rsid w:val="005F74FC"/>
    <w:rsid w:val="0060206E"/>
    <w:rsid w:val="006036CF"/>
    <w:rsid w:val="00603CA3"/>
    <w:rsid w:val="00604175"/>
    <w:rsid w:val="00605DA5"/>
    <w:rsid w:val="00606BD0"/>
    <w:rsid w:val="00606F3E"/>
    <w:rsid w:val="0060784D"/>
    <w:rsid w:val="0061008F"/>
    <w:rsid w:val="00610942"/>
    <w:rsid w:val="00611984"/>
    <w:rsid w:val="006123EA"/>
    <w:rsid w:val="0061267B"/>
    <w:rsid w:val="00613421"/>
    <w:rsid w:val="00613533"/>
    <w:rsid w:val="006139AC"/>
    <w:rsid w:val="00614D63"/>
    <w:rsid w:val="00615800"/>
    <w:rsid w:val="00616BBA"/>
    <w:rsid w:val="00617243"/>
    <w:rsid w:val="00617733"/>
    <w:rsid w:val="00621234"/>
    <w:rsid w:val="00621F85"/>
    <w:rsid w:val="0062388A"/>
    <w:rsid w:val="006241EE"/>
    <w:rsid w:val="006248BE"/>
    <w:rsid w:val="00624BB7"/>
    <w:rsid w:val="00624CB8"/>
    <w:rsid w:val="00625107"/>
    <w:rsid w:val="00626B94"/>
    <w:rsid w:val="00626D9F"/>
    <w:rsid w:val="00630224"/>
    <w:rsid w:val="006304ED"/>
    <w:rsid w:val="00630942"/>
    <w:rsid w:val="0063152C"/>
    <w:rsid w:val="0063202C"/>
    <w:rsid w:val="00632C3D"/>
    <w:rsid w:val="00632EB8"/>
    <w:rsid w:val="0063324D"/>
    <w:rsid w:val="0063412B"/>
    <w:rsid w:val="006342F6"/>
    <w:rsid w:val="00635234"/>
    <w:rsid w:val="00635B2C"/>
    <w:rsid w:val="00635C1E"/>
    <w:rsid w:val="00636938"/>
    <w:rsid w:val="006379F8"/>
    <w:rsid w:val="0064042A"/>
    <w:rsid w:val="00640587"/>
    <w:rsid w:val="0064204F"/>
    <w:rsid w:val="0064263C"/>
    <w:rsid w:val="00642743"/>
    <w:rsid w:val="00642837"/>
    <w:rsid w:val="00642899"/>
    <w:rsid w:val="00642C25"/>
    <w:rsid w:val="00642CBF"/>
    <w:rsid w:val="00642ECD"/>
    <w:rsid w:val="0064374D"/>
    <w:rsid w:val="00643CC8"/>
    <w:rsid w:val="00644211"/>
    <w:rsid w:val="0064424F"/>
    <w:rsid w:val="006446F8"/>
    <w:rsid w:val="006450FA"/>
    <w:rsid w:val="00645C24"/>
    <w:rsid w:val="00645DF8"/>
    <w:rsid w:val="00650DBF"/>
    <w:rsid w:val="00651CE5"/>
    <w:rsid w:val="006530F6"/>
    <w:rsid w:val="006538E4"/>
    <w:rsid w:val="00654B9A"/>
    <w:rsid w:val="006551F8"/>
    <w:rsid w:val="00655531"/>
    <w:rsid w:val="006555B9"/>
    <w:rsid w:val="00655857"/>
    <w:rsid w:val="00656C81"/>
    <w:rsid w:val="00657863"/>
    <w:rsid w:val="006608B8"/>
    <w:rsid w:val="006612BA"/>
    <w:rsid w:val="00661A3B"/>
    <w:rsid w:val="006625CE"/>
    <w:rsid w:val="006627F0"/>
    <w:rsid w:val="006628D5"/>
    <w:rsid w:val="00662ECA"/>
    <w:rsid w:val="0066317C"/>
    <w:rsid w:val="00664634"/>
    <w:rsid w:val="00664E73"/>
    <w:rsid w:val="00664F99"/>
    <w:rsid w:val="0066759A"/>
    <w:rsid w:val="006704AD"/>
    <w:rsid w:val="00671B3D"/>
    <w:rsid w:val="0067252B"/>
    <w:rsid w:val="00672C20"/>
    <w:rsid w:val="00673EC9"/>
    <w:rsid w:val="00674108"/>
    <w:rsid w:val="006744C7"/>
    <w:rsid w:val="006745E0"/>
    <w:rsid w:val="00674C87"/>
    <w:rsid w:val="00674D35"/>
    <w:rsid w:val="00675AC2"/>
    <w:rsid w:val="00676C9C"/>
    <w:rsid w:val="00676EA1"/>
    <w:rsid w:val="00676F2F"/>
    <w:rsid w:val="006774B0"/>
    <w:rsid w:val="00677ECA"/>
    <w:rsid w:val="00681FED"/>
    <w:rsid w:val="00682319"/>
    <w:rsid w:val="00684C27"/>
    <w:rsid w:val="00686501"/>
    <w:rsid w:val="00686B37"/>
    <w:rsid w:val="00686BC2"/>
    <w:rsid w:val="00687235"/>
    <w:rsid w:val="00690C46"/>
    <w:rsid w:val="00690CAA"/>
    <w:rsid w:val="00690CEF"/>
    <w:rsid w:val="00691265"/>
    <w:rsid w:val="00691759"/>
    <w:rsid w:val="00692551"/>
    <w:rsid w:val="0069272D"/>
    <w:rsid w:val="006927CC"/>
    <w:rsid w:val="00692BC0"/>
    <w:rsid w:val="00692DC4"/>
    <w:rsid w:val="00693924"/>
    <w:rsid w:val="006953CE"/>
    <w:rsid w:val="00695A86"/>
    <w:rsid w:val="006965A4"/>
    <w:rsid w:val="006975DA"/>
    <w:rsid w:val="00697909"/>
    <w:rsid w:val="006979C1"/>
    <w:rsid w:val="00697CFE"/>
    <w:rsid w:val="006A0930"/>
    <w:rsid w:val="006A129F"/>
    <w:rsid w:val="006A131C"/>
    <w:rsid w:val="006A17EE"/>
    <w:rsid w:val="006A1D8A"/>
    <w:rsid w:val="006A2C05"/>
    <w:rsid w:val="006A3766"/>
    <w:rsid w:val="006A393A"/>
    <w:rsid w:val="006A39E1"/>
    <w:rsid w:val="006A3A30"/>
    <w:rsid w:val="006A45BD"/>
    <w:rsid w:val="006A4BF2"/>
    <w:rsid w:val="006A5C8A"/>
    <w:rsid w:val="006A67DB"/>
    <w:rsid w:val="006A78DE"/>
    <w:rsid w:val="006B0530"/>
    <w:rsid w:val="006B12C9"/>
    <w:rsid w:val="006B1448"/>
    <w:rsid w:val="006B1641"/>
    <w:rsid w:val="006B1770"/>
    <w:rsid w:val="006B2443"/>
    <w:rsid w:val="006B2C8C"/>
    <w:rsid w:val="006B3C72"/>
    <w:rsid w:val="006B418F"/>
    <w:rsid w:val="006B453D"/>
    <w:rsid w:val="006B46DD"/>
    <w:rsid w:val="006B46F2"/>
    <w:rsid w:val="006B48E8"/>
    <w:rsid w:val="006B4F00"/>
    <w:rsid w:val="006B58E3"/>
    <w:rsid w:val="006B630D"/>
    <w:rsid w:val="006B66EB"/>
    <w:rsid w:val="006B7279"/>
    <w:rsid w:val="006B7EAF"/>
    <w:rsid w:val="006C0BE7"/>
    <w:rsid w:val="006C1307"/>
    <w:rsid w:val="006C1475"/>
    <w:rsid w:val="006C1B17"/>
    <w:rsid w:val="006C2D43"/>
    <w:rsid w:val="006C49C8"/>
    <w:rsid w:val="006C535A"/>
    <w:rsid w:val="006C6324"/>
    <w:rsid w:val="006C6744"/>
    <w:rsid w:val="006C774E"/>
    <w:rsid w:val="006C79DF"/>
    <w:rsid w:val="006C7D7F"/>
    <w:rsid w:val="006D00C7"/>
    <w:rsid w:val="006D00FB"/>
    <w:rsid w:val="006D0281"/>
    <w:rsid w:val="006D1090"/>
    <w:rsid w:val="006D1640"/>
    <w:rsid w:val="006D35F9"/>
    <w:rsid w:val="006D3C87"/>
    <w:rsid w:val="006D3D60"/>
    <w:rsid w:val="006D3EE7"/>
    <w:rsid w:val="006D44D8"/>
    <w:rsid w:val="006D60EB"/>
    <w:rsid w:val="006D6151"/>
    <w:rsid w:val="006D7A81"/>
    <w:rsid w:val="006D7BCC"/>
    <w:rsid w:val="006E0BAF"/>
    <w:rsid w:val="006E1437"/>
    <w:rsid w:val="006E2A47"/>
    <w:rsid w:val="006E2C71"/>
    <w:rsid w:val="006E315C"/>
    <w:rsid w:val="006E3AE2"/>
    <w:rsid w:val="006E433C"/>
    <w:rsid w:val="006E57B1"/>
    <w:rsid w:val="006E5D3C"/>
    <w:rsid w:val="006E7508"/>
    <w:rsid w:val="006E78FF"/>
    <w:rsid w:val="006E7CC4"/>
    <w:rsid w:val="006F0179"/>
    <w:rsid w:val="006F0EC1"/>
    <w:rsid w:val="006F2474"/>
    <w:rsid w:val="006F2606"/>
    <w:rsid w:val="006F2637"/>
    <w:rsid w:val="006F2F8C"/>
    <w:rsid w:val="006F3017"/>
    <w:rsid w:val="006F423C"/>
    <w:rsid w:val="006F44C6"/>
    <w:rsid w:val="006F49F3"/>
    <w:rsid w:val="006F4AF2"/>
    <w:rsid w:val="006F4C3E"/>
    <w:rsid w:val="006F5682"/>
    <w:rsid w:val="006F71C7"/>
    <w:rsid w:val="006F74BF"/>
    <w:rsid w:val="006F74C1"/>
    <w:rsid w:val="006F7ADA"/>
    <w:rsid w:val="0070010C"/>
    <w:rsid w:val="00700B55"/>
    <w:rsid w:val="0070174B"/>
    <w:rsid w:val="007017E6"/>
    <w:rsid w:val="00702ADB"/>
    <w:rsid w:val="007030EE"/>
    <w:rsid w:val="0070431C"/>
    <w:rsid w:val="0070449B"/>
    <w:rsid w:val="00705EEA"/>
    <w:rsid w:val="00707163"/>
    <w:rsid w:val="0070761A"/>
    <w:rsid w:val="0071231E"/>
    <w:rsid w:val="0071253F"/>
    <w:rsid w:val="00712E9D"/>
    <w:rsid w:val="00713FE3"/>
    <w:rsid w:val="00714673"/>
    <w:rsid w:val="00714AC3"/>
    <w:rsid w:val="00714DE1"/>
    <w:rsid w:val="00714E78"/>
    <w:rsid w:val="00714EB3"/>
    <w:rsid w:val="0071549F"/>
    <w:rsid w:val="00716E82"/>
    <w:rsid w:val="00717FC1"/>
    <w:rsid w:val="0072145E"/>
    <w:rsid w:val="007214C1"/>
    <w:rsid w:val="00721D61"/>
    <w:rsid w:val="007235D8"/>
    <w:rsid w:val="00723AEF"/>
    <w:rsid w:val="00723B0F"/>
    <w:rsid w:val="007241F1"/>
    <w:rsid w:val="00724543"/>
    <w:rsid w:val="00726163"/>
    <w:rsid w:val="007264DC"/>
    <w:rsid w:val="007271BF"/>
    <w:rsid w:val="00727952"/>
    <w:rsid w:val="00730187"/>
    <w:rsid w:val="00731BFF"/>
    <w:rsid w:val="00731DA2"/>
    <w:rsid w:val="00732840"/>
    <w:rsid w:val="0073296C"/>
    <w:rsid w:val="007336A3"/>
    <w:rsid w:val="007337F9"/>
    <w:rsid w:val="00733ED6"/>
    <w:rsid w:val="00734341"/>
    <w:rsid w:val="0073546F"/>
    <w:rsid w:val="00735E04"/>
    <w:rsid w:val="00736625"/>
    <w:rsid w:val="00736C78"/>
    <w:rsid w:val="00736F39"/>
    <w:rsid w:val="00737862"/>
    <w:rsid w:val="007378A2"/>
    <w:rsid w:val="0074096B"/>
    <w:rsid w:val="00744067"/>
    <w:rsid w:val="007452B6"/>
    <w:rsid w:val="00745C56"/>
    <w:rsid w:val="007469B1"/>
    <w:rsid w:val="00746FAC"/>
    <w:rsid w:val="00746FF9"/>
    <w:rsid w:val="00754706"/>
    <w:rsid w:val="0075498C"/>
    <w:rsid w:val="00754C09"/>
    <w:rsid w:val="00754EFB"/>
    <w:rsid w:val="00754FD8"/>
    <w:rsid w:val="00761741"/>
    <w:rsid w:val="0076227D"/>
    <w:rsid w:val="00762C96"/>
    <w:rsid w:val="0076488E"/>
    <w:rsid w:val="0076499A"/>
    <w:rsid w:val="00764C84"/>
    <w:rsid w:val="00764C90"/>
    <w:rsid w:val="00764FFF"/>
    <w:rsid w:val="00765D1C"/>
    <w:rsid w:val="007660C5"/>
    <w:rsid w:val="0076738D"/>
    <w:rsid w:val="00767781"/>
    <w:rsid w:val="00767E9E"/>
    <w:rsid w:val="00770598"/>
    <w:rsid w:val="007709BD"/>
    <w:rsid w:val="007709D6"/>
    <w:rsid w:val="00771185"/>
    <w:rsid w:val="00772F5C"/>
    <w:rsid w:val="00773099"/>
    <w:rsid w:val="007730FD"/>
    <w:rsid w:val="007731B0"/>
    <w:rsid w:val="0077359A"/>
    <w:rsid w:val="00773ED5"/>
    <w:rsid w:val="0077409F"/>
    <w:rsid w:val="0077568C"/>
    <w:rsid w:val="00775B17"/>
    <w:rsid w:val="00775EB5"/>
    <w:rsid w:val="007761FD"/>
    <w:rsid w:val="00777618"/>
    <w:rsid w:val="00777C7E"/>
    <w:rsid w:val="0078005D"/>
    <w:rsid w:val="00780E35"/>
    <w:rsid w:val="0078112D"/>
    <w:rsid w:val="00783954"/>
    <w:rsid w:val="00784CF9"/>
    <w:rsid w:val="007866D0"/>
    <w:rsid w:val="00787F29"/>
    <w:rsid w:val="00790675"/>
    <w:rsid w:val="00791004"/>
    <w:rsid w:val="00791284"/>
    <w:rsid w:val="00791D55"/>
    <w:rsid w:val="00793905"/>
    <w:rsid w:val="007940B3"/>
    <w:rsid w:val="0079497B"/>
    <w:rsid w:val="00794BDD"/>
    <w:rsid w:val="007952F6"/>
    <w:rsid w:val="00796359"/>
    <w:rsid w:val="00796763"/>
    <w:rsid w:val="00796F5A"/>
    <w:rsid w:val="007A05F0"/>
    <w:rsid w:val="007A1387"/>
    <w:rsid w:val="007A19AB"/>
    <w:rsid w:val="007A1D8E"/>
    <w:rsid w:val="007A1F72"/>
    <w:rsid w:val="007A324E"/>
    <w:rsid w:val="007A493A"/>
    <w:rsid w:val="007A6BF8"/>
    <w:rsid w:val="007A72A1"/>
    <w:rsid w:val="007A7A77"/>
    <w:rsid w:val="007B0602"/>
    <w:rsid w:val="007B214B"/>
    <w:rsid w:val="007B36FA"/>
    <w:rsid w:val="007B39A9"/>
    <w:rsid w:val="007B5928"/>
    <w:rsid w:val="007B5B4B"/>
    <w:rsid w:val="007B5E5D"/>
    <w:rsid w:val="007B67AE"/>
    <w:rsid w:val="007B68B4"/>
    <w:rsid w:val="007B6E22"/>
    <w:rsid w:val="007B71D4"/>
    <w:rsid w:val="007B7839"/>
    <w:rsid w:val="007B793F"/>
    <w:rsid w:val="007C1671"/>
    <w:rsid w:val="007C1C26"/>
    <w:rsid w:val="007C1FFD"/>
    <w:rsid w:val="007C3603"/>
    <w:rsid w:val="007C3AA4"/>
    <w:rsid w:val="007C4153"/>
    <w:rsid w:val="007C4BC7"/>
    <w:rsid w:val="007C595D"/>
    <w:rsid w:val="007C5AE8"/>
    <w:rsid w:val="007C643F"/>
    <w:rsid w:val="007C6982"/>
    <w:rsid w:val="007C69AC"/>
    <w:rsid w:val="007C6FE8"/>
    <w:rsid w:val="007C71E0"/>
    <w:rsid w:val="007C76CC"/>
    <w:rsid w:val="007C7707"/>
    <w:rsid w:val="007C777E"/>
    <w:rsid w:val="007C7E23"/>
    <w:rsid w:val="007D1B16"/>
    <w:rsid w:val="007D21F8"/>
    <w:rsid w:val="007D2DE8"/>
    <w:rsid w:val="007D2F34"/>
    <w:rsid w:val="007D2FE5"/>
    <w:rsid w:val="007D466E"/>
    <w:rsid w:val="007D4AC8"/>
    <w:rsid w:val="007D4C0B"/>
    <w:rsid w:val="007D4DD2"/>
    <w:rsid w:val="007D5A44"/>
    <w:rsid w:val="007D6155"/>
    <w:rsid w:val="007D6E20"/>
    <w:rsid w:val="007D7085"/>
    <w:rsid w:val="007D711C"/>
    <w:rsid w:val="007D7335"/>
    <w:rsid w:val="007D733D"/>
    <w:rsid w:val="007D75BE"/>
    <w:rsid w:val="007D7D1A"/>
    <w:rsid w:val="007E0373"/>
    <w:rsid w:val="007E1C3F"/>
    <w:rsid w:val="007E25F8"/>
    <w:rsid w:val="007E306D"/>
    <w:rsid w:val="007E38AD"/>
    <w:rsid w:val="007E62B3"/>
    <w:rsid w:val="007E658B"/>
    <w:rsid w:val="007E7C3A"/>
    <w:rsid w:val="007F0680"/>
    <w:rsid w:val="007F0816"/>
    <w:rsid w:val="007F0CF4"/>
    <w:rsid w:val="007F0D2A"/>
    <w:rsid w:val="007F16BF"/>
    <w:rsid w:val="007F2CAA"/>
    <w:rsid w:val="007F3C09"/>
    <w:rsid w:val="007F5C71"/>
    <w:rsid w:val="00800C89"/>
    <w:rsid w:val="008022B9"/>
    <w:rsid w:val="00802593"/>
    <w:rsid w:val="00802A18"/>
    <w:rsid w:val="00802EAA"/>
    <w:rsid w:val="00803D38"/>
    <w:rsid w:val="008048F4"/>
    <w:rsid w:val="00804B5F"/>
    <w:rsid w:val="008062F4"/>
    <w:rsid w:val="00806658"/>
    <w:rsid w:val="00807B22"/>
    <w:rsid w:val="00810227"/>
    <w:rsid w:val="008115B6"/>
    <w:rsid w:val="00811636"/>
    <w:rsid w:val="00811B3B"/>
    <w:rsid w:val="00811D88"/>
    <w:rsid w:val="0081301C"/>
    <w:rsid w:val="008135E5"/>
    <w:rsid w:val="00813738"/>
    <w:rsid w:val="00813D95"/>
    <w:rsid w:val="00813F6E"/>
    <w:rsid w:val="00814DCF"/>
    <w:rsid w:val="00816CC5"/>
    <w:rsid w:val="00817093"/>
    <w:rsid w:val="00817661"/>
    <w:rsid w:val="008208F4"/>
    <w:rsid w:val="0082113D"/>
    <w:rsid w:val="00822DB3"/>
    <w:rsid w:val="00822F9B"/>
    <w:rsid w:val="008237CD"/>
    <w:rsid w:val="00823E51"/>
    <w:rsid w:val="008250DE"/>
    <w:rsid w:val="00825818"/>
    <w:rsid w:val="00825B81"/>
    <w:rsid w:val="008260C5"/>
    <w:rsid w:val="00826EEE"/>
    <w:rsid w:val="008277EB"/>
    <w:rsid w:val="00827F2D"/>
    <w:rsid w:val="00827F64"/>
    <w:rsid w:val="00827FCC"/>
    <w:rsid w:val="00830436"/>
    <w:rsid w:val="00831AEE"/>
    <w:rsid w:val="008328AD"/>
    <w:rsid w:val="00832EAE"/>
    <w:rsid w:val="00833788"/>
    <w:rsid w:val="008337D5"/>
    <w:rsid w:val="00833A70"/>
    <w:rsid w:val="00833DD9"/>
    <w:rsid w:val="0083413F"/>
    <w:rsid w:val="008352DE"/>
    <w:rsid w:val="008358AD"/>
    <w:rsid w:val="00835A21"/>
    <w:rsid w:val="008369A4"/>
    <w:rsid w:val="0083716D"/>
    <w:rsid w:val="008378F9"/>
    <w:rsid w:val="00840289"/>
    <w:rsid w:val="00840BB3"/>
    <w:rsid w:val="008412FA"/>
    <w:rsid w:val="00841B23"/>
    <w:rsid w:val="00841E7A"/>
    <w:rsid w:val="0084204E"/>
    <w:rsid w:val="00842262"/>
    <w:rsid w:val="00842ACB"/>
    <w:rsid w:val="00843A77"/>
    <w:rsid w:val="00844241"/>
    <w:rsid w:val="00844498"/>
    <w:rsid w:val="008447FA"/>
    <w:rsid w:val="0084598D"/>
    <w:rsid w:val="00845A61"/>
    <w:rsid w:val="008460D2"/>
    <w:rsid w:val="008462B6"/>
    <w:rsid w:val="00850945"/>
    <w:rsid w:val="00851CA8"/>
    <w:rsid w:val="00852BD5"/>
    <w:rsid w:val="008533E1"/>
    <w:rsid w:val="008544EF"/>
    <w:rsid w:val="00854AD9"/>
    <w:rsid w:val="00856B39"/>
    <w:rsid w:val="00856F95"/>
    <w:rsid w:val="008570D0"/>
    <w:rsid w:val="00860448"/>
    <w:rsid w:val="0086087F"/>
    <w:rsid w:val="00860A83"/>
    <w:rsid w:val="00860BE6"/>
    <w:rsid w:val="00860E60"/>
    <w:rsid w:val="00861217"/>
    <w:rsid w:val="0086139A"/>
    <w:rsid w:val="00861DAD"/>
    <w:rsid w:val="0086310F"/>
    <w:rsid w:val="00863D52"/>
    <w:rsid w:val="008645E6"/>
    <w:rsid w:val="00864743"/>
    <w:rsid w:val="008661EF"/>
    <w:rsid w:val="00866D52"/>
    <w:rsid w:val="00867899"/>
    <w:rsid w:val="00870A5A"/>
    <w:rsid w:val="00870E1C"/>
    <w:rsid w:val="00871A1C"/>
    <w:rsid w:val="00871A90"/>
    <w:rsid w:val="008730F7"/>
    <w:rsid w:val="00873322"/>
    <w:rsid w:val="00873D56"/>
    <w:rsid w:val="00874C24"/>
    <w:rsid w:val="00875457"/>
    <w:rsid w:val="00875890"/>
    <w:rsid w:val="00876521"/>
    <w:rsid w:val="00876665"/>
    <w:rsid w:val="00876E7F"/>
    <w:rsid w:val="00877306"/>
    <w:rsid w:val="008776D3"/>
    <w:rsid w:val="00877A29"/>
    <w:rsid w:val="00877C49"/>
    <w:rsid w:val="00877EFE"/>
    <w:rsid w:val="008803B9"/>
    <w:rsid w:val="008818E7"/>
    <w:rsid w:val="00881D25"/>
    <w:rsid w:val="008826CA"/>
    <w:rsid w:val="008827C3"/>
    <w:rsid w:val="008828BA"/>
    <w:rsid w:val="00883820"/>
    <w:rsid w:val="008850CA"/>
    <w:rsid w:val="008851A9"/>
    <w:rsid w:val="00885A70"/>
    <w:rsid w:val="00885F5A"/>
    <w:rsid w:val="00885F74"/>
    <w:rsid w:val="008865FC"/>
    <w:rsid w:val="0088660A"/>
    <w:rsid w:val="008866A7"/>
    <w:rsid w:val="0088673D"/>
    <w:rsid w:val="008867EB"/>
    <w:rsid w:val="0088698F"/>
    <w:rsid w:val="00886A32"/>
    <w:rsid w:val="00886B2D"/>
    <w:rsid w:val="008876FD"/>
    <w:rsid w:val="008900B1"/>
    <w:rsid w:val="00891B56"/>
    <w:rsid w:val="00891D1B"/>
    <w:rsid w:val="00892990"/>
    <w:rsid w:val="008962D3"/>
    <w:rsid w:val="00896655"/>
    <w:rsid w:val="008977B2"/>
    <w:rsid w:val="0089797E"/>
    <w:rsid w:val="008A03C3"/>
    <w:rsid w:val="008A23E0"/>
    <w:rsid w:val="008A25AC"/>
    <w:rsid w:val="008A2631"/>
    <w:rsid w:val="008A3078"/>
    <w:rsid w:val="008A38BE"/>
    <w:rsid w:val="008A48C3"/>
    <w:rsid w:val="008A4AE8"/>
    <w:rsid w:val="008A669C"/>
    <w:rsid w:val="008A690F"/>
    <w:rsid w:val="008A6E9D"/>
    <w:rsid w:val="008B0BF7"/>
    <w:rsid w:val="008B1683"/>
    <w:rsid w:val="008B1F5F"/>
    <w:rsid w:val="008B233C"/>
    <w:rsid w:val="008B39B8"/>
    <w:rsid w:val="008B45B4"/>
    <w:rsid w:val="008B4BC0"/>
    <w:rsid w:val="008B5886"/>
    <w:rsid w:val="008B5DE9"/>
    <w:rsid w:val="008B60DC"/>
    <w:rsid w:val="008B6134"/>
    <w:rsid w:val="008B6187"/>
    <w:rsid w:val="008B6287"/>
    <w:rsid w:val="008B6A03"/>
    <w:rsid w:val="008B6C0B"/>
    <w:rsid w:val="008C057D"/>
    <w:rsid w:val="008C1911"/>
    <w:rsid w:val="008C3109"/>
    <w:rsid w:val="008C3611"/>
    <w:rsid w:val="008C3FF2"/>
    <w:rsid w:val="008C4C7D"/>
    <w:rsid w:val="008C5122"/>
    <w:rsid w:val="008C59EA"/>
    <w:rsid w:val="008C6056"/>
    <w:rsid w:val="008C7A35"/>
    <w:rsid w:val="008D0258"/>
    <w:rsid w:val="008D1BB2"/>
    <w:rsid w:val="008D1CBC"/>
    <w:rsid w:val="008D20A7"/>
    <w:rsid w:val="008D2CAB"/>
    <w:rsid w:val="008D312E"/>
    <w:rsid w:val="008D36DF"/>
    <w:rsid w:val="008D3869"/>
    <w:rsid w:val="008D48C5"/>
    <w:rsid w:val="008D4AC2"/>
    <w:rsid w:val="008D4B81"/>
    <w:rsid w:val="008D528E"/>
    <w:rsid w:val="008D605A"/>
    <w:rsid w:val="008D611E"/>
    <w:rsid w:val="008D70B2"/>
    <w:rsid w:val="008E0BCD"/>
    <w:rsid w:val="008E0FE6"/>
    <w:rsid w:val="008E14CF"/>
    <w:rsid w:val="008E166A"/>
    <w:rsid w:val="008E189A"/>
    <w:rsid w:val="008E24C0"/>
    <w:rsid w:val="008E3504"/>
    <w:rsid w:val="008E3C88"/>
    <w:rsid w:val="008E4FA7"/>
    <w:rsid w:val="008E5C91"/>
    <w:rsid w:val="008E5CC0"/>
    <w:rsid w:val="008E5E54"/>
    <w:rsid w:val="008E62A4"/>
    <w:rsid w:val="008E68D0"/>
    <w:rsid w:val="008E710C"/>
    <w:rsid w:val="008E7491"/>
    <w:rsid w:val="008F11B9"/>
    <w:rsid w:val="008F20EA"/>
    <w:rsid w:val="008F2485"/>
    <w:rsid w:val="008F3377"/>
    <w:rsid w:val="008F3659"/>
    <w:rsid w:val="008F4951"/>
    <w:rsid w:val="008F5A58"/>
    <w:rsid w:val="008F5F32"/>
    <w:rsid w:val="008F6D51"/>
    <w:rsid w:val="008F7853"/>
    <w:rsid w:val="009010B1"/>
    <w:rsid w:val="0090172C"/>
    <w:rsid w:val="00901FA3"/>
    <w:rsid w:val="00902965"/>
    <w:rsid w:val="00903292"/>
    <w:rsid w:val="009038BD"/>
    <w:rsid w:val="00903B9F"/>
    <w:rsid w:val="00903EA1"/>
    <w:rsid w:val="00904A67"/>
    <w:rsid w:val="00904BA2"/>
    <w:rsid w:val="00906730"/>
    <w:rsid w:val="0090691F"/>
    <w:rsid w:val="00906E08"/>
    <w:rsid w:val="00906F22"/>
    <w:rsid w:val="00910125"/>
    <w:rsid w:val="00910944"/>
    <w:rsid w:val="00910E0E"/>
    <w:rsid w:val="00911F2E"/>
    <w:rsid w:val="00912B01"/>
    <w:rsid w:val="009135B8"/>
    <w:rsid w:val="00913849"/>
    <w:rsid w:val="00913DB5"/>
    <w:rsid w:val="0091569F"/>
    <w:rsid w:val="00915FFC"/>
    <w:rsid w:val="00916694"/>
    <w:rsid w:val="00916EA7"/>
    <w:rsid w:val="00916EBC"/>
    <w:rsid w:val="00917452"/>
    <w:rsid w:val="009176F5"/>
    <w:rsid w:val="00920732"/>
    <w:rsid w:val="00921C9D"/>
    <w:rsid w:val="00921DF8"/>
    <w:rsid w:val="009226D9"/>
    <w:rsid w:val="0092373C"/>
    <w:rsid w:val="0092383D"/>
    <w:rsid w:val="0092463C"/>
    <w:rsid w:val="00925FA8"/>
    <w:rsid w:val="009262D2"/>
    <w:rsid w:val="00926A1C"/>
    <w:rsid w:val="00927063"/>
    <w:rsid w:val="009271AD"/>
    <w:rsid w:val="009300BB"/>
    <w:rsid w:val="009301E9"/>
    <w:rsid w:val="009303F3"/>
    <w:rsid w:val="009306EA"/>
    <w:rsid w:val="00931139"/>
    <w:rsid w:val="00931CC7"/>
    <w:rsid w:val="00933058"/>
    <w:rsid w:val="00933068"/>
    <w:rsid w:val="00933575"/>
    <w:rsid w:val="00933BF9"/>
    <w:rsid w:val="00933DB2"/>
    <w:rsid w:val="00934339"/>
    <w:rsid w:val="00936167"/>
    <w:rsid w:val="00936BC3"/>
    <w:rsid w:val="00937D6B"/>
    <w:rsid w:val="00940D0E"/>
    <w:rsid w:val="00940F63"/>
    <w:rsid w:val="00940FD7"/>
    <w:rsid w:val="0094245E"/>
    <w:rsid w:val="00942BCD"/>
    <w:rsid w:val="0094321F"/>
    <w:rsid w:val="00943670"/>
    <w:rsid w:val="00944A78"/>
    <w:rsid w:val="00944B9C"/>
    <w:rsid w:val="0094568E"/>
    <w:rsid w:val="009458B1"/>
    <w:rsid w:val="00945919"/>
    <w:rsid w:val="009459F7"/>
    <w:rsid w:val="009461C0"/>
    <w:rsid w:val="009468EA"/>
    <w:rsid w:val="00947D6A"/>
    <w:rsid w:val="00947DF5"/>
    <w:rsid w:val="009505D5"/>
    <w:rsid w:val="009507D1"/>
    <w:rsid w:val="009528A9"/>
    <w:rsid w:val="00952C49"/>
    <w:rsid w:val="00953860"/>
    <w:rsid w:val="009541B0"/>
    <w:rsid w:val="009559E3"/>
    <w:rsid w:val="0095723F"/>
    <w:rsid w:val="00957678"/>
    <w:rsid w:val="009608BA"/>
    <w:rsid w:val="0096120E"/>
    <w:rsid w:val="00962BC0"/>
    <w:rsid w:val="00962FA2"/>
    <w:rsid w:val="0096459B"/>
    <w:rsid w:val="00964982"/>
    <w:rsid w:val="009664F8"/>
    <w:rsid w:val="00967DBF"/>
    <w:rsid w:val="0097060D"/>
    <w:rsid w:val="0097068A"/>
    <w:rsid w:val="00970B74"/>
    <w:rsid w:val="00970EBB"/>
    <w:rsid w:val="00971125"/>
    <w:rsid w:val="00971733"/>
    <w:rsid w:val="00971942"/>
    <w:rsid w:val="0097256B"/>
    <w:rsid w:val="0097361D"/>
    <w:rsid w:val="00973AA6"/>
    <w:rsid w:val="0097400A"/>
    <w:rsid w:val="00975081"/>
    <w:rsid w:val="00975DEB"/>
    <w:rsid w:val="00975F74"/>
    <w:rsid w:val="009762F0"/>
    <w:rsid w:val="009764CF"/>
    <w:rsid w:val="009771C7"/>
    <w:rsid w:val="00977243"/>
    <w:rsid w:val="00977B84"/>
    <w:rsid w:val="009802A6"/>
    <w:rsid w:val="00981150"/>
    <w:rsid w:val="0098157F"/>
    <w:rsid w:val="009826BA"/>
    <w:rsid w:val="009826CD"/>
    <w:rsid w:val="009828E7"/>
    <w:rsid w:val="00982D21"/>
    <w:rsid w:val="00983292"/>
    <w:rsid w:val="00984392"/>
    <w:rsid w:val="0098555E"/>
    <w:rsid w:val="00985C6C"/>
    <w:rsid w:val="009861E5"/>
    <w:rsid w:val="00986A13"/>
    <w:rsid w:val="009919C8"/>
    <w:rsid w:val="00991BA9"/>
    <w:rsid w:val="00992D96"/>
    <w:rsid w:val="00992E1D"/>
    <w:rsid w:val="009932A7"/>
    <w:rsid w:val="00993437"/>
    <w:rsid w:val="00993AEE"/>
    <w:rsid w:val="0099499D"/>
    <w:rsid w:val="00994BE7"/>
    <w:rsid w:val="00995CFA"/>
    <w:rsid w:val="00996240"/>
    <w:rsid w:val="00996AF9"/>
    <w:rsid w:val="00996DD3"/>
    <w:rsid w:val="00997F05"/>
    <w:rsid w:val="009A03D3"/>
    <w:rsid w:val="009A0C53"/>
    <w:rsid w:val="009A1312"/>
    <w:rsid w:val="009A25C0"/>
    <w:rsid w:val="009A2886"/>
    <w:rsid w:val="009A29EC"/>
    <w:rsid w:val="009A32F3"/>
    <w:rsid w:val="009A39AA"/>
    <w:rsid w:val="009A40A7"/>
    <w:rsid w:val="009A4205"/>
    <w:rsid w:val="009A455A"/>
    <w:rsid w:val="009A4F8E"/>
    <w:rsid w:val="009A711F"/>
    <w:rsid w:val="009A7458"/>
    <w:rsid w:val="009A746C"/>
    <w:rsid w:val="009B0487"/>
    <w:rsid w:val="009B0678"/>
    <w:rsid w:val="009B0FD3"/>
    <w:rsid w:val="009B1F63"/>
    <w:rsid w:val="009B280D"/>
    <w:rsid w:val="009B29B2"/>
    <w:rsid w:val="009B319A"/>
    <w:rsid w:val="009B31E5"/>
    <w:rsid w:val="009B3869"/>
    <w:rsid w:val="009B5024"/>
    <w:rsid w:val="009B5052"/>
    <w:rsid w:val="009B5DD5"/>
    <w:rsid w:val="009B5ED3"/>
    <w:rsid w:val="009B5F0F"/>
    <w:rsid w:val="009B6513"/>
    <w:rsid w:val="009B6E10"/>
    <w:rsid w:val="009B74EF"/>
    <w:rsid w:val="009B7B55"/>
    <w:rsid w:val="009B7E29"/>
    <w:rsid w:val="009C0A0C"/>
    <w:rsid w:val="009C0F2E"/>
    <w:rsid w:val="009C1EBA"/>
    <w:rsid w:val="009C277E"/>
    <w:rsid w:val="009C2F1E"/>
    <w:rsid w:val="009C36D7"/>
    <w:rsid w:val="009C4014"/>
    <w:rsid w:val="009C4825"/>
    <w:rsid w:val="009C4F1E"/>
    <w:rsid w:val="009C504B"/>
    <w:rsid w:val="009C5406"/>
    <w:rsid w:val="009C5698"/>
    <w:rsid w:val="009C5CF2"/>
    <w:rsid w:val="009C5D06"/>
    <w:rsid w:val="009C6205"/>
    <w:rsid w:val="009C7102"/>
    <w:rsid w:val="009C78AD"/>
    <w:rsid w:val="009D0DBB"/>
    <w:rsid w:val="009D18FF"/>
    <w:rsid w:val="009D19A3"/>
    <w:rsid w:val="009D4678"/>
    <w:rsid w:val="009D4B53"/>
    <w:rsid w:val="009D502F"/>
    <w:rsid w:val="009D52E5"/>
    <w:rsid w:val="009D58C6"/>
    <w:rsid w:val="009D5A73"/>
    <w:rsid w:val="009D5E4D"/>
    <w:rsid w:val="009D6527"/>
    <w:rsid w:val="009D693D"/>
    <w:rsid w:val="009D77BB"/>
    <w:rsid w:val="009E02EF"/>
    <w:rsid w:val="009E049A"/>
    <w:rsid w:val="009E058D"/>
    <w:rsid w:val="009E0A96"/>
    <w:rsid w:val="009E1685"/>
    <w:rsid w:val="009E246B"/>
    <w:rsid w:val="009E26B5"/>
    <w:rsid w:val="009E29F5"/>
    <w:rsid w:val="009E31E9"/>
    <w:rsid w:val="009E346A"/>
    <w:rsid w:val="009E40F3"/>
    <w:rsid w:val="009E61A8"/>
    <w:rsid w:val="009E710D"/>
    <w:rsid w:val="009E7D20"/>
    <w:rsid w:val="009F0C7A"/>
    <w:rsid w:val="009F0F63"/>
    <w:rsid w:val="009F16C7"/>
    <w:rsid w:val="009F16CD"/>
    <w:rsid w:val="009F23EA"/>
    <w:rsid w:val="009F29BF"/>
    <w:rsid w:val="009F2ADA"/>
    <w:rsid w:val="009F3E90"/>
    <w:rsid w:val="009F41E0"/>
    <w:rsid w:val="009F4C3F"/>
    <w:rsid w:val="009F6771"/>
    <w:rsid w:val="009F6E5A"/>
    <w:rsid w:val="009F792F"/>
    <w:rsid w:val="00A01043"/>
    <w:rsid w:val="00A01A66"/>
    <w:rsid w:val="00A037F8"/>
    <w:rsid w:val="00A03E94"/>
    <w:rsid w:val="00A03FBA"/>
    <w:rsid w:val="00A04D9A"/>
    <w:rsid w:val="00A0530C"/>
    <w:rsid w:val="00A0542F"/>
    <w:rsid w:val="00A060EB"/>
    <w:rsid w:val="00A065E6"/>
    <w:rsid w:val="00A06CD4"/>
    <w:rsid w:val="00A07E4E"/>
    <w:rsid w:val="00A101C8"/>
    <w:rsid w:val="00A10D4F"/>
    <w:rsid w:val="00A1120A"/>
    <w:rsid w:val="00A11735"/>
    <w:rsid w:val="00A117BC"/>
    <w:rsid w:val="00A12973"/>
    <w:rsid w:val="00A13AE0"/>
    <w:rsid w:val="00A1401A"/>
    <w:rsid w:val="00A14CB4"/>
    <w:rsid w:val="00A153A9"/>
    <w:rsid w:val="00A15437"/>
    <w:rsid w:val="00A15B13"/>
    <w:rsid w:val="00A15CFB"/>
    <w:rsid w:val="00A166B1"/>
    <w:rsid w:val="00A16E82"/>
    <w:rsid w:val="00A20B0C"/>
    <w:rsid w:val="00A212AB"/>
    <w:rsid w:val="00A212B5"/>
    <w:rsid w:val="00A2149A"/>
    <w:rsid w:val="00A21748"/>
    <w:rsid w:val="00A21F53"/>
    <w:rsid w:val="00A21FE5"/>
    <w:rsid w:val="00A22C2E"/>
    <w:rsid w:val="00A22DC9"/>
    <w:rsid w:val="00A22E0B"/>
    <w:rsid w:val="00A23E61"/>
    <w:rsid w:val="00A24342"/>
    <w:rsid w:val="00A246D4"/>
    <w:rsid w:val="00A24EFD"/>
    <w:rsid w:val="00A25427"/>
    <w:rsid w:val="00A25E0E"/>
    <w:rsid w:val="00A267AE"/>
    <w:rsid w:val="00A31531"/>
    <w:rsid w:val="00A31A63"/>
    <w:rsid w:val="00A31F75"/>
    <w:rsid w:val="00A3289A"/>
    <w:rsid w:val="00A33EE0"/>
    <w:rsid w:val="00A34B0E"/>
    <w:rsid w:val="00A34EA1"/>
    <w:rsid w:val="00A3512D"/>
    <w:rsid w:val="00A3553D"/>
    <w:rsid w:val="00A371AC"/>
    <w:rsid w:val="00A37269"/>
    <w:rsid w:val="00A37514"/>
    <w:rsid w:val="00A3757C"/>
    <w:rsid w:val="00A40A78"/>
    <w:rsid w:val="00A40A87"/>
    <w:rsid w:val="00A40C5B"/>
    <w:rsid w:val="00A40E05"/>
    <w:rsid w:val="00A40FEB"/>
    <w:rsid w:val="00A41434"/>
    <w:rsid w:val="00A42A83"/>
    <w:rsid w:val="00A437A5"/>
    <w:rsid w:val="00A437DD"/>
    <w:rsid w:val="00A4394F"/>
    <w:rsid w:val="00A43B58"/>
    <w:rsid w:val="00A43E54"/>
    <w:rsid w:val="00A442CD"/>
    <w:rsid w:val="00A45943"/>
    <w:rsid w:val="00A469D9"/>
    <w:rsid w:val="00A4784E"/>
    <w:rsid w:val="00A47B70"/>
    <w:rsid w:val="00A51393"/>
    <w:rsid w:val="00A5192B"/>
    <w:rsid w:val="00A52880"/>
    <w:rsid w:val="00A52BC3"/>
    <w:rsid w:val="00A533ED"/>
    <w:rsid w:val="00A53A07"/>
    <w:rsid w:val="00A53C5A"/>
    <w:rsid w:val="00A53F0E"/>
    <w:rsid w:val="00A54537"/>
    <w:rsid w:val="00A54EEF"/>
    <w:rsid w:val="00A55DD4"/>
    <w:rsid w:val="00A55E55"/>
    <w:rsid w:val="00A56791"/>
    <w:rsid w:val="00A56C08"/>
    <w:rsid w:val="00A572A7"/>
    <w:rsid w:val="00A577AC"/>
    <w:rsid w:val="00A6156D"/>
    <w:rsid w:val="00A6156E"/>
    <w:rsid w:val="00A615CA"/>
    <w:rsid w:val="00A615FF"/>
    <w:rsid w:val="00A61749"/>
    <w:rsid w:val="00A61D82"/>
    <w:rsid w:val="00A61D85"/>
    <w:rsid w:val="00A62CC4"/>
    <w:rsid w:val="00A62DAE"/>
    <w:rsid w:val="00A63B18"/>
    <w:rsid w:val="00A63B90"/>
    <w:rsid w:val="00A64103"/>
    <w:rsid w:val="00A644C8"/>
    <w:rsid w:val="00A64F22"/>
    <w:rsid w:val="00A66668"/>
    <w:rsid w:val="00A666D0"/>
    <w:rsid w:val="00A66D4F"/>
    <w:rsid w:val="00A67195"/>
    <w:rsid w:val="00A672D8"/>
    <w:rsid w:val="00A70693"/>
    <w:rsid w:val="00A70D0A"/>
    <w:rsid w:val="00A70F29"/>
    <w:rsid w:val="00A7153B"/>
    <w:rsid w:val="00A7193F"/>
    <w:rsid w:val="00A72377"/>
    <w:rsid w:val="00A7256C"/>
    <w:rsid w:val="00A72F73"/>
    <w:rsid w:val="00A73A4E"/>
    <w:rsid w:val="00A74B9B"/>
    <w:rsid w:val="00A74F1D"/>
    <w:rsid w:val="00A75413"/>
    <w:rsid w:val="00A75955"/>
    <w:rsid w:val="00A759A4"/>
    <w:rsid w:val="00A75D1E"/>
    <w:rsid w:val="00A76142"/>
    <w:rsid w:val="00A76198"/>
    <w:rsid w:val="00A76D06"/>
    <w:rsid w:val="00A7752A"/>
    <w:rsid w:val="00A77FF7"/>
    <w:rsid w:val="00A8023C"/>
    <w:rsid w:val="00A804C6"/>
    <w:rsid w:val="00A80A6A"/>
    <w:rsid w:val="00A82946"/>
    <w:rsid w:val="00A82CC7"/>
    <w:rsid w:val="00A831C9"/>
    <w:rsid w:val="00A83268"/>
    <w:rsid w:val="00A838CD"/>
    <w:rsid w:val="00A84E47"/>
    <w:rsid w:val="00A85C79"/>
    <w:rsid w:val="00A908C4"/>
    <w:rsid w:val="00A90C48"/>
    <w:rsid w:val="00A91D64"/>
    <w:rsid w:val="00A91ECD"/>
    <w:rsid w:val="00A929D8"/>
    <w:rsid w:val="00A92A5D"/>
    <w:rsid w:val="00A92E83"/>
    <w:rsid w:val="00A95DD8"/>
    <w:rsid w:val="00A976BD"/>
    <w:rsid w:val="00AA0362"/>
    <w:rsid w:val="00AA0D06"/>
    <w:rsid w:val="00AA1553"/>
    <w:rsid w:val="00AA1E78"/>
    <w:rsid w:val="00AA2379"/>
    <w:rsid w:val="00AA3CC5"/>
    <w:rsid w:val="00AA64F8"/>
    <w:rsid w:val="00AA6BCD"/>
    <w:rsid w:val="00AA702C"/>
    <w:rsid w:val="00AA74C4"/>
    <w:rsid w:val="00AB00E6"/>
    <w:rsid w:val="00AB0805"/>
    <w:rsid w:val="00AB0D59"/>
    <w:rsid w:val="00AB1215"/>
    <w:rsid w:val="00AB2D4C"/>
    <w:rsid w:val="00AB379D"/>
    <w:rsid w:val="00AB3B68"/>
    <w:rsid w:val="00AB3FF1"/>
    <w:rsid w:val="00AB415D"/>
    <w:rsid w:val="00AB5225"/>
    <w:rsid w:val="00AB52ED"/>
    <w:rsid w:val="00AB54DE"/>
    <w:rsid w:val="00AB5678"/>
    <w:rsid w:val="00AB5ABB"/>
    <w:rsid w:val="00AB61AC"/>
    <w:rsid w:val="00AB7824"/>
    <w:rsid w:val="00AC08E3"/>
    <w:rsid w:val="00AC09A3"/>
    <w:rsid w:val="00AC09D1"/>
    <w:rsid w:val="00AC0E27"/>
    <w:rsid w:val="00AC103B"/>
    <w:rsid w:val="00AC181A"/>
    <w:rsid w:val="00AC1A21"/>
    <w:rsid w:val="00AC25B9"/>
    <w:rsid w:val="00AC28DD"/>
    <w:rsid w:val="00AC2CD5"/>
    <w:rsid w:val="00AC3A6D"/>
    <w:rsid w:val="00AC40DA"/>
    <w:rsid w:val="00AC4154"/>
    <w:rsid w:val="00AC43F6"/>
    <w:rsid w:val="00AC4EF2"/>
    <w:rsid w:val="00AC53E9"/>
    <w:rsid w:val="00AC5889"/>
    <w:rsid w:val="00AC5D4C"/>
    <w:rsid w:val="00AC6A2B"/>
    <w:rsid w:val="00AC7025"/>
    <w:rsid w:val="00AD1592"/>
    <w:rsid w:val="00AD15C6"/>
    <w:rsid w:val="00AD1AA8"/>
    <w:rsid w:val="00AD2881"/>
    <w:rsid w:val="00AD33A7"/>
    <w:rsid w:val="00AD3495"/>
    <w:rsid w:val="00AD4155"/>
    <w:rsid w:val="00AD42F7"/>
    <w:rsid w:val="00AD4EBD"/>
    <w:rsid w:val="00AD4EEF"/>
    <w:rsid w:val="00AD5F4C"/>
    <w:rsid w:val="00AD626D"/>
    <w:rsid w:val="00AD64B1"/>
    <w:rsid w:val="00AD6993"/>
    <w:rsid w:val="00AD69C0"/>
    <w:rsid w:val="00AD7D30"/>
    <w:rsid w:val="00AE01EB"/>
    <w:rsid w:val="00AE0EA8"/>
    <w:rsid w:val="00AE1309"/>
    <w:rsid w:val="00AE15AA"/>
    <w:rsid w:val="00AE1A11"/>
    <w:rsid w:val="00AE3C2E"/>
    <w:rsid w:val="00AE3E83"/>
    <w:rsid w:val="00AE4160"/>
    <w:rsid w:val="00AE42B3"/>
    <w:rsid w:val="00AE5465"/>
    <w:rsid w:val="00AE6485"/>
    <w:rsid w:val="00AE7D4D"/>
    <w:rsid w:val="00AF045E"/>
    <w:rsid w:val="00AF12DC"/>
    <w:rsid w:val="00AF2156"/>
    <w:rsid w:val="00AF2451"/>
    <w:rsid w:val="00AF269D"/>
    <w:rsid w:val="00AF26CA"/>
    <w:rsid w:val="00AF3521"/>
    <w:rsid w:val="00AF4B5E"/>
    <w:rsid w:val="00AF5890"/>
    <w:rsid w:val="00AF62D1"/>
    <w:rsid w:val="00AF6352"/>
    <w:rsid w:val="00AF65E5"/>
    <w:rsid w:val="00AF663C"/>
    <w:rsid w:val="00AF6823"/>
    <w:rsid w:val="00AF76FF"/>
    <w:rsid w:val="00AF7B12"/>
    <w:rsid w:val="00B00E1D"/>
    <w:rsid w:val="00B021D4"/>
    <w:rsid w:val="00B029CC"/>
    <w:rsid w:val="00B03A45"/>
    <w:rsid w:val="00B04B1B"/>
    <w:rsid w:val="00B04DE9"/>
    <w:rsid w:val="00B05420"/>
    <w:rsid w:val="00B06DC8"/>
    <w:rsid w:val="00B06DDB"/>
    <w:rsid w:val="00B07839"/>
    <w:rsid w:val="00B07B26"/>
    <w:rsid w:val="00B102F2"/>
    <w:rsid w:val="00B11943"/>
    <w:rsid w:val="00B126DE"/>
    <w:rsid w:val="00B12C76"/>
    <w:rsid w:val="00B1372F"/>
    <w:rsid w:val="00B1464F"/>
    <w:rsid w:val="00B14E76"/>
    <w:rsid w:val="00B14F4D"/>
    <w:rsid w:val="00B15548"/>
    <w:rsid w:val="00B157C1"/>
    <w:rsid w:val="00B165B1"/>
    <w:rsid w:val="00B16D60"/>
    <w:rsid w:val="00B176DA"/>
    <w:rsid w:val="00B176E1"/>
    <w:rsid w:val="00B20A50"/>
    <w:rsid w:val="00B219CF"/>
    <w:rsid w:val="00B21C95"/>
    <w:rsid w:val="00B220AE"/>
    <w:rsid w:val="00B22EB1"/>
    <w:rsid w:val="00B235D9"/>
    <w:rsid w:val="00B246DF"/>
    <w:rsid w:val="00B2503C"/>
    <w:rsid w:val="00B251C0"/>
    <w:rsid w:val="00B259EC"/>
    <w:rsid w:val="00B26676"/>
    <w:rsid w:val="00B27ED6"/>
    <w:rsid w:val="00B305B7"/>
    <w:rsid w:val="00B32638"/>
    <w:rsid w:val="00B3329E"/>
    <w:rsid w:val="00B33326"/>
    <w:rsid w:val="00B34FAE"/>
    <w:rsid w:val="00B3575D"/>
    <w:rsid w:val="00B35CF0"/>
    <w:rsid w:val="00B369D0"/>
    <w:rsid w:val="00B3704D"/>
    <w:rsid w:val="00B37313"/>
    <w:rsid w:val="00B37E7E"/>
    <w:rsid w:val="00B4020B"/>
    <w:rsid w:val="00B41452"/>
    <w:rsid w:val="00B415D7"/>
    <w:rsid w:val="00B42D92"/>
    <w:rsid w:val="00B4348B"/>
    <w:rsid w:val="00B43D71"/>
    <w:rsid w:val="00B447E4"/>
    <w:rsid w:val="00B4533F"/>
    <w:rsid w:val="00B46051"/>
    <w:rsid w:val="00B46841"/>
    <w:rsid w:val="00B47248"/>
    <w:rsid w:val="00B4760A"/>
    <w:rsid w:val="00B47889"/>
    <w:rsid w:val="00B47BFD"/>
    <w:rsid w:val="00B50645"/>
    <w:rsid w:val="00B507ED"/>
    <w:rsid w:val="00B5082C"/>
    <w:rsid w:val="00B50E14"/>
    <w:rsid w:val="00B51B40"/>
    <w:rsid w:val="00B52055"/>
    <w:rsid w:val="00B5289D"/>
    <w:rsid w:val="00B528F7"/>
    <w:rsid w:val="00B54F3B"/>
    <w:rsid w:val="00B55289"/>
    <w:rsid w:val="00B558B3"/>
    <w:rsid w:val="00B558D6"/>
    <w:rsid w:val="00B5595F"/>
    <w:rsid w:val="00B57B5B"/>
    <w:rsid w:val="00B57EEC"/>
    <w:rsid w:val="00B6127A"/>
    <w:rsid w:val="00B61AC2"/>
    <w:rsid w:val="00B61B27"/>
    <w:rsid w:val="00B61CD9"/>
    <w:rsid w:val="00B62752"/>
    <w:rsid w:val="00B629A9"/>
    <w:rsid w:val="00B63C0B"/>
    <w:rsid w:val="00B63D45"/>
    <w:rsid w:val="00B63FCE"/>
    <w:rsid w:val="00B641EB"/>
    <w:rsid w:val="00B64208"/>
    <w:rsid w:val="00B6492A"/>
    <w:rsid w:val="00B64F4F"/>
    <w:rsid w:val="00B66354"/>
    <w:rsid w:val="00B66F33"/>
    <w:rsid w:val="00B678E7"/>
    <w:rsid w:val="00B70539"/>
    <w:rsid w:val="00B70927"/>
    <w:rsid w:val="00B71AC4"/>
    <w:rsid w:val="00B73558"/>
    <w:rsid w:val="00B7384F"/>
    <w:rsid w:val="00B74CC1"/>
    <w:rsid w:val="00B75193"/>
    <w:rsid w:val="00B7581F"/>
    <w:rsid w:val="00B7756F"/>
    <w:rsid w:val="00B77893"/>
    <w:rsid w:val="00B80B87"/>
    <w:rsid w:val="00B8125E"/>
    <w:rsid w:val="00B8179B"/>
    <w:rsid w:val="00B818B9"/>
    <w:rsid w:val="00B8473E"/>
    <w:rsid w:val="00B85134"/>
    <w:rsid w:val="00B8522F"/>
    <w:rsid w:val="00B86094"/>
    <w:rsid w:val="00B8671A"/>
    <w:rsid w:val="00B867CF"/>
    <w:rsid w:val="00B8705E"/>
    <w:rsid w:val="00B87FBA"/>
    <w:rsid w:val="00B90DEA"/>
    <w:rsid w:val="00B91C8F"/>
    <w:rsid w:val="00B91D94"/>
    <w:rsid w:val="00B91F5A"/>
    <w:rsid w:val="00B9204E"/>
    <w:rsid w:val="00B926BA"/>
    <w:rsid w:val="00B92B98"/>
    <w:rsid w:val="00B92D8B"/>
    <w:rsid w:val="00B93277"/>
    <w:rsid w:val="00B945A4"/>
    <w:rsid w:val="00B94676"/>
    <w:rsid w:val="00B94AA6"/>
    <w:rsid w:val="00B94AAF"/>
    <w:rsid w:val="00B95B0A"/>
    <w:rsid w:val="00B95C5D"/>
    <w:rsid w:val="00B95CF4"/>
    <w:rsid w:val="00B95DD0"/>
    <w:rsid w:val="00B97419"/>
    <w:rsid w:val="00BA0B74"/>
    <w:rsid w:val="00BA0C49"/>
    <w:rsid w:val="00BA10BA"/>
    <w:rsid w:val="00BA1C62"/>
    <w:rsid w:val="00BA1D0E"/>
    <w:rsid w:val="00BA26A4"/>
    <w:rsid w:val="00BA2CEF"/>
    <w:rsid w:val="00BA2EB0"/>
    <w:rsid w:val="00BA3135"/>
    <w:rsid w:val="00BA3664"/>
    <w:rsid w:val="00BA3A8F"/>
    <w:rsid w:val="00BA4066"/>
    <w:rsid w:val="00BA43B6"/>
    <w:rsid w:val="00BA46C1"/>
    <w:rsid w:val="00BA56D5"/>
    <w:rsid w:val="00BA5952"/>
    <w:rsid w:val="00BA61A3"/>
    <w:rsid w:val="00BA67C9"/>
    <w:rsid w:val="00BA6AC7"/>
    <w:rsid w:val="00BA718B"/>
    <w:rsid w:val="00BB0010"/>
    <w:rsid w:val="00BB06D4"/>
    <w:rsid w:val="00BB0C28"/>
    <w:rsid w:val="00BB110E"/>
    <w:rsid w:val="00BB26CE"/>
    <w:rsid w:val="00BB3FBD"/>
    <w:rsid w:val="00BB42B1"/>
    <w:rsid w:val="00BB5B5A"/>
    <w:rsid w:val="00BB6F43"/>
    <w:rsid w:val="00BC0B4B"/>
    <w:rsid w:val="00BC2253"/>
    <w:rsid w:val="00BC29D5"/>
    <w:rsid w:val="00BC3127"/>
    <w:rsid w:val="00BC3BC6"/>
    <w:rsid w:val="00BC3CB2"/>
    <w:rsid w:val="00BC44C9"/>
    <w:rsid w:val="00BC45C1"/>
    <w:rsid w:val="00BC4E1B"/>
    <w:rsid w:val="00BC4EA1"/>
    <w:rsid w:val="00BC5241"/>
    <w:rsid w:val="00BC5E41"/>
    <w:rsid w:val="00BC63FF"/>
    <w:rsid w:val="00BC679A"/>
    <w:rsid w:val="00BC6905"/>
    <w:rsid w:val="00BC6C7A"/>
    <w:rsid w:val="00BC77F6"/>
    <w:rsid w:val="00BD0079"/>
    <w:rsid w:val="00BD3466"/>
    <w:rsid w:val="00BD34A2"/>
    <w:rsid w:val="00BD3663"/>
    <w:rsid w:val="00BD3BC9"/>
    <w:rsid w:val="00BD3D41"/>
    <w:rsid w:val="00BD40CB"/>
    <w:rsid w:val="00BD4112"/>
    <w:rsid w:val="00BD5908"/>
    <w:rsid w:val="00BD651F"/>
    <w:rsid w:val="00BD6B5E"/>
    <w:rsid w:val="00BD7710"/>
    <w:rsid w:val="00BD7C4B"/>
    <w:rsid w:val="00BD7F0C"/>
    <w:rsid w:val="00BE002B"/>
    <w:rsid w:val="00BE0389"/>
    <w:rsid w:val="00BE1A9F"/>
    <w:rsid w:val="00BE2A2C"/>
    <w:rsid w:val="00BE2ED0"/>
    <w:rsid w:val="00BE32CC"/>
    <w:rsid w:val="00BE32D2"/>
    <w:rsid w:val="00BE3D8E"/>
    <w:rsid w:val="00BE4179"/>
    <w:rsid w:val="00BE49D7"/>
    <w:rsid w:val="00BE50C4"/>
    <w:rsid w:val="00BE5775"/>
    <w:rsid w:val="00BE66D4"/>
    <w:rsid w:val="00BE6BBF"/>
    <w:rsid w:val="00BE7645"/>
    <w:rsid w:val="00BE77A2"/>
    <w:rsid w:val="00BE7DB4"/>
    <w:rsid w:val="00BF07DF"/>
    <w:rsid w:val="00BF1839"/>
    <w:rsid w:val="00BF2E08"/>
    <w:rsid w:val="00BF40FF"/>
    <w:rsid w:val="00BF5B03"/>
    <w:rsid w:val="00BF68B1"/>
    <w:rsid w:val="00BF69BB"/>
    <w:rsid w:val="00BF6D90"/>
    <w:rsid w:val="00BF75D1"/>
    <w:rsid w:val="00C006C0"/>
    <w:rsid w:val="00C00908"/>
    <w:rsid w:val="00C012ED"/>
    <w:rsid w:val="00C012F6"/>
    <w:rsid w:val="00C014B6"/>
    <w:rsid w:val="00C01B21"/>
    <w:rsid w:val="00C02111"/>
    <w:rsid w:val="00C034CB"/>
    <w:rsid w:val="00C0379C"/>
    <w:rsid w:val="00C03D01"/>
    <w:rsid w:val="00C058C1"/>
    <w:rsid w:val="00C059B8"/>
    <w:rsid w:val="00C05D74"/>
    <w:rsid w:val="00C078A3"/>
    <w:rsid w:val="00C10205"/>
    <w:rsid w:val="00C10A39"/>
    <w:rsid w:val="00C11063"/>
    <w:rsid w:val="00C11F15"/>
    <w:rsid w:val="00C12BA0"/>
    <w:rsid w:val="00C13B0B"/>
    <w:rsid w:val="00C13E9F"/>
    <w:rsid w:val="00C14617"/>
    <w:rsid w:val="00C1489E"/>
    <w:rsid w:val="00C14E3C"/>
    <w:rsid w:val="00C14E85"/>
    <w:rsid w:val="00C15F90"/>
    <w:rsid w:val="00C17411"/>
    <w:rsid w:val="00C17C1C"/>
    <w:rsid w:val="00C17D98"/>
    <w:rsid w:val="00C17F65"/>
    <w:rsid w:val="00C17FDD"/>
    <w:rsid w:val="00C20B57"/>
    <w:rsid w:val="00C215CE"/>
    <w:rsid w:val="00C2161B"/>
    <w:rsid w:val="00C22252"/>
    <w:rsid w:val="00C22395"/>
    <w:rsid w:val="00C223D0"/>
    <w:rsid w:val="00C22DCB"/>
    <w:rsid w:val="00C22E08"/>
    <w:rsid w:val="00C241C1"/>
    <w:rsid w:val="00C242BE"/>
    <w:rsid w:val="00C25D36"/>
    <w:rsid w:val="00C27154"/>
    <w:rsid w:val="00C272CD"/>
    <w:rsid w:val="00C278A7"/>
    <w:rsid w:val="00C27BEB"/>
    <w:rsid w:val="00C303A3"/>
    <w:rsid w:val="00C30846"/>
    <w:rsid w:val="00C308E3"/>
    <w:rsid w:val="00C30A18"/>
    <w:rsid w:val="00C30A6F"/>
    <w:rsid w:val="00C30C6B"/>
    <w:rsid w:val="00C3111C"/>
    <w:rsid w:val="00C31721"/>
    <w:rsid w:val="00C31EDC"/>
    <w:rsid w:val="00C3241A"/>
    <w:rsid w:val="00C326D1"/>
    <w:rsid w:val="00C3271A"/>
    <w:rsid w:val="00C32EED"/>
    <w:rsid w:val="00C33142"/>
    <w:rsid w:val="00C33726"/>
    <w:rsid w:val="00C347D4"/>
    <w:rsid w:val="00C355B9"/>
    <w:rsid w:val="00C35CF0"/>
    <w:rsid w:val="00C36CBE"/>
    <w:rsid w:val="00C36D9D"/>
    <w:rsid w:val="00C371DD"/>
    <w:rsid w:val="00C377E5"/>
    <w:rsid w:val="00C4023C"/>
    <w:rsid w:val="00C41306"/>
    <w:rsid w:val="00C426E3"/>
    <w:rsid w:val="00C42D41"/>
    <w:rsid w:val="00C438A1"/>
    <w:rsid w:val="00C43D63"/>
    <w:rsid w:val="00C43FCA"/>
    <w:rsid w:val="00C44218"/>
    <w:rsid w:val="00C442F7"/>
    <w:rsid w:val="00C454ED"/>
    <w:rsid w:val="00C45C48"/>
    <w:rsid w:val="00C45CCE"/>
    <w:rsid w:val="00C45E79"/>
    <w:rsid w:val="00C466C3"/>
    <w:rsid w:val="00C47586"/>
    <w:rsid w:val="00C50801"/>
    <w:rsid w:val="00C50A6E"/>
    <w:rsid w:val="00C50E0A"/>
    <w:rsid w:val="00C516CE"/>
    <w:rsid w:val="00C52438"/>
    <w:rsid w:val="00C53318"/>
    <w:rsid w:val="00C535B6"/>
    <w:rsid w:val="00C537A5"/>
    <w:rsid w:val="00C53C64"/>
    <w:rsid w:val="00C54602"/>
    <w:rsid w:val="00C55B6C"/>
    <w:rsid w:val="00C5627C"/>
    <w:rsid w:val="00C5654D"/>
    <w:rsid w:val="00C56748"/>
    <w:rsid w:val="00C57124"/>
    <w:rsid w:val="00C60048"/>
    <w:rsid w:val="00C60B94"/>
    <w:rsid w:val="00C619A2"/>
    <w:rsid w:val="00C621A6"/>
    <w:rsid w:val="00C63B0C"/>
    <w:rsid w:val="00C64237"/>
    <w:rsid w:val="00C657EB"/>
    <w:rsid w:val="00C6584B"/>
    <w:rsid w:val="00C65EB3"/>
    <w:rsid w:val="00C65F35"/>
    <w:rsid w:val="00C673B2"/>
    <w:rsid w:val="00C6748A"/>
    <w:rsid w:val="00C7077D"/>
    <w:rsid w:val="00C707B2"/>
    <w:rsid w:val="00C7080C"/>
    <w:rsid w:val="00C709CA"/>
    <w:rsid w:val="00C70A13"/>
    <w:rsid w:val="00C71089"/>
    <w:rsid w:val="00C71E7D"/>
    <w:rsid w:val="00C72F47"/>
    <w:rsid w:val="00C73620"/>
    <w:rsid w:val="00C740E4"/>
    <w:rsid w:val="00C74315"/>
    <w:rsid w:val="00C74328"/>
    <w:rsid w:val="00C747B8"/>
    <w:rsid w:val="00C74923"/>
    <w:rsid w:val="00C74BA1"/>
    <w:rsid w:val="00C756E5"/>
    <w:rsid w:val="00C7590D"/>
    <w:rsid w:val="00C75DE7"/>
    <w:rsid w:val="00C76263"/>
    <w:rsid w:val="00C764E8"/>
    <w:rsid w:val="00C766C2"/>
    <w:rsid w:val="00C76C37"/>
    <w:rsid w:val="00C76D74"/>
    <w:rsid w:val="00C8031F"/>
    <w:rsid w:val="00C80524"/>
    <w:rsid w:val="00C8100A"/>
    <w:rsid w:val="00C84DB0"/>
    <w:rsid w:val="00C86522"/>
    <w:rsid w:val="00C87B49"/>
    <w:rsid w:val="00C9189A"/>
    <w:rsid w:val="00C91992"/>
    <w:rsid w:val="00C91F3D"/>
    <w:rsid w:val="00C927E0"/>
    <w:rsid w:val="00C92EAC"/>
    <w:rsid w:val="00C931F0"/>
    <w:rsid w:val="00C93461"/>
    <w:rsid w:val="00C93978"/>
    <w:rsid w:val="00C93DB6"/>
    <w:rsid w:val="00C94097"/>
    <w:rsid w:val="00C940A7"/>
    <w:rsid w:val="00C958D8"/>
    <w:rsid w:val="00C96F75"/>
    <w:rsid w:val="00C971D1"/>
    <w:rsid w:val="00C97D73"/>
    <w:rsid w:val="00C97F4E"/>
    <w:rsid w:val="00CA0820"/>
    <w:rsid w:val="00CA0A53"/>
    <w:rsid w:val="00CA0F2B"/>
    <w:rsid w:val="00CA0F7E"/>
    <w:rsid w:val="00CA128C"/>
    <w:rsid w:val="00CA310E"/>
    <w:rsid w:val="00CA48F7"/>
    <w:rsid w:val="00CA613F"/>
    <w:rsid w:val="00CA6E6B"/>
    <w:rsid w:val="00CA71FD"/>
    <w:rsid w:val="00CA767F"/>
    <w:rsid w:val="00CB0435"/>
    <w:rsid w:val="00CB1B28"/>
    <w:rsid w:val="00CB1BFE"/>
    <w:rsid w:val="00CB1C26"/>
    <w:rsid w:val="00CB2135"/>
    <w:rsid w:val="00CB2753"/>
    <w:rsid w:val="00CB4D15"/>
    <w:rsid w:val="00CB5104"/>
    <w:rsid w:val="00CB6279"/>
    <w:rsid w:val="00CB6779"/>
    <w:rsid w:val="00CB6B89"/>
    <w:rsid w:val="00CB743E"/>
    <w:rsid w:val="00CC17B0"/>
    <w:rsid w:val="00CC1B31"/>
    <w:rsid w:val="00CC215D"/>
    <w:rsid w:val="00CC31B0"/>
    <w:rsid w:val="00CC32B5"/>
    <w:rsid w:val="00CC3500"/>
    <w:rsid w:val="00CC39DA"/>
    <w:rsid w:val="00CC4EBA"/>
    <w:rsid w:val="00CC5948"/>
    <w:rsid w:val="00CC5D88"/>
    <w:rsid w:val="00CC66E8"/>
    <w:rsid w:val="00CC6F88"/>
    <w:rsid w:val="00CC7FE2"/>
    <w:rsid w:val="00CD02FF"/>
    <w:rsid w:val="00CD038D"/>
    <w:rsid w:val="00CD27D0"/>
    <w:rsid w:val="00CD31E2"/>
    <w:rsid w:val="00CD380C"/>
    <w:rsid w:val="00CD3BA2"/>
    <w:rsid w:val="00CD3D4A"/>
    <w:rsid w:val="00CD3D91"/>
    <w:rsid w:val="00CD4A53"/>
    <w:rsid w:val="00CD5763"/>
    <w:rsid w:val="00CE0811"/>
    <w:rsid w:val="00CE0A17"/>
    <w:rsid w:val="00CE0C31"/>
    <w:rsid w:val="00CE11BE"/>
    <w:rsid w:val="00CE1A70"/>
    <w:rsid w:val="00CE234A"/>
    <w:rsid w:val="00CE3D64"/>
    <w:rsid w:val="00CE51F5"/>
    <w:rsid w:val="00CE52B5"/>
    <w:rsid w:val="00CE52D9"/>
    <w:rsid w:val="00CE5639"/>
    <w:rsid w:val="00CE70DD"/>
    <w:rsid w:val="00CE7265"/>
    <w:rsid w:val="00CE7B02"/>
    <w:rsid w:val="00CF0416"/>
    <w:rsid w:val="00CF0443"/>
    <w:rsid w:val="00CF1A92"/>
    <w:rsid w:val="00CF2D82"/>
    <w:rsid w:val="00CF3B65"/>
    <w:rsid w:val="00CF4409"/>
    <w:rsid w:val="00CF4AEC"/>
    <w:rsid w:val="00CF4E96"/>
    <w:rsid w:val="00CF5CAE"/>
    <w:rsid w:val="00CF6B14"/>
    <w:rsid w:val="00CF6BC3"/>
    <w:rsid w:val="00CF7445"/>
    <w:rsid w:val="00CF7949"/>
    <w:rsid w:val="00D00BA1"/>
    <w:rsid w:val="00D01283"/>
    <w:rsid w:val="00D0156A"/>
    <w:rsid w:val="00D02B72"/>
    <w:rsid w:val="00D03CBA"/>
    <w:rsid w:val="00D0570D"/>
    <w:rsid w:val="00D068FA"/>
    <w:rsid w:val="00D06CF6"/>
    <w:rsid w:val="00D06D69"/>
    <w:rsid w:val="00D07302"/>
    <w:rsid w:val="00D07597"/>
    <w:rsid w:val="00D07CF1"/>
    <w:rsid w:val="00D109BF"/>
    <w:rsid w:val="00D10E8C"/>
    <w:rsid w:val="00D1178F"/>
    <w:rsid w:val="00D117CA"/>
    <w:rsid w:val="00D12149"/>
    <w:rsid w:val="00D127ED"/>
    <w:rsid w:val="00D13E1A"/>
    <w:rsid w:val="00D14193"/>
    <w:rsid w:val="00D14835"/>
    <w:rsid w:val="00D14A62"/>
    <w:rsid w:val="00D14C49"/>
    <w:rsid w:val="00D14CB2"/>
    <w:rsid w:val="00D1628C"/>
    <w:rsid w:val="00D16FE8"/>
    <w:rsid w:val="00D1762E"/>
    <w:rsid w:val="00D17D50"/>
    <w:rsid w:val="00D200E2"/>
    <w:rsid w:val="00D20518"/>
    <w:rsid w:val="00D212B7"/>
    <w:rsid w:val="00D212FC"/>
    <w:rsid w:val="00D21952"/>
    <w:rsid w:val="00D21BA6"/>
    <w:rsid w:val="00D21E8F"/>
    <w:rsid w:val="00D22DDF"/>
    <w:rsid w:val="00D2339B"/>
    <w:rsid w:val="00D23E98"/>
    <w:rsid w:val="00D23FD8"/>
    <w:rsid w:val="00D25077"/>
    <w:rsid w:val="00D25234"/>
    <w:rsid w:val="00D26ADA"/>
    <w:rsid w:val="00D26D56"/>
    <w:rsid w:val="00D270E7"/>
    <w:rsid w:val="00D27864"/>
    <w:rsid w:val="00D27B89"/>
    <w:rsid w:val="00D301B9"/>
    <w:rsid w:val="00D30C92"/>
    <w:rsid w:val="00D31106"/>
    <w:rsid w:val="00D3238E"/>
    <w:rsid w:val="00D32454"/>
    <w:rsid w:val="00D332C7"/>
    <w:rsid w:val="00D3438A"/>
    <w:rsid w:val="00D343AC"/>
    <w:rsid w:val="00D3493F"/>
    <w:rsid w:val="00D34BE3"/>
    <w:rsid w:val="00D34E82"/>
    <w:rsid w:val="00D351A4"/>
    <w:rsid w:val="00D3551C"/>
    <w:rsid w:val="00D35FCA"/>
    <w:rsid w:val="00D362DD"/>
    <w:rsid w:val="00D36B53"/>
    <w:rsid w:val="00D36CE8"/>
    <w:rsid w:val="00D37598"/>
    <w:rsid w:val="00D40C08"/>
    <w:rsid w:val="00D410CB"/>
    <w:rsid w:val="00D420A0"/>
    <w:rsid w:val="00D4290F"/>
    <w:rsid w:val="00D438D6"/>
    <w:rsid w:val="00D43AF1"/>
    <w:rsid w:val="00D43B3C"/>
    <w:rsid w:val="00D44A2D"/>
    <w:rsid w:val="00D4609A"/>
    <w:rsid w:val="00D47780"/>
    <w:rsid w:val="00D47A8D"/>
    <w:rsid w:val="00D47CD0"/>
    <w:rsid w:val="00D508FF"/>
    <w:rsid w:val="00D51483"/>
    <w:rsid w:val="00D5186A"/>
    <w:rsid w:val="00D521AA"/>
    <w:rsid w:val="00D534C1"/>
    <w:rsid w:val="00D5350A"/>
    <w:rsid w:val="00D53E35"/>
    <w:rsid w:val="00D53F05"/>
    <w:rsid w:val="00D5503B"/>
    <w:rsid w:val="00D560AC"/>
    <w:rsid w:val="00D56866"/>
    <w:rsid w:val="00D56C9F"/>
    <w:rsid w:val="00D56D85"/>
    <w:rsid w:val="00D572E3"/>
    <w:rsid w:val="00D57740"/>
    <w:rsid w:val="00D57F46"/>
    <w:rsid w:val="00D60F23"/>
    <w:rsid w:val="00D61C3A"/>
    <w:rsid w:val="00D6236C"/>
    <w:rsid w:val="00D62FA3"/>
    <w:rsid w:val="00D6306E"/>
    <w:rsid w:val="00D656BC"/>
    <w:rsid w:val="00D65A47"/>
    <w:rsid w:val="00D65EC5"/>
    <w:rsid w:val="00D661EE"/>
    <w:rsid w:val="00D66B30"/>
    <w:rsid w:val="00D67112"/>
    <w:rsid w:val="00D702B6"/>
    <w:rsid w:val="00D7046E"/>
    <w:rsid w:val="00D70FB4"/>
    <w:rsid w:val="00D72F38"/>
    <w:rsid w:val="00D7311B"/>
    <w:rsid w:val="00D733D1"/>
    <w:rsid w:val="00D73862"/>
    <w:rsid w:val="00D73F5A"/>
    <w:rsid w:val="00D7532B"/>
    <w:rsid w:val="00D75339"/>
    <w:rsid w:val="00D75ECE"/>
    <w:rsid w:val="00D765AF"/>
    <w:rsid w:val="00D77214"/>
    <w:rsid w:val="00D77645"/>
    <w:rsid w:val="00D77FE8"/>
    <w:rsid w:val="00D800C4"/>
    <w:rsid w:val="00D80DD7"/>
    <w:rsid w:val="00D80F2A"/>
    <w:rsid w:val="00D81904"/>
    <w:rsid w:val="00D8191B"/>
    <w:rsid w:val="00D81C53"/>
    <w:rsid w:val="00D81F38"/>
    <w:rsid w:val="00D8257D"/>
    <w:rsid w:val="00D82DC1"/>
    <w:rsid w:val="00D83F03"/>
    <w:rsid w:val="00D84966"/>
    <w:rsid w:val="00D85491"/>
    <w:rsid w:val="00D8549D"/>
    <w:rsid w:val="00D8619F"/>
    <w:rsid w:val="00D872CA"/>
    <w:rsid w:val="00D877AA"/>
    <w:rsid w:val="00D87E45"/>
    <w:rsid w:val="00D91840"/>
    <w:rsid w:val="00D91A6C"/>
    <w:rsid w:val="00D92331"/>
    <w:rsid w:val="00D9242D"/>
    <w:rsid w:val="00D92BB8"/>
    <w:rsid w:val="00D92FCA"/>
    <w:rsid w:val="00D93312"/>
    <w:rsid w:val="00D93481"/>
    <w:rsid w:val="00D93731"/>
    <w:rsid w:val="00D93A8D"/>
    <w:rsid w:val="00D93DFD"/>
    <w:rsid w:val="00D9410E"/>
    <w:rsid w:val="00D942D4"/>
    <w:rsid w:val="00D95E73"/>
    <w:rsid w:val="00DA0077"/>
    <w:rsid w:val="00DA032C"/>
    <w:rsid w:val="00DA0463"/>
    <w:rsid w:val="00DA1266"/>
    <w:rsid w:val="00DA17F8"/>
    <w:rsid w:val="00DA1A45"/>
    <w:rsid w:val="00DA21ED"/>
    <w:rsid w:val="00DA2C85"/>
    <w:rsid w:val="00DA2F8D"/>
    <w:rsid w:val="00DA3B5B"/>
    <w:rsid w:val="00DA3FD2"/>
    <w:rsid w:val="00DA471A"/>
    <w:rsid w:val="00DA59DD"/>
    <w:rsid w:val="00DA5C9B"/>
    <w:rsid w:val="00DA60A5"/>
    <w:rsid w:val="00DA66C3"/>
    <w:rsid w:val="00DA69D3"/>
    <w:rsid w:val="00DA6DDD"/>
    <w:rsid w:val="00DA6FCB"/>
    <w:rsid w:val="00DB0EA8"/>
    <w:rsid w:val="00DB18B4"/>
    <w:rsid w:val="00DB1E05"/>
    <w:rsid w:val="00DB3459"/>
    <w:rsid w:val="00DB42FC"/>
    <w:rsid w:val="00DB4D7C"/>
    <w:rsid w:val="00DB559F"/>
    <w:rsid w:val="00DB57B3"/>
    <w:rsid w:val="00DB5BEC"/>
    <w:rsid w:val="00DB5ED5"/>
    <w:rsid w:val="00DB6D14"/>
    <w:rsid w:val="00DB71C3"/>
    <w:rsid w:val="00DC08D0"/>
    <w:rsid w:val="00DC0C61"/>
    <w:rsid w:val="00DC15CB"/>
    <w:rsid w:val="00DC19E7"/>
    <w:rsid w:val="00DC1BCF"/>
    <w:rsid w:val="00DC268B"/>
    <w:rsid w:val="00DC272F"/>
    <w:rsid w:val="00DC2B8C"/>
    <w:rsid w:val="00DC3737"/>
    <w:rsid w:val="00DC398D"/>
    <w:rsid w:val="00DC4FC0"/>
    <w:rsid w:val="00DC563A"/>
    <w:rsid w:val="00DC5B5A"/>
    <w:rsid w:val="00DC6249"/>
    <w:rsid w:val="00DC67E8"/>
    <w:rsid w:val="00DC68CB"/>
    <w:rsid w:val="00DC69B6"/>
    <w:rsid w:val="00DC77F1"/>
    <w:rsid w:val="00DD04DE"/>
    <w:rsid w:val="00DD1419"/>
    <w:rsid w:val="00DD1AFF"/>
    <w:rsid w:val="00DD26AC"/>
    <w:rsid w:val="00DD272E"/>
    <w:rsid w:val="00DD33D7"/>
    <w:rsid w:val="00DD39E2"/>
    <w:rsid w:val="00DD3ACC"/>
    <w:rsid w:val="00DD449F"/>
    <w:rsid w:val="00DD48A8"/>
    <w:rsid w:val="00DD4B1C"/>
    <w:rsid w:val="00DD61B8"/>
    <w:rsid w:val="00DD6B69"/>
    <w:rsid w:val="00DD6BA9"/>
    <w:rsid w:val="00DD6FE3"/>
    <w:rsid w:val="00DD70A1"/>
    <w:rsid w:val="00DE0736"/>
    <w:rsid w:val="00DE3C60"/>
    <w:rsid w:val="00DE46CD"/>
    <w:rsid w:val="00DE46EA"/>
    <w:rsid w:val="00DE6E09"/>
    <w:rsid w:val="00DE721A"/>
    <w:rsid w:val="00DE77F3"/>
    <w:rsid w:val="00DF0A19"/>
    <w:rsid w:val="00DF0E81"/>
    <w:rsid w:val="00DF120F"/>
    <w:rsid w:val="00DF13C7"/>
    <w:rsid w:val="00DF17FF"/>
    <w:rsid w:val="00DF322E"/>
    <w:rsid w:val="00DF3768"/>
    <w:rsid w:val="00DF466B"/>
    <w:rsid w:val="00DF4B11"/>
    <w:rsid w:val="00DF6A26"/>
    <w:rsid w:val="00DF7512"/>
    <w:rsid w:val="00E00173"/>
    <w:rsid w:val="00E01B1C"/>
    <w:rsid w:val="00E01C3F"/>
    <w:rsid w:val="00E01DAD"/>
    <w:rsid w:val="00E01FE0"/>
    <w:rsid w:val="00E021A4"/>
    <w:rsid w:val="00E02534"/>
    <w:rsid w:val="00E02A1A"/>
    <w:rsid w:val="00E02CD8"/>
    <w:rsid w:val="00E0494C"/>
    <w:rsid w:val="00E058DC"/>
    <w:rsid w:val="00E075F7"/>
    <w:rsid w:val="00E101AF"/>
    <w:rsid w:val="00E106DE"/>
    <w:rsid w:val="00E11289"/>
    <w:rsid w:val="00E116B1"/>
    <w:rsid w:val="00E12455"/>
    <w:rsid w:val="00E125CA"/>
    <w:rsid w:val="00E13087"/>
    <w:rsid w:val="00E132E8"/>
    <w:rsid w:val="00E13ACD"/>
    <w:rsid w:val="00E1517B"/>
    <w:rsid w:val="00E15A10"/>
    <w:rsid w:val="00E16C23"/>
    <w:rsid w:val="00E1751E"/>
    <w:rsid w:val="00E17AF8"/>
    <w:rsid w:val="00E201EA"/>
    <w:rsid w:val="00E20CBA"/>
    <w:rsid w:val="00E21DD1"/>
    <w:rsid w:val="00E22485"/>
    <w:rsid w:val="00E23116"/>
    <w:rsid w:val="00E2486F"/>
    <w:rsid w:val="00E24871"/>
    <w:rsid w:val="00E24ABC"/>
    <w:rsid w:val="00E26132"/>
    <w:rsid w:val="00E26578"/>
    <w:rsid w:val="00E26C2F"/>
    <w:rsid w:val="00E2739E"/>
    <w:rsid w:val="00E30643"/>
    <w:rsid w:val="00E31C52"/>
    <w:rsid w:val="00E31E57"/>
    <w:rsid w:val="00E32117"/>
    <w:rsid w:val="00E3338E"/>
    <w:rsid w:val="00E335C6"/>
    <w:rsid w:val="00E34869"/>
    <w:rsid w:val="00E34B16"/>
    <w:rsid w:val="00E34C29"/>
    <w:rsid w:val="00E362D7"/>
    <w:rsid w:val="00E370E7"/>
    <w:rsid w:val="00E37BC0"/>
    <w:rsid w:val="00E404BC"/>
    <w:rsid w:val="00E40C46"/>
    <w:rsid w:val="00E421A4"/>
    <w:rsid w:val="00E42286"/>
    <w:rsid w:val="00E423A4"/>
    <w:rsid w:val="00E43674"/>
    <w:rsid w:val="00E4372C"/>
    <w:rsid w:val="00E43853"/>
    <w:rsid w:val="00E44925"/>
    <w:rsid w:val="00E44A2D"/>
    <w:rsid w:val="00E45FD2"/>
    <w:rsid w:val="00E462C5"/>
    <w:rsid w:val="00E46387"/>
    <w:rsid w:val="00E46EC7"/>
    <w:rsid w:val="00E47086"/>
    <w:rsid w:val="00E47124"/>
    <w:rsid w:val="00E50BB8"/>
    <w:rsid w:val="00E520C0"/>
    <w:rsid w:val="00E52290"/>
    <w:rsid w:val="00E52D24"/>
    <w:rsid w:val="00E52E3C"/>
    <w:rsid w:val="00E5368F"/>
    <w:rsid w:val="00E5495A"/>
    <w:rsid w:val="00E558C6"/>
    <w:rsid w:val="00E55B2D"/>
    <w:rsid w:val="00E56667"/>
    <w:rsid w:val="00E56D8E"/>
    <w:rsid w:val="00E57104"/>
    <w:rsid w:val="00E57582"/>
    <w:rsid w:val="00E5772D"/>
    <w:rsid w:val="00E5799E"/>
    <w:rsid w:val="00E603AA"/>
    <w:rsid w:val="00E607A6"/>
    <w:rsid w:val="00E6093E"/>
    <w:rsid w:val="00E60C9D"/>
    <w:rsid w:val="00E60E70"/>
    <w:rsid w:val="00E60E96"/>
    <w:rsid w:val="00E60F0D"/>
    <w:rsid w:val="00E60FAE"/>
    <w:rsid w:val="00E62074"/>
    <w:rsid w:val="00E62967"/>
    <w:rsid w:val="00E629ED"/>
    <w:rsid w:val="00E63271"/>
    <w:rsid w:val="00E63584"/>
    <w:rsid w:val="00E636EA"/>
    <w:rsid w:val="00E644AD"/>
    <w:rsid w:val="00E645F8"/>
    <w:rsid w:val="00E64959"/>
    <w:rsid w:val="00E64F51"/>
    <w:rsid w:val="00E670A1"/>
    <w:rsid w:val="00E67833"/>
    <w:rsid w:val="00E67A6E"/>
    <w:rsid w:val="00E704A7"/>
    <w:rsid w:val="00E71044"/>
    <w:rsid w:val="00E71418"/>
    <w:rsid w:val="00E71786"/>
    <w:rsid w:val="00E717CF"/>
    <w:rsid w:val="00E72425"/>
    <w:rsid w:val="00E727F7"/>
    <w:rsid w:val="00E7280B"/>
    <w:rsid w:val="00E735E0"/>
    <w:rsid w:val="00E736CB"/>
    <w:rsid w:val="00E7371C"/>
    <w:rsid w:val="00E740B5"/>
    <w:rsid w:val="00E745D1"/>
    <w:rsid w:val="00E7490D"/>
    <w:rsid w:val="00E755B6"/>
    <w:rsid w:val="00E77C94"/>
    <w:rsid w:val="00E77E38"/>
    <w:rsid w:val="00E8054E"/>
    <w:rsid w:val="00E8070B"/>
    <w:rsid w:val="00E807BE"/>
    <w:rsid w:val="00E814C6"/>
    <w:rsid w:val="00E81657"/>
    <w:rsid w:val="00E81671"/>
    <w:rsid w:val="00E826DB"/>
    <w:rsid w:val="00E844B5"/>
    <w:rsid w:val="00E844C3"/>
    <w:rsid w:val="00E84BF5"/>
    <w:rsid w:val="00E85447"/>
    <w:rsid w:val="00E85AF1"/>
    <w:rsid w:val="00E861EA"/>
    <w:rsid w:val="00E86239"/>
    <w:rsid w:val="00E86253"/>
    <w:rsid w:val="00E86C9C"/>
    <w:rsid w:val="00E915A4"/>
    <w:rsid w:val="00E91F07"/>
    <w:rsid w:val="00E9201A"/>
    <w:rsid w:val="00E9206B"/>
    <w:rsid w:val="00E93213"/>
    <w:rsid w:val="00E93589"/>
    <w:rsid w:val="00E9382F"/>
    <w:rsid w:val="00E93969"/>
    <w:rsid w:val="00E94217"/>
    <w:rsid w:val="00E95E1C"/>
    <w:rsid w:val="00E96795"/>
    <w:rsid w:val="00E96F4F"/>
    <w:rsid w:val="00E97229"/>
    <w:rsid w:val="00E974AE"/>
    <w:rsid w:val="00EA0039"/>
    <w:rsid w:val="00EA1672"/>
    <w:rsid w:val="00EA1AE4"/>
    <w:rsid w:val="00EA25F6"/>
    <w:rsid w:val="00EA3471"/>
    <w:rsid w:val="00EA34C8"/>
    <w:rsid w:val="00EA46DC"/>
    <w:rsid w:val="00EA4C17"/>
    <w:rsid w:val="00EA56E0"/>
    <w:rsid w:val="00EA6E47"/>
    <w:rsid w:val="00EA7620"/>
    <w:rsid w:val="00EB046B"/>
    <w:rsid w:val="00EB08DE"/>
    <w:rsid w:val="00EB1069"/>
    <w:rsid w:val="00EB10D6"/>
    <w:rsid w:val="00EB133A"/>
    <w:rsid w:val="00EB16FC"/>
    <w:rsid w:val="00EB1D28"/>
    <w:rsid w:val="00EB27EA"/>
    <w:rsid w:val="00EB2878"/>
    <w:rsid w:val="00EB2B55"/>
    <w:rsid w:val="00EB2F0E"/>
    <w:rsid w:val="00EB4228"/>
    <w:rsid w:val="00EB4D4B"/>
    <w:rsid w:val="00EB4F2E"/>
    <w:rsid w:val="00EB5AE3"/>
    <w:rsid w:val="00EB5CF7"/>
    <w:rsid w:val="00EB60C0"/>
    <w:rsid w:val="00EB62BC"/>
    <w:rsid w:val="00EB76AF"/>
    <w:rsid w:val="00EB7754"/>
    <w:rsid w:val="00EB7D60"/>
    <w:rsid w:val="00EC0B37"/>
    <w:rsid w:val="00EC1179"/>
    <w:rsid w:val="00EC2FD9"/>
    <w:rsid w:val="00EC3A0D"/>
    <w:rsid w:val="00EC513F"/>
    <w:rsid w:val="00EC5200"/>
    <w:rsid w:val="00EC5C34"/>
    <w:rsid w:val="00EC658F"/>
    <w:rsid w:val="00EC680C"/>
    <w:rsid w:val="00EC6A66"/>
    <w:rsid w:val="00EC78A3"/>
    <w:rsid w:val="00ED016D"/>
    <w:rsid w:val="00ED124F"/>
    <w:rsid w:val="00ED1E2D"/>
    <w:rsid w:val="00ED224C"/>
    <w:rsid w:val="00ED2B62"/>
    <w:rsid w:val="00ED2B90"/>
    <w:rsid w:val="00ED2E06"/>
    <w:rsid w:val="00ED2E9B"/>
    <w:rsid w:val="00ED3961"/>
    <w:rsid w:val="00ED4336"/>
    <w:rsid w:val="00ED4C5F"/>
    <w:rsid w:val="00ED4DDC"/>
    <w:rsid w:val="00ED56F5"/>
    <w:rsid w:val="00ED6003"/>
    <w:rsid w:val="00ED690D"/>
    <w:rsid w:val="00ED6D30"/>
    <w:rsid w:val="00EE079C"/>
    <w:rsid w:val="00EE0D1E"/>
    <w:rsid w:val="00EE2E4B"/>
    <w:rsid w:val="00EE3C99"/>
    <w:rsid w:val="00EE3DE8"/>
    <w:rsid w:val="00EE4584"/>
    <w:rsid w:val="00EE510D"/>
    <w:rsid w:val="00EE6932"/>
    <w:rsid w:val="00EE6D8D"/>
    <w:rsid w:val="00EE75B1"/>
    <w:rsid w:val="00EF00F3"/>
    <w:rsid w:val="00EF13E5"/>
    <w:rsid w:val="00EF1C37"/>
    <w:rsid w:val="00EF23A5"/>
    <w:rsid w:val="00EF23B1"/>
    <w:rsid w:val="00EF25A3"/>
    <w:rsid w:val="00EF2BFC"/>
    <w:rsid w:val="00EF2F38"/>
    <w:rsid w:val="00EF358D"/>
    <w:rsid w:val="00EF3742"/>
    <w:rsid w:val="00EF3B02"/>
    <w:rsid w:val="00EF40EE"/>
    <w:rsid w:val="00EF429F"/>
    <w:rsid w:val="00EF436A"/>
    <w:rsid w:val="00EF4618"/>
    <w:rsid w:val="00EF5762"/>
    <w:rsid w:val="00EF5CF8"/>
    <w:rsid w:val="00EF6062"/>
    <w:rsid w:val="00EF7843"/>
    <w:rsid w:val="00EF7900"/>
    <w:rsid w:val="00EF7A57"/>
    <w:rsid w:val="00F00E08"/>
    <w:rsid w:val="00F010D9"/>
    <w:rsid w:val="00F01E77"/>
    <w:rsid w:val="00F02C81"/>
    <w:rsid w:val="00F03C47"/>
    <w:rsid w:val="00F0463F"/>
    <w:rsid w:val="00F04E80"/>
    <w:rsid w:val="00F05071"/>
    <w:rsid w:val="00F062B2"/>
    <w:rsid w:val="00F0738B"/>
    <w:rsid w:val="00F07DD8"/>
    <w:rsid w:val="00F103FA"/>
    <w:rsid w:val="00F10642"/>
    <w:rsid w:val="00F113D0"/>
    <w:rsid w:val="00F117F8"/>
    <w:rsid w:val="00F11B94"/>
    <w:rsid w:val="00F12634"/>
    <w:rsid w:val="00F13196"/>
    <w:rsid w:val="00F149E4"/>
    <w:rsid w:val="00F155A9"/>
    <w:rsid w:val="00F15B11"/>
    <w:rsid w:val="00F15BAF"/>
    <w:rsid w:val="00F167B6"/>
    <w:rsid w:val="00F16BB8"/>
    <w:rsid w:val="00F16F72"/>
    <w:rsid w:val="00F1754D"/>
    <w:rsid w:val="00F175DD"/>
    <w:rsid w:val="00F1775C"/>
    <w:rsid w:val="00F2094F"/>
    <w:rsid w:val="00F20F65"/>
    <w:rsid w:val="00F21680"/>
    <w:rsid w:val="00F21D28"/>
    <w:rsid w:val="00F21E8E"/>
    <w:rsid w:val="00F2234B"/>
    <w:rsid w:val="00F22360"/>
    <w:rsid w:val="00F22DB1"/>
    <w:rsid w:val="00F22E16"/>
    <w:rsid w:val="00F231D6"/>
    <w:rsid w:val="00F24CF3"/>
    <w:rsid w:val="00F24F00"/>
    <w:rsid w:val="00F25E2C"/>
    <w:rsid w:val="00F26261"/>
    <w:rsid w:val="00F3091C"/>
    <w:rsid w:val="00F31755"/>
    <w:rsid w:val="00F31810"/>
    <w:rsid w:val="00F31919"/>
    <w:rsid w:val="00F31ED2"/>
    <w:rsid w:val="00F33E6B"/>
    <w:rsid w:val="00F3443D"/>
    <w:rsid w:val="00F3490B"/>
    <w:rsid w:val="00F34DA0"/>
    <w:rsid w:val="00F34F38"/>
    <w:rsid w:val="00F3652D"/>
    <w:rsid w:val="00F369C8"/>
    <w:rsid w:val="00F3752D"/>
    <w:rsid w:val="00F375BA"/>
    <w:rsid w:val="00F4073B"/>
    <w:rsid w:val="00F40B6F"/>
    <w:rsid w:val="00F4194E"/>
    <w:rsid w:val="00F42FAF"/>
    <w:rsid w:val="00F4342A"/>
    <w:rsid w:val="00F435A7"/>
    <w:rsid w:val="00F43C54"/>
    <w:rsid w:val="00F45741"/>
    <w:rsid w:val="00F457D6"/>
    <w:rsid w:val="00F458C2"/>
    <w:rsid w:val="00F474D8"/>
    <w:rsid w:val="00F5012C"/>
    <w:rsid w:val="00F50585"/>
    <w:rsid w:val="00F50A52"/>
    <w:rsid w:val="00F516BD"/>
    <w:rsid w:val="00F51966"/>
    <w:rsid w:val="00F51D96"/>
    <w:rsid w:val="00F531C2"/>
    <w:rsid w:val="00F53A60"/>
    <w:rsid w:val="00F53B98"/>
    <w:rsid w:val="00F53EA8"/>
    <w:rsid w:val="00F53EFD"/>
    <w:rsid w:val="00F56EF5"/>
    <w:rsid w:val="00F579CB"/>
    <w:rsid w:val="00F57EFD"/>
    <w:rsid w:val="00F607AD"/>
    <w:rsid w:val="00F60E88"/>
    <w:rsid w:val="00F61B69"/>
    <w:rsid w:val="00F62032"/>
    <w:rsid w:val="00F629B2"/>
    <w:rsid w:val="00F62B77"/>
    <w:rsid w:val="00F62BFD"/>
    <w:rsid w:val="00F6360C"/>
    <w:rsid w:val="00F647A8"/>
    <w:rsid w:val="00F65212"/>
    <w:rsid w:val="00F66498"/>
    <w:rsid w:val="00F668A4"/>
    <w:rsid w:val="00F6693E"/>
    <w:rsid w:val="00F67261"/>
    <w:rsid w:val="00F6796B"/>
    <w:rsid w:val="00F700EB"/>
    <w:rsid w:val="00F71A90"/>
    <w:rsid w:val="00F71EBE"/>
    <w:rsid w:val="00F72622"/>
    <w:rsid w:val="00F732D0"/>
    <w:rsid w:val="00F73E69"/>
    <w:rsid w:val="00F75596"/>
    <w:rsid w:val="00F75DF6"/>
    <w:rsid w:val="00F7624A"/>
    <w:rsid w:val="00F7624D"/>
    <w:rsid w:val="00F770EA"/>
    <w:rsid w:val="00F77C0D"/>
    <w:rsid w:val="00F77D3D"/>
    <w:rsid w:val="00F80C34"/>
    <w:rsid w:val="00F8218D"/>
    <w:rsid w:val="00F844AA"/>
    <w:rsid w:val="00F847ED"/>
    <w:rsid w:val="00F8491D"/>
    <w:rsid w:val="00F84B65"/>
    <w:rsid w:val="00F8519A"/>
    <w:rsid w:val="00F855D7"/>
    <w:rsid w:val="00F860EB"/>
    <w:rsid w:val="00F90A1F"/>
    <w:rsid w:val="00F90E01"/>
    <w:rsid w:val="00F912E0"/>
    <w:rsid w:val="00F91A06"/>
    <w:rsid w:val="00F92077"/>
    <w:rsid w:val="00F927A5"/>
    <w:rsid w:val="00F9294C"/>
    <w:rsid w:val="00F92DE9"/>
    <w:rsid w:val="00F93C7A"/>
    <w:rsid w:val="00F941B9"/>
    <w:rsid w:val="00F962A9"/>
    <w:rsid w:val="00F96C7A"/>
    <w:rsid w:val="00F973B9"/>
    <w:rsid w:val="00FA0C18"/>
    <w:rsid w:val="00FA19F6"/>
    <w:rsid w:val="00FA1A6A"/>
    <w:rsid w:val="00FA1FBC"/>
    <w:rsid w:val="00FA1FCF"/>
    <w:rsid w:val="00FA2B6D"/>
    <w:rsid w:val="00FA379F"/>
    <w:rsid w:val="00FA407A"/>
    <w:rsid w:val="00FA4F4D"/>
    <w:rsid w:val="00FA5164"/>
    <w:rsid w:val="00FA59BD"/>
    <w:rsid w:val="00FA5B44"/>
    <w:rsid w:val="00FA5C02"/>
    <w:rsid w:val="00FA6B51"/>
    <w:rsid w:val="00FA761B"/>
    <w:rsid w:val="00FA7702"/>
    <w:rsid w:val="00FB0CC2"/>
    <w:rsid w:val="00FB0D4E"/>
    <w:rsid w:val="00FB1DEB"/>
    <w:rsid w:val="00FB2125"/>
    <w:rsid w:val="00FB440B"/>
    <w:rsid w:val="00FB4467"/>
    <w:rsid w:val="00FB5A31"/>
    <w:rsid w:val="00FB5E80"/>
    <w:rsid w:val="00FB6CCF"/>
    <w:rsid w:val="00FB72E2"/>
    <w:rsid w:val="00FB7EA1"/>
    <w:rsid w:val="00FC0DC2"/>
    <w:rsid w:val="00FC143D"/>
    <w:rsid w:val="00FC1CF1"/>
    <w:rsid w:val="00FC2439"/>
    <w:rsid w:val="00FC2B1E"/>
    <w:rsid w:val="00FC2B47"/>
    <w:rsid w:val="00FC2C24"/>
    <w:rsid w:val="00FC3A06"/>
    <w:rsid w:val="00FC415F"/>
    <w:rsid w:val="00FC4CC5"/>
    <w:rsid w:val="00FC6869"/>
    <w:rsid w:val="00FC72FA"/>
    <w:rsid w:val="00FC78B4"/>
    <w:rsid w:val="00FC7D16"/>
    <w:rsid w:val="00FD0106"/>
    <w:rsid w:val="00FD0694"/>
    <w:rsid w:val="00FD10EE"/>
    <w:rsid w:val="00FD1652"/>
    <w:rsid w:val="00FD2C02"/>
    <w:rsid w:val="00FD303D"/>
    <w:rsid w:val="00FD3CE2"/>
    <w:rsid w:val="00FD3E8A"/>
    <w:rsid w:val="00FD4153"/>
    <w:rsid w:val="00FD4648"/>
    <w:rsid w:val="00FD4B85"/>
    <w:rsid w:val="00FD5B4E"/>
    <w:rsid w:val="00FD5DE8"/>
    <w:rsid w:val="00FD5EA9"/>
    <w:rsid w:val="00FD6215"/>
    <w:rsid w:val="00FD62E2"/>
    <w:rsid w:val="00FD65E6"/>
    <w:rsid w:val="00FD663D"/>
    <w:rsid w:val="00FD68C2"/>
    <w:rsid w:val="00FD728C"/>
    <w:rsid w:val="00FE180D"/>
    <w:rsid w:val="00FE23CA"/>
    <w:rsid w:val="00FE2F22"/>
    <w:rsid w:val="00FE3040"/>
    <w:rsid w:val="00FE4222"/>
    <w:rsid w:val="00FE693E"/>
    <w:rsid w:val="00FE6956"/>
    <w:rsid w:val="00FE69E7"/>
    <w:rsid w:val="00FE6E33"/>
    <w:rsid w:val="00FF001C"/>
    <w:rsid w:val="00FF130B"/>
    <w:rsid w:val="00FF143A"/>
    <w:rsid w:val="00FF18AA"/>
    <w:rsid w:val="00FF2CD6"/>
    <w:rsid w:val="00FF37FA"/>
    <w:rsid w:val="00FF3DFA"/>
    <w:rsid w:val="00FF401D"/>
    <w:rsid w:val="00FF4209"/>
    <w:rsid w:val="00FF4463"/>
    <w:rsid w:val="00FF47A5"/>
    <w:rsid w:val="00FF5A06"/>
    <w:rsid w:val="00FF6094"/>
    <w:rsid w:val="00FF6B77"/>
    <w:rsid w:val="00FF6E80"/>
    <w:rsid w:val="00FF7335"/>
    <w:rsid w:val="00FF7415"/>
    <w:rsid w:val="00FF75A9"/>
    <w:rsid w:val="00FF793A"/>
    <w:rsid w:val="00FF7A80"/>
  </w:rsids>
  <m:mathPr>
    <m:mathFont m:val="Cambria Math"/>
    <m:brkBin m:val="before"/>
    <m:brkBinSub m:val="--"/>
    <m:smallFrac/>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currency2"/>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lv-LV" w:eastAsia="lv-L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346A"/>
    <w:pPr>
      <w:jc w:val="both"/>
    </w:pPr>
    <w:rPr>
      <w:rFonts w:ascii="Times New Roman" w:eastAsia="Times New Roman" w:hAnsi="Times New Roman"/>
      <w:sz w:val="24"/>
      <w:lang w:eastAsia="en-US"/>
    </w:rPr>
  </w:style>
  <w:style w:type="paragraph" w:styleId="Heading1">
    <w:name w:val="heading 1"/>
    <w:basedOn w:val="Normal"/>
    <w:next w:val="Normal"/>
    <w:link w:val="Heading1Char"/>
    <w:uiPriority w:val="9"/>
    <w:qFormat/>
    <w:rsid w:val="00FF4209"/>
    <w:pPr>
      <w:keepNext/>
      <w:spacing w:before="240" w:after="60"/>
      <w:outlineLvl w:val="0"/>
    </w:pPr>
    <w:rPr>
      <w:rFonts w:ascii="Cambria" w:hAnsi="Cambria"/>
      <w:b/>
      <w:bCs/>
      <w:kern w:val="32"/>
      <w:sz w:val="32"/>
      <w:szCs w:val="32"/>
      <w:lang w:val="x-none" w:eastAsia="x-none"/>
    </w:rPr>
  </w:style>
  <w:style w:type="paragraph" w:styleId="Heading2">
    <w:name w:val="heading 2"/>
    <w:basedOn w:val="Normal"/>
    <w:next w:val="Normal"/>
    <w:link w:val="Heading2Char"/>
    <w:qFormat/>
    <w:rsid w:val="00FF4209"/>
    <w:pPr>
      <w:keepNext/>
      <w:spacing w:before="240" w:after="60"/>
      <w:jc w:val="left"/>
      <w:outlineLvl w:val="1"/>
    </w:pPr>
    <w:rPr>
      <w:rFonts w:ascii="Arial" w:hAnsi="Arial"/>
      <w:b/>
      <w:bCs/>
      <w:i/>
      <w:iCs/>
      <w:sz w:val="28"/>
      <w:szCs w:val="28"/>
      <w:lang w:val="x-none" w:eastAsia="x-none"/>
    </w:rPr>
  </w:style>
  <w:style w:type="paragraph" w:styleId="Heading3">
    <w:name w:val="heading 3"/>
    <w:basedOn w:val="Normal"/>
    <w:next w:val="Normal"/>
    <w:link w:val="Heading3Char"/>
    <w:uiPriority w:val="9"/>
    <w:semiHidden/>
    <w:unhideWhenUsed/>
    <w:qFormat/>
    <w:rsid w:val="00FF4209"/>
    <w:pPr>
      <w:keepNext/>
      <w:keepLines/>
      <w:spacing w:before="200"/>
      <w:outlineLvl w:val="2"/>
    </w:pPr>
    <w:rPr>
      <w:rFonts w:ascii="Cambria" w:hAnsi="Cambria"/>
      <w:b/>
      <w:bCs/>
      <w:color w:val="4F81BD"/>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F4209"/>
    <w:rPr>
      <w:rFonts w:ascii="Cambria" w:eastAsia="Times New Roman" w:hAnsi="Cambria" w:cs="DokChampa"/>
      <w:b/>
      <w:bCs/>
      <w:kern w:val="32"/>
      <w:sz w:val="32"/>
      <w:szCs w:val="32"/>
    </w:rPr>
  </w:style>
  <w:style w:type="character" w:customStyle="1" w:styleId="Heading2Char">
    <w:name w:val="Heading 2 Char"/>
    <w:link w:val="Heading2"/>
    <w:rsid w:val="00FF4209"/>
    <w:rPr>
      <w:rFonts w:ascii="Arial" w:eastAsia="Times New Roman" w:hAnsi="Arial" w:cs="Arial"/>
      <w:b/>
      <w:bCs/>
      <w:i/>
      <w:iCs/>
      <w:sz w:val="28"/>
      <w:szCs w:val="28"/>
    </w:rPr>
  </w:style>
  <w:style w:type="character" w:customStyle="1" w:styleId="Heading3Char">
    <w:name w:val="Heading 3 Char"/>
    <w:link w:val="Heading3"/>
    <w:uiPriority w:val="9"/>
    <w:semiHidden/>
    <w:rsid w:val="00FF4209"/>
    <w:rPr>
      <w:rFonts w:ascii="Cambria" w:eastAsia="Times New Roman" w:hAnsi="Cambria" w:cs="Times New Roman"/>
      <w:b/>
      <w:bCs/>
      <w:color w:val="4F81BD"/>
      <w:sz w:val="24"/>
      <w:szCs w:val="20"/>
    </w:rPr>
  </w:style>
  <w:style w:type="paragraph" w:styleId="Header">
    <w:name w:val="header"/>
    <w:basedOn w:val="Normal"/>
    <w:link w:val="HeaderChar"/>
    <w:rsid w:val="00FF4209"/>
    <w:pPr>
      <w:tabs>
        <w:tab w:val="center" w:pos="4153"/>
        <w:tab w:val="right" w:pos="8306"/>
      </w:tabs>
      <w:jc w:val="left"/>
    </w:pPr>
    <w:rPr>
      <w:szCs w:val="24"/>
      <w:lang w:val="en-GB" w:eastAsia="x-none"/>
    </w:rPr>
  </w:style>
  <w:style w:type="character" w:customStyle="1" w:styleId="HeaderChar">
    <w:name w:val="Header Char"/>
    <w:link w:val="Header"/>
    <w:rsid w:val="00FF4209"/>
    <w:rPr>
      <w:rFonts w:ascii="Times New Roman" w:eastAsia="Times New Roman" w:hAnsi="Times New Roman" w:cs="Times New Roman"/>
      <w:sz w:val="24"/>
      <w:szCs w:val="24"/>
      <w:lang w:val="en-GB"/>
    </w:rPr>
  </w:style>
  <w:style w:type="character" w:styleId="Hyperlink">
    <w:name w:val="Hyperlink"/>
    <w:uiPriority w:val="99"/>
    <w:rsid w:val="00FF4209"/>
    <w:rPr>
      <w:rFonts w:ascii="Arial" w:hAnsi="Arial" w:cs="Arial" w:hint="default"/>
      <w:strike w:val="0"/>
      <w:dstrike w:val="0"/>
      <w:color w:val="189B70"/>
      <w:sz w:val="18"/>
      <w:szCs w:val="18"/>
      <w:u w:val="none"/>
      <w:effect w:val="none"/>
    </w:rPr>
  </w:style>
  <w:style w:type="paragraph" w:styleId="BalloonText">
    <w:name w:val="Balloon Text"/>
    <w:basedOn w:val="Normal"/>
    <w:link w:val="BalloonTextChar"/>
    <w:semiHidden/>
    <w:rsid w:val="00FF4209"/>
    <w:rPr>
      <w:rFonts w:ascii="Tahoma" w:hAnsi="Tahoma"/>
      <w:sz w:val="16"/>
      <w:szCs w:val="16"/>
      <w:lang w:val="x-none" w:eastAsia="x-none"/>
    </w:rPr>
  </w:style>
  <w:style w:type="character" w:customStyle="1" w:styleId="BalloonTextChar">
    <w:name w:val="Balloon Text Char"/>
    <w:link w:val="BalloonText"/>
    <w:semiHidden/>
    <w:rsid w:val="00FF4209"/>
    <w:rPr>
      <w:rFonts w:ascii="Tahoma" w:eastAsia="Times New Roman" w:hAnsi="Tahoma" w:cs="Tahoma"/>
      <w:sz w:val="16"/>
      <w:szCs w:val="16"/>
    </w:rPr>
  </w:style>
  <w:style w:type="paragraph" w:styleId="NormalWeb">
    <w:name w:val="Normal (Web)"/>
    <w:basedOn w:val="Normal"/>
    <w:uiPriority w:val="99"/>
    <w:rsid w:val="00FF4209"/>
    <w:pPr>
      <w:spacing w:before="100" w:beforeAutospacing="1" w:after="100" w:afterAutospacing="1"/>
      <w:jc w:val="left"/>
    </w:pPr>
    <w:rPr>
      <w:szCs w:val="24"/>
      <w:lang w:val="en-GB"/>
    </w:rPr>
  </w:style>
  <w:style w:type="character" w:styleId="Strong">
    <w:name w:val="Strong"/>
    <w:uiPriority w:val="22"/>
    <w:qFormat/>
    <w:rsid w:val="00FF4209"/>
    <w:rPr>
      <w:b/>
      <w:bCs/>
    </w:rPr>
  </w:style>
  <w:style w:type="paragraph" w:styleId="Title">
    <w:name w:val="Title"/>
    <w:basedOn w:val="Normal"/>
    <w:link w:val="TitleChar"/>
    <w:uiPriority w:val="10"/>
    <w:qFormat/>
    <w:rsid w:val="00FF4209"/>
    <w:pPr>
      <w:jc w:val="center"/>
    </w:pPr>
    <w:rPr>
      <w:b/>
      <w:sz w:val="28"/>
      <w:szCs w:val="28"/>
      <w:lang w:val="x-none" w:eastAsia="x-none"/>
    </w:rPr>
  </w:style>
  <w:style w:type="character" w:customStyle="1" w:styleId="TitleChar">
    <w:name w:val="Title Char"/>
    <w:link w:val="Title"/>
    <w:uiPriority w:val="10"/>
    <w:rsid w:val="00FF4209"/>
    <w:rPr>
      <w:rFonts w:ascii="Times New Roman" w:eastAsia="Times New Roman" w:hAnsi="Times New Roman" w:cs="Times New Roman"/>
      <w:b/>
      <w:sz w:val="28"/>
      <w:szCs w:val="28"/>
    </w:rPr>
  </w:style>
  <w:style w:type="paragraph" w:styleId="FootnoteText">
    <w:name w:val="footnote text"/>
    <w:aliases w:val="Char, Char,Footnote,Fußnote,Footnote Text Char1,Vēres teksts Char Char Char Char Char Char Char Char Char Char Char Char1,Char Char Char Char Char Char Char Char Char Char Char Char Char Char Char Char Char Char Char1,-E Fußnotentext"/>
    <w:basedOn w:val="Normal"/>
    <w:link w:val="FootnoteTextChar"/>
    <w:uiPriority w:val="99"/>
    <w:rsid w:val="00FF4209"/>
    <w:rPr>
      <w:sz w:val="20"/>
      <w:lang w:val="x-none" w:eastAsia="x-none"/>
    </w:rPr>
  </w:style>
  <w:style w:type="character" w:customStyle="1" w:styleId="FootnoteTextChar">
    <w:name w:val="Footnote Text Char"/>
    <w:aliases w:val="Char Char, Char Char,Footnote Char,Fußnote Char,Footnote Text Char1 Char,Vēres teksts Char Char Char Char Char Char Char Char Char Char Char Char1 Char,-E Fußnotentext Char"/>
    <w:link w:val="FootnoteText"/>
    <w:uiPriority w:val="99"/>
    <w:rsid w:val="00FF4209"/>
    <w:rPr>
      <w:rFonts w:ascii="Times New Roman" w:eastAsia="Times New Roman" w:hAnsi="Times New Roman" w:cs="Times New Roman"/>
      <w:sz w:val="20"/>
      <w:szCs w:val="20"/>
    </w:rPr>
  </w:style>
  <w:style w:type="character" w:styleId="FootnoteReference">
    <w:name w:val="footnote reference"/>
    <w:aliases w:val="Footnote Reference Number,Footnote symbol"/>
    <w:uiPriority w:val="99"/>
    <w:rsid w:val="00FF4209"/>
    <w:rPr>
      <w:vertAlign w:val="superscript"/>
    </w:rPr>
  </w:style>
  <w:style w:type="paragraph" w:styleId="Footer">
    <w:name w:val="footer"/>
    <w:basedOn w:val="Normal"/>
    <w:link w:val="FooterChar"/>
    <w:uiPriority w:val="99"/>
    <w:rsid w:val="00FF4209"/>
    <w:pPr>
      <w:tabs>
        <w:tab w:val="center" w:pos="4153"/>
        <w:tab w:val="right" w:pos="8306"/>
      </w:tabs>
    </w:pPr>
    <w:rPr>
      <w:lang w:val="x-none" w:eastAsia="x-none"/>
    </w:rPr>
  </w:style>
  <w:style w:type="character" w:customStyle="1" w:styleId="FooterChar">
    <w:name w:val="Footer Char"/>
    <w:link w:val="Footer"/>
    <w:uiPriority w:val="99"/>
    <w:rsid w:val="00FF4209"/>
    <w:rPr>
      <w:rFonts w:ascii="Times New Roman" w:eastAsia="Times New Roman" w:hAnsi="Times New Roman" w:cs="Times New Roman"/>
      <w:sz w:val="24"/>
      <w:szCs w:val="20"/>
    </w:rPr>
  </w:style>
  <w:style w:type="character" w:styleId="PageNumber">
    <w:name w:val="page number"/>
    <w:basedOn w:val="DefaultParagraphFont"/>
    <w:rsid w:val="00FF4209"/>
  </w:style>
  <w:style w:type="character" w:styleId="FollowedHyperlink">
    <w:name w:val="FollowedHyperlink"/>
    <w:rsid w:val="00FF4209"/>
    <w:rPr>
      <w:color w:val="800080"/>
      <w:u w:val="single"/>
    </w:rPr>
  </w:style>
  <w:style w:type="character" w:styleId="Emphasis">
    <w:name w:val="Emphasis"/>
    <w:uiPriority w:val="20"/>
    <w:qFormat/>
    <w:rsid w:val="00FF4209"/>
    <w:rPr>
      <w:i/>
      <w:iCs/>
    </w:rPr>
  </w:style>
  <w:style w:type="paragraph" w:customStyle="1" w:styleId="RakstzRakstz">
    <w:name w:val="Rakstz. Rakstz."/>
    <w:basedOn w:val="Normal"/>
    <w:next w:val="BlockText"/>
    <w:rsid w:val="00FF4209"/>
    <w:pPr>
      <w:spacing w:before="120" w:after="160" w:line="240" w:lineRule="exact"/>
      <w:ind w:firstLine="720"/>
    </w:pPr>
    <w:rPr>
      <w:rFonts w:ascii="Verdana" w:hAnsi="Verdana"/>
      <w:sz w:val="20"/>
      <w:lang w:val="en-US"/>
    </w:rPr>
  </w:style>
  <w:style w:type="paragraph" w:styleId="BlockText">
    <w:name w:val="Block Text"/>
    <w:basedOn w:val="Normal"/>
    <w:rsid w:val="00FF4209"/>
    <w:pPr>
      <w:spacing w:after="120"/>
      <w:ind w:left="1440" w:right="1440"/>
    </w:pPr>
  </w:style>
  <w:style w:type="paragraph" w:customStyle="1" w:styleId="CharChar2Char">
    <w:name w:val="Char Char2 Char"/>
    <w:basedOn w:val="Normal"/>
    <w:rsid w:val="00FF4209"/>
    <w:pPr>
      <w:spacing w:before="40"/>
      <w:jc w:val="left"/>
    </w:pPr>
    <w:rPr>
      <w:szCs w:val="24"/>
      <w:lang w:val="pl-PL" w:eastAsia="pl-PL"/>
    </w:rPr>
  </w:style>
  <w:style w:type="paragraph" w:styleId="BodyText">
    <w:name w:val="Body Text"/>
    <w:basedOn w:val="Normal"/>
    <w:link w:val="BodyTextChar"/>
    <w:rsid w:val="00FF4209"/>
    <w:pPr>
      <w:jc w:val="left"/>
    </w:pPr>
    <w:rPr>
      <w:b/>
      <w:bCs/>
      <w:szCs w:val="24"/>
      <w:lang w:val="en-GB" w:eastAsia="x-none"/>
    </w:rPr>
  </w:style>
  <w:style w:type="character" w:customStyle="1" w:styleId="BodyTextChar">
    <w:name w:val="Body Text Char"/>
    <w:link w:val="BodyText"/>
    <w:rsid w:val="00FF4209"/>
    <w:rPr>
      <w:rFonts w:ascii="Times New Roman" w:eastAsia="Times New Roman" w:hAnsi="Times New Roman" w:cs="Times New Roman"/>
      <w:b/>
      <w:bCs/>
      <w:sz w:val="24"/>
      <w:szCs w:val="24"/>
      <w:lang w:val="en-GB"/>
    </w:rPr>
  </w:style>
  <w:style w:type="paragraph" w:styleId="BodyTextIndent">
    <w:name w:val="Body Text Indent"/>
    <w:basedOn w:val="Normal"/>
    <w:link w:val="BodyTextIndentChar"/>
    <w:rsid w:val="00FF4209"/>
    <w:pPr>
      <w:spacing w:after="120"/>
      <w:ind w:left="283"/>
    </w:pPr>
    <w:rPr>
      <w:lang w:val="x-none" w:eastAsia="x-none"/>
    </w:rPr>
  </w:style>
  <w:style w:type="character" w:customStyle="1" w:styleId="BodyTextIndentChar">
    <w:name w:val="Body Text Indent Char"/>
    <w:link w:val="BodyTextIndent"/>
    <w:rsid w:val="00FF4209"/>
    <w:rPr>
      <w:rFonts w:ascii="Times New Roman" w:eastAsia="Times New Roman" w:hAnsi="Times New Roman" w:cs="Times New Roman"/>
      <w:sz w:val="24"/>
      <w:szCs w:val="20"/>
    </w:rPr>
  </w:style>
  <w:style w:type="paragraph" w:customStyle="1" w:styleId="CharCharCharCharChar">
    <w:name w:val="Char Char Char Char Char"/>
    <w:basedOn w:val="Normal"/>
    <w:next w:val="BlockText"/>
    <w:rsid w:val="00FF4209"/>
    <w:pPr>
      <w:spacing w:before="120" w:after="160" w:line="240" w:lineRule="exact"/>
      <w:ind w:firstLine="720"/>
    </w:pPr>
    <w:rPr>
      <w:rFonts w:ascii="Verdana" w:hAnsi="Verdana"/>
      <w:sz w:val="20"/>
      <w:lang w:val="en-US"/>
    </w:rPr>
  </w:style>
  <w:style w:type="paragraph" w:customStyle="1" w:styleId="CharChar1">
    <w:name w:val="Char Char1"/>
    <w:basedOn w:val="Normal"/>
    <w:next w:val="BlockText"/>
    <w:rsid w:val="00FF4209"/>
    <w:pPr>
      <w:spacing w:before="120" w:after="160" w:line="240" w:lineRule="exact"/>
      <w:ind w:firstLine="720"/>
    </w:pPr>
    <w:rPr>
      <w:rFonts w:ascii="Verdana" w:hAnsi="Verdana"/>
      <w:sz w:val="20"/>
      <w:lang w:val="en-US"/>
    </w:rPr>
  </w:style>
  <w:style w:type="character" w:styleId="CommentReference">
    <w:name w:val="annotation reference"/>
    <w:uiPriority w:val="99"/>
    <w:semiHidden/>
    <w:rsid w:val="00FF4209"/>
    <w:rPr>
      <w:sz w:val="16"/>
      <w:szCs w:val="16"/>
    </w:rPr>
  </w:style>
  <w:style w:type="paragraph" w:styleId="CommentText">
    <w:name w:val="annotation text"/>
    <w:basedOn w:val="Normal"/>
    <w:link w:val="CommentTextChar"/>
    <w:uiPriority w:val="99"/>
    <w:semiHidden/>
    <w:rsid w:val="00FF4209"/>
    <w:rPr>
      <w:sz w:val="20"/>
      <w:lang w:val="x-none" w:eastAsia="x-none"/>
    </w:rPr>
  </w:style>
  <w:style w:type="character" w:customStyle="1" w:styleId="CommentTextChar">
    <w:name w:val="Comment Text Char"/>
    <w:link w:val="CommentText"/>
    <w:uiPriority w:val="99"/>
    <w:semiHidden/>
    <w:rsid w:val="00FF420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FF4209"/>
    <w:rPr>
      <w:b/>
      <w:bCs/>
    </w:rPr>
  </w:style>
  <w:style w:type="character" w:customStyle="1" w:styleId="CommentSubjectChar">
    <w:name w:val="Comment Subject Char"/>
    <w:link w:val="CommentSubject"/>
    <w:semiHidden/>
    <w:rsid w:val="00FF4209"/>
    <w:rPr>
      <w:rFonts w:ascii="Times New Roman" w:eastAsia="Times New Roman" w:hAnsi="Times New Roman" w:cs="Times New Roman"/>
      <w:b/>
      <w:bCs/>
      <w:sz w:val="20"/>
      <w:szCs w:val="20"/>
    </w:rPr>
  </w:style>
  <w:style w:type="paragraph" w:customStyle="1" w:styleId="Norm">
    <w:name w:val="Norm"/>
    <w:basedOn w:val="Normal"/>
    <w:autoRedefine/>
    <w:rsid w:val="00FF4209"/>
    <w:pPr>
      <w:tabs>
        <w:tab w:val="num" w:pos="1080"/>
      </w:tabs>
      <w:ind w:left="1080" w:hanging="360"/>
    </w:pPr>
    <w:rPr>
      <w:sz w:val="28"/>
      <w:szCs w:val="28"/>
    </w:rPr>
  </w:style>
  <w:style w:type="paragraph" w:styleId="BodyText2">
    <w:name w:val="Body Text 2"/>
    <w:basedOn w:val="Normal"/>
    <w:link w:val="BodyText2Char"/>
    <w:rsid w:val="00FF4209"/>
    <w:pPr>
      <w:spacing w:after="120" w:line="480" w:lineRule="auto"/>
      <w:jc w:val="left"/>
    </w:pPr>
    <w:rPr>
      <w:szCs w:val="24"/>
      <w:lang w:val="x-none" w:eastAsia="x-none"/>
    </w:rPr>
  </w:style>
  <w:style w:type="character" w:customStyle="1" w:styleId="BodyText2Char">
    <w:name w:val="Body Text 2 Char"/>
    <w:link w:val="BodyText2"/>
    <w:rsid w:val="00FF4209"/>
    <w:rPr>
      <w:rFonts w:ascii="Times New Roman" w:eastAsia="Times New Roman" w:hAnsi="Times New Roman" w:cs="Times New Roman"/>
      <w:sz w:val="24"/>
      <w:szCs w:val="24"/>
    </w:rPr>
  </w:style>
  <w:style w:type="paragraph" w:styleId="BodyText3">
    <w:name w:val="Body Text 3"/>
    <w:basedOn w:val="Normal"/>
    <w:link w:val="BodyText3Char"/>
    <w:rsid w:val="00FF4209"/>
    <w:pPr>
      <w:spacing w:after="120"/>
      <w:jc w:val="left"/>
    </w:pPr>
    <w:rPr>
      <w:sz w:val="16"/>
      <w:szCs w:val="16"/>
      <w:lang w:val="x-none" w:eastAsia="lv-LV"/>
    </w:rPr>
  </w:style>
  <w:style w:type="character" w:customStyle="1" w:styleId="BodyText3Char">
    <w:name w:val="Body Text 3 Char"/>
    <w:link w:val="BodyText3"/>
    <w:rsid w:val="00FF4209"/>
    <w:rPr>
      <w:rFonts w:ascii="Times New Roman" w:eastAsia="Times New Roman" w:hAnsi="Times New Roman" w:cs="Times New Roman"/>
      <w:sz w:val="16"/>
      <w:szCs w:val="16"/>
      <w:lang w:eastAsia="lv-LV"/>
    </w:rPr>
  </w:style>
  <w:style w:type="paragraph" w:customStyle="1" w:styleId="mkh">
    <w:name w:val="mkh"/>
    <w:basedOn w:val="Normal"/>
    <w:rsid w:val="00FF4209"/>
    <w:pPr>
      <w:spacing w:after="120"/>
      <w:ind w:firstLine="720"/>
      <w:jc w:val="center"/>
    </w:pPr>
    <w:rPr>
      <w:b/>
      <w:bCs/>
      <w:sz w:val="28"/>
      <w:szCs w:val="28"/>
      <w:lang w:eastAsia="lv-LV"/>
    </w:rPr>
  </w:style>
  <w:style w:type="paragraph" w:customStyle="1" w:styleId="CharChar2CharCharCharChar">
    <w:name w:val="Char Char2 Char Char Char Char"/>
    <w:basedOn w:val="Normal"/>
    <w:rsid w:val="00FF4209"/>
    <w:pPr>
      <w:spacing w:before="40"/>
      <w:jc w:val="left"/>
    </w:pPr>
    <w:rPr>
      <w:szCs w:val="24"/>
      <w:lang w:val="pl-PL" w:eastAsia="pl-PL"/>
    </w:rPr>
  </w:style>
  <w:style w:type="paragraph" w:customStyle="1" w:styleId="CharChar2CharCharCharCharChar">
    <w:name w:val="Char Char2 Char Char Char Char Char"/>
    <w:basedOn w:val="Normal"/>
    <w:rsid w:val="00FF4209"/>
    <w:pPr>
      <w:spacing w:before="40"/>
      <w:jc w:val="left"/>
    </w:pPr>
    <w:rPr>
      <w:szCs w:val="24"/>
      <w:lang w:val="pl-PL" w:eastAsia="pl-PL"/>
    </w:rPr>
  </w:style>
  <w:style w:type="paragraph" w:styleId="NoSpacing">
    <w:name w:val="No Spacing"/>
    <w:uiPriority w:val="1"/>
    <w:qFormat/>
    <w:rsid w:val="00FF4209"/>
    <w:rPr>
      <w:rFonts w:ascii="Times New Roman" w:hAnsi="Times New Roman"/>
      <w:sz w:val="24"/>
      <w:szCs w:val="24"/>
    </w:rPr>
  </w:style>
  <w:style w:type="paragraph" w:customStyle="1" w:styleId="naiskr">
    <w:name w:val="naiskr"/>
    <w:basedOn w:val="Normal"/>
    <w:rsid w:val="00FF4209"/>
    <w:pPr>
      <w:spacing w:before="100" w:beforeAutospacing="1" w:after="100" w:afterAutospacing="1"/>
      <w:jc w:val="left"/>
    </w:pPr>
    <w:rPr>
      <w:szCs w:val="24"/>
      <w:lang w:eastAsia="lv-LV"/>
    </w:rPr>
  </w:style>
  <w:style w:type="paragraph" w:styleId="BodyTextIndent2">
    <w:name w:val="Body Text Indent 2"/>
    <w:basedOn w:val="Normal"/>
    <w:link w:val="BodyTextIndent2Char"/>
    <w:rsid w:val="00FF4209"/>
    <w:pPr>
      <w:spacing w:after="120" w:line="480" w:lineRule="auto"/>
      <w:ind w:left="283"/>
    </w:pPr>
    <w:rPr>
      <w:lang w:val="x-none" w:eastAsia="x-none"/>
    </w:rPr>
  </w:style>
  <w:style w:type="character" w:customStyle="1" w:styleId="BodyTextIndent2Char">
    <w:name w:val="Body Text Indent 2 Char"/>
    <w:link w:val="BodyTextIndent2"/>
    <w:rsid w:val="00FF4209"/>
    <w:rPr>
      <w:rFonts w:ascii="Times New Roman" w:eastAsia="Times New Roman" w:hAnsi="Times New Roman" w:cs="Times New Roman"/>
      <w:sz w:val="24"/>
      <w:szCs w:val="20"/>
    </w:rPr>
  </w:style>
  <w:style w:type="paragraph" w:customStyle="1" w:styleId="RakstzCharCharRakstzCharCharRakstzCharCharRakstzCharChar">
    <w:name w:val="Rakstz. Char Char Rakstz. Char Char Rakstz. Char Char Rakstz. Char Char"/>
    <w:basedOn w:val="Normal"/>
    <w:rsid w:val="00FF4209"/>
    <w:pPr>
      <w:spacing w:after="160" w:line="240" w:lineRule="exact"/>
      <w:jc w:val="left"/>
    </w:pPr>
    <w:rPr>
      <w:rFonts w:ascii="Tahoma" w:hAnsi="Tahoma"/>
      <w:sz w:val="20"/>
      <w:lang w:val="en-US"/>
    </w:rPr>
  </w:style>
  <w:style w:type="paragraph" w:customStyle="1" w:styleId="msolistparagraph0">
    <w:name w:val="msolistparagraph"/>
    <w:basedOn w:val="Normal"/>
    <w:rsid w:val="00FF4209"/>
    <w:pPr>
      <w:ind w:left="720"/>
      <w:jc w:val="left"/>
    </w:pPr>
    <w:rPr>
      <w:szCs w:val="24"/>
      <w:lang w:eastAsia="lv-LV"/>
    </w:rPr>
  </w:style>
  <w:style w:type="paragraph" w:customStyle="1" w:styleId="NChar1CharCharCharCharChar">
    <w:name w:val="N Char1 Char Char Char Char Char"/>
    <w:basedOn w:val="Normal"/>
    <w:uiPriority w:val="99"/>
    <w:rsid w:val="00FF4209"/>
    <w:pPr>
      <w:tabs>
        <w:tab w:val="num" w:pos="0"/>
        <w:tab w:val="num" w:pos="765"/>
      </w:tabs>
      <w:spacing w:before="120"/>
      <w:ind w:left="765" w:hanging="720"/>
    </w:pPr>
    <w:rPr>
      <w:iCs/>
      <w:sz w:val="22"/>
      <w:szCs w:val="16"/>
      <w:lang w:eastAsia="lv-LV"/>
    </w:rPr>
  </w:style>
  <w:style w:type="character" w:customStyle="1" w:styleId="textsCharChar">
    <w:name w:val="texts Char Char"/>
    <w:aliases w:val="texts Char Char1,texts Char Char2,texts Char Char3"/>
    <w:rsid w:val="00FF4209"/>
    <w:rPr>
      <w:sz w:val="24"/>
      <w:szCs w:val="24"/>
      <w:lang w:val="en-GB" w:eastAsia="en-US" w:bidi="ar-SA"/>
    </w:rPr>
  </w:style>
  <w:style w:type="paragraph" w:styleId="ListParagraph">
    <w:name w:val="List Paragraph"/>
    <w:basedOn w:val="Normal"/>
    <w:uiPriority w:val="34"/>
    <w:qFormat/>
    <w:rsid w:val="00FF4209"/>
    <w:pPr>
      <w:spacing w:after="200" w:line="276" w:lineRule="auto"/>
      <w:ind w:left="720"/>
      <w:contextualSpacing/>
      <w:jc w:val="left"/>
    </w:pPr>
    <w:rPr>
      <w:rFonts w:ascii="Calibri" w:eastAsia="Calibri" w:hAnsi="Calibri"/>
      <w:sz w:val="22"/>
      <w:szCs w:val="22"/>
    </w:rPr>
  </w:style>
  <w:style w:type="paragraph" w:customStyle="1" w:styleId="CharCharCharCharCharCharCharChar">
    <w:name w:val="Char Char Char Char Char Char Char Char"/>
    <w:basedOn w:val="Normal"/>
    <w:next w:val="BlockText"/>
    <w:rsid w:val="00FF4209"/>
    <w:pPr>
      <w:spacing w:before="120" w:after="160" w:line="240" w:lineRule="exact"/>
      <w:ind w:firstLine="720"/>
    </w:pPr>
    <w:rPr>
      <w:rFonts w:ascii="Verdana" w:hAnsi="Verdana"/>
      <w:sz w:val="20"/>
      <w:lang w:val="en-US"/>
    </w:rPr>
  </w:style>
  <w:style w:type="paragraph" w:customStyle="1" w:styleId="naisf">
    <w:name w:val="naisf"/>
    <w:basedOn w:val="Normal"/>
    <w:link w:val="naisfChar"/>
    <w:rsid w:val="00FF4209"/>
    <w:pPr>
      <w:spacing w:before="100" w:beforeAutospacing="1" w:after="100" w:afterAutospacing="1"/>
      <w:jc w:val="left"/>
    </w:pPr>
    <w:rPr>
      <w:szCs w:val="24"/>
      <w:lang w:val="x-none" w:eastAsia="x-none"/>
    </w:rPr>
  </w:style>
  <w:style w:type="character" w:customStyle="1" w:styleId="naisfChar">
    <w:name w:val="naisf Char"/>
    <w:link w:val="naisf"/>
    <w:rsid w:val="00FF4209"/>
    <w:rPr>
      <w:rFonts w:ascii="Times New Roman" w:eastAsia="Times New Roman" w:hAnsi="Times New Roman" w:cs="Times New Roman"/>
      <w:sz w:val="24"/>
      <w:szCs w:val="24"/>
    </w:rPr>
  </w:style>
  <w:style w:type="paragraph" w:customStyle="1" w:styleId="Rakstz">
    <w:name w:val="Rakstz."/>
    <w:basedOn w:val="Normal"/>
    <w:rsid w:val="00FF4209"/>
    <w:pPr>
      <w:spacing w:before="40"/>
      <w:jc w:val="left"/>
    </w:pPr>
    <w:rPr>
      <w:szCs w:val="24"/>
      <w:lang w:val="pl-PL" w:eastAsia="pl-PL"/>
    </w:rPr>
  </w:style>
  <w:style w:type="paragraph" w:customStyle="1" w:styleId="Bullet1Rakstz">
    <w:name w:val="Bullet 1 Rakstz."/>
    <w:basedOn w:val="Normal"/>
    <w:rsid w:val="00FF4209"/>
    <w:pPr>
      <w:numPr>
        <w:numId w:val="1"/>
      </w:numPr>
      <w:snapToGrid w:val="0"/>
      <w:spacing w:before="20" w:line="288" w:lineRule="auto"/>
    </w:pPr>
    <w:rPr>
      <w:rFonts w:eastAsia="Calibri"/>
      <w:szCs w:val="24"/>
      <w:lang w:val="en-GB" w:eastAsia="en-GB"/>
    </w:rPr>
  </w:style>
  <w:style w:type="paragraph" w:customStyle="1" w:styleId="naisnod">
    <w:name w:val="naisnod"/>
    <w:basedOn w:val="Normal"/>
    <w:rsid w:val="00FF4209"/>
    <w:pPr>
      <w:spacing w:before="100" w:beforeAutospacing="1" w:after="100" w:afterAutospacing="1"/>
      <w:jc w:val="left"/>
    </w:pPr>
    <w:rPr>
      <w:rFonts w:eastAsia="Calibri"/>
      <w:szCs w:val="24"/>
      <w:lang w:eastAsia="lv-LV"/>
    </w:rPr>
  </w:style>
  <w:style w:type="table" w:styleId="TableGrid">
    <w:name w:val="Table Grid"/>
    <w:basedOn w:val="TableNormal"/>
    <w:uiPriority w:val="59"/>
    <w:rsid w:val="00FF4209"/>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FF4209"/>
    <w:pPr>
      <w:autoSpaceDE w:val="0"/>
      <w:autoSpaceDN w:val="0"/>
      <w:adjustRightInd w:val="0"/>
    </w:pPr>
    <w:rPr>
      <w:rFonts w:ascii="Times New Roman" w:hAnsi="Times New Roman"/>
      <w:color w:val="000000"/>
      <w:sz w:val="24"/>
      <w:szCs w:val="24"/>
    </w:rPr>
  </w:style>
  <w:style w:type="character" w:customStyle="1" w:styleId="skypetbinnertext">
    <w:name w:val="skype_tb_innertext"/>
    <w:basedOn w:val="DefaultParagraphFont"/>
    <w:rsid w:val="00FF4209"/>
  </w:style>
  <w:style w:type="character" w:customStyle="1" w:styleId="spelle">
    <w:name w:val="spelle"/>
    <w:basedOn w:val="DefaultParagraphFont"/>
    <w:rsid w:val="00FF4209"/>
  </w:style>
  <w:style w:type="paragraph" w:customStyle="1" w:styleId="Normal1">
    <w:name w:val="Normal1"/>
    <w:basedOn w:val="Normal"/>
    <w:rsid w:val="00FF4209"/>
    <w:pPr>
      <w:spacing w:before="100" w:beforeAutospacing="1" w:after="100" w:afterAutospacing="1"/>
      <w:jc w:val="left"/>
    </w:pPr>
    <w:rPr>
      <w:szCs w:val="24"/>
      <w:lang w:val="en-US"/>
    </w:rPr>
  </w:style>
  <w:style w:type="paragraph" w:customStyle="1" w:styleId="1lmenis">
    <w:name w:val="1.līmenis"/>
    <w:basedOn w:val="Heading1"/>
    <w:link w:val="1lmenisChar"/>
    <w:qFormat/>
    <w:rsid w:val="00FF4209"/>
    <w:pPr>
      <w:numPr>
        <w:numId w:val="2"/>
      </w:numPr>
    </w:pPr>
    <w:rPr>
      <w:sz w:val="36"/>
      <w:szCs w:val="30"/>
    </w:rPr>
  </w:style>
  <w:style w:type="paragraph" w:customStyle="1" w:styleId="2lmenis">
    <w:name w:val="2.līmenis"/>
    <w:basedOn w:val="Heading2"/>
    <w:link w:val="2lmenisChar"/>
    <w:qFormat/>
    <w:rsid w:val="00FF4209"/>
    <w:pPr>
      <w:ind w:left="720"/>
    </w:pPr>
    <w:rPr>
      <w:rFonts w:ascii="Times New Roman" w:hAnsi="Times New Roman"/>
      <w:bCs w:val="0"/>
      <w:i w:val="0"/>
    </w:rPr>
  </w:style>
  <w:style w:type="character" w:customStyle="1" w:styleId="1lmenisChar">
    <w:name w:val="1.līmenis Char"/>
    <w:link w:val="1lmenis"/>
    <w:rsid w:val="00FF4209"/>
    <w:rPr>
      <w:rFonts w:ascii="Cambria" w:eastAsia="Times New Roman" w:hAnsi="Cambria"/>
      <w:b/>
      <w:bCs/>
      <w:kern w:val="32"/>
      <w:sz w:val="36"/>
      <w:szCs w:val="30"/>
      <w:lang w:val="x-none" w:eastAsia="x-none"/>
    </w:rPr>
  </w:style>
  <w:style w:type="paragraph" w:customStyle="1" w:styleId="3lmenis">
    <w:name w:val="3.līmenis"/>
    <w:basedOn w:val="Normal"/>
    <w:link w:val="3lmenisChar"/>
    <w:qFormat/>
    <w:rsid w:val="00FF4209"/>
    <w:pPr>
      <w:spacing w:before="120" w:after="120" w:line="276" w:lineRule="auto"/>
      <w:ind w:left="720"/>
    </w:pPr>
    <w:rPr>
      <w:b/>
      <w:bCs/>
      <w:szCs w:val="24"/>
      <w:u w:val="single"/>
      <w:lang w:val="x-none" w:eastAsia="x-none"/>
    </w:rPr>
  </w:style>
  <w:style w:type="character" w:customStyle="1" w:styleId="2lmenisChar">
    <w:name w:val="2.līmenis Char"/>
    <w:link w:val="2lmenis"/>
    <w:rsid w:val="00FF4209"/>
    <w:rPr>
      <w:rFonts w:ascii="Times New Roman" w:eastAsia="Times New Roman" w:hAnsi="Times New Roman" w:cs="Arial"/>
      <w:b/>
      <w:iCs/>
      <w:sz w:val="28"/>
      <w:szCs w:val="28"/>
    </w:rPr>
  </w:style>
  <w:style w:type="character" w:customStyle="1" w:styleId="3lmenisChar">
    <w:name w:val="3.līmenis Char"/>
    <w:link w:val="3lmenis"/>
    <w:rsid w:val="00FF4209"/>
    <w:rPr>
      <w:rFonts w:ascii="Times New Roman" w:eastAsia="Times New Roman" w:hAnsi="Times New Roman" w:cs="Times New Roman"/>
      <w:b/>
      <w:bCs/>
      <w:sz w:val="24"/>
      <w:szCs w:val="24"/>
      <w:u w:val="single"/>
    </w:rPr>
  </w:style>
  <w:style w:type="paragraph" w:styleId="TOCHeading">
    <w:name w:val="TOC Heading"/>
    <w:basedOn w:val="Heading1"/>
    <w:next w:val="Normal"/>
    <w:uiPriority w:val="39"/>
    <w:unhideWhenUsed/>
    <w:qFormat/>
    <w:rsid w:val="00FF4209"/>
    <w:pPr>
      <w:keepLines/>
      <w:spacing w:before="480" w:after="0" w:line="276" w:lineRule="auto"/>
      <w:jc w:val="left"/>
      <w:outlineLvl w:val="9"/>
    </w:pPr>
    <w:rPr>
      <w:color w:val="365F91"/>
      <w:kern w:val="0"/>
      <w:sz w:val="28"/>
      <w:szCs w:val="28"/>
      <w:lang w:val="en-US"/>
    </w:rPr>
  </w:style>
  <w:style w:type="paragraph" w:styleId="TOC1">
    <w:name w:val="toc 1"/>
    <w:basedOn w:val="Normal"/>
    <w:next w:val="Normal"/>
    <w:autoRedefine/>
    <w:uiPriority w:val="39"/>
    <w:unhideWhenUsed/>
    <w:qFormat/>
    <w:rsid w:val="00360DD1"/>
    <w:pPr>
      <w:tabs>
        <w:tab w:val="left" w:pos="426"/>
        <w:tab w:val="right" w:leader="dot" w:pos="9061"/>
      </w:tabs>
      <w:spacing w:before="360"/>
      <w:jc w:val="left"/>
    </w:pPr>
    <w:rPr>
      <w:rFonts w:ascii="Cambria" w:hAnsi="Cambria"/>
      <w:b/>
      <w:bCs/>
      <w:caps/>
      <w:szCs w:val="28"/>
    </w:rPr>
  </w:style>
  <w:style w:type="paragraph" w:styleId="TOC2">
    <w:name w:val="toc 2"/>
    <w:basedOn w:val="Normal"/>
    <w:next w:val="Normal"/>
    <w:autoRedefine/>
    <w:uiPriority w:val="39"/>
    <w:unhideWhenUsed/>
    <w:qFormat/>
    <w:rsid w:val="00FF4209"/>
    <w:pPr>
      <w:spacing w:before="240"/>
      <w:jc w:val="left"/>
    </w:pPr>
    <w:rPr>
      <w:rFonts w:ascii="Calibri" w:hAnsi="Calibri"/>
      <w:b/>
      <w:bCs/>
      <w:sz w:val="20"/>
      <w:szCs w:val="24"/>
    </w:rPr>
  </w:style>
  <w:style w:type="paragraph" w:styleId="TOC3">
    <w:name w:val="toc 3"/>
    <w:basedOn w:val="Normal"/>
    <w:next w:val="Normal"/>
    <w:autoRedefine/>
    <w:uiPriority w:val="39"/>
    <w:unhideWhenUsed/>
    <w:qFormat/>
    <w:rsid w:val="00FF4209"/>
    <w:pPr>
      <w:ind w:left="240"/>
      <w:jc w:val="left"/>
    </w:pPr>
    <w:rPr>
      <w:rFonts w:ascii="Calibri" w:hAnsi="Calibri"/>
      <w:sz w:val="20"/>
      <w:szCs w:val="24"/>
    </w:rPr>
  </w:style>
  <w:style w:type="paragraph" w:styleId="TOC4">
    <w:name w:val="toc 4"/>
    <w:basedOn w:val="Normal"/>
    <w:next w:val="Normal"/>
    <w:autoRedefine/>
    <w:uiPriority w:val="39"/>
    <w:unhideWhenUsed/>
    <w:rsid w:val="00FF4209"/>
    <w:pPr>
      <w:ind w:left="480"/>
      <w:jc w:val="left"/>
    </w:pPr>
    <w:rPr>
      <w:rFonts w:ascii="Calibri" w:hAnsi="Calibri"/>
      <w:sz w:val="20"/>
      <w:szCs w:val="24"/>
    </w:rPr>
  </w:style>
  <w:style w:type="paragraph" w:styleId="TOC5">
    <w:name w:val="toc 5"/>
    <w:basedOn w:val="Normal"/>
    <w:next w:val="Normal"/>
    <w:autoRedefine/>
    <w:uiPriority w:val="39"/>
    <w:unhideWhenUsed/>
    <w:rsid w:val="00FF4209"/>
    <w:pPr>
      <w:ind w:left="720"/>
      <w:jc w:val="left"/>
    </w:pPr>
    <w:rPr>
      <w:rFonts w:ascii="Calibri" w:hAnsi="Calibri"/>
      <w:sz w:val="20"/>
      <w:szCs w:val="24"/>
    </w:rPr>
  </w:style>
  <w:style w:type="paragraph" w:styleId="TOC6">
    <w:name w:val="toc 6"/>
    <w:basedOn w:val="Normal"/>
    <w:next w:val="Normal"/>
    <w:autoRedefine/>
    <w:uiPriority w:val="39"/>
    <w:unhideWhenUsed/>
    <w:rsid w:val="00FF4209"/>
    <w:pPr>
      <w:ind w:left="960"/>
      <w:jc w:val="left"/>
    </w:pPr>
    <w:rPr>
      <w:rFonts w:ascii="Calibri" w:hAnsi="Calibri"/>
      <w:sz w:val="20"/>
      <w:szCs w:val="24"/>
    </w:rPr>
  </w:style>
  <w:style w:type="paragraph" w:styleId="TOC7">
    <w:name w:val="toc 7"/>
    <w:basedOn w:val="Normal"/>
    <w:next w:val="Normal"/>
    <w:autoRedefine/>
    <w:uiPriority w:val="39"/>
    <w:unhideWhenUsed/>
    <w:rsid w:val="00FF4209"/>
    <w:pPr>
      <w:ind w:left="1200"/>
      <w:jc w:val="left"/>
    </w:pPr>
    <w:rPr>
      <w:rFonts w:ascii="Calibri" w:hAnsi="Calibri"/>
      <w:sz w:val="20"/>
      <w:szCs w:val="24"/>
    </w:rPr>
  </w:style>
  <w:style w:type="paragraph" w:styleId="TOC8">
    <w:name w:val="toc 8"/>
    <w:basedOn w:val="Normal"/>
    <w:next w:val="Normal"/>
    <w:autoRedefine/>
    <w:uiPriority w:val="39"/>
    <w:unhideWhenUsed/>
    <w:rsid w:val="00FF4209"/>
    <w:pPr>
      <w:ind w:left="1440"/>
      <w:jc w:val="left"/>
    </w:pPr>
    <w:rPr>
      <w:rFonts w:ascii="Calibri" w:hAnsi="Calibri"/>
      <w:sz w:val="20"/>
      <w:szCs w:val="24"/>
    </w:rPr>
  </w:style>
  <w:style w:type="paragraph" w:styleId="TOC9">
    <w:name w:val="toc 9"/>
    <w:basedOn w:val="Normal"/>
    <w:next w:val="Normal"/>
    <w:autoRedefine/>
    <w:uiPriority w:val="39"/>
    <w:unhideWhenUsed/>
    <w:rsid w:val="00FF4209"/>
    <w:pPr>
      <w:ind w:left="1680"/>
      <w:jc w:val="left"/>
    </w:pPr>
    <w:rPr>
      <w:rFonts w:ascii="Calibri" w:hAnsi="Calibri"/>
      <w:sz w:val="20"/>
      <w:szCs w:val="24"/>
    </w:rPr>
  </w:style>
  <w:style w:type="paragraph" w:customStyle="1" w:styleId="TabCharChar">
    <w:name w:val="Tab Char Char"/>
    <w:basedOn w:val="Normal"/>
    <w:autoRedefine/>
    <w:rsid w:val="00FF4209"/>
    <w:pPr>
      <w:spacing w:after="200" w:line="276" w:lineRule="auto"/>
    </w:pPr>
    <w:rPr>
      <w:szCs w:val="24"/>
      <w:lang w:eastAsia="lv-LV"/>
    </w:rPr>
  </w:style>
  <w:style w:type="paragraph" w:customStyle="1" w:styleId="MKNormal">
    <w:name w:val="MKNormal"/>
    <w:basedOn w:val="Normal"/>
    <w:autoRedefine/>
    <w:rsid w:val="00FF4209"/>
    <w:pPr>
      <w:ind w:firstLine="720"/>
    </w:pPr>
    <w:rPr>
      <w:szCs w:val="24"/>
      <w:lang w:eastAsia="lv-LV"/>
    </w:rPr>
  </w:style>
  <w:style w:type="paragraph" w:styleId="EndnoteText">
    <w:name w:val="endnote text"/>
    <w:basedOn w:val="Normal"/>
    <w:link w:val="EndnoteTextChar"/>
    <w:uiPriority w:val="99"/>
    <w:semiHidden/>
    <w:unhideWhenUsed/>
    <w:rsid w:val="00FF4209"/>
    <w:rPr>
      <w:sz w:val="20"/>
      <w:lang w:val="x-none" w:eastAsia="x-none"/>
    </w:rPr>
  </w:style>
  <w:style w:type="character" w:customStyle="1" w:styleId="EndnoteTextChar">
    <w:name w:val="Endnote Text Char"/>
    <w:link w:val="EndnoteText"/>
    <w:uiPriority w:val="99"/>
    <w:semiHidden/>
    <w:rsid w:val="00FF4209"/>
    <w:rPr>
      <w:rFonts w:ascii="Times New Roman" w:eastAsia="Times New Roman" w:hAnsi="Times New Roman" w:cs="Times New Roman"/>
      <w:sz w:val="20"/>
      <w:szCs w:val="20"/>
    </w:rPr>
  </w:style>
  <w:style w:type="character" w:styleId="EndnoteReference">
    <w:name w:val="endnote reference"/>
    <w:uiPriority w:val="99"/>
    <w:semiHidden/>
    <w:unhideWhenUsed/>
    <w:rsid w:val="00FF4209"/>
    <w:rPr>
      <w:vertAlign w:val="superscript"/>
    </w:rPr>
  </w:style>
  <w:style w:type="paragraph" w:customStyle="1" w:styleId="Normal1-centered">
    <w:name w:val="Normal1-centered"/>
    <w:basedOn w:val="Normal1"/>
    <w:qFormat/>
    <w:rsid w:val="00FF4209"/>
    <w:pPr>
      <w:spacing w:before="0" w:beforeAutospacing="0" w:after="0" w:afterAutospacing="0"/>
      <w:jc w:val="center"/>
    </w:pPr>
    <w:rPr>
      <w:rFonts w:eastAsia="Calibri"/>
      <w:i/>
      <w:sz w:val="20"/>
      <w:szCs w:val="22"/>
      <w:lang w:val="lv-LV"/>
    </w:rPr>
  </w:style>
  <w:style w:type="character" w:customStyle="1" w:styleId="xdtextbox1">
    <w:name w:val="xdtextbox1"/>
    <w:rsid w:val="00FF4209"/>
    <w:rPr>
      <w:color w:val="auto"/>
      <w:bdr w:val="single" w:sz="8" w:space="1" w:color="DCDCDC" w:frame="1"/>
      <w:shd w:val="clear" w:color="auto" w:fill="FFFFFF"/>
    </w:rPr>
  </w:style>
  <w:style w:type="paragraph" w:styleId="PlainText">
    <w:name w:val="Plain Text"/>
    <w:basedOn w:val="Normal"/>
    <w:link w:val="PlainTextChar"/>
    <w:uiPriority w:val="99"/>
    <w:unhideWhenUsed/>
    <w:rsid w:val="00FF4209"/>
    <w:pPr>
      <w:jc w:val="left"/>
    </w:pPr>
    <w:rPr>
      <w:rFonts w:ascii="Consolas" w:eastAsia="Calibri" w:hAnsi="Consolas"/>
      <w:sz w:val="21"/>
      <w:szCs w:val="21"/>
      <w:lang w:val="x-none" w:eastAsia="x-none"/>
    </w:rPr>
  </w:style>
  <w:style w:type="character" w:customStyle="1" w:styleId="PlainTextChar">
    <w:name w:val="Plain Text Char"/>
    <w:link w:val="PlainText"/>
    <w:uiPriority w:val="99"/>
    <w:rsid w:val="00FF4209"/>
    <w:rPr>
      <w:rFonts w:ascii="Consolas" w:eastAsia="Calibri" w:hAnsi="Consolas" w:cs="Times New Roman"/>
      <w:sz w:val="21"/>
      <w:szCs w:val="21"/>
    </w:rPr>
  </w:style>
  <w:style w:type="paragraph" w:styleId="ListBullet">
    <w:name w:val="List Bullet"/>
    <w:basedOn w:val="Normal"/>
    <w:rsid w:val="00FF4209"/>
    <w:pPr>
      <w:numPr>
        <w:numId w:val="4"/>
      </w:numPr>
      <w:spacing w:before="120" w:after="120"/>
    </w:pPr>
    <w:rPr>
      <w:lang w:val="en-GB" w:eastAsia="de-DE"/>
    </w:rPr>
  </w:style>
  <w:style w:type="character" w:customStyle="1" w:styleId="colora">
    <w:name w:val="colora"/>
    <w:basedOn w:val="DefaultParagraphFont"/>
    <w:rsid w:val="00FF4209"/>
  </w:style>
  <w:style w:type="table" w:styleId="LightGrid-Accent3">
    <w:name w:val="Light Grid Accent 3"/>
    <w:basedOn w:val="TableNormal"/>
    <w:uiPriority w:val="62"/>
    <w:rsid w:val="00FF4209"/>
    <w:rPr>
      <w:rFonts w:ascii="Times New Roman" w:hAnsi="Times New Roman"/>
      <w:sz w:val="28"/>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naisc">
    <w:name w:val="naisc"/>
    <w:basedOn w:val="Normal"/>
    <w:uiPriority w:val="99"/>
    <w:rsid w:val="00A63B18"/>
    <w:pPr>
      <w:spacing w:before="100" w:beforeAutospacing="1" w:after="100" w:afterAutospacing="1"/>
      <w:jc w:val="left"/>
    </w:pPr>
    <w:rPr>
      <w:szCs w:val="24"/>
      <w:lang w:eastAsia="lv-LV"/>
    </w:rPr>
  </w:style>
  <w:style w:type="character" w:customStyle="1" w:styleId="xdtextboxctrl11ms-xedit-plaintext">
    <w:name w:val="xdtextbox ctrl11 ms-xedit-plaintext"/>
    <w:uiPriority w:val="99"/>
    <w:rsid w:val="00014F70"/>
    <w:rPr>
      <w:rFonts w:ascii="Times New Roman" w:hAnsi="Times New Roman" w:cs="Times New Roman" w:hint="default"/>
    </w:rPr>
  </w:style>
  <w:style w:type="character" w:customStyle="1" w:styleId="xdtextboxctrl10ms-xedit-plaintext">
    <w:name w:val="xdtextbox ctrl10 ms-xedit-plaintext"/>
    <w:uiPriority w:val="99"/>
    <w:rsid w:val="00014F70"/>
    <w:rPr>
      <w:rFonts w:ascii="Times New Roman" w:hAnsi="Times New Roman" w:cs="Times New Roman" w:hint="default"/>
    </w:rPr>
  </w:style>
  <w:style w:type="character" w:customStyle="1" w:styleId="apple-style-span">
    <w:name w:val="apple-style-span"/>
    <w:rsid w:val="00AC09A3"/>
  </w:style>
  <w:style w:type="paragraph" w:customStyle="1" w:styleId="rteleft">
    <w:name w:val="rteleft"/>
    <w:basedOn w:val="Normal"/>
    <w:rsid w:val="00D800C4"/>
    <w:pPr>
      <w:spacing w:before="100" w:beforeAutospacing="1" w:after="100" w:afterAutospacing="1"/>
      <w:jc w:val="left"/>
    </w:pPr>
    <w:rPr>
      <w:szCs w:val="24"/>
      <w:lang w:eastAsia="lv-LV"/>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lv-LV" w:eastAsia="lv-LV"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Bulle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lock Text"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346A"/>
    <w:pPr>
      <w:jc w:val="both"/>
    </w:pPr>
    <w:rPr>
      <w:rFonts w:ascii="Times New Roman" w:eastAsia="Times New Roman" w:hAnsi="Times New Roman"/>
      <w:sz w:val="24"/>
      <w:lang w:eastAsia="en-US"/>
    </w:rPr>
  </w:style>
  <w:style w:type="paragraph" w:styleId="Heading1">
    <w:name w:val="heading 1"/>
    <w:basedOn w:val="Normal"/>
    <w:next w:val="Normal"/>
    <w:link w:val="Heading1Char"/>
    <w:uiPriority w:val="9"/>
    <w:qFormat/>
    <w:rsid w:val="00FF4209"/>
    <w:pPr>
      <w:keepNext/>
      <w:spacing w:before="240" w:after="60"/>
      <w:outlineLvl w:val="0"/>
    </w:pPr>
    <w:rPr>
      <w:rFonts w:ascii="Cambria" w:hAnsi="Cambria"/>
      <w:b/>
      <w:bCs/>
      <w:kern w:val="32"/>
      <w:sz w:val="32"/>
      <w:szCs w:val="32"/>
      <w:lang w:val="x-none" w:eastAsia="x-none"/>
    </w:rPr>
  </w:style>
  <w:style w:type="paragraph" w:styleId="Heading2">
    <w:name w:val="heading 2"/>
    <w:basedOn w:val="Normal"/>
    <w:next w:val="Normal"/>
    <w:link w:val="Heading2Char"/>
    <w:qFormat/>
    <w:rsid w:val="00FF4209"/>
    <w:pPr>
      <w:keepNext/>
      <w:spacing w:before="240" w:after="60"/>
      <w:jc w:val="left"/>
      <w:outlineLvl w:val="1"/>
    </w:pPr>
    <w:rPr>
      <w:rFonts w:ascii="Arial" w:hAnsi="Arial"/>
      <w:b/>
      <w:bCs/>
      <w:i/>
      <w:iCs/>
      <w:sz w:val="28"/>
      <w:szCs w:val="28"/>
      <w:lang w:val="x-none" w:eastAsia="x-none"/>
    </w:rPr>
  </w:style>
  <w:style w:type="paragraph" w:styleId="Heading3">
    <w:name w:val="heading 3"/>
    <w:basedOn w:val="Normal"/>
    <w:next w:val="Normal"/>
    <w:link w:val="Heading3Char"/>
    <w:uiPriority w:val="9"/>
    <w:semiHidden/>
    <w:unhideWhenUsed/>
    <w:qFormat/>
    <w:rsid w:val="00FF4209"/>
    <w:pPr>
      <w:keepNext/>
      <w:keepLines/>
      <w:spacing w:before="200"/>
      <w:outlineLvl w:val="2"/>
    </w:pPr>
    <w:rPr>
      <w:rFonts w:ascii="Cambria" w:hAnsi="Cambria"/>
      <w:b/>
      <w:bCs/>
      <w:color w:val="4F81BD"/>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F4209"/>
    <w:rPr>
      <w:rFonts w:ascii="Cambria" w:eastAsia="Times New Roman" w:hAnsi="Cambria" w:cs="DokChampa"/>
      <w:b/>
      <w:bCs/>
      <w:kern w:val="32"/>
      <w:sz w:val="32"/>
      <w:szCs w:val="32"/>
    </w:rPr>
  </w:style>
  <w:style w:type="character" w:customStyle="1" w:styleId="Heading2Char">
    <w:name w:val="Heading 2 Char"/>
    <w:link w:val="Heading2"/>
    <w:rsid w:val="00FF4209"/>
    <w:rPr>
      <w:rFonts w:ascii="Arial" w:eastAsia="Times New Roman" w:hAnsi="Arial" w:cs="Arial"/>
      <w:b/>
      <w:bCs/>
      <w:i/>
      <w:iCs/>
      <w:sz w:val="28"/>
      <w:szCs w:val="28"/>
    </w:rPr>
  </w:style>
  <w:style w:type="character" w:customStyle="1" w:styleId="Heading3Char">
    <w:name w:val="Heading 3 Char"/>
    <w:link w:val="Heading3"/>
    <w:uiPriority w:val="9"/>
    <w:semiHidden/>
    <w:rsid w:val="00FF4209"/>
    <w:rPr>
      <w:rFonts w:ascii="Cambria" w:eastAsia="Times New Roman" w:hAnsi="Cambria" w:cs="Times New Roman"/>
      <w:b/>
      <w:bCs/>
      <w:color w:val="4F81BD"/>
      <w:sz w:val="24"/>
      <w:szCs w:val="20"/>
    </w:rPr>
  </w:style>
  <w:style w:type="paragraph" w:styleId="Header">
    <w:name w:val="header"/>
    <w:basedOn w:val="Normal"/>
    <w:link w:val="HeaderChar"/>
    <w:rsid w:val="00FF4209"/>
    <w:pPr>
      <w:tabs>
        <w:tab w:val="center" w:pos="4153"/>
        <w:tab w:val="right" w:pos="8306"/>
      </w:tabs>
      <w:jc w:val="left"/>
    </w:pPr>
    <w:rPr>
      <w:szCs w:val="24"/>
      <w:lang w:val="en-GB" w:eastAsia="x-none"/>
    </w:rPr>
  </w:style>
  <w:style w:type="character" w:customStyle="1" w:styleId="HeaderChar">
    <w:name w:val="Header Char"/>
    <w:link w:val="Header"/>
    <w:rsid w:val="00FF4209"/>
    <w:rPr>
      <w:rFonts w:ascii="Times New Roman" w:eastAsia="Times New Roman" w:hAnsi="Times New Roman" w:cs="Times New Roman"/>
      <w:sz w:val="24"/>
      <w:szCs w:val="24"/>
      <w:lang w:val="en-GB"/>
    </w:rPr>
  </w:style>
  <w:style w:type="character" w:styleId="Hyperlink">
    <w:name w:val="Hyperlink"/>
    <w:uiPriority w:val="99"/>
    <w:rsid w:val="00FF4209"/>
    <w:rPr>
      <w:rFonts w:ascii="Arial" w:hAnsi="Arial" w:cs="Arial" w:hint="default"/>
      <w:strike w:val="0"/>
      <w:dstrike w:val="0"/>
      <w:color w:val="189B70"/>
      <w:sz w:val="18"/>
      <w:szCs w:val="18"/>
      <w:u w:val="none"/>
      <w:effect w:val="none"/>
    </w:rPr>
  </w:style>
  <w:style w:type="paragraph" w:styleId="BalloonText">
    <w:name w:val="Balloon Text"/>
    <w:basedOn w:val="Normal"/>
    <w:link w:val="BalloonTextChar"/>
    <w:semiHidden/>
    <w:rsid w:val="00FF4209"/>
    <w:rPr>
      <w:rFonts w:ascii="Tahoma" w:hAnsi="Tahoma"/>
      <w:sz w:val="16"/>
      <w:szCs w:val="16"/>
      <w:lang w:val="x-none" w:eastAsia="x-none"/>
    </w:rPr>
  </w:style>
  <w:style w:type="character" w:customStyle="1" w:styleId="BalloonTextChar">
    <w:name w:val="Balloon Text Char"/>
    <w:link w:val="BalloonText"/>
    <w:semiHidden/>
    <w:rsid w:val="00FF4209"/>
    <w:rPr>
      <w:rFonts w:ascii="Tahoma" w:eastAsia="Times New Roman" w:hAnsi="Tahoma" w:cs="Tahoma"/>
      <w:sz w:val="16"/>
      <w:szCs w:val="16"/>
    </w:rPr>
  </w:style>
  <w:style w:type="paragraph" w:styleId="NormalWeb">
    <w:name w:val="Normal (Web)"/>
    <w:basedOn w:val="Normal"/>
    <w:uiPriority w:val="99"/>
    <w:rsid w:val="00FF4209"/>
    <w:pPr>
      <w:spacing w:before="100" w:beforeAutospacing="1" w:after="100" w:afterAutospacing="1"/>
      <w:jc w:val="left"/>
    </w:pPr>
    <w:rPr>
      <w:szCs w:val="24"/>
      <w:lang w:val="en-GB"/>
    </w:rPr>
  </w:style>
  <w:style w:type="character" w:styleId="Strong">
    <w:name w:val="Strong"/>
    <w:uiPriority w:val="22"/>
    <w:qFormat/>
    <w:rsid w:val="00FF4209"/>
    <w:rPr>
      <w:b/>
      <w:bCs/>
    </w:rPr>
  </w:style>
  <w:style w:type="paragraph" w:styleId="Title">
    <w:name w:val="Title"/>
    <w:basedOn w:val="Normal"/>
    <w:link w:val="TitleChar"/>
    <w:uiPriority w:val="10"/>
    <w:qFormat/>
    <w:rsid w:val="00FF4209"/>
    <w:pPr>
      <w:jc w:val="center"/>
    </w:pPr>
    <w:rPr>
      <w:b/>
      <w:sz w:val="28"/>
      <w:szCs w:val="28"/>
      <w:lang w:val="x-none" w:eastAsia="x-none"/>
    </w:rPr>
  </w:style>
  <w:style w:type="character" w:customStyle="1" w:styleId="TitleChar">
    <w:name w:val="Title Char"/>
    <w:link w:val="Title"/>
    <w:uiPriority w:val="10"/>
    <w:rsid w:val="00FF4209"/>
    <w:rPr>
      <w:rFonts w:ascii="Times New Roman" w:eastAsia="Times New Roman" w:hAnsi="Times New Roman" w:cs="Times New Roman"/>
      <w:b/>
      <w:sz w:val="28"/>
      <w:szCs w:val="28"/>
    </w:rPr>
  </w:style>
  <w:style w:type="paragraph" w:styleId="FootnoteText">
    <w:name w:val="footnote text"/>
    <w:aliases w:val="Char, Char,Footnote,Fußnote,Footnote Text Char1,Vēres teksts Char Char Char Char Char Char Char Char Char Char Char Char1,Char Char Char Char Char Char Char Char Char Char Char Char Char Char Char Char Char Char Char1,-E Fußnotentext"/>
    <w:basedOn w:val="Normal"/>
    <w:link w:val="FootnoteTextChar"/>
    <w:uiPriority w:val="99"/>
    <w:rsid w:val="00FF4209"/>
    <w:rPr>
      <w:sz w:val="20"/>
      <w:lang w:val="x-none" w:eastAsia="x-none"/>
    </w:rPr>
  </w:style>
  <w:style w:type="character" w:customStyle="1" w:styleId="FootnoteTextChar">
    <w:name w:val="Footnote Text Char"/>
    <w:aliases w:val="Char Char, Char Char,Footnote Char,Fußnote Char,Footnote Text Char1 Char,Vēres teksts Char Char Char Char Char Char Char Char Char Char Char Char1 Char,-E Fußnotentext Char"/>
    <w:link w:val="FootnoteText"/>
    <w:uiPriority w:val="99"/>
    <w:rsid w:val="00FF4209"/>
    <w:rPr>
      <w:rFonts w:ascii="Times New Roman" w:eastAsia="Times New Roman" w:hAnsi="Times New Roman" w:cs="Times New Roman"/>
      <w:sz w:val="20"/>
      <w:szCs w:val="20"/>
    </w:rPr>
  </w:style>
  <w:style w:type="character" w:styleId="FootnoteReference">
    <w:name w:val="footnote reference"/>
    <w:aliases w:val="Footnote Reference Number,Footnote symbol"/>
    <w:uiPriority w:val="99"/>
    <w:rsid w:val="00FF4209"/>
    <w:rPr>
      <w:vertAlign w:val="superscript"/>
    </w:rPr>
  </w:style>
  <w:style w:type="paragraph" w:styleId="Footer">
    <w:name w:val="footer"/>
    <w:basedOn w:val="Normal"/>
    <w:link w:val="FooterChar"/>
    <w:uiPriority w:val="99"/>
    <w:rsid w:val="00FF4209"/>
    <w:pPr>
      <w:tabs>
        <w:tab w:val="center" w:pos="4153"/>
        <w:tab w:val="right" w:pos="8306"/>
      </w:tabs>
    </w:pPr>
    <w:rPr>
      <w:lang w:val="x-none" w:eastAsia="x-none"/>
    </w:rPr>
  </w:style>
  <w:style w:type="character" w:customStyle="1" w:styleId="FooterChar">
    <w:name w:val="Footer Char"/>
    <w:link w:val="Footer"/>
    <w:uiPriority w:val="99"/>
    <w:rsid w:val="00FF4209"/>
    <w:rPr>
      <w:rFonts w:ascii="Times New Roman" w:eastAsia="Times New Roman" w:hAnsi="Times New Roman" w:cs="Times New Roman"/>
      <w:sz w:val="24"/>
      <w:szCs w:val="20"/>
    </w:rPr>
  </w:style>
  <w:style w:type="character" w:styleId="PageNumber">
    <w:name w:val="page number"/>
    <w:basedOn w:val="DefaultParagraphFont"/>
    <w:rsid w:val="00FF4209"/>
  </w:style>
  <w:style w:type="character" w:styleId="FollowedHyperlink">
    <w:name w:val="FollowedHyperlink"/>
    <w:rsid w:val="00FF4209"/>
    <w:rPr>
      <w:color w:val="800080"/>
      <w:u w:val="single"/>
    </w:rPr>
  </w:style>
  <w:style w:type="character" w:styleId="Emphasis">
    <w:name w:val="Emphasis"/>
    <w:uiPriority w:val="20"/>
    <w:qFormat/>
    <w:rsid w:val="00FF4209"/>
    <w:rPr>
      <w:i/>
      <w:iCs/>
    </w:rPr>
  </w:style>
  <w:style w:type="paragraph" w:customStyle="1" w:styleId="RakstzRakstz">
    <w:name w:val="Rakstz. Rakstz."/>
    <w:basedOn w:val="Normal"/>
    <w:next w:val="BlockText"/>
    <w:rsid w:val="00FF4209"/>
    <w:pPr>
      <w:spacing w:before="120" w:after="160" w:line="240" w:lineRule="exact"/>
      <w:ind w:firstLine="720"/>
    </w:pPr>
    <w:rPr>
      <w:rFonts w:ascii="Verdana" w:hAnsi="Verdana"/>
      <w:sz w:val="20"/>
      <w:lang w:val="en-US"/>
    </w:rPr>
  </w:style>
  <w:style w:type="paragraph" w:styleId="BlockText">
    <w:name w:val="Block Text"/>
    <w:basedOn w:val="Normal"/>
    <w:rsid w:val="00FF4209"/>
    <w:pPr>
      <w:spacing w:after="120"/>
      <w:ind w:left="1440" w:right="1440"/>
    </w:pPr>
  </w:style>
  <w:style w:type="paragraph" w:customStyle="1" w:styleId="CharChar2Char">
    <w:name w:val="Char Char2 Char"/>
    <w:basedOn w:val="Normal"/>
    <w:rsid w:val="00FF4209"/>
    <w:pPr>
      <w:spacing w:before="40"/>
      <w:jc w:val="left"/>
    </w:pPr>
    <w:rPr>
      <w:szCs w:val="24"/>
      <w:lang w:val="pl-PL" w:eastAsia="pl-PL"/>
    </w:rPr>
  </w:style>
  <w:style w:type="paragraph" w:styleId="BodyText">
    <w:name w:val="Body Text"/>
    <w:basedOn w:val="Normal"/>
    <w:link w:val="BodyTextChar"/>
    <w:rsid w:val="00FF4209"/>
    <w:pPr>
      <w:jc w:val="left"/>
    </w:pPr>
    <w:rPr>
      <w:b/>
      <w:bCs/>
      <w:szCs w:val="24"/>
      <w:lang w:val="en-GB" w:eastAsia="x-none"/>
    </w:rPr>
  </w:style>
  <w:style w:type="character" w:customStyle="1" w:styleId="BodyTextChar">
    <w:name w:val="Body Text Char"/>
    <w:link w:val="BodyText"/>
    <w:rsid w:val="00FF4209"/>
    <w:rPr>
      <w:rFonts w:ascii="Times New Roman" w:eastAsia="Times New Roman" w:hAnsi="Times New Roman" w:cs="Times New Roman"/>
      <w:b/>
      <w:bCs/>
      <w:sz w:val="24"/>
      <w:szCs w:val="24"/>
      <w:lang w:val="en-GB"/>
    </w:rPr>
  </w:style>
  <w:style w:type="paragraph" w:styleId="BodyTextIndent">
    <w:name w:val="Body Text Indent"/>
    <w:basedOn w:val="Normal"/>
    <w:link w:val="BodyTextIndentChar"/>
    <w:rsid w:val="00FF4209"/>
    <w:pPr>
      <w:spacing w:after="120"/>
      <w:ind w:left="283"/>
    </w:pPr>
    <w:rPr>
      <w:lang w:val="x-none" w:eastAsia="x-none"/>
    </w:rPr>
  </w:style>
  <w:style w:type="character" w:customStyle="1" w:styleId="BodyTextIndentChar">
    <w:name w:val="Body Text Indent Char"/>
    <w:link w:val="BodyTextIndent"/>
    <w:rsid w:val="00FF4209"/>
    <w:rPr>
      <w:rFonts w:ascii="Times New Roman" w:eastAsia="Times New Roman" w:hAnsi="Times New Roman" w:cs="Times New Roman"/>
      <w:sz w:val="24"/>
      <w:szCs w:val="20"/>
    </w:rPr>
  </w:style>
  <w:style w:type="paragraph" w:customStyle="1" w:styleId="CharCharCharCharChar">
    <w:name w:val="Char Char Char Char Char"/>
    <w:basedOn w:val="Normal"/>
    <w:next w:val="BlockText"/>
    <w:rsid w:val="00FF4209"/>
    <w:pPr>
      <w:spacing w:before="120" w:after="160" w:line="240" w:lineRule="exact"/>
      <w:ind w:firstLine="720"/>
    </w:pPr>
    <w:rPr>
      <w:rFonts w:ascii="Verdana" w:hAnsi="Verdana"/>
      <w:sz w:val="20"/>
      <w:lang w:val="en-US"/>
    </w:rPr>
  </w:style>
  <w:style w:type="paragraph" w:customStyle="1" w:styleId="CharChar1">
    <w:name w:val="Char Char1"/>
    <w:basedOn w:val="Normal"/>
    <w:next w:val="BlockText"/>
    <w:rsid w:val="00FF4209"/>
    <w:pPr>
      <w:spacing w:before="120" w:after="160" w:line="240" w:lineRule="exact"/>
      <w:ind w:firstLine="720"/>
    </w:pPr>
    <w:rPr>
      <w:rFonts w:ascii="Verdana" w:hAnsi="Verdana"/>
      <w:sz w:val="20"/>
      <w:lang w:val="en-US"/>
    </w:rPr>
  </w:style>
  <w:style w:type="character" w:styleId="CommentReference">
    <w:name w:val="annotation reference"/>
    <w:uiPriority w:val="99"/>
    <w:semiHidden/>
    <w:rsid w:val="00FF4209"/>
    <w:rPr>
      <w:sz w:val="16"/>
      <w:szCs w:val="16"/>
    </w:rPr>
  </w:style>
  <w:style w:type="paragraph" w:styleId="CommentText">
    <w:name w:val="annotation text"/>
    <w:basedOn w:val="Normal"/>
    <w:link w:val="CommentTextChar"/>
    <w:uiPriority w:val="99"/>
    <w:semiHidden/>
    <w:rsid w:val="00FF4209"/>
    <w:rPr>
      <w:sz w:val="20"/>
      <w:lang w:val="x-none" w:eastAsia="x-none"/>
    </w:rPr>
  </w:style>
  <w:style w:type="character" w:customStyle="1" w:styleId="CommentTextChar">
    <w:name w:val="Comment Text Char"/>
    <w:link w:val="CommentText"/>
    <w:uiPriority w:val="99"/>
    <w:semiHidden/>
    <w:rsid w:val="00FF420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FF4209"/>
    <w:rPr>
      <w:b/>
      <w:bCs/>
    </w:rPr>
  </w:style>
  <w:style w:type="character" w:customStyle="1" w:styleId="CommentSubjectChar">
    <w:name w:val="Comment Subject Char"/>
    <w:link w:val="CommentSubject"/>
    <w:semiHidden/>
    <w:rsid w:val="00FF4209"/>
    <w:rPr>
      <w:rFonts w:ascii="Times New Roman" w:eastAsia="Times New Roman" w:hAnsi="Times New Roman" w:cs="Times New Roman"/>
      <w:b/>
      <w:bCs/>
      <w:sz w:val="20"/>
      <w:szCs w:val="20"/>
    </w:rPr>
  </w:style>
  <w:style w:type="paragraph" w:customStyle="1" w:styleId="Norm">
    <w:name w:val="Norm"/>
    <w:basedOn w:val="Normal"/>
    <w:autoRedefine/>
    <w:rsid w:val="00FF4209"/>
    <w:pPr>
      <w:tabs>
        <w:tab w:val="num" w:pos="1080"/>
      </w:tabs>
      <w:ind w:left="1080" w:hanging="360"/>
    </w:pPr>
    <w:rPr>
      <w:sz w:val="28"/>
      <w:szCs w:val="28"/>
    </w:rPr>
  </w:style>
  <w:style w:type="paragraph" w:styleId="BodyText2">
    <w:name w:val="Body Text 2"/>
    <w:basedOn w:val="Normal"/>
    <w:link w:val="BodyText2Char"/>
    <w:rsid w:val="00FF4209"/>
    <w:pPr>
      <w:spacing w:after="120" w:line="480" w:lineRule="auto"/>
      <w:jc w:val="left"/>
    </w:pPr>
    <w:rPr>
      <w:szCs w:val="24"/>
      <w:lang w:val="x-none" w:eastAsia="x-none"/>
    </w:rPr>
  </w:style>
  <w:style w:type="character" w:customStyle="1" w:styleId="BodyText2Char">
    <w:name w:val="Body Text 2 Char"/>
    <w:link w:val="BodyText2"/>
    <w:rsid w:val="00FF4209"/>
    <w:rPr>
      <w:rFonts w:ascii="Times New Roman" w:eastAsia="Times New Roman" w:hAnsi="Times New Roman" w:cs="Times New Roman"/>
      <w:sz w:val="24"/>
      <w:szCs w:val="24"/>
    </w:rPr>
  </w:style>
  <w:style w:type="paragraph" w:styleId="BodyText3">
    <w:name w:val="Body Text 3"/>
    <w:basedOn w:val="Normal"/>
    <w:link w:val="BodyText3Char"/>
    <w:rsid w:val="00FF4209"/>
    <w:pPr>
      <w:spacing w:after="120"/>
      <w:jc w:val="left"/>
    </w:pPr>
    <w:rPr>
      <w:sz w:val="16"/>
      <w:szCs w:val="16"/>
      <w:lang w:val="x-none" w:eastAsia="lv-LV"/>
    </w:rPr>
  </w:style>
  <w:style w:type="character" w:customStyle="1" w:styleId="BodyText3Char">
    <w:name w:val="Body Text 3 Char"/>
    <w:link w:val="BodyText3"/>
    <w:rsid w:val="00FF4209"/>
    <w:rPr>
      <w:rFonts w:ascii="Times New Roman" w:eastAsia="Times New Roman" w:hAnsi="Times New Roman" w:cs="Times New Roman"/>
      <w:sz w:val="16"/>
      <w:szCs w:val="16"/>
      <w:lang w:eastAsia="lv-LV"/>
    </w:rPr>
  </w:style>
  <w:style w:type="paragraph" w:customStyle="1" w:styleId="mkh">
    <w:name w:val="mkh"/>
    <w:basedOn w:val="Normal"/>
    <w:rsid w:val="00FF4209"/>
    <w:pPr>
      <w:spacing w:after="120"/>
      <w:ind w:firstLine="720"/>
      <w:jc w:val="center"/>
    </w:pPr>
    <w:rPr>
      <w:b/>
      <w:bCs/>
      <w:sz w:val="28"/>
      <w:szCs w:val="28"/>
      <w:lang w:eastAsia="lv-LV"/>
    </w:rPr>
  </w:style>
  <w:style w:type="paragraph" w:customStyle="1" w:styleId="CharChar2CharCharCharChar">
    <w:name w:val="Char Char2 Char Char Char Char"/>
    <w:basedOn w:val="Normal"/>
    <w:rsid w:val="00FF4209"/>
    <w:pPr>
      <w:spacing w:before="40"/>
      <w:jc w:val="left"/>
    </w:pPr>
    <w:rPr>
      <w:szCs w:val="24"/>
      <w:lang w:val="pl-PL" w:eastAsia="pl-PL"/>
    </w:rPr>
  </w:style>
  <w:style w:type="paragraph" w:customStyle="1" w:styleId="CharChar2CharCharCharCharChar">
    <w:name w:val="Char Char2 Char Char Char Char Char"/>
    <w:basedOn w:val="Normal"/>
    <w:rsid w:val="00FF4209"/>
    <w:pPr>
      <w:spacing w:before="40"/>
      <w:jc w:val="left"/>
    </w:pPr>
    <w:rPr>
      <w:szCs w:val="24"/>
      <w:lang w:val="pl-PL" w:eastAsia="pl-PL"/>
    </w:rPr>
  </w:style>
  <w:style w:type="paragraph" w:styleId="NoSpacing">
    <w:name w:val="No Spacing"/>
    <w:uiPriority w:val="1"/>
    <w:qFormat/>
    <w:rsid w:val="00FF4209"/>
    <w:rPr>
      <w:rFonts w:ascii="Times New Roman" w:hAnsi="Times New Roman"/>
      <w:sz w:val="24"/>
      <w:szCs w:val="24"/>
    </w:rPr>
  </w:style>
  <w:style w:type="paragraph" w:customStyle="1" w:styleId="naiskr">
    <w:name w:val="naiskr"/>
    <w:basedOn w:val="Normal"/>
    <w:rsid w:val="00FF4209"/>
    <w:pPr>
      <w:spacing w:before="100" w:beforeAutospacing="1" w:after="100" w:afterAutospacing="1"/>
      <w:jc w:val="left"/>
    </w:pPr>
    <w:rPr>
      <w:szCs w:val="24"/>
      <w:lang w:eastAsia="lv-LV"/>
    </w:rPr>
  </w:style>
  <w:style w:type="paragraph" w:styleId="BodyTextIndent2">
    <w:name w:val="Body Text Indent 2"/>
    <w:basedOn w:val="Normal"/>
    <w:link w:val="BodyTextIndent2Char"/>
    <w:rsid w:val="00FF4209"/>
    <w:pPr>
      <w:spacing w:after="120" w:line="480" w:lineRule="auto"/>
      <w:ind w:left="283"/>
    </w:pPr>
    <w:rPr>
      <w:lang w:val="x-none" w:eastAsia="x-none"/>
    </w:rPr>
  </w:style>
  <w:style w:type="character" w:customStyle="1" w:styleId="BodyTextIndent2Char">
    <w:name w:val="Body Text Indent 2 Char"/>
    <w:link w:val="BodyTextIndent2"/>
    <w:rsid w:val="00FF4209"/>
    <w:rPr>
      <w:rFonts w:ascii="Times New Roman" w:eastAsia="Times New Roman" w:hAnsi="Times New Roman" w:cs="Times New Roman"/>
      <w:sz w:val="24"/>
      <w:szCs w:val="20"/>
    </w:rPr>
  </w:style>
  <w:style w:type="paragraph" w:customStyle="1" w:styleId="RakstzCharCharRakstzCharCharRakstzCharCharRakstzCharChar">
    <w:name w:val="Rakstz. Char Char Rakstz. Char Char Rakstz. Char Char Rakstz. Char Char"/>
    <w:basedOn w:val="Normal"/>
    <w:rsid w:val="00FF4209"/>
    <w:pPr>
      <w:spacing w:after="160" w:line="240" w:lineRule="exact"/>
      <w:jc w:val="left"/>
    </w:pPr>
    <w:rPr>
      <w:rFonts w:ascii="Tahoma" w:hAnsi="Tahoma"/>
      <w:sz w:val="20"/>
      <w:lang w:val="en-US"/>
    </w:rPr>
  </w:style>
  <w:style w:type="paragraph" w:customStyle="1" w:styleId="msolistparagraph0">
    <w:name w:val="msolistparagraph"/>
    <w:basedOn w:val="Normal"/>
    <w:rsid w:val="00FF4209"/>
    <w:pPr>
      <w:ind w:left="720"/>
      <w:jc w:val="left"/>
    </w:pPr>
    <w:rPr>
      <w:szCs w:val="24"/>
      <w:lang w:eastAsia="lv-LV"/>
    </w:rPr>
  </w:style>
  <w:style w:type="paragraph" w:customStyle="1" w:styleId="NChar1CharCharCharCharChar">
    <w:name w:val="N Char1 Char Char Char Char Char"/>
    <w:basedOn w:val="Normal"/>
    <w:uiPriority w:val="99"/>
    <w:rsid w:val="00FF4209"/>
    <w:pPr>
      <w:tabs>
        <w:tab w:val="num" w:pos="0"/>
        <w:tab w:val="num" w:pos="765"/>
      </w:tabs>
      <w:spacing w:before="120"/>
      <w:ind w:left="765" w:hanging="720"/>
    </w:pPr>
    <w:rPr>
      <w:iCs/>
      <w:sz w:val="22"/>
      <w:szCs w:val="16"/>
      <w:lang w:eastAsia="lv-LV"/>
    </w:rPr>
  </w:style>
  <w:style w:type="character" w:customStyle="1" w:styleId="textsCharChar">
    <w:name w:val="texts Char Char"/>
    <w:aliases w:val="texts Char Char1,texts Char Char2,texts Char Char3"/>
    <w:rsid w:val="00FF4209"/>
    <w:rPr>
      <w:sz w:val="24"/>
      <w:szCs w:val="24"/>
      <w:lang w:val="en-GB" w:eastAsia="en-US" w:bidi="ar-SA"/>
    </w:rPr>
  </w:style>
  <w:style w:type="paragraph" w:styleId="ListParagraph">
    <w:name w:val="List Paragraph"/>
    <w:basedOn w:val="Normal"/>
    <w:uiPriority w:val="34"/>
    <w:qFormat/>
    <w:rsid w:val="00FF4209"/>
    <w:pPr>
      <w:spacing w:after="200" w:line="276" w:lineRule="auto"/>
      <w:ind w:left="720"/>
      <w:contextualSpacing/>
      <w:jc w:val="left"/>
    </w:pPr>
    <w:rPr>
      <w:rFonts w:ascii="Calibri" w:eastAsia="Calibri" w:hAnsi="Calibri"/>
      <w:sz w:val="22"/>
      <w:szCs w:val="22"/>
    </w:rPr>
  </w:style>
  <w:style w:type="paragraph" w:customStyle="1" w:styleId="CharCharCharCharCharCharCharChar">
    <w:name w:val="Char Char Char Char Char Char Char Char"/>
    <w:basedOn w:val="Normal"/>
    <w:next w:val="BlockText"/>
    <w:rsid w:val="00FF4209"/>
    <w:pPr>
      <w:spacing w:before="120" w:after="160" w:line="240" w:lineRule="exact"/>
      <w:ind w:firstLine="720"/>
    </w:pPr>
    <w:rPr>
      <w:rFonts w:ascii="Verdana" w:hAnsi="Verdana"/>
      <w:sz w:val="20"/>
      <w:lang w:val="en-US"/>
    </w:rPr>
  </w:style>
  <w:style w:type="paragraph" w:customStyle="1" w:styleId="naisf">
    <w:name w:val="naisf"/>
    <w:basedOn w:val="Normal"/>
    <w:link w:val="naisfChar"/>
    <w:rsid w:val="00FF4209"/>
    <w:pPr>
      <w:spacing w:before="100" w:beforeAutospacing="1" w:after="100" w:afterAutospacing="1"/>
      <w:jc w:val="left"/>
    </w:pPr>
    <w:rPr>
      <w:szCs w:val="24"/>
      <w:lang w:val="x-none" w:eastAsia="x-none"/>
    </w:rPr>
  </w:style>
  <w:style w:type="character" w:customStyle="1" w:styleId="naisfChar">
    <w:name w:val="naisf Char"/>
    <w:link w:val="naisf"/>
    <w:rsid w:val="00FF4209"/>
    <w:rPr>
      <w:rFonts w:ascii="Times New Roman" w:eastAsia="Times New Roman" w:hAnsi="Times New Roman" w:cs="Times New Roman"/>
      <w:sz w:val="24"/>
      <w:szCs w:val="24"/>
    </w:rPr>
  </w:style>
  <w:style w:type="paragraph" w:customStyle="1" w:styleId="Rakstz">
    <w:name w:val="Rakstz."/>
    <w:basedOn w:val="Normal"/>
    <w:rsid w:val="00FF4209"/>
    <w:pPr>
      <w:spacing w:before="40"/>
      <w:jc w:val="left"/>
    </w:pPr>
    <w:rPr>
      <w:szCs w:val="24"/>
      <w:lang w:val="pl-PL" w:eastAsia="pl-PL"/>
    </w:rPr>
  </w:style>
  <w:style w:type="paragraph" w:customStyle="1" w:styleId="Bullet1Rakstz">
    <w:name w:val="Bullet 1 Rakstz."/>
    <w:basedOn w:val="Normal"/>
    <w:rsid w:val="00FF4209"/>
    <w:pPr>
      <w:numPr>
        <w:numId w:val="1"/>
      </w:numPr>
      <w:snapToGrid w:val="0"/>
      <w:spacing w:before="20" w:line="288" w:lineRule="auto"/>
    </w:pPr>
    <w:rPr>
      <w:rFonts w:eastAsia="Calibri"/>
      <w:szCs w:val="24"/>
      <w:lang w:val="en-GB" w:eastAsia="en-GB"/>
    </w:rPr>
  </w:style>
  <w:style w:type="paragraph" w:customStyle="1" w:styleId="naisnod">
    <w:name w:val="naisnod"/>
    <w:basedOn w:val="Normal"/>
    <w:rsid w:val="00FF4209"/>
    <w:pPr>
      <w:spacing w:before="100" w:beforeAutospacing="1" w:after="100" w:afterAutospacing="1"/>
      <w:jc w:val="left"/>
    </w:pPr>
    <w:rPr>
      <w:rFonts w:eastAsia="Calibri"/>
      <w:szCs w:val="24"/>
      <w:lang w:eastAsia="lv-LV"/>
    </w:rPr>
  </w:style>
  <w:style w:type="table" w:styleId="TableGrid">
    <w:name w:val="Table Grid"/>
    <w:basedOn w:val="TableNormal"/>
    <w:uiPriority w:val="59"/>
    <w:rsid w:val="00FF4209"/>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FF4209"/>
    <w:pPr>
      <w:autoSpaceDE w:val="0"/>
      <w:autoSpaceDN w:val="0"/>
      <w:adjustRightInd w:val="0"/>
    </w:pPr>
    <w:rPr>
      <w:rFonts w:ascii="Times New Roman" w:hAnsi="Times New Roman"/>
      <w:color w:val="000000"/>
      <w:sz w:val="24"/>
      <w:szCs w:val="24"/>
    </w:rPr>
  </w:style>
  <w:style w:type="character" w:customStyle="1" w:styleId="skypetbinnertext">
    <w:name w:val="skype_tb_innertext"/>
    <w:basedOn w:val="DefaultParagraphFont"/>
    <w:rsid w:val="00FF4209"/>
  </w:style>
  <w:style w:type="character" w:customStyle="1" w:styleId="spelle">
    <w:name w:val="spelle"/>
    <w:basedOn w:val="DefaultParagraphFont"/>
    <w:rsid w:val="00FF4209"/>
  </w:style>
  <w:style w:type="paragraph" w:customStyle="1" w:styleId="Normal1">
    <w:name w:val="Normal1"/>
    <w:basedOn w:val="Normal"/>
    <w:rsid w:val="00FF4209"/>
    <w:pPr>
      <w:spacing w:before="100" w:beforeAutospacing="1" w:after="100" w:afterAutospacing="1"/>
      <w:jc w:val="left"/>
    </w:pPr>
    <w:rPr>
      <w:szCs w:val="24"/>
      <w:lang w:val="en-US"/>
    </w:rPr>
  </w:style>
  <w:style w:type="paragraph" w:customStyle="1" w:styleId="1lmenis">
    <w:name w:val="1.līmenis"/>
    <w:basedOn w:val="Heading1"/>
    <w:link w:val="1lmenisChar"/>
    <w:qFormat/>
    <w:rsid w:val="00FF4209"/>
    <w:pPr>
      <w:numPr>
        <w:numId w:val="2"/>
      </w:numPr>
    </w:pPr>
    <w:rPr>
      <w:sz w:val="36"/>
      <w:szCs w:val="30"/>
    </w:rPr>
  </w:style>
  <w:style w:type="paragraph" w:customStyle="1" w:styleId="2lmenis">
    <w:name w:val="2.līmenis"/>
    <w:basedOn w:val="Heading2"/>
    <w:link w:val="2lmenisChar"/>
    <w:qFormat/>
    <w:rsid w:val="00FF4209"/>
    <w:pPr>
      <w:ind w:left="720"/>
    </w:pPr>
    <w:rPr>
      <w:rFonts w:ascii="Times New Roman" w:hAnsi="Times New Roman"/>
      <w:bCs w:val="0"/>
      <w:i w:val="0"/>
    </w:rPr>
  </w:style>
  <w:style w:type="character" w:customStyle="1" w:styleId="1lmenisChar">
    <w:name w:val="1.līmenis Char"/>
    <w:link w:val="1lmenis"/>
    <w:rsid w:val="00FF4209"/>
    <w:rPr>
      <w:rFonts w:ascii="Cambria" w:eastAsia="Times New Roman" w:hAnsi="Cambria"/>
      <w:b/>
      <w:bCs/>
      <w:kern w:val="32"/>
      <w:sz w:val="36"/>
      <w:szCs w:val="30"/>
      <w:lang w:val="x-none" w:eastAsia="x-none"/>
    </w:rPr>
  </w:style>
  <w:style w:type="paragraph" w:customStyle="1" w:styleId="3lmenis">
    <w:name w:val="3.līmenis"/>
    <w:basedOn w:val="Normal"/>
    <w:link w:val="3lmenisChar"/>
    <w:qFormat/>
    <w:rsid w:val="00FF4209"/>
    <w:pPr>
      <w:spacing w:before="120" w:after="120" w:line="276" w:lineRule="auto"/>
      <w:ind w:left="720"/>
    </w:pPr>
    <w:rPr>
      <w:b/>
      <w:bCs/>
      <w:szCs w:val="24"/>
      <w:u w:val="single"/>
      <w:lang w:val="x-none" w:eastAsia="x-none"/>
    </w:rPr>
  </w:style>
  <w:style w:type="character" w:customStyle="1" w:styleId="2lmenisChar">
    <w:name w:val="2.līmenis Char"/>
    <w:link w:val="2lmenis"/>
    <w:rsid w:val="00FF4209"/>
    <w:rPr>
      <w:rFonts w:ascii="Times New Roman" w:eastAsia="Times New Roman" w:hAnsi="Times New Roman" w:cs="Arial"/>
      <w:b/>
      <w:iCs/>
      <w:sz w:val="28"/>
      <w:szCs w:val="28"/>
    </w:rPr>
  </w:style>
  <w:style w:type="character" w:customStyle="1" w:styleId="3lmenisChar">
    <w:name w:val="3.līmenis Char"/>
    <w:link w:val="3lmenis"/>
    <w:rsid w:val="00FF4209"/>
    <w:rPr>
      <w:rFonts w:ascii="Times New Roman" w:eastAsia="Times New Roman" w:hAnsi="Times New Roman" w:cs="Times New Roman"/>
      <w:b/>
      <w:bCs/>
      <w:sz w:val="24"/>
      <w:szCs w:val="24"/>
      <w:u w:val="single"/>
    </w:rPr>
  </w:style>
  <w:style w:type="paragraph" w:styleId="TOCHeading">
    <w:name w:val="TOC Heading"/>
    <w:basedOn w:val="Heading1"/>
    <w:next w:val="Normal"/>
    <w:uiPriority w:val="39"/>
    <w:unhideWhenUsed/>
    <w:qFormat/>
    <w:rsid w:val="00FF4209"/>
    <w:pPr>
      <w:keepLines/>
      <w:spacing w:before="480" w:after="0" w:line="276" w:lineRule="auto"/>
      <w:jc w:val="left"/>
      <w:outlineLvl w:val="9"/>
    </w:pPr>
    <w:rPr>
      <w:color w:val="365F91"/>
      <w:kern w:val="0"/>
      <w:sz w:val="28"/>
      <w:szCs w:val="28"/>
      <w:lang w:val="en-US"/>
    </w:rPr>
  </w:style>
  <w:style w:type="paragraph" w:styleId="TOC1">
    <w:name w:val="toc 1"/>
    <w:basedOn w:val="Normal"/>
    <w:next w:val="Normal"/>
    <w:autoRedefine/>
    <w:uiPriority w:val="39"/>
    <w:unhideWhenUsed/>
    <w:qFormat/>
    <w:rsid w:val="00360DD1"/>
    <w:pPr>
      <w:tabs>
        <w:tab w:val="left" w:pos="426"/>
        <w:tab w:val="right" w:leader="dot" w:pos="9061"/>
      </w:tabs>
      <w:spacing w:before="360"/>
      <w:jc w:val="left"/>
    </w:pPr>
    <w:rPr>
      <w:rFonts w:ascii="Cambria" w:hAnsi="Cambria"/>
      <w:b/>
      <w:bCs/>
      <w:caps/>
      <w:szCs w:val="28"/>
    </w:rPr>
  </w:style>
  <w:style w:type="paragraph" w:styleId="TOC2">
    <w:name w:val="toc 2"/>
    <w:basedOn w:val="Normal"/>
    <w:next w:val="Normal"/>
    <w:autoRedefine/>
    <w:uiPriority w:val="39"/>
    <w:unhideWhenUsed/>
    <w:qFormat/>
    <w:rsid w:val="00FF4209"/>
    <w:pPr>
      <w:spacing w:before="240"/>
      <w:jc w:val="left"/>
    </w:pPr>
    <w:rPr>
      <w:rFonts w:ascii="Calibri" w:hAnsi="Calibri"/>
      <w:b/>
      <w:bCs/>
      <w:sz w:val="20"/>
      <w:szCs w:val="24"/>
    </w:rPr>
  </w:style>
  <w:style w:type="paragraph" w:styleId="TOC3">
    <w:name w:val="toc 3"/>
    <w:basedOn w:val="Normal"/>
    <w:next w:val="Normal"/>
    <w:autoRedefine/>
    <w:uiPriority w:val="39"/>
    <w:unhideWhenUsed/>
    <w:qFormat/>
    <w:rsid w:val="00FF4209"/>
    <w:pPr>
      <w:ind w:left="240"/>
      <w:jc w:val="left"/>
    </w:pPr>
    <w:rPr>
      <w:rFonts w:ascii="Calibri" w:hAnsi="Calibri"/>
      <w:sz w:val="20"/>
      <w:szCs w:val="24"/>
    </w:rPr>
  </w:style>
  <w:style w:type="paragraph" w:styleId="TOC4">
    <w:name w:val="toc 4"/>
    <w:basedOn w:val="Normal"/>
    <w:next w:val="Normal"/>
    <w:autoRedefine/>
    <w:uiPriority w:val="39"/>
    <w:unhideWhenUsed/>
    <w:rsid w:val="00FF4209"/>
    <w:pPr>
      <w:ind w:left="480"/>
      <w:jc w:val="left"/>
    </w:pPr>
    <w:rPr>
      <w:rFonts w:ascii="Calibri" w:hAnsi="Calibri"/>
      <w:sz w:val="20"/>
      <w:szCs w:val="24"/>
    </w:rPr>
  </w:style>
  <w:style w:type="paragraph" w:styleId="TOC5">
    <w:name w:val="toc 5"/>
    <w:basedOn w:val="Normal"/>
    <w:next w:val="Normal"/>
    <w:autoRedefine/>
    <w:uiPriority w:val="39"/>
    <w:unhideWhenUsed/>
    <w:rsid w:val="00FF4209"/>
    <w:pPr>
      <w:ind w:left="720"/>
      <w:jc w:val="left"/>
    </w:pPr>
    <w:rPr>
      <w:rFonts w:ascii="Calibri" w:hAnsi="Calibri"/>
      <w:sz w:val="20"/>
      <w:szCs w:val="24"/>
    </w:rPr>
  </w:style>
  <w:style w:type="paragraph" w:styleId="TOC6">
    <w:name w:val="toc 6"/>
    <w:basedOn w:val="Normal"/>
    <w:next w:val="Normal"/>
    <w:autoRedefine/>
    <w:uiPriority w:val="39"/>
    <w:unhideWhenUsed/>
    <w:rsid w:val="00FF4209"/>
    <w:pPr>
      <w:ind w:left="960"/>
      <w:jc w:val="left"/>
    </w:pPr>
    <w:rPr>
      <w:rFonts w:ascii="Calibri" w:hAnsi="Calibri"/>
      <w:sz w:val="20"/>
      <w:szCs w:val="24"/>
    </w:rPr>
  </w:style>
  <w:style w:type="paragraph" w:styleId="TOC7">
    <w:name w:val="toc 7"/>
    <w:basedOn w:val="Normal"/>
    <w:next w:val="Normal"/>
    <w:autoRedefine/>
    <w:uiPriority w:val="39"/>
    <w:unhideWhenUsed/>
    <w:rsid w:val="00FF4209"/>
    <w:pPr>
      <w:ind w:left="1200"/>
      <w:jc w:val="left"/>
    </w:pPr>
    <w:rPr>
      <w:rFonts w:ascii="Calibri" w:hAnsi="Calibri"/>
      <w:sz w:val="20"/>
      <w:szCs w:val="24"/>
    </w:rPr>
  </w:style>
  <w:style w:type="paragraph" w:styleId="TOC8">
    <w:name w:val="toc 8"/>
    <w:basedOn w:val="Normal"/>
    <w:next w:val="Normal"/>
    <w:autoRedefine/>
    <w:uiPriority w:val="39"/>
    <w:unhideWhenUsed/>
    <w:rsid w:val="00FF4209"/>
    <w:pPr>
      <w:ind w:left="1440"/>
      <w:jc w:val="left"/>
    </w:pPr>
    <w:rPr>
      <w:rFonts w:ascii="Calibri" w:hAnsi="Calibri"/>
      <w:sz w:val="20"/>
      <w:szCs w:val="24"/>
    </w:rPr>
  </w:style>
  <w:style w:type="paragraph" w:styleId="TOC9">
    <w:name w:val="toc 9"/>
    <w:basedOn w:val="Normal"/>
    <w:next w:val="Normal"/>
    <w:autoRedefine/>
    <w:uiPriority w:val="39"/>
    <w:unhideWhenUsed/>
    <w:rsid w:val="00FF4209"/>
    <w:pPr>
      <w:ind w:left="1680"/>
      <w:jc w:val="left"/>
    </w:pPr>
    <w:rPr>
      <w:rFonts w:ascii="Calibri" w:hAnsi="Calibri"/>
      <w:sz w:val="20"/>
      <w:szCs w:val="24"/>
    </w:rPr>
  </w:style>
  <w:style w:type="paragraph" w:customStyle="1" w:styleId="TabCharChar">
    <w:name w:val="Tab Char Char"/>
    <w:basedOn w:val="Normal"/>
    <w:autoRedefine/>
    <w:rsid w:val="00FF4209"/>
    <w:pPr>
      <w:spacing w:after="200" w:line="276" w:lineRule="auto"/>
    </w:pPr>
    <w:rPr>
      <w:szCs w:val="24"/>
      <w:lang w:eastAsia="lv-LV"/>
    </w:rPr>
  </w:style>
  <w:style w:type="paragraph" w:customStyle="1" w:styleId="MKNormal">
    <w:name w:val="MKNormal"/>
    <w:basedOn w:val="Normal"/>
    <w:autoRedefine/>
    <w:rsid w:val="00FF4209"/>
    <w:pPr>
      <w:ind w:firstLine="720"/>
    </w:pPr>
    <w:rPr>
      <w:szCs w:val="24"/>
      <w:lang w:eastAsia="lv-LV"/>
    </w:rPr>
  </w:style>
  <w:style w:type="paragraph" w:styleId="EndnoteText">
    <w:name w:val="endnote text"/>
    <w:basedOn w:val="Normal"/>
    <w:link w:val="EndnoteTextChar"/>
    <w:uiPriority w:val="99"/>
    <w:semiHidden/>
    <w:unhideWhenUsed/>
    <w:rsid w:val="00FF4209"/>
    <w:rPr>
      <w:sz w:val="20"/>
      <w:lang w:val="x-none" w:eastAsia="x-none"/>
    </w:rPr>
  </w:style>
  <w:style w:type="character" w:customStyle="1" w:styleId="EndnoteTextChar">
    <w:name w:val="Endnote Text Char"/>
    <w:link w:val="EndnoteText"/>
    <w:uiPriority w:val="99"/>
    <w:semiHidden/>
    <w:rsid w:val="00FF4209"/>
    <w:rPr>
      <w:rFonts w:ascii="Times New Roman" w:eastAsia="Times New Roman" w:hAnsi="Times New Roman" w:cs="Times New Roman"/>
      <w:sz w:val="20"/>
      <w:szCs w:val="20"/>
    </w:rPr>
  </w:style>
  <w:style w:type="character" w:styleId="EndnoteReference">
    <w:name w:val="endnote reference"/>
    <w:uiPriority w:val="99"/>
    <w:semiHidden/>
    <w:unhideWhenUsed/>
    <w:rsid w:val="00FF4209"/>
    <w:rPr>
      <w:vertAlign w:val="superscript"/>
    </w:rPr>
  </w:style>
  <w:style w:type="paragraph" w:customStyle="1" w:styleId="Normal1-centered">
    <w:name w:val="Normal1-centered"/>
    <w:basedOn w:val="Normal1"/>
    <w:qFormat/>
    <w:rsid w:val="00FF4209"/>
    <w:pPr>
      <w:spacing w:before="0" w:beforeAutospacing="0" w:after="0" w:afterAutospacing="0"/>
      <w:jc w:val="center"/>
    </w:pPr>
    <w:rPr>
      <w:rFonts w:eastAsia="Calibri"/>
      <w:i/>
      <w:sz w:val="20"/>
      <w:szCs w:val="22"/>
      <w:lang w:val="lv-LV"/>
    </w:rPr>
  </w:style>
  <w:style w:type="character" w:customStyle="1" w:styleId="xdtextbox1">
    <w:name w:val="xdtextbox1"/>
    <w:rsid w:val="00FF4209"/>
    <w:rPr>
      <w:color w:val="auto"/>
      <w:bdr w:val="single" w:sz="8" w:space="1" w:color="DCDCDC" w:frame="1"/>
      <w:shd w:val="clear" w:color="auto" w:fill="FFFFFF"/>
    </w:rPr>
  </w:style>
  <w:style w:type="paragraph" w:styleId="PlainText">
    <w:name w:val="Plain Text"/>
    <w:basedOn w:val="Normal"/>
    <w:link w:val="PlainTextChar"/>
    <w:uiPriority w:val="99"/>
    <w:unhideWhenUsed/>
    <w:rsid w:val="00FF4209"/>
    <w:pPr>
      <w:jc w:val="left"/>
    </w:pPr>
    <w:rPr>
      <w:rFonts w:ascii="Consolas" w:eastAsia="Calibri" w:hAnsi="Consolas"/>
      <w:sz w:val="21"/>
      <w:szCs w:val="21"/>
      <w:lang w:val="x-none" w:eastAsia="x-none"/>
    </w:rPr>
  </w:style>
  <w:style w:type="character" w:customStyle="1" w:styleId="PlainTextChar">
    <w:name w:val="Plain Text Char"/>
    <w:link w:val="PlainText"/>
    <w:uiPriority w:val="99"/>
    <w:rsid w:val="00FF4209"/>
    <w:rPr>
      <w:rFonts w:ascii="Consolas" w:eastAsia="Calibri" w:hAnsi="Consolas" w:cs="Times New Roman"/>
      <w:sz w:val="21"/>
      <w:szCs w:val="21"/>
    </w:rPr>
  </w:style>
  <w:style w:type="paragraph" w:styleId="ListBullet">
    <w:name w:val="List Bullet"/>
    <w:basedOn w:val="Normal"/>
    <w:rsid w:val="00FF4209"/>
    <w:pPr>
      <w:numPr>
        <w:numId w:val="4"/>
      </w:numPr>
      <w:spacing w:before="120" w:after="120"/>
    </w:pPr>
    <w:rPr>
      <w:lang w:val="en-GB" w:eastAsia="de-DE"/>
    </w:rPr>
  </w:style>
  <w:style w:type="character" w:customStyle="1" w:styleId="colora">
    <w:name w:val="colora"/>
    <w:basedOn w:val="DefaultParagraphFont"/>
    <w:rsid w:val="00FF4209"/>
  </w:style>
  <w:style w:type="table" w:styleId="LightGrid-Accent3">
    <w:name w:val="Light Grid Accent 3"/>
    <w:basedOn w:val="TableNormal"/>
    <w:uiPriority w:val="62"/>
    <w:rsid w:val="00FF4209"/>
    <w:rPr>
      <w:rFonts w:ascii="Times New Roman" w:hAnsi="Times New Roman"/>
      <w:sz w:val="28"/>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customStyle="1" w:styleId="naisc">
    <w:name w:val="naisc"/>
    <w:basedOn w:val="Normal"/>
    <w:uiPriority w:val="99"/>
    <w:rsid w:val="00A63B18"/>
    <w:pPr>
      <w:spacing w:before="100" w:beforeAutospacing="1" w:after="100" w:afterAutospacing="1"/>
      <w:jc w:val="left"/>
    </w:pPr>
    <w:rPr>
      <w:szCs w:val="24"/>
      <w:lang w:eastAsia="lv-LV"/>
    </w:rPr>
  </w:style>
  <w:style w:type="character" w:customStyle="1" w:styleId="xdtextboxctrl11ms-xedit-plaintext">
    <w:name w:val="xdtextbox ctrl11 ms-xedit-plaintext"/>
    <w:uiPriority w:val="99"/>
    <w:rsid w:val="00014F70"/>
    <w:rPr>
      <w:rFonts w:ascii="Times New Roman" w:hAnsi="Times New Roman" w:cs="Times New Roman" w:hint="default"/>
    </w:rPr>
  </w:style>
  <w:style w:type="character" w:customStyle="1" w:styleId="xdtextboxctrl10ms-xedit-plaintext">
    <w:name w:val="xdtextbox ctrl10 ms-xedit-plaintext"/>
    <w:uiPriority w:val="99"/>
    <w:rsid w:val="00014F70"/>
    <w:rPr>
      <w:rFonts w:ascii="Times New Roman" w:hAnsi="Times New Roman" w:cs="Times New Roman" w:hint="default"/>
    </w:rPr>
  </w:style>
  <w:style w:type="character" w:customStyle="1" w:styleId="apple-style-span">
    <w:name w:val="apple-style-span"/>
    <w:rsid w:val="00AC09A3"/>
  </w:style>
  <w:style w:type="paragraph" w:customStyle="1" w:styleId="rteleft">
    <w:name w:val="rteleft"/>
    <w:basedOn w:val="Normal"/>
    <w:rsid w:val="00D800C4"/>
    <w:pPr>
      <w:spacing w:before="100" w:beforeAutospacing="1" w:after="100" w:afterAutospacing="1"/>
      <w:jc w:val="left"/>
    </w:pPr>
    <w:rPr>
      <w:szCs w:val="24"/>
      <w:lang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6050">
      <w:bodyDiv w:val="1"/>
      <w:marLeft w:val="0"/>
      <w:marRight w:val="0"/>
      <w:marTop w:val="0"/>
      <w:marBottom w:val="0"/>
      <w:divBdr>
        <w:top w:val="none" w:sz="0" w:space="0" w:color="auto"/>
        <w:left w:val="none" w:sz="0" w:space="0" w:color="auto"/>
        <w:bottom w:val="none" w:sz="0" w:space="0" w:color="auto"/>
        <w:right w:val="none" w:sz="0" w:space="0" w:color="auto"/>
      </w:divBdr>
    </w:div>
    <w:div w:id="8259367">
      <w:bodyDiv w:val="1"/>
      <w:marLeft w:val="0"/>
      <w:marRight w:val="0"/>
      <w:marTop w:val="0"/>
      <w:marBottom w:val="0"/>
      <w:divBdr>
        <w:top w:val="none" w:sz="0" w:space="0" w:color="auto"/>
        <w:left w:val="none" w:sz="0" w:space="0" w:color="auto"/>
        <w:bottom w:val="none" w:sz="0" w:space="0" w:color="auto"/>
        <w:right w:val="none" w:sz="0" w:space="0" w:color="auto"/>
      </w:divBdr>
    </w:div>
    <w:div w:id="20211245">
      <w:bodyDiv w:val="1"/>
      <w:marLeft w:val="0"/>
      <w:marRight w:val="0"/>
      <w:marTop w:val="0"/>
      <w:marBottom w:val="0"/>
      <w:divBdr>
        <w:top w:val="none" w:sz="0" w:space="0" w:color="auto"/>
        <w:left w:val="none" w:sz="0" w:space="0" w:color="auto"/>
        <w:bottom w:val="none" w:sz="0" w:space="0" w:color="auto"/>
        <w:right w:val="none" w:sz="0" w:space="0" w:color="auto"/>
      </w:divBdr>
    </w:div>
    <w:div w:id="20666058">
      <w:bodyDiv w:val="1"/>
      <w:marLeft w:val="0"/>
      <w:marRight w:val="0"/>
      <w:marTop w:val="0"/>
      <w:marBottom w:val="0"/>
      <w:divBdr>
        <w:top w:val="none" w:sz="0" w:space="0" w:color="auto"/>
        <w:left w:val="none" w:sz="0" w:space="0" w:color="auto"/>
        <w:bottom w:val="none" w:sz="0" w:space="0" w:color="auto"/>
        <w:right w:val="none" w:sz="0" w:space="0" w:color="auto"/>
      </w:divBdr>
      <w:divsChild>
        <w:div w:id="1080054089">
          <w:marLeft w:val="0"/>
          <w:marRight w:val="0"/>
          <w:marTop w:val="0"/>
          <w:marBottom w:val="0"/>
          <w:divBdr>
            <w:top w:val="none" w:sz="0" w:space="0" w:color="auto"/>
            <w:left w:val="none" w:sz="0" w:space="0" w:color="auto"/>
            <w:bottom w:val="none" w:sz="0" w:space="0" w:color="auto"/>
            <w:right w:val="none" w:sz="0" w:space="0" w:color="auto"/>
          </w:divBdr>
          <w:divsChild>
            <w:div w:id="1289702363">
              <w:marLeft w:val="0"/>
              <w:marRight w:val="0"/>
              <w:marTop w:val="0"/>
              <w:marBottom w:val="0"/>
              <w:divBdr>
                <w:top w:val="none" w:sz="0" w:space="0" w:color="auto"/>
                <w:left w:val="none" w:sz="0" w:space="0" w:color="auto"/>
                <w:bottom w:val="none" w:sz="0" w:space="0" w:color="auto"/>
                <w:right w:val="none" w:sz="0" w:space="0" w:color="auto"/>
              </w:divBdr>
              <w:divsChild>
                <w:div w:id="90663725">
                  <w:marLeft w:val="135"/>
                  <w:marRight w:val="0"/>
                  <w:marTop w:val="0"/>
                  <w:marBottom w:val="0"/>
                  <w:divBdr>
                    <w:top w:val="none" w:sz="0" w:space="0" w:color="auto"/>
                    <w:left w:val="none" w:sz="0" w:space="0" w:color="auto"/>
                    <w:bottom w:val="none" w:sz="0" w:space="0" w:color="auto"/>
                    <w:right w:val="none" w:sz="0" w:space="0" w:color="auto"/>
                  </w:divBdr>
                  <w:divsChild>
                    <w:div w:id="2054427960">
                      <w:marLeft w:val="0"/>
                      <w:marRight w:val="0"/>
                      <w:marTop w:val="0"/>
                      <w:marBottom w:val="0"/>
                      <w:divBdr>
                        <w:top w:val="none" w:sz="0" w:space="0" w:color="auto"/>
                        <w:left w:val="none" w:sz="0" w:space="0" w:color="auto"/>
                        <w:bottom w:val="none" w:sz="0" w:space="0" w:color="auto"/>
                        <w:right w:val="none" w:sz="0" w:space="0" w:color="auto"/>
                      </w:divBdr>
                      <w:divsChild>
                        <w:div w:id="168836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968234">
      <w:bodyDiv w:val="1"/>
      <w:marLeft w:val="0"/>
      <w:marRight w:val="0"/>
      <w:marTop w:val="0"/>
      <w:marBottom w:val="0"/>
      <w:divBdr>
        <w:top w:val="none" w:sz="0" w:space="0" w:color="auto"/>
        <w:left w:val="none" w:sz="0" w:space="0" w:color="auto"/>
        <w:bottom w:val="none" w:sz="0" w:space="0" w:color="auto"/>
        <w:right w:val="none" w:sz="0" w:space="0" w:color="auto"/>
      </w:divBdr>
    </w:div>
    <w:div w:id="66077938">
      <w:bodyDiv w:val="1"/>
      <w:marLeft w:val="0"/>
      <w:marRight w:val="0"/>
      <w:marTop w:val="0"/>
      <w:marBottom w:val="0"/>
      <w:divBdr>
        <w:top w:val="none" w:sz="0" w:space="0" w:color="auto"/>
        <w:left w:val="none" w:sz="0" w:space="0" w:color="auto"/>
        <w:bottom w:val="none" w:sz="0" w:space="0" w:color="auto"/>
        <w:right w:val="none" w:sz="0" w:space="0" w:color="auto"/>
      </w:divBdr>
    </w:div>
    <w:div w:id="83427417">
      <w:bodyDiv w:val="1"/>
      <w:marLeft w:val="0"/>
      <w:marRight w:val="0"/>
      <w:marTop w:val="0"/>
      <w:marBottom w:val="0"/>
      <w:divBdr>
        <w:top w:val="none" w:sz="0" w:space="0" w:color="auto"/>
        <w:left w:val="none" w:sz="0" w:space="0" w:color="auto"/>
        <w:bottom w:val="none" w:sz="0" w:space="0" w:color="auto"/>
        <w:right w:val="none" w:sz="0" w:space="0" w:color="auto"/>
      </w:divBdr>
    </w:div>
    <w:div w:id="87120771">
      <w:bodyDiv w:val="1"/>
      <w:marLeft w:val="0"/>
      <w:marRight w:val="0"/>
      <w:marTop w:val="0"/>
      <w:marBottom w:val="0"/>
      <w:divBdr>
        <w:top w:val="none" w:sz="0" w:space="0" w:color="auto"/>
        <w:left w:val="none" w:sz="0" w:space="0" w:color="auto"/>
        <w:bottom w:val="none" w:sz="0" w:space="0" w:color="auto"/>
        <w:right w:val="none" w:sz="0" w:space="0" w:color="auto"/>
      </w:divBdr>
    </w:div>
    <w:div w:id="101000381">
      <w:bodyDiv w:val="1"/>
      <w:marLeft w:val="0"/>
      <w:marRight w:val="0"/>
      <w:marTop w:val="0"/>
      <w:marBottom w:val="0"/>
      <w:divBdr>
        <w:top w:val="none" w:sz="0" w:space="0" w:color="auto"/>
        <w:left w:val="none" w:sz="0" w:space="0" w:color="auto"/>
        <w:bottom w:val="none" w:sz="0" w:space="0" w:color="auto"/>
        <w:right w:val="none" w:sz="0" w:space="0" w:color="auto"/>
      </w:divBdr>
    </w:div>
    <w:div w:id="166483197">
      <w:bodyDiv w:val="1"/>
      <w:marLeft w:val="0"/>
      <w:marRight w:val="0"/>
      <w:marTop w:val="0"/>
      <w:marBottom w:val="0"/>
      <w:divBdr>
        <w:top w:val="none" w:sz="0" w:space="0" w:color="auto"/>
        <w:left w:val="none" w:sz="0" w:space="0" w:color="auto"/>
        <w:bottom w:val="none" w:sz="0" w:space="0" w:color="auto"/>
        <w:right w:val="none" w:sz="0" w:space="0" w:color="auto"/>
      </w:divBdr>
    </w:div>
    <w:div w:id="192160117">
      <w:bodyDiv w:val="1"/>
      <w:marLeft w:val="0"/>
      <w:marRight w:val="0"/>
      <w:marTop w:val="0"/>
      <w:marBottom w:val="0"/>
      <w:divBdr>
        <w:top w:val="none" w:sz="0" w:space="0" w:color="auto"/>
        <w:left w:val="none" w:sz="0" w:space="0" w:color="auto"/>
        <w:bottom w:val="none" w:sz="0" w:space="0" w:color="auto"/>
        <w:right w:val="none" w:sz="0" w:space="0" w:color="auto"/>
      </w:divBdr>
    </w:div>
    <w:div w:id="216936278">
      <w:bodyDiv w:val="1"/>
      <w:marLeft w:val="0"/>
      <w:marRight w:val="0"/>
      <w:marTop w:val="0"/>
      <w:marBottom w:val="0"/>
      <w:divBdr>
        <w:top w:val="none" w:sz="0" w:space="0" w:color="auto"/>
        <w:left w:val="none" w:sz="0" w:space="0" w:color="auto"/>
        <w:bottom w:val="none" w:sz="0" w:space="0" w:color="auto"/>
        <w:right w:val="none" w:sz="0" w:space="0" w:color="auto"/>
      </w:divBdr>
    </w:div>
    <w:div w:id="300307450">
      <w:bodyDiv w:val="1"/>
      <w:marLeft w:val="0"/>
      <w:marRight w:val="0"/>
      <w:marTop w:val="0"/>
      <w:marBottom w:val="0"/>
      <w:divBdr>
        <w:top w:val="none" w:sz="0" w:space="0" w:color="auto"/>
        <w:left w:val="none" w:sz="0" w:space="0" w:color="auto"/>
        <w:bottom w:val="none" w:sz="0" w:space="0" w:color="auto"/>
        <w:right w:val="none" w:sz="0" w:space="0" w:color="auto"/>
      </w:divBdr>
    </w:div>
    <w:div w:id="301929169">
      <w:bodyDiv w:val="1"/>
      <w:marLeft w:val="0"/>
      <w:marRight w:val="0"/>
      <w:marTop w:val="0"/>
      <w:marBottom w:val="0"/>
      <w:divBdr>
        <w:top w:val="none" w:sz="0" w:space="0" w:color="auto"/>
        <w:left w:val="none" w:sz="0" w:space="0" w:color="auto"/>
        <w:bottom w:val="none" w:sz="0" w:space="0" w:color="auto"/>
        <w:right w:val="none" w:sz="0" w:space="0" w:color="auto"/>
      </w:divBdr>
    </w:div>
    <w:div w:id="302854523">
      <w:bodyDiv w:val="1"/>
      <w:marLeft w:val="0"/>
      <w:marRight w:val="0"/>
      <w:marTop w:val="0"/>
      <w:marBottom w:val="0"/>
      <w:divBdr>
        <w:top w:val="none" w:sz="0" w:space="0" w:color="auto"/>
        <w:left w:val="none" w:sz="0" w:space="0" w:color="auto"/>
        <w:bottom w:val="none" w:sz="0" w:space="0" w:color="auto"/>
        <w:right w:val="none" w:sz="0" w:space="0" w:color="auto"/>
      </w:divBdr>
    </w:div>
    <w:div w:id="310597030">
      <w:bodyDiv w:val="1"/>
      <w:marLeft w:val="0"/>
      <w:marRight w:val="0"/>
      <w:marTop w:val="0"/>
      <w:marBottom w:val="0"/>
      <w:divBdr>
        <w:top w:val="none" w:sz="0" w:space="0" w:color="auto"/>
        <w:left w:val="none" w:sz="0" w:space="0" w:color="auto"/>
        <w:bottom w:val="none" w:sz="0" w:space="0" w:color="auto"/>
        <w:right w:val="none" w:sz="0" w:space="0" w:color="auto"/>
      </w:divBdr>
    </w:div>
    <w:div w:id="386999702">
      <w:bodyDiv w:val="1"/>
      <w:marLeft w:val="0"/>
      <w:marRight w:val="0"/>
      <w:marTop w:val="0"/>
      <w:marBottom w:val="0"/>
      <w:divBdr>
        <w:top w:val="none" w:sz="0" w:space="0" w:color="auto"/>
        <w:left w:val="none" w:sz="0" w:space="0" w:color="auto"/>
        <w:bottom w:val="none" w:sz="0" w:space="0" w:color="auto"/>
        <w:right w:val="none" w:sz="0" w:space="0" w:color="auto"/>
      </w:divBdr>
    </w:div>
    <w:div w:id="419327817">
      <w:bodyDiv w:val="1"/>
      <w:marLeft w:val="0"/>
      <w:marRight w:val="0"/>
      <w:marTop w:val="0"/>
      <w:marBottom w:val="0"/>
      <w:divBdr>
        <w:top w:val="none" w:sz="0" w:space="0" w:color="auto"/>
        <w:left w:val="none" w:sz="0" w:space="0" w:color="auto"/>
        <w:bottom w:val="none" w:sz="0" w:space="0" w:color="auto"/>
        <w:right w:val="none" w:sz="0" w:space="0" w:color="auto"/>
      </w:divBdr>
      <w:divsChild>
        <w:div w:id="253049575">
          <w:marLeft w:val="0"/>
          <w:marRight w:val="0"/>
          <w:marTop w:val="0"/>
          <w:marBottom w:val="0"/>
          <w:divBdr>
            <w:top w:val="none" w:sz="0" w:space="0" w:color="auto"/>
            <w:left w:val="none" w:sz="0" w:space="0" w:color="auto"/>
            <w:bottom w:val="none" w:sz="0" w:space="0" w:color="auto"/>
            <w:right w:val="none" w:sz="0" w:space="0" w:color="auto"/>
          </w:divBdr>
          <w:divsChild>
            <w:div w:id="1323002648">
              <w:marLeft w:val="0"/>
              <w:marRight w:val="0"/>
              <w:marTop w:val="0"/>
              <w:marBottom w:val="0"/>
              <w:divBdr>
                <w:top w:val="none" w:sz="0" w:space="0" w:color="auto"/>
                <w:left w:val="none" w:sz="0" w:space="0" w:color="auto"/>
                <w:bottom w:val="none" w:sz="0" w:space="0" w:color="auto"/>
                <w:right w:val="none" w:sz="0" w:space="0" w:color="auto"/>
              </w:divBdr>
              <w:divsChild>
                <w:div w:id="2113627719">
                  <w:marLeft w:val="0"/>
                  <w:marRight w:val="0"/>
                  <w:marTop w:val="0"/>
                  <w:marBottom w:val="0"/>
                  <w:divBdr>
                    <w:top w:val="none" w:sz="0" w:space="0" w:color="auto"/>
                    <w:left w:val="none" w:sz="0" w:space="0" w:color="auto"/>
                    <w:bottom w:val="none" w:sz="0" w:space="0" w:color="auto"/>
                    <w:right w:val="none" w:sz="0" w:space="0" w:color="auto"/>
                  </w:divBdr>
                  <w:divsChild>
                    <w:div w:id="1992981266">
                      <w:marLeft w:val="0"/>
                      <w:marRight w:val="0"/>
                      <w:marTop w:val="0"/>
                      <w:marBottom w:val="0"/>
                      <w:divBdr>
                        <w:top w:val="none" w:sz="0" w:space="0" w:color="auto"/>
                        <w:left w:val="none" w:sz="0" w:space="0" w:color="auto"/>
                        <w:bottom w:val="none" w:sz="0" w:space="0" w:color="auto"/>
                        <w:right w:val="none" w:sz="0" w:space="0" w:color="auto"/>
                      </w:divBdr>
                      <w:divsChild>
                        <w:div w:id="1108088366">
                          <w:marLeft w:val="0"/>
                          <w:marRight w:val="0"/>
                          <w:marTop w:val="450"/>
                          <w:marBottom w:val="0"/>
                          <w:divBdr>
                            <w:top w:val="none" w:sz="0" w:space="0" w:color="auto"/>
                            <w:left w:val="none" w:sz="0" w:space="0" w:color="auto"/>
                            <w:bottom w:val="none" w:sz="0" w:space="0" w:color="auto"/>
                            <w:right w:val="none" w:sz="0" w:space="0" w:color="auto"/>
                          </w:divBdr>
                          <w:divsChild>
                            <w:div w:id="89065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1194674">
      <w:bodyDiv w:val="1"/>
      <w:marLeft w:val="0"/>
      <w:marRight w:val="0"/>
      <w:marTop w:val="0"/>
      <w:marBottom w:val="0"/>
      <w:divBdr>
        <w:top w:val="none" w:sz="0" w:space="0" w:color="auto"/>
        <w:left w:val="none" w:sz="0" w:space="0" w:color="auto"/>
        <w:bottom w:val="none" w:sz="0" w:space="0" w:color="auto"/>
        <w:right w:val="none" w:sz="0" w:space="0" w:color="auto"/>
      </w:divBdr>
    </w:div>
    <w:div w:id="454252422">
      <w:bodyDiv w:val="1"/>
      <w:marLeft w:val="0"/>
      <w:marRight w:val="0"/>
      <w:marTop w:val="0"/>
      <w:marBottom w:val="0"/>
      <w:divBdr>
        <w:top w:val="none" w:sz="0" w:space="0" w:color="auto"/>
        <w:left w:val="none" w:sz="0" w:space="0" w:color="auto"/>
        <w:bottom w:val="none" w:sz="0" w:space="0" w:color="auto"/>
        <w:right w:val="none" w:sz="0" w:space="0" w:color="auto"/>
      </w:divBdr>
    </w:div>
    <w:div w:id="459763208">
      <w:bodyDiv w:val="1"/>
      <w:marLeft w:val="0"/>
      <w:marRight w:val="0"/>
      <w:marTop w:val="0"/>
      <w:marBottom w:val="0"/>
      <w:divBdr>
        <w:top w:val="none" w:sz="0" w:space="0" w:color="auto"/>
        <w:left w:val="none" w:sz="0" w:space="0" w:color="auto"/>
        <w:bottom w:val="none" w:sz="0" w:space="0" w:color="auto"/>
        <w:right w:val="none" w:sz="0" w:space="0" w:color="auto"/>
      </w:divBdr>
    </w:div>
    <w:div w:id="461771113">
      <w:bodyDiv w:val="1"/>
      <w:marLeft w:val="0"/>
      <w:marRight w:val="0"/>
      <w:marTop w:val="0"/>
      <w:marBottom w:val="0"/>
      <w:divBdr>
        <w:top w:val="none" w:sz="0" w:space="0" w:color="auto"/>
        <w:left w:val="none" w:sz="0" w:space="0" w:color="auto"/>
        <w:bottom w:val="none" w:sz="0" w:space="0" w:color="auto"/>
        <w:right w:val="none" w:sz="0" w:space="0" w:color="auto"/>
      </w:divBdr>
    </w:div>
    <w:div w:id="478965833">
      <w:bodyDiv w:val="1"/>
      <w:marLeft w:val="0"/>
      <w:marRight w:val="0"/>
      <w:marTop w:val="0"/>
      <w:marBottom w:val="0"/>
      <w:divBdr>
        <w:top w:val="none" w:sz="0" w:space="0" w:color="auto"/>
        <w:left w:val="none" w:sz="0" w:space="0" w:color="auto"/>
        <w:bottom w:val="none" w:sz="0" w:space="0" w:color="auto"/>
        <w:right w:val="none" w:sz="0" w:space="0" w:color="auto"/>
      </w:divBdr>
    </w:div>
    <w:div w:id="480776911">
      <w:bodyDiv w:val="1"/>
      <w:marLeft w:val="0"/>
      <w:marRight w:val="0"/>
      <w:marTop w:val="0"/>
      <w:marBottom w:val="0"/>
      <w:divBdr>
        <w:top w:val="none" w:sz="0" w:space="0" w:color="auto"/>
        <w:left w:val="none" w:sz="0" w:space="0" w:color="auto"/>
        <w:bottom w:val="none" w:sz="0" w:space="0" w:color="auto"/>
        <w:right w:val="none" w:sz="0" w:space="0" w:color="auto"/>
      </w:divBdr>
    </w:div>
    <w:div w:id="491797378">
      <w:bodyDiv w:val="1"/>
      <w:marLeft w:val="0"/>
      <w:marRight w:val="0"/>
      <w:marTop w:val="0"/>
      <w:marBottom w:val="0"/>
      <w:divBdr>
        <w:top w:val="none" w:sz="0" w:space="0" w:color="auto"/>
        <w:left w:val="none" w:sz="0" w:space="0" w:color="auto"/>
        <w:bottom w:val="none" w:sz="0" w:space="0" w:color="auto"/>
        <w:right w:val="none" w:sz="0" w:space="0" w:color="auto"/>
      </w:divBdr>
    </w:div>
    <w:div w:id="499539723">
      <w:bodyDiv w:val="1"/>
      <w:marLeft w:val="0"/>
      <w:marRight w:val="0"/>
      <w:marTop w:val="0"/>
      <w:marBottom w:val="0"/>
      <w:divBdr>
        <w:top w:val="none" w:sz="0" w:space="0" w:color="auto"/>
        <w:left w:val="none" w:sz="0" w:space="0" w:color="auto"/>
        <w:bottom w:val="none" w:sz="0" w:space="0" w:color="auto"/>
        <w:right w:val="none" w:sz="0" w:space="0" w:color="auto"/>
      </w:divBdr>
    </w:div>
    <w:div w:id="538902530">
      <w:bodyDiv w:val="1"/>
      <w:marLeft w:val="0"/>
      <w:marRight w:val="0"/>
      <w:marTop w:val="0"/>
      <w:marBottom w:val="0"/>
      <w:divBdr>
        <w:top w:val="none" w:sz="0" w:space="0" w:color="auto"/>
        <w:left w:val="none" w:sz="0" w:space="0" w:color="auto"/>
        <w:bottom w:val="none" w:sz="0" w:space="0" w:color="auto"/>
        <w:right w:val="none" w:sz="0" w:space="0" w:color="auto"/>
      </w:divBdr>
    </w:div>
    <w:div w:id="579369961">
      <w:bodyDiv w:val="1"/>
      <w:marLeft w:val="0"/>
      <w:marRight w:val="0"/>
      <w:marTop w:val="0"/>
      <w:marBottom w:val="0"/>
      <w:divBdr>
        <w:top w:val="none" w:sz="0" w:space="0" w:color="auto"/>
        <w:left w:val="none" w:sz="0" w:space="0" w:color="auto"/>
        <w:bottom w:val="none" w:sz="0" w:space="0" w:color="auto"/>
        <w:right w:val="none" w:sz="0" w:space="0" w:color="auto"/>
      </w:divBdr>
    </w:div>
    <w:div w:id="586381056">
      <w:bodyDiv w:val="1"/>
      <w:marLeft w:val="0"/>
      <w:marRight w:val="0"/>
      <w:marTop w:val="0"/>
      <w:marBottom w:val="0"/>
      <w:divBdr>
        <w:top w:val="none" w:sz="0" w:space="0" w:color="auto"/>
        <w:left w:val="none" w:sz="0" w:space="0" w:color="auto"/>
        <w:bottom w:val="none" w:sz="0" w:space="0" w:color="auto"/>
        <w:right w:val="none" w:sz="0" w:space="0" w:color="auto"/>
      </w:divBdr>
      <w:divsChild>
        <w:div w:id="1317566231">
          <w:marLeft w:val="0"/>
          <w:marRight w:val="0"/>
          <w:marTop w:val="0"/>
          <w:marBottom w:val="0"/>
          <w:divBdr>
            <w:top w:val="none" w:sz="0" w:space="0" w:color="auto"/>
            <w:left w:val="none" w:sz="0" w:space="0" w:color="auto"/>
            <w:bottom w:val="none" w:sz="0" w:space="0" w:color="auto"/>
            <w:right w:val="none" w:sz="0" w:space="0" w:color="auto"/>
          </w:divBdr>
        </w:div>
      </w:divsChild>
    </w:div>
    <w:div w:id="595291086">
      <w:bodyDiv w:val="1"/>
      <w:marLeft w:val="0"/>
      <w:marRight w:val="0"/>
      <w:marTop w:val="0"/>
      <w:marBottom w:val="0"/>
      <w:divBdr>
        <w:top w:val="none" w:sz="0" w:space="0" w:color="auto"/>
        <w:left w:val="none" w:sz="0" w:space="0" w:color="auto"/>
        <w:bottom w:val="none" w:sz="0" w:space="0" w:color="auto"/>
        <w:right w:val="none" w:sz="0" w:space="0" w:color="auto"/>
      </w:divBdr>
    </w:div>
    <w:div w:id="612783456">
      <w:bodyDiv w:val="1"/>
      <w:marLeft w:val="0"/>
      <w:marRight w:val="0"/>
      <w:marTop w:val="0"/>
      <w:marBottom w:val="0"/>
      <w:divBdr>
        <w:top w:val="none" w:sz="0" w:space="0" w:color="auto"/>
        <w:left w:val="none" w:sz="0" w:space="0" w:color="auto"/>
        <w:bottom w:val="none" w:sz="0" w:space="0" w:color="auto"/>
        <w:right w:val="none" w:sz="0" w:space="0" w:color="auto"/>
      </w:divBdr>
    </w:div>
    <w:div w:id="621616386">
      <w:bodyDiv w:val="1"/>
      <w:marLeft w:val="0"/>
      <w:marRight w:val="0"/>
      <w:marTop w:val="0"/>
      <w:marBottom w:val="0"/>
      <w:divBdr>
        <w:top w:val="none" w:sz="0" w:space="0" w:color="auto"/>
        <w:left w:val="none" w:sz="0" w:space="0" w:color="auto"/>
        <w:bottom w:val="none" w:sz="0" w:space="0" w:color="auto"/>
        <w:right w:val="none" w:sz="0" w:space="0" w:color="auto"/>
      </w:divBdr>
    </w:div>
    <w:div w:id="645164658">
      <w:bodyDiv w:val="1"/>
      <w:marLeft w:val="0"/>
      <w:marRight w:val="0"/>
      <w:marTop w:val="0"/>
      <w:marBottom w:val="0"/>
      <w:divBdr>
        <w:top w:val="none" w:sz="0" w:space="0" w:color="auto"/>
        <w:left w:val="none" w:sz="0" w:space="0" w:color="auto"/>
        <w:bottom w:val="none" w:sz="0" w:space="0" w:color="auto"/>
        <w:right w:val="none" w:sz="0" w:space="0" w:color="auto"/>
      </w:divBdr>
    </w:div>
    <w:div w:id="657154672">
      <w:bodyDiv w:val="1"/>
      <w:marLeft w:val="0"/>
      <w:marRight w:val="0"/>
      <w:marTop w:val="0"/>
      <w:marBottom w:val="0"/>
      <w:divBdr>
        <w:top w:val="none" w:sz="0" w:space="0" w:color="auto"/>
        <w:left w:val="none" w:sz="0" w:space="0" w:color="auto"/>
        <w:bottom w:val="none" w:sz="0" w:space="0" w:color="auto"/>
        <w:right w:val="none" w:sz="0" w:space="0" w:color="auto"/>
      </w:divBdr>
    </w:div>
    <w:div w:id="697699654">
      <w:bodyDiv w:val="1"/>
      <w:marLeft w:val="0"/>
      <w:marRight w:val="0"/>
      <w:marTop w:val="0"/>
      <w:marBottom w:val="0"/>
      <w:divBdr>
        <w:top w:val="none" w:sz="0" w:space="0" w:color="auto"/>
        <w:left w:val="none" w:sz="0" w:space="0" w:color="auto"/>
        <w:bottom w:val="none" w:sz="0" w:space="0" w:color="auto"/>
        <w:right w:val="none" w:sz="0" w:space="0" w:color="auto"/>
      </w:divBdr>
    </w:div>
    <w:div w:id="731776240">
      <w:bodyDiv w:val="1"/>
      <w:marLeft w:val="0"/>
      <w:marRight w:val="0"/>
      <w:marTop w:val="0"/>
      <w:marBottom w:val="0"/>
      <w:divBdr>
        <w:top w:val="none" w:sz="0" w:space="0" w:color="auto"/>
        <w:left w:val="none" w:sz="0" w:space="0" w:color="auto"/>
        <w:bottom w:val="none" w:sz="0" w:space="0" w:color="auto"/>
        <w:right w:val="none" w:sz="0" w:space="0" w:color="auto"/>
      </w:divBdr>
    </w:div>
    <w:div w:id="761487905">
      <w:bodyDiv w:val="1"/>
      <w:marLeft w:val="0"/>
      <w:marRight w:val="0"/>
      <w:marTop w:val="0"/>
      <w:marBottom w:val="0"/>
      <w:divBdr>
        <w:top w:val="none" w:sz="0" w:space="0" w:color="auto"/>
        <w:left w:val="none" w:sz="0" w:space="0" w:color="auto"/>
        <w:bottom w:val="none" w:sz="0" w:space="0" w:color="auto"/>
        <w:right w:val="none" w:sz="0" w:space="0" w:color="auto"/>
      </w:divBdr>
    </w:div>
    <w:div w:id="799036984">
      <w:bodyDiv w:val="1"/>
      <w:marLeft w:val="0"/>
      <w:marRight w:val="0"/>
      <w:marTop w:val="0"/>
      <w:marBottom w:val="0"/>
      <w:divBdr>
        <w:top w:val="none" w:sz="0" w:space="0" w:color="auto"/>
        <w:left w:val="none" w:sz="0" w:space="0" w:color="auto"/>
        <w:bottom w:val="none" w:sz="0" w:space="0" w:color="auto"/>
        <w:right w:val="none" w:sz="0" w:space="0" w:color="auto"/>
      </w:divBdr>
    </w:div>
    <w:div w:id="805396646">
      <w:bodyDiv w:val="1"/>
      <w:marLeft w:val="0"/>
      <w:marRight w:val="0"/>
      <w:marTop w:val="0"/>
      <w:marBottom w:val="0"/>
      <w:divBdr>
        <w:top w:val="none" w:sz="0" w:space="0" w:color="auto"/>
        <w:left w:val="none" w:sz="0" w:space="0" w:color="auto"/>
        <w:bottom w:val="none" w:sz="0" w:space="0" w:color="auto"/>
        <w:right w:val="none" w:sz="0" w:space="0" w:color="auto"/>
      </w:divBdr>
    </w:div>
    <w:div w:id="866454591">
      <w:bodyDiv w:val="1"/>
      <w:marLeft w:val="0"/>
      <w:marRight w:val="0"/>
      <w:marTop w:val="0"/>
      <w:marBottom w:val="0"/>
      <w:divBdr>
        <w:top w:val="none" w:sz="0" w:space="0" w:color="auto"/>
        <w:left w:val="none" w:sz="0" w:space="0" w:color="auto"/>
        <w:bottom w:val="none" w:sz="0" w:space="0" w:color="auto"/>
        <w:right w:val="none" w:sz="0" w:space="0" w:color="auto"/>
      </w:divBdr>
    </w:div>
    <w:div w:id="887838664">
      <w:bodyDiv w:val="1"/>
      <w:marLeft w:val="0"/>
      <w:marRight w:val="0"/>
      <w:marTop w:val="0"/>
      <w:marBottom w:val="0"/>
      <w:divBdr>
        <w:top w:val="none" w:sz="0" w:space="0" w:color="auto"/>
        <w:left w:val="none" w:sz="0" w:space="0" w:color="auto"/>
        <w:bottom w:val="none" w:sz="0" w:space="0" w:color="auto"/>
        <w:right w:val="none" w:sz="0" w:space="0" w:color="auto"/>
      </w:divBdr>
    </w:div>
    <w:div w:id="949240576">
      <w:bodyDiv w:val="1"/>
      <w:marLeft w:val="0"/>
      <w:marRight w:val="0"/>
      <w:marTop w:val="0"/>
      <w:marBottom w:val="0"/>
      <w:divBdr>
        <w:top w:val="none" w:sz="0" w:space="0" w:color="auto"/>
        <w:left w:val="none" w:sz="0" w:space="0" w:color="auto"/>
        <w:bottom w:val="none" w:sz="0" w:space="0" w:color="auto"/>
        <w:right w:val="none" w:sz="0" w:space="0" w:color="auto"/>
      </w:divBdr>
    </w:div>
    <w:div w:id="965357364">
      <w:bodyDiv w:val="1"/>
      <w:marLeft w:val="0"/>
      <w:marRight w:val="0"/>
      <w:marTop w:val="0"/>
      <w:marBottom w:val="0"/>
      <w:divBdr>
        <w:top w:val="none" w:sz="0" w:space="0" w:color="auto"/>
        <w:left w:val="none" w:sz="0" w:space="0" w:color="auto"/>
        <w:bottom w:val="none" w:sz="0" w:space="0" w:color="auto"/>
        <w:right w:val="none" w:sz="0" w:space="0" w:color="auto"/>
      </w:divBdr>
    </w:div>
    <w:div w:id="1007514530">
      <w:bodyDiv w:val="1"/>
      <w:marLeft w:val="0"/>
      <w:marRight w:val="0"/>
      <w:marTop w:val="0"/>
      <w:marBottom w:val="0"/>
      <w:divBdr>
        <w:top w:val="none" w:sz="0" w:space="0" w:color="auto"/>
        <w:left w:val="none" w:sz="0" w:space="0" w:color="auto"/>
        <w:bottom w:val="none" w:sz="0" w:space="0" w:color="auto"/>
        <w:right w:val="none" w:sz="0" w:space="0" w:color="auto"/>
      </w:divBdr>
    </w:div>
    <w:div w:id="1043748936">
      <w:bodyDiv w:val="1"/>
      <w:marLeft w:val="0"/>
      <w:marRight w:val="0"/>
      <w:marTop w:val="0"/>
      <w:marBottom w:val="0"/>
      <w:divBdr>
        <w:top w:val="none" w:sz="0" w:space="0" w:color="auto"/>
        <w:left w:val="none" w:sz="0" w:space="0" w:color="auto"/>
        <w:bottom w:val="none" w:sz="0" w:space="0" w:color="auto"/>
        <w:right w:val="none" w:sz="0" w:space="0" w:color="auto"/>
      </w:divBdr>
    </w:div>
    <w:div w:id="1064334180">
      <w:bodyDiv w:val="1"/>
      <w:marLeft w:val="0"/>
      <w:marRight w:val="0"/>
      <w:marTop w:val="0"/>
      <w:marBottom w:val="0"/>
      <w:divBdr>
        <w:top w:val="none" w:sz="0" w:space="0" w:color="auto"/>
        <w:left w:val="none" w:sz="0" w:space="0" w:color="auto"/>
        <w:bottom w:val="none" w:sz="0" w:space="0" w:color="auto"/>
        <w:right w:val="none" w:sz="0" w:space="0" w:color="auto"/>
      </w:divBdr>
    </w:div>
    <w:div w:id="1068651581">
      <w:bodyDiv w:val="1"/>
      <w:marLeft w:val="0"/>
      <w:marRight w:val="0"/>
      <w:marTop w:val="0"/>
      <w:marBottom w:val="0"/>
      <w:divBdr>
        <w:top w:val="none" w:sz="0" w:space="0" w:color="auto"/>
        <w:left w:val="none" w:sz="0" w:space="0" w:color="auto"/>
        <w:bottom w:val="none" w:sz="0" w:space="0" w:color="auto"/>
        <w:right w:val="none" w:sz="0" w:space="0" w:color="auto"/>
      </w:divBdr>
    </w:div>
    <w:div w:id="1074621827">
      <w:bodyDiv w:val="1"/>
      <w:marLeft w:val="0"/>
      <w:marRight w:val="0"/>
      <w:marTop w:val="0"/>
      <w:marBottom w:val="0"/>
      <w:divBdr>
        <w:top w:val="none" w:sz="0" w:space="0" w:color="auto"/>
        <w:left w:val="none" w:sz="0" w:space="0" w:color="auto"/>
        <w:bottom w:val="none" w:sz="0" w:space="0" w:color="auto"/>
        <w:right w:val="none" w:sz="0" w:space="0" w:color="auto"/>
      </w:divBdr>
    </w:div>
    <w:div w:id="1101415162">
      <w:bodyDiv w:val="1"/>
      <w:marLeft w:val="0"/>
      <w:marRight w:val="0"/>
      <w:marTop w:val="0"/>
      <w:marBottom w:val="0"/>
      <w:divBdr>
        <w:top w:val="none" w:sz="0" w:space="0" w:color="auto"/>
        <w:left w:val="none" w:sz="0" w:space="0" w:color="auto"/>
        <w:bottom w:val="none" w:sz="0" w:space="0" w:color="auto"/>
        <w:right w:val="none" w:sz="0" w:space="0" w:color="auto"/>
      </w:divBdr>
    </w:div>
    <w:div w:id="1108701595">
      <w:bodyDiv w:val="1"/>
      <w:marLeft w:val="0"/>
      <w:marRight w:val="0"/>
      <w:marTop w:val="0"/>
      <w:marBottom w:val="0"/>
      <w:divBdr>
        <w:top w:val="none" w:sz="0" w:space="0" w:color="auto"/>
        <w:left w:val="none" w:sz="0" w:space="0" w:color="auto"/>
        <w:bottom w:val="none" w:sz="0" w:space="0" w:color="auto"/>
        <w:right w:val="none" w:sz="0" w:space="0" w:color="auto"/>
      </w:divBdr>
    </w:div>
    <w:div w:id="1111390486">
      <w:bodyDiv w:val="1"/>
      <w:marLeft w:val="0"/>
      <w:marRight w:val="0"/>
      <w:marTop w:val="0"/>
      <w:marBottom w:val="0"/>
      <w:divBdr>
        <w:top w:val="none" w:sz="0" w:space="0" w:color="auto"/>
        <w:left w:val="none" w:sz="0" w:space="0" w:color="auto"/>
        <w:bottom w:val="none" w:sz="0" w:space="0" w:color="auto"/>
        <w:right w:val="none" w:sz="0" w:space="0" w:color="auto"/>
      </w:divBdr>
    </w:div>
    <w:div w:id="1111969042">
      <w:bodyDiv w:val="1"/>
      <w:marLeft w:val="0"/>
      <w:marRight w:val="0"/>
      <w:marTop w:val="0"/>
      <w:marBottom w:val="0"/>
      <w:divBdr>
        <w:top w:val="none" w:sz="0" w:space="0" w:color="auto"/>
        <w:left w:val="none" w:sz="0" w:space="0" w:color="auto"/>
        <w:bottom w:val="none" w:sz="0" w:space="0" w:color="auto"/>
        <w:right w:val="none" w:sz="0" w:space="0" w:color="auto"/>
      </w:divBdr>
    </w:div>
    <w:div w:id="1130050738">
      <w:bodyDiv w:val="1"/>
      <w:marLeft w:val="0"/>
      <w:marRight w:val="0"/>
      <w:marTop w:val="0"/>
      <w:marBottom w:val="0"/>
      <w:divBdr>
        <w:top w:val="none" w:sz="0" w:space="0" w:color="auto"/>
        <w:left w:val="none" w:sz="0" w:space="0" w:color="auto"/>
        <w:bottom w:val="none" w:sz="0" w:space="0" w:color="auto"/>
        <w:right w:val="none" w:sz="0" w:space="0" w:color="auto"/>
      </w:divBdr>
    </w:div>
    <w:div w:id="1145464604">
      <w:bodyDiv w:val="1"/>
      <w:marLeft w:val="0"/>
      <w:marRight w:val="0"/>
      <w:marTop w:val="0"/>
      <w:marBottom w:val="0"/>
      <w:divBdr>
        <w:top w:val="none" w:sz="0" w:space="0" w:color="auto"/>
        <w:left w:val="none" w:sz="0" w:space="0" w:color="auto"/>
        <w:bottom w:val="none" w:sz="0" w:space="0" w:color="auto"/>
        <w:right w:val="none" w:sz="0" w:space="0" w:color="auto"/>
      </w:divBdr>
    </w:div>
    <w:div w:id="1152481631">
      <w:bodyDiv w:val="1"/>
      <w:marLeft w:val="0"/>
      <w:marRight w:val="0"/>
      <w:marTop w:val="0"/>
      <w:marBottom w:val="0"/>
      <w:divBdr>
        <w:top w:val="none" w:sz="0" w:space="0" w:color="auto"/>
        <w:left w:val="none" w:sz="0" w:space="0" w:color="auto"/>
        <w:bottom w:val="none" w:sz="0" w:space="0" w:color="auto"/>
        <w:right w:val="none" w:sz="0" w:space="0" w:color="auto"/>
      </w:divBdr>
    </w:div>
    <w:div w:id="1213613066">
      <w:bodyDiv w:val="1"/>
      <w:marLeft w:val="0"/>
      <w:marRight w:val="0"/>
      <w:marTop w:val="0"/>
      <w:marBottom w:val="0"/>
      <w:divBdr>
        <w:top w:val="none" w:sz="0" w:space="0" w:color="auto"/>
        <w:left w:val="none" w:sz="0" w:space="0" w:color="auto"/>
        <w:bottom w:val="none" w:sz="0" w:space="0" w:color="auto"/>
        <w:right w:val="none" w:sz="0" w:space="0" w:color="auto"/>
      </w:divBdr>
    </w:div>
    <w:div w:id="1237936604">
      <w:bodyDiv w:val="1"/>
      <w:marLeft w:val="0"/>
      <w:marRight w:val="0"/>
      <w:marTop w:val="0"/>
      <w:marBottom w:val="0"/>
      <w:divBdr>
        <w:top w:val="none" w:sz="0" w:space="0" w:color="auto"/>
        <w:left w:val="none" w:sz="0" w:space="0" w:color="auto"/>
        <w:bottom w:val="none" w:sz="0" w:space="0" w:color="auto"/>
        <w:right w:val="none" w:sz="0" w:space="0" w:color="auto"/>
      </w:divBdr>
    </w:div>
    <w:div w:id="1250843624">
      <w:bodyDiv w:val="1"/>
      <w:marLeft w:val="0"/>
      <w:marRight w:val="0"/>
      <w:marTop w:val="0"/>
      <w:marBottom w:val="0"/>
      <w:divBdr>
        <w:top w:val="none" w:sz="0" w:space="0" w:color="auto"/>
        <w:left w:val="none" w:sz="0" w:space="0" w:color="auto"/>
        <w:bottom w:val="none" w:sz="0" w:space="0" w:color="auto"/>
        <w:right w:val="none" w:sz="0" w:space="0" w:color="auto"/>
      </w:divBdr>
      <w:divsChild>
        <w:div w:id="55596543">
          <w:marLeft w:val="547"/>
          <w:marRight w:val="0"/>
          <w:marTop w:val="60"/>
          <w:marBottom w:val="60"/>
          <w:divBdr>
            <w:top w:val="none" w:sz="0" w:space="0" w:color="auto"/>
            <w:left w:val="none" w:sz="0" w:space="0" w:color="auto"/>
            <w:bottom w:val="none" w:sz="0" w:space="0" w:color="auto"/>
            <w:right w:val="none" w:sz="0" w:space="0" w:color="auto"/>
          </w:divBdr>
        </w:div>
        <w:div w:id="1105343720">
          <w:marLeft w:val="547"/>
          <w:marRight w:val="0"/>
          <w:marTop w:val="60"/>
          <w:marBottom w:val="60"/>
          <w:divBdr>
            <w:top w:val="none" w:sz="0" w:space="0" w:color="auto"/>
            <w:left w:val="none" w:sz="0" w:space="0" w:color="auto"/>
            <w:bottom w:val="none" w:sz="0" w:space="0" w:color="auto"/>
            <w:right w:val="none" w:sz="0" w:space="0" w:color="auto"/>
          </w:divBdr>
        </w:div>
        <w:div w:id="1385252390">
          <w:marLeft w:val="547"/>
          <w:marRight w:val="0"/>
          <w:marTop w:val="60"/>
          <w:marBottom w:val="60"/>
          <w:divBdr>
            <w:top w:val="none" w:sz="0" w:space="0" w:color="auto"/>
            <w:left w:val="none" w:sz="0" w:space="0" w:color="auto"/>
            <w:bottom w:val="none" w:sz="0" w:space="0" w:color="auto"/>
            <w:right w:val="none" w:sz="0" w:space="0" w:color="auto"/>
          </w:divBdr>
        </w:div>
        <w:div w:id="1858496520">
          <w:marLeft w:val="547"/>
          <w:marRight w:val="0"/>
          <w:marTop w:val="60"/>
          <w:marBottom w:val="60"/>
          <w:divBdr>
            <w:top w:val="none" w:sz="0" w:space="0" w:color="auto"/>
            <w:left w:val="none" w:sz="0" w:space="0" w:color="auto"/>
            <w:bottom w:val="none" w:sz="0" w:space="0" w:color="auto"/>
            <w:right w:val="none" w:sz="0" w:space="0" w:color="auto"/>
          </w:divBdr>
        </w:div>
      </w:divsChild>
    </w:div>
    <w:div w:id="1345207740">
      <w:bodyDiv w:val="1"/>
      <w:marLeft w:val="0"/>
      <w:marRight w:val="0"/>
      <w:marTop w:val="0"/>
      <w:marBottom w:val="0"/>
      <w:divBdr>
        <w:top w:val="none" w:sz="0" w:space="0" w:color="auto"/>
        <w:left w:val="none" w:sz="0" w:space="0" w:color="auto"/>
        <w:bottom w:val="none" w:sz="0" w:space="0" w:color="auto"/>
        <w:right w:val="none" w:sz="0" w:space="0" w:color="auto"/>
      </w:divBdr>
    </w:div>
    <w:div w:id="1367175993">
      <w:bodyDiv w:val="1"/>
      <w:marLeft w:val="0"/>
      <w:marRight w:val="0"/>
      <w:marTop w:val="0"/>
      <w:marBottom w:val="0"/>
      <w:divBdr>
        <w:top w:val="none" w:sz="0" w:space="0" w:color="auto"/>
        <w:left w:val="none" w:sz="0" w:space="0" w:color="auto"/>
        <w:bottom w:val="none" w:sz="0" w:space="0" w:color="auto"/>
        <w:right w:val="none" w:sz="0" w:space="0" w:color="auto"/>
      </w:divBdr>
    </w:div>
    <w:div w:id="1381049995">
      <w:bodyDiv w:val="1"/>
      <w:marLeft w:val="0"/>
      <w:marRight w:val="0"/>
      <w:marTop w:val="0"/>
      <w:marBottom w:val="0"/>
      <w:divBdr>
        <w:top w:val="none" w:sz="0" w:space="0" w:color="auto"/>
        <w:left w:val="none" w:sz="0" w:space="0" w:color="auto"/>
        <w:bottom w:val="none" w:sz="0" w:space="0" w:color="auto"/>
        <w:right w:val="none" w:sz="0" w:space="0" w:color="auto"/>
      </w:divBdr>
    </w:div>
    <w:div w:id="1389187897">
      <w:bodyDiv w:val="1"/>
      <w:marLeft w:val="0"/>
      <w:marRight w:val="0"/>
      <w:marTop w:val="0"/>
      <w:marBottom w:val="0"/>
      <w:divBdr>
        <w:top w:val="none" w:sz="0" w:space="0" w:color="auto"/>
        <w:left w:val="none" w:sz="0" w:space="0" w:color="auto"/>
        <w:bottom w:val="none" w:sz="0" w:space="0" w:color="auto"/>
        <w:right w:val="none" w:sz="0" w:space="0" w:color="auto"/>
      </w:divBdr>
    </w:div>
    <w:div w:id="1413890143">
      <w:bodyDiv w:val="1"/>
      <w:marLeft w:val="0"/>
      <w:marRight w:val="0"/>
      <w:marTop w:val="0"/>
      <w:marBottom w:val="0"/>
      <w:divBdr>
        <w:top w:val="none" w:sz="0" w:space="0" w:color="auto"/>
        <w:left w:val="none" w:sz="0" w:space="0" w:color="auto"/>
        <w:bottom w:val="none" w:sz="0" w:space="0" w:color="auto"/>
        <w:right w:val="none" w:sz="0" w:space="0" w:color="auto"/>
      </w:divBdr>
    </w:div>
    <w:div w:id="1428112211">
      <w:bodyDiv w:val="1"/>
      <w:marLeft w:val="0"/>
      <w:marRight w:val="0"/>
      <w:marTop w:val="0"/>
      <w:marBottom w:val="0"/>
      <w:divBdr>
        <w:top w:val="none" w:sz="0" w:space="0" w:color="auto"/>
        <w:left w:val="none" w:sz="0" w:space="0" w:color="auto"/>
        <w:bottom w:val="none" w:sz="0" w:space="0" w:color="auto"/>
        <w:right w:val="none" w:sz="0" w:space="0" w:color="auto"/>
      </w:divBdr>
    </w:div>
    <w:div w:id="1519807518">
      <w:bodyDiv w:val="1"/>
      <w:marLeft w:val="0"/>
      <w:marRight w:val="0"/>
      <w:marTop w:val="0"/>
      <w:marBottom w:val="0"/>
      <w:divBdr>
        <w:top w:val="none" w:sz="0" w:space="0" w:color="auto"/>
        <w:left w:val="none" w:sz="0" w:space="0" w:color="auto"/>
        <w:bottom w:val="none" w:sz="0" w:space="0" w:color="auto"/>
        <w:right w:val="none" w:sz="0" w:space="0" w:color="auto"/>
      </w:divBdr>
    </w:div>
    <w:div w:id="1530609521">
      <w:bodyDiv w:val="1"/>
      <w:marLeft w:val="0"/>
      <w:marRight w:val="0"/>
      <w:marTop w:val="0"/>
      <w:marBottom w:val="0"/>
      <w:divBdr>
        <w:top w:val="none" w:sz="0" w:space="0" w:color="auto"/>
        <w:left w:val="none" w:sz="0" w:space="0" w:color="auto"/>
        <w:bottom w:val="none" w:sz="0" w:space="0" w:color="auto"/>
        <w:right w:val="none" w:sz="0" w:space="0" w:color="auto"/>
      </w:divBdr>
    </w:div>
    <w:div w:id="1536386517">
      <w:bodyDiv w:val="1"/>
      <w:marLeft w:val="0"/>
      <w:marRight w:val="0"/>
      <w:marTop w:val="0"/>
      <w:marBottom w:val="0"/>
      <w:divBdr>
        <w:top w:val="none" w:sz="0" w:space="0" w:color="auto"/>
        <w:left w:val="none" w:sz="0" w:space="0" w:color="auto"/>
        <w:bottom w:val="none" w:sz="0" w:space="0" w:color="auto"/>
        <w:right w:val="none" w:sz="0" w:space="0" w:color="auto"/>
      </w:divBdr>
    </w:div>
    <w:div w:id="1584487202">
      <w:bodyDiv w:val="1"/>
      <w:marLeft w:val="0"/>
      <w:marRight w:val="0"/>
      <w:marTop w:val="0"/>
      <w:marBottom w:val="0"/>
      <w:divBdr>
        <w:top w:val="none" w:sz="0" w:space="0" w:color="auto"/>
        <w:left w:val="none" w:sz="0" w:space="0" w:color="auto"/>
        <w:bottom w:val="none" w:sz="0" w:space="0" w:color="auto"/>
        <w:right w:val="none" w:sz="0" w:space="0" w:color="auto"/>
      </w:divBdr>
    </w:div>
    <w:div w:id="1761173394">
      <w:bodyDiv w:val="1"/>
      <w:marLeft w:val="0"/>
      <w:marRight w:val="0"/>
      <w:marTop w:val="0"/>
      <w:marBottom w:val="0"/>
      <w:divBdr>
        <w:top w:val="none" w:sz="0" w:space="0" w:color="auto"/>
        <w:left w:val="none" w:sz="0" w:space="0" w:color="auto"/>
        <w:bottom w:val="none" w:sz="0" w:space="0" w:color="auto"/>
        <w:right w:val="none" w:sz="0" w:space="0" w:color="auto"/>
      </w:divBdr>
    </w:div>
    <w:div w:id="1771662564">
      <w:bodyDiv w:val="1"/>
      <w:marLeft w:val="0"/>
      <w:marRight w:val="0"/>
      <w:marTop w:val="0"/>
      <w:marBottom w:val="0"/>
      <w:divBdr>
        <w:top w:val="none" w:sz="0" w:space="0" w:color="auto"/>
        <w:left w:val="none" w:sz="0" w:space="0" w:color="auto"/>
        <w:bottom w:val="none" w:sz="0" w:space="0" w:color="auto"/>
        <w:right w:val="none" w:sz="0" w:space="0" w:color="auto"/>
      </w:divBdr>
    </w:div>
    <w:div w:id="1822037974">
      <w:bodyDiv w:val="1"/>
      <w:marLeft w:val="0"/>
      <w:marRight w:val="0"/>
      <w:marTop w:val="0"/>
      <w:marBottom w:val="0"/>
      <w:divBdr>
        <w:top w:val="none" w:sz="0" w:space="0" w:color="auto"/>
        <w:left w:val="none" w:sz="0" w:space="0" w:color="auto"/>
        <w:bottom w:val="none" w:sz="0" w:space="0" w:color="auto"/>
        <w:right w:val="none" w:sz="0" w:space="0" w:color="auto"/>
      </w:divBdr>
    </w:div>
    <w:div w:id="1852404333">
      <w:bodyDiv w:val="1"/>
      <w:marLeft w:val="0"/>
      <w:marRight w:val="0"/>
      <w:marTop w:val="0"/>
      <w:marBottom w:val="0"/>
      <w:divBdr>
        <w:top w:val="none" w:sz="0" w:space="0" w:color="auto"/>
        <w:left w:val="none" w:sz="0" w:space="0" w:color="auto"/>
        <w:bottom w:val="none" w:sz="0" w:space="0" w:color="auto"/>
        <w:right w:val="none" w:sz="0" w:space="0" w:color="auto"/>
      </w:divBdr>
    </w:div>
    <w:div w:id="1854221202">
      <w:bodyDiv w:val="1"/>
      <w:marLeft w:val="0"/>
      <w:marRight w:val="0"/>
      <w:marTop w:val="0"/>
      <w:marBottom w:val="0"/>
      <w:divBdr>
        <w:top w:val="none" w:sz="0" w:space="0" w:color="auto"/>
        <w:left w:val="none" w:sz="0" w:space="0" w:color="auto"/>
        <w:bottom w:val="none" w:sz="0" w:space="0" w:color="auto"/>
        <w:right w:val="none" w:sz="0" w:space="0" w:color="auto"/>
      </w:divBdr>
    </w:div>
    <w:div w:id="1887326866">
      <w:bodyDiv w:val="1"/>
      <w:marLeft w:val="0"/>
      <w:marRight w:val="0"/>
      <w:marTop w:val="0"/>
      <w:marBottom w:val="0"/>
      <w:divBdr>
        <w:top w:val="none" w:sz="0" w:space="0" w:color="auto"/>
        <w:left w:val="none" w:sz="0" w:space="0" w:color="auto"/>
        <w:bottom w:val="none" w:sz="0" w:space="0" w:color="auto"/>
        <w:right w:val="none" w:sz="0" w:space="0" w:color="auto"/>
      </w:divBdr>
    </w:div>
    <w:div w:id="1898591899">
      <w:bodyDiv w:val="1"/>
      <w:marLeft w:val="0"/>
      <w:marRight w:val="0"/>
      <w:marTop w:val="0"/>
      <w:marBottom w:val="0"/>
      <w:divBdr>
        <w:top w:val="none" w:sz="0" w:space="0" w:color="auto"/>
        <w:left w:val="none" w:sz="0" w:space="0" w:color="auto"/>
        <w:bottom w:val="none" w:sz="0" w:space="0" w:color="auto"/>
        <w:right w:val="none" w:sz="0" w:space="0" w:color="auto"/>
      </w:divBdr>
    </w:div>
    <w:div w:id="1904901078">
      <w:bodyDiv w:val="1"/>
      <w:marLeft w:val="0"/>
      <w:marRight w:val="0"/>
      <w:marTop w:val="0"/>
      <w:marBottom w:val="0"/>
      <w:divBdr>
        <w:top w:val="none" w:sz="0" w:space="0" w:color="auto"/>
        <w:left w:val="none" w:sz="0" w:space="0" w:color="auto"/>
        <w:bottom w:val="none" w:sz="0" w:space="0" w:color="auto"/>
        <w:right w:val="none" w:sz="0" w:space="0" w:color="auto"/>
      </w:divBdr>
      <w:divsChild>
        <w:div w:id="88084956">
          <w:marLeft w:val="0"/>
          <w:marRight w:val="0"/>
          <w:marTop w:val="0"/>
          <w:marBottom w:val="0"/>
          <w:divBdr>
            <w:top w:val="none" w:sz="0" w:space="0" w:color="auto"/>
            <w:left w:val="none" w:sz="0" w:space="0" w:color="auto"/>
            <w:bottom w:val="none" w:sz="0" w:space="0" w:color="auto"/>
            <w:right w:val="none" w:sz="0" w:space="0" w:color="auto"/>
          </w:divBdr>
          <w:divsChild>
            <w:div w:id="216015281">
              <w:marLeft w:val="0"/>
              <w:marRight w:val="0"/>
              <w:marTop w:val="0"/>
              <w:marBottom w:val="0"/>
              <w:divBdr>
                <w:top w:val="none" w:sz="0" w:space="0" w:color="auto"/>
                <w:left w:val="none" w:sz="0" w:space="0" w:color="auto"/>
                <w:bottom w:val="none" w:sz="0" w:space="0" w:color="auto"/>
                <w:right w:val="none" w:sz="0" w:space="0" w:color="auto"/>
              </w:divBdr>
              <w:divsChild>
                <w:div w:id="1630626703">
                  <w:marLeft w:val="0"/>
                  <w:marRight w:val="0"/>
                  <w:marTop w:val="0"/>
                  <w:marBottom w:val="0"/>
                  <w:divBdr>
                    <w:top w:val="none" w:sz="0" w:space="0" w:color="auto"/>
                    <w:left w:val="none" w:sz="0" w:space="0" w:color="auto"/>
                    <w:bottom w:val="none" w:sz="0" w:space="0" w:color="auto"/>
                    <w:right w:val="none" w:sz="0" w:space="0" w:color="auto"/>
                  </w:divBdr>
                  <w:divsChild>
                    <w:div w:id="157498358">
                      <w:marLeft w:val="0"/>
                      <w:marRight w:val="0"/>
                      <w:marTop w:val="0"/>
                      <w:marBottom w:val="0"/>
                      <w:divBdr>
                        <w:top w:val="none" w:sz="0" w:space="0" w:color="auto"/>
                        <w:left w:val="none" w:sz="0" w:space="0" w:color="auto"/>
                        <w:bottom w:val="none" w:sz="0" w:space="0" w:color="auto"/>
                        <w:right w:val="none" w:sz="0" w:space="0" w:color="auto"/>
                      </w:divBdr>
                      <w:divsChild>
                        <w:div w:id="1960837444">
                          <w:marLeft w:val="0"/>
                          <w:marRight w:val="0"/>
                          <w:marTop w:val="450"/>
                          <w:marBottom w:val="0"/>
                          <w:divBdr>
                            <w:top w:val="none" w:sz="0" w:space="0" w:color="auto"/>
                            <w:left w:val="none" w:sz="0" w:space="0" w:color="auto"/>
                            <w:bottom w:val="none" w:sz="0" w:space="0" w:color="auto"/>
                            <w:right w:val="none" w:sz="0" w:space="0" w:color="auto"/>
                          </w:divBdr>
                          <w:divsChild>
                            <w:div w:id="168004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2834140">
      <w:bodyDiv w:val="1"/>
      <w:marLeft w:val="0"/>
      <w:marRight w:val="0"/>
      <w:marTop w:val="0"/>
      <w:marBottom w:val="0"/>
      <w:divBdr>
        <w:top w:val="none" w:sz="0" w:space="0" w:color="auto"/>
        <w:left w:val="none" w:sz="0" w:space="0" w:color="auto"/>
        <w:bottom w:val="none" w:sz="0" w:space="0" w:color="auto"/>
        <w:right w:val="none" w:sz="0" w:space="0" w:color="auto"/>
      </w:divBdr>
    </w:div>
    <w:div w:id="1923904321">
      <w:bodyDiv w:val="1"/>
      <w:marLeft w:val="0"/>
      <w:marRight w:val="0"/>
      <w:marTop w:val="0"/>
      <w:marBottom w:val="0"/>
      <w:divBdr>
        <w:top w:val="none" w:sz="0" w:space="0" w:color="auto"/>
        <w:left w:val="none" w:sz="0" w:space="0" w:color="auto"/>
        <w:bottom w:val="none" w:sz="0" w:space="0" w:color="auto"/>
        <w:right w:val="none" w:sz="0" w:space="0" w:color="auto"/>
      </w:divBdr>
    </w:div>
    <w:div w:id="1939480681">
      <w:bodyDiv w:val="1"/>
      <w:marLeft w:val="0"/>
      <w:marRight w:val="0"/>
      <w:marTop w:val="0"/>
      <w:marBottom w:val="0"/>
      <w:divBdr>
        <w:top w:val="none" w:sz="0" w:space="0" w:color="auto"/>
        <w:left w:val="none" w:sz="0" w:space="0" w:color="auto"/>
        <w:bottom w:val="none" w:sz="0" w:space="0" w:color="auto"/>
        <w:right w:val="none" w:sz="0" w:space="0" w:color="auto"/>
      </w:divBdr>
    </w:div>
    <w:div w:id="1958753578">
      <w:bodyDiv w:val="1"/>
      <w:marLeft w:val="0"/>
      <w:marRight w:val="0"/>
      <w:marTop w:val="0"/>
      <w:marBottom w:val="0"/>
      <w:divBdr>
        <w:top w:val="none" w:sz="0" w:space="0" w:color="auto"/>
        <w:left w:val="none" w:sz="0" w:space="0" w:color="auto"/>
        <w:bottom w:val="none" w:sz="0" w:space="0" w:color="auto"/>
        <w:right w:val="none" w:sz="0" w:space="0" w:color="auto"/>
      </w:divBdr>
    </w:div>
    <w:div w:id="1971856572">
      <w:bodyDiv w:val="1"/>
      <w:marLeft w:val="0"/>
      <w:marRight w:val="0"/>
      <w:marTop w:val="0"/>
      <w:marBottom w:val="0"/>
      <w:divBdr>
        <w:top w:val="none" w:sz="0" w:space="0" w:color="auto"/>
        <w:left w:val="none" w:sz="0" w:space="0" w:color="auto"/>
        <w:bottom w:val="none" w:sz="0" w:space="0" w:color="auto"/>
        <w:right w:val="none" w:sz="0" w:space="0" w:color="auto"/>
      </w:divBdr>
    </w:div>
    <w:div w:id="1981033873">
      <w:bodyDiv w:val="1"/>
      <w:marLeft w:val="0"/>
      <w:marRight w:val="0"/>
      <w:marTop w:val="0"/>
      <w:marBottom w:val="0"/>
      <w:divBdr>
        <w:top w:val="none" w:sz="0" w:space="0" w:color="auto"/>
        <w:left w:val="none" w:sz="0" w:space="0" w:color="auto"/>
        <w:bottom w:val="none" w:sz="0" w:space="0" w:color="auto"/>
        <w:right w:val="none" w:sz="0" w:space="0" w:color="auto"/>
      </w:divBdr>
    </w:div>
    <w:div w:id="2028557256">
      <w:bodyDiv w:val="1"/>
      <w:marLeft w:val="0"/>
      <w:marRight w:val="0"/>
      <w:marTop w:val="0"/>
      <w:marBottom w:val="0"/>
      <w:divBdr>
        <w:top w:val="none" w:sz="0" w:space="0" w:color="auto"/>
        <w:left w:val="none" w:sz="0" w:space="0" w:color="auto"/>
        <w:bottom w:val="none" w:sz="0" w:space="0" w:color="auto"/>
        <w:right w:val="none" w:sz="0" w:space="0" w:color="auto"/>
      </w:divBdr>
    </w:div>
    <w:div w:id="2030597592">
      <w:bodyDiv w:val="1"/>
      <w:marLeft w:val="0"/>
      <w:marRight w:val="0"/>
      <w:marTop w:val="0"/>
      <w:marBottom w:val="0"/>
      <w:divBdr>
        <w:top w:val="none" w:sz="0" w:space="0" w:color="auto"/>
        <w:left w:val="none" w:sz="0" w:space="0" w:color="auto"/>
        <w:bottom w:val="none" w:sz="0" w:space="0" w:color="auto"/>
        <w:right w:val="none" w:sz="0" w:space="0" w:color="auto"/>
      </w:divBdr>
    </w:div>
    <w:div w:id="2042514368">
      <w:bodyDiv w:val="1"/>
      <w:marLeft w:val="0"/>
      <w:marRight w:val="0"/>
      <w:marTop w:val="0"/>
      <w:marBottom w:val="0"/>
      <w:divBdr>
        <w:top w:val="none" w:sz="0" w:space="0" w:color="auto"/>
        <w:left w:val="none" w:sz="0" w:space="0" w:color="auto"/>
        <w:bottom w:val="none" w:sz="0" w:space="0" w:color="auto"/>
        <w:right w:val="none" w:sz="0" w:space="0" w:color="auto"/>
      </w:divBdr>
    </w:div>
    <w:div w:id="2059936218">
      <w:bodyDiv w:val="1"/>
      <w:marLeft w:val="0"/>
      <w:marRight w:val="0"/>
      <w:marTop w:val="0"/>
      <w:marBottom w:val="0"/>
      <w:divBdr>
        <w:top w:val="none" w:sz="0" w:space="0" w:color="auto"/>
        <w:left w:val="none" w:sz="0" w:space="0" w:color="auto"/>
        <w:bottom w:val="none" w:sz="0" w:space="0" w:color="auto"/>
        <w:right w:val="none" w:sz="0" w:space="0" w:color="auto"/>
      </w:divBdr>
    </w:div>
    <w:div w:id="2062170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chart" Target="charts/chart2.xml"/><Relationship Id="rId26" Type="http://schemas.openxmlformats.org/officeDocument/2006/relationships/chart" Target="charts/chart8.xml"/><Relationship Id="rId39" Type="http://schemas.openxmlformats.org/officeDocument/2006/relationships/hyperlink" Target="http://www.esfondi.lv" TargetMode="External"/><Relationship Id="rId3" Type="http://schemas.openxmlformats.org/officeDocument/2006/relationships/styles" Target="styles.xml"/><Relationship Id="rId21" Type="http://schemas.openxmlformats.org/officeDocument/2006/relationships/chart" Target="charts/chart3.xml"/><Relationship Id="rId34" Type="http://schemas.openxmlformats.org/officeDocument/2006/relationships/chart" Target="charts/chart14.xml"/><Relationship Id="rId42"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cid:image010.jpg@01CBC3A8.FD1A1C60" TargetMode="External"/><Relationship Id="rId17" Type="http://schemas.openxmlformats.org/officeDocument/2006/relationships/chart" Target="charts/chart1.xml"/><Relationship Id="rId25" Type="http://schemas.openxmlformats.org/officeDocument/2006/relationships/chart" Target="charts/chart7.xml"/><Relationship Id="rId33" Type="http://schemas.openxmlformats.org/officeDocument/2006/relationships/chart" Target="charts/chart13.xml"/><Relationship Id="rId38" Type="http://schemas.openxmlformats.org/officeDocument/2006/relationships/hyperlink" Target="http://www.esfondi.lv"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cid:image011.png@01CBC3A8.FD1A1C60" TargetMode="External"/><Relationship Id="rId20" Type="http://schemas.openxmlformats.org/officeDocument/2006/relationships/image" Target="media/image5.JPG"/><Relationship Id="rId29" Type="http://schemas.openxmlformats.org/officeDocument/2006/relationships/chart" Target="charts/chart9.xm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chart" Target="charts/chart6.xml"/><Relationship Id="rId32" Type="http://schemas.openxmlformats.org/officeDocument/2006/relationships/chart" Target="charts/chart12.xml"/><Relationship Id="rId37" Type="http://schemas.openxmlformats.org/officeDocument/2006/relationships/chart" Target="charts/chart17.xml"/><Relationship Id="rId40" Type="http://schemas.openxmlformats.org/officeDocument/2006/relationships/hyperlink" Target="http://www.esfondi.lv" TargetMode="External"/><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chart" Target="charts/chart5.xml"/><Relationship Id="rId28" Type="http://schemas.openxmlformats.org/officeDocument/2006/relationships/oleObject" Target="embeddings/Microsoft_Excel_97-2003_Worksheet1.xls"/><Relationship Id="rId36" Type="http://schemas.openxmlformats.org/officeDocument/2006/relationships/chart" Target="charts/chart16.xml"/><Relationship Id="rId10" Type="http://schemas.openxmlformats.org/officeDocument/2006/relationships/image" Target="cid:image006.jpg@01CBC3A8.FD1A1C60" TargetMode="External"/><Relationship Id="rId19" Type="http://schemas.openxmlformats.org/officeDocument/2006/relationships/hyperlink" Target="http://www.esfondi.lv/page.php?id=913" TargetMode="External"/><Relationship Id="rId31" Type="http://schemas.openxmlformats.org/officeDocument/2006/relationships/chart" Target="charts/chart11.xml"/><Relationship Id="rId44"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cid:image009.jpg@01CBC3A8.FD1A1C60" TargetMode="External"/><Relationship Id="rId22" Type="http://schemas.openxmlformats.org/officeDocument/2006/relationships/chart" Target="charts/chart4.xml"/><Relationship Id="rId27" Type="http://schemas.openxmlformats.org/officeDocument/2006/relationships/image" Target="media/image6.emf"/><Relationship Id="rId30" Type="http://schemas.openxmlformats.org/officeDocument/2006/relationships/chart" Target="charts/chart10.xml"/><Relationship Id="rId35" Type="http://schemas.openxmlformats.org/officeDocument/2006/relationships/chart" Target="charts/chart15.xml"/><Relationship Id="rId43"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oleObject" Target="file:///\\filex\FUD\IEVIE&#352;ANAS%20UZRAUDZ&#298;BA\ZI&#325;OJUMI_MAKS&#256;JUMU%20PROGNOZES%20EK\VI%20cet.zi&#326;oj.par%20ES%20fondu%20apguvi\1%20-%20MK\2011.gads\14.%20-%2011.08.2011\Darba%20materi&#257;li\grafiki\GRAFIKI_ES%20fondu%20apguve%20uz%2030.06.2011._apstiprin.proj..xlsx" TargetMode="External"/></Relationships>
</file>

<file path=word/charts/_rels/chart10.xml.rels><?xml version="1.0" encoding="UTF-8" standalone="yes"?>
<Relationships xmlns="http://schemas.openxmlformats.org/package/2006/relationships"><Relationship Id="rId2" Type="http://schemas.openxmlformats.org/officeDocument/2006/relationships/oleObject" Target="file:///C:\Documents%20and%20Settings\fi-liepi\My%20Documents\Swiss_grafiks%20uz%2007062011.xls" TargetMode="External"/><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7.xml"/></Relationships>
</file>

<file path=word/charts/_rels/chart13.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8.xml"/></Relationships>
</file>

<file path=word/charts/_rels/chart14.xml.rels><?xml version="1.0" encoding="UTF-8" standalone="yes"?>
<Relationships xmlns="http://schemas.openxmlformats.org/package/2006/relationships"><Relationship Id="rId2" Type="http://schemas.openxmlformats.org/officeDocument/2006/relationships/oleObject" Target="Chart%20in%20Microsoft%20Word" TargetMode="External"/><Relationship Id="rId1" Type="http://schemas.openxmlformats.org/officeDocument/2006/relationships/themeOverride" Target="../theme/themeOverride9.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0.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11.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2.xml"/></Relationships>
</file>

<file path=word/charts/_rels/chart2.xml.rels><?xml version="1.0" encoding="UTF-8" standalone="yes"?>
<Relationships xmlns="http://schemas.openxmlformats.org/package/2006/relationships"><Relationship Id="rId2" Type="http://schemas.openxmlformats.org/officeDocument/2006/relationships/oleObject" Target="file:///\\filex\FUD\IEVIE&#352;ANAS%20UZRAUDZ&#298;BA\ZI&#325;OJUMI_MAKS&#256;JUMU%20PROGNOZES%20EK\VI%20cet.zi&#326;oj.par%20ES%20fondu%20apguvi\1%20-%20MK\2011.gads\14.%20-%2011.08.2011\Darba%20materi&#257;li\grafiki\grafiks_2011%20g%20_merki.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oleObject" Target="file:///\\filex\FUD\IEVIE&#352;ANAS%20UZRAUDZ&#298;BA\ZI&#325;OJUMI_MAKS&#256;JUMU%20PROGNOZES%20EK\VI%20cet.zi&#326;oj.par%20ES%20fondu%20apguvi\1%20-%20MK\2011.gads\14.%20-%2011.08.2011\Darba%20materi&#257;li\grafiki\GRAFIKI_ES%20fondu%20apguve%20uz%2030.06.2011._apstiprin.proj..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ilex\FUD\IEVIE&#352;ANAS%20UZRAUDZ&#298;BA\ZI&#325;OJUMI_MAKS&#256;JUMU%20PROGNOZES%20EK\VI%20cet.zi&#326;oj.par%20ES%20fondu%20apguvi\1%20-%20MK\2011.gads\14.%20-%2011.08.2011\Darba%20materi&#257;li\grafiki\GRAFIKI_ES%20fondu%20apguve%20uz%2030.06.2011._apstiprin.proj..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ilex\FUD\IEVIE&#352;ANAS%20UZRAUDZ&#298;BA\ZI&#325;OJUMI_MAKS&#256;JUMU%20PROGNOZES%20EK\VI%20cet.zi&#326;oj.par%20ES%20fondu%20apguvi\1%20-%20MK\2011.gads\14.%20-%2011.08.2011\Darba%20materi&#257;li\grafiki\GRAFIKI_ES%20fondu%20apguve%20uz%2030.06.2011._apstiprin.proj..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ilex\FUD\IEVIE&#352;ANAS%20UZRAUDZ&#298;BA\ZI&#325;OJUMI_MAKS&#256;JUMU%20PROGNOZES%20EK\VI%20cet.zi&#326;oj.par%20ES%20fondu%20apguvi\1%20-%20MK\2011.gads\14.%20-%2011.08.2011\Darba%20materi&#257;li\grafiki\GRAFIKI_ES%20fondu%20apguve%20uz%2030.06.2011._apstiprin.proj..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filex\FUD\VADO&#352;&#256;%20IEST&#256;DE\ES%20FONDU%20UZRAUDZ&#298;BAS%20DEPARTAMENTS\INFO%20APKOPOJUMI\NMS%20grafiki\EK%20maks&#257;jumi%20vis&#257;m%20ES%20dal&#299;bvalst&#299;m_NMS_uz%2030.06.2011..xls" TargetMode="External"/><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oleObject" Target="file:///\\filex\FUD\IEVIE&#352;ANAS%20UZRAUDZ&#298;BA\ZI&#325;OJUMI_MAKS&#256;JUMU%20PROGNOZES%20EK\VI%20cet.zi&#326;oj.par%20ES%20fondu%20apguvi\1%20-%20MK\2011.gads\14.%20-%2011.08.2011\Darba%20materi&#257;li\grafiki\3B%20grafiki_MK_dati%20uz%2030.06.11_13.07.11.xlsx" TargetMode="External"/><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2" Type="http://schemas.openxmlformats.org/officeDocument/2006/relationships/oleObject" Target="file:///\\filex\FUD\EEZ_NOR_SWISS_UZRAUDZIBA\EEZ%20NOR\ES%20SF%20cet%20zinojums%20par%20fondu%20apguvi\II%202011\IV_cet_zin_plan_faktisk_uz%2030%2006%202011_NOR.xls"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bar"/>
        <c:grouping val="clustered"/>
        <c:varyColors val="1"/>
        <c:ser>
          <c:idx val="0"/>
          <c:order val="0"/>
          <c:invertIfNegative val="0"/>
          <c:dLbls>
            <c:dLbl>
              <c:idx val="0"/>
              <c:tx>
                <c:rich>
                  <a:bodyPr/>
                  <a:lstStyle/>
                  <a:p>
                    <a:r>
                      <a:rPr lang="en-US"/>
                      <a:t>1184,5</a:t>
                    </a:r>
                    <a:r>
                      <a:rPr lang="lv-LV"/>
                      <a:t>(34,2%);</a:t>
                    </a:r>
                    <a:r>
                      <a:rPr lang="lv-LV" baseline="0"/>
                      <a:t>2,4%</a:t>
                    </a:r>
                    <a:endParaRPr lang="en-US"/>
                  </a:p>
                </c:rich>
              </c:tx>
              <c:showLegendKey val="0"/>
              <c:showVal val="1"/>
              <c:showCatName val="0"/>
              <c:showSerName val="0"/>
              <c:showPercent val="0"/>
              <c:showBubbleSize val="0"/>
            </c:dLbl>
            <c:dLbl>
              <c:idx val="1"/>
              <c:tx>
                <c:rich>
                  <a:bodyPr/>
                  <a:lstStyle/>
                  <a:p>
                    <a:r>
                      <a:rPr lang="en-US" sz="900"/>
                      <a:t>2735,2</a:t>
                    </a:r>
                    <a:r>
                      <a:rPr lang="lv-LV" sz="900"/>
                      <a:t> (78,9%); 1,7%</a:t>
                    </a:r>
                    <a:endParaRPr lang="en-US"/>
                  </a:p>
                </c:rich>
              </c:tx>
              <c:showLegendKey val="0"/>
              <c:showVal val="1"/>
              <c:showCatName val="0"/>
              <c:showSerName val="0"/>
              <c:showPercent val="0"/>
              <c:showBubbleSize val="0"/>
            </c:dLbl>
            <c:dLbl>
              <c:idx val="2"/>
              <c:tx>
                <c:rich>
                  <a:bodyPr/>
                  <a:lstStyle/>
                  <a:p>
                    <a:r>
                      <a:rPr lang="en-US" sz="900"/>
                      <a:t>2837,7</a:t>
                    </a:r>
                    <a:r>
                      <a:rPr lang="lv-LV" sz="900"/>
                      <a:t> (81,8%); 1,9%</a:t>
                    </a:r>
                    <a:endParaRPr lang="en-US"/>
                  </a:p>
                </c:rich>
              </c:tx>
              <c:showLegendKey val="0"/>
              <c:showVal val="1"/>
              <c:showCatName val="0"/>
              <c:showSerName val="0"/>
              <c:showPercent val="0"/>
              <c:showBubbleSize val="0"/>
            </c:dLbl>
            <c:dLbl>
              <c:idx val="3"/>
              <c:tx>
                <c:rich>
                  <a:bodyPr/>
                  <a:lstStyle/>
                  <a:p>
                    <a:r>
                      <a:rPr lang="en-US" sz="900"/>
                      <a:t>3184,0</a:t>
                    </a:r>
                    <a:r>
                      <a:rPr lang="lv-LV" sz="900"/>
                      <a:t> (100%)</a:t>
                    </a:r>
                    <a:endParaRPr lang="en-US"/>
                  </a:p>
                </c:rich>
              </c:tx>
              <c:showLegendKey val="0"/>
              <c:showVal val="1"/>
              <c:showCatName val="0"/>
              <c:showSerName val="0"/>
              <c:showPercent val="0"/>
              <c:showBubbleSize val="0"/>
            </c:dLbl>
            <c:txPr>
              <a:bodyPr/>
              <a:lstStyle/>
              <a:p>
                <a:pPr>
                  <a:defRPr sz="900"/>
                </a:pPr>
                <a:endParaRPr lang="lv-LV"/>
              </a:p>
            </c:txPr>
            <c:showLegendKey val="0"/>
            <c:showVal val="1"/>
            <c:showCatName val="0"/>
            <c:showSerName val="0"/>
            <c:showPercent val="0"/>
            <c:showBubbleSize val="0"/>
            <c:showLeaderLines val="0"/>
          </c:dLbls>
          <c:cat>
            <c:strRef>
              <c:f>'Finanšu apguve līdz 31.03.2011.'!$A$20:$A$23</c:f>
              <c:strCache>
                <c:ptCount val="4"/>
                <c:pt idx="0">
                  <c:v>Izmaksāts finansējuma saņēmējam </c:v>
                </c:pt>
                <c:pt idx="1">
                  <c:v>Noslēgti līgumi</c:v>
                </c:pt>
                <c:pt idx="2">
                  <c:v>Apstiprinātie projekti</c:v>
                </c:pt>
                <c:pt idx="3">
                  <c:v>Kopā pieejamais publiskais finansējums</c:v>
                </c:pt>
              </c:strCache>
            </c:strRef>
          </c:cat>
          <c:val>
            <c:numRef>
              <c:f>'Finanšu apguve līdz 31.03.2011.'!$B$20:$B$23</c:f>
              <c:numCache>
                <c:formatCode>0.0</c:formatCode>
                <c:ptCount val="4"/>
                <c:pt idx="0">
                  <c:v>1100705932.1499999</c:v>
                </c:pt>
                <c:pt idx="1">
                  <c:v>2676760752.5399995</c:v>
                </c:pt>
                <c:pt idx="2">
                  <c:v>2772143583.3799996</c:v>
                </c:pt>
                <c:pt idx="3">
                  <c:v>3467117606.2200003</c:v>
                </c:pt>
              </c:numCache>
            </c:numRef>
          </c:val>
        </c:ser>
        <c:dLbls>
          <c:showLegendKey val="0"/>
          <c:showVal val="0"/>
          <c:showCatName val="0"/>
          <c:showSerName val="0"/>
          <c:showPercent val="0"/>
          <c:showBubbleSize val="0"/>
        </c:dLbls>
        <c:gapWidth val="150"/>
        <c:shape val="box"/>
        <c:axId val="138707328"/>
        <c:axId val="138708864"/>
        <c:axId val="0"/>
      </c:bar3DChart>
      <c:catAx>
        <c:axId val="138707328"/>
        <c:scaling>
          <c:orientation val="minMax"/>
        </c:scaling>
        <c:delete val="0"/>
        <c:axPos val="l"/>
        <c:majorTickMark val="out"/>
        <c:minorTickMark val="none"/>
        <c:tickLblPos val="nextTo"/>
        <c:crossAx val="138708864"/>
        <c:crosses val="autoZero"/>
        <c:auto val="1"/>
        <c:lblAlgn val="ctr"/>
        <c:lblOffset val="100"/>
        <c:noMultiLvlLbl val="0"/>
      </c:catAx>
      <c:valAx>
        <c:axId val="138708864"/>
        <c:scaling>
          <c:orientation val="minMax"/>
        </c:scaling>
        <c:delete val="0"/>
        <c:axPos val="b"/>
        <c:majorGridlines/>
        <c:numFmt formatCode="0" sourceLinked="0"/>
        <c:majorTickMark val="out"/>
        <c:minorTickMark val="none"/>
        <c:tickLblPos val="nextTo"/>
        <c:crossAx val="138707328"/>
        <c:crosses val="autoZero"/>
        <c:crossBetween val="between"/>
        <c:majorUnit val="1000000000"/>
        <c:minorUnit val="400000000"/>
        <c:dispUnits>
          <c:builtInUnit val="millions"/>
        </c:dispUnits>
      </c:valAx>
    </c:plotArea>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lv-LV"/>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3.5891594631752115E-2"/>
          <c:y val="1.7275356504003879E-2"/>
          <c:w val="0.96230052324540505"/>
          <c:h val="0.84727730689714742"/>
        </c:manualLayout>
      </c:layout>
      <c:bar3DChart>
        <c:barDir val="col"/>
        <c:grouping val="stacked"/>
        <c:varyColors val="0"/>
        <c:ser>
          <c:idx val="0"/>
          <c:order val="0"/>
          <c:spPr>
            <a:solidFill>
              <a:schemeClr val="accent1"/>
            </a:solidFill>
          </c:spPr>
          <c:invertIfNegative val="0"/>
          <c:dPt>
            <c:idx val="0"/>
            <c:invertIfNegative val="0"/>
            <c:bubble3D val="0"/>
          </c:dPt>
          <c:dPt>
            <c:idx val="1"/>
            <c:invertIfNegative val="0"/>
            <c:bubble3D val="0"/>
          </c:dPt>
          <c:dPt>
            <c:idx val="2"/>
            <c:invertIfNegative val="0"/>
            <c:bubble3D val="0"/>
          </c:dPt>
          <c:dLbls>
            <c:dLbl>
              <c:idx val="0"/>
              <c:layout>
                <c:manualLayout>
                  <c:x val="2.2222222222222223E-2"/>
                  <c:y val="-1.8518518518518517E-2"/>
                </c:manualLayout>
              </c:layout>
              <c:tx>
                <c:rich>
                  <a:bodyPr/>
                  <a:lstStyle/>
                  <a:p>
                    <a:pPr>
                      <a:defRPr sz="1000" b="1" i="0" u="none" strike="noStrike" baseline="0">
                        <a:solidFill>
                          <a:srgbClr val="000000"/>
                        </a:solidFill>
                        <a:latin typeface="Times New Roman" pitchFamily="18" charset="0"/>
                        <a:ea typeface="Calibri"/>
                        <a:cs typeface="Times New Roman" pitchFamily="18" charset="0"/>
                      </a:defRPr>
                    </a:pPr>
                    <a:r>
                      <a:rPr lang="lv-LV">
                        <a:latin typeface="Times New Roman" pitchFamily="18" charset="0"/>
                        <a:cs typeface="Times New Roman" pitchFamily="18" charset="0"/>
                      </a:rPr>
                      <a:t>56,9 (100%)</a:t>
                    </a:r>
                    <a:endParaRPr lang="lv-LV"/>
                  </a:p>
                </c:rich>
              </c:tx>
              <c:numFmt formatCode="#,##0.0" sourceLinked="0"/>
              <c:spPr/>
              <c:showLegendKey val="0"/>
              <c:showVal val="0"/>
              <c:showCatName val="0"/>
              <c:showSerName val="0"/>
              <c:showPercent val="0"/>
              <c:showBubbleSize val="0"/>
            </c:dLbl>
            <c:dLbl>
              <c:idx val="1"/>
              <c:layout>
                <c:manualLayout>
                  <c:x val="1.5867579908675798E-2"/>
                  <c:y val="-1.3888758954635622E-2"/>
                </c:manualLayout>
              </c:layout>
              <c:tx>
                <c:rich>
                  <a:bodyPr/>
                  <a:lstStyle/>
                  <a:p>
                    <a:pPr>
                      <a:defRPr sz="1000" b="1" i="0" u="none" strike="noStrike" baseline="0">
                        <a:solidFill>
                          <a:srgbClr val="000000"/>
                        </a:solidFill>
                        <a:latin typeface="Times New Roman" pitchFamily="18" charset="0"/>
                        <a:ea typeface="Calibri"/>
                        <a:cs typeface="Times New Roman" pitchFamily="18" charset="0"/>
                      </a:defRPr>
                    </a:pPr>
                    <a:r>
                      <a:rPr lang="lv-LV">
                        <a:latin typeface="Times New Roman" pitchFamily="18" charset="0"/>
                        <a:cs typeface="Times New Roman" pitchFamily="18" charset="0"/>
                      </a:rPr>
                      <a:t>56,9</a:t>
                    </a:r>
                    <a:r>
                      <a:rPr lang="lv-LV" baseline="0">
                        <a:latin typeface="Times New Roman" pitchFamily="18" charset="0"/>
                        <a:cs typeface="Times New Roman" pitchFamily="18" charset="0"/>
                      </a:rPr>
                      <a:t> </a:t>
                    </a:r>
                    <a:r>
                      <a:rPr lang="lv-LV">
                        <a:latin typeface="Times New Roman" pitchFamily="18" charset="0"/>
                        <a:cs typeface="Times New Roman" pitchFamily="18" charset="0"/>
                      </a:rPr>
                      <a:t>(100 %)</a:t>
                    </a:r>
                    <a:endParaRPr lang="lv-LV"/>
                  </a:p>
                </c:rich>
              </c:tx>
              <c:numFmt formatCode="#,##0.0" sourceLinked="0"/>
              <c:spPr/>
              <c:showLegendKey val="0"/>
              <c:showVal val="0"/>
              <c:showCatName val="0"/>
              <c:showSerName val="0"/>
              <c:showPercent val="0"/>
              <c:showBubbleSize val="0"/>
            </c:dLbl>
            <c:dLbl>
              <c:idx val="2"/>
              <c:layout>
                <c:manualLayout>
                  <c:x val="0.22298385646999605"/>
                  <c:y val="-9.2334398794210043E-2"/>
                </c:manualLayout>
              </c:layout>
              <c:tx>
                <c:rich>
                  <a:bodyPr/>
                  <a:lstStyle/>
                  <a:p>
                    <a:pPr>
                      <a:defRPr sz="1000" b="1" i="0" u="none" strike="noStrike" baseline="0">
                        <a:solidFill>
                          <a:srgbClr val="000000"/>
                        </a:solidFill>
                        <a:latin typeface="Times New Roman" pitchFamily="18" charset="0"/>
                        <a:ea typeface="Calibri"/>
                        <a:cs typeface="Times New Roman" pitchFamily="18" charset="0"/>
                      </a:defRPr>
                    </a:pPr>
                    <a:r>
                      <a:rPr lang="lv-LV">
                        <a:latin typeface="Times New Roman" pitchFamily="18" charset="0"/>
                        <a:cs typeface="Times New Roman" pitchFamily="18" charset="0"/>
                      </a:rPr>
                      <a:t>6,8 (11,9%)</a:t>
                    </a:r>
                    <a:endParaRPr lang="lv-LV"/>
                  </a:p>
                </c:rich>
              </c:tx>
              <c:numFmt formatCode="#,##0.0" sourceLinked="0"/>
              <c:spPr/>
              <c:showLegendKey val="0"/>
              <c:showVal val="0"/>
              <c:showCatName val="0"/>
              <c:showSerName val="0"/>
              <c:showPercent val="0"/>
              <c:showBubbleSize val="0"/>
            </c:dLbl>
            <c:dLbl>
              <c:idx val="3"/>
              <c:layout>
                <c:manualLayout>
                  <c:x val="-0.17787455506417862"/>
                  <c:y val="-8.8008800880088014E-2"/>
                </c:manualLayout>
              </c:layout>
              <c:tx>
                <c:rich>
                  <a:bodyPr/>
                  <a:lstStyle/>
                  <a:p>
                    <a:r>
                      <a:rPr lang="lv-LV">
                        <a:latin typeface="Times New Roman" pitchFamily="18" charset="0"/>
                        <a:cs typeface="Times New Roman" pitchFamily="18" charset="0"/>
                      </a:rPr>
                      <a:t> 6,7 (11,7%)</a:t>
                    </a:r>
                    <a:endParaRPr lang="lv-LV"/>
                  </a:p>
                </c:rich>
              </c:tx>
              <c:showLegendKey val="0"/>
              <c:showVal val="0"/>
              <c:showCatName val="0"/>
              <c:showSerName val="0"/>
              <c:showPercent val="0"/>
              <c:showBubbleSize val="0"/>
            </c:dLbl>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lv-LV"/>
              </a:p>
            </c:txPr>
            <c:showLegendKey val="0"/>
            <c:showVal val="0"/>
            <c:showCatName val="0"/>
            <c:showSerName val="1"/>
            <c:showPercent val="0"/>
            <c:showBubbleSize val="0"/>
            <c:showLeaderLines val="0"/>
          </c:dLbls>
          <c:cat>
            <c:strRef>
              <c:f>SWISS!$C$5:$F$5</c:f>
              <c:strCache>
                <c:ptCount val="4"/>
                <c:pt idx="0">
                  <c:v>Latvijai pieejamais Šveices grants</c:v>
                </c:pt>
                <c:pt idx="1">
                  <c:v>Projektos apstiprinātais Šveices grants</c:v>
                </c:pt>
                <c:pt idx="2">
                  <c:v>No donorvalsīm atgūtais Šveices grants uz 31.03.2011.</c:v>
                </c:pt>
                <c:pt idx="3">
                  <c:v>No donorvalsīm atgūtais Šveices grants uz 30.06.2011.</c:v>
                </c:pt>
              </c:strCache>
            </c:strRef>
          </c:cat>
          <c:val>
            <c:numRef>
              <c:f>SWISS!$C$6:$F$6</c:f>
              <c:numCache>
                <c:formatCode>#,##0</c:formatCode>
                <c:ptCount val="4"/>
                <c:pt idx="0">
                  <c:v>56880000</c:v>
                </c:pt>
                <c:pt idx="1">
                  <c:v>56880000</c:v>
                </c:pt>
                <c:pt idx="2">
                  <c:v>6671174</c:v>
                </c:pt>
                <c:pt idx="3">
                  <c:v>6782535</c:v>
                </c:pt>
              </c:numCache>
            </c:numRef>
          </c:val>
        </c:ser>
        <c:ser>
          <c:idx val="1"/>
          <c:order val="1"/>
          <c:tx>
            <c:strRef>
              <c:f>SWISS!$G$5</c:f>
              <c:strCache>
                <c:ptCount val="1"/>
              </c:strCache>
            </c:strRef>
          </c:tx>
          <c:spPr>
            <a:pattFill prst="pct5">
              <a:fgClr>
                <a:srgbClr val="0070C0"/>
              </a:fgClr>
              <a:bgClr>
                <a:schemeClr val="bg1"/>
              </a:bgClr>
            </a:pattFill>
          </c:spPr>
          <c:invertIfNegative val="0"/>
          <c:dLbls>
            <c:dLbl>
              <c:idx val="1"/>
              <c:layout>
                <c:manualLayout>
                  <c:x val="1.5442239240642907E-2"/>
                  <c:y val="-1.3118855192605874E-2"/>
                </c:manualLayout>
              </c:layout>
              <c:tx>
                <c:rich>
                  <a:bodyPr/>
                  <a:lstStyle/>
                  <a:p>
                    <a:r>
                      <a:rPr lang="lv-LV">
                        <a:latin typeface="Times New Roman" pitchFamily="18" charset="0"/>
                        <a:cs typeface="Times New Roman" pitchFamily="18" charset="0"/>
                      </a:rPr>
                      <a:t>11,5</a:t>
                    </a:r>
                    <a:r>
                      <a:rPr lang="lv-LV" baseline="0">
                        <a:latin typeface="Times New Roman" pitchFamily="18" charset="0"/>
                        <a:cs typeface="Times New Roman" pitchFamily="18" charset="0"/>
                      </a:rPr>
                      <a:t> </a:t>
                    </a:r>
                    <a:r>
                      <a:rPr lang="lv-LV">
                        <a:latin typeface="Times New Roman" pitchFamily="18" charset="0"/>
                        <a:cs typeface="Times New Roman" pitchFamily="18" charset="0"/>
                      </a:rPr>
                      <a:t>(20,2 %)</a:t>
                    </a:r>
                    <a:endParaRPr lang="lv-LV"/>
                  </a:p>
                </c:rich>
              </c:tx>
              <c:showLegendKey val="0"/>
              <c:showVal val="0"/>
              <c:showCatName val="0"/>
              <c:showSerName val="0"/>
              <c:showPercent val="0"/>
              <c:showBubbleSize val="0"/>
            </c:dLbl>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lv-LV"/>
              </a:p>
            </c:txPr>
            <c:showLegendKey val="0"/>
            <c:showVal val="0"/>
            <c:showCatName val="0"/>
            <c:showSerName val="1"/>
            <c:showPercent val="0"/>
            <c:showBubbleSize val="0"/>
            <c:showLeaderLines val="0"/>
          </c:dLbls>
          <c:cat>
            <c:strRef>
              <c:f>SWISS!$C$5:$F$5</c:f>
              <c:strCache>
                <c:ptCount val="4"/>
                <c:pt idx="0">
                  <c:v>Latvijai pieejamais Šveices grants</c:v>
                </c:pt>
                <c:pt idx="1">
                  <c:v>Projektos apstiprinātais Šveices grants</c:v>
                </c:pt>
                <c:pt idx="2">
                  <c:v>No donorvalsīm atgūtais Šveices grants uz 31.03.2011.</c:v>
                </c:pt>
                <c:pt idx="3">
                  <c:v>No donorvalsīm atgūtais Šveices grants uz 30.06.2011.</c:v>
                </c:pt>
              </c:strCache>
            </c:strRef>
          </c:cat>
          <c:val>
            <c:numRef>
              <c:f>SWISS!$C$8:$F$8</c:f>
              <c:numCache>
                <c:formatCode>General</c:formatCode>
                <c:ptCount val="4"/>
              </c:numCache>
            </c:numRef>
          </c:val>
        </c:ser>
        <c:dLbls>
          <c:showLegendKey val="0"/>
          <c:showVal val="0"/>
          <c:showCatName val="0"/>
          <c:showSerName val="0"/>
          <c:showPercent val="0"/>
          <c:showBubbleSize val="0"/>
        </c:dLbls>
        <c:gapWidth val="150"/>
        <c:shape val="box"/>
        <c:axId val="142186368"/>
        <c:axId val="142187904"/>
        <c:axId val="0"/>
      </c:bar3DChart>
      <c:catAx>
        <c:axId val="142186368"/>
        <c:scaling>
          <c:orientation val="minMax"/>
        </c:scaling>
        <c:delete val="0"/>
        <c:axPos val="b"/>
        <c:numFmt formatCode="General" sourceLinked="1"/>
        <c:majorTickMark val="out"/>
        <c:minorTickMark val="none"/>
        <c:tickLblPos val="nextTo"/>
        <c:txPr>
          <a:bodyPr rot="0" vert="horz"/>
          <a:lstStyle/>
          <a:p>
            <a:pPr>
              <a:defRPr sz="900" b="1" i="0" u="none" strike="noStrike" baseline="0">
                <a:solidFill>
                  <a:srgbClr val="000000"/>
                </a:solidFill>
                <a:latin typeface="Times New Roman" pitchFamily="18" charset="0"/>
                <a:ea typeface="Calibri"/>
                <a:cs typeface="Times New Roman" pitchFamily="18" charset="0"/>
              </a:defRPr>
            </a:pPr>
            <a:endParaRPr lang="lv-LV"/>
          </a:p>
        </c:txPr>
        <c:crossAx val="142187904"/>
        <c:crosses val="autoZero"/>
        <c:auto val="1"/>
        <c:lblAlgn val="ctr"/>
        <c:lblOffset val="100"/>
        <c:noMultiLvlLbl val="0"/>
      </c:catAx>
      <c:valAx>
        <c:axId val="142187904"/>
        <c:scaling>
          <c:orientation val="minMax"/>
        </c:scaling>
        <c:delete val="0"/>
        <c:axPos val="l"/>
        <c:majorGridlines/>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lv-LV"/>
          </a:p>
        </c:txPr>
        <c:crossAx val="142186368"/>
        <c:crosses val="autoZero"/>
        <c:crossBetween val="between"/>
        <c:dispUnits>
          <c:builtInUnit val="millions"/>
        </c:dispUnits>
      </c:valAx>
      <c:spPr>
        <a:noFill/>
        <a:ln w="25400">
          <a:noFill/>
        </a:ln>
      </c:spPr>
    </c:plotArea>
    <c:plotVisOnly val="1"/>
    <c:dispBlanksAs val="gap"/>
    <c:showDLblsOverMax val="0"/>
  </c:chart>
  <c:txPr>
    <a:bodyPr/>
    <a:lstStyle/>
    <a:p>
      <a:pPr>
        <a:defRPr sz="1000" b="0" i="0" u="none" strike="noStrike" baseline="0">
          <a:solidFill>
            <a:srgbClr val="000000"/>
          </a:solidFill>
          <a:latin typeface="Calibri"/>
          <a:ea typeface="Calibri"/>
          <a:cs typeface="Calibri"/>
        </a:defRPr>
      </a:pPr>
      <a:endParaRPr lang="lv-LV"/>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3"/>
          <c:order val="0"/>
          <c:tx>
            <c:strRef>
              <c:f>'1.1. Kumulatīvi PIVOT'!$B$22</c:f>
              <c:strCache>
                <c:ptCount val="1"/>
                <c:pt idx="0">
                  <c:v>Neatbilstības bez finansiālas ietekmes</c:v>
                </c:pt>
              </c:strCache>
            </c:strRef>
          </c:tx>
          <c:invertIfNegative val="0"/>
          <c:cat>
            <c:numRef>
              <c:f>'1.1. Kumulatīvi PIVOT'!$C$18</c:f>
              <c:numCache>
                <c:formatCode>General</c:formatCode>
                <c:ptCount val="1"/>
              </c:numCache>
            </c:numRef>
          </c:cat>
          <c:val>
            <c:numRef>
              <c:f>'1.1. Kumulatīvi PIVOT'!$C$22</c:f>
              <c:numCache>
                <c:formatCode>General</c:formatCode>
                <c:ptCount val="1"/>
                <c:pt idx="0">
                  <c:v>57.2</c:v>
                </c:pt>
              </c:numCache>
            </c:numRef>
          </c:val>
        </c:ser>
        <c:ser>
          <c:idx val="0"/>
          <c:order val="1"/>
          <c:tx>
            <c:strRef>
              <c:f>'1.1. Kumulatīvi PIVOT'!$B$19</c:f>
              <c:strCache>
                <c:ptCount val="1"/>
                <c:pt idx="0">
                  <c:v>Neatbilstības</c:v>
                </c:pt>
              </c:strCache>
            </c:strRef>
          </c:tx>
          <c:invertIfNegative val="0"/>
          <c:dLbls>
            <c:dLbl>
              <c:idx val="0"/>
              <c:tx>
                <c:rich>
                  <a:bodyPr/>
                  <a:lstStyle/>
                  <a:p>
                    <a:r>
                      <a:rPr lang="en-US"/>
                      <a:t>7,3</a:t>
                    </a:r>
                  </a:p>
                </c:rich>
              </c:tx>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cat>
            <c:numRef>
              <c:f>'1.1. Kumulatīvi PIVOT'!$C$18</c:f>
              <c:numCache>
                <c:formatCode>General</c:formatCode>
                <c:ptCount val="1"/>
              </c:numCache>
            </c:numRef>
          </c:cat>
          <c:val>
            <c:numRef>
              <c:f>'1.1. Kumulatīvi PIVOT'!$C$19</c:f>
              <c:numCache>
                <c:formatCode>General</c:formatCode>
                <c:ptCount val="1"/>
                <c:pt idx="0">
                  <c:v>7.33</c:v>
                </c:pt>
              </c:numCache>
            </c:numRef>
          </c:val>
        </c:ser>
        <c:ser>
          <c:idx val="2"/>
          <c:order val="2"/>
          <c:tx>
            <c:strRef>
              <c:f>'1.1. Kumulatīvi PIVOT'!$B$21</c:f>
              <c:strCache>
                <c:ptCount val="1"/>
                <c:pt idx="0">
                  <c:v>Zaudējumi valsts budžetam</c:v>
                </c:pt>
              </c:strCache>
            </c:strRef>
          </c:tx>
          <c:invertIfNegative val="0"/>
          <c:cat>
            <c:numRef>
              <c:f>'1.1. Kumulatīvi PIVOT'!$C$18</c:f>
              <c:numCache>
                <c:formatCode>General</c:formatCode>
                <c:ptCount val="1"/>
              </c:numCache>
            </c:numRef>
          </c:cat>
          <c:val>
            <c:numRef>
              <c:f>'1.1. Kumulatīvi PIVOT'!$C$21</c:f>
              <c:numCache>
                <c:formatCode>General</c:formatCode>
                <c:ptCount val="1"/>
                <c:pt idx="0">
                  <c:v>4.3</c:v>
                </c:pt>
              </c:numCache>
            </c:numRef>
          </c:val>
        </c:ser>
        <c:ser>
          <c:idx val="1"/>
          <c:order val="3"/>
          <c:tx>
            <c:strRef>
              <c:f>'1.1. Kumulatīvi PIVOT'!$B$20</c:f>
              <c:strCache>
                <c:ptCount val="1"/>
                <c:pt idx="0">
                  <c:v>Neatbilstoši veikti izdevumi</c:v>
                </c:pt>
              </c:strCache>
            </c:strRef>
          </c:tx>
          <c:invertIfNegative val="0"/>
          <c:cat>
            <c:numRef>
              <c:f>'1.1. Kumulatīvi PIVOT'!$C$18</c:f>
              <c:numCache>
                <c:formatCode>General</c:formatCode>
                <c:ptCount val="1"/>
              </c:numCache>
            </c:numRef>
          </c:cat>
          <c:val>
            <c:numRef>
              <c:f>'1.1. Kumulatīvi PIVOT'!$C$20</c:f>
              <c:numCache>
                <c:formatCode>General</c:formatCode>
                <c:ptCount val="1"/>
                <c:pt idx="0">
                  <c:v>2.2000000000000002</c:v>
                </c:pt>
              </c:numCache>
            </c:numRef>
          </c:val>
        </c:ser>
        <c:dLbls>
          <c:dLblPos val="outEnd"/>
          <c:showLegendKey val="0"/>
          <c:showVal val="1"/>
          <c:showCatName val="0"/>
          <c:showSerName val="0"/>
          <c:showPercent val="0"/>
          <c:showBubbleSize val="0"/>
        </c:dLbls>
        <c:gapWidth val="150"/>
        <c:axId val="142458880"/>
        <c:axId val="142460416"/>
      </c:barChart>
      <c:catAx>
        <c:axId val="142458880"/>
        <c:scaling>
          <c:orientation val="minMax"/>
        </c:scaling>
        <c:delete val="0"/>
        <c:axPos val="b"/>
        <c:numFmt formatCode="General" sourceLinked="1"/>
        <c:majorTickMark val="none"/>
        <c:minorTickMark val="none"/>
        <c:tickLblPos val="nextTo"/>
        <c:crossAx val="142460416"/>
        <c:crosses val="autoZero"/>
        <c:auto val="1"/>
        <c:lblAlgn val="ctr"/>
        <c:lblOffset val="100"/>
        <c:noMultiLvlLbl val="0"/>
      </c:catAx>
      <c:valAx>
        <c:axId val="142460416"/>
        <c:scaling>
          <c:orientation val="minMax"/>
        </c:scaling>
        <c:delete val="0"/>
        <c:axPos val="l"/>
        <c:majorGridlines/>
        <c:numFmt formatCode="General" sourceLinked="1"/>
        <c:majorTickMark val="none"/>
        <c:minorTickMark val="none"/>
        <c:tickLblPos val="nextTo"/>
        <c:crossAx val="142458880"/>
        <c:crosses val="autoZero"/>
        <c:crossBetween val="between"/>
      </c:valAx>
    </c:plotArea>
    <c:legend>
      <c:legendPos val="r"/>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3"/>
          <c:order val="0"/>
          <c:tx>
            <c:strRef>
              <c:f>'6.1. Analīze'!$A$37</c:f>
              <c:strCache>
                <c:ptCount val="1"/>
                <c:pt idx="0">
                  <c:v>NVO</c:v>
                </c:pt>
              </c:strCache>
            </c:strRef>
          </c:tx>
          <c:invertIfNegative val="0"/>
          <c:dLbls>
            <c:dLbl>
              <c:idx val="0"/>
              <c:tx>
                <c:rich>
                  <a:bodyPr/>
                  <a:lstStyle/>
                  <a:p>
                    <a:r>
                      <a:rPr lang="en-US"/>
                      <a:t>0,04</a:t>
                    </a:r>
                    <a:r>
                      <a:rPr lang="lv-LV"/>
                      <a:t> (0,003%)</a:t>
                    </a:r>
                    <a:endParaRPr lang="en-US"/>
                  </a:p>
                </c:rich>
              </c:tx>
              <c:showLegendKey val="0"/>
              <c:showVal val="1"/>
              <c:showCatName val="0"/>
              <c:showSerName val="0"/>
              <c:showPercent val="0"/>
              <c:showBubbleSize val="0"/>
            </c:dLbl>
            <c:dLbl>
              <c:idx val="1"/>
              <c:tx>
                <c:rich>
                  <a:bodyPr/>
                  <a:lstStyle/>
                  <a:p>
                    <a:r>
                      <a:rPr lang="en-US"/>
                      <a:t>0,02</a:t>
                    </a:r>
                    <a:r>
                      <a:rPr lang="lv-LV"/>
                      <a:t> (0.001%)</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'6.1. Analīze'!$B$33:$C$33</c:f>
              <c:strCache>
                <c:ptCount val="2"/>
                <c:pt idx="0">
                  <c:v>Kopumā līdz 31.03.2011</c:v>
                </c:pt>
                <c:pt idx="1">
                  <c:v>Kopumā līdz 30.06.2011</c:v>
                </c:pt>
              </c:strCache>
            </c:strRef>
          </c:cat>
          <c:val>
            <c:numRef>
              <c:f>'6.1. Analīze'!$B$37:$C$37</c:f>
              <c:numCache>
                <c:formatCode>0.00</c:formatCode>
                <c:ptCount val="2"/>
                <c:pt idx="0">
                  <c:v>3.5738739999999998E-2</c:v>
                </c:pt>
                <c:pt idx="1">
                  <c:v>1.6402450000000002E-2</c:v>
                </c:pt>
              </c:numCache>
            </c:numRef>
          </c:val>
        </c:ser>
        <c:ser>
          <c:idx val="1"/>
          <c:order val="1"/>
          <c:tx>
            <c:strRef>
              <c:f>'6.1. Analīze'!$A$35</c:f>
              <c:strCache>
                <c:ptCount val="1"/>
                <c:pt idx="0">
                  <c:v>Valsts iestāde</c:v>
                </c:pt>
              </c:strCache>
            </c:strRef>
          </c:tx>
          <c:invertIfNegative val="0"/>
          <c:dLbls>
            <c:dLbl>
              <c:idx val="0"/>
              <c:tx>
                <c:rich>
                  <a:bodyPr/>
                  <a:lstStyle/>
                  <a:p>
                    <a:r>
                      <a:rPr lang="en-US"/>
                      <a:t>0,37</a:t>
                    </a:r>
                    <a:r>
                      <a:rPr lang="lv-LV"/>
                      <a:t> ( 0,03%)</a:t>
                    </a:r>
                    <a:endParaRPr lang="en-US"/>
                  </a:p>
                </c:rich>
              </c:tx>
              <c:showLegendKey val="0"/>
              <c:showVal val="1"/>
              <c:showCatName val="0"/>
              <c:showSerName val="0"/>
              <c:showPercent val="0"/>
              <c:showBubbleSize val="0"/>
            </c:dLbl>
            <c:dLbl>
              <c:idx val="1"/>
              <c:tx>
                <c:rich>
                  <a:bodyPr/>
                  <a:lstStyle/>
                  <a:p>
                    <a:r>
                      <a:rPr lang="en-US"/>
                      <a:t>0,58</a:t>
                    </a:r>
                    <a:r>
                      <a:rPr lang="lv-LV"/>
                      <a:t> (0,05%)</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'6.1. Analīze'!$B$33:$C$33</c:f>
              <c:strCache>
                <c:ptCount val="2"/>
                <c:pt idx="0">
                  <c:v>Kopumā līdz 31.03.2011</c:v>
                </c:pt>
                <c:pt idx="1">
                  <c:v>Kopumā līdz 30.06.2011</c:v>
                </c:pt>
              </c:strCache>
            </c:strRef>
          </c:cat>
          <c:val>
            <c:numRef>
              <c:f>'6.1. Analīze'!$B$35:$C$35</c:f>
              <c:numCache>
                <c:formatCode>0.00</c:formatCode>
                <c:ptCount val="2"/>
                <c:pt idx="0">
                  <c:v>0.37248560999999997</c:v>
                </c:pt>
                <c:pt idx="1">
                  <c:v>0.58434712000000022</c:v>
                </c:pt>
              </c:numCache>
            </c:numRef>
          </c:val>
        </c:ser>
        <c:ser>
          <c:idx val="2"/>
          <c:order val="2"/>
          <c:tx>
            <c:strRef>
              <c:f>'6.1. Analīze'!$A$36</c:f>
              <c:strCache>
                <c:ptCount val="1"/>
                <c:pt idx="0">
                  <c:v>Izglītības iestāde</c:v>
                </c:pt>
              </c:strCache>
            </c:strRef>
          </c:tx>
          <c:invertIfNegative val="0"/>
          <c:dLbls>
            <c:dLbl>
              <c:idx val="0"/>
              <c:tx>
                <c:rich>
                  <a:bodyPr/>
                  <a:lstStyle/>
                  <a:p>
                    <a:r>
                      <a:rPr lang="en-US"/>
                      <a:t>1,10</a:t>
                    </a:r>
                    <a:r>
                      <a:rPr lang="lv-LV"/>
                      <a:t> ( 0,1%)</a:t>
                    </a:r>
                    <a:endParaRPr lang="en-US"/>
                  </a:p>
                </c:rich>
              </c:tx>
              <c:showLegendKey val="0"/>
              <c:showVal val="1"/>
              <c:showCatName val="0"/>
              <c:showSerName val="0"/>
              <c:showPercent val="0"/>
              <c:showBubbleSize val="0"/>
            </c:dLbl>
            <c:dLbl>
              <c:idx val="1"/>
              <c:tx>
                <c:rich>
                  <a:bodyPr/>
                  <a:lstStyle/>
                  <a:p>
                    <a:r>
                      <a:rPr lang="en-US"/>
                      <a:t>1,29</a:t>
                    </a:r>
                    <a:r>
                      <a:rPr lang="lv-LV"/>
                      <a:t> (0,1%)</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'6.1. Analīze'!$B$33:$C$33</c:f>
              <c:strCache>
                <c:ptCount val="2"/>
                <c:pt idx="0">
                  <c:v>Kopumā līdz 31.03.2011</c:v>
                </c:pt>
                <c:pt idx="1">
                  <c:v>Kopumā līdz 30.06.2011</c:v>
                </c:pt>
              </c:strCache>
            </c:strRef>
          </c:cat>
          <c:val>
            <c:numRef>
              <c:f>'6.1. Analīze'!$B$36:$C$36</c:f>
              <c:numCache>
                <c:formatCode>0.00</c:formatCode>
                <c:ptCount val="2"/>
                <c:pt idx="0">
                  <c:v>1.09596034</c:v>
                </c:pt>
                <c:pt idx="1">
                  <c:v>1.29198919</c:v>
                </c:pt>
              </c:numCache>
            </c:numRef>
          </c:val>
        </c:ser>
        <c:ser>
          <c:idx val="0"/>
          <c:order val="3"/>
          <c:tx>
            <c:strRef>
              <c:f>'6.1. Analīze'!$A$34</c:f>
              <c:strCache>
                <c:ptCount val="1"/>
                <c:pt idx="0">
                  <c:v>Komersanti</c:v>
                </c:pt>
              </c:strCache>
            </c:strRef>
          </c:tx>
          <c:invertIfNegative val="0"/>
          <c:dLbls>
            <c:dLbl>
              <c:idx val="0"/>
              <c:tx>
                <c:rich>
                  <a:bodyPr/>
                  <a:lstStyle/>
                  <a:p>
                    <a:r>
                      <a:rPr lang="en-US"/>
                      <a:t>1,25</a:t>
                    </a:r>
                    <a:r>
                      <a:rPr lang="lv-LV"/>
                      <a:t> (0,11%)</a:t>
                    </a:r>
                    <a:endParaRPr lang="en-US"/>
                  </a:p>
                </c:rich>
              </c:tx>
              <c:showLegendKey val="0"/>
              <c:showVal val="1"/>
              <c:showCatName val="0"/>
              <c:showSerName val="0"/>
              <c:showPercent val="0"/>
              <c:showBubbleSize val="0"/>
            </c:dLbl>
            <c:dLbl>
              <c:idx val="1"/>
              <c:tx>
                <c:rich>
                  <a:bodyPr/>
                  <a:lstStyle/>
                  <a:p>
                    <a:r>
                      <a:rPr lang="en-US"/>
                      <a:t>1,98</a:t>
                    </a:r>
                    <a:r>
                      <a:rPr lang="lv-LV"/>
                      <a:t> ( 0,16%)</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'6.1. Analīze'!$B$33:$C$33</c:f>
              <c:strCache>
                <c:ptCount val="2"/>
                <c:pt idx="0">
                  <c:v>Kopumā līdz 31.03.2011</c:v>
                </c:pt>
                <c:pt idx="1">
                  <c:v>Kopumā līdz 30.06.2011</c:v>
                </c:pt>
              </c:strCache>
            </c:strRef>
          </c:cat>
          <c:val>
            <c:numRef>
              <c:f>'6.1. Analīze'!$B$34:$C$34</c:f>
              <c:numCache>
                <c:formatCode>0.00</c:formatCode>
                <c:ptCount val="2"/>
                <c:pt idx="0">
                  <c:v>1.24847431</c:v>
                </c:pt>
                <c:pt idx="1">
                  <c:v>1.9754013699999997</c:v>
                </c:pt>
              </c:numCache>
            </c:numRef>
          </c:val>
        </c:ser>
        <c:ser>
          <c:idx val="4"/>
          <c:order val="4"/>
          <c:tx>
            <c:strRef>
              <c:f>'6.1. Analīze'!$A$38</c:f>
              <c:strCache>
                <c:ptCount val="1"/>
                <c:pt idx="0">
                  <c:v>Pašvaldības</c:v>
                </c:pt>
              </c:strCache>
            </c:strRef>
          </c:tx>
          <c:invertIfNegative val="0"/>
          <c:dLbls>
            <c:dLbl>
              <c:idx val="0"/>
              <c:tx>
                <c:rich>
                  <a:bodyPr/>
                  <a:lstStyle/>
                  <a:p>
                    <a:r>
                      <a:rPr lang="en-US"/>
                      <a:t>3,53</a:t>
                    </a:r>
                    <a:r>
                      <a:rPr lang="lv-LV"/>
                      <a:t> (0,32%)</a:t>
                    </a:r>
                    <a:endParaRPr lang="en-US"/>
                  </a:p>
                </c:rich>
              </c:tx>
              <c:showLegendKey val="0"/>
              <c:showVal val="1"/>
              <c:showCatName val="0"/>
              <c:showSerName val="0"/>
              <c:showPercent val="0"/>
              <c:showBubbleSize val="0"/>
            </c:dLbl>
            <c:dLbl>
              <c:idx val="1"/>
              <c:tx>
                <c:rich>
                  <a:bodyPr/>
                  <a:lstStyle/>
                  <a:p>
                    <a:r>
                      <a:rPr lang="en-US"/>
                      <a:t>3,47</a:t>
                    </a:r>
                    <a:r>
                      <a:rPr lang="lv-LV"/>
                      <a:t> (0,28%)</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'6.1. Analīze'!$B$33:$C$33</c:f>
              <c:strCache>
                <c:ptCount val="2"/>
                <c:pt idx="0">
                  <c:v>Kopumā līdz 31.03.2011</c:v>
                </c:pt>
                <c:pt idx="1">
                  <c:v>Kopumā līdz 30.06.2011</c:v>
                </c:pt>
              </c:strCache>
            </c:strRef>
          </c:cat>
          <c:val>
            <c:numRef>
              <c:f>'6.1. Analīze'!$B$38:$C$38</c:f>
              <c:numCache>
                <c:formatCode>0.00</c:formatCode>
                <c:ptCount val="2"/>
                <c:pt idx="0">
                  <c:v>3.5320359100000003</c:v>
                </c:pt>
                <c:pt idx="1">
                  <c:v>3.4657504800000005</c:v>
                </c:pt>
              </c:numCache>
            </c:numRef>
          </c:val>
        </c:ser>
        <c:ser>
          <c:idx val="5"/>
          <c:order val="5"/>
          <c:tx>
            <c:strRef>
              <c:f>'6.1. Analīze'!$A$39</c:f>
              <c:strCache>
                <c:ptCount val="1"/>
                <c:pt idx="0">
                  <c:v>Kopā</c:v>
                </c:pt>
              </c:strCache>
            </c:strRef>
          </c:tx>
          <c:invertIfNegative val="0"/>
          <c:dLbls>
            <c:dLbl>
              <c:idx val="0"/>
              <c:layout>
                <c:manualLayout>
                  <c:x val="0"/>
                  <c:y val="0.21296296296296297"/>
                </c:manualLayout>
              </c:layout>
              <c:tx>
                <c:rich>
                  <a:bodyPr/>
                  <a:lstStyle/>
                  <a:p>
                    <a:r>
                      <a:rPr lang="en-US"/>
                      <a:t>6,28</a:t>
                    </a:r>
                    <a:r>
                      <a:rPr lang="lv-LV"/>
                      <a:t> (0,57%)</a:t>
                    </a:r>
                    <a:endParaRPr lang="en-US"/>
                  </a:p>
                </c:rich>
              </c:tx>
              <c:showLegendKey val="0"/>
              <c:showVal val="1"/>
              <c:showCatName val="0"/>
              <c:showSerName val="0"/>
              <c:showPercent val="0"/>
              <c:showBubbleSize val="0"/>
            </c:dLbl>
            <c:dLbl>
              <c:idx val="1"/>
              <c:layout>
                <c:manualLayout>
                  <c:x val="0"/>
                  <c:y val="0.11574074074074074"/>
                </c:manualLayout>
              </c:layout>
              <c:tx>
                <c:rich>
                  <a:bodyPr/>
                  <a:lstStyle/>
                  <a:p>
                    <a:r>
                      <a:rPr lang="en-US"/>
                      <a:t>7,33</a:t>
                    </a:r>
                    <a:r>
                      <a:rPr lang="lv-LV"/>
                      <a:t> ( 0,59%)</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'6.1. Analīze'!$B$33:$C$33</c:f>
              <c:strCache>
                <c:ptCount val="2"/>
                <c:pt idx="0">
                  <c:v>Kopumā līdz 31.03.2011</c:v>
                </c:pt>
                <c:pt idx="1">
                  <c:v>Kopumā līdz 30.06.2011</c:v>
                </c:pt>
              </c:strCache>
            </c:strRef>
          </c:cat>
          <c:val>
            <c:numRef>
              <c:f>'6.1. Analīze'!$B$39:$C$39</c:f>
              <c:numCache>
                <c:formatCode>0.00</c:formatCode>
                <c:ptCount val="2"/>
                <c:pt idx="0">
                  <c:v>6.2846949099999998</c:v>
                </c:pt>
                <c:pt idx="1">
                  <c:v>7.3338906100000001</c:v>
                </c:pt>
              </c:numCache>
            </c:numRef>
          </c:val>
        </c:ser>
        <c:dLbls>
          <c:showLegendKey val="0"/>
          <c:showVal val="1"/>
          <c:showCatName val="0"/>
          <c:showSerName val="0"/>
          <c:showPercent val="0"/>
          <c:showBubbleSize val="0"/>
        </c:dLbls>
        <c:gapWidth val="75"/>
        <c:axId val="144370304"/>
        <c:axId val="146907520"/>
      </c:barChart>
      <c:catAx>
        <c:axId val="144370304"/>
        <c:scaling>
          <c:orientation val="minMax"/>
        </c:scaling>
        <c:delete val="0"/>
        <c:axPos val="b"/>
        <c:majorTickMark val="none"/>
        <c:minorTickMark val="none"/>
        <c:tickLblPos val="nextTo"/>
        <c:txPr>
          <a:bodyPr rot="0" vert="horz"/>
          <a:lstStyle/>
          <a:p>
            <a:pPr>
              <a:defRPr/>
            </a:pPr>
            <a:endParaRPr lang="lv-LV"/>
          </a:p>
        </c:txPr>
        <c:crossAx val="146907520"/>
        <c:crosses val="autoZero"/>
        <c:auto val="1"/>
        <c:lblAlgn val="ctr"/>
        <c:lblOffset val="100"/>
        <c:noMultiLvlLbl val="0"/>
      </c:catAx>
      <c:valAx>
        <c:axId val="146907520"/>
        <c:scaling>
          <c:orientation val="minMax"/>
        </c:scaling>
        <c:delete val="0"/>
        <c:axPos val="l"/>
        <c:numFmt formatCode="0.00" sourceLinked="1"/>
        <c:majorTickMark val="none"/>
        <c:minorTickMark val="none"/>
        <c:tickLblPos val="nextTo"/>
        <c:crossAx val="144370304"/>
        <c:crosses val="autoZero"/>
        <c:crossBetween val="between"/>
      </c:valAx>
    </c:plotArea>
    <c:legend>
      <c:legendPos val="b"/>
      <c:overlay val="0"/>
    </c:legend>
    <c:plotVisOnly val="1"/>
    <c:dispBlanksAs val="gap"/>
    <c:showDLblsOverMax val="0"/>
  </c:chart>
  <c:txPr>
    <a:bodyPr/>
    <a:lstStyle/>
    <a:p>
      <a:pPr>
        <a:defRPr sz="1000">
          <a:latin typeface="Times New Roman" pitchFamily="18" charset="0"/>
          <a:cs typeface="Times New Roman" pitchFamily="18" charset="0"/>
        </a:defRPr>
      </a:pPr>
      <a:endParaRPr lang="lv-LV"/>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5"/>
          <c:order val="0"/>
          <c:tx>
            <c:strRef>
              <c:f>'[Chart in Microsoft Word]Sheet13'!$G$31</c:f>
              <c:strCache>
                <c:ptCount val="1"/>
                <c:pt idx="0">
                  <c:v>Kopā</c:v>
                </c:pt>
              </c:strCache>
            </c:strRef>
          </c:tx>
          <c:invertIfNegative val="0"/>
          <c:dLbls>
            <c:dLbl>
              <c:idx val="0"/>
              <c:tx>
                <c:rich>
                  <a:bodyPr/>
                  <a:lstStyle/>
                  <a:p>
                    <a:r>
                      <a:rPr lang="en-US"/>
                      <a:t>1</a:t>
                    </a:r>
                    <a:r>
                      <a:rPr lang="lv-LV"/>
                      <a:t>,2</a:t>
                    </a:r>
                    <a:r>
                      <a:rPr lang="lv-LV" baseline="0"/>
                      <a:t> (0,1%)</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val>
            <c:numRef>
              <c:f>'[Chart in Microsoft Word]Sheet13'!$G$32</c:f>
              <c:numCache>
                <c:formatCode>General</c:formatCode>
                <c:ptCount val="1"/>
                <c:pt idx="0">
                  <c:v>1251484.6300000001</c:v>
                </c:pt>
              </c:numCache>
            </c:numRef>
          </c:val>
        </c:ser>
        <c:ser>
          <c:idx val="4"/>
          <c:order val="1"/>
          <c:tx>
            <c:strRef>
              <c:f>'[Chart in Microsoft Word]Sheet13'!$F$31</c:f>
              <c:strCache>
                <c:ptCount val="1"/>
                <c:pt idx="0">
                  <c:v>Pašvaldības</c:v>
                </c:pt>
              </c:strCache>
            </c:strRef>
          </c:tx>
          <c:invertIfNegative val="0"/>
          <c:dLbls>
            <c:dLbl>
              <c:idx val="0"/>
              <c:layout>
                <c:manualLayout>
                  <c:x val="1.1111111111111112E-2"/>
                  <c:y val="-2.7720180810731992E-2"/>
                </c:manualLayout>
              </c:layout>
              <c:tx>
                <c:rich>
                  <a:bodyPr/>
                  <a:lstStyle/>
                  <a:p>
                    <a:r>
                      <a:rPr lang="lv-LV"/>
                      <a:t>0,5</a:t>
                    </a:r>
                    <a:r>
                      <a:rPr lang="lv-LV" baseline="0"/>
                      <a:t> (39%)</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val>
            <c:numRef>
              <c:f>'[Chart in Microsoft Word]Sheet13'!$F$32</c:f>
              <c:numCache>
                <c:formatCode>General</c:formatCode>
                <c:ptCount val="1"/>
                <c:pt idx="0">
                  <c:v>488208.83</c:v>
                </c:pt>
              </c:numCache>
            </c:numRef>
          </c:val>
        </c:ser>
        <c:ser>
          <c:idx val="3"/>
          <c:order val="2"/>
          <c:tx>
            <c:strRef>
              <c:f>'[Chart in Microsoft Word]Sheet13'!$E$31</c:f>
              <c:strCache>
                <c:ptCount val="1"/>
                <c:pt idx="0">
                  <c:v>Komersanti</c:v>
                </c:pt>
              </c:strCache>
            </c:strRef>
          </c:tx>
          <c:invertIfNegative val="0"/>
          <c:dLbls>
            <c:dLbl>
              <c:idx val="0"/>
              <c:layout>
                <c:manualLayout>
                  <c:x val="3.6111111111111108E-2"/>
                  <c:y val="9.1442395790769723E-3"/>
                </c:manualLayout>
              </c:layout>
              <c:tx>
                <c:rich>
                  <a:bodyPr/>
                  <a:lstStyle/>
                  <a:p>
                    <a:r>
                      <a:rPr lang="lv-LV"/>
                      <a:t>0,5 (39%)</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val>
            <c:numRef>
              <c:f>'[Chart in Microsoft Word]Sheet13'!$E$32</c:f>
              <c:numCache>
                <c:formatCode>General</c:formatCode>
                <c:ptCount val="1"/>
                <c:pt idx="0">
                  <c:v>488398.19000000006</c:v>
                </c:pt>
              </c:numCache>
            </c:numRef>
          </c:val>
        </c:ser>
        <c:ser>
          <c:idx val="2"/>
          <c:order val="3"/>
          <c:tx>
            <c:strRef>
              <c:f>'[Chart in Microsoft Word]Sheet13'!$D$31</c:f>
              <c:strCache>
                <c:ptCount val="1"/>
                <c:pt idx="0">
                  <c:v>Izglītības iestādes</c:v>
                </c:pt>
              </c:strCache>
            </c:strRef>
          </c:tx>
          <c:invertIfNegative val="0"/>
          <c:dLbls>
            <c:dLbl>
              <c:idx val="0"/>
              <c:layout>
                <c:manualLayout>
                  <c:x val="2.7777777777777776E-2"/>
                  <c:y val="-4.572119789538402E-3"/>
                </c:manualLayout>
              </c:layout>
              <c:tx>
                <c:rich>
                  <a:bodyPr/>
                  <a:lstStyle/>
                  <a:p>
                    <a:r>
                      <a:rPr lang="lv-LV"/>
                      <a:t>0,2</a:t>
                    </a:r>
                    <a:r>
                      <a:rPr lang="lv-LV" baseline="0"/>
                      <a:t> (14%)</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val>
            <c:numRef>
              <c:f>'[Chart in Microsoft Word]Sheet13'!$D$32</c:f>
              <c:numCache>
                <c:formatCode>General</c:formatCode>
                <c:ptCount val="1"/>
                <c:pt idx="0">
                  <c:v>176556.34</c:v>
                </c:pt>
              </c:numCache>
            </c:numRef>
          </c:val>
        </c:ser>
        <c:ser>
          <c:idx val="1"/>
          <c:order val="4"/>
          <c:tx>
            <c:strRef>
              <c:f>'[Chart in Microsoft Word]Sheet13'!$C$31</c:f>
              <c:strCache>
                <c:ptCount val="1"/>
                <c:pt idx="0">
                  <c:v>Valsts iestādes</c:v>
                </c:pt>
              </c:strCache>
            </c:strRef>
          </c:tx>
          <c:invertIfNegative val="0"/>
          <c:dLbls>
            <c:dLbl>
              <c:idx val="0"/>
              <c:layout>
                <c:manualLayout>
                  <c:x val="8.3333333333333332E-3"/>
                  <c:y val="9.1442395790770556E-3"/>
                </c:manualLayout>
              </c:layout>
              <c:tx>
                <c:rich>
                  <a:bodyPr/>
                  <a:lstStyle/>
                  <a:p>
                    <a:r>
                      <a:rPr lang="lv-LV"/>
                      <a:t>0,1 (8%)</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val>
            <c:numRef>
              <c:f>'[Chart in Microsoft Word]Sheet13'!$C$32</c:f>
              <c:numCache>
                <c:formatCode>General</c:formatCode>
                <c:ptCount val="1"/>
                <c:pt idx="0">
                  <c:v>97767.49000000002</c:v>
                </c:pt>
              </c:numCache>
            </c:numRef>
          </c:val>
        </c:ser>
        <c:ser>
          <c:idx val="0"/>
          <c:order val="5"/>
          <c:tx>
            <c:strRef>
              <c:f>'[Chart in Microsoft Word]Sheet13'!$B$31</c:f>
              <c:strCache>
                <c:ptCount val="1"/>
                <c:pt idx="0">
                  <c:v>NVO</c:v>
                </c:pt>
              </c:strCache>
            </c:strRef>
          </c:tx>
          <c:invertIfNegative val="0"/>
          <c:dLbls>
            <c:dLbl>
              <c:idx val="0"/>
              <c:layout>
                <c:manualLayout>
                  <c:x val="5.2777777777777778E-2"/>
                  <c:y val="0"/>
                </c:manualLayout>
              </c:layout>
              <c:tx>
                <c:rich>
                  <a:bodyPr/>
                  <a:lstStyle/>
                  <a:p>
                    <a:r>
                      <a:rPr lang="lv-LV"/>
                      <a:t>0,0006(0,04%)</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val>
            <c:numRef>
              <c:f>'[Chart in Microsoft Word]Sheet13'!$B$32</c:f>
              <c:numCache>
                <c:formatCode>General</c:formatCode>
                <c:ptCount val="1"/>
                <c:pt idx="0">
                  <c:v>553.78</c:v>
                </c:pt>
              </c:numCache>
            </c:numRef>
          </c:val>
        </c:ser>
        <c:dLbls>
          <c:showLegendKey val="0"/>
          <c:showVal val="0"/>
          <c:showCatName val="0"/>
          <c:showSerName val="0"/>
          <c:showPercent val="0"/>
          <c:showBubbleSize val="0"/>
        </c:dLbls>
        <c:gapWidth val="150"/>
        <c:axId val="147003648"/>
        <c:axId val="147021824"/>
      </c:barChart>
      <c:catAx>
        <c:axId val="147003648"/>
        <c:scaling>
          <c:orientation val="minMax"/>
        </c:scaling>
        <c:delete val="1"/>
        <c:axPos val="b"/>
        <c:majorTickMark val="out"/>
        <c:minorTickMark val="none"/>
        <c:tickLblPos val="nextTo"/>
        <c:crossAx val="147021824"/>
        <c:crosses val="autoZero"/>
        <c:auto val="1"/>
        <c:lblAlgn val="ctr"/>
        <c:lblOffset val="100"/>
        <c:noMultiLvlLbl val="0"/>
      </c:catAx>
      <c:valAx>
        <c:axId val="147021824"/>
        <c:scaling>
          <c:orientation val="minMax"/>
        </c:scaling>
        <c:delete val="0"/>
        <c:axPos val="l"/>
        <c:majorGridlines/>
        <c:numFmt formatCode="General" sourceLinked="1"/>
        <c:majorTickMark val="out"/>
        <c:minorTickMark val="none"/>
        <c:tickLblPos val="nextTo"/>
        <c:crossAx val="147003648"/>
        <c:crosses val="autoZero"/>
        <c:crossBetween val="between"/>
        <c:dispUnits>
          <c:builtInUnit val="millions"/>
        </c:dispUnits>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lv-LV"/>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4"/>
          <c:order val="0"/>
          <c:tx>
            <c:strRef>
              <c:f>'[Chart in Microsoft Word]Sheet13'!$A$15</c:f>
              <c:strCache>
                <c:ptCount val="1"/>
                <c:pt idx="0">
                  <c:v>Kopā</c:v>
                </c:pt>
              </c:strCache>
            </c:strRef>
          </c:tx>
          <c:invertIfNegative val="0"/>
          <c:dLbls>
            <c:dLbl>
              <c:idx val="0"/>
              <c:layout>
                <c:manualLayout>
                  <c:x val="2.5000000000000001E-2"/>
                  <c:y val="-1.060944534001666E-17"/>
                </c:manualLayout>
              </c:layout>
              <c:tx>
                <c:rich>
                  <a:bodyPr/>
                  <a:lstStyle/>
                  <a:p>
                    <a:r>
                      <a:rPr lang="en-US"/>
                      <a:t>1</a:t>
                    </a:r>
                    <a:r>
                      <a:rPr lang="lv-LV"/>
                      <a:t>,</a:t>
                    </a:r>
                    <a:r>
                      <a:rPr lang="en-US"/>
                      <a:t>2</a:t>
                    </a:r>
                    <a:r>
                      <a:rPr lang="lv-LV"/>
                      <a:t> (100%)</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'[Chart in Microsoft Word]Sheet13'!$B$10</c:f>
              <c:strCache>
                <c:ptCount val="1"/>
                <c:pt idx="0">
                  <c:v>Neatbilstību veids</c:v>
                </c:pt>
              </c:strCache>
            </c:strRef>
          </c:cat>
          <c:val>
            <c:numRef>
              <c:f>'[Chart in Microsoft Word]Sheet13'!$B$15</c:f>
              <c:numCache>
                <c:formatCode>General</c:formatCode>
                <c:ptCount val="1"/>
                <c:pt idx="0">
                  <c:v>1200000</c:v>
                </c:pt>
              </c:numCache>
            </c:numRef>
          </c:val>
        </c:ser>
        <c:ser>
          <c:idx val="3"/>
          <c:order val="1"/>
          <c:tx>
            <c:strRef>
              <c:f>'[Chart in Microsoft Word]Sheet13'!$A$12</c:f>
              <c:strCache>
                <c:ptCount val="1"/>
                <c:pt idx="0">
                  <c:v>Iepirkuma vai konkurences normu pārkāpums</c:v>
                </c:pt>
              </c:strCache>
            </c:strRef>
          </c:tx>
          <c:invertIfNegative val="0"/>
          <c:dLbls>
            <c:dLbl>
              <c:idx val="0"/>
              <c:layout>
                <c:manualLayout>
                  <c:x val="4.1666666666666664E-2"/>
                  <c:y val="0"/>
                </c:manualLayout>
              </c:layout>
              <c:tx>
                <c:rich>
                  <a:bodyPr/>
                  <a:lstStyle/>
                  <a:p>
                    <a:r>
                      <a:rPr lang="lv-LV"/>
                      <a:t>0,1</a:t>
                    </a:r>
                    <a:r>
                      <a:rPr lang="lv-LV" baseline="0"/>
                      <a:t> (9,67%)</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'[Chart in Microsoft Word]Sheet13'!$B$10</c:f>
              <c:strCache>
                <c:ptCount val="1"/>
                <c:pt idx="0">
                  <c:v>Neatbilstību veids</c:v>
                </c:pt>
              </c:strCache>
            </c:strRef>
          </c:cat>
          <c:val>
            <c:numRef>
              <c:f>'[Chart in Microsoft Word]Sheet13'!$B$12</c:f>
              <c:numCache>
                <c:formatCode>General</c:formatCode>
                <c:ptCount val="1"/>
                <c:pt idx="0">
                  <c:v>747575.45999999973</c:v>
                </c:pt>
              </c:numCache>
            </c:numRef>
          </c:val>
        </c:ser>
        <c:ser>
          <c:idx val="2"/>
          <c:order val="2"/>
          <c:tx>
            <c:strRef>
              <c:f>'[Chart in Microsoft Word]Sheet13'!$A$11</c:f>
              <c:strCache>
                <c:ptCount val="1"/>
                <c:pt idx="0">
                  <c:v>Cita neatbilstība</c:v>
                </c:pt>
              </c:strCache>
            </c:strRef>
          </c:tx>
          <c:invertIfNegative val="0"/>
          <c:dLbls>
            <c:dLbl>
              <c:idx val="0"/>
              <c:layout>
                <c:manualLayout>
                  <c:x val="1.6666666666666666E-2"/>
                  <c:y val="0"/>
                </c:manualLayout>
              </c:layout>
              <c:tx>
                <c:rich>
                  <a:bodyPr/>
                  <a:lstStyle/>
                  <a:p>
                    <a:r>
                      <a:rPr lang="en-US"/>
                      <a:t>44,</a:t>
                    </a:r>
                    <a:r>
                      <a:rPr lang="lv-LV"/>
                      <a:t>7 lati (0,004%)</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'[Chart in Microsoft Word]Sheet13'!$B$10</c:f>
              <c:strCache>
                <c:ptCount val="1"/>
                <c:pt idx="0">
                  <c:v>Neatbilstību veids</c:v>
                </c:pt>
              </c:strCache>
            </c:strRef>
          </c:cat>
          <c:val>
            <c:numRef>
              <c:f>'[Chart in Microsoft Word]Sheet13'!$B$11</c:f>
              <c:numCache>
                <c:formatCode>General</c:formatCode>
                <c:ptCount val="1"/>
                <c:pt idx="0">
                  <c:v>382809.50000000006</c:v>
                </c:pt>
              </c:numCache>
            </c:numRef>
          </c:val>
        </c:ser>
        <c:ser>
          <c:idx val="1"/>
          <c:order val="3"/>
          <c:tx>
            <c:strRef>
              <c:f>'[Chart in Microsoft Word]Sheet13'!$A$14</c:f>
              <c:strCache>
                <c:ptCount val="1"/>
                <c:pt idx="0">
                  <c:v>Aizdomas par krāpšanu vai organizēto noziedzību</c:v>
                </c:pt>
              </c:strCache>
            </c:strRef>
          </c:tx>
          <c:invertIfNegative val="0"/>
          <c:dLbls>
            <c:dLbl>
              <c:idx val="0"/>
              <c:layout>
                <c:manualLayout>
                  <c:x val="4.1666666666666616E-2"/>
                  <c:y val="4.6296296296296294E-3"/>
                </c:manualLayout>
              </c:layout>
              <c:tx>
                <c:rich>
                  <a:bodyPr/>
                  <a:lstStyle/>
                  <a:p>
                    <a:r>
                      <a:rPr lang="lv-LV"/>
                      <a:t>0,7 (59,7%)</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'[Chart in Microsoft Word]Sheet13'!$B$10</c:f>
              <c:strCache>
                <c:ptCount val="1"/>
                <c:pt idx="0">
                  <c:v>Neatbilstību veids</c:v>
                </c:pt>
              </c:strCache>
            </c:strRef>
          </c:cat>
          <c:val>
            <c:numRef>
              <c:f>'[Chart in Microsoft Word]Sheet13'!$B$14</c:f>
              <c:numCache>
                <c:formatCode>General</c:formatCode>
                <c:ptCount val="1"/>
                <c:pt idx="0">
                  <c:v>121055</c:v>
                </c:pt>
              </c:numCache>
            </c:numRef>
          </c:val>
        </c:ser>
        <c:ser>
          <c:idx val="0"/>
          <c:order val="4"/>
          <c:tx>
            <c:strRef>
              <c:f>'[Chart in Microsoft Word]Sheet13'!$A$13</c:f>
              <c:strCache>
                <c:ptCount val="1"/>
                <c:pt idx="0">
                  <c:v>Iespējams interešu konflikts</c:v>
                </c:pt>
              </c:strCache>
            </c:strRef>
          </c:tx>
          <c:invertIfNegative val="0"/>
          <c:dLbls>
            <c:dLbl>
              <c:idx val="0"/>
              <c:layout>
                <c:manualLayout>
                  <c:x val="4.1666666666666664E-2"/>
                  <c:y val="0"/>
                </c:manualLayout>
              </c:layout>
              <c:tx>
                <c:rich>
                  <a:bodyPr/>
                  <a:lstStyle/>
                  <a:p>
                    <a:r>
                      <a:rPr lang="lv-LV"/>
                      <a:t>0,4 (30,6%)</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'[Chart in Microsoft Word]Sheet13'!$B$10</c:f>
              <c:strCache>
                <c:ptCount val="1"/>
                <c:pt idx="0">
                  <c:v>Neatbilstību veids</c:v>
                </c:pt>
              </c:strCache>
            </c:strRef>
          </c:cat>
          <c:val>
            <c:numRef>
              <c:f>'[Chart in Microsoft Word]Sheet13'!$B$13</c:f>
              <c:numCache>
                <c:formatCode>General</c:formatCode>
                <c:ptCount val="1"/>
                <c:pt idx="0">
                  <c:v>44.67</c:v>
                </c:pt>
              </c:numCache>
            </c:numRef>
          </c:val>
        </c:ser>
        <c:dLbls>
          <c:showLegendKey val="0"/>
          <c:showVal val="0"/>
          <c:showCatName val="0"/>
          <c:showSerName val="0"/>
          <c:showPercent val="0"/>
          <c:showBubbleSize val="0"/>
        </c:dLbls>
        <c:gapWidth val="150"/>
        <c:axId val="154076288"/>
        <c:axId val="154077824"/>
      </c:barChart>
      <c:catAx>
        <c:axId val="154076288"/>
        <c:scaling>
          <c:orientation val="minMax"/>
        </c:scaling>
        <c:delete val="1"/>
        <c:axPos val="b"/>
        <c:majorTickMark val="out"/>
        <c:minorTickMark val="none"/>
        <c:tickLblPos val="nextTo"/>
        <c:crossAx val="154077824"/>
        <c:crosses val="autoZero"/>
        <c:auto val="1"/>
        <c:lblAlgn val="ctr"/>
        <c:lblOffset val="100"/>
        <c:noMultiLvlLbl val="0"/>
      </c:catAx>
      <c:valAx>
        <c:axId val="154077824"/>
        <c:scaling>
          <c:orientation val="minMax"/>
        </c:scaling>
        <c:delete val="0"/>
        <c:axPos val="l"/>
        <c:majorGridlines/>
        <c:numFmt formatCode="General" sourceLinked="1"/>
        <c:majorTickMark val="out"/>
        <c:minorTickMark val="none"/>
        <c:tickLblPos val="nextTo"/>
        <c:crossAx val="154076288"/>
        <c:crosses val="autoZero"/>
        <c:crossBetween val="between"/>
        <c:dispUnits>
          <c:builtInUnit val="millions"/>
        </c:dispUnits>
      </c:valAx>
    </c:plotArea>
    <c:legend>
      <c:legendPos val="r"/>
      <c:layout>
        <c:manualLayout>
          <c:xMode val="edge"/>
          <c:yMode val="edge"/>
          <c:x val="0.6493884514435696"/>
          <c:y val="4.8622776319626713E-2"/>
          <c:w val="0.33394488188976379"/>
          <c:h val="0.84256926217556138"/>
        </c:manualLayout>
      </c:layout>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3"/>
          <c:order val="0"/>
          <c:tx>
            <c:strRef>
              <c:f>'1.1. Kumulatīvi PIVOT'!$A$16</c:f>
              <c:strCache>
                <c:ptCount val="1"/>
                <c:pt idx="0">
                  <c:v>Kopā</c:v>
                </c:pt>
              </c:strCache>
            </c:strRef>
          </c:tx>
          <c:invertIfNegative val="0"/>
          <c:dLbls>
            <c:dLbl>
              <c:idx val="0"/>
              <c:layout>
                <c:manualLayout>
                  <c:x val="3.550365569840664E-2"/>
                  <c:y val="1.5785607420644183E-2"/>
                </c:manualLayout>
              </c:layout>
              <c:tx>
                <c:rich>
                  <a:bodyPr/>
                  <a:lstStyle/>
                  <a:p>
                    <a:r>
                      <a:rPr lang="en-US"/>
                      <a:t>7</a:t>
                    </a:r>
                    <a:r>
                      <a:rPr lang="lv-LV"/>
                      <a:t>,</a:t>
                    </a:r>
                    <a:r>
                      <a:rPr lang="en-US"/>
                      <a:t>3</a:t>
                    </a:r>
                    <a:r>
                      <a:rPr lang="lv-LV"/>
                      <a:t> (100%)</a:t>
                    </a:r>
                    <a:endParaRPr lang="en-US"/>
                  </a:p>
                </c:rich>
              </c:tx>
              <c:showLegendKey val="0"/>
              <c:showVal val="1"/>
              <c:showCatName val="0"/>
              <c:showSerName val="0"/>
              <c:showPercent val="0"/>
              <c:showBubbleSize val="0"/>
            </c:dLbl>
            <c:dLbl>
              <c:idx val="1"/>
              <c:layout>
                <c:manualLayout>
                  <c:x val="3.3333333333333333E-2"/>
                  <c:y val="-1.3888888888888888E-2"/>
                </c:manualLayout>
              </c:layout>
              <c:tx>
                <c:rich>
                  <a:bodyPr/>
                  <a:lstStyle/>
                  <a:p>
                    <a:r>
                      <a:rPr lang="en-US"/>
                      <a:t>1</a:t>
                    </a:r>
                    <a:r>
                      <a:rPr lang="lv-LV"/>
                      <a:t>,</a:t>
                    </a:r>
                    <a:r>
                      <a:rPr lang="en-US"/>
                      <a:t>2</a:t>
                    </a:r>
                    <a:r>
                      <a:rPr lang="lv-LV"/>
                      <a:t> (100%)</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'1.1. Kumulatīvi PIVOT'!$B$12:$C$12</c:f>
              <c:strCache>
                <c:ptCount val="2"/>
                <c:pt idx="0">
                  <c:v>Uz 30.06.2011</c:v>
                </c:pt>
                <c:pt idx="1">
                  <c:v>2. ceturksnis</c:v>
                </c:pt>
              </c:strCache>
            </c:strRef>
          </c:cat>
          <c:val>
            <c:numRef>
              <c:f>'1.1. Kumulatīvi PIVOT'!$B$16:$C$16</c:f>
              <c:numCache>
                <c:formatCode>General</c:formatCode>
                <c:ptCount val="2"/>
                <c:pt idx="0">
                  <c:v>7340394.1099999985</c:v>
                </c:pt>
                <c:pt idx="1">
                  <c:v>1229191.7900000003</c:v>
                </c:pt>
              </c:numCache>
            </c:numRef>
          </c:val>
        </c:ser>
        <c:ser>
          <c:idx val="2"/>
          <c:order val="1"/>
          <c:tx>
            <c:strRef>
              <c:f>'1.1. Kumulatīvi PIVOT'!$A$15</c:f>
              <c:strCache>
                <c:ptCount val="1"/>
                <c:pt idx="0">
                  <c:v>Infrastruktūra un pakalpojumi</c:v>
                </c:pt>
              </c:strCache>
            </c:strRef>
          </c:tx>
          <c:invertIfNegative val="0"/>
          <c:dLbls>
            <c:dLbl>
              <c:idx val="0"/>
              <c:layout>
                <c:manualLayout>
                  <c:x val="2.7895729477319494E-2"/>
                  <c:y val="-5.2618691402147016E-3"/>
                </c:manualLayout>
              </c:layout>
              <c:tx>
                <c:rich>
                  <a:bodyPr/>
                  <a:lstStyle/>
                  <a:p>
                    <a:r>
                      <a:rPr lang="en-US"/>
                      <a:t>5</a:t>
                    </a:r>
                    <a:r>
                      <a:rPr lang="lv-LV"/>
                      <a:t>,</a:t>
                    </a:r>
                    <a:r>
                      <a:rPr lang="en-US"/>
                      <a:t>7</a:t>
                    </a:r>
                    <a:r>
                      <a:rPr lang="lv-LV"/>
                      <a:t> (78%)</a:t>
                    </a:r>
                    <a:endParaRPr lang="en-US"/>
                  </a:p>
                </c:rich>
              </c:tx>
              <c:showLegendKey val="0"/>
              <c:showVal val="1"/>
              <c:showCatName val="0"/>
              <c:showSerName val="0"/>
              <c:showPercent val="0"/>
              <c:showBubbleSize val="0"/>
            </c:dLbl>
            <c:dLbl>
              <c:idx val="1"/>
              <c:layout>
                <c:manualLayout>
                  <c:x val="3.2248222071572415E-2"/>
                  <c:y val="2.5044425505398388E-2"/>
                </c:manualLayout>
              </c:layout>
              <c:tx>
                <c:rich>
                  <a:bodyPr/>
                  <a:lstStyle/>
                  <a:p>
                    <a:r>
                      <a:rPr lang="en-US"/>
                      <a:t>1</a:t>
                    </a:r>
                    <a:r>
                      <a:rPr lang="lv-LV"/>
                      <a:t>,</a:t>
                    </a:r>
                    <a:r>
                      <a:rPr lang="en-US"/>
                      <a:t>0</a:t>
                    </a:r>
                    <a:r>
                      <a:rPr lang="lv-LV"/>
                      <a:t> (83,3%)</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'1.1. Kumulatīvi PIVOT'!$B$12:$C$12</c:f>
              <c:strCache>
                <c:ptCount val="2"/>
                <c:pt idx="0">
                  <c:v>Uz 30.06.2011</c:v>
                </c:pt>
                <c:pt idx="1">
                  <c:v>2. ceturksnis</c:v>
                </c:pt>
              </c:strCache>
            </c:strRef>
          </c:cat>
          <c:val>
            <c:numRef>
              <c:f>'1.1. Kumulatīvi PIVOT'!$B$15:$C$15</c:f>
              <c:numCache>
                <c:formatCode>General</c:formatCode>
                <c:ptCount val="2"/>
                <c:pt idx="0">
                  <c:v>5707962.1899999976</c:v>
                </c:pt>
                <c:pt idx="1">
                  <c:v>1006144.77</c:v>
                </c:pt>
              </c:numCache>
            </c:numRef>
          </c:val>
        </c:ser>
        <c:ser>
          <c:idx val="1"/>
          <c:order val="2"/>
          <c:tx>
            <c:strRef>
              <c:f>'1.1. Kumulatīvi PIVOT'!$A$14</c:f>
              <c:strCache>
                <c:ptCount val="1"/>
                <c:pt idx="0">
                  <c:v>Uzņēmējdarbība un inovācijas</c:v>
                </c:pt>
              </c:strCache>
            </c:strRef>
          </c:tx>
          <c:invertIfNegative val="0"/>
          <c:dLbls>
            <c:dLbl>
              <c:idx val="0"/>
              <c:layout>
                <c:manualLayout>
                  <c:x val="3.6111111111111108E-2"/>
                  <c:y val="-8.4875562720133283E-17"/>
                </c:manualLayout>
              </c:layout>
              <c:tx>
                <c:rich>
                  <a:bodyPr/>
                  <a:lstStyle/>
                  <a:p>
                    <a:r>
                      <a:rPr lang="en-US"/>
                      <a:t>1</a:t>
                    </a:r>
                    <a:r>
                      <a:rPr lang="lv-LV"/>
                      <a:t>,</a:t>
                    </a:r>
                    <a:r>
                      <a:rPr lang="en-US"/>
                      <a:t>1</a:t>
                    </a:r>
                    <a:r>
                      <a:rPr lang="lv-LV"/>
                      <a:t> (15%)</a:t>
                    </a:r>
                    <a:endParaRPr lang="en-US"/>
                  </a:p>
                </c:rich>
              </c:tx>
              <c:showLegendKey val="0"/>
              <c:showVal val="1"/>
              <c:showCatName val="0"/>
              <c:showSerName val="0"/>
              <c:showPercent val="0"/>
              <c:showBubbleSize val="0"/>
            </c:dLbl>
            <c:dLbl>
              <c:idx val="1"/>
              <c:layout>
                <c:manualLayout>
                  <c:x val="4.7464074513746686E-2"/>
                  <c:y val="-3.3651103273089765E-3"/>
                </c:manualLayout>
              </c:layout>
              <c:tx>
                <c:rich>
                  <a:bodyPr/>
                  <a:lstStyle/>
                  <a:p>
                    <a:r>
                      <a:rPr lang="lv-LV"/>
                      <a:t>0,</a:t>
                    </a:r>
                    <a:r>
                      <a:rPr lang="en-US"/>
                      <a:t>14</a:t>
                    </a:r>
                    <a:r>
                      <a:rPr lang="lv-LV"/>
                      <a:t> (11,6%)</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'1.1. Kumulatīvi PIVOT'!$B$12:$C$12</c:f>
              <c:strCache>
                <c:ptCount val="2"/>
                <c:pt idx="0">
                  <c:v>Uz 30.06.2011</c:v>
                </c:pt>
                <c:pt idx="1">
                  <c:v>2. ceturksnis</c:v>
                </c:pt>
              </c:strCache>
            </c:strRef>
          </c:cat>
          <c:val>
            <c:numRef>
              <c:f>'1.1. Kumulatīvi PIVOT'!$B$14:$C$14</c:f>
              <c:numCache>
                <c:formatCode>General</c:formatCode>
                <c:ptCount val="2"/>
                <c:pt idx="0">
                  <c:v>1190205.5200000003</c:v>
                </c:pt>
                <c:pt idx="1">
                  <c:v>148635.54999999996</c:v>
                </c:pt>
              </c:numCache>
            </c:numRef>
          </c:val>
        </c:ser>
        <c:ser>
          <c:idx val="0"/>
          <c:order val="3"/>
          <c:tx>
            <c:strRef>
              <c:f>'1.1. Kumulatīvi PIVOT'!$A$13</c:f>
              <c:strCache>
                <c:ptCount val="1"/>
                <c:pt idx="0">
                  <c:v>Cilvēkresursi un nodarbinātība</c:v>
                </c:pt>
              </c:strCache>
            </c:strRef>
          </c:tx>
          <c:invertIfNegative val="0"/>
          <c:dLbls>
            <c:dLbl>
              <c:idx val="0"/>
              <c:layout>
                <c:manualLayout>
                  <c:x val="2.5000000000000001E-2"/>
                  <c:y val="0"/>
                </c:manualLayout>
              </c:layout>
              <c:tx>
                <c:rich>
                  <a:bodyPr/>
                  <a:lstStyle/>
                  <a:p>
                    <a:r>
                      <a:rPr lang="lv-LV"/>
                      <a:t>0,</a:t>
                    </a:r>
                    <a:r>
                      <a:rPr lang="en-US"/>
                      <a:t>4</a:t>
                    </a:r>
                    <a:r>
                      <a:rPr lang="lv-LV"/>
                      <a:t> (6 %)</a:t>
                    </a:r>
                    <a:endParaRPr lang="en-US"/>
                  </a:p>
                </c:rich>
              </c:tx>
              <c:showLegendKey val="0"/>
              <c:showVal val="1"/>
              <c:showCatName val="0"/>
              <c:showSerName val="0"/>
              <c:showPercent val="0"/>
              <c:showBubbleSize val="0"/>
            </c:dLbl>
            <c:dLbl>
              <c:idx val="1"/>
              <c:layout>
                <c:manualLayout>
                  <c:x val="4.1666674986795958E-2"/>
                  <c:y val="3.8933274113136816E-2"/>
                </c:manualLayout>
              </c:layout>
              <c:tx>
                <c:rich>
                  <a:bodyPr/>
                  <a:lstStyle/>
                  <a:p>
                    <a:r>
                      <a:rPr lang="lv-LV"/>
                      <a:t>0,0</a:t>
                    </a:r>
                    <a:r>
                      <a:rPr lang="en-US"/>
                      <a:t>5</a:t>
                    </a:r>
                    <a:r>
                      <a:rPr lang="lv-LV"/>
                      <a:t> ( 5%)</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'1.1. Kumulatīvi PIVOT'!$B$12:$C$12</c:f>
              <c:strCache>
                <c:ptCount val="2"/>
                <c:pt idx="0">
                  <c:v>Uz 30.06.2011</c:v>
                </c:pt>
                <c:pt idx="1">
                  <c:v>2. ceturksnis</c:v>
                </c:pt>
              </c:strCache>
            </c:strRef>
          </c:cat>
          <c:val>
            <c:numRef>
              <c:f>'1.1. Kumulatīvi PIVOT'!$B$13:$C$13</c:f>
              <c:numCache>
                <c:formatCode>General</c:formatCode>
                <c:ptCount val="2"/>
                <c:pt idx="0">
                  <c:v>442226.40000000049</c:v>
                </c:pt>
                <c:pt idx="1">
                  <c:v>52974.840000000004</c:v>
                </c:pt>
              </c:numCache>
            </c:numRef>
          </c:val>
        </c:ser>
        <c:dLbls>
          <c:showLegendKey val="0"/>
          <c:showVal val="0"/>
          <c:showCatName val="0"/>
          <c:showSerName val="0"/>
          <c:showPercent val="0"/>
          <c:showBubbleSize val="0"/>
        </c:dLbls>
        <c:gapWidth val="150"/>
        <c:axId val="153881600"/>
        <c:axId val="153903872"/>
      </c:barChart>
      <c:catAx>
        <c:axId val="153881600"/>
        <c:scaling>
          <c:orientation val="minMax"/>
        </c:scaling>
        <c:delete val="0"/>
        <c:axPos val="b"/>
        <c:majorTickMark val="out"/>
        <c:minorTickMark val="none"/>
        <c:tickLblPos val="nextTo"/>
        <c:crossAx val="153903872"/>
        <c:crosses val="autoZero"/>
        <c:auto val="1"/>
        <c:lblAlgn val="ctr"/>
        <c:lblOffset val="100"/>
        <c:noMultiLvlLbl val="0"/>
      </c:catAx>
      <c:valAx>
        <c:axId val="153903872"/>
        <c:scaling>
          <c:orientation val="minMax"/>
        </c:scaling>
        <c:delete val="0"/>
        <c:axPos val="l"/>
        <c:majorGridlines/>
        <c:numFmt formatCode="General" sourceLinked="1"/>
        <c:majorTickMark val="out"/>
        <c:minorTickMark val="none"/>
        <c:tickLblPos val="nextTo"/>
        <c:crossAx val="153881600"/>
        <c:crosses val="autoZero"/>
        <c:crossBetween val="between"/>
        <c:dispUnits>
          <c:builtInUnit val="millions"/>
        </c:dispUnits>
      </c:valAx>
    </c:plotArea>
    <c:legend>
      <c:legendPos val="r"/>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162751531058618"/>
          <c:y val="4.3253499562554677E-2"/>
          <c:w val="0.57896325459317588"/>
          <c:h val="0.81761847477398664"/>
        </c:manualLayout>
      </c:layout>
      <c:barChart>
        <c:barDir val="col"/>
        <c:grouping val="clustered"/>
        <c:varyColors val="0"/>
        <c:ser>
          <c:idx val="5"/>
          <c:order val="0"/>
          <c:tx>
            <c:strRef>
              <c:f>ANalīze!$A$8</c:f>
              <c:strCache>
                <c:ptCount val="1"/>
                <c:pt idx="0">
                  <c:v>KOPĀ</c:v>
                </c:pt>
              </c:strCache>
            </c:strRef>
          </c:tx>
          <c:invertIfNegative val="0"/>
          <c:dLbls>
            <c:dLbl>
              <c:idx val="0"/>
              <c:layout>
                <c:manualLayout>
                  <c:x val="2.6839331128107875E-3"/>
                  <c:y val="0.13915518745701322"/>
                </c:manualLayout>
              </c:layout>
              <c:tx>
                <c:rich>
                  <a:bodyPr/>
                  <a:lstStyle/>
                  <a:p>
                    <a:r>
                      <a:rPr lang="en-US"/>
                      <a:t>2,2</a:t>
                    </a:r>
                    <a:r>
                      <a:rPr lang="lv-LV"/>
                      <a:t> (100%)</a:t>
                    </a:r>
                    <a:endParaRPr lang="en-US"/>
                  </a:p>
                </c:rich>
              </c:tx>
              <c:showLegendKey val="0"/>
              <c:showVal val="1"/>
              <c:showCatName val="0"/>
              <c:showSerName val="0"/>
              <c:showPercent val="0"/>
              <c:showBubbleSize val="0"/>
            </c:dLbl>
            <c:dLbl>
              <c:idx val="1"/>
              <c:layout>
                <c:manualLayout>
                  <c:x val="0"/>
                  <c:y val="0"/>
                </c:manualLayout>
              </c:layout>
              <c:tx>
                <c:rich>
                  <a:bodyPr/>
                  <a:lstStyle/>
                  <a:p>
                    <a:r>
                      <a:rPr lang="en-US"/>
                      <a:t>1,6</a:t>
                    </a:r>
                    <a:r>
                      <a:rPr lang="lv-LV"/>
                      <a:t> (70%)</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ANalīze!$B$2:$C$2</c:f>
              <c:strCache>
                <c:ptCount val="2"/>
                <c:pt idx="0">
                  <c:v>Neatbilstoši veikti izdevumi </c:v>
                </c:pt>
                <c:pt idx="1">
                  <c:v>Faktisiki atgūtais finansējums</c:v>
                </c:pt>
              </c:strCache>
            </c:strRef>
          </c:cat>
          <c:val>
            <c:numRef>
              <c:f>ANalīze!$B$8:$C$8</c:f>
              <c:numCache>
                <c:formatCode>0.0</c:formatCode>
                <c:ptCount val="2"/>
                <c:pt idx="0">
                  <c:v>2.22131094</c:v>
                </c:pt>
                <c:pt idx="1">
                  <c:v>1.55130736</c:v>
                </c:pt>
              </c:numCache>
            </c:numRef>
          </c:val>
        </c:ser>
        <c:ser>
          <c:idx val="0"/>
          <c:order val="1"/>
          <c:tx>
            <c:strRef>
              <c:f>ANalīze!$A$3</c:f>
              <c:strCache>
                <c:ptCount val="1"/>
                <c:pt idx="0">
                  <c:v>Pašvaldības</c:v>
                </c:pt>
              </c:strCache>
            </c:strRef>
          </c:tx>
          <c:invertIfNegative val="0"/>
          <c:dLbls>
            <c:dLbl>
              <c:idx val="0"/>
              <c:layout>
                <c:manualLayout>
                  <c:x val="8.0524333883054567E-3"/>
                  <c:y val="1.5220997269483475E-2"/>
                </c:manualLayout>
              </c:layout>
              <c:tx>
                <c:rich>
                  <a:bodyPr/>
                  <a:lstStyle/>
                  <a:p>
                    <a:r>
                      <a:rPr lang="en-US"/>
                      <a:t>1,8</a:t>
                    </a:r>
                    <a:r>
                      <a:rPr lang="lv-LV"/>
                      <a:t> (80%)</a:t>
                    </a:r>
                    <a:endParaRPr lang="en-US"/>
                  </a:p>
                </c:rich>
              </c:tx>
              <c:showLegendKey val="0"/>
              <c:showVal val="1"/>
              <c:showCatName val="0"/>
              <c:showSerName val="0"/>
              <c:showPercent val="0"/>
              <c:showBubbleSize val="0"/>
            </c:dLbl>
            <c:dLbl>
              <c:idx val="1"/>
              <c:layout>
                <c:manualLayout>
                  <c:x val="5.6491730193180198E-3"/>
                  <c:y val="9.25892407973203E-3"/>
                </c:manualLayout>
              </c:layout>
              <c:tx>
                <c:rich>
                  <a:bodyPr/>
                  <a:lstStyle/>
                  <a:p>
                    <a:r>
                      <a:rPr lang="en-US"/>
                      <a:t>1,4</a:t>
                    </a:r>
                    <a:r>
                      <a:rPr lang="lv-LV"/>
                      <a:t> (78%)</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ANalīze!$B$2:$C$2</c:f>
              <c:strCache>
                <c:ptCount val="2"/>
                <c:pt idx="0">
                  <c:v>Neatbilstoši veikti izdevumi </c:v>
                </c:pt>
                <c:pt idx="1">
                  <c:v>Faktisiki atgūtais finansējums</c:v>
                </c:pt>
              </c:strCache>
            </c:strRef>
          </c:cat>
          <c:val>
            <c:numRef>
              <c:f>ANalīze!$B$3:$C$3</c:f>
              <c:numCache>
                <c:formatCode>0.0</c:formatCode>
                <c:ptCount val="2"/>
                <c:pt idx="0">
                  <c:v>1.7804823200000002</c:v>
                </c:pt>
                <c:pt idx="1">
                  <c:v>1.39682657</c:v>
                </c:pt>
              </c:numCache>
            </c:numRef>
          </c:val>
        </c:ser>
        <c:ser>
          <c:idx val="1"/>
          <c:order val="2"/>
          <c:tx>
            <c:strRef>
              <c:f>ANalīze!$A$4</c:f>
              <c:strCache>
                <c:ptCount val="1"/>
                <c:pt idx="0">
                  <c:v>Komersanti</c:v>
                </c:pt>
              </c:strCache>
            </c:strRef>
          </c:tx>
          <c:invertIfNegative val="0"/>
          <c:dLbls>
            <c:dLbl>
              <c:idx val="0"/>
              <c:layout>
                <c:manualLayout>
                  <c:x val="5.3682889255369714E-3"/>
                  <c:y val="9.2592592592592587E-3"/>
                </c:manualLayout>
              </c:layout>
              <c:tx>
                <c:rich>
                  <a:bodyPr/>
                  <a:lstStyle/>
                  <a:p>
                    <a:r>
                      <a:rPr lang="en-US"/>
                      <a:t>0,3</a:t>
                    </a:r>
                    <a:r>
                      <a:rPr lang="lv-LV"/>
                      <a:t> (15%)</a:t>
                    </a:r>
                    <a:endParaRPr lang="en-US"/>
                  </a:p>
                </c:rich>
              </c:tx>
              <c:showLegendKey val="0"/>
              <c:showVal val="1"/>
              <c:showCatName val="0"/>
              <c:showSerName val="0"/>
              <c:showPercent val="0"/>
              <c:showBubbleSize val="0"/>
            </c:dLbl>
            <c:dLbl>
              <c:idx val="1"/>
              <c:tx>
                <c:rich>
                  <a:bodyPr/>
                  <a:lstStyle/>
                  <a:p>
                    <a:r>
                      <a:rPr lang="en-US"/>
                      <a:t>0,1</a:t>
                    </a:r>
                    <a:r>
                      <a:rPr lang="lv-LV"/>
                      <a:t> (24%)</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ANalīze!$B$2:$C$2</c:f>
              <c:strCache>
                <c:ptCount val="2"/>
                <c:pt idx="0">
                  <c:v>Neatbilstoši veikti izdevumi </c:v>
                </c:pt>
                <c:pt idx="1">
                  <c:v>Faktisiki atgūtais finansējums</c:v>
                </c:pt>
              </c:strCache>
            </c:strRef>
          </c:cat>
          <c:val>
            <c:numRef>
              <c:f>ANalīze!$B$4:$C$4</c:f>
              <c:numCache>
                <c:formatCode>0.0</c:formatCode>
                <c:ptCount val="2"/>
                <c:pt idx="0">
                  <c:v>0.32502532000000001</c:v>
                </c:pt>
                <c:pt idx="1">
                  <c:v>7.7703670000000002E-2</c:v>
                </c:pt>
              </c:numCache>
            </c:numRef>
          </c:val>
        </c:ser>
        <c:ser>
          <c:idx val="2"/>
          <c:order val="3"/>
          <c:tx>
            <c:strRef>
              <c:f>ANalīze!$A$5</c:f>
              <c:strCache>
                <c:ptCount val="1"/>
                <c:pt idx="0">
                  <c:v>Valsts iestādes</c:v>
                </c:pt>
              </c:strCache>
            </c:strRef>
          </c:tx>
          <c:invertIfNegative val="0"/>
          <c:dLbls>
            <c:dLbl>
              <c:idx val="0"/>
              <c:tx>
                <c:rich>
                  <a:bodyPr/>
                  <a:lstStyle/>
                  <a:p>
                    <a:r>
                      <a:rPr lang="en-US"/>
                      <a:t>0,1</a:t>
                    </a:r>
                    <a:r>
                      <a:rPr lang="lv-LV"/>
                      <a:t> (5%)</a:t>
                    </a:r>
                    <a:endParaRPr lang="en-US"/>
                  </a:p>
                </c:rich>
              </c:tx>
              <c:showLegendKey val="0"/>
              <c:showVal val="1"/>
              <c:showCatName val="0"/>
              <c:showSerName val="0"/>
              <c:showPercent val="0"/>
              <c:showBubbleSize val="0"/>
            </c:dLbl>
            <c:dLbl>
              <c:idx val="1"/>
              <c:tx>
                <c:rich>
                  <a:bodyPr/>
                  <a:lstStyle/>
                  <a:p>
                    <a:r>
                      <a:rPr lang="en-US"/>
                      <a:t>0,1</a:t>
                    </a:r>
                    <a:r>
                      <a:rPr lang="lv-LV"/>
                      <a:t> (66%)</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ANalīze!$B$2:$C$2</c:f>
              <c:strCache>
                <c:ptCount val="2"/>
                <c:pt idx="0">
                  <c:v>Neatbilstoši veikti izdevumi </c:v>
                </c:pt>
                <c:pt idx="1">
                  <c:v>Faktisiki atgūtais finansējums</c:v>
                </c:pt>
              </c:strCache>
            </c:strRef>
          </c:cat>
          <c:val>
            <c:numRef>
              <c:f>ANalīze!$B$5:$C$5</c:f>
              <c:numCache>
                <c:formatCode>0.0</c:formatCode>
                <c:ptCount val="2"/>
                <c:pt idx="0">
                  <c:v>0.11495271</c:v>
                </c:pt>
                <c:pt idx="1">
                  <c:v>7.5926529999999992E-2</c:v>
                </c:pt>
              </c:numCache>
            </c:numRef>
          </c:val>
        </c:ser>
        <c:ser>
          <c:idx val="3"/>
          <c:order val="4"/>
          <c:tx>
            <c:strRef>
              <c:f>ANalīze!$A$6</c:f>
              <c:strCache>
                <c:ptCount val="1"/>
                <c:pt idx="0">
                  <c:v>Izglītības iestādes</c:v>
                </c:pt>
              </c:strCache>
            </c:strRef>
          </c:tx>
          <c:invertIfNegative val="0"/>
          <c:dLbls>
            <c:dLbl>
              <c:idx val="0"/>
              <c:layout>
                <c:manualLayout>
                  <c:x val="5.274660894276622E-3"/>
                  <c:y val="-4.6296296296296294E-3"/>
                </c:manualLayout>
              </c:layout>
              <c:tx>
                <c:rich>
                  <a:bodyPr/>
                  <a:lstStyle/>
                  <a:p>
                    <a:r>
                      <a:rPr lang="en-US"/>
                      <a:t>0,001</a:t>
                    </a:r>
                    <a:r>
                      <a:rPr lang="lv-LV"/>
                      <a:t> (0 %)</a:t>
                    </a:r>
                    <a:endParaRPr lang="en-US"/>
                  </a:p>
                </c:rich>
              </c:tx>
              <c:showLegendKey val="0"/>
              <c:showVal val="1"/>
              <c:showCatName val="0"/>
              <c:showSerName val="0"/>
              <c:showPercent val="0"/>
              <c:showBubbleSize val="0"/>
            </c:dLbl>
            <c:dLbl>
              <c:idx val="1"/>
              <c:layout>
                <c:manualLayout>
                  <c:x val="-2.7777777777777779E-3"/>
                  <c:y val="-1.3888888888888888E-2"/>
                </c:manualLayout>
              </c:layout>
              <c:tx>
                <c:rich>
                  <a:bodyPr/>
                  <a:lstStyle/>
                  <a:p>
                    <a:r>
                      <a:rPr lang="en-US"/>
                      <a:t>0,001</a:t>
                    </a:r>
                    <a:r>
                      <a:rPr lang="lv-LV"/>
                      <a:t> (100%)</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ANalīze!$B$2:$C$2</c:f>
              <c:strCache>
                <c:ptCount val="2"/>
                <c:pt idx="0">
                  <c:v>Neatbilstoši veikti izdevumi </c:v>
                </c:pt>
                <c:pt idx="1">
                  <c:v>Faktisiki atgūtais finansējums</c:v>
                </c:pt>
              </c:strCache>
            </c:strRef>
          </c:cat>
          <c:val>
            <c:numRef>
              <c:f>ANalīze!$B$6:$C$6</c:f>
              <c:numCache>
                <c:formatCode>0.000</c:formatCode>
                <c:ptCount val="2"/>
                <c:pt idx="0">
                  <c:v>8.5059000000000003E-4</c:v>
                </c:pt>
                <c:pt idx="1">
                  <c:v>8.5059000000000003E-4</c:v>
                </c:pt>
              </c:numCache>
            </c:numRef>
          </c:val>
        </c:ser>
        <c:ser>
          <c:idx val="4"/>
          <c:order val="5"/>
          <c:tx>
            <c:strRef>
              <c:f>ANalīze!$A$7</c:f>
              <c:strCache>
                <c:ptCount val="1"/>
                <c:pt idx="0">
                  <c:v>NVO</c:v>
                </c:pt>
              </c:strCache>
            </c:strRef>
          </c:tx>
          <c:invertIfNegative val="0"/>
          <c:dLbls>
            <c:dLbl>
              <c:idx val="0"/>
              <c:layout>
                <c:manualLayout>
                  <c:x val="1.3327094282582079E-2"/>
                  <c:y val="9.2592592592592587E-3"/>
                </c:manualLayout>
              </c:layout>
              <c:tx>
                <c:rich>
                  <a:bodyPr/>
                  <a:lstStyle/>
                  <a:p>
                    <a:r>
                      <a:rPr lang="en-US"/>
                      <a:t>0,0</a:t>
                    </a:r>
                    <a:r>
                      <a:rPr lang="lv-LV"/>
                      <a:t> (0%)</a:t>
                    </a:r>
                    <a:endParaRPr lang="en-US"/>
                  </a:p>
                </c:rich>
              </c:tx>
              <c:showLegendKey val="0"/>
              <c:showVal val="1"/>
              <c:showCatName val="0"/>
              <c:showSerName val="0"/>
              <c:showPercent val="0"/>
              <c:showBubbleSize val="0"/>
            </c:dLbl>
            <c:dLbl>
              <c:idx val="1"/>
              <c:layout>
                <c:manualLayout>
                  <c:x val="-2.7777777777777779E-3"/>
                  <c:y val="-4.6296296296296294E-3"/>
                </c:manualLayout>
              </c:layout>
              <c:tx>
                <c:rich>
                  <a:bodyPr/>
                  <a:lstStyle/>
                  <a:p>
                    <a:r>
                      <a:rPr lang="en-US"/>
                      <a:t>0,0</a:t>
                    </a:r>
                    <a:r>
                      <a:rPr lang="lv-LV"/>
                      <a:t> (100%)</a:t>
                    </a:r>
                    <a:endParaRPr lang="en-US"/>
                  </a:p>
                </c:rich>
              </c:tx>
              <c:showLegendKey val="0"/>
              <c:showVal val="1"/>
              <c:showCatName val="0"/>
              <c:showSerName val="0"/>
              <c:showPercent val="0"/>
              <c:showBubbleSize val="0"/>
            </c:dLbl>
            <c:txPr>
              <a:bodyPr rot="-5400000" vert="horz"/>
              <a:lstStyle/>
              <a:p>
                <a:pPr>
                  <a:defRPr/>
                </a:pPr>
                <a:endParaRPr lang="lv-LV"/>
              </a:p>
            </c:txPr>
            <c:showLegendKey val="0"/>
            <c:showVal val="1"/>
            <c:showCatName val="0"/>
            <c:showSerName val="0"/>
            <c:showPercent val="0"/>
            <c:showBubbleSize val="0"/>
            <c:showLeaderLines val="0"/>
          </c:dLbls>
          <c:cat>
            <c:strRef>
              <c:f>ANalīze!$B$2:$C$2</c:f>
              <c:strCache>
                <c:ptCount val="2"/>
                <c:pt idx="0">
                  <c:v>Neatbilstoši veikti izdevumi </c:v>
                </c:pt>
                <c:pt idx="1">
                  <c:v>Faktisiki atgūtais finansējums</c:v>
                </c:pt>
              </c:strCache>
            </c:strRef>
          </c:cat>
          <c:val>
            <c:numRef>
              <c:f>ANalīze!$B$7:$C$7</c:f>
              <c:numCache>
                <c:formatCode>0.0</c:formatCode>
                <c:ptCount val="2"/>
                <c:pt idx="0">
                  <c:v>1.0900000000000002E-6</c:v>
                </c:pt>
                <c:pt idx="1">
                  <c:v>1.0900000000000002E-6</c:v>
                </c:pt>
              </c:numCache>
            </c:numRef>
          </c:val>
        </c:ser>
        <c:dLbls>
          <c:showLegendKey val="0"/>
          <c:showVal val="0"/>
          <c:showCatName val="0"/>
          <c:showSerName val="0"/>
          <c:showPercent val="0"/>
          <c:showBubbleSize val="0"/>
        </c:dLbls>
        <c:gapWidth val="150"/>
        <c:axId val="154065536"/>
        <c:axId val="156959104"/>
      </c:barChart>
      <c:catAx>
        <c:axId val="154065536"/>
        <c:scaling>
          <c:orientation val="minMax"/>
        </c:scaling>
        <c:delete val="0"/>
        <c:axPos val="b"/>
        <c:majorTickMark val="out"/>
        <c:minorTickMark val="none"/>
        <c:tickLblPos val="nextTo"/>
        <c:spPr>
          <a:noFill/>
        </c:spPr>
        <c:txPr>
          <a:bodyPr rot="0" vert="horz" anchor="ctr" anchorCtr="1"/>
          <a:lstStyle/>
          <a:p>
            <a:pPr>
              <a:defRPr/>
            </a:pPr>
            <a:endParaRPr lang="lv-LV"/>
          </a:p>
        </c:txPr>
        <c:crossAx val="156959104"/>
        <c:crosses val="autoZero"/>
        <c:auto val="1"/>
        <c:lblAlgn val="ctr"/>
        <c:lblOffset val="100"/>
        <c:noMultiLvlLbl val="0"/>
      </c:catAx>
      <c:valAx>
        <c:axId val="156959104"/>
        <c:scaling>
          <c:orientation val="minMax"/>
        </c:scaling>
        <c:delete val="0"/>
        <c:axPos val="l"/>
        <c:majorGridlines/>
        <c:numFmt formatCode="0" sourceLinked="0"/>
        <c:majorTickMark val="out"/>
        <c:minorTickMark val="none"/>
        <c:tickLblPos val="nextTo"/>
        <c:crossAx val="154065536"/>
        <c:crosses val="autoZero"/>
        <c:crossBetween val="between"/>
      </c:valAx>
    </c:plotArea>
    <c:legend>
      <c:legendPos val="r"/>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5"/>
          <c:order val="0"/>
          <c:tx>
            <c:strRef>
              <c:f>'analīze 2 cet'!$A$9</c:f>
              <c:strCache>
                <c:ptCount val="1"/>
                <c:pt idx="0">
                  <c:v>KOPĀ</c:v>
                </c:pt>
              </c:strCache>
            </c:strRef>
          </c:tx>
          <c:invertIfNegative val="0"/>
          <c:dLbls>
            <c:dLbl>
              <c:idx val="0"/>
              <c:layout>
                <c:manualLayout>
                  <c:x val="4.4498907812757893E-2"/>
                  <c:y val="0"/>
                </c:manualLayout>
              </c:layout>
              <c:tx>
                <c:rich>
                  <a:bodyPr/>
                  <a:lstStyle/>
                  <a:p>
                    <a:r>
                      <a:rPr lang="en-US"/>
                      <a:t>102,3</a:t>
                    </a:r>
                    <a:r>
                      <a:rPr lang="lv-LV"/>
                      <a:t>( 100%)</a:t>
                    </a:r>
                    <a:endParaRPr lang="en-US"/>
                  </a:p>
                </c:rich>
              </c:tx>
              <c:showLegendKey val="0"/>
              <c:showVal val="1"/>
              <c:showCatName val="0"/>
              <c:showSerName val="0"/>
              <c:showPercent val="0"/>
              <c:showBubbleSize val="0"/>
            </c:dLbl>
            <c:dLbl>
              <c:idx val="1"/>
              <c:layout>
                <c:manualLayout>
                  <c:x val="7.0261433388565091E-3"/>
                  <c:y val="-3.3646320651201968E-2"/>
                </c:manualLayout>
              </c:layout>
              <c:tx>
                <c:rich>
                  <a:bodyPr/>
                  <a:lstStyle/>
                  <a:p>
                    <a:r>
                      <a:rPr lang="en-US"/>
                      <a:t>43,6</a:t>
                    </a:r>
                    <a:r>
                      <a:rPr lang="lv-LV"/>
                      <a:t> (43%)</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'analīze 2 cet'!$B$3:$C$3</c:f>
              <c:strCache>
                <c:ptCount val="2"/>
                <c:pt idx="0">
                  <c:v>Neatbilstoši veikti izdevumi </c:v>
                </c:pt>
                <c:pt idx="1">
                  <c:v>Faktisiki atgūtais finansējums</c:v>
                </c:pt>
              </c:strCache>
            </c:strRef>
          </c:cat>
          <c:val>
            <c:numRef>
              <c:f>'analīze 2 cet'!$B$9:$C$9</c:f>
              <c:numCache>
                <c:formatCode>0.0</c:formatCode>
                <c:ptCount val="2"/>
                <c:pt idx="0">
                  <c:v>102.30414999999998</c:v>
                </c:pt>
                <c:pt idx="1">
                  <c:v>43.552009999999996</c:v>
                </c:pt>
              </c:numCache>
            </c:numRef>
          </c:val>
        </c:ser>
        <c:ser>
          <c:idx val="0"/>
          <c:order val="1"/>
          <c:tx>
            <c:strRef>
              <c:f>'analīze 2 cet'!$A$4</c:f>
              <c:strCache>
                <c:ptCount val="1"/>
                <c:pt idx="0">
                  <c:v>Pašvaldības</c:v>
                </c:pt>
              </c:strCache>
            </c:strRef>
          </c:tx>
          <c:invertIfNegative val="0"/>
          <c:dLbls>
            <c:dLbl>
              <c:idx val="0"/>
              <c:layout>
                <c:manualLayout>
                  <c:x val="4.6840955592376728E-2"/>
                  <c:y val="0"/>
                </c:manualLayout>
              </c:layout>
              <c:tx>
                <c:rich>
                  <a:bodyPr/>
                  <a:lstStyle/>
                  <a:p>
                    <a:r>
                      <a:rPr lang="en-US"/>
                      <a:t>73,1</a:t>
                    </a:r>
                    <a:r>
                      <a:rPr lang="lv-LV"/>
                      <a:t> (71%)</a:t>
                    </a:r>
                    <a:endParaRPr lang="en-US"/>
                  </a:p>
                </c:rich>
              </c:tx>
              <c:showLegendKey val="0"/>
              <c:showVal val="1"/>
              <c:showCatName val="0"/>
              <c:showSerName val="0"/>
              <c:showPercent val="0"/>
              <c:showBubbleSize val="0"/>
            </c:dLbl>
            <c:dLbl>
              <c:idx val="1"/>
              <c:layout>
                <c:manualLayout>
                  <c:x val="4.2156860033139051E-2"/>
                  <c:y val="5.6077201085336691E-3"/>
                </c:manualLayout>
              </c:layout>
              <c:tx>
                <c:rich>
                  <a:bodyPr/>
                  <a:lstStyle/>
                  <a:p>
                    <a:r>
                      <a:rPr lang="en-US"/>
                      <a:t>39,4</a:t>
                    </a:r>
                    <a:r>
                      <a:rPr lang="lv-LV"/>
                      <a:t> (54%)</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'analīze 2 cet'!$B$3:$C$3</c:f>
              <c:strCache>
                <c:ptCount val="2"/>
                <c:pt idx="0">
                  <c:v>Neatbilstoši veikti izdevumi </c:v>
                </c:pt>
                <c:pt idx="1">
                  <c:v>Faktisiki atgūtais finansējums</c:v>
                </c:pt>
              </c:strCache>
            </c:strRef>
          </c:cat>
          <c:val>
            <c:numRef>
              <c:f>'analīze 2 cet'!$B$4:$C$4</c:f>
              <c:numCache>
                <c:formatCode>0.0</c:formatCode>
                <c:ptCount val="2"/>
                <c:pt idx="0">
                  <c:v>73.129259999999988</c:v>
                </c:pt>
                <c:pt idx="1">
                  <c:v>39.423610000000004</c:v>
                </c:pt>
              </c:numCache>
            </c:numRef>
          </c:val>
        </c:ser>
        <c:ser>
          <c:idx val="2"/>
          <c:order val="2"/>
          <c:tx>
            <c:strRef>
              <c:f>'analīze 2 cet'!$A$6</c:f>
              <c:strCache>
                <c:ptCount val="1"/>
                <c:pt idx="0">
                  <c:v>Valsts iestādes</c:v>
                </c:pt>
              </c:strCache>
            </c:strRef>
          </c:tx>
          <c:invertIfNegative val="0"/>
          <c:dLbls>
            <c:dLbl>
              <c:idx val="0"/>
              <c:layout>
                <c:manualLayout>
                  <c:x val="3.9814812253520217E-2"/>
                  <c:y val="0"/>
                </c:manualLayout>
              </c:layout>
              <c:tx>
                <c:rich>
                  <a:bodyPr/>
                  <a:lstStyle/>
                  <a:p>
                    <a:r>
                      <a:rPr lang="en-US"/>
                      <a:t>24,3</a:t>
                    </a:r>
                    <a:r>
                      <a:rPr lang="lv-LV"/>
                      <a:t> (24%)</a:t>
                    </a:r>
                    <a:endParaRPr lang="en-US"/>
                  </a:p>
                </c:rich>
              </c:tx>
              <c:showLegendKey val="0"/>
              <c:showVal val="1"/>
              <c:showCatName val="0"/>
              <c:showSerName val="0"/>
              <c:showPercent val="0"/>
              <c:showBubbleSize val="0"/>
            </c:dLbl>
            <c:dLbl>
              <c:idx val="1"/>
              <c:layout>
                <c:manualLayout>
                  <c:x val="3.0446621135044871E-2"/>
                  <c:y val="-1.0280701435438125E-16"/>
                </c:manualLayout>
              </c:layout>
              <c:tx>
                <c:rich>
                  <a:bodyPr/>
                  <a:lstStyle/>
                  <a:p>
                    <a:r>
                      <a:rPr lang="en-US"/>
                      <a:t>3,8</a:t>
                    </a:r>
                    <a:r>
                      <a:rPr lang="lv-LV"/>
                      <a:t> ( 16%)</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'analīze 2 cet'!$B$3:$C$3</c:f>
              <c:strCache>
                <c:ptCount val="2"/>
                <c:pt idx="0">
                  <c:v>Neatbilstoši veikti izdevumi </c:v>
                </c:pt>
                <c:pt idx="1">
                  <c:v>Faktisiki atgūtais finansējums</c:v>
                </c:pt>
              </c:strCache>
            </c:strRef>
          </c:cat>
          <c:val>
            <c:numRef>
              <c:f>'analīze 2 cet'!$B$6:$C$6</c:f>
              <c:numCache>
                <c:formatCode>0.0</c:formatCode>
                <c:ptCount val="2"/>
                <c:pt idx="0">
                  <c:v>24.347709999999999</c:v>
                </c:pt>
                <c:pt idx="1">
                  <c:v>3.8391299999999999</c:v>
                </c:pt>
              </c:numCache>
            </c:numRef>
          </c:val>
        </c:ser>
        <c:ser>
          <c:idx val="1"/>
          <c:order val="3"/>
          <c:tx>
            <c:strRef>
              <c:f>'analīze 2 cet'!$A$5</c:f>
              <c:strCache>
                <c:ptCount val="1"/>
                <c:pt idx="0">
                  <c:v>Komersanti</c:v>
                </c:pt>
              </c:strCache>
            </c:strRef>
          </c:tx>
          <c:invertIfNegative val="0"/>
          <c:dLbls>
            <c:dLbl>
              <c:idx val="0"/>
              <c:layout>
                <c:manualLayout>
                  <c:x val="2.3420477796188364E-2"/>
                  <c:y val="-1.1215440217067236E-2"/>
                </c:manualLayout>
              </c:layout>
              <c:tx>
                <c:rich>
                  <a:bodyPr/>
                  <a:lstStyle/>
                  <a:p>
                    <a:r>
                      <a:rPr lang="en-US"/>
                      <a:t>4,2</a:t>
                    </a:r>
                    <a:r>
                      <a:rPr lang="lv-LV"/>
                      <a:t> (4%)</a:t>
                    </a:r>
                    <a:endParaRPr lang="en-US"/>
                  </a:p>
                </c:rich>
              </c:tx>
              <c:showLegendKey val="0"/>
              <c:showVal val="1"/>
              <c:showCatName val="0"/>
              <c:showSerName val="0"/>
              <c:showPercent val="0"/>
              <c:showBubbleSize val="0"/>
            </c:dLbl>
            <c:showLegendKey val="0"/>
            <c:showVal val="0"/>
            <c:showCatName val="0"/>
            <c:showSerName val="0"/>
            <c:showPercent val="0"/>
            <c:showBubbleSize val="0"/>
          </c:dLbls>
          <c:cat>
            <c:strRef>
              <c:f>'analīze 2 cet'!$B$3:$C$3</c:f>
              <c:strCache>
                <c:ptCount val="2"/>
                <c:pt idx="0">
                  <c:v>Neatbilstoši veikti izdevumi </c:v>
                </c:pt>
                <c:pt idx="1">
                  <c:v>Faktisiki atgūtais finansējums</c:v>
                </c:pt>
              </c:strCache>
            </c:strRef>
          </c:cat>
          <c:val>
            <c:numRef>
              <c:f>'analīze 2 cet'!$B$5:$C$5</c:f>
              <c:numCache>
                <c:formatCode>0.0</c:formatCode>
                <c:ptCount val="2"/>
                <c:pt idx="0">
                  <c:v>4.1690100000000001</c:v>
                </c:pt>
                <c:pt idx="1">
                  <c:v>0</c:v>
                </c:pt>
              </c:numCache>
            </c:numRef>
          </c:val>
        </c:ser>
        <c:ser>
          <c:idx val="3"/>
          <c:order val="4"/>
          <c:tx>
            <c:strRef>
              <c:f>'analīze 2 cet'!$A$7</c:f>
              <c:strCache>
                <c:ptCount val="1"/>
                <c:pt idx="0">
                  <c:v>Izglītības iestādes</c:v>
                </c:pt>
              </c:strCache>
            </c:strRef>
          </c:tx>
          <c:invertIfNegative val="0"/>
          <c:dLbls>
            <c:dLbl>
              <c:idx val="0"/>
              <c:layout>
                <c:manualLayout>
                  <c:x val="3.7472764473901382E-2"/>
                  <c:y val="2.8038600542668348E-2"/>
                </c:manualLayout>
              </c:layout>
              <c:tx>
                <c:rich>
                  <a:bodyPr/>
                  <a:lstStyle/>
                  <a:p>
                    <a:r>
                      <a:rPr lang="en-US"/>
                      <a:t>0,7</a:t>
                    </a:r>
                    <a:r>
                      <a:rPr lang="lv-LV"/>
                      <a:t> (1%)</a:t>
                    </a:r>
                    <a:endParaRPr lang="en-US"/>
                  </a:p>
                </c:rich>
              </c:tx>
              <c:showLegendKey val="0"/>
              <c:showVal val="1"/>
              <c:showCatName val="0"/>
              <c:showSerName val="0"/>
              <c:showPercent val="0"/>
              <c:showBubbleSize val="0"/>
            </c:dLbl>
            <c:dLbl>
              <c:idx val="1"/>
              <c:layout>
                <c:manualLayout>
                  <c:x val="3.7472764473901465E-2"/>
                  <c:y val="5.6077201085337723E-3"/>
                </c:manualLayout>
              </c:layout>
              <c:tx>
                <c:rich>
                  <a:bodyPr/>
                  <a:lstStyle/>
                  <a:p>
                    <a:r>
                      <a:rPr lang="en-US"/>
                      <a:t>0,3</a:t>
                    </a:r>
                    <a:r>
                      <a:rPr lang="lv-LV"/>
                      <a:t> (44%)</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'analīze 2 cet'!$B$3:$C$3</c:f>
              <c:strCache>
                <c:ptCount val="2"/>
                <c:pt idx="0">
                  <c:v>Neatbilstoši veikti izdevumi </c:v>
                </c:pt>
                <c:pt idx="1">
                  <c:v>Faktisiki atgūtais finansējums</c:v>
                </c:pt>
              </c:strCache>
            </c:strRef>
          </c:cat>
          <c:val>
            <c:numRef>
              <c:f>'analīze 2 cet'!$B$7:$C$7</c:f>
              <c:numCache>
                <c:formatCode>0.0</c:formatCode>
                <c:ptCount val="2"/>
                <c:pt idx="0">
                  <c:v>0.65816999999999992</c:v>
                </c:pt>
                <c:pt idx="1">
                  <c:v>0.28926999999999997</c:v>
                </c:pt>
              </c:numCache>
            </c:numRef>
          </c:val>
        </c:ser>
        <c:ser>
          <c:idx val="4"/>
          <c:order val="5"/>
          <c:tx>
            <c:strRef>
              <c:f>'analīze 2 cet'!$A$8</c:f>
              <c:strCache>
                <c:ptCount val="1"/>
                <c:pt idx="0">
                  <c:v>NVO</c:v>
                </c:pt>
              </c:strCache>
            </c:strRef>
          </c:tx>
          <c:invertIfNegative val="0"/>
          <c:cat>
            <c:strRef>
              <c:f>'analīze 2 cet'!$B$3:$C$3</c:f>
              <c:strCache>
                <c:ptCount val="2"/>
                <c:pt idx="0">
                  <c:v>Neatbilstoši veikti izdevumi </c:v>
                </c:pt>
                <c:pt idx="1">
                  <c:v>Faktisiki atgūtais finansējums</c:v>
                </c:pt>
              </c:strCache>
            </c:strRef>
          </c:cat>
          <c:val>
            <c:numRef>
              <c:f>'analīze 2 cet'!$B$8:$C$8</c:f>
              <c:numCache>
                <c:formatCode>0.0</c:formatCode>
                <c:ptCount val="2"/>
                <c:pt idx="0">
                  <c:v>0</c:v>
                </c:pt>
                <c:pt idx="1">
                  <c:v>0</c:v>
                </c:pt>
              </c:numCache>
            </c:numRef>
          </c:val>
        </c:ser>
        <c:dLbls>
          <c:showLegendKey val="0"/>
          <c:showVal val="0"/>
          <c:showCatName val="0"/>
          <c:showSerName val="0"/>
          <c:showPercent val="0"/>
          <c:showBubbleSize val="0"/>
        </c:dLbls>
        <c:gapWidth val="150"/>
        <c:axId val="156800896"/>
        <c:axId val="156802432"/>
      </c:barChart>
      <c:catAx>
        <c:axId val="156800896"/>
        <c:scaling>
          <c:orientation val="minMax"/>
        </c:scaling>
        <c:delete val="0"/>
        <c:axPos val="b"/>
        <c:majorTickMark val="out"/>
        <c:minorTickMark val="none"/>
        <c:tickLblPos val="nextTo"/>
        <c:txPr>
          <a:bodyPr rot="0" vert="horz"/>
          <a:lstStyle/>
          <a:p>
            <a:pPr>
              <a:defRPr/>
            </a:pPr>
            <a:endParaRPr lang="lv-LV"/>
          </a:p>
        </c:txPr>
        <c:crossAx val="156802432"/>
        <c:crosses val="autoZero"/>
        <c:auto val="1"/>
        <c:lblAlgn val="ctr"/>
        <c:lblOffset val="100"/>
        <c:noMultiLvlLbl val="0"/>
      </c:catAx>
      <c:valAx>
        <c:axId val="156802432"/>
        <c:scaling>
          <c:orientation val="minMax"/>
        </c:scaling>
        <c:delete val="0"/>
        <c:axPos val="l"/>
        <c:majorGridlines/>
        <c:numFmt formatCode="0" sourceLinked="0"/>
        <c:majorTickMark val="out"/>
        <c:minorTickMark val="none"/>
        <c:tickLblPos val="nextTo"/>
        <c:crossAx val="156800896"/>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tx>
            <c:strRef>
              <c:f>Grafiks!$A$10</c:f>
              <c:strCache>
                <c:ptCount val="1"/>
                <c:pt idx="0">
                  <c:v>AI apguves mērķis 2011.g.kumulatīvi</c:v>
                </c:pt>
              </c:strCache>
            </c:strRef>
          </c:tx>
          <c:dLbls>
            <c:dLbl>
              <c:idx val="0"/>
              <c:delete val="1"/>
            </c:dLbl>
            <c:dLbl>
              <c:idx val="1"/>
              <c:layout>
                <c:manualLayout>
                  <c:x val="-6.9324090121317156E-2"/>
                  <c:y val="-5.5555555555555552E-2"/>
                </c:manualLayout>
              </c:layout>
              <c:showLegendKey val="0"/>
              <c:showVal val="1"/>
              <c:showCatName val="0"/>
              <c:showSerName val="0"/>
              <c:showPercent val="0"/>
              <c:showBubbleSize val="0"/>
            </c:dLbl>
            <c:dLbl>
              <c:idx val="2"/>
              <c:layout>
                <c:manualLayout>
                  <c:x val="-8.3188908145580595E-2"/>
                  <c:y val="-5.5555555555555552E-2"/>
                </c:manualLayout>
              </c:layout>
              <c:showLegendKey val="0"/>
              <c:showVal val="1"/>
              <c:showCatName val="0"/>
              <c:showSerName val="0"/>
              <c:showPercent val="0"/>
              <c:showBubbleSize val="0"/>
            </c:dLbl>
            <c:dLbl>
              <c:idx val="3"/>
              <c:layout>
                <c:manualLayout>
                  <c:x val="-8.5499711149624499E-2"/>
                  <c:y val="-4.1666666666666664E-2"/>
                </c:manualLayout>
              </c:layout>
              <c:showLegendKey val="0"/>
              <c:showVal val="1"/>
              <c:showCatName val="0"/>
              <c:showSerName val="0"/>
              <c:showPercent val="0"/>
              <c:showBubbleSize val="0"/>
            </c:dLbl>
            <c:dLbl>
              <c:idx val="4"/>
              <c:layout>
                <c:manualLayout>
                  <c:x val="-9.0121317157712308E-2"/>
                  <c:y val="-4.1666666666666664E-2"/>
                </c:manualLayout>
              </c:layout>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Grafiks!$B$9:$F$9</c:f>
              <c:strCache>
                <c:ptCount val="5"/>
                <c:pt idx="0">
                  <c:v>01.Jan</c:v>
                </c:pt>
                <c:pt idx="1">
                  <c:v>I</c:v>
                </c:pt>
                <c:pt idx="2">
                  <c:v>II</c:v>
                </c:pt>
                <c:pt idx="3">
                  <c:v>III</c:v>
                </c:pt>
                <c:pt idx="4">
                  <c:v>IV</c:v>
                </c:pt>
              </c:strCache>
            </c:strRef>
          </c:cat>
          <c:val>
            <c:numRef>
              <c:f>Grafiks!$B$10:$F$10</c:f>
              <c:numCache>
                <c:formatCode>#,##0</c:formatCode>
                <c:ptCount val="5"/>
                <c:pt idx="0" formatCode="General">
                  <c:v>0</c:v>
                </c:pt>
                <c:pt idx="1">
                  <c:v>77651080.620999992</c:v>
                </c:pt>
                <c:pt idx="2">
                  <c:v>186263939.405</c:v>
                </c:pt>
                <c:pt idx="3">
                  <c:v>339233000.53100002</c:v>
                </c:pt>
                <c:pt idx="4">
                  <c:v>511508999.92319995</c:v>
                </c:pt>
              </c:numCache>
            </c:numRef>
          </c:val>
          <c:smooth val="0"/>
        </c:ser>
        <c:ser>
          <c:idx val="1"/>
          <c:order val="1"/>
          <c:tx>
            <c:strRef>
              <c:f>Grafiks!$A$11</c:f>
              <c:strCache>
                <c:ptCount val="1"/>
                <c:pt idx="0">
                  <c:v>Saprašanās Memorandā noteiktās saistības 2011.gadam</c:v>
                </c:pt>
              </c:strCache>
            </c:strRef>
          </c:tx>
          <c:dLbls>
            <c:dLbl>
              <c:idx val="4"/>
              <c:layout>
                <c:manualLayout>
                  <c:x val="-2.5418833044482957E-2"/>
                  <c:y val="-6.4814814814814811E-2"/>
                </c:manualLayout>
              </c:layout>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Grafiks!$B$9:$F$9</c:f>
              <c:strCache>
                <c:ptCount val="5"/>
                <c:pt idx="0">
                  <c:v>01.Jan</c:v>
                </c:pt>
                <c:pt idx="1">
                  <c:v>I</c:v>
                </c:pt>
                <c:pt idx="2">
                  <c:v>II</c:v>
                </c:pt>
                <c:pt idx="3">
                  <c:v>III</c:v>
                </c:pt>
                <c:pt idx="4">
                  <c:v>IV</c:v>
                </c:pt>
              </c:strCache>
            </c:strRef>
          </c:cat>
          <c:val>
            <c:numRef>
              <c:f>Grafiks!$B$11:$F$11</c:f>
              <c:numCache>
                <c:formatCode>General</c:formatCode>
                <c:ptCount val="5"/>
                <c:pt idx="4" formatCode="#,##0">
                  <c:v>415357164</c:v>
                </c:pt>
              </c:numCache>
            </c:numRef>
          </c:val>
          <c:smooth val="0"/>
        </c:ser>
        <c:ser>
          <c:idx val="2"/>
          <c:order val="2"/>
          <c:tx>
            <c:strRef>
              <c:f>Grafiks!$A$12</c:f>
              <c:strCache>
                <c:ptCount val="1"/>
                <c:pt idx="0">
                  <c:v>Maksājumi FS (janv.-marts 2011.g.)</c:v>
                </c:pt>
              </c:strCache>
            </c:strRef>
          </c:tx>
          <c:dLbls>
            <c:dLbl>
              <c:idx val="0"/>
              <c:layout>
                <c:manualLayout>
                  <c:x val="-6.563644882344645E-2"/>
                  <c:y val="0"/>
                </c:manualLayout>
              </c:layout>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Grafiks!$B$9:$F$9</c:f>
              <c:strCache>
                <c:ptCount val="5"/>
                <c:pt idx="0">
                  <c:v>01.Jan</c:v>
                </c:pt>
                <c:pt idx="1">
                  <c:v>I</c:v>
                </c:pt>
                <c:pt idx="2">
                  <c:v>II</c:v>
                </c:pt>
                <c:pt idx="3">
                  <c:v>III</c:v>
                </c:pt>
                <c:pt idx="4">
                  <c:v>IV</c:v>
                </c:pt>
              </c:strCache>
            </c:strRef>
          </c:cat>
          <c:val>
            <c:numRef>
              <c:f>Grafiks!$B$12:$F$12</c:f>
              <c:numCache>
                <c:formatCode>#,##0</c:formatCode>
                <c:ptCount val="5"/>
                <c:pt idx="0" formatCode="General">
                  <c:v>0</c:v>
                </c:pt>
                <c:pt idx="1">
                  <c:v>56400000</c:v>
                </c:pt>
                <c:pt idx="2">
                  <c:v>131676483.17054403</c:v>
                </c:pt>
              </c:numCache>
            </c:numRef>
          </c:val>
          <c:smooth val="0"/>
        </c:ser>
        <c:dLbls>
          <c:showLegendKey val="0"/>
          <c:showVal val="0"/>
          <c:showCatName val="0"/>
          <c:showSerName val="0"/>
          <c:showPercent val="0"/>
          <c:showBubbleSize val="0"/>
        </c:dLbls>
        <c:marker val="1"/>
        <c:smooth val="0"/>
        <c:axId val="140263808"/>
        <c:axId val="140265344"/>
      </c:lineChart>
      <c:catAx>
        <c:axId val="140263808"/>
        <c:scaling>
          <c:orientation val="minMax"/>
        </c:scaling>
        <c:delete val="0"/>
        <c:axPos val="b"/>
        <c:majorTickMark val="out"/>
        <c:minorTickMark val="none"/>
        <c:tickLblPos val="nextTo"/>
        <c:crossAx val="140265344"/>
        <c:crosses val="autoZero"/>
        <c:auto val="1"/>
        <c:lblAlgn val="ctr"/>
        <c:lblOffset val="100"/>
        <c:noMultiLvlLbl val="0"/>
      </c:catAx>
      <c:valAx>
        <c:axId val="140265344"/>
        <c:scaling>
          <c:orientation val="minMax"/>
        </c:scaling>
        <c:delete val="0"/>
        <c:axPos val="l"/>
        <c:majorGridlines/>
        <c:numFmt formatCode="General" sourceLinked="1"/>
        <c:majorTickMark val="out"/>
        <c:minorTickMark val="none"/>
        <c:tickLblPos val="nextTo"/>
        <c:crossAx val="140263808"/>
        <c:crosses val="autoZero"/>
        <c:crossBetween val="between"/>
        <c:dispUnits>
          <c:builtInUnit val="millions"/>
        </c:dispUnits>
      </c:valAx>
    </c:plotArea>
    <c:legend>
      <c:legendPos val="r"/>
      <c:overlay val="0"/>
    </c:legend>
    <c:plotVisOnly val="1"/>
    <c:dispBlanksAs val="gap"/>
    <c:showDLblsOverMax val="0"/>
  </c:chart>
  <c:spPr>
    <a:noFill/>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46029976756328067"/>
          <c:y val="2.1715607892630561E-2"/>
          <c:w val="0.48550869962292614"/>
          <c:h val="0.80783574588155505"/>
        </c:manualLayout>
      </c:layout>
      <c:bar3DChart>
        <c:barDir val="bar"/>
        <c:grouping val="clustered"/>
        <c:varyColors val="0"/>
        <c:ser>
          <c:idx val="6"/>
          <c:order val="0"/>
          <c:tx>
            <c:strRef>
              <c:f>'1DP'!$L$4</c:f>
              <c:strCache>
                <c:ptCount val="1"/>
                <c:pt idx="0">
                  <c:v>Izmaksāts finansējuma saņēmējam</c:v>
                </c:pt>
              </c:strCache>
            </c:strRef>
          </c:tx>
          <c:spPr>
            <a:solidFill>
              <a:schemeClr val="accent3"/>
            </a:solidFill>
          </c:spPr>
          <c:invertIfNegative val="0"/>
          <c:dLbls>
            <c:dLbl>
              <c:idx val="0"/>
              <c:tx>
                <c:rich>
                  <a:bodyPr/>
                  <a:lstStyle/>
                  <a:p>
                    <a:r>
                      <a:rPr lang="en-US" sz="900"/>
                      <a:t>4,8</a:t>
                    </a:r>
                    <a:r>
                      <a:rPr lang="lv-LV" sz="900"/>
                      <a:t> (37,1%); 3,3%</a:t>
                    </a:r>
                    <a:endParaRPr lang="en-US"/>
                  </a:p>
                </c:rich>
              </c:tx>
              <c:showLegendKey val="0"/>
              <c:showVal val="1"/>
              <c:showCatName val="0"/>
              <c:showSerName val="0"/>
              <c:showPercent val="0"/>
              <c:showBubbleSize val="0"/>
            </c:dLbl>
            <c:dLbl>
              <c:idx val="1"/>
              <c:tx>
                <c:rich>
                  <a:bodyPr/>
                  <a:lstStyle/>
                  <a:p>
                    <a:r>
                      <a:rPr lang="en-US" sz="900"/>
                      <a:t>5,5</a:t>
                    </a:r>
                    <a:r>
                      <a:rPr lang="lv-LV" sz="900"/>
                      <a:t> (27,65); 4,3%</a:t>
                    </a:r>
                    <a:endParaRPr lang="en-US"/>
                  </a:p>
                </c:rich>
              </c:tx>
              <c:showLegendKey val="0"/>
              <c:showVal val="1"/>
              <c:showCatName val="0"/>
              <c:showSerName val="0"/>
              <c:showPercent val="0"/>
              <c:showBubbleSize val="0"/>
            </c:dLbl>
            <c:dLbl>
              <c:idx val="2"/>
              <c:tx>
                <c:rich>
                  <a:bodyPr/>
                  <a:lstStyle/>
                  <a:p>
                    <a:r>
                      <a:rPr lang="en-US" sz="900"/>
                      <a:t>12,7</a:t>
                    </a:r>
                    <a:r>
                      <a:rPr lang="lv-LV" sz="900"/>
                      <a:t> (30,8%); 25,6%</a:t>
                    </a:r>
                    <a:endParaRPr lang="en-US"/>
                  </a:p>
                </c:rich>
              </c:tx>
              <c:showLegendKey val="0"/>
              <c:showVal val="1"/>
              <c:showCatName val="0"/>
              <c:showSerName val="0"/>
              <c:showPercent val="0"/>
              <c:showBubbleSize val="0"/>
            </c:dLbl>
            <c:dLbl>
              <c:idx val="3"/>
              <c:tx>
                <c:rich>
                  <a:bodyPr/>
                  <a:lstStyle/>
                  <a:p>
                    <a:r>
                      <a:rPr lang="en-US" sz="900"/>
                      <a:t>113,3</a:t>
                    </a:r>
                    <a:r>
                      <a:rPr lang="lv-LV" sz="900"/>
                      <a:t> (70,7); 5,5%</a:t>
                    </a:r>
                    <a:endParaRPr lang="en-US"/>
                  </a:p>
                </c:rich>
              </c:tx>
              <c:showLegendKey val="0"/>
              <c:showVal val="1"/>
              <c:showCatName val="0"/>
              <c:showSerName val="0"/>
              <c:showPercent val="0"/>
              <c:showBubbleSize val="0"/>
            </c:dLbl>
            <c:dLbl>
              <c:idx val="4"/>
              <c:tx>
                <c:rich>
                  <a:bodyPr/>
                  <a:lstStyle/>
                  <a:p>
                    <a:r>
                      <a:rPr lang="en-US" sz="900"/>
                      <a:t>38,7</a:t>
                    </a:r>
                    <a:r>
                      <a:rPr lang="lv-LV" sz="900"/>
                      <a:t> (37,6%); 8,1%</a:t>
                    </a:r>
                    <a:endParaRPr lang="en-US"/>
                  </a:p>
                </c:rich>
              </c:tx>
              <c:showLegendKey val="0"/>
              <c:showVal val="1"/>
              <c:showCatName val="0"/>
              <c:showSerName val="0"/>
              <c:showPercent val="0"/>
              <c:showBubbleSize val="0"/>
            </c:dLbl>
            <c:dLbl>
              <c:idx val="5"/>
              <c:tx>
                <c:rich>
                  <a:bodyPr/>
                  <a:lstStyle/>
                  <a:p>
                    <a:r>
                      <a:rPr lang="en-US" sz="900"/>
                      <a:t>46,4</a:t>
                    </a:r>
                    <a:r>
                      <a:rPr lang="lv-LV" sz="900"/>
                      <a:t> (50,8%); 4,9%</a:t>
                    </a:r>
                    <a:endParaRPr lang="en-US"/>
                  </a:p>
                </c:rich>
              </c:tx>
              <c:showLegendKey val="0"/>
              <c:showVal val="1"/>
              <c:showCatName val="0"/>
              <c:showSerName val="0"/>
              <c:showPercent val="0"/>
              <c:showBubbleSize val="0"/>
            </c:dLbl>
            <c:dLbl>
              <c:idx val="6"/>
              <c:tx>
                <c:rich>
                  <a:bodyPr/>
                  <a:lstStyle/>
                  <a:p>
                    <a:r>
                      <a:rPr lang="en-US" sz="900"/>
                      <a:t>221,2</a:t>
                    </a:r>
                    <a:r>
                      <a:rPr lang="lv-LV" sz="900"/>
                      <a:t> (51,7%); 7,0%</a:t>
                    </a:r>
                    <a:endParaRPr lang="en-US"/>
                  </a:p>
                </c:rich>
              </c:tx>
              <c:showLegendKey val="0"/>
              <c:showVal val="1"/>
              <c:showCatName val="0"/>
              <c:showSerName val="0"/>
              <c:showPercent val="0"/>
              <c:showBubbleSize val="0"/>
            </c:dLbl>
            <c:numFmt formatCode="#,##0.0" sourceLinked="0"/>
            <c:txPr>
              <a:bodyPr/>
              <a:lstStyle/>
              <a:p>
                <a:pPr>
                  <a:defRPr sz="900"/>
                </a:pPr>
                <a:endParaRPr lang="lv-LV"/>
              </a:p>
            </c:txPr>
            <c:showLegendKey val="0"/>
            <c:showVal val="1"/>
            <c:showCatName val="0"/>
            <c:showSerName val="0"/>
            <c:showPercent val="0"/>
            <c:showBubbleSize val="0"/>
            <c:showLeaderLines val="0"/>
          </c:dLbls>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'1DP'!$L$5:$L$11</c:f>
              <c:numCache>
                <c:formatCode>#,##0</c:formatCode>
                <c:ptCount val="7"/>
                <c:pt idx="0">
                  <c:v>4767564.96</c:v>
                </c:pt>
                <c:pt idx="1">
                  <c:v>5485302.9699999997</c:v>
                </c:pt>
                <c:pt idx="2">
                  <c:v>12662087.880000001</c:v>
                </c:pt>
                <c:pt idx="3">
                  <c:v>113287422.77</c:v>
                </c:pt>
                <c:pt idx="4">
                  <c:v>38654368.780000001</c:v>
                </c:pt>
                <c:pt idx="5">
                  <c:v>46389237.700000003</c:v>
                </c:pt>
                <c:pt idx="6" formatCode="#,##0;\(#,##0\)">
                  <c:v>221245985.06</c:v>
                </c:pt>
              </c:numCache>
            </c:numRef>
          </c:val>
        </c:ser>
        <c:ser>
          <c:idx val="5"/>
          <c:order val="1"/>
          <c:tx>
            <c:strRef>
              <c:f>'1DP'!$H$4</c:f>
              <c:strCache>
                <c:ptCount val="1"/>
                <c:pt idx="0">
                  <c:v>Apstiprināti projekti</c:v>
                </c:pt>
              </c:strCache>
            </c:strRef>
          </c:tx>
          <c:spPr>
            <a:solidFill>
              <a:schemeClr val="accent2"/>
            </a:solidFill>
          </c:spPr>
          <c:invertIfNegative val="0"/>
          <c:dLbls>
            <c:dLbl>
              <c:idx val="0"/>
              <c:tx>
                <c:rich>
                  <a:bodyPr/>
                  <a:lstStyle/>
                  <a:p>
                    <a:r>
                      <a:rPr lang="en-US" sz="900"/>
                      <a:t>7,5</a:t>
                    </a:r>
                    <a:r>
                      <a:rPr lang="lv-LV" sz="900"/>
                      <a:t> (58,4%); -12,1%)</a:t>
                    </a:r>
                    <a:endParaRPr lang="en-US"/>
                  </a:p>
                </c:rich>
              </c:tx>
              <c:showLegendKey val="0"/>
              <c:showVal val="1"/>
              <c:showCatName val="0"/>
              <c:showSerName val="0"/>
              <c:showPercent val="0"/>
              <c:showBubbleSize val="0"/>
            </c:dLbl>
            <c:dLbl>
              <c:idx val="1"/>
              <c:tx>
                <c:rich>
                  <a:bodyPr/>
                  <a:lstStyle/>
                  <a:p>
                    <a:r>
                      <a:rPr lang="en-US" sz="900"/>
                      <a:t>17,3</a:t>
                    </a:r>
                    <a:r>
                      <a:rPr lang="lv-LV" sz="900"/>
                      <a:t> (87,3%);</a:t>
                    </a:r>
                    <a:r>
                      <a:rPr lang="lv-LV" sz="900" baseline="0"/>
                      <a:t> 3,0%</a:t>
                    </a:r>
                    <a:endParaRPr lang="en-US"/>
                  </a:p>
                </c:rich>
              </c:tx>
              <c:showLegendKey val="0"/>
              <c:showVal val="1"/>
              <c:showCatName val="0"/>
              <c:showSerName val="0"/>
              <c:showPercent val="0"/>
              <c:showBubbleSize val="0"/>
            </c:dLbl>
            <c:dLbl>
              <c:idx val="2"/>
              <c:tx>
                <c:rich>
                  <a:bodyPr/>
                  <a:lstStyle/>
                  <a:p>
                    <a:r>
                      <a:rPr lang="en-US" sz="900"/>
                      <a:t>30,6</a:t>
                    </a:r>
                    <a:r>
                      <a:rPr lang="lv-LV" sz="900"/>
                      <a:t> (74,4%); -0,1%</a:t>
                    </a:r>
                    <a:endParaRPr lang="en-US"/>
                  </a:p>
                </c:rich>
              </c:tx>
              <c:showLegendKey val="0"/>
              <c:showVal val="1"/>
              <c:showCatName val="0"/>
              <c:showSerName val="0"/>
              <c:showPercent val="0"/>
              <c:showBubbleSize val="0"/>
            </c:dLbl>
            <c:dLbl>
              <c:idx val="3"/>
              <c:tx>
                <c:rich>
                  <a:bodyPr/>
                  <a:lstStyle/>
                  <a:p>
                    <a:r>
                      <a:rPr lang="en-US" sz="900"/>
                      <a:t>164,9</a:t>
                    </a:r>
                    <a:r>
                      <a:rPr lang="lv-LV" sz="900"/>
                      <a:t> (102,9%); 3,7%</a:t>
                    </a:r>
                    <a:endParaRPr lang="en-US"/>
                  </a:p>
                </c:rich>
              </c:tx>
              <c:showLegendKey val="0"/>
              <c:showVal val="1"/>
              <c:showCatName val="0"/>
              <c:showSerName val="0"/>
              <c:showPercent val="0"/>
              <c:showBubbleSize val="0"/>
            </c:dLbl>
            <c:dLbl>
              <c:idx val="4"/>
              <c:tx>
                <c:rich>
                  <a:bodyPr/>
                  <a:lstStyle/>
                  <a:p>
                    <a:r>
                      <a:rPr lang="en-US" sz="900"/>
                      <a:t>98,4</a:t>
                    </a:r>
                    <a:r>
                      <a:rPr lang="lv-LV" sz="900"/>
                      <a:t> (95,7%); -0,3%</a:t>
                    </a:r>
                    <a:endParaRPr lang="en-US"/>
                  </a:p>
                </c:rich>
              </c:tx>
              <c:showLegendKey val="0"/>
              <c:showVal val="1"/>
              <c:showCatName val="0"/>
              <c:showSerName val="0"/>
              <c:showPercent val="0"/>
              <c:showBubbleSize val="0"/>
            </c:dLbl>
            <c:dLbl>
              <c:idx val="5"/>
              <c:tx>
                <c:rich>
                  <a:bodyPr/>
                  <a:lstStyle/>
                  <a:p>
                    <a:r>
                      <a:rPr lang="en-US" sz="900"/>
                      <a:t>81,5</a:t>
                    </a:r>
                    <a:r>
                      <a:rPr lang="lv-LV" sz="900"/>
                      <a:t>(89,2%); -0,4%</a:t>
                    </a:r>
                    <a:endParaRPr lang="en-US"/>
                  </a:p>
                </c:rich>
              </c:tx>
              <c:showLegendKey val="0"/>
              <c:showVal val="1"/>
              <c:showCatName val="0"/>
              <c:showSerName val="0"/>
              <c:showPercent val="0"/>
              <c:showBubbleSize val="0"/>
            </c:dLbl>
            <c:dLbl>
              <c:idx val="6"/>
              <c:tx>
                <c:rich>
                  <a:bodyPr/>
                  <a:lstStyle/>
                  <a:p>
                    <a:r>
                      <a:rPr lang="en-US" sz="900"/>
                      <a:t>400,2</a:t>
                    </a:r>
                    <a:r>
                      <a:rPr lang="lv-LV" sz="900"/>
                      <a:t> (92,5%); 1,0%</a:t>
                    </a:r>
                    <a:endParaRPr lang="en-US"/>
                  </a:p>
                </c:rich>
              </c:tx>
              <c:showLegendKey val="0"/>
              <c:showVal val="1"/>
              <c:showCatName val="0"/>
              <c:showSerName val="0"/>
              <c:showPercent val="0"/>
              <c:showBubbleSize val="0"/>
            </c:dLbl>
            <c:numFmt formatCode="#,##0.0" sourceLinked="0"/>
            <c:txPr>
              <a:bodyPr/>
              <a:lstStyle/>
              <a:p>
                <a:pPr>
                  <a:defRPr sz="900"/>
                </a:pPr>
                <a:endParaRPr lang="lv-LV"/>
              </a:p>
            </c:txPr>
            <c:showLegendKey val="0"/>
            <c:showVal val="1"/>
            <c:showCatName val="0"/>
            <c:showSerName val="0"/>
            <c:showPercent val="0"/>
            <c:showBubbleSize val="0"/>
            <c:showLeaderLines val="0"/>
          </c:dLbls>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'1DP'!$H$5:$H$11</c:f>
              <c:numCache>
                <c:formatCode>General</c:formatCode>
                <c:ptCount val="7"/>
                <c:pt idx="0">
                  <c:v>7505785.04</c:v>
                </c:pt>
                <c:pt idx="1">
                  <c:v>17321539.48</c:v>
                </c:pt>
                <c:pt idx="2">
                  <c:v>30596488.460000001</c:v>
                </c:pt>
                <c:pt idx="3">
                  <c:v>164915015.13</c:v>
                </c:pt>
                <c:pt idx="4">
                  <c:v>98400698</c:v>
                </c:pt>
                <c:pt idx="5">
                  <c:v>81474791</c:v>
                </c:pt>
                <c:pt idx="6" formatCode="#,##0.00">
                  <c:v>400214317.11000001</c:v>
                </c:pt>
              </c:numCache>
            </c:numRef>
          </c:val>
        </c:ser>
        <c:ser>
          <c:idx val="0"/>
          <c:order val="2"/>
          <c:tx>
            <c:strRef>
              <c:f>'1DP'!$C$4</c:f>
              <c:strCache>
                <c:ptCount val="1"/>
                <c:pt idx="0">
                  <c:v>Prioritātē pieejamais finansējums</c:v>
                </c:pt>
              </c:strCache>
            </c:strRef>
          </c:tx>
          <c:invertIfNegative val="0"/>
          <c:dLbls>
            <c:dLbl>
              <c:idx val="0"/>
              <c:tx>
                <c:rich>
                  <a:bodyPr/>
                  <a:lstStyle/>
                  <a:p>
                    <a:r>
                      <a:rPr lang="en-US" sz="900"/>
                      <a:t>12,8</a:t>
                    </a:r>
                    <a:r>
                      <a:rPr lang="lv-LV" sz="900" b="0" i="0" u="none" strike="noStrike" baseline="0">
                        <a:effectLst/>
                      </a:rPr>
                      <a:t>(100%)</a:t>
                    </a:r>
                    <a:endParaRPr lang="en-US"/>
                  </a:p>
                </c:rich>
              </c:tx>
              <c:showLegendKey val="0"/>
              <c:showVal val="1"/>
              <c:showCatName val="0"/>
              <c:showSerName val="0"/>
              <c:showPercent val="0"/>
              <c:showBubbleSize val="0"/>
            </c:dLbl>
            <c:dLbl>
              <c:idx val="1"/>
              <c:tx>
                <c:rich>
                  <a:bodyPr/>
                  <a:lstStyle/>
                  <a:p>
                    <a:r>
                      <a:rPr lang="en-US" sz="900"/>
                      <a:t>19,8</a:t>
                    </a:r>
                    <a:r>
                      <a:rPr lang="lv-LV" sz="900" b="0" i="0" u="none" strike="noStrike" baseline="0">
                        <a:effectLst/>
                      </a:rPr>
                      <a:t>(100%)</a:t>
                    </a:r>
                    <a:endParaRPr lang="en-US"/>
                  </a:p>
                </c:rich>
              </c:tx>
              <c:showLegendKey val="0"/>
              <c:showVal val="1"/>
              <c:showCatName val="0"/>
              <c:showSerName val="0"/>
              <c:showPercent val="0"/>
              <c:showBubbleSize val="0"/>
            </c:dLbl>
            <c:dLbl>
              <c:idx val="2"/>
              <c:tx>
                <c:rich>
                  <a:bodyPr/>
                  <a:lstStyle/>
                  <a:p>
                    <a:r>
                      <a:rPr lang="en-US" sz="900"/>
                      <a:t>41,1</a:t>
                    </a:r>
                    <a:r>
                      <a:rPr lang="lv-LV" sz="900" b="0" i="0" u="none" strike="noStrike" baseline="0">
                        <a:effectLst/>
                      </a:rPr>
                      <a:t>(100%)</a:t>
                    </a:r>
                    <a:endParaRPr lang="en-US"/>
                  </a:p>
                </c:rich>
              </c:tx>
              <c:showLegendKey val="0"/>
              <c:showVal val="1"/>
              <c:showCatName val="0"/>
              <c:showSerName val="0"/>
              <c:showPercent val="0"/>
              <c:showBubbleSize val="0"/>
            </c:dLbl>
            <c:dLbl>
              <c:idx val="3"/>
              <c:tx>
                <c:rich>
                  <a:bodyPr/>
                  <a:lstStyle/>
                  <a:p>
                    <a:r>
                      <a:rPr lang="en-US" sz="900"/>
                      <a:t>160,2</a:t>
                    </a:r>
                    <a:r>
                      <a:rPr lang="lv-LV" sz="900" b="0" i="0" u="none" strike="noStrike" baseline="0">
                        <a:effectLst/>
                      </a:rPr>
                      <a:t>(100%)</a:t>
                    </a:r>
                    <a:endParaRPr lang="en-US"/>
                  </a:p>
                </c:rich>
              </c:tx>
              <c:showLegendKey val="0"/>
              <c:showVal val="1"/>
              <c:showCatName val="0"/>
              <c:showSerName val="0"/>
              <c:showPercent val="0"/>
              <c:showBubbleSize val="0"/>
            </c:dLbl>
            <c:dLbl>
              <c:idx val="4"/>
              <c:tx>
                <c:rich>
                  <a:bodyPr/>
                  <a:lstStyle/>
                  <a:p>
                    <a:r>
                      <a:rPr lang="en-US" sz="900"/>
                      <a:t>102,8</a:t>
                    </a:r>
                    <a:r>
                      <a:rPr lang="lv-LV" sz="900" b="0" i="0" u="none" strike="noStrike" baseline="0">
                        <a:effectLst/>
                      </a:rPr>
                      <a:t>(100%)</a:t>
                    </a:r>
                    <a:endParaRPr lang="en-US"/>
                  </a:p>
                </c:rich>
              </c:tx>
              <c:showLegendKey val="0"/>
              <c:showVal val="1"/>
              <c:showCatName val="0"/>
              <c:showSerName val="0"/>
              <c:showPercent val="0"/>
              <c:showBubbleSize val="0"/>
            </c:dLbl>
            <c:dLbl>
              <c:idx val="5"/>
              <c:tx>
                <c:rich>
                  <a:bodyPr/>
                  <a:lstStyle/>
                  <a:p>
                    <a:r>
                      <a:rPr lang="en-US" sz="900"/>
                      <a:t>91,4</a:t>
                    </a:r>
                    <a:r>
                      <a:rPr lang="lv-LV" sz="900" b="0" i="0" u="none" strike="noStrike" baseline="0">
                        <a:effectLst/>
                      </a:rPr>
                      <a:t>(100%)</a:t>
                    </a:r>
                    <a:endParaRPr lang="en-US"/>
                  </a:p>
                </c:rich>
              </c:tx>
              <c:showLegendKey val="0"/>
              <c:showVal val="1"/>
              <c:showCatName val="0"/>
              <c:showSerName val="0"/>
              <c:showPercent val="0"/>
              <c:showBubbleSize val="0"/>
            </c:dLbl>
            <c:dLbl>
              <c:idx val="6"/>
              <c:tx>
                <c:rich>
                  <a:bodyPr/>
                  <a:lstStyle/>
                  <a:p>
                    <a:r>
                      <a:rPr lang="en-US" sz="900"/>
                      <a:t>428,2</a:t>
                    </a:r>
                    <a:r>
                      <a:rPr lang="lv-LV" sz="900"/>
                      <a:t> (100%)</a:t>
                    </a:r>
                    <a:endParaRPr lang="en-US"/>
                  </a:p>
                </c:rich>
              </c:tx>
              <c:showLegendKey val="0"/>
              <c:showVal val="1"/>
              <c:showCatName val="0"/>
              <c:showSerName val="0"/>
              <c:showPercent val="0"/>
              <c:showBubbleSize val="0"/>
            </c:dLbl>
            <c:numFmt formatCode="#,##0.0" sourceLinked="0"/>
            <c:txPr>
              <a:bodyPr/>
              <a:lstStyle/>
              <a:p>
                <a:pPr>
                  <a:defRPr sz="900"/>
                </a:pPr>
                <a:endParaRPr lang="lv-LV"/>
              </a:p>
            </c:txPr>
            <c:showLegendKey val="0"/>
            <c:showVal val="1"/>
            <c:showCatName val="0"/>
            <c:showSerName val="0"/>
            <c:showPercent val="0"/>
            <c:showBubbleSize val="0"/>
            <c:showLeaderLines val="0"/>
          </c:dLbls>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'1DP'!$C$5:$C$11</c:f>
              <c:numCache>
                <c:formatCode>#,##0;\(#,##0\)</c:formatCode>
                <c:ptCount val="7"/>
                <c:pt idx="0">
                  <c:v>12847761.029999999</c:v>
                </c:pt>
                <c:pt idx="1">
                  <c:v>19842791.030000001</c:v>
                </c:pt>
                <c:pt idx="2">
                  <c:v>41101043</c:v>
                </c:pt>
                <c:pt idx="3">
                  <c:v>160238741</c:v>
                </c:pt>
                <c:pt idx="4">
                  <c:v>102794756.28999999</c:v>
                </c:pt>
                <c:pt idx="5">
                  <c:v>91384937.86999999</c:v>
                </c:pt>
                <c:pt idx="6">
                  <c:v>428210030.21999991</c:v>
                </c:pt>
              </c:numCache>
            </c:numRef>
          </c:val>
        </c:ser>
        <c:ser>
          <c:idx val="1"/>
          <c:order val="3"/>
          <c:tx>
            <c:strRef>
              <c:f>'1DP'!$D$4</c:f>
              <c:strCache>
                <c:ptCount val="1"/>
                <c:pt idx="0">
                  <c:v>Apstiprinātie projekti (publiskais fin.); LVL</c:v>
                </c:pt>
              </c:strCache>
            </c:strRef>
          </c:tx>
          <c:invertIfNegative val="0"/>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'1DP'!$D$5:$D$11</c:f>
            </c:numRef>
          </c:val>
        </c:ser>
        <c:ser>
          <c:idx val="2"/>
          <c:order val="4"/>
          <c:tx>
            <c:strRef>
              <c:f>'1DP'!$E$4</c:f>
              <c:strCache>
                <c:ptCount val="1"/>
                <c:pt idx="0">
                  <c:v>Apstiprinātie projekti (publiskais fin.); % no prioritātē pieejamā publiskā fin.</c:v>
                </c:pt>
              </c:strCache>
            </c:strRef>
          </c:tx>
          <c:invertIfNegative val="0"/>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'1DP'!$E$5:$E$11</c:f>
            </c:numRef>
          </c:val>
        </c:ser>
        <c:ser>
          <c:idx val="3"/>
          <c:order val="5"/>
          <c:tx>
            <c:strRef>
              <c:f>'1DP'!$F$4</c:f>
              <c:strCache>
                <c:ptCount val="1"/>
                <c:pt idx="0">
                  <c:v>Apstiprinātie projekti (publiskais fin.) uz 31.03.2011; % no prioritātē pieejamā publiskā fin.</c:v>
                </c:pt>
              </c:strCache>
            </c:strRef>
          </c:tx>
          <c:invertIfNegative val="0"/>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'1DP'!$F$5:$F$11</c:f>
            </c:numRef>
          </c:val>
        </c:ser>
        <c:ser>
          <c:idx val="4"/>
          <c:order val="6"/>
          <c:tx>
            <c:strRef>
              <c:f>'1DP'!$G$4</c:f>
              <c:strCache>
                <c:ptCount val="1"/>
                <c:pt idx="0">
                  <c:v>Progress apstiprinātajiem projektiem pret datiem uz 31.12.2011; % no prioritātē pieejamā publiskā fin.</c:v>
                </c:pt>
              </c:strCache>
            </c:strRef>
          </c:tx>
          <c:invertIfNegative val="0"/>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'1DP'!$G$5:$G$11</c:f>
            </c:numRef>
          </c:val>
        </c:ser>
        <c:dLbls>
          <c:showLegendKey val="0"/>
          <c:showVal val="0"/>
          <c:showCatName val="0"/>
          <c:showSerName val="0"/>
          <c:showPercent val="0"/>
          <c:showBubbleSize val="0"/>
        </c:dLbls>
        <c:gapWidth val="150"/>
        <c:shape val="box"/>
        <c:axId val="140370688"/>
        <c:axId val="140372224"/>
        <c:axId val="0"/>
      </c:bar3DChart>
      <c:catAx>
        <c:axId val="140370688"/>
        <c:scaling>
          <c:orientation val="minMax"/>
        </c:scaling>
        <c:delete val="0"/>
        <c:axPos val="l"/>
        <c:majorTickMark val="out"/>
        <c:minorTickMark val="none"/>
        <c:tickLblPos val="nextTo"/>
        <c:txPr>
          <a:bodyPr/>
          <a:lstStyle/>
          <a:p>
            <a:pPr>
              <a:defRPr sz="1200"/>
            </a:pPr>
            <a:endParaRPr lang="lv-LV"/>
          </a:p>
        </c:txPr>
        <c:crossAx val="140372224"/>
        <c:crosses val="autoZero"/>
        <c:auto val="1"/>
        <c:lblAlgn val="ctr"/>
        <c:lblOffset val="100"/>
        <c:noMultiLvlLbl val="0"/>
      </c:catAx>
      <c:valAx>
        <c:axId val="140372224"/>
        <c:scaling>
          <c:orientation val="minMax"/>
        </c:scaling>
        <c:delete val="0"/>
        <c:axPos val="b"/>
        <c:majorGridlines/>
        <c:numFmt formatCode="#,##0" sourceLinked="0"/>
        <c:majorTickMark val="out"/>
        <c:minorTickMark val="none"/>
        <c:tickLblPos val="nextTo"/>
        <c:crossAx val="140370688"/>
        <c:crosses val="autoZero"/>
        <c:crossBetween val="between"/>
        <c:majorUnit val="100000000"/>
        <c:minorUnit val="40000000"/>
        <c:dispUnits>
          <c:builtInUnit val="millions"/>
        </c:dispUnits>
      </c:valAx>
      <c:spPr>
        <a:noFill/>
        <a:ln>
          <a:noFill/>
        </a:ln>
      </c:spPr>
    </c:plotArea>
    <c:legend>
      <c:legendPos val="b"/>
      <c:layout>
        <c:manualLayout>
          <c:xMode val="edge"/>
          <c:yMode val="edge"/>
          <c:x val="1.8722535133918534E-2"/>
          <c:y val="0.869072142560676"/>
          <c:w val="0.98127740865346624"/>
          <c:h val="0.10395054612434354"/>
        </c:manualLayout>
      </c:layout>
      <c:overlay val="0"/>
      <c:spPr>
        <a:ln>
          <a:noFill/>
        </a:ln>
      </c:spPr>
      <c:txPr>
        <a:bodyPr/>
        <a:lstStyle/>
        <a:p>
          <a:pPr>
            <a:defRPr sz="1100"/>
          </a:pPr>
          <a:endParaRPr lang="lv-LV"/>
        </a:p>
      </c:txPr>
    </c:legend>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29719087445644854"/>
          <c:y val="3.4388428749120292E-2"/>
          <c:w val="0.62162698871480437"/>
          <c:h val="0.74096855175755838"/>
        </c:manualLayout>
      </c:layout>
      <c:bar3DChart>
        <c:barDir val="bar"/>
        <c:grouping val="clustered"/>
        <c:varyColors val="0"/>
        <c:ser>
          <c:idx val="7"/>
          <c:order val="0"/>
          <c:tx>
            <c:strRef>
              <c:f>'2DP'!$M$3</c:f>
              <c:strCache>
                <c:ptCount val="1"/>
                <c:pt idx="0">
                  <c:v>Izmaksāts finansējuma saņēmējam </c:v>
                </c:pt>
              </c:strCache>
            </c:strRef>
          </c:tx>
          <c:spPr>
            <a:solidFill>
              <a:schemeClr val="accent3">
                <a:lumMod val="75000"/>
              </a:schemeClr>
            </a:solidFill>
          </c:spPr>
          <c:invertIfNegative val="0"/>
          <c:dLbls>
            <c:dLbl>
              <c:idx val="0"/>
              <c:tx>
                <c:rich>
                  <a:bodyPr/>
                  <a:lstStyle/>
                  <a:p>
                    <a:r>
                      <a:rPr lang="en-US" sz="900"/>
                      <a:t>4,</a:t>
                    </a:r>
                    <a:r>
                      <a:rPr lang="lv-LV" sz="900"/>
                      <a:t>7</a:t>
                    </a:r>
                    <a:r>
                      <a:rPr lang="lv-LV" sz="900" baseline="0"/>
                      <a:t> (29,3%); 5,0%</a:t>
                    </a:r>
                    <a:endParaRPr lang="en-US"/>
                  </a:p>
                </c:rich>
              </c:tx>
              <c:showLegendKey val="0"/>
              <c:showVal val="1"/>
              <c:showCatName val="0"/>
              <c:showSerName val="0"/>
              <c:showPercent val="0"/>
              <c:showBubbleSize val="0"/>
            </c:dLbl>
            <c:dLbl>
              <c:idx val="1"/>
              <c:tx>
                <c:rich>
                  <a:bodyPr/>
                  <a:lstStyle/>
                  <a:p>
                    <a:r>
                      <a:rPr lang="en-US" sz="900"/>
                      <a:t>11,0</a:t>
                    </a:r>
                    <a:r>
                      <a:rPr lang="lv-LV" sz="900"/>
                      <a:t> (19,1%); 3,9%</a:t>
                    </a:r>
                    <a:endParaRPr lang="en-US"/>
                  </a:p>
                </c:rich>
              </c:tx>
              <c:showLegendKey val="0"/>
              <c:showVal val="1"/>
              <c:showCatName val="0"/>
              <c:showSerName val="0"/>
              <c:showPercent val="0"/>
              <c:showBubbleSize val="0"/>
            </c:dLbl>
            <c:dLbl>
              <c:idx val="2"/>
              <c:tx>
                <c:rich>
                  <a:bodyPr/>
                  <a:lstStyle/>
                  <a:p>
                    <a:r>
                      <a:rPr lang="en-US" sz="900"/>
                      <a:t>170,3</a:t>
                    </a:r>
                    <a:r>
                      <a:rPr lang="lv-LV" sz="900" b="0" i="0" u="none" strike="noStrike" baseline="0">
                        <a:effectLst/>
                      </a:rPr>
                      <a:t>(100%); 0%</a:t>
                    </a:r>
                    <a:endParaRPr lang="en-US"/>
                  </a:p>
                </c:rich>
              </c:tx>
              <c:showLegendKey val="0"/>
              <c:showVal val="1"/>
              <c:showCatName val="0"/>
              <c:showSerName val="0"/>
              <c:showPercent val="0"/>
              <c:showBubbleSize val="0"/>
            </c:dLbl>
            <c:dLbl>
              <c:idx val="3"/>
              <c:tx>
                <c:rich>
                  <a:bodyPr/>
                  <a:lstStyle/>
                  <a:p>
                    <a:r>
                      <a:rPr lang="en-US" sz="900"/>
                      <a:t>40,7</a:t>
                    </a:r>
                    <a:r>
                      <a:rPr lang="lv-LV" sz="900"/>
                      <a:t> (12,7%);</a:t>
                    </a:r>
                    <a:r>
                      <a:rPr lang="lv-LV" sz="900" baseline="0"/>
                      <a:t> 3,8%</a:t>
                    </a:r>
                    <a:endParaRPr lang="en-US"/>
                  </a:p>
                </c:rich>
              </c:tx>
              <c:showLegendKey val="0"/>
              <c:showVal val="1"/>
              <c:showCatName val="0"/>
              <c:showSerName val="0"/>
              <c:showPercent val="0"/>
              <c:showBubbleSize val="0"/>
            </c:dLbl>
            <c:dLbl>
              <c:idx val="4"/>
              <c:tx>
                <c:rich>
                  <a:bodyPr/>
                  <a:lstStyle/>
                  <a:p>
                    <a:r>
                      <a:rPr lang="en-US" sz="900"/>
                      <a:t>226,7</a:t>
                    </a:r>
                    <a:r>
                      <a:rPr lang="lv-LV" sz="900"/>
                      <a:t> (40,2%); 2,7%</a:t>
                    </a:r>
                    <a:endParaRPr lang="en-US"/>
                  </a:p>
                </c:rich>
              </c:tx>
              <c:showLegendKey val="0"/>
              <c:showVal val="1"/>
              <c:showCatName val="0"/>
              <c:showSerName val="0"/>
              <c:showPercent val="0"/>
              <c:showBubbleSize val="0"/>
            </c:dLbl>
            <c:txPr>
              <a:bodyPr/>
              <a:lstStyle/>
              <a:p>
                <a:pPr>
                  <a:defRPr sz="900"/>
                </a:pPr>
                <a:endParaRPr lang="lv-LV"/>
              </a:p>
            </c:txPr>
            <c:showLegendKey val="0"/>
            <c:showVal val="1"/>
            <c:showCatName val="0"/>
            <c:showSerName val="0"/>
            <c:showPercent val="0"/>
            <c:showBubbleSize val="0"/>
            <c:showLeaderLines val="0"/>
          </c:dLbls>
          <c:cat>
            <c:strRef>
              <c:f>'2DP'!$B$4:$B$8</c:f>
              <c:strCache>
                <c:ptCount val="5"/>
                <c:pt idx="0">
                  <c:v>Tehniskā palīdzība</c:v>
                </c:pt>
                <c:pt idx="1">
                  <c:v>Uzņēmējdarbības veicināšana</c:v>
                </c:pt>
                <c:pt idx="2">
                  <c:v>Finanšu pieejamība</c:v>
                </c:pt>
                <c:pt idx="3">
                  <c:v>Zinātne un inovācijas</c:v>
                </c:pt>
                <c:pt idx="4">
                  <c:v>DP „Uzņēmējdarbība un inovācijas" kopā</c:v>
                </c:pt>
              </c:strCache>
            </c:strRef>
          </c:cat>
          <c:val>
            <c:numRef>
              <c:f>'2DP'!$M$4:$M$8</c:f>
              <c:numCache>
                <c:formatCode>#,##0.0</c:formatCode>
                <c:ptCount val="5"/>
                <c:pt idx="0">
                  <c:v>4728278.95</c:v>
                </c:pt>
                <c:pt idx="1">
                  <c:v>10979346.939999999</c:v>
                </c:pt>
                <c:pt idx="2">
                  <c:v>170300356</c:v>
                </c:pt>
                <c:pt idx="3">
                  <c:v>40727164.530000001</c:v>
                </c:pt>
                <c:pt idx="4">
                  <c:v>226735146.41999999</c:v>
                </c:pt>
              </c:numCache>
            </c:numRef>
          </c:val>
        </c:ser>
        <c:ser>
          <c:idx val="6"/>
          <c:order val="1"/>
          <c:tx>
            <c:strRef>
              <c:f>'2DP'!$I$3</c:f>
              <c:strCache>
                <c:ptCount val="1"/>
                <c:pt idx="0">
                  <c:v>Apstiprināti projekti</c:v>
                </c:pt>
              </c:strCache>
            </c:strRef>
          </c:tx>
          <c:spPr>
            <a:solidFill>
              <a:schemeClr val="accent2"/>
            </a:solidFill>
          </c:spPr>
          <c:invertIfNegative val="0"/>
          <c:dLbls>
            <c:dLbl>
              <c:idx val="0"/>
              <c:tx>
                <c:rich>
                  <a:bodyPr/>
                  <a:lstStyle/>
                  <a:p>
                    <a:r>
                      <a:rPr lang="en-US" sz="900"/>
                      <a:t>8,6</a:t>
                    </a:r>
                    <a:r>
                      <a:rPr lang="lv-LV" sz="900"/>
                      <a:t> (53,1%); -9,9%</a:t>
                    </a:r>
                    <a:endParaRPr lang="en-US"/>
                  </a:p>
                </c:rich>
              </c:tx>
              <c:showLegendKey val="0"/>
              <c:showVal val="1"/>
              <c:showCatName val="0"/>
              <c:showSerName val="0"/>
              <c:showPercent val="0"/>
              <c:showBubbleSize val="0"/>
            </c:dLbl>
            <c:dLbl>
              <c:idx val="1"/>
              <c:tx>
                <c:rich>
                  <a:bodyPr/>
                  <a:lstStyle/>
                  <a:p>
                    <a:r>
                      <a:rPr lang="en-US" sz="900"/>
                      <a:t>42,2</a:t>
                    </a:r>
                    <a:r>
                      <a:rPr lang="lv-LV" sz="900"/>
                      <a:t> (73,4%); -3,7%</a:t>
                    </a:r>
                    <a:endParaRPr lang="en-US"/>
                  </a:p>
                </c:rich>
              </c:tx>
              <c:showLegendKey val="0"/>
              <c:showVal val="1"/>
              <c:showCatName val="0"/>
              <c:showSerName val="0"/>
              <c:showPercent val="0"/>
              <c:showBubbleSize val="0"/>
            </c:dLbl>
            <c:dLbl>
              <c:idx val="2"/>
              <c:tx>
                <c:rich>
                  <a:bodyPr/>
                  <a:lstStyle/>
                  <a:p>
                    <a:r>
                      <a:rPr lang="en-US" sz="900"/>
                      <a:t>170,3</a:t>
                    </a:r>
                    <a:r>
                      <a:rPr lang="lv-LV" sz="900" b="0" i="0" u="none" strike="noStrike" baseline="0">
                        <a:effectLst/>
                      </a:rPr>
                      <a:t>(100%); 0%</a:t>
                    </a:r>
                    <a:endParaRPr lang="en-US"/>
                  </a:p>
                </c:rich>
              </c:tx>
              <c:showLegendKey val="0"/>
              <c:showVal val="1"/>
              <c:showCatName val="0"/>
              <c:showSerName val="0"/>
              <c:showPercent val="0"/>
              <c:showBubbleSize val="0"/>
            </c:dLbl>
            <c:dLbl>
              <c:idx val="3"/>
              <c:tx>
                <c:rich>
                  <a:bodyPr/>
                  <a:lstStyle/>
                  <a:p>
                    <a:r>
                      <a:rPr lang="en-US" sz="900"/>
                      <a:t>205,4</a:t>
                    </a:r>
                    <a:r>
                      <a:rPr lang="lv-LV" sz="900"/>
                      <a:t> (64,2%); 16,2%</a:t>
                    </a:r>
                    <a:endParaRPr lang="en-US"/>
                  </a:p>
                </c:rich>
              </c:tx>
              <c:showLegendKey val="0"/>
              <c:showVal val="1"/>
              <c:showCatName val="0"/>
              <c:showSerName val="0"/>
              <c:showPercent val="0"/>
              <c:showBubbleSize val="0"/>
            </c:dLbl>
            <c:dLbl>
              <c:idx val="4"/>
              <c:tx>
                <c:rich>
                  <a:bodyPr/>
                  <a:lstStyle/>
                  <a:p>
                    <a:r>
                      <a:rPr lang="en-US" sz="900"/>
                      <a:t>426,4</a:t>
                    </a:r>
                    <a:r>
                      <a:rPr lang="lv-LV" sz="900"/>
                      <a:t>(75,6%); 8,6%</a:t>
                    </a:r>
                    <a:endParaRPr lang="en-US"/>
                  </a:p>
                </c:rich>
              </c:tx>
              <c:showLegendKey val="0"/>
              <c:showVal val="1"/>
              <c:showCatName val="0"/>
              <c:showSerName val="0"/>
              <c:showPercent val="0"/>
              <c:showBubbleSize val="0"/>
            </c:dLbl>
            <c:txPr>
              <a:bodyPr/>
              <a:lstStyle/>
              <a:p>
                <a:pPr>
                  <a:defRPr sz="900"/>
                </a:pPr>
                <a:endParaRPr lang="lv-LV"/>
              </a:p>
            </c:txPr>
            <c:showLegendKey val="0"/>
            <c:showVal val="1"/>
            <c:showCatName val="0"/>
            <c:showSerName val="0"/>
            <c:showPercent val="0"/>
            <c:showBubbleSize val="0"/>
            <c:showLeaderLines val="0"/>
          </c:dLbls>
          <c:cat>
            <c:strRef>
              <c:f>'2DP'!$B$4:$B$8</c:f>
              <c:strCache>
                <c:ptCount val="5"/>
                <c:pt idx="0">
                  <c:v>Tehniskā palīdzība</c:v>
                </c:pt>
                <c:pt idx="1">
                  <c:v>Uzņēmējdarbības veicināšana</c:v>
                </c:pt>
                <c:pt idx="2">
                  <c:v>Finanšu pieejamība</c:v>
                </c:pt>
                <c:pt idx="3">
                  <c:v>Zinātne un inovācijas</c:v>
                </c:pt>
                <c:pt idx="4">
                  <c:v>DP „Uzņēmējdarbība un inovācijas" kopā</c:v>
                </c:pt>
              </c:strCache>
            </c:strRef>
          </c:cat>
          <c:val>
            <c:numRef>
              <c:f>'2DP'!$I$4:$I$8</c:f>
              <c:numCache>
                <c:formatCode>#,##0.0</c:formatCode>
                <c:ptCount val="5"/>
                <c:pt idx="0">
                  <c:v>8585668.8100000005</c:v>
                </c:pt>
                <c:pt idx="1">
                  <c:v>42182055.030000001</c:v>
                </c:pt>
                <c:pt idx="2">
                  <c:v>170300355</c:v>
                </c:pt>
                <c:pt idx="3">
                  <c:v>205373624.66</c:v>
                </c:pt>
                <c:pt idx="4">
                  <c:v>426441703.49999994</c:v>
                </c:pt>
              </c:numCache>
            </c:numRef>
          </c:val>
        </c:ser>
        <c:ser>
          <c:idx val="1"/>
          <c:order val="2"/>
          <c:tx>
            <c:strRef>
              <c:f>'2DP'!$D$3</c:f>
              <c:strCache>
                <c:ptCount val="1"/>
                <c:pt idx="0">
                  <c:v>Prioritātē piešķirtais budžets 2007.-2010.gadā LVL</c:v>
                </c:pt>
              </c:strCache>
            </c:strRef>
          </c:tx>
          <c:invertIfNegative val="0"/>
          <c:cat>
            <c:strRef>
              <c:f>'2DP'!$B$4:$B$8</c:f>
              <c:strCache>
                <c:ptCount val="5"/>
                <c:pt idx="0">
                  <c:v>Tehniskā palīdzība</c:v>
                </c:pt>
                <c:pt idx="1">
                  <c:v>Uzņēmējdarbības veicināšana</c:v>
                </c:pt>
                <c:pt idx="2">
                  <c:v>Finanšu pieejamība</c:v>
                </c:pt>
                <c:pt idx="3">
                  <c:v>Zinātne un inovācijas</c:v>
                </c:pt>
                <c:pt idx="4">
                  <c:v>DP „Uzņēmējdarbība un inovācijas" kopā</c:v>
                </c:pt>
              </c:strCache>
            </c:strRef>
          </c:cat>
          <c:val>
            <c:numRef>
              <c:f>'2DP'!$D$4:$D$8</c:f>
            </c:numRef>
          </c:val>
        </c:ser>
        <c:ser>
          <c:idx val="0"/>
          <c:order val="3"/>
          <c:tx>
            <c:strRef>
              <c:f>'2DP'!$C$3</c:f>
              <c:strCache>
                <c:ptCount val="1"/>
                <c:pt idx="0">
                  <c:v>Prioritātē pieejamais  finansējums</c:v>
                </c:pt>
              </c:strCache>
            </c:strRef>
          </c:tx>
          <c:invertIfNegative val="0"/>
          <c:dLbls>
            <c:dLbl>
              <c:idx val="0"/>
              <c:tx>
                <c:rich>
                  <a:bodyPr/>
                  <a:lstStyle/>
                  <a:p>
                    <a:r>
                      <a:rPr lang="en-US" sz="900"/>
                      <a:t>16,2</a:t>
                    </a:r>
                    <a:r>
                      <a:rPr lang="lv-LV" sz="900" b="0" i="0" u="none" strike="noStrike" baseline="0">
                        <a:effectLst/>
                      </a:rPr>
                      <a:t>(100%)</a:t>
                    </a:r>
                    <a:endParaRPr lang="en-US"/>
                  </a:p>
                </c:rich>
              </c:tx>
              <c:showLegendKey val="0"/>
              <c:showVal val="1"/>
              <c:showCatName val="0"/>
              <c:showSerName val="0"/>
              <c:showPercent val="0"/>
              <c:showBubbleSize val="0"/>
            </c:dLbl>
            <c:dLbl>
              <c:idx val="1"/>
              <c:tx>
                <c:rich>
                  <a:bodyPr/>
                  <a:lstStyle/>
                  <a:p>
                    <a:r>
                      <a:rPr lang="en-US" sz="900"/>
                      <a:t>57,4</a:t>
                    </a:r>
                    <a:r>
                      <a:rPr lang="lv-LV" sz="900" b="0" i="0" u="none" strike="noStrike" baseline="0">
                        <a:effectLst/>
                      </a:rPr>
                      <a:t>(100%)</a:t>
                    </a:r>
                    <a:endParaRPr lang="en-US"/>
                  </a:p>
                </c:rich>
              </c:tx>
              <c:showLegendKey val="0"/>
              <c:showVal val="1"/>
              <c:showCatName val="0"/>
              <c:showSerName val="0"/>
              <c:showPercent val="0"/>
              <c:showBubbleSize val="0"/>
            </c:dLbl>
            <c:dLbl>
              <c:idx val="2"/>
              <c:tx>
                <c:rich>
                  <a:bodyPr/>
                  <a:lstStyle/>
                  <a:p>
                    <a:r>
                      <a:rPr lang="en-US" sz="900"/>
                      <a:t>170,3</a:t>
                    </a:r>
                    <a:r>
                      <a:rPr lang="lv-LV" sz="900" b="0" i="0" u="none" strike="noStrike" baseline="0">
                        <a:effectLst/>
                      </a:rPr>
                      <a:t>(100%)</a:t>
                    </a:r>
                    <a:endParaRPr lang="en-US"/>
                  </a:p>
                </c:rich>
              </c:tx>
              <c:showLegendKey val="0"/>
              <c:showVal val="1"/>
              <c:showCatName val="0"/>
              <c:showSerName val="0"/>
              <c:showPercent val="0"/>
              <c:showBubbleSize val="0"/>
            </c:dLbl>
            <c:dLbl>
              <c:idx val="3"/>
              <c:tx>
                <c:rich>
                  <a:bodyPr/>
                  <a:lstStyle/>
                  <a:p>
                    <a:r>
                      <a:rPr lang="en-US" sz="900"/>
                      <a:t>320,0</a:t>
                    </a:r>
                    <a:r>
                      <a:rPr lang="lv-LV" sz="900" b="0" i="0" u="none" strike="noStrike" baseline="0">
                        <a:effectLst/>
                      </a:rPr>
                      <a:t>(100%)</a:t>
                    </a:r>
                    <a:endParaRPr lang="en-US"/>
                  </a:p>
                </c:rich>
              </c:tx>
              <c:showLegendKey val="0"/>
              <c:showVal val="1"/>
              <c:showCatName val="0"/>
              <c:showSerName val="0"/>
              <c:showPercent val="0"/>
              <c:showBubbleSize val="0"/>
            </c:dLbl>
            <c:dLbl>
              <c:idx val="4"/>
              <c:tx>
                <c:rich>
                  <a:bodyPr/>
                  <a:lstStyle/>
                  <a:p>
                    <a:r>
                      <a:rPr lang="en-US" sz="900"/>
                      <a:t>563,9</a:t>
                    </a:r>
                    <a:r>
                      <a:rPr lang="lv-LV" sz="900"/>
                      <a:t> (100%)</a:t>
                    </a:r>
                    <a:endParaRPr lang="en-US"/>
                  </a:p>
                </c:rich>
              </c:tx>
              <c:showLegendKey val="0"/>
              <c:showVal val="1"/>
              <c:showCatName val="0"/>
              <c:showSerName val="0"/>
              <c:showPercent val="0"/>
              <c:showBubbleSize val="0"/>
            </c:dLbl>
            <c:txPr>
              <a:bodyPr/>
              <a:lstStyle/>
              <a:p>
                <a:pPr>
                  <a:defRPr sz="900"/>
                </a:pPr>
                <a:endParaRPr lang="lv-LV"/>
              </a:p>
            </c:txPr>
            <c:showLegendKey val="0"/>
            <c:showVal val="1"/>
            <c:showCatName val="0"/>
            <c:showSerName val="0"/>
            <c:showPercent val="0"/>
            <c:showBubbleSize val="0"/>
            <c:showLeaderLines val="0"/>
          </c:dLbls>
          <c:cat>
            <c:strRef>
              <c:f>'2DP'!$B$4:$B$8</c:f>
              <c:strCache>
                <c:ptCount val="5"/>
                <c:pt idx="0">
                  <c:v>Tehniskā palīdzība</c:v>
                </c:pt>
                <c:pt idx="1">
                  <c:v>Uzņēmējdarbības veicināšana</c:v>
                </c:pt>
                <c:pt idx="2">
                  <c:v>Finanšu pieejamība</c:v>
                </c:pt>
                <c:pt idx="3">
                  <c:v>Zinātne un inovācijas</c:v>
                </c:pt>
                <c:pt idx="4">
                  <c:v>DP „Uzņēmējdarbība un inovācijas" kopā</c:v>
                </c:pt>
              </c:strCache>
            </c:strRef>
          </c:cat>
          <c:val>
            <c:numRef>
              <c:f>'2DP'!$C$4:$C$8</c:f>
              <c:numCache>
                <c:formatCode>#,##0.0</c:formatCode>
                <c:ptCount val="5"/>
                <c:pt idx="0">
                  <c:v>16153989.300000001</c:v>
                </c:pt>
                <c:pt idx="1">
                  <c:v>57433653.120000005</c:v>
                </c:pt>
                <c:pt idx="2">
                  <c:v>170300356.08000001</c:v>
                </c:pt>
                <c:pt idx="3">
                  <c:v>320045094.43000001</c:v>
                </c:pt>
                <c:pt idx="4">
                  <c:v>563933092.92999995</c:v>
                </c:pt>
              </c:numCache>
            </c:numRef>
          </c:val>
        </c:ser>
        <c:ser>
          <c:idx val="2"/>
          <c:order val="4"/>
          <c:tx>
            <c:strRef>
              <c:f>'2DP'!$E$3</c:f>
              <c:strCache>
                <c:ptCount val="1"/>
                <c:pt idx="0">
                  <c:v>Apstiprinātie projekti (publiskais fin.); LVL</c:v>
                </c:pt>
              </c:strCache>
            </c:strRef>
          </c:tx>
          <c:invertIfNegative val="0"/>
          <c:cat>
            <c:strRef>
              <c:f>'2DP'!$B$4:$B$8</c:f>
              <c:strCache>
                <c:ptCount val="5"/>
                <c:pt idx="0">
                  <c:v>Tehniskā palīdzība</c:v>
                </c:pt>
                <c:pt idx="1">
                  <c:v>Uzņēmējdarbības veicināšana</c:v>
                </c:pt>
                <c:pt idx="2">
                  <c:v>Finanšu pieejamība</c:v>
                </c:pt>
                <c:pt idx="3">
                  <c:v>Zinātne un inovācijas</c:v>
                </c:pt>
                <c:pt idx="4">
                  <c:v>DP „Uzņēmējdarbība un inovācijas" kopā</c:v>
                </c:pt>
              </c:strCache>
            </c:strRef>
          </c:cat>
          <c:val>
            <c:numRef>
              <c:f>'2DP'!$E$4:$E$8</c:f>
            </c:numRef>
          </c:val>
        </c:ser>
        <c:ser>
          <c:idx val="3"/>
          <c:order val="5"/>
          <c:tx>
            <c:strRef>
              <c:f>'2DP'!$F$3</c:f>
              <c:strCache>
                <c:ptCount val="1"/>
                <c:pt idx="0">
                  <c:v>Apstiprinātie projekti (publiskais fin.); % no prioritātē pieejamā publiskā fin.</c:v>
                </c:pt>
              </c:strCache>
            </c:strRef>
          </c:tx>
          <c:invertIfNegative val="0"/>
          <c:cat>
            <c:strRef>
              <c:f>'2DP'!$B$4:$B$8</c:f>
              <c:strCache>
                <c:ptCount val="5"/>
                <c:pt idx="0">
                  <c:v>Tehniskā palīdzība</c:v>
                </c:pt>
                <c:pt idx="1">
                  <c:v>Uzņēmējdarbības veicināšana</c:v>
                </c:pt>
                <c:pt idx="2">
                  <c:v>Finanšu pieejamība</c:v>
                </c:pt>
                <c:pt idx="3">
                  <c:v>Zinātne un inovācijas</c:v>
                </c:pt>
                <c:pt idx="4">
                  <c:v>DP „Uzņēmējdarbība un inovācijas" kopā</c:v>
                </c:pt>
              </c:strCache>
            </c:strRef>
          </c:cat>
          <c:val>
            <c:numRef>
              <c:f>'2DP'!$F$4:$F$8</c:f>
            </c:numRef>
          </c:val>
        </c:ser>
        <c:ser>
          <c:idx val="4"/>
          <c:order val="6"/>
          <c:tx>
            <c:strRef>
              <c:f>'2DP'!$G$3</c:f>
              <c:strCache>
                <c:ptCount val="1"/>
                <c:pt idx="0">
                  <c:v>Apstiprinātie projekti (publiskais fin.) uz 31.12.2010.; % no prioritātē pieejamā publiskā fin.</c:v>
                </c:pt>
              </c:strCache>
            </c:strRef>
          </c:tx>
          <c:invertIfNegative val="0"/>
          <c:cat>
            <c:strRef>
              <c:f>'2DP'!$B$4:$B$8</c:f>
              <c:strCache>
                <c:ptCount val="5"/>
                <c:pt idx="0">
                  <c:v>Tehniskā palīdzība</c:v>
                </c:pt>
                <c:pt idx="1">
                  <c:v>Uzņēmējdarbības veicināšana</c:v>
                </c:pt>
                <c:pt idx="2">
                  <c:v>Finanšu pieejamība</c:v>
                </c:pt>
                <c:pt idx="3">
                  <c:v>Zinātne un inovācijas</c:v>
                </c:pt>
                <c:pt idx="4">
                  <c:v>DP „Uzņēmējdarbība un inovācijas" kopā</c:v>
                </c:pt>
              </c:strCache>
            </c:strRef>
          </c:cat>
          <c:val>
            <c:numRef>
              <c:f>'2DP'!$G$4:$G$8</c:f>
            </c:numRef>
          </c:val>
        </c:ser>
        <c:ser>
          <c:idx val="5"/>
          <c:order val="7"/>
          <c:tx>
            <c:strRef>
              <c:f>'2DP'!$H$3</c:f>
              <c:strCache>
                <c:ptCount val="1"/>
                <c:pt idx="0">
                  <c:v>Progress apstiprinātajiem projektiem pret datiem uz 30.09.2010.; % no prioritātē pieejamā publiskā fin.</c:v>
                </c:pt>
              </c:strCache>
            </c:strRef>
          </c:tx>
          <c:invertIfNegative val="0"/>
          <c:cat>
            <c:strRef>
              <c:f>'2DP'!$B$4:$B$8</c:f>
              <c:strCache>
                <c:ptCount val="5"/>
                <c:pt idx="0">
                  <c:v>Tehniskā palīdzība</c:v>
                </c:pt>
                <c:pt idx="1">
                  <c:v>Uzņēmējdarbības veicināšana</c:v>
                </c:pt>
                <c:pt idx="2">
                  <c:v>Finanšu pieejamība</c:v>
                </c:pt>
                <c:pt idx="3">
                  <c:v>Zinātne un inovācijas</c:v>
                </c:pt>
                <c:pt idx="4">
                  <c:v>DP „Uzņēmējdarbība un inovācijas" kopā</c:v>
                </c:pt>
              </c:strCache>
            </c:strRef>
          </c:cat>
          <c:val>
            <c:numRef>
              <c:f>'2DP'!$H$4:$H$8</c:f>
            </c:numRef>
          </c:val>
        </c:ser>
        <c:dLbls>
          <c:showLegendKey val="0"/>
          <c:showVal val="0"/>
          <c:showCatName val="0"/>
          <c:showSerName val="0"/>
          <c:showPercent val="0"/>
          <c:showBubbleSize val="0"/>
        </c:dLbls>
        <c:gapWidth val="150"/>
        <c:shape val="box"/>
        <c:axId val="141842304"/>
        <c:axId val="141843840"/>
        <c:axId val="0"/>
      </c:bar3DChart>
      <c:catAx>
        <c:axId val="141842304"/>
        <c:scaling>
          <c:orientation val="minMax"/>
        </c:scaling>
        <c:delete val="0"/>
        <c:axPos val="l"/>
        <c:majorTickMark val="out"/>
        <c:minorTickMark val="none"/>
        <c:tickLblPos val="nextTo"/>
        <c:txPr>
          <a:bodyPr/>
          <a:lstStyle/>
          <a:p>
            <a:pPr>
              <a:defRPr sz="1100"/>
            </a:pPr>
            <a:endParaRPr lang="lv-LV"/>
          </a:p>
        </c:txPr>
        <c:crossAx val="141843840"/>
        <c:crosses val="autoZero"/>
        <c:auto val="1"/>
        <c:lblAlgn val="ctr"/>
        <c:lblOffset val="100"/>
        <c:noMultiLvlLbl val="0"/>
      </c:catAx>
      <c:valAx>
        <c:axId val="141843840"/>
        <c:scaling>
          <c:orientation val="minMax"/>
        </c:scaling>
        <c:delete val="0"/>
        <c:axPos val="b"/>
        <c:majorGridlines/>
        <c:numFmt formatCode="0" sourceLinked="0"/>
        <c:majorTickMark val="out"/>
        <c:minorTickMark val="none"/>
        <c:tickLblPos val="nextTo"/>
        <c:crossAx val="141842304"/>
        <c:crosses val="autoZero"/>
        <c:crossBetween val="between"/>
        <c:majorUnit val="100000000"/>
        <c:minorUnit val="100"/>
        <c:dispUnits>
          <c:builtInUnit val="millions"/>
        </c:dispUnits>
      </c:valAx>
    </c:plotArea>
    <c:legend>
      <c:legendPos val="b"/>
      <c:layout>
        <c:manualLayout>
          <c:xMode val="edge"/>
          <c:yMode val="edge"/>
          <c:x val="6.8269712314284123E-3"/>
          <c:y val="0.86585507633751602"/>
          <c:w val="0.99051089834548267"/>
          <c:h val="0.11905559577522029"/>
        </c:manualLayout>
      </c:layout>
      <c:overlay val="0"/>
      <c:txPr>
        <a:bodyPr/>
        <a:lstStyle/>
        <a:p>
          <a:pPr>
            <a:defRPr sz="1100"/>
          </a:pPr>
          <a:endParaRPr lang="lv-LV"/>
        </a:p>
      </c:txPr>
    </c:legend>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27440296624939192"/>
          <c:y val="2.9261939098136173E-2"/>
          <c:w val="0.63847881878567325"/>
          <c:h val="0.66834407738692725"/>
        </c:manualLayout>
      </c:layout>
      <c:bar3DChart>
        <c:barDir val="bar"/>
        <c:grouping val="clustered"/>
        <c:varyColors val="0"/>
        <c:ser>
          <c:idx val="6"/>
          <c:order val="0"/>
          <c:tx>
            <c:strRef>
              <c:f>FI!$L$4</c:f>
              <c:strCache>
                <c:ptCount val="1"/>
                <c:pt idx="0">
                  <c:v>Veikto maksājumu/investīciju apjoms</c:v>
                </c:pt>
              </c:strCache>
            </c:strRef>
          </c:tx>
          <c:spPr>
            <a:solidFill>
              <a:schemeClr val="accent3"/>
            </a:solidFill>
          </c:spPr>
          <c:invertIfNegative val="0"/>
          <c:dLbls>
            <c:dLbl>
              <c:idx val="0"/>
              <c:tx>
                <c:rich>
                  <a:bodyPr/>
                  <a:lstStyle/>
                  <a:p>
                    <a:r>
                      <a:rPr lang="en-US"/>
                      <a:t>1,7</a:t>
                    </a:r>
                    <a:r>
                      <a:rPr lang="lv-LV"/>
                      <a:t> (7,5%); 3,3%</a:t>
                    </a:r>
                    <a:endParaRPr lang="en-US"/>
                  </a:p>
                </c:rich>
              </c:tx>
              <c:showLegendKey val="0"/>
              <c:showVal val="1"/>
              <c:showCatName val="0"/>
              <c:showSerName val="0"/>
              <c:showPercent val="0"/>
              <c:showBubbleSize val="0"/>
            </c:dLbl>
            <c:dLbl>
              <c:idx val="1"/>
              <c:tx>
                <c:rich>
                  <a:bodyPr/>
                  <a:lstStyle/>
                  <a:p>
                    <a:r>
                      <a:rPr lang="en-US"/>
                      <a:t>0,6</a:t>
                    </a:r>
                    <a:r>
                      <a:rPr lang="lv-LV"/>
                      <a:t> (1,8%); 0,4%</a:t>
                    </a:r>
                    <a:endParaRPr lang="en-US"/>
                  </a:p>
                </c:rich>
              </c:tx>
              <c:showLegendKey val="0"/>
              <c:showVal val="1"/>
              <c:showCatName val="0"/>
              <c:showSerName val="0"/>
              <c:showPercent val="0"/>
              <c:showBubbleSize val="0"/>
            </c:dLbl>
            <c:dLbl>
              <c:idx val="2"/>
              <c:tx>
                <c:rich>
                  <a:bodyPr/>
                  <a:lstStyle/>
                  <a:p>
                    <a:r>
                      <a:rPr lang="en-US"/>
                      <a:t>2,3</a:t>
                    </a:r>
                    <a:r>
                      <a:rPr lang="lv-LV"/>
                      <a:t> (3,9%); 1,3%</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FI!$B$5:$B$7</c:f>
              <c:strCache>
                <c:ptCount val="3"/>
                <c:pt idx="0">
                  <c:v>Riska kapitāls </c:v>
                </c:pt>
                <c:pt idx="1">
                  <c:v>Aizdevumu instrumenti</c:v>
                </c:pt>
                <c:pt idx="2">
                  <c:v>Finanšu instrumenti kopā</c:v>
                </c:pt>
              </c:strCache>
            </c:strRef>
          </c:cat>
          <c:val>
            <c:numRef>
              <c:f>FI!$L$5:$L$7</c:f>
              <c:numCache>
                <c:formatCode>0.0</c:formatCode>
                <c:ptCount val="3"/>
                <c:pt idx="0">
                  <c:v>1673824.94722</c:v>
                </c:pt>
                <c:pt idx="1">
                  <c:v>607950.40954200004</c:v>
                </c:pt>
                <c:pt idx="2">
                  <c:v>2281775.3567619999</c:v>
                </c:pt>
              </c:numCache>
            </c:numRef>
          </c:val>
        </c:ser>
        <c:ser>
          <c:idx val="5"/>
          <c:order val="1"/>
          <c:tx>
            <c:strRef>
              <c:f>FI!$H$4</c:f>
              <c:strCache>
                <c:ptCount val="1"/>
                <c:pt idx="0">
                  <c:v>Noslēgto līgumu apjoms</c:v>
                </c:pt>
              </c:strCache>
            </c:strRef>
          </c:tx>
          <c:spPr>
            <a:solidFill>
              <a:schemeClr val="accent2"/>
            </a:solidFill>
          </c:spPr>
          <c:invertIfNegative val="0"/>
          <c:dLbls>
            <c:dLbl>
              <c:idx val="0"/>
              <c:tx>
                <c:rich>
                  <a:bodyPr/>
                  <a:lstStyle/>
                  <a:p>
                    <a:r>
                      <a:rPr lang="en-US"/>
                      <a:t>2,6</a:t>
                    </a:r>
                    <a:r>
                      <a:rPr lang="lv-LV"/>
                      <a:t> (11,9%); 6,7%</a:t>
                    </a:r>
                    <a:endParaRPr lang="en-US"/>
                  </a:p>
                </c:rich>
              </c:tx>
              <c:showLegendKey val="0"/>
              <c:showVal val="1"/>
              <c:showCatName val="0"/>
              <c:showSerName val="0"/>
              <c:showPercent val="0"/>
              <c:showBubbleSize val="0"/>
            </c:dLbl>
            <c:dLbl>
              <c:idx val="1"/>
              <c:tx>
                <c:rich>
                  <a:bodyPr/>
                  <a:lstStyle/>
                  <a:p>
                    <a:r>
                      <a:rPr lang="en-US"/>
                      <a:t>1,3</a:t>
                    </a:r>
                    <a:r>
                      <a:rPr lang="lv-LV"/>
                      <a:t> (4,0%); 2,6%</a:t>
                    </a:r>
                    <a:endParaRPr lang="en-US"/>
                  </a:p>
                </c:rich>
              </c:tx>
              <c:showLegendKey val="0"/>
              <c:showVal val="1"/>
              <c:showCatName val="0"/>
              <c:showSerName val="0"/>
              <c:showPercent val="0"/>
              <c:showBubbleSize val="0"/>
            </c:dLbl>
            <c:dLbl>
              <c:idx val="2"/>
              <c:tx>
                <c:rich>
                  <a:bodyPr/>
                  <a:lstStyle/>
                  <a:p>
                    <a:r>
                      <a:rPr lang="en-US"/>
                      <a:t>4,0</a:t>
                    </a:r>
                    <a:r>
                      <a:rPr lang="lv-LV"/>
                      <a:t>(6,8%); 3,8%</a:t>
                    </a:r>
                    <a:endParaRPr lang="en-US"/>
                  </a:p>
                </c:rich>
              </c:tx>
              <c:showLegendKey val="0"/>
              <c:showVal val="1"/>
              <c:showCatName val="0"/>
              <c:showSerName val="0"/>
              <c:showPercent val="0"/>
              <c:showBubbleSize val="0"/>
            </c:dLbl>
            <c:numFmt formatCode="#,##0.0" sourceLinked="0"/>
            <c:showLegendKey val="0"/>
            <c:showVal val="1"/>
            <c:showCatName val="0"/>
            <c:showSerName val="0"/>
            <c:showPercent val="0"/>
            <c:showBubbleSize val="0"/>
            <c:showLeaderLines val="0"/>
          </c:dLbls>
          <c:cat>
            <c:strRef>
              <c:f>FI!$B$5:$B$7</c:f>
              <c:strCache>
                <c:ptCount val="3"/>
                <c:pt idx="0">
                  <c:v>Riska kapitāls </c:v>
                </c:pt>
                <c:pt idx="1">
                  <c:v>Aizdevumu instrumenti</c:v>
                </c:pt>
                <c:pt idx="2">
                  <c:v>Finanšu instrumenti kopā</c:v>
                </c:pt>
              </c:strCache>
            </c:strRef>
          </c:cat>
          <c:val>
            <c:numRef>
              <c:f>FI!$H$5:$H$7</c:f>
              <c:numCache>
                <c:formatCode>0.00</c:formatCode>
                <c:ptCount val="3"/>
                <c:pt idx="0">
                  <c:v>2648165.4720000001</c:v>
                </c:pt>
                <c:pt idx="1">
                  <c:v>1338187.6608780001</c:v>
                </c:pt>
                <c:pt idx="2">
                  <c:v>3986353.1328779999</c:v>
                </c:pt>
              </c:numCache>
            </c:numRef>
          </c:val>
        </c:ser>
        <c:ser>
          <c:idx val="0"/>
          <c:order val="2"/>
          <c:tx>
            <c:strRef>
              <c:f>FI!$C$4</c:f>
              <c:strCache>
                <c:ptCount val="1"/>
                <c:pt idx="0">
                  <c:v>Prioritātē pieejamais finansējums</c:v>
                </c:pt>
              </c:strCache>
            </c:strRef>
          </c:tx>
          <c:invertIfNegative val="0"/>
          <c:dLbls>
            <c:dLbl>
              <c:idx val="0"/>
              <c:tx>
                <c:rich>
                  <a:bodyPr/>
                  <a:lstStyle/>
                  <a:p>
                    <a:r>
                      <a:rPr lang="en-US"/>
                      <a:t>22,2</a:t>
                    </a:r>
                    <a:r>
                      <a:rPr lang="lv-LV"/>
                      <a:t> (100%)</a:t>
                    </a:r>
                    <a:endParaRPr lang="en-US"/>
                  </a:p>
                </c:rich>
              </c:tx>
              <c:showLegendKey val="0"/>
              <c:showVal val="1"/>
              <c:showCatName val="0"/>
              <c:showSerName val="0"/>
              <c:showPercent val="0"/>
              <c:showBubbleSize val="0"/>
            </c:dLbl>
            <c:dLbl>
              <c:idx val="1"/>
              <c:tx>
                <c:rich>
                  <a:bodyPr/>
                  <a:lstStyle/>
                  <a:p>
                    <a:r>
                      <a:rPr lang="en-US"/>
                      <a:t>33,</a:t>
                    </a:r>
                    <a:r>
                      <a:rPr lang="lv-LV"/>
                      <a:t>3 (100%)</a:t>
                    </a:r>
                    <a:endParaRPr lang="en-US"/>
                  </a:p>
                </c:rich>
              </c:tx>
              <c:showLegendKey val="0"/>
              <c:showVal val="1"/>
              <c:showCatName val="0"/>
              <c:showSerName val="0"/>
              <c:showPercent val="0"/>
              <c:showBubbleSize val="0"/>
            </c:dLbl>
            <c:dLbl>
              <c:idx val="2"/>
              <c:tx>
                <c:rich>
                  <a:bodyPr/>
                  <a:lstStyle/>
                  <a:p>
                    <a:r>
                      <a:rPr lang="en-US"/>
                      <a:t>58,5</a:t>
                    </a:r>
                    <a:r>
                      <a:rPr lang="lv-LV"/>
                      <a:t> (100%)</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FI!$B$5:$B$7</c:f>
              <c:strCache>
                <c:ptCount val="3"/>
                <c:pt idx="0">
                  <c:v>Riska kapitāls </c:v>
                </c:pt>
                <c:pt idx="1">
                  <c:v>Aizdevumu instrumenti</c:v>
                </c:pt>
                <c:pt idx="2">
                  <c:v>Finanšu instrumenti kopā</c:v>
                </c:pt>
              </c:strCache>
            </c:strRef>
          </c:cat>
          <c:val>
            <c:numRef>
              <c:f>FI!$C$5:$C$7</c:f>
              <c:numCache>
                <c:formatCode>0.00</c:formatCode>
                <c:ptCount val="3"/>
                <c:pt idx="0">
                  <c:v>22196547.503089786</c:v>
                </c:pt>
                <c:pt idx="1">
                  <c:v>33262837.756791607</c:v>
                </c:pt>
                <c:pt idx="2">
                  <c:v>58529801.052815996</c:v>
                </c:pt>
              </c:numCache>
            </c:numRef>
          </c:val>
        </c:ser>
        <c:ser>
          <c:idx val="1"/>
          <c:order val="3"/>
          <c:tx>
            <c:strRef>
              <c:f>'1DP'!$D$4</c:f>
              <c:strCache>
                <c:ptCount val="1"/>
                <c:pt idx="0">
                  <c:v>Apstiprinātie projekti (publiskais fin.); LVL</c:v>
                </c:pt>
              </c:strCache>
            </c:strRef>
          </c:tx>
          <c:invertIfNegative val="0"/>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'1DP'!$D$5:$D$11</c:f>
            </c:numRef>
          </c:val>
        </c:ser>
        <c:ser>
          <c:idx val="2"/>
          <c:order val="4"/>
          <c:tx>
            <c:strRef>
              <c:f>'1DP'!$E$4</c:f>
              <c:strCache>
                <c:ptCount val="1"/>
                <c:pt idx="0">
                  <c:v>Apstiprinātie projekti (publiskais fin.); % no prioritātē pieejamā publiskā fin.</c:v>
                </c:pt>
              </c:strCache>
            </c:strRef>
          </c:tx>
          <c:invertIfNegative val="0"/>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'1DP'!$E$5:$E$11</c:f>
            </c:numRef>
          </c:val>
        </c:ser>
        <c:ser>
          <c:idx val="3"/>
          <c:order val="5"/>
          <c:tx>
            <c:strRef>
              <c:f>'1DP'!$F$4</c:f>
              <c:strCache>
                <c:ptCount val="1"/>
                <c:pt idx="0">
                  <c:v>Apstiprinātie projekti (publiskais fin.) uz 31.03.2011; % no prioritātē pieejamā publiskā fin.</c:v>
                </c:pt>
              </c:strCache>
            </c:strRef>
          </c:tx>
          <c:invertIfNegative val="0"/>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'1DP'!$F$5:$F$11</c:f>
            </c:numRef>
          </c:val>
        </c:ser>
        <c:ser>
          <c:idx val="4"/>
          <c:order val="6"/>
          <c:tx>
            <c:strRef>
              <c:f>'1DP'!$G$4</c:f>
              <c:strCache>
                <c:ptCount val="1"/>
                <c:pt idx="0">
                  <c:v>Progress apstiprinātajiem projektiem pret datiem uz 31.12.2011; % no prioritātē pieejamā publiskā fin.</c:v>
                </c:pt>
              </c:strCache>
            </c:strRef>
          </c:tx>
          <c:invertIfNegative val="0"/>
          <c:cat>
            <c:strRef>
              <c:f>'1DP'!$B$5:$B$11</c:f>
              <c:strCache>
                <c:ptCount val="7"/>
                <c:pt idx="0">
                  <c:v>Tehniskā palīdzība</c:v>
                </c:pt>
                <c:pt idx="1">
                  <c:v>Administratīvās kapacitātes stiprināšana</c:v>
                </c:pt>
                <c:pt idx="2">
                  <c:v>Sociālās iekļaušanas veicināšana</c:v>
                </c:pt>
                <c:pt idx="3">
                  <c:v>Nodarbinātības veicināšana un veselība darbā</c:v>
                </c:pt>
                <c:pt idx="4">
                  <c:v>Izglītība un prasmes</c:v>
                </c:pt>
                <c:pt idx="5">
                  <c:v>Augstākā izglītība un zinātne</c:v>
                </c:pt>
                <c:pt idx="6">
                  <c:v>DP "Cilvēkresursi un nodarbinātība" kopā</c:v>
                </c:pt>
              </c:strCache>
            </c:strRef>
          </c:cat>
          <c:val>
            <c:numRef>
              <c:f>'1DP'!$G$5:$G$11</c:f>
            </c:numRef>
          </c:val>
        </c:ser>
        <c:dLbls>
          <c:showLegendKey val="0"/>
          <c:showVal val="0"/>
          <c:showCatName val="0"/>
          <c:showSerName val="0"/>
          <c:showPercent val="0"/>
          <c:showBubbleSize val="0"/>
        </c:dLbls>
        <c:gapWidth val="150"/>
        <c:shape val="box"/>
        <c:axId val="141911936"/>
        <c:axId val="141913472"/>
        <c:axId val="0"/>
      </c:bar3DChart>
      <c:catAx>
        <c:axId val="141911936"/>
        <c:scaling>
          <c:orientation val="minMax"/>
        </c:scaling>
        <c:delete val="0"/>
        <c:axPos val="l"/>
        <c:majorTickMark val="out"/>
        <c:minorTickMark val="none"/>
        <c:tickLblPos val="nextTo"/>
        <c:txPr>
          <a:bodyPr/>
          <a:lstStyle/>
          <a:p>
            <a:pPr>
              <a:defRPr sz="1200"/>
            </a:pPr>
            <a:endParaRPr lang="lv-LV"/>
          </a:p>
        </c:txPr>
        <c:crossAx val="141913472"/>
        <c:crosses val="autoZero"/>
        <c:auto val="1"/>
        <c:lblAlgn val="ctr"/>
        <c:lblOffset val="100"/>
        <c:noMultiLvlLbl val="0"/>
      </c:catAx>
      <c:valAx>
        <c:axId val="141913472"/>
        <c:scaling>
          <c:orientation val="minMax"/>
          <c:max val="100000000"/>
          <c:min val="0"/>
        </c:scaling>
        <c:delete val="0"/>
        <c:axPos val="b"/>
        <c:majorGridlines/>
        <c:numFmt formatCode="#,##0" sourceLinked="0"/>
        <c:majorTickMark val="out"/>
        <c:minorTickMark val="none"/>
        <c:tickLblPos val="nextTo"/>
        <c:crossAx val="141911936"/>
        <c:crosses val="autoZero"/>
        <c:crossBetween val="between"/>
        <c:majorUnit val="100000000"/>
        <c:minorUnit val="40000000"/>
        <c:dispUnits>
          <c:builtInUnit val="millions"/>
        </c:dispUnits>
      </c:valAx>
      <c:spPr>
        <a:noFill/>
        <a:ln>
          <a:noFill/>
        </a:ln>
      </c:spPr>
    </c:plotArea>
    <c:legend>
      <c:legendPos val="b"/>
      <c:layout>
        <c:manualLayout>
          <c:xMode val="edge"/>
          <c:yMode val="edge"/>
          <c:x val="8.9980926478504201E-3"/>
          <c:y val="0.78108749154231072"/>
          <c:w val="0.97181295697776182"/>
          <c:h val="0.19193534235982543"/>
        </c:manualLayout>
      </c:layout>
      <c:overlay val="0"/>
      <c:spPr>
        <a:ln>
          <a:noFill/>
        </a:ln>
      </c:spPr>
      <c:txPr>
        <a:bodyPr/>
        <a:lstStyle/>
        <a:p>
          <a:pPr>
            <a:defRPr sz="1100"/>
          </a:pPr>
          <a:endParaRPr lang="lv-LV"/>
        </a:p>
      </c:txPr>
    </c:legend>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lv-LV"/>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30190147101623616"/>
          <c:y val="7.7818184373539649E-3"/>
          <c:w val="0.58862325229624124"/>
          <c:h val="0.90005571969501441"/>
        </c:manualLayout>
      </c:layout>
      <c:bar3DChart>
        <c:barDir val="bar"/>
        <c:grouping val="clustered"/>
        <c:varyColors val="0"/>
        <c:ser>
          <c:idx val="7"/>
          <c:order val="0"/>
          <c:tx>
            <c:strRef>
              <c:f>'3DP'!$M$2</c:f>
              <c:strCache>
                <c:ptCount val="1"/>
                <c:pt idx="0">
                  <c:v>Izmaksāts finansējuma saņēmējam </c:v>
                </c:pt>
              </c:strCache>
            </c:strRef>
          </c:tx>
          <c:spPr>
            <a:solidFill>
              <a:schemeClr val="accent3"/>
            </a:solidFill>
          </c:spPr>
          <c:invertIfNegative val="0"/>
          <c:dLbls>
            <c:dLbl>
              <c:idx val="0"/>
              <c:tx>
                <c:rich>
                  <a:bodyPr/>
                  <a:lstStyle/>
                  <a:p>
                    <a:r>
                      <a:rPr lang="en-US"/>
                      <a:t>1,5</a:t>
                    </a:r>
                    <a:r>
                      <a:rPr lang="lv-LV"/>
                      <a:t> (13,7%); 2,7%</a:t>
                    </a:r>
                    <a:endParaRPr lang="en-US"/>
                  </a:p>
                </c:rich>
              </c:tx>
              <c:showLegendKey val="0"/>
              <c:showVal val="1"/>
              <c:showCatName val="0"/>
              <c:showSerName val="0"/>
              <c:showPercent val="0"/>
              <c:showBubbleSize val="0"/>
            </c:dLbl>
            <c:dLbl>
              <c:idx val="1"/>
              <c:tx>
                <c:rich>
                  <a:bodyPr/>
                  <a:lstStyle/>
                  <a:p>
                    <a:r>
                      <a:rPr lang="en-US"/>
                      <a:t>10,4</a:t>
                    </a:r>
                    <a:r>
                      <a:rPr lang="lv-LV"/>
                      <a:t> (21,9%); 4,4%</a:t>
                    </a:r>
                    <a:endParaRPr lang="en-US"/>
                  </a:p>
                </c:rich>
              </c:tx>
              <c:showLegendKey val="0"/>
              <c:showVal val="1"/>
              <c:showCatName val="0"/>
              <c:showSerName val="0"/>
              <c:showPercent val="0"/>
              <c:showBubbleSize val="0"/>
            </c:dLbl>
            <c:dLbl>
              <c:idx val="2"/>
              <c:tx>
                <c:rich>
                  <a:bodyPr/>
                  <a:lstStyle/>
                  <a:p>
                    <a:r>
                      <a:rPr lang="en-US"/>
                      <a:t>106,7</a:t>
                    </a:r>
                    <a:r>
                      <a:rPr lang="lv-LV"/>
                      <a:t> (45,0%); 22,3%</a:t>
                    </a:r>
                    <a:endParaRPr lang="en-US"/>
                  </a:p>
                </c:rich>
              </c:tx>
              <c:showLegendKey val="0"/>
              <c:showVal val="1"/>
              <c:showCatName val="0"/>
              <c:showSerName val="0"/>
              <c:showPercent val="0"/>
              <c:showBubbleSize val="0"/>
            </c:dLbl>
            <c:dLbl>
              <c:idx val="3"/>
              <c:tx>
                <c:rich>
                  <a:bodyPr/>
                  <a:lstStyle/>
                  <a:p>
                    <a:r>
                      <a:rPr lang="en-US"/>
                      <a:t>228,4</a:t>
                    </a:r>
                    <a:r>
                      <a:rPr lang="lv-LV"/>
                      <a:t> (43,2%); 14,4%</a:t>
                    </a:r>
                    <a:endParaRPr lang="en-US"/>
                  </a:p>
                </c:rich>
              </c:tx>
              <c:showLegendKey val="0"/>
              <c:showVal val="1"/>
              <c:showCatName val="0"/>
              <c:showSerName val="0"/>
              <c:showPercent val="0"/>
              <c:showBubbleSize val="0"/>
            </c:dLbl>
            <c:dLbl>
              <c:idx val="4"/>
              <c:tx>
                <c:rich>
                  <a:bodyPr/>
                  <a:lstStyle/>
                  <a:p>
                    <a:r>
                      <a:rPr lang="en-US"/>
                      <a:t>36,5</a:t>
                    </a:r>
                    <a:r>
                      <a:rPr lang="lv-LV"/>
                      <a:t> (12,0%); 7,3%</a:t>
                    </a:r>
                    <a:endParaRPr lang="en-US"/>
                  </a:p>
                </c:rich>
              </c:tx>
              <c:showLegendKey val="0"/>
              <c:showVal val="1"/>
              <c:showCatName val="0"/>
              <c:showSerName val="0"/>
              <c:showPercent val="0"/>
              <c:showBubbleSize val="0"/>
            </c:dLbl>
            <c:dLbl>
              <c:idx val="5"/>
              <c:tx>
                <c:rich>
                  <a:bodyPr/>
                  <a:lstStyle/>
                  <a:p>
                    <a:r>
                      <a:rPr lang="en-US"/>
                      <a:t>145,6</a:t>
                    </a:r>
                    <a:r>
                      <a:rPr lang="lv-LV"/>
                      <a:t> (21,5%);</a:t>
                    </a:r>
                    <a:r>
                      <a:rPr lang="lv-LV" baseline="0"/>
                      <a:t> 8,8%</a:t>
                    </a:r>
                    <a:endParaRPr lang="en-US"/>
                  </a:p>
                </c:rich>
              </c:tx>
              <c:showLegendKey val="0"/>
              <c:showVal val="1"/>
              <c:showCatName val="0"/>
              <c:showSerName val="0"/>
              <c:showPercent val="0"/>
              <c:showBubbleSize val="0"/>
            </c:dLbl>
            <c:dLbl>
              <c:idx val="6"/>
              <c:tx>
                <c:rich>
                  <a:bodyPr/>
                  <a:lstStyle/>
                  <a:p>
                    <a:r>
                      <a:rPr lang="en-US"/>
                      <a:t>64,6</a:t>
                    </a:r>
                    <a:r>
                      <a:rPr lang="lv-LV" baseline="0"/>
                      <a:t> (12,1%); 6,5%</a:t>
                    </a:r>
                    <a:endParaRPr lang="en-US"/>
                  </a:p>
                </c:rich>
              </c:tx>
              <c:showLegendKey val="0"/>
              <c:showVal val="1"/>
              <c:showCatName val="0"/>
              <c:showSerName val="0"/>
              <c:showPercent val="0"/>
              <c:showBubbleSize val="0"/>
            </c:dLbl>
            <c:dLbl>
              <c:idx val="7"/>
              <c:tx>
                <c:rich>
                  <a:bodyPr/>
                  <a:lstStyle/>
                  <a:p>
                    <a:r>
                      <a:rPr lang="en-US"/>
                      <a:t>142,9</a:t>
                    </a:r>
                    <a:r>
                      <a:rPr lang="lv-LV"/>
                      <a:t> (32,2%); 15,3%</a:t>
                    </a:r>
                    <a:endParaRPr lang="en-US"/>
                  </a:p>
                </c:rich>
              </c:tx>
              <c:showLegendKey val="0"/>
              <c:showVal val="1"/>
              <c:showCatName val="0"/>
              <c:showSerName val="0"/>
              <c:showPercent val="0"/>
              <c:showBubbleSize val="0"/>
            </c:dLbl>
            <c:dLbl>
              <c:idx val="8"/>
              <c:tx>
                <c:rich>
                  <a:bodyPr/>
                  <a:lstStyle/>
                  <a:p>
                    <a:r>
                      <a:rPr lang="en-US"/>
                      <a:t>736,5</a:t>
                    </a:r>
                    <a:r>
                      <a:rPr lang="lv-LV"/>
                      <a:t> (27,2%); 11,6%</a:t>
                    </a:r>
                    <a:endParaRPr lang="en-US"/>
                  </a:p>
                </c:rich>
              </c:tx>
              <c:showLegendKey val="0"/>
              <c:showVal val="1"/>
              <c:showCatName val="0"/>
              <c:showSerName val="0"/>
              <c:showPercent val="0"/>
              <c:showBubbleSize val="0"/>
            </c:dLbl>
            <c:txPr>
              <a:bodyPr/>
              <a:lstStyle/>
              <a:p>
                <a:pPr>
                  <a:defRPr sz="900"/>
                </a:pPr>
                <a:endParaRPr lang="lv-LV"/>
              </a:p>
            </c:txPr>
            <c:showLegendKey val="0"/>
            <c:showVal val="1"/>
            <c:showCatName val="0"/>
            <c:showSerName val="0"/>
            <c:showPercent val="0"/>
            <c:showBubbleSize val="0"/>
            <c:showLeaderLines val="0"/>
          </c:dLbls>
          <c:cat>
            <c:strRef>
              <c:f>'3DP'!$B$3:$B$11</c:f>
              <c:strCache>
                <c:ptCount val="9"/>
                <c:pt idx="0">
                  <c:v>Tehniskā palīdzība KF ieviešanai</c:v>
                </c:pt>
                <c:pt idx="1">
                  <c:v>Tehniskā palīdzība ERAF ieviešanai</c:v>
                </c:pt>
                <c:pt idx="2">
                  <c:v>Policentriska attīstība</c:v>
                </c:pt>
                <c:pt idx="3">
                  <c:v>Vides infrastruktūras un videi draudzīgas enerģētikas veicināšana</c:v>
                </c:pt>
                <c:pt idx="4">
                  <c:v>Kvalitatīvas vides dzīvei un ekonomiskai aktivitātei nodrošināšana</c:v>
                </c:pt>
                <c:pt idx="5">
                  <c:v>Eiropas nozīmes transporta tīklu attīstība un ilgtspējīga transporta veicināšana</c:v>
                </c:pt>
                <c:pt idx="6">
                  <c:v>Teritoriju pieejamības un sasniedzamības veicināšana</c:v>
                </c:pt>
                <c:pt idx="7">
                  <c:v>Infrastruktūra cilvēku kapitāla nostiprināšanai</c:v>
                </c:pt>
                <c:pt idx="8">
                  <c:v>DP „Infrastruktūra un pakalpojumi" kopā</c:v>
                </c:pt>
              </c:strCache>
            </c:strRef>
          </c:cat>
          <c:val>
            <c:numRef>
              <c:f>'3DP'!$M$3:$M$11</c:f>
              <c:numCache>
                <c:formatCode>#,##0.0</c:formatCode>
                <c:ptCount val="9"/>
                <c:pt idx="0">
                  <c:v>1504950.2</c:v>
                </c:pt>
                <c:pt idx="1">
                  <c:v>10399672.550000001</c:v>
                </c:pt>
                <c:pt idx="2">
                  <c:v>106711354.19</c:v>
                </c:pt>
                <c:pt idx="3">
                  <c:v>228360424.77000001</c:v>
                </c:pt>
                <c:pt idx="4">
                  <c:v>36482968.780000001</c:v>
                </c:pt>
                <c:pt idx="5">
                  <c:v>145561412.81999999</c:v>
                </c:pt>
                <c:pt idx="6">
                  <c:v>64621391.259999998</c:v>
                </c:pt>
                <c:pt idx="7">
                  <c:v>142886749.87</c:v>
                </c:pt>
                <c:pt idx="8">
                  <c:v>736528924.44000006</c:v>
                </c:pt>
              </c:numCache>
            </c:numRef>
          </c:val>
        </c:ser>
        <c:ser>
          <c:idx val="6"/>
          <c:order val="1"/>
          <c:tx>
            <c:strRef>
              <c:f>'3DP'!$I$2</c:f>
              <c:strCache>
                <c:ptCount val="1"/>
                <c:pt idx="0">
                  <c:v>Apstiprināti projekti</c:v>
                </c:pt>
              </c:strCache>
            </c:strRef>
          </c:tx>
          <c:spPr>
            <a:solidFill>
              <a:schemeClr val="accent2"/>
            </a:solidFill>
          </c:spPr>
          <c:invertIfNegative val="0"/>
          <c:dLbls>
            <c:dLbl>
              <c:idx val="0"/>
              <c:tx>
                <c:rich>
                  <a:bodyPr/>
                  <a:lstStyle/>
                  <a:p>
                    <a:r>
                      <a:rPr lang="en-US"/>
                      <a:t>2,7</a:t>
                    </a:r>
                    <a:r>
                      <a:rPr lang="lv-LV"/>
                      <a:t> (32,0%); -5,8%</a:t>
                    </a:r>
                    <a:endParaRPr lang="en-US"/>
                  </a:p>
                </c:rich>
              </c:tx>
              <c:showLegendKey val="0"/>
              <c:showVal val="1"/>
              <c:showCatName val="0"/>
              <c:showSerName val="0"/>
              <c:showPercent val="0"/>
              <c:showBubbleSize val="0"/>
            </c:dLbl>
            <c:dLbl>
              <c:idx val="1"/>
              <c:tx>
                <c:rich>
                  <a:bodyPr/>
                  <a:lstStyle/>
                  <a:p>
                    <a:r>
                      <a:rPr lang="en-US"/>
                      <a:t>16,9</a:t>
                    </a:r>
                    <a:r>
                      <a:rPr lang="lv-LV"/>
                      <a:t> (41,6%); -15,6%</a:t>
                    </a:r>
                    <a:endParaRPr lang="en-US"/>
                  </a:p>
                </c:rich>
              </c:tx>
              <c:showLegendKey val="0"/>
              <c:showVal val="1"/>
              <c:showCatName val="0"/>
              <c:showSerName val="0"/>
              <c:showPercent val="0"/>
              <c:showBubbleSize val="0"/>
            </c:dLbl>
            <c:dLbl>
              <c:idx val="2"/>
              <c:tx>
                <c:rich>
                  <a:bodyPr/>
                  <a:lstStyle/>
                  <a:p>
                    <a:r>
                      <a:rPr lang="en-US"/>
                      <a:t>171,7</a:t>
                    </a:r>
                    <a:r>
                      <a:rPr lang="lv-LV"/>
                      <a:t> (75,6%); 2,8%</a:t>
                    </a:r>
                    <a:endParaRPr lang="en-US"/>
                  </a:p>
                </c:rich>
              </c:tx>
              <c:showLegendKey val="0"/>
              <c:showVal val="1"/>
              <c:showCatName val="0"/>
              <c:showSerName val="0"/>
              <c:showPercent val="0"/>
              <c:showBubbleSize val="0"/>
            </c:dLbl>
            <c:dLbl>
              <c:idx val="3"/>
              <c:tx>
                <c:rich>
                  <a:bodyPr/>
                  <a:lstStyle/>
                  <a:p>
                    <a:r>
                      <a:rPr lang="en-US"/>
                      <a:t>370,2</a:t>
                    </a:r>
                    <a:r>
                      <a:rPr lang="lv-LV"/>
                      <a:t> (73,6%); 0,5%</a:t>
                    </a:r>
                    <a:endParaRPr lang="en-US"/>
                  </a:p>
                </c:rich>
              </c:tx>
              <c:showLegendKey val="0"/>
              <c:showVal val="1"/>
              <c:showCatName val="0"/>
              <c:showSerName val="0"/>
              <c:showPercent val="0"/>
              <c:showBubbleSize val="0"/>
            </c:dLbl>
            <c:dLbl>
              <c:idx val="4"/>
              <c:tx>
                <c:rich>
                  <a:bodyPr/>
                  <a:lstStyle/>
                  <a:p>
                    <a:r>
                      <a:rPr lang="en-US"/>
                      <a:t>165,0</a:t>
                    </a:r>
                    <a:r>
                      <a:rPr lang="lv-LV"/>
                      <a:t> (63,4%); 4,7%</a:t>
                    </a:r>
                    <a:endParaRPr lang="en-US"/>
                  </a:p>
                </c:rich>
              </c:tx>
              <c:showLegendKey val="0"/>
              <c:showVal val="1"/>
              <c:showCatName val="0"/>
              <c:showSerName val="0"/>
              <c:showPercent val="0"/>
              <c:showBubbleSize val="0"/>
            </c:dLbl>
            <c:dLbl>
              <c:idx val="5"/>
              <c:tx>
                <c:rich>
                  <a:bodyPr/>
                  <a:lstStyle/>
                  <a:p>
                    <a:r>
                      <a:rPr lang="en-US"/>
                      <a:t>622,0</a:t>
                    </a:r>
                    <a:r>
                      <a:rPr lang="lv-LV"/>
                      <a:t> (96,2%); 0%</a:t>
                    </a:r>
                    <a:endParaRPr lang="en-US"/>
                  </a:p>
                </c:rich>
              </c:tx>
              <c:showLegendKey val="0"/>
              <c:showVal val="1"/>
              <c:showCatName val="0"/>
              <c:showSerName val="0"/>
              <c:showPercent val="0"/>
              <c:showBubbleSize val="0"/>
            </c:dLbl>
            <c:dLbl>
              <c:idx val="6"/>
              <c:tx>
                <c:rich>
                  <a:bodyPr/>
                  <a:lstStyle/>
                  <a:p>
                    <a:r>
                      <a:rPr lang="en-US"/>
                      <a:t>320,7</a:t>
                    </a:r>
                    <a:r>
                      <a:rPr lang="lv-LV"/>
                      <a:t>(80,9%); 0%</a:t>
                    </a:r>
                    <a:endParaRPr lang="en-US"/>
                  </a:p>
                </c:rich>
              </c:tx>
              <c:showLegendKey val="0"/>
              <c:showVal val="1"/>
              <c:showCatName val="0"/>
              <c:showSerName val="0"/>
              <c:showPercent val="0"/>
              <c:showBubbleSize val="0"/>
            </c:dLbl>
            <c:dLbl>
              <c:idx val="7"/>
              <c:tx>
                <c:rich>
                  <a:bodyPr/>
                  <a:lstStyle/>
                  <a:p>
                    <a:r>
                      <a:rPr lang="en-US"/>
                      <a:t>341,9</a:t>
                    </a:r>
                    <a:r>
                      <a:rPr lang="lv-LV"/>
                      <a:t> (87,0%);</a:t>
                    </a:r>
                    <a:r>
                      <a:rPr lang="lv-LV" baseline="0"/>
                      <a:t> -0,2%</a:t>
                    </a:r>
                    <a:endParaRPr lang="en-US"/>
                  </a:p>
                </c:rich>
              </c:tx>
              <c:showLegendKey val="0"/>
              <c:showVal val="1"/>
              <c:showCatName val="0"/>
              <c:showSerName val="0"/>
              <c:showPercent val="0"/>
              <c:showBubbleSize val="0"/>
            </c:dLbl>
            <c:dLbl>
              <c:idx val="8"/>
              <c:tx>
                <c:rich>
                  <a:bodyPr/>
                  <a:lstStyle/>
                  <a:p>
                    <a:pPr>
                      <a:defRPr sz="850"/>
                    </a:pPr>
                    <a:r>
                      <a:rPr lang="en-US" sz="850"/>
                      <a:t>2 011,0</a:t>
                    </a:r>
                    <a:r>
                      <a:rPr lang="lv-LV" sz="850"/>
                      <a:t> (81,3%); 0,5%</a:t>
                    </a:r>
                    <a:endParaRPr lang="en-US" sz="850"/>
                  </a:p>
                </c:rich>
              </c:tx>
              <c:spPr/>
              <c:showLegendKey val="0"/>
              <c:showVal val="1"/>
              <c:showCatName val="0"/>
              <c:showSerName val="0"/>
              <c:showPercent val="0"/>
              <c:showBubbleSize val="0"/>
            </c:dLbl>
            <c:txPr>
              <a:bodyPr/>
              <a:lstStyle/>
              <a:p>
                <a:pPr>
                  <a:defRPr sz="900"/>
                </a:pPr>
                <a:endParaRPr lang="lv-LV"/>
              </a:p>
            </c:txPr>
            <c:showLegendKey val="0"/>
            <c:showVal val="1"/>
            <c:showCatName val="0"/>
            <c:showSerName val="0"/>
            <c:showPercent val="0"/>
            <c:showBubbleSize val="0"/>
            <c:showLeaderLines val="0"/>
          </c:dLbls>
          <c:cat>
            <c:strRef>
              <c:f>'3DP'!$B$3:$B$11</c:f>
              <c:strCache>
                <c:ptCount val="9"/>
                <c:pt idx="0">
                  <c:v>Tehniskā palīdzība KF ieviešanai</c:v>
                </c:pt>
                <c:pt idx="1">
                  <c:v>Tehniskā palīdzība ERAF ieviešanai</c:v>
                </c:pt>
                <c:pt idx="2">
                  <c:v>Policentriska attīstība</c:v>
                </c:pt>
                <c:pt idx="3">
                  <c:v>Vides infrastruktūras un videi draudzīgas enerģētikas veicināšana</c:v>
                </c:pt>
                <c:pt idx="4">
                  <c:v>Kvalitatīvas vides dzīvei un ekonomiskai aktivitātei nodrošināšana</c:v>
                </c:pt>
                <c:pt idx="5">
                  <c:v>Eiropas nozīmes transporta tīklu attīstība un ilgtspējīga transporta veicināšana</c:v>
                </c:pt>
                <c:pt idx="6">
                  <c:v>Teritoriju pieejamības un sasniedzamības veicināšana</c:v>
                </c:pt>
                <c:pt idx="7">
                  <c:v>Infrastruktūra cilvēku kapitāla nostiprināšanai</c:v>
                </c:pt>
                <c:pt idx="8">
                  <c:v>DP „Infrastruktūra un pakalpojumi" kopā</c:v>
                </c:pt>
              </c:strCache>
            </c:strRef>
          </c:cat>
          <c:val>
            <c:numRef>
              <c:f>'3DP'!$I$3:$I$11</c:f>
              <c:numCache>
                <c:formatCode>#,##0.0</c:formatCode>
                <c:ptCount val="9"/>
                <c:pt idx="0">
                  <c:v>2746200.03</c:v>
                </c:pt>
                <c:pt idx="1">
                  <c:v>16860532.050000001</c:v>
                </c:pt>
                <c:pt idx="2">
                  <c:v>171666356.93000001</c:v>
                </c:pt>
                <c:pt idx="3">
                  <c:v>370211181.19</c:v>
                </c:pt>
                <c:pt idx="4">
                  <c:v>165011277.63999999</c:v>
                </c:pt>
                <c:pt idx="5">
                  <c:v>621952646.41999996</c:v>
                </c:pt>
                <c:pt idx="6">
                  <c:v>320674172.76999998</c:v>
                </c:pt>
                <c:pt idx="7">
                  <c:v>341900795.82999998</c:v>
                </c:pt>
                <c:pt idx="8">
                  <c:v>2011023162.8599999</c:v>
                </c:pt>
              </c:numCache>
            </c:numRef>
          </c:val>
        </c:ser>
        <c:ser>
          <c:idx val="0"/>
          <c:order val="2"/>
          <c:tx>
            <c:strRef>
              <c:f>'3DP'!$C$2</c:f>
              <c:strCache>
                <c:ptCount val="1"/>
                <c:pt idx="0">
                  <c:v>Prioritātē pieejamais finansējums</c:v>
                </c:pt>
              </c:strCache>
            </c:strRef>
          </c:tx>
          <c:invertIfNegative val="0"/>
          <c:dLbls>
            <c:dLbl>
              <c:idx val="0"/>
              <c:tx>
                <c:rich>
                  <a:bodyPr/>
                  <a:lstStyle/>
                  <a:p>
                    <a:r>
                      <a:rPr lang="en-US" sz="900"/>
                      <a:t>8,6</a:t>
                    </a:r>
                    <a:r>
                      <a:rPr lang="lv-LV" sz="900" b="0" i="0" u="none" strike="noStrike" baseline="0">
                        <a:effectLst/>
                      </a:rPr>
                      <a:t>(100%)</a:t>
                    </a:r>
                    <a:endParaRPr lang="en-US"/>
                  </a:p>
                </c:rich>
              </c:tx>
              <c:showLegendKey val="0"/>
              <c:showVal val="1"/>
              <c:showCatName val="0"/>
              <c:showSerName val="0"/>
              <c:showPercent val="0"/>
              <c:showBubbleSize val="0"/>
            </c:dLbl>
            <c:dLbl>
              <c:idx val="1"/>
              <c:tx>
                <c:rich>
                  <a:bodyPr/>
                  <a:lstStyle/>
                  <a:p>
                    <a:r>
                      <a:rPr lang="en-US" sz="900"/>
                      <a:t>40,5</a:t>
                    </a:r>
                    <a:r>
                      <a:rPr lang="lv-LV" sz="900" b="0" i="0" u="none" strike="noStrike" baseline="0">
                        <a:effectLst/>
                      </a:rPr>
                      <a:t>(100%)</a:t>
                    </a:r>
                    <a:endParaRPr lang="en-US"/>
                  </a:p>
                </c:rich>
              </c:tx>
              <c:showLegendKey val="0"/>
              <c:showVal val="1"/>
              <c:showCatName val="0"/>
              <c:showSerName val="0"/>
              <c:showPercent val="0"/>
              <c:showBubbleSize val="0"/>
            </c:dLbl>
            <c:dLbl>
              <c:idx val="2"/>
              <c:tx>
                <c:rich>
                  <a:bodyPr/>
                  <a:lstStyle/>
                  <a:p>
                    <a:r>
                      <a:rPr lang="en-US" sz="900"/>
                      <a:t>227,0</a:t>
                    </a:r>
                    <a:r>
                      <a:rPr lang="lv-LV" sz="900" b="0" i="0" u="none" strike="noStrike" baseline="0">
                        <a:effectLst/>
                      </a:rPr>
                      <a:t>(100%)</a:t>
                    </a:r>
                    <a:endParaRPr lang="en-US"/>
                  </a:p>
                </c:rich>
              </c:tx>
              <c:showLegendKey val="0"/>
              <c:showVal val="1"/>
              <c:showCatName val="0"/>
              <c:showSerName val="0"/>
              <c:showPercent val="0"/>
              <c:showBubbleSize val="0"/>
            </c:dLbl>
            <c:dLbl>
              <c:idx val="3"/>
              <c:tx>
                <c:rich>
                  <a:bodyPr/>
                  <a:lstStyle/>
                  <a:p>
                    <a:r>
                      <a:rPr lang="en-US" sz="900"/>
                      <a:t>502,9</a:t>
                    </a:r>
                    <a:r>
                      <a:rPr lang="lv-LV" sz="900" b="0" i="0" u="none" strike="noStrike" baseline="0">
                        <a:effectLst/>
                      </a:rPr>
                      <a:t>(100%)</a:t>
                    </a:r>
                    <a:endParaRPr lang="en-US"/>
                  </a:p>
                </c:rich>
              </c:tx>
              <c:showLegendKey val="0"/>
              <c:showVal val="1"/>
              <c:showCatName val="0"/>
              <c:showSerName val="0"/>
              <c:showPercent val="0"/>
              <c:showBubbleSize val="0"/>
            </c:dLbl>
            <c:dLbl>
              <c:idx val="4"/>
              <c:tx>
                <c:rich>
                  <a:bodyPr/>
                  <a:lstStyle/>
                  <a:p>
                    <a:r>
                      <a:rPr lang="en-US" sz="900"/>
                      <a:t>260,5</a:t>
                    </a:r>
                    <a:r>
                      <a:rPr lang="lv-LV" sz="900" b="0" i="0" u="none" strike="noStrike" baseline="0">
                        <a:effectLst/>
                      </a:rPr>
                      <a:t>(100%)</a:t>
                    </a:r>
                    <a:endParaRPr lang="en-US"/>
                  </a:p>
                </c:rich>
              </c:tx>
              <c:showLegendKey val="0"/>
              <c:showVal val="1"/>
              <c:showCatName val="0"/>
              <c:showSerName val="0"/>
              <c:showPercent val="0"/>
              <c:showBubbleSize val="0"/>
            </c:dLbl>
            <c:dLbl>
              <c:idx val="5"/>
              <c:tx>
                <c:rich>
                  <a:bodyPr/>
                  <a:lstStyle/>
                  <a:p>
                    <a:r>
                      <a:rPr lang="en-US" sz="900"/>
                      <a:t>646,2</a:t>
                    </a:r>
                    <a:r>
                      <a:rPr lang="lv-LV" sz="900" b="0" i="0" u="none" strike="noStrike" baseline="0">
                        <a:effectLst/>
                      </a:rPr>
                      <a:t>(100%)</a:t>
                    </a:r>
                    <a:endParaRPr lang="en-US"/>
                  </a:p>
                </c:rich>
              </c:tx>
              <c:showLegendKey val="0"/>
              <c:showVal val="1"/>
              <c:showCatName val="0"/>
              <c:showSerName val="0"/>
              <c:showPercent val="0"/>
              <c:showBubbleSize val="0"/>
            </c:dLbl>
            <c:dLbl>
              <c:idx val="6"/>
              <c:tx>
                <c:rich>
                  <a:bodyPr/>
                  <a:lstStyle/>
                  <a:p>
                    <a:r>
                      <a:rPr lang="en-US" sz="900"/>
                      <a:t>396,6</a:t>
                    </a:r>
                    <a:r>
                      <a:rPr lang="lv-LV" sz="900" b="0" i="0" u="none" strike="noStrike" baseline="0">
                        <a:effectLst/>
                      </a:rPr>
                      <a:t>(100%)</a:t>
                    </a:r>
                    <a:endParaRPr lang="en-US"/>
                  </a:p>
                </c:rich>
              </c:tx>
              <c:showLegendKey val="0"/>
              <c:showVal val="1"/>
              <c:showCatName val="0"/>
              <c:showSerName val="0"/>
              <c:showPercent val="0"/>
              <c:showBubbleSize val="0"/>
            </c:dLbl>
            <c:dLbl>
              <c:idx val="7"/>
              <c:tx>
                <c:rich>
                  <a:bodyPr/>
                  <a:lstStyle/>
                  <a:p>
                    <a:r>
                      <a:rPr lang="en-US" sz="900"/>
                      <a:t>392,9</a:t>
                    </a:r>
                    <a:r>
                      <a:rPr lang="lv-LV" sz="900" b="0" i="0" u="none" strike="noStrike" baseline="0">
                        <a:effectLst/>
                      </a:rPr>
                      <a:t>(100%)</a:t>
                    </a:r>
                    <a:endParaRPr lang="en-US"/>
                  </a:p>
                </c:rich>
              </c:tx>
              <c:showLegendKey val="0"/>
              <c:showVal val="1"/>
              <c:showCatName val="0"/>
              <c:showSerName val="0"/>
              <c:showPercent val="0"/>
              <c:showBubbleSize val="0"/>
            </c:dLbl>
            <c:dLbl>
              <c:idx val="8"/>
              <c:tx>
                <c:rich>
                  <a:bodyPr/>
                  <a:lstStyle/>
                  <a:p>
                    <a:r>
                      <a:rPr lang="en-US" sz="900"/>
                      <a:t>2 475,0</a:t>
                    </a:r>
                    <a:r>
                      <a:rPr lang="lv-LV" sz="900"/>
                      <a:t> (100%)</a:t>
                    </a:r>
                    <a:endParaRPr lang="en-US"/>
                  </a:p>
                </c:rich>
              </c:tx>
              <c:showLegendKey val="0"/>
              <c:showVal val="1"/>
              <c:showCatName val="0"/>
              <c:showSerName val="0"/>
              <c:showPercent val="0"/>
              <c:showBubbleSize val="0"/>
            </c:dLbl>
            <c:txPr>
              <a:bodyPr/>
              <a:lstStyle/>
              <a:p>
                <a:pPr>
                  <a:defRPr sz="900"/>
                </a:pPr>
                <a:endParaRPr lang="lv-LV"/>
              </a:p>
            </c:txPr>
            <c:showLegendKey val="0"/>
            <c:showVal val="1"/>
            <c:showCatName val="0"/>
            <c:showSerName val="0"/>
            <c:showPercent val="0"/>
            <c:showBubbleSize val="0"/>
            <c:showLeaderLines val="0"/>
          </c:dLbls>
          <c:cat>
            <c:strRef>
              <c:f>'3DP'!$B$3:$B$11</c:f>
              <c:strCache>
                <c:ptCount val="9"/>
                <c:pt idx="0">
                  <c:v>Tehniskā palīdzība KF ieviešanai</c:v>
                </c:pt>
                <c:pt idx="1">
                  <c:v>Tehniskā palīdzība ERAF ieviešanai</c:v>
                </c:pt>
                <c:pt idx="2">
                  <c:v>Policentriska attīstība</c:v>
                </c:pt>
                <c:pt idx="3">
                  <c:v>Vides infrastruktūras un videi draudzīgas enerģētikas veicināšana</c:v>
                </c:pt>
                <c:pt idx="4">
                  <c:v>Kvalitatīvas vides dzīvei un ekonomiskai aktivitātei nodrošināšana</c:v>
                </c:pt>
                <c:pt idx="5">
                  <c:v>Eiropas nozīmes transporta tīklu attīstība un ilgtspējīga transporta veicināšana</c:v>
                </c:pt>
                <c:pt idx="6">
                  <c:v>Teritoriju pieejamības un sasniedzamības veicināšana</c:v>
                </c:pt>
                <c:pt idx="7">
                  <c:v>Infrastruktūra cilvēku kapitāla nostiprināšanai</c:v>
                </c:pt>
                <c:pt idx="8">
                  <c:v>DP „Infrastruktūra un pakalpojumi" kopā</c:v>
                </c:pt>
              </c:strCache>
            </c:strRef>
          </c:cat>
          <c:val>
            <c:numRef>
              <c:f>'3DP'!$C$3:$C$11</c:f>
              <c:numCache>
                <c:formatCode>#,##0.0</c:formatCode>
                <c:ptCount val="9"/>
                <c:pt idx="0">
                  <c:v>8574208.8000000007</c:v>
                </c:pt>
                <c:pt idx="1">
                  <c:v>40488570.07</c:v>
                </c:pt>
                <c:pt idx="2">
                  <c:v>226969401.309852</c:v>
                </c:pt>
                <c:pt idx="3">
                  <c:v>502858241.798868</c:v>
                </c:pt>
                <c:pt idx="4">
                  <c:v>260455174.69010401</c:v>
                </c:pt>
                <c:pt idx="5">
                  <c:v>646209515.94441593</c:v>
                </c:pt>
                <c:pt idx="6">
                  <c:v>396573367.87706399</c:v>
                </c:pt>
                <c:pt idx="7">
                  <c:v>392874415.54652399</c:v>
                </c:pt>
                <c:pt idx="8">
                  <c:v>2475002896.0368285</c:v>
                </c:pt>
              </c:numCache>
            </c:numRef>
          </c:val>
        </c:ser>
        <c:ser>
          <c:idx val="1"/>
          <c:order val="3"/>
          <c:tx>
            <c:strRef>
              <c:f>'3DP'!$D$2</c:f>
              <c:strCache>
                <c:ptCount val="1"/>
                <c:pt idx="0">
                  <c:v>Prioritātē piešķirtais budžets 2007.-2010.gadā LVL</c:v>
                </c:pt>
              </c:strCache>
            </c:strRef>
          </c:tx>
          <c:invertIfNegative val="0"/>
          <c:cat>
            <c:strRef>
              <c:f>'3DP'!$B$3:$B$11</c:f>
              <c:strCache>
                <c:ptCount val="9"/>
                <c:pt idx="0">
                  <c:v>Tehniskā palīdzība KF ieviešanai</c:v>
                </c:pt>
                <c:pt idx="1">
                  <c:v>Tehniskā palīdzība ERAF ieviešanai</c:v>
                </c:pt>
                <c:pt idx="2">
                  <c:v>Policentriska attīstība</c:v>
                </c:pt>
                <c:pt idx="3">
                  <c:v>Vides infrastruktūras un videi draudzīgas enerģētikas veicināšana</c:v>
                </c:pt>
                <c:pt idx="4">
                  <c:v>Kvalitatīvas vides dzīvei un ekonomiskai aktivitātei nodrošināšana</c:v>
                </c:pt>
                <c:pt idx="5">
                  <c:v>Eiropas nozīmes transporta tīklu attīstība un ilgtspējīga transporta veicināšana</c:v>
                </c:pt>
                <c:pt idx="6">
                  <c:v>Teritoriju pieejamības un sasniedzamības veicināšana</c:v>
                </c:pt>
                <c:pt idx="7">
                  <c:v>Infrastruktūra cilvēku kapitāla nostiprināšanai</c:v>
                </c:pt>
                <c:pt idx="8">
                  <c:v>DP „Infrastruktūra un pakalpojumi" kopā</c:v>
                </c:pt>
              </c:strCache>
            </c:strRef>
          </c:cat>
          <c:val>
            <c:numRef>
              <c:f>'3DP'!$D$3:$D$11</c:f>
            </c:numRef>
          </c:val>
        </c:ser>
        <c:ser>
          <c:idx val="2"/>
          <c:order val="4"/>
          <c:tx>
            <c:strRef>
              <c:f>'3DP'!$E$2</c:f>
              <c:strCache>
                <c:ptCount val="1"/>
                <c:pt idx="0">
                  <c:v>Apstiprinātie projekti (publiskais fin.); LVL</c:v>
                </c:pt>
              </c:strCache>
            </c:strRef>
          </c:tx>
          <c:invertIfNegative val="0"/>
          <c:cat>
            <c:strRef>
              <c:f>'3DP'!$B$3:$B$11</c:f>
              <c:strCache>
                <c:ptCount val="9"/>
                <c:pt idx="0">
                  <c:v>Tehniskā palīdzība KF ieviešanai</c:v>
                </c:pt>
                <c:pt idx="1">
                  <c:v>Tehniskā palīdzība ERAF ieviešanai</c:v>
                </c:pt>
                <c:pt idx="2">
                  <c:v>Policentriska attīstība</c:v>
                </c:pt>
                <c:pt idx="3">
                  <c:v>Vides infrastruktūras un videi draudzīgas enerģētikas veicināšana</c:v>
                </c:pt>
                <c:pt idx="4">
                  <c:v>Kvalitatīvas vides dzīvei un ekonomiskai aktivitātei nodrošināšana</c:v>
                </c:pt>
                <c:pt idx="5">
                  <c:v>Eiropas nozīmes transporta tīklu attīstība un ilgtspējīga transporta veicināšana</c:v>
                </c:pt>
                <c:pt idx="6">
                  <c:v>Teritoriju pieejamības un sasniedzamības veicināšana</c:v>
                </c:pt>
                <c:pt idx="7">
                  <c:v>Infrastruktūra cilvēku kapitāla nostiprināšanai</c:v>
                </c:pt>
                <c:pt idx="8">
                  <c:v>DP „Infrastruktūra un pakalpojumi" kopā</c:v>
                </c:pt>
              </c:strCache>
            </c:strRef>
          </c:cat>
          <c:val>
            <c:numRef>
              <c:f>'3DP'!$E$3:$E$11</c:f>
            </c:numRef>
          </c:val>
        </c:ser>
        <c:ser>
          <c:idx val="3"/>
          <c:order val="5"/>
          <c:tx>
            <c:strRef>
              <c:f>'3DP'!$F$2</c:f>
              <c:strCache>
                <c:ptCount val="1"/>
                <c:pt idx="0">
                  <c:v>Apstiprinātie projekti (publiskais fin.); % no prioritātē pieejamā publiskā fin.</c:v>
                </c:pt>
              </c:strCache>
            </c:strRef>
          </c:tx>
          <c:invertIfNegative val="0"/>
          <c:cat>
            <c:strRef>
              <c:f>'3DP'!$B$3:$B$11</c:f>
              <c:strCache>
                <c:ptCount val="9"/>
                <c:pt idx="0">
                  <c:v>Tehniskā palīdzība KF ieviešanai</c:v>
                </c:pt>
                <c:pt idx="1">
                  <c:v>Tehniskā palīdzība ERAF ieviešanai</c:v>
                </c:pt>
                <c:pt idx="2">
                  <c:v>Policentriska attīstība</c:v>
                </c:pt>
                <c:pt idx="3">
                  <c:v>Vides infrastruktūras un videi draudzīgas enerģētikas veicināšana</c:v>
                </c:pt>
                <c:pt idx="4">
                  <c:v>Kvalitatīvas vides dzīvei un ekonomiskai aktivitātei nodrošināšana</c:v>
                </c:pt>
                <c:pt idx="5">
                  <c:v>Eiropas nozīmes transporta tīklu attīstība un ilgtspējīga transporta veicināšana</c:v>
                </c:pt>
                <c:pt idx="6">
                  <c:v>Teritoriju pieejamības un sasniedzamības veicināšana</c:v>
                </c:pt>
                <c:pt idx="7">
                  <c:v>Infrastruktūra cilvēku kapitāla nostiprināšanai</c:v>
                </c:pt>
                <c:pt idx="8">
                  <c:v>DP „Infrastruktūra un pakalpojumi" kopā</c:v>
                </c:pt>
              </c:strCache>
            </c:strRef>
          </c:cat>
          <c:val>
            <c:numRef>
              <c:f>'3DP'!$F$3:$F$11</c:f>
            </c:numRef>
          </c:val>
        </c:ser>
        <c:ser>
          <c:idx val="4"/>
          <c:order val="6"/>
          <c:tx>
            <c:strRef>
              <c:f>'3DP'!$G$2</c:f>
              <c:strCache>
                <c:ptCount val="1"/>
                <c:pt idx="0">
                  <c:v>Apstiprinātie projekti (publiskais fin.) uz 31.12.2010.; % no prioritātē pieejamā publiskā fin.</c:v>
                </c:pt>
              </c:strCache>
            </c:strRef>
          </c:tx>
          <c:invertIfNegative val="0"/>
          <c:cat>
            <c:strRef>
              <c:f>'3DP'!$B$3:$B$11</c:f>
              <c:strCache>
                <c:ptCount val="9"/>
                <c:pt idx="0">
                  <c:v>Tehniskā palīdzība KF ieviešanai</c:v>
                </c:pt>
                <c:pt idx="1">
                  <c:v>Tehniskā palīdzība ERAF ieviešanai</c:v>
                </c:pt>
                <c:pt idx="2">
                  <c:v>Policentriska attīstība</c:v>
                </c:pt>
                <c:pt idx="3">
                  <c:v>Vides infrastruktūras un videi draudzīgas enerģētikas veicināšana</c:v>
                </c:pt>
                <c:pt idx="4">
                  <c:v>Kvalitatīvas vides dzīvei un ekonomiskai aktivitātei nodrošināšana</c:v>
                </c:pt>
                <c:pt idx="5">
                  <c:v>Eiropas nozīmes transporta tīklu attīstība un ilgtspējīga transporta veicināšana</c:v>
                </c:pt>
                <c:pt idx="6">
                  <c:v>Teritoriju pieejamības un sasniedzamības veicināšana</c:v>
                </c:pt>
                <c:pt idx="7">
                  <c:v>Infrastruktūra cilvēku kapitāla nostiprināšanai</c:v>
                </c:pt>
                <c:pt idx="8">
                  <c:v>DP „Infrastruktūra un pakalpojumi" kopā</c:v>
                </c:pt>
              </c:strCache>
            </c:strRef>
          </c:cat>
          <c:val>
            <c:numRef>
              <c:f>'3DP'!$G$3:$G$11</c:f>
            </c:numRef>
          </c:val>
        </c:ser>
        <c:ser>
          <c:idx val="5"/>
          <c:order val="7"/>
          <c:tx>
            <c:strRef>
              <c:f>'3DP'!$H$2</c:f>
              <c:strCache>
                <c:ptCount val="1"/>
                <c:pt idx="0">
                  <c:v>Progress apstiprinātajiem projektiem pret datiem uz 30.09.2010.; % no prioritātē pieejamā publiskā fin.</c:v>
                </c:pt>
              </c:strCache>
            </c:strRef>
          </c:tx>
          <c:invertIfNegative val="0"/>
          <c:cat>
            <c:strRef>
              <c:f>'3DP'!$B$3:$B$11</c:f>
              <c:strCache>
                <c:ptCount val="9"/>
                <c:pt idx="0">
                  <c:v>Tehniskā palīdzība KF ieviešanai</c:v>
                </c:pt>
                <c:pt idx="1">
                  <c:v>Tehniskā palīdzība ERAF ieviešanai</c:v>
                </c:pt>
                <c:pt idx="2">
                  <c:v>Policentriska attīstība</c:v>
                </c:pt>
                <c:pt idx="3">
                  <c:v>Vides infrastruktūras un videi draudzīgas enerģētikas veicināšana</c:v>
                </c:pt>
                <c:pt idx="4">
                  <c:v>Kvalitatīvas vides dzīvei un ekonomiskai aktivitātei nodrošināšana</c:v>
                </c:pt>
                <c:pt idx="5">
                  <c:v>Eiropas nozīmes transporta tīklu attīstība un ilgtspējīga transporta veicināšana</c:v>
                </c:pt>
                <c:pt idx="6">
                  <c:v>Teritoriju pieejamības un sasniedzamības veicināšana</c:v>
                </c:pt>
                <c:pt idx="7">
                  <c:v>Infrastruktūra cilvēku kapitāla nostiprināšanai</c:v>
                </c:pt>
                <c:pt idx="8">
                  <c:v>DP „Infrastruktūra un pakalpojumi" kopā</c:v>
                </c:pt>
              </c:strCache>
            </c:strRef>
          </c:cat>
          <c:val>
            <c:numRef>
              <c:f>'3DP'!$H$3:$H$11</c:f>
            </c:numRef>
          </c:val>
        </c:ser>
        <c:dLbls>
          <c:showLegendKey val="0"/>
          <c:showVal val="0"/>
          <c:showCatName val="0"/>
          <c:showSerName val="0"/>
          <c:showPercent val="0"/>
          <c:showBubbleSize val="0"/>
        </c:dLbls>
        <c:gapWidth val="150"/>
        <c:shape val="box"/>
        <c:axId val="141606912"/>
        <c:axId val="141608448"/>
        <c:axId val="0"/>
      </c:bar3DChart>
      <c:catAx>
        <c:axId val="141606912"/>
        <c:scaling>
          <c:orientation val="minMax"/>
        </c:scaling>
        <c:delete val="0"/>
        <c:axPos val="l"/>
        <c:majorTickMark val="out"/>
        <c:minorTickMark val="none"/>
        <c:tickLblPos val="nextTo"/>
        <c:txPr>
          <a:bodyPr/>
          <a:lstStyle/>
          <a:p>
            <a:pPr>
              <a:defRPr sz="1100"/>
            </a:pPr>
            <a:endParaRPr lang="lv-LV"/>
          </a:p>
        </c:txPr>
        <c:crossAx val="141608448"/>
        <c:crosses val="autoZero"/>
        <c:auto val="1"/>
        <c:lblAlgn val="ctr"/>
        <c:lblOffset val="100"/>
        <c:noMultiLvlLbl val="0"/>
      </c:catAx>
      <c:valAx>
        <c:axId val="141608448"/>
        <c:scaling>
          <c:orientation val="minMax"/>
        </c:scaling>
        <c:delete val="0"/>
        <c:axPos val="b"/>
        <c:majorGridlines/>
        <c:numFmt formatCode="#,##0" sourceLinked="0"/>
        <c:majorTickMark val="out"/>
        <c:minorTickMark val="none"/>
        <c:tickLblPos val="nextTo"/>
        <c:crossAx val="141606912"/>
        <c:crosses val="autoZero"/>
        <c:crossBetween val="between"/>
        <c:majorUnit val="1000000000"/>
        <c:minorUnit val="1000000000"/>
        <c:dispUnits>
          <c:builtInUnit val="millions"/>
        </c:dispUnits>
      </c:valAx>
    </c:plotArea>
    <c:legend>
      <c:legendPos val="b"/>
      <c:layout>
        <c:manualLayout>
          <c:xMode val="edge"/>
          <c:yMode val="edge"/>
          <c:x val="0"/>
          <c:y val="0.94431066994203328"/>
          <c:w val="0.99766477690336297"/>
          <c:h val="5.4344769788082968E-2"/>
        </c:manualLayout>
      </c:layout>
      <c:overlay val="0"/>
      <c:txPr>
        <a:bodyPr/>
        <a:lstStyle/>
        <a:p>
          <a:pPr>
            <a:defRPr sz="1100"/>
          </a:pPr>
          <a:endParaRPr lang="lv-LV"/>
        </a:p>
      </c:txPr>
    </c:legend>
    <c:plotVisOnly val="1"/>
    <c:dispBlanksAs val="gap"/>
    <c:showDLblsOverMax val="0"/>
  </c:chart>
  <c:spPr>
    <a:noFill/>
    <a:ln>
      <a:noFill/>
    </a:ln>
  </c:spPr>
  <c:txPr>
    <a:bodyPr/>
    <a:lstStyle/>
    <a:p>
      <a:pPr>
        <a:defRPr>
          <a:latin typeface="Times New Roman" pitchFamily="18" charset="0"/>
          <a:cs typeface="Times New Roman" pitchFamily="18" charset="0"/>
        </a:defRPr>
      </a:pPr>
      <a:endParaRPr lang="lv-LV"/>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bar"/>
        <c:grouping val="clustered"/>
        <c:varyColors val="0"/>
        <c:ser>
          <c:idx val="0"/>
          <c:order val="0"/>
          <c:invertIfNegative val="0"/>
          <c:dLbls>
            <c:dLbl>
              <c:idx val="6"/>
              <c:spPr/>
              <c:txPr>
                <a:bodyPr/>
                <a:lstStyle/>
                <a:p>
                  <a:pPr>
                    <a:defRPr>
                      <a:solidFill>
                        <a:srgbClr val="FF0000"/>
                      </a:solidFill>
                    </a:defRPr>
                  </a:pPr>
                  <a:endParaRPr lang="lv-LV"/>
                </a:p>
              </c:txPr>
              <c:showLegendKey val="0"/>
              <c:showVal val="1"/>
              <c:showCatName val="0"/>
              <c:showSerName val="0"/>
              <c:showPercent val="0"/>
              <c:showBubbleSize val="0"/>
            </c:dLbl>
            <c:showLegendKey val="0"/>
            <c:showVal val="1"/>
            <c:showCatName val="0"/>
            <c:showSerName val="0"/>
            <c:showPercent val="0"/>
            <c:showBubbleSize val="0"/>
            <c:showLeaderLines val="0"/>
          </c:dLbls>
          <c:cat>
            <c:strRef>
              <c:f>KOPA!$E$33:$E$44</c:f>
              <c:strCache>
                <c:ptCount val="12"/>
                <c:pt idx="0">
                  <c:v>Rumānija</c:v>
                </c:pt>
                <c:pt idx="1">
                  <c:v>Bulgārija</c:v>
                </c:pt>
                <c:pt idx="2">
                  <c:v>Čehija</c:v>
                </c:pt>
                <c:pt idx="3">
                  <c:v>Malta</c:v>
                </c:pt>
                <c:pt idx="4">
                  <c:v>Slovākija</c:v>
                </c:pt>
                <c:pt idx="5">
                  <c:v>Ungārija</c:v>
                </c:pt>
                <c:pt idx="6">
                  <c:v>Latvija</c:v>
                </c:pt>
                <c:pt idx="7">
                  <c:v>Kipra</c:v>
                </c:pt>
                <c:pt idx="8">
                  <c:v>Polija</c:v>
                </c:pt>
                <c:pt idx="9">
                  <c:v>Slovēnija</c:v>
                </c:pt>
                <c:pt idx="10">
                  <c:v>Lietuva</c:v>
                </c:pt>
                <c:pt idx="11">
                  <c:v>Igaunija</c:v>
                </c:pt>
              </c:strCache>
            </c:strRef>
          </c:cat>
          <c:val>
            <c:numRef>
              <c:f>KOPA!$F$33:$F$44</c:f>
              <c:numCache>
                <c:formatCode>0.0%</c:formatCode>
                <c:ptCount val="12"/>
                <c:pt idx="0">
                  <c:v>0.14358720499123148</c:v>
                </c:pt>
                <c:pt idx="1">
                  <c:v>0.16602913830211843</c:v>
                </c:pt>
                <c:pt idx="2">
                  <c:v>0.21934969992342751</c:v>
                </c:pt>
                <c:pt idx="3">
                  <c:v>0.22455145439164959</c:v>
                </c:pt>
                <c:pt idx="4">
                  <c:v>0.23869971647282712</c:v>
                </c:pt>
                <c:pt idx="5">
                  <c:v>0.24772118494731016</c:v>
                </c:pt>
                <c:pt idx="6">
                  <c:v>0.26767973897515834</c:v>
                </c:pt>
                <c:pt idx="7">
                  <c:v>0.29803546834240974</c:v>
                </c:pt>
                <c:pt idx="8">
                  <c:v>0.29929233602201299</c:v>
                </c:pt>
                <c:pt idx="9">
                  <c:v>0.31402704606939463</c:v>
                </c:pt>
                <c:pt idx="10">
                  <c:v>0.38791593990298878</c:v>
                </c:pt>
                <c:pt idx="11">
                  <c:v>0.40345256071787378</c:v>
                </c:pt>
              </c:numCache>
            </c:numRef>
          </c:val>
        </c:ser>
        <c:dLbls>
          <c:showLegendKey val="0"/>
          <c:showVal val="0"/>
          <c:showCatName val="0"/>
          <c:showSerName val="0"/>
          <c:showPercent val="0"/>
          <c:showBubbleSize val="0"/>
        </c:dLbls>
        <c:gapWidth val="150"/>
        <c:shape val="box"/>
        <c:axId val="141621888"/>
        <c:axId val="141623680"/>
        <c:axId val="0"/>
      </c:bar3DChart>
      <c:catAx>
        <c:axId val="141621888"/>
        <c:scaling>
          <c:orientation val="minMax"/>
        </c:scaling>
        <c:delete val="0"/>
        <c:axPos val="l"/>
        <c:majorTickMark val="out"/>
        <c:minorTickMark val="none"/>
        <c:tickLblPos val="nextTo"/>
        <c:crossAx val="141623680"/>
        <c:crosses val="autoZero"/>
        <c:auto val="1"/>
        <c:lblAlgn val="ctr"/>
        <c:lblOffset val="100"/>
        <c:noMultiLvlLbl val="0"/>
      </c:catAx>
      <c:valAx>
        <c:axId val="141623680"/>
        <c:scaling>
          <c:orientation val="minMax"/>
        </c:scaling>
        <c:delete val="0"/>
        <c:axPos val="b"/>
        <c:majorGridlines/>
        <c:numFmt formatCode="0%" sourceLinked="0"/>
        <c:majorTickMark val="out"/>
        <c:minorTickMark val="none"/>
        <c:tickLblPos val="nextTo"/>
        <c:crossAx val="141621888"/>
        <c:crosses val="autoZero"/>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lv-LV"/>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lv-LV" sz="1200" b="1" i="0" baseline="0"/>
              <a:t> Baltijas valstu ESF apguves salīdzinājums 2007.-2013.gada plānošanas periodā</a:t>
            </a:r>
            <a:endParaRPr lang="lv-LV" sz="1200"/>
          </a:p>
        </c:rich>
      </c:tx>
      <c:overlay val="0"/>
    </c:title>
    <c:autoTitleDeleted val="0"/>
    <c:plotArea>
      <c:layout/>
      <c:barChart>
        <c:barDir val="col"/>
        <c:grouping val="clustered"/>
        <c:varyColors val="0"/>
        <c:ser>
          <c:idx val="0"/>
          <c:order val="0"/>
          <c:tx>
            <c:strRef>
              <c:f>'2007-2013_ESF_3B'!$A$2</c:f>
              <c:strCache>
                <c:ptCount val="1"/>
                <c:pt idx="0">
                  <c:v>Noslēgie līgumi (% no ES fondu finansējuma)</c:v>
                </c:pt>
              </c:strCache>
            </c:strRef>
          </c:tx>
          <c:spPr>
            <a:solidFill>
              <a:schemeClr val="accent1">
                <a:lumMod val="75000"/>
              </a:schemeClr>
            </a:solidFill>
          </c:spPr>
          <c:invertIfNegative val="0"/>
          <c:cat>
            <c:strRef>
              <c:f>'2007-2013_ESF_3B'!$B$1:$D$1</c:f>
              <c:strCache>
                <c:ptCount val="3"/>
                <c:pt idx="0">
                  <c:v>LV</c:v>
                </c:pt>
                <c:pt idx="1">
                  <c:v>EE</c:v>
                </c:pt>
                <c:pt idx="2">
                  <c:v>LT</c:v>
                </c:pt>
              </c:strCache>
            </c:strRef>
          </c:cat>
          <c:val>
            <c:numRef>
              <c:f>'2007-2013_ESF_3B'!$B$2:$D$2</c:f>
              <c:numCache>
                <c:formatCode>0.0%</c:formatCode>
                <c:ptCount val="3"/>
                <c:pt idx="0">
                  <c:v>0.92500000000000004</c:v>
                </c:pt>
                <c:pt idx="1">
                  <c:v>0.873</c:v>
                </c:pt>
                <c:pt idx="2">
                  <c:v>0.60099999999999998</c:v>
                </c:pt>
              </c:numCache>
            </c:numRef>
          </c:val>
        </c:ser>
        <c:ser>
          <c:idx val="1"/>
          <c:order val="1"/>
          <c:tx>
            <c:strRef>
              <c:f>'2007-2013_ESF_3B'!$A$3</c:f>
              <c:strCache>
                <c:ptCount val="1"/>
                <c:pt idx="0">
                  <c:v>Visi veiktie maksājumi finansējuma saņēmējiem (% no ES fondu finansējuma) </c:v>
                </c:pt>
              </c:strCache>
            </c:strRef>
          </c:tx>
          <c:spPr>
            <a:solidFill>
              <a:schemeClr val="tx2">
                <a:lumMod val="40000"/>
                <a:lumOff val="60000"/>
              </a:schemeClr>
            </a:solidFill>
          </c:spPr>
          <c:invertIfNegative val="0"/>
          <c:cat>
            <c:strRef>
              <c:f>'2007-2013_ESF_3B'!$B$1:$D$1</c:f>
              <c:strCache>
                <c:ptCount val="3"/>
                <c:pt idx="0">
                  <c:v>LV</c:v>
                </c:pt>
                <c:pt idx="1">
                  <c:v>EE</c:v>
                </c:pt>
                <c:pt idx="2">
                  <c:v>LT</c:v>
                </c:pt>
              </c:strCache>
            </c:strRef>
          </c:cat>
          <c:val>
            <c:numRef>
              <c:f>'2007-2013_ESF_3B'!$B$3:$D$3</c:f>
              <c:numCache>
                <c:formatCode>0.0%</c:formatCode>
                <c:ptCount val="3"/>
                <c:pt idx="0">
                  <c:v>0.47299999999999998</c:v>
                </c:pt>
                <c:pt idx="1">
                  <c:v>0.45</c:v>
                </c:pt>
                <c:pt idx="2">
                  <c:v>0.33900000000000002</c:v>
                </c:pt>
              </c:numCache>
            </c:numRef>
          </c:val>
        </c:ser>
        <c:ser>
          <c:idx val="2"/>
          <c:order val="2"/>
          <c:tx>
            <c:strRef>
              <c:f>'2007-2013_ESF_3B'!$A$4</c:f>
              <c:strCache>
                <c:ptCount val="1"/>
                <c:pt idx="0">
                  <c:v>Saņemtie maksājumi no EK (% no ES fondu finansējuma)</c:v>
                </c:pt>
              </c:strCache>
            </c:strRef>
          </c:tx>
          <c:spPr>
            <a:solidFill>
              <a:schemeClr val="tx2">
                <a:lumMod val="20000"/>
                <a:lumOff val="80000"/>
              </a:schemeClr>
            </a:solidFill>
          </c:spPr>
          <c:invertIfNegative val="0"/>
          <c:cat>
            <c:strRef>
              <c:f>'2007-2013_ESF_3B'!$B$1:$D$1</c:f>
              <c:strCache>
                <c:ptCount val="3"/>
                <c:pt idx="0">
                  <c:v>LV</c:v>
                </c:pt>
                <c:pt idx="1">
                  <c:v>EE</c:v>
                </c:pt>
                <c:pt idx="2">
                  <c:v>LT</c:v>
                </c:pt>
              </c:strCache>
            </c:strRef>
          </c:cat>
          <c:val>
            <c:numRef>
              <c:f>'2007-2013_ESF_3B'!$B$4:$D$4</c:f>
              <c:numCache>
                <c:formatCode>0.0%</c:formatCode>
                <c:ptCount val="3"/>
                <c:pt idx="0">
                  <c:v>0.53</c:v>
                </c:pt>
                <c:pt idx="1">
                  <c:v>0.433</c:v>
                </c:pt>
                <c:pt idx="2">
                  <c:v>0.32800000000000001</c:v>
                </c:pt>
              </c:numCache>
            </c:numRef>
          </c:val>
        </c:ser>
        <c:dLbls>
          <c:showLegendKey val="0"/>
          <c:showVal val="1"/>
          <c:showCatName val="0"/>
          <c:showSerName val="0"/>
          <c:showPercent val="0"/>
          <c:showBubbleSize val="0"/>
        </c:dLbls>
        <c:gapWidth val="75"/>
        <c:overlap val="-25"/>
        <c:axId val="141666560"/>
        <c:axId val="141676544"/>
      </c:barChart>
      <c:catAx>
        <c:axId val="141666560"/>
        <c:scaling>
          <c:orientation val="minMax"/>
        </c:scaling>
        <c:delete val="0"/>
        <c:axPos val="b"/>
        <c:majorTickMark val="none"/>
        <c:minorTickMark val="none"/>
        <c:tickLblPos val="nextTo"/>
        <c:crossAx val="141676544"/>
        <c:crosses val="autoZero"/>
        <c:auto val="1"/>
        <c:lblAlgn val="ctr"/>
        <c:lblOffset val="100"/>
        <c:noMultiLvlLbl val="0"/>
      </c:catAx>
      <c:valAx>
        <c:axId val="141676544"/>
        <c:scaling>
          <c:orientation val="minMax"/>
        </c:scaling>
        <c:delete val="0"/>
        <c:axPos val="l"/>
        <c:majorGridlines/>
        <c:numFmt formatCode="0.0%" sourceLinked="1"/>
        <c:majorTickMark val="none"/>
        <c:minorTickMark val="none"/>
        <c:tickLblPos val="nextTo"/>
        <c:spPr>
          <a:ln w="9525">
            <a:noFill/>
          </a:ln>
        </c:spPr>
        <c:crossAx val="141666560"/>
        <c:crosses val="autoZero"/>
        <c:crossBetween val="between"/>
      </c:valAx>
    </c:plotArea>
    <c:legend>
      <c:legendPos val="b"/>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09337929686815"/>
          <c:y val="5.1400554097404488E-2"/>
          <c:w val="0.84396794400699915"/>
          <c:h val="0.73926601241369749"/>
        </c:manualLayout>
      </c:layout>
      <c:barChart>
        <c:barDir val="col"/>
        <c:grouping val="clustered"/>
        <c:varyColors val="0"/>
        <c:ser>
          <c:idx val="0"/>
          <c:order val="0"/>
          <c:tx>
            <c:strRef>
              <c:f>'Nor EEZ'!$A$8</c:f>
              <c:strCache>
                <c:ptCount val="1"/>
                <c:pt idx="0">
                  <c:v>Plānotā apguve</c:v>
                </c:pt>
              </c:strCache>
            </c:strRef>
          </c:tx>
          <c:invertIfNegative val="0"/>
          <c:dLbls>
            <c:dLbl>
              <c:idx val="0"/>
              <c:layout>
                <c:manualLayout>
                  <c:x val="-2.9450123082440782E-3"/>
                  <c:y val="-2.3221565389432704E-3"/>
                </c:manualLayout>
              </c:layout>
              <c:spPr/>
              <c:txPr>
                <a:bodyPr/>
                <a:lstStyle/>
                <a:p>
                  <a:pPr>
                    <a:defRPr/>
                  </a:pPr>
                  <a:endParaRPr lang="lv-LV"/>
                </a:p>
              </c:txPr>
              <c:dLblPos val="outEnd"/>
              <c:showLegendKey val="0"/>
              <c:showVal val="1"/>
              <c:showCatName val="0"/>
              <c:showSerName val="0"/>
              <c:showPercent val="0"/>
              <c:showBubbleSize val="0"/>
            </c:dLbl>
            <c:dLbl>
              <c:idx val="1"/>
              <c:tx>
                <c:rich>
                  <a:bodyPr/>
                  <a:lstStyle/>
                  <a:p>
                    <a:pPr>
                      <a:defRPr/>
                    </a:pPr>
                    <a:r>
                      <a:rPr lang="en-US"/>
                      <a:t>6</a:t>
                    </a:r>
                    <a:r>
                      <a:rPr lang="lv-LV"/>
                      <a:t>,5</a:t>
                    </a:r>
                    <a:endParaRPr lang="en-US"/>
                  </a:p>
                </c:rich>
              </c:tx>
              <c:spPr/>
              <c:showLegendKey val="0"/>
              <c:showVal val="0"/>
              <c:showCatName val="0"/>
              <c:showSerName val="0"/>
              <c:showPercent val="0"/>
              <c:showBubbleSize val="0"/>
            </c:dLbl>
            <c:dLbl>
              <c:idx val="2"/>
              <c:layout>
                <c:manualLayout>
                  <c:x val="-1.7578176878388992E-3"/>
                  <c:y val="3.9975678771203175E-4"/>
                </c:manualLayout>
              </c:layout>
              <c:tx>
                <c:rich>
                  <a:bodyPr/>
                  <a:lstStyle/>
                  <a:p>
                    <a:pPr>
                      <a:defRPr/>
                    </a:pPr>
                    <a:r>
                      <a:rPr lang="lv-LV"/>
                      <a:t>0,2</a:t>
                    </a:r>
                    <a:endParaRPr lang="en-US"/>
                  </a:p>
                </c:rich>
              </c:tx>
              <c:spPr/>
              <c:dLblPos val="outEnd"/>
              <c:showLegendKey val="0"/>
              <c:showVal val="1"/>
              <c:showCatName val="0"/>
              <c:showSerName val="0"/>
              <c:showPercent val="0"/>
              <c:showBubbleSize val="0"/>
            </c:dLbl>
            <c:dLbl>
              <c:idx val="3"/>
              <c:tx>
                <c:rich>
                  <a:bodyPr/>
                  <a:lstStyle/>
                  <a:p>
                    <a:r>
                      <a:rPr lang="en-US"/>
                      <a:t>0</a:t>
                    </a:r>
                    <a:r>
                      <a:rPr lang="lv-LV"/>
                      <a:t>,1</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'Nor EEZ'!$B$7:$E$7</c:f>
              <c:strCache>
                <c:ptCount val="4"/>
                <c:pt idx="0">
                  <c:v>1.ceturksnis</c:v>
                </c:pt>
                <c:pt idx="1">
                  <c:v>2.cetruksnis</c:v>
                </c:pt>
                <c:pt idx="2">
                  <c:v>3.ceturksnis</c:v>
                </c:pt>
                <c:pt idx="3">
                  <c:v>4.ceturksnis</c:v>
                </c:pt>
              </c:strCache>
            </c:strRef>
          </c:cat>
          <c:val>
            <c:numRef>
              <c:f>'Nor EEZ'!$B$8:$E$8</c:f>
              <c:numCache>
                <c:formatCode>#,##0</c:formatCode>
                <c:ptCount val="4"/>
                <c:pt idx="0">
                  <c:v>1962722</c:v>
                </c:pt>
                <c:pt idx="1">
                  <c:v>6466073</c:v>
                </c:pt>
                <c:pt idx="2">
                  <c:v>184122</c:v>
                </c:pt>
                <c:pt idx="3">
                  <c:v>82976</c:v>
                </c:pt>
              </c:numCache>
            </c:numRef>
          </c:val>
        </c:ser>
        <c:ser>
          <c:idx val="1"/>
          <c:order val="1"/>
          <c:tx>
            <c:strRef>
              <c:f>'Nor EEZ'!$A$9</c:f>
              <c:strCache>
                <c:ptCount val="1"/>
                <c:pt idx="0">
                  <c:v>Faktiskā apguve</c:v>
                </c:pt>
              </c:strCache>
            </c:strRef>
          </c:tx>
          <c:invertIfNegative val="0"/>
          <c:dLbls>
            <c:dLbl>
              <c:idx val="0"/>
              <c:layout>
                <c:manualLayout>
                  <c:x val="2.873296728732588E-2"/>
                  <c:y val="5.4764742484621582E-3"/>
                </c:manualLayout>
              </c:layout>
              <c:tx>
                <c:rich>
                  <a:bodyPr/>
                  <a:lstStyle/>
                  <a:p>
                    <a:pPr>
                      <a:defRPr/>
                    </a:pPr>
                    <a:r>
                      <a:rPr lang="lv-LV"/>
                      <a:t>1,7 (85%)</a:t>
                    </a:r>
                    <a:endParaRPr lang="en-US"/>
                  </a:p>
                </c:rich>
              </c:tx>
              <c:spPr/>
              <c:dLblPos val="outEnd"/>
              <c:showLegendKey val="0"/>
              <c:showVal val="0"/>
              <c:showCatName val="0"/>
              <c:showSerName val="0"/>
              <c:showPercent val="0"/>
              <c:showBubbleSize val="0"/>
            </c:dLbl>
            <c:dLbl>
              <c:idx val="1"/>
              <c:layout>
                <c:manualLayout>
                  <c:x val="2.866200950910119E-2"/>
                  <c:y val="8.201795159842977E-3"/>
                </c:manualLayout>
              </c:layout>
              <c:tx>
                <c:rich>
                  <a:bodyPr/>
                  <a:lstStyle/>
                  <a:p>
                    <a:pPr>
                      <a:defRPr/>
                    </a:pPr>
                    <a:r>
                      <a:rPr lang="lv-LV"/>
                      <a:t>2,1 (32%)</a:t>
                    </a:r>
                    <a:endParaRPr lang="en-US"/>
                  </a:p>
                </c:rich>
              </c:tx>
              <c:spPr/>
              <c:dLblPos val="outEnd"/>
              <c:showLegendKey val="0"/>
              <c:showVal val="0"/>
              <c:showCatName val="0"/>
              <c:showSerName val="0"/>
              <c:showPercent val="0"/>
              <c:showBubbleSize val="0"/>
            </c:dLbl>
            <c:dLbl>
              <c:idx val="2"/>
              <c:layout>
                <c:manualLayout>
                  <c:x val="1.0547071703615369E-2"/>
                  <c:y val="-4.6296296296296294E-3"/>
                </c:manualLayout>
              </c:layout>
              <c:tx>
                <c:rich>
                  <a:bodyPr/>
                  <a:lstStyle/>
                  <a:p>
                    <a:pPr>
                      <a:defRPr/>
                    </a:pPr>
                    <a:r>
                      <a:rPr lang="lv-LV"/>
                      <a:t>0</a:t>
                    </a:r>
                    <a:endParaRPr lang="en-US"/>
                  </a:p>
                </c:rich>
              </c:tx>
              <c:spPr/>
              <c:dLblPos val="outEnd"/>
              <c:showLegendKey val="0"/>
              <c:showVal val="0"/>
              <c:showCatName val="0"/>
              <c:showSerName val="0"/>
              <c:showPercent val="0"/>
              <c:showBubbleSize val="0"/>
            </c:dLbl>
            <c:dLbl>
              <c:idx val="3"/>
              <c:layout>
                <c:manualLayout>
                  <c:x val="4.3705232033161628E-3"/>
                  <c:y val="-8.1053698074974676E-3"/>
                </c:manualLayout>
              </c:layout>
              <c:tx>
                <c:rich>
                  <a:bodyPr/>
                  <a:lstStyle/>
                  <a:p>
                    <a:pPr>
                      <a:defRPr/>
                    </a:pPr>
                    <a:r>
                      <a:rPr lang="lv-LV"/>
                      <a:t>0</a:t>
                    </a:r>
                    <a:endParaRPr lang="en-US"/>
                  </a:p>
                </c:rich>
              </c:tx>
              <c:spPr/>
              <c:dLblPos val="outEnd"/>
              <c:showLegendKey val="0"/>
              <c:showVal val="0"/>
              <c:showCatName val="0"/>
              <c:showSerName val="0"/>
              <c:showPercent val="0"/>
              <c:showBubbleSize val="0"/>
            </c:dLbl>
            <c:dLbl>
              <c:idx val="4"/>
              <c:tx>
                <c:rich>
                  <a:bodyPr/>
                  <a:lstStyle/>
                  <a:p>
                    <a:pPr>
                      <a:defRPr/>
                    </a:pPr>
                    <a:r>
                      <a:rPr lang="en-US"/>
                      <a:t>12 366 627</a:t>
                    </a:r>
                    <a:r>
                      <a:rPr lang="lv-LV"/>
                      <a:t> (72%)</a:t>
                    </a:r>
                    <a:endParaRPr lang="en-US"/>
                  </a:p>
                </c:rich>
              </c:tx>
              <c:spPr/>
              <c:showLegendKey val="0"/>
              <c:showVal val="0"/>
              <c:showCatName val="0"/>
              <c:showSerName val="0"/>
              <c:showPercent val="0"/>
              <c:showBubbleSize val="0"/>
            </c:dLbl>
            <c:showLegendKey val="0"/>
            <c:showVal val="1"/>
            <c:showCatName val="0"/>
            <c:showSerName val="0"/>
            <c:showPercent val="0"/>
            <c:showBubbleSize val="0"/>
            <c:showLeaderLines val="0"/>
          </c:dLbls>
          <c:cat>
            <c:strRef>
              <c:f>'Nor EEZ'!$B$7:$E$7</c:f>
              <c:strCache>
                <c:ptCount val="4"/>
                <c:pt idx="0">
                  <c:v>1.ceturksnis</c:v>
                </c:pt>
                <c:pt idx="1">
                  <c:v>2.cetruksnis</c:v>
                </c:pt>
                <c:pt idx="2">
                  <c:v>3.ceturksnis</c:v>
                </c:pt>
                <c:pt idx="3">
                  <c:v>4.ceturksnis</c:v>
                </c:pt>
              </c:strCache>
            </c:strRef>
          </c:cat>
          <c:val>
            <c:numRef>
              <c:f>'Nor EEZ'!$B$9:$E$9</c:f>
              <c:numCache>
                <c:formatCode>#,##0</c:formatCode>
                <c:ptCount val="4"/>
                <c:pt idx="0">
                  <c:v>1704508</c:v>
                </c:pt>
                <c:pt idx="1">
                  <c:v>2172150</c:v>
                </c:pt>
                <c:pt idx="2">
                  <c:v>0</c:v>
                </c:pt>
                <c:pt idx="3">
                  <c:v>0</c:v>
                </c:pt>
              </c:numCache>
            </c:numRef>
          </c:val>
        </c:ser>
        <c:dLbls>
          <c:showLegendKey val="0"/>
          <c:showVal val="0"/>
          <c:showCatName val="0"/>
          <c:showSerName val="0"/>
          <c:showPercent val="0"/>
          <c:showBubbleSize val="0"/>
        </c:dLbls>
        <c:gapWidth val="150"/>
        <c:axId val="141731328"/>
        <c:axId val="141732864"/>
      </c:barChart>
      <c:catAx>
        <c:axId val="141731328"/>
        <c:scaling>
          <c:orientation val="minMax"/>
        </c:scaling>
        <c:delete val="0"/>
        <c:axPos val="b"/>
        <c:numFmt formatCode="General" sourceLinked="1"/>
        <c:majorTickMark val="out"/>
        <c:minorTickMark val="none"/>
        <c:tickLblPos val="nextTo"/>
        <c:crossAx val="141732864"/>
        <c:crosses val="autoZero"/>
        <c:auto val="1"/>
        <c:lblAlgn val="ctr"/>
        <c:lblOffset val="100"/>
        <c:noMultiLvlLbl val="0"/>
      </c:catAx>
      <c:valAx>
        <c:axId val="141732864"/>
        <c:scaling>
          <c:orientation val="minMax"/>
          <c:max val="10000000"/>
          <c:min val="0"/>
        </c:scaling>
        <c:delete val="0"/>
        <c:axPos val="l"/>
        <c:majorGridlines/>
        <c:numFmt formatCode="#,##0" sourceLinked="1"/>
        <c:majorTickMark val="out"/>
        <c:minorTickMark val="none"/>
        <c:tickLblPos val="nextTo"/>
        <c:crossAx val="141731328"/>
        <c:crosses val="autoZero"/>
        <c:crossBetween val="between"/>
        <c:majorUnit val="1000000"/>
        <c:minorUnit val="20000"/>
        <c:dispUnits>
          <c:builtInUnit val="millions"/>
        </c:dispUnits>
      </c:valAx>
    </c:plotArea>
    <c:legend>
      <c:legendPos val="b"/>
      <c:overlay val="0"/>
      <c:txPr>
        <a:bodyPr/>
        <a:lstStyle/>
        <a:p>
          <a:pPr>
            <a:defRPr sz="900"/>
          </a:pPr>
          <a:endParaRPr lang="lv-LV"/>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BFFD65-6F3C-4EFE-BEF0-FAD061E352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2488</TotalTime>
  <Pages>66</Pages>
  <Words>113147</Words>
  <Characters>64494</Characters>
  <Application>Microsoft Office Word</Application>
  <DocSecurity>0</DocSecurity>
  <Lines>537</Lines>
  <Paragraphs>354</Paragraphs>
  <ScaleCrop>false</ScaleCrop>
  <HeadingPairs>
    <vt:vector size="2" baseType="variant">
      <vt:variant>
        <vt:lpstr>Title</vt:lpstr>
      </vt:variant>
      <vt:variant>
        <vt:i4>1</vt:i4>
      </vt:variant>
    </vt:vector>
  </HeadingPairs>
  <TitlesOfParts>
    <vt:vector size="1" baseType="lpstr">
      <vt:lpstr>Finanšu ministrijas informatīvais ziņojums par ārvalstu finanšu resursu(ES struktūrfondu un Kohēzijas fonda, Eiropas Ekonomikas zonas finanšu instrumenta, Norvēģijas valdības divpusējā finanšu instrumenta un Latvijas un Šveices sadarbības programmas) apgu</vt:lpstr>
    </vt:vector>
  </TitlesOfParts>
  <Company>Finanšu ministrija</Company>
  <LinksUpToDate>false</LinksUpToDate>
  <CharactersWithSpaces>177287</CharactersWithSpaces>
  <SharedDoc>false</SharedDoc>
  <HLinks>
    <vt:vector size="174" baseType="variant">
      <vt:variant>
        <vt:i4>1376297</vt:i4>
      </vt:variant>
      <vt:variant>
        <vt:i4>132</vt:i4>
      </vt:variant>
      <vt:variant>
        <vt:i4>0</vt:i4>
      </vt:variant>
      <vt:variant>
        <vt:i4>5</vt:i4>
      </vt:variant>
      <vt:variant>
        <vt:lpwstr>mailto:Sintija.Laugale@fm.gov.lv</vt:lpwstr>
      </vt:variant>
      <vt:variant>
        <vt:lpwstr/>
      </vt:variant>
      <vt:variant>
        <vt:i4>7078000</vt:i4>
      </vt:variant>
      <vt:variant>
        <vt:i4>129</vt:i4>
      </vt:variant>
      <vt:variant>
        <vt:i4>0</vt:i4>
      </vt:variant>
      <vt:variant>
        <vt:i4>5</vt:i4>
      </vt:variant>
      <vt:variant>
        <vt:lpwstr>http://www.esfondi.lv/</vt:lpwstr>
      </vt:variant>
      <vt:variant>
        <vt:lpwstr/>
      </vt:variant>
      <vt:variant>
        <vt:i4>7078000</vt:i4>
      </vt:variant>
      <vt:variant>
        <vt:i4>126</vt:i4>
      </vt:variant>
      <vt:variant>
        <vt:i4>0</vt:i4>
      </vt:variant>
      <vt:variant>
        <vt:i4>5</vt:i4>
      </vt:variant>
      <vt:variant>
        <vt:lpwstr>http://www.esfondi.lv/</vt:lpwstr>
      </vt:variant>
      <vt:variant>
        <vt:lpwstr/>
      </vt:variant>
      <vt:variant>
        <vt:i4>7078000</vt:i4>
      </vt:variant>
      <vt:variant>
        <vt:i4>123</vt:i4>
      </vt:variant>
      <vt:variant>
        <vt:i4>0</vt:i4>
      </vt:variant>
      <vt:variant>
        <vt:i4>5</vt:i4>
      </vt:variant>
      <vt:variant>
        <vt:lpwstr>http://www.esfondi.lv/</vt:lpwstr>
      </vt:variant>
      <vt:variant>
        <vt:lpwstr/>
      </vt:variant>
      <vt:variant>
        <vt:i4>852035</vt:i4>
      </vt:variant>
      <vt:variant>
        <vt:i4>114</vt:i4>
      </vt:variant>
      <vt:variant>
        <vt:i4>0</vt:i4>
      </vt:variant>
      <vt:variant>
        <vt:i4>5</vt:i4>
      </vt:variant>
      <vt:variant>
        <vt:lpwstr>http://www.esfondi.lv/page.php?id=913</vt:lpwstr>
      </vt:variant>
      <vt:variant>
        <vt:lpwstr/>
      </vt:variant>
      <vt:variant>
        <vt:i4>852035</vt:i4>
      </vt:variant>
      <vt:variant>
        <vt:i4>111</vt:i4>
      </vt:variant>
      <vt:variant>
        <vt:i4>0</vt:i4>
      </vt:variant>
      <vt:variant>
        <vt:i4>5</vt:i4>
      </vt:variant>
      <vt:variant>
        <vt:lpwstr>http://www.esfondi.lv/page.php?id=913</vt:lpwstr>
      </vt:variant>
      <vt:variant>
        <vt:lpwstr/>
      </vt:variant>
      <vt:variant>
        <vt:i4>1048638</vt:i4>
      </vt:variant>
      <vt:variant>
        <vt:i4>104</vt:i4>
      </vt:variant>
      <vt:variant>
        <vt:i4>0</vt:i4>
      </vt:variant>
      <vt:variant>
        <vt:i4>5</vt:i4>
      </vt:variant>
      <vt:variant>
        <vt:lpwstr/>
      </vt:variant>
      <vt:variant>
        <vt:lpwstr>_Toc298933745</vt:lpwstr>
      </vt:variant>
      <vt:variant>
        <vt:i4>1048638</vt:i4>
      </vt:variant>
      <vt:variant>
        <vt:i4>98</vt:i4>
      </vt:variant>
      <vt:variant>
        <vt:i4>0</vt:i4>
      </vt:variant>
      <vt:variant>
        <vt:i4>5</vt:i4>
      </vt:variant>
      <vt:variant>
        <vt:lpwstr/>
      </vt:variant>
      <vt:variant>
        <vt:lpwstr>_Toc298933744</vt:lpwstr>
      </vt:variant>
      <vt:variant>
        <vt:i4>1048638</vt:i4>
      </vt:variant>
      <vt:variant>
        <vt:i4>92</vt:i4>
      </vt:variant>
      <vt:variant>
        <vt:i4>0</vt:i4>
      </vt:variant>
      <vt:variant>
        <vt:i4>5</vt:i4>
      </vt:variant>
      <vt:variant>
        <vt:lpwstr/>
      </vt:variant>
      <vt:variant>
        <vt:lpwstr>_Toc298933743</vt:lpwstr>
      </vt:variant>
      <vt:variant>
        <vt:i4>1048638</vt:i4>
      </vt:variant>
      <vt:variant>
        <vt:i4>86</vt:i4>
      </vt:variant>
      <vt:variant>
        <vt:i4>0</vt:i4>
      </vt:variant>
      <vt:variant>
        <vt:i4>5</vt:i4>
      </vt:variant>
      <vt:variant>
        <vt:lpwstr/>
      </vt:variant>
      <vt:variant>
        <vt:lpwstr>_Toc298933742</vt:lpwstr>
      </vt:variant>
      <vt:variant>
        <vt:i4>1048638</vt:i4>
      </vt:variant>
      <vt:variant>
        <vt:i4>80</vt:i4>
      </vt:variant>
      <vt:variant>
        <vt:i4>0</vt:i4>
      </vt:variant>
      <vt:variant>
        <vt:i4>5</vt:i4>
      </vt:variant>
      <vt:variant>
        <vt:lpwstr/>
      </vt:variant>
      <vt:variant>
        <vt:lpwstr>_Toc298933741</vt:lpwstr>
      </vt:variant>
      <vt:variant>
        <vt:i4>1048638</vt:i4>
      </vt:variant>
      <vt:variant>
        <vt:i4>74</vt:i4>
      </vt:variant>
      <vt:variant>
        <vt:i4>0</vt:i4>
      </vt:variant>
      <vt:variant>
        <vt:i4>5</vt:i4>
      </vt:variant>
      <vt:variant>
        <vt:lpwstr/>
      </vt:variant>
      <vt:variant>
        <vt:lpwstr>_Toc298933740</vt:lpwstr>
      </vt:variant>
      <vt:variant>
        <vt:i4>1507390</vt:i4>
      </vt:variant>
      <vt:variant>
        <vt:i4>68</vt:i4>
      </vt:variant>
      <vt:variant>
        <vt:i4>0</vt:i4>
      </vt:variant>
      <vt:variant>
        <vt:i4>5</vt:i4>
      </vt:variant>
      <vt:variant>
        <vt:lpwstr/>
      </vt:variant>
      <vt:variant>
        <vt:lpwstr>_Toc298933739</vt:lpwstr>
      </vt:variant>
      <vt:variant>
        <vt:i4>1507390</vt:i4>
      </vt:variant>
      <vt:variant>
        <vt:i4>62</vt:i4>
      </vt:variant>
      <vt:variant>
        <vt:i4>0</vt:i4>
      </vt:variant>
      <vt:variant>
        <vt:i4>5</vt:i4>
      </vt:variant>
      <vt:variant>
        <vt:lpwstr/>
      </vt:variant>
      <vt:variant>
        <vt:lpwstr>_Toc298933738</vt:lpwstr>
      </vt:variant>
      <vt:variant>
        <vt:i4>1507390</vt:i4>
      </vt:variant>
      <vt:variant>
        <vt:i4>56</vt:i4>
      </vt:variant>
      <vt:variant>
        <vt:i4>0</vt:i4>
      </vt:variant>
      <vt:variant>
        <vt:i4>5</vt:i4>
      </vt:variant>
      <vt:variant>
        <vt:lpwstr/>
      </vt:variant>
      <vt:variant>
        <vt:lpwstr>_Toc298933737</vt:lpwstr>
      </vt:variant>
      <vt:variant>
        <vt:i4>1507390</vt:i4>
      </vt:variant>
      <vt:variant>
        <vt:i4>50</vt:i4>
      </vt:variant>
      <vt:variant>
        <vt:i4>0</vt:i4>
      </vt:variant>
      <vt:variant>
        <vt:i4>5</vt:i4>
      </vt:variant>
      <vt:variant>
        <vt:lpwstr/>
      </vt:variant>
      <vt:variant>
        <vt:lpwstr>_Toc298933736</vt:lpwstr>
      </vt:variant>
      <vt:variant>
        <vt:i4>1507390</vt:i4>
      </vt:variant>
      <vt:variant>
        <vt:i4>44</vt:i4>
      </vt:variant>
      <vt:variant>
        <vt:i4>0</vt:i4>
      </vt:variant>
      <vt:variant>
        <vt:i4>5</vt:i4>
      </vt:variant>
      <vt:variant>
        <vt:lpwstr/>
      </vt:variant>
      <vt:variant>
        <vt:lpwstr>_Toc298933735</vt:lpwstr>
      </vt:variant>
      <vt:variant>
        <vt:i4>1507390</vt:i4>
      </vt:variant>
      <vt:variant>
        <vt:i4>38</vt:i4>
      </vt:variant>
      <vt:variant>
        <vt:i4>0</vt:i4>
      </vt:variant>
      <vt:variant>
        <vt:i4>5</vt:i4>
      </vt:variant>
      <vt:variant>
        <vt:lpwstr/>
      </vt:variant>
      <vt:variant>
        <vt:lpwstr>_Toc298933734</vt:lpwstr>
      </vt:variant>
      <vt:variant>
        <vt:i4>1507390</vt:i4>
      </vt:variant>
      <vt:variant>
        <vt:i4>32</vt:i4>
      </vt:variant>
      <vt:variant>
        <vt:i4>0</vt:i4>
      </vt:variant>
      <vt:variant>
        <vt:i4>5</vt:i4>
      </vt:variant>
      <vt:variant>
        <vt:lpwstr/>
      </vt:variant>
      <vt:variant>
        <vt:lpwstr>_Toc298933733</vt:lpwstr>
      </vt:variant>
      <vt:variant>
        <vt:i4>1507390</vt:i4>
      </vt:variant>
      <vt:variant>
        <vt:i4>26</vt:i4>
      </vt:variant>
      <vt:variant>
        <vt:i4>0</vt:i4>
      </vt:variant>
      <vt:variant>
        <vt:i4>5</vt:i4>
      </vt:variant>
      <vt:variant>
        <vt:lpwstr/>
      </vt:variant>
      <vt:variant>
        <vt:lpwstr>_Toc298933732</vt:lpwstr>
      </vt:variant>
      <vt:variant>
        <vt:i4>1507390</vt:i4>
      </vt:variant>
      <vt:variant>
        <vt:i4>20</vt:i4>
      </vt:variant>
      <vt:variant>
        <vt:i4>0</vt:i4>
      </vt:variant>
      <vt:variant>
        <vt:i4>5</vt:i4>
      </vt:variant>
      <vt:variant>
        <vt:lpwstr/>
      </vt:variant>
      <vt:variant>
        <vt:lpwstr>_Toc298933731</vt:lpwstr>
      </vt:variant>
      <vt:variant>
        <vt:i4>1507390</vt:i4>
      </vt:variant>
      <vt:variant>
        <vt:i4>14</vt:i4>
      </vt:variant>
      <vt:variant>
        <vt:i4>0</vt:i4>
      </vt:variant>
      <vt:variant>
        <vt:i4>5</vt:i4>
      </vt:variant>
      <vt:variant>
        <vt:lpwstr/>
      </vt:variant>
      <vt:variant>
        <vt:lpwstr>_Toc298933730</vt:lpwstr>
      </vt:variant>
      <vt:variant>
        <vt:i4>1441854</vt:i4>
      </vt:variant>
      <vt:variant>
        <vt:i4>8</vt:i4>
      </vt:variant>
      <vt:variant>
        <vt:i4>0</vt:i4>
      </vt:variant>
      <vt:variant>
        <vt:i4>5</vt:i4>
      </vt:variant>
      <vt:variant>
        <vt:lpwstr/>
      </vt:variant>
      <vt:variant>
        <vt:lpwstr>_Toc298933729</vt:lpwstr>
      </vt:variant>
      <vt:variant>
        <vt:i4>1441854</vt:i4>
      </vt:variant>
      <vt:variant>
        <vt:i4>2</vt:i4>
      </vt:variant>
      <vt:variant>
        <vt:i4>0</vt:i4>
      </vt:variant>
      <vt:variant>
        <vt:i4>5</vt:i4>
      </vt:variant>
      <vt:variant>
        <vt:lpwstr/>
      </vt:variant>
      <vt:variant>
        <vt:lpwstr>_Toc298933728</vt:lpwstr>
      </vt:variant>
      <vt:variant>
        <vt:i4>4259915</vt:i4>
      </vt:variant>
      <vt:variant>
        <vt:i4>0</vt:i4>
      </vt:variant>
      <vt:variant>
        <vt:i4>0</vt:i4>
      </vt:variant>
      <vt:variant>
        <vt:i4>5</vt:i4>
      </vt:variant>
      <vt:variant>
        <vt:lpwstr>http://www.mk.gov.lv/lv/mk/tap/?pid=40220835&amp;mode=mk&amp;date=2011-06-28</vt:lpwstr>
      </vt:variant>
      <vt:variant>
        <vt:lpwstr/>
      </vt:variant>
      <vt:variant>
        <vt:i4>7602252</vt:i4>
      </vt:variant>
      <vt:variant>
        <vt:i4>-1</vt:i4>
      </vt:variant>
      <vt:variant>
        <vt:i4>1028</vt:i4>
      </vt:variant>
      <vt:variant>
        <vt:i4>1</vt:i4>
      </vt:variant>
      <vt:variant>
        <vt:lpwstr>cid:image009.jpg@01CBC3A8.FD1A1C60</vt:lpwstr>
      </vt:variant>
      <vt:variant>
        <vt:lpwstr/>
      </vt:variant>
      <vt:variant>
        <vt:i4>8061004</vt:i4>
      </vt:variant>
      <vt:variant>
        <vt:i4>-1</vt:i4>
      </vt:variant>
      <vt:variant>
        <vt:i4>1030</vt:i4>
      </vt:variant>
      <vt:variant>
        <vt:i4>1</vt:i4>
      </vt:variant>
      <vt:variant>
        <vt:lpwstr>cid:image006.jpg@01CBC3A8.FD1A1C60</vt:lpwstr>
      </vt:variant>
      <vt:variant>
        <vt:lpwstr/>
      </vt:variant>
      <vt:variant>
        <vt:i4>8192077</vt:i4>
      </vt:variant>
      <vt:variant>
        <vt:i4>-1</vt:i4>
      </vt:variant>
      <vt:variant>
        <vt:i4>1029</vt:i4>
      </vt:variant>
      <vt:variant>
        <vt:i4>1</vt:i4>
      </vt:variant>
      <vt:variant>
        <vt:lpwstr>cid:image010.jpg@01CBC3A8.FD1A1C60</vt:lpwstr>
      </vt:variant>
      <vt:variant>
        <vt:lpwstr/>
      </vt:variant>
      <vt:variant>
        <vt:i4>6684755</vt:i4>
      </vt:variant>
      <vt:variant>
        <vt:i4>-1</vt:i4>
      </vt:variant>
      <vt:variant>
        <vt:i4>1027</vt:i4>
      </vt:variant>
      <vt:variant>
        <vt:i4>1</vt:i4>
      </vt:variant>
      <vt:variant>
        <vt:lpwstr>cid:image011.png@01CBC3A8.FD1A1C60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Finanšu ministrijas informatīvais ziņojums par ārvalstu finanšu resursu(ES struktūrfondu un Kohēzijas fonda, Eiropas Ekonomikas zonas finanšu instrumenta, Norvēģijas valdības divpusējā finanšu instrumenta un Latvijas un Šveices sadarbības programmas) apgu</dc:title>
  <dc:subject>Finanšu ministrijas informatīvais ziņojums par ārvalstu finanšu resursu(ES struktūrfondu un Kohēzijas fonda, Eiropas Ekonomikas zonas finanšu instrumenta, Norvēģijas valdības divpusējā finanšu instrumenta un Latvijas un Šveices sadarbības programmas) apgu</dc:subject>
  <dc:creator>Signe Albiņa</dc:creator>
  <cp:keywords/>
  <dc:description>S.Albiņa
Finanšu ministrijas Eiropas Savienības fondu uzraudzības departamenta
Uzņēmējdarbības un inovāciju uzraudzības nodaļas vadītāja vietniece
Tālr. 67083808, fakss 67095697
Signe.Albiņa@fm.gov.lv</dc:description>
  <cp:lastModifiedBy>Alda Krieva</cp:lastModifiedBy>
  <cp:revision>178</cp:revision>
  <cp:lastPrinted>2011-08-11T09:57:00Z</cp:lastPrinted>
  <dcterms:created xsi:type="dcterms:W3CDTF">2011-07-06T06:45:00Z</dcterms:created>
  <dcterms:modified xsi:type="dcterms:W3CDTF">2011-08-12T11:34:00Z</dcterms:modified>
</cp:coreProperties>
</file>