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414A" w14:textId="77777777" w:rsidR="00FF4209" w:rsidRPr="00852E0C" w:rsidRDefault="00B65D7A" w:rsidP="00852E0C">
      <w:pPr>
        <w:spacing w:line="276" w:lineRule="auto"/>
        <w:rPr>
          <w:color w:val="000000" w:themeColor="text1"/>
          <w:szCs w:val="24"/>
          <w:highlight w:val="yellow"/>
        </w:rPr>
      </w:pPr>
      <w:bookmarkStart w:id="0" w:name="OLE_LINK4"/>
      <w:bookmarkStart w:id="1" w:name="OLE_LINK5"/>
      <w:permStart w:id="1459900583" w:edGrp="everyone"/>
      <w:r w:rsidRPr="00852E0C">
        <w:rPr>
          <w:noProof/>
          <w:color w:val="000000" w:themeColor="text1"/>
          <w:szCs w:val="24"/>
          <w:highlight w:val="yellow"/>
          <w:lang w:eastAsia="lv-LV"/>
        </w:rPr>
        <w:drawing>
          <wp:anchor distT="0" distB="0" distL="114300" distR="114300" simplePos="0" relativeHeight="251657216" behindDoc="0" locked="0" layoutInCell="1" allowOverlap="1" wp14:anchorId="10A4DF4F" wp14:editId="2017A2D5">
            <wp:simplePos x="0" y="0"/>
            <wp:positionH relativeFrom="column">
              <wp:posOffset>577850</wp:posOffset>
            </wp:positionH>
            <wp:positionV relativeFrom="paragraph">
              <wp:posOffset>-314960</wp:posOffset>
            </wp:positionV>
            <wp:extent cx="2604770" cy="701675"/>
            <wp:effectExtent l="0" t="0" r="5080" b="3175"/>
            <wp:wrapSquare wrapText="bothSides"/>
            <wp:docPr id="33" name="Picture 27" descr="Description: Description: Description: Description: Swiss Contribution_garaa_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Description: Swiss Contribution_garaa_versija"/>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26047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0C">
        <w:rPr>
          <w:noProof/>
          <w:color w:val="000000" w:themeColor="text1"/>
          <w:szCs w:val="24"/>
          <w:highlight w:val="yellow"/>
          <w:lang w:eastAsia="lv-LV"/>
        </w:rPr>
        <w:drawing>
          <wp:anchor distT="0" distB="0" distL="114300" distR="114300" simplePos="0" relativeHeight="251658240" behindDoc="0" locked="0" layoutInCell="1" allowOverlap="1" wp14:anchorId="45CE83A5" wp14:editId="1E9D289C">
            <wp:simplePos x="0" y="0"/>
            <wp:positionH relativeFrom="column">
              <wp:posOffset>3204210</wp:posOffset>
            </wp:positionH>
            <wp:positionV relativeFrom="paragraph">
              <wp:posOffset>-433070</wp:posOffset>
            </wp:positionV>
            <wp:extent cx="1329055" cy="935355"/>
            <wp:effectExtent l="0" t="0" r="4445" b="0"/>
            <wp:wrapSquare wrapText="bothSides"/>
            <wp:docPr id="32" name="Picture 12" descr="Description: Description: http://www.eeagrants.lv/images/log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http://www.eeagrants.lv/images/logo_left.jpg"/>
                    <pic:cNvPicPr>
                      <a:picLocks noChangeAspect="1" noChangeArrowheads="1"/>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13290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0C">
        <w:rPr>
          <w:noProof/>
          <w:color w:val="000000" w:themeColor="text1"/>
          <w:szCs w:val="24"/>
          <w:highlight w:val="yellow"/>
          <w:lang w:eastAsia="lv-LV"/>
        </w:rPr>
        <w:drawing>
          <wp:anchor distT="0" distB="0" distL="114300" distR="114300" simplePos="0" relativeHeight="251656192" behindDoc="0" locked="0" layoutInCell="1" allowOverlap="1" wp14:anchorId="0E2BB015" wp14:editId="3D0ECD14">
            <wp:simplePos x="0" y="0"/>
            <wp:positionH relativeFrom="column">
              <wp:posOffset>-574675</wp:posOffset>
            </wp:positionH>
            <wp:positionV relativeFrom="paragraph">
              <wp:posOffset>-409575</wp:posOffset>
            </wp:positionV>
            <wp:extent cx="1137285" cy="924560"/>
            <wp:effectExtent l="0" t="0" r="5715" b="8890"/>
            <wp:wrapSquare wrapText="bothSides"/>
            <wp:docPr id="31" name="Picture 26" descr="Description: Description: http://www.esfondi.lv/upload/Logotipi/EK_logo_ar_atsau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www.esfondi.lv/upload/Logotipi/EK_logo_ar_atsauci.bmp"/>
                    <pic:cNvPicPr>
                      <a:picLocks noChangeAspect="1" noChangeArrowheads="1"/>
                    </pic:cNvPicPr>
                  </pic:nvPicPr>
                  <pic:blipFill>
                    <a:blip r:embed="rId13" r:link="rId14">
                      <a:extLst>
                        <a:ext uri="{28A0092B-C50C-407E-A947-70E740481C1C}">
                          <a14:useLocalDpi xmlns:a14="http://schemas.microsoft.com/office/drawing/2010/main"/>
                        </a:ext>
                      </a:extLst>
                    </a:blip>
                    <a:srcRect/>
                    <a:stretch>
                      <a:fillRect/>
                    </a:stretch>
                  </pic:blipFill>
                  <pic:spPr bwMode="auto">
                    <a:xfrm>
                      <a:off x="0" y="0"/>
                      <a:ext cx="113728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0C">
        <w:rPr>
          <w:noProof/>
          <w:color w:val="000000" w:themeColor="text1"/>
          <w:szCs w:val="24"/>
          <w:highlight w:val="yellow"/>
          <w:lang w:eastAsia="lv-LV"/>
        </w:rPr>
        <w:drawing>
          <wp:anchor distT="0" distB="0" distL="114300" distR="114300" simplePos="0" relativeHeight="251659264" behindDoc="0" locked="0" layoutInCell="1" allowOverlap="1" wp14:anchorId="7BDE3B9F" wp14:editId="17A24E48">
            <wp:simplePos x="0" y="0"/>
            <wp:positionH relativeFrom="column">
              <wp:posOffset>4532630</wp:posOffset>
            </wp:positionH>
            <wp:positionV relativeFrom="paragraph">
              <wp:posOffset>-423545</wp:posOffset>
            </wp:positionV>
            <wp:extent cx="1488440" cy="924560"/>
            <wp:effectExtent l="0" t="0" r="0" b="8890"/>
            <wp:wrapSquare wrapText="bothSides"/>
            <wp:docPr id="30" name="Picture 9" descr="Description: Description: cid:image011.png@01CBC3A8.FD1A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id:image011.png@01CBC3A8.FD1A1C60"/>
                    <pic:cNvPicPr>
                      <a:picLocks noChangeAspect="1" noChangeArrowheads="1"/>
                    </pic:cNvPicPr>
                  </pic:nvPicPr>
                  <pic:blipFill>
                    <a:blip r:embed="rId15" r:link="rId16">
                      <a:extLst>
                        <a:ext uri="{28A0092B-C50C-407E-A947-70E740481C1C}">
                          <a14:useLocalDpi xmlns:a14="http://schemas.microsoft.com/office/drawing/2010/main"/>
                        </a:ext>
                      </a:extLst>
                    </a:blip>
                    <a:srcRect/>
                    <a:stretch>
                      <a:fillRect/>
                    </a:stretch>
                  </pic:blipFill>
                  <pic:spPr bwMode="auto">
                    <a:xfrm>
                      <a:off x="0" y="0"/>
                      <a:ext cx="1488440" cy="924560"/>
                    </a:xfrm>
                    <a:prstGeom prst="rect">
                      <a:avLst/>
                    </a:prstGeom>
                    <a:noFill/>
                    <a:ln>
                      <a:noFill/>
                    </a:ln>
                  </pic:spPr>
                </pic:pic>
              </a:graphicData>
            </a:graphic>
            <wp14:sizeRelH relativeFrom="page">
              <wp14:pctWidth>0</wp14:pctWidth>
            </wp14:sizeRelH>
            <wp14:sizeRelV relativeFrom="page">
              <wp14:pctHeight>0</wp14:pctHeight>
            </wp14:sizeRelV>
          </wp:anchor>
        </w:drawing>
      </w:r>
      <w:permEnd w:id="1459900583"/>
    </w:p>
    <w:p w14:paraId="46B89A3C" w14:textId="77777777" w:rsidR="00FF4209" w:rsidRPr="00852E0C" w:rsidRDefault="00FF4209" w:rsidP="00852E0C">
      <w:pPr>
        <w:pStyle w:val="BodyText"/>
        <w:spacing w:line="276" w:lineRule="auto"/>
        <w:jc w:val="both"/>
        <w:rPr>
          <w:b w:val="0"/>
          <w:color w:val="000000" w:themeColor="text1"/>
          <w:highlight w:val="yellow"/>
          <w:lang w:val="lv-LV"/>
        </w:rPr>
      </w:pPr>
    </w:p>
    <w:p w14:paraId="3301CE48" w14:textId="77777777" w:rsidR="00FF4209" w:rsidRPr="00852E0C" w:rsidRDefault="00FF4209" w:rsidP="00852E0C">
      <w:pPr>
        <w:pStyle w:val="BodyText"/>
        <w:spacing w:line="276" w:lineRule="auto"/>
        <w:jc w:val="both"/>
        <w:rPr>
          <w:b w:val="0"/>
          <w:color w:val="000000" w:themeColor="text1"/>
          <w:highlight w:val="yellow"/>
          <w:lang w:val="lv-LV"/>
        </w:rPr>
      </w:pPr>
    </w:p>
    <w:p w14:paraId="67537BDE" w14:textId="77777777" w:rsidR="00FF4209" w:rsidRPr="00852E0C" w:rsidRDefault="00FF4209" w:rsidP="00852E0C">
      <w:pPr>
        <w:pStyle w:val="BodyText"/>
        <w:spacing w:line="276" w:lineRule="auto"/>
        <w:jc w:val="both"/>
        <w:rPr>
          <w:b w:val="0"/>
          <w:color w:val="000000" w:themeColor="text1"/>
          <w:highlight w:val="yellow"/>
          <w:lang w:val="lv-LV"/>
        </w:rPr>
      </w:pPr>
    </w:p>
    <w:p w14:paraId="08C3DA14" w14:textId="77777777" w:rsidR="00FF4209" w:rsidRPr="00852E0C" w:rsidRDefault="00FF4209" w:rsidP="00852E0C">
      <w:pPr>
        <w:pStyle w:val="BodyText"/>
        <w:spacing w:line="276" w:lineRule="auto"/>
        <w:jc w:val="both"/>
        <w:rPr>
          <w:b w:val="0"/>
          <w:color w:val="000000" w:themeColor="text1"/>
          <w:highlight w:val="yellow"/>
          <w:lang w:val="lv-LV"/>
        </w:rPr>
      </w:pPr>
    </w:p>
    <w:p w14:paraId="5C91F05B" w14:textId="77777777" w:rsidR="00FF4209" w:rsidRPr="00852E0C" w:rsidRDefault="00FF4209" w:rsidP="00852E0C">
      <w:pPr>
        <w:pStyle w:val="BodyText"/>
        <w:spacing w:line="276" w:lineRule="auto"/>
        <w:jc w:val="both"/>
        <w:rPr>
          <w:b w:val="0"/>
          <w:color w:val="000000" w:themeColor="text1"/>
          <w:highlight w:val="yellow"/>
          <w:lang w:val="lv-LV"/>
        </w:rPr>
      </w:pPr>
    </w:p>
    <w:p w14:paraId="65BEAAA6" w14:textId="77777777" w:rsidR="00FF4209" w:rsidRPr="00852E0C" w:rsidRDefault="00FF4209" w:rsidP="00852E0C">
      <w:pPr>
        <w:pStyle w:val="BodyText"/>
        <w:spacing w:line="276" w:lineRule="auto"/>
        <w:jc w:val="both"/>
        <w:rPr>
          <w:b w:val="0"/>
          <w:color w:val="000000" w:themeColor="text1"/>
          <w:highlight w:val="yellow"/>
          <w:lang w:val="lv-LV"/>
        </w:rPr>
      </w:pPr>
    </w:p>
    <w:p w14:paraId="5EA5891B" w14:textId="77777777" w:rsidR="00FF4209" w:rsidRPr="00852E0C" w:rsidRDefault="00FF4209" w:rsidP="00852E0C">
      <w:pPr>
        <w:pStyle w:val="BodyText"/>
        <w:spacing w:line="276" w:lineRule="auto"/>
        <w:jc w:val="both"/>
        <w:rPr>
          <w:b w:val="0"/>
          <w:color w:val="000000" w:themeColor="text1"/>
          <w:highlight w:val="yellow"/>
          <w:lang w:val="lv-LV"/>
        </w:rPr>
      </w:pPr>
    </w:p>
    <w:p w14:paraId="0F89B2BE" w14:textId="77777777" w:rsidR="00392FDF" w:rsidRPr="00852E0C" w:rsidDel="00392FDF" w:rsidRDefault="001947E2" w:rsidP="00352B55">
      <w:pPr>
        <w:pStyle w:val="BodyText"/>
        <w:spacing w:before="0" w:after="0" w:line="276" w:lineRule="auto"/>
        <w:jc w:val="center"/>
        <w:rPr>
          <w:color w:val="000000" w:themeColor="text1"/>
          <w:lang w:val="lv-LV"/>
        </w:rPr>
      </w:pPr>
      <w:bookmarkStart w:id="2" w:name="OLE_LINK8"/>
      <w:bookmarkStart w:id="3" w:name="OLE_LINK9"/>
      <w:r w:rsidRPr="00852E0C">
        <w:rPr>
          <w:color w:val="000000" w:themeColor="text1"/>
          <w:lang w:val="lv-LV"/>
        </w:rPr>
        <w:t>I</w:t>
      </w:r>
      <w:r w:rsidR="00596455" w:rsidRPr="00852E0C">
        <w:rPr>
          <w:color w:val="000000" w:themeColor="text1"/>
          <w:lang w:val="lv-LV"/>
        </w:rPr>
        <w:t>nformatīvais ziņojums par</w:t>
      </w:r>
    </w:p>
    <w:p w14:paraId="309AE603" w14:textId="7729C921" w:rsidR="00596455" w:rsidRPr="00852E0C" w:rsidRDefault="00596455" w:rsidP="00352B55">
      <w:pPr>
        <w:pStyle w:val="Title"/>
        <w:spacing w:before="0" w:after="0" w:line="276" w:lineRule="auto"/>
        <w:rPr>
          <w:color w:val="000000" w:themeColor="text1"/>
          <w:sz w:val="24"/>
          <w:szCs w:val="24"/>
          <w:highlight w:val="yellow"/>
          <w:lang w:val="lv-LV"/>
        </w:rPr>
      </w:pPr>
      <w:r w:rsidRPr="00852E0C">
        <w:rPr>
          <w:color w:val="000000" w:themeColor="text1"/>
          <w:sz w:val="24"/>
          <w:szCs w:val="24"/>
          <w:lang w:val="lv-LV"/>
        </w:rPr>
        <w:t xml:space="preserve">Eiropas Savienības struktūrfondu un Kohēzijas fonda, Eiropas Ekonomikas zonas finanšu instrumenta, Norvēģijas finanšu instrumenta un Latvijas un </w:t>
      </w:r>
      <w:r w:rsidR="00392FDF" w:rsidRPr="00852E0C">
        <w:rPr>
          <w:color w:val="000000" w:themeColor="text1"/>
          <w:sz w:val="24"/>
          <w:szCs w:val="24"/>
          <w:lang w:val="lv-LV"/>
        </w:rPr>
        <w:t>Šveices sadarbības programmas</w:t>
      </w:r>
      <w:r w:rsidRPr="00852E0C">
        <w:rPr>
          <w:color w:val="000000" w:themeColor="text1"/>
          <w:sz w:val="24"/>
          <w:szCs w:val="24"/>
          <w:lang w:val="lv-LV"/>
        </w:rPr>
        <w:t xml:space="preserve"> apguvi</w:t>
      </w:r>
      <w:r w:rsidR="001C3852" w:rsidRPr="00852E0C">
        <w:rPr>
          <w:color w:val="000000" w:themeColor="text1"/>
          <w:sz w:val="24"/>
          <w:szCs w:val="24"/>
          <w:lang w:val="lv-LV"/>
        </w:rPr>
        <w:t xml:space="preserve"> </w:t>
      </w:r>
      <w:r w:rsidR="00F77C0D" w:rsidRPr="00852E0C">
        <w:rPr>
          <w:color w:val="000000" w:themeColor="text1"/>
          <w:sz w:val="24"/>
          <w:szCs w:val="24"/>
          <w:lang w:val="lv-LV"/>
        </w:rPr>
        <w:t>līdz 201</w:t>
      </w:r>
      <w:r w:rsidR="00D006E0" w:rsidRPr="00852E0C">
        <w:rPr>
          <w:color w:val="000000" w:themeColor="text1"/>
          <w:sz w:val="24"/>
          <w:szCs w:val="24"/>
          <w:lang w:val="lv-LV"/>
        </w:rPr>
        <w:t>3</w:t>
      </w:r>
      <w:r w:rsidR="00F77C0D" w:rsidRPr="00852E0C">
        <w:rPr>
          <w:color w:val="000000" w:themeColor="text1"/>
          <w:sz w:val="24"/>
          <w:szCs w:val="24"/>
          <w:lang w:val="lv-LV"/>
        </w:rPr>
        <w:t xml:space="preserve">.gada </w:t>
      </w:r>
      <w:r w:rsidR="00A05165" w:rsidRPr="00852E0C">
        <w:rPr>
          <w:color w:val="000000" w:themeColor="text1"/>
          <w:sz w:val="24"/>
          <w:szCs w:val="24"/>
          <w:lang w:val="lv-LV"/>
        </w:rPr>
        <w:t>31.</w:t>
      </w:r>
      <w:r w:rsidR="00D006E0" w:rsidRPr="00852E0C">
        <w:rPr>
          <w:color w:val="000000" w:themeColor="text1"/>
          <w:sz w:val="24"/>
          <w:szCs w:val="24"/>
          <w:lang w:val="lv-LV"/>
        </w:rPr>
        <w:t>martam</w:t>
      </w:r>
    </w:p>
    <w:bookmarkEnd w:id="2"/>
    <w:bookmarkEnd w:id="3"/>
    <w:p w14:paraId="4176C367" w14:textId="77777777" w:rsidR="00FF4209" w:rsidRPr="00852E0C" w:rsidRDefault="00FF4209" w:rsidP="00852E0C">
      <w:pPr>
        <w:pStyle w:val="BodyText"/>
        <w:spacing w:line="276" w:lineRule="auto"/>
        <w:jc w:val="both"/>
        <w:rPr>
          <w:b w:val="0"/>
          <w:color w:val="000000" w:themeColor="text1"/>
          <w:highlight w:val="yellow"/>
          <w:lang w:val="lv-LV"/>
        </w:rPr>
      </w:pPr>
    </w:p>
    <w:p w14:paraId="043316BF" w14:textId="77777777" w:rsidR="00111702" w:rsidRPr="00852E0C" w:rsidRDefault="00111702" w:rsidP="00852E0C">
      <w:pPr>
        <w:spacing w:line="276" w:lineRule="auto"/>
        <w:rPr>
          <w:bCs/>
          <w:color w:val="000000" w:themeColor="text1"/>
          <w:szCs w:val="24"/>
          <w:highlight w:val="yellow"/>
        </w:rPr>
      </w:pPr>
      <w:r w:rsidRPr="00852E0C">
        <w:rPr>
          <w:bCs/>
          <w:color w:val="000000" w:themeColor="text1"/>
          <w:szCs w:val="24"/>
          <w:highlight w:val="yellow"/>
        </w:rPr>
        <w:br w:type="page"/>
      </w:r>
    </w:p>
    <w:p w14:paraId="647CFCD1" w14:textId="0CD5063D" w:rsidR="00DD4811" w:rsidRPr="00852E0C" w:rsidRDefault="00DD4811" w:rsidP="00852E0C">
      <w:pPr>
        <w:spacing w:line="276" w:lineRule="auto"/>
        <w:rPr>
          <w:b/>
          <w:color w:val="000000" w:themeColor="text1"/>
          <w:szCs w:val="24"/>
        </w:rPr>
      </w:pPr>
      <w:r w:rsidRPr="00852E0C">
        <w:rPr>
          <w:b/>
          <w:color w:val="000000" w:themeColor="text1"/>
          <w:szCs w:val="24"/>
        </w:rPr>
        <w:lastRenderedPageBreak/>
        <w:t>Satura rādītājs</w:t>
      </w:r>
      <w:bookmarkStart w:id="4" w:name="_GoBack"/>
      <w:bookmarkEnd w:id="4"/>
    </w:p>
    <w:p w14:paraId="67688BD9" w14:textId="77777777" w:rsidR="00A37652" w:rsidRPr="00852E0C" w:rsidRDefault="00D36275" w:rsidP="00852E0C">
      <w:pPr>
        <w:pStyle w:val="TOC1"/>
        <w:jc w:val="both"/>
        <w:rPr>
          <w:rFonts w:eastAsiaTheme="minorEastAsia"/>
          <w:b w:val="0"/>
          <w:bCs w:val="0"/>
          <w:caps w:val="0"/>
          <w:color w:val="000000" w:themeColor="text1"/>
          <w:lang w:eastAsia="lv-LV"/>
        </w:rPr>
      </w:pPr>
      <w:r w:rsidRPr="00852E0C">
        <w:rPr>
          <w:color w:val="000000" w:themeColor="text1"/>
          <w:highlight w:val="yellow"/>
        </w:rPr>
        <w:fldChar w:fldCharType="begin"/>
      </w:r>
      <w:r w:rsidRPr="00852E0C">
        <w:rPr>
          <w:color w:val="000000" w:themeColor="text1"/>
          <w:highlight w:val="yellow"/>
        </w:rPr>
        <w:instrText xml:space="preserve"> TOC \o "1-3" \h \z \u </w:instrText>
      </w:r>
      <w:r w:rsidRPr="00852E0C">
        <w:rPr>
          <w:color w:val="000000" w:themeColor="text1"/>
          <w:highlight w:val="yellow"/>
        </w:rPr>
        <w:fldChar w:fldCharType="separate"/>
      </w:r>
      <w:hyperlink w:anchor="_Toc356465220" w:history="1">
        <w:r w:rsidR="00A37652" w:rsidRPr="00852E0C">
          <w:rPr>
            <w:rStyle w:val="Hyperlink"/>
            <w:rFonts w:ascii="Times New Roman" w:hAnsi="Times New Roman" w:cs="Times New Roman"/>
            <w:color w:val="000000" w:themeColor="text1"/>
            <w:sz w:val="24"/>
            <w:szCs w:val="24"/>
          </w:rPr>
          <w:t>Kopsavilkums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_Toc356465220 \h </w:instrText>
        </w:r>
        <w:r w:rsidR="00A37652" w:rsidRPr="00852E0C">
          <w:rPr>
            <w:webHidden/>
            <w:color w:val="000000" w:themeColor="text1"/>
          </w:rPr>
        </w:r>
        <w:r w:rsidR="00A37652" w:rsidRPr="00852E0C">
          <w:rPr>
            <w:webHidden/>
            <w:color w:val="000000" w:themeColor="text1"/>
          </w:rPr>
          <w:fldChar w:fldCharType="separate"/>
        </w:r>
        <w:r w:rsidR="00937B41">
          <w:rPr>
            <w:webHidden/>
            <w:color w:val="000000" w:themeColor="text1"/>
          </w:rPr>
          <w:t>5</w:t>
        </w:r>
        <w:r w:rsidR="00A37652" w:rsidRPr="00852E0C">
          <w:rPr>
            <w:webHidden/>
            <w:color w:val="000000" w:themeColor="text1"/>
          </w:rPr>
          <w:fldChar w:fldCharType="end"/>
        </w:r>
      </w:hyperlink>
    </w:p>
    <w:p w14:paraId="30C9F892"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21" w:history="1">
        <w:r w:rsidR="00A37652" w:rsidRPr="00852E0C">
          <w:rPr>
            <w:rStyle w:val="Hyperlink"/>
            <w:rFonts w:ascii="Times New Roman" w:hAnsi="Times New Roman" w:cs="Times New Roman"/>
            <w:color w:val="000000" w:themeColor="text1"/>
            <w:sz w:val="24"/>
            <w:szCs w:val="24"/>
          </w:rPr>
          <w:t>1.</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2007. -2013.gada plānošanas perioda ES fondu investīcijas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_Toc356465221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6</w:t>
        </w:r>
        <w:r w:rsidR="00A37652" w:rsidRPr="00852E0C">
          <w:rPr>
            <w:webHidden/>
            <w:color w:val="000000" w:themeColor="text1"/>
          </w:rPr>
          <w:fldChar w:fldCharType="end"/>
        </w:r>
      </w:hyperlink>
    </w:p>
    <w:p w14:paraId="4F51D2BA"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2" w:history="1">
        <w:r w:rsidR="00A37652" w:rsidRPr="00852E0C">
          <w:rPr>
            <w:rStyle w:val="Hyperlink"/>
            <w:rFonts w:ascii="Times New Roman" w:hAnsi="Times New Roman" w:cs="Times New Roman"/>
            <w:color w:val="000000" w:themeColor="text1"/>
            <w:sz w:val="24"/>
            <w:szCs w:val="24"/>
          </w:rPr>
          <w:t>1.1.</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Darbības programmu un darbības programmu papildinājumu grozījumi</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_Toc356465222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6</w:t>
        </w:r>
        <w:r w:rsidR="00A37652" w:rsidRPr="00852E0C">
          <w:rPr>
            <w:webHidden/>
            <w:color w:val="000000" w:themeColor="text1"/>
          </w:rPr>
          <w:fldChar w:fldCharType="end"/>
        </w:r>
      </w:hyperlink>
    </w:p>
    <w:p w14:paraId="110E13AC"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3" w:history="1">
        <w:r w:rsidR="00A37652" w:rsidRPr="00852E0C">
          <w:rPr>
            <w:rStyle w:val="Hyperlink"/>
            <w:rFonts w:ascii="Times New Roman" w:hAnsi="Times New Roman" w:cs="Times New Roman"/>
            <w:color w:val="000000" w:themeColor="text1"/>
            <w:sz w:val="24"/>
            <w:szCs w:val="24"/>
          </w:rPr>
          <w:t>1.2.</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2007. – 2013.gada plānošanas perioda ES fondu finanšu progress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_Toc356465223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7</w:t>
        </w:r>
        <w:r w:rsidR="00A37652" w:rsidRPr="00852E0C">
          <w:rPr>
            <w:webHidden/>
            <w:color w:val="000000" w:themeColor="text1"/>
          </w:rPr>
          <w:fldChar w:fldCharType="end"/>
        </w:r>
      </w:hyperlink>
    </w:p>
    <w:p w14:paraId="641568C0"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4" w:history="1">
        <w:r w:rsidR="00A37652" w:rsidRPr="00852E0C">
          <w:rPr>
            <w:rStyle w:val="Hyperlink"/>
            <w:rFonts w:ascii="Times New Roman" w:hAnsi="Times New Roman" w:cs="Times New Roman"/>
            <w:color w:val="000000" w:themeColor="text1"/>
            <w:sz w:val="24"/>
            <w:szCs w:val="24"/>
          </w:rPr>
          <w:t>1.2.1.</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ES fondu finanšu rādītāju progress un mērķu sasniegšana</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_Toc356465224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7</w:t>
        </w:r>
        <w:r w:rsidR="00A37652" w:rsidRPr="00852E0C">
          <w:rPr>
            <w:webHidden/>
            <w:color w:val="000000" w:themeColor="text1"/>
          </w:rPr>
          <w:fldChar w:fldCharType="end"/>
        </w:r>
      </w:hyperlink>
    </w:p>
    <w:p w14:paraId="24608197"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5" w:history="1">
        <w:r w:rsidR="00A37652" w:rsidRPr="00852E0C">
          <w:rPr>
            <w:rStyle w:val="Hyperlink"/>
            <w:rFonts w:ascii="Times New Roman" w:eastAsiaTheme="minorHAnsi" w:hAnsi="Times New Roman" w:cs="Times New Roman"/>
            <w:color w:val="000000" w:themeColor="text1"/>
            <w:sz w:val="24"/>
            <w:szCs w:val="24"/>
          </w:rPr>
          <w:t>1.2.2.</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Informācija</w:t>
        </w:r>
        <w:r w:rsidR="00A37652" w:rsidRPr="00852E0C">
          <w:rPr>
            <w:rStyle w:val="Hyperlink"/>
            <w:rFonts w:ascii="Times New Roman" w:eastAsiaTheme="minorHAnsi" w:hAnsi="Times New Roman" w:cs="Times New Roman"/>
            <w:color w:val="000000" w:themeColor="text1"/>
            <w:sz w:val="24"/>
            <w:szCs w:val="24"/>
          </w:rPr>
          <w:t xml:space="preserve"> par valsts budžeta virssaistībām</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_Toc356465225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12</w:t>
        </w:r>
        <w:r w:rsidR="00A37652" w:rsidRPr="00852E0C">
          <w:rPr>
            <w:webHidden/>
            <w:color w:val="000000" w:themeColor="text1"/>
          </w:rPr>
          <w:fldChar w:fldCharType="end"/>
        </w:r>
      </w:hyperlink>
    </w:p>
    <w:p w14:paraId="255850A7"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6" w:history="1">
        <w:r w:rsidR="00A37652" w:rsidRPr="00852E0C">
          <w:rPr>
            <w:rStyle w:val="Hyperlink"/>
            <w:rFonts w:ascii="Times New Roman" w:hAnsi="Times New Roman" w:cs="Times New Roman"/>
            <w:color w:val="000000" w:themeColor="text1"/>
            <w:sz w:val="24"/>
            <w:szCs w:val="24"/>
          </w:rPr>
          <w:t>1.2.3.</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Darbības programmas „Cilvēkresursi un nodarbinātība” mērķu un rezultātu sasniegšana</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_Toc356465226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16</w:t>
        </w:r>
        <w:r w:rsidR="00A37652" w:rsidRPr="00852E0C">
          <w:rPr>
            <w:webHidden/>
            <w:color w:val="000000" w:themeColor="text1"/>
          </w:rPr>
          <w:fldChar w:fldCharType="end"/>
        </w:r>
      </w:hyperlink>
    </w:p>
    <w:p w14:paraId="481AE57E"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7" w:history="1">
        <w:r w:rsidR="00A37652" w:rsidRPr="00852E0C">
          <w:rPr>
            <w:rStyle w:val="Hyperlink"/>
            <w:rFonts w:ascii="Times New Roman" w:hAnsi="Times New Roman" w:cs="Times New Roman"/>
            <w:color w:val="000000" w:themeColor="text1"/>
            <w:sz w:val="24"/>
            <w:szCs w:val="24"/>
          </w:rPr>
          <w:t>1.2.4.</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Darbības programmā „Uzņēmējdarbība un inovācijas” mērķu un rezultātu sasniegšana</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_Toc356465227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19</w:t>
        </w:r>
        <w:r w:rsidR="00A37652" w:rsidRPr="00852E0C">
          <w:rPr>
            <w:webHidden/>
            <w:color w:val="000000" w:themeColor="text1"/>
          </w:rPr>
          <w:fldChar w:fldCharType="end"/>
        </w:r>
      </w:hyperlink>
    </w:p>
    <w:p w14:paraId="4AE2EFE9"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8" w:history="1">
        <w:r w:rsidR="00A37652" w:rsidRPr="00852E0C">
          <w:rPr>
            <w:rStyle w:val="Hyperlink"/>
            <w:rFonts w:ascii="Times New Roman" w:hAnsi="Times New Roman" w:cs="Times New Roman"/>
            <w:color w:val="000000" w:themeColor="text1"/>
            <w:sz w:val="24"/>
            <w:szCs w:val="24"/>
          </w:rPr>
          <w:t>1.2.5.</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Darbības programmas „Infrastruktūra un pakalpojumi” mērķu un rezultātu sasniegšana</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_Toc356465228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23</w:t>
        </w:r>
        <w:r w:rsidR="00A37652" w:rsidRPr="00852E0C">
          <w:rPr>
            <w:webHidden/>
            <w:color w:val="000000" w:themeColor="text1"/>
          </w:rPr>
          <w:fldChar w:fldCharType="end"/>
        </w:r>
      </w:hyperlink>
    </w:p>
    <w:p w14:paraId="7F1A8F03"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29" w:history="1">
        <w:r w:rsidR="00A37652" w:rsidRPr="00852E0C">
          <w:rPr>
            <w:rStyle w:val="Hyperlink"/>
            <w:rFonts w:ascii="Times New Roman" w:hAnsi="Times New Roman" w:cs="Times New Roman"/>
            <w:color w:val="000000" w:themeColor="text1"/>
            <w:sz w:val="24"/>
            <w:szCs w:val="24"/>
          </w:rPr>
          <w:t>1.3.</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Lielo projektu īstenošana</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_Toc356465229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27</w:t>
        </w:r>
        <w:r w:rsidR="00A37652" w:rsidRPr="00852E0C">
          <w:rPr>
            <w:webHidden/>
            <w:color w:val="000000" w:themeColor="text1"/>
          </w:rPr>
          <w:fldChar w:fldCharType="end"/>
        </w:r>
      </w:hyperlink>
    </w:p>
    <w:p w14:paraId="38ED7055"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30" w:history="1">
        <w:r w:rsidR="00A37652" w:rsidRPr="00852E0C">
          <w:rPr>
            <w:rStyle w:val="Hyperlink"/>
            <w:rFonts w:ascii="Times New Roman" w:hAnsi="Times New Roman" w:cs="Times New Roman"/>
            <w:color w:val="000000" w:themeColor="text1"/>
            <w:sz w:val="24"/>
            <w:szCs w:val="24"/>
          </w:rPr>
          <w:t>1.4.</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Kopsavilkums par ES fondu tehniskās palīdzības aktivitāšu īstenošanu</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_Toc356465230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28</w:t>
        </w:r>
        <w:r w:rsidR="00A37652" w:rsidRPr="00852E0C">
          <w:rPr>
            <w:webHidden/>
            <w:color w:val="000000" w:themeColor="text1"/>
          </w:rPr>
          <w:fldChar w:fldCharType="end"/>
        </w:r>
      </w:hyperlink>
    </w:p>
    <w:p w14:paraId="07FB4BAB"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31" w:history="1">
        <w:r w:rsidR="00A37652" w:rsidRPr="00852E0C">
          <w:rPr>
            <w:rStyle w:val="Hyperlink"/>
            <w:rFonts w:ascii="Times New Roman" w:hAnsi="Times New Roman" w:cs="Times New Roman"/>
            <w:color w:val="000000" w:themeColor="text1"/>
            <w:sz w:val="24"/>
            <w:szCs w:val="24"/>
          </w:rPr>
          <w:t>2.</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EEZ/Norvēģijas finanšu instrumentu investīcijas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_Toc356465231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29</w:t>
        </w:r>
        <w:r w:rsidR="00A37652" w:rsidRPr="00852E0C">
          <w:rPr>
            <w:webHidden/>
            <w:color w:val="000000" w:themeColor="text1"/>
          </w:rPr>
          <w:fldChar w:fldCharType="end"/>
        </w:r>
      </w:hyperlink>
    </w:p>
    <w:p w14:paraId="4E9289FB"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32" w:history="1">
        <w:r w:rsidR="00A37652" w:rsidRPr="00852E0C">
          <w:rPr>
            <w:rStyle w:val="Hyperlink"/>
            <w:rFonts w:ascii="Times New Roman" w:hAnsi="Times New Roman" w:cs="Times New Roman"/>
            <w:color w:val="000000" w:themeColor="text1"/>
            <w:sz w:val="24"/>
            <w:szCs w:val="24"/>
          </w:rPr>
          <w:t>3.</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Šveices programmas investīcijas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_Toc356465232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31</w:t>
        </w:r>
        <w:r w:rsidR="00A37652" w:rsidRPr="00852E0C">
          <w:rPr>
            <w:webHidden/>
            <w:color w:val="000000" w:themeColor="text1"/>
          </w:rPr>
          <w:fldChar w:fldCharType="end"/>
        </w:r>
      </w:hyperlink>
    </w:p>
    <w:p w14:paraId="66C43820"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33" w:history="1">
        <w:r w:rsidR="00A37652" w:rsidRPr="00852E0C">
          <w:rPr>
            <w:rStyle w:val="Hyperlink"/>
            <w:rFonts w:ascii="Times New Roman" w:hAnsi="Times New Roman" w:cs="Times New Roman"/>
            <w:color w:val="000000" w:themeColor="text1"/>
            <w:sz w:val="24"/>
            <w:szCs w:val="24"/>
          </w:rPr>
          <w:t>4.</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Neatbilstības un neatbilstoši veikti izdevumi ES fondu un citu ārvalstu finanšu palīdzības līdzfinansētu projektu ietvaros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_Toc356465233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33</w:t>
        </w:r>
        <w:r w:rsidR="00A37652" w:rsidRPr="00852E0C">
          <w:rPr>
            <w:webHidden/>
            <w:color w:val="000000" w:themeColor="text1"/>
          </w:rPr>
          <w:fldChar w:fldCharType="end"/>
        </w:r>
      </w:hyperlink>
    </w:p>
    <w:p w14:paraId="10AA0A94" w14:textId="77777777" w:rsidR="00A37652" w:rsidRPr="00352B55" w:rsidRDefault="00937B41" w:rsidP="00852E0C">
      <w:pPr>
        <w:pStyle w:val="TOC2"/>
        <w:spacing w:before="120" w:line="276" w:lineRule="auto"/>
        <w:rPr>
          <w:rFonts w:eastAsiaTheme="minorEastAsia"/>
          <w:bCs w:val="0"/>
          <w:color w:val="000000" w:themeColor="text1"/>
          <w:lang w:eastAsia="lv-LV"/>
        </w:rPr>
      </w:pPr>
      <w:hyperlink w:anchor="_Toc356465234" w:history="1">
        <w:r w:rsidR="00A37652" w:rsidRPr="00352B55">
          <w:rPr>
            <w:rStyle w:val="Hyperlink"/>
            <w:rFonts w:ascii="Times New Roman" w:hAnsi="Times New Roman" w:cs="Times New Roman"/>
            <w:iCs/>
            <w:color w:val="000000" w:themeColor="text1"/>
            <w:sz w:val="24"/>
            <w:szCs w:val="24"/>
            <w:lang w:eastAsia="x-none"/>
          </w:rPr>
          <w:t>4.1.</w:t>
        </w:r>
        <w:r w:rsidR="00A37652" w:rsidRPr="00352B55">
          <w:rPr>
            <w:rFonts w:eastAsiaTheme="minorEastAsia"/>
            <w:bCs w:val="0"/>
            <w:color w:val="000000" w:themeColor="text1"/>
            <w:lang w:eastAsia="lv-LV"/>
          </w:rPr>
          <w:tab/>
        </w:r>
        <w:r w:rsidR="00A37652" w:rsidRPr="00352B55">
          <w:rPr>
            <w:rStyle w:val="Hyperlink"/>
            <w:rFonts w:ascii="Times New Roman" w:hAnsi="Times New Roman" w:cs="Times New Roman"/>
            <w:iCs/>
            <w:color w:val="000000" w:themeColor="text1"/>
            <w:sz w:val="24"/>
            <w:szCs w:val="24"/>
            <w:lang w:val="x-none" w:eastAsia="x-none"/>
          </w:rPr>
          <w:t>Neatbilstības ar finansiālu ietekmi ES fondu 2007.-2013.gada plānošanas periodā ES fondos</w:t>
        </w:r>
        <w:r w:rsidR="00A37652" w:rsidRPr="00352B55">
          <w:rPr>
            <w:rStyle w:val="Hyperlink"/>
            <w:rFonts w:ascii="Times New Roman" w:hAnsi="Times New Roman" w:cs="Times New Roman"/>
            <w:iCs/>
            <w:color w:val="000000" w:themeColor="text1"/>
            <w:sz w:val="24"/>
            <w:szCs w:val="24"/>
            <w:lang w:eastAsia="x-none"/>
          </w:rPr>
          <w:t xml:space="preserve"> </w:t>
        </w:r>
        <w:r w:rsidR="00A37652" w:rsidRPr="00352B55">
          <w:rPr>
            <w:rStyle w:val="Hyperlink"/>
            <w:rFonts w:ascii="Times New Roman" w:hAnsi="Times New Roman" w:cs="Times New Roman"/>
            <w:iCs/>
            <w:color w:val="000000" w:themeColor="text1"/>
            <w:sz w:val="24"/>
            <w:szCs w:val="24"/>
            <w:lang w:val="x-none" w:eastAsia="x-none"/>
          </w:rPr>
          <w:t>līdz 2013.gada 31.martam</w:t>
        </w:r>
        <w:r w:rsidR="00A37652" w:rsidRPr="00352B55">
          <w:rPr>
            <w:webHidden/>
            <w:color w:val="000000" w:themeColor="text1"/>
          </w:rPr>
          <w:tab/>
        </w:r>
        <w:r w:rsidR="00A37652" w:rsidRPr="00352B55">
          <w:rPr>
            <w:webHidden/>
            <w:color w:val="000000" w:themeColor="text1"/>
          </w:rPr>
          <w:fldChar w:fldCharType="begin"/>
        </w:r>
        <w:r w:rsidR="00A37652" w:rsidRPr="00352B55">
          <w:rPr>
            <w:webHidden/>
            <w:color w:val="000000" w:themeColor="text1"/>
          </w:rPr>
          <w:instrText xml:space="preserve"> PAGEREF _Toc356465234 \h </w:instrText>
        </w:r>
        <w:r w:rsidR="00A37652" w:rsidRPr="00352B55">
          <w:rPr>
            <w:webHidden/>
            <w:color w:val="000000" w:themeColor="text1"/>
          </w:rPr>
        </w:r>
        <w:r w:rsidR="00A37652" w:rsidRPr="00352B55">
          <w:rPr>
            <w:webHidden/>
            <w:color w:val="000000" w:themeColor="text1"/>
          </w:rPr>
          <w:fldChar w:fldCharType="separate"/>
        </w:r>
        <w:r>
          <w:rPr>
            <w:webHidden/>
            <w:color w:val="000000" w:themeColor="text1"/>
          </w:rPr>
          <w:t>34</w:t>
        </w:r>
        <w:r w:rsidR="00A37652" w:rsidRPr="00352B55">
          <w:rPr>
            <w:webHidden/>
            <w:color w:val="000000" w:themeColor="text1"/>
          </w:rPr>
          <w:fldChar w:fldCharType="end"/>
        </w:r>
      </w:hyperlink>
    </w:p>
    <w:p w14:paraId="66649945" w14:textId="77777777" w:rsidR="00A37652" w:rsidRPr="00352B55" w:rsidRDefault="00937B41" w:rsidP="00852E0C">
      <w:pPr>
        <w:pStyle w:val="TOC2"/>
        <w:spacing w:before="120" w:line="276" w:lineRule="auto"/>
        <w:rPr>
          <w:rFonts w:eastAsiaTheme="minorEastAsia"/>
          <w:bCs w:val="0"/>
          <w:color w:val="000000" w:themeColor="text1"/>
          <w:lang w:eastAsia="lv-LV"/>
        </w:rPr>
      </w:pPr>
      <w:hyperlink w:anchor="_Toc356465235" w:history="1">
        <w:r w:rsidR="00A37652" w:rsidRPr="00352B55">
          <w:rPr>
            <w:rStyle w:val="Hyperlink"/>
            <w:rFonts w:ascii="Times New Roman" w:hAnsi="Times New Roman" w:cs="Times New Roman"/>
            <w:iCs/>
            <w:color w:val="000000" w:themeColor="text1"/>
            <w:sz w:val="24"/>
            <w:szCs w:val="24"/>
            <w:lang w:val="x-none" w:eastAsia="x-none"/>
          </w:rPr>
          <w:t>4.2.</w:t>
        </w:r>
        <w:r w:rsidR="00A37652" w:rsidRPr="00352B55">
          <w:rPr>
            <w:rFonts w:eastAsiaTheme="minorEastAsia"/>
            <w:bCs w:val="0"/>
            <w:color w:val="000000" w:themeColor="text1"/>
            <w:lang w:eastAsia="lv-LV"/>
          </w:rPr>
          <w:tab/>
        </w:r>
        <w:r w:rsidR="00A37652" w:rsidRPr="00352B55">
          <w:rPr>
            <w:rStyle w:val="Hyperlink"/>
            <w:rFonts w:ascii="Times New Roman" w:hAnsi="Times New Roman" w:cs="Times New Roman"/>
            <w:iCs/>
            <w:color w:val="000000" w:themeColor="text1"/>
            <w:sz w:val="24"/>
            <w:szCs w:val="24"/>
            <w:lang w:val="x-none" w:eastAsia="x-none"/>
          </w:rPr>
          <w:t>Neatbilstības un neatbilstoši veikti izdevumi Šveices programmas ietvaros</w:t>
        </w:r>
        <w:r w:rsidR="00A37652" w:rsidRPr="00352B55">
          <w:rPr>
            <w:webHidden/>
            <w:color w:val="000000" w:themeColor="text1"/>
          </w:rPr>
          <w:tab/>
        </w:r>
        <w:r w:rsidR="00A37652" w:rsidRPr="00352B55">
          <w:rPr>
            <w:webHidden/>
            <w:color w:val="000000" w:themeColor="text1"/>
          </w:rPr>
          <w:fldChar w:fldCharType="begin"/>
        </w:r>
        <w:r w:rsidR="00A37652" w:rsidRPr="00352B55">
          <w:rPr>
            <w:webHidden/>
            <w:color w:val="000000" w:themeColor="text1"/>
          </w:rPr>
          <w:instrText xml:space="preserve"> PAGEREF _Toc356465235 \h </w:instrText>
        </w:r>
        <w:r w:rsidR="00A37652" w:rsidRPr="00352B55">
          <w:rPr>
            <w:webHidden/>
            <w:color w:val="000000" w:themeColor="text1"/>
          </w:rPr>
        </w:r>
        <w:r w:rsidR="00A37652" w:rsidRPr="00352B55">
          <w:rPr>
            <w:webHidden/>
            <w:color w:val="000000" w:themeColor="text1"/>
          </w:rPr>
          <w:fldChar w:fldCharType="separate"/>
        </w:r>
        <w:r>
          <w:rPr>
            <w:webHidden/>
            <w:color w:val="000000" w:themeColor="text1"/>
          </w:rPr>
          <w:t>37</w:t>
        </w:r>
        <w:r w:rsidR="00A37652" w:rsidRPr="00352B55">
          <w:rPr>
            <w:webHidden/>
            <w:color w:val="000000" w:themeColor="text1"/>
          </w:rPr>
          <w:fldChar w:fldCharType="end"/>
        </w:r>
      </w:hyperlink>
    </w:p>
    <w:p w14:paraId="3C58CD2D" w14:textId="77777777" w:rsidR="00A37652" w:rsidRPr="00352B55" w:rsidRDefault="00937B41" w:rsidP="00852E0C">
      <w:pPr>
        <w:pStyle w:val="TOC2"/>
        <w:spacing w:before="120" w:line="276" w:lineRule="auto"/>
        <w:rPr>
          <w:rFonts w:eastAsiaTheme="minorEastAsia"/>
          <w:bCs w:val="0"/>
          <w:color w:val="000000" w:themeColor="text1"/>
          <w:lang w:eastAsia="lv-LV"/>
        </w:rPr>
      </w:pPr>
      <w:hyperlink w:anchor="_Toc356465236" w:history="1">
        <w:r w:rsidR="00A37652" w:rsidRPr="00352B55">
          <w:rPr>
            <w:rStyle w:val="Hyperlink"/>
            <w:rFonts w:ascii="Times New Roman" w:hAnsi="Times New Roman" w:cs="Times New Roman"/>
            <w:iCs/>
            <w:color w:val="000000" w:themeColor="text1"/>
            <w:sz w:val="24"/>
            <w:szCs w:val="24"/>
            <w:lang w:val="x-none" w:eastAsia="x-none"/>
          </w:rPr>
          <w:t>4.3.</w:t>
        </w:r>
        <w:r w:rsidR="00A37652" w:rsidRPr="00352B55">
          <w:rPr>
            <w:rFonts w:eastAsiaTheme="minorEastAsia"/>
            <w:bCs w:val="0"/>
            <w:color w:val="000000" w:themeColor="text1"/>
            <w:lang w:eastAsia="lv-LV"/>
          </w:rPr>
          <w:tab/>
        </w:r>
        <w:r w:rsidR="00A37652" w:rsidRPr="00352B55">
          <w:rPr>
            <w:rStyle w:val="Hyperlink"/>
            <w:rFonts w:ascii="Times New Roman" w:hAnsi="Times New Roman" w:cs="Times New Roman"/>
            <w:iCs/>
            <w:color w:val="000000" w:themeColor="text1"/>
            <w:sz w:val="24"/>
            <w:szCs w:val="24"/>
            <w:lang w:val="x-none" w:eastAsia="x-none"/>
          </w:rPr>
          <w:t>Vadības, kontroles un uzraudzības sistēmas darbība, pasākumi risku mazināšanai</w:t>
        </w:r>
        <w:r w:rsidR="00A37652" w:rsidRPr="00352B55">
          <w:rPr>
            <w:webHidden/>
            <w:color w:val="000000" w:themeColor="text1"/>
          </w:rPr>
          <w:tab/>
        </w:r>
        <w:r w:rsidR="00A37652" w:rsidRPr="00352B55">
          <w:rPr>
            <w:webHidden/>
            <w:color w:val="000000" w:themeColor="text1"/>
          </w:rPr>
          <w:fldChar w:fldCharType="begin"/>
        </w:r>
        <w:r w:rsidR="00A37652" w:rsidRPr="00352B55">
          <w:rPr>
            <w:webHidden/>
            <w:color w:val="000000" w:themeColor="text1"/>
          </w:rPr>
          <w:instrText xml:space="preserve"> PAGEREF _Toc356465236 \h </w:instrText>
        </w:r>
        <w:r w:rsidR="00A37652" w:rsidRPr="00352B55">
          <w:rPr>
            <w:webHidden/>
            <w:color w:val="000000" w:themeColor="text1"/>
          </w:rPr>
        </w:r>
        <w:r w:rsidR="00A37652" w:rsidRPr="00352B55">
          <w:rPr>
            <w:webHidden/>
            <w:color w:val="000000" w:themeColor="text1"/>
          </w:rPr>
          <w:fldChar w:fldCharType="separate"/>
        </w:r>
        <w:r>
          <w:rPr>
            <w:webHidden/>
            <w:color w:val="000000" w:themeColor="text1"/>
          </w:rPr>
          <w:t>37</w:t>
        </w:r>
        <w:r w:rsidR="00A37652" w:rsidRPr="00352B55">
          <w:rPr>
            <w:webHidden/>
            <w:color w:val="000000" w:themeColor="text1"/>
          </w:rPr>
          <w:fldChar w:fldCharType="end"/>
        </w:r>
      </w:hyperlink>
    </w:p>
    <w:p w14:paraId="35C3FA69"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37" w:history="1">
        <w:r w:rsidR="00A37652" w:rsidRPr="00852E0C">
          <w:rPr>
            <w:rStyle w:val="Hyperlink"/>
            <w:rFonts w:ascii="Times New Roman" w:hAnsi="Times New Roman" w:cs="Times New Roman"/>
            <w:color w:val="000000" w:themeColor="text1"/>
            <w:sz w:val="24"/>
            <w:szCs w:val="24"/>
          </w:rPr>
          <w:t>4.4.</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Veiktie pasākumi ES fondu vadības un kontroles sistēmas pilnveidošanai</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_Toc356465237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40</w:t>
        </w:r>
        <w:r w:rsidR="00A37652" w:rsidRPr="00852E0C">
          <w:rPr>
            <w:webHidden/>
            <w:color w:val="000000" w:themeColor="text1"/>
          </w:rPr>
          <w:fldChar w:fldCharType="end"/>
        </w:r>
      </w:hyperlink>
    </w:p>
    <w:p w14:paraId="3A6A576D" w14:textId="77777777" w:rsidR="00A37652" w:rsidRPr="00852E0C" w:rsidRDefault="00937B41" w:rsidP="00852E0C">
      <w:pPr>
        <w:pStyle w:val="TOC2"/>
        <w:spacing w:before="120" w:line="276" w:lineRule="auto"/>
        <w:rPr>
          <w:rFonts w:eastAsiaTheme="minorEastAsia"/>
          <w:bCs w:val="0"/>
          <w:color w:val="000000" w:themeColor="text1"/>
          <w:lang w:eastAsia="lv-LV"/>
        </w:rPr>
      </w:pPr>
      <w:hyperlink w:anchor="_Toc356465238" w:history="1">
        <w:r w:rsidR="00A37652" w:rsidRPr="00852E0C">
          <w:rPr>
            <w:rStyle w:val="Hyperlink"/>
            <w:rFonts w:ascii="Times New Roman" w:hAnsi="Times New Roman" w:cs="Times New Roman"/>
            <w:color w:val="000000" w:themeColor="text1"/>
            <w:sz w:val="24"/>
            <w:szCs w:val="24"/>
          </w:rPr>
          <w:t>4.5.</w:t>
        </w:r>
        <w:r w:rsidR="00A37652" w:rsidRPr="00852E0C">
          <w:rPr>
            <w:rFonts w:eastAsiaTheme="minorEastAsia"/>
            <w:bCs w:val="0"/>
            <w:color w:val="000000" w:themeColor="text1"/>
            <w:lang w:eastAsia="lv-LV"/>
          </w:rPr>
          <w:tab/>
        </w:r>
        <w:r w:rsidR="00A37652" w:rsidRPr="00852E0C">
          <w:rPr>
            <w:rStyle w:val="Hyperlink"/>
            <w:rFonts w:ascii="Times New Roman" w:hAnsi="Times New Roman" w:cs="Times New Roman"/>
            <w:color w:val="000000" w:themeColor="text1"/>
            <w:sz w:val="24"/>
            <w:szCs w:val="24"/>
          </w:rPr>
          <w:t>Plānotie pasākumi vadības un kontroles sistēmas pilnveidošanai</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_Toc356465238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42</w:t>
        </w:r>
        <w:r w:rsidR="00A37652" w:rsidRPr="00852E0C">
          <w:rPr>
            <w:webHidden/>
            <w:color w:val="000000" w:themeColor="text1"/>
          </w:rPr>
          <w:fldChar w:fldCharType="end"/>
        </w:r>
      </w:hyperlink>
    </w:p>
    <w:p w14:paraId="1CA8BCCD"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39" w:history="1">
        <w:r w:rsidR="00A37652" w:rsidRPr="00852E0C">
          <w:rPr>
            <w:rStyle w:val="Hyperlink"/>
            <w:rFonts w:ascii="Times New Roman" w:hAnsi="Times New Roman" w:cs="Times New Roman"/>
            <w:color w:val="000000" w:themeColor="text1"/>
            <w:sz w:val="24"/>
            <w:szCs w:val="24"/>
          </w:rPr>
          <w:t>5.</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ES fondu izvērtēšanas jautājumi</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_Toc356465239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43</w:t>
        </w:r>
        <w:r w:rsidR="00A37652" w:rsidRPr="00852E0C">
          <w:rPr>
            <w:webHidden/>
            <w:color w:val="000000" w:themeColor="text1"/>
          </w:rPr>
          <w:fldChar w:fldCharType="end"/>
        </w:r>
      </w:hyperlink>
    </w:p>
    <w:p w14:paraId="105FD3E6"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40" w:history="1">
        <w:r w:rsidR="00A37652" w:rsidRPr="00852E0C">
          <w:rPr>
            <w:rStyle w:val="Hyperlink"/>
            <w:rFonts w:ascii="Times New Roman" w:hAnsi="Times New Roman" w:cs="Times New Roman"/>
            <w:color w:val="000000" w:themeColor="text1"/>
            <w:sz w:val="24"/>
            <w:szCs w:val="24"/>
          </w:rPr>
          <w:t>6.</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Jaunais ES fondu 2014.-2020.gada plānošanas periods</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_Toc356465240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44</w:t>
        </w:r>
        <w:r w:rsidR="00A37652" w:rsidRPr="00852E0C">
          <w:rPr>
            <w:webHidden/>
            <w:color w:val="000000" w:themeColor="text1"/>
          </w:rPr>
          <w:fldChar w:fldCharType="end"/>
        </w:r>
      </w:hyperlink>
    </w:p>
    <w:p w14:paraId="4750E6B6" w14:textId="77777777" w:rsidR="00A37652" w:rsidRPr="00852E0C" w:rsidRDefault="00937B41" w:rsidP="00852E0C">
      <w:pPr>
        <w:pStyle w:val="TOC1"/>
        <w:jc w:val="both"/>
        <w:rPr>
          <w:rFonts w:eastAsiaTheme="minorEastAsia"/>
          <w:b w:val="0"/>
          <w:bCs w:val="0"/>
          <w:caps w:val="0"/>
          <w:color w:val="000000" w:themeColor="text1"/>
          <w:lang w:eastAsia="lv-LV"/>
        </w:rPr>
      </w:pPr>
      <w:hyperlink w:anchor="_Toc356465241" w:history="1">
        <w:r w:rsidR="00A37652" w:rsidRPr="00852E0C">
          <w:rPr>
            <w:rStyle w:val="Hyperlink"/>
            <w:rFonts w:ascii="Times New Roman" w:hAnsi="Times New Roman" w:cs="Times New Roman"/>
            <w:color w:val="000000" w:themeColor="text1"/>
            <w:sz w:val="24"/>
            <w:szCs w:val="24"/>
          </w:rPr>
          <w:t>7.</w:t>
        </w:r>
        <w:r w:rsidR="00A37652" w:rsidRPr="00852E0C">
          <w:rPr>
            <w:rFonts w:eastAsiaTheme="minorEastAsia"/>
            <w:b w:val="0"/>
            <w:bCs w:val="0"/>
            <w:caps w:val="0"/>
            <w:color w:val="000000" w:themeColor="text1"/>
            <w:lang w:eastAsia="lv-LV"/>
          </w:rPr>
          <w:tab/>
        </w:r>
        <w:r w:rsidR="00A37652" w:rsidRPr="00852E0C">
          <w:rPr>
            <w:rStyle w:val="Hyperlink"/>
            <w:rFonts w:ascii="Times New Roman" w:hAnsi="Times New Roman" w:cs="Times New Roman"/>
            <w:color w:val="000000" w:themeColor="text1"/>
            <w:sz w:val="24"/>
            <w:szCs w:val="24"/>
          </w:rPr>
          <w:t>Secinājumi un turpmākā rīcība</w:t>
        </w:r>
        <w:r w:rsidR="00A37652" w:rsidRPr="00852E0C">
          <w:rPr>
            <w:webHidden/>
            <w:color w:val="000000" w:themeColor="text1"/>
          </w:rPr>
          <w:tab/>
        </w:r>
        <w:r w:rsidR="00A37652" w:rsidRPr="00852E0C">
          <w:rPr>
            <w:webHidden/>
            <w:color w:val="000000" w:themeColor="text1"/>
          </w:rPr>
          <w:fldChar w:fldCharType="begin"/>
        </w:r>
        <w:r w:rsidR="00A37652" w:rsidRPr="00852E0C">
          <w:rPr>
            <w:webHidden/>
            <w:color w:val="000000" w:themeColor="text1"/>
          </w:rPr>
          <w:instrText xml:space="preserve"> PAGEREF _Toc356465241 \h </w:instrText>
        </w:r>
        <w:r w:rsidR="00A37652" w:rsidRPr="00852E0C">
          <w:rPr>
            <w:webHidden/>
            <w:color w:val="000000" w:themeColor="text1"/>
          </w:rPr>
        </w:r>
        <w:r w:rsidR="00A37652" w:rsidRPr="00852E0C">
          <w:rPr>
            <w:webHidden/>
            <w:color w:val="000000" w:themeColor="text1"/>
          </w:rPr>
          <w:fldChar w:fldCharType="separate"/>
        </w:r>
        <w:r>
          <w:rPr>
            <w:webHidden/>
            <w:color w:val="000000" w:themeColor="text1"/>
          </w:rPr>
          <w:t>46</w:t>
        </w:r>
        <w:r w:rsidR="00A37652" w:rsidRPr="00852E0C">
          <w:rPr>
            <w:webHidden/>
            <w:color w:val="000000" w:themeColor="text1"/>
          </w:rPr>
          <w:fldChar w:fldCharType="end"/>
        </w:r>
      </w:hyperlink>
    </w:p>
    <w:p w14:paraId="40830F43" w14:textId="50A7E59A" w:rsidR="00135981" w:rsidRPr="00352B55" w:rsidRDefault="00D36275" w:rsidP="00852E0C">
      <w:pPr>
        <w:tabs>
          <w:tab w:val="right" w:leader="dot" w:pos="9072"/>
        </w:tabs>
        <w:spacing w:line="276" w:lineRule="auto"/>
        <w:rPr>
          <w:bCs/>
          <w:caps/>
          <w:color w:val="000000" w:themeColor="text1"/>
          <w:szCs w:val="24"/>
        </w:rPr>
      </w:pPr>
      <w:r w:rsidRPr="00852E0C">
        <w:rPr>
          <w:bCs/>
          <w:caps/>
          <w:color w:val="000000" w:themeColor="text1"/>
          <w:szCs w:val="24"/>
          <w:highlight w:val="yellow"/>
        </w:rPr>
        <w:fldChar w:fldCharType="end"/>
      </w:r>
      <w:r w:rsidR="00135981" w:rsidRPr="00852E0C">
        <w:rPr>
          <w:bCs/>
          <w:noProof/>
          <w:color w:val="000000" w:themeColor="text1"/>
          <w:szCs w:val="24"/>
        </w:rPr>
        <w:t>PIELIKUMI:</w:t>
      </w:r>
    </w:p>
    <w:p w14:paraId="59524035" w14:textId="47C7C9FF" w:rsidR="002D67B9" w:rsidRPr="00852E0C" w:rsidRDefault="002D67B9" w:rsidP="00852E0C">
      <w:pPr>
        <w:pStyle w:val="Default"/>
        <w:numPr>
          <w:ilvl w:val="0"/>
          <w:numId w:val="6"/>
        </w:numPr>
        <w:spacing w:line="276" w:lineRule="auto"/>
        <w:ind w:left="426" w:hanging="426"/>
        <w:rPr>
          <w:rFonts w:eastAsia="Times New Roman"/>
          <w:color w:val="000000" w:themeColor="text1"/>
          <w:lang w:eastAsia="en-US"/>
        </w:rPr>
      </w:pPr>
      <w:r w:rsidRPr="00852E0C">
        <w:rPr>
          <w:rFonts w:eastAsia="Times New Roman"/>
          <w:color w:val="000000" w:themeColor="text1"/>
          <w:lang w:eastAsia="en-US"/>
        </w:rPr>
        <w:t xml:space="preserve">pielikums </w:t>
      </w:r>
      <w:r w:rsidR="002A2772" w:rsidRPr="00852E0C">
        <w:rPr>
          <w:rFonts w:eastAsia="Times New Roman"/>
          <w:color w:val="000000" w:themeColor="text1"/>
          <w:lang w:eastAsia="en-US"/>
        </w:rPr>
        <w:t xml:space="preserve">informatīvajam ziņojumam „2007. – </w:t>
      </w:r>
      <w:r w:rsidRPr="00852E0C">
        <w:rPr>
          <w:rFonts w:eastAsia="Times New Roman"/>
          <w:color w:val="000000" w:themeColor="text1"/>
          <w:lang w:eastAsia="en-US"/>
        </w:rPr>
        <w:t xml:space="preserve">2013.gada plānošanas perioda ES fondu </w:t>
      </w:r>
      <w:r w:rsidR="00EE27D0" w:rsidRPr="00852E0C">
        <w:rPr>
          <w:rFonts w:eastAsia="Times New Roman"/>
          <w:color w:val="000000" w:themeColor="text1"/>
          <w:lang w:eastAsia="en-US"/>
        </w:rPr>
        <w:t>finanšu investīcijas</w:t>
      </w:r>
      <w:r w:rsidRPr="00852E0C">
        <w:rPr>
          <w:rFonts w:eastAsia="Times New Roman"/>
          <w:color w:val="000000" w:themeColor="text1"/>
          <w:lang w:eastAsia="en-US"/>
        </w:rPr>
        <w:t xml:space="preserve"> prioritāšu līmenī līdz 201</w:t>
      </w:r>
      <w:r w:rsidR="0090406C" w:rsidRPr="00852E0C">
        <w:rPr>
          <w:rFonts w:eastAsia="Times New Roman"/>
          <w:color w:val="000000" w:themeColor="text1"/>
          <w:lang w:eastAsia="en-US"/>
        </w:rPr>
        <w:t>3</w:t>
      </w:r>
      <w:r w:rsidRPr="00852E0C">
        <w:rPr>
          <w:rFonts w:eastAsia="Times New Roman"/>
          <w:color w:val="000000" w:themeColor="text1"/>
          <w:lang w:eastAsia="en-US"/>
        </w:rPr>
        <w:t>.gada 31.</w:t>
      </w:r>
      <w:r w:rsidR="0090406C" w:rsidRPr="00852E0C">
        <w:rPr>
          <w:rFonts w:eastAsia="Times New Roman"/>
          <w:color w:val="000000" w:themeColor="text1"/>
          <w:lang w:eastAsia="en-US"/>
        </w:rPr>
        <w:t>martam</w:t>
      </w:r>
      <w:r w:rsidRPr="00852E0C">
        <w:rPr>
          <w:rFonts w:eastAsia="Times New Roman"/>
          <w:color w:val="000000" w:themeColor="text1"/>
          <w:lang w:eastAsia="en-US"/>
        </w:rPr>
        <w:t>”</w:t>
      </w:r>
      <w:r w:rsidR="007E1EFC" w:rsidRPr="00852E0C">
        <w:rPr>
          <w:rFonts w:eastAsia="Times New Roman"/>
          <w:color w:val="000000" w:themeColor="text1"/>
          <w:lang w:eastAsia="en-US"/>
        </w:rPr>
        <w:t>.</w:t>
      </w:r>
    </w:p>
    <w:p w14:paraId="41B850AE" w14:textId="77777777" w:rsidR="0090406C" w:rsidRPr="00852E0C" w:rsidRDefault="0090406C" w:rsidP="00852E0C">
      <w:pPr>
        <w:spacing w:line="276" w:lineRule="auto"/>
        <w:rPr>
          <w:b/>
          <w:color w:val="000000" w:themeColor="text1"/>
          <w:szCs w:val="24"/>
        </w:rPr>
      </w:pPr>
      <w:r w:rsidRPr="00852E0C">
        <w:rPr>
          <w:b/>
          <w:color w:val="000000" w:themeColor="text1"/>
          <w:szCs w:val="24"/>
        </w:rPr>
        <w:br w:type="page"/>
      </w:r>
    </w:p>
    <w:p w14:paraId="5EAAAB4E" w14:textId="56FC013F" w:rsidR="00C30A01" w:rsidRPr="00852E0C" w:rsidRDefault="00C30A01" w:rsidP="00852E0C">
      <w:pPr>
        <w:spacing w:line="276" w:lineRule="auto"/>
        <w:rPr>
          <w:color w:val="000000" w:themeColor="text1"/>
          <w:szCs w:val="24"/>
        </w:rPr>
      </w:pPr>
      <w:r w:rsidRPr="00852E0C">
        <w:rPr>
          <w:b/>
          <w:color w:val="000000" w:themeColor="text1"/>
          <w:szCs w:val="24"/>
        </w:rPr>
        <w:lastRenderedPageBreak/>
        <w:t>Saīsinājumi</w:t>
      </w:r>
    </w:p>
    <w:p w14:paraId="547AAD5F" w14:textId="77777777" w:rsidR="004560E9" w:rsidRPr="00852E0C" w:rsidRDefault="004560E9"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AI</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r>
      <w:r w:rsidR="00931663" w:rsidRPr="00852E0C">
        <w:rPr>
          <w:color w:val="000000" w:themeColor="text1"/>
          <w:szCs w:val="24"/>
        </w:rPr>
        <w:t>ES fondu a</w:t>
      </w:r>
      <w:r w:rsidRPr="00852E0C">
        <w:rPr>
          <w:color w:val="000000" w:themeColor="text1"/>
          <w:szCs w:val="24"/>
        </w:rPr>
        <w:t>tbildīgā iestāde</w:t>
      </w:r>
    </w:p>
    <w:p w14:paraId="0159EDC8" w14:textId="77777777" w:rsidR="003217DB" w:rsidRPr="00852E0C" w:rsidRDefault="003217DB"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AS</w:t>
      </w:r>
      <w:r w:rsidRPr="00852E0C">
        <w:rPr>
          <w:color w:val="000000" w:themeColor="text1"/>
          <w:szCs w:val="24"/>
        </w:rPr>
        <w:tab/>
        <w:t>-</w:t>
      </w:r>
      <w:r w:rsidRPr="00852E0C">
        <w:rPr>
          <w:color w:val="000000" w:themeColor="text1"/>
          <w:szCs w:val="24"/>
        </w:rPr>
        <w:tab/>
      </w:r>
      <w:r w:rsidRPr="00852E0C">
        <w:rPr>
          <w:color w:val="000000" w:themeColor="text1"/>
          <w:szCs w:val="24"/>
        </w:rPr>
        <w:tab/>
        <w:t>Akciju sabiedrība</w:t>
      </w:r>
    </w:p>
    <w:p w14:paraId="6C970EB7" w14:textId="2E4219A0" w:rsidR="00915421" w:rsidRPr="00852E0C" w:rsidRDefault="00915421"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ĀM</w:t>
      </w:r>
      <w:r w:rsidRPr="00852E0C">
        <w:rPr>
          <w:color w:val="000000" w:themeColor="text1"/>
          <w:szCs w:val="24"/>
        </w:rPr>
        <w:tab/>
        <w:t>-</w:t>
      </w:r>
      <w:r w:rsidRPr="00852E0C">
        <w:rPr>
          <w:color w:val="000000" w:themeColor="text1"/>
          <w:szCs w:val="24"/>
        </w:rPr>
        <w:tab/>
      </w:r>
      <w:r w:rsidRPr="00852E0C">
        <w:rPr>
          <w:color w:val="000000" w:themeColor="text1"/>
          <w:szCs w:val="24"/>
        </w:rPr>
        <w:tab/>
        <w:t>Ārlietu ministrija</w:t>
      </w:r>
    </w:p>
    <w:p w14:paraId="611A6441" w14:textId="511AEF5A" w:rsidR="00A151D5" w:rsidRPr="00852E0C" w:rsidRDefault="00A151D5"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CAF</w:t>
      </w:r>
      <w:r w:rsidRPr="00852E0C">
        <w:rPr>
          <w:color w:val="000000" w:themeColor="text1"/>
          <w:szCs w:val="24"/>
        </w:rPr>
        <w:tab/>
        <w:t>-</w:t>
      </w:r>
      <w:r w:rsidRPr="00852E0C">
        <w:rPr>
          <w:color w:val="000000" w:themeColor="text1"/>
          <w:szCs w:val="24"/>
        </w:rPr>
        <w:tab/>
      </w:r>
      <w:r w:rsidRPr="00852E0C">
        <w:rPr>
          <w:color w:val="000000" w:themeColor="text1"/>
          <w:szCs w:val="24"/>
        </w:rPr>
        <w:tab/>
        <w:t>„</w:t>
      </w:r>
      <w:proofErr w:type="spellStart"/>
      <w:r w:rsidRPr="00852E0C">
        <w:rPr>
          <w:color w:val="000000" w:themeColor="text1"/>
          <w:szCs w:val="24"/>
        </w:rPr>
        <w:t>Construcciones</w:t>
      </w:r>
      <w:proofErr w:type="spellEnd"/>
      <w:r w:rsidRPr="00852E0C">
        <w:rPr>
          <w:color w:val="000000" w:themeColor="text1"/>
          <w:szCs w:val="24"/>
        </w:rPr>
        <w:t xml:space="preserve"> y </w:t>
      </w:r>
      <w:proofErr w:type="spellStart"/>
      <w:r w:rsidRPr="00852E0C">
        <w:rPr>
          <w:color w:val="000000" w:themeColor="text1"/>
          <w:szCs w:val="24"/>
        </w:rPr>
        <w:t>Auxiliar</w:t>
      </w:r>
      <w:proofErr w:type="spellEnd"/>
      <w:r w:rsidRPr="00852E0C">
        <w:rPr>
          <w:color w:val="000000" w:themeColor="text1"/>
          <w:szCs w:val="24"/>
        </w:rPr>
        <w:t xml:space="preserve"> </w:t>
      </w:r>
      <w:proofErr w:type="spellStart"/>
      <w:r w:rsidRPr="00852E0C">
        <w:rPr>
          <w:color w:val="000000" w:themeColor="text1"/>
          <w:szCs w:val="24"/>
        </w:rPr>
        <w:t>de</w:t>
      </w:r>
      <w:proofErr w:type="spellEnd"/>
      <w:r w:rsidRPr="00852E0C">
        <w:rPr>
          <w:color w:val="000000" w:themeColor="text1"/>
          <w:szCs w:val="24"/>
        </w:rPr>
        <w:t xml:space="preserve"> </w:t>
      </w:r>
      <w:proofErr w:type="spellStart"/>
      <w:r w:rsidRPr="00852E0C">
        <w:rPr>
          <w:color w:val="000000" w:themeColor="text1"/>
          <w:szCs w:val="24"/>
        </w:rPr>
        <w:t>Ferrocarriles</w:t>
      </w:r>
      <w:proofErr w:type="spellEnd"/>
      <w:r w:rsidRPr="00852E0C">
        <w:rPr>
          <w:color w:val="000000" w:themeColor="text1"/>
          <w:szCs w:val="24"/>
        </w:rPr>
        <w:t>”</w:t>
      </w:r>
    </w:p>
    <w:p w14:paraId="15863CD7" w14:textId="77777777" w:rsidR="004560E9" w:rsidRPr="00852E0C" w:rsidRDefault="004560E9"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CFLA</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t>Centrālā finanšu un līgumu aģentūra</w:t>
      </w:r>
    </w:p>
    <w:p w14:paraId="3C125815" w14:textId="77777777" w:rsidR="005E6820" w:rsidRPr="00852E0C" w:rsidRDefault="00B52CDB"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DG EMPL</w:t>
      </w:r>
      <w:r w:rsidR="005E6820" w:rsidRPr="00852E0C">
        <w:rPr>
          <w:color w:val="000000" w:themeColor="text1"/>
          <w:szCs w:val="24"/>
        </w:rPr>
        <w:tab/>
        <w:t xml:space="preserve">- </w:t>
      </w:r>
      <w:r w:rsidR="005E6820" w:rsidRPr="00852E0C">
        <w:rPr>
          <w:color w:val="000000" w:themeColor="text1"/>
          <w:szCs w:val="24"/>
        </w:rPr>
        <w:tab/>
      </w:r>
      <w:r w:rsidR="005E6820" w:rsidRPr="00852E0C">
        <w:rPr>
          <w:color w:val="000000" w:themeColor="text1"/>
          <w:szCs w:val="24"/>
        </w:rPr>
        <w:tab/>
      </w:r>
      <w:r w:rsidRPr="00852E0C">
        <w:rPr>
          <w:color w:val="000000" w:themeColor="text1"/>
          <w:szCs w:val="24"/>
        </w:rPr>
        <w:t xml:space="preserve">Eiropas Komisijas Nodarbinātības, sociālo lietu un </w:t>
      </w:r>
      <w:proofErr w:type="spellStart"/>
      <w:r w:rsidRPr="00852E0C">
        <w:rPr>
          <w:color w:val="000000" w:themeColor="text1"/>
          <w:szCs w:val="24"/>
        </w:rPr>
        <w:t>iekļautības</w:t>
      </w:r>
      <w:proofErr w:type="spellEnd"/>
      <w:r w:rsidRPr="00852E0C">
        <w:rPr>
          <w:color w:val="000000" w:themeColor="text1"/>
          <w:szCs w:val="24"/>
        </w:rPr>
        <w:t xml:space="preserve"> </w:t>
      </w:r>
    </w:p>
    <w:p w14:paraId="3B0FD254" w14:textId="30CDEC7C" w:rsidR="00B52CDB" w:rsidRPr="00852E0C" w:rsidRDefault="005E6820"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ab/>
      </w:r>
      <w:r w:rsidRPr="00852E0C">
        <w:rPr>
          <w:color w:val="000000" w:themeColor="text1"/>
          <w:szCs w:val="24"/>
        </w:rPr>
        <w:tab/>
      </w:r>
      <w:r w:rsidRPr="00852E0C">
        <w:rPr>
          <w:color w:val="000000" w:themeColor="text1"/>
          <w:szCs w:val="24"/>
        </w:rPr>
        <w:tab/>
      </w:r>
      <w:r w:rsidR="00B52CDB" w:rsidRPr="00852E0C">
        <w:rPr>
          <w:color w:val="000000" w:themeColor="text1"/>
          <w:szCs w:val="24"/>
        </w:rPr>
        <w:t>ģenerāldirektorāts</w:t>
      </w:r>
    </w:p>
    <w:p w14:paraId="1888D974" w14:textId="77777777" w:rsidR="004324DC" w:rsidRPr="00852E0C" w:rsidRDefault="00DA0BE3"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DG REGIO</w:t>
      </w:r>
      <w:r w:rsidRPr="00852E0C">
        <w:rPr>
          <w:color w:val="000000" w:themeColor="text1"/>
          <w:szCs w:val="24"/>
        </w:rPr>
        <w:tab/>
        <w:t>-</w:t>
      </w:r>
      <w:r w:rsidRPr="00852E0C">
        <w:rPr>
          <w:color w:val="000000" w:themeColor="text1"/>
          <w:szCs w:val="24"/>
        </w:rPr>
        <w:tab/>
      </w:r>
      <w:r w:rsidRPr="00852E0C">
        <w:rPr>
          <w:color w:val="000000" w:themeColor="text1"/>
          <w:szCs w:val="24"/>
        </w:rPr>
        <w:tab/>
        <w:t>Eiropas k</w:t>
      </w:r>
      <w:r w:rsidR="004324DC" w:rsidRPr="00852E0C">
        <w:rPr>
          <w:color w:val="000000" w:themeColor="text1"/>
          <w:szCs w:val="24"/>
        </w:rPr>
        <w:t xml:space="preserve">omisijas </w:t>
      </w:r>
      <w:r w:rsidR="004B35FE" w:rsidRPr="00852E0C">
        <w:rPr>
          <w:color w:val="000000" w:themeColor="text1"/>
          <w:szCs w:val="24"/>
        </w:rPr>
        <w:t>Reģionālās</w:t>
      </w:r>
      <w:r w:rsidRPr="00852E0C">
        <w:rPr>
          <w:color w:val="000000" w:themeColor="text1"/>
          <w:szCs w:val="24"/>
        </w:rPr>
        <w:t xml:space="preserve"> politikas ģenerāldirektorāts</w:t>
      </w:r>
    </w:p>
    <w:p w14:paraId="44E7D2D9" w14:textId="44640BEB" w:rsidR="002239D1" w:rsidRPr="00852E0C" w:rsidRDefault="002239D1"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DP</w:t>
      </w:r>
      <w:r w:rsidRPr="00852E0C">
        <w:rPr>
          <w:color w:val="000000" w:themeColor="text1"/>
          <w:szCs w:val="24"/>
        </w:rPr>
        <w:tab/>
        <w:t>-</w:t>
      </w:r>
      <w:r w:rsidRPr="00852E0C">
        <w:rPr>
          <w:color w:val="000000" w:themeColor="text1"/>
          <w:szCs w:val="24"/>
        </w:rPr>
        <w:tab/>
      </w:r>
      <w:r w:rsidRPr="00852E0C">
        <w:rPr>
          <w:color w:val="000000" w:themeColor="text1"/>
          <w:szCs w:val="24"/>
        </w:rPr>
        <w:tab/>
        <w:t>Darbības programma</w:t>
      </w:r>
    </w:p>
    <w:p w14:paraId="550B0404"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EEZ</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Eiropas Ekonomikas zona</w:t>
      </w:r>
    </w:p>
    <w:p w14:paraId="07CDE82C" w14:textId="17E6BE85" w:rsidR="00D006E0" w:rsidRPr="00852E0C" w:rsidRDefault="004560E9" w:rsidP="00352B55">
      <w:pPr>
        <w:tabs>
          <w:tab w:val="left" w:pos="3686"/>
          <w:tab w:val="left" w:pos="3969"/>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EEZ/Norvēģijas finanšu instrumenti – </w:t>
      </w:r>
      <w:r w:rsidR="00D006E0" w:rsidRPr="00852E0C">
        <w:rPr>
          <w:rFonts w:eastAsia="EUAlbertina-Bold-Identity-H"/>
          <w:color w:val="000000" w:themeColor="text1"/>
          <w:szCs w:val="24"/>
          <w:lang w:eastAsia="lv-LV"/>
        </w:rPr>
        <w:t xml:space="preserve">2009. – 2014.gada perioda </w:t>
      </w:r>
      <w:r w:rsidRPr="00852E0C">
        <w:rPr>
          <w:rFonts w:eastAsia="EUAlbertina-Bold-Identity-H"/>
          <w:color w:val="000000" w:themeColor="text1"/>
          <w:szCs w:val="24"/>
          <w:lang w:eastAsia="lv-LV"/>
        </w:rPr>
        <w:t xml:space="preserve">Eiropas Ekonomikas </w:t>
      </w:r>
    </w:p>
    <w:p w14:paraId="145E18DD" w14:textId="77777777" w:rsidR="00D006E0" w:rsidRPr="00852E0C" w:rsidRDefault="00D006E0" w:rsidP="00352B55">
      <w:pPr>
        <w:tabs>
          <w:tab w:val="left" w:pos="3686"/>
          <w:tab w:val="left" w:pos="3969"/>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ab/>
      </w:r>
      <w:r w:rsidR="004560E9" w:rsidRPr="00852E0C">
        <w:rPr>
          <w:rFonts w:eastAsia="EUAlbertina-Bold-Identity-H"/>
          <w:color w:val="000000" w:themeColor="text1"/>
          <w:szCs w:val="24"/>
          <w:lang w:eastAsia="lv-LV"/>
        </w:rPr>
        <w:t>zonas finanšu instruments un</w:t>
      </w:r>
      <w:r w:rsidRPr="00852E0C">
        <w:rPr>
          <w:rFonts w:eastAsia="EUAlbertina-Bold-Identity-H"/>
          <w:color w:val="000000" w:themeColor="text1"/>
          <w:szCs w:val="24"/>
          <w:lang w:eastAsia="lv-LV"/>
        </w:rPr>
        <w:t xml:space="preserve"> Norvēģijas finanšu</w:t>
      </w:r>
    </w:p>
    <w:p w14:paraId="53BDA1DD" w14:textId="289E2AC9" w:rsidR="004560E9" w:rsidRPr="00852E0C" w:rsidRDefault="00D006E0" w:rsidP="00352B55">
      <w:pPr>
        <w:tabs>
          <w:tab w:val="left" w:pos="3686"/>
          <w:tab w:val="left" w:pos="3969"/>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ab/>
      </w:r>
      <w:r w:rsidR="004560E9" w:rsidRPr="00852E0C">
        <w:rPr>
          <w:rFonts w:eastAsia="EUAlbertina-Bold-Identity-H"/>
          <w:color w:val="000000" w:themeColor="text1"/>
          <w:szCs w:val="24"/>
          <w:lang w:eastAsia="lv-LV"/>
        </w:rPr>
        <w:t>instruments</w:t>
      </w:r>
    </w:p>
    <w:p w14:paraId="3F6A4AFE" w14:textId="69A3522B" w:rsidR="00636389" w:rsidRPr="00852E0C" w:rsidRDefault="0063638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EIF</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Eiropas Investīciju fonds</w:t>
      </w:r>
    </w:p>
    <w:p w14:paraId="2CF7756D" w14:textId="77777777" w:rsidR="00161304"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EK</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Eiropas Komisija</w:t>
      </w:r>
    </w:p>
    <w:p w14:paraId="2C609DC8"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rPr>
        <w:t>ERAF</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r>
      <w:r w:rsidRPr="00852E0C">
        <w:rPr>
          <w:color w:val="000000" w:themeColor="text1"/>
          <w:szCs w:val="24"/>
          <w:lang w:eastAsia="x-none"/>
        </w:rPr>
        <w:t>Eiropas Reģionālās attīstības fonds</w:t>
      </w:r>
    </w:p>
    <w:p w14:paraId="1191CA91" w14:textId="77777777" w:rsidR="004560E9" w:rsidRPr="00852E0C" w:rsidRDefault="004560E9" w:rsidP="00352B55">
      <w:pPr>
        <w:tabs>
          <w:tab w:val="left" w:pos="1276"/>
          <w:tab w:val="left" w:pos="1418"/>
          <w:tab w:val="left" w:pos="2127"/>
        </w:tabs>
        <w:spacing w:before="0" w:after="0" w:line="276" w:lineRule="auto"/>
        <w:rPr>
          <w:color w:val="000000" w:themeColor="text1"/>
          <w:szCs w:val="24"/>
        </w:rPr>
      </w:pPr>
      <w:r w:rsidRPr="00852E0C">
        <w:rPr>
          <w:color w:val="000000" w:themeColor="text1"/>
          <w:szCs w:val="24"/>
        </w:rPr>
        <w:t>ES</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t>Eiropas Savienība</w:t>
      </w:r>
    </w:p>
    <w:p w14:paraId="2114C60A"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ESF</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Eiropas Sociālais fonds</w:t>
      </w:r>
    </w:p>
    <w:p w14:paraId="0DB23031" w14:textId="0FFD5821" w:rsidR="00CB0718"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color w:val="000000" w:themeColor="text1"/>
          <w:szCs w:val="24"/>
        </w:rPr>
        <w:t>ES fondi</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r>
      <w:r w:rsidR="00CB0718" w:rsidRPr="00852E0C">
        <w:rPr>
          <w:rFonts w:eastAsia="EUAlbertina-Bold-Identity-H"/>
          <w:color w:val="000000" w:themeColor="text1"/>
          <w:szCs w:val="24"/>
          <w:lang w:eastAsia="lv-LV"/>
        </w:rPr>
        <w:t xml:space="preserve">2007. – </w:t>
      </w:r>
      <w:r w:rsidRPr="00852E0C">
        <w:rPr>
          <w:rFonts w:eastAsia="EUAlbertina-Bold-Identity-H"/>
          <w:color w:val="000000" w:themeColor="text1"/>
          <w:szCs w:val="24"/>
          <w:lang w:eastAsia="lv-LV"/>
        </w:rPr>
        <w:t>2013.g. plānošanas perioda 1.mērķa</w:t>
      </w:r>
      <w:r w:rsidR="00A25547" w:rsidRPr="00852E0C">
        <w:rPr>
          <w:rStyle w:val="FootnoteReference"/>
          <w:rFonts w:eastAsia="EUAlbertina-Bold-Identity-H"/>
          <w:color w:val="000000" w:themeColor="text1"/>
          <w:szCs w:val="24"/>
          <w:lang w:eastAsia="lv-LV"/>
        </w:rPr>
        <w:footnoteReference w:id="1"/>
      </w:r>
      <w:r w:rsidRPr="00852E0C">
        <w:rPr>
          <w:rFonts w:eastAsia="EUAlbertina-Bold-Identity-H"/>
          <w:color w:val="000000" w:themeColor="text1"/>
          <w:szCs w:val="24"/>
          <w:lang w:eastAsia="lv-LV"/>
        </w:rPr>
        <w:t xml:space="preserve"> </w:t>
      </w:r>
      <w:r w:rsidR="00CB0718" w:rsidRPr="00852E0C">
        <w:rPr>
          <w:rFonts w:eastAsia="EUAlbertina-Bold-Identity-H"/>
          <w:color w:val="000000" w:themeColor="text1"/>
          <w:szCs w:val="24"/>
          <w:lang w:eastAsia="lv-LV"/>
        </w:rPr>
        <w:t>Eiropas Sociālais</w:t>
      </w:r>
    </w:p>
    <w:p w14:paraId="15CFEF42" w14:textId="36411722" w:rsidR="004560E9" w:rsidRPr="00852E0C" w:rsidRDefault="00CB0718"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 xml:space="preserve">fonds, </w:t>
      </w:r>
      <w:r w:rsidR="005458A4" w:rsidRPr="00852E0C">
        <w:rPr>
          <w:color w:val="000000" w:themeColor="text1"/>
          <w:szCs w:val="24"/>
          <w:lang w:eastAsia="x-none"/>
        </w:rPr>
        <w:t>Eiropas Reģionālās attīstības fonds</w:t>
      </w:r>
      <w:r w:rsidR="005458A4" w:rsidRPr="00852E0C">
        <w:rPr>
          <w:rFonts w:eastAsia="EUAlbertina-Bold-Identity-H"/>
          <w:color w:val="000000" w:themeColor="text1"/>
          <w:szCs w:val="24"/>
          <w:lang w:eastAsia="lv-LV"/>
        </w:rPr>
        <w:t xml:space="preserve"> </w:t>
      </w:r>
      <w:r w:rsidR="004560E9" w:rsidRPr="00852E0C">
        <w:rPr>
          <w:rFonts w:eastAsia="EUAlbertina-Bold-Identity-H"/>
          <w:color w:val="000000" w:themeColor="text1"/>
          <w:szCs w:val="24"/>
          <w:lang w:eastAsia="lv-LV"/>
        </w:rPr>
        <w:t>un</w:t>
      </w:r>
      <w:r w:rsidR="005458A4" w:rsidRPr="00852E0C">
        <w:rPr>
          <w:rFonts w:eastAsia="EUAlbertina-Bold-Identity-H"/>
          <w:color w:val="000000" w:themeColor="text1"/>
          <w:szCs w:val="24"/>
          <w:lang w:eastAsia="lv-LV"/>
        </w:rPr>
        <w:t xml:space="preserve"> </w:t>
      </w:r>
      <w:r w:rsidR="004560E9" w:rsidRPr="00852E0C">
        <w:rPr>
          <w:rFonts w:eastAsia="EUAlbertina-Bold-Identity-H"/>
          <w:color w:val="000000" w:themeColor="text1"/>
          <w:szCs w:val="24"/>
          <w:lang w:eastAsia="lv-LV"/>
        </w:rPr>
        <w:t>Kohēzijas fonds</w:t>
      </w:r>
    </w:p>
    <w:p w14:paraId="651A78FD"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EM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Ekonomikas ministrija</w:t>
      </w:r>
    </w:p>
    <w:p w14:paraId="43A05CB9"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FM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Finanšu ministrija</w:t>
      </w:r>
    </w:p>
    <w:p w14:paraId="7A1204BD" w14:textId="77777777" w:rsidR="002B4701" w:rsidRPr="00852E0C" w:rsidRDefault="002B4701"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IEM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Iekšlietu ministrija</w:t>
      </w:r>
    </w:p>
    <w:p w14:paraId="204CB734" w14:textId="77777777" w:rsidR="00D90FB0" w:rsidRPr="00852E0C" w:rsidRDefault="00D90FB0"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IKP</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Iekšzemes kopprodukts</w:t>
      </w:r>
      <w:r w:rsidRPr="00852E0C">
        <w:rPr>
          <w:rFonts w:eastAsia="EUAlbertina-Bold-Identity-H"/>
          <w:color w:val="000000" w:themeColor="text1"/>
          <w:szCs w:val="24"/>
          <w:lang w:eastAsia="lv-LV"/>
        </w:rPr>
        <w:tab/>
      </w:r>
    </w:p>
    <w:p w14:paraId="3A1D1923"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IKT</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color w:val="000000" w:themeColor="text1"/>
          <w:szCs w:val="24"/>
        </w:rPr>
        <w:t>Informācijas un komunikāciju tehnoloģijas</w:t>
      </w:r>
    </w:p>
    <w:p w14:paraId="095A25FD"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rFonts w:eastAsia="EUAlbertina-Bold-Identity-H"/>
          <w:color w:val="000000" w:themeColor="text1"/>
          <w:szCs w:val="24"/>
          <w:lang w:eastAsia="lv-LV"/>
        </w:rPr>
        <w:t>IZM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color w:val="000000" w:themeColor="text1"/>
          <w:szCs w:val="24"/>
          <w:lang w:eastAsia="x-none"/>
        </w:rPr>
        <w:t>Izglītības un zinātnes ministrija</w:t>
      </w:r>
    </w:p>
    <w:p w14:paraId="62701F51" w14:textId="4ABA003F"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KF</w:t>
      </w:r>
      <w:r w:rsidRPr="00852E0C">
        <w:rPr>
          <w:color w:val="000000" w:themeColor="text1"/>
          <w:szCs w:val="24"/>
          <w:lang w:eastAsia="x-none"/>
        </w:rPr>
        <w:tab/>
        <w:t xml:space="preserve">- </w:t>
      </w:r>
      <w:r w:rsidRPr="00852E0C">
        <w:rPr>
          <w:color w:val="000000" w:themeColor="text1"/>
          <w:szCs w:val="24"/>
          <w:lang w:eastAsia="x-none"/>
        </w:rPr>
        <w:tab/>
      </w:r>
      <w:r w:rsidRPr="00852E0C">
        <w:rPr>
          <w:color w:val="000000" w:themeColor="text1"/>
          <w:szCs w:val="24"/>
          <w:lang w:eastAsia="x-none"/>
        </w:rPr>
        <w:tab/>
        <w:t>Kohēzijas fonds</w:t>
      </w:r>
    </w:p>
    <w:p w14:paraId="026E606A" w14:textId="77777777" w:rsidR="006A1048" w:rsidRPr="00852E0C" w:rsidRDefault="006A1048"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color w:val="000000" w:themeColor="text1"/>
          <w:szCs w:val="24"/>
          <w:lang w:eastAsia="x-none"/>
        </w:rPr>
        <w:t>KM</w:t>
      </w:r>
      <w:r w:rsidRPr="00852E0C">
        <w:rPr>
          <w:color w:val="000000" w:themeColor="text1"/>
          <w:szCs w:val="24"/>
          <w:lang w:eastAsia="x-none"/>
        </w:rPr>
        <w:tab/>
        <w:t xml:space="preserve">- </w:t>
      </w:r>
      <w:r w:rsidRPr="00852E0C">
        <w:rPr>
          <w:color w:val="000000" w:themeColor="text1"/>
          <w:szCs w:val="24"/>
          <w:lang w:eastAsia="x-none"/>
        </w:rPr>
        <w:tab/>
      </w:r>
      <w:r w:rsidRPr="00852E0C">
        <w:rPr>
          <w:color w:val="000000" w:themeColor="text1"/>
          <w:szCs w:val="24"/>
          <w:lang w:eastAsia="x-none"/>
        </w:rPr>
        <w:tab/>
        <w:t>Kultūras ministrija</w:t>
      </w:r>
    </w:p>
    <w:p w14:paraId="5F756AE4"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rFonts w:eastAsia="EUAlbertina-Bold-Identity-H"/>
          <w:color w:val="000000" w:themeColor="text1"/>
          <w:szCs w:val="24"/>
          <w:lang w:eastAsia="lv-LV"/>
        </w:rPr>
        <w:t>LHZB</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Valsts akciju sabiedrība</w:t>
      </w:r>
      <w:r w:rsidR="000B4535" w:rsidRPr="00852E0C">
        <w:rPr>
          <w:rFonts w:eastAsia="EUAlbertina-Bold-Identity-H"/>
          <w:color w:val="000000" w:themeColor="text1"/>
          <w:szCs w:val="24"/>
          <w:lang w:eastAsia="lv-LV"/>
        </w:rPr>
        <w:t xml:space="preserve"> </w:t>
      </w:r>
      <w:r w:rsidR="00E15CBF" w:rsidRPr="00852E0C">
        <w:rPr>
          <w:rFonts w:eastAsia="EUAlbertina-Bold-Identity-H"/>
          <w:color w:val="000000" w:themeColor="text1"/>
          <w:szCs w:val="24"/>
          <w:lang w:eastAsia="lv-LV"/>
        </w:rPr>
        <w:t>„</w:t>
      </w:r>
      <w:r w:rsidRPr="00852E0C">
        <w:rPr>
          <w:color w:val="000000" w:themeColor="text1"/>
          <w:szCs w:val="24"/>
          <w:lang w:eastAsia="x-none"/>
        </w:rPr>
        <w:t>Latvijas Hipotēku un zemes banka</w:t>
      </w:r>
      <w:r w:rsidR="00E15CBF" w:rsidRPr="00852E0C">
        <w:rPr>
          <w:color w:val="000000" w:themeColor="text1"/>
          <w:szCs w:val="24"/>
          <w:lang w:eastAsia="x-none"/>
        </w:rPr>
        <w:t>”</w:t>
      </w:r>
    </w:p>
    <w:p w14:paraId="3692A95D"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color w:val="000000" w:themeColor="text1"/>
          <w:szCs w:val="24"/>
          <w:lang w:eastAsia="x-none"/>
        </w:rPr>
        <w:t>LIAA</w:t>
      </w:r>
      <w:r w:rsidRPr="00852E0C">
        <w:rPr>
          <w:color w:val="000000" w:themeColor="text1"/>
          <w:szCs w:val="24"/>
          <w:lang w:eastAsia="x-none"/>
        </w:rPr>
        <w:tab/>
        <w:t xml:space="preserve">- </w:t>
      </w:r>
      <w:r w:rsidRPr="00852E0C">
        <w:rPr>
          <w:color w:val="000000" w:themeColor="text1"/>
          <w:szCs w:val="24"/>
          <w:lang w:eastAsia="x-none"/>
        </w:rPr>
        <w:tab/>
      </w:r>
      <w:r w:rsidRPr="00852E0C">
        <w:rPr>
          <w:color w:val="000000" w:themeColor="text1"/>
          <w:szCs w:val="24"/>
          <w:lang w:eastAsia="x-none"/>
        </w:rPr>
        <w:tab/>
        <w:t>Valsts aģentūra</w:t>
      </w:r>
      <w:r w:rsidR="000B4535" w:rsidRPr="00852E0C">
        <w:rPr>
          <w:color w:val="000000" w:themeColor="text1"/>
          <w:szCs w:val="24"/>
          <w:lang w:eastAsia="x-none"/>
        </w:rPr>
        <w:t xml:space="preserve"> </w:t>
      </w:r>
      <w:r w:rsidR="00E15CBF" w:rsidRPr="00852E0C">
        <w:rPr>
          <w:color w:val="000000" w:themeColor="text1"/>
          <w:szCs w:val="24"/>
          <w:lang w:eastAsia="x-none"/>
        </w:rPr>
        <w:t>„</w:t>
      </w:r>
      <w:r w:rsidRPr="00852E0C">
        <w:rPr>
          <w:color w:val="000000" w:themeColor="text1"/>
          <w:szCs w:val="24"/>
        </w:rPr>
        <w:t>Latvijas Investīciju un attīstības aģentūra</w:t>
      </w:r>
      <w:r w:rsidR="00E15CBF" w:rsidRPr="00852E0C">
        <w:rPr>
          <w:color w:val="000000" w:themeColor="text1"/>
          <w:szCs w:val="24"/>
        </w:rPr>
        <w:t>”</w:t>
      </w:r>
    </w:p>
    <w:p w14:paraId="33781AEB"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LGA</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Sabiedrība ar ierobežotu atbildību</w:t>
      </w:r>
      <w:r w:rsidR="000B4535" w:rsidRPr="00852E0C">
        <w:rPr>
          <w:rFonts w:eastAsia="EUAlbertina-Bold-Identity-H"/>
          <w:color w:val="000000" w:themeColor="text1"/>
          <w:szCs w:val="24"/>
          <w:lang w:eastAsia="lv-LV"/>
        </w:rPr>
        <w:t xml:space="preserve"> </w:t>
      </w:r>
      <w:r w:rsidR="00E15CBF" w:rsidRPr="00852E0C">
        <w:rPr>
          <w:rFonts w:eastAsia="EUAlbertina-Bold-Identity-H"/>
          <w:color w:val="000000" w:themeColor="text1"/>
          <w:szCs w:val="24"/>
          <w:lang w:eastAsia="lv-LV"/>
        </w:rPr>
        <w:t>„</w:t>
      </w:r>
      <w:r w:rsidRPr="00852E0C">
        <w:rPr>
          <w:rFonts w:eastAsia="EUAlbertina-Bold-Identity-H"/>
          <w:color w:val="000000" w:themeColor="text1"/>
          <w:szCs w:val="24"/>
          <w:lang w:eastAsia="lv-LV"/>
        </w:rPr>
        <w:t xml:space="preserve">Latvijas </w:t>
      </w:r>
      <w:r w:rsidR="00931663" w:rsidRPr="00852E0C">
        <w:rPr>
          <w:rFonts w:eastAsia="EUAlbertina-Bold-Identity-H"/>
          <w:color w:val="000000" w:themeColor="text1"/>
          <w:szCs w:val="24"/>
          <w:lang w:eastAsia="lv-LV"/>
        </w:rPr>
        <w:t>G</w:t>
      </w:r>
      <w:r w:rsidRPr="00852E0C">
        <w:rPr>
          <w:rFonts w:eastAsia="EUAlbertina-Bold-Identity-H"/>
          <w:color w:val="000000" w:themeColor="text1"/>
          <w:szCs w:val="24"/>
          <w:lang w:eastAsia="lv-LV"/>
        </w:rPr>
        <w:t>arantiju aģentūra</w:t>
      </w:r>
      <w:r w:rsidR="00E15CBF" w:rsidRPr="00852E0C">
        <w:rPr>
          <w:rFonts w:eastAsia="EUAlbertina-Bold-Identity-H"/>
          <w:color w:val="000000" w:themeColor="text1"/>
          <w:szCs w:val="24"/>
          <w:lang w:eastAsia="lv-LV"/>
        </w:rPr>
        <w:t>”</w:t>
      </w:r>
      <w:r w:rsidRPr="00852E0C">
        <w:rPr>
          <w:rFonts w:eastAsia="EUAlbertina-Bold-Identity-H"/>
          <w:color w:val="000000" w:themeColor="text1"/>
          <w:szCs w:val="24"/>
          <w:lang w:eastAsia="lv-LV"/>
        </w:rPr>
        <w:t xml:space="preserve"> </w:t>
      </w:r>
    </w:p>
    <w:p w14:paraId="25B1FD46" w14:textId="512DEAC7" w:rsidR="000F74ED" w:rsidRPr="00852E0C" w:rsidRDefault="004560E9" w:rsidP="00352B55">
      <w:pPr>
        <w:tabs>
          <w:tab w:val="left" w:pos="1276"/>
          <w:tab w:val="left" w:pos="1418"/>
          <w:tab w:val="left" w:pos="2127"/>
          <w:tab w:val="left" w:pos="5556"/>
        </w:tabs>
        <w:spacing w:before="0" w:after="0" w:line="276" w:lineRule="auto"/>
        <w:rPr>
          <w:color w:val="000000" w:themeColor="text1"/>
          <w:szCs w:val="24"/>
          <w:lang w:eastAsia="x-none"/>
        </w:rPr>
      </w:pPr>
      <w:r w:rsidRPr="00852E0C">
        <w:rPr>
          <w:rFonts w:eastAsia="EUAlbertina-Bold-Identity-H"/>
          <w:color w:val="000000" w:themeColor="text1"/>
          <w:szCs w:val="24"/>
          <w:lang w:eastAsia="lv-LV"/>
        </w:rPr>
        <w:t>LM</w:t>
      </w:r>
      <w:r w:rsidRPr="00852E0C">
        <w:rPr>
          <w:rFonts w:eastAsia="EUAlbertina-Bold-Identity-H"/>
          <w:color w:val="000000" w:themeColor="text1"/>
          <w:szCs w:val="24"/>
          <w:lang w:eastAsia="lv-LV"/>
        </w:rPr>
        <w:tab/>
        <w:t>-</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color w:val="000000" w:themeColor="text1"/>
          <w:szCs w:val="24"/>
          <w:lang w:eastAsia="x-none"/>
        </w:rPr>
        <w:t>Labklājības ministrija</w:t>
      </w:r>
      <w:r w:rsidR="00477701" w:rsidRPr="00852E0C">
        <w:rPr>
          <w:color w:val="000000" w:themeColor="text1"/>
          <w:szCs w:val="24"/>
          <w:lang w:eastAsia="x-none"/>
        </w:rPr>
        <w:tab/>
      </w:r>
    </w:p>
    <w:p w14:paraId="466CBF66" w14:textId="384E1FD3"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 xml:space="preserve">MK </w:t>
      </w:r>
      <w:r w:rsidRPr="00852E0C">
        <w:rPr>
          <w:color w:val="000000" w:themeColor="text1"/>
          <w:szCs w:val="24"/>
          <w:lang w:eastAsia="x-none"/>
        </w:rPr>
        <w:tab/>
        <w:t>-</w:t>
      </w:r>
      <w:r w:rsidRPr="00852E0C">
        <w:rPr>
          <w:color w:val="000000" w:themeColor="text1"/>
          <w:szCs w:val="24"/>
          <w:lang w:eastAsia="x-none"/>
        </w:rPr>
        <w:tab/>
        <w:t xml:space="preserve"> </w:t>
      </w:r>
      <w:r w:rsidRPr="00852E0C">
        <w:rPr>
          <w:color w:val="000000" w:themeColor="text1"/>
          <w:szCs w:val="24"/>
          <w:lang w:eastAsia="x-none"/>
        </w:rPr>
        <w:tab/>
        <w:t>Ministru kabinets</w:t>
      </w:r>
    </w:p>
    <w:p w14:paraId="2B46AD50" w14:textId="02E9C8FD" w:rsidR="0027624C" w:rsidRPr="00852E0C" w:rsidRDefault="0027624C"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NAP</w:t>
      </w:r>
      <w:r w:rsidRPr="00852E0C">
        <w:rPr>
          <w:color w:val="000000" w:themeColor="text1"/>
          <w:szCs w:val="24"/>
          <w:lang w:eastAsia="x-none"/>
        </w:rPr>
        <w:tab/>
        <w:t>-</w:t>
      </w:r>
      <w:r w:rsidRPr="00852E0C">
        <w:rPr>
          <w:color w:val="000000" w:themeColor="text1"/>
          <w:szCs w:val="24"/>
          <w:lang w:eastAsia="x-none"/>
        </w:rPr>
        <w:tab/>
      </w:r>
      <w:r w:rsidRPr="00852E0C">
        <w:rPr>
          <w:color w:val="000000" w:themeColor="text1"/>
          <w:szCs w:val="24"/>
          <w:lang w:eastAsia="x-none"/>
        </w:rPr>
        <w:tab/>
      </w:r>
      <w:r w:rsidRPr="00852E0C">
        <w:rPr>
          <w:bCs/>
          <w:color w:val="000000" w:themeColor="text1"/>
          <w:szCs w:val="24"/>
        </w:rPr>
        <w:t>Nacionālais attīstības plāns 2014. – 2020.gadam</w:t>
      </w:r>
    </w:p>
    <w:p w14:paraId="1F402D40"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NVA</w:t>
      </w:r>
      <w:r w:rsidRPr="00852E0C">
        <w:rPr>
          <w:color w:val="000000" w:themeColor="text1"/>
          <w:szCs w:val="24"/>
          <w:lang w:eastAsia="x-none"/>
        </w:rPr>
        <w:tab/>
        <w:t>-</w:t>
      </w:r>
      <w:r w:rsidRPr="00852E0C">
        <w:rPr>
          <w:color w:val="000000" w:themeColor="text1"/>
          <w:szCs w:val="24"/>
          <w:lang w:eastAsia="x-none"/>
        </w:rPr>
        <w:tab/>
      </w:r>
      <w:r w:rsidRPr="00852E0C">
        <w:rPr>
          <w:color w:val="000000" w:themeColor="text1"/>
          <w:szCs w:val="24"/>
          <w:lang w:eastAsia="x-none"/>
        </w:rPr>
        <w:tab/>
        <w:t>Nodarbinātības valsts aģentūra</w:t>
      </w:r>
    </w:p>
    <w:p w14:paraId="7C14B9C0"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NVO</w:t>
      </w:r>
      <w:r w:rsidRPr="00852E0C">
        <w:rPr>
          <w:color w:val="000000" w:themeColor="text1"/>
          <w:szCs w:val="24"/>
          <w:lang w:eastAsia="x-none"/>
        </w:rPr>
        <w:tab/>
        <w:t xml:space="preserve">- </w:t>
      </w:r>
      <w:r w:rsidRPr="00852E0C">
        <w:rPr>
          <w:color w:val="000000" w:themeColor="text1"/>
          <w:szCs w:val="24"/>
          <w:lang w:eastAsia="x-none"/>
        </w:rPr>
        <w:tab/>
      </w:r>
      <w:r w:rsidRPr="00852E0C">
        <w:rPr>
          <w:color w:val="000000" w:themeColor="text1"/>
          <w:szCs w:val="24"/>
          <w:lang w:eastAsia="x-none"/>
        </w:rPr>
        <w:tab/>
        <w:t>Nevalstiskā organizācija</w:t>
      </w:r>
    </w:p>
    <w:p w14:paraId="42270238" w14:textId="77777777" w:rsidR="00F139BD" w:rsidRPr="00852E0C" w:rsidRDefault="00F139BD"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color w:val="000000" w:themeColor="text1"/>
          <w:szCs w:val="24"/>
          <w:lang w:eastAsia="x-none"/>
        </w:rPr>
        <w:t>PKC</w:t>
      </w:r>
      <w:r w:rsidRPr="00852E0C">
        <w:rPr>
          <w:color w:val="000000" w:themeColor="text1"/>
          <w:szCs w:val="24"/>
          <w:lang w:eastAsia="x-none"/>
        </w:rPr>
        <w:tab/>
        <w:t>-</w:t>
      </w:r>
      <w:r w:rsidRPr="00852E0C">
        <w:rPr>
          <w:color w:val="000000" w:themeColor="text1"/>
          <w:szCs w:val="24"/>
          <w:lang w:eastAsia="x-none"/>
        </w:rPr>
        <w:tab/>
      </w:r>
      <w:r w:rsidRPr="00852E0C">
        <w:rPr>
          <w:color w:val="000000" w:themeColor="text1"/>
          <w:szCs w:val="24"/>
          <w:lang w:eastAsia="x-none"/>
        </w:rPr>
        <w:tab/>
      </w:r>
      <w:proofErr w:type="spellStart"/>
      <w:r w:rsidRPr="00852E0C">
        <w:rPr>
          <w:rFonts w:eastAsia="EUAlbertina-Bold-Identity-H"/>
          <w:color w:val="000000" w:themeColor="text1"/>
          <w:szCs w:val="24"/>
          <w:lang w:eastAsia="lv-LV"/>
        </w:rPr>
        <w:t>Pārresoru</w:t>
      </w:r>
      <w:proofErr w:type="spellEnd"/>
      <w:r w:rsidRPr="00852E0C">
        <w:rPr>
          <w:rFonts w:eastAsia="EUAlbertina-Bold-Identity-H"/>
          <w:color w:val="000000" w:themeColor="text1"/>
          <w:szCs w:val="24"/>
          <w:lang w:eastAsia="lv-LV"/>
        </w:rPr>
        <w:t xml:space="preserve"> Koordinācijas centrs</w:t>
      </w:r>
    </w:p>
    <w:p w14:paraId="6D8D07C4" w14:textId="77777777" w:rsidR="00B44D0E" w:rsidRPr="00852E0C" w:rsidRDefault="002F3300" w:rsidP="00352B55">
      <w:pPr>
        <w:tabs>
          <w:tab w:val="left" w:pos="1276"/>
          <w:tab w:val="left" w:pos="2694"/>
          <w:tab w:val="left" w:pos="3261"/>
        </w:tabs>
        <w:spacing w:before="0" w:after="0" w:line="276" w:lineRule="auto"/>
        <w:rPr>
          <w:color w:val="000000" w:themeColor="text1"/>
          <w:szCs w:val="24"/>
          <w:lang w:eastAsia="x-none"/>
        </w:rPr>
      </w:pPr>
      <w:r w:rsidRPr="00852E0C">
        <w:rPr>
          <w:color w:val="000000" w:themeColor="text1"/>
          <w:szCs w:val="24"/>
          <w:lang w:eastAsia="x-none"/>
        </w:rPr>
        <w:lastRenderedPageBreak/>
        <w:t>Programma</w:t>
      </w:r>
      <w:r w:rsidR="00B44D0E" w:rsidRPr="00852E0C">
        <w:rPr>
          <w:color w:val="000000" w:themeColor="text1"/>
          <w:szCs w:val="24"/>
          <w:lang w:eastAsia="x-none"/>
        </w:rPr>
        <w:t xml:space="preserve"> 80.00.00.</w:t>
      </w:r>
      <w:r w:rsidR="00B44D0E" w:rsidRPr="00852E0C">
        <w:rPr>
          <w:color w:val="000000" w:themeColor="text1"/>
          <w:szCs w:val="24"/>
          <w:lang w:eastAsia="x-none"/>
        </w:rPr>
        <w:tab/>
      </w:r>
      <w:r w:rsidRPr="00852E0C">
        <w:rPr>
          <w:color w:val="000000" w:themeColor="text1"/>
          <w:szCs w:val="24"/>
          <w:lang w:eastAsia="x-none"/>
        </w:rPr>
        <w:t>-</w:t>
      </w:r>
      <w:r w:rsidRPr="00852E0C">
        <w:rPr>
          <w:color w:val="000000" w:themeColor="text1"/>
          <w:szCs w:val="24"/>
          <w:lang w:eastAsia="x-none"/>
        </w:rPr>
        <w:tab/>
        <w:t xml:space="preserve">„Gadskārtējā </w:t>
      </w:r>
      <w:r w:rsidR="00B44D0E" w:rsidRPr="00852E0C">
        <w:rPr>
          <w:color w:val="000000" w:themeColor="text1"/>
          <w:szCs w:val="24"/>
          <w:lang w:eastAsia="x-none"/>
        </w:rPr>
        <w:t>valsts budžeta izpildes procesā</w:t>
      </w:r>
    </w:p>
    <w:p w14:paraId="566FD9D8" w14:textId="77777777" w:rsidR="00B44D0E" w:rsidRPr="00852E0C" w:rsidRDefault="00B44D0E" w:rsidP="00352B55">
      <w:pPr>
        <w:tabs>
          <w:tab w:val="left" w:pos="1276"/>
          <w:tab w:val="left" w:pos="2694"/>
          <w:tab w:val="left" w:pos="3261"/>
        </w:tabs>
        <w:spacing w:before="0" w:after="0" w:line="276" w:lineRule="auto"/>
        <w:rPr>
          <w:color w:val="000000" w:themeColor="text1"/>
          <w:szCs w:val="24"/>
        </w:rPr>
      </w:pPr>
      <w:r w:rsidRPr="00852E0C">
        <w:rPr>
          <w:color w:val="000000" w:themeColor="text1"/>
          <w:szCs w:val="24"/>
          <w:lang w:eastAsia="x-none"/>
        </w:rPr>
        <w:tab/>
      </w:r>
      <w:r w:rsidRPr="00852E0C">
        <w:rPr>
          <w:color w:val="000000" w:themeColor="text1"/>
          <w:szCs w:val="24"/>
          <w:lang w:eastAsia="x-none"/>
        </w:rPr>
        <w:tab/>
      </w:r>
      <w:r w:rsidRPr="00852E0C">
        <w:rPr>
          <w:color w:val="000000" w:themeColor="text1"/>
          <w:szCs w:val="24"/>
          <w:lang w:eastAsia="x-none"/>
        </w:rPr>
        <w:tab/>
      </w:r>
      <w:r w:rsidR="002F3300" w:rsidRPr="00852E0C">
        <w:rPr>
          <w:color w:val="000000" w:themeColor="text1"/>
          <w:szCs w:val="24"/>
          <w:lang w:eastAsia="x-none"/>
        </w:rPr>
        <w:t>pārdalāmais</w:t>
      </w:r>
      <w:r w:rsidR="002F3300" w:rsidRPr="00852E0C">
        <w:rPr>
          <w:color w:val="000000" w:themeColor="text1"/>
          <w:szCs w:val="24"/>
        </w:rPr>
        <w:t xml:space="preserve"> </w:t>
      </w:r>
      <w:r w:rsidRPr="00852E0C">
        <w:rPr>
          <w:color w:val="000000" w:themeColor="text1"/>
          <w:szCs w:val="24"/>
        </w:rPr>
        <w:t>finansējums” programmu 80.00.00</w:t>
      </w:r>
    </w:p>
    <w:p w14:paraId="1C052630" w14:textId="77777777" w:rsidR="00B44D0E" w:rsidRPr="00852E0C" w:rsidRDefault="00B44D0E" w:rsidP="00352B55">
      <w:pPr>
        <w:tabs>
          <w:tab w:val="left" w:pos="1276"/>
          <w:tab w:val="left" w:pos="2694"/>
          <w:tab w:val="left" w:pos="3261"/>
        </w:tabs>
        <w:spacing w:before="0" w:after="0" w:line="276" w:lineRule="auto"/>
        <w:rPr>
          <w:color w:val="000000" w:themeColor="text1"/>
          <w:szCs w:val="24"/>
        </w:rPr>
      </w:pPr>
      <w:r w:rsidRPr="00852E0C">
        <w:rPr>
          <w:color w:val="000000" w:themeColor="text1"/>
          <w:szCs w:val="24"/>
        </w:rPr>
        <w:tab/>
      </w:r>
      <w:r w:rsidRPr="00852E0C">
        <w:rPr>
          <w:color w:val="000000" w:themeColor="text1"/>
          <w:szCs w:val="24"/>
        </w:rPr>
        <w:tab/>
      </w:r>
      <w:r w:rsidRPr="00852E0C">
        <w:rPr>
          <w:color w:val="000000" w:themeColor="text1"/>
          <w:szCs w:val="24"/>
        </w:rPr>
        <w:tab/>
      </w:r>
      <w:r w:rsidR="002F3300" w:rsidRPr="00852E0C">
        <w:rPr>
          <w:color w:val="000000" w:themeColor="text1"/>
          <w:szCs w:val="24"/>
        </w:rPr>
        <w:t>„Nesadalītais finansēj</w:t>
      </w:r>
      <w:r w:rsidRPr="00852E0C">
        <w:rPr>
          <w:color w:val="000000" w:themeColor="text1"/>
          <w:szCs w:val="24"/>
        </w:rPr>
        <w:t>ums Eiropas Savienības politiku</w:t>
      </w:r>
    </w:p>
    <w:p w14:paraId="0C96B670" w14:textId="77777777" w:rsidR="00B44D0E" w:rsidRPr="00852E0C" w:rsidRDefault="00B44D0E" w:rsidP="00352B55">
      <w:pPr>
        <w:tabs>
          <w:tab w:val="left" w:pos="1276"/>
          <w:tab w:val="left" w:pos="2694"/>
          <w:tab w:val="left" w:pos="3261"/>
        </w:tabs>
        <w:spacing w:before="0" w:after="0" w:line="276" w:lineRule="auto"/>
        <w:rPr>
          <w:color w:val="000000" w:themeColor="text1"/>
          <w:szCs w:val="24"/>
        </w:rPr>
      </w:pPr>
      <w:r w:rsidRPr="00852E0C">
        <w:rPr>
          <w:color w:val="000000" w:themeColor="text1"/>
          <w:szCs w:val="24"/>
        </w:rPr>
        <w:tab/>
      </w:r>
      <w:r w:rsidRPr="00852E0C">
        <w:rPr>
          <w:color w:val="000000" w:themeColor="text1"/>
          <w:szCs w:val="24"/>
        </w:rPr>
        <w:tab/>
      </w:r>
      <w:r w:rsidRPr="00852E0C">
        <w:rPr>
          <w:color w:val="000000" w:themeColor="text1"/>
          <w:szCs w:val="24"/>
        </w:rPr>
        <w:tab/>
      </w:r>
      <w:r w:rsidR="002F3300" w:rsidRPr="00852E0C">
        <w:rPr>
          <w:color w:val="000000" w:themeColor="text1"/>
          <w:szCs w:val="24"/>
        </w:rPr>
        <w:t>instrumentu un pārē</w:t>
      </w:r>
      <w:r w:rsidRPr="00852E0C">
        <w:rPr>
          <w:color w:val="000000" w:themeColor="text1"/>
          <w:szCs w:val="24"/>
        </w:rPr>
        <w:t>jās ārvalstu finanšu palīdzības</w:t>
      </w:r>
    </w:p>
    <w:p w14:paraId="0CE1A69B" w14:textId="77777777" w:rsidR="002F3300" w:rsidRPr="00852E0C" w:rsidRDefault="00B44D0E" w:rsidP="00352B55">
      <w:pPr>
        <w:tabs>
          <w:tab w:val="left" w:pos="1276"/>
          <w:tab w:val="left" w:pos="2694"/>
          <w:tab w:val="left" w:pos="3261"/>
        </w:tabs>
        <w:spacing w:before="0" w:after="0" w:line="276" w:lineRule="auto"/>
        <w:rPr>
          <w:color w:val="000000" w:themeColor="text1"/>
          <w:szCs w:val="24"/>
          <w:lang w:eastAsia="x-none"/>
        </w:rPr>
      </w:pPr>
      <w:r w:rsidRPr="00852E0C">
        <w:rPr>
          <w:color w:val="000000" w:themeColor="text1"/>
          <w:szCs w:val="24"/>
        </w:rPr>
        <w:tab/>
      </w:r>
      <w:r w:rsidRPr="00852E0C">
        <w:rPr>
          <w:color w:val="000000" w:themeColor="text1"/>
          <w:szCs w:val="24"/>
        </w:rPr>
        <w:tab/>
      </w:r>
      <w:r w:rsidRPr="00852E0C">
        <w:rPr>
          <w:color w:val="000000" w:themeColor="text1"/>
          <w:szCs w:val="24"/>
        </w:rPr>
        <w:tab/>
      </w:r>
      <w:r w:rsidR="002F3300" w:rsidRPr="00852E0C">
        <w:rPr>
          <w:color w:val="000000" w:themeColor="text1"/>
          <w:szCs w:val="24"/>
        </w:rPr>
        <w:t>līdzfinansēto projektu un pasākumu īstenošanai”</w:t>
      </w:r>
    </w:p>
    <w:p w14:paraId="08F5A50D" w14:textId="33248AE1" w:rsidR="004B7FB7" w:rsidRPr="00852E0C" w:rsidRDefault="004B7FB7"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PPIV</w:t>
      </w:r>
      <w:r w:rsidRPr="00852E0C">
        <w:rPr>
          <w:color w:val="000000" w:themeColor="text1"/>
          <w:szCs w:val="24"/>
          <w:lang w:eastAsia="x-none"/>
        </w:rPr>
        <w:tab/>
        <w:t>-</w:t>
      </w:r>
      <w:r w:rsidRPr="00852E0C">
        <w:rPr>
          <w:color w:val="000000" w:themeColor="text1"/>
          <w:szCs w:val="24"/>
          <w:lang w:eastAsia="x-none"/>
        </w:rPr>
        <w:tab/>
      </w:r>
      <w:r w:rsidRPr="00852E0C">
        <w:rPr>
          <w:color w:val="000000" w:themeColor="text1"/>
          <w:szCs w:val="24"/>
          <w:lang w:eastAsia="x-none"/>
        </w:rPr>
        <w:tab/>
      </w:r>
      <w:r w:rsidRPr="00852E0C">
        <w:rPr>
          <w:bCs/>
          <w:color w:val="000000" w:themeColor="text1"/>
          <w:szCs w:val="24"/>
        </w:rPr>
        <w:t>Pārbaudes projektu īstenošanas vietās</w:t>
      </w:r>
    </w:p>
    <w:p w14:paraId="47C13976" w14:textId="77777777" w:rsidR="003361E1" w:rsidRPr="00852E0C" w:rsidRDefault="003361E1"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PVN</w:t>
      </w:r>
      <w:r w:rsidRPr="00852E0C">
        <w:rPr>
          <w:color w:val="000000" w:themeColor="text1"/>
          <w:szCs w:val="24"/>
          <w:lang w:eastAsia="x-none"/>
        </w:rPr>
        <w:tab/>
        <w:t>-</w:t>
      </w:r>
      <w:r w:rsidRPr="00852E0C">
        <w:rPr>
          <w:color w:val="000000" w:themeColor="text1"/>
          <w:szCs w:val="24"/>
          <w:lang w:eastAsia="x-none"/>
        </w:rPr>
        <w:tab/>
      </w:r>
      <w:r w:rsidRPr="00852E0C">
        <w:rPr>
          <w:color w:val="000000" w:themeColor="text1"/>
          <w:szCs w:val="24"/>
          <w:lang w:eastAsia="x-none"/>
        </w:rPr>
        <w:tab/>
        <w:t>Pievienotās vērtības nodoklis</w:t>
      </w:r>
    </w:p>
    <w:p w14:paraId="5AC643B3"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color w:val="000000" w:themeColor="text1"/>
          <w:szCs w:val="24"/>
          <w:lang w:eastAsia="x-none"/>
        </w:rPr>
        <w:t>RI</w:t>
      </w:r>
      <w:r w:rsidRPr="00852E0C">
        <w:rPr>
          <w:color w:val="000000" w:themeColor="text1"/>
          <w:szCs w:val="24"/>
          <w:lang w:eastAsia="x-none"/>
        </w:rPr>
        <w:tab/>
        <w:t>-</w:t>
      </w:r>
      <w:r w:rsidRPr="00852E0C">
        <w:rPr>
          <w:color w:val="000000" w:themeColor="text1"/>
          <w:szCs w:val="24"/>
          <w:lang w:eastAsia="x-none"/>
        </w:rPr>
        <w:tab/>
      </w:r>
      <w:r w:rsidRPr="00852E0C">
        <w:rPr>
          <w:color w:val="000000" w:themeColor="text1"/>
          <w:szCs w:val="24"/>
          <w:lang w:eastAsia="x-none"/>
        </w:rPr>
        <w:tab/>
        <w:t>ES fondu revīzijas iestāde</w:t>
      </w:r>
    </w:p>
    <w:p w14:paraId="03201015" w14:textId="77777777" w:rsidR="004560E9" w:rsidRPr="00852E0C" w:rsidRDefault="004560E9" w:rsidP="00352B55">
      <w:pPr>
        <w:tabs>
          <w:tab w:val="left" w:pos="2694"/>
          <w:tab w:val="left" w:pos="3261"/>
        </w:tabs>
        <w:spacing w:before="0" w:after="0" w:line="276" w:lineRule="auto"/>
        <w:rPr>
          <w:color w:val="000000" w:themeColor="text1"/>
          <w:szCs w:val="24"/>
          <w:lang w:eastAsia="x-none"/>
        </w:rPr>
      </w:pPr>
      <w:r w:rsidRPr="00852E0C">
        <w:rPr>
          <w:color w:val="000000" w:themeColor="text1"/>
          <w:szCs w:val="24"/>
          <w:lang w:eastAsia="x-none"/>
        </w:rPr>
        <w:t>Saprašanās memorands</w:t>
      </w:r>
      <w:r w:rsidRPr="00852E0C">
        <w:rPr>
          <w:color w:val="000000" w:themeColor="text1"/>
          <w:szCs w:val="24"/>
          <w:lang w:eastAsia="x-none"/>
        </w:rPr>
        <w:tab/>
        <w:t xml:space="preserve">- </w:t>
      </w:r>
      <w:r w:rsidRPr="00852E0C">
        <w:rPr>
          <w:color w:val="000000" w:themeColor="text1"/>
          <w:szCs w:val="24"/>
          <w:lang w:eastAsia="x-none"/>
        </w:rPr>
        <w:tab/>
        <w:t>2009.gada 28.janvāra Saprašanās memorands starp</w:t>
      </w:r>
    </w:p>
    <w:p w14:paraId="0015B83F" w14:textId="77777777" w:rsidR="004560E9" w:rsidRPr="00852E0C" w:rsidRDefault="004560E9" w:rsidP="00352B55">
      <w:pPr>
        <w:tabs>
          <w:tab w:val="left" w:pos="2694"/>
          <w:tab w:val="left" w:pos="3261"/>
        </w:tabs>
        <w:spacing w:before="0" w:after="0" w:line="276" w:lineRule="auto"/>
        <w:rPr>
          <w:color w:val="000000" w:themeColor="text1"/>
          <w:szCs w:val="24"/>
          <w:lang w:eastAsia="x-none"/>
        </w:rPr>
      </w:pPr>
      <w:r w:rsidRPr="00852E0C">
        <w:rPr>
          <w:color w:val="000000" w:themeColor="text1"/>
          <w:szCs w:val="24"/>
          <w:lang w:eastAsia="x-none"/>
        </w:rPr>
        <w:tab/>
      </w:r>
      <w:r w:rsidRPr="00852E0C">
        <w:rPr>
          <w:color w:val="000000" w:themeColor="text1"/>
          <w:szCs w:val="24"/>
          <w:lang w:eastAsia="x-none"/>
        </w:rPr>
        <w:tab/>
        <w:t>Eiropas Kopienu un Latvijas Republiku un tā</w:t>
      </w:r>
    </w:p>
    <w:p w14:paraId="5C49E85C" w14:textId="77777777" w:rsidR="004560E9" w:rsidRPr="00852E0C" w:rsidRDefault="004560E9" w:rsidP="00352B55">
      <w:pPr>
        <w:tabs>
          <w:tab w:val="left" w:pos="2694"/>
          <w:tab w:val="left" w:pos="3261"/>
        </w:tabs>
        <w:spacing w:before="0" w:after="0" w:line="276" w:lineRule="auto"/>
        <w:rPr>
          <w:color w:val="000000" w:themeColor="text1"/>
          <w:szCs w:val="24"/>
          <w:lang w:eastAsia="x-none"/>
        </w:rPr>
      </w:pPr>
      <w:r w:rsidRPr="00852E0C">
        <w:rPr>
          <w:color w:val="000000" w:themeColor="text1"/>
          <w:szCs w:val="24"/>
          <w:lang w:eastAsia="x-none"/>
        </w:rPr>
        <w:tab/>
      </w:r>
      <w:r w:rsidRPr="00852E0C">
        <w:rPr>
          <w:color w:val="000000" w:themeColor="text1"/>
          <w:szCs w:val="24"/>
          <w:lang w:eastAsia="x-none"/>
        </w:rPr>
        <w:tab/>
        <w:t>papildinājumi</w:t>
      </w:r>
    </w:p>
    <w:p w14:paraId="1A63E6FD"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SM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Satiksmes ministrija</w:t>
      </w:r>
    </w:p>
    <w:p w14:paraId="05A12B17"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SI </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00931663" w:rsidRPr="00852E0C">
        <w:rPr>
          <w:rFonts w:eastAsia="EUAlbertina-Bold-Identity-H"/>
          <w:color w:val="000000" w:themeColor="text1"/>
          <w:szCs w:val="24"/>
          <w:lang w:eastAsia="lv-LV"/>
        </w:rPr>
        <w:t>ES fondu s</w:t>
      </w:r>
      <w:r w:rsidRPr="00852E0C">
        <w:rPr>
          <w:rFonts w:eastAsia="EUAlbertina-Bold-Identity-H"/>
          <w:color w:val="000000" w:themeColor="text1"/>
          <w:szCs w:val="24"/>
          <w:lang w:eastAsia="lv-LV"/>
        </w:rPr>
        <w:t>adarbības iestāde</w:t>
      </w:r>
    </w:p>
    <w:p w14:paraId="12FEC728" w14:textId="77777777" w:rsidR="00B0411C" w:rsidRPr="00852E0C" w:rsidRDefault="00B0411C"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SIA</w:t>
      </w:r>
      <w:r w:rsidRPr="00852E0C">
        <w:rPr>
          <w:rFonts w:eastAsia="EUAlbertina-Bold-Identity-H"/>
          <w:color w:val="000000" w:themeColor="text1"/>
          <w:szCs w:val="24"/>
          <w:lang w:eastAsia="lv-LV"/>
        </w:rPr>
        <w:tab/>
        <w:t>-</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Sabiedrība ar ierobežotu atbildību</w:t>
      </w:r>
    </w:p>
    <w:p w14:paraId="532B0D0A" w14:textId="77777777" w:rsidR="00F90AE7" w:rsidRPr="00852E0C" w:rsidRDefault="00F90AE7" w:rsidP="00352B55">
      <w:pPr>
        <w:tabs>
          <w:tab w:val="left" w:pos="1276"/>
          <w:tab w:val="left" w:pos="1418"/>
          <w:tab w:val="left" w:pos="2127"/>
        </w:tabs>
        <w:spacing w:before="0" w:after="0" w:line="276" w:lineRule="auto"/>
        <w:rPr>
          <w:color w:val="000000" w:themeColor="text1"/>
          <w:szCs w:val="24"/>
        </w:rPr>
      </w:pPr>
      <w:r w:rsidRPr="00852E0C">
        <w:rPr>
          <w:rFonts w:eastAsia="EUAlbertina-Bold-Identity-H"/>
          <w:color w:val="000000" w:themeColor="text1"/>
          <w:szCs w:val="24"/>
          <w:lang w:eastAsia="lv-LV"/>
        </w:rPr>
        <w:t>SIF</w:t>
      </w:r>
      <w:r w:rsidRPr="00852E0C">
        <w:rPr>
          <w:rFonts w:eastAsia="EUAlbertina-Bold-Identity-H"/>
          <w:color w:val="000000" w:themeColor="text1"/>
          <w:szCs w:val="24"/>
          <w:lang w:eastAsia="lv-LV"/>
        </w:rPr>
        <w:tab/>
        <w:t>-</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color w:val="000000" w:themeColor="text1"/>
          <w:szCs w:val="24"/>
        </w:rPr>
        <w:t>Sabiedrības integrācijas fonds</w:t>
      </w:r>
    </w:p>
    <w:p w14:paraId="35A02BB9" w14:textId="77777777" w:rsidR="004560E9" w:rsidRPr="00852E0C" w:rsidRDefault="004560E9" w:rsidP="00352B55">
      <w:pPr>
        <w:tabs>
          <w:tab w:val="left" w:pos="2694"/>
          <w:tab w:val="left" w:pos="3261"/>
        </w:tabs>
        <w:spacing w:before="0" w:after="0" w:line="276" w:lineRule="auto"/>
        <w:rPr>
          <w:color w:val="000000" w:themeColor="text1"/>
          <w:szCs w:val="24"/>
          <w:lang w:eastAsia="x-none"/>
        </w:rPr>
      </w:pPr>
      <w:r w:rsidRPr="00852E0C">
        <w:rPr>
          <w:color w:val="000000" w:themeColor="text1"/>
          <w:szCs w:val="24"/>
          <w:lang w:eastAsia="x-none"/>
        </w:rPr>
        <w:t xml:space="preserve">Šveices programma </w:t>
      </w:r>
      <w:r w:rsidRPr="00852E0C">
        <w:rPr>
          <w:color w:val="000000" w:themeColor="text1"/>
          <w:szCs w:val="24"/>
          <w:lang w:eastAsia="x-none"/>
        </w:rPr>
        <w:tab/>
        <w:t>-</w:t>
      </w:r>
      <w:r w:rsidRPr="00852E0C">
        <w:rPr>
          <w:color w:val="000000" w:themeColor="text1"/>
          <w:szCs w:val="24"/>
          <w:lang w:eastAsia="x-none"/>
        </w:rPr>
        <w:tab/>
        <w:t>Latvijas un Šveices sadarbības programma</w:t>
      </w:r>
    </w:p>
    <w:p w14:paraId="5CBA320B"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TM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Tieslietu ministrija</w:t>
      </w:r>
    </w:p>
    <w:p w14:paraId="6E1EC807" w14:textId="77777777" w:rsidR="004E52A5" w:rsidRPr="00852E0C" w:rsidRDefault="004560E9" w:rsidP="00352B55">
      <w:pPr>
        <w:tabs>
          <w:tab w:val="left" w:pos="1276"/>
          <w:tab w:val="left" w:pos="1418"/>
          <w:tab w:val="left" w:pos="2127"/>
        </w:tabs>
        <w:spacing w:before="0" w:after="0" w:line="276" w:lineRule="auto"/>
        <w:rPr>
          <w:color w:val="000000" w:themeColor="text1"/>
          <w:szCs w:val="24"/>
        </w:rPr>
      </w:pPr>
      <w:r w:rsidRPr="00852E0C">
        <w:rPr>
          <w:rFonts w:eastAsia="EUAlbertina-Bold-Identity-H"/>
          <w:color w:val="000000" w:themeColor="text1"/>
          <w:szCs w:val="24"/>
          <w:lang w:eastAsia="lv-LV"/>
        </w:rPr>
        <w:t>TP</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00CE4FFF" w:rsidRPr="00852E0C">
        <w:rPr>
          <w:color w:val="000000" w:themeColor="text1"/>
          <w:szCs w:val="24"/>
        </w:rPr>
        <w:t>ES fondu tehniskā palīdzība</w:t>
      </w:r>
      <w:r w:rsidR="00E53B2B" w:rsidRPr="00852E0C">
        <w:rPr>
          <w:color w:val="000000" w:themeColor="text1"/>
          <w:szCs w:val="24"/>
        </w:rPr>
        <w:t xml:space="preserve"> </w:t>
      </w:r>
    </w:p>
    <w:p w14:paraId="6CCD95E8" w14:textId="77777777" w:rsidR="004560E9" w:rsidRPr="00852E0C" w:rsidRDefault="004560E9" w:rsidP="00352B55">
      <w:pPr>
        <w:tabs>
          <w:tab w:val="left" w:pos="1276"/>
          <w:tab w:val="left" w:pos="1418"/>
          <w:tab w:val="left" w:pos="2127"/>
        </w:tabs>
        <w:spacing w:before="0" w:after="0" w:line="276" w:lineRule="auto"/>
        <w:rPr>
          <w:color w:val="000000" w:themeColor="text1"/>
          <w:szCs w:val="24"/>
          <w:lang w:eastAsia="x-none"/>
        </w:rPr>
      </w:pPr>
      <w:r w:rsidRPr="00852E0C">
        <w:rPr>
          <w:rFonts w:eastAsia="EUAlbertina-Bold-Identity-H"/>
          <w:color w:val="000000" w:themeColor="text1"/>
          <w:szCs w:val="24"/>
          <w:lang w:eastAsia="lv-LV"/>
        </w:rPr>
        <w:t>VARAM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color w:val="000000" w:themeColor="text1"/>
          <w:szCs w:val="24"/>
          <w:lang w:eastAsia="x-none"/>
        </w:rPr>
        <w:t>Vides aizsardzības un reģionālās attīstības ministrija</w:t>
      </w:r>
    </w:p>
    <w:p w14:paraId="25FCDE5E" w14:textId="77777777" w:rsidR="004560E9" w:rsidRPr="00852E0C" w:rsidRDefault="004560E9" w:rsidP="00352B55">
      <w:pPr>
        <w:tabs>
          <w:tab w:val="left" w:pos="1276"/>
          <w:tab w:val="left" w:pos="2127"/>
        </w:tabs>
        <w:spacing w:before="0" w:after="0" w:line="276" w:lineRule="auto"/>
        <w:ind w:left="1275" w:hanging="1275"/>
        <w:rPr>
          <w:color w:val="000000" w:themeColor="text1"/>
          <w:szCs w:val="24"/>
        </w:rPr>
      </w:pPr>
      <w:r w:rsidRPr="00852E0C">
        <w:rPr>
          <w:rFonts w:eastAsia="EUAlbertina-Bold-Identity-H"/>
          <w:color w:val="000000" w:themeColor="text1"/>
          <w:szCs w:val="24"/>
          <w:lang w:eastAsia="lv-LV"/>
        </w:rPr>
        <w:t>VI</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t>ES fondu,</w:t>
      </w:r>
      <w:r w:rsidRPr="00852E0C">
        <w:rPr>
          <w:color w:val="000000" w:themeColor="text1"/>
          <w:szCs w:val="24"/>
        </w:rPr>
        <w:t xml:space="preserve"> EEZ/Norvēģijas finanšu instrumentu un Šveices</w:t>
      </w:r>
    </w:p>
    <w:p w14:paraId="70EB8401" w14:textId="77777777" w:rsidR="004560E9" w:rsidRPr="00852E0C" w:rsidRDefault="004560E9" w:rsidP="00352B55">
      <w:pPr>
        <w:tabs>
          <w:tab w:val="left" w:pos="1276"/>
          <w:tab w:val="left" w:pos="2127"/>
        </w:tabs>
        <w:spacing w:before="0" w:after="0" w:line="276" w:lineRule="auto"/>
        <w:ind w:left="1275" w:hanging="1275"/>
        <w:rPr>
          <w:rFonts w:eastAsia="EUAlbertina-Bold-Identity-H"/>
          <w:color w:val="000000" w:themeColor="text1"/>
          <w:szCs w:val="24"/>
          <w:lang w:eastAsia="lv-LV"/>
        </w:rPr>
      </w:pP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r>
      <w:r w:rsidRPr="00852E0C">
        <w:rPr>
          <w:color w:val="000000" w:themeColor="text1"/>
          <w:szCs w:val="24"/>
        </w:rPr>
        <w:t>programmas</w:t>
      </w:r>
      <w:r w:rsidRPr="00852E0C">
        <w:rPr>
          <w:rFonts w:eastAsia="EUAlbertina-Bold-Identity-H"/>
          <w:color w:val="000000" w:themeColor="text1"/>
          <w:szCs w:val="24"/>
          <w:lang w:eastAsia="lv-LV"/>
        </w:rPr>
        <w:t xml:space="preserve"> vadošā iestāde</w:t>
      </w:r>
    </w:p>
    <w:p w14:paraId="1633FBA0" w14:textId="77777777" w:rsidR="00137808" w:rsidRPr="00852E0C" w:rsidRDefault="004560E9" w:rsidP="00352B55">
      <w:pPr>
        <w:tabs>
          <w:tab w:val="left" w:pos="1276"/>
          <w:tab w:val="left" w:pos="1418"/>
          <w:tab w:val="left" w:pos="2127"/>
        </w:tabs>
        <w:spacing w:before="0" w:after="0" w:line="276" w:lineRule="auto"/>
        <w:rPr>
          <w:color w:val="000000" w:themeColor="text1"/>
          <w:szCs w:val="24"/>
        </w:rPr>
      </w:pPr>
      <w:r w:rsidRPr="00852E0C">
        <w:rPr>
          <w:rFonts w:eastAsia="EUAlbertina-Bold-Identity-H"/>
          <w:color w:val="000000" w:themeColor="text1"/>
          <w:szCs w:val="24"/>
          <w:lang w:eastAsia="lv-LV"/>
        </w:rPr>
        <w:t>VIS</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ES fondu vadības informācijas sistēmas</w:t>
      </w:r>
      <w:r w:rsidR="00137808" w:rsidRPr="00852E0C">
        <w:rPr>
          <w:color w:val="000000" w:themeColor="text1"/>
          <w:szCs w:val="24"/>
        </w:rPr>
        <w:t xml:space="preserve"> </w:t>
      </w:r>
    </w:p>
    <w:p w14:paraId="6348D3E8" w14:textId="77777777" w:rsidR="004560E9" w:rsidRPr="00852E0C" w:rsidRDefault="00137808" w:rsidP="00352B55">
      <w:pPr>
        <w:tabs>
          <w:tab w:val="left" w:pos="1276"/>
          <w:tab w:val="left" w:pos="1418"/>
          <w:tab w:val="left" w:pos="2127"/>
        </w:tabs>
        <w:spacing w:before="0" w:after="0" w:line="276" w:lineRule="auto"/>
        <w:rPr>
          <w:rFonts w:eastAsia="EUAlbertina-Bold-Identity-H"/>
          <w:color w:val="000000" w:themeColor="text1"/>
          <w:szCs w:val="24"/>
          <w:lang w:eastAsia="lv-LV"/>
        </w:rPr>
      </w:pPr>
      <w:proofErr w:type="spellStart"/>
      <w:r w:rsidRPr="00852E0C">
        <w:rPr>
          <w:color w:val="000000" w:themeColor="text1"/>
          <w:szCs w:val="24"/>
        </w:rPr>
        <w:t>VKanc</w:t>
      </w:r>
      <w:proofErr w:type="spellEnd"/>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r>
      <w:r w:rsidRPr="00852E0C">
        <w:rPr>
          <w:rFonts w:eastAsia="EUAlbertina-Bold-Identity-H"/>
          <w:color w:val="000000" w:themeColor="text1"/>
          <w:szCs w:val="24"/>
          <w:lang w:eastAsia="lv-LV"/>
        </w:rPr>
        <w:t>Valsts kanceleja</w:t>
      </w:r>
    </w:p>
    <w:p w14:paraId="35E57879"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VM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Veselības ministrija</w:t>
      </w:r>
    </w:p>
    <w:p w14:paraId="3F4B832A" w14:textId="77777777" w:rsidR="00B47270" w:rsidRPr="00852E0C" w:rsidRDefault="00B47270"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color w:val="000000" w:themeColor="text1"/>
          <w:szCs w:val="24"/>
        </w:rPr>
        <w:t>VPP</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r>
      <w:r w:rsidRPr="00852E0C">
        <w:rPr>
          <w:rFonts w:eastAsia="EUAlbertina-Bold-Identity-H"/>
          <w:color w:val="000000" w:themeColor="text1"/>
          <w:szCs w:val="24"/>
          <w:lang w:eastAsia="lv-LV"/>
        </w:rPr>
        <w:t>Valsts un privātā partnerība</w:t>
      </w:r>
    </w:p>
    <w:p w14:paraId="4EF3A77E" w14:textId="77777777" w:rsidR="004560E9"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color w:val="000000" w:themeColor="text1"/>
          <w:szCs w:val="24"/>
        </w:rPr>
        <w:t>VSS</w:t>
      </w:r>
      <w:r w:rsidRPr="00852E0C">
        <w:rPr>
          <w:color w:val="000000" w:themeColor="text1"/>
          <w:szCs w:val="24"/>
        </w:rPr>
        <w:tab/>
        <w:t xml:space="preserve">- </w:t>
      </w:r>
      <w:r w:rsidRPr="00852E0C">
        <w:rPr>
          <w:color w:val="000000" w:themeColor="text1"/>
          <w:szCs w:val="24"/>
        </w:rPr>
        <w:tab/>
      </w:r>
      <w:r w:rsidRPr="00852E0C">
        <w:rPr>
          <w:color w:val="000000" w:themeColor="text1"/>
          <w:szCs w:val="24"/>
        </w:rPr>
        <w:tab/>
      </w:r>
      <w:r w:rsidRPr="00852E0C">
        <w:rPr>
          <w:rFonts w:eastAsia="EUAlbertina-Bold-Identity-H"/>
          <w:color w:val="000000" w:themeColor="text1"/>
          <w:szCs w:val="24"/>
          <w:lang w:eastAsia="lv-LV"/>
        </w:rPr>
        <w:t>Valsts sekretāru sanāksme</w:t>
      </w:r>
    </w:p>
    <w:p w14:paraId="746D6051" w14:textId="77777777" w:rsidR="00FF16DA" w:rsidRPr="00852E0C" w:rsidRDefault="004560E9" w:rsidP="00352B55">
      <w:pPr>
        <w:tabs>
          <w:tab w:val="left" w:pos="1276"/>
          <w:tab w:val="left" w:pos="1418"/>
          <w:tab w:val="left" w:pos="2127"/>
        </w:tabs>
        <w:spacing w:before="0" w:after="0"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ZM</w:t>
      </w:r>
      <w:r w:rsidRPr="00852E0C">
        <w:rPr>
          <w:rFonts w:eastAsia="EUAlbertina-Bold-Identity-H"/>
          <w:color w:val="000000" w:themeColor="text1"/>
          <w:szCs w:val="24"/>
          <w:lang w:eastAsia="lv-LV"/>
        </w:rPr>
        <w:tab/>
        <w:t xml:space="preserve">- </w:t>
      </w:r>
      <w:r w:rsidRPr="00852E0C">
        <w:rPr>
          <w:rFonts w:eastAsia="EUAlbertina-Bold-Identity-H"/>
          <w:color w:val="000000" w:themeColor="text1"/>
          <w:szCs w:val="24"/>
          <w:lang w:eastAsia="lv-LV"/>
        </w:rPr>
        <w:tab/>
      </w:r>
      <w:r w:rsidRPr="00852E0C">
        <w:rPr>
          <w:rFonts w:eastAsia="EUAlbertina-Bold-Identity-H"/>
          <w:color w:val="000000" w:themeColor="text1"/>
          <w:szCs w:val="24"/>
          <w:lang w:eastAsia="lv-LV"/>
        </w:rPr>
        <w:tab/>
        <w:t>Zemkopības ministrija</w:t>
      </w:r>
    </w:p>
    <w:p w14:paraId="5EC5AC6E" w14:textId="65F8AD6F" w:rsidR="009C18B0" w:rsidRPr="00852E0C" w:rsidRDefault="00EB11F9" w:rsidP="00852E0C">
      <w:pPr>
        <w:spacing w:line="276" w:lineRule="auto"/>
        <w:rPr>
          <w:bCs/>
          <w:color w:val="000000" w:themeColor="text1"/>
          <w:kern w:val="32"/>
          <w:szCs w:val="24"/>
          <w:lang w:eastAsia="x-none"/>
        </w:rPr>
      </w:pPr>
      <w:r w:rsidRPr="00852E0C">
        <w:rPr>
          <w:color w:val="000000" w:themeColor="text1"/>
          <w:szCs w:val="24"/>
        </w:rPr>
        <w:br w:type="page"/>
      </w:r>
    </w:p>
    <w:p w14:paraId="019ADDDB" w14:textId="77777777" w:rsidR="00FF4209" w:rsidRPr="00852E0C" w:rsidRDefault="00FF4209" w:rsidP="00852E0C">
      <w:pPr>
        <w:pStyle w:val="1lmenis"/>
        <w:numPr>
          <w:ilvl w:val="0"/>
          <w:numId w:val="0"/>
        </w:numPr>
        <w:spacing w:before="120" w:after="120" w:line="276" w:lineRule="auto"/>
        <w:ind w:left="491"/>
        <w:rPr>
          <w:rFonts w:ascii="Times New Roman" w:hAnsi="Times New Roman"/>
          <w:color w:val="000000" w:themeColor="text1"/>
          <w:sz w:val="24"/>
          <w:szCs w:val="24"/>
          <w:lang w:val="lv-LV"/>
        </w:rPr>
      </w:pPr>
      <w:bookmarkStart w:id="5" w:name="_Toc324948876"/>
      <w:bookmarkStart w:id="6" w:name="_Toc356465220"/>
      <w:r w:rsidRPr="00852E0C">
        <w:rPr>
          <w:rFonts w:ascii="Times New Roman" w:hAnsi="Times New Roman"/>
          <w:color w:val="000000" w:themeColor="text1"/>
          <w:sz w:val="24"/>
          <w:szCs w:val="24"/>
          <w:lang w:val="lv-LV"/>
        </w:rPr>
        <w:lastRenderedPageBreak/>
        <w:t>Kopsavilkums</w:t>
      </w:r>
      <w:bookmarkEnd w:id="5"/>
      <w:bookmarkEnd w:id="6"/>
      <w:r w:rsidR="00EB7B97" w:rsidRPr="00852E0C">
        <w:rPr>
          <w:rFonts w:ascii="Times New Roman" w:hAnsi="Times New Roman"/>
          <w:color w:val="000000" w:themeColor="text1"/>
          <w:sz w:val="24"/>
          <w:szCs w:val="24"/>
          <w:lang w:val="lv-LV"/>
        </w:rPr>
        <w:t xml:space="preserve"> </w:t>
      </w:r>
    </w:p>
    <w:p w14:paraId="60134665" w14:textId="41F950CF" w:rsidR="007E1EFC" w:rsidRPr="00852E0C" w:rsidRDefault="006E609F" w:rsidP="00852E0C">
      <w:pPr>
        <w:spacing w:line="276" w:lineRule="auto"/>
        <w:rPr>
          <w:color w:val="000000" w:themeColor="text1"/>
          <w:szCs w:val="24"/>
        </w:rPr>
      </w:pPr>
      <w:bookmarkStart w:id="7" w:name="_Toc324948877"/>
      <w:bookmarkStart w:id="8" w:name="_Toc276049970"/>
      <w:bookmarkStart w:id="9" w:name="_Toc283655975"/>
      <w:r w:rsidRPr="00852E0C">
        <w:rPr>
          <w:color w:val="000000" w:themeColor="text1"/>
          <w:szCs w:val="24"/>
        </w:rPr>
        <w:t xml:space="preserve">Kopumā </w:t>
      </w:r>
      <w:r w:rsidR="007E1EFC" w:rsidRPr="00852E0C">
        <w:rPr>
          <w:color w:val="000000" w:themeColor="text1"/>
          <w:szCs w:val="24"/>
        </w:rPr>
        <w:t xml:space="preserve">līdz 2013.gada 31.martam 1.mērķa ES fondu 2007. – 2013. gada plānošanas periodā </w:t>
      </w:r>
      <w:r w:rsidRPr="00852E0C">
        <w:rPr>
          <w:color w:val="000000" w:themeColor="text1"/>
          <w:szCs w:val="24"/>
        </w:rPr>
        <w:t>noslēgti līgumi par 3 367,0 milj. latu jeb 96,9%</w:t>
      </w:r>
      <w:r w:rsidR="007E1EFC" w:rsidRPr="00852E0C">
        <w:rPr>
          <w:color w:val="000000" w:themeColor="text1"/>
          <w:szCs w:val="24"/>
        </w:rPr>
        <w:t>un v</w:t>
      </w:r>
      <w:r w:rsidRPr="00852E0C">
        <w:rPr>
          <w:color w:val="000000" w:themeColor="text1"/>
          <w:szCs w:val="24"/>
        </w:rPr>
        <w:t xml:space="preserve">eikti maksājumi finansējuma saņēmējiem par 2 045,7 </w:t>
      </w:r>
      <w:proofErr w:type="spellStart"/>
      <w:r w:rsidRPr="00852E0C">
        <w:rPr>
          <w:color w:val="000000" w:themeColor="text1"/>
          <w:szCs w:val="24"/>
        </w:rPr>
        <w:t>milj</w:t>
      </w:r>
      <w:proofErr w:type="spellEnd"/>
      <w:r w:rsidRPr="00852E0C">
        <w:rPr>
          <w:color w:val="000000" w:themeColor="text1"/>
          <w:szCs w:val="24"/>
        </w:rPr>
        <w:t xml:space="preserve"> latu jeb 59,1% no pieejamā publiskā finansējuma</w:t>
      </w:r>
      <w:r w:rsidR="007E1EFC" w:rsidRPr="00852E0C">
        <w:rPr>
          <w:rStyle w:val="FootnoteReference"/>
          <w:color w:val="000000" w:themeColor="text1"/>
          <w:szCs w:val="24"/>
        </w:rPr>
        <w:footnoteReference w:id="2"/>
      </w:r>
      <w:r w:rsidRPr="00852E0C">
        <w:rPr>
          <w:color w:val="000000" w:themeColor="text1"/>
          <w:szCs w:val="24"/>
        </w:rPr>
        <w:t>.</w:t>
      </w:r>
      <w:r w:rsidR="007E1EFC" w:rsidRPr="00852E0C">
        <w:rPr>
          <w:color w:val="000000" w:themeColor="text1"/>
          <w:szCs w:val="24"/>
        </w:rPr>
        <w:t xml:space="preserve"> Sekmīgāk 2013.gada 1.ceturksnī ir veicies ar ESF </w:t>
      </w:r>
      <w:r w:rsidRPr="00852E0C">
        <w:rPr>
          <w:color w:val="000000" w:themeColor="text1"/>
          <w:szCs w:val="24"/>
        </w:rPr>
        <w:t>projekt</w:t>
      </w:r>
      <w:r w:rsidR="007E1EFC" w:rsidRPr="00852E0C">
        <w:rPr>
          <w:color w:val="000000" w:themeColor="text1"/>
          <w:szCs w:val="24"/>
        </w:rPr>
        <w:t>u</w:t>
      </w:r>
      <w:r w:rsidRPr="00852E0C">
        <w:rPr>
          <w:color w:val="000000" w:themeColor="text1"/>
          <w:szCs w:val="24"/>
        </w:rPr>
        <w:t xml:space="preserve"> ievie</w:t>
      </w:r>
      <w:r w:rsidR="007E1EFC" w:rsidRPr="00852E0C">
        <w:rPr>
          <w:color w:val="000000" w:themeColor="text1"/>
          <w:szCs w:val="24"/>
        </w:rPr>
        <w:t>šanu</w:t>
      </w:r>
      <w:r w:rsidRPr="00852E0C">
        <w:rPr>
          <w:color w:val="000000" w:themeColor="text1"/>
          <w:szCs w:val="24"/>
        </w:rPr>
        <w:t xml:space="preserve"> (109,3% no noteiktā nacionālā </w:t>
      </w:r>
      <w:r w:rsidR="007E1EFC" w:rsidRPr="00852E0C">
        <w:rPr>
          <w:color w:val="000000" w:themeColor="text1"/>
          <w:szCs w:val="24"/>
        </w:rPr>
        <w:t xml:space="preserve">maksājumu </w:t>
      </w:r>
      <w:r w:rsidRPr="00852E0C">
        <w:rPr>
          <w:color w:val="000000" w:themeColor="text1"/>
          <w:szCs w:val="24"/>
        </w:rPr>
        <w:t xml:space="preserve">mērķa). ERAF un KF ieviešanā </w:t>
      </w:r>
      <w:r w:rsidR="007E1EFC" w:rsidRPr="00852E0C">
        <w:rPr>
          <w:color w:val="000000" w:themeColor="text1"/>
          <w:szCs w:val="24"/>
        </w:rPr>
        <w:t xml:space="preserve">ir </w:t>
      </w:r>
      <w:r w:rsidRPr="00852E0C">
        <w:rPr>
          <w:color w:val="000000" w:themeColor="text1"/>
          <w:szCs w:val="24"/>
        </w:rPr>
        <w:t>novirzes no plānotā – izpildīti attiecīgi tikai 76,1% un 68,6%.</w:t>
      </w:r>
      <w:r w:rsidR="000E0633">
        <w:rPr>
          <w:color w:val="000000" w:themeColor="text1"/>
          <w:szCs w:val="24"/>
        </w:rPr>
        <w:t xml:space="preserve"> </w:t>
      </w:r>
      <w:r w:rsidR="007E1EFC" w:rsidRPr="00852E0C">
        <w:rPr>
          <w:color w:val="000000" w:themeColor="text1"/>
          <w:szCs w:val="24"/>
        </w:rPr>
        <w:t xml:space="preserve">Vienlaikus </w:t>
      </w:r>
      <w:r w:rsidR="004742C8" w:rsidRPr="00852E0C">
        <w:rPr>
          <w:color w:val="000000" w:themeColor="text1"/>
          <w:szCs w:val="24"/>
        </w:rPr>
        <w:t>tiek īstenoti</w:t>
      </w:r>
      <w:r w:rsidR="007E1EFC" w:rsidRPr="00852E0C">
        <w:rPr>
          <w:color w:val="000000" w:themeColor="text1"/>
          <w:szCs w:val="24"/>
        </w:rPr>
        <w:t xml:space="preserve"> budžeta </w:t>
      </w:r>
      <w:proofErr w:type="spellStart"/>
      <w:r w:rsidR="007E1EFC" w:rsidRPr="00852E0C">
        <w:rPr>
          <w:color w:val="000000" w:themeColor="text1"/>
          <w:szCs w:val="24"/>
        </w:rPr>
        <w:t>virssaistību</w:t>
      </w:r>
      <w:proofErr w:type="spellEnd"/>
      <w:r w:rsidR="007E1EFC" w:rsidRPr="00852E0C">
        <w:rPr>
          <w:color w:val="000000" w:themeColor="text1"/>
          <w:szCs w:val="24"/>
        </w:rPr>
        <w:t xml:space="preserve"> finansējuma </w:t>
      </w:r>
      <w:r w:rsidR="004742C8" w:rsidRPr="00852E0C">
        <w:rPr>
          <w:color w:val="000000" w:themeColor="text1"/>
          <w:szCs w:val="24"/>
        </w:rPr>
        <w:t>ieguldījumu plāni, atsevišķos gadījumos ar novirzēm no iecerētiem termiņiem</w:t>
      </w:r>
      <w:r w:rsidR="002725BA" w:rsidRPr="00852E0C">
        <w:rPr>
          <w:color w:val="000000" w:themeColor="text1"/>
          <w:szCs w:val="24"/>
        </w:rPr>
        <w:t xml:space="preserve"> un pastāv riski negatīvai ietekmei uz pieļaujamo budžeta deficīta līmeni</w:t>
      </w:r>
      <w:r w:rsidR="004742C8" w:rsidRPr="00852E0C">
        <w:rPr>
          <w:color w:val="000000" w:themeColor="text1"/>
          <w:szCs w:val="24"/>
        </w:rPr>
        <w:t>, par ko saskaņā ar n</w:t>
      </w:r>
      <w:r w:rsidR="007E1EFC" w:rsidRPr="00852E0C">
        <w:rPr>
          <w:color w:val="000000" w:themeColor="text1"/>
          <w:szCs w:val="24"/>
        </w:rPr>
        <w:t>oteikt</w:t>
      </w:r>
      <w:r w:rsidR="004742C8" w:rsidRPr="00852E0C">
        <w:rPr>
          <w:color w:val="000000" w:themeColor="text1"/>
          <w:szCs w:val="24"/>
        </w:rPr>
        <w:t>iem finanšu disciplīnas</w:t>
      </w:r>
      <w:r w:rsidR="007E1EFC" w:rsidRPr="00852E0C">
        <w:rPr>
          <w:color w:val="000000" w:themeColor="text1"/>
          <w:szCs w:val="24"/>
        </w:rPr>
        <w:t xml:space="preserve"> pasākum</w:t>
      </w:r>
      <w:r w:rsidR="004742C8" w:rsidRPr="00852E0C">
        <w:rPr>
          <w:color w:val="000000" w:themeColor="text1"/>
          <w:szCs w:val="24"/>
        </w:rPr>
        <w:t>iem</w:t>
      </w:r>
      <w:r w:rsidR="007E1EFC" w:rsidRPr="00852E0C">
        <w:rPr>
          <w:color w:val="000000" w:themeColor="text1"/>
          <w:szCs w:val="24"/>
        </w:rPr>
        <w:t xml:space="preserve">, finanšu ministrs </w:t>
      </w:r>
      <w:r w:rsidR="004742C8" w:rsidRPr="00852E0C">
        <w:rPr>
          <w:color w:val="000000" w:themeColor="text1"/>
          <w:szCs w:val="24"/>
        </w:rPr>
        <w:t xml:space="preserve">informē </w:t>
      </w:r>
      <w:r w:rsidR="000E0633">
        <w:rPr>
          <w:color w:val="000000" w:themeColor="text1"/>
          <w:szCs w:val="24"/>
        </w:rPr>
        <w:t>MK</w:t>
      </w:r>
      <w:r w:rsidR="004742C8" w:rsidRPr="00852E0C">
        <w:rPr>
          <w:color w:val="000000" w:themeColor="text1"/>
          <w:szCs w:val="24"/>
        </w:rPr>
        <w:t>.</w:t>
      </w:r>
      <w:r w:rsidR="000E0633">
        <w:rPr>
          <w:color w:val="000000" w:themeColor="text1"/>
          <w:szCs w:val="24"/>
        </w:rPr>
        <w:t xml:space="preserve"> </w:t>
      </w:r>
    </w:p>
    <w:p w14:paraId="79977A42" w14:textId="08C8B13E" w:rsidR="007103CE" w:rsidRPr="00852E0C" w:rsidRDefault="007E1EFC" w:rsidP="00852E0C">
      <w:pPr>
        <w:spacing w:line="276" w:lineRule="auto"/>
        <w:rPr>
          <w:color w:val="000000" w:themeColor="text1"/>
          <w:szCs w:val="24"/>
        </w:rPr>
      </w:pPr>
      <w:r w:rsidRPr="00852E0C">
        <w:rPr>
          <w:rFonts w:eastAsia="EUAlbertina-Bold-Identity-H"/>
          <w:color w:val="000000" w:themeColor="text1"/>
          <w:szCs w:val="24"/>
          <w:lang w:eastAsia="lv-LV"/>
        </w:rPr>
        <w:t xml:space="preserve">EEZ/Norvēģijas finanšu instrumentu </w:t>
      </w:r>
      <w:proofErr w:type="spellStart"/>
      <w:r w:rsidRPr="00852E0C">
        <w:rPr>
          <w:rFonts w:eastAsia="EUAlbertina-Bold-Identity-H"/>
          <w:color w:val="000000" w:themeColor="text1"/>
          <w:szCs w:val="24"/>
          <w:lang w:eastAsia="lv-LV"/>
        </w:rPr>
        <w:t>d</w:t>
      </w:r>
      <w:r w:rsidR="006E609F" w:rsidRPr="00852E0C">
        <w:rPr>
          <w:color w:val="000000" w:themeColor="text1"/>
          <w:szCs w:val="24"/>
        </w:rPr>
        <w:t>onorvalstis</w:t>
      </w:r>
      <w:proofErr w:type="spellEnd"/>
      <w:r w:rsidR="006E609F" w:rsidRPr="00852E0C">
        <w:rPr>
          <w:color w:val="000000" w:themeColor="text1"/>
          <w:szCs w:val="24"/>
        </w:rPr>
        <w:t xml:space="preserve"> ir apstiprinājušas visas 7 programmas un ir noslēgti visi programmu</w:t>
      </w:r>
      <w:r w:rsidR="000E0633">
        <w:rPr>
          <w:color w:val="000000" w:themeColor="text1"/>
          <w:szCs w:val="24"/>
        </w:rPr>
        <w:t xml:space="preserve"> </w:t>
      </w:r>
      <w:r w:rsidR="006E609F" w:rsidRPr="00852E0C">
        <w:rPr>
          <w:color w:val="000000" w:themeColor="text1"/>
          <w:szCs w:val="24"/>
        </w:rPr>
        <w:t>līgumi par 100% finansējumu. Pārskata periodā aktīvi noritēja darbs pie programmu uzsākšanas un nozaru ministriju izstrādāto MK noteikumu projektu par programmu īstenošanu saskaņošana, un jau ir noslēdzies pirmais projektu konkurss SIF apsaimniekotajā programmā „NVO fonds”.</w:t>
      </w:r>
      <w:r w:rsidRPr="00852E0C">
        <w:rPr>
          <w:color w:val="000000" w:themeColor="text1"/>
          <w:szCs w:val="24"/>
        </w:rPr>
        <w:t xml:space="preserve"> </w:t>
      </w:r>
      <w:r w:rsidR="007103CE" w:rsidRPr="00852E0C">
        <w:rPr>
          <w:color w:val="000000" w:themeColor="text1"/>
          <w:szCs w:val="24"/>
        </w:rPr>
        <w:t xml:space="preserve">Vienlaikus, lai sekmētu iespējas īstenot projektus pēc iespējas ātrāk, ierosināts tiesību aktu projektus par programmu īstenošanu virzīt kā </w:t>
      </w:r>
      <w:r w:rsidR="000E0633">
        <w:rPr>
          <w:color w:val="000000" w:themeColor="text1"/>
          <w:szCs w:val="24"/>
        </w:rPr>
        <w:t>MK</w:t>
      </w:r>
      <w:r w:rsidR="007103CE" w:rsidRPr="00852E0C">
        <w:rPr>
          <w:color w:val="000000" w:themeColor="text1"/>
          <w:szCs w:val="24"/>
        </w:rPr>
        <w:t xml:space="preserve"> lietu.</w:t>
      </w:r>
    </w:p>
    <w:p w14:paraId="1376DD20" w14:textId="77777777" w:rsidR="00F41ECE" w:rsidRPr="00852E0C" w:rsidRDefault="007E1EFC" w:rsidP="00852E0C">
      <w:pPr>
        <w:spacing w:line="276" w:lineRule="auto"/>
        <w:rPr>
          <w:color w:val="000000" w:themeColor="text1"/>
          <w:szCs w:val="24"/>
        </w:rPr>
      </w:pPr>
      <w:r w:rsidRPr="00852E0C">
        <w:rPr>
          <w:color w:val="000000" w:themeColor="text1"/>
          <w:szCs w:val="24"/>
          <w:lang w:eastAsia="x-none"/>
        </w:rPr>
        <w:t>Šveices programmā</w:t>
      </w:r>
      <w:r w:rsidR="006E609F" w:rsidRPr="00852E0C">
        <w:rPr>
          <w:color w:val="000000" w:themeColor="text1"/>
          <w:szCs w:val="24"/>
        </w:rPr>
        <w:t xml:space="preserve"> turpinās desmit projektu īstenošana</w:t>
      </w:r>
      <w:r w:rsidR="00BB10CE" w:rsidRPr="00852E0C">
        <w:rPr>
          <w:color w:val="000000" w:themeColor="text1"/>
          <w:szCs w:val="24"/>
        </w:rPr>
        <w:t>, atsevišķos projektos ar paaugstinātu</w:t>
      </w:r>
      <w:r w:rsidR="004E668B" w:rsidRPr="00852E0C">
        <w:rPr>
          <w:color w:val="000000" w:themeColor="text1"/>
          <w:szCs w:val="24"/>
        </w:rPr>
        <w:t>, bet kontrolētu</w:t>
      </w:r>
      <w:r w:rsidR="00BB10CE" w:rsidRPr="00852E0C">
        <w:rPr>
          <w:color w:val="000000" w:themeColor="text1"/>
          <w:szCs w:val="24"/>
        </w:rPr>
        <w:t xml:space="preserve"> risku, </w:t>
      </w:r>
      <w:r w:rsidR="006E609F" w:rsidRPr="00852E0C">
        <w:rPr>
          <w:color w:val="000000" w:themeColor="text1"/>
          <w:szCs w:val="24"/>
        </w:rPr>
        <w:t>savukārt divu projekt</w:t>
      </w:r>
      <w:r w:rsidR="00F41ECE" w:rsidRPr="00852E0C">
        <w:rPr>
          <w:color w:val="000000" w:themeColor="text1"/>
          <w:szCs w:val="24"/>
        </w:rPr>
        <w:t>u īstenošana jau ir noslēgusies.</w:t>
      </w:r>
    </w:p>
    <w:p w14:paraId="6C86809E" w14:textId="09E996A7" w:rsidR="00F90A95" w:rsidRPr="00852E0C" w:rsidRDefault="002A33C5" w:rsidP="00852E0C">
      <w:pPr>
        <w:spacing w:line="276" w:lineRule="auto"/>
        <w:rPr>
          <w:bCs/>
          <w:color w:val="000000" w:themeColor="text1"/>
          <w:szCs w:val="24"/>
        </w:rPr>
      </w:pPr>
      <w:r w:rsidRPr="00852E0C">
        <w:rPr>
          <w:bCs/>
          <w:color w:val="000000" w:themeColor="text1"/>
          <w:szCs w:val="24"/>
        </w:rPr>
        <w:t>Turpinās Latvijas interešu pārstāvība sarunās par Kohēzijas politikas regulējumu pēc 2013.gada, kā arī nodrošināta dalība ieviešanas un deleģēto aktu ekspertu sanāksmēs</w:t>
      </w:r>
      <w:r w:rsidR="00B25322" w:rsidRPr="00852E0C">
        <w:rPr>
          <w:bCs/>
          <w:color w:val="000000" w:themeColor="text1"/>
          <w:szCs w:val="24"/>
        </w:rPr>
        <w:t xml:space="preserve"> un </w:t>
      </w:r>
      <w:r w:rsidR="003E5668" w:rsidRPr="00852E0C">
        <w:rPr>
          <w:bCs/>
          <w:color w:val="000000" w:themeColor="text1"/>
          <w:szCs w:val="24"/>
        </w:rPr>
        <w:t>nacionālo dokumentu</w:t>
      </w:r>
      <w:r w:rsidR="00B25322" w:rsidRPr="00852E0C">
        <w:rPr>
          <w:bCs/>
          <w:color w:val="000000" w:themeColor="text1"/>
          <w:szCs w:val="24"/>
        </w:rPr>
        <w:t xml:space="preserve"> izstrāde, lai nodroši</w:t>
      </w:r>
      <w:r w:rsidR="00352B55">
        <w:rPr>
          <w:bCs/>
          <w:color w:val="000000" w:themeColor="text1"/>
          <w:szCs w:val="24"/>
        </w:rPr>
        <w:t xml:space="preserve">nātu maksimāli savlaicīgu 2014. – </w:t>
      </w:r>
      <w:r w:rsidR="00B25322" w:rsidRPr="00852E0C">
        <w:rPr>
          <w:bCs/>
          <w:color w:val="000000" w:themeColor="text1"/>
          <w:szCs w:val="24"/>
        </w:rPr>
        <w:t>2020.</w:t>
      </w:r>
      <w:r w:rsidR="003E5668" w:rsidRPr="00852E0C">
        <w:rPr>
          <w:bCs/>
          <w:color w:val="000000" w:themeColor="text1"/>
          <w:szCs w:val="24"/>
        </w:rPr>
        <w:t>g</w:t>
      </w:r>
      <w:r w:rsidR="00B25322" w:rsidRPr="00852E0C">
        <w:rPr>
          <w:bCs/>
          <w:color w:val="000000" w:themeColor="text1"/>
          <w:szCs w:val="24"/>
        </w:rPr>
        <w:t>adu plānošanas perioda īstenošanas uzsākšanu</w:t>
      </w:r>
      <w:r w:rsidR="003E5668" w:rsidRPr="00852E0C">
        <w:rPr>
          <w:bCs/>
          <w:color w:val="000000" w:themeColor="text1"/>
          <w:szCs w:val="24"/>
        </w:rPr>
        <w:t>, mazinot administratīvo slogu un kāpināt rezultativitāti</w:t>
      </w:r>
      <w:r w:rsidR="00B25322" w:rsidRPr="00852E0C">
        <w:rPr>
          <w:bCs/>
          <w:color w:val="000000" w:themeColor="text1"/>
          <w:szCs w:val="24"/>
        </w:rPr>
        <w:t>.</w:t>
      </w:r>
    </w:p>
    <w:p w14:paraId="7116E871" w14:textId="4C81D271" w:rsidR="00F90A95" w:rsidRPr="00852E0C" w:rsidRDefault="00EF32DC" w:rsidP="00852E0C">
      <w:pPr>
        <w:spacing w:line="276" w:lineRule="auto"/>
        <w:rPr>
          <w:bCs/>
          <w:color w:val="000000" w:themeColor="text1"/>
          <w:szCs w:val="24"/>
        </w:rPr>
      </w:pPr>
      <w:r w:rsidRPr="00852E0C">
        <w:rPr>
          <w:bCs/>
          <w:color w:val="000000" w:themeColor="text1"/>
          <w:szCs w:val="24"/>
        </w:rPr>
        <w:t>Ar mērķi līdz nākamajam 2014. – 2020.gada plānošanas periodam novērst kontrolējamos riskus, t.sk. neatbilstoši veikto izdevumu rašanās un korupcijas riskus, apzināt atlikušos riskus un sistēmas trūkumus, nepilnības, VI ir veikusi vairākus būtiskus pasākumus, t.sk., izstrādājusi vadlīnijas</w:t>
      </w:r>
      <w:r w:rsidR="00F90A95" w:rsidRPr="00852E0C">
        <w:rPr>
          <w:bCs/>
          <w:color w:val="000000" w:themeColor="text1"/>
          <w:szCs w:val="24"/>
        </w:rPr>
        <w:t>, kuras atrodamas ES fondu interneta vietnē</w:t>
      </w:r>
      <w:r w:rsidRPr="00852E0C">
        <w:rPr>
          <w:color w:val="000000" w:themeColor="text1"/>
          <w:szCs w:val="24"/>
          <w:vertAlign w:val="superscript"/>
        </w:rPr>
        <w:footnoteReference w:id="3"/>
      </w:r>
      <w:r w:rsidRPr="00852E0C">
        <w:rPr>
          <w:bCs/>
          <w:color w:val="000000" w:themeColor="text1"/>
          <w:szCs w:val="24"/>
        </w:rPr>
        <w:t xml:space="preserve">, </w:t>
      </w:r>
      <w:r w:rsidR="00F90A95" w:rsidRPr="00852E0C">
        <w:rPr>
          <w:bCs/>
          <w:color w:val="000000" w:themeColor="text1"/>
          <w:szCs w:val="24"/>
        </w:rPr>
        <w:t>izveidojusi</w:t>
      </w:r>
      <w:r w:rsidRPr="00852E0C">
        <w:rPr>
          <w:bCs/>
          <w:color w:val="000000" w:themeColor="text1"/>
          <w:szCs w:val="24"/>
        </w:rPr>
        <w:t xml:space="preserve"> risku vadības reģistru, kurā iekļauts un tiek pārvaldīts interešu konfliktu un krāpšanas risks</w:t>
      </w:r>
      <w:r w:rsidR="00EB1CF2" w:rsidRPr="00852E0C">
        <w:rPr>
          <w:bCs/>
          <w:color w:val="000000" w:themeColor="text1"/>
          <w:szCs w:val="24"/>
        </w:rPr>
        <w:t xml:space="preserve"> un veikusi citus pasākumus</w:t>
      </w:r>
      <w:r w:rsidRPr="00852E0C">
        <w:rPr>
          <w:bCs/>
          <w:color w:val="000000" w:themeColor="text1"/>
          <w:szCs w:val="24"/>
        </w:rPr>
        <w:t xml:space="preserve"> (plašāk par paveikto skatīt </w:t>
      </w:r>
      <w:r w:rsidRPr="00852E0C">
        <w:rPr>
          <w:bCs/>
          <w:color w:val="000000" w:themeColor="text1"/>
          <w:szCs w:val="24"/>
          <w:u w:val="single"/>
        </w:rPr>
        <w:t xml:space="preserve">sadaļā </w:t>
      </w:r>
      <w:r w:rsidR="00A17D41" w:rsidRPr="00852E0C">
        <w:rPr>
          <w:bCs/>
          <w:color w:val="000000" w:themeColor="text1"/>
          <w:szCs w:val="24"/>
          <w:u w:val="single"/>
        </w:rPr>
        <w:t>4.3.„</w:t>
      </w:r>
      <w:r w:rsidR="00F90A95" w:rsidRPr="00852E0C">
        <w:rPr>
          <w:bCs/>
          <w:color w:val="000000" w:themeColor="text1"/>
          <w:szCs w:val="24"/>
          <w:u w:val="single"/>
        </w:rPr>
        <w:t>Vadības, kontroles un uzraudzības sistēmas darbība, pasākumi risku mazināšanai</w:t>
      </w:r>
      <w:r w:rsidR="00A17D41" w:rsidRPr="00852E0C">
        <w:rPr>
          <w:bCs/>
          <w:color w:val="000000" w:themeColor="text1"/>
          <w:szCs w:val="24"/>
          <w:u w:val="single"/>
        </w:rPr>
        <w:t>”</w:t>
      </w:r>
      <w:r w:rsidR="00F90A95" w:rsidRPr="00852E0C">
        <w:rPr>
          <w:bCs/>
          <w:color w:val="000000" w:themeColor="text1"/>
          <w:szCs w:val="24"/>
        </w:rPr>
        <w:t xml:space="preserve">). </w:t>
      </w:r>
    </w:p>
    <w:p w14:paraId="33871FE6" w14:textId="77777777" w:rsidR="00B60D58" w:rsidRPr="00852E0C" w:rsidRDefault="00B60D58" w:rsidP="00852E0C">
      <w:pPr>
        <w:spacing w:line="276" w:lineRule="auto"/>
        <w:rPr>
          <w:b/>
          <w:color w:val="000000" w:themeColor="text1"/>
          <w:szCs w:val="24"/>
        </w:rPr>
      </w:pPr>
    </w:p>
    <w:p w14:paraId="61DF869B" w14:textId="77777777" w:rsidR="00B60D58" w:rsidRPr="00852E0C" w:rsidRDefault="00B60D58" w:rsidP="00852E0C">
      <w:pPr>
        <w:spacing w:line="276" w:lineRule="auto"/>
        <w:rPr>
          <w:b/>
          <w:color w:val="000000" w:themeColor="text1"/>
          <w:szCs w:val="24"/>
        </w:rPr>
      </w:pPr>
    </w:p>
    <w:p w14:paraId="3A1F8460" w14:textId="6370ACAD" w:rsidR="004B7C6E" w:rsidRPr="00852E0C" w:rsidRDefault="00D97278" w:rsidP="00852E0C">
      <w:pPr>
        <w:pStyle w:val="1lmenis"/>
        <w:spacing w:before="120" w:after="120" w:line="276" w:lineRule="auto"/>
        <w:ind w:left="709"/>
        <w:rPr>
          <w:rFonts w:ascii="Times New Roman" w:hAnsi="Times New Roman"/>
          <w:color w:val="000000" w:themeColor="text1"/>
          <w:sz w:val="24"/>
          <w:szCs w:val="24"/>
          <w:lang w:val="lv-LV"/>
        </w:rPr>
      </w:pPr>
      <w:bookmarkStart w:id="10" w:name="_Toc356465221"/>
      <w:r w:rsidRPr="00852E0C">
        <w:rPr>
          <w:rFonts w:ascii="Times New Roman" w:hAnsi="Times New Roman"/>
          <w:color w:val="000000" w:themeColor="text1"/>
          <w:sz w:val="24"/>
          <w:szCs w:val="24"/>
          <w:lang w:val="lv-LV"/>
        </w:rPr>
        <w:lastRenderedPageBreak/>
        <w:t xml:space="preserve">2007. -2013.gada plānošanas perioda </w:t>
      </w:r>
      <w:r w:rsidR="00020680" w:rsidRPr="00852E0C">
        <w:rPr>
          <w:rFonts w:ascii="Times New Roman" w:hAnsi="Times New Roman"/>
          <w:color w:val="000000" w:themeColor="text1"/>
          <w:sz w:val="24"/>
          <w:szCs w:val="24"/>
          <w:lang w:val="lv-LV"/>
        </w:rPr>
        <w:t xml:space="preserve">ES </w:t>
      </w:r>
      <w:r w:rsidRPr="00852E0C">
        <w:rPr>
          <w:rFonts w:ascii="Times New Roman" w:hAnsi="Times New Roman"/>
          <w:color w:val="000000" w:themeColor="text1"/>
          <w:sz w:val="24"/>
          <w:szCs w:val="24"/>
          <w:lang w:val="lv-LV"/>
        </w:rPr>
        <w:t>fondu</w:t>
      </w:r>
      <w:r w:rsidR="00020680" w:rsidRPr="00852E0C">
        <w:rPr>
          <w:rFonts w:ascii="Times New Roman" w:hAnsi="Times New Roman"/>
          <w:color w:val="000000" w:themeColor="text1"/>
          <w:sz w:val="24"/>
          <w:szCs w:val="24"/>
          <w:lang w:val="lv-LV"/>
        </w:rPr>
        <w:t xml:space="preserve"> </w:t>
      </w:r>
      <w:bookmarkEnd w:id="7"/>
      <w:r w:rsidR="009A6F3E" w:rsidRPr="00852E0C">
        <w:rPr>
          <w:rFonts w:ascii="Times New Roman" w:hAnsi="Times New Roman"/>
          <w:color w:val="000000" w:themeColor="text1"/>
          <w:sz w:val="24"/>
          <w:szCs w:val="24"/>
          <w:lang w:val="lv-LV"/>
        </w:rPr>
        <w:t>investīcijas</w:t>
      </w:r>
      <w:bookmarkEnd w:id="10"/>
    </w:p>
    <w:p w14:paraId="66262207" w14:textId="77777777" w:rsidR="00A12973" w:rsidRPr="00852E0C" w:rsidRDefault="001E3C5A" w:rsidP="00852E0C">
      <w:pPr>
        <w:pStyle w:val="2lmenis"/>
        <w:numPr>
          <w:ilvl w:val="1"/>
          <w:numId w:val="2"/>
        </w:numPr>
        <w:spacing w:before="120" w:after="120" w:line="276" w:lineRule="auto"/>
        <w:ind w:left="1276" w:hanging="425"/>
        <w:jc w:val="both"/>
        <w:rPr>
          <w:color w:val="000000" w:themeColor="text1"/>
          <w:sz w:val="24"/>
          <w:szCs w:val="24"/>
          <w:lang w:val="lv-LV"/>
        </w:rPr>
      </w:pPr>
      <w:r w:rsidRPr="00852E0C">
        <w:rPr>
          <w:iCs w:val="0"/>
          <w:color w:val="000000" w:themeColor="text1"/>
          <w:sz w:val="24"/>
          <w:szCs w:val="24"/>
          <w:lang w:val="lv-LV"/>
        </w:rPr>
        <w:t xml:space="preserve"> </w:t>
      </w:r>
      <w:bookmarkStart w:id="11" w:name="_Toc324948878"/>
      <w:bookmarkStart w:id="12" w:name="_Toc356465222"/>
      <w:r w:rsidR="00A12973" w:rsidRPr="00852E0C">
        <w:rPr>
          <w:color w:val="000000" w:themeColor="text1"/>
          <w:sz w:val="24"/>
          <w:szCs w:val="24"/>
          <w:lang w:val="lv-LV"/>
        </w:rPr>
        <w:t>Darbības programmu un darbības programmu papildinājumu grozījumi</w:t>
      </w:r>
      <w:bookmarkEnd w:id="11"/>
      <w:bookmarkEnd w:id="12"/>
    </w:p>
    <w:p w14:paraId="5FF44780" w14:textId="44E4594F" w:rsidR="006F4AF2" w:rsidRPr="00852E0C" w:rsidRDefault="00A12973" w:rsidP="00852E0C">
      <w:pPr>
        <w:spacing w:line="276" w:lineRule="auto"/>
        <w:rPr>
          <w:color w:val="000000" w:themeColor="text1"/>
          <w:szCs w:val="24"/>
        </w:rPr>
      </w:pPr>
      <w:r w:rsidRPr="00852E0C">
        <w:rPr>
          <w:color w:val="000000" w:themeColor="text1"/>
          <w:szCs w:val="24"/>
        </w:rPr>
        <w:t xml:space="preserve">Lai nodrošinātu efektīvu un operatīvu ES fondu </w:t>
      </w:r>
      <w:r w:rsidR="00BE454F" w:rsidRPr="00852E0C">
        <w:rPr>
          <w:color w:val="000000" w:themeColor="text1"/>
          <w:szCs w:val="24"/>
        </w:rPr>
        <w:t>ieviešanu</w:t>
      </w:r>
      <w:r w:rsidRPr="00852E0C">
        <w:rPr>
          <w:color w:val="000000" w:themeColor="text1"/>
          <w:szCs w:val="24"/>
        </w:rPr>
        <w:t xml:space="preserve">, kā arī lai reaģētu uz pārmaiņām sociāli ekonomiskajā situācijā valstī un nozaru politikās, </w:t>
      </w:r>
      <w:r w:rsidR="008F6E51" w:rsidRPr="00852E0C">
        <w:rPr>
          <w:color w:val="000000" w:themeColor="text1"/>
          <w:szCs w:val="24"/>
        </w:rPr>
        <w:t xml:space="preserve">pārskata periodā </w:t>
      </w:r>
      <w:r w:rsidR="000E7C84" w:rsidRPr="00852E0C">
        <w:rPr>
          <w:color w:val="000000" w:themeColor="text1"/>
          <w:szCs w:val="24"/>
        </w:rPr>
        <w:t>AI</w:t>
      </w:r>
      <w:r w:rsidRPr="00852E0C">
        <w:rPr>
          <w:color w:val="000000" w:themeColor="text1"/>
          <w:szCs w:val="24"/>
        </w:rPr>
        <w:t xml:space="preserve"> un </w:t>
      </w:r>
      <w:r w:rsidR="00DB2B21" w:rsidRPr="00852E0C">
        <w:rPr>
          <w:color w:val="000000" w:themeColor="text1"/>
          <w:szCs w:val="24"/>
        </w:rPr>
        <w:t>VI</w:t>
      </w:r>
      <w:r w:rsidRPr="00852E0C">
        <w:rPr>
          <w:color w:val="000000" w:themeColor="text1"/>
          <w:szCs w:val="24"/>
        </w:rPr>
        <w:t xml:space="preserve"> ir veikušas </w:t>
      </w:r>
      <w:r w:rsidR="00D34BE3" w:rsidRPr="00852E0C">
        <w:rPr>
          <w:color w:val="000000" w:themeColor="text1"/>
          <w:szCs w:val="24"/>
        </w:rPr>
        <w:t xml:space="preserve">vairākus </w:t>
      </w:r>
      <w:r w:rsidRPr="00852E0C">
        <w:rPr>
          <w:color w:val="000000" w:themeColor="text1"/>
          <w:szCs w:val="24"/>
        </w:rPr>
        <w:t>nepieciešamos grozījumus plānošanas dokumentos –</w:t>
      </w:r>
      <w:r w:rsidR="002239D1" w:rsidRPr="00852E0C">
        <w:rPr>
          <w:color w:val="000000" w:themeColor="text1"/>
          <w:szCs w:val="24"/>
        </w:rPr>
        <w:t xml:space="preserve">DP </w:t>
      </w:r>
      <w:r w:rsidRPr="00852E0C">
        <w:rPr>
          <w:color w:val="000000" w:themeColor="text1"/>
          <w:szCs w:val="24"/>
        </w:rPr>
        <w:t xml:space="preserve">un </w:t>
      </w:r>
      <w:r w:rsidR="002239D1" w:rsidRPr="00852E0C">
        <w:rPr>
          <w:color w:val="000000" w:themeColor="text1"/>
          <w:szCs w:val="24"/>
        </w:rPr>
        <w:t>to</w:t>
      </w:r>
      <w:r w:rsidR="006C29B8" w:rsidRPr="00852E0C">
        <w:rPr>
          <w:color w:val="000000" w:themeColor="text1"/>
          <w:szCs w:val="24"/>
        </w:rPr>
        <w:t xml:space="preserve"> papildinājumos</w:t>
      </w:r>
      <w:r w:rsidR="00657B4A" w:rsidRPr="00852E0C">
        <w:rPr>
          <w:color w:val="000000" w:themeColor="text1"/>
          <w:szCs w:val="24"/>
        </w:rPr>
        <w:t>.</w:t>
      </w:r>
      <w:r w:rsidR="003248D0" w:rsidRPr="00852E0C">
        <w:rPr>
          <w:color w:val="000000" w:themeColor="text1"/>
          <w:szCs w:val="24"/>
        </w:rPr>
        <w:t xml:space="preserve"> Plānošanas dokumenti ir pieejami </w:t>
      </w:r>
      <w:hyperlink r:id="rId17" w:history="1">
        <w:r w:rsidR="006E3CCA" w:rsidRPr="00852E0C">
          <w:rPr>
            <w:rStyle w:val="Hyperlink"/>
            <w:rFonts w:ascii="Times New Roman" w:hAnsi="Times New Roman" w:cs="Times New Roman"/>
            <w:color w:val="000000" w:themeColor="text1"/>
            <w:sz w:val="24"/>
            <w:szCs w:val="24"/>
          </w:rPr>
          <w:t>ES fondu interneta vietnē</w:t>
        </w:r>
      </w:hyperlink>
      <w:r w:rsidR="003248D0" w:rsidRPr="00852E0C">
        <w:rPr>
          <w:rStyle w:val="FootnoteReference"/>
          <w:color w:val="000000" w:themeColor="text1"/>
          <w:szCs w:val="24"/>
        </w:rPr>
        <w:footnoteReference w:id="4"/>
      </w:r>
      <w:r w:rsidR="003248D0" w:rsidRPr="00852E0C">
        <w:rPr>
          <w:color w:val="000000" w:themeColor="text1"/>
          <w:szCs w:val="24"/>
        </w:rPr>
        <w:t xml:space="preserve">. </w:t>
      </w:r>
    </w:p>
    <w:p w14:paraId="49CE86B9" w14:textId="2E74EE2A" w:rsidR="003171F2" w:rsidRPr="00852E0C" w:rsidRDefault="003171F2" w:rsidP="00852E0C">
      <w:pPr>
        <w:pStyle w:val="BodyTextIndent"/>
        <w:spacing w:line="276" w:lineRule="auto"/>
        <w:ind w:left="0"/>
        <w:rPr>
          <w:color w:val="000000" w:themeColor="text1"/>
          <w:szCs w:val="24"/>
          <w:lang w:val="lv-LV" w:eastAsia="en-US"/>
        </w:rPr>
      </w:pPr>
      <w:r w:rsidRPr="00852E0C">
        <w:rPr>
          <w:color w:val="000000" w:themeColor="text1"/>
          <w:szCs w:val="24"/>
          <w:lang w:val="lv-LV" w:eastAsia="en-US"/>
        </w:rPr>
        <w:t xml:space="preserve">Grozījumi </w:t>
      </w:r>
      <w:r w:rsidR="002239D1" w:rsidRPr="00852E0C">
        <w:rPr>
          <w:color w:val="000000" w:themeColor="text1"/>
          <w:szCs w:val="24"/>
          <w:lang w:val="lv-LV" w:eastAsia="en-US"/>
        </w:rPr>
        <w:t>DP</w:t>
      </w:r>
      <w:r w:rsidRPr="00852E0C">
        <w:rPr>
          <w:color w:val="000000" w:themeColor="text1"/>
          <w:szCs w:val="24"/>
          <w:lang w:val="lv-LV" w:eastAsia="en-US"/>
        </w:rPr>
        <w:t xml:space="preserve"> „Cilvēkresursi un nodarbinātība” 2013.gada </w:t>
      </w:r>
      <w:r w:rsidR="0090406C" w:rsidRPr="00852E0C">
        <w:rPr>
          <w:color w:val="000000" w:themeColor="text1"/>
          <w:szCs w:val="24"/>
          <w:lang w:val="lv-LV" w:eastAsia="en-US"/>
        </w:rPr>
        <w:t>1.</w:t>
      </w:r>
      <w:r w:rsidRPr="00852E0C">
        <w:rPr>
          <w:color w:val="000000" w:themeColor="text1"/>
          <w:szCs w:val="24"/>
          <w:lang w:val="lv-LV" w:eastAsia="en-US"/>
        </w:rPr>
        <w:t>ceturksnī netika veikti</w:t>
      </w:r>
      <w:r w:rsidR="008F6E51" w:rsidRPr="00852E0C">
        <w:rPr>
          <w:color w:val="000000" w:themeColor="text1"/>
          <w:szCs w:val="24"/>
          <w:lang w:val="lv-LV" w:eastAsia="en-US"/>
        </w:rPr>
        <w:t xml:space="preserve">, bet </w:t>
      </w:r>
      <w:r w:rsidRPr="00852E0C">
        <w:rPr>
          <w:color w:val="000000" w:themeColor="text1"/>
          <w:szCs w:val="24"/>
          <w:lang w:val="lv-LV" w:eastAsia="en-US"/>
        </w:rPr>
        <w:t xml:space="preserve">ar MK 2013.gada 4.marta rīkojumu tika apstiprināti grozījumi </w:t>
      </w:r>
      <w:r w:rsidR="002239D1" w:rsidRPr="00852E0C">
        <w:rPr>
          <w:color w:val="000000" w:themeColor="text1"/>
          <w:szCs w:val="24"/>
          <w:lang w:val="lv-LV" w:eastAsia="en-US"/>
        </w:rPr>
        <w:t>DP</w:t>
      </w:r>
      <w:r w:rsidRPr="00852E0C">
        <w:rPr>
          <w:color w:val="000000" w:themeColor="text1"/>
          <w:szCs w:val="24"/>
          <w:lang w:val="lv-LV" w:eastAsia="en-US"/>
        </w:rPr>
        <w:t xml:space="preserve"> papildinājumā, kas paredz:</w:t>
      </w:r>
    </w:p>
    <w:p w14:paraId="335F1BE4" w14:textId="7D04D89E" w:rsidR="003171F2" w:rsidRPr="00852E0C" w:rsidRDefault="003171F2" w:rsidP="00852E0C">
      <w:pPr>
        <w:numPr>
          <w:ilvl w:val="0"/>
          <w:numId w:val="13"/>
        </w:numPr>
        <w:spacing w:line="276" w:lineRule="auto"/>
        <w:rPr>
          <w:color w:val="000000" w:themeColor="text1"/>
          <w:szCs w:val="24"/>
          <w:lang w:eastAsia="lv-LV"/>
        </w:rPr>
      </w:pPr>
      <w:proofErr w:type="spellStart"/>
      <w:r w:rsidRPr="00852E0C">
        <w:rPr>
          <w:color w:val="000000" w:themeColor="text1"/>
          <w:szCs w:val="24"/>
          <w:lang w:eastAsia="lv-LV"/>
        </w:rPr>
        <w:t>Apakšaktivitātes</w:t>
      </w:r>
      <w:proofErr w:type="spellEnd"/>
      <w:r w:rsidRPr="00852E0C">
        <w:rPr>
          <w:color w:val="000000" w:themeColor="text1"/>
          <w:szCs w:val="24"/>
          <w:lang w:eastAsia="lv-LV"/>
        </w:rPr>
        <w:t xml:space="preserve"> „Atbalsts mūžizglītības politikas pamatnostādņu īstenošanai” ietvaros pārskatīt pasākumā noteiktos </w:t>
      </w:r>
      <w:proofErr w:type="spellStart"/>
      <w:r w:rsidRPr="00852E0C">
        <w:rPr>
          <w:color w:val="000000" w:themeColor="text1"/>
          <w:szCs w:val="24"/>
          <w:lang w:eastAsia="lv-LV"/>
        </w:rPr>
        <w:t>mērķgrupas</w:t>
      </w:r>
      <w:proofErr w:type="spellEnd"/>
      <w:r w:rsidRPr="00852E0C">
        <w:rPr>
          <w:color w:val="000000" w:themeColor="text1"/>
          <w:szCs w:val="24"/>
          <w:lang w:eastAsia="lv-LV"/>
        </w:rPr>
        <w:t xml:space="preserve"> kritērijus, prioritāri nodrošinot mūžizglītības iespējas tām nodarbinātām un pašnodarbinātām personām (izņemot valsts civildienestā nodarbinātos), kuras bezdarba riskam pakļautas visvairāk (vecumā no 45 gadiem vai vecumā no 25 – 44 gadiem (ieskaitot) un atbilst vienam no kritērijiem: personai ir noteikta invaliditāte, personai ir divi bērni vai vairāk vecumā līdz 18 gadiem vai persona ir atzīta par trūcīgu). </w:t>
      </w:r>
    </w:p>
    <w:p w14:paraId="00E634A9" w14:textId="4B98ABA4" w:rsidR="007A2B14" w:rsidRPr="00852E0C" w:rsidRDefault="003171F2" w:rsidP="00852E0C">
      <w:pPr>
        <w:numPr>
          <w:ilvl w:val="0"/>
          <w:numId w:val="13"/>
        </w:numPr>
        <w:spacing w:line="276" w:lineRule="auto"/>
        <w:rPr>
          <w:color w:val="000000" w:themeColor="text1"/>
          <w:szCs w:val="24"/>
          <w:lang w:eastAsia="lv-LV"/>
        </w:rPr>
      </w:pPr>
      <w:r w:rsidRPr="00852E0C">
        <w:rPr>
          <w:color w:val="000000" w:themeColor="text1"/>
          <w:szCs w:val="24"/>
          <w:lang w:eastAsia="lv-LV"/>
        </w:rPr>
        <w:t xml:space="preserve">Papildināt </w:t>
      </w:r>
      <w:proofErr w:type="spellStart"/>
      <w:r w:rsidRPr="00852E0C">
        <w:rPr>
          <w:color w:val="000000" w:themeColor="text1"/>
          <w:szCs w:val="24"/>
          <w:lang w:eastAsia="lv-LV"/>
        </w:rPr>
        <w:t>apakšaktivitātes</w:t>
      </w:r>
      <w:proofErr w:type="spellEnd"/>
      <w:r w:rsidRPr="00852E0C">
        <w:rPr>
          <w:color w:val="000000" w:themeColor="text1"/>
          <w:szCs w:val="24"/>
          <w:lang w:eastAsia="lv-LV"/>
        </w:rPr>
        <w:t xml:space="preserve"> „Darba attiecību un darba drošības normatīvo aktu praktiska piemērošana nozarēs un uzņēmumos” mērķa grupu ar potenciālajiem darba ņēmējiem (t.sk. jauniešiem vecumā no 13 līdz 25 gadiem), lai paaugstinātu to informētību un izpratni par darba aizsardzības un darba attiecību jautājumiem. Kā arī grozījumi paredz precizēt terminoloģiju </w:t>
      </w:r>
      <w:proofErr w:type="spellStart"/>
      <w:r w:rsidRPr="00852E0C">
        <w:rPr>
          <w:color w:val="000000" w:themeColor="text1"/>
          <w:szCs w:val="24"/>
          <w:lang w:eastAsia="lv-LV"/>
        </w:rPr>
        <w:t>apakšaktivitātes</w:t>
      </w:r>
      <w:proofErr w:type="spellEnd"/>
      <w:r w:rsidRPr="00852E0C">
        <w:rPr>
          <w:color w:val="000000" w:themeColor="text1"/>
          <w:szCs w:val="24"/>
          <w:lang w:eastAsia="lv-LV"/>
        </w:rPr>
        <w:t xml:space="preserve"> „Kompleksi atbalsta pasākumi iedzīvotāju integrēšanai sabiedrībā un darba tirgū” pasākuma „Darbnīcas jauniešiem” ietvaros atbilstoši izglītību reglamentējošajiem normatīvajiem aktiem.</w:t>
      </w:r>
    </w:p>
    <w:p w14:paraId="57069B23" w14:textId="07614F5A" w:rsidR="004F0542" w:rsidRPr="00852E0C" w:rsidRDefault="00A5584E" w:rsidP="00852E0C">
      <w:pPr>
        <w:pStyle w:val="BodyTextIndent"/>
        <w:spacing w:line="276" w:lineRule="auto"/>
        <w:ind w:left="0"/>
        <w:rPr>
          <w:color w:val="000000" w:themeColor="text1"/>
          <w:szCs w:val="24"/>
          <w:lang w:val="lv-LV" w:eastAsia="en-US"/>
        </w:rPr>
      </w:pPr>
      <w:r w:rsidRPr="00852E0C">
        <w:rPr>
          <w:color w:val="000000" w:themeColor="text1"/>
          <w:szCs w:val="24"/>
          <w:lang w:val="lv-LV" w:eastAsia="en-US"/>
        </w:rPr>
        <w:t xml:space="preserve">Grozījumi </w:t>
      </w:r>
      <w:r w:rsidR="002239D1" w:rsidRPr="00852E0C">
        <w:rPr>
          <w:color w:val="000000" w:themeColor="text1"/>
          <w:szCs w:val="24"/>
          <w:lang w:val="lv-LV" w:eastAsia="en-US"/>
        </w:rPr>
        <w:t>DP</w:t>
      </w:r>
      <w:r w:rsidRPr="00852E0C">
        <w:rPr>
          <w:color w:val="000000" w:themeColor="text1"/>
          <w:szCs w:val="24"/>
          <w:lang w:val="lv-LV" w:eastAsia="en-US"/>
        </w:rPr>
        <w:t xml:space="preserve"> „Uz</w:t>
      </w:r>
      <w:r w:rsidR="00803DB4" w:rsidRPr="00852E0C">
        <w:rPr>
          <w:color w:val="000000" w:themeColor="text1"/>
          <w:szCs w:val="24"/>
          <w:lang w:val="lv-LV" w:eastAsia="en-US"/>
        </w:rPr>
        <w:t xml:space="preserve">ņēmējdarbība un inovācijas” </w:t>
      </w:r>
      <w:r w:rsidR="00F53933" w:rsidRPr="00852E0C">
        <w:rPr>
          <w:color w:val="000000" w:themeColor="text1"/>
          <w:szCs w:val="24"/>
          <w:lang w:val="lv-LV" w:eastAsia="en-US"/>
        </w:rPr>
        <w:t xml:space="preserve">un tās papildinājumā </w:t>
      </w:r>
      <w:r w:rsidR="00803DB4" w:rsidRPr="00852E0C">
        <w:rPr>
          <w:color w:val="000000" w:themeColor="text1"/>
          <w:szCs w:val="24"/>
          <w:lang w:val="lv-LV" w:eastAsia="en-US"/>
        </w:rPr>
        <w:t>2013</w:t>
      </w:r>
      <w:r w:rsidRPr="00852E0C">
        <w:rPr>
          <w:color w:val="000000" w:themeColor="text1"/>
          <w:szCs w:val="24"/>
          <w:lang w:val="lv-LV" w:eastAsia="en-US"/>
        </w:rPr>
        <w:t xml:space="preserve">.gadā </w:t>
      </w:r>
      <w:r w:rsidR="00803DB4" w:rsidRPr="00852E0C">
        <w:rPr>
          <w:color w:val="000000" w:themeColor="text1"/>
          <w:szCs w:val="24"/>
          <w:lang w:val="lv-LV" w:eastAsia="en-US"/>
        </w:rPr>
        <w:t xml:space="preserve">1.ceturksnī </w:t>
      </w:r>
      <w:r w:rsidRPr="00852E0C">
        <w:rPr>
          <w:color w:val="000000" w:themeColor="text1"/>
          <w:szCs w:val="24"/>
          <w:lang w:val="lv-LV" w:eastAsia="en-US"/>
        </w:rPr>
        <w:t>netika veikti.</w:t>
      </w:r>
      <w:r w:rsidR="004F0542" w:rsidRPr="00852E0C">
        <w:rPr>
          <w:color w:val="000000" w:themeColor="text1"/>
          <w:szCs w:val="24"/>
          <w:highlight w:val="yellow"/>
          <w:lang w:val="lv-LV" w:eastAsia="lv-LV"/>
        </w:rPr>
        <w:t xml:space="preserve"> </w:t>
      </w:r>
    </w:p>
    <w:p w14:paraId="5586B5B3" w14:textId="700A6E34" w:rsidR="00F81B68" w:rsidRPr="00852E0C" w:rsidRDefault="00A5584E" w:rsidP="00852E0C">
      <w:pPr>
        <w:pStyle w:val="BodyTextIndent"/>
        <w:spacing w:line="276" w:lineRule="auto"/>
        <w:ind w:left="0"/>
        <w:rPr>
          <w:color w:val="000000" w:themeColor="text1"/>
          <w:szCs w:val="24"/>
          <w:lang w:val="lv-LV" w:eastAsia="en-US"/>
        </w:rPr>
      </w:pPr>
      <w:r w:rsidRPr="00852E0C">
        <w:rPr>
          <w:color w:val="000000" w:themeColor="text1"/>
          <w:szCs w:val="24"/>
          <w:lang w:val="lv-LV" w:eastAsia="en-US"/>
        </w:rPr>
        <w:t xml:space="preserve">Grozījumi </w:t>
      </w:r>
      <w:r w:rsidR="002239D1" w:rsidRPr="00852E0C">
        <w:rPr>
          <w:color w:val="000000" w:themeColor="text1"/>
          <w:szCs w:val="24"/>
          <w:lang w:val="lv-LV" w:eastAsia="en-US"/>
        </w:rPr>
        <w:t>DP</w:t>
      </w:r>
      <w:r w:rsidRPr="00852E0C">
        <w:rPr>
          <w:color w:val="000000" w:themeColor="text1"/>
          <w:szCs w:val="24"/>
          <w:lang w:val="lv-LV" w:eastAsia="en-US"/>
        </w:rPr>
        <w:t xml:space="preserve"> „</w:t>
      </w:r>
      <w:r w:rsidR="00EF789C" w:rsidRPr="00852E0C">
        <w:rPr>
          <w:color w:val="000000" w:themeColor="text1"/>
          <w:szCs w:val="24"/>
          <w:lang w:val="lv-LV" w:eastAsia="en-US"/>
        </w:rPr>
        <w:t>Infrastruktūra un pakalpojumi</w:t>
      </w:r>
      <w:r w:rsidR="000B263A" w:rsidRPr="00852E0C">
        <w:rPr>
          <w:color w:val="000000" w:themeColor="text1"/>
          <w:szCs w:val="24"/>
          <w:lang w:val="lv-LV" w:eastAsia="en-US"/>
        </w:rPr>
        <w:t>” 2013</w:t>
      </w:r>
      <w:r w:rsidRPr="00852E0C">
        <w:rPr>
          <w:color w:val="000000" w:themeColor="text1"/>
          <w:szCs w:val="24"/>
          <w:lang w:val="lv-LV" w:eastAsia="en-US"/>
        </w:rPr>
        <w:t>.gadā netika veikti</w:t>
      </w:r>
      <w:r w:rsidR="008F6E51" w:rsidRPr="00852E0C">
        <w:rPr>
          <w:color w:val="000000" w:themeColor="text1"/>
          <w:szCs w:val="24"/>
          <w:lang w:val="lv-LV" w:eastAsia="en-US"/>
        </w:rPr>
        <w:t xml:space="preserve">, bet </w:t>
      </w:r>
      <w:r w:rsidR="00F81B68" w:rsidRPr="00852E0C">
        <w:rPr>
          <w:color w:val="000000" w:themeColor="text1"/>
          <w:szCs w:val="24"/>
          <w:lang w:val="lv-LV" w:eastAsia="en-US"/>
        </w:rPr>
        <w:t xml:space="preserve">grozījumi </w:t>
      </w:r>
      <w:r w:rsidR="002239D1" w:rsidRPr="00852E0C">
        <w:rPr>
          <w:color w:val="000000" w:themeColor="text1"/>
          <w:szCs w:val="24"/>
          <w:lang w:val="lv-LV" w:eastAsia="en-US"/>
        </w:rPr>
        <w:t>DP</w:t>
      </w:r>
      <w:r w:rsidR="00F81B68" w:rsidRPr="00852E0C">
        <w:rPr>
          <w:color w:val="000000" w:themeColor="text1"/>
          <w:szCs w:val="24"/>
          <w:lang w:val="lv-LV" w:eastAsia="en-US"/>
        </w:rPr>
        <w:t xml:space="preserve"> „Infrastruktūra un pakalpojumi” papildinājumā ir veikti divas reizes:</w:t>
      </w:r>
    </w:p>
    <w:p w14:paraId="0B7DBCBD" w14:textId="3567E08D" w:rsidR="000B263A" w:rsidRPr="00852E0C" w:rsidRDefault="000B263A" w:rsidP="00852E0C">
      <w:pPr>
        <w:numPr>
          <w:ilvl w:val="0"/>
          <w:numId w:val="25"/>
        </w:numPr>
        <w:spacing w:line="276" w:lineRule="auto"/>
        <w:rPr>
          <w:color w:val="000000" w:themeColor="text1"/>
          <w:szCs w:val="24"/>
          <w:lang w:eastAsia="lv-LV"/>
        </w:rPr>
      </w:pPr>
      <w:bookmarkStart w:id="13" w:name="_Toc324948880"/>
      <w:r w:rsidRPr="00852E0C">
        <w:rPr>
          <w:color w:val="000000" w:themeColor="text1"/>
          <w:szCs w:val="24"/>
          <w:lang w:eastAsia="lv-LV"/>
        </w:rPr>
        <w:t xml:space="preserve">Ar MK 2013.gada 9.janvāra rīkojumu Nr.11 apstiprināti grozījumi DP papildinājumā, kas paredz precizēt finansējuma saņēmēju loku </w:t>
      </w:r>
      <w:proofErr w:type="spellStart"/>
      <w:r w:rsidRPr="00852E0C">
        <w:rPr>
          <w:color w:val="000000" w:themeColor="text1"/>
          <w:szCs w:val="24"/>
          <w:lang w:eastAsia="lv-LV"/>
        </w:rPr>
        <w:t>apakšaktivitātes</w:t>
      </w:r>
      <w:proofErr w:type="spellEnd"/>
      <w:r w:rsidRPr="00852E0C">
        <w:rPr>
          <w:color w:val="000000" w:themeColor="text1"/>
          <w:szCs w:val="24"/>
          <w:lang w:eastAsia="lv-LV"/>
        </w:rPr>
        <w:t xml:space="preserve"> „Informācijas sistēmu un elekt</w:t>
      </w:r>
      <w:r w:rsidR="008B0574" w:rsidRPr="00852E0C">
        <w:rPr>
          <w:color w:val="000000" w:themeColor="text1"/>
          <w:szCs w:val="24"/>
          <w:lang w:eastAsia="lv-LV"/>
        </w:rPr>
        <w:t xml:space="preserve">ronisko pakalpojumu attīstība” </w:t>
      </w:r>
      <w:r w:rsidRPr="00852E0C">
        <w:rPr>
          <w:color w:val="000000" w:themeColor="text1"/>
          <w:szCs w:val="24"/>
          <w:lang w:eastAsia="lv-LV"/>
        </w:rPr>
        <w:t>ietvaros, kā iespējamo finansējuma saņēmēju nosakot arī tiesu varas institūciju, kā arī tiek precizētas atbalstāmās darbības, kā iespējamo atbalsta veidu nosakot arī komunikācijas tehnoloģiju infrastruktūras projektu īstenošanu.</w:t>
      </w:r>
    </w:p>
    <w:p w14:paraId="3A4E14F2" w14:textId="5864BD73" w:rsidR="00FC3399" w:rsidRPr="00852E0C" w:rsidRDefault="000B263A" w:rsidP="00852E0C">
      <w:pPr>
        <w:numPr>
          <w:ilvl w:val="0"/>
          <w:numId w:val="25"/>
        </w:numPr>
        <w:spacing w:line="276" w:lineRule="auto"/>
        <w:rPr>
          <w:color w:val="000000" w:themeColor="text1"/>
          <w:szCs w:val="24"/>
          <w:lang w:eastAsia="lv-LV"/>
        </w:rPr>
      </w:pPr>
      <w:r w:rsidRPr="00852E0C">
        <w:rPr>
          <w:color w:val="000000" w:themeColor="text1"/>
          <w:szCs w:val="24"/>
          <w:lang w:eastAsia="lv-LV"/>
        </w:rPr>
        <w:t xml:space="preserve">Ar MK 2013.gada 4.marta rīkojumu Nr.70 apstiprināti grozījumi DP papildinājumā, kas paredz KF finansējuma pārdali starp </w:t>
      </w:r>
      <w:proofErr w:type="spellStart"/>
      <w:r w:rsidRPr="00852E0C">
        <w:rPr>
          <w:color w:val="000000" w:themeColor="text1"/>
          <w:szCs w:val="24"/>
          <w:lang w:eastAsia="lv-LV"/>
        </w:rPr>
        <w:t>apakšaktivitātēm</w:t>
      </w:r>
      <w:proofErr w:type="spellEnd"/>
      <w:r w:rsidRPr="00852E0C">
        <w:rPr>
          <w:color w:val="000000" w:themeColor="text1"/>
          <w:szCs w:val="24"/>
          <w:lang w:eastAsia="lv-LV"/>
        </w:rPr>
        <w:t xml:space="preserve">, ņemot </w:t>
      </w:r>
      <w:r w:rsidRPr="00852E0C">
        <w:rPr>
          <w:color w:val="000000" w:themeColor="text1"/>
          <w:szCs w:val="24"/>
          <w:lang w:eastAsia="lv-LV"/>
        </w:rPr>
        <w:lastRenderedPageBreak/>
        <w:t>vērā nepieciešamību veikt investīcijas centralizēto siltumapgādes sistēmu efektivitātes paaugstināšanai.</w:t>
      </w:r>
    </w:p>
    <w:p w14:paraId="3BF8AB5F" w14:textId="318057DC" w:rsidR="000B263A" w:rsidRPr="00852E0C" w:rsidRDefault="000B263A" w:rsidP="00852E0C">
      <w:pPr>
        <w:spacing w:line="276" w:lineRule="auto"/>
        <w:rPr>
          <w:color w:val="000000" w:themeColor="text1"/>
          <w:szCs w:val="24"/>
          <w:lang w:eastAsia="lv-LV"/>
        </w:rPr>
      </w:pPr>
      <w:r w:rsidRPr="00852E0C">
        <w:rPr>
          <w:color w:val="000000" w:themeColor="text1"/>
          <w:szCs w:val="24"/>
          <w:lang w:eastAsia="lv-LV"/>
        </w:rPr>
        <w:t>Pārskata periodā tika sasauktas divas darba grupas sēdes, lai turpinātu darbu pie priekšlikumu izstrādes darbī</w:t>
      </w:r>
      <w:r w:rsidR="008F555C" w:rsidRPr="00852E0C">
        <w:rPr>
          <w:color w:val="000000" w:themeColor="text1"/>
          <w:szCs w:val="24"/>
          <w:lang w:eastAsia="lv-LV"/>
        </w:rPr>
        <w:t>bu pārklāšanās risku novēršanai</w:t>
      </w:r>
      <w:r w:rsidR="008F555C" w:rsidRPr="00852E0C">
        <w:rPr>
          <w:rStyle w:val="FootnoteReference"/>
          <w:color w:val="000000" w:themeColor="text1"/>
          <w:szCs w:val="24"/>
          <w:lang w:eastAsia="lv-LV"/>
        </w:rPr>
        <w:footnoteReference w:id="5"/>
      </w:r>
      <w:r w:rsidRPr="00852E0C">
        <w:rPr>
          <w:color w:val="000000" w:themeColor="text1"/>
          <w:szCs w:val="24"/>
          <w:lang w:eastAsia="lv-LV"/>
        </w:rPr>
        <w:t>. Darba grupas locekļi ir iesnieguši savus priekšlikumus darbību pārklāšanās risku novēršanai, par kuriem plānots diskutēt nākamajā darba grupas sēdē pēc analīzes</w:t>
      </w:r>
      <w:r w:rsidR="00B976A0" w:rsidRPr="00852E0C">
        <w:rPr>
          <w:rStyle w:val="CommentReference"/>
          <w:color w:val="000000" w:themeColor="text1"/>
          <w:sz w:val="24"/>
          <w:szCs w:val="24"/>
          <w:lang w:eastAsia="x-none"/>
        </w:rPr>
        <w:t xml:space="preserve"> </w:t>
      </w:r>
      <w:r w:rsidRPr="00852E0C">
        <w:rPr>
          <w:color w:val="000000" w:themeColor="text1"/>
          <w:szCs w:val="24"/>
          <w:lang w:eastAsia="lv-LV"/>
        </w:rPr>
        <w:t>veikšanas par investīciju teritoriālo plānoj</w:t>
      </w:r>
      <w:r w:rsidR="008F555C" w:rsidRPr="00852E0C">
        <w:rPr>
          <w:color w:val="000000" w:themeColor="text1"/>
          <w:szCs w:val="24"/>
          <w:lang w:eastAsia="lv-LV"/>
        </w:rPr>
        <w:t xml:space="preserve">umu attiecībā uz ES fondu 2014. – </w:t>
      </w:r>
      <w:r w:rsidRPr="00852E0C">
        <w:rPr>
          <w:color w:val="000000" w:themeColor="text1"/>
          <w:szCs w:val="24"/>
          <w:lang w:eastAsia="lv-LV"/>
        </w:rPr>
        <w:t xml:space="preserve">2020.gada plānošanas periodu, kuru FM veic sadarbībā ar nozaru ministrijām un </w:t>
      </w:r>
      <w:r w:rsidR="008F555C" w:rsidRPr="00852E0C">
        <w:rPr>
          <w:color w:val="000000" w:themeColor="text1"/>
          <w:szCs w:val="24"/>
          <w:lang w:eastAsia="lv-LV"/>
        </w:rPr>
        <w:t>PKC</w:t>
      </w:r>
      <w:r w:rsidRPr="00852E0C">
        <w:rPr>
          <w:color w:val="000000" w:themeColor="text1"/>
          <w:szCs w:val="24"/>
          <w:lang w:eastAsia="lv-LV"/>
        </w:rPr>
        <w:t>.</w:t>
      </w:r>
    </w:p>
    <w:p w14:paraId="5038CA99" w14:textId="024293B0" w:rsidR="00156D50" w:rsidRPr="00852E0C" w:rsidRDefault="00652F08" w:rsidP="00852E0C">
      <w:pPr>
        <w:pStyle w:val="2lmenis"/>
        <w:numPr>
          <w:ilvl w:val="1"/>
          <w:numId w:val="2"/>
        </w:numPr>
        <w:spacing w:before="120" w:after="120" w:line="276" w:lineRule="auto"/>
        <w:ind w:left="1276" w:hanging="425"/>
        <w:jc w:val="both"/>
        <w:rPr>
          <w:color w:val="000000" w:themeColor="text1"/>
          <w:sz w:val="24"/>
          <w:szCs w:val="24"/>
          <w:lang w:val="lv-LV"/>
        </w:rPr>
      </w:pPr>
      <w:bookmarkStart w:id="14" w:name="_Toc356465223"/>
      <w:r w:rsidRPr="00852E0C">
        <w:rPr>
          <w:color w:val="000000" w:themeColor="text1"/>
          <w:sz w:val="24"/>
          <w:szCs w:val="24"/>
          <w:lang w:val="lv-LV"/>
        </w:rPr>
        <w:t xml:space="preserve">2007. – 2013.gada plānošanas perioda </w:t>
      </w:r>
      <w:r w:rsidR="00D877AA" w:rsidRPr="00852E0C">
        <w:rPr>
          <w:color w:val="000000" w:themeColor="text1"/>
          <w:sz w:val="24"/>
          <w:szCs w:val="24"/>
          <w:lang w:val="lv-LV"/>
        </w:rPr>
        <w:t xml:space="preserve">ES </w:t>
      </w:r>
      <w:r w:rsidR="00D97278" w:rsidRPr="00852E0C">
        <w:rPr>
          <w:color w:val="000000" w:themeColor="text1"/>
          <w:sz w:val="24"/>
          <w:szCs w:val="24"/>
          <w:lang w:val="lv-LV"/>
        </w:rPr>
        <w:t>fondu</w:t>
      </w:r>
      <w:r w:rsidR="00D877AA" w:rsidRPr="00852E0C">
        <w:rPr>
          <w:color w:val="000000" w:themeColor="text1"/>
          <w:sz w:val="24"/>
          <w:szCs w:val="24"/>
          <w:lang w:val="lv-LV"/>
        </w:rPr>
        <w:t xml:space="preserve"> finanšu </w:t>
      </w:r>
      <w:bookmarkEnd w:id="13"/>
      <w:r w:rsidR="00B629E6" w:rsidRPr="00852E0C">
        <w:rPr>
          <w:color w:val="000000" w:themeColor="text1"/>
          <w:sz w:val="24"/>
          <w:szCs w:val="24"/>
          <w:lang w:val="lv-LV"/>
        </w:rPr>
        <w:t>progress</w:t>
      </w:r>
      <w:bookmarkEnd w:id="14"/>
    </w:p>
    <w:p w14:paraId="2DC12168" w14:textId="77777777" w:rsidR="00B02A9E" w:rsidRPr="00852E0C" w:rsidRDefault="00D97278" w:rsidP="00852E0C">
      <w:pPr>
        <w:pStyle w:val="2lmenis"/>
        <w:numPr>
          <w:ilvl w:val="2"/>
          <w:numId w:val="2"/>
        </w:numPr>
        <w:spacing w:before="120" w:after="120" w:line="276" w:lineRule="auto"/>
        <w:jc w:val="both"/>
        <w:rPr>
          <w:color w:val="000000" w:themeColor="text1"/>
          <w:sz w:val="24"/>
          <w:szCs w:val="24"/>
          <w:lang w:val="lv-LV"/>
        </w:rPr>
      </w:pPr>
      <w:bookmarkStart w:id="15" w:name="_Toc356465224"/>
      <w:r w:rsidRPr="00852E0C">
        <w:rPr>
          <w:color w:val="000000" w:themeColor="text1"/>
          <w:sz w:val="24"/>
          <w:szCs w:val="24"/>
          <w:lang w:val="lv-LV"/>
        </w:rPr>
        <w:t>ES fondu</w:t>
      </w:r>
      <w:r w:rsidR="00AF4B5E" w:rsidRPr="00852E0C">
        <w:rPr>
          <w:color w:val="000000" w:themeColor="text1"/>
          <w:sz w:val="24"/>
          <w:szCs w:val="24"/>
          <w:lang w:val="lv-LV"/>
        </w:rPr>
        <w:t xml:space="preserve"> </w:t>
      </w:r>
      <w:r w:rsidR="00C65B2A" w:rsidRPr="00852E0C">
        <w:rPr>
          <w:color w:val="000000" w:themeColor="text1"/>
          <w:sz w:val="24"/>
          <w:szCs w:val="24"/>
          <w:lang w:val="lv-LV"/>
        </w:rPr>
        <w:t xml:space="preserve">finanšu rādītāju </w:t>
      </w:r>
      <w:r w:rsidR="00652F08" w:rsidRPr="00852E0C">
        <w:rPr>
          <w:color w:val="000000" w:themeColor="text1"/>
          <w:sz w:val="24"/>
          <w:szCs w:val="24"/>
          <w:lang w:val="lv-LV"/>
        </w:rPr>
        <w:t xml:space="preserve">progress un </w:t>
      </w:r>
      <w:r w:rsidR="00462CEF" w:rsidRPr="00852E0C">
        <w:rPr>
          <w:color w:val="000000" w:themeColor="text1"/>
          <w:sz w:val="24"/>
          <w:szCs w:val="24"/>
          <w:lang w:val="lv-LV"/>
        </w:rPr>
        <w:t>mērķu sasniegšana</w:t>
      </w:r>
      <w:bookmarkEnd w:id="8"/>
      <w:bookmarkEnd w:id="9"/>
      <w:bookmarkEnd w:id="15"/>
    </w:p>
    <w:p w14:paraId="7405B7A3" w14:textId="3A8DE5A1" w:rsidR="007A08DD" w:rsidRPr="00852E0C" w:rsidRDefault="007A08DD" w:rsidP="00852E0C">
      <w:pPr>
        <w:spacing w:line="276" w:lineRule="auto"/>
        <w:rPr>
          <w:color w:val="000000" w:themeColor="text1"/>
          <w:szCs w:val="24"/>
        </w:rPr>
      </w:pPr>
      <w:r w:rsidRPr="00852E0C">
        <w:rPr>
          <w:color w:val="000000" w:themeColor="text1"/>
          <w:szCs w:val="24"/>
        </w:rPr>
        <w:t xml:space="preserve">Kopā no projektu īstenošanai pieejamiem 3,5 mljrd. latu publiskā finansējuma, kas ietver gan ES fondu finansējumu, gan arī valsts budžeta un pašvaldību budžeta līdzfinansējumu (neskaitot piešķirtā valsts budžeta </w:t>
      </w:r>
      <w:proofErr w:type="spellStart"/>
      <w:r w:rsidRPr="00852E0C">
        <w:rPr>
          <w:color w:val="000000" w:themeColor="text1"/>
          <w:szCs w:val="24"/>
        </w:rPr>
        <w:t>virssaistību</w:t>
      </w:r>
      <w:proofErr w:type="spellEnd"/>
      <w:r w:rsidRPr="00852E0C">
        <w:rPr>
          <w:color w:val="000000" w:themeColor="text1"/>
          <w:szCs w:val="24"/>
        </w:rPr>
        <w:t xml:space="preserve"> finansējumu</w:t>
      </w:r>
      <w:r w:rsidR="00E5322A" w:rsidRPr="00852E0C">
        <w:rPr>
          <w:color w:val="000000" w:themeColor="text1"/>
          <w:szCs w:val="24"/>
        </w:rPr>
        <w:t xml:space="preserve"> 298,6 </w:t>
      </w:r>
      <w:proofErr w:type="spellStart"/>
      <w:r w:rsidR="00E5322A" w:rsidRPr="00852E0C">
        <w:rPr>
          <w:color w:val="000000" w:themeColor="text1"/>
          <w:szCs w:val="24"/>
        </w:rPr>
        <w:t>milj</w:t>
      </w:r>
      <w:proofErr w:type="spellEnd"/>
      <w:r w:rsidR="00E5322A" w:rsidRPr="00852E0C">
        <w:rPr>
          <w:color w:val="000000" w:themeColor="text1"/>
          <w:szCs w:val="24"/>
        </w:rPr>
        <w:t>.</w:t>
      </w:r>
      <w:r w:rsidR="00BE6E84" w:rsidRPr="00852E0C">
        <w:rPr>
          <w:color w:val="000000" w:themeColor="text1"/>
          <w:szCs w:val="24"/>
        </w:rPr>
        <w:t xml:space="preserve"> </w:t>
      </w:r>
      <w:r w:rsidR="00E5322A" w:rsidRPr="00852E0C">
        <w:rPr>
          <w:color w:val="000000" w:themeColor="text1"/>
          <w:szCs w:val="24"/>
        </w:rPr>
        <w:t>latu</w:t>
      </w:r>
      <w:r w:rsidRPr="00852E0C">
        <w:rPr>
          <w:color w:val="000000" w:themeColor="text1"/>
          <w:szCs w:val="24"/>
        </w:rPr>
        <w:t>), ir noslēgti 5 519 līgumi par projektu īstenošanu 3,4 mljrd. apmērā, t.i., 96,9%, savukārt finansējuma saņēmējiem ir izmaksāta vairāk nekā puse, t.i., 59,1%.</w:t>
      </w:r>
    </w:p>
    <w:p w14:paraId="538F03F9" w14:textId="346986F1" w:rsidR="004C7A11" w:rsidRPr="00852E0C" w:rsidRDefault="004C7A11" w:rsidP="00852E0C">
      <w:pPr>
        <w:spacing w:line="276" w:lineRule="auto"/>
        <w:rPr>
          <w:color w:val="000000" w:themeColor="text1"/>
          <w:szCs w:val="24"/>
        </w:rPr>
      </w:pPr>
      <w:r w:rsidRPr="00852E0C">
        <w:rPr>
          <w:color w:val="000000" w:themeColor="text1"/>
          <w:szCs w:val="24"/>
        </w:rPr>
        <w:t xml:space="preserve">Grafiks Nr. </w:t>
      </w:r>
      <w:r w:rsidR="004B733A" w:rsidRPr="00852E0C">
        <w:rPr>
          <w:rFonts w:eastAsia="EUAlbertina-Bold-Identity-H"/>
          <w:color w:val="000000" w:themeColor="text1"/>
          <w:szCs w:val="24"/>
        </w:rPr>
        <w:t>1</w:t>
      </w:r>
      <w:r w:rsidRPr="00852E0C">
        <w:rPr>
          <w:rFonts w:eastAsia="EUAlbertina-Bold-Identity-H"/>
          <w:i/>
          <w:color w:val="000000" w:themeColor="text1"/>
          <w:szCs w:val="24"/>
        </w:rPr>
        <w:t xml:space="preserve"> „Finanšu plūsma 2</w:t>
      </w:r>
      <w:r w:rsidR="00BE6E84" w:rsidRPr="00852E0C">
        <w:rPr>
          <w:rFonts w:eastAsia="EUAlbertina-Bold-Identity-H"/>
          <w:i/>
          <w:color w:val="000000" w:themeColor="text1"/>
          <w:szCs w:val="24"/>
        </w:rPr>
        <w:t>007</w:t>
      </w:r>
      <w:r w:rsidR="00822986">
        <w:rPr>
          <w:rFonts w:eastAsia="EUAlbertina-Bold-Identity-H"/>
          <w:i/>
          <w:color w:val="000000" w:themeColor="text1"/>
          <w:szCs w:val="24"/>
        </w:rPr>
        <w:t>.</w:t>
      </w:r>
      <w:r w:rsidR="00BE6E84" w:rsidRPr="00852E0C">
        <w:rPr>
          <w:rFonts w:eastAsia="EUAlbertina-Bold-Identity-H"/>
          <w:i/>
          <w:color w:val="000000" w:themeColor="text1"/>
          <w:szCs w:val="24"/>
        </w:rPr>
        <w:t>-2013.gada</w:t>
      </w:r>
      <w:r w:rsidRPr="00852E0C">
        <w:rPr>
          <w:rFonts w:eastAsia="EUAlbertina-Bold-Identity-H"/>
          <w:i/>
          <w:color w:val="000000" w:themeColor="text1"/>
          <w:szCs w:val="24"/>
        </w:rPr>
        <w:t xml:space="preserve"> plānošanas periodā (milj. </w:t>
      </w:r>
      <w:r w:rsidR="00877B97" w:rsidRPr="00852E0C">
        <w:rPr>
          <w:rFonts w:eastAsia="EUAlbertina-Bold-Identity-H"/>
          <w:i/>
          <w:color w:val="000000" w:themeColor="text1"/>
          <w:szCs w:val="24"/>
        </w:rPr>
        <w:t>latu</w:t>
      </w:r>
      <w:r w:rsidRPr="00852E0C">
        <w:rPr>
          <w:rFonts w:eastAsia="EUAlbertina-Bold-Identity-H"/>
          <w:i/>
          <w:color w:val="000000" w:themeColor="text1"/>
          <w:szCs w:val="24"/>
        </w:rPr>
        <w:t>)</w:t>
      </w:r>
      <w:r w:rsidR="00BE6E84" w:rsidRPr="00852E0C">
        <w:rPr>
          <w:rFonts w:eastAsia="EUAlbertina-Bold-Identity-H"/>
          <w:i/>
          <w:color w:val="000000" w:themeColor="text1"/>
          <w:szCs w:val="24"/>
        </w:rPr>
        <w:t>.</w:t>
      </w:r>
      <w:r w:rsidRPr="00852E0C">
        <w:rPr>
          <w:rFonts w:eastAsia="EUAlbertina-Bold-Identity-H"/>
          <w:i/>
          <w:color w:val="000000" w:themeColor="text1"/>
          <w:szCs w:val="24"/>
        </w:rPr>
        <w:t>”</w:t>
      </w:r>
    </w:p>
    <w:p w14:paraId="1E837B24" w14:textId="42147C0D" w:rsidR="004C7A11" w:rsidRPr="00852E0C" w:rsidRDefault="00303E3D" w:rsidP="00852E0C">
      <w:pPr>
        <w:spacing w:line="276" w:lineRule="auto"/>
        <w:rPr>
          <w:color w:val="000000" w:themeColor="text1"/>
          <w:szCs w:val="24"/>
        </w:rPr>
      </w:pPr>
      <w:r>
        <w:rPr>
          <w:noProof/>
          <w:color w:val="000000" w:themeColor="text1"/>
          <w:szCs w:val="24"/>
          <w:lang w:eastAsia="lv-LV"/>
        </w:rPr>
        <w:drawing>
          <wp:inline distT="0" distB="0" distL="0" distR="0" wp14:anchorId="59689D3C" wp14:editId="2D495CC7">
            <wp:extent cx="5469147" cy="2676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5073" cy="2679547"/>
                    </a:xfrm>
                    <a:prstGeom prst="rect">
                      <a:avLst/>
                    </a:prstGeom>
                    <a:noFill/>
                  </pic:spPr>
                </pic:pic>
              </a:graphicData>
            </a:graphic>
          </wp:inline>
        </w:drawing>
      </w:r>
    </w:p>
    <w:p w14:paraId="0C4A5291" w14:textId="1FADC4C6" w:rsidR="00BE6E84" w:rsidRPr="00852E0C" w:rsidRDefault="00BE6E84" w:rsidP="00852E0C">
      <w:pPr>
        <w:spacing w:line="276" w:lineRule="auto"/>
        <w:rPr>
          <w:color w:val="000000" w:themeColor="text1"/>
          <w:szCs w:val="24"/>
        </w:rPr>
      </w:pPr>
      <w:r w:rsidRPr="00852E0C">
        <w:rPr>
          <w:color w:val="000000" w:themeColor="text1"/>
          <w:szCs w:val="24"/>
        </w:rPr>
        <w:t>Detalizētu informāciju par finanšu investīcijām, tai skaitā maksājumu finansējuma saņēmējiem mērķu izpildi, skatīt ziņojuma sadaļās</w:t>
      </w:r>
      <w:r w:rsidR="00EE0181" w:rsidRPr="00852E0C">
        <w:rPr>
          <w:color w:val="000000" w:themeColor="text1"/>
          <w:szCs w:val="24"/>
        </w:rPr>
        <w:t xml:space="preserve"> un tajās iekļautajos grafikos</w:t>
      </w:r>
      <w:r w:rsidRPr="00852E0C">
        <w:rPr>
          <w:color w:val="000000" w:themeColor="text1"/>
          <w:szCs w:val="24"/>
        </w:rPr>
        <w:t>, kurās sniegta informācija par publisko resursu ieguldījumu DP</w:t>
      </w:r>
      <w:r w:rsidR="00EE0181" w:rsidRPr="00852E0C">
        <w:rPr>
          <w:color w:val="000000" w:themeColor="text1"/>
          <w:szCs w:val="24"/>
        </w:rPr>
        <w:t xml:space="preserve"> (sadaļas 1.2.3. – 1.2.5., 1.3., 1.4.)</w:t>
      </w:r>
      <w:r w:rsidRPr="00852E0C">
        <w:rPr>
          <w:color w:val="000000" w:themeColor="text1"/>
          <w:szCs w:val="24"/>
        </w:rPr>
        <w:t xml:space="preserve">, </w:t>
      </w:r>
      <w:r w:rsidR="00352B55">
        <w:rPr>
          <w:color w:val="000000" w:themeColor="text1"/>
          <w:szCs w:val="24"/>
          <w:u w:val="single"/>
        </w:rPr>
        <w:t xml:space="preserve">grafikos Nr.2 – </w:t>
      </w:r>
      <w:r w:rsidRPr="00852E0C">
        <w:rPr>
          <w:color w:val="000000" w:themeColor="text1"/>
          <w:szCs w:val="24"/>
          <w:u w:val="single"/>
        </w:rPr>
        <w:t>Nr.6, pielikumā Nr.1</w:t>
      </w:r>
      <w:r w:rsidRPr="00852E0C">
        <w:rPr>
          <w:color w:val="000000" w:themeColor="text1"/>
          <w:szCs w:val="24"/>
        </w:rPr>
        <w:t xml:space="preserve">, </w:t>
      </w:r>
      <w:hyperlink r:id="rId19" w:history="1">
        <w:r w:rsidRPr="00852E0C">
          <w:rPr>
            <w:color w:val="000000" w:themeColor="text1"/>
            <w:szCs w:val="24"/>
            <w:u w:val="single"/>
          </w:rPr>
          <w:t>ES fondu interneta vietnē</w:t>
        </w:r>
      </w:hyperlink>
      <w:r w:rsidRPr="00852E0C">
        <w:rPr>
          <w:color w:val="000000" w:themeColor="text1"/>
          <w:szCs w:val="24"/>
          <w:vertAlign w:val="superscript"/>
        </w:rPr>
        <w:footnoteReference w:id="6"/>
      </w:r>
      <w:r w:rsidRPr="00852E0C">
        <w:rPr>
          <w:color w:val="000000" w:themeColor="text1"/>
          <w:szCs w:val="24"/>
        </w:rPr>
        <w:t xml:space="preserve"> un par valsts </w:t>
      </w:r>
      <w:r w:rsidRPr="00852E0C">
        <w:rPr>
          <w:color w:val="000000" w:themeColor="text1"/>
          <w:szCs w:val="24"/>
        </w:rPr>
        <w:lastRenderedPageBreak/>
        <w:t xml:space="preserve">budžeta izpildi un budžeta </w:t>
      </w:r>
      <w:proofErr w:type="spellStart"/>
      <w:r w:rsidRPr="00852E0C">
        <w:rPr>
          <w:color w:val="000000" w:themeColor="text1"/>
          <w:szCs w:val="24"/>
        </w:rPr>
        <w:t>virssaistību</w:t>
      </w:r>
      <w:proofErr w:type="spellEnd"/>
      <w:r w:rsidRPr="00852E0C">
        <w:rPr>
          <w:color w:val="000000" w:themeColor="text1"/>
          <w:szCs w:val="24"/>
        </w:rPr>
        <w:t xml:space="preserve"> izpildi skatīt ziņojuma sadaļā </w:t>
      </w:r>
      <w:r w:rsidR="00A17D41" w:rsidRPr="00852E0C">
        <w:rPr>
          <w:color w:val="000000" w:themeColor="text1"/>
          <w:szCs w:val="24"/>
          <w:u w:val="single"/>
        </w:rPr>
        <w:t>1</w:t>
      </w:r>
      <w:r w:rsidRPr="00852E0C">
        <w:rPr>
          <w:color w:val="000000" w:themeColor="text1"/>
          <w:szCs w:val="24"/>
          <w:u w:val="single"/>
        </w:rPr>
        <w:t xml:space="preserve">.2.2. „Informācija par valsts budžeta </w:t>
      </w:r>
      <w:proofErr w:type="spellStart"/>
      <w:r w:rsidRPr="00852E0C">
        <w:rPr>
          <w:color w:val="000000" w:themeColor="text1"/>
          <w:szCs w:val="24"/>
          <w:u w:val="single"/>
        </w:rPr>
        <w:t>virssaistībām</w:t>
      </w:r>
      <w:proofErr w:type="spellEnd"/>
      <w:r w:rsidRPr="00852E0C">
        <w:rPr>
          <w:color w:val="000000" w:themeColor="text1"/>
          <w:szCs w:val="24"/>
          <w:u w:val="single"/>
        </w:rPr>
        <w:t>”</w:t>
      </w:r>
      <w:r w:rsidR="00C17C43">
        <w:rPr>
          <w:color w:val="000000" w:themeColor="text1"/>
          <w:szCs w:val="24"/>
          <w:u w:val="single"/>
        </w:rPr>
        <w:t xml:space="preserve"> un </w:t>
      </w:r>
      <w:proofErr w:type="spellStart"/>
      <w:r w:rsidR="00C17C43">
        <w:rPr>
          <w:color w:val="000000" w:themeColor="text1"/>
          <w:szCs w:val="24"/>
          <w:u w:val="single"/>
        </w:rPr>
        <w:t>ESfondu</w:t>
      </w:r>
      <w:proofErr w:type="spellEnd"/>
      <w:r w:rsidR="00C17C43">
        <w:rPr>
          <w:color w:val="000000" w:themeColor="text1"/>
          <w:szCs w:val="24"/>
          <w:u w:val="single"/>
        </w:rPr>
        <w:t xml:space="preserve"> interneta vietnē</w:t>
      </w:r>
      <w:r w:rsidR="00C17C43" w:rsidRPr="00852E0C">
        <w:rPr>
          <w:rStyle w:val="FootnoteReference"/>
          <w:color w:val="000000" w:themeColor="text1"/>
          <w:szCs w:val="24"/>
        </w:rPr>
        <w:footnoteReference w:id="7"/>
      </w:r>
      <w:r w:rsidRPr="00852E0C">
        <w:rPr>
          <w:color w:val="000000" w:themeColor="text1"/>
          <w:szCs w:val="24"/>
        </w:rPr>
        <w:t>.</w:t>
      </w:r>
    </w:p>
    <w:p w14:paraId="4A388C5F" w14:textId="2D9C8F7C" w:rsidR="00604527" w:rsidRPr="00852E0C" w:rsidRDefault="00CA29A1" w:rsidP="00852E0C">
      <w:pPr>
        <w:spacing w:line="276" w:lineRule="auto"/>
        <w:rPr>
          <w:color w:val="000000" w:themeColor="text1"/>
          <w:szCs w:val="24"/>
          <w:u w:val="single"/>
          <w:lang w:eastAsia="lv-LV"/>
        </w:rPr>
      </w:pPr>
      <w:r w:rsidRPr="00852E0C">
        <w:rPr>
          <w:rFonts w:eastAsia="EUAlbertina-Bold-Identity-H"/>
          <w:color w:val="000000" w:themeColor="text1"/>
          <w:szCs w:val="24"/>
          <w:lang w:eastAsia="lv-LV"/>
        </w:rPr>
        <w:t>Grafiks Nr.</w:t>
      </w:r>
      <w:r w:rsidR="004B733A" w:rsidRPr="00852E0C">
        <w:rPr>
          <w:rFonts w:eastAsia="EUAlbertina-Bold-Identity-H"/>
          <w:color w:val="000000" w:themeColor="text1"/>
          <w:szCs w:val="24"/>
          <w:lang w:eastAsia="lv-LV"/>
        </w:rPr>
        <w:t>2</w:t>
      </w:r>
      <w:r w:rsidR="000B4535" w:rsidRPr="00852E0C">
        <w:rPr>
          <w:rFonts w:eastAsia="EUAlbertina-Bold-Identity-H"/>
          <w:color w:val="000000" w:themeColor="text1"/>
          <w:szCs w:val="24"/>
          <w:lang w:eastAsia="lv-LV"/>
        </w:rPr>
        <w:t xml:space="preserve"> </w:t>
      </w:r>
      <w:r w:rsidR="00E15CBF" w:rsidRPr="00852E0C">
        <w:rPr>
          <w:rFonts w:eastAsia="EUAlbertina-Bold-Identity-H"/>
          <w:i/>
          <w:color w:val="000000" w:themeColor="text1"/>
          <w:szCs w:val="24"/>
        </w:rPr>
        <w:t>„</w:t>
      </w:r>
      <w:r w:rsidR="008016A3" w:rsidRPr="00852E0C">
        <w:rPr>
          <w:i/>
          <w:iCs/>
          <w:color w:val="000000" w:themeColor="text1"/>
          <w:szCs w:val="24"/>
        </w:rPr>
        <w:t xml:space="preserve">ES fondu finanšu </w:t>
      </w:r>
      <w:r w:rsidR="009A6F3E" w:rsidRPr="00852E0C">
        <w:rPr>
          <w:i/>
          <w:iCs/>
          <w:color w:val="000000" w:themeColor="text1"/>
          <w:szCs w:val="24"/>
        </w:rPr>
        <w:t xml:space="preserve">investīcijas </w:t>
      </w:r>
      <w:r w:rsidR="008016A3" w:rsidRPr="00852E0C">
        <w:rPr>
          <w:i/>
          <w:iCs/>
          <w:color w:val="000000" w:themeColor="text1"/>
          <w:szCs w:val="24"/>
        </w:rPr>
        <w:t>līdz 201</w:t>
      </w:r>
      <w:r w:rsidR="0028012F" w:rsidRPr="00852E0C">
        <w:rPr>
          <w:i/>
          <w:iCs/>
          <w:color w:val="000000" w:themeColor="text1"/>
          <w:szCs w:val="24"/>
        </w:rPr>
        <w:t>3</w:t>
      </w:r>
      <w:r w:rsidR="008016A3" w:rsidRPr="00852E0C">
        <w:rPr>
          <w:i/>
          <w:iCs/>
          <w:color w:val="000000" w:themeColor="text1"/>
          <w:szCs w:val="24"/>
        </w:rPr>
        <w:t>.gada 31.</w:t>
      </w:r>
      <w:r w:rsidR="0028012F" w:rsidRPr="00852E0C">
        <w:rPr>
          <w:i/>
          <w:iCs/>
          <w:color w:val="000000" w:themeColor="text1"/>
          <w:szCs w:val="24"/>
        </w:rPr>
        <w:t>martam</w:t>
      </w:r>
      <w:r w:rsidR="008016A3" w:rsidRPr="00852E0C">
        <w:rPr>
          <w:i/>
          <w:iCs/>
          <w:color w:val="000000" w:themeColor="text1"/>
          <w:szCs w:val="24"/>
        </w:rPr>
        <w:t xml:space="preserve">; Publiskais finansējums, milj. latu (% no pieejamā publiskā finansējuma); progress pret datiem līdz 2012.gada </w:t>
      </w:r>
      <w:r w:rsidR="0028012F" w:rsidRPr="00852E0C">
        <w:rPr>
          <w:i/>
          <w:iCs/>
          <w:color w:val="000000" w:themeColor="text1"/>
          <w:szCs w:val="24"/>
        </w:rPr>
        <w:t>31.decembrim</w:t>
      </w:r>
      <w:r w:rsidR="008016A3" w:rsidRPr="00852E0C">
        <w:rPr>
          <w:i/>
          <w:iCs/>
          <w:color w:val="000000" w:themeColor="text1"/>
          <w:szCs w:val="24"/>
        </w:rPr>
        <w:t>, %.</w:t>
      </w:r>
      <w:r w:rsidR="000B4535" w:rsidRPr="00852E0C">
        <w:rPr>
          <w:rFonts w:eastAsia="EUAlbertina-Bold-Identity-H"/>
          <w:i/>
          <w:color w:val="000000" w:themeColor="text1"/>
          <w:szCs w:val="24"/>
        </w:rPr>
        <w:t>”</w:t>
      </w:r>
      <w:r w:rsidRPr="00852E0C">
        <w:rPr>
          <w:rFonts w:eastAsia="EUAlbertina-Bold-Identity-H"/>
          <w:noProof/>
          <w:color w:val="000000" w:themeColor="text1"/>
          <w:szCs w:val="24"/>
          <w:lang w:eastAsia="lv-LV"/>
        </w:rPr>
        <w:tab/>
      </w:r>
    </w:p>
    <w:p w14:paraId="766DE503" w14:textId="52C02456" w:rsidR="001D23C7" w:rsidRPr="00852E0C" w:rsidRDefault="001B47DD" w:rsidP="00852E0C">
      <w:pPr>
        <w:spacing w:line="276" w:lineRule="auto"/>
        <w:rPr>
          <w:rFonts w:eastAsia="EUAlbertina-Bold-Identity-H"/>
          <w:color w:val="000000" w:themeColor="text1"/>
          <w:szCs w:val="24"/>
          <w:highlight w:val="green"/>
          <w:lang w:eastAsia="lv-LV"/>
        </w:rPr>
      </w:pPr>
      <w:r w:rsidRPr="00852E0C">
        <w:rPr>
          <w:noProof/>
          <w:color w:val="000000" w:themeColor="text1"/>
          <w:szCs w:val="24"/>
          <w:lang w:eastAsia="lv-LV"/>
        </w:rPr>
        <w:drawing>
          <wp:inline distT="0" distB="0" distL="0" distR="0" wp14:anchorId="303EDC9F" wp14:editId="39920A35">
            <wp:extent cx="5986732" cy="2001329"/>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05AD04" w14:textId="77777777" w:rsidR="00BE0F06" w:rsidRDefault="00BE0F06">
      <w:pPr>
        <w:rPr>
          <w:rFonts w:eastAsia="EUAlbertina-Bold-Identity-H"/>
          <w:color w:val="000000" w:themeColor="text1"/>
          <w:szCs w:val="24"/>
          <w:lang w:eastAsia="lv-LV"/>
        </w:rPr>
      </w:pPr>
      <w:r>
        <w:rPr>
          <w:rFonts w:eastAsia="EUAlbertina-Bold-Identity-H"/>
          <w:color w:val="000000" w:themeColor="text1"/>
          <w:szCs w:val="24"/>
          <w:lang w:eastAsia="lv-LV"/>
        </w:rPr>
        <w:br w:type="page"/>
      </w:r>
    </w:p>
    <w:p w14:paraId="7253EB8C" w14:textId="0129A759" w:rsidR="00264512" w:rsidRPr="00BE0F06" w:rsidRDefault="00264512" w:rsidP="00BE0F06">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lastRenderedPageBreak/>
        <w:t>Grafiks Nr.</w:t>
      </w:r>
      <w:r w:rsidR="004B733A" w:rsidRPr="00852E0C">
        <w:rPr>
          <w:rFonts w:eastAsia="EUAlbertina-Bold-Identity-H"/>
          <w:color w:val="000000" w:themeColor="text1"/>
          <w:szCs w:val="24"/>
          <w:lang w:eastAsia="lv-LV"/>
        </w:rPr>
        <w:t>3</w:t>
      </w:r>
      <w:r w:rsidRPr="00852E0C">
        <w:rPr>
          <w:rFonts w:eastAsia="EUAlbertina-Bold-Identity-H"/>
          <w:color w:val="000000" w:themeColor="text1"/>
          <w:szCs w:val="24"/>
          <w:lang w:eastAsia="lv-LV"/>
        </w:rPr>
        <w:t xml:space="preserve"> </w:t>
      </w:r>
      <w:r w:rsidRPr="00BE0F06">
        <w:rPr>
          <w:rFonts w:eastAsia="EUAlbertina-Bold-Identity-H"/>
          <w:i/>
          <w:color w:val="000000" w:themeColor="text1"/>
          <w:szCs w:val="24"/>
          <w:lang w:eastAsia="lv-LV"/>
        </w:rPr>
        <w:t xml:space="preserve">„ES fondu finanšu investīcijas līdz 2012.gada </w:t>
      </w:r>
      <w:r w:rsidR="0028012F" w:rsidRPr="00BE0F06">
        <w:rPr>
          <w:rFonts w:eastAsia="EUAlbertina-Bold-Identity-H"/>
          <w:i/>
          <w:color w:val="000000" w:themeColor="text1"/>
          <w:szCs w:val="24"/>
          <w:lang w:eastAsia="lv-LV"/>
        </w:rPr>
        <w:t>31.martam</w:t>
      </w:r>
      <w:r w:rsidRPr="00BE0F06">
        <w:rPr>
          <w:rFonts w:eastAsia="EUAlbertina-Bold-Identity-H"/>
          <w:i/>
          <w:color w:val="000000" w:themeColor="text1"/>
          <w:szCs w:val="24"/>
          <w:lang w:eastAsia="lv-LV"/>
        </w:rPr>
        <w:t>; ES fondu finansējums, milj. latu (% no pieejamā ES fondu finansējuma)</w:t>
      </w:r>
      <w:r w:rsidR="00932B5E" w:rsidRPr="00BE0F06">
        <w:rPr>
          <w:rFonts w:eastAsia="EUAlbertina-Bold-Identity-H"/>
          <w:i/>
          <w:color w:val="000000" w:themeColor="text1"/>
          <w:szCs w:val="24"/>
          <w:lang w:eastAsia="lv-LV"/>
        </w:rPr>
        <w:t>; progress pret datiem līdz 2012.gada 31.decembrim, %</w:t>
      </w:r>
      <w:r w:rsidRPr="00BE0F06">
        <w:rPr>
          <w:rFonts w:eastAsia="EUAlbertina-Bold-Identity-H"/>
          <w:i/>
          <w:color w:val="000000" w:themeColor="text1"/>
          <w:szCs w:val="24"/>
          <w:lang w:eastAsia="lv-LV"/>
        </w:rPr>
        <w:t>.”</w:t>
      </w:r>
    </w:p>
    <w:p w14:paraId="222D1945" w14:textId="7BEBAD0E" w:rsidR="00264512" w:rsidRPr="00852E0C" w:rsidRDefault="00AA7AB1" w:rsidP="00852E0C">
      <w:pPr>
        <w:spacing w:line="276" w:lineRule="auto"/>
        <w:rPr>
          <w:rFonts w:eastAsia="EUAlbertina-Bold-Identity-H"/>
          <w:color w:val="000000" w:themeColor="text1"/>
          <w:szCs w:val="24"/>
          <w:highlight w:val="green"/>
          <w:lang w:eastAsia="lv-LV"/>
        </w:rPr>
      </w:pPr>
      <w:r w:rsidRPr="00852E0C">
        <w:rPr>
          <w:noProof/>
          <w:color w:val="000000" w:themeColor="text1"/>
          <w:szCs w:val="24"/>
          <w:lang w:eastAsia="lv-LV"/>
        </w:rPr>
        <w:drawing>
          <wp:inline distT="0" distB="0" distL="0" distR="0" wp14:anchorId="1B5AF331" wp14:editId="3A9FF6BC">
            <wp:extent cx="5658928" cy="4502988"/>
            <wp:effectExtent l="0" t="0" r="184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1CD14F" w14:textId="4131EEEF" w:rsidR="007A08DD" w:rsidRPr="00852E0C" w:rsidRDefault="007A08DD" w:rsidP="00852E0C">
      <w:pPr>
        <w:spacing w:line="276" w:lineRule="auto"/>
        <w:rPr>
          <w:color w:val="000000" w:themeColor="text1"/>
          <w:szCs w:val="24"/>
        </w:rPr>
      </w:pPr>
      <w:r w:rsidRPr="00852E0C">
        <w:rPr>
          <w:color w:val="000000" w:themeColor="text1"/>
          <w:szCs w:val="24"/>
        </w:rPr>
        <w:t xml:space="preserve">Lai nodrošinātu </w:t>
      </w:r>
      <w:r w:rsidR="00A141D1" w:rsidRPr="00852E0C">
        <w:rPr>
          <w:color w:val="000000" w:themeColor="text1"/>
          <w:szCs w:val="24"/>
        </w:rPr>
        <w:t xml:space="preserve">sekmīgu </w:t>
      </w:r>
      <w:r w:rsidRPr="00852E0C">
        <w:rPr>
          <w:color w:val="000000" w:themeColor="text1"/>
          <w:szCs w:val="24"/>
        </w:rPr>
        <w:t>ES fondu investīcij</w:t>
      </w:r>
      <w:r w:rsidR="00A141D1" w:rsidRPr="00852E0C">
        <w:rPr>
          <w:color w:val="000000" w:themeColor="text1"/>
          <w:szCs w:val="24"/>
        </w:rPr>
        <w:t>u projektu īstenošanu</w:t>
      </w:r>
      <w:r w:rsidRPr="00852E0C">
        <w:rPr>
          <w:color w:val="000000" w:themeColor="text1"/>
          <w:szCs w:val="24"/>
        </w:rPr>
        <w:t>, 2013.gada 12.marta MK sēdē</w:t>
      </w:r>
      <w:r w:rsidRPr="00852E0C">
        <w:rPr>
          <w:color w:val="000000" w:themeColor="text1"/>
          <w:szCs w:val="24"/>
          <w:vertAlign w:val="superscript"/>
        </w:rPr>
        <w:footnoteReference w:id="8"/>
      </w:r>
      <w:r w:rsidRPr="00852E0C">
        <w:rPr>
          <w:color w:val="000000" w:themeColor="text1"/>
          <w:szCs w:val="24"/>
        </w:rPr>
        <w:t xml:space="preserve"> tika apstiprināti </w:t>
      </w:r>
      <w:r w:rsidR="00A141D1" w:rsidRPr="00852E0C">
        <w:rPr>
          <w:color w:val="000000" w:themeColor="text1"/>
          <w:szCs w:val="24"/>
        </w:rPr>
        <w:t xml:space="preserve">2013.gada </w:t>
      </w:r>
      <w:r w:rsidRPr="00852E0C">
        <w:rPr>
          <w:color w:val="000000" w:themeColor="text1"/>
          <w:szCs w:val="24"/>
        </w:rPr>
        <w:t>mērķi maksājumiem finansējuma saņēmējiem par ES līdzfinansējuma daļu kopā vismaz 493,6milj. latu</w:t>
      </w:r>
      <w:r w:rsidR="00707230" w:rsidRPr="00852E0C">
        <w:rPr>
          <w:color w:val="000000" w:themeColor="text1"/>
          <w:szCs w:val="24"/>
        </w:rPr>
        <w:t>, kas ir izaicinājums, salīdzinot ar 2012.gadu</w:t>
      </w:r>
      <w:r w:rsidRPr="00852E0C">
        <w:rPr>
          <w:color w:val="000000" w:themeColor="text1"/>
          <w:szCs w:val="24"/>
        </w:rPr>
        <w:t>.</w:t>
      </w:r>
      <w:r w:rsidR="00707230" w:rsidRPr="00852E0C">
        <w:rPr>
          <w:color w:val="000000" w:themeColor="text1"/>
          <w:szCs w:val="24"/>
        </w:rPr>
        <w:t xml:space="preserve"> </w:t>
      </w:r>
      <w:r w:rsidRPr="00852E0C">
        <w:rPr>
          <w:color w:val="000000" w:themeColor="text1"/>
          <w:szCs w:val="24"/>
        </w:rPr>
        <w:t>Ņemot vērā AI gūto pieredzi aktivitāšu īstenošanā, AI mērķus 2013.gadam ir noteikušas samērā piesardzīgi</w:t>
      </w:r>
      <w:r w:rsidR="00707230" w:rsidRPr="00852E0C">
        <w:rPr>
          <w:color w:val="000000" w:themeColor="text1"/>
          <w:szCs w:val="24"/>
        </w:rPr>
        <w:t xml:space="preserve">, tomēr </w:t>
      </w:r>
      <w:r w:rsidRPr="00852E0C">
        <w:rPr>
          <w:color w:val="000000" w:themeColor="text1"/>
          <w:szCs w:val="24"/>
        </w:rPr>
        <w:t xml:space="preserve">2013.gada 1.ceturkšņa mērķa maksājumiem finansējuma saņēmējiem izpilde </w:t>
      </w:r>
      <w:r w:rsidR="00707230" w:rsidRPr="00852E0C">
        <w:rPr>
          <w:color w:val="000000" w:themeColor="text1"/>
          <w:szCs w:val="24"/>
        </w:rPr>
        <w:t>nav pietiekoši</w:t>
      </w:r>
      <w:r w:rsidRPr="00852E0C">
        <w:rPr>
          <w:color w:val="000000" w:themeColor="text1"/>
          <w:szCs w:val="24"/>
        </w:rPr>
        <w:t xml:space="preserve"> apmierinoša</w:t>
      </w:r>
      <w:r w:rsidR="00352B55">
        <w:rPr>
          <w:color w:val="000000" w:themeColor="text1"/>
          <w:szCs w:val="24"/>
        </w:rPr>
        <w:t xml:space="preserve"> – </w:t>
      </w:r>
      <w:r w:rsidRPr="00852E0C">
        <w:rPr>
          <w:color w:val="000000" w:themeColor="text1"/>
          <w:szCs w:val="24"/>
        </w:rPr>
        <w:t xml:space="preserve">maksājumi ir veikti 79,2% apmērā no plānotā </w:t>
      </w:r>
      <w:r w:rsidR="007138BB" w:rsidRPr="00852E0C">
        <w:rPr>
          <w:color w:val="000000" w:themeColor="text1"/>
          <w:szCs w:val="24"/>
        </w:rPr>
        <w:t>līdz 2013.gada 31.martam</w:t>
      </w:r>
      <w:r w:rsidR="00352B55">
        <w:rPr>
          <w:color w:val="000000" w:themeColor="text1"/>
          <w:szCs w:val="24"/>
        </w:rPr>
        <w:t xml:space="preserve"> – </w:t>
      </w:r>
      <w:r w:rsidR="000B33CB" w:rsidRPr="00852E0C">
        <w:rPr>
          <w:color w:val="000000" w:themeColor="text1"/>
          <w:szCs w:val="24"/>
        </w:rPr>
        <w:t>ko</w:t>
      </w:r>
      <w:r w:rsidR="0034469C" w:rsidRPr="00852E0C">
        <w:rPr>
          <w:color w:val="000000" w:themeColor="text1"/>
          <w:szCs w:val="24"/>
        </w:rPr>
        <w:t xml:space="preserve"> kavē DP „Infrastruktūra un pakalpojumi” projektu īstenošana</w:t>
      </w:r>
      <w:r w:rsidR="00707230" w:rsidRPr="00852E0C">
        <w:rPr>
          <w:color w:val="000000" w:themeColor="text1"/>
          <w:szCs w:val="24"/>
        </w:rPr>
        <w:t>s sarežģījumi</w:t>
      </w:r>
      <w:r w:rsidR="000B33CB" w:rsidRPr="00852E0C">
        <w:rPr>
          <w:color w:val="000000" w:themeColor="text1"/>
          <w:szCs w:val="24"/>
        </w:rPr>
        <w:t xml:space="preserve"> īpaši SM pārziņā esošajās aktivitātēs</w:t>
      </w:r>
      <w:r w:rsidR="00AD7211" w:rsidRPr="00852E0C">
        <w:rPr>
          <w:color w:val="000000" w:themeColor="text1"/>
          <w:szCs w:val="24"/>
        </w:rPr>
        <w:t xml:space="preserve"> (51% mērķa izpilde)</w:t>
      </w:r>
      <w:r w:rsidR="00707230" w:rsidRPr="00852E0C">
        <w:rPr>
          <w:color w:val="000000" w:themeColor="text1"/>
          <w:szCs w:val="24"/>
        </w:rPr>
        <w:t>. P</w:t>
      </w:r>
      <w:r w:rsidR="0034469C" w:rsidRPr="00852E0C">
        <w:rPr>
          <w:color w:val="000000" w:themeColor="text1"/>
          <w:szCs w:val="24"/>
        </w:rPr>
        <w:t xml:space="preserve">ārējo DP noteiktie mērķi ir </w:t>
      </w:r>
      <w:r w:rsidR="00707230" w:rsidRPr="00852E0C">
        <w:rPr>
          <w:color w:val="000000" w:themeColor="text1"/>
          <w:szCs w:val="24"/>
        </w:rPr>
        <w:t>izpildīti ar rezervi</w:t>
      </w:r>
      <w:r w:rsidR="0034469C" w:rsidRPr="00852E0C">
        <w:rPr>
          <w:color w:val="000000" w:themeColor="text1"/>
          <w:szCs w:val="24"/>
        </w:rPr>
        <w:t xml:space="preserve"> (DP „Cilvēkresursi un nodarbinātība” </w:t>
      </w:r>
      <w:r w:rsidR="00707230" w:rsidRPr="00852E0C">
        <w:rPr>
          <w:color w:val="000000" w:themeColor="text1"/>
          <w:szCs w:val="24"/>
        </w:rPr>
        <w:t>109</w:t>
      </w:r>
      <w:r w:rsidR="0034469C" w:rsidRPr="00852E0C">
        <w:rPr>
          <w:color w:val="000000" w:themeColor="text1"/>
          <w:szCs w:val="24"/>
        </w:rPr>
        <w:t xml:space="preserve">,3% un DP „Uzņēmējdarbība un inovācijas” – </w:t>
      </w:r>
      <w:r w:rsidR="00707230" w:rsidRPr="00852E0C">
        <w:rPr>
          <w:color w:val="000000" w:themeColor="text1"/>
          <w:szCs w:val="24"/>
        </w:rPr>
        <w:t>10</w:t>
      </w:r>
      <w:r w:rsidR="0034469C" w:rsidRPr="00852E0C">
        <w:rPr>
          <w:color w:val="000000" w:themeColor="text1"/>
          <w:szCs w:val="24"/>
        </w:rPr>
        <w:t>5,8%).</w:t>
      </w:r>
    </w:p>
    <w:p w14:paraId="77279A9E" w14:textId="77777777" w:rsidR="00075ACB" w:rsidRDefault="00075ACB">
      <w:pPr>
        <w:rPr>
          <w:color w:val="000000" w:themeColor="text1"/>
          <w:szCs w:val="24"/>
          <w:lang w:eastAsia="lv-LV"/>
        </w:rPr>
      </w:pPr>
      <w:r>
        <w:rPr>
          <w:color w:val="000000" w:themeColor="text1"/>
          <w:szCs w:val="24"/>
          <w:lang w:eastAsia="lv-LV"/>
        </w:rPr>
        <w:br w:type="page"/>
      </w:r>
    </w:p>
    <w:p w14:paraId="211987BF" w14:textId="34A348AB" w:rsidR="006A31B8" w:rsidRPr="00852E0C" w:rsidRDefault="006A31B8" w:rsidP="00852E0C">
      <w:pPr>
        <w:spacing w:line="276" w:lineRule="auto"/>
        <w:rPr>
          <w:iCs/>
          <w:color w:val="000000" w:themeColor="text1"/>
          <w:szCs w:val="24"/>
        </w:rPr>
      </w:pPr>
      <w:r w:rsidRPr="00852E0C">
        <w:rPr>
          <w:color w:val="000000" w:themeColor="text1"/>
          <w:szCs w:val="24"/>
          <w:lang w:eastAsia="lv-LV"/>
        </w:rPr>
        <w:lastRenderedPageBreak/>
        <w:t>Grafiks Nr.</w:t>
      </w:r>
      <w:r w:rsidR="004B733A" w:rsidRPr="00852E0C">
        <w:rPr>
          <w:color w:val="000000" w:themeColor="text1"/>
          <w:szCs w:val="24"/>
          <w:lang w:eastAsia="lv-LV"/>
        </w:rPr>
        <w:t>4</w:t>
      </w:r>
      <w:r w:rsidRPr="00852E0C">
        <w:rPr>
          <w:color w:val="000000" w:themeColor="text1"/>
          <w:szCs w:val="24"/>
          <w:lang w:eastAsia="lv-LV"/>
        </w:rPr>
        <w:t xml:space="preserve"> „</w:t>
      </w:r>
      <w:r w:rsidRPr="00852E0C">
        <w:rPr>
          <w:i/>
          <w:color w:val="000000" w:themeColor="text1"/>
          <w:szCs w:val="24"/>
          <w:lang w:eastAsia="lv-LV"/>
        </w:rPr>
        <w:t>Informācija par kopējiem mērķiem</w:t>
      </w:r>
      <w:r w:rsidR="0004160C" w:rsidRPr="00852E0C">
        <w:rPr>
          <w:i/>
          <w:color w:val="000000" w:themeColor="text1"/>
          <w:szCs w:val="24"/>
          <w:lang w:eastAsia="lv-LV"/>
        </w:rPr>
        <w:t xml:space="preserve"> maksājumiem finansējuma saņēmējiem</w:t>
      </w:r>
      <w:r w:rsidRPr="00852E0C">
        <w:rPr>
          <w:i/>
          <w:color w:val="000000" w:themeColor="text1"/>
          <w:szCs w:val="24"/>
          <w:lang w:eastAsia="lv-LV"/>
        </w:rPr>
        <w:t xml:space="preserve"> un to izpildi līdz </w:t>
      </w:r>
      <w:r w:rsidR="00357AB3" w:rsidRPr="00852E0C">
        <w:rPr>
          <w:i/>
          <w:color w:val="000000" w:themeColor="text1"/>
          <w:szCs w:val="24"/>
          <w:lang w:eastAsia="lv-LV"/>
        </w:rPr>
        <w:t>201</w:t>
      </w:r>
      <w:r w:rsidR="0028012F" w:rsidRPr="00852E0C">
        <w:rPr>
          <w:i/>
          <w:color w:val="000000" w:themeColor="text1"/>
          <w:szCs w:val="24"/>
          <w:lang w:eastAsia="lv-LV"/>
        </w:rPr>
        <w:t>3</w:t>
      </w:r>
      <w:r w:rsidR="00357AB3" w:rsidRPr="00852E0C">
        <w:rPr>
          <w:i/>
          <w:color w:val="000000" w:themeColor="text1"/>
          <w:szCs w:val="24"/>
          <w:lang w:eastAsia="lv-LV"/>
        </w:rPr>
        <w:t xml:space="preserve">.gada </w:t>
      </w:r>
      <w:r w:rsidR="001325EC" w:rsidRPr="00852E0C">
        <w:rPr>
          <w:i/>
          <w:color w:val="000000" w:themeColor="text1"/>
          <w:szCs w:val="24"/>
          <w:lang w:eastAsia="lv-LV"/>
        </w:rPr>
        <w:t>31.</w:t>
      </w:r>
      <w:r w:rsidR="0028012F" w:rsidRPr="00852E0C">
        <w:rPr>
          <w:i/>
          <w:color w:val="000000" w:themeColor="text1"/>
          <w:szCs w:val="24"/>
          <w:lang w:eastAsia="lv-LV"/>
        </w:rPr>
        <w:t>martam</w:t>
      </w:r>
      <w:r w:rsidR="00357AB3" w:rsidRPr="00852E0C">
        <w:rPr>
          <w:i/>
          <w:color w:val="000000" w:themeColor="text1"/>
          <w:szCs w:val="24"/>
          <w:lang w:eastAsia="lv-LV"/>
        </w:rPr>
        <w:t>; ES fondu finansējums</w:t>
      </w:r>
      <w:r w:rsidRPr="00852E0C">
        <w:rPr>
          <w:i/>
          <w:color w:val="000000" w:themeColor="text1"/>
          <w:szCs w:val="24"/>
          <w:lang w:eastAsia="lv-LV"/>
        </w:rPr>
        <w:t xml:space="preserve">, milj. </w:t>
      </w:r>
      <w:r w:rsidRPr="00852E0C">
        <w:rPr>
          <w:rFonts w:eastAsia="EUAlbertina-Bold-Identity-H"/>
          <w:i/>
          <w:color w:val="000000" w:themeColor="text1"/>
          <w:szCs w:val="24"/>
        </w:rPr>
        <w:t>latu</w:t>
      </w:r>
      <w:r w:rsidRPr="00852E0C">
        <w:rPr>
          <w:i/>
          <w:color w:val="000000" w:themeColor="text1"/>
          <w:szCs w:val="24"/>
          <w:lang w:eastAsia="lv-LV"/>
        </w:rPr>
        <w:t xml:space="preserve"> (mērķa izpilde, %).”</w:t>
      </w:r>
    </w:p>
    <w:p w14:paraId="6B796FD8" w14:textId="5CE6C55F" w:rsidR="006A31B8" w:rsidRPr="00852E0C" w:rsidRDefault="001F41C3" w:rsidP="00852E0C">
      <w:pPr>
        <w:spacing w:line="276" w:lineRule="auto"/>
        <w:rPr>
          <w:iCs/>
          <w:color w:val="000000" w:themeColor="text1"/>
          <w:szCs w:val="24"/>
          <w:highlight w:val="green"/>
        </w:rPr>
      </w:pPr>
      <w:r w:rsidRPr="00852E0C">
        <w:rPr>
          <w:noProof/>
          <w:color w:val="000000" w:themeColor="text1"/>
          <w:szCs w:val="24"/>
          <w:lang w:eastAsia="lv-LV"/>
        </w:rPr>
        <w:drawing>
          <wp:inline distT="0" distB="0" distL="0" distR="0" wp14:anchorId="1C2EB01F" wp14:editId="1FE2DED9">
            <wp:extent cx="5391150" cy="23812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98A953" w14:textId="181AAB40" w:rsidR="0011258A" w:rsidRPr="00852E0C" w:rsidRDefault="006A31B8" w:rsidP="00852E0C">
      <w:pPr>
        <w:spacing w:line="276" w:lineRule="auto"/>
        <w:rPr>
          <w:i/>
          <w:color w:val="000000" w:themeColor="text1"/>
          <w:szCs w:val="24"/>
          <w:lang w:eastAsia="lv-LV"/>
        </w:rPr>
      </w:pPr>
      <w:r w:rsidRPr="00852E0C">
        <w:rPr>
          <w:color w:val="000000" w:themeColor="text1"/>
          <w:szCs w:val="24"/>
          <w:lang w:eastAsia="lv-LV"/>
        </w:rPr>
        <w:t>Grafiks Nr.</w:t>
      </w:r>
      <w:r w:rsidR="004B733A" w:rsidRPr="00852E0C">
        <w:rPr>
          <w:color w:val="000000" w:themeColor="text1"/>
          <w:szCs w:val="24"/>
          <w:lang w:eastAsia="lv-LV"/>
        </w:rPr>
        <w:t>5</w:t>
      </w:r>
      <w:r w:rsidR="0011258A" w:rsidRPr="00852E0C">
        <w:rPr>
          <w:color w:val="000000" w:themeColor="text1"/>
          <w:szCs w:val="24"/>
          <w:lang w:eastAsia="lv-LV"/>
        </w:rPr>
        <w:t xml:space="preserve"> </w:t>
      </w:r>
      <w:r w:rsidR="0011258A" w:rsidRPr="00852E0C">
        <w:rPr>
          <w:i/>
          <w:color w:val="000000" w:themeColor="text1"/>
          <w:szCs w:val="24"/>
          <w:lang w:eastAsia="lv-LV"/>
        </w:rPr>
        <w:t xml:space="preserve">„Informācija par AI mērķiem </w:t>
      </w:r>
      <w:r w:rsidR="00AD0AB1" w:rsidRPr="00852E0C">
        <w:rPr>
          <w:i/>
          <w:color w:val="000000" w:themeColor="text1"/>
          <w:szCs w:val="24"/>
          <w:lang w:eastAsia="lv-LV"/>
        </w:rPr>
        <w:t>maksājumiem finansējuma saņēmējiem</w:t>
      </w:r>
      <w:r w:rsidR="00BE26BE" w:rsidRPr="00852E0C">
        <w:rPr>
          <w:i/>
          <w:color w:val="000000" w:themeColor="text1"/>
          <w:szCs w:val="24"/>
          <w:lang w:eastAsia="lv-LV"/>
        </w:rPr>
        <w:t xml:space="preserve"> </w:t>
      </w:r>
      <w:r w:rsidR="0011258A" w:rsidRPr="00852E0C">
        <w:rPr>
          <w:i/>
          <w:color w:val="000000" w:themeColor="text1"/>
          <w:szCs w:val="24"/>
          <w:lang w:eastAsia="lv-LV"/>
        </w:rPr>
        <w:t xml:space="preserve">un to izpildi līdz </w:t>
      </w:r>
      <w:r w:rsidR="00F0483B" w:rsidRPr="00852E0C">
        <w:rPr>
          <w:i/>
          <w:color w:val="000000" w:themeColor="text1"/>
          <w:szCs w:val="24"/>
          <w:lang w:eastAsia="lv-LV"/>
        </w:rPr>
        <w:t>201</w:t>
      </w:r>
      <w:r w:rsidR="0028012F" w:rsidRPr="00852E0C">
        <w:rPr>
          <w:i/>
          <w:color w:val="000000" w:themeColor="text1"/>
          <w:szCs w:val="24"/>
          <w:lang w:eastAsia="lv-LV"/>
        </w:rPr>
        <w:t>3</w:t>
      </w:r>
      <w:r w:rsidR="00F0483B" w:rsidRPr="00852E0C">
        <w:rPr>
          <w:i/>
          <w:color w:val="000000" w:themeColor="text1"/>
          <w:szCs w:val="24"/>
          <w:lang w:eastAsia="lv-LV"/>
        </w:rPr>
        <w:t xml:space="preserve">.gada </w:t>
      </w:r>
      <w:r w:rsidR="00037496" w:rsidRPr="00852E0C">
        <w:rPr>
          <w:i/>
          <w:color w:val="000000" w:themeColor="text1"/>
          <w:szCs w:val="24"/>
          <w:lang w:eastAsia="lv-LV"/>
        </w:rPr>
        <w:t>31.</w:t>
      </w:r>
      <w:r w:rsidR="0028012F" w:rsidRPr="00852E0C">
        <w:rPr>
          <w:i/>
          <w:color w:val="000000" w:themeColor="text1"/>
          <w:szCs w:val="24"/>
          <w:lang w:eastAsia="lv-LV"/>
        </w:rPr>
        <w:t>martam</w:t>
      </w:r>
      <w:r w:rsidR="00B44D0E" w:rsidRPr="00852E0C">
        <w:rPr>
          <w:i/>
          <w:color w:val="000000" w:themeColor="text1"/>
          <w:szCs w:val="24"/>
          <w:lang w:eastAsia="lv-LV"/>
        </w:rPr>
        <w:t>; ES fondu finansējums</w:t>
      </w:r>
      <w:r w:rsidR="0011258A" w:rsidRPr="00852E0C">
        <w:rPr>
          <w:i/>
          <w:color w:val="000000" w:themeColor="text1"/>
          <w:szCs w:val="24"/>
          <w:lang w:eastAsia="lv-LV"/>
        </w:rPr>
        <w:t xml:space="preserve">, milj. </w:t>
      </w:r>
      <w:r w:rsidR="0011258A" w:rsidRPr="00852E0C">
        <w:rPr>
          <w:rFonts w:eastAsia="EUAlbertina-Bold-Identity-H"/>
          <w:i/>
          <w:color w:val="000000" w:themeColor="text1"/>
          <w:szCs w:val="24"/>
        </w:rPr>
        <w:t>latu</w:t>
      </w:r>
      <w:r w:rsidR="0011258A" w:rsidRPr="00852E0C">
        <w:rPr>
          <w:i/>
          <w:color w:val="000000" w:themeColor="text1"/>
          <w:szCs w:val="24"/>
          <w:lang w:eastAsia="lv-LV"/>
        </w:rPr>
        <w:t xml:space="preserve"> (mērķa izpilde, %).”</w:t>
      </w:r>
    </w:p>
    <w:p w14:paraId="28A49777" w14:textId="616B8478" w:rsidR="002811CB" w:rsidRPr="00852E0C" w:rsidRDefault="00AC0F89" w:rsidP="00852E0C">
      <w:pPr>
        <w:spacing w:line="276" w:lineRule="auto"/>
        <w:rPr>
          <w:color w:val="000000" w:themeColor="text1"/>
          <w:szCs w:val="24"/>
          <w:highlight w:val="green"/>
        </w:rPr>
      </w:pPr>
      <w:r w:rsidRPr="00852E0C">
        <w:rPr>
          <w:noProof/>
          <w:color w:val="000000" w:themeColor="text1"/>
          <w:szCs w:val="24"/>
          <w:lang w:eastAsia="lv-LV"/>
        </w:rPr>
        <w:drawing>
          <wp:inline distT="0" distB="0" distL="0" distR="0" wp14:anchorId="74C5CB9A" wp14:editId="289AE25C">
            <wp:extent cx="5486400" cy="3827532"/>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33F22C" w14:textId="6251B3AE" w:rsidR="007A08DD" w:rsidRPr="00852E0C" w:rsidRDefault="007138BB" w:rsidP="00852E0C">
      <w:pPr>
        <w:spacing w:line="276" w:lineRule="auto"/>
        <w:rPr>
          <w:color w:val="000000" w:themeColor="text1"/>
          <w:szCs w:val="24"/>
        </w:rPr>
      </w:pPr>
      <w:bookmarkStart w:id="17" w:name="_Toc276049975"/>
      <w:r w:rsidRPr="00852E0C">
        <w:rPr>
          <w:color w:val="000000" w:themeColor="text1"/>
          <w:szCs w:val="24"/>
        </w:rPr>
        <w:t>Visl</w:t>
      </w:r>
      <w:r w:rsidR="007A08DD" w:rsidRPr="00852E0C">
        <w:rPr>
          <w:color w:val="000000" w:themeColor="text1"/>
          <w:szCs w:val="24"/>
        </w:rPr>
        <w:t>ēnāk ES fondu līdzekļu investīcijas tiek veiktas KF ietvaros (izpildīti 68,6% no 2013.gada 1.ceturkšņa mērķa). Pārskata periodā KF investīcijas plānotajā apmērā nav veikusi SM un EM, attiecīgi par 54% un 59,6% no plānotā apmērā.</w:t>
      </w:r>
      <w:r w:rsidR="002239D1" w:rsidRPr="00852E0C">
        <w:rPr>
          <w:color w:val="000000" w:themeColor="text1"/>
          <w:szCs w:val="24"/>
        </w:rPr>
        <w:t xml:space="preserve"> Ņemot vērā ieilgušo ziemu Latvijas teritorijā, būvniecības darbi aizkavējas, līdz ar ko finansējuma saņēmēji iekavē maksājumu pieprasījumu iesniegšanu, kas attiecīgi veido laika nobīdes izmaksu izvērtēšanā un izmaksu veikšanā EM ieviestajā </w:t>
      </w:r>
      <w:proofErr w:type="spellStart"/>
      <w:r w:rsidR="002239D1" w:rsidRPr="00852E0C">
        <w:rPr>
          <w:color w:val="000000" w:themeColor="text1"/>
          <w:szCs w:val="24"/>
        </w:rPr>
        <w:t>apakšaktivitātē</w:t>
      </w:r>
      <w:proofErr w:type="spellEnd"/>
      <w:r w:rsidR="002239D1" w:rsidRPr="00852E0C">
        <w:rPr>
          <w:color w:val="000000" w:themeColor="text1"/>
          <w:szCs w:val="24"/>
        </w:rPr>
        <w:t xml:space="preserve"> „Pasākumi centralizētas </w:t>
      </w:r>
      <w:r w:rsidR="002239D1" w:rsidRPr="00852E0C">
        <w:rPr>
          <w:color w:val="000000" w:themeColor="text1"/>
          <w:szCs w:val="24"/>
        </w:rPr>
        <w:lastRenderedPageBreak/>
        <w:t xml:space="preserve">siltumapgādes sistēmu efektivitātes paaugstināšanai” un aktivitātē „Atjaunojamo energoresursu izmantojošu koģenerācijas elektrostaciju attīstība”. </w:t>
      </w:r>
      <w:r w:rsidR="00117B2B" w:rsidRPr="00852E0C">
        <w:rPr>
          <w:color w:val="000000" w:themeColor="text1"/>
          <w:szCs w:val="24"/>
        </w:rPr>
        <w:t>SM ieviesto KF finansēto projektu ieviešanas tempi atpaliek no plānotajiem (t.sk. lielo projektu), kas, galvenokārt, saistīts ar problēmām iepirkumos, juridiskiem sarežģījumiem būvdarbu vajadzībām nepieciešamo zemju atsavināšanas jautājumos, kā arī tiesvedības procesiem, kā arī šajos projektos būvdarbu problēmu risināšana ieilgst neparedzēti ilgo auksto laikapstākļu dēļ. Taču</w:t>
      </w:r>
      <w:r w:rsidR="002239D1" w:rsidRPr="00852E0C">
        <w:rPr>
          <w:color w:val="000000" w:themeColor="text1"/>
          <w:szCs w:val="24"/>
        </w:rPr>
        <w:t xml:space="preserve"> SM ieviestajās aktivitātēs</w:t>
      </w:r>
      <w:r w:rsidR="00D02304" w:rsidRPr="00852E0C">
        <w:rPr>
          <w:color w:val="000000" w:themeColor="text1"/>
          <w:szCs w:val="24"/>
        </w:rPr>
        <w:t xml:space="preserve"> faktiskā izpilde ir lielāka, jo ar pārskata periodā iesniegtiem maksājuma pieprasījumiem tika dzēsti KF investīciju projektu ietvaros iepriekš veiktie avansa maksājumi.</w:t>
      </w:r>
    </w:p>
    <w:p w14:paraId="771B9F43" w14:textId="394DC92F" w:rsidR="00D805B3" w:rsidRPr="00852E0C" w:rsidRDefault="00D805B3" w:rsidP="00852E0C">
      <w:pPr>
        <w:spacing w:line="276" w:lineRule="auto"/>
        <w:rPr>
          <w:rStyle w:val="Hyperlink"/>
          <w:rFonts w:ascii="Times New Roman" w:hAnsi="Times New Roman" w:cs="Times New Roman"/>
          <w:color w:val="000000" w:themeColor="text1"/>
          <w:sz w:val="24"/>
          <w:szCs w:val="24"/>
        </w:rPr>
      </w:pPr>
      <w:r w:rsidRPr="00852E0C">
        <w:rPr>
          <w:rStyle w:val="Hyperlink"/>
          <w:rFonts w:ascii="Times New Roman" w:eastAsia="Calibri" w:hAnsi="Times New Roman" w:cs="Times New Roman"/>
          <w:color w:val="000000" w:themeColor="text1"/>
          <w:sz w:val="24"/>
          <w:szCs w:val="24"/>
          <w:lang w:eastAsia="lv-LV" w:bidi="en-US"/>
        </w:rPr>
        <w:t xml:space="preserve">2013.gada 1.ceturksnī kopējā FM pārziņā esošo ES fondu </w:t>
      </w:r>
      <w:r w:rsidRPr="00852E0C">
        <w:rPr>
          <w:rStyle w:val="Hyperlink"/>
          <w:rFonts w:ascii="Times New Roman" w:eastAsia="Calibri" w:hAnsi="Times New Roman" w:cs="Times New Roman"/>
          <w:b/>
          <w:color w:val="000000" w:themeColor="text1"/>
          <w:sz w:val="24"/>
          <w:szCs w:val="24"/>
          <w:lang w:eastAsia="lv-LV" w:bidi="en-US"/>
        </w:rPr>
        <w:t>budžeta izdevumu plāna izpilde</w:t>
      </w:r>
      <w:r w:rsidR="00352B55">
        <w:rPr>
          <w:rStyle w:val="Hyperlink"/>
          <w:rFonts w:ascii="Times New Roman" w:eastAsia="Calibri" w:hAnsi="Times New Roman" w:cs="Times New Roman"/>
          <w:color w:val="000000" w:themeColor="text1"/>
          <w:sz w:val="24"/>
          <w:szCs w:val="24"/>
          <w:lang w:eastAsia="lv-LV" w:bidi="en-US"/>
        </w:rPr>
        <w:t xml:space="preserve"> ir bijusi salīdzinoši laba – </w:t>
      </w:r>
      <w:r w:rsidRPr="00852E0C">
        <w:rPr>
          <w:rStyle w:val="Hyperlink"/>
          <w:rFonts w:ascii="Times New Roman" w:eastAsia="Calibri" w:hAnsi="Times New Roman" w:cs="Times New Roman"/>
          <w:color w:val="000000" w:themeColor="text1"/>
          <w:sz w:val="24"/>
          <w:szCs w:val="24"/>
          <w:lang w:eastAsia="lv-LV" w:bidi="en-US"/>
        </w:rPr>
        <w:t>96,3% no plānotajiem 77,2 milj. latu, neizpilde 2,9 milj. latu, lai gan notikusi finansējuma pārplānošana uz gada otru pusi (par ko liecina arī maksājumu mērķu izpildes novirzes)</w:t>
      </w:r>
      <w:r w:rsidRPr="00852E0C">
        <w:rPr>
          <w:rStyle w:val="FootnoteReference"/>
          <w:rFonts w:eastAsia="Calibri"/>
          <w:color w:val="000000" w:themeColor="text1"/>
          <w:szCs w:val="24"/>
          <w:lang w:eastAsia="lv-LV" w:bidi="en-US"/>
        </w:rPr>
        <w:footnoteReference w:id="9"/>
      </w:r>
      <w:r w:rsidRPr="00852E0C">
        <w:rPr>
          <w:rStyle w:val="Hyperlink"/>
          <w:rFonts w:ascii="Times New Roman" w:eastAsia="Calibri" w:hAnsi="Times New Roman" w:cs="Times New Roman"/>
          <w:color w:val="000000" w:themeColor="text1"/>
          <w:sz w:val="24"/>
          <w:szCs w:val="24"/>
          <w:lang w:eastAsia="lv-LV" w:bidi="en-US"/>
        </w:rPr>
        <w:t xml:space="preserve">. Aktuālā informācija par ES fondu valsts budžeta apguvi ik mēnesi tiek ievietota </w:t>
      </w:r>
      <w:hyperlink r:id="rId24" w:history="1">
        <w:r w:rsidRPr="00852E0C">
          <w:rPr>
            <w:rStyle w:val="Hyperlink"/>
            <w:rFonts w:ascii="Times New Roman" w:eastAsia="Calibri" w:hAnsi="Times New Roman" w:cs="Times New Roman"/>
            <w:color w:val="000000" w:themeColor="text1"/>
            <w:sz w:val="24"/>
            <w:szCs w:val="24"/>
            <w:lang w:eastAsia="lv-LV" w:bidi="en-US"/>
          </w:rPr>
          <w:t>ES fondu interneta vietnē</w:t>
        </w:r>
      </w:hyperlink>
      <w:r w:rsidRPr="00852E0C">
        <w:rPr>
          <w:rStyle w:val="FootnoteReference"/>
          <w:rFonts w:eastAsia="Calibri"/>
          <w:color w:val="000000" w:themeColor="text1"/>
          <w:szCs w:val="24"/>
          <w:lang w:eastAsia="lv-LV" w:bidi="en-US"/>
        </w:rPr>
        <w:footnoteReference w:id="10"/>
      </w:r>
      <w:r w:rsidRPr="00852E0C">
        <w:rPr>
          <w:rStyle w:val="Hyperlink"/>
          <w:rFonts w:ascii="Times New Roman" w:hAnsi="Times New Roman" w:cs="Times New Roman"/>
          <w:color w:val="000000" w:themeColor="text1"/>
          <w:sz w:val="24"/>
          <w:szCs w:val="24"/>
        </w:rPr>
        <w:t>.</w:t>
      </w:r>
    </w:p>
    <w:p w14:paraId="79B9B869" w14:textId="78DF7C7C" w:rsidR="00D805B3" w:rsidRPr="00852E0C" w:rsidRDefault="00D805B3" w:rsidP="00852E0C">
      <w:pPr>
        <w:spacing w:line="276" w:lineRule="auto"/>
        <w:rPr>
          <w:rFonts w:eastAsia="Calibri"/>
          <w:color w:val="000000" w:themeColor="text1"/>
          <w:szCs w:val="24"/>
          <w:lang w:eastAsia="lv-LV" w:bidi="en-US"/>
        </w:rPr>
      </w:pPr>
      <w:r w:rsidRPr="00852E0C">
        <w:rPr>
          <w:rFonts w:eastAsia="Calibri"/>
          <w:color w:val="000000" w:themeColor="text1"/>
          <w:szCs w:val="24"/>
          <w:lang w:eastAsia="lv-LV" w:bidi="en-US"/>
        </w:rPr>
        <w:t>2013.gada 1. ceturksnī kopā tika apgūti 14,6% no gada plāna ministriju budžetos</w:t>
      </w:r>
      <w:r w:rsidR="000E0633">
        <w:rPr>
          <w:rFonts w:eastAsia="Calibri"/>
          <w:color w:val="000000" w:themeColor="text1"/>
          <w:szCs w:val="24"/>
          <w:lang w:eastAsia="lv-LV" w:bidi="en-US"/>
        </w:rPr>
        <w:t xml:space="preserve"> </w:t>
      </w:r>
      <w:r w:rsidRPr="00852E0C">
        <w:rPr>
          <w:rFonts w:eastAsia="Calibri"/>
          <w:color w:val="000000" w:themeColor="text1"/>
          <w:szCs w:val="24"/>
          <w:lang w:eastAsia="lv-LV" w:bidi="en-US"/>
        </w:rPr>
        <w:t>un ierasti kā katru gadu lielākā daļa fondu finansējuma plānota gada turpmākajos mēnešos, īpaši izceļot gada pēdējo ceturksni (līdz pat 40% no gada izpildes).</w:t>
      </w:r>
    </w:p>
    <w:p w14:paraId="64E483B6" w14:textId="77777777" w:rsidR="00D805B3" w:rsidRPr="00852E0C" w:rsidRDefault="00D805B3" w:rsidP="00852E0C">
      <w:pPr>
        <w:spacing w:line="276" w:lineRule="auto"/>
        <w:rPr>
          <w:rStyle w:val="Hyperlink"/>
          <w:rFonts w:ascii="Times New Roman" w:hAnsi="Times New Roman" w:cs="Times New Roman"/>
          <w:color w:val="000000" w:themeColor="text1"/>
          <w:sz w:val="24"/>
          <w:szCs w:val="24"/>
          <w:highlight w:val="yellow"/>
        </w:rPr>
      </w:pPr>
      <w:r w:rsidRPr="00852E0C">
        <w:rPr>
          <w:rFonts w:eastAsia="Calibri"/>
          <w:color w:val="000000" w:themeColor="text1"/>
          <w:szCs w:val="24"/>
          <w:lang w:eastAsia="lv-LV" w:bidi="en-US"/>
        </w:rPr>
        <w:t xml:space="preserve">Lielākās budžeta neizpildes ministriju dalījumā gada 1.ceturksnī bija IZM (1,1 milj. latu), EM (0,7 milj. latu) un KM (0,3 milj. latu). Detalizēta informācija skatīt </w:t>
      </w:r>
      <w:hyperlink r:id="rId25" w:history="1">
        <w:r w:rsidRPr="00852E0C">
          <w:rPr>
            <w:rStyle w:val="Hyperlink"/>
            <w:rFonts w:ascii="Times New Roman" w:eastAsia="Calibri" w:hAnsi="Times New Roman" w:cs="Times New Roman"/>
            <w:color w:val="000000" w:themeColor="text1"/>
            <w:sz w:val="24"/>
            <w:szCs w:val="24"/>
            <w:lang w:eastAsia="lv-LV" w:bidi="en-US"/>
          </w:rPr>
          <w:t>ES fondu interneta vietnē</w:t>
        </w:r>
      </w:hyperlink>
      <w:r w:rsidRPr="00852E0C">
        <w:rPr>
          <w:rStyle w:val="FootnoteReference"/>
          <w:rFonts w:eastAsia="Calibri"/>
          <w:color w:val="000000" w:themeColor="text1"/>
          <w:szCs w:val="24"/>
          <w:lang w:eastAsia="lv-LV" w:bidi="en-US"/>
        </w:rPr>
        <w:footnoteReference w:id="11"/>
      </w:r>
      <w:r w:rsidRPr="00852E0C">
        <w:rPr>
          <w:rFonts w:eastAsia="Calibri"/>
          <w:color w:val="000000" w:themeColor="text1"/>
          <w:szCs w:val="24"/>
          <w:lang w:eastAsia="lv-LV" w:bidi="en-US"/>
        </w:rPr>
        <w:t xml:space="preserve">. </w:t>
      </w:r>
      <w:r w:rsidRPr="00852E0C">
        <w:rPr>
          <w:color w:val="000000" w:themeColor="text1"/>
          <w:szCs w:val="24"/>
        </w:rPr>
        <w:t>Lielākās budžeta neizpildes aktivitāšu dalījumā – informāciju un komunikāciju tehnoloģiju projekti (1,0 milj. latu), tehniskā palīdzība (0,2 milj. latu), sākotnējās profesionālās izglītības pievilcības veicināšana (0,2 milj. latu), mācību aprīkojums profesionālās izglītības skolās (0,2 milj. latu), ārējo tirgu apgūšana (0,2 milj. latu), biznesa inkubatori (0,2 milj. latu).</w:t>
      </w:r>
    </w:p>
    <w:p w14:paraId="730738D1" w14:textId="2D9DC8CA" w:rsidR="00D805B3" w:rsidRPr="00852E0C" w:rsidRDefault="00D805B3" w:rsidP="00852E0C">
      <w:pPr>
        <w:spacing w:line="276" w:lineRule="auto"/>
        <w:rPr>
          <w:color w:val="000000" w:themeColor="text1"/>
          <w:szCs w:val="24"/>
        </w:rPr>
      </w:pPr>
      <w:r w:rsidRPr="00852E0C">
        <w:rPr>
          <w:rFonts w:eastAsia="Calibri"/>
          <w:color w:val="000000" w:themeColor="text1"/>
          <w:szCs w:val="24"/>
          <w:lang w:eastAsia="lv-LV" w:bidi="en-US"/>
        </w:rPr>
        <w:t>Kopumā pilnīgi ES fondu finansējuma ieguldījumi nav apdraudēti, tomēr finansējuma pārplānošana uz nākamajiem gadiem nozīmē lielāku slogu gan valsts budžetam, gan ES fondu vadībai kopumā, jo, sākot ar 2014.gadu, būs jāadministrē esošais un jaunais plānošanas periods vienlaicīgi.</w:t>
      </w:r>
    </w:p>
    <w:p w14:paraId="5E013C17" w14:textId="6DC45E86" w:rsidR="00202714" w:rsidRPr="00852E0C" w:rsidRDefault="00202714" w:rsidP="00852E0C">
      <w:pPr>
        <w:spacing w:line="276" w:lineRule="auto"/>
        <w:rPr>
          <w:rFonts w:eastAsiaTheme="minorHAnsi"/>
          <w:color w:val="000000" w:themeColor="text1"/>
          <w:szCs w:val="24"/>
        </w:rPr>
      </w:pPr>
      <w:r w:rsidRPr="00852E0C">
        <w:rPr>
          <w:color w:val="000000" w:themeColor="text1"/>
          <w:szCs w:val="24"/>
        </w:rPr>
        <w:t>Salīdzinot ES fondu finanšu rādītājus starp jaunajām ES dalībvalstīm, ņemot vērā aktuālākos EK datus par EK veiktajiem kopējiem maksājumiem ES dalībvalstīm līdz 2013.gada 8.aprīlim, Latvija</w:t>
      </w:r>
      <w:r w:rsidR="002505E4" w:rsidRPr="00852E0C">
        <w:rPr>
          <w:color w:val="000000" w:themeColor="text1"/>
          <w:szCs w:val="24"/>
        </w:rPr>
        <w:t>,</w:t>
      </w:r>
      <w:r w:rsidRPr="00852E0C">
        <w:rPr>
          <w:color w:val="000000" w:themeColor="text1"/>
          <w:szCs w:val="24"/>
        </w:rPr>
        <w:t xml:space="preserve"> salīdzinot ar iepriekšējo ceturksni</w:t>
      </w:r>
      <w:r w:rsidR="002505E4" w:rsidRPr="00852E0C">
        <w:rPr>
          <w:color w:val="000000" w:themeColor="text1"/>
          <w:szCs w:val="24"/>
        </w:rPr>
        <w:t>,</w:t>
      </w:r>
      <w:r w:rsidRPr="00852E0C">
        <w:rPr>
          <w:color w:val="000000" w:themeColor="text1"/>
          <w:szCs w:val="24"/>
        </w:rPr>
        <w:t xml:space="preserve"> ir pakāpusies par vienu vietu, starp visām ES dalībvalstīm ierindojoties 9.vietā, bet starp jaunajām dalībvalstīm – 3.vietā.</w:t>
      </w:r>
      <w:r w:rsidR="002505E4" w:rsidRPr="00852E0C">
        <w:rPr>
          <w:color w:val="000000" w:themeColor="text1"/>
          <w:szCs w:val="24"/>
        </w:rPr>
        <w:t xml:space="preserve"> Savukārt ESF ietvaros Latvija arī 2013.gada 1.cetuksnī saglabā līderpozīciju, </w:t>
      </w:r>
      <w:r w:rsidR="002505E4" w:rsidRPr="00852E0C">
        <w:rPr>
          <w:color w:val="000000" w:themeColor="text1"/>
          <w:szCs w:val="24"/>
        </w:rPr>
        <w:lastRenderedPageBreak/>
        <w:t>veikti maksājumi 84,4% apmērā no pieejamā ES fondu finansējuma.</w:t>
      </w:r>
      <w:r w:rsidRPr="00852E0C">
        <w:rPr>
          <w:rFonts w:eastAsiaTheme="minorHAnsi"/>
          <w:color w:val="000000" w:themeColor="text1"/>
          <w:szCs w:val="24"/>
        </w:rPr>
        <w:t xml:space="preserve"> Detalizētu informāciju skatīt </w:t>
      </w:r>
      <w:hyperlink r:id="rId26" w:history="1">
        <w:r w:rsidR="006E3CCA" w:rsidRPr="00852E0C">
          <w:rPr>
            <w:rStyle w:val="Hyperlink"/>
            <w:rFonts w:ascii="Times New Roman" w:eastAsiaTheme="minorHAnsi" w:hAnsi="Times New Roman" w:cs="Times New Roman"/>
            <w:color w:val="000000" w:themeColor="text1"/>
            <w:sz w:val="24"/>
            <w:szCs w:val="24"/>
          </w:rPr>
          <w:t>ES fondu interneta vietnē</w:t>
        </w:r>
      </w:hyperlink>
      <w:r w:rsidRPr="00852E0C">
        <w:rPr>
          <w:rStyle w:val="FootnoteReference"/>
          <w:rFonts w:eastAsiaTheme="minorHAnsi"/>
          <w:color w:val="000000" w:themeColor="text1"/>
          <w:szCs w:val="24"/>
        </w:rPr>
        <w:footnoteReference w:id="12"/>
      </w:r>
      <w:r w:rsidRPr="00852E0C">
        <w:rPr>
          <w:rFonts w:eastAsiaTheme="minorHAnsi"/>
          <w:color w:val="000000" w:themeColor="text1"/>
          <w:szCs w:val="24"/>
        </w:rPr>
        <w:t>.</w:t>
      </w:r>
    </w:p>
    <w:p w14:paraId="2E41D88F" w14:textId="29294893" w:rsidR="002505E4" w:rsidRPr="00852E0C" w:rsidRDefault="002505E4" w:rsidP="00852E0C">
      <w:pPr>
        <w:spacing w:line="276" w:lineRule="auto"/>
        <w:rPr>
          <w:color w:val="000000" w:themeColor="text1"/>
          <w:szCs w:val="24"/>
        </w:rPr>
      </w:pPr>
      <w:r w:rsidRPr="00852E0C">
        <w:rPr>
          <w:color w:val="000000" w:themeColor="text1"/>
          <w:szCs w:val="24"/>
        </w:rPr>
        <w:t>Salīdzinot Baltijas valstis, ES fondu investīcijas Baltijas valstīs tiek veiktas līdzīgi</w:t>
      </w:r>
      <w:r w:rsidR="00BC5395" w:rsidRPr="00852E0C">
        <w:rPr>
          <w:color w:val="000000" w:themeColor="text1"/>
          <w:szCs w:val="24"/>
        </w:rPr>
        <w:t xml:space="preserve">. </w:t>
      </w:r>
      <w:r w:rsidR="009022AE" w:rsidRPr="00852E0C">
        <w:rPr>
          <w:color w:val="000000" w:themeColor="text1"/>
          <w:szCs w:val="24"/>
        </w:rPr>
        <w:t xml:space="preserve">Latvija šobrīd ir noslēgusi līgumus par projektu īstenošanu 95,2% apmērā no pieejamā ES fondu finansējuma, apsteidzot pārējās Baltijas valstis, taču nedaudz atpaliek no tām veikto un no EK saņemto maksājumu apjomā. </w:t>
      </w:r>
      <w:r w:rsidR="00BC5395" w:rsidRPr="00852E0C">
        <w:rPr>
          <w:color w:val="000000" w:themeColor="text1"/>
          <w:szCs w:val="24"/>
        </w:rPr>
        <w:t xml:space="preserve">Detalizētu informāciju skatīt </w:t>
      </w:r>
      <w:r w:rsidR="00BC5395" w:rsidRPr="00852E0C">
        <w:rPr>
          <w:color w:val="000000" w:themeColor="text1"/>
          <w:szCs w:val="24"/>
          <w:u w:val="single"/>
        </w:rPr>
        <w:t>grafikā Nr.</w:t>
      </w:r>
      <w:r w:rsidR="00BE6E84" w:rsidRPr="00852E0C">
        <w:rPr>
          <w:color w:val="000000" w:themeColor="text1"/>
          <w:szCs w:val="24"/>
          <w:u w:val="single"/>
        </w:rPr>
        <w:t>6</w:t>
      </w:r>
      <w:r w:rsidR="00BC5395" w:rsidRPr="00852E0C">
        <w:rPr>
          <w:color w:val="000000" w:themeColor="text1"/>
          <w:szCs w:val="24"/>
        </w:rPr>
        <w:t xml:space="preserve"> un </w:t>
      </w:r>
      <w:hyperlink r:id="rId27" w:history="1">
        <w:r w:rsidR="006E3CCA" w:rsidRPr="00852E0C">
          <w:rPr>
            <w:rStyle w:val="Hyperlink"/>
            <w:rFonts w:ascii="Times New Roman" w:hAnsi="Times New Roman" w:cs="Times New Roman"/>
            <w:color w:val="000000" w:themeColor="text1"/>
            <w:sz w:val="24"/>
            <w:szCs w:val="24"/>
          </w:rPr>
          <w:t>ES fondu interneta vietnē</w:t>
        </w:r>
      </w:hyperlink>
      <w:r w:rsidR="00BC5395" w:rsidRPr="00852E0C">
        <w:rPr>
          <w:rStyle w:val="FootnoteReference"/>
          <w:color w:val="000000" w:themeColor="text1"/>
          <w:szCs w:val="24"/>
        </w:rPr>
        <w:footnoteReference w:id="13"/>
      </w:r>
      <w:r w:rsidR="00BC5395" w:rsidRPr="00852E0C">
        <w:rPr>
          <w:color w:val="000000" w:themeColor="text1"/>
          <w:szCs w:val="24"/>
        </w:rPr>
        <w:t>.</w:t>
      </w:r>
    </w:p>
    <w:p w14:paraId="67571DE9" w14:textId="733358D3" w:rsidR="00BC5395" w:rsidRPr="00852E0C" w:rsidRDefault="005E36E0" w:rsidP="00852E0C">
      <w:pPr>
        <w:pStyle w:val="Default"/>
        <w:spacing w:line="276" w:lineRule="auto"/>
        <w:rPr>
          <w:color w:val="000000" w:themeColor="text1"/>
        </w:rPr>
      </w:pPr>
      <w:r w:rsidRPr="00852E0C">
        <w:rPr>
          <w:color w:val="000000" w:themeColor="text1"/>
        </w:rPr>
        <w:t>Grafiks Nr.</w:t>
      </w:r>
      <w:r w:rsidR="004B733A" w:rsidRPr="00852E0C">
        <w:rPr>
          <w:color w:val="000000" w:themeColor="text1"/>
        </w:rPr>
        <w:t>6</w:t>
      </w:r>
      <w:r w:rsidR="00BC5395" w:rsidRPr="00852E0C">
        <w:rPr>
          <w:color w:val="000000" w:themeColor="text1"/>
        </w:rPr>
        <w:t xml:space="preserve"> </w:t>
      </w:r>
      <w:r w:rsidR="00BC5395" w:rsidRPr="00852E0C">
        <w:rPr>
          <w:i/>
          <w:color w:val="000000" w:themeColor="text1"/>
        </w:rPr>
        <w:t>„Baltijas valstu ES fondu investīciju salīdzinājums dalījuma pa fondiem</w:t>
      </w:r>
      <w:r w:rsidR="009022AE" w:rsidRPr="00852E0C">
        <w:rPr>
          <w:i/>
          <w:color w:val="000000" w:themeColor="text1"/>
        </w:rPr>
        <w:t xml:space="preserve"> līdz 2013.gada 31.martam</w:t>
      </w:r>
      <w:r w:rsidR="00BC5395" w:rsidRPr="00852E0C">
        <w:rPr>
          <w:i/>
          <w:color w:val="000000" w:themeColor="text1"/>
        </w:rPr>
        <w:t xml:space="preserve"> (noslēgtie līgumi; % no ES fondu finansējuma)</w:t>
      </w:r>
      <w:r w:rsidR="009022AE" w:rsidRPr="00852E0C">
        <w:rPr>
          <w:i/>
          <w:color w:val="000000" w:themeColor="text1"/>
        </w:rPr>
        <w:t xml:space="preserve">, </w:t>
      </w:r>
      <w:r w:rsidR="009022AE" w:rsidRPr="00852E0C">
        <w:rPr>
          <w:i/>
          <w:iCs/>
          <w:color w:val="000000" w:themeColor="text1"/>
        </w:rPr>
        <w:t>progress pret datiem</w:t>
      </w:r>
      <w:r w:rsidR="009022AE" w:rsidRPr="00852E0C">
        <w:rPr>
          <w:i/>
          <w:color w:val="000000" w:themeColor="text1"/>
        </w:rPr>
        <w:t xml:space="preserve"> </w:t>
      </w:r>
      <w:r w:rsidR="00BC5395" w:rsidRPr="00852E0C">
        <w:rPr>
          <w:i/>
          <w:color w:val="000000" w:themeColor="text1"/>
        </w:rPr>
        <w:t>līdz 2012.gada 31.decembrim</w:t>
      </w:r>
      <w:r w:rsidR="009022AE" w:rsidRPr="00852E0C">
        <w:rPr>
          <w:i/>
          <w:color w:val="000000" w:themeColor="text1"/>
        </w:rPr>
        <w:t>, %</w:t>
      </w:r>
      <w:r w:rsidR="00BC5395" w:rsidRPr="00852E0C">
        <w:rPr>
          <w:i/>
          <w:color w:val="000000" w:themeColor="text1"/>
        </w:rPr>
        <w:t>.”</w:t>
      </w:r>
    </w:p>
    <w:p w14:paraId="142368FC" w14:textId="37977141" w:rsidR="00BC5395" w:rsidRPr="00852E0C" w:rsidRDefault="009022AE" w:rsidP="00852E0C">
      <w:pPr>
        <w:spacing w:line="276" w:lineRule="auto"/>
        <w:rPr>
          <w:color w:val="000000" w:themeColor="text1"/>
          <w:szCs w:val="24"/>
          <w:highlight w:val="green"/>
        </w:rPr>
      </w:pPr>
      <w:r w:rsidRPr="00852E0C">
        <w:rPr>
          <w:noProof/>
          <w:color w:val="000000" w:themeColor="text1"/>
          <w:szCs w:val="24"/>
          <w:lang w:eastAsia="lv-LV"/>
        </w:rPr>
        <w:drawing>
          <wp:inline distT="0" distB="0" distL="0" distR="0" wp14:anchorId="47E0A7AD" wp14:editId="3BFEEC2D">
            <wp:extent cx="5679688" cy="240122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3130712" w14:textId="1053120F" w:rsidR="00005C63" w:rsidRPr="00852E0C" w:rsidRDefault="0029002C" w:rsidP="00852E0C">
      <w:pPr>
        <w:pStyle w:val="2lmenis"/>
        <w:numPr>
          <w:ilvl w:val="2"/>
          <w:numId w:val="2"/>
        </w:numPr>
        <w:spacing w:before="120" w:after="120" w:line="276" w:lineRule="auto"/>
        <w:jc w:val="both"/>
        <w:rPr>
          <w:rFonts w:eastAsiaTheme="minorHAnsi"/>
          <w:color w:val="000000" w:themeColor="text1"/>
          <w:sz w:val="24"/>
          <w:szCs w:val="24"/>
          <w:lang w:val="lv-LV"/>
        </w:rPr>
      </w:pPr>
      <w:bookmarkStart w:id="18" w:name="_Toc356465225"/>
      <w:r w:rsidRPr="00852E0C">
        <w:rPr>
          <w:color w:val="000000" w:themeColor="text1"/>
          <w:sz w:val="24"/>
          <w:szCs w:val="24"/>
          <w:lang w:val="lv-LV"/>
        </w:rPr>
        <w:t>Informācija</w:t>
      </w:r>
      <w:r w:rsidRPr="00852E0C">
        <w:rPr>
          <w:rFonts w:eastAsiaTheme="minorHAnsi"/>
          <w:color w:val="000000" w:themeColor="text1"/>
          <w:sz w:val="24"/>
          <w:szCs w:val="24"/>
          <w:lang w:val="lv-LV"/>
        </w:rPr>
        <w:t xml:space="preserve"> par valsts budžeta </w:t>
      </w:r>
      <w:proofErr w:type="spellStart"/>
      <w:r w:rsidRPr="00852E0C">
        <w:rPr>
          <w:rFonts w:eastAsiaTheme="minorHAnsi"/>
          <w:color w:val="000000" w:themeColor="text1"/>
          <w:sz w:val="24"/>
          <w:szCs w:val="24"/>
          <w:lang w:val="lv-LV"/>
        </w:rPr>
        <w:t>virssaistībām</w:t>
      </w:r>
      <w:bookmarkEnd w:id="18"/>
      <w:proofErr w:type="spellEnd"/>
    </w:p>
    <w:p w14:paraId="417629DD" w14:textId="41CC81EF" w:rsidR="005F44DE" w:rsidRPr="00852E0C" w:rsidRDefault="000F2E8D" w:rsidP="00852E0C">
      <w:pPr>
        <w:spacing w:line="276" w:lineRule="auto"/>
        <w:ind w:left="142"/>
        <w:rPr>
          <w:color w:val="000000" w:themeColor="text1"/>
          <w:szCs w:val="24"/>
        </w:rPr>
      </w:pPr>
      <w:r w:rsidRPr="00852E0C">
        <w:rPr>
          <w:color w:val="000000" w:themeColor="text1"/>
          <w:szCs w:val="24"/>
        </w:rPr>
        <w:t xml:space="preserve">Atbilstoši </w:t>
      </w:r>
      <w:r w:rsidR="00A37652" w:rsidRPr="00852E0C">
        <w:rPr>
          <w:color w:val="000000" w:themeColor="text1"/>
          <w:szCs w:val="24"/>
        </w:rPr>
        <w:t xml:space="preserve">MK </w:t>
      </w:r>
      <w:r w:rsidRPr="00852E0C">
        <w:rPr>
          <w:color w:val="000000" w:themeColor="text1"/>
          <w:szCs w:val="24"/>
        </w:rPr>
        <w:t>lēmumiem</w:t>
      </w:r>
      <w:r w:rsidRPr="00852E0C">
        <w:rPr>
          <w:color w:val="000000" w:themeColor="text1"/>
          <w:szCs w:val="24"/>
          <w:vertAlign w:val="superscript"/>
        </w:rPr>
        <w:footnoteReference w:id="14"/>
      </w:r>
      <w:r w:rsidRPr="00852E0C">
        <w:rPr>
          <w:color w:val="000000" w:themeColor="text1"/>
          <w:szCs w:val="24"/>
        </w:rPr>
        <w:t xml:space="preserve"> valdība ir apstiprinājusi iespēju </w:t>
      </w:r>
      <w:r w:rsidR="00352B55">
        <w:rPr>
          <w:color w:val="000000" w:themeColor="text1"/>
          <w:szCs w:val="24"/>
        </w:rPr>
        <w:t>AI</w:t>
      </w:r>
      <w:r w:rsidR="00946BE9" w:rsidRPr="00852E0C">
        <w:rPr>
          <w:color w:val="000000" w:themeColor="text1"/>
          <w:szCs w:val="24"/>
        </w:rPr>
        <w:t xml:space="preserve"> </w:t>
      </w:r>
      <w:r w:rsidRPr="00852E0C">
        <w:rPr>
          <w:color w:val="000000" w:themeColor="text1"/>
          <w:szCs w:val="24"/>
        </w:rPr>
        <w:t xml:space="preserve">papildus jau piešķirtajam publiskajam piešķīrumam uzņemties </w:t>
      </w:r>
      <w:proofErr w:type="spellStart"/>
      <w:r w:rsidRPr="00852E0C">
        <w:rPr>
          <w:color w:val="000000" w:themeColor="text1"/>
          <w:szCs w:val="24"/>
        </w:rPr>
        <w:t>virssaistības</w:t>
      </w:r>
      <w:proofErr w:type="spellEnd"/>
      <w:r w:rsidRPr="00852E0C">
        <w:rPr>
          <w:color w:val="000000" w:themeColor="text1"/>
          <w:szCs w:val="24"/>
        </w:rPr>
        <w:t xml:space="preserve"> 298,6 </w:t>
      </w:r>
      <w:proofErr w:type="spellStart"/>
      <w:r w:rsidRPr="00852E0C">
        <w:rPr>
          <w:color w:val="000000" w:themeColor="text1"/>
          <w:szCs w:val="24"/>
        </w:rPr>
        <w:t>milj</w:t>
      </w:r>
      <w:proofErr w:type="spellEnd"/>
      <w:r w:rsidRPr="00852E0C">
        <w:rPr>
          <w:color w:val="000000" w:themeColor="text1"/>
          <w:szCs w:val="24"/>
        </w:rPr>
        <w:t xml:space="preserve">. latu apmērā. Līdz 2013.gada 31.martam </w:t>
      </w:r>
      <w:proofErr w:type="spellStart"/>
      <w:r w:rsidRPr="00852E0C">
        <w:rPr>
          <w:color w:val="000000" w:themeColor="text1"/>
          <w:szCs w:val="24"/>
        </w:rPr>
        <w:t>virssaistību</w:t>
      </w:r>
      <w:proofErr w:type="spellEnd"/>
      <w:r w:rsidRPr="00852E0C">
        <w:rPr>
          <w:color w:val="000000" w:themeColor="text1"/>
          <w:szCs w:val="24"/>
        </w:rPr>
        <w:t xml:space="preserve"> finansējuma līgumi noslēgti par 97,9 milj. latu, kas ir 107,9% no plānotā noslēgto līguma apjoma līdz 2013.gada 1.ceturksnim (90,1 milj. latu), lai gan aktivitāšu līmenī ir mērķa neizpildes. Savukārt lauzto līgumu un neatbilstību apjoms, kas šobrīd dzēstu uzņemtās </w:t>
      </w:r>
      <w:proofErr w:type="spellStart"/>
      <w:r w:rsidRPr="00852E0C">
        <w:rPr>
          <w:color w:val="000000" w:themeColor="text1"/>
          <w:szCs w:val="24"/>
        </w:rPr>
        <w:t>virssaistības</w:t>
      </w:r>
      <w:proofErr w:type="spellEnd"/>
      <w:r w:rsidRPr="00852E0C">
        <w:rPr>
          <w:color w:val="000000" w:themeColor="text1"/>
          <w:szCs w:val="24"/>
        </w:rPr>
        <w:t xml:space="preserve">, ir 34,9 </w:t>
      </w:r>
      <w:proofErr w:type="spellStart"/>
      <w:r w:rsidRPr="00852E0C">
        <w:rPr>
          <w:color w:val="000000" w:themeColor="text1"/>
          <w:szCs w:val="24"/>
        </w:rPr>
        <w:t>milj</w:t>
      </w:r>
      <w:proofErr w:type="spellEnd"/>
      <w:r w:rsidRPr="00852E0C">
        <w:rPr>
          <w:color w:val="000000" w:themeColor="text1"/>
          <w:szCs w:val="24"/>
        </w:rPr>
        <w:t xml:space="preserve">. latu. </w:t>
      </w:r>
    </w:p>
    <w:p w14:paraId="29C1BA35" w14:textId="691DEA8A" w:rsidR="00140510" w:rsidRDefault="005F44DE" w:rsidP="00852E0C">
      <w:pPr>
        <w:spacing w:line="276" w:lineRule="auto"/>
        <w:rPr>
          <w:color w:val="000000" w:themeColor="text1"/>
          <w:szCs w:val="24"/>
        </w:rPr>
      </w:pPr>
      <w:r w:rsidRPr="00852E0C">
        <w:rPr>
          <w:color w:val="000000" w:themeColor="text1"/>
          <w:szCs w:val="24"/>
        </w:rPr>
        <w:t xml:space="preserve">Ņemot vērā noteiktos disciplinējošos pasākumus, par ko informācija pieejama iepriekšējos FM informatīvajos ziņojumos, finanšu ministrs sākot ar šo ceturkšņa </w:t>
      </w:r>
      <w:r w:rsidRPr="00AA355F">
        <w:rPr>
          <w:color w:val="000000" w:themeColor="text1"/>
          <w:szCs w:val="24"/>
        </w:rPr>
        <w:t xml:space="preserve">ziņojumu var rosināt </w:t>
      </w:r>
      <w:r w:rsidR="00A37652" w:rsidRPr="00AA355F">
        <w:rPr>
          <w:color w:val="000000" w:themeColor="text1"/>
          <w:szCs w:val="24"/>
        </w:rPr>
        <w:t>MK</w:t>
      </w:r>
      <w:r w:rsidRPr="00AA355F">
        <w:rPr>
          <w:color w:val="000000" w:themeColor="text1"/>
          <w:szCs w:val="24"/>
        </w:rPr>
        <w:t xml:space="preserve"> lemt par </w:t>
      </w:r>
      <w:proofErr w:type="spellStart"/>
      <w:r w:rsidRPr="00AA355F">
        <w:rPr>
          <w:color w:val="000000" w:themeColor="text1"/>
          <w:szCs w:val="24"/>
        </w:rPr>
        <w:t>virssaistību</w:t>
      </w:r>
      <w:proofErr w:type="spellEnd"/>
      <w:r w:rsidRPr="00AA355F">
        <w:rPr>
          <w:color w:val="000000" w:themeColor="text1"/>
          <w:szCs w:val="24"/>
        </w:rPr>
        <w:t xml:space="preserve"> apjoma proporcionālu samazinājumu vai </w:t>
      </w:r>
      <w:proofErr w:type="spellStart"/>
      <w:r w:rsidRPr="00AA355F">
        <w:rPr>
          <w:color w:val="000000" w:themeColor="text1"/>
          <w:szCs w:val="24"/>
        </w:rPr>
        <w:t>virssaistību</w:t>
      </w:r>
      <w:proofErr w:type="spellEnd"/>
      <w:r w:rsidRPr="00AA355F">
        <w:rPr>
          <w:color w:val="000000" w:themeColor="text1"/>
          <w:szCs w:val="24"/>
        </w:rPr>
        <w:t xml:space="preserve"> pārdali uz tām ES fondu aktivitātēm, kurās ir pieejami projekti augstā gatavības pakāpē</w:t>
      </w:r>
      <w:r w:rsidR="00140510" w:rsidRPr="00AA355F">
        <w:rPr>
          <w:color w:val="000000" w:themeColor="text1"/>
          <w:szCs w:val="24"/>
        </w:rPr>
        <w:t>.</w:t>
      </w:r>
    </w:p>
    <w:p w14:paraId="51321E21" w14:textId="77777777" w:rsidR="002B58FD" w:rsidRPr="002B58FD" w:rsidRDefault="002B58FD" w:rsidP="002B58FD">
      <w:pPr>
        <w:spacing w:line="276" w:lineRule="auto"/>
        <w:rPr>
          <w:color w:val="000000" w:themeColor="text1"/>
          <w:szCs w:val="24"/>
        </w:rPr>
      </w:pPr>
      <w:r w:rsidRPr="002B58FD">
        <w:rPr>
          <w:color w:val="000000" w:themeColor="text1"/>
          <w:szCs w:val="24"/>
        </w:rPr>
        <w:lastRenderedPageBreak/>
        <w:t xml:space="preserve">Atbilstoši MK 2012.gada 4.decembra sēdes protokolam Nr.68 (34.§, 4. un 5.p.), sākot ar 2013.gada 1.martu par </w:t>
      </w:r>
      <w:proofErr w:type="spellStart"/>
      <w:r w:rsidRPr="002B58FD">
        <w:rPr>
          <w:color w:val="000000" w:themeColor="text1"/>
          <w:szCs w:val="24"/>
        </w:rPr>
        <w:t>virssaistību</w:t>
      </w:r>
      <w:proofErr w:type="spellEnd"/>
      <w:r w:rsidRPr="002B58FD">
        <w:rPr>
          <w:color w:val="000000" w:themeColor="text1"/>
          <w:szCs w:val="24"/>
        </w:rPr>
        <w:t xml:space="preserve"> apjoma proporcionālu samazināšanu MK lemj, ja iestājas vismaz viens no šādiem apstākļiem:</w:t>
      </w:r>
    </w:p>
    <w:p w14:paraId="0ABAA817" w14:textId="77777777" w:rsidR="002B58FD" w:rsidRPr="002B58FD" w:rsidRDefault="002B58FD" w:rsidP="002B58FD">
      <w:pPr>
        <w:spacing w:line="276" w:lineRule="auto"/>
        <w:rPr>
          <w:color w:val="000000" w:themeColor="text1"/>
          <w:szCs w:val="24"/>
        </w:rPr>
      </w:pPr>
      <w:r w:rsidRPr="002B58FD">
        <w:rPr>
          <w:color w:val="000000" w:themeColor="text1"/>
          <w:szCs w:val="24"/>
        </w:rPr>
        <w:t xml:space="preserve">1)AI noteiktā kumulatīvā ikmēneša maksājumu finansējuma saņēmējiem plāna neizpilde 2 mēnešus pēc kārtas ir vismaz 10% un vienlaikus pārsniedz 250 </w:t>
      </w:r>
      <w:proofErr w:type="spellStart"/>
      <w:r w:rsidRPr="002B58FD">
        <w:rPr>
          <w:color w:val="000000" w:themeColor="text1"/>
          <w:szCs w:val="24"/>
        </w:rPr>
        <w:t>tūkst</w:t>
      </w:r>
      <w:proofErr w:type="spellEnd"/>
      <w:r w:rsidRPr="002B58FD">
        <w:rPr>
          <w:color w:val="000000" w:themeColor="text1"/>
          <w:szCs w:val="24"/>
        </w:rPr>
        <w:t>. latu;</w:t>
      </w:r>
    </w:p>
    <w:p w14:paraId="37C2AD2B" w14:textId="35CF3480" w:rsidR="002B58FD" w:rsidRDefault="002B58FD" w:rsidP="002B58FD">
      <w:pPr>
        <w:spacing w:line="276" w:lineRule="auto"/>
        <w:rPr>
          <w:color w:val="000000" w:themeColor="text1"/>
          <w:szCs w:val="24"/>
        </w:rPr>
      </w:pPr>
      <w:r w:rsidRPr="002B58FD">
        <w:rPr>
          <w:color w:val="000000" w:themeColor="text1"/>
          <w:szCs w:val="24"/>
        </w:rPr>
        <w:t xml:space="preserve">2)aktivitātei 2013.-2015.gada ietvaros ceturksnī paredzēto noslēgto līgumu par plānoto </w:t>
      </w:r>
      <w:proofErr w:type="spellStart"/>
      <w:r w:rsidRPr="002B58FD">
        <w:rPr>
          <w:color w:val="000000" w:themeColor="text1"/>
          <w:szCs w:val="24"/>
        </w:rPr>
        <w:t>virssaistību</w:t>
      </w:r>
      <w:proofErr w:type="spellEnd"/>
      <w:r w:rsidRPr="002B58FD">
        <w:rPr>
          <w:color w:val="000000" w:themeColor="text1"/>
          <w:szCs w:val="24"/>
        </w:rPr>
        <w:t xml:space="preserve"> finansējuma apjomu neizpilde ir lielāka par 10% un vienlaikus pārsniedz 250 </w:t>
      </w:r>
      <w:proofErr w:type="spellStart"/>
      <w:r w:rsidRPr="002B58FD">
        <w:rPr>
          <w:color w:val="000000" w:themeColor="text1"/>
          <w:szCs w:val="24"/>
        </w:rPr>
        <w:t>tūkst</w:t>
      </w:r>
      <w:proofErr w:type="spellEnd"/>
      <w:r w:rsidRPr="002B58FD">
        <w:rPr>
          <w:color w:val="000000" w:themeColor="text1"/>
          <w:szCs w:val="24"/>
        </w:rPr>
        <w:t>. latu.</w:t>
      </w:r>
    </w:p>
    <w:p w14:paraId="4ECECDA5" w14:textId="77777777" w:rsidR="00AA355F" w:rsidRDefault="00AA355F" w:rsidP="00852E0C">
      <w:pPr>
        <w:spacing w:line="276" w:lineRule="auto"/>
        <w:rPr>
          <w:color w:val="000000" w:themeColor="text1"/>
          <w:szCs w:val="24"/>
        </w:rPr>
      </w:pPr>
      <w:r w:rsidRPr="002B58FD">
        <w:rPr>
          <w:color w:val="000000" w:themeColor="text1"/>
          <w:szCs w:val="24"/>
        </w:rPr>
        <w:t xml:space="preserve">Ņemot vērā šos nosacījumus, tika analizēta atbildīgo iestāžu mērķa maksājumiem finansējuma saņēmējiem un </w:t>
      </w:r>
      <w:proofErr w:type="spellStart"/>
      <w:r w:rsidRPr="002B58FD">
        <w:rPr>
          <w:color w:val="000000" w:themeColor="text1"/>
          <w:szCs w:val="24"/>
        </w:rPr>
        <w:t>virssaistību</w:t>
      </w:r>
      <w:proofErr w:type="spellEnd"/>
      <w:r w:rsidRPr="002B58FD">
        <w:rPr>
          <w:color w:val="000000" w:themeColor="text1"/>
          <w:szCs w:val="24"/>
        </w:rPr>
        <w:t xml:space="preserve"> līgumu plānu izpilde februārī un martā. Atbildīgo iestāžu maksājumu mērķu izpilde tika vērtēta fondu griezumā.</w:t>
      </w:r>
    </w:p>
    <w:p w14:paraId="4AA6E777" w14:textId="6EB40463" w:rsidR="00946BE9" w:rsidRPr="00852E0C" w:rsidRDefault="00946BE9" w:rsidP="00852E0C">
      <w:pPr>
        <w:spacing w:line="276" w:lineRule="auto"/>
        <w:rPr>
          <w:rFonts w:eastAsia="EUAlbertina-Bold-Identity-H"/>
          <w:i/>
          <w:iCs/>
          <w:color w:val="000000" w:themeColor="text1"/>
          <w:szCs w:val="24"/>
          <w:lang w:eastAsia="lv-LV"/>
        </w:rPr>
      </w:pPr>
      <w:r w:rsidRPr="00AA355F">
        <w:rPr>
          <w:color w:val="000000" w:themeColor="text1"/>
          <w:szCs w:val="24"/>
        </w:rPr>
        <w:t>Detalizēta</w:t>
      </w:r>
      <w:r w:rsidRPr="00852E0C">
        <w:rPr>
          <w:color w:val="000000" w:themeColor="text1"/>
          <w:szCs w:val="24"/>
        </w:rPr>
        <w:t xml:space="preserve"> informācija </w:t>
      </w:r>
      <w:r w:rsidR="000E0633">
        <w:rPr>
          <w:color w:val="000000" w:themeColor="text1"/>
          <w:szCs w:val="24"/>
        </w:rPr>
        <w:t>grafikā</w:t>
      </w:r>
      <w:r w:rsidRPr="00852E0C">
        <w:rPr>
          <w:color w:val="000000" w:themeColor="text1"/>
          <w:szCs w:val="24"/>
        </w:rPr>
        <w:t xml:space="preserve"> </w:t>
      </w:r>
      <w:r w:rsidRPr="000E0633">
        <w:rPr>
          <w:color w:val="000000" w:themeColor="text1"/>
          <w:szCs w:val="24"/>
          <w:u w:val="single"/>
        </w:rPr>
        <w:t>Nr.</w:t>
      </w:r>
      <w:r w:rsidR="000E0633">
        <w:rPr>
          <w:color w:val="000000" w:themeColor="text1"/>
          <w:szCs w:val="24"/>
          <w:u w:val="single"/>
        </w:rPr>
        <w:t>7</w:t>
      </w:r>
      <w:r w:rsidRPr="000E0633">
        <w:rPr>
          <w:color w:val="000000" w:themeColor="text1"/>
          <w:szCs w:val="24"/>
          <w:u w:val="single"/>
        </w:rPr>
        <w:t xml:space="preserve"> „</w:t>
      </w:r>
      <w:proofErr w:type="spellStart"/>
      <w:r w:rsidRPr="000E0633">
        <w:rPr>
          <w:color w:val="000000" w:themeColor="text1"/>
          <w:szCs w:val="24"/>
          <w:u w:val="single"/>
        </w:rPr>
        <w:t>Virssaistību</w:t>
      </w:r>
      <w:proofErr w:type="spellEnd"/>
      <w:r w:rsidRPr="000E0633">
        <w:rPr>
          <w:color w:val="000000" w:themeColor="text1"/>
          <w:szCs w:val="24"/>
          <w:u w:val="single"/>
        </w:rPr>
        <w:t xml:space="preserve"> līgumu plāna un AI mērķu maksājumiem FS neizpildes uz </w:t>
      </w:r>
      <w:r w:rsidR="000E0633" w:rsidRPr="000E0633">
        <w:rPr>
          <w:color w:val="000000" w:themeColor="text1"/>
          <w:szCs w:val="24"/>
          <w:u w:val="single"/>
        </w:rPr>
        <w:t>2013.gada 31.martu</w:t>
      </w:r>
      <w:r w:rsidRPr="000E0633">
        <w:rPr>
          <w:color w:val="000000" w:themeColor="text1"/>
          <w:szCs w:val="24"/>
          <w:u w:val="single"/>
        </w:rPr>
        <w:t>”</w:t>
      </w:r>
      <w:r w:rsidR="000E0633">
        <w:rPr>
          <w:color w:val="000000" w:themeColor="text1"/>
          <w:szCs w:val="24"/>
          <w:u w:val="single"/>
        </w:rPr>
        <w:t>.</w:t>
      </w:r>
      <w:r w:rsidRPr="00852E0C">
        <w:rPr>
          <w:color w:val="000000" w:themeColor="text1"/>
          <w:szCs w:val="24"/>
        </w:rPr>
        <w:t xml:space="preserve"> </w:t>
      </w:r>
    </w:p>
    <w:p w14:paraId="6AE0853E" w14:textId="7B5C3DC5" w:rsidR="007A350B" w:rsidRPr="00852E0C" w:rsidRDefault="00113180" w:rsidP="00852E0C">
      <w:pPr>
        <w:spacing w:line="276" w:lineRule="auto"/>
        <w:rPr>
          <w:color w:val="000000" w:themeColor="text1"/>
          <w:szCs w:val="24"/>
        </w:rPr>
      </w:pPr>
      <w:r w:rsidRPr="00852E0C">
        <w:rPr>
          <w:color w:val="000000" w:themeColor="text1"/>
          <w:szCs w:val="24"/>
        </w:rPr>
        <w:t xml:space="preserve">Kopējā </w:t>
      </w:r>
      <w:r w:rsidR="00946BE9" w:rsidRPr="00852E0C">
        <w:rPr>
          <w:color w:val="000000" w:themeColor="text1"/>
          <w:szCs w:val="24"/>
        </w:rPr>
        <w:t xml:space="preserve">noteikto nosacījumu </w:t>
      </w:r>
      <w:r w:rsidRPr="00852E0C">
        <w:rPr>
          <w:color w:val="000000" w:themeColor="text1"/>
          <w:szCs w:val="24"/>
        </w:rPr>
        <w:t>neizpilde uz 2013.gada 31.martu ir 37,4 milj. latu</w:t>
      </w:r>
      <w:r w:rsidRPr="00852E0C">
        <w:rPr>
          <w:color w:val="000000" w:themeColor="text1"/>
          <w:szCs w:val="24"/>
        </w:rPr>
        <w:footnoteReference w:id="15"/>
      </w:r>
      <w:r w:rsidR="000E0633">
        <w:rPr>
          <w:color w:val="000000" w:themeColor="text1"/>
          <w:szCs w:val="24"/>
        </w:rPr>
        <w:t xml:space="preserve"> </w:t>
      </w:r>
      <w:r w:rsidR="00B24745" w:rsidRPr="00852E0C">
        <w:rPr>
          <w:color w:val="000000" w:themeColor="text1"/>
          <w:szCs w:val="24"/>
        </w:rPr>
        <w:t>un, izpildot MK uzdevumu</w:t>
      </w:r>
      <w:r w:rsidR="00B24745" w:rsidRPr="00852E0C">
        <w:rPr>
          <w:color w:val="000000" w:themeColor="text1"/>
          <w:szCs w:val="24"/>
        </w:rPr>
        <w:footnoteReference w:id="16"/>
      </w:r>
      <w:r w:rsidR="00B24745" w:rsidRPr="00852E0C">
        <w:rPr>
          <w:color w:val="000000" w:themeColor="text1"/>
          <w:szCs w:val="24"/>
        </w:rPr>
        <w:t>,</w:t>
      </w:r>
      <w:r w:rsidR="000E0633">
        <w:rPr>
          <w:color w:val="000000" w:themeColor="text1"/>
          <w:szCs w:val="24"/>
        </w:rPr>
        <w:t xml:space="preserve"> </w:t>
      </w:r>
      <w:r w:rsidR="00946BE9" w:rsidRPr="00852E0C">
        <w:rPr>
          <w:color w:val="000000" w:themeColor="text1"/>
          <w:szCs w:val="24"/>
        </w:rPr>
        <w:t xml:space="preserve">š.g. 15.aprīlī FM informēja Koalīcijas partneru darba grupu par ES fondu jautājumiem par situāciju </w:t>
      </w:r>
      <w:r w:rsidR="00144FC4" w:rsidRPr="00852E0C">
        <w:rPr>
          <w:color w:val="000000" w:themeColor="text1"/>
          <w:szCs w:val="24"/>
        </w:rPr>
        <w:t xml:space="preserve">saistībā ar negatīvo ietekmi uz budžeta deficītu un fiskālo telpu </w:t>
      </w:r>
      <w:r w:rsidR="00946BE9" w:rsidRPr="00852E0C">
        <w:rPr>
          <w:color w:val="000000" w:themeColor="text1"/>
          <w:szCs w:val="24"/>
        </w:rPr>
        <w:t xml:space="preserve">un, ka </w:t>
      </w:r>
      <w:proofErr w:type="spellStart"/>
      <w:r w:rsidR="007A350B" w:rsidRPr="00852E0C">
        <w:rPr>
          <w:color w:val="000000" w:themeColor="text1"/>
          <w:szCs w:val="24"/>
        </w:rPr>
        <w:t>virssaistību</w:t>
      </w:r>
      <w:proofErr w:type="spellEnd"/>
      <w:r w:rsidR="007A350B" w:rsidRPr="00852E0C">
        <w:rPr>
          <w:color w:val="000000" w:themeColor="text1"/>
          <w:szCs w:val="24"/>
        </w:rPr>
        <w:t xml:space="preserve"> </w:t>
      </w:r>
      <w:r w:rsidR="00946BE9" w:rsidRPr="00852E0C">
        <w:rPr>
          <w:color w:val="000000" w:themeColor="text1"/>
          <w:szCs w:val="24"/>
        </w:rPr>
        <w:t>finansējums būtu jā</w:t>
      </w:r>
      <w:r w:rsidR="007A350B" w:rsidRPr="00852E0C">
        <w:rPr>
          <w:color w:val="000000" w:themeColor="text1"/>
          <w:szCs w:val="24"/>
        </w:rPr>
        <w:t>samazin</w:t>
      </w:r>
      <w:r w:rsidR="00946BE9" w:rsidRPr="00852E0C">
        <w:rPr>
          <w:color w:val="000000" w:themeColor="text1"/>
          <w:szCs w:val="24"/>
        </w:rPr>
        <w:t xml:space="preserve">a saskaņā ar definētiem kritērijiem </w:t>
      </w:r>
      <w:r w:rsidR="007A350B" w:rsidRPr="00852E0C">
        <w:rPr>
          <w:color w:val="000000" w:themeColor="text1"/>
          <w:szCs w:val="24"/>
        </w:rPr>
        <w:t xml:space="preserve">šādām </w:t>
      </w:r>
      <w:r w:rsidR="00352B55">
        <w:rPr>
          <w:color w:val="000000" w:themeColor="text1"/>
          <w:szCs w:val="24"/>
        </w:rPr>
        <w:t>AI</w:t>
      </w:r>
      <w:r w:rsidR="007A350B" w:rsidRPr="00852E0C">
        <w:rPr>
          <w:color w:val="000000" w:themeColor="text1"/>
          <w:szCs w:val="24"/>
        </w:rPr>
        <w:t>:</w:t>
      </w:r>
    </w:p>
    <w:p w14:paraId="471A24E9" w14:textId="66294091" w:rsidR="007A350B" w:rsidRPr="00852E0C" w:rsidRDefault="007A350B" w:rsidP="00852E0C">
      <w:pPr>
        <w:pStyle w:val="FDUKam"/>
        <w:numPr>
          <w:ilvl w:val="0"/>
          <w:numId w:val="42"/>
        </w:numPr>
        <w:spacing w:before="120" w:after="120"/>
        <w:contextualSpacing w:val="0"/>
        <w:rPr>
          <w:color w:val="000000" w:themeColor="text1"/>
          <w:sz w:val="24"/>
          <w:szCs w:val="24"/>
        </w:rPr>
      </w:pPr>
      <w:r w:rsidRPr="00852E0C">
        <w:rPr>
          <w:color w:val="000000" w:themeColor="text1"/>
          <w:sz w:val="24"/>
          <w:szCs w:val="24"/>
        </w:rPr>
        <w:t>SM</w:t>
      </w:r>
      <w:r w:rsidR="000E0633">
        <w:rPr>
          <w:color w:val="000000" w:themeColor="text1"/>
          <w:sz w:val="24"/>
          <w:szCs w:val="24"/>
        </w:rPr>
        <w:t xml:space="preserve"> </w:t>
      </w:r>
      <w:r w:rsidR="00021F7E" w:rsidRPr="00852E0C">
        <w:rPr>
          <w:color w:val="000000" w:themeColor="text1"/>
          <w:sz w:val="24"/>
          <w:szCs w:val="24"/>
        </w:rPr>
        <w:t>16,3</w:t>
      </w:r>
      <w:r w:rsidRPr="00852E0C">
        <w:rPr>
          <w:color w:val="000000" w:themeColor="text1"/>
          <w:sz w:val="24"/>
          <w:szCs w:val="24"/>
        </w:rPr>
        <w:t xml:space="preserve"> milj. latu apmērā (</w:t>
      </w:r>
      <w:proofErr w:type="spellStart"/>
      <w:r w:rsidRPr="00852E0C">
        <w:rPr>
          <w:color w:val="000000" w:themeColor="text1"/>
          <w:sz w:val="24"/>
          <w:szCs w:val="24"/>
        </w:rPr>
        <w:t>virssaistību</w:t>
      </w:r>
      <w:proofErr w:type="spellEnd"/>
      <w:r w:rsidRPr="00852E0C">
        <w:rPr>
          <w:color w:val="000000" w:themeColor="text1"/>
          <w:sz w:val="24"/>
          <w:szCs w:val="24"/>
        </w:rPr>
        <w:t xml:space="preserve"> līgumu neizpilde aktivitātēs: „</w:t>
      </w:r>
      <w:proofErr w:type="spellStart"/>
      <w:r w:rsidRPr="00852E0C">
        <w:rPr>
          <w:color w:val="000000" w:themeColor="text1"/>
          <w:sz w:val="24"/>
          <w:szCs w:val="24"/>
        </w:rPr>
        <w:t>Tranzītielu</w:t>
      </w:r>
      <w:proofErr w:type="spellEnd"/>
      <w:r w:rsidRPr="00852E0C">
        <w:rPr>
          <w:color w:val="000000" w:themeColor="text1"/>
          <w:sz w:val="24"/>
          <w:szCs w:val="24"/>
        </w:rPr>
        <w:t xml:space="preserve"> sakārtošana pilsētu teritorijās” un „TEN-T autoceļu tīkla uzlabojumi”);</w:t>
      </w:r>
    </w:p>
    <w:p w14:paraId="048CCE0B" w14:textId="22EBA694" w:rsidR="007A350B" w:rsidRPr="00852E0C" w:rsidRDefault="007A350B" w:rsidP="00852E0C">
      <w:pPr>
        <w:pStyle w:val="FDUKam"/>
        <w:numPr>
          <w:ilvl w:val="0"/>
          <w:numId w:val="42"/>
        </w:numPr>
        <w:spacing w:before="120" w:after="120"/>
        <w:contextualSpacing w:val="0"/>
        <w:rPr>
          <w:color w:val="000000" w:themeColor="text1"/>
          <w:sz w:val="24"/>
          <w:szCs w:val="24"/>
        </w:rPr>
      </w:pPr>
      <w:r w:rsidRPr="00852E0C">
        <w:rPr>
          <w:color w:val="000000" w:themeColor="text1"/>
          <w:sz w:val="24"/>
          <w:szCs w:val="24"/>
        </w:rPr>
        <w:t>VARAM 13,2 milj. latu apmērā (</w:t>
      </w:r>
      <w:proofErr w:type="spellStart"/>
      <w:r w:rsidRPr="00852E0C">
        <w:rPr>
          <w:color w:val="000000" w:themeColor="text1"/>
          <w:sz w:val="24"/>
          <w:szCs w:val="24"/>
        </w:rPr>
        <w:t>virssaistību</w:t>
      </w:r>
      <w:proofErr w:type="spellEnd"/>
      <w:r w:rsidRPr="00852E0C">
        <w:rPr>
          <w:color w:val="000000" w:themeColor="text1"/>
          <w:sz w:val="24"/>
          <w:szCs w:val="24"/>
        </w:rPr>
        <w:t xml:space="preserve"> līgumu neizpilde aktivitātēs: „Pirmsskolas izglītības iestāžu infrastruktūras attīstība nacionālas un reģionālas nozīmes attīstības centros”, </w:t>
      </w:r>
      <w:proofErr w:type="spellStart"/>
      <w:r w:rsidRPr="00852E0C">
        <w:rPr>
          <w:color w:val="000000" w:themeColor="text1"/>
          <w:sz w:val="24"/>
          <w:szCs w:val="24"/>
        </w:rPr>
        <w:t>apakšaktivitātē</w:t>
      </w:r>
      <w:proofErr w:type="spellEnd"/>
      <w:r w:rsidRPr="00852E0C">
        <w:rPr>
          <w:color w:val="000000" w:themeColor="text1"/>
          <w:sz w:val="24"/>
          <w:szCs w:val="24"/>
        </w:rPr>
        <w:t xml:space="preserve"> „Informācijas sistēmu un elektronisko pakalpojumu attīstība” un aktivitātē „Atbalsts novadu pašvaldību kompleksai attīstībai”);</w:t>
      </w:r>
    </w:p>
    <w:p w14:paraId="6675726D" w14:textId="677278E0" w:rsidR="007A350B" w:rsidRPr="00852E0C" w:rsidRDefault="007A350B" w:rsidP="00852E0C">
      <w:pPr>
        <w:pStyle w:val="FDUKam"/>
        <w:numPr>
          <w:ilvl w:val="0"/>
          <w:numId w:val="42"/>
        </w:numPr>
        <w:spacing w:before="120" w:after="120"/>
        <w:contextualSpacing w:val="0"/>
        <w:rPr>
          <w:color w:val="000000" w:themeColor="text1"/>
          <w:sz w:val="24"/>
          <w:szCs w:val="24"/>
        </w:rPr>
      </w:pPr>
      <w:r w:rsidRPr="00852E0C">
        <w:rPr>
          <w:color w:val="000000" w:themeColor="text1"/>
          <w:sz w:val="24"/>
          <w:szCs w:val="24"/>
        </w:rPr>
        <w:t>KM 4,0 milj. latu apmērā (</w:t>
      </w:r>
      <w:proofErr w:type="spellStart"/>
      <w:r w:rsidRPr="00852E0C">
        <w:rPr>
          <w:color w:val="000000" w:themeColor="text1"/>
          <w:sz w:val="24"/>
          <w:szCs w:val="24"/>
        </w:rPr>
        <w:t>virssaistību</w:t>
      </w:r>
      <w:proofErr w:type="spellEnd"/>
      <w:r w:rsidRPr="00852E0C">
        <w:rPr>
          <w:color w:val="000000" w:themeColor="text1"/>
          <w:sz w:val="24"/>
          <w:szCs w:val="24"/>
        </w:rPr>
        <w:t xml:space="preserve"> līgumu neizpilde aktivitātē „Atbalsts kultūras pieminekļu privātīpašniekiem kultūras pieminekļu saglabāšanā un to sociālekonomiskā potenciāla efektīvā izmantošanā”);</w:t>
      </w:r>
    </w:p>
    <w:p w14:paraId="456956AF" w14:textId="55DCFE1B" w:rsidR="007A350B" w:rsidRPr="00852E0C" w:rsidRDefault="007A350B" w:rsidP="00852E0C">
      <w:pPr>
        <w:pStyle w:val="FDUKam"/>
        <w:numPr>
          <w:ilvl w:val="0"/>
          <w:numId w:val="42"/>
        </w:numPr>
        <w:spacing w:before="120" w:after="120"/>
        <w:contextualSpacing w:val="0"/>
        <w:rPr>
          <w:color w:val="000000" w:themeColor="text1"/>
          <w:sz w:val="24"/>
          <w:szCs w:val="24"/>
        </w:rPr>
      </w:pPr>
      <w:r w:rsidRPr="00852E0C">
        <w:rPr>
          <w:color w:val="000000" w:themeColor="text1"/>
          <w:sz w:val="24"/>
          <w:szCs w:val="24"/>
        </w:rPr>
        <w:t>EM 3,8 milj. latu apmērā (</w:t>
      </w:r>
      <w:proofErr w:type="spellStart"/>
      <w:r w:rsidRPr="00852E0C">
        <w:rPr>
          <w:color w:val="000000" w:themeColor="text1"/>
          <w:sz w:val="24"/>
          <w:szCs w:val="24"/>
        </w:rPr>
        <w:t>virssaistību</w:t>
      </w:r>
      <w:proofErr w:type="spellEnd"/>
      <w:r w:rsidRPr="00852E0C">
        <w:rPr>
          <w:color w:val="000000" w:themeColor="text1"/>
          <w:sz w:val="24"/>
          <w:szCs w:val="24"/>
        </w:rPr>
        <w:t xml:space="preserve"> līgumu neizpilde aktivitātē „Daudzdzīvokļu māju </w:t>
      </w:r>
      <w:proofErr w:type="spellStart"/>
      <w:r w:rsidRPr="00852E0C">
        <w:rPr>
          <w:color w:val="000000" w:themeColor="text1"/>
          <w:sz w:val="24"/>
          <w:szCs w:val="24"/>
        </w:rPr>
        <w:t>siltumnoturības</w:t>
      </w:r>
      <w:proofErr w:type="spellEnd"/>
      <w:r w:rsidRPr="00852E0C">
        <w:rPr>
          <w:color w:val="000000" w:themeColor="text1"/>
          <w:sz w:val="24"/>
          <w:szCs w:val="24"/>
        </w:rPr>
        <w:t xml:space="preserve"> uzlabošanas pasākumi”).</w:t>
      </w:r>
    </w:p>
    <w:p w14:paraId="24A49144" w14:textId="0764CE6D" w:rsidR="00B24745" w:rsidRPr="00852E0C" w:rsidRDefault="00B24745" w:rsidP="00852E0C">
      <w:pPr>
        <w:shd w:val="clear" w:color="auto" w:fill="FFFFFF"/>
        <w:spacing w:line="276" w:lineRule="auto"/>
        <w:rPr>
          <w:rFonts w:eastAsia="EUAlbertina-Bold-Identity-H"/>
          <w:color w:val="000000" w:themeColor="text1"/>
          <w:szCs w:val="24"/>
          <w:lang w:eastAsia="lv-LV"/>
        </w:rPr>
      </w:pPr>
      <w:r w:rsidRPr="00852E0C">
        <w:rPr>
          <w:color w:val="000000" w:themeColor="text1"/>
          <w:szCs w:val="24"/>
        </w:rPr>
        <w:t xml:space="preserve">Koalīcijas partneru darba grupas sanāksmes laikā, uzklausot </w:t>
      </w:r>
      <w:r w:rsidR="002A09A5" w:rsidRPr="00852E0C">
        <w:rPr>
          <w:color w:val="000000" w:themeColor="text1"/>
          <w:szCs w:val="24"/>
        </w:rPr>
        <w:t>AI</w:t>
      </w:r>
      <w:r w:rsidRPr="00852E0C">
        <w:rPr>
          <w:color w:val="000000" w:themeColor="text1"/>
          <w:szCs w:val="24"/>
        </w:rPr>
        <w:t xml:space="preserve"> argumentāciju kavējumiem un turpmākiem plāniem, vienojās, ka tiek dots laiks</w:t>
      </w:r>
      <w:r w:rsidR="000E0633">
        <w:rPr>
          <w:color w:val="000000" w:themeColor="text1"/>
          <w:szCs w:val="24"/>
        </w:rPr>
        <w:t xml:space="preserve"> </w:t>
      </w:r>
      <w:r w:rsidRPr="00852E0C">
        <w:rPr>
          <w:color w:val="000000" w:themeColor="text1"/>
          <w:szCs w:val="24"/>
        </w:rPr>
        <w:t xml:space="preserve">situācijas uzlabošanai, vienlaikus nav pieļaujamas papildus </w:t>
      </w:r>
      <w:proofErr w:type="spellStart"/>
      <w:r w:rsidRPr="00852E0C">
        <w:rPr>
          <w:color w:val="000000" w:themeColor="text1"/>
          <w:szCs w:val="24"/>
        </w:rPr>
        <w:t>virssaistības</w:t>
      </w:r>
      <w:proofErr w:type="spellEnd"/>
      <w:r w:rsidRPr="00852E0C">
        <w:rPr>
          <w:color w:val="000000" w:themeColor="text1"/>
          <w:szCs w:val="24"/>
        </w:rPr>
        <w:t xml:space="preserve"> un</w:t>
      </w:r>
      <w:r w:rsidR="007A350B" w:rsidRPr="00852E0C">
        <w:rPr>
          <w:color w:val="000000" w:themeColor="text1"/>
          <w:szCs w:val="24"/>
        </w:rPr>
        <w:t xml:space="preserve"> FM jāturpina ziņot par neizpildēm ar </w:t>
      </w:r>
      <w:r w:rsidRPr="00852E0C">
        <w:rPr>
          <w:color w:val="000000" w:themeColor="text1"/>
          <w:szCs w:val="24"/>
        </w:rPr>
        <w:t xml:space="preserve">nākamo </w:t>
      </w:r>
      <w:r w:rsidR="007A350B" w:rsidRPr="00852E0C">
        <w:rPr>
          <w:color w:val="000000" w:themeColor="text1"/>
          <w:szCs w:val="24"/>
        </w:rPr>
        <w:t xml:space="preserve">ceturkšņa ziņojumu. </w:t>
      </w:r>
      <w:r w:rsidRPr="00852E0C">
        <w:rPr>
          <w:rFonts w:eastAsia="EUAlbertina-Bold-Identity-H"/>
          <w:color w:val="000000" w:themeColor="text1"/>
          <w:szCs w:val="24"/>
          <w:lang w:eastAsia="lv-LV"/>
        </w:rPr>
        <w:t xml:space="preserve">Attiecīgi VARAM priekšlikums palielināt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lastRenderedPageBreak/>
        <w:t>finansējumu „Atbalsts novadu pašvaldību kompleksai attīstībai” par 2,7 milj. latiem papildus attīstības projektu īstenošanai Alūksnes novada pašvaldībā” netika atbalstīts.</w:t>
      </w:r>
    </w:p>
    <w:p w14:paraId="5E8109A7" w14:textId="13612C0E" w:rsidR="00FE471B" w:rsidRPr="00852E0C" w:rsidRDefault="00C26851" w:rsidP="00852E0C">
      <w:pPr>
        <w:spacing w:line="276" w:lineRule="auto"/>
        <w:rPr>
          <w:color w:val="000000" w:themeColor="text1"/>
          <w:szCs w:val="24"/>
        </w:rPr>
      </w:pPr>
      <w:r w:rsidRPr="00852E0C">
        <w:rPr>
          <w:rFonts w:eastAsia="EUAlbertina-Bold-Identity-H"/>
          <w:color w:val="000000" w:themeColor="text1"/>
          <w:szCs w:val="24"/>
          <w:lang w:eastAsia="lv-LV"/>
        </w:rPr>
        <w:t>Attiecībā uz LM pieteikto jautājumu par sarežģījumiem ERAF projekt</w:t>
      </w:r>
      <w:r w:rsidR="00184E20" w:rsidRPr="00852E0C">
        <w:rPr>
          <w:rFonts w:eastAsia="EUAlbertina-Bold-Identity-H"/>
          <w:color w:val="000000" w:themeColor="text1"/>
          <w:szCs w:val="24"/>
          <w:lang w:eastAsia="lv-LV"/>
        </w:rPr>
        <w:t>ā</w:t>
      </w:r>
      <w:r w:rsidRPr="00852E0C">
        <w:rPr>
          <w:rFonts w:eastAsia="EUAlbertina-Bold-Identity-H"/>
          <w:color w:val="000000" w:themeColor="text1"/>
          <w:szCs w:val="24"/>
          <w:lang w:eastAsia="lv-LV"/>
        </w:rPr>
        <w:t xml:space="preserve"> „Valsts sociālās aprūpes centra </w:t>
      </w:r>
      <w:r w:rsidR="00F25743" w:rsidRPr="00852E0C">
        <w:rPr>
          <w:rFonts w:eastAsia="EUAlbertina-Bold-Identity-H"/>
          <w:color w:val="000000" w:themeColor="text1"/>
          <w:szCs w:val="24"/>
          <w:lang w:eastAsia="lv-LV"/>
        </w:rPr>
        <w:t>„</w:t>
      </w:r>
      <w:r w:rsidRPr="00852E0C">
        <w:rPr>
          <w:rFonts w:eastAsia="EUAlbertina-Bold-Identity-H"/>
          <w:color w:val="000000" w:themeColor="text1"/>
          <w:szCs w:val="24"/>
          <w:lang w:eastAsia="lv-LV"/>
        </w:rPr>
        <w:t>Rīga</w:t>
      </w:r>
      <w:r w:rsidR="00F25743" w:rsidRPr="00852E0C">
        <w:rPr>
          <w:rFonts w:eastAsia="EUAlbertina-Bold-Identity-H"/>
          <w:color w:val="000000" w:themeColor="text1"/>
          <w:szCs w:val="24"/>
          <w:lang w:eastAsia="lv-LV"/>
        </w:rPr>
        <w:t>”</w:t>
      </w:r>
      <w:r w:rsidRPr="00852E0C">
        <w:rPr>
          <w:rFonts w:eastAsia="EUAlbertina-Bold-Identity-H"/>
          <w:color w:val="000000" w:themeColor="text1"/>
          <w:szCs w:val="24"/>
          <w:lang w:eastAsia="lv-LV"/>
        </w:rPr>
        <w:t xml:space="preserve"> sociālās aprūpes un rehabilitācijas pakalpojumu attīstība”</w:t>
      </w:r>
      <w:r w:rsidR="00184E20" w:rsidRPr="00852E0C">
        <w:rPr>
          <w:rFonts w:eastAsia="EUAlbertina-Bold-Identity-H"/>
          <w:color w:val="000000" w:themeColor="text1"/>
          <w:szCs w:val="24"/>
          <w:lang w:eastAsia="lv-LV"/>
        </w:rPr>
        <w:t xml:space="preserve"> ir</w:t>
      </w:r>
      <w:r w:rsidRPr="00852E0C">
        <w:rPr>
          <w:rFonts w:eastAsia="EUAlbertina-Bold-Identity-H"/>
          <w:color w:val="000000" w:themeColor="text1"/>
          <w:szCs w:val="24"/>
          <w:lang w:eastAsia="lv-LV"/>
        </w:rPr>
        <w:t xml:space="preserve"> </w:t>
      </w:r>
      <w:r w:rsidR="00184E20" w:rsidRPr="00852E0C">
        <w:rPr>
          <w:rFonts w:eastAsia="EUAlbertina-Bold-Identity-H"/>
          <w:color w:val="000000" w:themeColor="text1"/>
          <w:szCs w:val="24"/>
          <w:lang w:eastAsia="lv-LV"/>
        </w:rPr>
        <w:t xml:space="preserve">panākta vienošanās LM sadarbībā ar FM rast risinājumu par iespējamiem finansēšanas avotiem papildu nepieciešamā </w:t>
      </w:r>
      <w:r w:rsidR="00BF757F" w:rsidRPr="00852E0C">
        <w:rPr>
          <w:rFonts w:eastAsia="EUAlbertina-Bold-Identity-H"/>
          <w:color w:val="000000" w:themeColor="text1"/>
          <w:szCs w:val="24"/>
          <w:lang w:eastAsia="lv-LV"/>
        </w:rPr>
        <w:t>finansējuma piesaistīšanai</w:t>
      </w:r>
      <w:r w:rsidR="00184E20" w:rsidRPr="00852E0C">
        <w:rPr>
          <w:rFonts w:eastAsia="EUAlbertina-Bold-Identity-H"/>
          <w:color w:val="000000" w:themeColor="text1"/>
          <w:szCs w:val="24"/>
          <w:lang w:eastAsia="lv-LV"/>
        </w:rPr>
        <w:t xml:space="preserve">, kā arī LM sniegt priekšlikumus par iespējamām valsts budžeta </w:t>
      </w:r>
      <w:proofErr w:type="spellStart"/>
      <w:r w:rsidR="00184E20" w:rsidRPr="00852E0C">
        <w:rPr>
          <w:rFonts w:eastAsia="EUAlbertina-Bold-Identity-H"/>
          <w:color w:val="000000" w:themeColor="text1"/>
          <w:szCs w:val="24"/>
          <w:lang w:eastAsia="lv-LV"/>
        </w:rPr>
        <w:t>virssai</w:t>
      </w:r>
      <w:r w:rsidR="00150E58" w:rsidRPr="00852E0C">
        <w:rPr>
          <w:rFonts w:eastAsia="EUAlbertina-Bold-Identity-H"/>
          <w:color w:val="000000" w:themeColor="text1"/>
          <w:szCs w:val="24"/>
          <w:lang w:eastAsia="lv-LV"/>
        </w:rPr>
        <w:t>s</w:t>
      </w:r>
      <w:r w:rsidR="00184E20" w:rsidRPr="00852E0C">
        <w:rPr>
          <w:rFonts w:eastAsia="EUAlbertina-Bold-Identity-H"/>
          <w:color w:val="000000" w:themeColor="text1"/>
          <w:szCs w:val="24"/>
          <w:lang w:eastAsia="lv-LV"/>
        </w:rPr>
        <w:t>tību</w:t>
      </w:r>
      <w:proofErr w:type="spellEnd"/>
      <w:r w:rsidR="00184E20" w:rsidRPr="00852E0C">
        <w:rPr>
          <w:rFonts w:eastAsia="EUAlbertina-Bold-Identity-H"/>
          <w:color w:val="000000" w:themeColor="text1"/>
          <w:szCs w:val="24"/>
          <w:lang w:eastAsia="lv-LV"/>
        </w:rPr>
        <w:t xml:space="preserve"> pārdalēm no tādām aktivitātēm, kur ir </w:t>
      </w:r>
      <w:proofErr w:type="spellStart"/>
      <w:r w:rsidR="00184E20" w:rsidRPr="00852E0C">
        <w:rPr>
          <w:rFonts w:eastAsia="EUAlbertina-Bold-Identity-H"/>
          <w:color w:val="000000" w:themeColor="text1"/>
          <w:szCs w:val="24"/>
          <w:lang w:eastAsia="lv-LV"/>
        </w:rPr>
        <w:t>virssaistību</w:t>
      </w:r>
      <w:proofErr w:type="spellEnd"/>
      <w:r w:rsidR="00184E20" w:rsidRPr="00852E0C">
        <w:rPr>
          <w:rFonts w:eastAsia="EUAlbertina-Bold-Identity-H"/>
          <w:color w:val="000000" w:themeColor="text1"/>
          <w:szCs w:val="24"/>
          <w:lang w:eastAsia="lv-LV"/>
        </w:rPr>
        <w:t xml:space="preserve"> neizpildes pēc noteiktajiem kritērijiem. </w:t>
      </w:r>
    </w:p>
    <w:p w14:paraId="1F195BB8" w14:textId="17B99FA7" w:rsidR="007A350B" w:rsidRPr="00852E0C" w:rsidRDefault="004B733A" w:rsidP="00852E0C">
      <w:pPr>
        <w:spacing w:line="276" w:lineRule="auto"/>
        <w:rPr>
          <w:i/>
          <w:color w:val="000000" w:themeColor="text1"/>
          <w:szCs w:val="24"/>
        </w:rPr>
      </w:pPr>
      <w:r w:rsidRPr="00852E0C">
        <w:rPr>
          <w:rFonts w:eastAsia="EUAlbertina-Bold-Identity-H"/>
          <w:iCs/>
          <w:color w:val="000000" w:themeColor="text1"/>
          <w:szCs w:val="24"/>
          <w:lang w:eastAsia="lv-LV"/>
        </w:rPr>
        <w:t>Grafiks</w:t>
      </w:r>
      <w:r w:rsidR="00C24573" w:rsidRPr="00852E0C">
        <w:rPr>
          <w:rFonts w:eastAsia="EUAlbertina-Bold-Identity-H"/>
          <w:iCs/>
          <w:color w:val="000000" w:themeColor="text1"/>
          <w:szCs w:val="24"/>
          <w:lang w:eastAsia="lv-LV"/>
        </w:rPr>
        <w:t xml:space="preserve"> Nr.</w:t>
      </w:r>
      <w:r w:rsidRPr="00852E0C">
        <w:rPr>
          <w:rFonts w:eastAsia="EUAlbertina-Bold-Identity-H"/>
          <w:iCs/>
          <w:color w:val="000000" w:themeColor="text1"/>
          <w:szCs w:val="24"/>
          <w:lang w:eastAsia="lv-LV"/>
        </w:rPr>
        <w:t>7</w:t>
      </w:r>
      <w:r w:rsidR="00C24573" w:rsidRPr="00852E0C">
        <w:rPr>
          <w:rFonts w:eastAsia="EUAlbertina-Bold-Identity-H"/>
          <w:i/>
          <w:iCs/>
          <w:color w:val="000000" w:themeColor="text1"/>
          <w:szCs w:val="24"/>
          <w:lang w:eastAsia="lv-LV"/>
        </w:rPr>
        <w:t xml:space="preserve"> </w:t>
      </w:r>
      <w:r w:rsidR="00745CB6" w:rsidRPr="00852E0C">
        <w:rPr>
          <w:i/>
          <w:color w:val="000000" w:themeColor="text1"/>
          <w:szCs w:val="24"/>
        </w:rPr>
        <w:t>„</w:t>
      </w:r>
      <w:proofErr w:type="spellStart"/>
      <w:r w:rsidR="00745CB6" w:rsidRPr="00852E0C">
        <w:rPr>
          <w:i/>
          <w:color w:val="000000" w:themeColor="text1"/>
          <w:szCs w:val="24"/>
        </w:rPr>
        <w:t>Virssaistību</w:t>
      </w:r>
      <w:proofErr w:type="spellEnd"/>
      <w:r w:rsidR="00745CB6" w:rsidRPr="00852E0C">
        <w:rPr>
          <w:i/>
          <w:color w:val="000000" w:themeColor="text1"/>
          <w:szCs w:val="24"/>
        </w:rPr>
        <w:t xml:space="preserve"> līgumu plāna un AI mērķu maksājumiem FS neizpildes uz</w:t>
      </w:r>
      <w:r w:rsidR="002A09A5" w:rsidRPr="00852E0C">
        <w:rPr>
          <w:i/>
          <w:color w:val="000000" w:themeColor="text1"/>
          <w:szCs w:val="24"/>
        </w:rPr>
        <w:t xml:space="preserve"> 2013.gada 31.martu”.</w:t>
      </w:r>
    </w:p>
    <w:p w14:paraId="2C8424CC" w14:textId="1C04FB9E" w:rsidR="000C6427" w:rsidRPr="00852E0C" w:rsidRDefault="00EE1A0C" w:rsidP="00852E0C">
      <w:pPr>
        <w:spacing w:line="276" w:lineRule="auto"/>
        <w:rPr>
          <w:i/>
          <w:color w:val="000000" w:themeColor="text1"/>
          <w:szCs w:val="24"/>
        </w:rPr>
      </w:pPr>
      <w:r>
        <w:rPr>
          <w:noProof/>
          <w:lang w:eastAsia="lv-LV"/>
        </w:rPr>
        <w:drawing>
          <wp:inline distT="0" distB="0" distL="0" distR="0" wp14:anchorId="06359C77" wp14:editId="22B9A664">
            <wp:extent cx="5900468" cy="4390846"/>
            <wp:effectExtent l="0" t="0" r="508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53621A" w14:textId="2F5C7F4F" w:rsidR="005F2A8B" w:rsidRPr="00852E0C" w:rsidRDefault="005F2A8B" w:rsidP="00852E0C">
      <w:pPr>
        <w:shd w:val="clear" w:color="auto" w:fill="FFFFFF"/>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Atbilstoši 2012.gada 8.maija MK lēmumam</w:t>
      </w:r>
      <w:r w:rsidRPr="00852E0C">
        <w:rPr>
          <w:rStyle w:val="FootnoteReference"/>
          <w:rFonts w:eastAsia="EUAlbertina-Bold-Identity-H"/>
          <w:color w:val="000000" w:themeColor="text1"/>
          <w:szCs w:val="24"/>
          <w:lang w:eastAsia="lv-LV"/>
        </w:rPr>
        <w:footnoteReference w:id="17"/>
      </w:r>
      <w:r w:rsidRPr="00852E0C">
        <w:rPr>
          <w:rFonts w:eastAsia="EUAlbertina-Bold-Identity-H"/>
          <w:color w:val="000000" w:themeColor="text1"/>
          <w:szCs w:val="24"/>
          <w:lang w:eastAsia="lv-LV"/>
        </w:rPr>
        <w:t xml:space="preserve">, FM reizi ceturksnī </w:t>
      </w:r>
      <w:r w:rsidR="00FD3625" w:rsidRPr="00852E0C">
        <w:rPr>
          <w:rFonts w:eastAsia="EUAlbertina-Bold-Identity-H"/>
          <w:color w:val="000000" w:themeColor="text1"/>
          <w:szCs w:val="24"/>
          <w:lang w:eastAsia="lv-LV"/>
        </w:rPr>
        <w:t>iz</w:t>
      </w:r>
      <w:r w:rsidRPr="00852E0C">
        <w:rPr>
          <w:rFonts w:eastAsia="EUAlbertina-Bold-Identity-H"/>
          <w:color w:val="000000" w:themeColor="text1"/>
          <w:szCs w:val="24"/>
          <w:lang w:eastAsia="lv-LV"/>
        </w:rPr>
        <w:t xml:space="preserve">vērtē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potenciāl</w:t>
      </w:r>
      <w:r w:rsidR="00FD3625" w:rsidRPr="00852E0C">
        <w:rPr>
          <w:rFonts w:eastAsia="EUAlbertina-Bold-Identity-H"/>
          <w:color w:val="000000" w:themeColor="text1"/>
          <w:szCs w:val="24"/>
          <w:lang w:eastAsia="lv-LV"/>
        </w:rPr>
        <w:t>o</w:t>
      </w:r>
      <w:r w:rsidRPr="00852E0C">
        <w:rPr>
          <w:rFonts w:eastAsia="EUAlbertina-Bold-Identity-H"/>
          <w:color w:val="000000" w:themeColor="text1"/>
          <w:szCs w:val="24"/>
          <w:lang w:eastAsia="lv-LV"/>
        </w:rPr>
        <w:t xml:space="preserve"> ietekm</w:t>
      </w:r>
      <w:r w:rsidR="00FD3625" w:rsidRPr="00852E0C">
        <w:rPr>
          <w:rFonts w:eastAsia="EUAlbertina-Bold-Identity-H"/>
          <w:color w:val="000000" w:themeColor="text1"/>
          <w:szCs w:val="24"/>
          <w:lang w:eastAsia="lv-LV"/>
        </w:rPr>
        <w:t>i</w:t>
      </w:r>
      <w:r w:rsidRPr="00852E0C">
        <w:rPr>
          <w:rFonts w:eastAsia="EUAlbertina-Bold-Identity-H"/>
          <w:color w:val="000000" w:themeColor="text1"/>
          <w:szCs w:val="24"/>
          <w:lang w:eastAsia="lv-LV"/>
        </w:rPr>
        <w:t xml:space="preserve"> uz valsts budžeta deficītu</w:t>
      </w:r>
      <w:r w:rsidR="009A0370" w:rsidRPr="00852E0C">
        <w:rPr>
          <w:rFonts w:eastAsia="EUAlbertina-Bold-Identity-H"/>
          <w:color w:val="000000" w:themeColor="text1"/>
          <w:szCs w:val="24"/>
          <w:lang w:eastAsia="lv-LV"/>
        </w:rPr>
        <w:t>.</w:t>
      </w:r>
    </w:p>
    <w:p w14:paraId="0DD626B3" w14:textId="77777777" w:rsidR="005B6DBA" w:rsidRPr="00852E0C" w:rsidRDefault="005B6DBA" w:rsidP="00852E0C">
      <w:pPr>
        <w:spacing w:line="276" w:lineRule="auto"/>
        <w:rPr>
          <w:rFonts w:eastAsia="EUAlbertina-Bold-Identity-H"/>
          <w:b/>
          <w:color w:val="000000" w:themeColor="text1"/>
          <w:szCs w:val="24"/>
          <w:lang w:eastAsia="lv-LV"/>
        </w:rPr>
      </w:pPr>
      <w:proofErr w:type="spellStart"/>
      <w:r w:rsidRPr="00852E0C">
        <w:rPr>
          <w:rFonts w:eastAsia="EUAlbertina-Bold-Identity-H"/>
          <w:b/>
          <w:color w:val="000000" w:themeColor="text1"/>
          <w:szCs w:val="24"/>
          <w:lang w:eastAsia="lv-LV"/>
        </w:rPr>
        <w:t>Virssaistību</w:t>
      </w:r>
      <w:proofErr w:type="spellEnd"/>
      <w:r w:rsidRPr="00852E0C">
        <w:rPr>
          <w:rFonts w:eastAsia="EUAlbertina-Bold-Identity-H"/>
          <w:b/>
          <w:color w:val="000000" w:themeColor="text1"/>
          <w:szCs w:val="24"/>
          <w:lang w:eastAsia="lv-LV"/>
        </w:rPr>
        <w:t xml:space="preserve"> ietekme uz vispārējās valdības budžeta bilanci</w:t>
      </w:r>
    </w:p>
    <w:p w14:paraId="1B596232" w14:textId="179CDD41" w:rsidR="00852E0C" w:rsidRPr="00852E0C" w:rsidRDefault="005B6DBA"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Valdībā apstiprināto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publisko izdevumu daļas, t.i., 298,6 milj.</w:t>
      </w:r>
      <w:r w:rsidR="009A0370" w:rsidRPr="00852E0C">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latu, ietekme uz budžeta bilanci ir novērtēta pēc diviem scenārijiem. </w:t>
      </w:r>
    </w:p>
    <w:p w14:paraId="4783C6A1" w14:textId="77777777" w:rsidR="005B6DBA" w:rsidRPr="00852E0C" w:rsidRDefault="005B6DBA"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lastRenderedPageBreak/>
        <w:t>1)</w:t>
      </w:r>
      <w:r w:rsidRPr="00852E0C">
        <w:rPr>
          <w:rFonts w:eastAsia="EUAlbertina-Bold-Identity-H"/>
          <w:color w:val="000000" w:themeColor="text1"/>
          <w:szCs w:val="24"/>
          <w:lang w:eastAsia="lv-LV"/>
        </w:rPr>
        <w:tab/>
        <w:t xml:space="preserve">Situācijā, kad izdevumi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projektu īstenošanai kopā ar pārējiem ES fondu projektu izdevumiem nepārsniedz ES fondu piešķīruma kopējo apmēru,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izdevumi nerada papildu ietekmi uz vispārējās valdības budžetu deficītu, tādējādi nodrošinot, ka vispārējās valdības budžeta deficītu veido vienīgi realizēto projektu nacionālais līdzfinansējums.</w:t>
      </w:r>
    </w:p>
    <w:p w14:paraId="2567FC26" w14:textId="77777777" w:rsidR="005B6DBA" w:rsidRPr="00852E0C" w:rsidRDefault="005B6DBA"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2)</w:t>
      </w:r>
      <w:r w:rsidRPr="00852E0C">
        <w:rPr>
          <w:rFonts w:eastAsia="EUAlbertina-Bold-Identity-H"/>
          <w:color w:val="000000" w:themeColor="text1"/>
          <w:szCs w:val="24"/>
          <w:lang w:eastAsia="lv-LV"/>
        </w:rPr>
        <w:tab/>
        <w:t xml:space="preserve">Situācijā, kad izdevumi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projektu īstenošanai kopā ar pārējiem ES fondu projektu izdevumiem pārsniedz ES fondu piešķīruma kopējo apmēru, </w:t>
      </w:r>
      <w:proofErr w:type="spellStart"/>
      <w:r w:rsidRPr="00852E0C">
        <w:rPr>
          <w:rFonts w:eastAsia="EUAlbertina-Bold-Identity-H"/>
          <w:color w:val="000000" w:themeColor="text1"/>
          <w:szCs w:val="24"/>
          <w:lang w:eastAsia="lv-LV"/>
        </w:rPr>
        <w:t>virssaistības</w:t>
      </w:r>
      <w:proofErr w:type="spellEnd"/>
      <w:r w:rsidRPr="00852E0C">
        <w:rPr>
          <w:rFonts w:eastAsia="EUAlbertina-Bold-Identity-H"/>
          <w:color w:val="000000" w:themeColor="text1"/>
          <w:szCs w:val="24"/>
          <w:lang w:eastAsia="lv-LV"/>
        </w:rPr>
        <w:t xml:space="preserve"> ir uzskatāmas par nacionālajiem publiskajiem izdevumiem (faktiski palielinās realizēto projektu nacionālais līdzfinansējums), attiecīgi palielinot arī vispārējās valdības budžeta deficītu, jo par veiktajiem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izdevumiem valsts budžetā netiek saņemti ārvalstu finanšu palīdzības ieņēmumi (atmaksas no Eiropas Komisijas). Šobrīd budžeta deficīta negatīvā ietekme ir prognozējama attiecīgā plānošanas perioda pēdējā gadā, kad tiek veikti projektu maksājumi, t.i., 2015.gadā – gads, kurā izdevumus nekompensēs atbilstoši ieņēmumi. Šajā gadā būs novērtējams tas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apjoms, kas faktiski ticis apgūts (izdevumu apmērs, kas pārsniedzis piešķīruma līmeni) un par kuru attiecīgi palielināms deficīts atbilstoši Eiropas kontu sistēmas metodoloģijai. </w:t>
      </w:r>
    </w:p>
    <w:p w14:paraId="2140FE05" w14:textId="77777777" w:rsidR="005B6DBA" w:rsidRPr="00852E0C" w:rsidRDefault="005B6DBA"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Minēto deficīta palielinošo efektu no </w:t>
      </w:r>
      <w:proofErr w:type="spellStart"/>
      <w:r w:rsidRPr="00852E0C">
        <w:rPr>
          <w:rFonts w:eastAsia="EUAlbertina-Bold-Identity-H"/>
          <w:color w:val="000000" w:themeColor="text1"/>
          <w:szCs w:val="24"/>
          <w:lang w:eastAsia="lv-LV"/>
        </w:rPr>
        <w:t>virssaistībām</w:t>
      </w:r>
      <w:proofErr w:type="spellEnd"/>
      <w:r w:rsidRPr="00852E0C">
        <w:rPr>
          <w:rFonts w:eastAsia="EUAlbertina-Bold-Identity-H"/>
          <w:color w:val="000000" w:themeColor="text1"/>
          <w:szCs w:val="24"/>
          <w:lang w:eastAsia="lv-LV"/>
        </w:rPr>
        <w:t xml:space="preserve"> daļēji var kompensēt ES fondu finansējuma </w:t>
      </w:r>
      <w:proofErr w:type="spellStart"/>
      <w:r w:rsidRPr="00852E0C">
        <w:rPr>
          <w:rFonts w:eastAsia="EUAlbertina-Bold-Identity-H"/>
          <w:color w:val="000000" w:themeColor="text1"/>
          <w:szCs w:val="24"/>
          <w:lang w:eastAsia="lv-LV"/>
        </w:rPr>
        <w:t>neapguve</w:t>
      </w:r>
      <w:proofErr w:type="spellEnd"/>
      <w:r w:rsidRPr="00852E0C">
        <w:rPr>
          <w:rFonts w:eastAsia="EUAlbertina-Bold-Identity-H"/>
          <w:color w:val="000000" w:themeColor="text1"/>
          <w:szCs w:val="24"/>
          <w:lang w:eastAsia="lv-LV"/>
        </w:rPr>
        <w:t xml:space="preserve"> (lauztie līgumi, neatbilstības, kavētas iepirkuma procedūras, kā rezultātā projekts netiek īstenots u.tml.). Pašreizējais pieņēmums, kas ir iestrādāts Latvijas Konverģences programmā 2013.-2016. gadam, paredz, ka 50% no līdzšinēji apstiprinātajām </w:t>
      </w:r>
      <w:proofErr w:type="spellStart"/>
      <w:r w:rsidRPr="00852E0C">
        <w:rPr>
          <w:rFonts w:eastAsia="EUAlbertina-Bold-Identity-H"/>
          <w:color w:val="000000" w:themeColor="text1"/>
          <w:szCs w:val="24"/>
          <w:lang w:eastAsia="lv-LV"/>
        </w:rPr>
        <w:t>virssaistībām</w:t>
      </w:r>
      <w:proofErr w:type="spellEnd"/>
      <w:r w:rsidRPr="00852E0C">
        <w:rPr>
          <w:rFonts w:eastAsia="EUAlbertina-Bold-Identity-H"/>
          <w:color w:val="000000" w:themeColor="text1"/>
          <w:szCs w:val="24"/>
          <w:lang w:eastAsia="lv-LV"/>
        </w:rPr>
        <w:t xml:space="preserve"> pārsniegs ES piešķīrumu, attiecīgi palielinot nacionālos publiskos izdevumus, par kuriem netiks saņemtas atmaksa no Eiropas Komisijas. Ņemot vērā šo pieņēmumu, tiek prognozēts, ka vispārējās valdības deficīts būs saskaņā ar noteikto deficīta mērķi 0,9% no IKP apmērā. </w:t>
      </w:r>
    </w:p>
    <w:p w14:paraId="555DD2D7" w14:textId="4EFD080F" w:rsidR="005B6DBA" w:rsidRPr="00852E0C" w:rsidRDefault="005B6DBA"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Tomēr pastāv risks, ka var materializēties arī ievērojami lielāks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apjoms nekā prognozēts – atbilstoši pašlaik atbildīgo iestāžu sniegtajai informācijai, apstiprinātās </w:t>
      </w:r>
      <w:proofErr w:type="spellStart"/>
      <w:r w:rsidR="009A0370" w:rsidRPr="00852E0C">
        <w:rPr>
          <w:rFonts w:eastAsia="EUAlbertina-Bold-Identity-H"/>
          <w:color w:val="000000" w:themeColor="text1"/>
          <w:szCs w:val="24"/>
          <w:lang w:eastAsia="lv-LV"/>
        </w:rPr>
        <w:t>virssaistības</w:t>
      </w:r>
      <w:proofErr w:type="spellEnd"/>
      <w:r w:rsidR="009A0370" w:rsidRPr="00852E0C">
        <w:rPr>
          <w:rFonts w:eastAsia="EUAlbertina-Bold-Identity-H"/>
          <w:color w:val="000000" w:themeColor="text1"/>
          <w:szCs w:val="24"/>
          <w:lang w:eastAsia="lv-LV"/>
        </w:rPr>
        <w:t xml:space="preserve"> (298,6 </w:t>
      </w:r>
      <w:proofErr w:type="spellStart"/>
      <w:r w:rsidR="009A0370" w:rsidRPr="00852E0C">
        <w:rPr>
          <w:rFonts w:eastAsia="EUAlbertina-Bold-Identity-H"/>
          <w:color w:val="000000" w:themeColor="text1"/>
          <w:szCs w:val="24"/>
          <w:lang w:eastAsia="lv-LV"/>
        </w:rPr>
        <w:t>milj</w:t>
      </w:r>
      <w:proofErr w:type="spellEnd"/>
      <w:r w:rsidR="009A0370" w:rsidRPr="00852E0C">
        <w:rPr>
          <w:rFonts w:eastAsia="EUAlbertina-Bold-Identity-H"/>
          <w:color w:val="000000" w:themeColor="text1"/>
          <w:szCs w:val="24"/>
          <w:lang w:eastAsia="lv-LV"/>
        </w:rPr>
        <w:t>.</w:t>
      </w:r>
      <w:r w:rsidR="00BC0DCD" w:rsidRPr="00852E0C">
        <w:rPr>
          <w:rFonts w:eastAsia="EUAlbertina-Bold-Identity-H"/>
          <w:color w:val="000000" w:themeColor="text1"/>
          <w:szCs w:val="24"/>
          <w:lang w:eastAsia="lv-LV"/>
        </w:rPr>
        <w:t xml:space="preserve"> </w:t>
      </w:r>
      <w:r w:rsidR="009A0370" w:rsidRPr="00852E0C">
        <w:rPr>
          <w:rFonts w:eastAsia="EUAlbertina-Bold-Identity-H"/>
          <w:color w:val="000000" w:themeColor="text1"/>
          <w:szCs w:val="24"/>
          <w:lang w:eastAsia="lv-LV"/>
        </w:rPr>
        <w:t xml:space="preserve">latu) </w:t>
      </w:r>
      <w:r w:rsidRPr="00852E0C">
        <w:rPr>
          <w:rFonts w:eastAsia="EUAlbertina-Bold-Identity-H"/>
          <w:color w:val="000000" w:themeColor="text1"/>
          <w:szCs w:val="24"/>
          <w:lang w:eastAsia="lv-LV"/>
        </w:rPr>
        <w:t>tikai nelielā apmērā kompensētu lauztie līgumi un neatbilstības (52,3 milj.</w:t>
      </w:r>
      <w:r w:rsidR="00BC0DCD" w:rsidRPr="00852E0C">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latu), tādējādi realizēto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apjoms sasniegtu 246,3 milj.</w:t>
      </w:r>
      <w:r w:rsidR="00BC0DCD" w:rsidRPr="00852E0C">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latu jeb 82% no līdzšinēji apstiprinātajām </w:t>
      </w:r>
      <w:proofErr w:type="spellStart"/>
      <w:r w:rsidRPr="00852E0C">
        <w:rPr>
          <w:rFonts w:eastAsia="EUAlbertina-Bold-Identity-H"/>
          <w:color w:val="000000" w:themeColor="text1"/>
          <w:szCs w:val="24"/>
          <w:lang w:eastAsia="lv-LV"/>
        </w:rPr>
        <w:t>virssaistībām</w:t>
      </w:r>
      <w:proofErr w:type="spellEnd"/>
      <w:r w:rsidRPr="00852E0C">
        <w:rPr>
          <w:rFonts w:eastAsia="EUAlbertina-Bold-Identity-H"/>
          <w:color w:val="000000" w:themeColor="text1"/>
          <w:szCs w:val="24"/>
          <w:lang w:eastAsia="lv-LV"/>
        </w:rPr>
        <w:t xml:space="preserve">. Šajā scenārijā vispārējās valdības budžeta bilance pasliktinātos gan no nacionālās valsts budžeta metodoloģijas viedokļa (papildu izdevumi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projektu īstenošanai), gan papildus efektu radītu arī Eiropas kontu sistēmas budžeta bilances korekcijas, kopumā palielinot vispārējās valdības budžeta deficītu 2015.gadā par 165 </w:t>
      </w:r>
      <w:proofErr w:type="spellStart"/>
      <w:r w:rsidRPr="00852E0C">
        <w:rPr>
          <w:rFonts w:eastAsia="EUAlbertina-Bold-Identity-H"/>
          <w:color w:val="000000" w:themeColor="text1"/>
          <w:szCs w:val="24"/>
          <w:lang w:eastAsia="lv-LV"/>
        </w:rPr>
        <w:t>milj.latu</w:t>
      </w:r>
      <w:proofErr w:type="spellEnd"/>
      <w:r w:rsidRPr="00852E0C">
        <w:rPr>
          <w:rFonts w:eastAsia="EUAlbertina-Bold-Identity-H"/>
          <w:color w:val="000000" w:themeColor="text1"/>
          <w:szCs w:val="24"/>
          <w:lang w:eastAsia="lv-LV"/>
        </w:rPr>
        <w:t xml:space="preserve"> jeb 0,9% no IKP, tādējādi</w:t>
      </w:r>
      <w:r w:rsidR="000E0633">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deficītam sasniedzot 1,8% līmeni</w:t>
      </w:r>
      <w:r w:rsidR="000E0633">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no IKP. </w:t>
      </w:r>
    </w:p>
    <w:p w14:paraId="0B6E77D2" w14:textId="77777777" w:rsidR="005B6DBA" w:rsidRPr="00852E0C" w:rsidRDefault="005B6DBA"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Vienlaikus jāņem vērā, ka Centrālās statistikas pārvaldes faktiskie vispārējās valdības budžeta deficīta aprēķini var atšķirties no augstāk aprakstītajiem prognožu pieņēmumiem, ko pamatā var noteikt metodoloģijas izmaiņas vai arī izmaiņas Centrālās statistikas pārvaldes izmantotajos informācijas avotos. </w:t>
      </w:r>
    </w:p>
    <w:p w14:paraId="07B93FFC" w14:textId="5DB76FE0" w:rsidR="00A31531" w:rsidRPr="00BE0F06" w:rsidRDefault="005B6DBA" w:rsidP="00852E0C">
      <w:pPr>
        <w:spacing w:line="276" w:lineRule="auto"/>
        <w:rPr>
          <w:rFonts w:eastAsia="EUAlbertina-Bold-Identity-H"/>
          <w:b/>
          <w:color w:val="000000" w:themeColor="text1"/>
          <w:szCs w:val="24"/>
          <w:lang w:eastAsia="lv-LV"/>
        </w:rPr>
      </w:pPr>
      <w:r w:rsidRPr="00852E0C">
        <w:rPr>
          <w:rFonts w:eastAsia="EUAlbertina-Bold-Identity-H"/>
          <w:color w:val="000000" w:themeColor="text1"/>
          <w:szCs w:val="24"/>
          <w:lang w:eastAsia="lv-LV"/>
        </w:rPr>
        <w:t xml:space="preserve">Kopumā jāatzīmē, ka, faktiski realizēto </w:t>
      </w:r>
      <w:proofErr w:type="spellStart"/>
      <w:r w:rsidRPr="00852E0C">
        <w:rPr>
          <w:rFonts w:eastAsia="EUAlbertina-Bold-Identity-H"/>
          <w:color w:val="000000" w:themeColor="text1"/>
          <w:szCs w:val="24"/>
          <w:lang w:eastAsia="lv-LV"/>
        </w:rPr>
        <w:t>virssaistību</w:t>
      </w:r>
      <w:proofErr w:type="spellEnd"/>
      <w:r w:rsidRPr="00852E0C">
        <w:rPr>
          <w:rFonts w:eastAsia="EUAlbertina-Bold-Identity-H"/>
          <w:color w:val="000000" w:themeColor="text1"/>
          <w:szCs w:val="24"/>
          <w:lang w:eastAsia="lv-LV"/>
        </w:rPr>
        <w:t xml:space="preserve"> apjomam pārsniedzot ES fondu piešķīruma apjomu, samazināsies arī papildu pieejamā finansējuma jeb fiskālās telpas apjoms 2015.gadā jauno politikas iniciatīvu īstenošanai. </w:t>
      </w:r>
    </w:p>
    <w:p w14:paraId="68D864E3" w14:textId="3289B941" w:rsidR="004B48A2" w:rsidRPr="00852E0C" w:rsidRDefault="0002409D" w:rsidP="00852E0C">
      <w:pPr>
        <w:pStyle w:val="2lmenis"/>
        <w:numPr>
          <w:ilvl w:val="2"/>
          <w:numId w:val="2"/>
        </w:numPr>
        <w:spacing w:before="120" w:after="120" w:line="276" w:lineRule="auto"/>
        <w:jc w:val="both"/>
        <w:rPr>
          <w:color w:val="000000" w:themeColor="text1"/>
          <w:sz w:val="24"/>
          <w:szCs w:val="24"/>
          <w:lang w:val="lv-LV"/>
        </w:rPr>
      </w:pPr>
      <w:bookmarkStart w:id="19" w:name="_Toc276049976"/>
      <w:bookmarkStart w:id="20" w:name="_Toc356465226"/>
      <w:bookmarkEnd w:id="17"/>
      <w:r w:rsidRPr="00852E0C">
        <w:rPr>
          <w:color w:val="000000" w:themeColor="text1"/>
          <w:sz w:val="24"/>
          <w:szCs w:val="24"/>
          <w:lang w:val="lv-LV"/>
        </w:rPr>
        <w:lastRenderedPageBreak/>
        <w:t>D</w:t>
      </w:r>
      <w:r w:rsidR="00E64901" w:rsidRPr="00852E0C">
        <w:rPr>
          <w:color w:val="000000" w:themeColor="text1"/>
          <w:sz w:val="24"/>
          <w:szCs w:val="24"/>
          <w:lang w:val="lv-LV"/>
        </w:rPr>
        <w:t>arbības programm</w:t>
      </w:r>
      <w:r w:rsidRPr="00852E0C">
        <w:rPr>
          <w:color w:val="000000" w:themeColor="text1"/>
          <w:sz w:val="24"/>
          <w:szCs w:val="24"/>
          <w:lang w:val="lv-LV"/>
        </w:rPr>
        <w:t>as</w:t>
      </w:r>
      <w:r w:rsidR="000B4535" w:rsidRPr="00852E0C">
        <w:rPr>
          <w:color w:val="000000" w:themeColor="text1"/>
          <w:sz w:val="24"/>
          <w:szCs w:val="24"/>
          <w:lang w:val="lv-LV"/>
        </w:rPr>
        <w:t xml:space="preserve"> </w:t>
      </w:r>
      <w:r w:rsidR="00E15CBF" w:rsidRPr="00852E0C">
        <w:rPr>
          <w:color w:val="000000" w:themeColor="text1"/>
          <w:sz w:val="24"/>
          <w:szCs w:val="24"/>
          <w:lang w:val="lv-LV"/>
        </w:rPr>
        <w:t>„</w:t>
      </w:r>
      <w:r w:rsidR="004B48A2" w:rsidRPr="00852E0C">
        <w:rPr>
          <w:color w:val="000000" w:themeColor="text1"/>
          <w:sz w:val="24"/>
          <w:szCs w:val="24"/>
          <w:lang w:val="lv-LV"/>
        </w:rPr>
        <w:t>Cilvēkresursi un nodarbinātība</w:t>
      </w:r>
      <w:bookmarkEnd w:id="19"/>
      <w:r w:rsidR="001E2B7C" w:rsidRPr="00852E0C">
        <w:rPr>
          <w:color w:val="000000" w:themeColor="text1"/>
          <w:sz w:val="24"/>
          <w:szCs w:val="24"/>
          <w:lang w:val="lv-LV"/>
        </w:rPr>
        <w:t>”</w:t>
      </w:r>
      <w:r w:rsidRPr="00852E0C">
        <w:rPr>
          <w:color w:val="000000" w:themeColor="text1"/>
          <w:sz w:val="24"/>
          <w:szCs w:val="24"/>
          <w:lang w:val="lv-LV"/>
        </w:rPr>
        <w:t xml:space="preserve"> mērķu un rezultātu sasniegšana</w:t>
      </w:r>
      <w:bookmarkEnd w:id="20"/>
    </w:p>
    <w:p w14:paraId="2085A3BC" w14:textId="5D69FF2E" w:rsidR="0015468E" w:rsidRPr="00852E0C" w:rsidRDefault="00F865A7" w:rsidP="00852E0C">
      <w:pPr>
        <w:spacing w:line="276" w:lineRule="auto"/>
        <w:rPr>
          <w:color w:val="000000" w:themeColor="text1"/>
          <w:szCs w:val="24"/>
        </w:rPr>
      </w:pPr>
      <w:r w:rsidRPr="00852E0C">
        <w:rPr>
          <w:color w:val="000000" w:themeColor="text1"/>
          <w:szCs w:val="24"/>
        </w:rPr>
        <w:t>DP</w:t>
      </w:r>
      <w:r w:rsidR="00EA3265" w:rsidRPr="00852E0C">
        <w:rPr>
          <w:color w:val="000000" w:themeColor="text1"/>
          <w:szCs w:val="24"/>
        </w:rPr>
        <w:t xml:space="preserve"> „Cilvēkresursi un nodarbinātība” ieviešana 2013.gada 1. ceturksnī kopumā vērtējama kā laba – apstiprināto projektu un noslēgto līgumu apjoms palielinājies par 0,9% − sasniedzot 104,5%, </w:t>
      </w:r>
      <w:r w:rsidR="00CB5540" w:rsidRPr="00852E0C">
        <w:rPr>
          <w:color w:val="000000" w:themeColor="text1"/>
          <w:szCs w:val="24"/>
        </w:rPr>
        <w:t xml:space="preserve">pateicoties piešķirtajām valsts budžeta </w:t>
      </w:r>
      <w:proofErr w:type="spellStart"/>
      <w:r w:rsidR="00CB5540" w:rsidRPr="00852E0C">
        <w:rPr>
          <w:color w:val="000000" w:themeColor="text1"/>
          <w:szCs w:val="24"/>
        </w:rPr>
        <w:t>virssaistībām</w:t>
      </w:r>
      <w:proofErr w:type="spellEnd"/>
      <w:r w:rsidR="00CB5540" w:rsidRPr="00852E0C">
        <w:rPr>
          <w:color w:val="000000" w:themeColor="text1"/>
          <w:szCs w:val="24"/>
        </w:rPr>
        <w:t xml:space="preserve">, </w:t>
      </w:r>
      <w:r w:rsidR="00EA3265" w:rsidRPr="00852E0C">
        <w:rPr>
          <w:color w:val="000000" w:themeColor="text1"/>
          <w:szCs w:val="24"/>
        </w:rPr>
        <w:t xml:space="preserve">savukārt finansējuma saņēmējiem izmaksātā finansējuma kopapjoms </w:t>
      </w:r>
      <w:r w:rsidR="00A363DB" w:rsidRPr="00852E0C">
        <w:rPr>
          <w:color w:val="000000" w:themeColor="text1"/>
          <w:szCs w:val="24"/>
        </w:rPr>
        <w:t xml:space="preserve">pārskata periodā </w:t>
      </w:r>
      <w:r w:rsidR="00EA3265" w:rsidRPr="00852E0C">
        <w:rPr>
          <w:color w:val="000000" w:themeColor="text1"/>
          <w:szCs w:val="24"/>
        </w:rPr>
        <w:t>pieaudzis par 3,2%, sasniedzot 82,1%</w:t>
      </w:r>
      <w:r w:rsidR="0038202E" w:rsidRPr="00852E0C">
        <w:rPr>
          <w:color w:val="000000" w:themeColor="text1"/>
          <w:szCs w:val="24"/>
        </w:rPr>
        <w:t xml:space="preserve">, </w:t>
      </w:r>
      <w:r w:rsidR="00EA3265" w:rsidRPr="00852E0C">
        <w:rPr>
          <w:color w:val="000000" w:themeColor="text1"/>
          <w:szCs w:val="24"/>
        </w:rPr>
        <w:t>visstraujāk sociālās iekļaušanas veicināšanas jomā</w:t>
      </w:r>
      <w:r w:rsidR="0038202E" w:rsidRPr="00852E0C">
        <w:rPr>
          <w:color w:val="000000" w:themeColor="text1"/>
          <w:szCs w:val="24"/>
        </w:rPr>
        <w:t xml:space="preserve"> (5,8%), </w:t>
      </w:r>
      <w:r w:rsidR="00EA3265" w:rsidRPr="00852E0C">
        <w:rPr>
          <w:color w:val="000000" w:themeColor="text1"/>
          <w:szCs w:val="24"/>
        </w:rPr>
        <w:t xml:space="preserve">kā arī nodarbinātības atbalsta jomā, (4,4%), </w:t>
      </w:r>
      <w:r w:rsidR="0038202E" w:rsidRPr="00852E0C">
        <w:rPr>
          <w:color w:val="000000" w:themeColor="text1"/>
          <w:szCs w:val="24"/>
        </w:rPr>
        <w:t xml:space="preserve">bet </w:t>
      </w:r>
      <w:r w:rsidR="00EA3265" w:rsidRPr="00852E0C">
        <w:rPr>
          <w:color w:val="000000" w:themeColor="text1"/>
          <w:szCs w:val="24"/>
        </w:rPr>
        <w:t xml:space="preserve">mazāk izteikts progress bijis </w:t>
      </w:r>
      <w:r w:rsidR="007A58A6" w:rsidRPr="00852E0C">
        <w:rPr>
          <w:color w:val="000000" w:themeColor="text1"/>
          <w:szCs w:val="24"/>
        </w:rPr>
        <w:t xml:space="preserve">administratīvās kapacitātes jomā. Savukārt </w:t>
      </w:r>
      <w:r w:rsidR="00EA3265" w:rsidRPr="00852E0C">
        <w:rPr>
          <w:color w:val="000000" w:themeColor="text1"/>
          <w:szCs w:val="24"/>
        </w:rPr>
        <w:t>profesionālās izglītības, un augstākās izglītības jomā</w:t>
      </w:r>
      <w:r w:rsidR="007A58A6" w:rsidRPr="00852E0C">
        <w:rPr>
          <w:color w:val="000000" w:themeColor="text1"/>
          <w:szCs w:val="24"/>
        </w:rPr>
        <w:t xml:space="preserve"> vērojams progress atbilstoši plānotajam</w:t>
      </w:r>
      <w:r w:rsidR="00EA3265" w:rsidRPr="00852E0C">
        <w:rPr>
          <w:color w:val="000000" w:themeColor="text1"/>
          <w:szCs w:val="24"/>
        </w:rPr>
        <w:t>.</w:t>
      </w:r>
    </w:p>
    <w:p w14:paraId="2E3C6ADB" w14:textId="7EC705F5" w:rsidR="0043499C" w:rsidRPr="00852E0C" w:rsidRDefault="00631778" w:rsidP="00852E0C">
      <w:pPr>
        <w:spacing w:line="276" w:lineRule="auto"/>
        <w:rPr>
          <w:color w:val="000000" w:themeColor="text1"/>
          <w:szCs w:val="24"/>
        </w:rPr>
      </w:pPr>
      <w:r w:rsidRPr="00852E0C">
        <w:rPr>
          <w:color w:val="000000" w:themeColor="text1"/>
          <w:szCs w:val="24"/>
        </w:rPr>
        <w:t xml:space="preserve">Detalizētāku informāciju par </w:t>
      </w:r>
      <w:r w:rsidR="003A7D9A" w:rsidRPr="00852E0C">
        <w:rPr>
          <w:color w:val="000000" w:themeColor="text1"/>
          <w:szCs w:val="24"/>
        </w:rPr>
        <w:t xml:space="preserve">veiktajām </w:t>
      </w:r>
      <w:r w:rsidRPr="00852E0C">
        <w:rPr>
          <w:color w:val="000000" w:themeColor="text1"/>
          <w:szCs w:val="24"/>
        </w:rPr>
        <w:t xml:space="preserve">finanšu </w:t>
      </w:r>
      <w:r w:rsidR="003A7D9A" w:rsidRPr="00852E0C">
        <w:rPr>
          <w:color w:val="000000" w:themeColor="text1"/>
          <w:szCs w:val="24"/>
        </w:rPr>
        <w:t>investīcijām</w:t>
      </w:r>
      <w:r w:rsidRPr="00852E0C">
        <w:rPr>
          <w:color w:val="000000" w:themeColor="text1"/>
          <w:szCs w:val="24"/>
        </w:rPr>
        <w:t xml:space="preserve"> un aktivitāšu ieviešanu skatīt </w:t>
      </w:r>
      <w:r w:rsidRPr="00852E0C">
        <w:rPr>
          <w:color w:val="000000" w:themeColor="text1"/>
          <w:szCs w:val="24"/>
          <w:u w:val="single"/>
        </w:rPr>
        <w:t>grafikā Nr.</w:t>
      </w:r>
      <w:r w:rsidR="00BC0DCD" w:rsidRPr="00852E0C">
        <w:rPr>
          <w:color w:val="000000" w:themeColor="text1"/>
          <w:szCs w:val="24"/>
          <w:u w:val="single"/>
        </w:rPr>
        <w:t>8</w:t>
      </w:r>
      <w:r w:rsidRPr="00852E0C">
        <w:rPr>
          <w:color w:val="000000" w:themeColor="text1"/>
          <w:szCs w:val="24"/>
          <w:u w:val="single"/>
        </w:rPr>
        <w:t xml:space="preserve"> un pielik</w:t>
      </w:r>
      <w:r w:rsidR="001A1A97" w:rsidRPr="00852E0C">
        <w:rPr>
          <w:color w:val="000000" w:themeColor="text1"/>
          <w:szCs w:val="24"/>
          <w:u w:val="single"/>
        </w:rPr>
        <w:t>umā Nr.1 un ES fondu interneta vietnē</w:t>
      </w:r>
      <w:r w:rsidR="001A1A97" w:rsidRPr="00852E0C">
        <w:rPr>
          <w:rStyle w:val="FootnoteReference"/>
          <w:color w:val="000000" w:themeColor="text1"/>
          <w:szCs w:val="24"/>
          <w:u w:val="single"/>
        </w:rPr>
        <w:footnoteReference w:id="18"/>
      </w:r>
      <w:r w:rsidRPr="00852E0C">
        <w:rPr>
          <w:color w:val="000000" w:themeColor="text1"/>
          <w:szCs w:val="24"/>
          <w:u w:val="single"/>
        </w:rPr>
        <w:t xml:space="preserve">, </w:t>
      </w:r>
      <w:r w:rsidRPr="00852E0C">
        <w:rPr>
          <w:color w:val="000000" w:themeColor="text1"/>
          <w:szCs w:val="24"/>
        </w:rPr>
        <w:t>kā arī turpmāk tekstā dalījumā pa prioritātēm.</w:t>
      </w:r>
    </w:p>
    <w:p w14:paraId="178D441D" w14:textId="77777777" w:rsidR="00075ACB" w:rsidRDefault="00075ACB">
      <w:pPr>
        <w:rPr>
          <w:color w:val="000000" w:themeColor="text1"/>
          <w:szCs w:val="24"/>
          <w:lang w:eastAsia="lv-LV"/>
        </w:rPr>
      </w:pPr>
      <w:r>
        <w:rPr>
          <w:color w:val="000000" w:themeColor="text1"/>
          <w:szCs w:val="24"/>
          <w:lang w:eastAsia="lv-LV"/>
        </w:rPr>
        <w:br w:type="page"/>
      </w:r>
    </w:p>
    <w:p w14:paraId="5A083419" w14:textId="45638FB7" w:rsidR="00C1489E" w:rsidRPr="00852E0C" w:rsidRDefault="00427D80" w:rsidP="00852E0C">
      <w:pPr>
        <w:spacing w:line="276" w:lineRule="auto"/>
        <w:rPr>
          <w:color w:val="000000" w:themeColor="text1"/>
          <w:szCs w:val="24"/>
          <w:lang w:eastAsia="lv-LV"/>
        </w:rPr>
      </w:pPr>
      <w:r w:rsidRPr="00852E0C">
        <w:rPr>
          <w:color w:val="000000" w:themeColor="text1"/>
          <w:szCs w:val="24"/>
          <w:lang w:eastAsia="lv-LV"/>
        </w:rPr>
        <w:lastRenderedPageBreak/>
        <w:t>Grafiks Nr.</w:t>
      </w:r>
      <w:r w:rsidR="004B733A" w:rsidRPr="00852E0C">
        <w:rPr>
          <w:color w:val="000000" w:themeColor="text1"/>
          <w:szCs w:val="24"/>
          <w:lang w:eastAsia="lv-LV"/>
        </w:rPr>
        <w:t>8</w:t>
      </w:r>
      <w:r w:rsidR="000B4535" w:rsidRPr="00852E0C">
        <w:rPr>
          <w:i/>
          <w:iCs/>
          <w:color w:val="000000" w:themeColor="text1"/>
          <w:szCs w:val="24"/>
          <w:lang w:eastAsia="lv-LV"/>
        </w:rPr>
        <w:t xml:space="preserve"> </w:t>
      </w:r>
      <w:r w:rsidR="00E15CBF" w:rsidRPr="00852E0C">
        <w:rPr>
          <w:i/>
          <w:iCs/>
          <w:color w:val="000000" w:themeColor="text1"/>
          <w:szCs w:val="24"/>
          <w:lang w:eastAsia="lv-LV"/>
        </w:rPr>
        <w:t>„</w:t>
      </w:r>
      <w:r w:rsidRPr="00852E0C">
        <w:rPr>
          <w:i/>
          <w:iCs/>
          <w:color w:val="000000" w:themeColor="text1"/>
          <w:szCs w:val="24"/>
          <w:lang w:eastAsia="lv-LV"/>
        </w:rPr>
        <w:t xml:space="preserve">ES fondu finanšu </w:t>
      </w:r>
      <w:r w:rsidR="00276580" w:rsidRPr="00852E0C">
        <w:rPr>
          <w:i/>
          <w:iCs/>
          <w:color w:val="000000" w:themeColor="text1"/>
          <w:szCs w:val="24"/>
          <w:lang w:eastAsia="lv-LV"/>
        </w:rPr>
        <w:t xml:space="preserve">investīcijas </w:t>
      </w:r>
      <w:r w:rsidR="007E1064" w:rsidRPr="00852E0C">
        <w:rPr>
          <w:rFonts w:eastAsia="EUAlbertina-Bold-Identity-H"/>
          <w:i/>
          <w:color w:val="000000" w:themeColor="text1"/>
          <w:szCs w:val="24"/>
        </w:rPr>
        <w:t xml:space="preserve">līdz </w:t>
      </w:r>
      <w:r w:rsidR="00684655" w:rsidRPr="00852E0C">
        <w:rPr>
          <w:i/>
          <w:color w:val="000000" w:themeColor="text1"/>
          <w:szCs w:val="24"/>
        </w:rPr>
        <w:t>201</w:t>
      </w:r>
      <w:r w:rsidR="00DB681F" w:rsidRPr="00852E0C">
        <w:rPr>
          <w:i/>
          <w:color w:val="000000" w:themeColor="text1"/>
          <w:szCs w:val="24"/>
        </w:rPr>
        <w:t>3</w:t>
      </w:r>
      <w:r w:rsidR="00684655" w:rsidRPr="00852E0C">
        <w:rPr>
          <w:i/>
          <w:color w:val="000000" w:themeColor="text1"/>
          <w:szCs w:val="24"/>
        </w:rPr>
        <w:t xml:space="preserve">.gada </w:t>
      </w:r>
      <w:r w:rsidR="00AF37B9" w:rsidRPr="00852E0C">
        <w:rPr>
          <w:i/>
          <w:color w:val="000000" w:themeColor="text1"/>
          <w:szCs w:val="24"/>
        </w:rPr>
        <w:t>31.</w:t>
      </w:r>
      <w:r w:rsidR="00DB681F" w:rsidRPr="00852E0C">
        <w:rPr>
          <w:i/>
          <w:color w:val="000000" w:themeColor="text1"/>
          <w:szCs w:val="24"/>
        </w:rPr>
        <w:t>martam</w:t>
      </w:r>
      <w:r w:rsidR="00FB103C" w:rsidRPr="00852E0C">
        <w:rPr>
          <w:i/>
          <w:iCs/>
          <w:color w:val="000000" w:themeColor="text1"/>
          <w:szCs w:val="24"/>
          <w:lang w:eastAsia="lv-LV"/>
        </w:rPr>
        <w:t xml:space="preserve"> </w:t>
      </w:r>
      <w:r w:rsidR="002239D1" w:rsidRPr="00852E0C">
        <w:rPr>
          <w:i/>
          <w:iCs/>
          <w:color w:val="000000" w:themeColor="text1"/>
          <w:szCs w:val="24"/>
          <w:lang w:eastAsia="lv-LV"/>
        </w:rPr>
        <w:t>DP</w:t>
      </w:r>
      <w:r w:rsidR="000B4535" w:rsidRPr="00852E0C">
        <w:rPr>
          <w:i/>
          <w:iCs/>
          <w:color w:val="000000" w:themeColor="text1"/>
          <w:szCs w:val="24"/>
          <w:lang w:eastAsia="lv-LV"/>
        </w:rPr>
        <w:t xml:space="preserve"> </w:t>
      </w:r>
      <w:r w:rsidR="00E15CBF" w:rsidRPr="00852E0C">
        <w:rPr>
          <w:i/>
          <w:iCs/>
          <w:color w:val="000000" w:themeColor="text1"/>
          <w:szCs w:val="24"/>
          <w:lang w:eastAsia="lv-LV"/>
        </w:rPr>
        <w:t>„</w:t>
      </w:r>
      <w:r w:rsidRPr="00852E0C">
        <w:rPr>
          <w:i/>
          <w:iCs/>
          <w:color w:val="000000" w:themeColor="text1"/>
          <w:szCs w:val="24"/>
          <w:lang w:eastAsia="lv-LV"/>
        </w:rPr>
        <w:t>Cilvēkresursi un nodarbinātība</w:t>
      </w:r>
      <w:r w:rsidR="00CB2904" w:rsidRPr="00852E0C">
        <w:rPr>
          <w:i/>
          <w:iCs/>
          <w:color w:val="000000" w:themeColor="text1"/>
          <w:szCs w:val="24"/>
          <w:lang w:eastAsia="lv-LV"/>
        </w:rPr>
        <w:t>”</w:t>
      </w:r>
      <w:r w:rsidRPr="00852E0C">
        <w:rPr>
          <w:i/>
          <w:iCs/>
          <w:color w:val="000000" w:themeColor="text1"/>
          <w:szCs w:val="24"/>
          <w:lang w:eastAsia="lv-LV"/>
        </w:rPr>
        <w:t>;</w:t>
      </w:r>
      <w:r w:rsidR="00CB2904" w:rsidRPr="00852E0C">
        <w:rPr>
          <w:i/>
          <w:iCs/>
          <w:color w:val="000000" w:themeColor="text1"/>
          <w:szCs w:val="24"/>
          <w:lang w:eastAsia="lv-LV"/>
        </w:rPr>
        <w:t xml:space="preserve"> Publiskais finansējums,</w:t>
      </w:r>
      <w:r w:rsidRPr="00852E0C">
        <w:rPr>
          <w:i/>
          <w:iCs/>
          <w:color w:val="000000" w:themeColor="text1"/>
          <w:szCs w:val="24"/>
          <w:lang w:eastAsia="lv-LV"/>
        </w:rPr>
        <w:t xml:space="preserve"> </w:t>
      </w:r>
      <w:r w:rsidR="00657E71" w:rsidRPr="00852E0C">
        <w:rPr>
          <w:rFonts w:eastAsia="EUAlbertina-Bold-Identity-H"/>
          <w:i/>
          <w:color w:val="000000" w:themeColor="text1"/>
          <w:szCs w:val="24"/>
        </w:rPr>
        <w:t xml:space="preserve">milj. </w:t>
      </w:r>
      <w:r w:rsidR="00884EC7" w:rsidRPr="00852E0C">
        <w:rPr>
          <w:rFonts w:eastAsia="EUAlbertina-Bold-Identity-H"/>
          <w:i/>
          <w:color w:val="000000" w:themeColor="text1"/>
          <w:szCs w:val="24"/>
        </w:rPr>
        <w:t>latu</w:t>
      </w:r>
      <w:r w:rsidR="00657E71" w:rsidRPr="00852E0C">
        <w:rPr>
          <w:rFonts w:eastAsia="EUAlbertina-Bold-Identity-H"/>
          <w:i/>
          <w:color w:val="000000" w:themeColor="text1"/>
          <w:szCs w:val="24"/>
        </w:rPr>
        <w:t xml:space="preserve"> (% no pieejamā publiskā finansējuma); </w:t>
      </w:r>
      <w:r w:rsidR="00657E71" w:rsidRPr="00852E0C">
        <w:rPr>
          <w:i/>
          <w:color w:val="000000" w:themeColor="text1"/>
          <w:szCs w:val="24"/>
        </w:rPr>
        <w:t xml:space="preserve">progress pret datiem </w:t>
      </w:r>
      <w:r w:rsidR="000456D8" w:rsidRPr="00852E0C">
        <w:rPr>
          <w:i/>
          <w:color w:val="000000" w:themeColor="text1"/>
          <w:szCs w:val="24"/>
        </w:rPr>
        <w:t>līdz</w:t>
      </w:r>
      <w:r w:rsidR="00657E71" w:rsidRPr="00852E0C">
        <w:rPr>
          <w:i/>
          <w:color w:val="000000" w:themeColor="text1"/>
          <w:szCs w:val="24"/>
        </w:rPr>
        <w:t xml:space="preserve"> </w:t>
      </w:r>
      <w:r w:rsidR="00684655" w:rsidRPr="00852E0C">
        <w:rPr>
          <w:i/>
          <w:color w:val="000000" w:themeColor="text1"/>
          <w:szCs w:val="24"/>
        </w:rPr>
        <w:t>2012</w:t>
      </w:r>
      <w:r w:rsidR="00FB103C" w:rsidRPr="00852E0C">
        <w:rPr>
          <w:i/>
          <w:color w:val="000000" w:themeColor="text1"/>
          <w:szCs w:val="24"/>
        </w:rPr>
        <w:t xml:space="preserve">.gada </w:t>
      </w:r>
      <w:r w:rsidR="00DB681F" w:rsidRPr="00852E0C">
        <w:rPr>
          <w:i/>
          <w:color w:val="000000" w:themeColor="text1"/>
          <w:szCs w:val="24"/>
        </w:rPr>
        <w:t>31.dece</w:t>
      </w:r>
      <w:r w:rsidR="00A363DB" w:rsidRPr="00852E0C">
        <w:rPr>
          <w:i/>
          <w:color w:val="000000" w:themeColor="text1"/>
          <w:szCs w:val="24"/>
        </w:rPr>
        <w:t>m</w:t>
      </w:r>
      <w:r w:rsidR="00DB681F" w:rsidRPr="00852E0C">
        <w:rPr>
          <w:i/>
          <w:color w:val="000000" w:themeColor="text1"/>
          <w:szCs w:val="24"/>
        </w:rPr>
        <w:t>brim</w:t>
      </w:r>
      <w:r w:rsidR="00CB2904" w:rsidRPr="00852E0C">
        <w:rPr>
          <w:i/>
          <w:color w:val="000000" w:themeColor="text1"/>
          <w:szCs w:val="24"/>
        </w:rPr>
        <w:t>,%</w:t>
      </w:r>
      <w:r w:rsidR="00657E71" w:rsidRPr="00852E0C">
        <w:rPr>
          <w:i/>
          <w:color w:val="000000" w:themeColor="text1"/>
          <w:szCs w:val="24"/>
        </w:rPr>
        <w:t>.</w:t>
      </w:r>
      <w:r w:rsidR="000B4535" w:rsidRPr="00852E0C">
        <w:rPr>
          <w:i/>
          <w:iCs/>
          <w:color w:val="000000" w:themeColor="text1"/>
          <w:szCs w:val="24"/>
          <w:lang w:eastAsia="lv-LV"/>
        </w:rPr>
        <w:t>”</w:t>
      </w:r>
    </w:p>
    <w:p w14:paraId="07C399FF" w14:textId="7AB02D4B" w:rsidR="008C6587" w:rsidRPr="00852E0C" w:rsidRDefault="00DB681F" w:rsidP="00852E0C">
      <w:pPr>
        <w:spacing w:line="276" w:lineRule="auto"/>
        <w:rPr>
          <w:i/>
          <w:iCs/>
          <w:color w:val="000000" w:themeColor="text1"/>
          <w:szCs w:val="24"/>
          <w:highlight w:val="yellow"/>
          <w:lang w:eastAsia="lv-LV"/>
        </w:rPr>
      </w:pPr>
      <w:r w:rsidRPr="00852E0C">
        <w:rPr>
          <w:noProof/>
          <w:color w:val="000000" w:themeColor="text1"/>
          <w:szCs w:val="24"/>
          <w:lang w:eastAsia="lv-LV"/>
        </w:rPr>
        <w:drawing>
          <wp:inline distT="0" distB="0" distL="0" distR="0" wp14:anchorId="53C69EC4" wp14:editId="123A8767">
            <wp:extent cx="5814204" cy="6952891"/>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49732AE" w14:textId="06B3997D" w:rsidR="00C52E02" w:rsidRPr="00852E0C" w:rsidRDefault="00965B28" w:rsidP="00852E0C">
      <w:pPr>
        <w:spacing w:line="276" w:lineRule="auto"/>
        <w:rPr>
          <w:color w:val="000000" w:themeColor="text1"/>
          <w:szCs w:val="24"/>
        </w:rPr>
      </w:pPr>
      <w:r w:rsidRPr="00852E0C">
        <w:rPr>
          <w:color w:val="000000" w:themeColor="text1"/>
          <w:szCs w:val="24"/>
        </w:rPr>
        <w:t>R</w:t>
      </w:r>
      <w:r w:rsidR="00C52E02" w:rsidRPr="00852E0C">
        <w:rPr>
          <w:color w:val="000000" w:themeColor="text1"/>
          <w:szCs w:val="24"/>
        </w:rPr>
        <w:t xml:space="preserve">ādītāju sasniegšanas progress turpinājies LM administrētajās nodarbinātības veicināšanas un sociālās iekļaušanas aktivitātēs, vairākās no kurām sasniegts 90 līdz 100% no plānošanas dokumentos noteiktās vērtības </w:t>
      </w:r>
      <w:r w:rsidR="00A363DB" w:rsidRPr="00852E0C">
        <w:rPr>
          <w:color w:val="000000" w:themeColor="text1"/>
          <w:szCs w:val="24"/>
        </w:rPr>
        <w:t xml:space="preserve">– attiecībā uz </w:t>
      </w:r>
      <w:r w:rsidR="00C52E02" w:rsidRPr="00852E0C">
        <w:rPr>
          <w:color w:val="000000" w:themeColor="text1"/>
          <w:szCs w:val="24"/>
        </w:rPr>
        <w:t>modulārās apmācībās</w:t>
      </w:r>
      <w:r w:rsidR="00456D4C" w:rsidRPr="00852E0C">
        <w:rPr>
          <w:color w:val="000000" w:themeColor="text1"/>
          <w:szCs w:val="24"/>
        </w:rPr>
        <w:t>/neformālās izglītības, pārkvalifikācijas un tālākizglītības pasākumos</w:t>
      </w:r>
      <w:r w:rsidR="0067226D" w:rsidRPr="00852E0C">
        <w:rPr>
          <w:color w:val="000000" w:themeColor="text1"/>
          <w:szCs w:val="24"/>
        </w:rPr>
        <w:t xml:space="preserve"> </w:t>
      </w:r>
      <w:r w:rsidR="00A363DB" w:rsidRPr="00852E0C">
        <w:rPr>
          <w:color w:val="000000" w:themeColor="text1"/>
          <w:szCs w:val="24"/>
        </w:rPr>
        <w:t>iesaistīto skaitu</w:t>
      </w:r>
      <w:r w:rsidR="003F4942" w:rsidRPr="00852E0C">
        <w:rPr>
          <w:color w:val="000000" w:themeColor="text1"/>
          <w:szCs w:val="24"/>
        </w:rPr>
        <w:t>.</w:t>
      </w:r>
      <w:r w:rsidR="00A746A6" w:rsidRPr="00852E0C">
        <w:rPr>
          <w:color w:val="000000" w:themeColor="text1"/>
          <w:szCs w:val="24"/>
        </w:rPr>
        <w:t xml:space="preserve"> </w:t>
      </w:r>
      <w:r w:rsidR="00C52E02" w:rsidRPr="00852E0C">
        <w:rPr>
          <w:color w:val="000000" w:themeColor="text1"/>
          <w:szCs w:val="24"/>
        </w:rPr>
        <w:t xml:space="preserve">Ņemot vērā joprojām salīdzinoši augstos bezdarba rādītājus Latvijā, turpinājušās </w:t>
      </w:r>
      <w:r w:rsidR="00C52E02" w:rsidRPr="00852E0C">
        <w:rPr>
          <w:color w:val="000000" w:themeColor="text1"/>
          <w:szCs w:val="24"/>
        </w:rPr>
        <w:lastRenderedPageBreak/>
        <w:t>bezdarbnieku un darba meklētāju apmācību programmas</w:t>
      </w:r>
      <w:r w:rsidR="000E0633">
        <w:rPr>
          <w:color w:val="000000" w:themeColor="text1"/>
          <w:szCs w:val="24"/>
        </w:rPr>
        <w:t xml:space="preserve"> </w:t>
      </w:r>
      <w:r w:rsidR="00C52E02" w:rsidRPr="00852E0C">
        <w:rPr>
          <w:color w:val="000000" w:themeColor="text1"/>
          <w:szCs w:val="24"/>
        </w:rPr>
        <w:t>konkurētspējas paaugstināšanai darba tirgū</w:t>
      </w:r>
      <w:r w:rsidR="00A746A6" w:rsidRPr="00852E0C">
        <w:rPr>
          <w:color w:val="000000" w:themeColor="text1"/>
          <w:szCs w:val="24"/>
        </w:rPr>
        <w:t xml:space="preserve"> </w:t>
      </w:r>
      <w:r w:rsidR="003F4942" w:rsidRPr="00852E0C">
        <w:rPr>
          <w:color w:val="000000" w:themeColor="text1"/>
          <w:szCs w:val="24"/>
        </w:rPr>
        <w:t>un pārskata periodā</w:t>
      </w:r>
      <w:r w:rsidR="000E0633">
        <w:rPr>
          <w:color w:val="000000" w:themeColor="text1"/>
          <w:szCs w:val="24"/>
        </w:rPr>
        <w:t xml:space="preserve"> </w:t>
      </w:r>
      <w:r w:rsidR="003F4942" w:rsidRPr="00852E0C">
        <w:rPr>
          <w:color w:val="000000" w:themeColor="text1"/>
          <w:szCs w:val="24"/>
        </w:rPr>
        <w:t>apmācīto skaits pieaudzis par 6067</w:t>
      </w:r>
      <w:r w:rsidR="00BC0DCD" w:rsidRPr="00852E0C">
        <w:rPr>
          <w:color w:val="000000" w:themeColor="text1"/>
          <w:szCs w:val="24"/>
        </w:rPr>
        <w:t>,</w:t>
      </w:r>
      <w:r w:rsidR="003F4942" w:rsidRPr="00852E0C">
        <w:rPr>
          <w:color w:val="000000" w:themeColor="text1"/>
          <w:szCs w:val="24"/>
        </w:rPr>
        <w:t xml:space="preserve"> kas apliecina, ka ar </w:t>
      </w:r>
      <w:r w:rsidR="00456D4C" w:rsidRPr="00852E0C">
        <w:rPr>
          <w:color w:val="000000" w:themeColor="text1"/>
          <w:szCs w:val="24"/>
        </w:rPr>
        <w:t xml:space="preserve">kopējo (t.sk. par </w:t>
      </w:r>
      <w:r w:rsidR="003F4942" w:rsidRPr="00852E0C">
        <w:rPr>
          <w:color w:val="000000" w:themeColor="text1"/>
          <w:szCs w:val="24"/>
        </w:rPr>
        <w:t xml:space="preserve">valsts budžeta </w:t>
      </w:r>
      <w:proofErr w:type="spellStart"/>
      <w:r w:rsidR="003F4942" w:rsidRPr="00852E0C">
        <w:rPr>
          <w:color w:val="000000" w:themeColor="text1"/>
          <w:szCs w:val="24"/>
        </w:rPr>
        <w:t>virssaistībām</w:t>
      </w:r>
      <w:proofErr w:type="spellEnd"/>
      <w:r w:rsidR="00BC0DCD" w:rsidRPr="00852E0C">
        <w:rPr>
          <w:color w:val="000000" w:themeColor="text1"/>
          <w:szCs w:val="24"/>
        </w:rPr>
        <w:t>)</w:t>
      </w:r>
      <w:r w:rsidR="003F4942" w:rsidRPr="00852E0C">
        <w:rPr>
          <w:color w:val="000000" w:themeColor="text1"/>
          <w:szCs w:val="24"/>
        </w:rPr>
        <w:t xml:space="preserve"> </w:t>
      </w:r>
      <w:r w:rsidR="00456D4C" w:rsidRPr="00852E0C">
        <w:rPr>
          <w:color w:val="000000" w:themeColor="text1"/>
          <w:szCs w:val="24"/>
        </w:rPr>
        <w:t>noteikto rādīt</w:t>
      </w:r>
      <w:r w:rsidR="00BC0DCD" w:rsidRPr="00852E0C">
        <w:rPr>
          <w:color w:val="000000" w:themeColor="text1"/>
          <w:szCs w:val="24"/>
        </w:rPr>
        <w:t xml:space="preserve">āju </w:t>
      </w:r>
      <w:r w:rsidR="003F4942" w:rsidRPr="00852E0C">
        <w:rPr>
          <w:color w:val="000000" w:themeColor="text1"/>
          <w:szCs w:val="24"/>
        </w:rPr>
        <w:t xml:space="preserve">– </w:t>
      </w:r>
      <w:r w:rsidR="00456D4C" w:rsidRPr="00852E0C">
        <w:rPr>
          <w:color w:val="000000" w:themeColor="text1"/>
          <w:szCs w:val="24"/>
        </w:rPr>
        <w:t>126 576</w:t>
      </w:r>
      <w:r w:rsidR="003F4942" w:rsidRPr="00852E0C">
        <w:rPr>
          <w:color w:val="000000" w:themeColor="text1"/>
          <w:szCs w:val="24"/>
        </w:rPr>
        <w:t xml:space="preserve"> personas − </w:t>
      </w:r>
      <w:r w:rsidR="00C52E02" w:rsidRPr="00852E0C">
        <w:rPr>
          <w:color w:val="000000" w:themeColor="text1"/>
          <w:szCs w:val="24"/>
        </w:rPr>
        <w:t>plānoto mērķi iespējams pārsniegt</w:t>
      </w:r>
      <w:r w:rsidR="00A746A6" w:rsidRPr="00852E0C">
        <w:rPr>
          <w:color w:val="000000" w:themeColor="text1"/>
          <w:szCs w:val="24"/>
        </w:rPr>
        <w:t>.</w:t>
      </w:r>
      <w:r w:rsidR="000E0633">
        <w:rPr>
          <w:color w:val="000000" w:themeColor="text1"/>
          <w:szCs w:val="24"/>
        </w:rPr>
        <w:t xml:space="preserve"> </w:t>
      </w:r>
    </w:p>
    <w:p w14:paraId="7BE63E18" w14:textId="0963A546" w:rsidR="00631A53" w:rsidRPr="00852E0C" w:rsidRDefault="00C52E02" w:rsidP="00852E0C">
      <w:pPr>
        <w:spacing w:line="276" w:lineRule="auto"/>
        <w:rPr>
          <w:color w:val="000000" w:themeColor="text1"/>
          <w:szCs w:val="24"/>
        </w:rPr>
      </w:pPr>
      <w:r w:rsidRPr="00852E0C">
        <w:rPr>
          <w:color w:val="000000" w:themeColor="text1"/>
          <w:szCs w:val="24"/>
        </w:rPr>
        <w:t>Nodarbinātības līmeņa paaugstināšanai un bezdarba mazināšanai pašvaldību līmenī 2012.gada sākumā uzsāktā</w:t>
      </w:r>
      <w:r w:rsidR="00631A53" w:rsidRPr="00852E0C">
        <w:rPr>
          <w:color w:val="000000" w:themeColor="text1"/>
          <w:szCs w:val="24"/>
        </w:rPr>
        <w:t>s</w:t>
      </w:r>
      <w:r w:rsidRPr="00852E0C">
        <w:rPr>
          <w:color w:val="000000" w:themeColor="text1"/>
          <w:szCs w:val="24"/>
        </w:rPr>
        <w:t xml:space="preserve"> algotu pagaidu sabiedrisko darbu programma</w:t>
      </w:r>
      <w:r w:rsidR="00631A53" w:rsidRPr="00852E0C">
        <w:rPr>
          <w:color w:val="000000" w:themeColor="text1"/>
          <w:szCs w:val="24"/>
        </w:rPr>
        <w:t xml:space="preserve">s </w:t>
      </w:r>
      <w:r w:rsidRPr="00852E0C">
        <w:rPr>
          <w:color w:val="000000" w:themeColor="text1"/>
          <w:szCs w:val="24"/>
        </w:rPr>
        <w:t xml:space="preserve">ietvaros </w:t>
      </w:r>
      <w:r w:rsidR="00631A53" w:rsidRPr="00852E0C">
        <w:rPr>
          <w:color w:val="000000" w:themeColor="text1"/>
          <w:szCs w:val="24"/>
        </w:rPr>
        <w:t xml:space="preserve">līdz 2014.gada 30.jūnijam plānots </w:t>
      </w:r>
      <w:r w:rsidRPr="00852E0C">
        <w:rPr>
          <w:color w:val="000000" w:themeColor="text1"/>
          <w:szCs w:val="24"/>
        </w:rPr>
        <w:t xml:space="preserve">nodrošināt īslaicīgas darba vietas </w:t>
      </w:r>
      <w:r w:rsidR="00631A53" w:rsidRPr="00852E0C">
        <w:rPr>
          <w:color w:val="000000" w:themeColor="text1"/>
          <w:szCs w:val="24"/>
        </w:rPr>
        <w:t xml:space="preserve">(līdz 4 mēnešiem viena gada laikā) </w:t>
      </w:r>
      <w:r w:rsidRPr="00852E0C">
        <w:rPr>
          <w:color w:val="000000" w:themeColor="text1"/>
          <w:szCs w:val="24"/>
        </w:rPr>
        <w:t>bezdarbniekiem</w:t>
      </w:r>
      <w:r w:rsidR="00456D4C" w:rsidRPr="00852E0C">
        <w:rPr>
          <w:color w:val="000000" w:themeColor="text1"/>
          <w:szCs w:val="24"/>
        </w:rPr>
        <w:t xml:space="preserve">, kuri nesaņem bezdarbnieka pabalstu </w:t>
      </w:r>
      <w:r w:rsidR="00D7121B" w:rsidRPr="00852E0C">
        <w:rPr>
          <w:color w:val="000000" w:themeColor="text1"/>
          <w:szCs w:val="24"/>
        </w:rPr>
        <w:t xml:space="preserve">(plānots iesaistīt kopā ne mazāk kā </w:t>
      </w:r>
      <w:r w:rsidR="00456D4C" w:rsidRPr="00852E0C">
        <w:rPr>
          <w:color w:val="000000" w:themeColor="text1"/>
          <w:szCs w:val="24"/>
        </w:rPr>
        <w:t xml:space="preserve">57,8 </w:t>
      </w:r>
      <w:r w:rsidR="00D7121B" w:rsidRPr="00852E0C">
        <w:rPr>
          <w:color w:val="000000" w:themeColor="text1"/>
          <w:szCs w:val="24"/>
        </w:rPr>
        <w:t>tūkst.)</w:t>
      </w:r>
      <w:r w:rsidR="00456D4C" w:rsidRPr="00852E0C">
        <w:rPr>
          <w:color w:val="000000" w:themeColor="text1"/>
          <w:szCs w:val="24"/>
        </w:rPr>
        <w:t xml:space="preserve"> un</w:t>
      </w:r>
      <w:r w:rsidR="00631A53" w:rsidRPr="00852E0C">
        <w:rPr>
          <w:color w:val="000000" w:themeColor="text1"/>
          <w:szCs w:val="24"/>
        </w:rPr>
        <w:t xml:space="preserve"> </w:t>
      </w:r>
      <w:r w:rsidR="00456D4C" w:rsidRPr="00852E0C">
        <w:rPr>
          <w:color w:val="000000" w:themeColor="text1"/>
          <w:szCs w:val="24"/>
        </w:rPr>
        <w:t xml:space="preserve">kuri </w:t>
      </w:r>
      <w:r w:rsidR="00631A53" w:rsidRPr="00852E0C">
        <w:rPr>
          <w:color w:val="000000" w:themeColor="text1"/>
          <w:szCs w:val="24"/>
        </w:rPr>
        <w:t xml:space="preserve">ir </w:t>
      </w:r>
      <w:r w:rsidR="00456D4C" w:rsidRPr="00852E0C">
        <w:rPr>
          <w:color w:val="000000" w:themeColor="text1"/>
          <w:szCs w:val="24"/>
        </w:rPr>
        <w:t xml:space="preserve">reģistrējušies </w:t>
      </w:r>
      <w:r w:rsidR="00631A53" w:rsidRPr="00852E0C">
        <w:rPr>
          <w:color w:val="000000" w:themeColor="text1"/>
          <w:szCs w:val="24"/>
        </w:rPr>
        <w:t>NVA kā bezdarbnieki ilgāk par 6 mēnešiem.</w:t>
      </w:r>
      <w:r w:rsidR="00D7121B" w:rsidRPr="00852E0C">
        <w:rPr>
          <w:color w:val="000000" w:themeColor="text1"/>
          <w:szCs w:val="24"/>
        </w:rPr>
        <w:t xml:space="preserve"> </w:t>
      </w:r>
    </w:p>
    <w:p w14:paraId="31CFA3AA" w14:textId="2F59FCAD" w:rsidR="003B1754" w:rsidRPr="00852E0C" w:rsidRDefault="003B1754" w:rsidP="00852E0C">
      <w:pPr>
        <w:spacing w:line="276" w:lineRule="auto"/>
        <w:rPr>
          <w:color w:val="000000" w:themeColor="text1"/>
          <w:szCs w:val="24"/>
        </w:rPr>
      </w:pPr>
      <w:r w:rsidRPr="00852E0C">
        <w:rPr>
          <w:color w:val="000000" w:themeColor="text1"/>
          <w:szCs w:val="24"/>
        </w:rPr>
        <w:t xml:space="preserve">Saistībā ar </w:t>
      </w:r>
      <w:r w:rsidRPr="00852E0C">
        <w:rPr>
          <w:bCs/>
          <w:color w:val="000000" w:themeColor="text1"/>
          <w:szCs w:val="24"/>
        </w:rPr>
        <w:t>2012.gada beigās saņemtā EK audita ziņojuma projektā par finanšu instrumenta ieviešanu konstatētajiem trūkumiem finanšu instrumenta vadības un kontroles sistēmā EM, LHZB un LIAA ir uzsākusi</w:t>
      </w:r>
      <w:r w:rsidR="000E0633">
        <w:rPr>
          <w:bCs/>
          <w:color w:val="000000" w:themeColor="text1"/>
          <w:szCs w:val="24"/>
        </w:rPr>
        <w:t xml:space="preserve"> </w:t>
      </w:r>
      <w:r w:rsidRPr="00852E0C">
        <w:rPr>
          <w:bCs/>
          <w:color w:val="000000" w:themeColor="text1"/>
          <w:szCs w:val="24"/>
        </w:rPr>
        <w:t>rīcības plāna īstenošanu konstatēto trūkumu novēršanai, uz laiku pārtraucot grantu izsniegšanu.</w:t>
      </w:r>
      <w:r w:rsidR="00C52E02" w:rsidRPr="00852E0C">
        <w:rPr>
          <w:color w:val="000000" w:themeColor="text1"/>
          <w:szCs w:val="24"/>
        </w:rPr>
        <w:t xml:space="preserve"> </w:t>
      </w:r>
      <w:r w:rsidRPr="00852E0C">
        <w:rPr>
          <w:color w:val="000000" w:themeColor="text1"/>
          <w:szCs w:val="24"/>
        </w:rPr>
        <w:t>EM ir sagatavojusi priekšlikumu aktivitātes ieviešanas modeļa pārveidei, nodrošinot atbilstību EK auditā izteiktajiem ieteikumiem attiecībā uz aktivitātes</w:t>
      </w:r>
      <w:r w:rsidR="000E0633">
        <w:rPr>
          <w:color w:val="000000" w:themeColor="text1"/>
          <w:szCs w:val="24"/>
        </w:rPr>
        <w:t xml:space="preserve"> </w:t>
      </w:r>
      <w:r w:rsidRPr="00852E0C">
        <w:rPr>
          <w:bCs/>
          <w:color w:val="000000" w:themeColor="text1"/>
          <w:szCs w:val="24"/>
        </w:rPr>
        <w:t>ieviešanas modeli, nodalot grantus no aizdevumiem.</w:t>
      </w:r>
      <w:r w:rsidR="000E0633">
        <w:rPr>
          <w:bCs/>
          <w:color w:val="000000" w:themeColor="text1"/>
          <w:szCs w:val="24"/>
        </w:rPr>
        <w:t xml:space="preserve"> </w:t>
      </w:r>
      <w:r w:rsidR="00C35E3F" w:rsidRPr="00852E0C">
        <w:rPr>
          <w:color w:val="000000" w:themeColor="text1"/>
          <w:szCs w:val="24"/>
        </w:rPr>
        <w:t xml:space="preserve">Š.g. 22.martā FM to nosūtīja saskaņošanai DG EMPL. Š.g. 10.aprīlī EM izsūtīja saskaņošanai TM un FM grozījumus </w:t>
      </w:r>
      <w:r w:rsidR="000E0633">
        <w:rPr>
          <w:color w:val="000000" w:themeColor="text1"/>
          <w:szCs w:val="24"/>
        </w:rPr>
        <w:t>MK</w:t>
      </w:r>
      <w:r w:rsidR="00C35E3F" w:rsidRPr="00852E0C">
        <w:rPr>
          <w:color w:val="000000" w:themeColor="text1"/>
          <w:szCs w:val="24"/>
        </w:rPr>
        <w:t xml:space="preserve"> 2009.gada 31.marta noteikumos Nr.293 „Noteikumi par darbības programmas „Cilvēkresursi un nodarbinātība” papildinājuma 1.3.1.2.aktivitāti „Atbalsts </w:t>
      </w:r>
      <w:proofErr w:type="spellStart"/>
      <w:r w:rsidR="00C35E3F" w:rsidRPr="00852E0C">
        <w:rPr>
          <w:color w:val="000000" w:themeColor="text1"/>
          <w:szCs w:val="24"/>
        </w:rPr>
        <w:t>pašnodarbinātības</w:t>
      </w:r>
      <w:proofErr w:type="spellEnd"/>
      <w:r w:rsidR="00C35E3F" w:rsidRPr="00852E0C">
        <w:rPr>
          <w:color w:val="000000" w:themeColor="text1"/>
          <w:szCs w:val="24"/>
        </w:rPr>
        <w:t xml:space="preserve"> un uzņēmējdarbības uzsākšanai”” (turpmāk – MK noteikumi Nr.293). Ņemot vērā, ka EM priekšlikumu tālāka virzība ir iespējama tikai pēc saskaņojuma saņemšanas no DG EMPL, bet</w:t>
      </w:r>
      <w:r w:rsidR="000E0633">
        <w:rPr>
          <w:color w:val="000000" w:themeColor="text1"/>
          <w:szCs w:val="24"/>
        </w:rPr>
        <w:t xml:space="preserve"> </w:t>
      </w:r>
      <w:r w:rsidR="00C35E3F" w:rsidRPr="00852E0C">
        <w:rPr>
          <w:color w:val="000000" w:themeColor="text1"/>
          <w:szCs w:val="24"/>
        </w:rPr>
        <w:t xml:space="preserve">pārskata periodā saskaņojums nav saņemts, ir nepieciešams termiņa pagarinājums MK </w:t>
      </w:r>
      <w:r w:rsidR="000E0633">
        <w:rPr>
          <w:color w:val="000000" w:themeColor="text1"/>
          <w:szCs w:val="24"/>
        </w:rPr>
        <w:t xml:space="preserve">2013.gada 5.marta </w:t>
      </w:r>
      <w:r w:rsidR="00C35E3F" w:rsidRPr="00852E0C">
        <w:rPr>
          <w:color w:val="000000" w:themeColor="text1"/>
          <w:szCs w:val="24"/>
        </w:rPr>
        <w:t xml:space="preserve">sēdes </w:t>
      </w:r>
      <w:proofErr w:type="spellStart"/>
      <w:r w:rsidR="00C35E3F" w:rsidRPr="00852E0C">
        <w:rPr>
          <w:color w:val="000000" w:themeColor="text1"/>
          <w:szCs w:val="24"/>
        </w:rPr>
        <w:t>protokollēmuma</w:t>
      </w:r>
      <w:proofErr w:type="spellEnd"/>
      <w:r w:rsidR="00C35E3F" w:rsidRPr="00852E0C">
        <w:rPr>
          <w:color w:val="000000" w:themeColor="text1"/>
          <w:szCs w:val="24"/>
        </w:rPr>
        <w:t xml:space="preserve"> </w:t>
      </w:r>
      <w:proofErr w:type="spellStart"/>
      <w:r w:rsidR="00C35E3F" w:rsidRPr="00852E0C">
        <w:rPr>
          <w:color w:val="000000" w:themeColor="text1"/>
          <w:szCs w:val="24"/>
        </w:rPr>
        <w:t>Nr</w:t>
      </w:r>
      <w:proofErr w:type="spellEnd"/>
      <w:r w:rsidR="00C35E3F" w:rsidRPr="00852E0C">
        <w:rPr>
          <w:color w:val="000000" w:themeColor="text1"/>
          <w:szCs w:val="24"/>
        </w:rPr>
        <w:t>. 13 38.§ 9. un 11.punktā noteiktajiem termiņiem.</w:t>
      </w:r>
    </w:p>
    <w:p w14:paraId="56CB75B4" w14:textId="7C898455" w:rsidR="002C4AF6" w:rsidRPr="00852E0C" w:rsidRDefault="00A363DB" w:rsidP="00852E0C">
      <w:pPr>
        <w:spacing w:line="276" w:lineRule="auto"/>
        <w:rPr>
          <w:color w:val="000000" w:themeColor="text1"/>
          <w:szCs w:val="24"/>
        </w:rPr>
      </w:pPr>
      <w:r w:rsidRPr="00852E0C">
        <w:rPr>
          <w:color w:val="000000" w:themeColor="text1"/>
          <w:szCs w:val="24"/>
        </w:rPr>
        <w:t xml:space="preserve">Sociālās iekļaušanas jomā </w:t>
      </w:r>
      <w:r w:rsidR="00C52E02" w:rsidRPr="00852E0C">
        <w:rPr>
          <w:color w:val="000000" w:themeColor="text1"/>
          <w:szCs w:val="24"/>
        </w:rPr>
        <w:t>aktīvi turpinājās sociālās rehabilitācijas un institūcijām alternatīvu sociālās aprūpes pakalpojumu attīstībai reģionos paredzētās atbalsta aktivitātes ieviešana, kurā</w:t>
      </w:r>
      <w:r w:rsidR="000E0633">
        <w:rPr>
          <w:color w:val="000000" w:themeColor="text1"/>
          <w:szCs w:val="24"/>
        </w:rPr>
        <w:t xml:space="preserve"> </w:t>
      </w:r>
      <w:r w:rsidR="002C4AF6" w:rsidRPr="00852E0C">
        <w:rPr>
          <w:color w:val="000000" w:themeColor="text1"/>
          <w:szCs w:val="24"/>
        </w:rPr>
        <w:t>sociāl</w:t>
      </w:r>
      <w:r w:rsidR="007C08D3" w:rsidRPr="00852E0C">
        <w:rPr>
          <w:color w:val="000000" w:themeColor="text1"/>
          <w:szCs w:val="24"/>
        </w:rPr>
        <w:t>ās rehabilitācijas pakalpojumus</w:t>
      </w:r>
      <w:r w:rsidR="00C52E02" w:rsidRPr="00852E0C">
        <w:rPr>
          <w:color w:val="000000" w:themeColor="text1"/>
          <w:szCs w:val="24"/>
        </w:rPr>
        <w:t xml:space="preserve"> saņēmušo personu skaits</w:t>
      </w:r>
      <w:r w:rsidRPr="00852E0C">
        <w:rPr>
          <w:color w:val="000000" w:themeColor="text1"/>
          <w:szCs w:val="24"/>
        </w:rPr>
        <w:t xml:space="preserve"> p</w:t>
      </w:r>
      <w:r w:rsidR="0067226D" w:rsidRPr="00852E0C">
        <w:rPr>
          <w:color w:val="000000" w:themeColor="text1"/>
          <w:szCs w:val="24"/>
        </w:rPr>
        <w:t xml:space="preserve">ārskata </w:t>
      </w:r>
      <w:r w:rsidRPr="00852E0C">
        <w:rPr>
          <w:color w:val="000000" w:themeColor="text1"/>
          <w:szCs w:val="24"/>
        </w:rPr>
        <w:t>period</w:t>
      </w:r>
      <w:r w:rsidR="0067226D" w:rsidRPr="00852E0C">
        <w:rPr>
          <w:color w:val="000000" w:themeColor="text1"/>
          <w:szCs w:val="24"/>
        </w:rPr>
        <w:t>ā</w:t>
      </w:r>
      <w:r w:rsidRPr="00852E0C">
        <w:rPr>
          <w:color w:val="000000" w:themeColor="text1"/>
          <w:szCs w:val="24"/>
        </w:rPr>
        <w:t xml:space="preserve"> palielinājies par </w:t>
      </w:r>
      <w:r w:rsidR="00BC0DCD" w:rsidRPr="00852E0C">
        <w:rPr>
          <w:color w:val="000000" w:themeColor="text1"/>
          <w:szCs w:val="24"/>
        </w:rPr>
        <w:t xml:space="preserve">2 </w:t>
      </w:r>
      <w:r w:rsidR="00E35EDA" w:rsidRPr="00852E0C">
        <w:rPr>
          <w:color w:val="000000" w:themeColor="text1"/>
          <w:szCs w:val="24"/>
        </w:rPr>
        <w:t>759</w:t>
      </w:r>
      <w:r w:rsidR="002C4AF6" w:rsidRPr="00852E0C">
        <w:rPr>
          <w:color w:val="000000" w:themeColor="text1"/>
          <w:szCs w:val="24"/>
        </w:rPr>
        <w:t xml:space="preserve"> (tostarp personas ar funkcionāliem traucējumiem, sociālās atstumtības riskam pakļautās personas), kas apliecina, ka ar valsts budžeta </w:t>
      </w:r>
      <w:proofErr w:type="spellStart"/>
      <w:r w:rsidR="002C4AF6" w:rsidRPr="00852E0C">
        <w:rPr>
          <w:color w:val="000000" w:themeColor="text1"/>
          <w:szCs w:val="24"/>
        </w:rPr>
        <w:t>virssaistībām</w:t>
      </w:r>
      <w:proofErr w:type="spellEnd"/>
      <w:r w:rsidR="002C4AF6" w:rsidRPr="00852E0C">
        <w:rPr>
          <w:color w:val="000000" w:themeColor="text1"/>
          <w:szCs w:val="24"/>
        </w:rPr>
        <w:t xml:space="preserve"> noteiktais kopskaits – 17 149 personas − tiks sasniegts.</w:t>
      </w:r>
    </w:p>
    <w:p w14:paraId="3DC371FE" w14:textId="17C9257A" w:rsidR="00C52E02" w:rsidRPr="00852E0C" w:rsidRDefault="00C52E02" w:rsidP="00852E0C">
      <w:pPr>
        <w:spacing w:line="276" w:lineRule="auto"/>
        <w:rPr>
          <w:color w:val="000000" w:themeColor="text1"/>
          <w:szCs w:val="24"/>
        </w:rPr>
      </w:pPr>
      <w:r w:rsidRPr="00852E0C">
        <w:rPr>
          <w:color w:val="000000" w:themeColor="text1"/>
          <w:szCs w:val="24"/>
        </w:rPr>
        <w:t xml:space="preserve">Cilvēkresursu piesaistes zinātnei atbalsta jomā 2013.gada 18.februārī noslēgusies projektu iesniegumu 2.atlases kārta, atbalstot zinātnieku grupu izveidi, kuru paplašināšanai un darbības nodrošināšanai un turpināšanai ir pieejamas arī valsts budžeta </w:t>
      </w:r>
      <w:proofErr w:type="spellStart"/>
      <w:r w:rsidRPr="00852E0C">
        <w:rPr>
          <w:color w:val="000000" w:themeColor="text1"/>
          <w:szCs w:val="24"/>
        </w:rPr>
        <w:t>virssaistības</w:t>
      </w:r>
      <w:proofErr w:type="spellEnd"/>
      <w:r w:rsidRPr="00852E0C">
        <w:rPr>
          <w:color w:val="000000" w:themeColor="text1"/>
          <w:szCs w:val="24"/>
        </w:rPr>
        <w:t xml:space="preserve"> 4,5 </w:t>
      </w:r>
      <w:proofErr w:type="spellStart"/>
      <w:r w:rsidRPr="00852E0C">
        <w:rPr>
          <w:color w:val="000000" w:themeColor="text1"/>
          <w:szCs w:val="24"/>
        </w:rPr>
        <w:t>milj</w:t>
      </w:r>
      <w:proofErr w:type="spellEnd"/>
      <w:r w:rsidRPr="00852E0C">
        <w:rPr>
          <w:color w:val="000000" w:themeColor="text1"/>
          <w:szCs w:val="24"/>
        </w:rPr>
        <w:t xml:space="preserve">. latu apjomā. Īpaši izceļami arī pasākumi jauniešu sociālās atstumtības riska mazināšanai un jauniešu ar funkcionālajiem traucējumiem integrācijai izglītībā jomā. </w:t>
      </w:r>
      <w:r w:rsidR="003F4942" w:rsidRPr="00852E0C">
        <w:rPr>
          <w:color w:val="000000" w:themeColor="text1"/>
          <w:szCs w:val="24"/>
        </w:rPr>
        <w:t>Pārskata periodā 2084 sociālās atstumtības riskam pakļauto jauniešu saņēmuši ESF atbalstu mācībām un būtiski palielinājusies izglītības pieejamība bērniem ar īpašām vajadzībām, t.sk. kustību traucējumiem.</w:t>
      </w:r>
    </w:p>
    <w:p w14:paraId="0DF8FDDC" w14:textId="0F2F2C74" w:rsidR="00C52E02" w:rsidRPr="00852E0C" w:rsidRDefault="00C52E02" w:rsidP="00852E0C">
      <w:pPr>
        <w:spacing w:line="276" w:lineRule="auto"/>
        <w:rPr>
          <w:rFonts w:eastAsia="Calibri"/>
          <w:color w:val="000000" w:themeColor="text1"/>
          <w:szCs w:val="24"/>
          <w:lang w:eastAsia="lv-LV"/>
        </w:rPr>
      </w:pPr>
      <w:r w:rsidRPr="00852E0C">
        <w:rPr>
          <w:rFonts w:eastAsia="Calibri"/>
          <w:color w:val="000000" w:themeColor="text1"/>
          <w:szCs w:val="24"/>
          <w:lang w:eastAsia="lv-LV"/>
        </w:rPr>
        <w:lastRenderedPageBreak/>
        <w:t>Informāciju par TP aktivitāšu īstenošanu lūdzam skatīt sadaļā</w:t>
      </w:r>
      <w:r w:rsidR="000E0633">
        <w:rPr>
          <w:rFonts w:eastAsia="Calibri"/>
          <w:color w:val="000000" w:themeColor="text1"/>
          <w:szCs w:val="24"/>
          <w:lang w:eastAsia="lv-LV"/>
        </w:rPr>
        <w:t xml:space="preserve"> </w:t>
      </w:r>
      <w:r w:rsidR="00A17D41" w:rsidRPr="00852E0C">
        <w:rPr>
          <w:rFonts w:eastAsia="Calibri"/>
          <w:color w:val="000000" w:themeColor="text1"/>
          <w:szCs w:val="24"/>
          <w:u w:val="single"/>
          <w:lang w:eastAsia="lv-LV"/>
        </w:rPr>
        <w:t>1.4</w:t>
      </w:r>
      <w:r w:rsidRPr="00852E0C">
        <w:rPr>
          <w:rFonts w:eastAsia="Calibri"/>
          <w:color w:val="000000" w:themeColor="text1"/>
          <w:szCs w:val="24"/>
          <w:u w:val="single"/>
          <w:lang w:eastAsia="lv-LV"/>
        </w:rPr>
        <w:t>. „Kopsavilkums par TP aktivitāšu īstenošanu”.</w:t>
      </w:r>
      <w:r w:rsidR="00AA7E65" w:rsidRPr="00852E0C">
        <w:rPr>
          <w:rFonts w:eastAsia="Calibri"/>
          <w:color w:val="000000" w:themeColor="text1"/>
          <w:szCs w:val="24"/>
          <w:u w:val="single"/>
          <w:lang w:eastAsia="lv-LV"/>
        </w:rPr>
        <w:t xml:space="preserve"> </w:t>
      </w:r>
      <w:r w:rsidR="00AA7E65" w:rsidRPr="00852E0C">
        <w:rPr>
          <w:color w:val="000000" w:themeColor="text1"/>
          <w:szCs w:val="24"/>
        </w:rPr>
        <w:t xml:space="preserve">Par DP ietvaros plānotajam atlasēm informāciju skatīt ES fondu aktivitāšu kalendārā </w:t>
      </w:r>
      <w:hyperlink r:id="rId31" w:history="1">
        <w:r w:rsidR="00AA7E65" w:rsidRPr="00852E0C">
          <w:rPr>
            <w:rStyle w:val="Hyperlink"/>
            <w:rFonts w:ascii="Times New Roman" w:hAnsi="Times New Roman" w:cs="Times New Roman"/>
            <w:color w:val="000000" w:themeColor="text1"/>
            <w:sz w:val="24"/>
            <w:szCs w:val="24"/>
          </w:rPr>
          <w:t>ES fondu interneta vietnē</w:t>
        </w:r>
      </w:hyperlink>
      <w:r w:rsidR="00AA7E65" w:rsidRPr="00852E0C">
        <w:rPr>
          <w:rStyle w:val="FootnoteReference"/>
          <w:color w:val="000000" w:themeColor="text1"/>
          <w:szCs w:val="24"/>
        </w:rPr>
        <w:footnoteReference w:id="19"/>
      </w:r>
      <w:r w:rsidR="00AA7E65" w:rsidRPr="00852E0C">
        <w:rPr>
          <w:rStyle w:val="Hyperlink"/>
          <w:rFonts w:ascii="Times New Roman" w:hAnsi="Times New Roman" w:cs="Times New Roman"/>
          <w:color w:val="000000" w:themeColor="text1"/>
          <w:sz w:val="24"/>
          <w:szCs w:val="24"/>
        </w:rPr>
        <w:t>.</w:t>
      </w:r>
    </w:p>
    <w:p w14:paraId="6184E1E3" w14:textId="3513C7C2" w:rsidR="00FF4209" w:rsidRPr="00852E0C" w:rsidRDefault="00AA7E65" w:rsidP="00852E0C">
      <w:pPr>
        <w:pStyle w:val="2lmenis"/>
        <w:numPr>
          <w:ilvl w:val="2"/>
          <w:numId w:val="2"/>
        </w:numPr>
        <w:spacing w:before="120" w:after="120" w:line="276" w:lineRule="auto"/>
        <w:jc w:val="both"/>
        <w:rPr>
          <w:color w:val="000000" w:themeColor="text1"/>
          <w:sz w:val="24"/>
          <w:szCs w:val="24"/>
          <w:lang w:val="lv-LV"/>
        </w:rPr>
      </w:pPr>
      <w:bookmarkStart w:id="21" w:name="_Toc276049977"/>
      <w:bookmarkStart w:id="22" w:name="_Toc356465227"/>
      <w:r w:rsidRPr="00852E0C">
        <w:rPr>
          <w:color w:val="000000" w:themeColor="text1"/>
          <w:sz w:val="24"/>
          <w:szCs w:val="24"/>
          <w:lang w:val="lv-LV"/>
        </w:rPr>
        <w:t>D</w:t>
      </w:r>
      <w:r w:rsidR="00E64901" w:rsidRPr="00852E0C">
        <w:rPr>
          <w:color w:val="000000" w:themeColor="text1"/>
          <w:sz w:val="24"/>
          <w:szCs w:val="24"/>
          <w:lang w:val="lv-LV"/>
        </w:rPr>
        <w:t>arbības programmā</w:t>
      </w:r>
      <w:r w:rsidR="000B4535" w:rsidRPr="00852E0C">
        <w:rPr>
          <w:color w:val="000000" w:themeColor="text1"/>
          <w:sz w:val="24"/>
          <w:szCs w:val="24"/>
          <w:lang w:val="lv-LV"/>
        </w:rPr>
        <w:t xml:space="preserve"> </w:t>
      </w:r>
      <w:r w:rsidR="00E15CBF" w:rsidRPr="00852E0C">
        <w:rPr>
          <w:color w:val="000000" w:themeColor="text1"/>
          <w:sz w:val="24"/>
          <w:szCs w:val="24"/>
          <w:lang w:val="lv-LV"/>
        </w:rPr>
        <w:t>„</w:t>
      </w:r>
      <w:r w:rsidR="00FF4209" w:rsidRPr="00852E0C">
        <w:rPr>
          <w:color w:val="000000" w:themeColor="text1"/>
          <w:sz w:val="24"/>
          <w:szCs w:val="24"/>
          <w:lang w:val="lv-LV"/>
        </w:rPr>
        <w:t>Uzņēmējdarbība un inovācijas</w:t>
      </w:r>
      <w:bookmarkEnd w:id="21"/>
      <w:r w:rsidR="00731B18" w:rsidRPr="00852E0C">
        <w:rPr>
          <w:color w:val="000000" w:themeColor="text1"/>
          <w:sz w:val="24"/>
          <w:szCs w:val="24"/>
          <w:lang w:val="lv-LV"/>
        </w:rPr>
        <w:t>”</w:t>
      </w:r>
      <w:r w:rsidRPr="00852E0C">
        <w:rPr>
          <w:color w:val="000000" w:themeColor="text1"/>
          <w:sz w:val="24"/>
          <w:szCs w:val="24"/>
          <w:lang w:val="lv-LV"/>
        </w:rPr>
        <w:t xml:space="preserve"> mērķu un rezultātu sasniegšana</w:t>
      </w:r>
      <w:bookmarkEnd w:id="22"/>
    </w:p>
    <w:p w14:paraId="34218BAD" w14:textId="08431B5F" w:rsidR="001941AC" w:rsidRPr="00852E0C" w:rsidRDefault="001941AC" w:rsidP="00852E0C">
      <w:pPr>
        <w:spacing w:line="276" w:lineRule="auto"/>
        <w:rPr>
          <w:color w:val="000000" w:themeColor="text1"/>
          <w:szCs w:val="24"/>
        </w:rPr>
      </w:pPr>
      <w:r w:rsidRPr="00852E0C">
        <w:rPr>
          <w:color w:val="000000" w:themeColor="text1"/>
          <w:szCs w:val="24"/>
        </w:rPr>
        <w:t xml:space="preserve">2013.gada 1.ceturksnī DP „Uzņēmējdarbība un inovācijas” ieviešana ir notikusi atbilstoši AI plānotajam, mērķis maksājumiem finansējuma saņēmējiem ir pārpildīts par 5,8%, IZM un EM attiecīgi par 12,5% un 6%. Kopējos DP finanšu rādītājus negatīvi ietekmē </w:t>
      </w:r>
      <w:r w:rsidR="004A63F2" w:rsidRPr="00852E0C">
        <w:rPr>
          <w:color w:val="000000" w:themeColor="text1"/>
          <w:szCs w:val="24"/>
        </w:rPr>
        <w:t xml:space="preserve">regress </w:t>
      </w:r>
      <w:r w:rsidRPr="00852E0C">
        <w:rPr>
          <w:color w:val="000000" w:themeColor="text1"/>
          <w:szCs w:val="24"/>
        </w:rPr>
        <w:t xml:space="preserve">IZM un EM </w:t>
      </w:r>
      <w:r w:rsidR="004A63F2" w:rsidRPr="00852E0C">
        <w:rPr>
          <w:color w:val="000000" w:themeColor="text1"/>
          <w:szCs w:val="24"/>
        </w:rPr>
        <w:t>ieviestajās aktivitātēs</w:t>
      </w:r>
      <w:r w:rsidRPr="00852E0C">
        <w:rPr>
          <w:color w:val="000000" w:themeColor="text1"/>
          <w:szCs w:val="24"/>
        </w:rPr>
        <w:t xml:space="preserve"> prioritātes „</w:t>
      </w:r>
      <w:r w:rsidR="004A63F2" w:rsidRPr="00852E0C">
        <w:rPr>
          <w:color w:val="000000" w:themeColor="text1"/>
          <w:szCs w:val="24"/>
        </w:rPr>
        <w:t xml:space="preserve">Zinātne un inovācijas” ietvaros, kā arī DP īstenošanu nedaudz </w:t>
      </w:r>
      <w:r w:rsidR="00255987" w:rsidRPr="00852E0C">
        <w:rPr>
          <w:color w:val="000000" w:themeColor="text1"/>
          <w:szCs w:val="24"/>
        </w:rPr>
        <w:t>kavē prioritātes „Uzņēmējdarbības veicināšana” lēnais ieviešanas progress.</w:t>
      </w:r>
    </w:p>
    <w:p w14:paraId="0051E21A" w14:textId="1C19F79B" w:rsidR="00920AA3" w:rsidRPr="00852E0C" w:rsidRDefault="00920AA3" w:rsidP="00852E0C">
      <w:pPr>
        <w:spacing w:line="276" w:lineRule="auto"/>
        <w:rPr>
          <w:color w:val="000000" w:themeColor="text1"/>
          <w:szCs w:val="24"/>
        </w:rPr>
      </w:pPr>
      <w:r w:rsidRPr="00852E0C">
        <w:rPr>
          <w:color w:val="000000" w:themeColor="text1"/>
          <w:szCs w:val="24"/>
        </w:rPr>
        <w:t xml:space="preserve">Detalizētāku informāciju par </w:t>
      </w:r>
      <w:r w:rsidR="003A7D9A" w:rsidRPr="00852E0C">
        <w:rPr>
          <w:color w:val="000000" w:themeColor="text1"/>
          <w:szCs w:val="24"/>
        </w:rPr>
        <w:t xml:space="preserve">veiktajām </w:t>
      </w:r>
      <w:r w:rsidRPr="00852E0C">
        <w:rPr>
          <w:color w:val="000000" w:themeColor="text1"/>
          <w:szCs w:val="24"/>
        </w:rPr>
        <w:t xml:space="preserve">finanšu </w:t>
      </w:r>
      <w:r w:rsidR="003A7D9A" w:rsidRPr="00852E0C">
        <w:rPr>
          <w:color w:val="000000" w:themeColor="text1"/>
          <w:szCs w:val="24"/>
        </w:rPr>
        <w:t>investīcijām</w:t>
      </w:r>
      <w:r w:rsidRPr="00852E0C">
        <w:rPr>
          <w:color w:val="000000" w:themeColor="text1"/>
          <w:szCs w:val="24"/>
        </w:rPr>
        <w:t xml:space="preserve"> </w:t>
      </w:r>
      <w:r w:rsidR="00191641" w:rsidRPr="00852E0C">
        <w:rPr>
          <w:color w:val="000000" w:themeColor="text1"/>
          <w:szCs w:val="24"/>
        </w:rPr>
        <w:t>un finanšu progresu</w:t>
      </w:r>
      <w:r w:rsidR="001941AC" w:rsidRPr="00852E0C">
        <w:rPr>
          <w:color w:val="000000" w:themeColor="text1"/>
          <w:szCs w:val="24"/>
        </w:rPr>
        <w:t xml:space="preserve"> </w:t>
      </w:r>
      <w:r w:rsidRPr="00852E0C">
        <w:rPr>
          <w:color w:val="000000" w:themeColor="text1"/>
          <w:szCs w:val="24"/>
        </w:rPr>
        <w:t xml:space="preserve">skatīt </w:t>
      </w:r>
      <w:r w:rsidRPr="00852E0C">
        <w:rPr>
          <w:color w:val="000000" w:themeColor="text1"/>
          <w:szCs w:val="24"/>
          <w:u w:val="single"/>
        </w:rPr>
        <w:t>g</w:t>
      </w:r>
      <w:r w:rsidR="00BC0DCD" w:rsidRPr="00852E0C">
        <w:rPr>
          <w:color w:val="000000" w:themeColor="text1"/>
          <w:szCs w:val="24"/>
          <w:u w:val="single"/>
        </w:rPr>
        <w:t>rafikā Nr.9</w:t>
      </w:r>
      <w:r w:rsidR="0085154E" w:rsidRPr="00852E0C">
        <w:rPr>
          <w:color w:val="000000" w:themeColor="text1"/>
          <w:szCs w:val="24"/>
          <w:u w:val="single"/>
        </w:rPr>
        <w:t xml:space="preserve"> </w:t>
      </w:r>
      <w:r w:rsidR="0085154E" w:rsidRPr="00852E0C">
        <w:rPr>
          <w:color w:val="000000" w:themeColor="text1"/>
          <w:szCs w:val="24"/>
        </w:rPr>
        <w:t xml:space="preserve">un </w:t>
      </w:r>
      <w:r w:rsidR="0085154E" w:rsidRPr="00852E0C">
        <w:rPr>
          <w:color w:val="000000" w:themeColor="text1"/>
          <w:szCs w:val="24"/>
          <w:u w:val="single"/>
        </w:rPr>
        <w:t>pielikumā Nr</w:t>
      </w:r>
      <w:r w:rsidR="0085154E" w:rsidRPr="00852E0C">
        <w:rPr>
          <w:color w:val="000000" w:themeColor="text1"/>
          <w:szCs w:val="24"/>
        </w:rPr>
        <w:t>.</w:t>
      </w:r>
      <w:r w:rsidR="0085154E" w:rsidRPr="00852E0C">
        <w:rPr>
          <w:color w:val="000000" w:themeColor="text1"/>
          <w:szCs w:val="24"/>
          <w:u w:val="single"/>
        </w:rPr>
        <w:t>1</w:t>
      </w:r>
      <w:r w:rsidRPr="00852E0C">
        <w:rPr>
          <w:color w:val="000000" w:themeColor="text1"/>
          <w:szCs w:val="24"/>
        </w:rPr>
        <w:t xml:space="preserve">, </w:t>
      </w:r>
      <w:r w:rsidR="00255987" w:rsidRPr="00852E0C">
        <w:rPr>
          <w:color w:val="000000" w:themeColor="text1"/>
          <w:szCs w:val="24"/>
          <w:u w:val="single"/>
        </w:rPr>
        <w:t>ES fondu interneta vietnē</w:t>
      </w:r>
      <w:r w:rsidR="00255987" w:rsidRPr="00852E0C">
        <w:rPr>
          <w:rStyle w:val="FootnoteReference"/>
          <w:color w:val="000000" w:themeColor="text1"/>
          <w:szCs w:val="24"/>
          <w:u w:val="single"/>
        </w:rPr>
        <w:footnoteReference w:id="20"/>
      </w:r>
      <w:r w:rsidRPr="00852E0C">
        <w:rPr>
          <w:color w:val="000000" w:themeColor="text1"/>
          <w:szCs w:val="24"/>
        </w:rPr>
        <w:t>.</w:t>
      </w:r>
    </w:p>
    <w:p w14:paraId="69BB543E" w14:textId="025A942C" w:rsidR="00F44D4E" w:rsidRPr="00852E0C" w:rsidRDefault="001E53C0" w:rsidP="00852E0C">
      <w:pPr>
        <w:spacing w:line="276" w:lineRule="auto"/>
        <w:rPr>
          <w:color w:val="000000" w:themeColor="text1"/>
          <w:szCs w:val="24"/>
        </w:rPr>
      </w:pPr>
      <w:r w:rsidRPr="00852E0C">
        <w:rPr>
          <w:color w:val="000000" w:themeColor="text1"/>
          <w:szCs w:val="24"/>
        </w:rPr>
        <w:t>Grafiks Nr.</w:t>
      </w:r>
      <w:r w:rsidR="004B733A" w:rsidRPr="00852E0C">
        <w:rPr>
          <w:color w:val="000000" w:themeColor="text1"/>
          <w:szCs w:val="24"/>
        </w:rPr>
        <w:t>9</w:t>
      </w:r>
      <w:r w:rsidR="00E33521" w:rsidRPr="00852E0C">
        <w:rPr>
          <w:i/>
          <w:color w:val="000000" w:themeColor="text1"/>
          <w:szCs w:val="24"/>
        </w:rPr>
        <w:t xml:space="preserve"> </w:t>
      </w:r>
      <w:r w:rsidR="00E15CBF" w:rsidRPr="00852E0C">
        <w:rPr>
          <w:i/>
          <w:color w:val="000000" w:themeColor="text1"/>
          <w:szCs w:val="24"/>
        </w:rPr>
        <w:t>„</w:t>
      </w:r>
      <w:r w:rsidR="007E2DDE" w:rsidRPr="00852E0C">
        <w:rPr>
          <w:i/>
          <w:iCs/>
          <w:color w:val="000000" w:themeColor="text1"/>
          <w:szCs w:val="24"/>
          <w:lang w:eastAsia="lv-LV"/>
        </w:rPr>
        <w:t xml:space="preserve">ES fondu finanšu </w:t>
      </w:r>
      <w:r w:rsidR="00276580" w:rsidRPr="00852E0C">
        <w:rPr>
          <w:i/>
          <w:iCs/>
          <w:color w:val="000000" w:themeColor="text1"/>
          <w:szCs w:val="24"/>
          <w:lang w:eastAsia="lv-LV"/>
        </w:rPr>
        <w:t xml:space="preserve">investīcijas </w:t>
      </w:r>
      <w:r w:rsidR="007E2DDE" w:rsidRPr="00852E0C">
        <w:rPr>
          <w:rFonts w:eastAsia="EUAlbertina-Bold-Identity-H"/>
          <w:i/>
          <w:color w:val="000000" w:themeColor="text1"/>
          <w:szCs w:val="24"/>
        </w:rPr>
        <w:t xml:space="preserve">līdz </w:t>
      </w:r>
      <w:r w:rsidR="00FB103C" w:rsidRPr="00852E0C">
        <w:rPr>
          <w:i/>
          <w:color w:val="000000" w:themeColor="text1"/>
          <w:szCs w:val="24"/>
        </w:rPr>
        <w:t>201</w:t>
      </w:r>
      <w:r w:rsidR="00807BBC" w:rsidRPr="00852E0C">
        <w:rPr>
          <w:i/>
          <w:color w:val="000000" w:themeColor="text1"/>
          <w:szCs w:val="24"/>
        </w:rPr>
        <w:t>3</w:t>
      </w:r>
      <w:r w:rsidR="00FB103C" w:rsidRPr="00852E0C">
        <w:rPr>
          <w:i/>
          <w:color w:val="000000" w:themeColor="text1"/>
          <w:szCs w:val="24"/>
        </w:rPr>
        <w:t xml:space="preserve">.gada </w:t>
      </w:r>
      <w:r w:rsidR="00807BBC" w:rsidRPr="00852E0C">
        <w:rPr>
          <w:i/>
          <w:color w:val="000000" w:themeColor="text1"/>
          <w:szCs w:val="24"/>
        </w:rPr>
        <w:t>31.martam</w:t>
      </w:r>
      <w:r w:rsidR="00FB103C" w:rsidRPr="00852E0C">
        <w:rPr>
          <w:i/>
          <w:color w:val="000000" w:themeColor="text1"/>
          <w:szCs w:val="24"/>
        </w:rPr>
        <w:t xml:space="preserve"> </w:t>
      </w:r>
      <w:r w:rsidR="002239D1" w:rsidRPr="00852E0C">
        <w:rPr>
          <w:i/>
          <w:color w:val="000000" w:themeColor="text1"/>
          <w:szCs w:val="24"/>
        </w:rPr>
        <w:t>DP</w:t>
      </w:r>
      <w:r w:rsidR="000B4535" w:rsidRPr="00852E0C">
        <w:rPr>
          <w:i/>
          <w:color w:val="000000" w:themeColor="text1"/>
          <w:szCs w:val="24"/>
        </w:rPr>
        <w:t xml:space="preserve"> </w:t>
      </w:r>
      <w:r w:rsidR="00E15CBF" w:rsidRPr="00852E0C">
        <w:rPr>
          <w:i/>
          <w:color w:val="000000" w:themeColor="text1"/>
          <w:szCs w:val="24"/>
        </w:rPr>
        <w:t>„</w:t>
      </w:r>
      <w:r w:rsidRPr="00852E0C">
        <w:rPr>
          <w:i/>
          <w:color w:val="000000" w:themeColor="text1"/>
          <w:szCs w:val="24"/>
        </w:rPr>
        <w:t>Uzņēmējdarbība un inovācijas</w:t>
      </w:r>
      <w:r w:rsidR="00731B18" w:rsidRPr="00852E0C">
        <w:rPr>
          <w:i/>
          <w:color w:val="000000" w:themeColor="text1"/>
          <w:szCs w:val="24"/>
        </w:rPr>
        <w:t>”</w:t>
      </w:r>
      <w:r w:rsidRPr="00852E0C">
        <w:rPr>
          <w:i/>
          <w:color w:val="000000" w:themeColor="text1"/>
          <w:szCs w:val="24"/>
        </w:rPr>
        <w:t xml:space="preserve">; </w:t>
      </w:r>
      <w:r w:rsidR="00CB2904" w:rsidRPr="00852E0C">
        <w:rPr>
          <w:i/>
          <w:color w:val="000000" w:themeColor="text1"/>
          <w:szCs w:val="24"/>
        </w:rPr>
        <w:t xml:space="preserve">Publiskais finansējums, </w:t>
      </w:r>
      <w:r w:rsidRPr="00852E0C">
        <w:rPr>
          <w:i/>
          <w:color w:val="000000" w:themeColor="text1"/>
          <w:szCs w:val="24"/>
        </w:rPr>
        <w:t xml:space="preserve">milj. </w:t>
      </w:r>
      <w:r w:rsidR="00884EC7" w:rsidRPr="00852E0C">
        <w:rPr>
          <w:rFonts w:eastAsia="EUAlbertina-Bold-Identity-H"/>
          <w:i/>
          <w:color w:val="000000" w:themeColor="text1"/>
          <w:szCs w:val="24"/>
        </w:rPr>
        <w:t>latu</w:t>
      </w:r>
      <w:r w:rsidRPr="00852E0C">
        <w:rPr>
          <w:i/>
          <w:color w:val="000000" w:themeColor="text1"/>
          <w:szCs w:val="24"/>
        </w:rPr>
        <w:t xml:space="preserve">, (% no pieejamā publiskā finansējuma); progress pret datiem </w:t>
      </w:r>
      <w:r w:rsidR="000456D8" w:rsidRPr="00852E0C">
        <w:rPr>
          <w:i/>
          <w:color w:val="000000" w:themeColor="text1"/>
          <w:szCs w:val="24"/>
        </w:rPr>
        <w:t>līdz</w:t>
      </w:r>
      <w:r w:rsidRPr="00852E0C">
        <w:rPr>
          <w:i/>
          <w:color w:val="000000" w:themeColor="text1"/>
          <w:szCs w:val="24"/>
        </w:rPr>
        <w:t xml:space="preserve"> </w:t>
      </w:r>
      <w:r w:rsidR="000456D8" w:rsidRPr="00852E0C">
        <w:rPr>
          <w:i/>
          <w:color w:val="000000" w:themeColor="text1"/>
          <w:szCs w:val="24"/>
        </w:rPr>
        <w:t xml:space="preserve">2012.gada </w:t>
      </w:r>
      <w:r w:rsidR="00807BBC" w:rsidRPr="00852E0C">
        <w:rPr>
          <w:i/>
          <w:color w:val="000000" w:themeColor="text1"/>
          <w:szCs w:val="24"/>
        </w:rPr>
        <w:t>31.decembrim</w:t>
      </w:r>
      <w:r w:rsidR="00CB2904" w:rsidRPr="00852E0C">
        <w:rPr>
          <w:i/>
          <w:color w:val="000000" w:themeColor="text1"/>
          <w:szCs w:val="24"/>
        </w:rPr>
        <w:t>, %</w:t>
      </w:r>
      <w:r w:rsidR="003742B3" w:rsidRPr="00852E0C">
        <w:rPr>
          <w:i/>
          <w:color w:val="000000" w:themeColor="text1"/>
          <w:szCs w:val="24"/>
        </w:rPr>
        <w:t>.</w:t>
      </w:r>
      <w:r w:rsidR="00F44D4E" w:rsidRPr="00852E0C">
        <w:rPr>
          <w:i/>
          <w:color w:val="000000" w:themeColor="text1"/>
          <w:szCs w:val="24"/>
        </w:rPr>
        <w:t>”</w:t>
      </w:r>
    </w:p>
    <w:p w14:paraId="529BCFC6" w14:textId="022C7F38" w:rsidR="001E53C0" w:rsidRPr="00852E0C" w:rsidRDefault="00807BBC" w:rsidP="00852E0C">
      <w:pPr>
        <w:spacing w:line="276" w:lineRule="auto"/>
        <w:rPr>
          <w:i/>
          <w:color w:val="000000" w:themeColor="text1"/>
          <w:szCs w:val="24"/>
          <w:highlight w:val="green"/>
        </w:rPr>
      </w:pPr>
      <w:r w:rsidRPr="00852E0C">
        <w:rPr>
          <w:noProof/>
          <w:color w:val="000000" w:themeColor="text1"/>
          <w:szCs w:val="24"/>
          <w:lang w:eastAsia="lv-LV"/>
        </w:rPr>
        <w:drawing>
          <wp:inline distT="0" distB="0" distL="0" distR="0" wp14:anchorId="00192D56" wp14:editId="75752695">
            <wp:extent cx="5943600" cy="420106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1E1F91F" w14:textId="374C902E" w:rsidR="00B50B4E" w:rsidRPr="00BE0F06" w:rsidRDefault="009C0C36" w:rsidP="00852E0C">
      <w:pPr>
        <w:pStyle w:val="NormalWeb"/>
        <w:spacing w:before="120" w:beforeAutospacing="0" w:after="120" w:afterAutospacing="0" w:line="276" w:lineRule="auto"/>
        <w:jc w:val="both"/>
        <w:rPr>
          <w:i/>
          <w:color w:val="000000" w:themeColor="text1"/>
          <w:sz w:val="20"/>
          <w:szCs w:val="20"/>
          <w:lang w:val="lv-LV"/>
        </w:rPr>
      </w:pPr>
      <w:r w:rsidRPr="00BE0F06">
        <w:rPr>
          <w:i/>
          <w:color w:val="000000" w:themeColor="text1"/>
          <w:sz w:val="20"/>
          <w:szCs w:val="20"/>
          <w:lang w:val="lv-LV"/>
        </w:rPr>
        <w:lastRenderedPageBreak/>
        <w:t xml:space="preserve">*Grafikā nav atsevišķi sniegta informācija par </w:t>
      </w:r>
      <w:r w:rsidR="00276580" w:rsidRPr="00BE0F06">
        <w:rPr>
          <w:i/>
          <w:color w:val="000000" w:themeColor="text1"/>
          <w:sz w:val="20"/>
          <w:szCs w:val="20"/>
          <w:lang w:val="lv-LV"/>
        </w:rPr>
        <w:t xml:space="preserve">ieguldījumu </w:t>
      </w:r>
      <w:r w:rsidRPr="00BE0F06">
        <w:rPr>
          <w:i/>
          <w:color w:val="000000" w:themeColor="text1"/>
          <w:sz w:val="20"/>
          <w:szCs w:val="20"/>
          <w:lang w:val="lv-LV"/>
        </w:rPr>
        <w:t>progresu prioritātē</w:t>
      </w:r>
      <w:r w:rsidR="000B4535" w:rsidRPr="00BE0F06">
        <w:rPr>
          <w:i/>
          <w:color w:val="000000" w:themeColor="text1"/>
          <w:sz w:val="20"/>
          <w:szCs w:val="20"/>
          <w:lang w:val="lv-LV"/>
        </w:rPr>
        <w:t xml:space="preserve"> </w:t>
      </w:r>
      <w:r w:rsidR="00E15CBF" w:rsidRPr="00BE0F06">
        <w:rPr>
          <w:i/>
          <w:color w:val="000000" w:themeColor="text1"/>
          <w:sz w:val="20"/>
          <w:szCs w:val="20"/>
          <w:lang w:val="lv-LV"/>
        </w:rPr>
        <w:t>„</w:t>
      </w:r>
      <w:r w:rsidR="00AF2087" w:rsidRPr="00BE0F06">
        <w:rPr>
          <w:i/>
          <w:color w:val="000000" w:themeColor="text1"/>
          <w:sz w:val="20"/>
          <w:szCs w:val="20"/>
          <w:lang w:val="lv-LV"/>
        </w:rPr>
        <w:t>Finanšu pieejamība</w:t>
      </w:r>
      <w:r w:rsidR="001E2B7C" w:rsidRPr="00BE0F06">
        <w:rPr>
          <w:i/>
          <w:color w:val="000000" w:themeColor="text1"/>
          <w:sz w:val="20"/>
          <w:szCs w:val="20"/>
          <w:lang w:val="lv-LV"/>
        </w:rPr>
        <w:t>”</w:t>
      </w:r>
      <w:r w:rsidR="00D84FDE" w:rsidRPr="00BE0F06">
        <w:rPr>
          <w:i/>
          <w:color w:val="000000" w:themeColor="text1"/>
          <w:sz w:val="20"/>
          <w:szCs w:val="20"/>
          <w:lang w:val="lv-LV"/>
        </w:rPr>
        <w:t>.</w:t>
      </w:r>
      <w:r w:rsidR="00AF2087" w:rsidRPr="00BE0F06">
        <w:rPr>
          <w:i/>
          <w:color w:val="000000" w:themeColor="text1"/>
          <w:sz w:val="20"/>
          <w:szCs w:val="20"/>
          <w:lang w:val="lv-LV"/>
        </w:rPr>
        <w:t xml:space="preserve"> </w:t>
      </w:r>
      <w:r w:rsidR="00D84FDE" w:rsidRPr="00BE0F06">
        <w:rPr>
          <w:i/>
          <w:color w:val="000000" w:themeColor="text1"/>
          <w:sz w:val="20"/>
          <w:szCs w:val="20"/>
          <w:lang w:val="lv-LV"/>
        </w:rPr>
        <w:t xml:space="preserve">To </w:t>
      </w:r>
      <w:r w:rsidRPr="00BE0F06">
        <w:rPr>
          <w:i/>
          <w:color w:val="000000" w:themeColor="text1"/>
          <w:sz w:val="20"/>
          <w:szCs w:val="20"/>
          <w:lang w:val="lv-LV"/>
        </w:rPr>
        <w:t xml:space="preserve">skatīt </w:t>
      </w:r>
      <w:r w:rsidR="00AF2087" w:rsidRPr="00BE0F06">
        <w:rPr>
          <w:i/>
          <w:color w:val="000000" w:themeColor="text1"/>
          <w:sz w:val="20"/>
          <w:szCs w:val="20"/>
          <w:u w:val="single"/>
          <w:lang w:val="lv-LV"/>
        </w:rPr>
        <w:t>apakšpunktā</w:t>
      </w:r>
      <w:r w:rsidR="000B4535" w:rsidRPr="00BE0F06">
        <w:rPr>
          <w:i/>
          <w:color w:val="000000" w:themeColor="text1"/>
          <w:sz w:val="20"/>
          <w:szCs w:val="20"/>
          <w:u w:val="single"/>
          <w:lang w:val="lv-LV"/>
        </w:rPr>
        <w:t xml:space="preserve"> </w:t>
      </w:r>
      <w:r w:rsidR="00E15CBF" w:rsidRPr="00BE0F06">
        <w:rPr>
          <w:i/>
          <w:color w:val="000000" w:themeColor="text1"/>
          <w:sz w:val="20"/>
          <w:szCs w:val="20"/>
          <w:u w:val="single"/>
          <w:lang w:val="lv-LV"/>
        </w:rPr>
        <w:t>„</w:t>
      </w:r>
      <w:r w:rsidR="00AF2087" w:rsidRPr="00BE0F06">
        <w:rPr>
          <w:i/>
          <w:color w:val="000000" w:themeColor="text1"/>
          <w:sz w:val="20"/>
          <w:szCs w:val="20"/>
          <w:u w:val="single"/>
          <w:lang w:val="lv-LV"/>
        </w:rPr>
        <w:t>Finanšu pieejamība</w:t>
      </w:r>
      <w:r w:rsidR="00731B18" w:rsidRPr="00BE0F06">
        <w:rPr>
          <w:i/>
          <w:color w:val="000000" w:themeColor="text1"/>
          <w:sz w:val="20"/>
          <w:szCs w:val="20"/>
          <w:u w:val="single"/>
          <w:lang w:val="lv-LV"/>
        </w:rPr>
        <w:t>”</w:t>
      </w:r>
      <w:r w:rsidR="00680DBC" w:rsidRPr="00BE0F06">
        <w:rPr>
          <w:i/>
          <w:color w:val="000000" w:themeColor="text1"/>
          <w:sz w:val="20"/>
          <w:szCs w:val="20"/>
          <w:u w:val="single"/>
          <w:lang w:val="lv-LV"/>
        </w:rPr>
        <w:t>, kā arī sīkāka informācija ir pieejama</w:t>
      </w:r>
      <w:r w:rsidR="001B21DE" w:rsidRPr="00BE0F06">
        <w:rPr>
          <w:i/>
          <w:color w:val="000000" w:themeColor="text1"/>
          <w:sz w:val="20"/>
          <w:szCs w:val="20"/>
          <w:u w:val="single"/>
          <w:lang w:val="lv-LV"/>
        </w:rPr>
        <w:t xml:space="preserve"> </w:t>
      </w:r>
      <w:hyperlink r:id="rId33" w:history="1">
        <w:r w:rsidR="006E3CCA" w:rsidRPr="00BE0F06">
          <w:rPr>
            <w:rStyle w:val="Hyperlink"/>
            <w:rFonts w:ascii="Times New Roman" w:hAnsi="Times New Roman" w:cs="Times New Roman"/>
            <w:i/>
            <w:color w:val="000000" w:themeColor="text1"/>
            <w:sz w:val="20"/>
            <w:szCs w:val="20"/>
            <w:u w:val="single"/>
            <w:lang w:val="lv-LV"/>
          </w:rPr>
          <w:t>ES fondu interneta vietnē</w:t>
        </w:r>
      </w:hyperlink>
      <w:r w:rsidR="005A6720" w:rsidRPr="00BE0F06">
        <w:rPr>
          <w:rStyle w:val="FootnoteReference"/>
          <w:i/>
          <w:color w:val="000000" w:themeColor="text1"/>
          <w:sz w:val="20"/>
          <w:szCs w:val="20"/>
          <w:u w:val="single"/>
          <w:lang w:val="lv-LV"/>
        </w:rPr>
        <w:footnoteReference w:id="21"/>
      </w:r>
      <w:r w:rsidR="001B21DE" w:rsidRPr="00BE0F06">
        <w:rPr>
          <w:i/>
          <w:color w:val="000000" w:themeColor="text1"/>
          <w:sz w:val="20"/>
          <w:szCs w:val="20"/>
          <w:u w:val="single"/>
          <w:lang w:val="lv-LV"/>
        </w:rPr>
        <w:t>.</w:t>
      </w:r>
      <w:r w:rsidR="00680DBC" w:rsidRPr="00BE0F06">
        <w:rPr>
          <w:i/>
          <w:color w:val="000000" w:themeColor="text1"/>
          <w:sz w:val="20"/>
          <w:szCs w:val="20"/>
          <w:u w:val="single"/>
          <w:lang w:val="lv-LV"/>
        </w:rPr>
        <w:t xml:space="preserve"> </w:t>
      </w:r>
    </w:p>
    <w:p w14:paraId="31E4749F" w14:textId="46C4E6D9" w:rsidR="00277F50" w:rsidRPr="00852E0C" w:rsidRDefault="00E15CBF" w:rsidP="00852E0C">
      <w:pPr>
        <w:spacing w:line="276" w:lineRule="auto"/>
        <w:rPr>
          <w:color w:val="000000" w:themeColor="text1"/>
          <w:szCs w:val="24"/>
        </w:rPr>
      </w:pPr>
      <w:r w:rsidRPr="00852E0C">
        <w:rPr>
          <w:color w:val="000000" w:themeColor="text1"/>
          <w:szCs w:val="24"/>
          <w:u w:val="single"/>
        </w:rPr>
        <w:t>„</w:t>
      </w:r>
      <w:r w:rsidR="00580728" w:rsidRPr="00852E0C">
        <w:rPr>
          <w:color w:val="000000" w:themeColor="text1"/>
          <w:szCs w:val="24"/>
          <w:u w:val="single"/>
        </w:rPr>
        <w:t>Zinātne un inovācijas</w:t>
      </w:r>
      <w:r w:rsidR="00341AB2" w:rsidRPr="00852E0C">
        <w:rPr>
          <w:color w:val="000000" w:themeColor="text1"/>
          <w:szCs w:val="24"/>
          <w:u w:val="single"/>
        </w:rPr>
        <w:t>”</w:t>
      </w:r>
      <w:r w:rsidR="00580728" w:rsidRPr="00852E0C">
        <w:rPr>
          <w:color w:val="000000" w:themeColor="text1"/>
          <w:szCs w:val="24"/>
          <w:u w:val="single"/>
        </w:rPr>
        <w:t xml:space="preserve"> </w:t>
      </w:r>
      <w:r w:rsidR="00191641" w:rsidRPr="00852E0C">
        <w:rPr>
          <w:color w:val="000000" w:themeColor="text1"/>
          <w:szCs w:val="24"/>
          <w:u w:val="single"/>
        </w:rPr>
        <w:t xml:space="preserve">prioritātes </w:t>
      </w:r>
      <w:r w:rsidR="00191641" w:rsidRPr="00852E0C">
        <w:rPr>
          <w:color w:val="000000" w:themeColor="text1"/>
          <w:szCs w:val="24"/>
        </w:rPr>
        <w:t>a</w:t>
      </w:r>
      <w:r w:rsidR="00511B37" w:rsidRPr="00852E0C">
        <w:rPr>
          <w:color w:val="000000" w:themeColor="text1"/>
          <w:szCs w:val="24"/>
        </w:rPr>
        <w:t>ktivitātes</w:t>
      </w:r>
      <w:r w:rsidR="001F4396" w:rsidRPr="00852E0C">
        <w:rPr>
          <w:color w:val="000000" w:themeColor="text1"/>
          <w:szCs w:val="24"/>
        </w:rPr>
        <w:t xml:space="preserve"> „Atbalsts zinātnei un pētniecībai” projektos 2013.gada 1.ceturksnī veiktas iepirkuma procedūras patentu pieteikumu sagatavošanā, kas liecina par projektu nobeiguma tuvošanos. 2013.gada 27.februārī tika </w:t>
      </w:r>
      <w:hyperlink r:id="rId34" w:history="1">
        <w:r w:rsidR="001F4396" w:rsidRPr="00852E0C">
          <w:rPr>
            <w:color w:val="000000" w:themeColor="text1"/>
            <w:szCs w:val="24"/>
          </w:rPr>
          <w:t>izsludināta projektu iesniegumu atlase aktivitātes 2.kārtas ietvaros</w:t>
        </w:r>
      </w:hyperlink>
      <w:r w:rsidR="001F4396" w:rsidRPr="00852E0C">
        <w:rPr>
          <w:color w:val="000000" w:themeColor="text1"/>
          <w:szCs w:val="24"/>
        </w:rPr>
        <w:t>.</w:t>
      </w:r>
      <w:r w:rsidR="00191641" w:rsidRPr="00852E0C">
        <w:rPr>
          <w:color w:val="000000" w:themeColor="text1"/>
          <w:szCs w:val="24"/>
        </w:rPr>
        <w:t xml:space="preserve"> </w:t>
      </w:r>
      <w:r w:rsidR="00EA3265" w:rsidRPr="00852E0C">
        <w:rPr>
          <w:color w:val="000000" w:themeColor="text1"/>
          <w:szCs w:val="24"/>
        </w:rPr>
        <w:t xml:space="preserve">Savukārt ir aizkavējusies </w:t>
      </w:r>
      <w:proofErr w:type="spellStart"/>
      <w:r w:rsidR="00EA3265" w:rsidRPr="00852E0C">
        <w:rPr>
          <w:color w:val="000000" w:themeColor="text1"/>
          <w:szCs w:val="24"/>
        </w:rPr>
        <w:t>a</w:t>
      </w:r>
      <w:r w:rsidR="001F4396" w:rsidRPr="00852E0C">
        <w:rPr>
          <w:color w:val="000000" w:themeColor="text1"/>
          <w:szCs w:val="24"/>
        </w:rPr>
        <w:t>pakšaktivitātes</w:t>
      </w:r>
      <w:proofErr w:type="spellEnd"/>
      <w:r w:rsidR="001F4396" w:rsidRPr="00852E0C">
        <w:rPr>
          <w:color w:val="000000" w:themeColor="text1"/>
          <w:szCs w:val="24"/>
        </w:rPr>
        <w:t xml:space="preserve"> „Zinātnes infrastruktūras attīstība” 3.projektu iesniegumu atlases kārtas izsludināšana</w:t>
      </w:r>
      <w:r w:rsidR="00474370" w:rsidRPr="00852E0C">
        <w:rPr>
          <w:color w:val="000000" w:themeColor="text1"/>
          <w:szCs w:val="24"/>
        </w:rPr>
        <w:t xml:space="preserve"> sakarā ar</w:t>
      </w:r>
      <w:r w:rsidR="001F4396" w:rsidRPr="00852E0C">
        <w:rPr>
          <w:color w:val="000000" w:themeColor="text1"/>
          <w:szCs w:val="24"/>
        </w:rPr>
        <w:t xml:space="preserve"> atšķirīgu aktivitātes īstenošanas modeli un </w:t>
      </w:r>
      <w:r w:rsidR="00191641" w:rsidRPr="00852E0C">
        <w:rPr>
          <w:color w:val="000000" w:themeColor="text1"/>
          <w:szCs w:val="24"/>
        </w:rPr>
        <w:t xml:space="preserve">tā </w:t>
      </w:r>
      <w:r w:rsidR="001F4396" w:rsidRPr="00852E0C">
        <w:rPr>
          <w:color w:val="000000" w:themeColor="text1"/>
          <w:szCs w:val="24"/>
        </w:rPr>
        <w:t xml:space="preserve">tiek plānota 2013.gada 4.ceturksnī. </w:t>
      </w:r>
    </w:p>
    <w:p w14:paraId="29009871" w14:textId="4A309DBD" w:rsidR="00CB58F9" w:rsidRPr="00852E0C" w:rsidRDefault="00706E65" w:rsidP="00852E0C">
      <w:pPr>
        <w:spacing w:line="276" w:lineRule="auto"/>
        <w:rPr>
          <w:color w:val="000000" w:themeColor="text1"/>
          <w:szCs w:val="24"/>
        </w:rPr>
      </w:pPr>
      <w:r w:rsidRPr="00852E0C">
        <w:rPr>
          <w:color w:val="000000" w:themeColor="text1"/>
          <w:szCs w:val="24"/>
        </w:rPr>
        <w:t xml:space="preserve"> P</w:t>
      </w:r>
      <w:r w:rsidR="00CB58F9" w:rsidRPr="00852E0C">
        <w:rPr>
          <w:color w:val="000000" w:themeColor="text1"/>
          <w:szCs w:val="24"/>
        </w:rPr>
        <w:t xml:space="preserve">asākumā „Inovācijas” </w:t>
      </w:r>
      <w:r w:rsidRPr="00852E0C">
        <w:rPr>
          <w:color w:val="000000" w:themeColor="text1"/>
          <w:szCs w:val="24"/>
        </w:rPr>
        <w:t xml:space="preserve">vērojams regress attiecībā uz </w:t>
      </w:r>
      <w:r w:rsidR="00CB58F9" w:rsidRPr="00852E0C">
        <w:rPr>
          <w:color w:val="000000" w:themeColor="text1"/>
          <w:szCs w:val="24"/>
        </w:rPr>
        <w:t xml:space="preserve">apstiprināto projektu un noslēgto līgumu apjomu, kas skaidrojams ar veiktajiem finansēšanas plānu grozījumiem </w:t>
      </w:r>
      <w:proofErr w:type="spellStart"/>
      <w:r w:rsidR="00CB58F9" w:rsidRPr="00852E0C">
        <w:rPr>
          <w:color w:val="000000" w:themeColor="text1"/>
          <w:szCs w:val="24"/>
        </w:rPr>
        <w:t>apakšaktivitātē</w:t>
      </w:r>
      <w:proofErr w:type="spellEnd"/>
      <w:r w:rsidR="00CB58F9" w:rsidRPr="00852E0C">
        <w:rPr>
          <w:color w:val="000000" w:themeColor="text1"/>
          <w:szCs w:val="24"/>
        </w:rPr>
        <w:t xml:space="preserve"> „Jaunu produktu un tehnoloģiju izstrāde – atbalsts jaunu produktu un tehnoloģiju ieviešanai ražošanā”, kā arī ar viena finansiāli apjomīga projekta pārtraukšanu aktivitātes „Augstas pievienotās vērtības investīcijas” ietvaros projektā radušās neatbilstības dēļ. </w:t>
      </w:r>
    </w:p>
    <w:p w14:paraId="16E4E5FE" w14:textId="77777777" w:rsidR="00CB58F9" w:rsidRPr="00852E0C" w:rsidRDefault="00CB58F9" w:rsidP="00852E0C">
      <w:pPr>
        <w:spacing w:line="276" w:lineRule="auto"/>
        <w:rPr>
          <w:color w:val="000000" w:themeColor="text1"/>
          <w:szCs w:val="24"/>
        </w:rPr>
      </w:pPr>
      <w:r w:rsidRPr="00852E0C">
        <w:rPr>
          <w:color w:val="000000" w:themeColor="text1"/>
          <w:szCs w:val="24"/>
        </w:rPr>
        <w:t>Lai gan noslēgto līgumu finansiālais apmērs ir samazinājies, tomēr tieši iepriekšminētajās aktivitātēs notiek aktīva projektu ieviešana, un veikto maksājumu apmērs finansējuma saņēmējiem uzskatāms par labu, ņemot vērā, ka pasākumā uz pārskata perioda beigām maksājumu finansējuma saņēmējiem mērķis izpildīts par 133,1%.</w:t>
      </w:r>
    </w:p>
    <w:p w14:paraId="7D575FAC" w14:textId="5D341E9F" w:rsidR="004D4B1A" w:rsidRPr="00852E0C" w:rsidRDefault="00706E65" w:rsidP="00852E0C">
      <w:pPr>
        <w:spacing w:line="276" w:lineRule="auto"/>
        <w:rPr>
          <w:color w:val="000000" w:themeColor="text1"/>
          <w:szCs w:val="24"/>
        </w:rPr>
      </w:pPr>
      <w:r w:rsidRPr="00852E0C">
        <w:rPr>
          <w:color w:val="000000" w:themeColor="text1"/>
          <w:szCs w:val="24"/>
        </w:rPr>
        <w:t>Notiek grozījumu DP</w:t>
      </w:r>
      <w:r w:rsidR="00CB58F9" w:rsidRPr="00852E0C">
        <w:rPr>
          <w:color w:val="000000" w:themeColor="text1"/>
          <w:szCs w:val="24"/>
        </w:rPr>
        <w:t xml:space="preserve"> s</w:t>
      </w:r>
      <w:r w:rsidR="00277F50" w:rsidRPr="00852E0C">
        <w:rPr>
          <w:color w:val="000000" w:themeColor="text1"/>
          <w:szCs w:val="24"/>
        </w:rPr>
        <w:t>as</w:t>
      </w:r>
      <w:r w:rsidR="00CB58F9" w:rsidRPr="00852E0C">
        <w:rPr>
          <w:color w:val="000000" w:themeColor="text1"/>
          <w:szCs w:val="24"/>
        </w:rPr>
        <w:t>kaņo</w:t>
      </w:r>
      <w:r w:rsidRPr="00852E0C">
        <w:rPr>
          <w:color w:val="000000" w:themeColor="text1"/>
          <w:szCs w:val="24"/>
        </w:rPr>
        <w:t>šanas ar EK procedūra un tos</w:t>
      </w:r>
      <w:r w:rsidR="00CB58F9" w:rsidRPr="00852E0C">
        <w:rPr>
          <w:color w:val="000000" w:themeColor="text1"/>
          <w:szCs w:val="24"/>
        </w:rPr>
        <w:t xml:space="preserve"> plānots apstiprināt MK līdz š.g. 1.jūlijam</w:t>
      </w:r>
      <w:r w:rsidRPr="00852E0C">
        <w:rPr>
          <w:color w:val="000000" w:themeColor="text1"/>
          <w:szCs w:val="24"/>
        </w:rPr>
        <w:t>, attiecīgi paredzēts dot iespēju īstenot papildus projektus inovāciju jomā</w:t>
      </w:r>
      <w:r w:rsidR="006C7042" w:rsidRPr="00852E0C">
        <w:rPr>
          <w:rStyle w:val="FootnoteReference"/>
          <w:color w:val="000000" w:themeColor="text1"/>
          <w:szCs w:val="24"/>
        </w:rPr>
        <w:footnoteReference w:id="22"/>
      </w:r>
    </w:p>
    <w:p w14:paraId="6FC84112" w14:textId="7E4E5C3C" w:rsidR="00B66D1B" w:rsidRPr="00852E0C" w:rsidRDefault="0081649F" w:rsidP="00852E0C">
      <w:pPr>
        <w:spacing w:line="276" w:lineRule="auto"/>
        <w:rPr>
          <w:color w:val="000000" w:themeColor="text1"/>
          <w:szCs w:val="24"/>
        </w:rPr>
      </w:pPr>
      <w:r w:rsidRPr="00852E0C">
        <w:rPr>
          <w:color w:val="000000" w:themeColor="text1"/>
          <w:szCs w:val="24"/>
          <w:u w:val="single"/>
        </w:rPr>
        <w:t>Prioritāte</w:t>
      </w:r>
      <w:r w:rsidR="000E0633">
        <w:rPr>
          <w:color w:val="000000" w:themeColor="text1"/>
          <w:szCs w:val="24"/>
          <w:u w:val="single"/>
        </w:rPr>
        <w:t xml:space="preserve"> </w:t>
      </w:r>
      <w:r w:rsidR="00E15CBF" w:rsidRPr="00852E0C">
        <w:rPr>
          <w:color w:val="000000" w:themeColor="text1"/>
          <w:szCs w:val="24"/>
          <w:u w:val="single"/>
        </w:rPr>
        <w:t>„</w:t>
      </w:r>
      <w:r w:rsidR="001E53C0" w:rsidRPr="00852E0C">
        <w:rPr>
          <w:color w:val="000000" w:themeColor="text1"/>
          <w:szCs w:val="24"/>
          <w:u w:val="single"/>
        </w:rPr>
        <w:t>Finanšu pieejamība</w:t>
      </w:r>
      <w:r w:rsidR="00341AB2" w:rsidRPr="00852E0C">
        <w:rPr>
          <w:color w:val="000000" w:themeColor="text1"/>
          <w:szCs w:val="24"/>
          <w:u w:val="single"/>
        </w:rPr>
        <w:t>”</w:t>
      </w:r>
      <w:r w:rsidR="001E53C0" w:rsidRPr="00852E0C">
        <w:rPr>
          <w:color w:val="000000" w:themeColor="text1"/>
          <w:szCs w:val="24"/>
          <w:u w:val="single"/>
        </w:rPr>
        <w:t xml:space="preserve"> </w:t>
      </w:r>
      <w:r w:rsidR="00A91DEC" w:rsidRPr="00852E0C">
        <w:rPr>
          <w:color w:val="000000" w:themeColor="text1"/>
          <w:szCs w:val="24"/>
        </w:rPr>
        <w:t>vērsta uz finansējuma pieejamības veicināšanu uzņēmējdarbības attīstībai</w:t>
      </w:r>
      <w:r w:rsidRPr="00852E0C">
        <w:rPr>
          <w:color w:val="000000" w:themeColor="text1"/>
          <w:szCs w:val="24"/>
        </w:rPr>
        <w:t xml:space="preserve"> </w:t>
      </w:r>
      <w:r w:rsidR="00A91DEC" w:rsidRPr="00852E0C">
        <w:rPr>
          <w:color w:val="000000" w:themeColor="text1"/>
          <w:szCs w:val="24"/>
        </w:rPr>
        <w:t>ar aptverošu finanšu instrumentu realizēšanu, kas ietver garantiju, aizdevumu, riska kapitāla un citu finanšu instrumentu kl</w:t>
      </w:r>
      <w:r w:rsidR="00555219" w:rsidRPr="00852E0C">
        <w:rPr>
          <w:color w:val="000000" w:themeColor="text1"/>
          <w:szCs w:val="24"/>
        </w:rPr>
        <w:t xml:space="preserve">āstu, kurus ievieš LHZB un LGA. </w:t>
      </w:r>
      <w:r w:rsidR="00B66D1B" w:rsidRPr="00852E0C">
        <w:rPr>
          <w:color w:val="000000" w:themeColor="text1"/>
          <w:szCs w:val="24"/>
        </w:rPr>
        <w:t xml:space="preserve">Kopumā finanšu instrumentu ieviešanā vērojams </w:t>
      </w:r>
      <w:r w:rsidRPr="00852E0C">
        <w:rPr>
          <w:color w:val="000000" w:themeColor="text1"/>
          <w:szCs w:val="24"/>
        </w:rPr>
        <w:t>mērens</w:t>
      </w:r>
      <w:r w:rsidR="00CB611F" w:rsidRPr="00852E0C">
        <w:rPr>
          <w:color w:val="000000" w:themeColor="text1"/>
          <w:szCs w:val="24"/>
        </w:rPr>
        <w:t xml:space="preserve"> progress, </w:t>
      </w:r>
      <w:r w:rsidR="00757B94" w:rsidRPr="00852E0C">
        <w:rPr>
          <w:color w:val="000000" w:themeColor="text1"/>
          <w:szCs w:val="24"/>
        </w:rPr>
        <w:t>līdz 2013.gada 31.martam</w:t>
      </w:r>
      <w:r w:rsidR="00CB611F" w:rsidRPr="00852E0C">
        <w:rPr>
          <w:color w:val="000000" w:themeColor="text1"/>
          <w:szCs w:val="24"/>
        </w:rPr>
        <w:t xml:space="preserve"> </w:t>
      </w:r>
      <w:r w:rsidR="00757B94" w:rsidRPr="00852E0C">
        <w:rPr>
          <w:color w:val="000000" w:themeColor="text1"/>
          <w:szCs w:val="24"/>
        </w:rPr>
        <w:t xml:space="preserve">ir veiktas investīcijas, faktiski izmaksāti aizdevumi un sniegtas garantijas par 2,7% vairāk nekā līdz 2012.gada beigām. </w:t>
      </w:r>
      <w:r w:rsidR="00702AB9" w:rsidRPr="00852E0C">
        <w:rPr>
          <w:color w:val="000000" w:themeColor="text1"/>
          <w:szCs w:val="24"/>
        </w:rPr>
        <w:t>Kopš 201</w:t>
      </w:r>
      <w:r w:rsidR="00277F50" w:rsidRPr="00852E0C">
        <w:rPr>
          <w:color w:val="000000" w:themeColor="text1"/>
          <w:szCs w:val="24"/>
        </w:rPr>
        <w:t>3</w:t>
      </w:r>
      <w:r w:rsidR="00702AB9" w:rsidRPr="00852E0C">
        <w:rPr>
          <w:color w:val="000000" w:themeColor="text1"/>
          <w:szCs w:val="24"/>
        </w:rPr>
        <w:t>.gada 31.</w:t>
      </w:r>
      <w:r w:rsidR="00A746A6" w:rsidRPr="00852E0C">
        <w:rPr>
          <w:color w:val="000000" w:themeColor="text1"/>
          <w:szCs w:val="24"/>
        </w:rPr>
        <w:t>martam</w:t>
      </w:r>
      <w:r w:rsidR="00CB611F" w:rsidRPr="00852E0C">
        <w:rPr>
          <w:color w:val="000000" w:themeColor="text1"/>
          <w:szCs w:val="24"/>
        </w:rPr>
        <w:t xml:space="preserve"> izsniegto </w:t>
      </w:r>
      <w:proofErr w:type="spellStart"/>
      <w:r w:rsidR="00CB611F" w:rsidRPr="00852E0C">
        <w:rPr>
          <w:color w:val="000000" w:themeColor="text1"/>
          <w:szCs w:val="24"/>
        </w:rPr>
        <w:t>mezanīna</w:t>
      </w:r>
      <w:proofErr w:type="spellEnd"/>
      <w:r w:rsidR="00CB611F" w:rsidRPr="00852E0C">
        <w:rPr>
          <w:color w:val="000000" w:themeColor="text1"/>
          <w:szCs w:val="24"/>
        </w:rPr>
        <w:t xml:space="preserve"> aizdevumu apjo</w:t>
      </w:r>
      <w:r w:rsidR="00A746A6" w:rsidRPr="00852E0C">
        <w:rPr>
          <w:color w:val="000000" w:themeColor="text1"/>
          <w:szCs w:val="24"/>
        </w:rPr>
        <w:t>ms ir pieaudzis tikai par 0,2%.</w:t>
      </w:r>
      <w:r w:rsidR="00B66D1B" w:rsidRPr="00852E0C">
        <w:rPr>
          <w:color w:val="000000" w:themeColor="text1"/>
          <w:szCs w:val="24"/>
        </w:rPr>
        <w:t xml:space="preserve"> Lai uzlabotu aktivitātes ieviešanu 2013.gada 1.ceturksnī atkārtoti ir sniegti semināri</w:t>
      </w:r>
      <w:r w:rsidR="003E3479" w:rsidRPr="00852E0C">
        <w:rPr>
          <w:color w:val="000000" w:themeColor="text1"/>
          <w:szCs w:val="24"/>
        </w:rPr>
        <w:t xml:space="preserve"> </w:t>
      </w:r>
      <w:r w:rsidR="00ED76D6" w:rsidRPr="00852E0C">
        <w:rPr>
          <w:color w:val="000000" w:themeColor="text1"/>
          <w:szCs w:val="24"/>
        </w:rPr>
        <w:t xml:space="preserve">par </w:t>
      </w:r>
      <w:proofErr w:type="spellStart"/>
      <w:r w:rsidR="003E3479" w:rsidRPr="00852E0C">
        <w:rPr>
          <w:color w:val="000000" w:themeColor="text1"/>
          <w:szCs w:val="24"/>
        </w:rPr>
        <w:t>mezanīna</w:t>
      </w:r>
      <w:proofErr w:type="spellEnd"/>
      <w:r w:rsidR="003E3479" w:rsidRPr="00852E0C">
        <w:rPr>
          <w:color w:val="000000" w:themeColor="text1"/>
          <w:szCs w:val="24"/>
        </w:rPr>
        <w:t xml:space="preserve"> aizdevuma instrumenta sniegtajām iespējām komercdarbības finansēšanai</w:t>
      </w:r>
      <w:r w:rsidR="00B66D1B" w:rsidRPr="00852E0C">
        <w:rPr>
          <w:color w:val="000000" w:themeColor="text1"/>
          <w:szCs w:val="24"/>
        </w:rPr>
        <w:t xml:space="preserve"> (piemēram, DNB banka, </w:t>
      </w:r>
      <w:proofErr w:type="spellStart"/>
      <w:r w:rsidR="00B66D1B" w:rsidRPr="00852E0C">
        <w:rPr>
          <w:color w:val="000000" w:themeColor="text1"/>
          <w:szCs w:val="24"/>
        </w:rPr>
        <w:t>UniCredit</w:t>
      </w:r>
      <w:proofErr w:type="spellEnd"/>
      <w:r w:rsidR="00B66D1B" w:rsidRPr="00852E0C">
        <w:rPr>
          <w:color w:val="000000" w:themeColor="text1"/>
          <w:szCs w:val="24"/>
        </w:rPr>
        <w:t xml:space="preserve"> </w:t>
      </w:r>
      <w:proofErr w:type="spellStart"/>
      <w:r w:rsidR="00B66D1B" w:rsidRPr="00852E0C">
        <w:rPr>
          <w:color w:val="000000" w:themeColor="text1"/>
          <w:szCs w:val="24"/>
        </w:rPr>
        <w:t>Leasing</w:t>
      </w:r>
      <w:proofErr w:type="spellEnd"/>
      <w:r w:rsidR="00B66D1B" w:rsidRPr="00852E0C">
        <w:rPr>
          <w:color w:val="000000" w:themeColor="text1"/>
          <w:szCs w:val="24"/>
        </w:rPr>
        <w:t xml:space="preserve">), ir izstrādāts tiešās pārdošanas plāns (t.sk. </w:t>
      </w:r>
      <w:r w:rsidRPr="00852E0C">
        <w:rPr>
          <w:color w:val="000000" w:themeColor="text1"/>
          <w:szCs w:val="24"/>
        </w:rPr>
        <w:t xml:space="preserve">LGA </w:t>
      </w:r>
      <w:r w:rsidR="00B66D1B" w:rsidRPr="00852E0C">
        <w:rPr>
          <w:color w:val="000000" w:themeColor="text1"/>
          <w:szCs w:val="24"/>
        </w:rPr>
        <w:t xml:space="preserve">runā ar sadarbības partneriem par šķēršļiem šī produkta aktīvākai izmantošanai), papildus </w:t>
      </w:r>
      <w:r w:rsidR="00B66D1B" w:rsidRPr="00852E0C">
        <w:rPr>
          <w:color w:val="000000" w:themeColor="text1"/>
          <w:szCs w:val="24"/>
        </w:rPr>
        <w:lastRenderedPageBreak/>
        <w:t xml:space="preserve">drīzumā tiks </w:t>
      </w:r>
      <w:r w:rsidR="00BF599D" w:rsidRPr="00852E0C">
        <w:rPr>
          <w:color w:val="000000" w:themeColor="text1"/>
          <w:szCs w:val="24"/>
        </w:rPr>
        <w:t>izveidots</w:t>
      </w:r>
      <w:r w:rsidR="00B66D1B" w:rsidRPr="00852E0C">
        <w:rPr>
          <w:color w:val="000000" w:themeColor="text1"/>
          <w:szCs w:val="24"/>
        </w:rPr>
        <w:t xml:space="preserve"> izglītojošs </w:t>
      </w:r>
      <w:r w:rsidR="00BF599D" w:rsidRPr="00852E0C">
        <w:rPr>
          <w:color w:val="000000" w:themeColor="text1"/>
          <w:szCs w:val="24"/>
        </w:rPr>
        <w:t xml:space="preserve">video </w:t>
      </w:r>
      <w:r w:rsidR="00B66D1B" w:rsidRPr="00852E0C">
        <w:rPr>
          <w:color w:val="000000" w:themeColor="text1"/>
          <w:szCs w:val="24"/>
        </w:rPr>
        <w:t>m</w:t>
      </w:r>
      <w:r w:rsidR="00BF599D" w:rsidRPr="00852E0C">
        <w:rPr>
          <w:color w:val="000000" w:themeColor="text1"/>
          <w:szCs w:val="24"/>
        </w:rPr>
        <w:t xml:space="preserve">ateriāls par </w:t>
      </w:r>
      <w:proofErr w:type="spellStart"/>
      <w:r w:rsidR="00BF599D" w:rsidRPr="00852E0C">
        <w:rPr>
          <w:color w:val="000000" w:themeColor="text1"/>
          <w:szCs w:val="24"/>
        </w:rPr>
        <w:t>mezanīna</w:t>
      </w:r>
      <w:proofErr w:type="spellEnd"/>
      <w:r w:rsidR="00BF599D" w:rsidRPr="00852E0C">
        <w:rPr>
          <w:color w:val="000000" w:themeColor="text1"/>
          <w:szCs w:val="24"/>
        </w:rPr>
        <w:t xml:space="preserve"> aizdevumu</w:t>
      </w:r>
      <w:r w:rsidR="00B66D1B" w:rsidRPr="00852E0C">
        <w:rPr>
          <w:color w:val="000000" w:themeColor="text1"/>
          <w:szCs w:val="24"/>
        </w:rPr>
        <w:t xml:space="preserve">, paralēli tiek strādāts pie komunikācijas stratēģijas, kur </w:t>
      </w:r>
      <w:proofErr w:type="spellStart"/>
      <w:r w:rsidR="00B66D1B" w:rsidRPr="00852E0C">
        <w:rPr>
          <w:color w:val="000000" w:themeColor="text1"/>
          <w:szCs w:val="24"/>
        </w:rPr>
        <w:t>mezanīna</w:t>
      </w:r>
      <w:proofErr w:type="spellEnd"/>
      <w:r w:rsidR="00B66D1B" w:rsidRPr="00852E0C">
        <w:rPr>
          <w:color w:val="000000" w:themeColor="text1"/>
          <w:szCs w:val="24"/>
        </w:rPr>
        <w:t xml:space="preserve"> aizdevums ir viens no elementiem. </w:t>
      </w:r>
    </w:p>
    <w:p w14:paraId="1B099B58" w14:textId="53969C7F" w:rsidR="00354612" w:rsidRPr="00852E0C" w:rsidRDefault="003F559F" w:rsidP="00852E0C">
      <w:pPr>
        <w:pStyle w:val="Default"/>
        <w:spacing w:line="276" w:lineRule="auto"/>
        <w:rPr>
          <w:color w:val="000000" w:themeColor="text1"/>
        </w:rPr>
      </w:pPr>
      <w:r w:rsidRPr="00852E0C">
        <w:rPr>
          <w:color w:val="000000" w:themeColor="text1"/>
        </w:rPr>
        <w:t xml:space="preserve">Detalizēta informācija </w:t>
      </w:r>
      <w:r w:rsidR="006D738B" w:rsidRPr="00852E0C">
        <w:rPr>
          <w:color w:val="000000" w:themeColor="text1"/>
        </w:rPr>
        <w:t xml:space="preserve">par </w:t>
      </w:r>
      <w:r w:rsidRPr="00852E0C">
        <w:rPr>
          <w:color w:val="000000" w:themeColor="text1"/>
        </w:rPr>
        <w:t xml:space="preserve">finanšu instrumentu ieviešanas progresu pieejama </w:t>
      </w:r>
      <w:r w:rsidRPr="00852E0C">
        <w:rPr>
          <w:color w:val="000000" w:themeColor="text1"/>
          <w:u w:val="single"/>
        </w:rPr>
        <w:t>grafikā Nr.</w:t>
      </w:r>
      <w:r w:rsidR="001F2246" w:rsidRPr="00852E0C">
        <w:rPr>
          <w:color w:val="000000" w:themeColor="text1"/>
          <w:u w:val="single"/>
        </w:rPr>
        <w:t>1</w:t>
      </w:r>
      <w:r w:rsidR="00BC0DCD" w:rsidRPr="00852E0C">
        <w:rPr>
          <w:color w:val="000000" w:themeColor="text1"/>
          <w:u w:val="single"/>
        </w:rPr>
        <w:t>0</w:t>
      </w:r>
      <w:r w:rsidR="00555219" w:rsidRPr="00852E0C">
        <w:rPr>
          <w:color w:val="000000" w:themeColor="text1"/>
        </w:rPr>
        <w:t xml:space="preserve">, </w:t>
      </w:r>
      <w:r w:rsidRPr="00852E0C">
        <w:rPr>
          <w:color w:val="000000" w:themeColor="text1"/>
        </w:rPr>
        <w:t>kā arī</w:t>
      </w:r>
      <w:r w:rsidR="001B21DE" w:rsidRPr="00852E0C">
        <w:rPr>
          <w:color w:val="000000" w:themeColor="text1"/>
        </w:rPr>
        <w:t xml:space="preserve"> </w:t>
      </w:r>
      <w:hyperlink r:id="rId35" w:history="1">
        <w:r w:rsidR="006E3CCA" w:rsidRPr="00852E0C">
          <w:rPr>
            <w:rStyle w:val="Hyperlink"/>
            <w:rFonts w:ascii="Times New Roman" w:hAnsi="Times New Roman" w:cs="Times New Roman"/>
            <w:color w:val="000000" w:themeColor="text1"/>
            <w:sz w:val="24"/>
            <w:szCs w:val="24"/>
          </w:rPr>
          <w:t>ES fondu interneta vietnē</w:t>
        </w:r>
      </w:hyperlink>
      <w:r w:rsidR="005A6720" w:rsidRPr="00852E0C">
        <w:rPr>
          <w:rStyle w:val="FootnoteReference"/>
          <w:color w:val="000000" w:themeColor="text1"/>
        </w:rPr>
        <w:footnoteReference w:id="23"/>
      </w:r>
      <w:r w:rsidR="001B21DE" w:rsidRPr="00852E0C">
        <w:rPr>
          <w:color w:val="000000" w:themeColor="text1"/>
        </w:rPr>
        <w:t>.</w:t>
      </w:r>
    </w:p>
    <w:p w14:paraId="5A9947E0" w14:textId="700451CD" w:rsidR="00865FDD" w:rsidRPr="00852E0C" w:rsidRDefault="00865FDD" w:rsidP="00852E0C">
      <w:pPr>
        <w:spacing w:line="276" w:lineRule="auto"/>
        <w:rPr>
          <w:rFonts w:eastAsia="Calibri"/>
          <w:i/>
          <w:color w:val="000000" w:themeColor="text1"/>
          <w:szCs w:val="24"/>
        </w:rPr>
      </w:pPr>
      <w:r w:rsidRPr="00852E0C">
        <w:rPr>
          <w:rFonts w:eastAsia="Calibri"/>
          <w:color w:val="000000" w:themeColor="text1"/>
          <w:szCs w:val="24"/>
        </w:rPr>
        <w:t>Grafiks Nr.</w:t>
      </w:r>
      <w:r w:rsidR="00460509" w:rsidRPr="00852E0C">
        <w:rPr>
          <w:rFonts w:eastAsia="Calibri"/>
          <w:color w:val="000000" w:themeColor="text1"/>
          <w:szCs w:val="24"/>
        </w:rPr>
        <w:t>1</w:t>
      </w:r>
      <w:r w:rsidR="004B733A" w:rsidRPr="00852E0C">
        <w:rPr>
          <w:rFonts w:eastAsia="Calibri"/>
          <w:color w:val="000000" w:themeColor="text1"/>
          <w:szCs w:val="24"/>
        </w:rPr>
        <w:t>0</w:t>
      </w:r>
      <w:r w:rsidR="000B4535" w:rsidRPr="00852E0C">
        <w:rPr>
          <w:rFonts w:eastAsia="Calibri"/>
          <w:color w:val="000000" w:themeColor="text1"/>
          <w:szCs w:val="24"/>
        </w:rPr>
        <w:t xml:space="preserve"> </w:t>
      </w:r>
      <w:r w:rsidR="00E15CBF" w:rsidRPr="00852E0C">
        <w:rPr>
          <w:rFonts w:eastAsia="Calibri"/>
          <w:i/>
          <w:color w:val="000000" w:themeColor="text1"/>
          <w:szCs w:val="24"/>
        </w:rPr>
        <w:t>„</w:t>
      </w:r>
      <w:r w:rsidR="00276580" w:rsidRPr="00852E0C">
        <w:rPr>
          <w:rFonts w:eastAsia="Calibri"/>
          <w:i/>
          <w:color w:val="000000" w:themeColor="text1"/>
          <w:szCs w:val="24"/>
        </w:rPr>
        <w:t xml:space="preserve">Ieguldījumu </w:t>
      </w:r>
      <w:r w:rsidRPr="00852E0C">
        <w:rPr>
          <w:rFonts w:eastAsia="Calibri"/>
          <w:i/>
          <w:color w:val="000000" w:themeColor="text1"/>
          <w:szCs w:val="24"/>
        </w:rPr>
        <w:t xml:space="preserve">progress </w:t>
      </w:r>
      <w:r w:rsidR="007E2DDE" w:rsidRPr="00852E0C">
        <w:rPr>
          <w:rFonts w:eastAsia="Calibri"/>
          <w:i/>
          <w:color w:val="000000" w:themeColor="text1"/>
          <w:szCs w:val="24"/>
        </w:rPr>
        <w:t xml:space="preserve">līdz </w:t>
      </w:r>
      <w:r w:rsidR="00CA6098" w:rsidRPr="00852E0C">
        <w:rPr>
          <w:rFonts w:eastAsia="Calibri"/>
          <w:i/>
          <w:color w:val="000000" w:themeColor="text1"/>
          <w:szCs w:val="24"/>
        </w:rPr>
        <w:t>2013</w:t>
      </w:r>
      <w:r w:rsidR="001E0938" w:rsidRPr="00852E0C">
        <w:rPr>
          <w:rFonts w:eastAsia="Calibri"/>
          <w:i/>
          <w:color w:val="000000" w:themeColor="text1"/>
          <w:szCs w:val="24"/>
        </w:rPr>
        <w:t>.gada 31.</w:t>
      </w:r>
      <w:r w:rsidR="00CA6098" w:rsidRPr="00852E0C">
        <w:rPr>
          <w:rFonts w:eastAsia="Calibri"/>
          <w:i/>
          <w:color w:val="000000" w:themeColor="text1"/>
          <w:szCs w:val="24"/>
        </w:rPr>
        <w:t>martam</w:t>
      </w:r>
      <w:r w:rsidR="00FB103C" w:rsidRPr="00852E0C">
        <w:rPr>
          <w:rFonts w:eastAsia="Calibri"/>
          <w:i/>
          <w:color w:val="000000" w:themeColor="text1"/>
          <w:szCs w:val="24"/>
        </w:rPr>
        <w:t xml:space="preserve"> </w:t>
      </w:r>
      <w:r w:rsidR="008F4ED9" w:rsidRPr="00852E0C">
        <w:rPr>
          <w:rFonts w:eastAsia="Calibri"/>
          <w:i/>
          <w:color w:val="000000" w:themeColor="text1"/>
          <w:szCs w:val="24"/>
        </w:rPr>
        <w:t>prioritātes</w:t>
      </w:r>
      <w:r w:rsidR="000B4535" w:rsidRPr="00852E0C">
        <w:rPr>
          <w:rFonts w:eastAsia="Calibri"/>
          <w:i/>
          <w:color w:val="000000" w:themeColor="text1"/>
          <w:szCs w:val="24"/>
        </w:rPr>
        <w:t xml:space="preserve"> </w:t>
      </w:r>
      <w:r w:rsidR="00E15CBF" w:rsidRPr="00852E0C">
        <w:rPr>
          <w:rFonts w:eastAsia="Calibri"/>
          <w:i/>
          <w:color w:val="000000" w:themeColor="text1"/>
          <w:szCs w:val="24"/>
        </w:rPr>
        <w:t>„</w:t>
      </w:r>
      <w:r w:rsidR="00341AB2" w:rsidRPr="00852E0C">
        <w:rPr>
          <w:rFonts w:eastAsia="Calibri"/>
          <w:i/>
          <w:color w:val="000000" w:themeColor="text1"/>
          <w:szCs w:val="24"/>
        </w:rPr>
        <w:t>Finanšu pieejamība”</w:t>
      </w:r>
      <w:r w:rsidRPr="00852E0C">
        <w:rPr>
          <w:rFonts w:eastAsia="Calibri"/>
          <w:i/>
          <w:color w:val="000000" w:themeColor="text1"/>
          <w:szCs w:val="24"/>
        </w:rPr>
        <w:t xml:space="preserve"> ietvaros; </w:t>
      </w:r>
      <w:r w:rsidR="00CB2904" w:rsidRPr="00852E0C">
        <w:rPr>
          <w:rFonts w:eastAsia="Calibri"/>
          <w:i/>
          <w:color w:val="000000" w:themeColor="text1"/>
          <w:szCs w:val="24"/>
        </w:rPr>
        <w:t xml:space="preserve">ES fondu finansējums, </w:t>
      </w:r>
      <w:r w:rsidRPr="00852E0C">
        <w:rPr>
          <w:rFonts w:eastAsia="Calibri"/>
          <w:i/>
          <w:color w:val="000000" w:themeColor="text1"/>
          <w:szCs w:val="24"/>
        </w:rPr>
        <w:t xml:space="preserve">milj. </w:t>
      </w:r>
      <w:r w:rsidR="00884EC7" w:rsidRPr="00852E0C">
        <w:rPr>
          <w:rFonts w:eastAsia="Calibri"/>
          <w:i/>
          <w:color w:val="000000" w:themeColor="text1"/>
          <w:szCs w:val="24"/>
        </w:rPr>
        <w:t>latu</w:t>
      </w:r>
      <w:r w:rsidRPr="00852E0C">
        <w:rPr>
          <w:rFonts w:eastAsia="Calibri"/>
          <w:i/>
          <w:color w:val="000000" w:themeColor="text1"/>
          <w:szCs w:val="24"/>
        </w:rPr>
        <w:t xml:space="preserve">, </w:t>
      </w:r>
      <w:r w:rsidR="009A517D" w:rsidRPr="00852E0C">
        <w:rPr>
          <w:rFonts w:eastAsia="Calibri"/>
          <w:i/>
          <w:color w:val="000000" w:themeColor="text1"/>
          <w:szCs w:val="24"/>
        </w:rPr>
        <w:t>(% no pieejamā ES fondu finansējuma atbilstoši EK apstiprinātaj</w:t>
      </w:r>
      <w:r w:rsidR="006E4839" w:rsidRPr="00852E0C">
        <w:rPr>
          <w:rFonts w:eastAsia="Calibri"/>
          <w:i/>
          <w:color w:val="000000" w:themeColor="text1"/>
          <w:szCs w:val="24"/>
        </w:rPr>
        <w:t>ai</w:t>
      </w:r>
      <w:r w:rsidR="009A517D" w:rsidRPr="00852E0C">
        <w:rPr>
          <w:rFonts w:eastAsia="Calibri"/>
          <w:i/>
          <w:color w:val="000000" w:themeColor="text1"/>
          <w:szCs w:val="24"/>
        </w:rPr>
        <w:t xml:space="preserve"> DP</w:t>
      </w:r>
      <w:r w:rsidR="00A4065A" w:rsidRPr="00852E0C">
        <w:rPr>
          <w:i/>
          <w:color w:val="000000" w:themeColor="text1"/>
          <w:szCs w:val="24"/>
        </w:rPr>
        <w:t>)</w:t>
      </w:r>
      <w:r w:rsidR="00CB611F" w:rsidRPr="00852E0C">
        <w:rPr>
          <w:i/>
          <w:color w:val="000000" w:themeColor="text1"/>
          <w:szCs w:val="24"/>
        </w:rPr>
        <w:t>; progress pret datiem uz 2013.gada 31.decembri</w:t>
      </w:r>
      <w:r w:rsidR="00D309D0" w:rsidRPr="00852E0C">
        <w:rPr>
          <w:i/>
          <w:color w:val="000000" w:themeColor="text1"/>
          <w:szCs w:val="24"/>
        </w:rPr>
        <w:t>.</w:t>
      </w:r>
      <w:r w:rsidR="00731B18" w:rsidRPr="00852E0C">
        <w:rPr>
          <w:rFonts w:eastAsia="Calibri"/>
          <w:i/>
          <w:color w:val="000000" w:themeColor="text1"/>
          <w:szCs w:val="24"/>
        </w:rPr>
        <w:t>”</w:t>
      </w:r>
    </w:p>
    <w:p w14:paraId="25861769" w14:textId="203A230A" w:rsidR="00E5509B" w:rsidRPr="00822986" w:rsidRDefault="00CB611F" w:rsidP="00852E0C">
      <w:pPr>
        <w:spacing w:line="276" w:lineRule="auto"/>
        <w:rPr>
          <w:i/>
          <w:color w:val="000000" w:themeColor="text1"/>
          <w:sz w:val="20"/>
          <w:lang w:eastAsia="lv-LV"/>
        </w:rPr>
      </w:pPr>
      <w:r w:rsidRPr="00852E0C">
        <w:rPr>
          <w:noProof/>
          <w:color w:val="000000" w:themeColor="text1"/>
          <w:szCs w:val="24"/>
          <w:lang w:eastAsia="lv-LV"/>
        </w:rPr>
        <w:drawing>
          <wp:inline distT="0" distB="0" distL="0" distR="0" wp14:anchorId="30B574BB" wp14:editId="341E6E6F">
            <wp:extent cx="5761529" cy="2573267"/>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852E0C">
        <w:rPr>
          <w:noProof/>
          <w:color w:val="000000" w:themeColor="text1"/>
          <w:szCs w:val="24"/>
          <w:lang w:eastAsia="lv-LV"/>
        </w:rPr>
        <w:t xml:space="preserve"> </w:t>
      </w:r>
      <w:r w:rsidR="00E5509B" w:rsidRPr="00822986">
        <w:rPr>
          <w:i/>
          <w:color w:val="000000" w:themeColor="text1"/>
          <w:sz w:val="20"/>
          <w:lang w:eastAsia="lv-LV"/>
        </w:rPr>
        <w:t>*Aktivitātēm/</w:t>
      </w:r>
      <w:proofErr w:type="spellStart"/>
      <w:r w:rsidR="00E5509B" w:rsidRPr="00822986">
        <w:rPr>
          <w:i/>
          <w:color w:val="000000" w:themeColor="text1"/>
          <w:sz w:val="20"/>
          <w:lang w:eastAsia="lv-LV"/>
        </w:rPr>
        <w:t>apakšaktivitātēm</w:t>
      </w:r>
      <w:proofErr w:type="spellEnd"/>
      <w:r w:rsidR="00E5509B" w:rsidRPr="00822986">
        <w:rPr>
          <w:i/>
          <w:color w:val="000000" w:themeColor="text1"/>
          <w:sz w:val="20"/>
          <w:lang w:eastAsia="lv-LV"/>
        </w:rPr>
        <w:t xml:space="preserve"> pieejamais finansējums, ieskaitot </w:t>
      </w:r>
      <w:proofErr w:type="spellStart"/>
      <w:r w:rsidR="00E5509B" w:rsidRPr="00822986">
        <w:rPr>
          <w:i/>
          <w:color w:val="000000" w:themeColor="text1"/>
          <w:sz w:val="20"/>
          <w:lang w:eastAsia="lv-LV"/>
        </w:rPr>
        <w:t>ieviesējinstitūciju</w:t>
      </w:r>
      <w:proofErr w:type="spellEnd"/>
      <w:r w:rsidR="00E5509B" w:rsidRPr="00822986">
        <w:rPr>
          <w:i/>
          <w:color w:val="000000" w:themeColor="text1"/>
          <w:sz w:val="20"/>
          <w:lang w:eastAsia="lv-LV"/>
        </w:rPr>
        <w:t xml:space="preserve"> un finanšu starpnieku vadības izmaksām paredzēto finansējumu.</w:t>
      </w:r>
    </w:p>
    <w:p w14:paraId="243CDE41" w14:textId="1BE2BA80" w:rsidR="0087290F" w:rsidRPr="00822986" w:rsidRDefault="00E5509B" w:rsidP="00852E0C">
      <w:pPr>
        <w:spacing w:line="276" w:lineRule="auto"/>
        <w:rPr>
          <w:i/>
          <w:color w:val="000000" w:themeColor="text1"/>
          <w:sz w:val="20"/>
          <w:lang w:eastAsia="lv-LV"/>
        </w:rPr>
      </w:pPr>
      <w:r w:rsidRPr="00822986">
        <w:rPr>
          <w:i/>
          <w:color w:val="000000" w:themeColor="text1"/>
          <w:sz w:val="20"/>
          <w:lang w:eastAsia="lv-LV"/>
        </w:rPr>
        <w:t xml:space="preserve">** </w:t>
      </w:r>
      <w:r w:rsidR="0087290F" w:rsidRPr="00822986">
        <w:rPr>
          <w:i/>
          <w:color w:val="000000" w:themeColor="text1"/>
          <w:sz w:val="20"/>
          <w:lang w:eastAsia="lv-LV"/>
        </w:rPr>
        <w:t>Veiktas investīcijas</w:t>
      </w:r>
      <w:r w:rsidR="00757B94" w:rsidRPr="00822986">
        <w:rPr>
          <w:i/>
          <w:color w:val="000000" w:themeColor="text1"/>
          <w:sz w:val="20"/>
          <w:lang w:eastAsia="lv-LV"/>
        </w:rPr>
        <w:t xml:space="preserve">, faktiski izmaksāti aizdevumi </w:t>
      </w:r>
      <w:r w:rsidR="0087290F" w:rsidRPr="00822986">
        <w:rPr>
          <w:i/>
          <w:color w:val="000000" w:themeColor="text1"/>
          <w:sz w:val="20"/>
          <w:lang w:eastAsia="lv-LV"/>
        </w:rPr>
        <w:t xml:space="preserve">un </w:t>
      </w:r>
      <w:r w:rsidR="00757B94" w:rsidRPr="00822986">
        <w:rPr>
          <w:i/>
          <w:color w:val="000000" w:themeColor="text1"/>
          <w:sz w:val="20"/>
          <w:lang w:eastAsia="lv-LV"/>
        </w:rPr>
        <w:t xml:space="preserve">sniegtas </w:t>
      </w:r>
      <w:r w:rsidR="0087290F" w:rsidRPr="00822986">
        <w:rPr>
          <w:i/>
          <w:color w:val="000000" w:themeColor="text1"/>
          <w:sz w:val="20"/>
          <w:lang w:eastAsia="lv-LV"/>
        </w:rPr>
        <w:t xml:space="preserve">garantijas, neskaitot </w:t>
      </w:r>
      <w:r w:rsidR="00CB50F7" w:rsidRPr="00822986">
        <w:rPr>
          <w:i/>
          <w:iCs/>
          <w:color w:val="000000" w:themeColor="text1"/>
          <w:sz w:val="20"/>
          <w:lang w:eastAsia="lv-LV"/>
        </w:rPr>
        <w:t>finanšu starpnieku vadības izmaksām paredzēto finansējumu</w:t>
      </w:r>
      <w:r w:rsidR="0087290F" w:rsidRPr="00822986">
        <w:rPr>
          <w:i/>
          <w:color w:val="000000" w:themeColor="text1"/>
          <w:sz w:val="20"/>
          <w:lang w:eastAsia="lv-LV"/>
        </w:rPr>
        <w:t>.</w:t>
      </w:r>
    </w:p>
    <w:p w14:paraId="7D5F0189" w14:textId="4447C1E5" w:rsidR="0029346C" w:rsidRPr="00822986" w:rsidRDefault="001E0938" w:rsidP="00852E0C">
      <w:pPr>
        <w:spacing w:line="276" w:lineRule="auto"/>
        <w:rPr>
          <w:rFonts w:eastAsia="Calibri"/>
          <w:i/>
          <w:color w:val="000000" w:themeColor="text1"/>
          <w:sz w:val="20"/>
        </w:rPr>
      </w:pPr>
      <w:r w:rsidRPr="00822986">
        <w:rPr>
          <w:i/>
          <w:color w:val="000000" w:themeColor="text1"/>
          <w:sz w:val="20"/>
          <w:lang w:eastAsia="lv-LV"/>
        </w:rPr>
        <w:t xml:space="preserve">** </w:t>
      </w:r>
      <w:r w:rsidR="0087290F" w:rsidRPr="00822986">
        <w:rPr>
          <w:i/>
          <w:color w:val="000000" w:themeColor="text1"/>
          <w:sz w:val="20"/>
          <w:lang w:eastAsia="lv-LV"/>
        </w:rPr>
        <w:t xml:space="preserve">Saskaņā ar plānošanas dokumentiem, ieviešot ES fondu garantiju komersantu konkurētspējas uzlabošanai aktivitāti tiek piemērots multiplikators ×4 </w:t>
      </w:r>
      <w:r w:rsidR="0087290F" w:rsidRPr="00822986">
        <w:rPr>
          <w:i/>
          <w:iCs/>
          <w:color w:val="000000" w:themeColor="text1"/>
          <w:sz w:val="20"/>
          <w:lang w:eastAsia="lv-LV"/>
        </w:rPr>
        <w:t>(Apgūtais ES fondu finansējums komersantu līmenī garantiju aktivitātes ietvaros aprēķināts pēc formulas: Faktisk</w:t>
      </w:r>
      <w:r w:rsidR="00BB4769" w:rsidRPr="00822986">
        <w:rPr>
          <w:i/>
          <w:iCs/>
          <w:color w:val="000000" w:themeColor="text1"/>
          <w:sz w:val="20"/>
          <w:lang w:eastAsia="lv-LV"/>
        </w:rPr>
        <w:t xml:space="preserve">i izsniegto garantiju apjoms / </w:t>
      </w:r>
      <w:r w:rsidR="0087290F" w:rsidRPr="00822986">
        <w:rPr>
          <w:i/>
          <w:color w:val="000000" w:themeColor="text1"/>
          <w:sz w:val="20"/>
          <w:lang w:eastAsia="lv-LV"/>
        </w:rPr>
        <w:t>4 ).</w:t>
      </w:r>
    </w:p>
    <w:p w14:paraId="5451396C" w14:textId="76F5D7D5" w:rsidR="00702AB9" w:rsidRPr="00852E0C" w:rsidRDefault="00702AB9" w:rsidP="00852E0C">
      <w:pPr>
        <w:spacing w:line="276" w:lineRule="auto"/>
        <w:rPr>
          <w:color w:val="000000" w:themeColor="text1"/>
          <w:szCs w:val="24"/>
        </w:rPr>
      </w:pPr>
      <w:r w:rsidRPr="00852E0C">
        <w:rPr>
          <w:color w:val="000000" w:themeColor="text1"/>
          <w:szCs w:val="24"/>
        </w:rPr>
        <w:t>2013.gada 12.februārī tika paziņoti konkursa rezultāti aktivitātē „Ieguldījumu fonds investīcijām garantijās, paaugstināta riska aizdevumos, riska kapitāla fondos un cita veida finanšu instrumentos” izsludinātā riska kapitāla fondu vadības kompāniju iepirkumā, taču IUB tika saņemtas vairāku pretendentu sūdzības par konkursa norisi un rezultātu. Šobrīd notiek to izskatīšana un IUB lēmums ir plānots tikai maija sākumā. Attiecīgi jauno fon</w:t>
      </w:r>
      <w:r w:rsidR="00C065E2" w:rsidRPr="00852E0C">
        <w:rPr>
          <w:color w:val="000000" w:themeColor="text1"/>
          <w:szCs w:val="24"/>
        </w:rPr>
        <w:t>du izveidošana ir plānota 2013.</w:t>
      </w:r>
      <w:r w:rsidRPr="00852E0C">
        <w:rPr>
          <w:color w:val="000000" w:themeColor="text1"/>
          <w:szCs w:val="24"/>
        </w:rPr>
        <w:t>gada 3.ceturksnī.</w:t>
      </w:r>
    </w:p>
    <w:p w14:paraId="0A63C544" w14:textId="06FE7EB1" w:rsidR="005916A5" w:rsidRPr="00852E0C" w:rsidRDefault="0010712D" w:rsidP="00852E0C">
      <w:pPr>
        <w:spacing w:line="276" w:lineRule="auto"/>
        <w:rPr>
          <w:bCs/>
          <w:color w:val="000000" w:themeColor="text1"/>
          <w:szCs w:val="24"/>
        </w:rPr>
      </w:pPr>
      <w:r w:rsidRPr="00852E0C">
        <w:rPr>
          <w:bCs/>
          <w:color w:val="000000" w:themeColor="text1"/>
          <w:szCs w:val="24"/>
        </w:rPr>
        <w:t xml:space="preserve">2013.gada 18.janvārī ir saņemts DG REGIO </w:t>
      </w:r>
      <w:r w:rsidR="00555FE4" w:rsidRPr="00852E0C">
        <w:rPr>
          <w:bCs/>
          <w:color w:val="000000" w:themeColor="text1"/>
          <w:szCs w:val="24"/>
        </w:rPr>
        <w:t>gala ziņojuma par ERAF līdzfinansēto finanšu vadības instrumentu aktivitāšu īstenošanu Latvijā</w:t>
      </w:r>
      <w:r w:rsidRPr="00852E0C">
        <w:rPr>
          <w:bCs/>
          <w:color w:val="000000" w:themeColor="text1"/>
          <w:szCs w:val="24"/>
        </w:rPr>
        <w:t>. Ziņojums ir</w:t>
      </w:r>
      <w:r w:rsidRPr="00852E0C">
        <w:rPr>
          <w:color w:val="000000" w:themeColor="text1"/>
          <w:szCs w:val="24"/>
        </w:rPr>
        <w:t xml:space="preserve"> izskatīts un 2013.gada 5.marta MK sēdē tika pieņemts lēmums piekrist EK piedāvātajai finanšu korekcijai 12,7 milj. latu apmērā, samazinot aktivitātē „Garantijas komersantu konkurētspējas uzlabošanai” pieejamo ERAF līdzfinansējumu par 8,7 milj. latu </w:t>
      </w:r>
      <w:r w:rsidRPr="00852E0C">
        <w:rPr>
          <w:bCs/>
          <w:color w:val="000000" w:themeColor="text1"/>
          <w:szCs w:val="24"/>
        </w:rPr>
        <w:t xml:space="preserve">par </w:t>
      </w:r>
      <w:r w:rsidRPr="00852E0C">
        <w:rPr>
          <w:bCs/>
          <w:color w:val="000000" w:themeColor="text1"/>
          <w:szCs w:val="24"/>
        </w:rPr>
        <w:lastRenderedPageBreak/>
        <w:t>neatbilstoši izsniegtām garantijām grūtībās nonākušiem uzņēmumiem un neatbilstoši mērķim sniegto atbalstu</w:t>
      </w:r>
      <w:r w:rsidRPr="00852E0C">
        <w:rPr>
          <w:color w:val="000000" w:themeColor="text1"/>
          <w:szCs w:val="24"/>
        </w:rPr>
        <w:t xml:space="preserve">, savukārt aktivitātē „Aizdevumi komersantu konkurētspējas </w:t>
      </w:r>
      <w:r w:rsidRPr="00852E0C">
        <w:rPr>
          <w:bCs/>
          <w:color w:val="000000" w:themeColor="text1"/>
          <w:szCs w:val="24"/>
        </w:rPr>
        <w:t>uzlabošanai” sistēmisku korekciju 10% apmērā</w:t>
      </w:r>
      <w:r w:rsidR="00ED76D6" w:rsidRPr="00852E0C">
        <w:rPr>
          <w:bCs/>
          <w:color w:val="000000" w:themeColor="text1"/>
          <w:szCs w:val="24"/>
        </w:rPr>
        <w:t xml:space="preserve"> no apakšaktivitātei pieejamā finansējuma</w:t>
      </w:r>
      <w:r w:rsidRPr="00852E0C">
        <w:rPr>
          <w:bCs/>
          <w:color w:val="000000" w:themeColor="text1"/>
          <w:szCs w:val="24"/>
        </w:rPr>
        <w:t xml:space="preserve"> – par 4 milj. latu. Ņemot vērā iepriekš minēto, EM </w:t>
      </w:r>
      <w:r w:rsidR="008A1F76" w:rsidRPr="00852E0C">
        <w:rPr>
          <w:bCs/>
          <w:color w:val="000000" w:themeColor="text1"/>
          <w:szCs w:val="24"/>
        </w:rPr>
        <w:t xml:space="preserve">formāli </w:t>
      </w:r>
      <w:r w:rsidRPr="00852E0C">
        <w:rPr>
          <w:bCs/>
          <w:color w:val="000000" w:themeColor="text1"/>
          <w:szCs w:val="24"/>
        </w:rPr>
        <w:t xml:space="preserve">pieņēma lēmumu par neatbilstoši veikto izdevumu atgūšanu, atbilstoši kuram finanšu instrumentu </w:t>
      </w:r>
      <w:proofErr w:type="spellStart"/>
      <w:r w:rsidRPr="00852E0C">
        <w:rPr>
          <w:bCs/>
          <w:color w:val="000000" w:themeColor="text1"/>
          <w:szCs w:val="24"/>
        </w:rPr>
        <w:t>ieviesējinstitūcijas</w:t>
      </w:r>
      <w:proofErr w:type="spellEnd"/>
      <w:r w:rsidRPr="00852E0C">
        <w:rPr>
          <w:bCs/>
          <w:color w:val="000000" w:themeColor="text1"/>
          <w:szCs w:val="24"/>
        </w:rPr>
        <w:t xml:space="preserve"> ir veikušas atmaksu par neatbilstoši veikto</w:t>
      </w:r>
      <w:r w:rsidR="00555FE4" w:rsidRPr="00852E0C">
        <w:rPr>
          <w:bCs/>
          <w:color w:val="000000" w:themeColor="text1"/>
          <w:szCs w:val="24"/>
        </w:rPr>
        <w:t xml:space="preserve"> izdevumu ERAF finansējuma daļu.</w:t>
      </w:r>
    </w:p>
    <w:p w14:paraId="7C429292" w14:textId="30E6A0F9" w:rsidR="008368F9" w:rsidRPr="00852E0C" w:rsidRDefault="008A1F76" w:rsidP="00852E0C">
      <w:pPr>
        <w:spacing w:line="276" w:lineRule="auto"/>
        <w:rPr>
          <w:bCs/>
          <w:color w:val="000000" w:themeColor="text1"/>
          <w:szCs w:val="24"/>
        </w:rPr>
      </w:pPr>
      <w:r w:rsidRPr="00852E0C">
        <w:rPr>
          <w:bCs/>
          <w:color w:val="000000" w:themeColor="text1"/>
          <w:szCs w:val="24"/>
        </w:rPr>
        <w:t xml:space="preserve">Savukārt, ņemot vērā </w:t>
      </w:r>
      <w:r w:rsidR="00555FE4" w:rsidRPr="00852E0C">
        <w:rPr>
          <w:bCs/>
          <w:color w:val="000000" w:themeColor="text1"/>
          <w:szCs w:val="24"/>
        </w:rPr>
        <w:t xml:space="preserve">RI audita </w:t>
      </w:r>
      <w:r w:rsidRPr="00852E0C">
        <w:rPr>
          <w:bCs/>
          <w:color w:val="000000" w:themeColor="text1"/>
          <w:szCs w:val="24"/>
        </w:rPr>
        <w:t xml:space="preserve">konstatējumu rezultātā </w:t>
      </w:r>
      <w:proofErr w:type="spellStart"/>
      <w:r w:rsidR="00555FE4" w:rsidRPr="00852E0C">
        <w:rPr>
          <w:bCs/>
          <w:color w:val="000000" w:themeColor="text1"/>
          <w:szCs w:val="24"/>
        </w:rPr>
        <w:t>apakšaktivitātes</w:t>
      </w:r>
      <w:proofErr w:type="spellEnd"/>
      <w:r w:rsidR="00555FE4" w:rsidRPr="00852E0C">
        <w:rPr>
          <w:bCs/>
          <w:color w:val="000000" w:themeColor="text1"/>
          <w:szCs w:val="24"/>
        </w:rPr>
        <w:t xml:space="preserve"> „</w:t>
      </w:r>
      <w:r w:rsidR="00555FE4" w:rsidRPr="00852E0C">
        <w:rPr>
          <w:color w:val="000000" w:themeColor="text1"/>
          <w:szCs w:val="24"/>
        </w:rPr>
        <w:t xml:space="preserve">Aizdevumi komersantu konkurētspējas </w:t>
      </w:r>
      <w:r w:rsidR="00555FE4" w:rsidRPr="00852E0C">
        <w:rPr>
          <w:bCs/>
          <w:color w:val="000000" w:themeColor="text1"/>
          <w:szCs w:val="24"/>
        </w:rPr>
        <w:t xml:space="preserve">uzlabošanai” </w:t>
      </w:r>
      <w:proofErr w:type="spellStart"/>
      <w:r w:rsidR="00555FE4" w:rsidRPr="00852E0C">
        <w:rPr>
          <w:bCs/>
          <w:color w:val="000000" w:themeColor="text1"/>
          <w:szCs w:val="24"/>
        </w:rPr>
        <w:t>ieviesējinstitūcija</w:t>
      </w:r>
      <w:r w:rsidRPr="00852E0C">
        <w:rPr>
          <w:bCs/>
          <w:color w:val="000000" w:themeColor="text1"/>
          <w:szCs w:val="24"/>
        </w:rPr>
        <w:t>s</w:t>
      </w:r>
      <w:proofErr w:type="spellEnd"/>
      <w:r w:rsidR="00555FE4" w:rsidRPr="00852E0C">
        <w:rPr>
          <w:bCs/>
          <w:color w:val="000000" w:themeColor="text1"/>
          <w:szCs w:val="24"/>
        </w:rPr>
        <w:t xml:space="preserve"> LHZB</w:t>
      </w:r>
      <w:r w:rsidR="00555FE4" w:rsidRPr="00852E0C">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savu resursu izmaksas par </w:t>
      </w:r>
      <w:r w:rsidR="00555FE4" w:rsidRPr="00852E0C">
        <w:rPr>
          <w:rFonts w:eastAsia="EUAlbertina-Bold-Identity-H"/>
          <w:color w:val="000000" w:themeColor="text1"/>
          <w:szCs w:val="24"/>
          <w:lang w:eastAsia="lv-LV"/>
        </w:rPr>
        <w:t xml:space="preserve">ieguldījumu aizdevumu fondā </w:t>
      </w:r>
      <w:r w:rsidRPr="00852E0C">
        <w:rPr>
          <w:rFonts w:eastAsia="EUAlbertina-Bold-Identity-H"/>
          <w:color w:val="000000" w:themeColor="text1"/>
          <w:szCs w:val="24"/>
          <w:lang w:eastAsia="lv-LV"/>
        </w:rPr>
        <w:t xml:space="preserve">uzskatāmas par neattiecināmām un, </w:t>
      </w:r>
      <w:r w:rsidRPr="00852E0C">
        <w:rPr>
          <w:bCs/>
          <w:color w:val="000000" w:themeColor="text1"/>
          <w:szCs w:val="24"/>
        </w:rPr>
        <w:t>tā kā projekta īstenotājas LHZB darbībā atbilstoši līgumiem ar EM nav konstatēti pārkāpumi, ierosināts uzskatīt par atgūtiem (valsts budžeta izdevumi, par ko netiks saņemta atmaksa no EK) EK un RI auditu laikā konstatētos projekta ietvaros neattiecināmos izdevumus</w:t>
      </w:r>
      <w:r w:rsidR="000E0633">
        <w:rPr>
          <w:bCs/>
          <w:color w:val="000000" w:themeColor="text1"/>
          <w:szCs w:val="24"/>
        </w:rPr>
        <w:t xml:space="preserve"> </w:t>
      </w:r>
      <w:r w:rsidRPr="00852E0C">
        <w:rPr>
          <w:bCs/>
          <w:color w:val="000000" w:themeColor="text1"/>
          <w:szCs w:val="24"/>
        </w:rPr>
        <w:t xml:space="preserve">kopā </w:t>
      </w:r>
      <w:r w:rsidR="00F37485" w:rsidRPr="00852E0C">
        <w:rPr>
          <w:bCs/>
          <w:color w:val="000000" w:themeColor="text1"/>
          <w:szCs w:val="24"/>
        </w:rPr>
        <w:t>1,9</w:t>
      </w:r>
      <w:r w:rsidRPr="00852E0C">
        <w:rPr>
          <w:bCs/>
          <w:color w:val="000000" w:themeColor="text1"/>
          <w:szCs w:val="24"/>
        </w:rPr>
        <w:t xml:space="preserve"> milj.</w:t>
      </w:r>
      <w:r w:rsidR="005916A5" w:rsidRPr="00852E0C">
        <w:rPr>
          <w:bCs/>
          <w:color w:val="000000" w:themeColor="text1"/>
          <w:szCs w:val="24"/>
        </w:rPr>
        <w:t xml:space="preserve"> </w:t>
      </w:r>
      <w:r w:rsidRPr="00852E0C">
        <w:rPr>
          <w:bCs/>
          <w:color w:val="000000" w:themeColor="text1"/>
          <w:szCs w:val="24"/>
        </w:rPr>
        <w:t>latu</w:t>
      </w:r>
      <w:r w:rsidR="000E0633">
        <w:rPr>
          <w:bCs/>
          <w:color w:val="000000" w:themeColor="text1"/>
          <w:szCs w:val="24"/>
        </w:rPr>
        <w:t xml:space="preserve"> </w:t>
      </w:r>
      <w:r w:rsidRPr="00852E0C">
        <w:rPr>
          <w:bCs/>
          <w:color w:val="000000" w:themeColor="text1"/>
          <w:szCs w:val="24"/>
        </w:rPr>
        <w:t>apmērā.</w:t>
      </w:r>
      <w:r w:rsidR="005916A5" w:rsidRPr="00852E0C" w:rsidDel="00020619">
        <w:rPr>
          <w:bCs/>
          <w:color w:val="000000" w:themeColor="text1"/>
          <w:szCs w:val="24"/>
        </w:rPr>
        <w:t xml:space="preserve"> </w:t>
      </w:r>
      <w:r w:rsidR="008368F9" w:rsidRPr="00852E0C">
        <w:rPr>
          <w:bCs/>
          <w:color w:val="000000" w:themeColor="text1"/>
          <w:szCs w:val="24"/>
        </w:rPr>
        <w:t>Lai nodrošinātu finanšu instrumentu ieviešanu un tās efektīvu uzraudzību 2013.gada 12.marta MK sēdē</w:t>
      </w:r>
      <w:r w:rsidR="008368F9" w:rsidRPr="00852E0C">
        <w:rPr>
          <w:bCs/>
          <w:color w:val="000000" w:themeColor="text1"/>
          <w:szCs w:val="24"/>
          <w:vertAlign w:val="superscript"/>
        </w:rPr>
        <w:footnoteReference w:id="24"/>
      </w:r>
      <w:r w:rsidR="008368F9" w:rsidRPr="00852E0C">
        <w:rPr>
          <w:bCs/>
          <w:color w:val="000000" w:themeColor="text1"/>
          <w:szCs w:val="24"/>
        </w:rPr>
        <w:t xml:space="preserve"> tika virzīti ap</w:t>
      </w:r>
      <w:r w:rsidR="002A09A5" w:rsidRPr="00852E0C">
        <w:rPr>
          <w:bCs/>
          <w:color w:val="000000" w:themeColor="text1"/>
          <w:szCs w:val="24"/>
        </w:rPr>
        <w:t xml:space="preserve">stiprināšanai mērķi maksājumiem un </w:t>
      </w:r>
      <w:r w:rsidR="008368F9" w:rsidRPr="00852E0C">
        <w:rPr>
          <w:bCs/>
          <w:color w:val="000000" w:themeColor="text1"/>
          <w:szCs w:val="24"/>
        </w:rPr>
        <w:t xml:space="preserve">investīcijām riska kapitāla, aizdevumu un </w:t>
      </w:r>
      <w:proofErr w:type="spellStart"/>
      <w:r w:rsidR="008368F9" w:rsidRPr="00852E0C">
        <w:rPr>
          <w:bCs/>
          <w:color w:val="000000" w:themeColor="text1"/>
          <w:szCs w:val="24"/>
        </w:rPr>
        <w:t>mezanīna</w:t>
      </w:r>
      <w:proofErr w:type="spellEnd"/>
      <w:r w:rsidR="008368F9" w:rsidRPr="00852E0C">
        <w:rPr>
          <w:bCs/>
          <w:color w:val="000000" w:themeColor="text1"/>
          <w:szCs w:val="24"/>
        </w:rPr>
        <w:t xml:space="preserve"> veidā un sniegto garantiju apjomam. Ņemot vērā DG REGIO finanšu instrumentu audita ziņojuma ietikumus un ierosinātās finanšu </w:t>
      </w:r>
      <w:r w:rsidR="00702AB9" w:rsidRPr="00852E0C">
        <w:rPr>
          <w:bCs/>
          <w:color w:val="000000" w:themeColor="text1"/>
          <w:szCs w:val="24"/>
        </w:rPr>
        <w:t xml:space="preserve">korekcijas </w:t>
      </w:r>
      <w:r w:rsidR="008368F9" w:rsidRPr="00852E0C">
        <w:rPr>
          <w:bCs/>
          <w:color w:val="000000" w:themeColor="text1"/>
          <w:szCs w:val="24"/>
        </w:rPr>
        <w:t xml:space="preserve">un plānotos grozījumus DP, tika uzdots FM sadarbībā ar EM noteikt mērķus un iesniegt </w:t>
      </w:r>
      <w:r w:rsidR="00702AB9" w:rsidRPr="00852E0C">
        <w:rPr>
          <w:bCs/>
          <w:color w:val="000000" w:themeColor="text1"/>
          <w:szCs w:val="24"/>
        </w:rPr>
        <w:t xml:space="preserve">tos </w:t>
      </w:r>
      <w:r w:rsidR="008368F9" w:rsidRPr="00852E0C">
        <w:rPr>
          <w:bCs/>
          <w:color w:val="000000" w:themeColor="text1"/>
          <w:szCs w:val="24"/>
        </w:rPr>
        <w:t xml:space="preserve">apstiprināšanai MK ar </w:t>
      </w:r>
      <w:r w:rsidR="00702AB9" w:rsidRPr="00852E0C">
        <w:rPr>
          <w:bCs/>
          <w:color w:val="000000" w:themeColor="text1"/>
          <w:szCs w:val="24"/>
        </w:rPr>
        <w:t>informatīvo ziņojumu par ES fondu un citu ārvalstu finanšu instrumentu ieviešanu 2013.gada 1.ceturksnī, taču sakarā ar to, ka ierosinātie DP grozījumi šobrīd tiek saskaņoti ar EK, tiek ierosināts termiņu mērķu noteikšanai pagarināt un iesniegt tos apstiprināšanai MK ar informatīvo ziņojumu par ES fondu un citu ārvalstu finanšu instrumentu ieviešanu 2013.gada 2.ceturksnī.</w:t>
      </w:r>
    </w:p>
    <w:p w14:paraId="31D0557A" w14:textId="23AE5E7C" w:rsidR="00F37485" w:rsidRPr="00852E0C" w:rsidRDefault="00F37485" w:rsidP="00852E0C">
      <w:pPr>
        <w:spacing w:line="276" w:lineRule="auto"/>
        <w:rPr>
          <w:bCs/>
          <w:color w:val="000000" w:themeColor="text1"/>
          <w:szCs w:val="24"/>
        </w:rPr>
      </w:pPr>
      <w:r w:rsidRPr="00852E0C">
        <w:rPr>
          <w:bCs/>
          <w:color w:val="000000" w:themeColor="text1"/>
          <w:szCs w:val="24"/>
        </w:rPr>
        <w:t xml:space="preserve">Saskaņā ar MK </w:t>
      </w:r>
      <w:r w:rsidR="000E0633">
        <w:rPr>
          <w:bCs/>
          <w:color w:val="000000" w:themeColor="text1"/>
          <w:szCs w:val="24"/>
        </w:rPr>
        <w:t xml:space="preserve">2013.gada 5.marta </w:t>
      </w:r>
      <w:r w:rsidRPr="00852E0C">
        <w:rPr>
          <w:bCs/>
          <w:color w:val="000000" w:themeColor="text1"/>
          <w:szCs w:val="24"/>
        </w:rPr>
        <w:t>sēdes</w:t>
      </w:r>
      <w:r w:rsidR="000E0633">
        <w:rPr>
          <w:bCs/>
          <w:color w:val="000000" w:themeColor="text1"/>
          <w:szCs w:val="24"/>
        </w:rPr>
        <w:t xml:space="preserve"> </w:t>
      </w:r>
      <w:proofErr w:type="spellStart"/>
      <w:r w:rsidRPr="00852E0C">
        <w:rPr>
          <w:bCs/>
          <w:color w:val="000000" w:themeColor="text1"/>
          <w:szCs w:val="24"/>
        </w:rPr>
        <w:t>protokollēmuma</w:t>
      </w:r>
      <w:proofErr w:type="spellEnd"/>
      <w:r w:rsidRPr="00852E0C">
        <w:rPr>
          <w:bCs/>
          <w:color w:val="000000" w:themeColor="text1"/>
          <w:szCs w:val="24"/>
        </w:rPr>
        <w:t xml:space="preserve"> </w:t>
      </w:r>
      <w:proofErr w:type="spellStart"/>
      <w:r w:rsidRPr="00852E0C">
        <w:rPr>
          <w:bCs/>
          <w:color w:val="000000" w:themeColor="text1"/>
          <w:szCs w:val="24"/>
        </w:rPr>
        <w:t>Nr</w:t>
      </w:r>
      <w:proofErr w:type="spellEnd"/>
      <w:r w:rsidRPr="00852E0C">
        <w:rPr>
          <w:bCs/>
          <w:color w:val="000000" w:themeColor="text1"/>
          <w:szCs w:val="24"/>
        </w:rPr>
        <w:t xml:space="preserve">. 13 38.§ 7.puntā noteikto, EM līdz 2013.gada 2.aprīlim bija jāiesniedz </w:t>
      </w:r>
      <w:proofErr w:type="spellStart"/>
      <w:r w:rsidRPr="00852E0C">
        <w:rPr>
          <w:bCs/>
          <w:color w:val="000000" w:themeColor="text1"/>
          <w:szCs w:val="24"/>
        </w:rPr>
        <w:t>VKanc</w:t>
      </w:r>
      <w:proofErr w:type="spellEnd"/>
      <w:r w:rsidRPr="00852E0C">
        <w:rPr>
          <w:bCs/>
          <w:color w:val="000000" w:themeColor="text1"/>
          <w:szCs w:val="24"/>
        </w:rPr>
        <w:t xml:space="preserve"> grozījumu projekti </w:t>
      </w:r>
      <w:r w:rsidR="002A09A5" w:rsidRPr="00852E0C">
        <w:rPr>
          <w:bCs/>
          <w:color w:val="000000" w:themeColor="text1"/>
          <w:szCs w:val="24"/>
        </w:rPr>
        <w:t>MK</w:t>
      </w:r>
      <w:r w:rsidRPr="00852E0C">
        <w:rPr>
          <w:bCs/>
          <w:color w:val="000000" w:themeColor="text1"/>
          <w:szCs w:val="24"/>
        </w:rPr>
        <w:t xml:space="preserve"> 2009.gada 10.marta noteikumos Nr.237 „Noteikumi par darbības programma</w:t>
      </w:r>
      <w:r w:rsidR="002A09A5" w:rsidRPr="00852E0C">
        <w:rPr>
          <w:bCs/>
          <w:color w:val="000000" w:themeColor="text1"/>
          <w:szCs w:val="24"/>
        </w:rPr>
        <w:t>s „Uzņēmējdarbība un inovācijas”</w:t>
      </w:r>
      <w:r w:rsidRPr="00852E0C">
        <w:rPr>
          <w:bCs/>
          <w:color w:val="000000" w:themeColor="text1"/>
          <w:szCs w:val="24"/>
        </w:rPr>
        <w:t xml:space="preserve"> papildinājuma 2.2.1.3.aktivitāti „Garantijas komersantu konkurētspējas uzlabošanai”” (turpmāk – MK noteikumi Nr.237) un </w:t>
      </w:r>
      <w:r w:rsidR="002A09A5" w:rsidRPr="00852E0C">
        <w:rPr>
          <w:bCs/>
          <w:color w:val="000000" w:themeColor="text1"/>
          <w:szCs w:val="24"/>
        </w:rPr>
        <w:t>MK</w:t>
      </w:r>
      <w:r w:rsidRPr="00852E0C">
        <w:rPr>
          <w:bCs/>
          <w:color w:val="000000" w:themeColor="text1"/>
          <w:szCs w:val="24"/>
        </w:rPr>
        <w:t xml:space="preserve"> 2009.gada 10.marta noteikumos N</w:t>
      </w:r>
      <w:r w:rsidR="002A09A5" w:rsidRPr="00852E0C">
        <w:rPr>
          <w:bCs/>
          <w:color w:val="000000" w:themeColor="text1"/>
          <w:szCs w:val="24"/>
        </w:rPr>
        <w:t>r.238 „Par darbības programmas „</w:t>
      </w:r>
      <w:r w:rsidRPr="00852E0C">
        <w:rPr>
          <w:bCs/>
          <w:color w:val="000000" w:themeColor="text1"/>
          <w:szCs w:val="24"/>
        </w:rPr>
        <w:t>Uzņēmējdarbība un inovācijas” pa</w:t>
      </w:r>
      <w:r w:rsidR="002A09A5" w:rsidRPr="00852E0C">
        <w:rPr>
          <w:bCs/>
          <w:color w:val="000000" w:themeColor="text1"/>
          <w:szCs w:val="24"/>
        </w:rPr>
        <w:t>pildinājuma 2.2.1.4.aktivitāti „</w:t>
      </w:r>
      <w:r w:rsidRPr="00852E0C">
        <w:rPr>
          <w:bCs/>
          <w:color w:val="000000" w:themeColor="text1"/>
          <w:szCs w:val="24"/>
        </w:rPr>
        <w:t>Aizdevumi komersa</w:t>
      </w:r>
      <w:r w:rsidR="002A09A5" w:rsidRPr="00852E0C">
        <w:rPr>
          <w:bCs/>
          <w:color w:val="000000" w:themeColor="text1"/>
          <w:szCs w:val="24"/>
        </w:rPr>
        <w:t>ntu konkurētspējas uzlabošanai””</w:t>
      </w:r>
      <w:r w:rsidR="00352B55">
        <w:rPr>
          <w:bCs/>
          <w:color w:val="000000" w:themeColor="text1"/>
          <w:szCs w:val="24"/>
        </w:rPr>
        <w:t xml:space="preserve"> (turpmāk – </w:t>
      </w:r>
      <w:r w:rsidRPr="00852E0C">
        <w:rPr>
          <w:bCs/>
          <w:color w:val="000000" w:themeColor="text1"/>
          <w:szCs w:val="24"/>
        </w:rPr>
        <w:t xml:space="preserve">MK noteikumi Nr.238), atbilstoši pozīcijai, paredzot samazināt aktivitāšu ietvaros pieejamo finansējuma apjomu pēc finanšu korekcijas. </w:t>
      </w:r>
      <w:r w:rsidR="002A09A5" w:rsidRPr="00852E0C">
        <w:rPr>
          <w:bCs/>
          <w:color w:val="000000" w:themeColor="text1"/>
          <w:szCs w:val="24"/>
        </w:rPr>
        <w:t>2013.gada</w:t>
      </w:r>
      <w:r w:rsidRPr="00852E0C">
        <w:rPr>
          <w:bCs/>
          <w:color w:val="000000" w:themeColor="text1"/>
          <w:szCs w:val="24"/>
        </w:rPr>
        <w:t xml:space="preserve"> 18.aprīlī EM izsūtīja saskaņošanai TM un FM grozījumus MK noteikumos Nr.237 un Nr.238. Ņemot vērā, ka abu MK noteikumu projektu tālāka virzība ir iespējama tikai vienlaicīgi ar vai pēc atbilstošu </w:t>
      </w:r>
      <w:r w:rsidR="002A09A5" w:rsidRPr="00852E0C">
        <w:rPr>
          <w:bCs/>
          <w:color w:val="000000" w:themeColor="text1"/>
          <w:szCs w:val="24"/>
        </w:rPr>
        <w:t>DP un DP papildinājumu</w:t>
      </w:r>
      <w:r w:rsidRPr="00852E0C">
        <w:rPr>
          <w:bCs/>
          <w:color w:val="000000" w:themeColor="text1"/>
          <w:szCs w:val="24"/>
        </w:rPr>
        <w:t xml:space="preserve"> grozījumu apstiprināšanas, kurus plānots apstiprināt </w:t>
      </w:r>
      <w:r w:rsidR="002A09A5" w:rsidRPr="00852E0C">
        <w:rPr>
          <w:bCs/>
          <w:color w:val="000000" w:themeColor="text1"/>
          <w:szCs w:val="24"/>
        </w:rPr>
        <w:t>2013.gada 15.maija ES fondu U</w:t>
      </w:r>
      <w:r w:rsidRPr="00852E0C">
        <w:rPr>
          <w:bCs/>
          <w:color w:val="000000" w:themeColor="text1"/>
          <w:szCs w:val="24"/>
        </w:rPr>
        <w:t xml:space="preserve">zraudzības komitejas sanāksmē, kā arī MK noteikumu tālākai virzībai ir nepieciešams sagatavot atbilstošus grozījumus MK noteikumos par tās </w:t>
      </w:r>
      <w:r w:rsidRPr="00852E0C">
        <w:rPr>
          <w:bCs/>
          <w:color w:val="000000" w:themeColor="text1"/>
          <w:szCs w:val="24"/>
        </w:rPr>
        <w:lastRenderedPageBreak/>
        <w:t xml:space="preserve">aktivitātes īstenošanu, uz kuru plānots pārdalīt finansējumu, ir nepieciešams termiņa pagarinājums MK </w:t>
      </w:r>
      <w:r w:rsidR="002A09A5" w:rsidRPr="00852E0C">
        <w:rPr>
          <w:bCs/>
          <w:color w:val="000000" w:themeColor="text1"/>
          <w:szCs w:val="24"/>
        </w:rPr>
        <w:t xml:space="preserve">2013.gada 5.marta </w:t>
      </w:r>
      <w:r w:rsidRPr="00852E0C">
        <w:rPr>
          <w:bCs/>
          <w:color w:val="000000" w:themeColor="text1"/>
          <w:szCs w:val="24"/>
        </w:rPr>
        <w:t>sēdes 7</w:t>
      </w:r>
      <w:r w:rsidR="002A09A5" w:rsidRPr="00852E0C">
        <w:rPr>
          <w:bCs/>
          <w:color w:val="000000" w:themeColor="text1"/>
          <w:szCs w:val="24"/>
        </w:rPr>
        <w:t>. punktā noteiktajam termiņam.</w:t>
      </w:r>
    </w:p>
    <w:p w14:paraId="02898B87" w14:textId="75A19208" w:rsidR="00483CED" w:rsidRPr="00852E0C" w:rsidRDefault="00020619" w:rsidP="00852E0C">
      <w:pPr>
        <w:spacing w:line="276" w:lineRule="auto"/>
        <w:rPr>
          <w:bCs/>
          <w:color w:val="000000" w:themeColor="text1"/>
          <w:szCs w:val="24"/>
        </w:rPr>
      </w:pPr>
      <w:r w:rsidRPr="00852E0C">
        <w:rPr>
          <w:color w:val="000000" w:themeColor="text1"/>
          <w:szCs w:val="24"/>
          <w:u w:val="single"/>
        </w:rPr>
        <w:t xml:space="preserve">Prioritātē </w:t>
      </w:r>
      <w:r w:rsidR="00E15CBF" w:rsidRPr="00852E0C">
        <w:rPr>
          <w:color w:val="000000" w:themeColor="text1"/>
          <w:szCs w:val="24"/>
          <w:u w:val="single"/>
        </w:rPr>
        <w:t>„</w:t>
      </w:r>
      <w:r w:rsidR="001E53C0" w:rsidRPr="00852E0C">
        <w:rPr>
          <w:color w:val="000000" w:themeColor="text1"/>
          <w:szCs w:val="24"/>
          <w:u w:val="single"/>
        </w:rPr>
        <w:t>Uzņēmējdarbības veicināšana</w:t>
      </w:r>
      <w:r w:rsidR="000B4535" w:rsidRPr="00852E0C">
        <w:rPr>
          <w:color w:val="000000" w:themeColor="text1"/>
          <w:szCs w:val="24"/>
          <w:u w:val="single"/>
        </w:rPr>
        <w:t xml:space="preserve">” </w:t>
      </w:r>
      <w:bookmarkStart w:id="23" w:name="_Toc276049978"/>
      <w:r w:rsidR="001941AC" w:rsidRPr="00852E0C">
        <w:rPr>
          <w:bCs/>
          <w:color w:val="000000" w:themeColor="text1"/>
          <w:szCs w:val="24"/>
        </w:rPr>
        <w:t>kopumā maksājumu mērķis tiek izpildīts 44,2% apmērā.</w:t>
      </w:r>
      <w:r w:rsidR="00EE79BE" w:rsidRPr="00852E0C">
        <w:rPr>
          <w:bCs/>
          <w:color w:val="000000" w:themeColor="text1"/>
          <w:szCs w:val="24"/>
        </w:rPr>
        <w:t xml:space="preserve"> A</w:t>
      </w:r>
      <w:r w:rsidR="001941AC" w:rsidRPr="00852E0C">
        <w:rPr>
          <w:bCs/>
          <w:color w:val="000000" w:themeColor="text1"/>
          <w:szCs w:val="24"/>
        </w:rPr>
        <w:t xml:space="preserve">ktivitātes „Biznesa inkubatori” </w:t>
      </w:r>
      <w:r w:rsidR="00EE79BE" w:rsidRPr="00852E0C">
        <w:rPr>
          <w:bCs/>
          <w:color w:val="000000" w:themeColor="text1"/>
          <w:szCs w:val="24"/>
        </w:rPr>
        <w:t xml:space="preserve">ietvaros </w:t>
      </w:r>
      <w:r w:rsidR="001941AC" w:rsidRPr="00852E0C">
        <w:rPr>
          <w:bCs/>
          <w:color w:val="000000" w:themeColor="text1"/>
          <w:szCs w:val="24"/>
        </w:rPr>
        <w:t xml:space="preserve">LIAA ir </w:t>
      </w:r>
      <w:r w:rsidR="00EE79BE" w:rsidRPr="00852E0C">
        <w:rPr>
          <w:bCs/>
          <w:color w:val="000000" w:themeColor="text1"/>
          <w:szCs w:val="24"/>
        </w:rPr>
        <w:t xml:space="preserve">pilnveidojusi iekšējās procedūras </w:t>
      </w:r>
      <w:r w:rsidR="001941AC" w:rsidRPr="00852E0C">
        <w:rPr>
          <w:bCs/>
          <w:color w:val="000000" w:themeColor="text1"/>
          <w:szCs w:val="24"/>
        </w:rPr>
        <w:t>, ieviešot RI veikto auditu ieteikumus</w:t>
      </w:r>
      <w:r w:rsidR="00EE79BE" w:rsidRPr="00852E0C">
        <w:rPr>
          <w:bCs/>
          <w:color w:val="000000" w:themeColor="text1"/>
          <w:szCs w:val="24"/>
        </w:rPr>
        <w:t xml:space="preserve">, vienlaikus atklājušies papildus riski, kas izriet no </w:t>
      </w:r>
      <w:r w:rsidR="001941AC" w:rsidRPr="00852E0C">
        <w:rPr>
          <w:bCs/>
          <w:color w:val="000000" w:themeColor="text1"/>
          <w:szCs w:val="24"/>
        </w:rPr>
        <w:t>pēc LIAA pasūtījuma veikt</w:t>
      </w:r>
      <w:r w:rsidR="00EE79BE" w:rsidRPr="00852E0C">
        <w:rPr>
          <w:bCs/>
          <w:color w:val="000000" w:themeColor="text1"/>
          <w:szCs w:val="24"/>
        </w:rPr>
        <w:t>ajiem</w:t>
      </w:r>
      <w:r w:rsidR="001941AC" w:rsidRPr="00852E0C">
        <w:rPr>
          <w:bCs/>
          <w:color w:val="000000" w:themeColor="text1"/>
          <w:szCs w:val="24"/>
        </w:rPr>
        <w:t xml:space="preserve"> starpposma izvērtējumi</w:t>
      </w:r>
      <w:r w:rsidR="00EE79BE" w:rsidRPr="00852E0C">
        <w:rPr>
          <w:bCs/>
          <w:color w:val="000000" w:themeColor="text1"/>
          <w:szCs w:val="24"/>
        </w:rPr>
        <w:t>em</w:t>
      </w:r>
      <w:r w:rsidR="001941AC" w:rsidRPr="00852E0C">
        <w:rPr>
          <w:bCs/>
          <w:color w:val="000000" w:themeColor="text1"/>
          <w:szCs w:val="24"/>
        </w:rPr>
        <w:t xml:space="preserve"> septiņos Biznesa inkubatoros</w:t>
      </w:r>
      <w:r w:rsidR="00EE79BE" w:rsidRPr="00852E0C">
        <w:rPr>
          <w:bCs/>
          <w:color w:val="000000" w:themeColor="text1"/>
          <w:szCs w:val="24"/>
        </w:rPr>
        <w:t xml:space="preserve">. </w:t>
      </w:r>
      <w:r w:rsidR="001941AC" w:rsidRPr="00852E0C">
        <w:rPr>
          <w:bCs/>
          <w:color w:val="000000" w:themeColor="text1"/>
          <w:szCs w:val="24"/>
        </w:rPr>
        <w:t xml:space="preserve">EM </w:t>
      </w:r>
      <w:r w:rsidR="00EE79BE" w:rsidRPr="00852E0C">
        <w:rPr>
          <w:bCs/>
          <w:color w:val="000000" w:themeColor="text1"/>
          <w:szCs w:val="24"/>
        </w:rPr>
        <w:t xml:space="preserve">un LIAA jāizstrādā </w:t>
      </w:r>
      <w:r w:rsidR="001941AC" w:rsidRPr="00852E0C">
        <w:rPr>
          <w:bCs/>
          <w:color w:val="000000" w:themeColor="text1"/>
          <w:szCs w:val="24"/>
        </w:rPr>
        <w:t>rīcības plān</w:t>
      </w:r>
      <w:r w:rsidR="00EE79BE" w:rsidRPr="00852E0C">
        <w:rPr>
          <w:bCs/>
          <w:color w:val="000000" w:themeColor="text1"/>
          <w:szCs w:val="24"/>
        </w:rPr>
        <w:t xml:space="preserve">i nepilnību novēršanai, kur iespējams, savukārt, VI uz laiku līdz jautājumu noskaidrošanai un pilnīgai pārliecībai par izdevumu </w:t>
      </w:r>
      <w:proofErr w:type="spellStart"/>
      <w:r w:rsidR="00EE79BE" w:rsidRPr="00852E0C">
        <w:rPr>
          <w:bCs/>
          <w:color w:val="000000" w:themeColor="text1"/>
          <w:szCs w:val="24"/>
        </w:rPr>
        <w:t>attiecināmību</w:t>
      </w:r>
      <w:proofErr w:type="spellEnd"/>
      <w:r w:rsidR="00EE79BE" w:rsidRPr="00852E0C">
        <w:rPr>
          <w:bCs/>
          <w:color w:val="000000" w:themeColor="text1"/>
          <w:szCs w:val="24"/>
        </w:rPr>
        <w:t xml:space="preserve"> papildus izdevumu nedeklarēšanai EK aptur maksājumu veikšanu projekta ietvaros.</w:t>
      </w:r>
    </w:p>
    <w:p w14:paraId="71BA692C" w14:textId="2AA539B8" w:rsidR="001E53C0" w:rsidRPr="00852E0C" w:rsidRDefault="00483CED" w:rsidP="00852E0C">
      <w:pPr>
        <w:spacing w:line="276" w:lineRule="auto"/>
        <w:rPr>
          <w:color w:val="000000" w:themeColor="text1"/>
          <w:szCs w:val="24"/>
          <w:lang w:eastAsia="lv-LV"/>
        </w:rPr>
      </w:pPr>
      <w:r w:rsidRPr="00852E0C">
        <w:rPr>
          <w:color w:val="000000" w:themeColor="text1"/>
          <w:szCs w:val="24"/>
          <w:lang w:eastAsia="lv-LV"/>
        </w:rPr>
        <w:t xml:space="preserve">Informāciju par TP aktivitāšu īstenošanu lūdzam skatīt </w:t>
      </w:r>
      <w:r w:rsidRPr="00852E0C">
        <w:rPr>
          <w:color w:val="000000" w:themeColor="text1"/>
          <w:szCs w:val="24"/>
          <w:u w:val="single"/>
          <w:lang w:eastAsia="lv-LV"/>
        </w:rPr>
        <w:t xml:space="preserve">sadaļā </w:t>
      </w:r>
      <w:r w:rsidR="00A17D41" w:rsidRPr="00852E0C">
        <w:rPr>
          <w:color w:val="000000" w:themeColor="text1"/>
          <w:szCs w:val="24"/>
          <w:u w:val="single"/>
          <w:lang w:eastAsia="lv-LV"/>
        </w:rPr>
        <w:t>1.4</w:t>
      </w:r>
      <w:r w:rsidRPr="00852E0C">
        <w:rPr>
          <w:color w:val="000000" w:themeColor="text1"/>
          <w:szCs w:val="24"/>
          <w:u w:val="single"/>
          <w:lang w:eastAsia="lv-LV"/>
        </w:rPr>
        <w:t>. „Kopsavilkums par TP aktivitāšu īstenošanu”</w:t>
      </w:r>
      <w:r w:rsidRPr="00852E0C">
        <w:rPr>
          <w:color w:val="000000" w:themeColor="text1"/>
          <w:szCs w:val="24"/>
          <w:lang w:eastAsia="lv-LV"/>
        </w:rPr>
        <w:t>.</w:t>
      </w:r>
    </w:p>
    <w:p w14:paraId="0D64BC62" w14:textId="4EDC56E4" w:rsidR="00F03F30" w:rsidRPr="00852E0C" w:rsidRDefault="00F03F30" w:rsidP="00852E0C">
      <w:pPr>
        <w:pStyle w:val="2lmenis"/>
        <w:numPr>
          <w:ilvl w:val="2"/>
          <w:numId w:val="2"/>
        </w:numPr>
        <w:spacing w:before="120" w:after="120" w:line="276" w:lineRule="auto"/>
        <w:jc w:val="both"/>
        <w:rPr>
          <w:color w:val="000000" w:themeColor="text1"/>
          <w:sz w:val="24"/>
          <w:szCs w:val="24"/>
          <w:lang w:val="lv-LV"/>
        </w:rPr>
      </w:pPr>
      <w:bookmarkStart w:id="24" w:name="_Toc356465228"/>
      <w:bookmarkEnd w:id="23"/>
      <w:r w:rsidRPr="00852E0C">
        <w:rPr>
          <w:color w:val="000000" w:themeColor="text1"/>
          <w:sz w:val="24"/>
          <w:szCs w:val="24"/>
          <w:lang w:val="lv-LV"/>
        </w:rPr>
        <w:t>Darbības programm</w:t>
      </w:r>
      <w:r w:rsidR="00EE6F01" w:rsidRPr="00852E0C">
        <w:rPr>
          <w:color w:val="000000" w:themeColor="text1"/>
          <w:sz w:val="24"/>
          <w:szCs w:val="24"/>
          <w:lang w:val="lv-LV"/>
        </w:rPr>
        <w:t>as</w:t>
      </w:r>
      <w:r w:rsidRPr="00852E0C">
        <w:rPr>
          <w:color w:val="000000" w:themeColor="text1"/>
          <w:sz w:val="24"/>
          <w:szCs w:val="24"/>
          <w:lang w:val="lv-LV"/>
        </w:rPr>
        <w:t xml:space="preserve"> „Infrastruktūra un pakalpojumi” mērķu un rezultātu sasniegšana</w:t>
      </w:r>
      <w:bookmarkEnd w:id="24"/>
    </w:p>
    <w:p w14:paraId="6C9BBB5D" w14:textId="096C42C9" w:rsidR="00F03F30" w:rsidRPr="00852E0C" w:rsidRDefault="00F03F30" w:rsidP="00852E0C">
      <w:pPr>
        <w:spacing w:line="276" w:lineRule="auto"/>
        <w:rPr>
          <w:bCs/>
          <w:color w:val="000000" w:themeColor="text1"/>
          <w:szCs w:val="24"/>
        </w:rPr>
      </w:pPr>
      <w:r w:rsidRPr="00852E0C">
        <w:rPr>
          <w:bCs/>
          <w:color w:val="000000" w:themeColor="text1"/>
          <w:szCs w:val="24"/>
        </w:rPr>
        <w:t>Liela daļa DP projektu (aptuveni 58%)</w:t>
      </w:r>
      <w:r w:rsidR="000E0633">
        <w:rPr>
          <w:bCs/>
          <w:color w:val="000000" w:themeColor="text1"/>
          <w:szCs w:val="24"/>
        </w:rPr>
        <w:t xml:space="preserve"> </w:t>
      </w:r>
      <w:r w:rsidRPr="00852E0C">
        <w:rPr>
          <w:bCs/>
          <w:color w:val="000000" w:themeColor="text1"/>
          <w:szCs w:val="24"/>
        </w:rPr>
        <w:t xml:space="preserve">joprojām ir ieviešanas stadijā, turklāt pārskata periodā joprojām turpinājās jaunu projektu apstiprināšana un līgumu slēgšana. Kopumā pārskata periodā DP ietvaros progress par apstiprinātajiem projektiem </w:t>
      </w:r>
      <w:r w:rsidR="00352B55">
        <w:rPr>
          <w:bCs/>
          <w:color w:val="000000" w:themeColor="text1"/>
          <w:szCs w:val="24"/>
        </w:rPr>
        <w:t xml:space="preserve">ir vērojams neliels – </w:t>
      </w:r>
      <w:r w:rsidRPr="00852E0C">
        <w:rPr>
          <w:bCs/>
          <w:color w:val="000000" w:themeColor="text1"/>
          <w:szCs w:val="24"/>
        </w:rPr>
        <w:t xml:space="preserve">1,7% no pieejamā publiskā attiecināmā finansējuma, savukārt progress par noslēgtajiem līgumiem ir 2,5% un lielākais progress ir vērojams tādās nozarēs kā </w:t>
      </w:r>
      <w:r w:rsidR="007B0B2F" w:rsidRPr="00852E0C">
        <w:rPr>
          <w:bCs/>
          <w:color w:val="000000" w:themeColor="text1"/>
          <w:szCs w:val="24"/>
        </w:rPr>
        <w:t xml:space="preserve">kvalitatīvas vides un ekonomiskās aktivitātes nodrošināšana, </w:t>
      </w:r>
      <w:proofErr w:type="spellStart"/>
      <w:r w:rsidR="007B0B2F" w:rsidRPr="00852E0C">
        <w:rPr>
          <w:bCs/>
          <w:color w:val="000000" w:themeColor="text1"/>
          <w:szCs w:val="24"/>
        </w:rPr>
        <w:t>policentriskā</w:t>
      </w:r>
      <w:proofErr w:type="spellEnd"/>
      <w:r w:rsidR="007B0B2F" w:rsidRPr="00852E0C">
        <w:rPr>
          <w:bCs/>
          <w:color w:val="000000" w:themeColor="text1"/>
          <w:szCs w:val="24"/>
        </w:rPr>
        <w:t xml:space="preserve"> attīstība, Eiropas nozīmes transporta tīkla un ilgtspējīga transporta attīstība, un videi draudzības enerģētikas veicināšana. Lēnāka ieviešana notiek infrastruktūras cilvēku kapitāla nostiprināšanas un teritoriju pieejamības un sasniedzamības veicināšanas jomās</w:t>
      </w:r>
      <w:r w:rsidRPr="00852E0C">
        <w:rPr>
          <w:bCs/>
          <w:color w:val="000000" w:themeColor="text1"/>
          <w:szCs w:val="24"/>
        </w:rPr>
        <w:t xml:space="preserve">. Attiecībā uz veiktajiem maksājumiem finansējuma saņēmējiem DP ietvaros, salīdzinājumā ar 2012.gada 4.ceturksni, progress (2,3%) ir bijis lēnāks, ņemot vērā, ka lielākie maksājumi tiek veikti gada beigās. Lielākie maksājumi veikti tādās jomās, kā reģionālo autoceļu maršrutu un </w:t>
      </w:r>
      <w:proofErr w:type="spellStart"/>
      <w:r w:rsidRPr="00852E0C">
        <w:rPr>
          <w:bCs/>
          <w:color w:val="000000" w:themeColor="text1"/>
          <w:szCs w:val="24"/>
        </w:rPr>
        <w:t>tranzītielu</w:t>
      </w:r>
      <w:proofErr w:type="spellEnd"/>
      <w:r w:rsidRPr="00852E0C">
        <w:rPr>
          <w:bCs/>
          <w:color w:val="000000" w:themeColor="text1"/>
          <w:szCs w:val="24"/>
        </w:rPr>
        <w:t xml:space="preserve"> sakārtošana, kā arī ūdenssaimniecības infrastruktūras attīstība apdzīvotās vietās ar iedzīvotāju skaitu līdz 2000.</w:t>
      </w:r>
    </w:p>
    <w:p w14:paraId="2D6FCEBB" w14:textId="7E630567" w:rsidR="00F03F30" w:rsidRPr="00852E0C" w:rsidRDefault="00F03F30" w:rsidP="00852E0C">
      <w:pPr>
        <w:spacing w:line="276" w:lineRule="auto"/>
        <w:rPr>
          <w:color w:val="000000" w:themeColor="text1"/>
          <w:szCs w:val="24"/>
          <w:lang w:eastAsia="lv-LV"/>
        </w:rPr>
      </w:pPr>
      <w:r w:rsidRPr="00852E0C">
        <w:rPr>
          <w:color w:val="000000" w:themeColor="text1"/>
          <w:szCs w:val="24"/>
        </w:rPr>
        <w:t xml:space="preserve">Informāciju par DP ietvaros veiktajām un plānotajām projektu iesniegumu atlasēm skatīt </w:t>
      </w:r>
      <w:hyperlink r:id="rId37" w:history="1">
        <w:r w:rsidRPr="00852E0C">
          <w:rPr>
            <w:rStyle w:val="Hyperlink"/>
            <w:rFonts w:ascii="Times New Roman" w:hAnsi="Times New Roman" w:cs="Times New Roman"/>
            <w:color w:val="000000" w:themeColor="text1"/>
            <w:sz w:val="24"/>
            <w:szCs w:val="24"/>
          </w:rPr>
          <w:t>ES fondu interneta vietnē</w:t>
        </w:r>
      </w:hyperlink>
      <w:r w:rsidRPr="00852E0C">
        <w:rPr>
          <w:rStyle w:val="FootnoteReference"/>
          <w:color w:val="000000" w:themeColor="text1"/>
          <w:szCs w:val="24"/>
        </w:rPr>
        <w:footnoteReference w:id="25"/>
      </w:r>
      <w:r w:rsidRPr="00852E0C">
        <w:rPr>
          <w:color w:val="000000" w:themeColor="text1"/>
          <w:szCs w:val="24"/>
        </w:rPr>
        <w:t xml:space="preserve">, bet detalizētāku informāciju par veiktajām finanšu investīcijām un aktivitāšu ieviešanu skatīt </w:t>
      </w:r>
      <w:r w:rsidRPr="00852E0C">
        <w:rPr>
          <w:color w:val="000000" w:themeColor="text1"/>
          <w:szCs w:val="24"/>
          <w:u w:val="single"/>
        </w:rPr>
        <w:t>grafikā Nr.1</w:t>
      </w:r>
      <w:r w:rsidR="00BC0DCD" w:rsidRPr="00852E0C">
        <w:rPr>
          <w:color w:val="000000" w:themeColor="text1"/>
          <w:szCs w:val="24"/>
          <w:u w:val="single"/>
        </w:rPr>
        <w:t>1</w:t>
      </w:r>
      <w:r w:rsidRPr="00852E0C">
        <w:rPr>
          <w:color w:val="000000" w:themeColor="text1"/>
          <w:szCs w:val="24"/>
          <w:u w:val="single"/>
        </w:rPr>
        <w:t xml:space="preserve"> un pielikumā Nr.1</w:t>
      </w:r>
      <w:r w:rsidRPr="00852E0C">
        <w:rPr>
          <w:color w:val="000000" w:themeColor="text1"/>
          <w:szCs w:val="24"/>
        </w:rPr>
        <w:t xml:space="preserve">, </w:t>
      </w:r>
      <w:r w:rsidRPr="00852E0C">
        <w:rPr>
          <w:color w:val="000000" w:themeColor="text1"/>
          <w:szCs w:val="24"/>
          <w:u w:val="single"/>
        </w:rPr>
        <w:t>ES fondu interneta vietnē</w:t>
      </w:r>
      <w:r w:rsidRPr="00852E0C">
        <w:rPr>
          <w:rStyle w:val="FootnoteReference"/>
          <w:color w:val="000000" w:themeColor="text1"/>
          <w:szCs w:val="24"/>
          <w:u w:val="single"/>
        </w:rPr>
        <w:footnoteReference w:id="26"/>
      </w:r>
      <w:r w:rsidRPr="00852E0C">
        <w:rPr>
          <w:color w:val="000000" w:themeColor="text1"/>
          <w:szCs w:val="24"/>
          <w:u w:val="single"/>
        </w:rPr>
        <w:t>,</w:t>
      </w:r>
      <w:r w:rsidRPr="00852E0C">
        <w:rPr>
          <w:color w:val="000000" w:themeColor="text1"/>
          <w:szCs w:val="24"/>
        </w:rPr>
        <w:t xml:space="preserve"> kā arī turpmāk tekstā sniegta informācija par galvenajām problēmām un sasniegumiem. Informāciju par lielajiem projektiem skatīt </w:t>
      </w:r>
      <w:r w:rsidR="00BC0DCD" w:rsidRPr="00852E0C">
        <w:rPr>
          <w:color w:val="000000" w:themeColor="text1"/>
          <w:szCs w:val="24"/>
          <w:u w:val="single"/>
        </w:rPr>
        <w:t>sadaļā 1.3.</w:t>
      </w:r>
      <w:r w:rsidRPr="00852E0C">
        <w:rPr>
          <w:color w:val="000000" w:themeColor="text1"/>
          <w:szCs w:val="24"/>
          <w:u w:val="single"/>
        </w:rPr>
        <w:t xml:space="preserve"> „Lielo projektu ieviešana</w:t>
      </w:r>
      <w:r w:rsidRPr="00852E0C">
        <w:rPr>
          <w:color w:val="000000" w:themeColor="text1"/>
          <w:szCs w:val="24"/>
        </w:rPr>
        <w:t>”</w:t>
      </w:r>
    </w:p>
    <w:p w14:paraId="36873F35" w14:textId="77777777" w:rsidR="00BE0F06" w:rsidRDefault="00BE0F06">
      <w:pPr>
        <w:rPr>
          <w:color w:val="000000" w:themeColor="text1"/>
          <w:szCs w:val="24"/>
        </w:rPr>
      </w:pPr>
      <w:r>
        <w:rPr>
          <w:color w:val="000000" w:themeColor="text1"/>
          <w:szCs w:val="24"/>
        </w:rPr>
        <w:br w:type="page"/>
      </w:r>
    </w:p>
    <w:p w14:paraId="355A9DA6" w14:textId="614BDDC2" w:rsidR="00F03F30" w:rsidRPr="00852E0C" w:rsidRDefault="00F03F30" w:rsidP="00852E0C">
      <w:pPr>
        <w:tabs>
          <w:tab w:val="left" w:pos="5387"/>
        </w:tabs>
        <w:spacing w:line="276" w:lineRule="auto"/>
        <w:rPr>
          <w:color w:val="000000" w:themeColor="text1"/>
          <w:szCs w:val="24"/>
        </w:rPr>
      </w:pPr>
      <w:r w:rsidRPr="00852E0C">
        <w:rPr>
          <w:color w:val="000000" w:themeColor="text1"/>
          <w:szCs w:val="24"/>
        </w:rPr>
        <w:lastRenderedPageBreak/>
        <w:t>Grafiks Nr.1</w:t>
      </w:r>
      <w:r w:rsidR="004B733A" w:rsidRPr="00852E0C">
        <w:rPr>
          <w:color w:val="000000" w:themeColor="text1"/>
          <w:szCs w:val="24"/>
        </w:rPr>
        <w:t>1</w:t>
      </w:r>
      <w:r w:rsidRPr="00852E0C">
        <w:rPr>
          <w:i/>
          <w:color w:val="000000" w:themeColor="text1"/>
          <w:szCs w:val="24"/>
        </w:rPr>
        <w:t xml:space="preserve"> „</w:t>
      </w:r>
      <w:r w:rsidRPr="00852E0C">
        <w:rPr>
          <w:i/>
          <w:iCs/>
          <w:color w:val="000000" w:themeColor="text1"/>
          <w:szCs w:val="24"/>
          <w:lang w:eastAsia="lv-LV"/>
        </w:rPr>
        <w:t xml:space="preserve">ES fondu finanšu investīcijas </w:t>
      </w:r>
      <w:r w:rsidRPr="00852E0C">
        <w:rPr>
          <w:rFonts w:eastAsia="EUAlbertina-Bold-Identity-H"/>
          <w:i/>
          <w:color w:val="000000" w:themeColor="text1"/>
          <w:szCs w:val="24"/>
        </w:rPr>
        <w:t xml:space="preserve">līdz </w:t>
      </w:r>
      <w:r w:rsidRPr="00852E0C">
        <w:rPr>
          <w:i/>
          <w:color w:val="000000" w:themeColor="text1"/>
          <w:szCs w:val="24"/>
        </w:rPr>
        <w:t xml:space="preserve">2013.gada 31.martam DP „Infrastruktūra un pakalpojumi”; Publiskais finansējums, milj. </w:t>
      </w:r>
      <w:r w:rsidRPr="00852E0C">
        <w:rPr>
          <w:rFonts w:eastAsia="EUAlbertina-Bold-Identity-H"/>
          <w:i/>
          <w:color w:val="000000" w:themeColor="text1"/>
          <w:szCs w:val="24"/>
        </w:rPr>
        <w:t>latu</w:t>
      </w:r>
      <w:r w:rsidRPr="00852E0C">
        <w:rPr>
          <w:i/>
          <w:color w:val="000000" w:themeColor="text1"/>
          <w:szCs w:val="24"/>
        </w:rPr>
        <w:t>, (% no pieejamā publiskā finansējuma); progress pret datiem līdz 2012.gada 31.decembrim, %.”</w:t>
      </w:r>
    </w:p>
    <w:p w14:paraId="705EA83E" w14:textId="77777777" w:rsidR="00F03F30" w:rsidRPr="00852E0C" w:rsidRDefault="00F03F30" w:rsidP="00852E0C">
      <w:pPr>
        <w:spacing w:line="276" w:lineRule="auto"/>
        <w:rPr>
          <w:b/>
          <w:color w:val="000000" w:themeColor="text1"/>
          <w:szCs w:val="24"/>
          <w:highlight w:val="yellow"/>
          <w:lang w:eastAsia="lv-LV"/>
        </w:rPr>
      </w:pPr>
      <w:r w:rsidRPr="00852E0C">
        <w:rPr>
          <w:noProof/>
          <w:color w:val="000000" w:themeColor="text1"/>
          <w:szCs w:val="24"/>
          <w:lang w:eastAsia="lv-LV"/>
        </w:rPr>
        <w:drawing>
          <wp:inline distT="0" distB="0" distL="0" distR="0" wp14:anchorId="2D16D49F" wp14:editId="5FE79A5F">
            <wp:extent cx="6214947" cy="667586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A69428A" w14:textId="77777777" w:rsidR="00F03F30" w:rsidRPr="00852E0C" w:rsidRDefault="00F03F30" w:rsidP="00852E0C">
      <w:pPr>
        <w:spacing w:line="276" w:lineRule="auto"/>
        <w:rPr>
          <w:bCs/>
          <w:color w:val="000000" w:themeColor="text1"/>
          <w:szCs w:val="24"/>
        </w:rPr>
      </w:pPr>
      <w:r w:rsidRPr="00852E0C">
        <w:rPr>
          <w:bCs/>
          <w:color w:val="000000" w:themeColor="text1"/>
          <w:szCs w:val="24"/>
        </w:rPr>
        <w:t xml:space="preserve">Projektu ieviešanu, galvenokārt, kavē problēmas saistītas ar iepirkumiem (sūdzības, problēmas iepirkumu procedūru norisēs), konstatētās neatbilstības, tai skaitā aizdomas par krāpnieciskām darbībām, sadārdzinājumi un projektu termiņu pagarinājumi. </w:t>
      </w:r>
    </w:p>
    <w:p w14:paraId="1F206AD5" w14:textId="4E6E2466" w:rsidR="00A27F74" w:rsidRPr="00852E0C" w:rsidRDefault="00A27F74" w:rsidP="00852E0C">
      <w:pPr>
        <w:spacing w:line="276" w:lineRule="auto"/>
        <w:rPr>
          <w:rFonts w:eastAsia="Calibri"/>
          <w:color w:val="000000" w:themeColor="text1"/>
          <w:szCs w:val="24"/>
          <w:lang w:eastAsia="lv-LV"/>
        </w:rPr>
      </w:pPr>
      <w:r w:rsidRPr="00852E0C">
        <w:rPr>
          <w:rFonts w:eastAsia="Calibri"/>
          <w:color w:val="000000" w:themeColor="text1"/>
          <w:szCs w:val="24"/>
          <w:lang w:eastAsia="lv-LV"/>
        </w:rPr>
        <w:t>Aktivitātes, kura vērsta uz infrastruktūras pilnveidošanu sociālās rehabilitācijas pakalpojumu sniegšanai personām ar garīga rakstura traucējumiem, projektā, ko īsteno Valsts sociālās aprūpes centrs „Rīga”, rekonstruējot filiāli „</w:t>
      </w:r>
      <w:proofErr w:type="spellStart"/>
      <w:r w:rsidRPr="00852E0C">
        <w:rPr>
          <w:rFonts w:eastAsia="Calibri"/>
          <w:color w:val="000000" w:themeColor="text1"/>
          <w:szCs w:val="24"/>
          <w:lang w:eastAsia="lv-LV"/>
        </w:rPr>
        <w:t>Ezerkrasti</w:t>
      </w:r>
      <w:proofErr w:type="spellEnd"/>
      <w:r w:rsidRPr="00852E0C">
        <w:rPr>
          <w:rFonts w:eastAsia="Calibri"/>
          <w:color w:val="000000" w:themeColor="text1"/>
          <w:szCs w:val="24"/>
          <w:lang w:eastAsia="lv-LV"/>
        </w:rPr>
        <w:t xml:space="preserve">”, LM konstatēja </w:t>
      </w:r>
      <w:r w:rsidRPr="00852E0C">
        <w:rPr>
          <w:rFonts w:eastAsia="Calibri"/>
          <w:color w:val="000000" w:themeColor="text1"/>
          <w:szCs w:val="24"/>
          <w:lang w:eastAsia="lv-LV"/>
        </w:rPr>
        <w:lastRenderedPageBreak/>
        <w:t xml:space="preserve">tādus apstākļus, kas liecināja par iespējamām krāpnieciskām darbībām būvnieka un būvuzrauga rīcībā. Faktiski aizdomas par krāpšanu neapstiprinājās, ņemot vērā </w:t>
      </w:r>
      <w:r w:rsidRPr="00852E0C">
        <w:rPr>
          <w:rFonts w:eastAsia="Calibri"/>
          <w:bCs/>
          <w:color w:val="000000" w:themeColor="text1"/>
          <w:szCs w:val="24"/>
        </w:rPr>
        <w:t>Valsts policijas Rīgas reģiona pārvades Kriminālpolicijas pārvaldes 3.biroja</w:t>
      </w:r>
      <w:r w:rsidRPr="00852E0C">
        <w:rPr>
          <w:rFonts w:eastAsia="Calibri"/>
          <w:color w:val="000000" w:themeColor="text1"/>
          <w:szCs w:val="24"/>
          <w:lang w:eastAsia="lv-LV"/>
        </w:rPr>
        <w:t xml:space="preserve"> situācijas izvērtējumu un atteikumu ierosināt kriminālprocesu, un ir konstatēta nerūpīga rīcība projekta vadībā, t.sk. neatbilstoši veik</w:t>
      </w:r>
      <w:r w:rsidR="00D23E7F" w:rsidRPr="00852E0C">
        <w:rPr>
          <w:rFonts w:eastAsia="Calibri"/>
          <w:color w:val="000000" w:themeColor="text1"/>
          <w:szCs w:val="24"/>
          <w:lang w:eastAsia="lv-LV"/>
        </w:rPr>
        <w:t xml:space="preserve">tie izdevumi apmēram 340 tūkst. latu </w:t>
      </w:r>
      <w:r w:rsidRPr="00852E0C">
        <w:rPr>
          <w:rFonts w:eastAsia="Calibri"/>
          <w:color w:val="000000" w:themeColor="text1"/>
          <w:szCs w:val="24"/>
          <w:lang w:eastAsia="lv-LV"/>
        </w:rPr>
        <w:t xml:space="preserve">apmērā. Līdz ar to FM sadarbībā ar LM risinās jautājumu par nepieciešamo papildu finansējumu </w:t>
      </w:r>
      <w:r w:rsidR="00D23E7F" w:rsidRPr="00852E0C">
        <w:rPr>
          <w:rFonts w:eastAsia="Calibri"/>
          <w:color w:val="000000" w:themeColor="text1"/>
          <w:szCs w:val="24"/>
          <w:lang w:eastAsia="lv-LV"/>
        </w:rPr>
        <w:t xml:space="preserve">apmēram </w:t>
      </w:r>
      <w:r w:rsidRPr="00852E0C">
        <w:rPr>
          <w:rFonts w:eastAsia="Calibri"/>
          <w:color w:val="000000" w:themeColor="text1"/>
          <w:szCs w:val="24"/>
          <w:lang w:eastAsia="lv-LV"/>
        </w:rPr>
        <w:t xml:space="preserve">815 tūkst. </w:t>
      </w:r>
      <w:r w:rsidR="00D23E7F" w:rsidRPr="00852E0C">
        <w:rPr>
          <w:rFonts w:eastAsia="Calibri"/>
          <w:color w:val="000000" w:themeColor="text1"/>
          <w:szCs w:val="24"/>
          <w:lang w:eastAsia="lv-LV"/>
        </w:rPr>
        <w:t>latu</w:t>
      </w:r>
      <w:r w:rsidRPr="00852E0C">
        <w:rPr>
          <w:rFonts w:eastAsia="Calibri"/>
          <w:color w:val="000000" w:themeColor="text1"/>
          <w:szCs w:val="24"/>
          <w:lang w:eastAsia="lv-LV"/>
        </w:rPr>
        <w:t xml:space="preserve"> apmērā piesaisti projekta pabeigšanai, t.sk. sadārdzinājuma segšanai un kritiski nepieci</w:t>
      </w:r>
      <w:r w:rsidR="00D23E7F" w:rsidRPr="00852E0C">
        <w:rPr>
          <w:rFonts w:eastAsia="Calibri"/>
          <w:color w:val="000000" w:themeColor="text1"/>
          <w:szCs w:val="24"/>
          <w:lang w:eastAsia="lv-LV"/>
        </w:rPr>
        <w:t>ešamo papildu darbu veikšanai (apmēram</w:t>
      </w:r>
      <w:r w:rsidRPr="00852E0C">
        <w:rPr>
          <w:rFonts w:eastAsia="Calibri"/>
          <w:color w:val="000000" w:themeColor="text1"/>
          <w:szCs w:val="24"/>
          <w:lang w:eastAsia="lv-LV"/>
        </w:rPr>
        <w:t xml:space="preserve"> 475 tūkst.</w:t>
      </w:r>
      <w:r w:rsidR="00D23E7F" w:rsidRPr="00852E0C">
        <w:rPr>
          <w:rFonts w:eastAsia="Calibri"/>
          <w:color w:val="000000" w:themeColor="text1"/>
          <w:szCs w:val="24"/>
          <w:lang w:eastAsia="lv-LV"/>
        </w:rPr>
        <w:t xml:space="preserve"> latu</w:t>
      </w:r>
      <w:r w:rsidRPr="00852E0C">
        <w:rPr>
          <w:rFonts w:eastAsia="Calibri"/>
          <w:color w:val="000000" w:themeColor="text1"/>
          <w:szCs w:val="24"/>
          <w:lang w:eastAsia="lv-LV"/>
        </w:rPr>
        <w:t xml:space="preserve">), kā arī sniegs priekšlikumus par iespējamām valsts budžeta </w:t>
      </w:r>
      <w:proofErr w:type="spellStart"/>
      <w:r w:rsidRPr="00852E0C">
        <w:rPr>
          <w:rFonts w:eastAsia="Calibri"/>
          <w:color w:val="000000" w:themeColor="text1"/>
          <w:szCs w:val="24"/>
          <w:lang w:eastAsia="lv-LV"/>
        </w:rPr>
        <w:t>virssaistību</w:t>
      </w:r>
      <w:proofErr w:type="spellEnd"/>
      <w:r w:rsidRPr="00852E0C">
        <w:rPr>
          <w:rFonts w:eastAsia="Calibri"/>
          <w:color w:val="000000" w:themeColor="text1"/>
          <w:szCs w:val="24"/>
          <w:lang w:eastAsia="lv-LV"/>
        </w:rPr>
        <w:t xml:space="preserve"> pārdalēm no aktivitātes, kur ir </w:t>
      </w:r>
      <w:proofErr w:type="spellStart"/>
      <w:r w:rsidRPr="00852E0C">
        <w:rPr>
          <w:rFonts w:eastAsia="Calibri"/>
          <w:color w:val="000000" w:themeColor="text1"/>
          <w:szCs w:val="24"/>
          <w:lang w:eastAsia="lv-LV"/>
        </w:rPr>
        <w:t>virssaistību</w:t>
      </w:r>
      <w:proofErr w:type="spellEnd"/>
      <w:r w:rsidRPr="00852E0C">
        <w:rPr>
          <w:rFonts w:eastAsia="Calibri"/>
          <w:color w:val="000000" w:themeColor="text1"/>
          <w:szCs w:val="24"/>
          <w:lang w:eastAsia="lv-LV"/>
        </w:rPr>
        <w:t xml:space="preserve"> neizpildes saskaņā ar noteiktajiem</w:t>
      </w:r>
      <w:r w:rsidR="000E0633">
        <w:rPr>
          <w:rFonts w:eastAsia="Calibri"/>
          <w:color w:val="000000" w:themeColor="text1"/>
          <w:szCs w:val="24"/>
          <w:lang w:eastAsia="lv-LV"/>
        </w:rPr>
        <w:t xml:space="preserve"> </w:t>
      </w:r>
      <w:r w:rsidRPr="00852E0C">
        <w:rPr>
          <w:rFonts w:eastAsia="Calibri"/>
          <w:color w:val="000000" w:themeColor="text1"/>
          <w:szCs w:val="24"/>
          <w:lang w:eastAsia="lv-LV"/>
        </w:rPr>
        <w:t>kritērijiem.</w:t>
      </w:r>
    </w:p>
    <w:p w14:paraId="39AF2341" w14:textId="461000E1" w:rsidR="00A27F74" w:rsidRPr="00852E0C" w:rsidRDefault="00A27F74" w:rsidP="00852E0C">
      <w:pPr>
        <w:spacing w:line="276" w:lineRule="auto"/>
        <w:rPr>
          <w:rFonts w:eastAsia="Calibri"/>
          <w:color w:val="000000" w:themeColor="text1"/>
          <w:szCs w:val="24"/>
        </w:rPr>
      </w:pPr>
      <w:r w:rsidRPr="00852E0C">
        <w:rPr>
          <w:rFonts w:eastAsia="Calibri"/>
          <w:bCs/>
          <w:color w:val="000000" w:themeColor="text1"/>
          <w:szCs w:val="24"/>
        </w:rPr>
        <w:t xml:space="preserve">Ņemot vērā, ka projekta īstenošanas termiņš ir 2013.gada 1.jūlijs un projekta pabeigšana šajā termiņā nav iespējama, tad, lai nodrošinātu projekta nepārtrauktību līdz lēmumam par papildu finansējuma pieejamību un attiecīgiem grozījumiem </w:t>
      </w:r>
      <w:proofErr w:type="spellStart"/>
      <w:r w:rsidRPr="00852E0C">
        <w:rPr>
          <w:rFonts w:eastAsia="Calibri"/>
          <w:bCs/>
          <w:color w:val="000000" w:themeColor="text1"/>
          <w:szCs w:val="24"/>
        </w:rPr>
        <w:t>apakšaktivitātes</w:t>
      </w:r>
      <w:proofErr w:type="spellEnd"/>
      <w:r w:rsidRPr="00852E0C">
        <w:rPr>
          <w:rFonts w:eastAsia="Calibri"/>
          <w:bCs/>
          <w:color w:val="000000" w:themeColor="text1"/>
          <w:szCs w:val="24"/>
        </w:rPr>
        <w:t xml:space="preserve"> īstenoša</w:t>
      </w:r>
      <w:r w:rsidR="00D23E7F" w:rsidRPr="00852E0C">
        <w:rPr>
          <w:rFonts w:eastAsia="Calibri"/>
          <w:bCs/>
          <w:color w:val="000000" w:themeColor="text1"/>
          <w:szCs w:val="24"/>
        </w:rPr>
        <w:t>nas MK noteikumos, LM plāno 2013.gada</w:t>
      </w:r>
      <w:r w:rsidRPr="00852E0C">
        <w:rPr>
          <w:rFonts w:eastAsia="Calibri"/>
          <w:bCs/>
          <w:color w:val="000000" w:themeColor="text1"/>
          <w:szCs w:val="24"/>
        </w:rPr>
        <w:t xml:space="preserve"> maijā – jūnijā atbalstīt VSAC „Rīga” ierosināto projekta termiņa pagarinājumu, ņemot vērā </w:t>
      </w:r>
      <w:r w:rsidRPr="00852E0C">
        <w:rPr>
          <w:rFonts w:eastAsia="Calibri"/>
          <w:color w:val="000000" w:themeColor="text1"/>
          <w:szCs w:val="24"/>
          <w:lang w:eastAsia="lv-LV"/>
        </w:rPr>
        <w:t>būvnieka maksātnespēju un iepirkuma līgumsaistību neizpildi</w:t>
      </w:r>
      <w:r w:rsidRPr="00852E0C">
        <w:rPr>
          <w:rFonts w:eastAsia="Calibri"/>
          <w:bCs/>
          <w:color w:val="000000" w:themeColor="text1"/>
          <w:szCs w:val="24"/>
          <w:vertAlign w:val="superscript"/>
        </w:rPr>
        <w:t xml:space="preserve"> </w:t>
      </w:r>
      <w:r w:rsidRPr="00852E0C">
        <w:rPr>
          <w:rFonts w:eastAsia="Calibri"/>
          <w:bCs/>
          <w:color w:val="000000" w:themeColor="text1"/>
          <w:szCs w:val="24"/>
          <w:vertAlign w:val="superscript"/>
        </w:rPr>
        <w:footnoteReference w:id="27"/>
      </w:r>
      <w:r w:rsidRPr="00852E0C">
        <w:rPr>
          <w:rFonts w:eastAsia="Calibri"/>
          <w:bCs/>
          <w:color w:val="000000" w:themeColor="text1"/>
          <w:szCs w:val="24"/>
        </w:rPr>
        <w:t>.</w:t>
      </w:r>
    </w:p>
    <w:p w14:paraId="03F95A7B" w14:textId="340FBE2F" w:rsidR="00F03F30" w:rsidRPr="00852E0C" w:rsidRDefault="00F03F30" w:rsidP="00852E0C">
      <w:pPr>
        <w:spacing w:line="276" w:lineRule="auto"/>
        <w:rPr>
          <w:bCs/>
          <w:color w:val="000000" w:themeColor="text1"/>
          <w:szCs w:val="24"/>
        </w:rPr>
      </w:pPr>
      <w:r w:rsidRPr="00852E0C">
        <w:rPr>
          <w:bCs/>
          <w:color w:val="000000" w:themeColor="text1"/>
          <w:szCs w:val="24"/>
        </w:rPr>
        <w:t>Krāpniecisku gadījumu lieta, ko izmeklē Korupcijas novēršanas un apkarošanas birojs, ir konstatēta arī SIA „Gādība” rīcībā par Valsts ieņēmumu dienesta izziņas par nodokļu neesamību viltošanu, kā rezultātā SIA „Gādība” uzvarēja vairākos Daugavpils pilsētas un novada domes, Līksnas, Kalkūnes un Demenes pagasta pārvaldes un VARAM rīkotajos publiskajos iepirkumos (14 iepirkumi), kas līdzfinansēti no ERAF un ES lauksaimniecības fonda lauku attīstībai. Finansējuma saņēmēji lūdz radušos zaudējumus kompensēt no valsts budžeta. FM iestādēm sniegusi skaidrojumu, ka turpmāko rīcību attiecībā uz jautājumu par zaudējumu kompensēšanu varēs izvērtēt tikai pēc rūpīga izmeklējuma rezultātu saņemšanas un izvērtēšanas, vai saņēmēji darījuši visu iespējamo,</w:t>
      </w:r>
      <w:r w:rsidR="000E0633">
        <w:rPr>
          <w:bCs/>
          <w:color w:val="000000" w:themeColor="text1"/>
          <w:szCs w:val="24"/>
        </w:rPr>
        <w:t xml:space="preserve"> </w:t>
      </w:r>
      <w:r w:rsidRPr="00852E0C">
        <w:rPr>
          <w:bCs/>
          <w:color w:val="000000" w:themeColor="text1"/>
          <w:szCs w:val="24"/>
        </w:rPr>
        <w:t xml:space="preserve"> lai atmaksātu / piedzītu no SIA „ Gādība”</w:t>
      </w:r>
      <w:r w:rsidR="000E0633">
        <w:rPr>
          <w:bCs/>
          <w:color w:val="000000" w:themeColor="text1"/>
          <w:szCs w:val="24"/>
        </w:rPr>
        <w:t xml:space="preserve"> </w:t>
      </w:r>
      <w:r w:rsidRPr="00852E0C">
        <w:rPr>
          <w:bCs/>
          <w:color w:val="000000" w:themeColor="text1"/>
          <w:szCs w:val="24"/>
        </w:rPr>
        <w:t>pēc iespējas pilnā apmērā zaudējumus. Potenciāli atbalsts no valsts puses varētu tikt sniegts ar Valsts kases aizdevumu projektu īstenošanai atmaksas termiņu pagarināšanu. Jautājums vēl nav atrisināts, nepieciešamības gadījumā priekšlikumi valdības lēmumiem tiks sniegti turpmākos pārskata periodos.</w:t>
      </w:r>
    </w:p>
    <w:p w14:paraId="1010C733" w14:textId="77777777" w:rsidR="00F03F30" w:rsidRPr="00852E0C" w:rsidRDefault="00F03F30" w:rsidP="00852E0C">
      <w:pPr>
        <w:spacing w:line="276" w:lineRule="auto"/>
        <w:rPr>
          <w:bCs/>
          <w:color w:val="000000" w:themeColor="text1"/>
          <w:szCs w:val="24"/>
        </w:rPr>
      </w:pPr>
      <w:r w:rsidRPr="00852E0C">
        <w:rPr>
          <w:bCs/>
          <w:color w:val="000000" w:themeColor="text1"/>
          <w:szCs w:val="24"/>
        </w:rPr>
        <w:t>Pārskata periodā no Liepājas iedzīvotājiem ir saņemtas arī vairākas sūdzības par Liepājas daudzdzīvokļu māju siltināšanas projektiem, kurās tiek informēts gan par krāpnieciskām darbībām projektu īstenotāju rīcībā, gan par dažādiem būvniecības pārkāpumiem un nama apsaimniekotāju patvaļīgu rīcību. Šajos konkrētajos gadījumos tiek veikta rūpīga situācijas izvērtēšana, t.sk. vienā gadījumā RI devās kopā ar finansējuma saņēmēju pārbaudē projekta īstenošanas vietā. Informācija par krāpnieciskām darbībām nav apstiprinājusies. Maksājumi tiks veikti pēc konstatēto būvniecības un citu trūkumu novēršanas. Gadījumus izmeklē arī Korupcijas novēršanas un apkarošanas birojs.</w:t>
      </w:r>
    </w:p>
    <w:p w14:paraId="6EB6B0F0" w14:textId="2F8AABC8" w:rsidR="00F03F30" w:rsidRPr="00852E0C" w:rsidRDefault="00F03F30" w:rsidP="00852E0C">
      <w:pPr>
        <w:spacing w:line="276" w:lineRule="auto"/>
        <w:rPr>
          <w:bCs/>
          <w:color w:val="000000" w:themeColor="text1"/>
          <w:szCs w:val="24"/>
        </w:rPr>
      </w:pPr>
      <w:r w:rsidRPr="00852E0C">
        <w:rPr>
          <w:bCs/>
          <w:color w:val="000000" w:themeColor="text1"/>
          <w:szCs w:val="24"/>
        </w:rPr>
        <w:lastRenderedPageBreak/>
        <w:t>Katru ceturksni arvien vairāk projektu tiek arī pabeigti. Kopā pārskata periodā DP ir pabeigti 12</w:t>
      </w:r>
      <w:r w:rsidR="007B0B2F" w:rsidRPr="00852E0C">
        <w:rPr>
          <w:bCs/>
          <w:color w:val="000000" w:themeColor="text1"/>
          <w:szCs w:val="24"/>
        </w:rPr>
        <w:t>7</w:t>
      </w:r>
      <w:r w:rsidRPr="00852E0C">
        <w:rPr>
          <w:bCs/>
          <w:color w:val="000000" w:themeColor="text1"/>
          <w:szCs w:val="24"/>
        </w:rPr>
        <w:t xml:space="preserve"> projekti (5% no DP atbalstītajiem projektiem). Lielākais pabeigto projektu ceturkšņa progress bijis informāciju un komunikāciju tehnoloģiju nozarē – </w:t>
      </w:r>
      <w:proofErr w:type="spellStart"/>
      <w:r w:rsidRPr="00852E0C">
        <w:rPr>
          <w:bCs/>
          <w:color w:val="000000" w:themeColor="text1"/>
          <w:szCs w:val="24"/>
        </w:rPr>
        <w:t>apakšaktivitātē</w:t>
      </w:r>
      <w:proofErr w:type="spellEnd"/>
      <w:r w:rsidRPr="00852E0C">
        <w:rPr>
          <w:bCs/>
          <w:color w:val="000000" w:themeColor="text1"/>
          <w:szCs w:val="24"/>
        </w:rPr>
        <w:t xml:space="preserve"> „Izglītības iestāžu informatizācija”, (vairāk kā 70% – 4</w:t>
      </w:r>
      <w:r w:rsidR="007B0B2F" w:rsidRPr="00852E0C">
        <w:rPr>
          <w:bCs/>
          <w:color w:val="000000" w:themeColor="text1"/>
          <w:szCs w:val="24"/>
        </w:rPr>
        <w:t>6</w:t>
      </w:r>
      <w:r w:rsidRPr="00852E0C">
        <w:rPr>
          <w:bCs/>
          <w:color w:val="000000" w:themeColor="text1"/>
          <w:szCs w:val="24"/>
        </w:rPr>
        <w:t xml:space="preserve"> projekti</w:t>
      </w:r>
      <w:r w:rsidR="00D23E7F" w:rsidRPr="00852E0C">
        <w:rPr>
          <w:bCs/>
          <w:color w:val="000000" w:themeColor="text1"/>
          <w:szCs w:val="24"/>
        </w:rPr>
        <w:t>),</w:t>
      </w:r>
      <w:r w:rsidRPr="00852E0C">
        <w:rPr>
          <w:bCs/>
          <w:color w:val="000000" w:themeColor="text1"/>
          <w:szCs w:val="24"/>
        </w:rPr>
        <w:t xml:space="preserve"> daudzdzīvokļu māju </w:t>
      </w:r>
      <w:proofErr w:type="spellStart"/>
      <w:r w:rsidRPr="00852E0C">
        <w:rPr>
          <w:bCs/>
          <w:color w:val="000000" w:themeColor="text1"/>
          <w:szCs w:val="24"/>
        </w:rPr>
        <w:t>siltumnoturības</w:t>
      </w:r>
      <w:proofErr w:type="spellEnd"/>
      <w:r w:rsidRPr="00852E0C">
        <w:rPr>
          <w:bCs/>
          <w:color w:val="000000" w:themeColor="text1"/>
          <w:szCs w:val="24"/>
        </w:rPr>
        <w:t xml:space="preserve"> uzlabošanas aktivitātēs – 42 projekti, ūdenssaimniecības infrastruktūras attīstības aktivitātēs – 23 projekti, veselības jomā – 6 projekti, izglītības jomā – 5 projekti un satiksmes drošības uzlabošanas jomā – 5 projekti. </w:t>
      </w:r>
    </w:p>
    <w:p w14:paraId="71AED6FA" w14:textId="75ECD9F7" w:rsidR="00F03F30" w:rsidRPr="00852E0C" w:rsidRDefault="00F03F30" w:rsidP="00852E0C">
      <w:pPr>
        <w:spacing w:line="276" w:lineRule="auto"/>
        <w:rPr>
          <w:bCs/>
          <w:color w:val="000000" w:themeColor="text1"/>
          <w:szCs w:val="24"/>
        </w:rPr>
      </w:pPr>
      <w:r w:rsidRPr="00852E0C">
        <w:rPr>
          <w:bCs/>
          <w:color w:val="000000" w:themeColor="text1"/>
          <w:szCs w:val="24"/>
        </w:rPr>
        <w:t xml:space="preserve">Piemēri 2013.gada </w:t>
      </w:r>
      <w:r w:rsidR="00D23E7F" w:rsidRPr="00852E0C">
        <w:rPr>
          <w:bCs/>
          <w:color w:val="000000" w:themeColor="text1"/>
          <w:szCs w:val="24"/>
        </w:rPr>
        <w:t>1.</w:t>
      </w:r>
      <w:r w:rsidRPr="00852E0C">
        <w:rPr>
          <w:bCs/>
          <w:color w:val="000000" w:themeColor="text1"/>
          <w:szCs w:val="24"/>
        </w:rPr>
        <w:t>ceturksnī pabeigtiem projektiem:</w:t>
      </w:r>
    </w:p>
    <w:p w14:paraId="5B7A3552" w14:textId="5F2D9112" w:rsidR="00F03F30" w:rsidRPr="00852E0C" w:rsidRDefault="00F03F30" w:rsidP="00852E0C">
      <w:pPr>
        <w:pStyle w:val="ListParagraph"/>
        <w:numPr>
          <w:ilvl w:val="0"/>
          <w:numId w:val="30"/>
        </w:numPr>
        <w:spacing w:after="12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VSIA „Bērnu klīniskā universitātes slimnīca</w:t>
      </w:r>
      <w:r w:rsidR="00352B55">
        <w:rPr>
          <w:rFonts w:ascii="Times New Roman" w:hAnsi="Times New Roman"/>
          <w:bCs/>
          <w:color w:val="000000" w:themeColor="text1"/>
          <w:sz w:val="24"/>
          <w:szCs w:val="24"/>
        </w:rPr>
        <w:t xml:space="preserve">” projekts – </w:t>
      </w:r>
      <w:r w:rsidRPr="00852E0C">
        <w:rPr>
          <w:rFonts w:ascii="Times New Roman" w:hAnsi="Times New Roman"/>
          <w:bCs/>
          <w:color w:val="000000" w:themeColor="text1"/>
          <w:sz w:val="24"/>
          <w:szCs w:val="24"/>
        </w:rPr>
        <w:t>uzcelta jauna piebūve pie viena no korpusiem, kā arī ir veikta ēku iekšējā renovācija divos korpusos, kas ir attiecināmi uz ķirurģisku, terapeitisku un dzemdību profilu, lai nodrošinātu kvalitatīvus, izmaksu efektīvus un bērniem draudzīgus veselības aprūpes pakalpojumus.</w:t>
      </w:r>
    </w:p>
    <w:p w14:paraId="7A5C7868" w14:textId="7218B03E" w:rsidR="00F03F30" w:rsidRPr="00852E0C" w:rsidRDefault="00F03F30" w:rsidP="00852E0C">
      <w:pPr>
        <w:pStyle w:val="ListParagraph"/>
        <w:numPr>
          <w:ilvl w:val="0"/>
          <w:numId w:val="30"/>
        </w:numPr>
        <w:spacing w:after="12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Satiksmes drošības uzlabošanas</w:t>
      </w:r>
      <w:r w:rsidR="00352B55">
        <w:rPr>
          <w:rFonts w:ascii="Times New Roman" w:hAnsi="Times New Roman"/>
          <w:bCs/>
          <w:color w:val="000000" w:themeColor="text1"/>
          <w:sz w:val="24"/>
          <w:szCs w:val="24"/>
        </w:rPr>
        <w:t xml:space="preserve"> projekti pilsētu teritorijās – </w:t>
      </w:r>
      <w:r w:rsidRPr="00852E0C">
        <w:rPr>
          <w:rFonts w:ascii="Times New Roman" w:hAnsi="Times New Roman"/>
          <w:bCs/>
          <w:color w:val="000000" w:themeColor="text1"/>
          <w:sz w:val="24"/>
          <w:szCs w:val="24"/>
        </w:rPr>
        <w:t xml:space="preserve">rekonstruēti problemātiski, bīstami krustojumi un ceļu posmi, uzlabota to konfigurācija un ģeometrija, izbūvētas gājēju ietves un uzlabots apgaismojums, tādējādi samazinot satiksmes konflikta punktu skaitu. Piemēram, Saldus novada pašvaldības īstenotajā projektā „Kuldīgas un Brīvības ielu krustojuma rekonstrukcija Saldū” tika izveidots lokveida krustojums, tādējādi novēršot pastāvošās bīstamības riskus, kā arī uzlabojot krustojuma caurlaides spējas un būtiski samazinot braukšanas laiku. Līdzīgi projekti pabeigti arī Priekulē, Kuldīgā, </w:t>
      </w:r>
      <w:proofErr w:type="spellStart"/>
      <w:r w:rsidRPr="00852E0C">
        <w:rPr>
          <w:rFonts w:ascii="Times New Roman" w:hAnsi="Times New Roman"/>
          <w:bCs/>
          <w:color w:val="000000" w:themeColor="text1"/>
          <w:sz w:val="24"/>
          <w:szCs w:val="24"/>
        </w:rPr>
        <w:t>Kadagā</w:t>
      </w:r>
      <w:proofErr w:type="spellEnd"/>
      <w:r w:rsidRPr="00852E0C">
        <w:rPr>
          <w:rFonts w:ascii="Times New Roman" w:hAnsi="Times New Roman"/>
          <w:bCs/>
          <w:color w:val="000000" w:themeColor="text1"/>
          <w:sz w:val="24"/>
          <w:szCs w:val="24"/>
        </w:rPr>
        <w:t>.</w:t>
      </w:r>
    </w:p>
    <w:p w14:paraId="48842405" w14:textId="1611C7F4" w:rsidR="00F03F30" w:rsidRPr="00852E0C" w:rsidRDefault="00F03F30" w:rsidP="00852E0C">
      <w:pPr>
        <w:pStyle w:val="ListParagraph"/>
        <w:numPr>
          <w:ilvl w:val="0"/>
          <w:numId w:val="30"/>
        </w:numPr>
        <w:spacing w:after="12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Ūdenssaimniecības infrastruktūras jomā pabeigtie projekti Ventspilī, Vecpiebalg</w:t>
      </w:r>
      <w:r w:rsidR="00352B55">
        <w:rPr>
          <w:rFonts w:ascii="Times New Roman" w:hAnsi="Times New Roman"/>
          <w:bCs/>
          <w:color w:val="000000" w:themeColor="text1"/>
          <w:sz w:val="24"/>
          <w:szCs w:val="24"/>
        </w:rPr>
        <w:t xml:space="preserve">ā, Lendžos, Mērsragā, Piltenē – </w:t>
      </w:r>
      <w:r w:rsidRPr="00852E0C">
        <w:rPr>
          <w:rFonts w:ascii="Times New Roman" w:hAnsi="Times New Roman"/>
          <w:bCs/>
          <w:color w:val="000000" w:themeColor="text1"/>
          <w:sz w:val="24"/>
          <w:szCs w:val="24"/>
        </w:rPr>
        <w:t>nodrošināta ūdenssaimniecības pakalpojumu pieejamība, samazināta grunts un gruntsūdeņu piesārņošanās, nodrošināta atbilstoša kvalitātes dzeramā ūdens piegāde un notekūdeņu attīrīšana. Piemēram, Ventspils novada pašvaldības īstenoto projektu „Ūdenssaimniecības attīstība Ventspils novada Vārves pagasta Vārves ciemā II kārta”, kurā tika izbūvēta notekūdeņu attīrīšanas iekārta, reko</w:t>
      </w:r>
      <w:r w:rsidR="00D23E7F" w:rsidRPr="00852E0C">
        <w:rPr>
          <w:rFonts w:ascii="Times New Roman" w:hAnsi="Times New Roman"/>
          <w:bCs/>
          <w:color w:val="000000" w:themeColor="text1"/>
          <w:sz w:val="24"/>
          <w:szCs w:val="24"/>
        </w:rPr>
        <w:t xml:space="preserve">nstruēti ūdensapgādes tīkli 776 </w:t>
      </w:r>
      <w:r w:rsidRPr="00852E0C">
        <w:rPr>
          <w:rFonts w:ascii="Times New Roman" w:hAnsi="Times New Roman"/>
          <w:bCs/>
          <w:color w:val="000000" w:themeColor="text1"/>
          <w:sz w:val="24"/>
          <w:szCs w:val="24"/>
        </w:rPr>
        <w:t xml:space="preserve">m garumā, kā arī izbūvēti jauni kanalizācijas un ūdensapgādes tīkli 1590 m garumā. </w:t>
      </w:r>
    </w:p>
    <w:p w14:paraId="10669F6C" w14:textId="4C84C82A" w:rsidR="00F03F30" w:rsidRPr="00852E0C" w:rsidRDefault="00F03F30" w:rsidP="00852E0C">
      <w:pPr>
        <w:pStyle w:val="ListParagraph"/>
        <w:numPr>
          <w:ilvl w:val="0"/>
          <w:numId w:val="30"/>
        </w:numPr>
        <w:spacing w:after="12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Daudzdzīvokļu māju siltināšanas projekti</w:t>
      </w:r>
      <w:r w:rsidR="00352B55">
        <w:rPr>
          <w:rFonts w:ascii="Times New Roman" w:hAnsi="Times New Roman"/>
          <w:bCs/>
          <w:color w:val="000000" w:themeColor="text1"/>
          <w:sz w:val="24"/>
          <w:szCs w:val="24"/>
        </w:rPr>
        <w:t xml:space="preserve"> – i</w:t>
      </w:r>
      <w:r w:rsidRPr="00852E0C">
        <w:rPr>
          <w:rFonts w:ascii="Times New Roman" w:hAnsi="Times New Roman"/>
          <w:bCs/>
          <w:color w:val="000000" w:themeColor="text1"/>
          <w:sz w:val="24"/>
          <w:szCs w:val="24"/>
        </w:rPr>
        <w:t xml:space="preserve">evērojami uzlabota ēku energoefektivitāte, veicot tādus darbus kā ārsienu siltināšana, veco logu un koplietošanas telpu durvju nomaiņa, pagraba pārseguma siltināšana, kāpņu telpu remonti, vairākos gadījumos veikta arī </w:t>
      </w:r>
      <w:proofErr w:type="spellStart"/>
      <w:r w:rsidRPr="00852E0C">
        <w:rPr>
          <w:rFonts w:ascii="Times New Roman" w:hAnsi="Times New Roman"/>
          <w:bCs/>
          <w:color w:val="000000" w:themeColor="text1"/>
          <w:sz w:val="24"/>
          <w:szCs w:val="24"/>
        </w:rPr>
        <w:t>situmapgādes</w:t>
      </w:r>
      <w:proofErr w:type="spellEnd"/>
      <w:r w:rsidRPr="00852E0C">
        <w:rPr>
          <w:rFonts w:ascii="Times New Roman" w:hAnsi="Times New Roman"/>
          <w:bCs/>
          <w:color w:val="000000" w:themeColor="text1"/>
          <w:sz w:val="24"/>
          <w:szCs w:val="24"/>
        </w:rPr>
        <w:t xml:space="preserve"> sistēmu renovācija un ventilācijas sistēmas rekonstrukcija. Piemēram, SIA „Talsu namsaimnieks” īstenotais projekts „Dzīvojamās mājas Dundagas iela 2, Talsos energoefektivitātes paaugstināšanas pasākumi”, ēkas siltumenerģijas patēriņš samazināsies par gandrīz 30% gadā. </w:t>
      </w:r>
    </w:p>
    <w:p w14:paraId="4BFEB046" w14:textId="26AA6745" w:rsidR="00F03F30" w:rsidRPr="00852E0C" w:rsidRDefault="00F03F30" w:rsidP="00852E0C">
      <w:pPr>
        <w:spacing w:line="276" w:lineRule="auto"/>
        <w:rPr>
          <w:bCs/>
          <w:color w:val="000000" w:themeColor="text1"/>
          <w:szCs w:val="24"/>
        </w:rPr>
      </w:pPr>
      <w:r w:rsidRPr="00852E0C">
        <w:rPr>
          <w:bCs/>
          <w:color w:val="000000" w:themeColor="text1"/>
          <w:szCs w:val="24"/>
        </w:rPr>
        <w:t>Plānotie projektu rādītāji DP ietvaros</w:t>
      </w:r>
      <w:r w:rsidR="00D23E7F" w:rsidRPr="00852E0C">
        <w:rPr>
          <w:bCs/>
          <w:color w:val="000000" w:themeColor="text1"/>
          <w:szCs w:val="24"/>
        </w:rPr>
        <w:t xml:space="preserve"> </w:t>
      </w:r>
      <w:r w:rsidRPr="00852E0C">
        <w:rPr>
          <w:bCs/>
          <w:color w:val="000000" w:themeColor="text1"/>
          <w:szCs w:val="24"/>
        </w:rPr>
        <w:t>kopumā tiek sasniegti pakāpeniski atbilstoši plānotajam. Tādās nozarēs kā transports un veselības aprūpe atsevišķu rādītāju vērtības tiks pat pārsniegtas, savukārt atsevišķi rādītāji tomēr netiks sasniegti, piemēram</w:t>
      </w:r>
      <w:r w:rsidR="00D23E7F" w:rsidRPr="00852E0C">
        <w:rPr>
          <w:bCs/>
          <w:color w:val="000000" w:themeColor="text1"/>
          <w:szCs w:val="24"/>
        </w:rPr>
        <w:t>,</w:t>
      </w:r>
      <w:r w:rsidRPr="00852E0C">
        <w:rPr>
          <w:bCs/>
          <w:color w:val="000000" w:themeColor="text1"/>
          <w:szCs w:val="24"/>
        </w:rPr>
        <w:t xml:space="preserve"> izglītības jomā, </w:t>
      </w:r>
      <w:r w:rsidRPr="00852E0C">
        <w:rPr>
          <w:color w:val="000000" w:themeColor="text1"/>
          <w:szCs w:val="24"/>
        </w:rPr>
        <w:t>jo netiks veikti uzlabojumi izglītības iestādēs plānotajā skaitā,</w:t>
      </w:r>
      <w:r w:rsidR="000E0633">
        <w:rPr>
          <w:color w:val="000000" w:themeColor="text1"/>
          <w:szCs w:val="24"/>
        </w:rPr>
        <w:t xml:space="preserve"> </w:t>
      </w:r>
      <w:r w:rsidRPr="00852E0C">
        <w:rPr>
          <w:color w:val="000000" w:themeColor="text1"/>
          <w:szCs w:val="24"/>
        </w:rPr>
        <w:t xml:space="preserve">ņemot vērā izglītības </w:t>
      </w:r>
      <w:r w:rsidR="007B0B2F" w:rsidRPr="00852E0C">
        <w:rPr>
          <w:color w:val="000000" w:themeColor="text1"/>
          <w:szCs w:val="24"/>
        </w:rPr>
        <w:lastRenderedPageBreak/>
        <w:t>iestāžu reorganizāciju, kā arī aktivitātes „Atbalsts vispārējās izglītības iestāžu tīkla optimizācija</w:t>
      </w:r>
      <w:r w:rsidR="00D23E7F" w:rsidRPr="00852E0C">
        <w:rPr>
          <w:color w:val="000000" w:themeColor="text1"/>
          <w:szCs w:val="24"/>
        </w:rPr>
        <w:t>i” ieviešanas koncepcijas maiņu</w:t>
      </w:r>
      <w:r w:rsidRPr="00852E0C">
        <w:rPr>
          <w:color w:val="000000" w:themeColor="text1"/>
          <w:szCs w:val="24"/>
        </w:rPr>
        <w:t xml:space="preserve">. </w:t>
      </w:r>
      <w:r w:rsidRPr="00852E0C">
        <w:rPr>
          <w:bCs/>
          <w:color w:val="000000" w:themeColor="text1"/>
          <w:szCs w:val="24"/>
        </w:rPr>
        <w:t>Lielākoties ES fondu ietekmi un rezultātus varēs noteikt tikai pēc projektu pabeigšanas 2014. – 2015.gadā, ņemot vērā infrastruktūras projektu specifiku, kam nepieciešams ilgāks laiks projektu īstenošanai un ietekmes novērtēšanai.</w:t>
      </w:r>
    </w:p>
    <w:p w14:paraId="04BD568F" w14:textId="7CE55B0A" w:rsidR="00F03F30" w:rsidRPr="00852E0C" w:rsidRDefault="00F03F30" w:rsidP="00852E0C">
      <w:pPr>
        <w:spacing w:line="276" w:lineRule="auto"/>
        <w:rPr>
          <w:bCs/>
          <w:color w:val="000000" w:themeColor="text1"/>
          <w:szCs w:val="24"/>
        </w:rPr>
      </w:pPr>
      <w:r w:rsidRPr="00852E0C">
        <w:rPr>
          <w:bCs/>
          <w:color w:val="000000" w:themeColor="text1"/>
          <w:szCs w:val="24"/>
        </w:rPr>
        <w:t xml:space="preserve">Informāciju par TP aktivitāšu īstenošanu lūdzam skatīt sadaļā </w:t>
      </w:r>
      <w:r w:rsidR="00D23E7F" w:rsidRPr="00852E0C">
        <w:rPr>
          <w:bCs/>
          <w:color w:val="000000" w:themeColor="text1"/>
          <w:szCs w:val="24"/>
          <w:u w:val="single"/>
        </w:rPr>
        <w:t>1.4</w:t>
      </w:r>
      <w:r w:rsidRPr="00852E0C">
        <w:rPr>
          <w:bCs/>
          <w:color w:val="000000" w:themeColor="text1"/>
          <w:szCs w:val="24"/>
          <w:u w:val="single"/>
        </w:rPr>
        <w:t>. „Kopsavilkums par TP aktivitāšu īstenošanu”</w:t>
      </w:r>
      <w:r w:rsidRPr="00852E0C">
        <w:rPr>
          <w:bCs/>
          <w:color w:val="000000" w:themeColor="text1"/>
          <w:szCs w:val="24"/>
        </w:rPr>
        <w:t>.</w:t>
      </w:r>
    </w:p>
    <w:p w14:paraId="6EAE595A" w14:textId="77777777" w:rsidR="00F03F30" w:rsidRPr="00852E0C" w:rsidRDefault="00F03F30" w:rsidP="00852E0C">
      <w:pPr>
        <w:pStyle w:val="2lmenis"/>
        <w:numPr>
          <w:ilvl w:val="1"/>
          <w:numId w:val="2"/>
        </w:numPr>
        <w:spacing w:before="120" w:after="120" w:line="276" w:lineRule="auto"/>
        <w:ind w:left="1276" w:hanging="425"/>
        <w:jc w:val="both"/>
        <w:rPr>
          <w:color w:val="000000" w:themeColor="text1"/>
          <w:sz w:val="24"/>
          <w:szCs w:val="24"/>
          <w:lang w:val="lv-LV"/>
        </w:rPr>
      </w:pPr>
      <w:bookmarkStart w:id="25" w:name="_Toc356465229"/>
      <w:r w:rsidRPr="00852E0C">
        <w:rPr>
          <w:color w:val="000000" w:themeColor="text1"/>
          <w:sz w:val="24"/>
          <w:szCs w:val="24"/>
          <w:lang w:val="lv-LV"/>
        </w:rPr>
        <w:t>Lielo projektu īstenošana</w:t>
      </w:r>
      <w:r w:rsidRPr="00852E0C">
        <w:rPr>
          <w:rStyle w:val="FootnoteReference"/>
          <w:color w:val="000000" w:themeColor="text1"/>
          <w:sz w:val="24"/>
          <w:szCs w:val="24"/>
          <w:lang w:val="lv-LV"/>
        </w:rPr>
        <w:footnoteReference w:id="28"/>
      </w:r>
      <w:bookmarkEnd w:id="25"/>
    </w:p>
    <w:p w14:paraId="31A6D4BF" w14:textId="77777777" w:rsidR="00F03F30" w:rsidRPr="00852E0C" w:rsidRDefault="00F03F30"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 xml:space="preserve">Lielo projektu ietvaros visi paredzētie iepirkumu līgumi ir jau gandrīz noslēgti. Savukārt lielo projektu apguves mērķa izpilde norit samērā lēni, problemātiski, lai gan pārskata periodā kopumā maksājumi tika veikti vairāk nekā tika plānoti, taču atsevišķiem projektiem bija vērojuma neizpilde. Līdz 2013.gada 31.martam lielo projektu ietvaros ir veikti attiecināmie izdevumi 59% apmērā no plānotā. </w:t>
      </w:r>
    </w:p>
    <w:p w14:paraId="683C7163" w14:textId="77777777" w:rsidR="00F03F30" w:rsidRPr="00852E0C" w:rsidRDefault="00F03F30"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 xml:space="preserve">Sarežģījumi ir radušies </w:t>
      </w:r>
      <w:r w:rsidRPr="00852E0C">
        <w:rPr>
          <w:color w:val="000000" w:themeColor="text1"/>
          <w:u w:val="single"/>
          <w:lang w:val="lv-LV" w:eastAsia="lv-LV"/>
        </w:rPr>
        <w:t>autoceļa E22 Rīga (Tīnūži) – Koknese un autoceļa E22 posma Ludza – Terehova</w:t>
      </w:r>
      <w:r w:rsidRPr="00852E0C">
        <w:rPr>
          <w:color w:val="000000" w:themeColor="text1"/>
          <w:lang w:val="lv-LV" w:eastAsia="lv-LV"/>
        </w:rPr>
        <w:t xml:space="preserve"> projektu īstenošanas laikā, jo Latvijas ekonomiskās situācijas izmaiņu būvniecības sektorā rezultātā būvdarbu izpildītāji ierosinājuši noslēgto būvniecības līgumu laušanu, kas izraisa īstenošanas termiņu un izmaksu novirzes. No EK saņemta informācija, ka attiecināmo izmaksu pieaugums nav atbalstāms no ES līdzekļiem bez fizisko rādītāju palielinājuma. Šobrīd iesaistītās institūcijas meklē risinājumus turpmākas projekta īstenošanas iespējām. Jautājums izskatīts arī š.g. 15.aprīļa Koalīcijas partneru darba grupā par ES fondu jautājumiem. </w:t>
      </w:r>
    </w:p>
    <w:p w14:paraId="71D6C02C" w14:textId="619B5E1D" w:rsidR="00F03F30" w:rsidRPr="00852E0C" w:rsidRDefault="00D23E7F"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2013.gada</w:t>
      </w:r>
      <w:r w:rsidR="00F03F30" w:rsidRPr="00852E0C">
        <w:rPr>
          <w:color w:val="000000" w:themeColor="text1"/>
          <w:lang w:val="lv-LV" w:eastAsia="lv-LV"/>
        </w:rPr>
        <w:t xml:space="preserve"> 2.aprīlī starp </w:t>
      </w:r>
      <w:r w:rsidR="00F03F30" w:rsidRPr="00852E0C">
        <w:rPr>
          <w:color w:val="000000" w:themeColor="text1"/>
          <w:u w:val="single"/>
          <w:lang w:val="lv-LV" w:eastAsia="lv-LV"/>
        </w:rPr>
        <w:t>SM un AS „Pasažieru vilciens” tika lauzta vienošanās par projekta „Rīgas piepilsētas dzelzceļa pasažieru pārvadājumu sistēmas modernizācija un dīzeļvilcienu ritošā sastāva atjaunošana” īstenošanu</w:t>
      </w:r>
      <w:r w:rsidR="00F03F30" w:rsidRPr="00852E0C">
        <w:rPr>
          <w:color w:val="000000" w:themeColor="text1"/>
          <w:lang w:val="lv-LV" w:eastAsia="lv-LV"/>
        </w:rPr>
        <w:t>, jo precizētais piegādes un uzturēšanas līguma projekts pilnībā neatbilda konkursa nolikuma prasībām</w:t>
      </w:r>
      <w:r w:rsidR="00F03F30" w:rsidRPr="00852E0C">
        <w:rPr>
          <w:rStyle w:val="FootnoteReference"/>
          <w:color w:val="000000" w:themeColor="text1"/>
          <w:lang w:val="lv-LV" w:eastAsia="lv-LV"/>
        </w:rPr>
        <w:footnoteReference w:id="29"/>
      </w:r>
      <w:r w:rsidR="00F03F30" w:rsidRPr="00852E0C">
        <w:rPr>
          <w:color w:val="000000" w:themeColor="text1"/>
          <w:lang w:val="lv-LV" w:eastAsia="lv-LV"/>
        </w:rPr>
        <w:t>.</w:t>
      </w:r>
      <w:r w:rsidR="000E0633">
        <w:rPr>
          <w:color w:val="000000" w:themeColor="text1"/>
          <w:lang w:val="lv-LV" w:eastAsia="lv-LV"/>
        </w:rPr>
        <w:t xml:space="preserve"> </w:t>
      </w:r>
      <w:r w:rsidR="00F03F30" w:rsidRPr="00852E0C">
        <w:rPr>
          <w:color w:val="000000" w:themeColor="text1"/>
          <w:lang w:val="lv-LV" w:eastAsia="lv-LV"/>
        </w:rPr>
        <w:t xml:space="preserve">Lai nezaudētu projektam apstiprināto </w:t>
      </w:r>
      <w:r w:rsidR="00F03F30" w:rsidRPr="00852E0C">
        <w:rPr>
          <w:color w:val="000000" w:themeColor="text1"/>
          <w:lang w:val="lv-LV" w:eastAsia="lv-LV"/>
        </w:rPr>
        <w:br/>
        <w:t xml:space="preserve">ES finansējumu, SM ir iesniegusi priekšlikumu par finansējuma pārdali citiem dzelzceļa infrastruktūras attīstības projektiem aktivitātēs „TEN – T dzelzceļa posmu rekonstrukcija un attīstība (Austrumu-Rietumu dzelzceļa koridora infrastruktūras attīstība un </w:t>
      </w:r>
      <w:proofErr w:type="spellStart"/>
      <w:r w:rsidR="00F03F30" w:rsidRPr="00852E0C">
        <w:rPr>
          <w:color w:val="000000" w:themeColor="text1"/>
          <w:lang w:val="lv-LV" w:eastAsia="lv-LV"/>
        </w:rPr>
        <w:t>Rail</w:t>
      </w:r>
      <w:proofErr w:type="spellEnd"/>
      <w:r w:rsidR="00F03F30" w:rsidRPr="00852E0C">
        <w:rPr>
          <w:color w:val="000000" w:themeColor="text1"/>
          <w:lang w:val="lv-LV" w:eastAsia="lv-LV"/>
        </w:rPr>
        <w:t xml:space="preserve"> </w:t>
      </w:r>
      <w:proofErr w:type="spellStart"/>
      <w:r w:rsidR="00F03F30" w:rsidRPr="00852E0C">
        <w:rPr>
          <w:color w:val="000000" w:themeColor="text1"/>
          <w:lang w:val="lv-LV" w:eastAsia="lv-LV"/>
        </w:rPr>
        <w:t>Baltica</w:t>
      </w:r>
      <w:proofErr w:type="spellEnd"/>
      <w:r w:rsidR="00F03F30" w:rsidRPr="00852E0C">
        <w:rPr>
          <w:color w:val="000000" w:themeColor="text1"/>
          <w:lang w:val="lv-LV" w:eastAsia="lv-LV"/>
        </w:rPr>
        <w:t>)”, „Ilgtspējīga sabiedriskā transporta sistēmas attīstība”. 2013.gada 11.aprīlī priekšlikums par pārdali ir nosūtīts EK izvērtēšanai.</w:t>
      </w:r>
    </w:p>
    <w:p w14:paraId="569756B0" w14:textId="77777777" w:rsidR="00F03F30" w:rsidRPr="00852E0C" w:rsidRDefault="00F03F30"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Projekta „</w:t>
      </w:r>
      <w:r w:rsidRPr="00852E0C">
        <w:rPr>
          <w:color w:val="000000" w:themeColor="text1"/>
          <w:u w:val="single"/>
          <w:lang w:val="lv-LV" w:eastAsia="lv-LV"/>
        </w:rPr>
        <w:t xml:space="preserve">Vēsturiski piesārņoto vietu „Inčukalna </w:t>
      </w:r>
      <w:proofErr w:type="spellStart"/>
      <w:r w:rsidRPr="00852E0C">
        <w:rPr>
          <w:color w:val="000000" w:themeColor="text1"/>
          <w:u w:val="single"/>
          <w:lang w:val="lv-LV" w:eastAsia="lv-LV"/>
        </w:rPr>
        <w:t>sērskābie</w:t>
      </w:r>
      <w:proofErr w:type="spellEnd"/>
      <w:r w:rsidRPr="00852E0C">
        <w:rPr>
          <w:color w:val="000000" w:themeColor="text1"/>
          <w:u w:val="single"/>
          <w:lang w:val="lv-LV" w:eastAsia="lv-LV"/>
        </w:rPr>
        <w:t xml:space="preserve"> gudrona dīķi” sanācijas darbi”</w:t>
      </w:r>
      <w:r w:rsidRPr="00852E0C">
        <w:rPr>
          <w:color w:val="000000" w:themeColor="text1"/>
          <w:lang w:val="lv-LV" w:eastAsia="lv-LV"/>
        </w:rPr>
        <w:t xml:space="preserve"> ieviešanas gaitā ir būtiski palielinājies īstenošanas risks, jo ir konstatēts, ka darbu izpilde būtiski atpaliek no plānotā laika grafika un iesaistītās puses nevar panākt vienošanos par darbu izpildītāja konstatētajām atšķirībām piesārņojumu raksturojošo komponentu </w:t>
      </w:r>
      <w:proofErr w:type="spellStart"/>
      <w:r w:rsidRPr="00852E0C">
        <w:rPr>
          <w:color w:val="000000" w:themeColor="text1"/>
          <w:lang w:val="lv-LV" w:eastAsia="lv-LV"/>
        </w:rPr>
        <w:t>koncentrācijās</w:t>
      </w:r>
      <w:proofErr w:type="spellEnd"/>
      <w:r w:rsidRPr="00852E0C">
        <w:rPr>
          <w:color w:val="000000" w:themeColor="text1"/>
          <w:lang w:val="lv-LV" w:eastAsia="lv-LV"/>
        </w:rPr>
        <w:t xml:space="preserve"> Dienvidu </w:t>
      </w:r>
      <w:proofErr w:type="spellStart"/>
      <w:r w:rsidRPr="00852E0C">
        <w:rPr>
          <w:color w:val="000000" w:themeColor="text1"/>
          <w:lang w:val="lv-LV" w:eastAsia="lv-LV"/>
        </w:rPr>
        <w:t>sērskābā</w:t>
      </w:r>
      <w:proofErr w:type="spellEnd"/>
      <w:r w:rsidRPr="00852E0C">
        <w:rPr>
          <w:color w:val="000000" w:themeColor="text1"/>
          <w:lang w:val="lv-LV" w:eastAsia="lv-LV"/>
        </w:rPr>
        <w:t xml:space="preserve"> gudrona dīķa „0” slānī, kas izraisa iespējamu </w:t>
      </w:r>
      <w:r w:rsidRPr="00852E0C">
        <w:rPr>
          <w:color w:val="000000" w:themeColor="text1"/>
          <w:lang w:val="lv-LV" w:eastAsia="lv-LV"/>
        </w:rPr>
        <w:lastRenderedPageBreak/>
        <w:t xml:space="preserve">ievērojamu izmaksu pieaugumu un termiņa pagarinājumu ārpus ES fondu </w:t>
      </w:r>
      <w:proofErr w:type="spellStart"/>
      <w:r w:rsidRPr="00852E0C">
        <w:rPr>
          <w:color w:val="000000" w:themeColor="text1"/>
          <w:lang w:val="lv-LV" w:eastAsia="lv-LV"/>
        </w:rPr>
        <w:t>attiecināmības</w:t>
      </w:r>
      <w:proofErr w:type="spellEnd"/>
      <w:r w:rsidRPr="00852E0C">
        <w:rPr>
          <w:color w:val="000000" w:themeColor="text1"/>
          <w:lang w:val="lv-LV" w:eastAsia="lv-LV"/>
        </w:rPr>
        <w:t xml:space="preserve"> perioda. FM ir iesaistījusies situācijas tiešā uzraudzībā. VARAM nepieciešams rūpīgi kontrolēt un vadīt šo procesu, lai novērstu neplānotus papildus izdevumus valsts budžetam un nepieļautu ES līdzekļu zaudēšanu. </w:t>
      </w:r>
    </w:p>
    <w:p w14:paraId="06E57DC6" w14:textId="29231D27" w:rsidR="00F03F30" w:rsidRPr="00852E0C" w:rsidRDefault="00F03F30"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Savukārt projektam „</w:t>
      </w:r>
      <w:r w:rsidRPr="00852E0C">
        <w:rPr>
          <w:color w:val="000000" w:themeColor="text1"/>
          <w:u w:val="single"/>
          <w:lang w:val="lv-LV" w:eastAsia="lv-LV"/>
        </w:rPr>
        <w:t>Infrastruktūras attīstība Krievu salā ostas aktivitāšu pārcelšanai</w:t>
      </w:r>
      <w:r w:rsidRPr="00852E0C">
        <w:rPr>
          <w:color w:val="000000" w:themeColor="text1"/>
          <w:lang w:val="lv-LV" w:eastAsia="lv-LV"/>
        </w:rPr>
        <w:t xml:space="preserve">” nav vērojams finanšu progress, kā arī konstatēts risks Rīgas Brīvostai nodrošināt privāto līdzfinansējumu projektam. </w:t>
      </w:r>
      <w:r w:rsidR="00D23E7F" w:rsidRPr="00852E0C">
        <w:rPr>
          <w:color w:val="000000" w:themeColor="text1"/>
          <w:lang w:val="lv-LV" w:eastAsia="lv-LV"/>
        </w:rPr>
        <w:t>Jautājums izskatīts arī 2013.gada</w:t>
      </w:r>
      <w:r w:rsidRPr="00852E0C">
        <w:rPr>
          <w:color w:val="000000" w:themeColor="text1"/>
          <w:lang w:val="lv-LV" w:eastAsia="lv-LV"/>
        </w:rPr>
        <w:t xml:space="preserve"> 15.aprīļa Koalīcijas partneru darba grupā par ES fondu jautājumiem. </w:t>
      </w:r>
      <w:r w:rsidR="000E0633" w:rsidRPr="000E0633">
        <w:rPr>
          <w:color w:val="000000" w:themeColor="text1"/>
          <w:lang w:val="lv-LV" w:eastAsia="lv-LV"/>
        </w:rPr>
        <w:t>Korupcijas novēršanas un apkarošanas birojs</w:t>
      </w:r>
      <w:r w:rsidRPr="00852E0C">
        <w:rPr>
          <w:color w:val="000000" w:themeColor="text1"/>
          <w:lang w:val="lv-LV" w:eastAsia="lv-LV"/>
        </w:rPr>
        <w:t xml:space="preserve"> ir informējis, ka projektā nepastāv aizdomas par krāpnieciskām darbībām un ir izsludināts atklāts iepirkuma konkurss par kredītlīdzekļu piesaisti projekta īstenošanai. Vienlaikus SM sniegusi apliecinājumu, ka situācija tiek pastiprināti kontrolēta un projekts nav pārtraucams. </w:t>
      </w:r>
    </w:p>
    <w:p w14:paraId="1E153718" w14:textId="5D915E24" w:rsidR="0003086E" w:rsidRPr="00852E0C" w:rsidRDefault="001A0AA9" w:rsidP="00852E0C">
      <w:pPr>
        <w:pStyle w:val="2lmenis"/>
        <w:numPr>
          <w:ilvl w:val="1"/>
          <w:numId w:val="2"/>
        </w:numPr>
        <w:spacing w:before="120" w:after="120" w:line="276" w:lineRule="auto"/>
        <w:ind w:left="1276" w:hanging="425"/>
        <w:jc w:val="both"/>
        <w:rPr>
          <w:color w:val="000000" w:themeColor="text1"/>
          <w:sz w:val="24"/>
          <w:szCs w:val="24"/>
          <w:lang w:val="lv-LV"/>
        </w:rPr>
      </w:pPr>
      <w:bookmarkStart w:id="26" w:name="_Toc356465230"/>
      <w:r w:rsidRPr="00852E0C">
        <w:rPr>
          <w:color w:val="000000" w:themeColor="text1"/>
          <w:sz w:val="24"/>
          <w:szCs w:val="24"/>
          <w:lang w:val="lv-LV"/>
        </w:rPr>
        <w:t>Kopsavilkums par</w:t>
      </w:r>
      <w:r w:rsidR="00F371BE" w:rsidRPr="00852E0C">
        <w:rPr>
          <w:color w:val="000000" w:themeColor="text1"/>
          <w:sz w:val="24"/>
          <w:szCs w:val="24"/>
          <w:lang w:val="lv-LV"/>
        </w:rPr>
        <w:t xml:space="preserve"> ES fondu</w:t>
      </w:r>
      <w:r w:rsidRPr="00852E0C">
        <w:rPr>
          <w:color w:val="000000" w:themeColor="text1"/>
          <w:sz w:val="24"/>
          <w:szCs w:val="24"/>
          <w:lang w:val="lv-LV"/>
        </w:rPr>
        <w:t xml:space="preserve"> </w:t>
      </w:r>
      <w:r w:rsidR="00DB675D" w:rsidRPr="00852E0C">
        <w:rPr>
          <w:color w:val="000000" w:themeColor="text1"/>
          <w:sz w:val="24"/>
          <w:szCs w:val="24"/>
          <w:lang w:val="lv-LV"/>
        </w:rPr>
        <w:t>tehniskās palīdzības</w:t>
      </w:r>
      <w:r w:rsidRPr="00852E0C">
        <w:rPr>
          <w:color w:val="000000" w:themeColor="text1"/>
          <w:sz w:val="24"/>
          <w:szCs w:val="24"/>
          <w:lang w:val="lv-LV"/>
        </w:rPr>
        <w:t xml:space="preserve"> aktivitāšu īstenošanu</w:t>
      </w:r>
      <w:bookmarkEnd w:id="26"/>
    </w:p>
    <w:p w14:paraId="50AFF9DC" w14:textId="79DB0D81" w:rsidR="00134759" w:rsidRPr="00852E0C" w:rsidRDefault="00134759" w:rsidP="00852E0C">
      <w:pPr>
        <w:pStyle w:val="NormalWeb"/>
        <w:spacing w:before="120" w:beforeAutospacing="0" w:after="120" w:afterAutospacing="0" w:line="276" w:lineRule="auto"/>
        <w:jc w:val="both"/>
        <w:rPr>
          <w:color w:val="000000" w:themeColor="text1"/>
          <w:lang w:val="lv-LV" w:eastAsia="lv-LV"/>
        </w:rPr>
      </w:pPr>
      <w:bookmarkStart w:id="27" w:name="_Toc276049985"/>
      <w:bookmarkStart w:id="28" w:name="_Toc290449012"/>
      <w:r w:rsidRPr="00852E0C">
        <w:rPr>
          <w:color w:val="000000" w:themeColor="text1"/>
          <w:lang w:val="lv-LV" w:eastAsia="lv-LV"/>
        </w:rPr>
        <w:t>Progress veiktajiem maksājumiem finansējuma saņēmējiem pārskata periodā ir bijis 13,</w:t>
      </w:r>
      <w:r w:rsidR="00276062" w:rsidRPr="00852E0C">
        <w:rPr>
          <w:color w:val="000000" w:themeColor="text1"/>
          <w:lang w:val="lv-LV" w:eastAsia="lv-LV"/>
        </w:rPr>
        <w:t>7</w:t>
      </w:r>
      <w:r w:rsidRPr="00852E0C">
        <w:rPr>
          <w:color w:val="000000" w:themeColor="text1"/>
          <w:lang w:val="lv-LV" w:eastAsia="lv-LV"/>
        </w:rPr>
        <w:t>% salīdzinoši ar iepriekšējo pār</w:t>
      </w:r>
      <w:r w:rsidR="00263CA5" w:rsidRPr="00852E0C">
        <w:rPr>
          <w:color w:val="000000" w:themeColor="text1"/>
          <w:lang w:val="lv-LV" w:eastAsia="lv-LV"/>
        </w:rPr>
        <w:t>skata periodu</w:t>
      </w:r>
      <w:r w:rsidR="00276062" w:rsidRPr="00852E0C">
        <w:rPr>
          <w:color w:val="000000" w:themeColor="text1"/>
          <w:lang w:val="lv-LV" w:eastAsia="lv-LV"/>
        </w:rPr>
        <w:t>, kas vērtējams, kā pozitīvs rādītājs, jo lielākie izdevumi TP projektu ietvaros parasti tiek veikti</w:t>
      </w:r>
      <w:r w:rsidR="000E0633">
        <w:rPr>
          <w:color w:val="000000" w:themeColor="text1"/>
          <w:lang w:val="lv-LV" w:eastAsia="lv-LV"/>
        </w:rPr>
        <w:t xml:space="preserve"> </w:t>
      </w:r>
      <w:r w:rsidR="00276062" w:rsidRPr="00852E0C">
        <w:rPr>
          <w:color w:val="000000" w:themeColor="text1"/>
          <w:lang w:val="lv-LV" w:eastAsia="lv-LV"/>
        </w:rPr>
        <w:t>II pusgadā.</w:t>
      </w:r>
      <w:r w:rsidR="00263CA5" w:rsidRPr="00852E0C">
        <w:rPr>
          <w:color w:val="000000" w:themeColor="text1"/>
          <w:lang w:val="lv-LV" w:eastAsia="lv-LV"/>
        </w:rPr>
        <w:t xml:space="preserve"> </w:t>
      </w:r>
      <w:r w:rsidR="009D6181" w:rsidRPr="00852E0C">
        <w:rPr>
          <w:color w:val="000000" w:themeColor="text1"/>
          <w:lang w:val="lv-LV" w:eastAsia="lv-LV"/>
        </w:rPr>
        <w:t xml:space="preserve">Valsts budžeta plāna izpilde </w:t>
      </w:r>
      <w:r w:rsidR="00975152" w:rsidRPr="00852E0C">
        <w:rPr>
          <w:color w:val="000000" w:themeColor="text1"/>
          <w:lang w:val="lv-LV" w:eastAsia="lv-LV"/>
        </w:rPr>
        <w:t xml:space="preserve">pārskata </w:t>
      </w:r>
      <w:r w:rsidR="009D6181" w:rsidRPr="00852E0C">
        <w:rPr>
          <w:color w:val="000000" w:themeColor="text1"/>
          <w:lang w:val="lv-LV" w:eastAsia="lv-LV"/>
        </w:rPr>
        <w:t xml:space="preserve">periodā ir bijusi </w:t>
      </w:r>
      <w:r w:rsidR="00975152" w:rsidRPr="00852E0C">
        <w:rPr>
          <w:color w:val="000000" w:themeColor="text1"/>
          <w:lang w:val="lv-LV" w:eastAsia="lv-LV"/>
        </w:rPr>
        <w:t>91,1% no sākotnēji plānotā.</w:t>
      </w:r>
    </w:p>
    <w:p w14:paraId="20B5B7B6" w14:textId="44A7D835" w:rsidR="00C52E02" w:rsidRPr="00852E0C" w:rsidRDefault="00992405"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No</w:t>
      </w:r>
      <w:r w:rsidR="008C2E46" w:rsidRPr="00852E0C">
        <w:rPr>
          <w:color w:val="000000" w:themeColor="text1"/>
          <w:lang w:val="lv-LV" w:eastAsia="lv-LV"/>
        </w:rPr>
        <w:t xml:space="preserve"> kopējiem izdevumiem 80,6</w:t>
      </w:r>
      <w:r w:rsidR="00C52E02" w:rsidRPr="00852E0C">
        <w:rPr>
          <w:color w:val="000000" w:themeColor="text1"/>
          <w:lang w:val="lv-LV" w:eastAsia="lv-LV"/>
        </w:rPr>
        <w:t>% ir atlīdzības izdevumi un 19</w:t>
      </w:r>
      <w:r w:rsidR="008C2E46" w:rsidRPr="00852E0C">
        <w:rPr>
          <w:color w:val="000000" w:themeColor="text1"/>
          <w:lang w:val="lv-LV" w:eastAsia="lv-LV"/>
        </w:rPr>
        <w:t>,4</w:t>
      </w:r>
      <w:r w:rsidR="00C52E02" w:rsidRPr="00852E0C">
        <w:rPr>
          <w:color w:val="000000" w:themeColor="text1"/>
          <w:lang w:val="lv-LV" w:eastAsia="lv-LV"/>
        </w:rPr>
        <w:t>% ārpakalpojumi, kuri visvairāk bijuši tādās izdevumu pozīcijās kā „Mācības, konferences, semināri, komitejas, darba grupas un citi pasākumi” – 78,3%, kā arī saistībā ar ES fondu informatīvajie</w:t>
      </w:r>
      <w:r w:rsidR="008C2E46" w:rsidRPr="00852E0C">
        <w:rPr>
          <w:color w:val="000000" w:themeColor="text1"/>
          <w:lang w:val="lv-LV" w:eastAsia="lv-LV"/>
        </w:rPr>
        <w:t>m un publicitātes pasākumiem (49,7</w:t>
      </w:r>
      <w:r w:rsidR="00C52E02" w:rsidRPr="00852E0C">
        <w:rPr>
          <w:color w:val="000000" w:themeColor="text1"/>
          <w:lang w:val="lv-LV" w:eastAsia="lv-LV"/>
        </w:rPr>
        <w:t>%). Atlīdzības izdevumi no pārskata perioda kopējiem izdevumiem visvairāk tērēti ES fondu uzraudzībai, izvērtēšanai, administrēšanai un finanšu kontroles un revīzijas nodrošināšanai, kā arī stratēģiskajai plānošanai – 89</w:t>
      </w:r>
      <w:r w:rsidR="008C2E46" w:rsidRPr="00852E0C">
        <w:rPr>
          <w:color w:val="000000" w:themeColor="text1"/>
          <w:lang w:val="lv-LV" w:eastAsia="lv-LV"/>
        </w:rPr>
        <w:t>,1</w:t>
      </w:r>
      <w:r w:rsidR="00C52E02" w:rsidRPr="00852E0C">
        <w:rPr>
          <w:color w:val="000000" w:themeColor="text1"/>
          <w:lang w:val="lv-LV" w:eastAsia="lv-LV"/>
        </w:rPr>
        <w:t xml:space="preserve">%. </w:t>
      </w:r>
    </w:p>
    <w:p w14:paraId="468F0D2F" w14:textId="4F06DF5F" w:rsidR="009E34CC" w:rsidRPr="00852E0C" w:rsidRDefault="00E12A55" w:rsidP="00852E0C">
      <w:pPr>
        <w:spacing w:line="276" w:lineRule="auto"/>
        <w:rPr>
          <w:color w:val="000000" w:themeColor="text1"/>
          <w:szCs w:val="24"/>
          <w:lang w:eastAsia="lv-LV"/>
        </w:rPr>
      </w:pPr>
      <w:r w:rsidRPr="00852E0C">
        <w:rPr>
          <w:color w:val="000000" w:themeColor="text1"/>
          <w:szCs w:val="24"/>
          <w:lang w:eastAsia="lv-LV"/>
        </w:rPr>
        <w:t xml:space="preserve">Pārskata periodā </w:t>
      </w:r>
      <w:r w:rsidR="005E3671" w:rsidRPr="00852E0C">
        <w:rPr>
          <w:color w:val="000000" w:themeColor="text1"/>
          <w:szCs w:val="24"/>
          <w:lang w:eastAsia="lv-LV"/>
        </w:rPr>
        <w:t xml:space="preserve">TP ietvaros </w:t>
      </w:r>
      <w:r w:rsidRPr="00852E0C">
        <w:rPr>
          <w:color w:val="000000" w:themeColor="text1"/>
          <w:szCs w:val="24"/>
          <w:lang w:eastAsia="lv-LV"/>
        </w:rPr>
        <w:t xml:space="preserve">turpinājās atbalsts </w:t>
      </w:r>
      <w:r w:rsidR="000B1866" w:rsidRPr="00852E0C">
        <w:rPr>
          <w:color w:val="000000" w:themeColor="text1"/>
          <w:szCs w:val="24"/>
          <w:lang w:eastAsia="lv-LV"/>
        </w:rPr>
        <w:t>pētniecības un inovācijas jomā</w:t>
      </w:r>
      <w:r w:rsidRPr="00852E0C">
        <w:rPr>
          <w:color w:val="000000" w:themeColor="text1"/>
          <w:szCs w:val="24"/>
          <w:lang w:eastAsia="lv-LV"/>
        </w:rPr>
        <w:t xml:space="preserve"> </w:t>
      </w:r>
      <w:r w:rsidR="000B1866" w:rsidRPr="00852E0C">
        <w:rPr>
          <w:color w:val="000000" w:themeColor="text1"/>
          <w:szCs w:val="24"/>
        </w:rPr>
        <w:t>(</w:t>
      </w:r>
      <w:r w:rsidR="00012827">
        <w:rPr>
          <w:color w:val="000000" w:themeColor="text1"/>
          <w:szCs w:val="24"/>
        </w:rPr>
        <w:t>IZM</w:t>
      </w:r>
      <w:r w:rsidR="000B1866" w:rsidRPr="00852E0C">
        <w:rPr>
          <w:color w:val="000000" w:themeColor="text1"/>
          <w:szCs w:val="24"/>
        </w:rPr>
        <w:t xml:space="preserve"> sadarbības līgums starp Ziemeļu Ministru padomi, Latvijas zinātnisko institūciju zinātniskās aktivitātes un kapacitātes ārējā izvērtējuma </w:t>
      </w:r>
      <w:r w:rsidR="001E1777" w:rsidRPr="00852E0C">
        <w:rPr>
          <w:color w:val="000000" w:themeColor="text1"/>
          <w:szCs w:val="24"/>
        </w:rPr>
        <w:t>veikšanā)</w:t>
      </w:r>
      <w:r w:rsidR="001E1777" w:rsidRPr="00852E0C">
        <w:rPr>
          <w:color w:val="000000" w:themeColor="text1"/>
          <w:szCs w:val="24"/>
          <w:lang w:eastAsia="lv-LV"/>
        </w:rPr>
        <w:t>, publicitātes un informatīvo pasākumu organizēšan</w:t>
      </w:r>
      <w:r w:rsidR="00482B6A" w:rsidRPr="00852E0C">
        <w:rPr>
          <w:color w:val="000000" w:themeColor="text1"/>
          <w:szCs w:val="24"/>
          <w:lang w:eastAsia="lv-LV"/>
        </w:rPr>
        <w:t>ai (nodrošinot reģionālo semināru ciklus, publikāciju satura izstrādi u.c. aktuālos pasākumus)</w:t>
      </w:r>
      <w:r w:rsidRPr="00852E0C">
        <w:rPr>
          <w:color w:val="000000" w:themeColor="text1"/>
          <w:szCs w:val="24"/>
          <w:lang w:eastAsia="lv-LV"/>
        </w:rPr>
        <w:t xml:space="preserve">, kā arī </w:t>
      </w:r>
      <w:proofErr w:type="spellStart"/>
      <w:r w:rsidR="001E1777" w:rsidRPr="00852E0C">
        <w:rPr>
          <w:color w:val="000000" w:themeColor="text1"/>
          <w:szCs w:val="24"/>
          <w:lang w:eastAsia="lv-LV"/>
        </w:rPr>
        <w:t>ex-ante</w:t>
      </w:r>
      <w:proofErr w:type="spellEnd"/>
      <w:r w:rsidR="001E1777" w:rsidRPr="00852E0C">
        <w:rPr>
          <w:color w:val="000000" w:themeColor="text1"/>
          <w:szCs w:val="24"/>
          <w:lang w:eastAsia="lv-LV"/>
        </w:rPr>
        <w:t xml:space="preserve"> izvērtējumu veikšanā</w:t>
      </w:r>
      <w:r w:rsidR="005E3CC1" w:rsidRPr="00852E0C">
        <w:rPr>
          <w:rStyle w:val="FootnoteReference"/>
          <w:color w:val="000000" w:themeColor="text1"/>
          <w:szCs w:val="24"/>
          <w:lang w:eastAsia="lv-LV"/>
        </w:rPr>
        <w:footnoteReference w:id="30"/>
      </w:r>
      <w:r w:rsidR="001E1777" w:rsidRPr="00852E0C">
        <w:rPr>
          <w:color w:val="000000" w:themeColor="text1"/>
          <w:szCs w:val="24"/>
          <w:lang w:eastAsia="lv-LV"/>
        </w:rPr>
        <w:t xml:space="preserve">, lai nodrošinātu investīciju plānošanu izglītības, pētniecības </w:t>
      </w:r>
      <w:r w:rsidR="005E3CC1" w:rsidRPr="00852E0C">
        <w:rPr>
          <w:color w:val="000000" w:themeColor="text1"/>
          <w:szCs w:val="24"/>
          <w:lang w:eastAsia="lv-LV"/>
        </w:rPr>
        <w:t>un citos Latvijai svarīgos</w:t>
      </w:r>
      <w:r w:rsidR="00012827">
        <w:rPr>
          <w:color w:val="000000" w:themeColor="text1"/>
          <w:szCs w:val="24"/>
          <w:lang w:eastAsia="lv-LV"/>
        </w:rPr>
        <w:t xml:space="preserve"> sektoros nākamajā 2014. – </w:t>
      </w:r>
      <w:r w:rsidR="001E1777" w:rsidRPr="00852E0C">
        <w:rPr>
          <w:color w:val="000000" w:themeColor="text1"/>
          <w:szCs w:val="24"/>
          <w:lang w:eastAsia="lv-LV"/>
        </w:rPr>
        <w:t>2020.gada ES fondu plānošanas periodā.</w:t>
      </w:r>
    </w:p>
    <w:p w14:paraId="765584C6" w14:textId="09D614D0" w:rsidR="00C52E02" w:rsidRPr="00852E0C" w:rsidRDefault="00C52E02" w:rsidP="00852E0C">
      <w:pPr>
        <w:pStyle w:val="NormalWeb"/>
        <w:spacing w:before="120" w:beforeAutospacing="0" w:after="120" w:afterAutospacing="0" w:line="276" w:lineRule="auto"/>
        <w:jc w:val="both"/>
        <w:rPr>
          <w:color w:val="000000" w:themeColor="text1"/>
          <w:lang w:val="lv-LV" w:eastAsia="lv-LV"/>
        </w:rPr>
      </w:pPr>
      <w:r w:rsidRPr="00852E0C">
        <w:rPr>
          <w:color w:val="000000" w:themeColor="text1"/>
          <w:lang w:val="lv-LV" w:eastAsia="lv-LV"/>
        </w:rPr>
        <w:t>Lielākā daļa izdevumu 55</w:t>
      </w:r>
      <w:r w:rsidR="008C2E46" w:rsidRPr="00852E0C">
        <w:rPr>
          <w:color w:val="000000" w:themeColor="text1"/>
          <w:lang w:val="lv-LV" w:eastAsia="lv-LV"/>
        </w:rPr>
        <w:t>,4</w:t>
      </w:r>
      <w:r w:rsidRPr="00852E0C">
        <w:rPr>
          <w:color w:val="000000" w:themeColor="text1"/>
          <w:lang w:val="lv-LV" w:eastAsia="lv-LV"/>
        </w:rPr>
        <w:t>% no kopējām izmaksām izmantota ES fondu uzraudzības nodrošināšanai. ES fondu administrēšanas atbalsta funkciju nodrošināšanas izdevumi (lietveži, grāmatveži, juristi, kā arī aprīkojums, pamatlīdzekļi, apsaimniekošana u.tml.) veido 15</w:t>
      </w:r>
      <w:r w:rsidR="008C2E46" w:rsidRPr="00852E0C">
        <w:rPr>
          <w:color w:val="000000" w:themeColor="text1"/>
          <w:lang w:val="lv-LV" w:eastAsia="lv-LV"/>
        </w:rPr>
        <w:t>,0</w:t>
      </w:r>
      <w:r w:rsidRPr="00852E0C">
        <w:rPr>
          <w:color w:val="000000" w:themeColor="text1"/>
          <w:lang w:val="lv-LV" w:eastAsia="lv-LV"/>
        </w:rPr>
        <w:t>%. Pārējās izdevumu pozīcijās izdevumu īpatsvars ir bijis robežās līdz 5</w:t>
      </w:r>
      <w:r w:rsidR="008C2E46" w:rsidRPr="00852E0C">
        <w:rPr>
          <w:color w:val="000000" w:themeColor="text1"/>
          <w:lang w:val="lv-LV" w:eastAsia="lv-LV"/>
        </w:rPr>
        <w:t>,0</w:t>
      </w:r>
      <w:r w:rsidRPr="00852E0C">
        <w:rPr>
          <w:color w:val="000000" w:themeColor="text1"/>
          <w:lang w:val="lv-LV" w:eastAsia="lv-LV"/>
        </w:rPr>
        <w:t>%.</w:t>
      </w:r>
    </w:p>
    <w:p w14:paraId="78D82406" w14:textId="77777777" w:rsidR="002D0230" w:rsidRPr="00852E0C" w:rsidRDefault="002D0230" w:rsidP="00852E0C">
      <w:pPr>
        <w:pStyle w:val="1lmenis"/>
        <w:spacing w:before="120" w:after="120" w:line="276" w:lineRule="auto"/>
        <w:ind w:left="709"/>
        <w:rPr>
          <w:rFonts w:ascii="Times New Roman" w:hAnsi="Times New Roman"/>
          <w:color w:val="000000" w:themeColor="text1"/>
          <w:sz w:val="24"/>
          <w:szCs w:val="24"/>
          <w:lang w:val="lv-LV"/>
        </w:rPr>
      </w:pPr>
      <w:bookmarkStart w:id="29" w:name="_Toc324948883"/>
      <w:bookmarkStart w:id="30" w:name="_Toc356465231"/>
      <w:bookmarkStart w:id="31" w:name="_Toc276049988"/>
      <w:bookmarkStart w:id="32" w:name="_Toc290449013"/>
      <w:bookmarkStart w:id="33" w:name="_Toc324948886"/>
      <w:bookmarkEnd w:id="27"/>
      <w:bookmarkEnd w:id="28"/>
      <w:r w:rsidRPr="00852E0C">
        <w:rPr>
          <w:rFonts w:ascii="Times New Roman" w:hAnsi="Times New Roman"/>
          <w:color w:val="000000" w:themeColor="text1"/>
          <w:sz w:val="24"/>
          <w:szCs w:val="24"/>
          <w:lang w:val="lv-LV"/>
        </w:rPr>
        <w:lastRenderedPageBreak/>
        <w:t xml:space="preserve">EEZ/Norvēģijas finanšu instrumentu </w:t>
      </w:r>
      <w:bookmarkEnd w:id="29"/>
      <w:r w:rsidRPr="00852E0C">
        <w:rPr>
          <w:rFonts w:ascii="Times New Roman" w:hAnsi="Times New Roman"/>
          <w:color w:val="000000" w:themeColor="text1"/>
          <w:sz w:val="24"/>
          <w:szCs w:val="24"/>
          <w:lang w:val="lv-LV"/>
        </w:rPr>
        <w:t>investīcijas</w:t>
      </w:r>
      <w:r w:rsidRPr="00852E0C">
        <w:rPr>
          <w:rStyle w:val="FootnoteReference"/>
          <w:rFonts w:ascii="Times New Roman" w:hAnsi="Times New Roman"/>
          <w:color w:val="000000" w:themeColor="text1"/>
          <w:sz w:val="24"/>
          <w:szCs w:val="24"/>
          <w:lang w:val="lv-LV"/>
        </w:rPr>
        <w:footnoteReference w:id="31"/>
      </w:r>
      <w:bookmarkEnd w:id="30"/>
    </w:p>
    <w:p w14:paraId="16EB021A"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 xml:space="preserve">2013.gada 23.janvārī </w:t>
      </w:r>
      <w:proofErr w:type="spellStart"/>
      <w:r w:rsidRPr="00852E0C">
        <w:rPr>
          <w:rFonts w:eastAsiaTheme="minorHAnsi"/>
          <w:color w:val="000000" w:themeColor="text1"/>
          <w:szCs w:val="24"/>
        </w:rPr>
        <w:t>donorvalstis</w:t>
      </w:r>
      <w:proofErr w:type="spellEnd"/>
      <w:r w:rsidRPr="00852E0C">
        <w:rPr>
          <w:rFonts w:eastAsiaTheme="minorHAnsi"/>
          <w:color w:val="000000" w:themeColor="text1"/>
          <w:szCs w:val="24"/>
        </w:rPr>
        <w:t xml:space="preserve"> apstiprināja pēdējo no septiņām Latvijas programmām – „Stipendijas un Latvijas–Norvēģijas Pētniecības atbalsta fonda un stipendiju programma”.</w:t>
      </w:r>
    </w:p>
    <w:p w14:paraId="50BC65F4"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 xml:space="preserve">Ir parakstīti visi septiņi Programmu līgumi starp </w:t>
      </w:r>
      <w:proofErr w:type="spellStart"/>
      <w:r w:rsidRPr="00852E0C">
        <w:rPr>
          <w:rFonts w:eastAsiaTheme="minorHAnsi"/>
          <w:color w:val="000000" w:themeColor="text1"/>
          <w:szCs w:val="24"/>
        </w:rPr>
        <w:t>donorvalstīm</w:t>
      </w:r>
      <w:proofErr w:type="spellEnd"/>
      <w:r w:rsidRPr="00852E0C">
        <w:rPr>
          <w:rFonts w:eastAsiaTheme="minorHAnsi"/>
          <w:color w:val="000000" w:themeColor="text1"/>
          <w:szCs w:val="24"/>
        </w:rPr>
        <w:t xml:space="preserve"> un VI par šādu EEZ/Norvēģijas finanšu instrumentu līdzfinansēto programmu īstenošanu</w:t>
      </w:r>
      <w:r w:rsidRPr="00852E0C">
        <w:rPr>
          <w:rStyle w:val="FootnoteReference"/>
          <w:rFonts w:eastAsiaTheme="minorHAnsi"/>
          <w:color w:val="000000" w:themeColor="text1"/>
          <w:szCs w:val="24"/>
        </w:rPr>
        <w:footnoteReference w:id="32"/>
      </w:r>
      <w:r w:rsidRPr="00852E0C">
        <w:rPr>
          <w:rFonts w:eastAsiaTheme="minorHAnsi"/>
          <w:color w:val="000000" w:themeColor="text1"/>
          <w:szCs w:val="24"/>
        </w:rPr>
        <w:t>:</w:t>
      </w:r>
    </w:p>
    <w:p w14:paraId="66A0188E" w14:textId="63F94938"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Nacionālā klimata politika (programmas apsaimniekotājs – VARAM) par kopējo summu, ieskai</w:t>
      </w:r>
      <w:r w:rsidR="00352B55">
        <w:rPr>
          <w:rFonts w:ascii="Times New Roman" w:eastAsiaTheme="minorHAnsi" w:hAnsi="Times New Roman"/>
          <w:color w:val="000000" w:themeColor="text1"/>
          <w:sz w:val="24"/>
          <w:szCs w:val="24"/>
        </w:rPr>
        <w:t xml:space="preserve">tot nacionālo līdzfinansējumu – </w:t>
      </w:r>
      <w:r w:rsidRPr="00852E0C">
        <w:rPr>
          <w:rFonts w:ascii="Times New Roman" w:eastAsiaTheme="minorHAnsi" w:hAnsi="Times New Roman"/>
          <w:color w:val="000000" w:themeColor="text1"/>
          <w:sz w:val="24"/>
          <w:szCs w:val="24"/>
        </w:rPr>
        <w:t>7,88 milj.</w:t>
      </w:r>
      <w:r w:rsidR="008B0574" w:rsidRPr="00852E0C">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latu;</w:t>
      </w:r>
    </w:p>
    <w:p w14:paraId="26DAF467" w14:textId="6D1E5823"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NVO fonds (SIF) – 7,67 milj.</w:t>
      </w:r>
      <w:r w:rsidR="008B0574" w:rsidRPr="00852E0C">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latu;</w:t>
      </w:r>
    </w:p>
    <w:p w14:paraId="38DECDB7" w14:textId="77777777"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Kultūras un dabas mantojuma saglabāšana un atjaunināšana (KM) – 8,28 milj. latu;</w:t>
      </w:r>
    </w:p>
    <w:p w14:paraId="5686A518" w14:textId="601ABAC6"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Inovācijas „zaļās” ražošanas jomā (EM) – 8,85 milj.</w:t>
      </w:r>
      <w:r w:rsidR="008B0574" w:rsidRPr="00852E0C">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latu;</w:t>
      </w:r>
    </w:p>
    <w:p w14:paraId="06786BBB" w14:textId="3CD6252C"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Kapacitātes stiprināšana un institucionālā sadarbība ar Norvēģijas valsts iestādē</w:t>
      </w:r>
      <w:r w:rsidR="00352B55">
        <w:rPr>
          <w:rFonts w:ascii="Times New Roman" w:eastAsiaTheme="minorHAnsi" w:hAnsi="Times New Roman"/>
          <w:color w:val="000000" w:themeColor="text1"/>
          <w:sz w:val="24"/>
          <w:szCs w:val="24"/>
        </w:rPr>
        <w:t xml:space="preserve">m, vietējām (VARAM) – </w:t>
      </w:r>
      <w:r w:rsidRPr="00852E0C">
        <w:rPr>
          <w:rFonts w:ascii="Times New Roman" w:eastAsiaTheme="minorHAnsi" w:hAnsi="Times New Roman"/>
          <w:color w:val="000000" w:themeColor="text1"/>
          <w:sz w:val="24"/>
          <w:szCs w:val="24"/>
        </w:rPr>
        <w:t>3,97 milj.</w:t>
      </w:r>
      <w:r w:rsidR="008B0574" w:rsidRPr="00852E0C">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latu;</w:t>
      </w:r>
    </w:p>
    <w:p w14:paraId="54C98886" w14:textId="4285B143"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Latvijas korekcijas dienestu un Valsts policijas īslaicīgās aizturēšanas vietu reforma (TM sadarbībā ar IEM) – 10,80 milj.</w:t>
      </w:r>
      <w:r w:rsidR="008B0574" w:rsidRPr="00852E0C">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latu;</w:t>
      </w:r>
    </w:p>
    <w:p w14:paraId="5287613C" w14:textId="461E52F6" w:rsidR="002D0230" w:rsidRPr="00852E0C" w:rsidRDefault="002D0230" w:rsidP="00852E0C">
      <w:pPr>
        <w:pStyle w:val="ListParagraph"/>
        <w:numPr>
          <w:ilvl w:val="0"/>
          <w:numId w:val="19"/>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Stipendijas un Latvijas</w:t>
      </w:r>
      <w:r w:rsidR="00822986">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w:t>
      </w:r>
      <w:r w:rsidR="00822986">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Norvēģijas Pētniecības atbalsta fonda un stipendiju programma (IZM) –</w:t>
      </w:r>
      <w:r w:rsidR="00822986">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4,30 milj.</w:t>
      </w:r>
      <w:r w:rsidR="008B0574" w:rsidRPr="00852E0C">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latu.</w:t>
      </w:r>
    </w:p>
    <w:p w14:paraId="2EAA0B7F"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Piecās no septiņām programmām ir plānoti atklātie projektu konkursi. Pirmais konkurss tika izsludināts 2012.gada 27.novembrī NVO fondā. Projektu iesniegumus varēja iesniegt divās apakšprogrammās: „NVO darbības atbalsta programma” un „NVO projektu programma”. Kopumā abās apakšprogrammās tika iesniegti 588 projektu iesniegumi par summu, kas vairāk nekā divas reizes pārsniedza apakšprogrammās pieejamo līdzfinansējumu. Visu projektu iesniegumu vērtēšanu plānots pabeigt 2013.gada 2.ceturksnī. Pārējās programmās konkursi plānoti, sākot ar 2013.gada otrā ceturkšņa beigām.</w:t>
      </w:r>
    </w:p>
    <w:p w14:paraId="4C87D2AA"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 xml:space="preserve">VI, turpinot darbu pie Bilaterālā fonda nacionālā līmenī (NBF) aktivitāšu plāna saskaņošanas ar </w:t>
      </w:r>
      <w:proofErr w:type="spellStart"/>
      <w:r w:rsidRPr="00852E0C">
        <w:rPr>
          <w:rFonts w:eastAsiaTheme="minorHAnsi"/>
          <w:color w:val="000000" w:themeColor="text1"/>
          <w:szCs w:val="24"/>
        </w:rPr>
        <w:t>donorvalstīm</w:t>
      </w:r>
      <w:proofErr w:type="spellEnd"/>
      <w:r w:rsidRPr="00852E0C">
        <w:rPr>
          <w:rFonts w:eastAsiaTheme="minorHAnsi"/>
          <w:color w:val="000000" w:themeColor="text1"/>
          <w:szCs w:val="24"/>
        </w:rPr>
        <w:t xml:space="preserve">, pārskata periodā ir notikušas tikšanās ar </w:t>
      </w:r>
      <w:proofErr w:type="spellStart"/>
      <w:r w:rsidRPr="00852E0C">
        <w:rPr>
          <w:rFonts w:eastAsiaTheme="minorHAnsi"/>
          <w:color w:val="000000" w:themeColor="text1"/>
          <w:szCs w:val="24"/>
        </w:rPr>
        <w:t>donorvalstu</w:t>
      </w:r>
      <w:proofErr w:type="spellEnd"/>
      <w:r w:rsidRPr="00852E0C">
        <w:rPr>
          <w:rFonts w:eastAsiaTheme="minorHAnsi"/>
          <w:color w:val="000000" w:themeColor="text1"/>
          <w:szCs w:val="24"/>
        </w:rPr>
        <w:t xml:space="preserve"> konceptuāli atbalstīto prioritāro aktivitāšu īstenotājiem. 2013.gada 7. februārī notika tikšanās starp Norvēģijas vēstniecības, nodibinājuma „Rīga 2014” un VI pārstāvjiem, kuras laikā nodibinājuma pārstāvji prezentēja prioritārajā aktivitātē „Rīga–Eiropas kultūras galvaspilsēta 2014” plānotos, no NBF finansējamos pasākumus. 2013.gada 13.februārī notika VI pārstāvju tikšanās ar Latvijas prezidentūras ES Padomē sekretariāta un ĀM pārstāvjiem, lai pārrunātu iespējamos no NBF atbalstāmos pasākumus un sadarbības formu Latvijas prezidentūras laikā ES Padomē. Par konkrēto īstenojamo </w:t>
      </w:r>
      <w:r w:rsidRPr="00852E0C">
        <w:rPr>
          <w:rFonts w:eastAsiaTheme="minorHAnsi"/>
          <w:color w:val="000000" w:themeColor="text1"/>
          <w:szCs w:val="24"/>
        </w:rPr>
        <w:lastRenderedPageBreak/>
        <w:t>pasākumu apstiprināšu tiks lemts EEZ/Norvēģijas finanšu instrumentu gada sanāksmē, kas notiks 2013.gada 29.maijā FM.</w:t>
      </w:r>
    </w:p>
    <w:p w14:paraId="11A9A132" w14:textId="4B10E07B" w:rsidR="002D0230" w:rsidRPr="00852E0C" w:rsidRDefault="002D0230" w:rsidP="00852E0C">
      <w:pPr>
        <w:pStyle w:val="tv20787921"/>
        <w:spacing w:before="120" w:after="120" w:line="276" w:lineRule="auto"/>
        <w:jc w:val="both"/>
        <w:rPr>
          <w:rFonts w:ascii="Times New Roman" w:eastAsiaTheme="minorHAnsi" w:hAnsi="Times New Roman"/>
          <w:b w:val="0"/>
          <w:color w:val="000000" w:themeColor="text1"/>
          <w:sz w:val="24"/>
          <w:szCs w:val="24"/>
        </w:rPr>
      </w:pPr>
      <w:r w:rsidRPr="00852E0C">
        <w:rPr>
          <w:rFonts w:ascii="Times New Roman" w:eastAsiaTheme="minorHAnsi" w:hAnsi="Times New Roman"/>
          <w:b w:val="0"/>
          <w:color w:val="000000" w:themeColor="text1"/>
          <w:sz w:val="24"/>
          <w:szCs w:val="24"/>
        </w:rPr>
        <w:t>2013.gada 29.janvāra MK sēdē tika apstiprināti noteikumi</w:t>
      </w:r>
      <w:r w:rsidR="00454366" w:rsidRPr="00852E0C">
        <w:rPr>
          <w:rFonts w:ascii="Times New Roman" w:eastAsiaTheme="minorHAnsi" w:hAnsi="Times New Roman"/>
          <w:b w:val="0"/>
          <w:color w:val="000000" w:themeColor="text1"/>
          <w:sz w:val="24"/>
          <w:szCs w:val="24"/>
        </w:rPr>
        <w:t xml:space="preserve"> Nr.67</w:t>
      </w:r>
      <w:r w:rsidRPr="00852E0C">
        <w:rPr>
          <w:rFonts w:ascii="Times New Roman" w:eastAsiaTheme="minorHAnsi" w:hAnsi="Times New Roman"/>
          <w:b w:val="0"/>
          <w:color w:val="000000" w:themeColor="text1"/>
          <w:sz w:val="24"/>
          <w:szCs w:val="24"/>
        </w:rPr>
        <w:t xml:space="preserve"> </w:t>
      </w:r>
      <w:r w:rsidR="004315D3" w:rsidRPr="00852E0C">
        <w:rPr>
          <w:rFonts w:ascii="Times New Roman" w:eastAsiaTheme="minorHAnsi" w:hAnsi="Times New Roman"/>
          <w:b w:val="0"/>
          <w:color w:val="000000" w:themeColor="text1"/>
          <w:sz w:val="24"/>
          <w:szCs w:val="24"/>
        </w:rPr>
        <w:t>„</w:t>
      </w:r>
      <w:r w:rsidR="004315D3" w:rsidRPr="00852E0C">
        <w:rPr>
          <w:rFonts w:ascii="Times New Roman" w:hAnsi="Times New Roman"/>
          <w:b w:val="0"/>
          <w:color w:val="000000" w:themeColor="text1"/>
          <w:sz w:val="24"/>
          <w:szCs w:val="24"/>
        </w:rPr>
        <w:t>Eiropas Ekonomikas zonas finanšu instrumenta un Norvēģijas finanšu instrumenta 2009.–2014.gada perioda uzraudzības noteikumi”</w:t>
      </w:r>
      <w:r w:rsidRPr="00852E0C">
        <w:rPr>
          <w:rFonts w:ascii="Times New Roman" w:eastAsiaTheme="minorHAnsi" w:hAnsi="Times New Roman"/>
          <w:b w:val="0"/>
          <w:color w:val="000000" w:themeColor="text1"/>
          <w:sz w:val="24"/>
          <w:szCs w:val="24"/>
        </w:rPr>
        <w:t>. Lai nodrošinātu apstiprināto programmu ieviešanu, 2013.gada 1.ceturksnī MK apstiprināti šādi noteikumu projekti:</w:t>
      </w:r>
    </w:p>
    <w:p w14:paraId="3399C20C" w14:textId="06E4B0A9" w:rsidR="002D0230" w:rsidRPr="00852E0C" w:rsidRDefault="002D0230" w:rsidP="00852E0C">
      <w:pPr>
        <w:pStyle w:val="ListParagraph"/>
        <w:numPr>
          <w:ilvl w:val="0"/>
          <w:numId w:val="20"/>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 xml:space="preserve">26.februārī </w:t>
      </w:r>
      <w:r w:rsidR="00454366" w:rsidRPr="00852E0C">
        <w:rPr>
          <w:rFonts w:ascii="Times New Roman" w:eastAsiaTheme="minorHAnsi" w:hAnsi="Times New Roman"/>
          <w:color w:val="000000" w:themeColor="text1"/>
          <w:sz w:val="24"/>
          <w:szCs w:val="24"/>
        </w:rPr>
        <w:t xml:space="preserve">Nr.111 </w:t>
      </w:r>
      <w:r w:rsidRPr="00852E0C">
        <w:rPr>
          <w:rFonts w:ascii="Times New Roman" w:eastAsiaTheme="minorHAnsi" w:hAnsi="Times New Roman"/>
          <w:color w:val="000000" w:themeColor="text1"/>
          <w:sz w:val="24"/>
          <w:szCs w:val="24"/>
        </w:rPr>
        <w:t>„Norvēģijas finanšu instrumenta 2009.–2014.gada perioda programmas „Kapacitātes stiprināšana un institucionālā sadarbība starp Latvijas un Norvēģijas valsts institūcijām, vietējām un reģionālām iestādēm” īstenošanas kārtība”;</w:t>
      </w:r>
    </w:p>
    <w:p w14:paraId="2CB619C2" w14:textId="23BFE403" w:rsidR="002D0230" w:rsidRPr="00852E0C" w:rsidRDefault="002D0230" w:rsidP="00852E0C">
      <w:pPr>
        <w:pStyle w:val="ListParagraph"/>
        <w:numPr>
          <w:ilvl w:val="0"/>
          <w:numId w:val="20"/>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26.martā</w:t>
      </w:r>
      <w:r w:rsidR="00454366" w:rsidRPr="00852E0C">
        <w:rPr>
          <w:rFonts w:ascii="Times New Roman" w:eastAsiaTheme="minorHAnsi" w:hAnsi="Times New Roman"/>
          <w:color w:val="000000" w:themeColor="text1"/>
          <w:sz w:val="24"/>
          <w:szCs w:val="24"/>
        </w:rPr>
        <w:t xml:space="preserve"> Nr.</w:t>
      </w:r>
      <w:r w:rsidRPr="00852E0C">
        <w:rPr>
          <w:rFonts w:ascii="Times New Roman" w:eastAsiaTheme="minorHAnsi" w:hAnsi="Times New Roman"/>
          <w:color w:val="000000" w:themeColor="text1"/>
          <w:sz w:val="24"/>
          <w:szCs w:val="24"/>
        </w:rPr>
        <w:t xml:space="preserve"> </w:t>
      </w:r>
      <w:r w:rsidR="00454366" w:rsidRPr="00852E0C">
        <w:rPr>
          <w:rFonts w:ascii="Times New Roman" w:eastAsiaTheme="minorHAnsi" w:hAnsi="Times New Roman"/>
          <w:color w:val="000000" w:themeColor="text1"/>
          <w:sz w:val="24"/>
          <w:szCs w:val="24"/>
        </w:rPr>
        <w:t xml:space="preserve">162 </w:t>
      </w:r>
      <w:r w:rsidRPr="00852E0C">
        <w:rPr>
          <w:rFonts w:ascii="Times New Roman" w:eastAsiaTheme="minorHAnsi" w:hAnsi="Times New Roman"/>
          <w:color w:val="000000" w:themeColor="text1"/>
          <w:sz w:val="24"/>
          <w:szCs w:val="24"/>
        </w:rPr>
        <w:t>„</w:t>
      </w:r>
      <w:r w:rsidR="00192793" w:rsidRPr="00852E0C">
        <w:rPr>
          <w:rFonts w:ascii="Times New Roman" w:hAnsi="Times New Roman"/>
          <w:color w:val="000000" w:themeColor="text1"/>
          <w:sz w:val="24"/>
          <w:szCs w:val="24"/>
        </w:rPr>
        <w:t>Eiropas Ekonomikas zonas finanšu instrumenta 2009.–2014.gada perioda</w:t>
      </w:r>
      <w:r w:rsidR="00192793" w:rsidRPr="00852E0C">
        <w:rPr>
          <w:rFonts w:ascii="Times New Roman" w:eastAsiaTheme="minorHAnsi" w:hAnsi="Times New Roman"/>
          <w:color w:val="000000" w:themeColor="text1"/>
          <w:sz w:val="24"/>
          <w:szCs w:val="24"/>
        </w:rPr>
        <w:t xml:space="preserve"> p</w:t>
      </w:r>
      <w:r w:rsidRPr="00852E0C">
        <w:rPr>
          <w:rFonts w:ascii="Times New Roman" w:eastAsiaTheme="minorHAnsi" w:hAnsi="Times New Roman"/>
          <w:color w:val="000000" w:themeColor="text1"/>
          <w:sz w:val="24"/>
          <w:szCs w:val="24"/>
        </w:rPr>
        <w:t>rogrammas „Kultūras un dabas mantojuma saglabāšana un atjaunināšana” īstenošanas kārtība”;</w:t>
      </w:r>
    </w:p>
    <w:p w14:paraId="6106E152" w14:textId="139B10F9" w:rsidR="002D0230" w:rsidRPr="00852E0C" w:rsidRDefault="002D0230" w:rsidP="00852E0C">
      <w:pPr>
        <w:pStyle w:val="ListParagraph"/>
        <w:numPr>
          <w:ilvl w:val="0"/>
          <w:numId w:val="20"/>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 xml:space="preserve">2.aprīlī </w:t>
      </w:r>
      <w:r w:rsidR="00454366" w:rsidRPr="00852E0C">
        <w:rPr>
          <w:rFonts w:ascii="Times New Roman" w:eastAsiaTheme="minorHAnsi" w:hAnsi="Times New Roman"/>
          <w:color w:val="000000" w:themeColor="text1"/>
          <w:sz w:val="24"/>
          <w:szCs w:val="24"/>
        </w:rPr>
        <w:t xml:space="preserve">Nr. 181 </w:t>
      </w:r>
      <w:r w:rsidRPr="00852E0C">
        <w:rPr>
          <w:rFonts w:ascii="Times New Roman" w:eastAsiaTheme="minorHAnsi" w:hAnsi="Times New Roman"/>
          <w:color w:val="000000" w:themeColor="text1"/>
          <w:sz w:val="24"/>
          <w:szCs w:val="24"/>
        </w:rPr>
        <w:t>„</w:t>
      </w:r>
      <w:r w:rsidR="00995DB8" w:rsidRPr="00852E0C">
        <w:rPr>
          <w:rFonts w:ascii="Times New Roman" w:hAnsi="Times New Roman"/>
          <w:bCs/>
          <w:color w:val="000000" w:themeColor="text1"/>
          <w:sz w:val="24"/>
          <w:szCs w:val="24"/>
        </w:rPr>
        <w:t>Norvēģijas finanšu instrumenta 2009.-2014.gada perioda</w:t>
      </w:r>
      <w:r w:rsidR="00995DB8" w:rsidRPr="00852E0C">
        <w:rPr>
          <w:rFonts w:ascii="Times New Roman" w:hAnsi="Times New Roman"/>
          <w:b/>
          <w:bCs/>
          <w:color w:val="000000" w:themeColor="text1"/>
          <w:sz w:val="24"/>
          <w:szCs w:val="24"/>
        </w:rPr>
        <w:t xml:space="preserve"> </w:t>
      </w:r>
      <w:r w:rsidR="00995DB8" w:rsidRPr="00852E0C">
        <w:rPr>
          <w:rFonts w:ascii="Times New Roman" w:eastAsiaTheme="minorHAnsi" w:hAnsi="Times New Roman"/>
          <w:color w:val="000000" w:themeColor="text1"/>
          <w:sz w:val="24"/>
          <w:szCs w:val="24"/>
        </w:rPr>
        <w:t>p</w:t>
      </w:r>
      <w:r w:rsidRPr="00852E0C">
        <w:rPr>
          <w:rFonts w:ascii="Times New Roman" w:eastAsiaTheme="minorHAnsi" w:hAnsi="Times New Roman"/>
          <w:color w:val="000000" w:themeColor="text1"/>
          <w:sz w:val="24"/>
          <w:szCs w:val="24"/>
        </w:rPr>
        <w:t>rogrammas „Inovācijas „zaļās” ražošanas jomā” īstenošanas kārtība”.</w:t>
      </w:r>
    </w:p>
    <w:p w14:paraId="5FFEE951"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 xml:space="preserve">Vienlaikus, lai turpmāk nodrošinātu paātrinātu programmas noteikumu virzību, ir nepieciešams paredzēt līdzīgu praksi kā ar tiesību aktu virzību par ES fondu aktivitāšu īstenošanu, t.i. – tie tiek iesniegti izskatīšanai MK bez izsludināšanas VSS. Turklāt 2011.gada beigās un 2012.gada 1.ceturksnī visas septiņas programmas pirms to iesniegšanas </w:t>
      </w:r>
      <w:proofErr w:type="spellStart"/>
      <w:r w:rsidRPr="00852E0C">
        <w:rPr>
          <w:rFonts w:eastAsiaTheme="minorHAnsi"/>
          <w:color w:val="000000" w:themeColor="text1"/>
          <w:szCs w:val="24"/>
        </w:rPr>
        <w:t>donorvalstīm</w:t>
      </w:r>
      <w:proofErr w:type="spellEnd"/>
      <w:r w:rsidRPr="00852E0C">
        <w:rPr>
          <w:rFonts w:eastAsiaTheme="minorHAnsi"/>
          <w:color w:val="000000" w:themeColor="text1"/>
          <w:szCs w:val="24"/>
        </w:rPr>
        <w:t xml:space="preserve"> apstiprināšanai nacionāli jau tika izskatītas MK, pirms tam programmu projektus izsludinot VSS, tādejādi ļaujot jau programmas izstrādes laikā dažādu nozares ministriju un citu institūciju pārstāvjiem paust viedokli par programmas ieviešanas nosacījumiem, t.sk., atklāto konkursu vērtēšanas kritērijiem. Ņemot vērā, ka atklāta konkursa nosacījumi un vērtēšanas kritēriji pēc programmu apstiprinājuma no </w:t>
      </w:r>
      <w:proofErr w:type="spellStart"/>
      <w:r w:rsidRPr="00852E0C">
        <w:rPr>
          <w:rFonts w:eastAsiaTheme="minorHAnsi"/>
          <w:color w:val="000000" w:themeColor="text1"/>
          <w:szCs w:val="24"/>
        </w:rPr>
        <w:t>donorvalstu</w:t>
      </w:r>
      <w:proofErr w:type="spellEnd"/>
      <w:r w:rsidRPr="00852E0C">
        <w:rPr>
          <w:rFonts w:eastAsiaTheme="minorHAnsi"/>
          <w:color w:val="000000" w:themeColor="text1"/>
          <w:szCs w:val="24"/>
        </w:rPr>
        <w:t xml:space="preserve"> puses pamatā nav mainīti, FM atbalsta atbildīgo nozares ministriju (programmas apsaimniekotāju) priekšlikumus programmas noteikumus virzīt bez izsludināšanas VSS. Vienlaikus paātrināta programmas noteikumu virzība nodrošinās ātrāku projektu uzsākšanu un investīciju pieeju gala saņēmējiem, ņemot vērā īso projektu ieviešanas periodu, kurā jāapgūst Latvijai piešķirtais finansējums līdz 2016.gada 30.aprīlim.</w:t>
      </w:r>
    </w:p>
    <w:p w14:paraId="5149C328"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 xml:space="preserve">Līdz 2013.gada 31.martam ir nodrošināta programmu līgumu noslēgšana 100% apmērā no Latvijai pieejamā finansējuma un </w:t>
      </w:r>
      <w:proofErr w:type="spellStart"/>
      <w:r w:rsidRPr="00852E0C">
        <w:rPr>
          <w:rFonts w:eastAsiaTheme="minorHAnsi"/>
          <w:color w:val="000000" w:themeColor="text1"/>
          <w:szCs w:val="24"/>
        </w:rPr>
        <w:t>donorvalstis</w:t>
      </w:r>
      <w:proofErr w:type="spellEnd"/>
      <w:r w:rsidRPr="00852E0C">
        <w:rPr>
          <w:rFonts w:eastAsiaTheme="minorHAnsi"/>
          <w:color w:val="000000" w:themeColor="text1"/>
          <w:szCs w:val="24"/>
        </w:rPr>
        <w:t xml:space="preserve"> ir veikušas finanšu instrumentu finansējuma atmaksu 0,1 milj. latu apjomā par TP projekta ietvaros veiktajām izmaksām.</w:t>
      </w:r>
    </w:p>
    <w:p w14:paraId="15D0C39B" w14:textId="77777777" w:rsidR="002D0230" w:rsidRPr="00852E0C" w:rsidRDefault="002D0230" w:rsidP="00852E0C">
      <w:pPr>
        <w:spacing w:line="276" w:lineRule="auto"/>
        <w:rPr>
          <w:rFonts w:eastAsiaTheme="minorHAnsi"/>
          <w:color w:val="000000" w:themeColor="text1"/>
          <w:szCs w:val="24"/>
        </w:rPr>
      </w:pPr>
      <w:r w:rsidRPr="00852E0C">
        <w:rPr>
          <w:rFonts w:eastAsiaTheme="minorHAnsi"/>
          <w:color w:val="000000" w:themeColor="text1"/>
          <w:szCs w:val="24"/>
        </w:rPr>
        <w:t xml:space="preserve">Saskaņā ar MK 2013.gada 12.marta sēdes </w:t>
      </w:r>
      <w:proofErr w:type="spellStart"/>
      <w:r w:rsidRPr="00852E0C">
        <w:rPr>
          <w:rFonts w:eastAsiaTheme="minorHAnsi"/>
          <w:color w:val="000000" w:themeColor="text1"/>
          <w:szCs w:val="24"/>
        </w:rPr>
        <w:t>protokollēmuma</w:t>
      </w:r>
      <w:proofErr w:type="spellEnd"/>
      <w:r w:rsidRPr="00852E0C">
        <w:rPr>
          <w:rFonts w:eastAsiaTheme="minorHAnsi"/>
          <w:color w:val="000000" w:themeColor="text1"/>
          <w:szCs w:val="24"/>
        </w:rPr>
        <w:t xml:space="preserve"> (</w:t>
      </w:r>
      <w:proofErr w:type="spellStart"/>
      <w:r w:rsidRPr="00852E0C">
        <w:rPr>
          <w:rFonts w:eastAsiaTheme="minorHAnsi"/>
          <w:color w:val="000000" w:themeColor="text1"/>
          <w:szCs w:val="24"/>
        </w:rPr>
        <w:t>prot</w:t>
      </w:r>
      <w:proofErr w:type="spellEnd"/>
      <w:r w:rsidRPr="00852E0C">
        <w:rPr>
          <w:rFonts w:eastAsiaTheme="minorHAnsi"/>
          <w:color w:val="000000" w:themeColor="text1"/>
          <w:szCs w:val="24"/>
        </w:rPr>
        <w:t xml:space="preserve">. Nr.14 32.§) 4.punktu 2013.gadā ir plānots apgūt 8,1 milj. latu (7,3 milj. latu – EEZ/Norvēģijas finanšu instrumentu grants un 0,8 milj. latu – nacionālais līdzfinansējums). 2013.gada 1.ceturksnī plānotais valsts budžeta finansējums tika izlietots mazākā apmērā – 52% no plānotā. Iestādes skaidro plānu novirzes ar to, ka </w:t>
      </w:r>
      <w:proofErr w:type="spellStart"/>
      <w:r w:rsidRPr="00852E0C">
        <w:rPr>
          <w:rFonts w:eastAsiaTheme="minorHAnsi"/>
          <w:color w:val="000000" w:themeColor="text1"/>
          <w:szCs w:val="24"/>
        </w:rPr>
        <w:t>donorvalstis</w:t>
      </w:r>
      <w:proofErr w:type="spellEnd"/>
      <w:r w:rsidRPr="00852E0C">
        <w:rPr>
          <w:rFonts w:eastAsiaTheme="minorHAnsi"/>
          <w:color w:val="000000" w:themeColor="text1"/>
          <w:szCs w:val="24"/>
        </w:rPr>
        <w:t xml:space="preserve"> aizkavēja dažu programmu apstiprināšanu, aizkavējās MK noteikumu par programmu ieviešanu izstrāde un apstiprināšana MK, jo vairāki programmās un noteikumos iekļaujamie nosacījumi bija jāsaskaņo arī ar programmu </w:t>
      </w:r>
      <w:proofErr w:type="spellStart"/>
      <w:r w:rsidRPr="00852E0C">
        <w:rPr>
          <w:rFonts w:eastAsiaTheme="minorHAnsi"/>
          <w:color w:val="000000" w:themeColor="text1"/>
          <w:szCs w:val="24"/>
        </w:rPr>
        <w:t>donorvalstu</w:t>
      </w:r>
      <w:proofErr w:type="spellEnd"/>
      <w:r w:rsidRPr="00852E0C">
        <w:rPr>
          <w:rFonts w:eastAsiaTheme="minorHAnsi"/>
          <w:color w:val="000000" w:themeColor="text1"/>
          <w:szCs w:val="24"/>
        </w:rPr>
        <w:t xml:space="preserve"> partneru institūcijām. Attiecīgi lielākās novirzes </w:t>
      </w:r>
      <w:r w:rsidRPr="00852E0C">
        <w:rPr>
          <w:rFonts w:eastAsiaTheme="minorHAnsi"/>
          <w:color w:val="000000" w:themeColor="text1"/>
          <w:szCs w:val="24"/>
        </w:rPr>
        <w:lastRenderedPageBreak/>
        <w:t>no plāna bijušas EM un VARAM. Nozaru ministrijām jānodrošina finansējuma plūsmu reālistiska un precīzāka plānošana.</w:t>
      </w:r>
    </w:p>
    <w:p w14:paraId="094C0FF2" w14:textId="5C332636" w:rsidR="002D0230" w:rsidRPr="00852E0C" w:rsidRDefault="002D0230" w:rsidP="00852E0C">
      <w:pPr>
        <w:pStyle w:val="Default"/>
        <w:spacing w:line="276" w:lineRule="auto"/>
        <w:rPr>
          <w:color w:val="000000" w:themeColor="text1"/>
        </w:rPr>
      </w:pPr>
      <w:r w:rsidRPr="00852E0C">
        <w:rPr>
          <w:rFonts w:eastAsiaTheme="minorHAnsi"/>
          <w:color w:val="000000" w:themeColor="text1"/>
          <w:lang w:eastAsia="en-US"/>
        </w:rPr>
        <w:t>Grafiks Nr.1</w:t>
      </w:r>
      <w:r w:rsidR="004B733A" w:rsidRPr="00852E0C">
        <w:rPr>
          <w:rFonts w:eastAsiaTheme="minorHAnsi"/>
          <w:color w:val="000000" w:themeColor="text1"/>
          <w:lang w:eastAsia="en-US"/>
        </w:rPr>
        <w:t>2</w:t>
      </w:r>
      <w:r w:rsidRPr="00852E0C">
        <w:rPr>
          <w:rFonts w:eastAsiaTheme="minorHAnsi"/>
          <w:color w:val="000000" w:themeColor="text1"/>
          <w:lang w:eastAsia="en-US"/>
        </w:rPr>
        <w:t xml:space="preserve"> </w:t>
      </w:r>
      <w:r w:rsidRPr="00852E0C">
        <w:rPr>
          <w:rFonts w:eastAsiaTheme="minorHAnsi"/>
          <w:i/>
          <w:color w:val="000000" w:themeColor="text1"/>
          <w:lang w:eastAsia="en-US"/>
        </w:rPr>
        <w:t>„EEZ/Norvēģijas finanšu instrumentu finansējuma apguves plāns 2013.gada ceturkšņiem un tā izpilde līdz 2013.gada 31.martam, milj. latu.”</w:t>
      </w:r>
      <w:r w:rsidR="000E0633">
        <w:rPr>
          <w:b/>
          <w:bCs/>
          <w:color w:val="000000" w:themeColor="text1"/>
        </w:rPr>
        <w:t xml:space="preserve"> </w:t>
      </w:r>
      <w:r w:rsidRPr="00852E0C">
        <w:rPr>
          <w:noProof/>
          <w:color w:val="000000" w:themeColor="text1"/>
        </w:rPr>
        <w:drawing>
          <wp:inline distT="0" distB="0" distL="0" distR="0" wp14:anchorId="6745D9E2" wp14:editId="7DC4A4B0">
            <wp:extent cx="5559228" cy="1553671"/>
            <wp:effectExtent l="0" t="0" r="381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60C7734" w14:textId="7B5C1577" w:rsidR="002D0230" w:rsidRPr="00852E0C" w:rsidRDefault="000843C5" w:rsidP="00852E0C">
      <w:pPr>
        <w:spacing w:line="276" w:lineRule="auto"/>
        <w:rPr>
          <w:rFonts w:eastAsiaTheme="minorHAnsi"/>
          <w:color w:val="000000" w:themeColor="text1"/>
          <w:szCs w:val="24"/>
        </w:rPr>
      </w:pPr>
      <w:r w:rsidRPr="00852E0C">
        <w:rPr>
          <w:rFonts w:eastAsiaTheme="minorHAnsi"/>
          <w:color w:val="000000" w:themeColor="text1"/>
          <w:szCs w:val="24"/>
        </w:rPr>
        <w:t xml:space="preserve">2013.gada 29.maijā notiks EEZ/Norvēģijas finanšu instrumentu gada sanāksme, kurā ar </w:t>
      </w:r>
      <w:proofErr w:type="spellStart"/>
      <w:r w:rsidRPr="00852E0C">
        <w:rPr>
          <w:rFonts w:eastAsiaTheme="minorHAnsi"/>
          <w:color w:val="000000" w:themeColor="text1"/>
          <w:szCs w:val="24"/>
        </w:rPr>
        <w:t>donorvalstu</w:t>
      </w:r>
      <w:proofErr w:type="spellEnd"/>
      <w:r w:rsidRPr="00852E0C">
        <w:rPr>
          <w:rFonts w:eastAsiaTheme="minorHAnsi"/>
          <w:color w:val="000000" w:themeColor="text1"/>
          <w:szCs w:val="24"/>
        </w:rPr>
        <w:t xml:space="preserve"> pārstāvjiem tiks pārrunāts programmu īstenošanas progress, apspriestas aktivitātes, kas atbalstāmas bilaterālā fonda nacionālā līmenī ietvaros, kā arī izskatīti citi būtiski jautājumi. </w:t>
      </w:r>
    </w:p>
    <w:p w14:paraId="026BFD0D" w14:textId="433990BB" w:rsidR="00FF4209" w:rsidRPr="00852E0C" w:rsidRDefault="00FF4209" w:rsidP="00852E0C">
      <w:pPr>
        <w:pStyle w:val="1lmenis"/>
        <w:spacing w:before="120" w:after="120" w:line="276" w:lineRule="auto"/>
        <w:ind w:left="709"/>
        <w:rPr>
          <w:rFonts w:ascii="Times New Roman" w:hAnsi="Times New Roman"/>
          <w:color w:val="000000" w:themeColor="text1"/>
          <w:sz w:val="24"/>
          <w:szCs w:val="24"/>
          <w:lang w:val="lv-LV"/>
        </w:rPr>
      </w:pPr>
      <w:bookmarkStart w:id="34" w:name="_Toc356465232"/>
      <w:r w:rsidRPr="00852E0C">
        <w:rPr>
          <w:rFonts w:ascii="Times New Roman" w:hAnsi="Times New Roman"/>
          <w:color w:val="000000" w:themeColor="text1"/>
          <w:sz w:val="24"/>
          <w:szCs w:val="24"/>
          <w:lang w:val="lv-LV"/>
        </w:rPr>
        <w:t xml:space="preserve">Šveices programmas </w:t>
      </w:r>
      <w:bookmarkEnd w:id="31"/>
      <w:bookmarkEnd w:id="32"/>
      <w:bookmarkEnd w:id="33"/>
      <w:r w:rsidR="006741E6" w:rsidRPr="00852E0C">
        <w:rPr>
          <w:rFonts w:ascii="Times New Roman" w:hAnsi="Times New Roman"/>
          <w:color w:val="000000" w:themeColor="text1"/>
          <w:sz w:val="24"/>
          <w:szCs w:val="24"/>
          <w:lang w:val="lv-LV"/>
        </w:rPr>
        <w:t>investīcijas</w:t>
      </w:r>
      <w:bookmarkEnd w:id="34"/>
    </w:p>
    <w:p w14:paraId="2BFBDBD4" w14:textId="77777777" w:rsidR="006055C3" w:rsidRPr="00852E0C" w:rsidRDefault="006055C3" w:rsidP="00852E0C">
      <w:pPr>
        <w:spacing w:line="276" w:lineRule="auto"/>
        <w:rPr>
          <w:rFonts w:eastAsiaTheme="minorHAnsi"/>
          <w:color w:val="000000" w:themeColor="text1"/>
          <w:szCs w:val="24"/>
        </w:rPr>
      </w:pPr>
      <w:bookmarkStart w:id="35" w:name="_Toc276049989"/>
      <w:bookmarkStart w:id="36" w:name="_Toc290449014"/>
      <w:bookmarkStart w:id="37" w:name="_Toc290449856"/>
      <w:r w:rsidRPr="00852E0C">
        <w:rPr>
          <w:rFonts w:eastAsiaTheme="minorHAnsi"/>
          <w:color w:val="000000" w:themeColor="text1"/>
          <w:szCs w:val="24"/>
        </w:rPr>
        <w:t>Šveices programmas finansējums Latvijai ir pieejams no 2007.gada 14.jūnija. Iespēja īstenot projektus un līdz ar to arī apgūt piešķirto finansējumu būs līdz 2017.gada 14.jūnijam. Šveices programmā Latvijai kopumā ir pieejami 56,72 milj. Šveices franku jeb 33,5 milj. latu. 2012.gada 14.jūnijā noslēdzās 5 gadu finanšu saistību periods, līdz kuram Šveices kompetentās iestādes ir apstiprinājušas 6 individuālos projektus, 1 programmu, 3 grantu shēmas, 1 tehniskās palīdzības, t.sk., projektu sagatavošanas fonda projektu par visu Latvijai pieejamo finansējumu, t.i., 100% apmērā. Ir noslēgti visi 11 paredzētie projektu līgumi un ir pabeigti 2 projekti – „Pašvaldību aktivitāšu īstenošana, lai nodrošinātu skolnieku pārvadāšanu un ar to saistītos atbalsta pasākumus” un „Projektu sagatavošanas fonds”.</w:t>
      </w:r>
    </w:p>
    <w:p w14:paraId="2A612033" w14:textId="256C05B0" w:rsidR="00D9332C" w:rsidRPr="00852E0C" w:rsidRDefault="006055C3" w:rsidP="00852E0C">
      <w:pPr>
        <w:spacing w:line="276" w:lineRule="auto"/>
        <w:rPr>
          <w:rFonts w:eastAsiaTheme="minorHAnsi"/>
          <w:color w:val="000000" w:themeColor="text1"/>
          <w:szCs w:val="24"/>
        </w:rPr>
      </w:pPr>
      <w:r w:rsidRPr="00852E0C">
        <w:rPr>
          <w:rFonts w:eastAsiaTheme="minorHAnsi"/>
          <w:color w:val="000000" w:themeColor="text1"/>
          <w:szCs w:val="24"/>
        </w:rPr>
        <w:t>Līdz pārskata perioda beigām atmaksas Šveices programmas finansējuma saņēmējiem ir</w:t>
      </w:r>
      <w:r w:rsidR="000E0633">
        <w:rPr>
          <w:rFonts w:eastAsiaTheme="minorHAnsi"/>
          <w:color w:val="000000" w:themeColor="text1"/>
          <w:szCs w:val="24"/>
        </w:rPr>
        <w:t xml:space="preserve"> </w:t>
      </w:r>
      <w:r w:rsidRPr="00852E0C">
        <w:rPr>
          <w:rFonts w:eastAsiaTheme="minorHAnsi"/>
          <w:color w:val="000000" w:themeColor="text1"/>
          <w:szCs w:val="24"/>
        </w:rPr>
        <w:t>18,3 milj. latu jeb 55% no Šveices programmas kopējā finansējuma</w:t>
      </w:r>
      <w:r w:rsidR="00C844A9" w:rsidRPr="00852E0C">
        <w:rPr>
          <w:rFonts w:eastAsiaTheme="minorHAnsi"/>
          <w:color w:val="000000" w:themeColor="text1"/>
          <w:szCs w:val="24"/>
        </w:rPr>
        <w:t xml:space="preserve">, progress </w:t>
      </w:r>
      <w:r w:rsidRPr="00852E0C">
        <w:rPr>
          <w:rFonts w:eastAsiaTheme="minorHAnsi"/>
          <w:color w:val="000000" w:themeColor="text1"/>
          <w:szCs w:val="24"/>
        </w:rPr>
        <w:t>ceturksn</w:t>
      </w:r>
      <w:r w:rsidR="00C844A9" w:rsidRPr="00852E0C">
        <w:rPr>
          <w:rFonts w:eastAsiaTheme="minorHAnsi"/>
          <w:color w:val="000000" w:themeColor="text1"/>
          <w:szCs w:val="24"/>
        </w:rPr>
        <w:t>ī</w:t>
      </w:r>
      <w:r w:rsidRPr="00852E0C">
        <w:rPr>
          <w:rFonts w:eastAsiaTheme="minorHAnsi"/>
          <w:color w:val="000000" w:themeColor="text1"/>
          <w:szCs w:val="24"/>
        </w:rPr>
        <w:t xml:space="preserve"> par 0,6 milj. latu jeb 1,8%</w:t>
      </w:r>
      <w:r w:rsidR="00C844A9" w:rsidRPr="00852E0C">
        <w:rPr>
          <w:rFonts w:eastAsiaTheme="minorHAnsi"/>
          <w:color w:val="000000" w:themeColor="text1"/>
          <w:szCs w:val="24"/>
        </w:rPr>
        <w:t>, ļaujot Latvijai joprojām saglabāt l</w:t>
      </w:r>
      <w:r w:rsidR="00D9332C" w:rsidRPr="00852E0C">
        <w:rPr>
          <w:rFonts w:eastAsiaTheme="minorHAnsi"/>
          <w:color w:val="000000" w:themeColor="text1"/>
          <w:szCs w:val="24"/>
        </w:rPr>
        <w:t>īdera lomu starp saņēmējvalstīm</w:t>
      </w:r>
      <w:r w:rsidRPr="00852E0C">
        <w:rPr>
          <w:rFonts w:eastAsiaTheme="minorHAnsi"/>
          <w:color w:val="000000" w:themeColor="text1"/>
          <w:szCs w:val="24"/>
        </w:rPr>
        <w:t>.</w:t>
      </w:r>
      <w:r w:rsidR="00D9332C" w:rsidRPr="00852E0C">
        <w:rPr>
          <w:rFonts w:eastAsiaTheme="minorHAnsi"/>
          <w:color w:val="000000" w:themeColor="text1"/>
          <w:szCs w:val="24"/>
        </w:rPr>
        <w:t xml:space="preserve"> </w:t>
      </w:r>
    </w:p>
    <w:p w14:paraId="782D131A" w14:textId="34DC7226" w:rsidR="006055C3" w:rsidRPr="00852E0C" w:rsidRDefault="00D9332C" w:rsidP="00852E0C">
      <w:pPr>
        <w:spacing w:line="276" w:lineRule="auto"/>
        <w:rPr>
          <w:rFonts w:eastAsiaTheme="minorHAnsi"/>
          <w:color w:val="000000" w:themeColor="text1"/>
          <w:szCs w:val="24"/>
        </w:rPr>
      </w:pPr>
      <w:r w:rsidRPr="00852E0C">
        <w:rPr>
          <w:rFonts w:eastAsiaTheme="minorHAnsi"/>
          <w:color w:val="000000" w:themeColor="text1"/>
          <w:szCs w:val="24"/>
        </w:rPr>
        <w:t>2013.gada 25.aprīlī norisinājās Latvijas un Šveices sadarbības programmas gada sanāksme (</w:t>
      </w:r>
      <w:r w:rsidR="00F070EA" w:rsidRPr="00852E0C">
        <w:rPr>
          <w:rFonts w:eastAsiaTheme="minorHAnsi"/>
          <w:color w:val="000000" w:themeColor="text1"/>
          <w:szCs w:val="24"/>
        </w:rPr>
        <w:t>sanāksmes materiāli pieejami</w:t>
      </w:r>
      <w:r w:rsidRPr="00852E0C">
        <w:rPr>
          <w:rFonts w:eastAsiaTheme="minorHAnsi"/>
          <w:color w:val="000000" w:themeColor="text1"/>
          <w:szCs w:val="24"/>
        </w:rPr>
        <w:t xml:space="preserve"> </w:t>
      </w:r>
      <w:hyperlink r:id="rId40" w:history="1">
        <w:r w:rsidR="000D7E3B" w:rsidRPr="00852E0C">
          <w:rPr>
            <w:rStyle w:val="Hyperlink"/>
            <w:rFonts w:ascii="Times New Roman" w:eastAsiaTheme="minorHAnsi" w:hAnsi="Times New Roman" w:cs="Times New Roman"/>
            <w:color w:val="000000" w:themeColor="text1"/>
            <w:sz w:val="24"/>
            <w:szCs w:val="24"/>
          </w:rPr>
          <w:t>Šveices programmas interneta vietnē</w:t>
        </w:r>
      </w:hyperlink>
      <w:r w:rsidR="000D7E3B" w:rsidRPr="00852E0C">
        <w:rPr>
          <w:rStyle w:val="FootnoteReference"/>
          <w:rFonts w:eastAsiaTheme="minorHAnsi"/>
          <w:color w:val="000000" w:themeColor="text1"/>
          <w:szCs w:val="24"/>
        </w:rPr>
        <w:footnoteReference w:id="33"/>
      </w:r>
      <w:r w:rsidR="003F68E8">
        <w:rPr>
          <w:rStyle w:val="Hyperlink"/>
          <w:rFonts w:ascii="Times New Roman" w:eastAsiaTheme="minorHAnsi" w:hAnsi="Times New Roman" w:cs="Times New Roman"/>
          <w:color w:val="000000" w:themeColor="text1"/>
          <w:sz w:val="24"/>
          <w:szCs w:val="24"/>
        </w:rPr>
        <w:t xml:space="preserve"> sadaļā „Dokumenti”</w:t>
      </w:r>
      <w:r w:rsidRPr="00852E0C">
        <w:rPr>
          <w:rFonts w:eastAsiaTheme="minorHAnsi"/>
          <w:color w:val="000000" w:themeColor="text1"/>
          <w:szCs w:val="24"/>
        </w:rPr>
        <w:t>).</w:t>
      </w:r>
      <w:r w:rsidR="000E0633">
        <w:rPr>
          <w:rFonts w:eastAsiaTheme="minorHAnsi"/>
          <w:color w:val="000000" w:themeColor="text1"/>
          <w:szCs w:val="24"/>
        </w:rPr>
        <w:t xml:space="preserve"> </w:t>
      </w:r>
    </w:p>
    <w:p w14:paraId="7A64E388" w14:textId="3AB52A2B" w:rsidR="006055C3" w:rsidRPr="00852E0C" w:rsidRDefault="006055C3" w:rsidP="00852E0C">
      <w:pPr>
        <w:spacing w:line="276" w:lineRule="auto"/>
        <w:rPr>
          <w:color w:val="000000" w:themeColor="text1"/>
          <w:szCs w:val="24"/>
        </w:rPr>
      </w:pPr>
      <w:r w:rsidRPr="00852E0C">
        <w:rPr>
          <w:i/>
          <w:color w:val="000000" w:themeColor="text1"/>
          <w:szCs w:val="24"/>
        </w:rPr>
        <w:t>Tiesu modernizācijas projektā</w:t>
      </w:r>
      <w:r w:rsidRPr="00852E0C">
        <w:rPr>
          <w:color w:val="000000" w:themeColor="text1"/>
          <w:szCs w:val="24"/>
        </w:rPr>
        <w:t xml:space="preserve"> līdz pārskata perioda beigām ir pabeigta visu paredzēto videokonferenču un audio ierakstu iekārtu uzstādīšana tiesu sēžu zālēs (48 tiesās un 12 ieslodzījuma vietās).</w:t>
      </w:r>
      <w:r w:rsidR="00D9332C" w:rsidRPr="00852E0C">
        <w:rPr>
          <w:color w:val="000000" w:themeColor="text1"/>
          <w:szCs w:val="24"/>
        </w:rPr>
        <w:t xml:space="preserve"> Šobrīd ir notikušas 1000 videokonferences un veikti 2000 audioieraksti. Lai sekmētu projekta rezultātu izmantošanu notiek lietotāju apmācības </w:t>
      </w:r>
      <w:r w:rsidR="00D9332C" w:rsidRPr="00852E0C">
        <w:rPr>
          <w:color w:val="000000" w:themeColor="text1"/>
          <w:szCs w:val="24"/>
        </w:rPr>
        <w:lastRenderedPageBreak/>
        <w:t>darbam ar videokonferenču un audio ierakstu iekārtām</w:t>
      </w:r>
      <w:r w:rsidR="002B5EE1" w:rsidRPr="00852E0C">
        <w:rPr>
          <w:color w:val="000000" w:themeColor="text1"/>
          <w:szCs w:val="24"/>
        </w:rPr>
        <w:t xml:space="preserve">, kuras ir nepieciešams aktīvi turpināt. </w:t>
      </w:r>
    </w:p>
    <w:p w14:paraId="0B79D1A5" w14:textId="57A42A01" w:rsidR="006055C3" w:rsidRPr="00852E0C" w:rsidRDefault="006055C3" w:rsidP="00852E0C">
      <w:pPr>
        <w:spacing w:line="276" w:lineRule="auto"/>
        <w:rPr>
          <w:color w:val="000000" w:themeColor="text1"/>
          <w:szCs w:val="24"/>
        </w:rPr>
      </w:pPr>
      <w:r w:rsidRPr="00852E0C">
        <w:rPr>
          <w:i/>
          <w:color w:val="000000" w:themeColor="text1"/>
          <w:szCs w:val="24"/>
        </w:rPr>
        <w:t>NVO fondā</w:t>
      </w:r>
      <w:r w:rsidRPr="00852E0C">
        <w:rPr>
          <w:color w:val="000000" w:themeColor="text1"/>
          <w:szCs w:val="24"/>
        </w:rPr>
        <w:t xml:space="preserve"> sniegts atbalsts NVO aktivitātēm, kas vērstas uz dzīves kvalitātes uzlabošanu jauniešiem un bērniem ar mazākām iespējām un senioriem. Ir pabeigta visu 62 apakšprojektu īstenošana (par 12 projektiem vairāk nekā sākotnēji plānots). 24.aprīlī notik</w:t>
      </w:r>
      <w:r w:rsidR="004D6347" w:rsidRPr="00852E0C">
        <w:rPr>
          <w:color w:val="000000" w:themeColor="text1"/>
          <w:szCs w:val="24"/>
        </w:rPr>
        <w:t>a</w:t>
      </w:r>
      <w:r w:rsidRPr="00852E0C">
        <w:rPr>
          <w:color w:val="000000" w:themeColor="text1"/>
          <w:szCs w:val="24"/>
        </w:rPr>
        <w:t xml:space="preserve"> NVO fonda noslēguma </w:t>
      </w:r>
      <w:r w:rsidR="00A25100" w:rsidRPr="00852E0C">
        <w:rPr>
          <w:color w:val="000000" w:themeColor="text1"/>
          <w:szCs w:val="24"/>
        </w:rPr>
        <w:t>konference</w:t>
      </w:r>
      <w:r w:rsidR="000D7E3B" w:rsidRPr="00852E0C">
        <w:rPr>
          <w:color w:val="000000" w:themeColor="text1"/>
          <w:szCs w:val="24"/>
        </w:rPr>
        <w:t xml:space="preserve"> (vairāk informācija</w:t>
      </w:r>
      <w:r w:rsidR="00E05A20">
        <w:rPr>
          <w:color w:val="000000" w:themeColor="text1"/>
          <w:szCs w:val="24"/>
        </w:rPr>
        <w:t>s skatīt</w:t>
      </w:r>
      <w:r w:rsidR="000D7E3B" w:rsidRPr="00852E0C">
        <w:rPr>
          <w:color w:val="000000" w:themeColor="text1"/>
          <w:szCs w:val="24"/>
        </w:rPr>
        <w:t xml:space="preserve"> </w:t>
      </w:r>
      <w:hyperlink r:id="rId41" w:history="1">
        <w:r w:rsidR="000D7E3B" w:rsidRPr="00852E0C">
          <w:rPr>
            <w:rStyle w:val="Hyperlink"/>
            <w:rFonts w:ascii="Times New Roman" w:hAnsi="Times New Roman" w:cs="Times New Roman"/>
            <w:color w:val="000000" w:themeColor="text1"/>
            <w:sz w:val="24"/>
            <w:szCs w:val="24"/>
          </w:rPr>
          <w:t>Sabiedrības integrācijas fonda interneta vietnē</w:t>
        </w:r>
      </w:hyperlink>
      <w:r w:rsidR="000D7E3B" w:rsidRPr="00852E0C">
        <w:rPr>
          <w:rStyle w:val="FootnoteReference"/>
          <w:color w:val="000000" w:themeColor="text1"/>
          <w:szCs w:val="24"/>
        </w:rPr>
        <w:footnoteReference w:id="34"/>
      </w:r>
      <w:r w:rsidR="003F68E8">
        <w:rPr>
          <w:rStyle w:val="Hyperlink"/>
          <w:rFonts w:ascii="Times New Roman" w:hAnsi="Times New Roman" w:cs="Times New Roman"/>
          <w:color w:val="000000" w:themeColor="text1"/>
          <w:sz w:val="24"/>
          <w:szCs w:val="24"/>
        </w:rPr>
        <w:t xml:space="preserve"> sadaļā „Aktualitātes”</w:t>
      </w:r>
      <w:r w:rsidR="00B764F2" w:rsidRPr="00852E0C">
        <w:rPr>
          <w:rStyle w:val="Hyperlink"/>
          <w:rFonts w:ascii="Times New Roman" w:hAnsi="Times New Roman" w:cs="Times New Roman"/>
          <w:color w:val="000000" w:themeColor="text1"/>
          <w:sz w:val="24"/>
          <w:szCs w:val="24"/>
        </w:rPr>
        <w:t>)</w:t>
      </w:r>
      <w:r w:rsidRPr="00852E0C">
        <w:rPr>
          <w:color w:val="000000" w:themeColor="text1"/>
          <w:szCs w:val="24"/>
        </w:rPr>
        <w:t>.</w:t>
      </w:r>
    </w:p>
    <w:p w14:paraId="715FD52C" w14:textId="555E783D" w:rsidR="00F070EA" w:rsidRPr="00852E0C" w:rsidRDefault="00F070EA" w:rsidP="00852E0C">
      <w:pPr>
        <w:spacing w:line="276" w:lineRule="auto"/>
        <w:rPr>
          <w:color w:val="000000" w:themeColor="text1"/>
          <w:szCs w:val="24"/>
        </w:rPr>
      </w:pPr>
      <w:r w:rsidRPr="00852E0C">
        <w:rPr>
          <w:color w:val="000000" w:themeColor="text1"/>
          <w:szCs w:val="24"/>
        </w:rPr>
        <w:t>Stipendiju fondā 3 atklātajos konkursos doktorantiem un jaunajiem zinātniekiem ir apstiprināti 11 iesniegumi no 23 saņemtajiem. Lai nodrošinātu labāku finansējuma apguvi, sākot ar 2013.gadu konkurss tiek izsludināts 2 reizes gadā (iepriekš notika – vienu reizi gadā). 2013.gada 1.ceturksnī noslēdzies 4.stipendiju konkurss, saņemti 5 pieteikumi. Līdz 2014.gada beigām vēl paredzēti 3 konkursi. Tā kā pēc pirmajiem 3 konkursiem ir apgūts 45,5% no pieejamā finansējuma</w:t>
      </w:r>
      <w:r w:rsidR="000D1070" w:rsidRPr="00852E0C">
        <w:rPr>
          <w:color w:val="000000" w:themeColor="text1"/>
          <w:szCs w:val="24"/>
        </w:rPr>
        <w:t>,</w:t>
      </w:r>
      <w:r w:rsidRPr="00852E0C">
        <w:rPr>
          <w:color w:val="000000" w:themeColor="text1"/>
          <w:szCs w:val="24"/>
        </w:rPr>
        <w:t xml:space="preserve"> nozares ministrijai un stipendiju fonda koordinējošai iestādei Latvijā ir jāveicina </w:t>
      </w:r>
      <w:r w:rsidR="000D1070" w:rsidRPr="00852E0C">
        <w:rPr>
          <w:color w:val="000000" w:themeColor="text1"/>
          <w:szCs w:val="24"/>
        </w:rPr>
        <w:t>fonda līdzekļu</w:t>
      </w:r>
      <w:r w:rsidRPr="00852E0C">
        <w:rPr>
          <w:color w:val="000000" w:themeColor="text1"/>
          <w:szCs w:val="24"/>
        </w:rPr>
        <w:t xml:space="preserve"> apguve. </w:t>
      </w:r>
    </w:p>
    <w:p w14:paraId="0481FF56" w14:textId="3212D847" w:rsidR="00F070EA" w:rsidRPr="00852E0C" w:rsidRDefault="00F070EA" w:rsidP="00852E0C">
      <w:pPr>
        <w:spacing w:line="276" w:lineRule="auto"/>
        <w:rPr>
          <w:color w:val="000000" w:themeColor="text1"/>
          <w:szCs w:val="24"/>
        </w:rPr>
      </w:pPr>
      <w:r w:rsidRPr="00852E0C">
        <w:rPr>
          <w:color w:val="000000" w:themeColor="text1"/>
          <w:szCs w:val="24"/>
        </w:rPr>
        <w:t>Grantu shēma „Šveices pētnieku aktivitātes Latvijā” paredz vismaz 45 stipendiju piešķiršanu Šveices pētniekiem lekciju lasīšanai un pieredzes apmaiņai Latvijas augstskolās un zinātniskajās institūcijās. Pirmajos divos konkursos ir apstiprināti 16 iesniegumi no 17 saņemtajiem. 2013.gada martā izsludināts 3.konkurss. Lai palielinātu finansējuma apguvi grantu shēmā, a</w:t>
      </w:r>
      <w:r w:rsidR="001E0487" w:rsidRPr="00852E0C">
        <w:rPr>
          <w:color w:val="000000" w:themeColor="text1"/>
          <w:szCs w:val="24"/>
        </w:rPr>
        <w:t>r 2013</w:t>
      </w:r>
      <w:r w:rsidRPr="00852E0C">
        <w:rPr>
          <w:color w:val="000000" w:themeColor="text1"/>
          <w:szCs w:val="24"/>
        </w:rPr>
        <w:t>.gada otro pusgadu plānots izsludināt atvērtu beztermiņa konkursu līdz finansējuma izlietojuma beigām, kā ar</w:t>
      </w:r>
      <w:r w:rsidR="00D013D9" w:rsidRPr="00852E0C">
        <w:rPr>
          <w:color w:val="000000" w:themeColor="text1"/>
          <w:szCs w:val="24"/>
        </w:rPr>
        <w:t xml:space="preserve">ī </w:t>
      </w:r>
      <w:r w:rsidRPr="00852E0C">
        <w:rPr>
          <w:color w:val="000000" w:themeColor="text1"/>
          <w:szCs w:val="24"/>
        </w:rPr>
        <w:t>nozares ministrijai un starpniekinstitūcijai ir jāturpina sekmēt grantu shēmas apguvi.</w:t>
      </w:r>
    </w:p>
    <w:p w14:paraId="66A333CA" w14:textId="77777777" w:rsidR="006055C3" w:rsidRPr="00852E0C" w:rsidRDefault="006055C3" w:rsidP="00852E0C">
      <w:pPr>
        <w:spacing w:line="276" w:lineRule="auto"/>
        <w:rPr>
          <w:color w:val="000000" w:themeColor="text1"/>
          <w:szCs w:val="24"/>
        </w:rPr>
      </w:pPr>
      <w:r w:rsidRPr="00852E0C">
        <w:rPr>
          <w:color w:val="000000" w:themeColor="text1"/>
          <w:szCs w:val="24"/>
        </w:rPr>
        <w:t>Programma „</w:t>
      </w:r>
      <w:r w:rsidRPr="00852E0C">
        <w:rPr>
          <w:i/>
          <w:color w:val="000000" w:themeColor="text1"/>
          <w:szCs w:val="24"/>
        </w:rPr>
        <w:t>Atbalsts jaunatnes iniciatīvu attīstībai attālos vai mazattīstītos reģionos</w:t>
      </w:r>
      <w:r w:rsidRPr="00852E0C">
        <w:rPr>
          <w:color w:val="000000" w:themeColor="text1"/>
          <w:szCs w:val="24"/>
        </w:rPr>
        <w:t xml:space="preserve">” paredz 17 </w:t>
      </w:r>
      <w:proofErr w:type="spellStart"/>
      <w:r w:rsidRPr="00852E0C">
        <w:rPr>
          <w:color w:val="000000" w:themeColor="text1"/>
          <w:szCs w:val="24"/>
        </w:rPr>
        <w:t>multifunkcionālu</w:t>
      </w:r>
      <w:proofErr w:type="spellEnd"/>
      <w:r w:rsidRPr="00852E0C">
        <w:rPr>
          <w:color w:val="000000" w:themeColor="text1"/>
          <w:szCs w:val="24"/>
        </w:rPr>
        <w:t xml:space="preserve"> jauniešu iniciatīvu centru izveidi 17 dažādās Latvijas pašvaldībās un semināru, konferenču un forumu organizēšanu visā Latvijā jauniešiem un personām, kas iesaistītas darbā ar jauniešiem, par jauniešiem aktuālām tēmām. Līdz pārskata perioda beigām ir atklāti 14 jauniešu iniciatīvu centri – Tukumā, Ilūkstē, Saldū, Burtniekos, Kandavā, Madonā, Pļaviņās, Alūksnē, Dagdā, Gulbenē, Rūjienā, Jelgavā, Kocēnos un Ozolnieku novadā. Atlikušo 3 centru izveidi plānots pabeigt 2013.gadā. Tā pat līdz pārskata perioda beigām ir notikuši 62 no 160 plānotajiem semināriem jauniešiem un personām, kas iesaistītas darbā ar jauniešiem, kā arī viena reģionālā konference un viens reģionālais forums.</w:t>
      </w:r>
    </w:p>
    <w:p w14:paraId="1E06ACBE" w14:textId="771157A4" w:rsidR="006055C3" w:rsidRPr="00852E0C" w:rsidRDefault="006055C3" w:rsidP="00852E0C">
      <w:pPr>
        <w:spacing w:line="276" w:lineRule="auto"/>
        <w:rPr>
          <w:color w:val="000000" w:themeColor="text1"/>
          <w:szCs w:val="24"/>
        </w:rPr>
      </w:pPr>
      <w:proofErr w:type="spellStart"/>
      <w:r w:rsidRPr="00852E0C">
        <w:rPr>
          <w:i/>
          <w:color w:val="000000" w:themeColor="text1"/>
          <w:szCs w:val="24"/>
        </w:rPr>
        <w:t>Mikrokreditēšanas</w:t>
      </w:r>
      <w:proofErr w:type="spellEnd"/>
      <w:r w:rsidRPr="00852E0C">
        <w:rPr>
          <w:i/>
          <w:color w:val="000000" w:themeColor="text1"/>
          <w:szCs w:val="24"/>
        </w:rPr>
        <w:t xml:space="preserve"> programmā</w:t>
      </w:r>
      <w:r w:rsidRPr="00852E0C">
        <w:rPr>
          <w:color w:val="000000" w:themeColor="text1"/>
          <w:szCs w:val="24"/>
        </w:rPr>
        <w:t xml:space="preserve"> 4 gadu laikā sākotnēji bija plānots piešķirt 650 mikro aizdevumus 4,3 milj. latu apmērā. 2011.gada 19.septembrī LHZB uzsāka projektu iesniegumu pieņemšanu aizdevumu piešķiršanai </w:t>
      </w:r>
      <w:proofErr w:type="spellStart"/>
      <w:r w:rsidRPr="00852E0C">
        <w:rPr>
          <w:color w:val="000000" w:themeColor="text1"/>
          <w:szCs w:val="24"/>
        </w:rPr>
        <w:t>mikro</w:t>
      </w:r>
      <w:proofErr w:type="spellEnd"/>
      <w:r w:rsidRPr="00852E0C">
        <w:rPr>
          <w:color w:val="000000" w:themeColor="text1"/>
          <w:szCs w:val="24"/>
        </w:rPr>
        <w:t xml:space="preserve"> uzņēmumiem un pašnodarbinātām personām uzņēmējdarbības uzsākšanai vai attīstībai. Līdz pārskata perioda beigām </w:t>
      </w:r>
      <w:r w:rsidRPr="00852E0C">
        <w:rPr>
          <w:color w:val="000000" w:themeColor="text1"/>
          <w:szCs w:val="24"/>
        </w:rPr>
        <w:lastRenderedPageBreak/>
        <w:t>aizdevumu fonda apguves rādītāji ir labāki nekā sākotnēji bija plānots – 1,5 gadu laikā piešķirti 644</w:t>
      </w:r>
      <w:r w:rsidR="000E0633">
        <w:rPr>
          <w:color w:val="000000" w:themeColor="text1"/>
          <w:szCs w:val="24"/>
        </w:rPr>
        <w:t xml:space="preserve"> </w:t>
      </w:r>
      <w:r w:rsidRPr="00852E0C">
        <w:rPr>
          <w:color w:val="000000" w:themeColor="text1"/>
          <w:szCs w:val="24"/>
        </w:rPr>
        <w:t>mikro aizdevumi 3,9 milj. latu apmērā (91%).</w:t>
      </w:r>
    </w:p>
    <w:p w14:paraId="011DBF22" w14:textId="77777777" w:rsidR="006055C3" w:rsidRPr="00852E0C" w:rsidRDefault="006055C3" w:rsidP="00852E0C">
      <w:pPr>
        <w:spacing w:line="276" w:lineRule="auto"/>
        <w:rPr>
          <w:color w:val="000000" w:themeColor="text1"/>
          <w:szCs w:val="24"/>
        </w:rPr>
      </w:pPr>
      <w:r w:rsidRPr="00852E0C">
        <w:rPr>
          <w:color w:val="000000" w:themeColor="text1"/>
          <w:szCs w:val="24"/>
        </w:rPr>
        <w:t>Projekta „</w:t>
      </w:r>
      <w:r w:rsidRPr="00852E0C">
        <w:rPr>
          <w:i/>
          <w:color w:val="000000" w:themeColor="text1"/>
          <w:szCs w:val="24"/>
        </w:rPr>
        <w:t>Atbalsts ugunsdrošības pasākumiem pašvaldību vispārējās izglītības iestādēs</w:t>
      </w:r>
      <w:r w:rsidRPr="00852E0C">
        <w:rPr>
          <w:color w:val="000000" w:themeColor="text1"/>
          <w:szCs w:val="24"/>
        </w:rPr>
        <w:t xml:space="preserve">” mērķis ir ugunsdrošības pasākumu īstenošana pašvaldību vispārējās izglītības iestādēs, lai radītu bērniem un jauniešiem drošu vidi. Iepirkums par ugunsdrošības sistēmu iegādi un uzstādīšanu noslēdzās 2013.gada martā. </w:t>
      </w:r>
      <w:r w:rsidRPr="00852E0C">
        <w:rPr>
          <w:bCs/>
          <w:iCs/>
          <w:color w:val="000000" w:themeColor="text1"/>
          <w:szCs w:val="24"/>
        </w:rPr>
        <w:t>Ugunsdrošības sistēmu uzstādīšanas darbus plānots uzsākt 2013.gada 2.pusē un pabeigt līdz 2014.gada sākumam.</w:t>
      </w:r>
    </w:p>
    <w:p w14:paraId="6D3A211D" w14:textId="78BFE97B" w:rsidR="006055C3" w:rsidRPr="00852E0C" w:rsidRDefault="006055C3" w:rsidP="00852E0C">
      <w:pPr>
        <w:spacing w:line="276" w:lineRule="auto"/>
        <w:rPr>
          <w:color w:val="000000" w:themeColor="text1"/>
          <w:szCs w:val="24"/>
        </w:rPr>
      </w:pPr>
      <w:r w:rsidRPr="00852E0C">
        <w:rPr>
          <w:color w:val="000000" w:themeColor="text1"/>
          <w:szCs w:val="24"/>
        </w:rPr>
        <w:t>Projekts „</w:t>
      </w:r>
      <w:r w:rsidRPr="00852E0C">
        <w:rPr>
          <w:i/>
          <w:color w:val="000000" w:themeColor="text1"/>
          <w:szCs w:val="24"/>
        </w:rPr>
        <w:t>Vēsturiski piesārņoto vietu sanācija – Sarkandaugavas teritorijā</w:t>
      </w:r>
      <w:r w:rsidRPr="00852E0C">
        <w:rPr>
          <w:color w:val="000000" w:themeColor="text1"/>
          <w:szCs w:val="24"/>
        </w:rPr>
        <w:t>” paredz sanācijas darbu veikšanu 5 objektos Rīgas Brīvostas teritorijā kopumā aptuveni 77 000 m</w:t>
      </w:r>
      <w:r w:rsidRPr="00852E0C">
        <w:rPr>
          <w:color w:val="000000" w:themeColor="text1"/>
          <w:szCs w:val="24"/>
          <w:vertAlign w:val="superscript"/>
        </w:rPr>
        <w:t>2</w:t>
      </w:r>
      <w:r w:rsidRPr="00852E0C">
        <w:rPr>
          <w:color w:val="000000" w:themeColor="text1"/>
          <w:szCs w:val="24"/>
        </w:rPr>
        <w:t xml:space="preserve"> lielā platībā. Gandrīz gadu ilgstošais pirmais nozīmīgais iepirkums par attīrīšanas darbu veikšanu 55 000 m</w:t>
      </w:r>
      <w:r w:rsidRPr="00852E0C">
        <w:rPr>
          <w:color w:val="000000" w:themeColor="text1"/>
          <w:szCs w:val="24"/>
          <w:vertAlign w:val="superscript"/>
        </w:rPr>
        <w:t>2</w:t>
      </w:r>
      <w:r w:rsidRPr="00852E0C">
        <w:rPr>
          <w:color w:val="000000" w:themeColor="text1"/>
          <w:szCs w:val="24"/>
        </w:rPr>
        <w:t xml:space="preserve"> lielā platībā noslēdzās 2013.gada janvārī, līgums noslēgts februārī. Sanācijas darbi, kas ir galvenais projektā sasniedzamais rezultāts, tika uzsākti 2013.gada martā.</w:t>
      </w:r>
      <w:r w:rsidR="00A04B61" w:rsidRPr="00852E0C">
        <w:rPr>
          <w:color w:val="000000" w:themeColor="text1"/>
          <w:szCs w:val="24"/>
        </w:rPr>
        <w:t xml:space="preserve"> Vienlaikus projekts uzskatāms ar palielinātu ieviešanas risku, ievērojot tā sarežģītību un iekavējumus, kā arī konstatētās problēmas līdzīga rakstura ES fondu Inčukalna gudrona dīķu projekta ietvaros. Projekta ieviešanas gaita tiks īpaši rūpīgi uzraudzīta gan no FM, gan donoru puses.</w:t>
      </w:r>
    </w:p>
    <w:p w14:paraId="7AAE95BD" w14:textId="67780744" w:rsidR="00B96482" w:rsidRPr="00852E0C" w:rsidRDefault="006055C3" w:rsidP="00852E0C">
      <w:pPr>
        <w:spacing w:line="276" w:lineRule="auto"/>
        <w:rPr>
          <w:color w:val="000000" w:themeColor="text1"/>
          <w:szCs w:val="24"/>
        </w:rPr>
      </w:pPr>
      <w:r w:rsidRPr="00852E0C">
        <w:rPr>
          <w:color w:val="000000" w:themeColor="text1"/>
          <w:szCs w:val="24"/>
        </w:rPr>
        <w:t>Pamatojoties uz finansējuma saņēmēju 2013.gada valsts budžetā plānotajiem maksājumiem līdz 2013.gada 1.ceturkšņa beigām bija plānots apgūt 0,44 milj. latu, bet faktiskā apguve bija 0,39 milj. latu jeb 87,6 % no plānotā.</w:t>
      </w:r>
      <w:r w:rsidR="00980513" w:rsidRPr="00852E0C">
        <w:rPr>
          <w:color w:val="000000" w:themeColor="text1"/>
          <w:szCs w:val="24"/>
        </w:rPr>
        <w:t xml:space="preserve"> </w:t>
      </w:r>
      <w:r w:rsidR="00D54BED" w:rsidRPr="00852E0C">
        <w:rPr>
          <w:color w:val="000000" w:themeColor="text1"/>
          <w:szCs w:val="24"/>
        </w:rPr>
        <w:t>Tas pamatā izskaidrojams ar vairāku iepirkuma procedūru aizkavēšanos, kā rezultātā ir pagarināti projektu īstenošanas termiņi.</w:t>
      </w:r>
    </w:p>
    <w:p w14:paraId="3D83BCE3" w14:textId="77777777" w:rsidR="00AD0A4B" w:rsidRPr="00852E0C" w:rsidRDefault="00AD0A4B" w:rsidP="00852E0C">
      <w:pPr>
        <w:pStyle w:val="1lmenis"/>
        <w:spacing w:before="120" w:after="120" w:line="276" w:lineRule="auto"/>
        <w:ind w:left="709"/>
        <w:rPr>
          <w:rFonts w:ascii="Times New Roman" w:hAnsi="Times New Roman"/>
          <w:color w:val="000000" w:themeColor="text1"/>
          <w:sz w:val="24"/>
          <w:szCs w:val="24"/>
        </w:rPr>
      </w:pPr>
      <w:bookmarkStart w:id="38" w:name="_Toc356465233"/>
      <w:bookmarkStart w:id="39" w:name="_Toc324948887"/>
      <w:r w:rsidRPr="00852E0C">
        <w:rPr>
          <w:rFonts w:ascii="Times New Roman" w:hAnsi="Times New Roman"/>
          <w:color w:val="000000" w:themeColor="text1"/>
          <w:sz w:val="24"/>
          <w:szCs w:val="24"/>
        </w:rPr>
        <w:t>Neatbilstības un neatbilstoši veikti izdevumi ES fondu un citu ārvalstu finanšu palīdzības līdzfinansētu projektu ietvaros</w:t>
      </w:r>
      <w:bookmarkEnd w:id="38"/>
      <w:r w:rsidRPr="00852E0C">
        <w:rPr>
          <w:rFonts w:ascii="Times New Roman" w:hAnsi="Times New Roman"/>
          <w:color w:val="000000" w:themeColor="text1"/>
          <w:sz w:val="24"/>
          <w:szCs w:val="24"/>
        </w:rPr>
        <w:t xml:space="preserve"> </w:t>
      </w:r>
    </w:p>
    <w:p w14:paraId="01F21567" w14:textId="77777777" w:rsidR="00AD0A4B" w:rsidRPr="00852E0C" w:rsidRDefault="00AD0A4B" w:rsidP="00852E0C">
      <w:pPr>
        <w:spacing w:line="276" w:lineRule="auto"/>
        <w:rPr>
          <w:rFonts w:eastAsiaTheme="minorHAnsi"/>
          <w:color w:val="000000" w:themeColor="text1"/>
          <w:szCs w:val="24"/>
        </w:rPr>
      </w:pPr>
      <w:r w:rsidRPr="00852E0C">
        <w:rPr>
          <w:rFonts w:eastAsiaTheme="minorHAnsi"/>
          <w:color w:val="000000" w:themeColor="text1"/>
          <w:szCs w:val="24"/>
        </w:rPr>
        <w:t>Neatbilstība</w:t>
      </w:r>
      <w:r w:rsidRPr="00852E0C">
        <w:rPr>
          <w:rFonts w:eastAsiaTheme="minorHAnsi"/>
          <w:color w:val="000000" w:themeColor="text1"/>
          <w:szCs w:val="24"/>
          <w:vertAlign w:val="superscript"/>
        </w:rPr>
        <w:footnoteReference w:id="35"/>
      </w:r>
      <w:r w:rsidRPr="00852E0C">
        <w:rPr>
          <w:rFonts w:eastAsiaTheme="minorHAnsi"/>
          <w:color w:val="000000" w:themeColor="text1"/>
          <w:szCs w:val="24"/>
        </w:rPr>
        <w:t xml:space="preserve"> ir jebkurš kopienas tiesību aktu pārkāpums, kas noticis saimnieciskās darbības subjekta darbības vai bezdarbības dēļ un kas rada vai varētu radīt kaitējumu ES vispārējam budžetam, prasot no vispārējā budžeta segt nepamatotu izdevumu daļu, un par ko samazina projekta attiecināmās izmaksas. Par neatbilstību ar finansiālu ietekmi tiek uzskatīti gadījumi, kad finansējuma saņēmējam ir izmaksāts ES fondu finansējums un tas ir jāatgūst (tai skaitā ieturot no kārtējā vai nākamā maksājuma). </w:t>
      </w:r>
    </w:p>
    <w:p w14:paraId="3F2BC817" w14:textId="77777777" w:rsidR="00AD0A4B" w:rsidRPr="00852E0C" w:rsidRDefault="00937B41" w:rsidP="00852E0C">
      <w:pPr>
        <w:spacing w:line="276" w:lineRule="auto"/>
        <w:rPr>
          <w:rFonts w:eastAsiaTheme="minorHAnsi"/>
          <w:color w:val="000000" w:themeColor="text1"/>
          <w:szCs w:val="24"/>
        </w:rPr>
      </w:pPr>
      <w:hyperlink r:id="rId42" w:history="1">
        <w:r w:rsidR="00AD0A4B" w:rsidRPr="00852E0C">
          <w:rPr>
            <w:rFonts w:eastAsiaTheme="minorHAnsi"/>
            <w:color w:val="000000" w:themeColor="text1"/>
            <w:szCs w:val="24"/>
          </w:rPr>
          <w:t>ES fondu interneta vietnē</w:t>
        </w:r>
      </w:hyperlink>
      <w:r w:rsidR="00AD0A4B" w:rsidRPr="00852E0C">
        <w:rPr>
          <w:rFonts w:eastAsiaTheme="minorHAnsi"/>
          <w:color w:val="000000" w:themeColor="text1"/>
          <w:szCs w:val="24"/>
          <w:vertAlign w:val="superscript"/>
        </w:rPr>
        <w:footnoteReference w:id="36"/>
      </w:r>
      <w:r w:rsidR="00AD0A4B" w:rsidRPr="00852E0C">
        <w:rPr>
          <w:rFonts w:eastAsiaTheme="minorHAnsi"/>
          <w:color w:val="000000" w:themeColor="text1"/>
          <w:szCs w:val="24"/>
        </w:rPr>
        <w:t xml:space="preserve"> pielikumā Nr.1 pieejama informācija par neatbilstībām un neatbilstoši veiktiem izdevumiem un atgūtiem neatbilstoši veiktiem izdevumiem pārskata periodā un kumulatīvi, pielikumā Nr.2 – informācija par 2013.gada pirmajā ceturksnī konstatētajām neatbilstībām un neattiecināmajiem izdevumiem tiešo vai pastarpināto valsts pārvaldes iestāžu, atvasināto publisko personu vai citu valsts iestāžu īstenotajos projektos un pielikumā Nr.3 informācija par aktivitātēm, kurās konstatēto neatbilstību </w:t>
      </w:r>
      <w:r w:rsidR="00AD0A4B" w:rsidRPr="00852E0C">
        <w:rPr>
          <w:rFonts w:eastAsiaTheme="minorHAnsi"/>
          <w:color w:val="000000" w:themeColor="text1"/>
          <w:szCs w:val="24"/>
        </w:rPr>
        <w:lastRenderedPageBreak/>
        <w:t>apjoms pret aktivitātēs pieprasīto finansējumu pārsniedz 2% līmeni, norādot riskantākās aktivitātes, jomas, kam jāpievērš rūpīgāka uzmanība.</w:t>
      </w:r>
    </w:p>
    <w:p w14:paraId="0DA7F2A0" w14:textId="77777777" w:rsidR="00AD0A4B" w:rsidRPr="00852E0C" w:rsidRDefault="00AD0A4B" w:rsidP="00852E0C">
      <w:pPr>
        <w:keepNext/>
        <w:numPr>
          <w:ilvl w:val="1"/>
          <w:numId w:val="2"/>
        </w:numPr>
        <w:spacing w:line="276" w:lineRule="auto"/>
        <w:jc w:val="left"/>
        <w:outlineLvl w:val="1"/>
        <w:rPr>
          <w:b/>
          <w:iCs/>
          <w:color w:val="000000" w:themeColor="text1"/>
          <w:szCs w:val="24"/>
          <w:lang w:eastAsia="x-none"/>
        </w:rPr>
      </w:pPr>
      <w:bookmarkStart w:id="40" w:name="_Toc356465234"/>
      <w:r w:rsidRPr="00852E0C">
        <w:rPr>
          <w:b/>
          <w:iCs/>
          <w:color w:val="000000" w:themeColor="text1"/>
          <w:szCs w:val="24"/>
          <w:lang w:val="x-none" w:eastAsia="x-none"/>
        </w:rPr>
        <w:t>Neatbilstības ar finansiālu ietekmi ES fondu 2007.-2013.gada plānošanas periodā ES fondos</w:t>
      </w:r>
      <w:r w:rsidRPr="00852E0C">
        <w:rPr>
          <w:b/>
          <w:iCs/>
          <w:color w:val="000000" w:themeColor="text1"/>
          <w:szCs w:val="24"/>
          <w:lang w:eastAsia="x-none"/>
        </w:rPr>
        <w:t xml:space="preserve"> </w:t>
      </w:r>
      <w:r w:rsidRPr="00852E0C">
        <w:rPr>
          <w:b/>
          <w:iCs/>
          <w:color w:val="000000" w:themeColor="text1"/>
          <w:szCs w:val="24"/>
          <w:lang w:val="x-none" w:eastAsia="x-none"/>
        </w:rPr>
        <w:t>līdz 2013.gada 31.martam</w:t>
      </w:r>
      <w:bookmarkEnd w:id="40"/>
    </w:p>
    <w:p w14:paraId="7F13AD8D" w14:textId="3CD2138B" w:rsidR="00AD0A4B" w:rsidRPr="00852E0C" w:rsidRDefault="00AD0A4B" w:rsidP="00852E0C">
      <w:pPr>
        <w:spacing w:line="276" w:lineRule="auto"/>
        <w:rPr>
          <w:rFonts w:eastAsiaTheme="minorHAnsi"/>
          <w:color w:val="000000" w:themeColor="text1"/>
          <w:szCs w:val="24"/>
        </w:rPr>
      </w:pPr>
      <w:r w:rsidRPr="00852E0C">
        <w:rPr>
          <w:rFonts w:eastAsiaTheme="minorHAnsi"/>
          <w:color w:val="000000" w:themeColor="text1"/>
          <w:szCs w:val="24"/>
        </w:rPr>
        <w:t xml:space="preserve">Kā redzams </w:t>
      </w:r>
      <w:r w:rsidRPr="00852E0C">
        <w:rPr>
          <w:rFonts w:eastAsiaTheme="minorHAnsi"/>
          <w:color w:val="000000" w:themeColor="text1"/>
          <w:szCs w:val="24"/>
          <w:u w:val="single"/>
        </w:rPr>
        <w:t>grafikā Nr.1</w:t>
      </w:r>
      <w:r w:rsidR="00B11A9C" w:rsidRPr="00852E0C">
        <w:rPr>
          <w:rFonts w:eastAsiaTheme="minorHAnsi"/>
          <w:color w:val="000000" w:themeColor="text1"/>
          <w:szCs w:val="24"/>
          <w:u w:val="single"/>
        </w:rPr>
        <w:t>3</w:t>
      </w:r>
      <w:r w:rsidRPr="00852E0C">
        <w:rPr>
          <w:rFonts w:eastAsiaTheme="minorHAnsi"/>
          <w:color w:val="000000" w:themeColor="text1"/>
          <w:szCs w:val="24"/>
        </w:rPr>
        <w:t xml:space="preserve"> līdz 2013.gada 31.martam neatbilstību apjoms veido 45,5 milj. latu jeb 1,8% no kopējā finansējumu saņēmēju pieprasītā finansējuma (2,5 mljrd. latu), kur pieaugums ceturksnī par 17,9 milj. latu jeb 64,7% </w:t>
      </w:r>
      <w:r w:rsidRPr="00852E0C">
        <w:rPr>
          <w:rFonts w:eastAsia="EUAlbertina-Bold-Identity-H"/>
          <w:color w:val="000000" w:themeColor="text1"/>
          <w:szCs w:val="24"/>
          <w:lang w:eastAsia="lv-LV"/>
        </w:rPr>
        <w:t xml:space="preserve">skaidrojams, galvenokārt, ar ERAF finanšu instrumentu audita lietu pabeigšanu un formālu lēmumu pieņemšanu. Plašāku informāciju par neatbilstību būtību skatīt pie sadaļas </w:t>
      </w:r>
      <w:r w:rsidR="00A37652" w:rsidRPr="00852E0C">
        <w:rPr>
          <w:rFonts w:eastAsia="EUAlbertina-Bold-Identity-H"/>
          <w:color w:val="000000" w:themeColor="text1"/>
          <w:szCs w:val="24"/>
          <w:u w:val="single"/>
          <w:lang w:eastAsia="lv-LV"/>
        </w:rPr>
        <w:t>1.2.4</w:t>
      </w:r>
      <w:r w:rsidRPr="00852E0C">
        <w:rPr>
          <w:rFonts w:eastAsia="EUAlbertina-Bold-Identity-H"/>
          <w:color w:val="000000" w:themeColor="text1"/>
          <w:szCs w:val="24"/>
          <w:u w:val="single"/>
          <w:lang w:eastAsia="lv-LV"/>
        </w:rPr>
        <w:t xml:space="preserve">. „Publisko resursu ieguldījums darbības programmā „Uzņēmējdarbība un inovācijas”” </w:t>
      </w:r>
      <w:proofErr w:type="spellStart"/>
      <w:r w:rsidRPr="00852E0C">
        <w:rPr>
          <w:rFonts w:eastAsia="EUAlbertina-Bold-Identity-H"/>
          <w:color w:val="000000" w:themeColor="text1"/>
          <w:szCs w:val="24"/>
          <w:u w:val="single"/>
          <w:lang w:eastAsia="lv-LV"/>
        </w:rPr>
        <w:t>apakšsadaļas</w:t>
      </w:r>
      <w:proofErr w:type="spellEnd"/>
      <w:r w:rsidRPr="00852E0C">
        <w:rPr>
          <w:rFonts w:eastAsia="EUAlbertina-Bold-Identity-H"/>
          <w:color w:val="000000" w:themeColor="text1"/>
          <w:szCs w:val="24"/>
          <w:u w:val="single"/>
          <w:lang w:eastAsia="lv-LV"/>
        </w:rPr>
        <w:t xml:space="preserve"> „Finanšu pieejamība”).</w:t>
      </w:r>
      <w:r w:rsidR="000E0633">
        <w:rPr>
          <w:rFonts w:eastAsia="EUAlbertina-Bold-Identity-H"/>
          <w:color w:val="000000" w:themeColor="text1"/>
          <w:szCs w:val="24"/>
          <w:u w:val="single"/>
          <w:lang w:eastAsia="lv-LV"/>
        </w:rPr>
        <w:t xml:space="preserve"> </w:t>
      </w:r>
      <w:r w:rsidRPr="00852E0C">
        <w:rPr>
          <w:rFonts w:eastAsiaTheme="minorHAnsi"/>
          <w:color w:val="000000" w:themeColor="text1"/>
          <w:szCs w:val="24"/>
        </w:rPr>
        <w:t xml:space="preserve">Līdz pārskata perioda beigām kopumā atgūstami bija 13,7 milj. latu jeb 70,2% no kopējiem neatbilstoši veiktiem izdevumiem. No tiem ceturksnī atgūti 3,5 milj. latu jeb 17,9% no pārskata periodā konstatētiem neatbilstoši veiktiem izdevumiem. </w:t>
      </w:r>
    </w:p>
    <w:p w14:paraId="30F5FABA" w14:textId="3D40588F" w:rsidR="00AD0A4B" w:rsidRPr="00852E0C" w:rsidRDefault="00AD0A4B"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Grafiks Nr.1</w:t>
      </w:r>
      <w:r w:rsidR="004B733A" w:rsidRPr="00852E0C">
        <w:rPr>
          <w:rFonts w:eastAsia="EUAlbertina-Bold-Identity-H"/>
          <w:color w:val="000000" w:themeColor="text1"/>
          <w:szCs w:val="24"/>
          <w:lang w:eastAsia="lv-LV"/>
        </w:rPr>
        <w:t>3</w:t>
      </w:r>
      <w:r w:rsidRPr="00852E0C">
        <w:rPr>
          <w:rFonts w:eastAsia="EUAlbertina-Bold-Identity-H"/>
          <w:color w:val="000000" w:themeColor="text1"/>
          <w:szCs w:val="24"/>
          <w:lang w:eastAsia="lv-LV"/>
        </w:rPr>
        <w:t xml:space="preserve"> „</w:t>
      </w:r>
      <w:r w:rsidRPr="00852E0C">
        <w:rPr>
          <w:rFonts w:eastAsia="EUAlbertina-Bold-Identity-H"/>
          <w:i/>
          <w:color w:val="000000" w:themeColor="text1"/>
          <w:szCs w:val="24"/>
          <w:lang w:eastAsia="lv-LV"/>
        </w:rPr>
        <w:t xml:space="preserve">Konstatētās neatbilstības sadalījumā pa finansējuma saņēmēju veidiem kumulatīvi uz 2012.gada 31.martu un uz </w:t>
      </w:r>
      <w:r w:rsidRPr="00852E0C">
        <w:rPr>
          <w:rFonts w:eastAsiaTheme="minorHAnsi"/>
          <w:i/>
          <w:color w:val="000000" w:themeColor="text1"/>
          <w:szCs w:val="24"/>
        </w:rPr>
        <w:t>2012.gada 31.decembri</w:t>
      </w:r>
      <w:r w:rsidRPr="00852E0C">
        <w:rPr>
          <w:rFonts w:eastAsia="EUAlbertina-Bold-Identity-H"/>
          <w:i/>
          <w:color w:val="000000" w:themeColor="text1"/>
          <w:szCs w:val="24"/>
          <w:lang w:eastAsia="lv-LV"/>
        </w:rPr>
        <w:t>; milj. latu (% pieaugums pret iepriekšējo pārskata periodu – 2012.gada 31.decembri un 2012.gada 31.septembri; % no kopējiem finansējuma saņēmēju pieprasītajiem maksājumiem uz 2013.gada 31.martu un 2012.gada 31.decembri).”</w:t>
      </w:r>
      <w:r w:rsidRPr="00852E0C">
        <w:rPr>
          <w:rFonts w:eastAsia="EUAlbertina-Bold-Identity-H"/>
          <w:color w:val="000000" w:themeColor="text1"/>
          <w:szCs w:val="24"/>
          <w:lang w:eastAsia="lv-LV"/>
        </w:rPr>
        <w:t xml:space="preserve"> </w:t>
      </w:r>
    </w:p>
    <w:p w14:paraId="12482CE4" w14:textId="3A34341A" w:rsidR="00AD0A4B" w:rsidRPr="00852E0C" w:rsidRDefault="00AD0A4B" w:rsidP="00852E0C">
      <w:pPr>
        <w:spacing w:line="276" w:lineRule="auto"/>
        <w:ind w:left="-284"/>
        <w:jc w:val="right"/>
        <w:rPr>
          <w:rFonts w:eastAsiaTheme="minorHAnsi"/>
          <w:noProof/>
          <w:color w:val="000000" w:themeColor="text1"/>
          <w:szCs w:val="24"/>
          <w:lang w:eastAsia="lv-LV"/>
        </w:rPr>
      </w:pPr>
      <w:r w:rsidRPr="00852E0C">
        <w:rPr>
          <w:rFonts w:eastAsiaTheme="minorHAnsi"/>
          <w:noProof/>
          <w:color w:val="000000" w:themeColor="text1"/>
          <w:szCs w:val="24"/>
          <w:lang w:eastAsia="lv-LV"/>
        </w:rPr>
        <w:drawing>
          <wp:inline distT="0" distB="0" distL="0" distR="0" wp14:anchorId="6D835B7B" wp14:editId="63596442">
            <wp:extent cx="6188659" cy="3518611"/>
            <wp:effectExtent l="0" t="0" r="3175" b="571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5EEF26E" w14:textId="77777777" w:rsidR="00AD0A4B" w:rsidRPr="00852E0C" w:rsidRDefault="00AD0A4B" w:rsidP="00852E0C">
      <w:pPr>
        <w:spacing w:line="276" w:lineRule="auto"/>
        <w:rPr>
          <w:rFonts w:eastAsiaTheme="minorHAnsi"/>
          <w:color w:val="000000" w:themeColor="text1"/>
          <w:szCs w:val="24"/>
        </w:rPr>
      </w:pPr>
      <w:r w:rsidRPr="00852E0C">
        <w:rPr>
          <w:rFonts w:eastAsiaTheme="minorHAnsi"/>
          <w:color w:val="000000" w:themeColor="text1"/>
          <w:szCs w:val="24"/>
        </w:rPr>
        <w:t xml:space="preserve">Vairākās aktivitātēs neatbilstību apjoms pret aktivitātē iesniegtajiem maksājumu pieprasījumiem uz 2013.gada 31.martu pārsniedz 2% būtiskuma līmeni, līdz ar to AI un SI jāveic analīze par sistēmiskiem trūkumiem, veicamiem pasākumiem, lai stabilizētu </w:t>
      </w:r>
      <w:r w:rsidRPr="00852E0C">
        <w:rPr>
          <w:rFonts w:eastAsiaTheme="minorHAnsi"/>
          <w:color w:val="000000" w:themeColor="text1"/>
          <w:szCs w:val="24"/>
        </w:rPr>
        <w:lastRenderedPageBreak/>
        <w:t xml:space="preserve">situāciju. Detalizēta informācija pieejama </w:t>
      </w:r>
      <w:hyperlink r:id="rId44" w:history="1">
        <w:r w:rsidRPr="00852E0C">
          <w:rPr>
            <w:rFonts w:eastAsiaTheme="minorHAnsi"/>
            <w:color w:val="000000" w:themeColor="text1"/>
            <w:szCs w:val="24"/>
          </w:rPr>
          <w:t>ES fondu interneta vietnē</w:t>
        </w:r>
      </w:hyperlink>
      <w:r w:rsidRPr="00852E0C">
        <w:rPr>
          <w:rFonts w:eastAsiaTheme="minorHAnsi"/>
          <w:color w:val="000000" w:themeColor="text1"/>
          <w:szCs w:val="24"/>
        </w:rPr>
        <w:t xml:space="preserve"> pielikumā Nr.3</w:t>
      </w:r>
      <w:r w:rsidRPr="00852E0C">
        <w:rPr>
          <w:rFonts w:eastAsiaTheme="minorHAnsi"/>
          <w:color w:val="000000" w:themeColor="text1"/>
          <w:szCs w:val="24"/>
          <w:vertAlign w:val="superscript"/>
        </w:rPr>
        <w:footnoteReference w:id="37"/>
      </w:r>
      <w:r w:rsidRPr="00852E0C">
        <w:rPr>
          <w:rFonts w:eastAsiaTheme="minorHAnsi"/>
          <w:color w:val="000000" w:themeColor="text1"/>
          <w:szCs w:val="24"/>
        </w:rPr>
        <w:t xml:space="preserve">. Tās, galvenokārt, ir aktivitātes, kurās tiek īstenoti apjomīgu investīciju projekti, projekti, kuru īstenošana ietver būvniecības darbu veikšanu, ražošanas līniju un citu tehnoloģiju iepirkšanu uzņēmumu darbības diversificēšanai vai modernizēšanai, kā arī atsevišķos pašvaldību īstenotajos projektos. </w:t>
      </w:r>
      <w:hyperlink r:id="rId45" w:history="1">
        <w:r w:rsidRPr="00852E0C">
          <w:rPr>
            <w:rFonts w:eastAsiaTheme="minorHAnsi"/>
            <w:color w:val="000000" w:themeColor="text1"/>
            <w:szCs w:val="24"/>
          </w:rPr>
          <w:t>ES fondu interneta vietnē</w:t>
        </w:r>
      </w:hyperlink>
      <w:r w:rsidRPr="00852E0C">
        <w:rPr>
          <w:rFonts w:eastAsiaTheme="minorHAnsi"/>
          <w:color w:val="000000" w:themeColor="text1"/>
          <w:szCs w:val="24"/>
          <w:vertAlign w:val="superscript"/>
        </w:rPr>
        <w:footnoteReference w:id="38"/>
      </w:r>
      <w:r w:rsidRPr="00852E0C">
        <w:rPr>
          <w:rFonts w:eastAsiaTheme="minorHAnsi"/>
          <w:color w:val="000000" w:themeColor="text1"/>
          <w:szCs w:val="24"/>
        </w:rPr>
        <w:t xml:space="preserve"> pieejama informācija par pašvaldībām, kurās konstatēti ievērojamākie neatbilstību apjomi.</w:t>
      </w:r>
    </w:p>
    <w:p w14:paraId="6AD74A5D" w14:textId="77777777" w:rsidR="00AD0A4B" w:rsidRPr="00852E0C" w:rsidRDefault="00AD0A4B" w:rsidP="00852E0C">
      <w:pPr>
        <w:spacing w:line="276" w:lineRule="auto"/>
        <w:rPr>
          <w:rFonts w:eastAsiaTheme="minorHAnsi"/>
          <w:color w:val="000000" w:themeColor="text1"/>
          <w:szCs w:val="24"/>
        </w:rPr>
      </w:pPr>
      <w:r w:rsidRPr="00852E0C">
        <w:rPr>
          <w:rFonts w:eastAsiaTheme="minorHAnsi"/>
          <w:color w:val="000000" w:themeColor="text1"/>
          <w:szCs w:val="24"/>
        </w:rPr>
        <w:t xml:space="preserve">Nolūkā mazināt neatbilstību rašanās risku iepirkumu jomā, viens no efektīvākajiem preventīvo kontroļu mehānismiem ir iepirkumu </w:t>
      </w:r>
      <w:proofErr w:type="spellStart"/>
      <w:r w:rsidRPr="00852E0C">
        <w:rPr>
          <w:rFonts w:eastAsiaTheme="minorHAnsi"/>
          <w:color w:val="000000" w:themeColor="text1"/>
          <w:szCs w:val="24"/>
        </w:rPr>
        <w:t>pirmspārbaužu</w:t>
      </w:r>
      <w:proofErr w:type="spellEnd"/>
      <w:r w:rsidRPr="00852E0C">
        <w:rPr>
          <w:rFonts w:eastAsiaTheme="minorHAnsi"/>
          <w:color w:val="000000" w:themeColor="text1"/>
          <w:szCs w:val="24"/>
        </w:rPr>
        <w:t xml:space="preserve"> veikšana, ko AI un SI ir uzsākušas sākot ar 2012.gada 1.janvāri. Lai arī šobrīd neatbilstību apjoms par iepirkumu normu pārkāpšanu pieaug, tomēr vēršam uzmanību, ka secinājumus par mehānisma darbību varēs izdarīt turpmākajos ceturkšņos, jo šobrīd neatbilstības tiek konstatētas par pārkāpumiem iepirkumos, kas veikti pirms mehānisma iedarbināšanas.</w:t>
      </w:r>
    </w:p>
    <w:p w14:paraId="604CBAE8" w14:textId="173D892F" w:rsidR="00AD0A4B" w:rsidRPr="00852E0C" w:rsidRDefault="00AD0A4B" w:rsidP="00852E0C">
      <w:pPr>
        <w:spacing w:line="276" w:lineRule="auto"/>
        <w:rPr>
          <w:color w:val="000000" w:themeColor="text1"/>
          <w:szCs w:val="24"/>
        </w:rPr>
      </w:pPr>
      <w:r w:rsidRPr="00852E0C">
        <w:rPr>
          <w:rFonts w:eastAsiaTheme="minorHAnsi"/>
          <w:color w:val="000000" w:themeColor="text1"/>
          <w:szCs w:val="24"/>
        </w:rPr>
        <w:t xml:space="preserve">Papildus </w:t>
      </w:r>
      <w:r w:rsidR="00352B55">
        <w:rPr>
          <w:rFonts w:eastAsiaTheme="minorHAnsi"/>
          <w:color w:val="000000" w:themeColor="text1"/>
          <w:szCs w:val="24"/>
        </w:rPr>
        <w:t>VI</w:t>
      </w:r>
      <w:r w:rsidRPr="00852E0C">
        <w:rPr>
          <w:rFonts w:eastAsiaTheme="minorHAnsi"/>
          <w:color w:val="000000" w:themeColor="text1"/>
          <w:szCs w:val="24"/>
        </w:rPr>
        <w:t xml:space="preserve"> 2013.gadā sadarbībā ar Latvijas tiesnešu mācību centru turpinās labo praksi un plāno organizēt papildus apmācības par ES fondu jautājumiem tiesnešiem un prokuroriem, lai nodrošinātu ES fondu līdzekļu aizsardzību krāpniecisku gadījumu izmeklēšanā un radītu pilnīgāku izpratni par ES fondu administrēšanas procesu tiesībsargājošo </w:t>
      </w:r>
      <w:r w:rsidR="00164C13" w:rsidRPr="00852E0C">
        <w:rPr>
          <w:rFonts w:eastAsiaTheme="minorHAnsi"/>
          <w:color w:val="000000" w:themeColor="text1"/>
          <w:szCs w:val="24"/>
        </w:rPr>
        <w:t xml:space="preserve">iestāžu </w:t>
      </w:r>
      <w:r w:rsidRPr="00852E0C">
        <w:rPr>
          <w:rFonts w:eastAsiaTheme="minorHAnsi"/>
          <w:color w:val="000000" w:themeColor="text1"/>
          <w:szCs w:val="24"/>
        </w:rPr>
        <w:t>ietvaros.</w:t>
      </w:r>
    </w:p>
    <w:p w14:paraId="7AAB507C" w14:textId="4ED6AC58" w:rsidR="00AD0A4B" w:rsidRPr="00852E0C" w:rsidRDefault="00AD0A4B" w:rsidP="00852E0C">
      <w:pPr>
        <w:spacing w:line="276" w:lineRule="auto"/>
        <w:rPr>
          <w:rFonts w:eastAsia="EUAlbertina-Bold-Identity-H"/>
          <w:color w:val="000000" w:themeColor="text1"/>
          <w:szCs w:val="24"/>
          <w:highlight w:val="yellow"/>
          <w:lang w:eastAsia="lv-LV"/>
        </w:rPr>
      </w:pPr>
      <w:r w:rsidRPr="00852E0C">
        <w:rPr>
          <w:rFonts w:eastAsia="EUAlbertina-Bold-Identity-H"/>
          <w:bCs/>
          <w:color w:val="000000" w:themeColor="text1"/>
          <w:szCs w:val="24"/>
          <w:lang w:eastAsia="lv-LV"/>
        </w:rPr>
        <w:t>Grafiks Nr.1</w:t>
      </w:r>
      <w:r w:rsidR="004B733A" w:rsidRPr="00852E0C">
        <w:rPr>
          <w:rFonts w:eastAsia="EUAlbertina-Bold-Identity-H"/>
          <w:bCs/>
          <w:color w:val="000000" w:themeColor="text1"/>
          <w:szCs w:val="24"/>
          <w:lang w:eastAsia="lv-LV"/>
        </w:rPr>
        <w:t>4</w:t>
      </w:r>
      <w:r w:rsidRPr="00852E0C">
        <w:rPr>
          <w:rFonts w:eastAsia="EUAlbertina-Bold-Identity-H"/>
          <w:bCs/>
          <w:color w:val="000000" w:themeColor="text1"/>
          <w:szCs w:val="24"/>
          <w:lang w:eastAsia="lv-LV"/>
        </w:rPr>
        <w:t xml:space="preserve"> „</w:t>
      </w:r>
      <w:r w:rsidRPr="00852E0C">
        <w:rPr>
          <w:rFonts w:eastAsia="EUAlbertina-Bold-Identity-H"/>
          <w:bCs/>
          <w:i/>
          <w:color w:val="000000" w:themeColor="text1"/>
          <w:szCs w:val="24"/>
          <w:lang w:eastAsia="lv-LV"/>
        </w:rPr>
        <w:t xml:space="preserve">Konstatētās neatbilstības sadalījumā pa finansējuma saņēmēju veidiem un neatbilstību veidiem uz </w:t>
      </w:r>
      <w:r w:rsidRPr="00852E0C">
        <w:rPr>
          <w:rFonts w:eastAsia="EUAlbertina-Bold-Identity-H"/>
          <w:i/>
          <w:color w:val="000000" w:themeColor="text1"/>
          <w:szCs w:val="24"/>
          <w:lang w:eastAsia="lv-LV"/>
        </w:rPr>
        <w:t>2013.gada 31</w:t>
      </w:r>
      <w:r w:rsidRPr="00852E0C">
        <w:rPr>
          <w:rFonts w:eastAsia="EUAlbertina-Bold-Identity-H"/>
          <w:bCs/>
          <w:i/>
          <w:color w:val="000000" w:themeColor="text1"/>
          <w:szCs w:val="24"/>
          <w:lang w:eastAsia="lv-LV"/>
        </w:rPr>
        <w:t xml:space="preserve">.martu, </w:t>
      </w:r>
      <w:r w:rsidRPr="00852E0C">
        <w:rPr>
          <w:rFonts w:eastAsia="EUAlbertina-Bold-Identity-H"/>
          <w:i/>
          <w:iCs/>
          <w:color w:val="000000" w:themeColor="text1"/>
          <w:szCs w:val="24"/>
          <w:lang w:eastAsia="lv-LV"/>
        </w:rPr>
        <w:t>milj. latu (% no kopējā neatbilstību apjoma).”</w:t>
      </w:r>
    </w:p>
    <w:p w14:paraId="193BAF11" w14:textId="77777777" w:rsidR="00AD0A4B" w:rsidRPr="00852E0C" w:rsidRDefault="00AD0A4B" w:rsidP="00852E0C">
      <w:pPr>
        <w:spacing w:line="276" w:lineRule="auto"/>
        <w:ind w:left="-142"/>
        <w:jc w:val="left"/>
        <w:rPr>
          <w:rFonts w:eastAsia="EUAlbertina-Bold-Identity-H"/>
          <w:i/>
          <w:color w:val="000000" w:themeColor="text1"/>
          <w:szCs w:val="24"/>
          <w:highlight w:val="yellow"/>
          <w:lang w:eastAsia="lv-LV"/>
        </w:rPr>
      </w:pPr>
      <w:r w:rsidRPr="00852E0C">
        <w:rPr>
          <w:rFonts w:eastAsiaTheme="minorHAnsi"/>
          <w:noProof/>
          <w:color w:val="000000" w:themeColor="text1"/>
          <w:szCs w:val="24"/>
          <w:lang w:eastAsia="lv-LV"/>
        </w:rPr>
        <w:drawing>
          <wp:inline distT="0" distB="0" distL="0" distR="0" wp14:anchorId="77682B70" wp14:editId="7257645E">
            <wp:extent cx="5664820" cy="332306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1B7E8FB" w14:textId="77777777" w:rsidR="00AD0A4B" w:rsidRPr="00852E0C" w:rsidRDefault="00AD0A4B"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lastRenderedPageBreak/>
        <w:t>Katrā DP finansējuma saņēmēju veidi, kuru īstenotajos projektos konstatēts lielākais neatbilstību apjoms atšķiras saistībā ar specifiku atbalstāmajās nozarēs:</w:t>
      </w:r>
    </w:p>
    <w:p w14:paraId="2771BBCD" w14:textId="77777777" w:rsidR="00AD0A4B" w:rsidRPr="00852E0C" w:rsidRDefault="00AD0A4B" w:rsidP="00852E0C">
      <w:pPr>
        <w:numPr>
          <w:ilvl w:val="0"/>
          <w:numId w:val="37"/>
        </w:numPr>
        <w:spacing w:line="276" w:lineRule="auto"/>
        <w:jc w:val="left"/>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DP „Cilvēkresursi un nodarbinātība” lielākais neatbilstību apjoms ir </w:t>
      </w:r>
      <w:r w:rsidRPr="00852E0C">
        <w:rPr>
          <w:rFonts w:eastAsia="EUAlbertina-Bold-Identity-H"/>
          <w:color w:val="000000" w:themeColor="text1"/>
          <w:szCs w:val="24"/>
          <w:u w:val="single"/>
          <w:lang w:eastAsia="lv-LV"/>
        </w:rPr>
        <w:t>valsts iestāžu</w:t>
      </w:r>
      <w:r w:rsidRPr="00852E0C">
        <w:rPr>
          <w:rFonts w:eastAsia="EUAlbertina-Bold-Identity-H"/>
          <w:color w:val="000000" w:themeColor="text1"/>
          <w:szCs w:val="24"/>
          <w:lang w:eastAsia="lv-LV"/>
        </w:rPr>
        <w:t xml:space="preserve"> īstenotajos projektos – 0,8 </w:t>
      </w:r>
      <w:proofErr w:type="spellStart"/>
      <w:r w:rsidRPr="00852E0C">
        <w:rPr>
          <w:rFonts w:eastAsia="EUAlbertina-Bold-Identity-H"/>
          <w:color w:val="000000" w:themeColor="text1"/>
          <w:szCs w:val="24"/>
          <w:lang w:eastAsia="lv-LV"/>
        </w:rPr>
        <w:t>milj</w:t>
      </w:r>
      <w:proofErr w:type="spellEnd"/>
      <w:r w:rsidRPr="00852E0C">
        <w:rPr>
          <w:rFonts w:eastAsia="EUAlbertina-Bold-Identity-H"/>
          <w:color w:val="000000" w:themeColor="text1"/>
          <w:szCs w:val="24"/>
          <w:lang w:eastAsia="lv-LV"/>
        </w:rPr>
        <w:t xml:space="preserve"> latu jeb 46,5 % no kopējā DP konstatētā neatbilstību apjoma;</w:t>
      </w:r>
    </w:p>
    <w:p w14:paraId="513E8069" w14:textId="77777777" w:rsidR="00AD0A4B" w:rsidRPr="00852E0C" w:rsidRDefault="00AD0A4B" w:rsidP="00852E0C">
      <w:pPr>
        <w:numPr>
          <w:ilvl w:val="0"/>
          <w:numId w:val="37"/>
        </w:numPr>
        <w:spacing w:line="276" w:lineRule="auto"/>
        <w:jc w:val="left"/>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DP „Uzņēmējdarbība un inovācijas” ietvaros 21,4 milj. latu jeb 97,6% no DP konstatēto neatbilstību apjoma veido neatbilstības </w:t>
      </w:r>
      <w:r w:rsidRPr="00852E0C">
        <w:rPr>
          <w:rFonts w:eastAsia="EUAlbertina-Bold-Identity-H"/>
          <w:color w:val="000000" w:themeColor="text1"/>
          <w:szCs w:val="24"/>
          <w:u w:val="single"/>
          <w:lang w:eastAsia="lv-LV"/>
        </w:rPr>
        <w:t>komersantu</w:t>
      </w:r>
      <w:r w:rsidRPr="00852E0C">
        <w:rPr>
          <w:rFonts w:eastAsia="EUAlbertina-Bold-Identity-H"/>
          <w:color w:val="000000" w:themeColor="text1"/>
          <w:szCs w:val="24"/>
          <w:lang w:eastAsia="lv-LV"/>
        </w:rPr>
        <w:t xml:space="preserve"> īstenotajos projektos;</w:t>
      </w:r>
    </w:p>
    <w:p w14:paraId="34FC6F7D" w14:textId="7641C41D" w:rsidR="00117F95" w:rsidRPr="00E05A20" w:rsidRDefault="00AD0A4B" w:rsidP="00E05A20">
      <w:pPr>
        <w:numPr>
          <w:ilvl w:val="0"/>
          <w:numId w:val="37"/>
        </w:numPr>
        <w:spacing w:line="276" w:lineRule="auto"/>
        <w:jc w:val="left"/>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DP „Infrastruktūra un pakalpojumi” ietvaros 9,9 milj. latu jeb 45,1% no kopējā DP konstatētā neatbilstību apjoma veido neatbilstības </w:t>
      </w:r>
      <w:r w:rsidRPr="00852E0C">
        <w:rPr>
          <w:rFonts w:eastAsia="EUAlbertina-Bold-Identity-H"/>
          <w:color w:val="000000" w:themeColor="text1"/>
          <w:szCs w:val="24"/>
          <w:u w:val="single"/>
          <w:lang w:eastAsia="lv-LV"/>
        </w:rPr>
        <w:t xml:space="preserve">pašvaldību </w:t>
      </w:r>
      <w:r w:rsidRPr="00852E0C">
        <w:rPr>
          <w:rFonts w:eastAsia="EUAlbertina-Bold-Identity-H"/>
          <w:color w:val="000000" w:themeColor="text1"/>
          <w:szCs w:val="24"/>
          <w:lang w:eastAsia="lv-LV"/>
        </w:rPr>
        <w:t>īstenotajos projektos.</w:t>
      </w:r>
    </w:p>
    <w:p w14:paraId="416DC420" w14:textId="7476B0C9" w:rsidR="00117F95" w:rsidRPr="00852E0C" w:rsidRDefault="00117F95"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Analizējot </w:t>
      </w:r>
      <w:r w:rsidRPr="00852E0C">
        <w:rPr>
          <w:rFonts w:eastAsia="EUAlbertina-Bold-Identity-H"/>
          <w:b/>
          <w:color w:val="000000" w:themeColor="text1"/>
          <w:szCs w:val="24"/>
          <w:lang w:eastAsia="lv-LV"/>
        </w:rPr>
        <w:t>n</w:t>
      </w:r>
      <w:r w:rsidR="00AD0A4B" w:rsidRPr="00852E0C">
        <w:rPr>
          <w:rFonts w:eastAsia="EUAlbertina-Bold-Identity-H"/>
          <w:b/>
          <w:color w:val="000000" w:themeColor="text1"/>
          <w:szCs w:val="24"/>
          <w:lang w:eastAsia="lv-LV"/>
        </w:rPr>
        <w:t>eatbilstības ar finansiālu ietekmi 2013.gada pirmajā ceturksnī ES fondos</w:t>
      </w:r>
      <w:r w:rsidRPr="00852E0C">
        <w:rPr>
          <w:rFonts w:eastAsia="EUAlbertina-Bold-Identity-H"/>
          <w:color w:val="000000" w:themeColor="text1"/>
          <w:szCs w:val="24"/>
          <w:lang w:eastAsia="lv-LV"/>
        </w:rPr>
        <w:t>,</w:t>
      </w:r>
    </w:p>
    <w:p w14:paraId="24C32E00" w14:textId="6A489194" w:rsidR="00AD0A4B" w:rsidRPr="00852E0C" w:rsidRDefault="00117F95"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k</w:t>
      </w:r>
      <w:r w:rsidR="00AD0A4B" w:rsidRPr="00852E0C">
        <w:rPr>
          <w:rFonts w:eastAsia="EUAlbertina-Bold-Identity-H"/>
          <w:color w:val="000000" w:themeColor="text1"/>
          <w:szCs w:val="24"/>
          <w:lang w:eastAsia="lv-LV"/>
        </w:rPr>
        <w:t xml:space="preserve">ā redzams </w:t>
      </w:r>
      <w:r w:rsidR="00AD0A4B" w:rsidRPr="00852E0C">
        <w:rPr>
          <w:rFonts w:eastAsia="EUAlbertina-Bold-Identity-H"/>
          <w:color w:val="000000" w:themeColor="text1"/>
          <w:szCs w:val="24"/>
          <w:u w:val="single"/>
          <w:lang w:eastAsia="lv-LV"/>
        </w:rPr>
        <w:t>grafikā Nr.</w:t>
      </w:r>
      <w:r w:rsidR="001A284D" w:rsidRPr="00852E0C">
        <w:rPr>
          <w:rFonts w:eastAsia="EUAlbertina-Bold-Identity-H"/>
          <w:color w:val="000000" w:themeColor="text1"/>
          <w:szCs w:val="24"/>
          <w:u w:val="single"/>
          <w:lang w:eastAsia="lv-LV"/>
        </w:rPr>
        <w:t>15</w:t>
      </w:r>
      <w:r w:rsidR="00AD0A4B" w:rsidRPr="00852E0C">
        <w:rPr>
          <w:rFonts w:eastAsia="EUAlbertina-Bold-Identity-H"/>
          <w:color w:val="000000" w:themeColor="text1"/>
          <w:szCs w:val="24"/>
          <w:lang w:eastAsia="lv-LV"/>
        </w:rPr>
        <w:t>, tad kopējais neatbilstību apjoms ir 19,5 milj. latu, kur lielākais neatbilstību apjoms 12,2 milj. latu jeb 62,6 % ir konstatēts par noteikto ieviešanas nosacījumu pārkāpšanu. Kopējās tendences neatbilstību sadalījumā pa to veidiem un pa finansējuma saņēmējiem saglabājas iepriekšējās</w:t>
      </w:r>
    </w:p>
    <w:p w14:paraId="6EC87FBA" w14:textId="0BF5800B" w:rsidR="00AD0A4B" w:rsidRPr="00852E0C" w:rsidRDefault="00AD0A4B"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Grafiks Nr.</w:t>
      </w:r>
      <w:r w:rsidR="004B733A" w:rsidRPr="00852E0C">
        <w:rPr>
          <w:rFonts w:eastAsia="EUAlbertina-Bold-Identity-H"/>
          <w:color w:val="000000" w:themeColor="text1"/>
          <w:szCs w:val="24"/>
          <w:lang w:eastAsia="lv-LV"/>
        </w:rPr>
        <w:t>15</w:t>
      </w:r>
      <w:r w:rsidRPr="00852E0C">
        <w:rPr>
          <w:rFonts w:eastAsia="EUAlbertina-Bold-Identity-H"/>
          <w:color w:val="000000" w:themeColor="text1"/>
          <w:szCs w:val="24"/>
          <w:lang w:eastAsia="lv-LV"/>
        </w:rPr>
        <w:t xml:space="preserve"> </w:t>
      </w:r>
      <w:r w:rsidRPr="00852E0C">
        <w:rPr>
          <w:rFonts w:eastAsia="EUAlbertina-Bold-Identity-H"/>
          <w:i/>
          <w:color w:val="000000" w:themeColor="text1"/>
          <w:szCs w:val="24"/>
          <w:lang w:eastAsia="lv-LV"/>
        </w:rPr>
        <w:t>„Konstatētās neatbilstības sadalījumā pa finansējuma saņēmēju veidiem un neatbilstību veidiem 2013.gada pirmajā ceturksnī; milj. latu (% no kopējā neatbilstību apjoma).”</w:t>
      </w:r>
    </w:p>
    <w:p w14:paraId="1CD8F896" w14:textId="77777777" w:rsidR="00AD0A4B" w:rsidRPr="00852E0C" w:rsidRDefault="00AD0A4B" w:rsidP="00852E0C">
      <w:pPr>
        <w:spacing w:line="276" w:lineRule="auto"/>
        <w:jc w:val="left"/>
        <w:rPr>
          <w:rFonts w:eastAsia="EUAlbertina-Bold-Identity-H"/>
          <w:color w:val="000000" w:themeColor="text1"/>
          <w:szCs w:val="24"/>
          <w:lang w:eastAsia="lv-LV"/>
        </w:rPr>
      </w:pPr>
      <w:r w:rsidRPr="00852E0C">
        <w:rPr>
          <w:rFonts w:eastAsia="EUAlbertina-Bold-Identity-H"/>
          <w:noProof/>
          <w:color w:val="000000" w:themeColor="text1"/>
          <w:szCs w:val="24"/>
          <w:lang w:eastAsia="lv-LV"/>
        </w:rPr>
        <w:drawing>
          <wp:inline distT="0" distB="0" distL="0" distR="0" wp14:anchorId="1DB24D95" wp14:editId="5C57021A">
            <wp:extent cx="5230368" cy="3255264"/>
            <wp:effectExtent l="0" t="0" r="8890" b="254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AC54944" w14:textId="77777777" w:rsidR="00AD0A4B" w:rsidRPr="00852E0C" w:rsidRDefault="00AD0A4B"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2013.gada pirmajā ceturksnī </w:t>
      </w:r>
      <w:r w:rsidRPr="00852E0C">
        <w:rPr>
          <w:rFonts w:eastAsia="EUAlbertina-Bold-Identity-H"/>
          <w:color w:val="000000" w:themeColor="text1"/>
          <w:szCs w:val="24"/>
          <w:u w:val="single"/>
          <w:lang w:eastAsia="lv-LV"/>
        </w:rPr>
        <w:t>DP „Uzņēmējdarbība un inovācijas”</w:t>
      </w:r>
      <w:r w:rsidRPr="00852E0C">
        <w:rPr>
          <w:rFonts w:eastAsia="EUAlbertina-Bold-Identity-H"/>
          <w:color w:val="000000" w:themeColor="text1"/>
          <w:szCs w:val="24"/>
          <w:lang w:eastAsia="lv-LV"/>
        </w:rPr>
        <w:t xml:space="preserve"> konstatēti 50 neatbilstību gadījumi aktivitātes „Atbalsts zinātnei un pētniecībai” ietvaros par kopējo summu 220,1 tūkst. latu jeb 1,6% no kopējās pieprasītās summas, un galvenie neatbilstību rašanās iemesli ir iepirkuma procedūru un līguma nosacījumu pārkāpumi. </w:t>
      </w:r>
      <w:r w:rsidRPr="00852E0C">
        <w:rPr>
          <w:rFonts w:eastAsia="EUAlbertina-Bold-Identity-H"/>
          <w:color w:val="000000" w:themeColor="text1"/>
          <w:szCs w:val="24"/>
          <w:lang w:eastAsia="lv-LV"/>
        </w:rPr>
        <w:lastRenderedPageBreak/>
        <w:t xml:space="preserve">IZM un VIAA turpmāk rūpīgi jāvērtē problēmu </w:t>
      </w:r>
      <w:proofErr w:type="spellStart"/>
      <w:r w:rsidRPr="00852E0C">
        <w:rPr>
          <w:rFonts w:eastAsia="EUAlbertina-Bold-Identity-H"/>
          <w:color w:val="000000" w:themeColor="text1"/>
          <w:szCs w:val="24"/>
          <w:lang w:eastAsia="lv-LV"/>
        </w:rPr>
        <w:t>sistēmiskuma</w:t>
      </w:r>
      <w:proofErr w:type="spellEnd"/>
      <w:r w:rsidRPr="00852E0C">
        <w:rPr>
          <w:rFonts w:eastAsia="EUAlbertina-Bold-Identity-H"/>
          <w:color w:val="000000" w:themeColor="text1"/>
          <w:szCs w:val="24"/>
          <w:lang w:eastAsia="lv-LV"/>
        </w:rPr>
        <w:t xml:space="preserve"> rakstus un jāveic pasākumi risku mazināšanā.</w:t>
      </w:r>
    </w:p>
    <w:p w14:paraId="0D988714" w14:textId="7C895141" w:rsidR="00AD0A4B" w:rsidRPr="00852E0C" w:rsidRDefault="00AD0A4B"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 xml:space="preserve">Pārskata periodā </w:t>
      </w:r>
      <w:r w:rsidRPr="00852E0C">
        <w:rPr>
          <w:rFonts w:eastAsia="EUAlbertina-Bold-Identity-H"/>
          <w:color w:val="000000" w:themeColor="text1"/>
          <w:szCs w:val="24"/>
          <w:u w:val="single"/>
          <w:lang w:eastAsia="lv-LV"/>
        </w:rPr>
        <w:t>DP „Infrastruktūra un pakalpojumi”</w:t>
      </w:r>
      <w:r w:rsidRPr="00852E0C">
        <w:rPr>
          <w:rFonts w:eastAsia="EUAlbertina-Bold-Identity-H"/>
          <w:color w:val="000000" w:themeColor="text1"/>
          <w:szCs w:val="24"/>
          <w:lang w:eastAsia="lv-LV"/>
        </w:rPr>
        <w:t xml:space="preserve"> ietvaros joprojām lielāko neatbilstību apjomu veido iepirkuma pārkāpumi – gandrīz divas trešdaļas no visām neatbilstībām. Salīdzinot ar iepriekšējo ceturksni, ir ievērojami palielinājies neatbilstību apjoms, kas saistīts ar aizdomām par krāpšanu, kas – saistīts ar ierosināto kriminālprocesu pret</w:t>
      </w:r>
      <w:r w:rsidR="000E0633">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SIA „Gādība”, kura ir viltojusi VID izziņas par nodokļu neesamību un uzvarējusi vairākos Daugavpils pilsētas un novada domes, Līksnas, Kalkūnes un Demenes pagasta pārvaldes, kā arī VARAM rīkotajos publiskajos iepirkumos (kopā 14 iepirkumi), kas līdzfinansēti no ERAF un Eiropas Lauksaimniecības fonda lauku attīstībai. Iepirkumi saistīti ar darbu veikšanu dažādos infrastruktūras uzlabošanas un pilnveidošanas projektos. Ņemot vērā, ka šobrīd nav pierādīta tieša finansējuma saņēmēju vaina un lietas ir izvērtēšanas procesā, par šiem gadījumiem informācija ziņojuma </w:t>
      </w:r>
      <w:proofErr w:type="spellStart"/>
      <w:r w:rsidRPr="00852E0C">
        <w:rPr>
          <w:rFonts w:eastAsia="EUAlbertina-Bold-Identity-H"/>
          <w:color w:val="000000" w:themeColor="text1"/>
          <w:szCs w:val="24"/>
          <w:lang w:eastAsia="lv-LV"/>
        </w:rPr>
        <w:t>protokollēmumā</w:t>
      </w:r>
      <w:proofErr w:type="spellEnd"/>
      <w:r w:rsidRPr="00852E0C">
        <w:rPr>
          <w:rFonts w:eastAsia="EUAlbertina-Bold-Identity-H"/>
          <w:color w:val="000000" w:themeColor="text1"/>
          <w:szCs w:val="24"/>
          <w:lang w:eastAsia="lv-LV"/>
        </w:rPr>
        <w:t>, ar ko tiek uzdots VARAM izvērtēt informāciju par iesaistītajām pašvaldībām, netiek iekļauta</w:t>
      </w:r>
      <w:r w:rsidRPr="00852E0C">
        <w:rPr>
          <w:rFonts w:eastAsia="EUAlbertina-Bold-Identity-H"/>
          <w:color w:val="000000" w:themeColor="text1"/>
          <w:szCs w:val="24"/>
          <w:vertAlign w:val="superscript"/>
          <w:lang w:eastAsia="lv-LV"/>
        </w:rPr>
        <w:footnoteReference w:id="39"/>
      </w:r>
      <w:r w:rsidRPr="00852E0C">
        <w:rPr>
          <w:rFonts w:eastAsia="EUAlbertina-Bold-Identity-H"/>
          <w:color w:val="000000" w:themeColor="text1"/>
          <w:szCs w:val="24"/>
          <w:lang w:eastAsia="lv-LV"/>
        </w:rPr>
        <w:t>.</w:t>
      </w:r>
    </w:p>
    <w:p w14:paraId="3AB0BF65" w14:textId="6ACC9DA7" w:rsidR="009731B6" w:rsidRPr="00852E0C" w:rsidRDefault="00AD0A4B" w:rsidP="00852E0C">
      <w:pPr>
        <w:spacing w:line="276" w:lineRule="auto"/>
        <w:rPr>
          <w:rFonts w:eastAsia="EUAlbertina-Bold-Identity-H"/>
          <w:color w:val="000000" w:themeColor="text1"/>
          <w:szCs w:val="24"/>
          <w:lang w:eastAsia="lv-LV"/>
        </w:rPr>
      </w:pPr>
      <w:r w:rsidRPr="00852E0C">
        <w:rPr>
          <w:rFonts w:eastAsia="EUAlbertina-Bold-Identity-H"/>
          <w:color w:val="000000" w:themeColor="text1"/>
          <w:szCs w:val="24"/>
          <w:lang w:eastAsia="lv-LV"/>
        </w:rPr>
        <w:t>Analizējot zaudējumus valsts budžetam pārskata periodā, kas ir neatbilstoši veikti izdevumi un neatbilstības, kuras konstatētas tiešo vai pastarpināto valsts pārvaldes iestāžu, atvasināto publisko personu vai citu valsts iestāžu īstenotajos projektos, tai skaitā pašvaldību īstenotajos projektos, kā arī citi neatbilstošie no budžeta veiktie izdevumi, par ko netiks saņemts ES līdzfinansējums, secināms, ka kopumā valsts budžetam uz 2013.gada 31.martu radīti zaudējumi 2,0</w:t>
      </w:r>
      <w:r w:rsidR="000E0633">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milj. latu apmērā. Salīdzinājumā ar iepriekšējo pārskata periodu radītie zaudējumu palielinājušies par 0,6 milj.</w:t>
      </w:r>
      <w:r w:rsidR="006E1ED3" w:rsidRPr="00852E0C">
        <w:rPr>
          <w:rFonts w:eastAsia="EUAlbertina-Bold-Identity-H"/>
          <w:color w:val="000000" w:themeColor="text1"/>
          <w:szCs w:val="24"/>
          <w:lang w:eastAsia="lv-LV"/>
        </w:rPr>
        <w:t xml:space="preserve"> </w:t>
      </w:r>
      <w:r w:rsidRPr="00852E0C">
        <w:rPr>
          <w:rFonts w:eastAsia="EUAlbertina-Bold-Identity-H"/>
          <w:color w:val="000000" w:themeColor="text1"/>
          <w:szCs w:val="24"/>
          <w:lang w:eastAsia="lv-LV"/>
        </w:rPr>
        <w:t xml:space="preserve">latu. Izdevumi tiek atgūti, tos ieturot no kārtēja/nākamā maksājuma, norakstot, atgūstot un ziņojot MK. </w:t>
      </w:r>
      <w:bookmarkStart w:id="41" w:name="_Toc276050004"/>
      <w:bookmarkStart w:id="42" w:name="_Toc324948892"/>
      <w:bookmarkEnd w:id="35"/>
      <w:bookmarkEnd w:id="36"/>
      <w:bookmarkEnd w:id="37"/>
      <w:bookmarkEnd w:id="39"/>
      <w:r w:rsidR="009731B6" w:rsidRPr="00852E0C">
        <w:rPr>
          <w:rFonts w:eastAsia="EUAlbertina-Bold-Identity-H"/>
          <w:color w:val="000000" w:themeColor="text1"/>
          <w:szCs w:val="24"/>
          <w:lang w:eastAsia="lv-LV"/>
        </w:rPr>
        <w:t>Neatbilstības un neatbilstoši veikti izdevumi citu ārvalstu finanšu palīdzības līdzfinansētu projektu ietvaros</w:t>
      </w:r>
    </w:p>
    <w:p w14:paraId="7B58AC75" w14:textId="58EE4EC3" w:rsidR="009731B6" w:rsidRPr="00852E0C" w:rsidRDefault="006055C3" w:rsidP="00852E0C">
      <w:pPr>
        <w:spacing w:line="276" w:lineRule="auto"/>
        <w:rPr>
          <w:rFonts w:eastAsiaTheme="minorHAnsi"/>
          <w:color w:val="000000" w:themeColor="text1"/>
          <w:szCs w:val="24"/>
        </w:rPr>
      </w:pPr>
      <w:r w:rsidRPr="00852E0C">
        <w:rPr>
          <w:rFonts w:eastAsiaTheme="minorHAnsi"/>
          <w:color w:val="000000" w:themeColor="text1"/>
          <w:szCs w:val="24"/>
        </w:rPr>
        <w:t>No EEZ/Norvēģijas finanšu instrumentu programmu uzsākšanas brīža (2012.gada septembra) līdz pārskata perioda beigām neatbilstības nav konstatētas.</w:t>
      </w:r>
    </w:p>
    <w:p w14:paraId="13DD0622" w14:textId="7BE7AF59" w:rsidR="009731B6" w:rsidRPr="00852E0C" w:rsidRDefault="00D006E0" w:rsidP="00852E0C">
      <w:pPr>
        <w:keepNext/>
        <w:numPr>
          <w:ilvl w:val="1"/>
          <w:numId w:val="2"/>
        </w:numPr>
        <w:spacing w:line="276" w:lineRule="auto"/>
        <w:jc w:val="left"/>
        <w:outlineLvl w:val="1"/>
        <w:rPr>
          <w:b/>
          <w:iCs/>
          <w:color w:val="000000" w:themeColor="text1"/>
          <w:szCs w:val="24"/>
          <w:lang w:val="x-none" w:eastAsia="x-none"/>
        </w:rPr>
      </w:pPr>
      <w:bookmarkStart w:id="43" w:name="_Toc356465235"/>
      <w:r w:rsidRPr="00852E0C">
        <w:rPr>
          <w:b/>
          <w:iCs/>
          <w:color w:val="000000" w:themeColor="text1"/>
          <w:szCs w:val="24"/>
          <w:lang w:val="x-none" w:eastAsia="x-none"/>
        </w:rPr>
        <w:t xml:space="preserve">Neatbilstības un neatbilstoši veikti izdevumi </w:t>
      </w:r>
      <w:r w:rsidR="009731B6" w:rsidRPr="00852E0C">
        <w:rPr>
          <w:b/>
          <w:iCs/>
          <w:color w:val="000000" w:themeColor="text1"/>
          <w:szCs w:val="24"/>
          <w:lang w:val="x-none" w:eastAsia="x-none"/>
        </w:rPr>
        <w:t>Šveices programma</w:t>
      </w:r>
      <w:r w:rsidRPr="00852E0C">
        <w:rPr>
          <w:b/>
          <w:iCs/>
          <w:color w:val="000000" w:themeColor="text1"/>
          <w:szCs w:val="24"/>
          <w:lang w:val="x-none" w:eastAsia="x-none"/>
        </w:rPr>
        <w:t>s ietvaros</w:t>
      </w:r>
      <w:bookmarkEnd w:id="43"/>
    </w:p>
    <w:p w14:paraId="27482F9C" w14:textId="361A4C7D" w:rsidR="009731B6" w:rsidRPr="00852E0C" w:rsidRDefault="006055C3" w:rsidP="00852E0C">
      <w:pPr>
        <w:spacing w:line="276" w:lineRule="auto"/>
        <w:rPr>
          <w:rFonts w:eastAsiaTheme="minorHAnsi"/>
          <w:color w:val="000000" w:themeColor="text1"/>
          <w:szCs w:val="24"/>
        </w:rPr>
      </w:pPr>
      <w:r w:rsidRPr="00852E0C">
        <w:rPr>
          <w:rFonts w:eastAsiaTheme="minorHAnsi"/>
          <w:color w:val="000000" w:themeColor="text1"/>
          <w:szCs w:val="24"/>
        </w:rPr>
        <w:t>CFLA un Valsts kase līdz pārskata perioda beigām par neattiecināmiem izdevumiem kopumā ir atzinušas 7</w:t>
      </w:r>
      <w:r w:rsidR="002E316B" w:rsidRPr="00852E0C">
        <w:rPr>
          <w:rFonts w:eastAsiaTheme="minorHAnsi"/>
          <w:color w:val="000000" w:themeColor="text1"/>
          <w:szCs w:val="24"/>
        </w:rPr>
        <w:t>5</w:t>
      </w:r>
      <w:r w:rsidRPr="00852E0C">
        <w:rPr>
          <w:rFonts w:eastAsiaTheme="minorHAnsi"/>
          <w:color w:val="000000" w:themeColor="text1"/>
          <w:szCs w:val="24"/>
        </w:rPr>
        <w:t>,</w:t>
      </w:r>
      <w:r w:rsidR="002E316B" w:rsidRPr="00852E0C">
        <w:rPr>
          <w:rFonts w:eastAsiaTheme="minorHAnsi"/>
          <w:color w:val="000000" w:themeColor="text1"/>
          <w:szCs w:val="24"/>
        </w:rPr>
        <w:t>4</w:t>
      </w:r>
      <w:r w:rsidRPr="00852E0C">
        <w:rPr>
          <w:rFonts w:eastAsiaTheme="minorHAnsi"/>
          <w:color w:val="000000" w:themeColor="text1"/>
          <w:szCs w:val="24"/>
        </w:rPr>
        <w:t xml:space="preserve"> tūkst. latu jeb 0,2</w:t>
      </w:r>
      <w:r w:rsidR="002E316B" w:rsidRPr="00852E0C">
        <w:rPr>
          <w:rFonts w:eastAsiaTheme="minorHAnsi"/>
          <w:color w:val="000000" w:themeColor="text1"/>
          <w:szCs w:val="24"/>
        </w:rPr>
        <w:t>1</w:t>
      </w:r>
      <w:r w:rsidRPr="00852E0C">
        <w:rPr>
          <w:rFonts w:eastAsiaTheme="minorHAnsi"/>
          <w:color w:val="000000" w:themeColor="text1"/>
          <w:szCs w:val="24"/>
        </w:rPr>
        <w:t>% no Šveices programmā pieejamā kopējā publiskā finansējuma</w:t>
      </w:r>
      <w:r w:rsidR="009376F4" w:rsidRPr="00852E0C">
        <w:rPr>
          <w:rFonts w:eastAsiaTheme="minorHAnsi"/>
          <w:color w:val="000000" w:themeColor="text1"/>
          <w:szCs w:val="24"/>
        </w:rPr>
        <w:t>.</w:t>
      </w:r>
      <w:r w:rsidR="00D9332C" w:rsidRPr="00852E0C">
        <w:rPr>
          <w:rFonts w:eastAsiaTheme="minorHAnsi"/>
          <w:color w:val="000000" w:themeColor="text1"/>
          <w:szCs w:val="24"/>
        </w:rPr>
        <w:t xml:space="preserve"> </w:t>
      </w:r>
      <w:r w:rsidRPr="00852E0C">
        <w:rPr>
          <w:rFonts w:eastAsiaTheme="minorHAnsi"/>
          <w:color w:val="000000" w:themeColor="text1"/>
          <w:szCs w:val="24"/>
        </w:rPr>
        <w:t>2013.gadā 1.ceturksnī ir konstatēta neatbilstība vienā iepirkuma procedūrā Jaunatnes starptautisko programmu aģentūras administrētajā projektā</w:t>
      </w:r>
      <w:r w:rsidR="009376F4" w:rsidRPr="00852E0C">
        <w:rPr>
          <w:rFonts w:eastAsiaTheme="minorHAnsi"/>
          <w:color w:val="000000" w:themeColor="text1"/>
          <w:szCs w:val="24"/>
        </w:rPr>
        <w:t>.</w:t>
      </w:r>
    </w:p>
    <w:p w14:paraId="10964A22" w14:textId="1FD3B3B0" w:rsidR="00200564" w:rsidRPr="00852E0C" w:rsidRDefault="005639D3" w:rsidP="00852E0C">
      <w:pPr>
        <w:keepNext/>
        <w:numPr>
          <w:ilvl w:val="1"/>
          <w:numId w:val="2"/>
        </w:numPr>
        <w:spacing w:line="276" w:lineRule="auto"/>
        <w:jc w:val="left"/>
        <w:outlineLvl w:val="1"/>
        <w:rPr>
          <w:b/>
          <w:iCs/>
          <w:color w:val="000000" w:themeColor="text1"/>
          <w:szCs w:val="24"/>
          <w:lang w:val="x-none" w:eastAsia="x-none"/>
        </w:rPr>
      </w:pPr>
      <w:bookmarkStart w:id="44" w:name="_Toc356465236"/>
      <w:r w:rsidRPr="00852E0C">
        <w:rPr>
          <w:b/>
          <w:iCs/>
          <w:color w:val="000000" w:themeColor="text1"/>
          <w:szCs w:val="24"/>
          <w:lang w:val="x-none" w:eastAsia="x-none"/>
        </w:rPr>
        <w:t xml:space="preserve">Vadības, kontroles un uzraudzības sistēmas darbība, </w:t>
      </w:r>
      <w:r w:rsidR="001F4396" w:rsidRPr="00852E0C">
        <w:rPr>
          <w:b/>
          <w:iCs/>
          <w:color w:val="000000" w:themeColor="text1"/>
          <w:szCs w:val="24"/>
          <w:lang w:val="x-none" w:eastAsia="x-none"/>
        </w:rPr>
        <w:t>pasākumi risku mazināšanai</w:t>
      </w:r>
      <w:bookmarkEnd w:id="44"/>
      <w:r w:rsidR="001F4396" w:rsidRPr="00852E0C">
        <w:rPr>
          <w:b/>
          <w:iCs/>
          <w:color w:val="000000" w:themeColor="text1"/>
          <w:szCs w:val="24"/>
          <w:lang w:val="x-none" w:eastAsia="x-none"/>
        </w:rPr>
        <w:t xml:space="preserve"> </w:t>
      </w:r>
    </w:p>
    <w:p w14:paraId="420804D5" w14:textId="47364485" w:rsidR="00200564" w:rsidRPr="00852E0C" w:rsidRDefault="00200564" w:rsidP="00852E0C">
      <w:pPr>
        <w:spacing w:line="276" w:lineRule="auto"/>
        <w:rPr>
          <w:rFonts w:eastAsiaTheme="minorHAnsi"/>
          <w:color w:val="000000" w:themeColor="text1"/>
          <w:szCs w:val="24"/>
        </w:rPr>
      </w:pPr>
      <w:r w:rsidRPr="00852E0C">
        <w:rPr>
          <w:rFonts w:eastAsiaTheme="minorHAnsi"/>
          <w:color w:val="000000" w:themeColor="text1"/>
          <w:szCs w:val="24"/>
        </w:rPr>
        <w:t>Lai nodrošinātu, ka EK tiek deklarēti tikai attiecināmie izdevumi, atbilstoši 2010.gada 9.novembra MK noteikumu</w:t>
      </w:r>
      <w:r w:rsidR="000E0633">
        <w:rPr>
          <w:rFonts w:eastAsiaTheme="minorHAnsi"/>
          <w:color w:val="000000" w:themeColor="text1"/>
          <w:szCs w:val="24"/>
        </w:rPr>
        <w:t xml:space="preserve"> </w:t>
      </w:r>
      <w:r w:rsidRPr="00852E0C">
        <w:rPr>
          <w:rFonts w:eastAsiaTheme="minorHAnsi"/>
          <w:color w:val="000000" w:themeColor="text1"/>
          <w:szCs w:val="24"/>
        </w:rPr>
        <w:t xml:space="preserve">Nr.1041 „Kārtība, kādā paredzami valsts budžeta līdzekļi </w:t>
      </w:r>
      <w:r w:rsidRPr="00852E0C">
        <w:rPr>
          <w:rFonts w:eastAsiaTheme="minorHAnsi"/>
          <w:color w:val="000000" w:themeColor="text1"/>
          <w:szCs w:val="24"/>
        </w:rPr>
        <w:lastRenderedPageBreak/>
        <w:t xml:space="preserve">Eiropas Savienības struktūrfondu un Kohēzijas fonda līdzfinansēto projektu īstenošanai, kā arī maksājumu veikšanas un izdevumu deklarācijas sagatavošanas kārtība” 51.2 punktam, </w:t>
      </w:r>
      <w:r w:rsidR="00352B55">
        <w:rPr>
          <w:rFonts w:eastAsiaTheme="minorHAnsi"/>
          <w:color w:val="000000" w:themeColor="text1"/>
          <w:szCs w:val="24"/>
        </w:rPr>
        <w:t>VI</w:t>
      </w:r>
      <w:r w:rsidRPr="00852E0C">
        <w:rPr>
          <w:rFonts w:eastAsiaTheme="minorHAnsi"/>
          <w:color w:val="000000" w:themeColor="text1"/>
          <w:szCs w:val="24"/>
        </w:rPr>
        <w:t xml:space="preserve">, konstatējot būtiskus trūkumus vai pārkāpumus, var apturēt </w:t>
      </w:r>
      <w:bookmarkStart w:id="45" w:name="n1"/>
      <w:r w:rsidRPr="00852E0C">
        <w:rPr>
          <w:rFonts w:eastAsiaTheme="minorHAnsi"/>
          <w:color w:val="000000" w:themeColor="text1"/>
          <w:szCs w:val="24"/>
        </w:rPr>
        <w:t xml:space="preserve">projekta ietvaros veikto izdevumu deklarēšanu </w:t>
      </w:r>
      <w:bookmarkEnd w:id="45"/>
      <w:r w:rsidRPr="00852E0C">
        <w:rPr>
          <w:rFonts w:eastAsiaTheme="minorHAnsi"/>
          <w:color w:val="000000" w:themeColor="text1"/>
          <w:szCs w:val="24"/>
        </w:rPr>
        <w:t>EK, kā arī risku mazināšanas nolūkos uz laiku apturēt maksājumu veikšanu.</w:t>
      </w:r>
    </w:p>
    <w:p w14:paraId="48AE4475" w14:textId="77777777" w:rsidR="00200564" w:rsidRPr="00852E0C" w:rsidRDefault="00200564" w:rsidP="00852E0C">
      <w:pPr>
        <w:spacing w:line="276" w:lineRule="auto"/>
        <w:rPr>
          <w:rFonts w:eastAsiaTheme="minorHAnsi"/>
          <w:color w:val="000000" w:themeColor="text1"/>
          <w:szCs w:val="24"/>
        </w:rPr>
      </w:pPr>
      <w:r w:rsidRPr="00852E0C">
        <w:rPr>
          <w:rFonts w:eastAsiaTheme="minorHAnsi"/>
          <w:color w:val="000000" w:themeColor="text1"/>
          <w:szCs w:val="24"/>
        </w:rPr>
        <w:t>Uz š.g. 1.ceturksni, šādās apturēta maksājumu veikšana / izdevumu deklarēšana bija:</w:t>
      </w:r>
    </w:p>
    <w:p w14:paraId="129F2A0F" w14:textId="5A8525F1" w:rsidR="00EB5700" w:rsidRPr="00852E0C" w:rsidRDefault="00EB5700" w:rsidP="00852E0C">
      <w:pPr>
        <w:pStyle w:val="ListParagraph"/>
        <w:numPr>
          <w:ilvl w:val="0"/>
          <w:numId w:val="53"/>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DP „ Cilvēkresursi un nodarbinātība” finanšu ins</w:t>
      </w:r>
      <w:r w:rsidR="00352B55">
        <w:rPr>
          <w:rFonts w:ascii="Times New Roman" w:eastAsiaTheme="minorHAnsi" w:hAnsi="Times New Roman"/>
          <w:color w:val="000000" w:themeColor="text1"/>
          <w:sz w:val="24"/>
          <w:szCs w:val="24"/>
        </w:rPr>
        <w:t>trumenta ietvaros – aktivitātē „</w:t>
      </w:r>
      <w:r w:rsidRPr="00852E0C">
        <w:rPr>
          <w:rFonts w:ascii="Times New Roman" w:eastAsiaTheme="minorHAnsi" w:hAnsi="Times New Roman"/>
          <w:color w:val="000000" w:themeColor="text1"/>
          <w:sz w:val="24"/>
          <w:szCs w:val="24"/>
        </w:rPr>
        <w:t xml:space="preserve">Atbalsts </w:t>
      </w:r>
      <w:proofErr w:type="spellStart"/>
      <w:r w:rsidRPr="00852E0C">
        <w:rPr>
          <w:rFonts w:ascii="Times New Roman" w:eastAsiaTheme="minorHAnsi" w:hAnsi="Times New Roman"/>
          <w:color w:val="000000" w:themeColor="text1"/>
          <w:sz w:val="24"/>
          <w:szCs w:val="24"/>
        </w:rPr>
        <w:t>pašnodarbinātība</w:t>
      </w:r>
      <w:r w:rsidR="00352B55">
        <w:rPr>
          <w:rFonts w:ascii="Times New Roman" w:eastAsiaTheme="minorHAnsi" w:hAnsi="Times New Roman"/>
          <w:color w:val="000000" w:themeColor="text1"/>
          <w:sz w:val="24"/>
          <w:szCs w:val="24"/>
        </w:rPr>
        <w:t>s</w:t>
      </w:r>
      <w:proofErr w:type="spellEnd"/>
      <w:r w:rsidR="00352B55">
        <w:rPr>
          <w:rFonts w:ascii="Times New Roman" w:eastAsiaTheme="minorHAnsi" w:hAnsi="Times New Roman"/>
          <w:color w:val="000000" w:themeColor="text1"/>
          <w:sz w:val="24"/>
          <w:szCs w:val="24"/>
        </w:rPr>
        <w:t xml:space="preserve"> un uzņēmējdarbības uzsākšanai”</w:t>
      </w:r>
      <w:r w:rsidRPr="00852E0C">
        <w:rPr>
          <w:rFonts w:ascii="Times New Roman" w:eastAsiaTheme="minorHAnsi" w:hAnsi="Times New Roman"/>
          <w:color w:val="000000" w:themeColor="text1"/>
          <w:sz w:val="24"/>
          <w:szCs w:val="24"/>
        </w:rPr>
        <w:t>, ņemot EK audita konstatējumus un neatbilstoši veikt</w:t>
      </w:r>
      <w:r w:rsidR="008B0574" w:rsidRPr="00852E0C">
        <w:rPr>
          <w:rFonts w:ascii="Times New Roman" w:eastAsiaTheme="minorHAnsi" w:hAnsi="Times New Roman"/>
          <w:color w:val="000000" w:themeColor="text1"/>
          <w:sz w:val="24"/>
          <w:szCs w:val="24"/>
        </w:rPr>
        <w:t xml:space="preserve">u izdevumu riskus </w:t>
      </w:r>
      <w:r w:rsidR="00352B55">
        <w:rPr>
          <w:rFonts w:ascii="Times New Roman" w:eastAsiaTheme="minorHAnsi" w:hAnsi="Times New Roman"/>
          <w:color w:val="000000" w:themeColor="text1"/>
          <w:sz w:val="24"/>
          <w:szCs w:val="24"/>
        </w:rPr>
        <w:t>2012.gada 5.oktobrī</w:t>
      </w:r>
      <w:r w:rsidR="008B0574" w:rsidRPr="00852E0C">
        <w:rPr>
          <w:rFonts w:ascii="Times New Roman" w:eastAsiaTheme="minorHAnsi" w:hAnsi="Times New Roman"/>
          <w:color w:val="000000" w:themeColor="text1"/>
          <w:sz w:val="24"/>
          <w:szCs w:val="24"/>
        </w:rPr>
        <w:t xml:space="preserve">, </w:t>
      </w:r>
      <w:r w:rsidR="00352B55">
        <w:rPr>
          <w:rFonts w:ascii="Times New Roman" w:eastAsiaTheme="minorHAnsi" w:hAnsi="Times New Roman"/>
          <w:color w:val="000000" w:themeColor="text1"/>
          <w:sz w:val="24"/>
          <w:szCs w:val="24"/>
        </w:rPr>
        <w:t>Valsts Kase</w:t>
      </w:r>
      <w:r w:rsidRPr="00852E0C">
        <w:rPr>
          <w:rFonts w:ascii="Times New Roman" w:eastAsiaTheme="minorHAnsi" w:hAnsi="Times New Roman"/>
          <w:color w:val="000000" w:themeColor="text1"/>
          <w:sz w:val="24"/>
          <w:szCs w:val="24"/>
        </w:rPr>
        <w:t xml:space="preserve"> līdz trūkumu novēršanai un</w:t>
      </w:r>
      <w:r w:rsidR="000E0633">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finanšu korekcijas apjoma precizē</w:t>
      </w:r>
      <w:r w:rsidR="00FD0AD1" w:rsidRPr="00852E0C">
        <w:rPr>
          <w:rFonts w:ascii="Times New Roman" w:eastAsiaTheme="minorHAnsi" w:hAnsi="Times New Roman"/>
          <w:color w:val="000000" w:themeColor="text1"/>
          <w:sz w:val="24"/>
          <w:szCs w:val="24"/>
        </w:rPr>
        <w:t>šanai ieturējuši 6,5 milj. latu</w:t>
      </w:r>
      <w:r w:rsidRPr="00852E0C">
        <w:rPr>
          <w:rFonts w:ascii="Times New Roman" w:eastAsiaTheme="minorHAnsi" w:hAnsi="Times New Roman"/>
          <w:color w:val="000000" w:themeColor="text1"/>
          <w:sz w:val="24"/>
          <w:szCs w:val="24"/>
        </w:rPr>
        <w:t xml:space="preserve"> no ieprie</w:t>
      </w:r>
      <w:r w:rsidR="00FD0AD1" w:rsidRPr="00852E0C">
        <w:rPr>
          <w:rFonts w:ascii="Times New Roman" w:eastAsiaTheme="minorHAnsi" w:hAnsi="Times New Roman"/>
          <w:color w:val="000000" w:themeColor="text1"/>
          <w:sz w:val="24"/>
          <w:szCs w:val="24"/>
        </w:rPr>
        <w:t>kš EK deklarētajiem izdevumiem.</w:t>
      </w:r>
      <w:r w:rsidRPr="00852E0C">
        <w:rPr>
          <w:rFonts w:ascii="Times New Roman" w:eastAsiaTheme="minorHAnsi" w:hAnsi="Times New Roman"/>
          <w:color w:val="000000" w:themeColor="text1"/>
          <w:sz w:val="24"/>
          <w:szCs w:val="24"/>
        </w:rPr>
        <w:t xml:space="preserve"> Izdevumu deklarēšan</w:t>
      </w:r>
      <w:r w:rsidR="008B0574" w:rsidRPr="00852E0C">
        <w:rPr>
          <w:rFonts w:ascii="Times New Roman" w:eastAsiaTheme="minorHAnsi" w:hAnsi="Times New Roman"/>
          <w:color w:val="000000" w:themeColor="text1"/>
          <w:sz w:val="24"/>
          <w:szCs w:val="24"/>
        </w:rPr>
        <w:t xml:space="preserve">a EK apturēta arī IZM pārziņā esošās profesionālo izglītības </w:t>
      </w:r>
      <w:r w:rsidRPr="00852E0C">
        <w:rPr>
          <w:rFonts w:ascii="Times New Roman" w:eastAsiaTheme="minorHAnsi" w:hAnsi="Times New Roman"/>
          <w:color w:val="000000" w:themeColor="text1"/>
          <w:sz w:val="24"/>
          <w:szCs w:val="24"/>
        </w:rPr>
        <w:t>programmu īstenošan</w:t>
      </w:r>
      <w:r w:rsidR="00FD0AD1" w:rsidRPr="00852E0C">
        <w:rPr>
          <w:rFonts w:ascii="Times New Roman" w:eastAsiaTheme="minorHAnsi" w:hAnsi="Times New Roman"/>
          <w:color w:val="000000" w:themeColor="text1"/>
          <w:sz w:val="24"/>
          <w:szCs w:val="24"/>
        </w:rPr>
        <w:t>as kvalitātes paaugstināšanas</w:t>
      </w:r>
      <w:r w:rsidRPr="00852E0C">
        <w:rPr>
          <w:rFonts w:ascii="Times New Roman" w:eastAsiaTheme="minorHAnsi" w:hAnsi="Times New Roman"/>
          <w:color w:val="000000" w:themeColor="text1"/>
          <w:sz w:val="24"/>
          <w:szCs w:val="24"/>
        </w:rPr>
        <w:t xml:space="preserve"> un au</w:t>
      </w:r>
      <w:r w:rsidR="008B0574" w:rsidRPr="00852E0C">
        <w:rPr>
          <w:rFonts w:ascii="Times New Roman" w:eastAsiaTheme="minorHAnsi" w:hAnsi="Times New Roman"/>
          <w:color w:val="000000" w:themeColor="text1"/>
          <w:sz w:val="24"/>
          <w:szCs w:val="24"/>
        </w:rPr>
        <w:t xml:space="preserve">gstākās izglītības </w:t>
      </w:r>
      <w:r w:rsidRPr="00852E0C">
        <w:rPr>
          <w:rFonts w:ascii="Times New Roman" w:eastAsiaTheme="minorHAnsi" w:hAnsi="Times New Roman"/>
          <w:color w:val="000000" w:themeColor="text1"/>
          <w:sz w:val="24"/>
          <w:szCs w:val="24"/>
        </w:rPr>
        <w:t>studiju programmu izvērtēšanas aktivitātēs 6,5 milj. latu apjomā līdz risku novērš</w:t>
      </w:r>
      <w:r w:rsidR="008B0574" w:rsidRPr="00852E0C">
        <w:rPr>
          <w:rFonts w:ascii="Times New Roman" w:eastAsiaTheme="minorHAnsi" w:hAnsi="Times New Roman"/>
          <w:color w:val="000000" w:themeColor="text1"/>
          <w:sz w:val="24"/>
          <w:szCs w:val="24"/>
        </w:rPr>
        <w:t xml:space="preserve">anai un pilnīgai rīcības plānu </w:t>
      </w:r>
      <w:r w:rsidRPr="00852E0C">
        <w:rPr>
          <w:rFonts w:ascii="Times New Roman" w:eastAsiaTheme="minorHAnsi" w:hAnsi="Times New Roman"/>
          <w:color w:val="000000" w:themeColor="text1"/>
          <w:sz w:val="24"/>
          <w:szCs w:val="24"/>
        </w:rPr>
        <w:t>izpildei.</w:t>
      </w:r>
      <w:r w:rsidR="000E0633">
        <w:rPr>
          <w:rFonts w:ascii="Times New Roman" w:eastAsiaTheme="minorHAnsi" w:hAnsi="Times New Roman"/>
          <w:color w:val="000000" w:themeColor="text1"/>
          <w:sz w:val="24"/>
          <w:szCs w:val="24"/>
        </w:rPr>
        <w:t xml:space="preserve"> </w:t>
      </w:r>
    </w:p>
    <w:p w14:paraId="1627181D" w14:textId="0C3F6DD8" w:rsidR="00200564" w:rsidRPr="00852E0C" w:rsidRDefault="00A76609" w:rsidP="00852E0C">
      <w:pPr>
        <w:pStyle w:val="ListParagraph"/>
        <w:numPr>
          <w:ilvl w:val="0"/>
          <w:numId w:val="53"/>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DP</w:t>
      </w:r>
      <w:r w:rsidR="00200564" w:rsidRPr="00852E0C">
        <w:rPr>
          <w:rFonts w:ascii="Times New Roman" w:eastAsiaTheme="minorHAnsi" w:hAnsi="Times New Roman"/>
          <w:color w:val="000000" w:themeColor="text1"/>
          <w:sz w:val="24"/>
          <w:szCs w:val="24"/>
        </w:rPr>
        <w:t xml:space="preserve"> „Uzņēmējdar</w:t>
      </w:r>
      <w:r w:rsidR="00352B55">
        <w:rPr>
          <w:rFonts w:ascii="Times New Roman" w:eastAsiaTheme="minorHAnsi" w:hAnsi="Times New Roman"/>
          <w:color w:val="000000" w:themeColor="text1"/>
          <w:sz w:val="24"/>
          <w:szCs w:val="24"/>
        </w:rPr>
        <w:t>bība un inovācijas” prioritātē „Finanšu pieejamība”</w:t>
      </w:r>
      <w:r w:rsidR="00200564" w:rsidRPr="00852E0C">
        <w:rPr>
          <w:rFonts w:ascii="Times New Roman" w:eastAsiaTheme="minorHAnsi" w:hAnsi="Times New Roman"/>
          <w:color w:val="000000" w:themeColor="text1"/>
          <w:sz w:val="24"/>
          <w:szCs w:val="24"/>
        </w:rPr>
        <w:t xml:space="preserve"> (finanšu instrumenti) – </w:t>
      </w:r>
      <w:r w:rsidR="00A2380B" w:rsidRPr="00852E0C">
        <w:rPr>
          <w:rFonts w:ascii="Times New Roman" w:eastAsiaTheme="minorHAnsi" w:hAnsi="Times New Roman"/>
          <w:color w:val="000000" w:themeColor="text1"/>
          <w:sz w:val="24"/>
          <w:szCs w:val="24"/>
        </w:rPr>
        <w:t>ņ</w:t>
      </w:r>
      <w:r w:rsidR="00200564" w:rsidRPr="00852E0C">
        <w:rPr>
          <w:rFonts w:ascii="Times New Roman" w:eastAsiaTheme="minorHAnsi" w:hAnsi="Times New Roman"/>
          <w:color w:val="000000" w:themeColor="text1"/>
          <w:sz w:val="24"/>
          <w:szCs w:val="24"/>
        </w:rPr>
        <w:t>emot vērā EK audita rezultātus paredzēta</w:t>
      </w:r>
      <w:r w:rsidR="000E0633">
        <w:rPr>
          <w:rFonts w:ascii="Times New Roman" w:eastAsiaTheme="minorHAnsi" w:hAnsi="Times New Roman"/>
          <w:color w:val="000000" w:themeColor="text1"/>
          <w:sz w:val="24"/>
          <w:szCs w:val="24"/>
        </w:rPr>
        <w:t xml:space="preserve"> </w:t>
      </w:r>
      <w:r w:rsidR="00200564" w:rsidRPr="00852E0C">
        <w:rPr>
          <w:rFonts w:ascii="Times New Roman" w:eastAsiaTheme="minorHAnsi" w:hAnsi="Times New Roman"/>
          <w:color w:val="000000" w:themeColor="text1"/>
          <w:sz w:val="24"/>
          <w:szCs w:val="24"/>
        </w:rPr>
        <w:t>finansējuma pārplānošana citām aktivitātēm.</w:t>
      </w:r>
      <w:r w:rsidR="00855E60" w:rsidRPr="00852E0C">
        <w:rPr>
          <w:rFonts w:ascii="Times New Roman" w:eastAsiaTheme="minorHAnsi" w:hAnsi="Times New Roman"/>
          <w:color w:val="000000" w:themeColor="text1"/>
          <w:sz w:val="24"/>
          <w:szCs w:val="24"/>
        </w:rPr>
        <w:t xml:space="preserve"> </w:t>
      </w:r>
      <w:r w:rsidR="00352B55">
        <w:rPr>
          <w:rFonts w:ascii="Times New Roman" w:eastAsiaTheme="minorHAnsi" w:hAnsi="Times New Roman"/>
          <w:color w:val="000000" w:themeColor="text1"/>
          <w:sz w:val="24"/>
          <w:szCs w:val="24"/>
        </w:rPr>
        <w:t>Aktivitātē „Biznesa inkubatori”</w:t>
      </w:r>
      <w:r w:rsidR="00200564" w:rsidRPr="00852E0C">
        <w:rPr>
          <w:rFonts w:ascii="Times New Roman" w:eastAsiaTheme="minorHAnsi" w:hAnsi="Times New Roman"/>
          <w:color w:val="000000" w:themeColor="text1"/>
          <w:sz w:val="24"/>
          <w:szCs w:val="24"/>
        </w:rPr>
        <w:t xml:space="preserve"> apturēta deklarēšana EK no </w:t>
      </w:r>
      <w:r w:rsidR="007A438E" w:rsidRPr="00852E0C">
        <w:rPr>
          <w:rFonts w:ascii="Times New Roman" w:eastAsiaTheme="minorHAnsi" w:hAnsi="Times New Roman"/>
          <w:color w:val="000000" w:themeColor="text1"/>
          <w:sz w:val="24"/>
          <w:szCs w:val="24"/>
        </w:rPr>
        <w:t xml:space="preserve">2012.gada 10.jūnija </w:t>
      </w:r>
      <w:r w:rsidR="00200564" w:rsidRPr="00852E0C">
        <w:rPr>
          <w:rFonts w:ascii="Times New Roman" w:eastAsiaTheme="minorHAnsi" w:hAnsi="Times New Roman"/>
          <w:color w:val="000000" w:themeColor="text1"/>
          <w:sz w:val="24"/>
          <w:szCs w:val="24"/>
        </w:rPr>
        <w:t>līdz pilnīgai pārliecības gūšanai par RI un citu ārējo audita ieteikumu ieviešanu, sistēmas trūkumu novēršanu.</w:t>
      </w:r>
      <w:r w:rsidR="007A438E" w:rsidRPr="00852E0C">
        <w:rPr>
          <w:rFonts w:ascii="Times New Roman" w:eastAsiaTheme="minorHAnsi" w:hAnsi="Times New Roman"/>
          <w:color w:val="000000" w:themeColor="text1"/>
          <w:sz w:val="24"/>
          <w:szCs w:val="24"/>
        </w:rPr>
        <w:t xml:space="preserve"> Neizmaksātā (ieturēt</w:t>
      </w:r>
      <w:r w:rsidR="00855E60" w:rsidRPr="00852E0C">
        <w:rPr>
          <w:rFonts w:ascii="Times New Roman" w:eastAsiaTheme="minorHAnsi" w:hAnsi="Times New Roman"/>
          <w:color w:val="000000" w:themeColor="text1"/>
          <w:sz w:val="24"/>
          <w:szCs w:val="24"/>
        </w:rPr>
        <w:t>ā) summa</w:t>
      </w:r>
      <w:r w:rsidR="00352B55">
        <w:rPr>
          <w:rFonts w:ascii="Times New Roman" w:eastAsiaTheme="minorHAnsi" w:hAnsi="Times New Roman"/>
          <w:color w:val="000000" w:themeColor="text1"/>
          <w:sz w:val="24"/>
          <w:szCs w:val="24"/>
        </w:rPr>
        <w:t xml:space="preserve"> – </w:t>
      </w:r>
      <w:r w:rsidR="00855E60" w:rsidRPr="00852E0C">
        <w:rPr>
          <w:rFonts w:ascii="Times New Roman" w:eastAsiaTheme="minorHAnsi" w:hAnsi="Times New Roman"/>
          <w:color w:val="000000" w:themeColor="text1"/>
          <w:sz w:val="24"/>
          <w:szCs w:val="24"/>
        </w:rPr>
        <w:t>3,</w:t>
      </w:r>
      <w:r w:rsidR="007A438E" w:rsidRPr="00852E0C">
        <w:rPr>
          <w:rFonts w:ascii="Times New Roman" w:eastAsiaTheme="minorHAnsi" w:hAnsi="Times New Roman"/>
          <w:color w:val="000000" w:themeColor="text1"/>
          <w:sz w:val="24"/>
          <w:szCs w:val="24"/>
        </w:rPr>
        <w:t>6 milj. latu.</w:t>
      </w:r>
    </w:p>
    <w:p w14:paraId="093A5621" w14:textId="2836DA75" w:rsidR="0081086F" w:rsidRPr="00852E0C" w:rsidRDefault="0081086F" w:rsidP="00852E0C">
      <w:pPr>
        <w:pStyle w:val="ListParagraph"/>
        <w:numPr>
          <w:ilvl w:val="0"/>
          <w:numId w:val="53"/>
        </w:numPr>
        <w:spacing w:after="120"/>
        <w:contextualSpacing w:val="0"/>
        <w:jc w:val="both"/>
        <w:rPr>
          <w:rFonts w:ascii="Times New Roman" w:eastAsiaTheme="minorHAnsi" w:hAnsi="Times New Roman"/>
          <w:color w:val="000000" w:themeColor="text1"/>
          <w:sz w:val="24"/>
          <w:szCs w:val="24"/>
        </w:rPr>
      </w:pPr>
      <w:r w:rsidRPr="00852E0C">
        <w:rPr>
          <w:rFonts w:ascii="Times New Roman" w:eastAsiaTheme="minorHAnsi" w:hAnsi="Times New Roman"/>
          <w:color w:val="000000" w:themeColor="text1"/>
          <w:sz w:val="24"/>
          <w:szCs w:val="24"/>
        </w:rPr>
        <w:t>DP „Infrastruktūra un pakalpojumi” apturēti maksājumu un/vai izdevumu deklarēšana 1 LM, 1 IZM, 1 KM, 1 EM, 3 SM un 4 VARAM projektos un kopumā līdz šim nedeklarētā summa</w:t>
      </w:r>
      <w:r w:rsidR="000E0633">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ir 5,1 milj. latu, no tiem 1,2 milj. latu apmērā atjauno izdevumu deklarēšanu š.g. 2.ceturksnī, jo trūkumi attiecībā uz ceļa kvalitāti novērsti. Pārējie nedeklarētie izdevumi saistīti ar projektu „Rīgas Doma saglabāšana un sociālekonomiskā potenciāla efektivitātes izmantošana”, kur maksājumus finansējuma saņēmējam veic, bet deklarēšanu neveic līdz EK lēmumam par valsts atbalsta programmas apstiprināšanu (nedeklarētā summa – 3,9 milj. latu). Jāsecina, ka lielākajā daļā gadījumu riski konstatēti pirms maksājumu veikšanas, kas pozitīvi vērtējams. Savukārt 4 projektu apturēšana saistīta ar iespējamām krāpnieciskām</w:t>
      </w:r>
      <w:r w:rsidR="000E0633">
        <w:rPr>
          <w:rFonts w:ascii="Times New Roman" w:eastAsiaTheme="minorHAnsi" w:hAnsi="Times New Roman"/>
          <w:color w:val="000000" w:themeColor="text1"/>
          <w:sz w:val="24"/>
          <w:szCs w:val="24"/>
        </w:rPr>
        <w:t xml:space="preserve"> </w:t>
      </w:r>
      <w:r w:rsidRPr="00852E0C">
        <w:rPr>
          <w:rFonts w:ascii="Times New Roman" w:eastAsiaTheme="minorHAnsi" w:hAnsi="Times New Roman"/>
          <w:color w:val="000000" w:themeColor="text1"/>
          <w:sz w:val="24"/>
          <w:szCs w:val="24"/>
        </w:rPr>
        <w:t xml:space="preserve">darbībām (detalizētāk skatīt </w:t>
      </w:r>
      <w:r w:rsidRPr="00852E0C">
        <w:rPr>
          <w:rFonts w:ascii="Times New Roman" w:eastAsiaTheme="minorHAnsi" w:hAnsi="Times New Roman"/>
          <w:color w:val="000000" w:themeColor="text1"/>
          <w:sz w:val="24"/>
          <w:szCs w:val="24"/>
          <w:u w:val="single"/>
        </w:rPr>
        <w:t>1.2.5.sadaļā „Darbības programmas „Infrastruktūra un pakalpojumi” mērķu un rezultātu sasniegšana”</w:t>
      </w:r>
      <w:r w:rsidRPr="00852E0C">
        <w:rPr>
          <w:rFonts w:ascii="Times New Roman" w:eastAsiaTheme="minorHAnsi" w:hAnsi="Times New Roman"/>
          <w:color w:val="000000" w:themeColor="text1"/>
          <w:sz w:val="24"/>
          <w:szCs w:val="24"/>
        </w:rPr>
        <w:t xml:space="preserve">), bet pārējos gadījumos iemesls ir konstatētie iespējami riski par izdevumu </w:t>
      </w:r>
      <w:proofErr w:type="spellStart"/>
      <w:r w:rsidRPr="00852E0C">
        <w:rPr>
          <w:rFonts w:ascii="Times New Roman" w:eastAsiaTheme="minorHAnsi" w:hAnsi="Times New Roman"/>
          <w:color w:val="000000" w:themeColor="text1"/>
          <w:sz w:val="24"/>
          <w:szCs w:val="24"/>
        </w:rPr>
        <w:t>attiecināmību</w:t>
      </w:r>
      <w:proofErr w:type="spellEnd"/>
      <w:r w:rsidRPr="00852E0C">
        <w:rPr>
          <w:rFonts w:ascii="Times New Roman" w:eastAsiaTheme="minorHAnsi" w:hAnsi="Times New Roman"/>
          <w:color w:val="000000" w:themeColor="text1"/>
          <w:sz w:val="24"/>
          <w:szCs w:val="24"/>
        </w:rPr>
        <w:t>, piemēram, būvniecības defekti.</w:t>
      </w:r>
    </w:p>
    <w:p w14:paraId="66A2801F" w14:textId="4436A5E1" w:rsidR="001F4396" w:rsidRPr="00852E0C" w:rsidRDefault="001F4396" w:rsidP="00852E0C">
      <w:pPr>
        <w:spacing w:line="276" w:lineRule="auto"/>
        <w:rPr>
          <w:rFonts w:eastAsiaTheme="minorHAnsi"/>
          <w:color w:val="000000" w:themeColor="text1"/>
          <w:szCs w:val="24"/>
        </w:rPr>
      </w:pPr>
      <w:r w:rsidRPr="00852E0C">
        <w:rPr>
          <w:rFonts w:eastAsiaTheme="minorHAnsi"/>
          <w:color w:val="000000" w:themeColor="text1"/>
          <w:szCs w:val="24"/>
        </w:rPr>
        <w:t xml:space="preserve">Ar mērķi līdz nākamajam 2014. – 2020.gada plānošanas periodam novērst kontrolējamos riskus, t.sk. neatbilstoši veikto izdevumu rašanās un korupcijas riskus, apzināt atlikušos riskus un sistēmas trūkumus, nepilnības, VI: </w:t>
      </w:r>
    </w:p>
    <w:p w14:paraId="031A16EF" w14:textId="1E75C075" w:rsidR="001F4396" w:rsidRPr="00852E0C" w:rsidRDefault="001F43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t>Izstrādājusi vadlīnijas Nr.10.11 ,,Vadlīnijas ziņošanai par Eiropas Savienības fondu ieviešanā konstatētajām neatbilstībām un neatbilstoši veikto izdevumu atgūšanu 2007</w:t>
      </w:r>
      <w:r w:rsidR="00E51615" w:rsidRPr="00852E0C">
        <w:rPr>
          <w:rFonts w:ascii="Times New Roman" w:hAnsi="Times New Roman"/>
          <w:color w:val="000000" w:themeColor="text1"/>
          <w:sz w:val="24"/>
          <w:szCs w:val="24"/>
          <w:lang w:val="lv-LV"/>
        </w:rPr>
        <w:t xml:space="preserve">. </w:t>
      </w:r>
      <w:r w:rsidR="00E51615" w:rsidRPr="00852E0C">
        <w:rPr>
          <w:rFonts w:ascii="Times New Roman" w:eastAsiaTheme="minorHAnsi" w:hAnsi="Times New Roman"/>
          <w:color w:val="000000" w:themeColor="text1"/>
          <w:sz w:val="24"/>
          <w:szCs w:val="24"/>
          <w:lang w:val="lv-LV"/>
        </w:rPr>
        <w:t>–</w:t>
      </w:r>
      <w:r w:rsidRPr="00852E0C">
        <w:rPr>
          <w:rFonts w:ascii="Times New Roman" w:hAnsi="Times New Roman"/>
          <w:color w:val="000000" w:themeColor="text1"/>
          <w:sz w:val="24"/>
          <w:szCs w:val="24"/>
          <w:lang w:val="lv-LV"/>
        </w:rPr>
        <w:t xml:space="preserve"> 2013.gada plānošanas periodā”;</w:t>
      </w:r>
    </w:p>
    <w:p w14:paraId="1AEE70FE" w14:textId="0BE4715C" w:rsidR="001F4396" w:rsidRPr="00852E0C" w:rsidRDefault="001F43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lastRenderedPageBreak/>
        <w:t>Izstrādājusi vadlīnijas</w:t>
      </w:r>
      <w:r w:rsidR="008B0574" w:rsidRPr="00852E0C">
        <w:rPr>
          <w:rFonts w:ascii="Times New Roman" w:hAnsi="Times New Roman"/>
          <w:color w:val="000000" w:themeColor="text1"/>
          <w:sz w:val="24"/>
          <w:szCs w:val="24"/>
          <w:lang w:val="lv-LV"/>
        </w:rPr>
        <w:t xml:space="preserve"> </w:t>
      </w:r>
      <w:r w:rsidRPr="00852E0C">
        <w:rPr>
          <w:rFonts w:ascii="Times New Roman" w:hAnsi="Times New Roman"/>
          <w:color w:val="000000" w:themeColor="text1"/>
          <w:sz w:val="24"/>
          <w:szCs w:val="24"/>
          <w:lang w:val="lv-LV"/>
        </w:rPr>
        <w:t xml:space="preserve">Nr.10.10 „Vadlīnijas par finanšu korekciju piemērošanu Eiropas Savienības fondu finansētajos projektos”; </w:t>
      </w:r>
    </w:p>
    <w:p w14:paraId="48719385" w14:textId="2B8152F8" w:rsidR="001F4396" w:rsidRPr="00852E0C" w:rsidRDefault="001F43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t>MK informatīvajā ziņojumā „Finanšu ministrijas informatīvais ziņojums par ārvalstu finanšu resursu (ES struktūrfondu un Kohēzijas fonda, Eiropas Ekonomikas zonas finanšu instrumenta, Norvēģijas valdības divpusējā finanšu instrumenta un Latvijas un Šveices sadarbības programmas) apguvi” ik ceturksni sniegta informācija par neatbilstoši veiktiem izdevumiem, riskiem un rīcību to mazināšanai;</w:t>
      </w:r>
    </w:p>
    <w:p w14:paraId="48353E97" w14:textId="052EDA69" w:rsidR="001F4396" w:rsidRPr="00852E0C" w:rsidRDefault="001F43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t xml:space="preserve">Ar korupcijas novēršanu, risku mazināšanu saistīti jautājumi ir pārrunāti </w:t>
      </w:r>
      <w:r w:rsidR="00FD4227" w:rsidRPr="00852E0C">
        <w:rPr>
          <w:rFonts w:ascii="Times New Roman" w:hAnsi="Times New Roman"/>
          <w:color w:val="000000" w:themeColor="text1"/>
          <w:sz w:val="24"/>
          <w:szCs w:val="24"/>
          <w:lang w:val="lv-LV"/>
        </w:rPr>
        <w:t xml:space="preserve">ES </w:t>
      </w:r>
      <w:r w:rsidRPr="00852E0C">
        <w:rPr>
          <w:rFonts w:ascii="Times New Roman" w:hAnsi="Times New Roman"/>
          <w:color w:val="000000" w:themeColor="text1"/>
          <w:sz w:val="24"/>
          <w:szCs w:val="24"/>
          <w:lang w:val="lv-LV"/>
        </w:rPr>
        <w:t>finanšu interešu aizsardzības koordinācijas padomē</w:t>
      </w:r>
      <w:r w:rsidRPr="00852E0C">
        <w:rPr>
          <w:rFonts w:ascii="Times New Roman" w:hAnsi="Times New Roman"/>
          <w:color w:val="000000" w:themeColor="text1"/>
          <w:sz w:val="24"/>
          <w:szCs w:val="24"/>
          <w:vertAlign w:val="superscript"/>
          <w:lang w:val="lv-LV"/>
        </w:rPr>
        <w:footnoteReference w:id="40"/>
      </w:r>
      <w:r w:rsidRPr="00852E0C">
        <w:rPr>
          <w:rFonts w:ascii="Times New Roman" w:hAnsi="Times New Roman"/>
          <w:color w:val="000000" w:themeColor="text1"/>
          <w:sz w:val="24"/>
          <w:szCs w:val="24"/>
          <w:lang w:val="lv-LV"/>
        </w:rPr>
        <w:t xml:space="preserve"> un, ņemot vērā </w:t>
      </w:r>
      <w:r w:rsidR="00A55096" w:rsidRPr="00852E0C">
        <w:rPr>
          <w:rFonts w:ascii="Times New Roman" w:hAnsi="Times New Roman"/>
          <w:color w:val="000000" w:themeColor="text1"/>
          <w:sz w:val="24"/>
          <w:szCs w:val="24"/>
          <w:lang w:val="lv-LV"/>
        </w:rPr>
        <w:t>VI</w:t>
      </w:r>
      <w:r w:rsidRPr="00852E0C">
        <w:rPr>
          <w:rFonts w:ascii="Times New Roman" w:hAnsi="Times New Roman"/>
          <w:color w:val="000000" w:themeColor="text1"/>
          <w:sz w:val="24"/>
          <w:szCs w:val="24"/>
          <w:lang w:val="lv-LV"/>
        </w:rPr>
        <w:t xml:space="preserve"> ierosinājumu, padomē panākta vienošanās, ka tiks organizētas tehniskās sanāksmes padomes apakšgrupā ar tiesībsargājošo </w:t>
      </w:r>
      <w:r w:rsidR="00164C13" w:rsidRPr="00852E0C">
        <w:rPr>
          <w:rFonts w:ascii="Times New Roman" w:hAnsi="Times New Roman"/>
          <w:color w:val="000000" w:themeColor="text1"/>
          <w:sz w:val="24"/>
          <w:szCs w:val="24"/>
          <w:lang w:val="lv-LV"/>
        </w:rPr>
        <w:t xml:space="preserve">iestāžu </w:t>
      </w:r>
      <w:r w:rsidRPr="00852E0C">
        <w:rPr>
          <w:rFonts w:ascii="Times New Roman" w:hAnsi="Times New Roman"/>
          <w:color w:val="000000" w:themeColor="text1"/>
          <w:sz w:val="24"/>
          <w:szCs w:val="24"/>
          <w:lang w:val="lv-LV"/>
        </w:rPr>
        <w:t xml:space="preserve">pārstāvjiem par praktiskiem gadījumiem, kur konstatētas aizdomas par krāpšanu, korupcijas riskiem </w:t>
      </w:r>
      <w:proofErr w:type="spellStart"/>
      <w:r w:rsidRPr="00852E0C">
        <w:rPr>
          <w:rFonts w:ascii="Times New Roman" w:hAnsi="Times New Roman"/>
          <w:color w:val="000000" w:themeColor="text1"/>
          <w:sz w:val="24"/>
          <w:szCs w:val="24"/>
          <w:lang w:val="lv-LV"/>
        </w:rPr>
        <w:t>utml</w:t>
      </w:r>
      <w:proofErr w:type="spellEnd"/>
      <w:r w:rsidRPr="00852E0C">
        <w:rPr>
          <w:rFonts w:ascii="Times New Roman" w:hAnsi="Times New Roman"/>
          <w:color w:val="000000" w:themeColor="text1"/>
          <w:sz w:val="24"/>
          <w:szCs w:val="24"/>
          <w:lang w:val="lv-LV"/>
        </w:rPr>
        <w:t xml:space="preserve">. </w:t>
      </w:r>
    </w:p>
    <w:p w14:paraId="3DAF0890" w14:textId="2CD5C69F" w:rsidR="001F4396" w:rsidRPr="00852E0C" w:rsidRDefault="001F43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t>Neatbilstošas rīcības risku mazināšanas, novēršanas nolūkos dažādi ES fondu uzraudzības, apguves un ieviešanas jautājumi izskatīti Eiropas Savienības fondu uzraudzības komitejas</w:t>
      </w:r>
      <w:r w:rsidRPr="00852E0C">
        <w:rPr>
          <w:rFonts w:ascii="Times New Roman" w:hAnsi="Times New Roman"/>
          <w:color w:val="000000" w:themeColor="text1"/>
          <w:sz w:val="24"/>
          <w:szCs w:val="24"/>
          <w:vertAlign w:val="superscript"/>
          <w:lang w:val="lv-LV"/>
        </w:rPr>
        <w:footnoteReference w:id="41"/>
      </w:r>
      <w:r w:rsidRPr="00852E0C">
        <w:rPr>
          <w:rFonts w:ascii="Times New Roman" w:hAnsi="Times New Roman"/>
          <w:color w:val="000000" w:themeColor="text1"/>
          <w:sz w:val="24"/>
          <w:szCs w:val="24"/>
          <w:lang w:val="lv-LV"/>
        </w:rPr>
        <w:t xml:space="preserve"> sēdēs, kas tiek sasaukta vismaz reizi pusgadā, piesaistot reģionālos, sociālos un nev</w:t>
      </w:r>
      <w:r w:rsidR="008B0574" w:rsidRPr="00852E0C">
        <w:rPr>
          <w:rFonts w:ascii="Times New Roman" w:hAnsi="Times New Roman"/>
          <w:color w:val="000000" w:themeColor="text1"/>
          <w:sz w:val="24"/>
          <w:szCs w:val="24"/>
          <w:lang w:val="lv-LV"/>
        </w:rPr>
        <w:t xml:space="preserve">alstiskos partnerus. Piemēram, </w:t>
      </w:r>
      <w:r w:rsidRPr="00852E0C">
        <w:rPr>
          <w:rFonts w:ascii="Times New Roman" w:hAnsi="Times New Roman"/>
          <w:color w:val="000000" w:themeColor="text1"/>
          <w:sz w:val="24"/>
          <w:szCs w:val="24"/>
          <w:lang w:val="lv-LV"/>
        </w:rPr>
        <w:t>2010.gada novembra Uzraudzības komitejas sēdē tika izskatīti Sabiedriskā politikas centra „</w:t>
      </w:r>
      <w:proofErr w:type="spellStart"/>
      <w:r w:rsidRPr="00852E0C">
        <w:rPr>
          <w:rFonts w:ascii="Times New Roman" w:hAnsi="Times New Roman"/>
          <w:color w:val="000000" w:themeColor="text1"/>
          <w:sz w:val="24"/>
          <w:szCs w:val="24"/>
          <w:lang w:val="lv-LV"/>
        </w:rPr>
        <w:t>Providus</w:t>
      </w:r>
      <w:proofErr w:type="spellEnd"/>
      <w:r w:rsidRPr="00852E0C">
        <w:rPr>
          <w:rFonts w:ascii="Times New Roman" w:hAnsi="Times New Roman"/>
          <w:color w:val="000000" w:themeColor="text1"/>
          <w:sz w:val="24"/>
          <w:szCs w:val="24"/>
          <w:lang w:val="lv-LV"/>
        </w:rPr>
        <w:t>” pētījumā</w:t>
      </w:r>
      <w:r w:rsidRPr="00852E0C">
        <w:rPr>
          <w:rFonts w:ascii="Times New Roman" w:hAnsi="Times New Roman"/>
          <w:color w:val="000000" w:themeColor="text1"/>
          <w:sz w:val="24"/>
          <w:szCs w:val="24"/>
          <w:lang w:val="lv-LV"/>
        </w:rPr>
        <w:footnoteReference w:id="42"/>
      </w:r>
      <w:r w:rsidRPr="00852E0C">
        <w:rPr>
          <w:rFonts w:ascii="Times New Roman" w:hAnsi="Times New Roman"/>
          <w:color w:val="000000" w:themeColor="text1"/>
          <w:sz w:val="24"/>
          <w:szCs w:val="24"/>
          <w:lang w:val="lv-LV"/>
        </w:rPr>
        <w:t xml:space="preserve"> norādītie riski un ieteikumi ES fondu korupcijas risku mazināšanā projektu pieteikumu vērtēšanas un publisko iepirkumu jomā. Tiks turpināts uzlabot ES fondu uzraudzības sistēmu ņemot vērā ieteikumu veidot sistēmu saprātīgi, lai tiktu identificētas ļaunprātības, tai pašā laikā neliekot šķēršļus efektīvai līdzekļu izlietošanai.</w:t>
      </w:r>
      <w:r w:rsidR="000E0633">
        <w:rPr>
          <w:rFonts w:ascii="Times New Roman" w:hAnsi="Times New Roman"/>
          <w:color w:val="000000" w:themeColor="text1"/>
          <w:sz w:val="24"/>
          <w:szCs w:val="24"/>
          <w:lang w:val="lv-LV"/>
        </w:rPr>
        <w:t xml:space="preserve"> </w:t>
      </w:r>
    </w:p>
    <w:p w14:paraId="7EE850C1" w14:textId="0C9E7C11" w:rsidR="001F4396" w:rsidRPr="00852E0C" w:rsidRDefault="00A550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t>VI</w:t>
      </w:r>
      <w:r w:rsidR="001F4396" w:rsidRPr="00852E0C">
        <w:rPr>
          <w:rFonts w:ascii="Times New Roman" w:hAnsi="Times New Roman"/>
          <w:color w:val="000000" w:themeColor="text1"/>
          <w:sz w:val="24"/>
          <w:szCs w:val="24"/>
          <w:lang w:val="lv-LV"/>
        </w:rPr>
        <w:t xml:space="preserve"> ir izstrādājusi risku vadības reģistru, kurā iekļauts un tiek pārvaldīts interešu konfliktu un krāpšanas risks. Šo risku mazināšanai un novēršanai vairāku ES fondu vadības procesu ietvaros tiek izmantoti apliecinājumi par </w:t>
      </w:r>
      <w:proofErr w:type="spellStart"/>
      <w:r w:rsidR="001F4396" w:rsidRPr="00852E0C">
        <w:rPr>
          <w:rFonts w:ascii="Times New Roman" w:hAnsi="Times New Roman"/>
          <w:color w:val="000000" w:themeColor="text1"/>
          <w:sz w:val="24"/>
          <w:szCs w:val="24"/>
          <w:lang w:val="lv-LV"/>
        </w:rPr>
        <w:t>neieinteresētību</w:t>
      </w:r>
      <w:proofErr w:type="spellEnd"/>
      <w:r w:rsidR="001F4396" w:rsidRPr="00852E0C">
        <w:rPr>
          <w:rFonts w:ascii="Times New Roman" w:hAnsi="Times New Roman"/>
          <w:color w:val="000000" w:themeColor="text1"/>
          <w:sz w:val="24"/>
          <w:szCs w:val="24"/>
          <w:lang w:val="lv-LV"/>
        </w:rPr>
        <w:t>, kā arī norit efektīva personāla apmācība un sadarbības veidošana ar tiesībsargājošām iestādēm.</w:t>
      </w:r>
    </w:p>
    <w:p w14:paraId="316EF127" w14:textId="329841D3" w:rsidR="001F4396" w:rsidRPr="00852E0C" w:rsidRDefault="00A550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t xml:space="preserve">VI </w:t>
      </w:r>
      <w:r w:rsidR="001F4396" w:rsidRPr="00852E0C">
        <w:rPr>
          <w:rFonts w:ascii="Times New Roman" w:hAnsi="Times New Roman"/>
          <w:color w:val="000000" w:themeColor="text1"/>
          <w:sz w:val="24"/>
          <w:szCs w:val="24"/>
          <w:lang w:val="lv-LV"/>
        </w:rPr>
        <w:t xml:space="preserve">regulāri organizē tikšanās ar tiesībsargājošo iestāžu pārstāvjiem, </w:t>
      </w:r>
      <w:proofErr w:type="spellStart"/>
      <w:r w:rsidR="001F4396" w:rsidRPr="00852E0C">
        <w:rPr>
          <w:rFonts w:ascii="Times New Roman" w:hAnsi="Times New Roman"/>
          <w:color w:val="000000" w:themeColor="text1"/>
          <w:sz w:val="24"/>
          <w:szCs w:val="24"/>
          <w:lang w:val="lv-LV"/>
        </w:rPr>
        <w:t>t.sk</w:t>
      </w:r>
      <w:proofErr w:type="spellEnd"/>
      <w:r w:rsidR="001F4396" w:rsidRPr="00852E0C">
        <w:rPr>
          <w:rFonts w:ascii="Times New Roman" w:hAnsi="Times New Roman"/>
          <w:color w:val="000000" w:themeColor="text1"/>
          <w:sz w:val="24"/>
          <w:szCs w:val="24"/>
          <w:lang w:val="lv-LV"/>
        </w:rPr>
        <w:t xml:space="preserve">. tiesnešiem, prokuroriem u.c., lai diskutētu par aktuālajiem </w:t>
      </w:r>
      <w:proofErr w:type="spellStart"/>
      <w:r w:rsidR="001F4396" w:rsidRPr="00852E0C">
        <w:rPr>
          <w:rFonts w:ascii="Times New Roman" w:hAnsi="Times New Roman"/>
          <w:color w:val="000000" w:themeColor="text1"/>
          <w:sz w:val="24"/>
          <w:szCs w:val="24"/>
          <w:lang w:val="lv-LV"/>
        </w:rPr>
        <w:t>problēmjautājumiem</w:t>
      </w:r>
      <w:proofErr w:type="spellEnd"/>
      <w:r w:rsidR="001F4396" w:rsidRPr="00852E0C">
        <w:rPr>
          <w:rFonts w:ascii="Times New Roman" w:hAnsi="Times New Roman"/>
          <w:color w:val="000000" w:themeColor="text1"/>
          <w:sz w:val="24"/>
          <w:szCs w:val="24"/>
          <w:lang w:val="lv-LV"/>
        </w:rPr>
        <w:t xml:space="preserve"> saistībā ar ES fondu ieviešanā konstatētajām neatbilstībām, notiek informācijas apmaiņa par labās prakses piemēriem, lai nodrošinātu vienotu izprati un lielāku iesaistīto institūciju informētību. 2012.gada oktobrī </w:t>
      </w:r>
      <w:r w:rsidRPr="00852E0C">
        <w:rPr>
          <w:rFonts w:ascii="Times New Roman" w:hAnsi="Times New Roman"/>
          <w:color w:val="000000" w:themeColor="text1"/>
          <w:sz w:val="24"/>
          <w:szCs w:val="24"/>
          <w:lang w:val="lv-LV"/>
        </w:rPr>
        <w:t>VI</w:t>
      </w:r>
      <w:r w:rsidR="001F4396" w:rsidRPr="00852E0C">
        <w:rPr>
          <w:rFonts w:ascii="Times New Roman" w:hAnsi="Times New Roman"/>
          <w:color w:val="000000" w:themeColor="text1"/>
          <w:sz w:val="24"/>
          <w:szCs w:val="24"/>
          <w:lang w:val="lv-LV"/>
        </w:rPr>
        <w:t xml:space="preserve"> pārstāvji vadīja apmācības tiesībsargājošo iestāžu pārstāvjiem, kuru ietvaros tika sniegti skaidrojumi par ES fondu vadības un kontroles sistēmu, tās darbību.</w:t>
      </w:r>
    </w:p>
    <w:p w14:paraId="5D47B874" w14:textId="43A1D64A" w:rsidR="001F4396" w:rsidRPr="00852E0C" w:rsidRDefault="001F4396" w:rsidP="00852E0C">
      <w:pPr>
        <w:pStyle w:val="PlainText"/>
        <w:numPr>
          <w:ilvl w:val="0"/>
          <w:numId w:val="22"/>
        </w:numPr>
        <w:spacing w:line="276" w:lineRule="auto"/>
        <w:ind w:left="0"/>
        <w:jc w:val="both"/>
        <w:rPr>
          <w:rFonts w:ascii="Times New Roman" w:hAnsi="Times New Roman"/>
          <w:color w:val="000000" w:themeColor="text1"/>
          <w:sz w:val="24"/>
          <w:szCs w:val="24"/>
          <w:lang w:val="lv-LV"/>
        </w:rPr>
      </w:pPr>
      <w:r w:rsidRPr="00852E0C">
        <w:rPr>
          <w:rFonts w:ascii="Times New Roman" w:hAnsi="Times New Roman"/>
          <w:color w:val="000000" w:themeColor="text1"/>
          <w:sz w:val="24"/>
          <w:szCs w:val="24"/>
          <w:lang w:val="lv-LV"/>
        </w:rPr>
        <w:lastRenderedPageBreak/>
        <w:t>Izveidota neatbilstību darba grupa</w:t>
      </w:r>
      <w:r w:rsidRPr="00852E0C">
        <w:rPr>
          <w:rFonts w:ascii="Times New Roman" w:hAnsi="Times New Roman"/>
          <w:color w:val="000000" w:themeColor="text1"/>
          <w:sz w:val="24"/>
          <w:szCs w:val="24"/>
          <w:vertAlign w:val="superscript"/>
          <w:lang w:val="lv-LV"/>
        </w:rPr>
        <w:footnoteReference w:id="43"/>
      </w:r>
      <w:r w:rsidRPr="00852E0C">
        <w:rPr>
          <w:rFonts w:ascii="Times New Roman" w:hAnsi="Times New Roman"/>
          <w:color w:val="000000" w:themeColor="text1"/>
          <w:sz w:val="24"/>
          <w:szCs w:val="24"/>
          <w:lang w:val="lv-LV"/>
        </w:rPr>
        <w:t xml:space="preserve"> situācijas analīzei par valsts pārvaldes iestādēs konstatētajiem gadījumiem par tiesību aktiem neatbilstošu rīcību ar budžeta līdzekļiem un plānotajām darbībām disciplinārlietu ierosināšanai un izskatīšanai</w:t>
      </w:r>
      <w:r w:rsidR="00965D1A" w:rsidRPr="00852E0C">
        <w:rPr>
          <w:rFonts w:ascii="Times New Roman" w:hAnsi="Times New Roman"/>
          <w:color w:val="000000" w:themeColor="text1"/>
          <w:sz w:val="24"/>
          <w:szCs w:val="24"/>
          <w:lang w:val="lv-LV"/>
        </w:rPr>
        <w:t>, kā arī vienlaikus s</w:t>
      </w:r>
      <w:r w:rsidRPr="00852E0C">
        <w:rPr>
          <w:rFonts w:ascii="Times New Roman" w:hAnsi="Times New Roman"/>
          <w:color w:val="000000" w:themeColor="text1"/>
          <w:sz w:val="24"/>
          <w:szCs w:val="24"/>
          <w:lang w:val="lv-LV"/>
        </w:rPr>
        <w:t>askaņā ar MK noteikumiem Nr. 740</w:t>
      </w:r>
      <w:r w:rsidRPr="00852E0C">
        <w:rPr>
          <w:rFonts w:ascii="Times New Roman" w:hAnsi="Times New Roman"/>
          <w:color w:val="000000" w:themeColor="text1"/>
          <w:sz w:val="24"/>
          <w:szCs w:val="24"/>
          <w:vertAlign w:val="superscript"/>
          <w:lang w:val="lv-LV"/>
        </w:rPr>
        <w:footnoteReference w:id="44"/>
      </w:r>
      <w:r w:rsidRPr="00852E0C">
        <w:rPr>
          <w:rFonts w:ascii="Times New Roman" w:hAnsi="Times New Roman"/>
          <w:color w:val="000000" w:themeColor="text1"/>
          <w:sz w:val="24"/>
          <w:szCs w:val="24"/>
          <w:lang w:val="lv-LV"/>
        </w:rPr>
        <w:t xml:space="preserve"> ik ceturksni notiek sanāksmes, kurā</w:t>
      </w:r>
      <w:r w:rsidR="00965D1A" w:rsidRPr="00852E0C">
        <w:rPr>
          <w:rFonts w:ascii="Times New Roman" w:hAnsi="Times New Roman"/>
          <w:color w:val="000000" w:themeColor="text1"/>
          <w:sz w:val="24"/>
          <w:szCs w:val="24"/>
          <w:lang w:val="lv-LV"/>
        </w:rPr>
        <w:t>s</w:t>
      </w:r>
      <w:r w:rsidRPr="00852E0C">
        <w:rPr>
          <w:rFonts w:ascii="Times New Roman" w:hAnsi="Times New Roman"/>
          <w:color w:val="000000" w:themeColor="text1"/>
          <w:sz w:val="24"/>
          <w:szCs w:val="24"/>
          <w:lang w:val="lv-LV"/>
        </w:rPr>
        <w:t xml:space="preserve"> vieno</w:t>
      </w:r>
      <w:r w:rsidR="00965D1A" w:rsidRPr="00852E0C">
        <w:rPr>
          <w:rFonts w:ascii="Times New Roman" w:hAnsi="Times New Roman"/>
          <w:color w:val="000000" w:themeColor="text1"/>
          <w:sz w:val="24"/>
          <w:szCs w:val="24"/>
          <w:lang w:val="lv-LV"/>
        </w:rPr>
        <w:t>jas</w:t>
      </w:r>
      <w:r w:rsidRPr="00852E0C">
        <w:rPr>
          <w:rFonts w:ascii="Times New Roman" w:hAnsi="Times New Roman"/>
          <w:color w:val="000000" w:themeColor="text1"/>
          <w:sz w:val="24"/>
          <w:szCs w:val="24"/>
          <w:lang w:val="lv-LV"/>
        </w:rPr>
        <w:t xml:space="preserve"> par neatbilstību gadījumiem</w:t>
      </w:r>
      <w:r w:rsidR="00965D1A" w:rsidRPr="00852E0C">
        <w:rPr>
          <w:rFonts w:ascii="Times New Roman" w:hAnsi="Times New Roman"/>
          <w:color w:val="000000" w:themeColor="text1"/>
          <w:sz w:val="24"/>
          <w:szCs w:val="24"/>
          <w:lang w:val="lv-LV"/>
        </w:rPr>
        <w:t>, par kuriem</w:t>
      </w:r>
      <w:r w:rsidRPr="00852E0C">
        <w:rPr>
          <w:rFonts w:ascii="Times New Roman" w:hAnsi="Times New Roman"/>
          <w:color w:val="000000" w:themeColor="text1"/>
          <w:sz w:val="24"/>
          <w:szCs w:val="24"/>
          <w:lang w:val="lv-LV"/>
        </w:rPr>
        <w:t xml:space="preserve"> jāziņo EK/OLAF.</w:t>
      </w:r>
    </w:p>
    <w:p w14:paraId="64E4CBBE" w14:textId="77777777" w:rsidR="00B02E59" w:rsidRPr="00852E0C" w:rsidRDefault="00B02E59" w:rsidP="00852E0C">
      <w:pPr>
        <w:pStyle w:val="2lmenis"/>
        <w:numPr>
          <w:ilvl w:val="1"/>
          <w:numId w:val="2"/>
        </w:numPr>
        <w:spacing w:before="120" w:after="120" w:line="276" w:lineRule="auto"/>
        <w:ind w:left="1276" w:hanging="425"/>
        <w:jc w:val="both"/>
        <w:rPr>
          <w:color w:val="000000" w:themeColor="text1"/>
          <w:sz w:val="24"/>
          <w:szCs w:val="24"/>
          <w:lang w:val="lv-LV"/>
        </w:rPr>
      </w:pPr>
      <w:bookmarkStart w:id="46" w:name="_Toc324948893"/>
      <w:bookmarkStart w:id="47" w:name="_Toc356465237"/>
      <w:bookmarkStart w:id="48" w:name="_Toc290449016"/>
      <w:bookmarkEnd w:id="0"/>
      <w:bookmarkEnd w:id="1"/>
      <w:bookmarkEnd w:id="41"/>
      <w:bookmarkEnd w:id="42"/>
      <w:r w:rsidRPr="00852E0C">
        <w:rPr>
          <w:color w:val="000000" w:themeColor="text1"/>
          <w:sz w:val="24"/>
          <w:szCs w:val="24"/>
          <w:lang w:val="lv-LV"/>
        </w:rPr>
        <w:t>Veiktie pasākumi ES fondu vadības un kontroles sistēmas pilnveidošanai</w:t>
      </w:r>
      <w:bookmarkEnd w:id="46"/>
      <w:bookmarkEnd w:id="47"/>
    </w:p>
    <w:p w14:paraId="410775E2" w14:textId="0916102B" w:rsidR="0016700E" w:rsidRPr="00852E0C" w:rsidRDefault="008201C8" w:rsidP="00852E0C">
      <w:pPr>
        <w:spacing w:line="276" w:lineRule="auto"/>
        <w:rPr>
          <w:bCs/>
          <w:color w:val="000000" w:themeColor="text1"/>
          <w:szCs w:val="24"/>
        </w:rPr>
      </w:pPr>
      <w:r w:rsidRPr="00852E0C">
        <w:rPr>
          <w:bCs/>
          <w:color w:val="000000" w:themeColor="text1"/>
          <w:szCs w:val="24"/>
        </w:rPr>
        <w:t>Galvenie 2013.gada 1.ceturksnī paveiktie pasākumi ES fondu vadības un kontroles sistēmas pilnveidošanai ir šādi:</w:t>
      </w:r>
    </w:p>
    <w:p w14:paraId="0D4A29F2" w14:textId="7547ECB5" w:rsidR="000E790C" w:rsidRPr="00852E0C" w:rsidRDefault="000E790C" w:rsidP="00852E0C">
      <w:pPr>
        <w:pStyle w:val="ListParagraph"/>
        <w:spacing w:after="120"/>
        <w:ind w:left="360"/>
        <w:contextualSpacing w:val="0"/>
        <w:jc w:val="both"/>
        <w:rPr>
          <w:rFonts w:ascii="Times New Roman" w:hAnsi="Times New Roman"/>
          <w:bCs/>
          <w:color w:val="000000" w:themeColor="text1"/>
          <w:sz w:val="24"/>
          <w:szCs w:val="24"/>
        </w:rPr>
      </w:pPr>
      <w:r w:rsidRPr="00852E0C">
        <w:rPr>
          <w:rFonts w:ascii="Times New Roman" w:hAnsi="Times New Roman"/>
          <w:b/>
          <w:bCs/>
          <w:color w:val="000000" w:themeColor="text1"/>
          <w:sz w:val="24"/>
          <w:szCs w:val="24"/>
        </w:rPr>
        <w:t>Metodoloģiskā atbalsta stiprināšana ES fondu vadībā iesaistītajām iestādēm</w:t>
      </w:r>
      <w:r w:rsidR="0061252C" w:rsidRPr="00852E0C">
        <w:rPr>
          <w:rFonts w:ascii="Times New Roman" w:hAnsi="Times New Roman"/>
          <w:b/>
          <w:bCs/>
          <w:color w:val="000000" w:themeColor="text1"/>
          <w:sz w:val="24"/>
          <w:szCs w:val="24"/>
        </w:rPr>
        <w:t xml:space="preserve"> </w:t>
      </w:r>
      <w:r w:rsidRPr="00852E0C">
        <w:rPr>
          <w:rFonts w:ascii="Times New Roman" w:hAnsi="Times New Roman"/>
          <w:bCs/>
          <w:color w:val="000000" w:themeColor="text1"/>
          <w:sz w:val="24"/>
          <w:szCs w:val="24"/>
        </w:rPr>
        <w:t>ar mērķi nodrošināt vienotu praksi starp iestādēm un mazināt neatbilstoši veikto izdevumu rašanās risku:</w:t>
      </w:r>
    </w:p>
    <w:p w14:paraId="7137E095" w14:textId="07352148" w:rsidR="000E790C" w:rsidRPr="00852E0C" w:rsidRDefault="000E790C" w:rsidP="00852E0C">
      <w:pPr>
        <w:pStyle w:val="PlainText"/>
        <w:numPr>
          <w:ilvl w:val="0"/>
          <w:numId w:val="22"/>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t>Metodika Nr.12.5. „Metodika par netiešo izmaksu nemainīgās likmes plānošanu un piemērošanu”</w:t>
      </w:r>
    </w:p>
    <w:p w14:paraId="07AFB2C3" w14:textId="1B244555" w:rsidR="000E790C" w:rsidRPr="00852E0C" w:rsidRDefault="000E790C" w:rsidP="00852E0C">
      <w:pPr>
        <w:spacing w:line="276" w:lineRule="auto"/>
        <w:rPr>
          <w:rFonts w:eastAsia="Calibri"/>
          <w:i/>
          <w:color w:val="000000" w:themeColor="text1"/>
          <w:szCs w:val="24"/>
          <w:lang w:eastAsia="x-none"/>
        </w:rPr>
      </w:pPr>
      <w:r w:rsidRPr="00852E0C">
        <w:rPr>
          <w:bCs/>
          <w:color w:val="000000" w:themeColor="text1"/>
          <w:szCs w:val="24"/>
        </w:rPr>
        <w:t>Metodika papildināta ar skaidrojumiem attiecībā uz</w:t>
      </w:r>
      <w:r w:rsidR="000E0633">
        <w:rPr>
          <w:bCs/>
          <w:color w:val="000000" w:themeColor="text1"/>
          <w:szCs w:val="24"/>
        </w:rPr>
        <w:t xml:space="preserve"> </w:t>
      </w:r>
      <w:r w:rsidRPr="00852E0C">
        <w:rPr>
          <w:bCs/>
          <w:color w:val="000000" w:themeColor="text1"/>
          <w:szCs w:val="24"/>
        </w:rPr>
        <w:t>netiešo izmaksu nemainīgās likmes plānošanu un piemērošanu, iesniedzot projekta iesniegumu, kā arī to īstenojot, ir likts uzsvars uz to, ka AI/SI ir jāpārbauda tikai tiešās projektu izmaksas, sniegti norādījumi rīcībai gadījumā, ja projektos</w:t>
      </w:r>
      <w:r w:rsidR="000E0633">
        <w:rPr>
          <w:bCs/>
          <w:color w:val="000000" w:themeColor="text1"/>
          <w:szCs w:val="24"/>
        </w:rPr>
        <w:t xml:space="preserve"> </w:t>
      </w:r>
      <w:r w:rsidRPr="00852E0C">
        <w:rPr>
          <w:bCs/>
          <w:color w:val="000000" w:themeColor="text1"/>
          <w:szCs w:val="24"/>
        </w:rPr>
        <w:t xml:space="preserve">tiek konstatēta neatbilstība, papildināta ar skaidrojumu </w:t>
      </w:r>
      <w:r w:rsidR="001311E2" w:rsidRPr="00852E0C">
        <w:rPr>
          <w:bCs/>
          <w:color w:val="000000" w:themeColor="text1"/>
          <w:szCs w:val="24"/>
        </w:rPr>
        <w:t xml:space="preserve">par </w:t>
      </w:r>
      <w:r w:rsidRPr="00852E0C">
        <w:rPr>
          <w:bCs/>
          <w:color w:val="000000" w:themeColor="text1"/>
          <w:szCs w:val="24"/>
        </w:rPr>
        <w:t xml:space="preserve">datu ievad VIS, kā arī </w:t>
      </w:r>
      <w:r w:rsidR="001311E2" w:rsidRPr="00852E0C">
        <w:rPr>
          <w:bCs/>
          <w:color w:val="000000" w:themeColor="text1"/>
          <w:szCs w:val="24"/>
        </w:rPr>
        <w:t xml:space="preserve">par </w:t>
      </w:r>
      <w:r w:rsidRPr="00852E0C">
        <w:rPr>
          <w:bCs/>
          <w:color w:val="000000" w:themeColor="text1"/>
          <w:szCs w:val="24"/>
        </w:rPr>
        <w:t>atsevišķa konta nodalīšanu projektu tiešajām izmaksām.</w:t>
      </w:r>
    </w:p>
    <w:p w14:paraId="0DCA7B01" w14:textId="2FAD42E9" w:rsidR="0061252C" w:rsidRPr="00852E0C" w:rsidRDefault="0061252C" w:rsidP="00852E0C">
      <w:pPr>
        <w:pStyle w:val="PlainText"/>
        <w:numPr>
          <w:ilvl w:val="0"/>
          <w:numId w:val="22"/>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t>Vadlīnijas Nr.10.1. „</w:t>
      </w:r>
      <w:r w:rsidR="000E790C" w:rsidRPr="00852E0C">
        <w:rPr>
          <w:rFonts w:ascii="Times New Roman" w:hAnsi="Times New Roman"/>
          <w:i/>
          <w:color w:val="000000" w:themeColor="text1"/>
          <w:sz w:val="24"/>
          <w:szCs w:val="24"/>
          <w:lang w:val="lv-LV"/>
        </w:rPr>
        <w:t>Vadlīnijas attiecināmo un neattiecināmo izmaksu noteikšanai 2007.</w:t>
      </w:r>
      <w:r w:rsidRPr="00852E0C">
        <w:rPr>
          <w:rFonts w:ascii="Times New Roman" w:hAnsi="Times New Roman"/>
          <w:i/>
          <w:color w:val="000000" w:themeColor="text1"/>
          <w:sz w:val="24"/>
          <w:szCs w:val="24"/>
          <w:lang w:val="lv-LV"/>
        </w:rPr>
        <w:t xml:space="preserve">- 2013.gada plānošanas periodā” </w:t>
      </w:r>
    </w:p>
    <w:p w14:paraId="3F9034E9" w14:textId="4F99413C" w:rsidR="000E790C" w:rsidRPr="00852E0C" w:rsidRDefault="0061252C" w:rsidP="00852E0C">
      <w:pPr>
        <w:pStyle w:val="PlainText"/>
        <w:spacing w:line="276" w:lineRule="auto"/>
        <w:jc w:val="both"/>
        <w:rPr>
          <w:rFonts w:ascii="Times New Roman" w:eastAsia="Times New Roman" w:hAnsi="Times New Roman"/>
          <w:bCs/>
          <w:color w:val="000000" w:themeColor="text1"/>
          <w:sz w:val="24"/>
          <w:szCs w:val="24"/>
          <w:lang w:val="lv-LV" w:eastAsia="en-US"/>
        </w:rPr>
      </w:pPr>
      <w:r w:rsidRPr="00852E0C">
        <w:rPr>
          <w:rFonts w:ascii="Times New Roman" w:eastAsia="Times New Roman" w:hAnsi="Times New Roman"/>
          <w:bCs/>
          <w:color w:val="000000" w:themeColor="text1"/>
          <w:sz w:val="24"/>
          <w:szCs w:val="24"/>
          <w:lang w:val="lv-LV" w:eastAsia="en-US"/>
        </w:rPr>
        <w:t>P</w:t>
      </w:r>
      <w:r w:rsidR="000E790C" w:rsidRPr="00852E0C">
        <w:rPr>
          <w:rFonts w:ascii="Times New Roman" w:eastAsia="Times New Roman" w:hAnsi="Times New Roman"/>
          <w:bCs/>
          <w:color w:val="000000" w:themeColor="text1"/>
          <w:sz w:val="24"/>
          <w:szCs w:val="24"/>
          <w:lang w:val="lv-LV" w:eastAsia="en-US"/>
        </w:rPr>
        <w:t>apildinātas ar skaidrojumiem par atlīdzības izmaksām ES fondu projektos nodarbinātajiem, precizēti informācijas un publicitātes prasību ievērošanas nosacījumi,</w:t>
      </w:r>
      <w:r w:rsidR="000E0633">
        <w:rPr>
          <w:rFonts w:ascii="Times New Roman" w:eastAsia="Times New Roman" w:hAnsi="Times New Roman"/>
          <w:bCs/>
          <w:color w:val="000000" w:themeColor="text1"/>
          <w:sz w:val="24"/>
          <w:szCs w:val="24"/>
          <w:lang w:val="lv-LV" w:eastAsia="en-US"/>
        </w:rPr>
        <w:t xml:space="preserve"> </w:t>
      </w:r>
      <w:r w:rsidR="000E790C" w:rsidRPr="00852E0C">
        <w:rPr>
          <w:rFonts w:ascii="Times New Roman" w:eastAsia="Times New Roman" w:hAnsi="Times New Roman"/>
          <w:bCs/>
          <w:color w:val="000000" w:themeColor="text1"/>
          <w:sz w:val="24"/>
          <w:szCs w:val="24"/>
          <w:lang w:val="lv-LV" w:eastAsia="en-US"/>
        </w:rPr>
        <w:t>papildinātas ar vairākie</w:t>
      </w:r>
      <w:r w:rsidR="00C9384A" w:rsidRPr="00852E0C">
        <w:rPr>
          <w:rFonts w:ascii="Times New Roman" w:eastAsia="Times New Roman" w:hAnsi="Times New Roman"/>
          <w:bCs/>
          <w:color w:val="000000" w:themeColor="text1"/>
          <w:sz w:val="24"/>
          <w:szCs w:val="24"/>
          <w:lang w:val="lv-LV" w:eastAsia="en-US"/>
        </w:rPr>
        <w:t xml:space="preserve">m horizontāliem izdevumu </w:t>
      </w:r>
      <w:proofErr w:type="spellStart"/>
      <w:r w:rsidR="00C9384A" w:rsidRPr="00852E0C">
        <w:rPr>
          <w:rFonts w:ascii="Times New Roman" w:eastAsia="Times New Roman" w:hAnsi="Times New Roman"/>
          <w:bCs/>
          <w:color w:val="000000" w:themeColor="text1"/>
          <w:sz w:val="24"/>
          <w:szCs w:val="24"/>
          <w:lang w:val="lv-LV" w:eastAsia="en-US"/>
        </w:rPr>
        <w:t>attieci</w:t>
      </w:r>
      <w:r w:rsidR="000E790C" w:rsidRPr="00852E0C">
        <w:rPr>
          <w:rFonts w:ascii="Times New Roman" w:eastAsia="Times New Roman" w:hAnsi="Times New Roman"/>
          <w:bCs/>
          <w:color w:val="000000" w:themeColor="text1"/>
          <w:sz w:val="24"/>
          <w:szCs w:val="24"/>
          <w:lang w:val="lv-LV" w:eastAsia="en-US"/>
        </w:rPr>
        <w:t>nāmības</w:t>
      </w:r>
      <w:proofErr w:type="spellEnd"/>
      <w:r w:rsidR="000E790C" w:rsidRPr="00852E0C">
        <w:rPr>
          <w:rFonts w:ascii="Times New Roman" w:eastAsia="Times New Roman" w:hAnsi="Times New Roman"/>
          <w:bCs/>
          <w:color w:val="000000" w:themeColor="text1"/>
          <w:sz w:val="24"/>
          <w:szCs w:val="24"/>
          <w:lang w:val="lv-LV" w:eastAsia="en-US"/>
        </w:rPr>
        <w:t xml:space="preserve"> nosacījumiem, kā arī iekļautas atbalstāmās darbībās un </w:t>
      </w:r>
      <w:proofErr w:type="spellStart"/>
      <w:r w:rsidR="000E790C" w:rsidRPr="00852E0C">
        <w:rPr>
          <w:rFonts w:ascii="Times New Roman" w:eastAsia="Times New Roman" w:hAnsi="Times New Roman"/>
          <w:bCs/>
          <w:color w:val="000000" w:themeColor="text1"/>
          <w:sz w:val="24"/>
          <w:szCs w:val="24"/>
          <w:lang w:val="lv-LV" w:eastAsia="en-US"/>
        </w:rPr>
        <w:t>attiecināmības</w:t>
      </w:r>
      <w:proofErr w:type="spellEnd"/>
      <w:r w:rsidR="000E790C" w:rsidRPr="00852E0C">
        <w:rPr>
          <w:rFonts w:ascii="Times New Roman" w:eastAsia="Times New Roman" w:hAnsi="Times New Roman"/>
          <w:bCs/>
          <w:color w:val="000000" w:themeColor="text1"/>
          <w:sz w:val="24"/>
          <w:szCs w:val="24"/>
          <w:lang w:val="lv-LV" w:eastAsia="en-US"/>
        </w:rPr>
        <w:t xml:space="preserve"> nosacījumi attiecībā uz </w:t>
      </w:r>
      <w:r w:rsidRPr="00852E0C">
        <w:rPr>
          <w:rFonts w:ascii="Times New Roman" w:eastAsia="Times New Roman" w:hAnsi="Times New Roman"/>
          <w:bCs/>
          <w:color w:val="000000" w:themeColor="text1"/>
          <w:sz w:val="24"/>
          <w:szCs w:val="24"/>
          <w:lang w:val="lv-LV" w:eastAsia="en-US"/>
        </w:rPr>
        <w:t>TP</w:t>
      </w:r>
      <w:r w:rsidR="000E790C" w:rsidRPr="00852E0C">
        <w:rPr>
          <w:rFonts w:ascii="Times New Roman" w:eastAsia="Times New Roman" w:hAnsi="Times New Roman"/>
          <w:bCs/>
          <w:color w:val="000000" w:themeColor="text1"/>
          <w:sz w:val="24"/>
          <w:szCs w:val="24"/>
          <w:lang w:val="lv-LV" w:eastAsia="en-US"/>
        </w:rPr>
        <w:t xml:space="preserve"> otrās kārtas projektiem, kā arī 2014. – 2020.gada plānošanas perioda plānošanas izmaksām.</w:t>
      </w:r>
    </w:p>
    <w:p w14:paraId="1A4A9501" w14:textId="7940E761" w:rsidR="000E790C" w:rsidRPr="00852E0C" w:rsidRDefault="000E790C" w:rsidP="00852E0C">
      <w:pPr>
        <w:spacing w:line="276" w:lineRule="auto"/>
        <w:rPr>
          <w:bCs/>
          <w:color w:val="000000" w:themeColor="text1"/>
          <w:szCs w:val="24"/>
        </w:rPr>
      </w:pPr>
      <w:r w:rsidRPr="00852E0C">
        <w:rPr>
          <w:bCs/>
          <w:color w:val="000000" w:themeColor="text1"/>
          <w:szCs w:val="24"/>
        </w:rPr>
        <w:t xml:space="preserve">Vadlīnijas un metodikas aktualizētas, ņemot vērā RI auditos, VI deleģēto funkciju pārbaudēs, pārbaudēs projektu īstenošanas vietās un procedūru izvērtējumā konstatētās sistēmiskās nepilnības, kā arī izmaiņām normatīvajos aktos. Visas VI izstrādātās vadlīnijas, metodikas un skaidrojošie materiāli pieejami </w:t>
      </w:r>
      <w:hyperlink r:id="rId48" w:history="1">
        <w:r w:rsidRPr="00C17C43">
          <w:rPr>
            <w:rStyle w:val="Hyperlink"/>
            <w:rFonts w:ascii="Times New Roman" w:hAnsi="Times New Roman" w:cs="Times New Roman"/>
            <w:bCs/>
            <w:sz w:val="24"/>
            <w:szCs w:val="24"/>
          </w:rPr>
          <w:t xml:space="preserve">ES fondu </w:t>
        </w:r>
        <w:r w:rsidR="00C17C43" w:rsidRPr="00C17C43">
          <w:rPr>
            <w:rStyle w:val="Hyperlink"/>
            <w:rFonts w:ascii="Times New Roman" w:hAnsi="Times New Roman" w:cs="Times New Roman"/>
            <w:bCs/>
            <w:sz w:val="24"/>
            <w:szCs w:val="24"/>
          </w:rPr>
          <w:t>interneta vietnē</w:t>
        </w:r>
      </w:hyperlink>
      <w:r w:rsidRPr="00852E0C">
        <w:rPr>
          <w:color w:val="000000" w:themeColor="text1"/>
          <w:szCs w:val="24"/>
          <w:vertAlign w:val="superscript"/>
        </w:rPr>
        <w:footnoteReference w:id="45"/>
      </w:r>
      <w:r w:rsidRPr="00852E0C">
        <w:rPr>
          <w:bCs/>
          <w:color w:val="000000" w:themeColor="text1"/>
          <w:szCs w:val="24"/>
        </w:rPr>
        <w:t xml:space="preserve">. </w:t>
      </w:r>
    </w:p>
    <w:p w14:paraId="4062D8E0" w14:textId="77777777" w:rsidR="0061252C" w:rsidRPr="00852E0C" w:rsidRDefault="001311E2" w:rsidP="00852E0C">
      <w:pPr>
        <w:pStyle w:val="PlainText"/>
        <w:numPr>
          <w:ilvl w:val="0"/>
          <w:numId w:val="22"/>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lastRenderedPageBreak/>
        <w:t>IUB sadarbībā ar VI ir izstrādājis s</w:t>
      </w:r>
      <w:r w:rsidR="000E790C" w:rsidRPr="00852E0C">
        <w:rPr>
          <w:rFonts w:ascii="Times New Roman" w:hAnsi="Times New Roman"/>
          <w:i/>
          <w:color w:val="000000" w:themeColor="text1"/>
          <w:sz w:val="24"/>
          <w:szCs w:val="24"/>
          <w:lang w:val="lv-LV"/>
        </w:rPr>
        <w:t>kaidrojum</w:t>
      </w:r>
      <w:r w:rsidR="0061252C" w:rsidRPr="00852E0C">
        <w:rPr>
          <w:rFonts w:ascii="Times New Roman" w:hAnsi="Times New Roman"/>
          <w:i/>
          <w:color w:val="000000" w:themeColor="text1"/>
          <w:sz w:val="24"/>
          <w:szCs w:val="24"/>
          <w:lang w:val="lv-LV"/>
        </w:rPr>
        <w:t>u</w:t>
      </w:r>
      <w:r w:rsidR="000E790C" w:rsidRPr="00852E0C">
        <w:rPr>
          <w:rFonts w:ascii="Times New Roman" w:hAnsi="Times New Roman"/>
          <w:i/>
          <w:color w:val="000000" w:themeColor="text1"/>
          <w:sz w:val="24"/>
          <w:szCs w:val="24"/>
          <w:lang w:val="lv-LV"/>
        </w:rPr>
        <w:t xml:space="preserve"> par </w:t>
      </w:r>
      <w:proofErr w:type="spellStart"/>
      <w:r w:rsidR="000E790C" w:rsidRPr="00852E0C">
        <w:rPr>
          <w:rFonts w:ascii="Times New Roman" w:hAnsi="Times New Roman"/>
          <w:i/>
          <w:color w:val="000000" w:themeColor="text1"/>
          <w:sz w:val="24"/>
          <w:szCs w:val="24"/>
          <w:lang w:val="lv-LV"/>
        </w:rPr>
        <w:t>priekšizpētes</w:t>
      </w:r>
      <w:proofErr w:type="spellEnd"/>
      <w:r w:rsidR="000E790C" w:rsidRPr="00852E0C">
        <w:rPr>
          <w:rFonts w:ascii="Times New Roman" w:hAnsi="Times New Roman"/>
          <w:i/>
          <w:color w:val="000000" w:themeColor="text1"/>
          <w:sz w:val="24"/>
          <w:szCs w:val="24"/>
          <w:lang w:val="lv-LV"/>
        </w:rPr>
        <w:t xml:space="preserve"> veikšanu paredzamās līgumcenas noteikšanai</w:t>
      </w:r>
      <w:r w:rsidR="000E790C" w:rsidRPr="00852E0C">
        <w:rPr>
          <w:rFonts w:ascii="Times New Roman" w:hAnsi="Times New Roman"/>
          <w:i/>
          <w:color w:val="000000" w:themeColor="text1"/>
          <w:sz w:val="24"/>
          <w:szCs w:val="24"/>
          <w:vertAlign w:val="superscript"/>
          <w:lang w:val="lv-LV"/>
        </w:rPr>
        <w:footnoteReference w:id="46"/>
      </w:r>
      <w:r w:rsidRPr="00852E0C">
        <w:rPr>
          <w:rFonts w:ascii="Times New Roman" w:hAnsi="Times New Roman"/>
          <w:i/>
          <w:color w:val="000000" w:themeColor="text1"/>
          <w:sz w:val="24"/>
          <w:szCs w:val="24"/>
          <w:lang w:val="lv-LV"/>
        </w:rPr>
        <w:t>,</w:t>
      </w:r>
    </w:p>
    <w:p w14:paraId="39D6D6A9" w14:textId="519D566A" w:rsidR="000E790C" w:rsidRPr="00852E0C" w:rsidRDefault="000E790C" w:rsidP="00852E0C">
      <w:pPr>
        <w:pStyle w:val="PlainText"/>
        <w:spacing w:line="276" w:lineRule="auto"/>
        <w:jc w:val="both"/>
        <w:rPr>
          <w:rFonts w:ascii="Times New Roman" w:eastAsia="Times New Roman" w:hAnsi="Times New Roman"/>
          <w:bCs/>
          <w:color w:val="000000" w:themeColor="text1"/>
          <w:sz w:val="24"/>
          <w:szCs w:val="24"/>
          <w:lang w:val="lv-LV" w:eastAsia="en-US"/>
        </w:rPr>
      </w:pPr>
      <w:r w:rsidRPr="00852E0C">
        <w:rPr>
          <w:rFonts w:ascii="Times New Roman" w:eastAsia="Times New Roman" w:hAnsi="Times New Roman"/>
          <w:bCs/>
          <w:color w:val="000000" w:themeColor="text1"/>
          <w:sz w:val="24"/>
          <w:szCs w:val="24"/>
          <w:lang w:val="lv-LV" w:eastAsia="en-US"/>
        </w:rPr>
        <w:t xml:space="preserve">kurā ņemti vērā arī </w:t>
      </w:r>
      <w:r w:rsidR="001311E2" w:rsidRPr="00852E0C">
        <w:rPr>
          <w:rFonts w:ascii="Times New Roman" w:eastAsia="Times New Roman" w:hAnsi="Times New Roman"/>
          <w:bCs/>
          <w:color w:val="000000" w:themeColor="text1"/>
          <w:sz w:val="24"/>
          <w:szCs w:val="24"/>
          <w:lang w:val="lv-LV" w:eastAsia="en-US"/>
        </w:rPr>
        <w:t>AI un SI</w:t>
      </w:r>
      <w:r w:rsidR="000E0633">
        <w:rPr>
          <w:rFonts w:ascii="Times New Roman" w:eastAsia="Times New Roman" w:hAnsi="Times New Roman"/>
          <w:bCs/>
          <w:color w:val="000000" w:themeColor="text1"/>
          <w:sz w:val="24"/>
          <w:szCs w:val="24"/>
          <w:lang w:val="lv-LV" w:eastAsia="en-US"/>
        </w:rPr>
        <w:t xml:space="preserve"> </w:t>
      </w:r>
      <w:r w:rsidRPr="00852E0C">
        <w:rPr>
          <w:rFonts w:ascii="Times New Roman" w:eastAsia="Times New Roman" w:hAnsi="Times New Roman"/>
          <w:bCs/>
          <w:color w:val="000000" w:themeColor="text1"/>
          <w:sz w:val="24"/>
          <w:szCs w:val="24"/>
          <w:lang w:val="lv-LV" w:eastAsia="en-US"/>
        </w:rPr>
        <w:t>sniegtie priekšlikumi</w:t>
      </w:r>
      <w:r w:rsidR="0061252C" w:rsidRPr="00852E0C">
        <w:rPr>
          <w:rFonts w:ascii="Times New Roman" w:eastAsia="Times New Roman" w:hAnsi="Times New Roman"/>
          <w:bCs/>
          <w:color w:val="000000" w:themeColor="text1"/>
          <w:sz w:val="24"/>
          <w:szCs w:val="24"/>
          <w:lang w:val="lv-LV" w:eastAsia="en-US"/>
        </w:rPr>
        <w:t>, iekļaujot</w:t>
      </w:r>
      <w:r w:rsidRPr="00852E0C">
        <w:rPr>
          <w:rFonts w:ascii="Times New Roman" w:eastAsia="Times New Roman" w:hAnsi="Times New Roman"/>
          <w:bCs/>
          <w:color w:val="000000" w:themeColor="text1"/>
          <w:sz w:val="24"/>
          <w:szCs w:val="24"/>
          <w:lang w:val="lv-LV" w:eastAsia="en-US"/>
        </w:rPr>
        <w:t xml:space="preserve"> iespējamaj</w:t>
      </w:r>
      <w:r w:rsidR="001311E2" w:rsidRPr="00852E0C">
        <w:rPr>
          <w:rFonts w:ascii="Times New Roman" w:eastAsia="Times New Roman" w:hAnsi="Times New Roman"/>
          <w:bCs/>
          <w:color w:val="000000" w:themeColor="text1"/>
          <w:sz w:val="24"/>
          <w:szCs w:val="24"/>
          <w:lang w:val="lv-LV" w:eastAsia="en-US"/>
        </w:rPr>
        <w:t xml:space="preserve">os informācijas </w:t>
      </w:r>
      <w:r w:rsidRPr="00852E0C">
        <w:rPr>
          <w:rFonts w:ascii="Times New Roman" w:eastAsia="Times New Roman" w:hAnsi="Times New Roman"/>
          <w:bCs/>
          <w:color w:val="000000" w:themeColor="text1"/>
          <w:sz w:val="24"/>
          <w:szCs w:val="24"/>
          <w:lang w:val="lv-LV" w:eastAsia="en-US"/>
        </w:rPr>
        <w:t>avot</w:t>
      </w:r>
      <w:r w:rsidR="001311E2" w:rsidRPr="00852E0C">
        <w:rPr>
          <w:rFonts w:ascii="Times New Roman" w:eastAsia="Times New Roman" w:hAnsi="Times New Roman"/>
          <w:bCs/>
          <w:color w:val="000000" w:themeColor="text1"/>
          <w:sz w:val="24"/>
          <w:szCs w:val="24"/>
          <w:lang w:val="lv-LV" w:eastAsia="en-US"/>
        </w:rPr>
        <w:t xml:space="preserve">us </w:t>
      </w:r>
      <w:r w:rsidRPr="00852E0C">
        <w:rPr>
          <w:rFonts w:ascii="Times New Roman" w:eastAsia="Times New Roman" w:hAnsi="Times New Roman"/>
          <w:bCs/>
          <w:color w:val="000000" w:themeColor="text1"/>
          <w:sz w:val="24"/>
          <w:szCs w:val="24"/>
          <w:lang w:val="lv-LV" w:eastAsia="en-US"/>
        </w:rPr>
        <w:t>to veikšana</w:t>
      </w:r>
      <w:r w:rsidR="001311E2" w:rsidRPr="00852E0C">
        <w:rPr>
          <w:rFonts w:ascii="Times New Roman" w:eastAsia="Times New Roman" w:hAnsi="Times New Roman"/>
          <w:bCs/>
          <w:color w:val="000000" w:themeColor="text1"/>
          <w:sz w:val="24"/>
          <w:szCs w:val="24"/>
          <w:lang w:val="lv-LV" w:eastAsia="en-US"/>
        </w:rPr>
        <w:t>i</w:t>
      </w:r>
      <w:r w:rsidRPr="00852E0C">
        <w:rPr>
          <w:rFonts w:ascii="Times New Roman" w:eastAsia="Times New Roman" w:hAnsi="Times New Roman"/>
          <w:bCs/>
          <w:color w:val="000000" w:themeColor="text1"/>
          <w:sz w:val="24"/>
          <w:szCs w:val="24"/>
          <w:lang w:val="lv-LV" w:eastAsia="en-US"/>
        </w:rPr>
        <w:t xml:space="preserve"> un </w:t>
      </w:r>
      <w:r w:rsidR="001311E2" w:rsidRPr="00852E0C">
        <w:rPr>
          <w:rFonts w:ascii="Times New Roman" w:eastAsia="Times New Roman" w:hAnsi="Times New Roman"/>
          <w:bCs/>
          <w:color w:val="000000" w:themeColor="text1"/>
          <w:sz w:val="24"/>
          <w:szCs w:val="24"/>
          <w:lang w:val="lv-LV" w:eastAsia="en-US"/>
        </w:rPr>
        <w:t xml:space="preserve">par </w:t>
      </w:r>
      <w:r w:rsidRPr="00852E0C">
        <w:rPr>
          <w:rFonts w:ascii="Times New Roman" w:eastAsia="Times New Roman" w:hAnsi="Times New Roman"/>
          <w:bCs/>
          <w:color w:val="000000" w:themeColor="text1"/>
          <w:sz w:val="24"/>
          <w:szCs w:val="24"/>
          <w:lang w:val="lv-LV" w:eastAsia="en-US"/>
        </w:rPr>
        <w:t>dokumentēšanas nodrošināšan</w:t>
      </w:r>
      <w:r w:rsidR="001311E2" w:rsidRPr="00852E0C">
        <w:rPr>
          <w:rFonts w:ascii="Times New Roman" w:eastAsia="Times New Roman" w:hAnsi="Times New Roman"/>
          <w:bCs/>
          <w:color w:val="000000" w:themeColor="text1"/>
          <w:sz w:val="24"/>
          <w:szCs w:val="24"/>
          <w:lang w:val="lv-LV" w:eastAsia="en-US"/>
        </w:rPr>
        <w:t>u.</w:t>
      </w:r>
    </w:p>
    <w:p w14:paraId="533703FE" w14:textId="77777777" w:rsidR="000E790C" w:rsidRPr="00852E0C" w:rsidRDefault="000E790C" w:rsidP="00852E0C">
      <w:pPr>
        <w:pStyle w:val="ListParagraph"/>
        <w:spacing w:after="120"/>
        <w:ind w:left="360"/>
        <w:contextualSpacing w:val="0"/>
        <w:jc w:val="both"/>
        <w:rPr>
          <w:rFonts w:ascii="Times New Roman" w:hAnsi="Times New Roman"/>
          <w:b/>
          <w:bCs/>
          <w:color w:val="000000" w:themeColor="text1"/>
          <w:sz w:val="24"/>
          <w:szCs w:val="24"/>
        </w:rPr>
      </w:pPr>
      <w:r w:rsidRPr="00852E0C">
        <w:rPr>
          <w:rFonts w:ascii="Times New Roman" w:hAnsi="Times New Roman"/>
          <w:b/>
          <w:bCs/>
          <w:color w:val="000000" w:themeColor="text1"/>
          <w:sz w:val="24"/>
          <w:szCs w:val="24"/>
        </w:rPr>
        <w:t>Grozījumi ar ES fondu ieviešanu saistītajos normatīvajos aktos</w:t>
      </w:r>
    </w:p>
    <w:p w14:paraId="00A10C22" w14:textId="46F66129" w:rsidR="000E790C" w:rsidRPr="00852E0C" w:rsidRDefault="000E790C" w:rsidP="00852E0C">
      <w:pPr>
        <w:spacing w:line="276" w:lineRule="auto"/>
        <w:rPr>
          <w:bCs/>
          <w:color w:val="000000" w:themeColor="text1"/>
          <w:szCs w:val="24"/>
        </w:rPr>
      </w:pPr>
      <w:r w:rsidRPr="00852E0C">
        <w:rPr>
          <w:bCs/>
          <w:color w:val="000000" w:themeColor="text1"/>
          <w:szCs w:val="24"/>
        </w:rPr>
        <w:t xml:space="preserve">Pārskata periodā ir izstrādāti šādi </w:t>
      </w:r>
      <w:r w:rsidR="00A55096" w:rsidRPr="00852E0C">
        <w:rPr>
          <w:bCs/>
          <w:color w:val="000000" w:themeColor="text1"/>
          <w:szCs w:val="24"/>
        </w:rPr>
        <w:t xml:space="preserve">MK </w:t>
      </w:r>
      <w:r w:rsidRPr="00852E0C">
        <w:rPr>
          <w:bCs/>
          <w:color w:val="000000" w:themeColor="text1"/>
          <w:szCs w:val="24"/>
        </w:rPr>
        <w:t>noteikumu projekti:</w:t>
      </w:r>
    </w:p>
    <w:p w14:paraId="3D5B2B33" w14:textId="7D90A506" w:rsidR="000E790C" w:rsidRPr="00BE0F06" w:rsidRDefault="00150E58" w:rsidP="00852E0C">
      <w:pPr>
        <w:spacing w:line="276" w:lineRule="auto"/>
        <w:rPr>
          <w:color w:val="000000" w:themeColor="text1"/>
          <w:szCs w:val="24"/>
        </w:rPr>
      </w:pPr>
      <w:r w:rsidRPr="00852E0C">
        <w:rPr>
          <w:color w:val="000000" w:themeColor="text1"/>
          <w:szCs w:val="24"/>
        </w:rPr>
        <w:t xml:space="preserve">1) </w:t>
      </w:r>
      <w:r w:rsidR="000E790C" w:rsidRPr="00852E0C">
        <w:rPr>
          <w:i/>
          <w:color w:val="000000" w:themeColor="text1"/>
          <w:szCs w:val="24"/>
        </w:rPr>
        <w:t xml:space="preserve">„Grozījumi </w:t>
      </w:r>
      <w:r w:rsidR="00A55096" w:rsidRPr="00852E0C">
        <w:rPr>
          <w:i/>
          <w:color w:val="000000" w:themeColor="text1"/>
          <w:szCs w:val="24"/>
        </w:rPr>
        <w:t xml:space="preserve">MK </w:t>
      </w:r>
      <w:r w:rsidR="000E790C" w:rsidRPr="00852E0C">
        <w:rPr>
          <w:i/>
          <w:color w:val="000000" w:themeColor="text1"/>
          <w:szCs w:val="24"/>
        </w:rPr>
        <w:t>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Pr="00852E0C">
        <w:rPr>
          <w:color w:val="000000" w:themeColor="text1"/>
          <w:szCs w:val="24"/>
        </w:rPr>
        <w:t xml:space="preserve"> – tajā aizstātas atsauces uz likumu „Par pievienotās vērtības nodokli” ar atsaucēm uz Pievienotās vērtības nodokļa likumu </w:t>
      </w:r>
      <w:r w:rsidRPr="00852E0C">
        <w:rPr>
          <w:bCs/>
          <w:color w:val="000000" w:themeColor="text1"/>
          <w:szCs w:val="24"/>
        </w:rPr>
        <w:t>(plānots iesniegt izskatīšanai MK 2013.gada aprīļa vidū).</w:t>
      </w:r>
    </w:p>
    <w:p w14:paraId="19F08828" w14:textId="20AC8C2B" w:rsidR="000E790C" w:rsidRPr="00852E0C" w:rsidRDefault="00150E58" w:rsidP="00852E0C">
      <w:pPr>
        <w:spacing w:line="276" w:lineRule="auto"/>
        <w:rPr>
          <w:bCs/>
          <w:color w:val="000000" w:themeColor="text1"/>
          <w:szCs w:val="24"/>
        </w:rPr>
      </w:pPr>
      <w:r w:rsidRPr="00852E0C">
        <w:rPr>
          <w:bCs/>
          <w:color w:val="000000" w:themeColor="text1"/>
          <w:szCs w:val="24"/>
        </w:rPr>
        <w:t>2)</w:t>
      </w:r>
      <w:r w:rsidR="000E0633">
        <w:rPr>
          <w:bCs/>
          <w:color w:val="000000" w:themeColor="text1"/>
          <w:szCs w:val="24"/>
        </w:rPr>
        <w:t xml:space="preserve"> </w:t>
      </w:r>
      <w:r w:rsidR="000E790C" w:rsidRPr="00852E0C">
        <w:rPr>
          <w:i/>
          <w:color w:val="000000" w:themeColor="text1"/>
          <w:szCs w:val="24"/>
        </w:rPr>
        <w:t xml:space="preserve">„Grozījumi 2012.gada 9.oktobra </w:t>
      </w:r>
      <w:r w:rsidR="00F865A7" w:rsidRPr="00852E0C">
        <w:rPr>
          <w:i/>
          <w:color w:val="000000" w:themeColor="text1"/>
          <w:szCs w:val="24"/>
        </w:rPr>
        <w:t xml:space="preserve">MK </w:t>
      </w:r>
      <w:r w:rsidR="000E790C" w:rsidRPr="00852E0C">
        <w:rPr>
          <w:i/>
          <w:color w:val="000000" w:themeColor="text1"/>
          <w:szCs w:val="24"/>
        </w:rPr>
        <w:t>noteikumos Nr.694 „Eiropas Ekonomikas zonas finanšu instrumenta un Norvēģijas finanšu instrumenta 2009.-2014.gada perioda vadības noteikumi”</w:t>
      </w:r>
      <w:r w:rsidR="00530678" w:rsidRPr="00852E0C">
        <w:rPr>
          <w:i/>
          <w:color w:val="000000" w:themeColor="text1"/>
          <w:szCs w:val="24"/>
        </w:rPr>
        <w:t xml:space="preserve"> </w:t>
      </w:r>
      <w:r w:rsidR="00530678" w:rsidRPr="00852E0C">
        <w:rPr>
          <w:color w:val="000000" w:themeColor="text1"/>
          <w:szCs w:val="24"/>
        </w:rPr>
        <w:t>(</w:t>
      </w:r>
      <w:r w:rsidR="00530678" w:rsidRPr="00852E0C">
        <w:rPr>
          <w:bCs/>
          <w:color w:val="000000" w:themeColor="text1"/>
          <w:szCs w:val="24"/>
        </w:rPr>
        <w:t>plānots iesniegt izsludināšanai VSS līdz 2013.gada aprīļa beigām) par šādām b</w:t>
      </w:r>
      <w:r w:rsidR="0061252C" w:rsidRPr="00852E0C">
        <w:rPr>
          <w:bCs/>
          <w:color w:val="000000" w:themeColor="text1"/>
          <w:szCs w:val="24"/>
        </w:rPr>
        <w:t>ūtisk</w:t>
      </w:r>
      <w:r w:rsidR="00530678" w:rsidRPr="00852E0C">
        <w:rPr>
          <w:bCs/>
          <w:color w:val="000000" w:themeColor="text1"/>
          <w:szCs w:val="24"/>
        </w:rPr>
        <w:t>ām</w:t>
      </w:r>
      <w:r w:rsidR="0061252C" w:rsidRPr="00852E0C">
        <w:rPr>
          <w:bCs/>
          <w:color w:val="000000" w:themeColor="text1"/>
          <w:szCs w:val="24"/>
        </w:rPr>
        <w:t xml:space="preserve"> izmaiņām</w:t>
      </w:r>
      <w:r w:rsidR="000E790C" w:rsidRPr="00852E0C">
        <w:rPr>
          <w:bCs/>
          <w:color w:val="000000" w:themeColor="text1"/>
          <w:szCs w:val="24"/>
        </w:rPr>
        <w:t>:</w:t>
      </w:r>
    </w:p>
    <w:p w14:paraId="3BA42386" w14:textId="7BD74540" w:rsidR="000E790C" w:rsidRPr="00852E0C" w:rsidRDefault="000E790C" w:rsidP="00852E0C">
      <w:pPr>
        <w:pStyle w:val="ListParagraph"/>
        <w:numPr>
          <w:ilvl w:val="0"/>
          <w:numId w:val="21"/>
        </w:numPr>
        <w:spacing w:after="120"/>
        <w:ind w:left="426"/>
        <w:contextualSpacing w:val="0"/>
        <w:jc w:val="both"/>
        <w:rPr>
          <w:rFonts w:ascii="Times New Roman" w:hAnsi="Times New Roman"/>
          <w:color w:val="000000" w:themeColor="text1"/>
          <w:sz w:val="24"/>
          <w:szCs w:val="24"/>
        </w:rPr>
      </w:pPr>
      <w:r w:rsidRPr="00852E0C">
        <w:rPr>
          <w:rFonts w:ascii="Times New Roman" w:hAnsi="Times New Roman"/>
          <w:color w:val="000000" w:themeColor="text1"/>
          <w:sz w:val="24"/>
          <w:szCs w:val="24"/>
        </w:rPr>
        <w:t xml:space="preserve">atbilstoši </w:t>
      </w:r>
      <w:r w:rsidR="00F865A7" w:rsidRPr="00852E0C">
        <w:rPr>
          <w:rFonts w:ascii="Times New Roman" w:hAnsi="Times New Roman"/>
          <w:color w:val="000000" w:themeColor="text1"/>
          <w:sz w:val="24"/>
          <w:szCs w:val="24"/>
        </w:rPr>
        <w:t xml:space="preserve">FM </w:t>
      </w:r>
      <w:r w:rsidRPr="00852E0C">
        <w:rPr>
          <w:rFonts w:ascii="Times New Roman" w:hAnsi="Times New Roman"/>
          <w:color w:val="000000" w:themeColor="text1"/>
          <w:sz w:val="24"/>
          <w:szCs w:val="24"/>
        </w:rPr>
        <w:t>iniciatīvai par iespēju vienkāršot atmaksu plānošanas sistēmu valsts pamatbudžetā, turpmāk EEZ/Norvēģijas finanšu instrumenta 2009.–2014.gada perioda ietvaros paredzēts atteikties no atmaksu, kas veiktas no resursa „dotācija no vispārējiem ieņēmumiem atmaksām valsts pamatbudžetam”, plānošanas gadskārtējā valsts budžeta likumā, ar to padarot finanšu plūsmu ērtāku un efektīvāku. Līdz ar to arī MK noteikumos Nr.694 apstiprinātā programmas finansējuma atmaksas vairs netiks plānotas valsts budžeta ieņēmumos;</w:t>
      </w:r>
    </w:p>
    <w:p w14:paraId="22F39FFA" w14:textId="52C2D4FA" w:rsidR="000E790C" w:rsidRPr="00852E0C" w:rsidRDefault="000E790C" w:rsidP="00852E0C">
      <w:pPr>
        <w:pStyle w:val="ListParagraph"/>
        <w:numPr>
          <w:ilvl w:val="0"/>
          <w:numId w:val="21"/>
        </w:numPr>
        <w:spacing w:after="120"/>
        <w:ind w:left="426"/>
        <w:contextualSpacing w:val="0"/>
        <w:jc w:val="both"/>
        <w:rPr>
          <w:rFonts w:ascii="Times New Roman" w:hAnsi="Times New Roman"/>
          <w:color w:val="000000" w:themeColor="text1"/>
          <w:sz w:val="24"/>
          <w:szCs w:val="24"/>
        </w:rPr>
      </w:pPr>
      <w:r w:rsidRPr="00852E0C">
        <w:rPr>
          <w:rFonts w:ascii="Times New Roman" w:hAnsi="Times New Roman"/>
          <w:color w:val="000000" w:themeColor="text1"/>
          <w:sz w:val="24"/>
          <w:szCs w:val="24"/>
        </w:rPr>
        <w:t xml:space="preserve">paredzēta kārtība, kādā iesniedz pārskatu par pievienotās vērtības nodokļa summām </w:t>
      </w:r>
      <w:r w:rsidR="00530678" w:rsidRPr="00852E0C">
        <w:rPr>
          <w:rFonts w:ascii="Times New Roman" w:hAnsi="Times New Roman"/>
          <w:color w:val="000000" w:themeColor="text1"/>
          <w:sz w:val="24"/>
          <w:szCs w:val="24"/>
        </w:rPr>
        <w:t xml:space="preserve">un tās </w:t>
      </w:r>
      <w:r w:rsidRPr="00852E0C">
        <w:rPr>
          <w:rFonts w:ascii="Times New Roman" w:hAnsi="Times New Roman"/>
          <w:color w:val="000000" w:themeColor="text1"/>
          <w:sz w:val="24"/>
          <w:szCs w:val="24"/>
        </w:rPr>
        <w:t>iekļauj projekta attiecināmajās izmaksās.</w:t>
      </w:r>
    </w:p>
    <w:p w14:paraId="12CF3045" w14:textId="0C8CDF5A" w:rsidR="000E790C" w:rsidRPr="00852E0C" w:rsidRDefault="00150E58" w:rsidP="00852E0C">
      <w:pPr>
        <w:pStyle w:val="PlainText"/>
        <w:spacing w:line="276" w:lineRule="auto"/>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lang w:val="lv-LV"/>
        </w:rPr>
        <w:t>3)</w:t>
      </w:r>
      <w:r w:rsidR="00530678" w:rsidRPr="00852E0C" w:rsidDel="00530678">
        <w:rPr>
          <w:rFonts w:ascii="Times New Roman" w:hAnsi="Times New Roman"/>
          <w:bCs/>
          <w:color w:val="000000" w:themeColor="text1"/>
          <w:sz w:val="24"/>
          <w:szCs w:val="24"/>
        </w:rPr>
        <w:t xml:space="preserve"> </w:t>
      </w:r>
      <w:r w:rsidR="000E790C" w:rsidRPr="00852E0C">
        <w:rPr>
          <w:rFonts w:ascii="Times New Roman" w:hAnsi="Times New Roman"/>
          <w:i/>
          <w:color w:val="000000" w:themeColor="text1"/>
          <w:sz w:val="24"/>
          <w:szCs w:val="24"/>
          <w:lang w:val="lv-LV"/>
        </w:rPr>
        <w:t xml:space="preserve">„Grozījumi </w:t>
      </w:r>
      <w:r w:rsidR="00F865A7" w:rsidRPr="00852E0C">
        <w:rPr>
          <w:rFonts w:ascii="Times New Roman" w:hAnsi="Times New Roman"/>
          <w:i/>
          <w:color w:val="000000" w:themeColor="text1"/>
          <w:sz w:val="24"/>
          <w:szCs w:val="24"/>
          <w:lang w:val="lv-LV"/>
        </w:rPr>
        <w:t xml:space="preserve">MK </w:t>
      </w:r>
      <w:r w:rsidR="000E790C" w:rsidRPr="00852E0C">
        <w:rPr>
          <w:rFonts w:ascii="Times New Roman" w:hAnsi="Times New Roman"/>
          <w:i/>
          <w:color w:val="000000" w:themeColor="text1"/>
          <w:sz w:val="24"/>
          <w:szCs w:val="24"/>
          <w:lang w:val="lv-LV"/>
        </w:rPr>
        <w:t>2007.gada 31.jūlija noteikumos Nr.524 „Eiropas Savienības fondu vadības un kontroles sistēmas izveidošanas prasības””</w:t>
      </w:r>
      <w:r w:rsidR="00A40F45" w:rsidRPr="00852E0C">
        <w:rPr>
          <w:rFonts w:ascii="Times New Roman" w:hAnsi="Times New Roman"/>
          <w:i/>
          <w:color w:val="000000" w:themeColor="text1"/>
          <w:sz w:val="24"/>
          <w:szCs w:val="24"/>
          <w:lang w:val="lv-LV"/>
        </w:rPr>
        <w:t xml:space="preserve"> </w:t>
      </w:r>
      <w:r w:rsidRPr="00852E0C">
        <w:rPr>
          <w:rFonts w:ascii="Times New Roman" w:hAnsi="Times New Roman"/>
          <w:i/>
          <w:color w:val="000000" w:themeColor="text1"/>
          <w:sz w:val="24"/>
          <w:szCs w:val="24"/>
          <w:lang w:val="lv-LV"/>
        </w:rPr>
        <w:t>–</w:t>
      </w:r>
      <w:r w:rsidR="00A40F45" w:rsidRPr="00852E0C">
        <w:rPr>
          <w:rFonts w:ascii="Times New Roman" w:hAnsi="Times New Roman"/>
          <w:i/>
          <w:color w:val="000000" w:themeColor="text1"/>
          <w:sz w:val="24"/>
          <w:szCs w:val="24"/>
          <w:lang w:val="lv-LV"/>
        </w:rPr>
        <w:t xml:space="preserve"> </w:t>
      </w:r>
      <w:r w:rsidR="000E790C" w:rsidRPr="00852E0C">
        <w:rPr>
          <w:rFonts w:ascii="Times New Roman" w:hAnsi="Times New Roman"/>
          <w:bCs/>
          <w:color w:val="000000" w:themeColor="text1"/>
          <w:sz w:val="24"/>
          <w:szCs w:val="24"/>
        </w:rPr>
        <w:t>paredzēts, cita</w:t>
      </w:r>
      <w:r w:rsidR="0061252C" w:rsidRPr="00852E0C">
        <w:rPr>
          <w:rFonts w:ascii="Times New Roman" w:hAnsi="Times New Roman"/>
          <w:bCs/>
          <w:color w:val="000000" w:themeColor="text1"/>
          <w:sz w:val="24"/>
          <w:szCs w:val="24"/>
          <w:lang w:val="lv-LV"/>
        </w:rPr>
        <w:t xml:space="preserve"> </w:t>
      </w:r>
      <w:r w:rsidR="000E790C" w:rsidRPr="00852E0C">
        <w:rPr>
          <w:rFonts w:ascii="Times New Roman" w:hAnsi="Times New Roman"/>
          <w:bCs/>
          <w:color w:val="000000" w:themeColor="text1"/>
          <w:sz w:val="24"/>
          <w:szCs w:val="24"/>
        </w:rPr>
        <w:t>starp</w:t>
      </w:r>
      <w:r w:rsidR="0061252C" w:rsidRPr="00852E0C">
        <w:rPr>
          <w:rFonts w:ascii="Times New Roman" w:hAnsi="Times New Roman"/>
          <w:bCs/>
          <w:color w:val="000000" w:themeColor="text1"/>
          <w:sz w:val="24"/>
          <w:szCs w:val="24"/>
          <w:lang w:val="lv-LV"/>
        </w:rPr>
        <w:t>ā</w:t>
      </w:r>
      <w:r w:rsidR="000E790C" w:rsidRPr="00852E0C">
        <w:rPr>
          <w:rFonts w:ascii="Times New Roman" w:hAnsi="Times New Roman"/>
          <w:bCs/>
          <w:color w:val="000000" w:themeColor="text1"/>
          <w:sz w:val="24"/>
          <w:szCs w:val="24"/>
        </w:rPr>
        <w:t xml:space="preserve">, noteikt saskaņošanas kārtību ES fondu vadībā iesaistītajām institūcijām par plānotajām būtiskajām izmaiņām to vadības un kontroles sistēmā (plānots iesniegt izsludināšanai </w:t>
      </w:r>
      <w:r w:rsidRPr="00852E0C">
        <w:rPr>
          <w:rFonts w:ascii="Times New Roman" w:hAnsi="Times New Roman"/>
          <w:bCs/>
          <w:color w:val="000000" w:themeColor="text1"/>
          <w:sz w:val="24"/>
          <w:szCs w:val="24"/>
          <w:lang w:val="lv-LV"/>
        </w:rPr>
        <w:t>VSS</w:t>
      </w:r>
      <w:r w:rsidR="000E790C" w:rsidRPr="00852E0C">
        <w:rPr>
          <w:rFonts w:ascii="Times New Roman" w:hAnsi="Times New Roman"/>
          <w:bCs/>
          <w:color w:val="000000" w:themeColor="text1"/>
          <w:sz w:val="24"/>
          <w:szCs w:val="24"/>
        </w:rPr>
        <w:t xml:space="preserve"> līdz 2013.gada maija beigām).</w:t>
      </w:r>
    </w:p>
    <w:p w14:paraId="317B91D9" w14:textId="09277FF5" w:rsidR="000E790C" w:rsidRPr="00852E0C" w:rsidRDefault="00352B55" w:rsidP="00852E0C">
      <w:pPr>
        <w:pStyle w:val="ListParagraph"/>
        <w:spacing w:after="120"/>
        <w:ind w:left="360"/>
        <w:contextualSpacing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VI</w:t>
      </w:r>
      <w:r w:rsidR="000E790C" w:rsidRPr="00852E0C">
        <w:rPr>
          <w:rFonts w:ascii="Times New Roman" w:hAnsi="Times New Roman"/>
          <w:b/>
          <w:bCs/>
          <w:color w:val="000000" w:themeColor="text1"/>
          <w:sz w:val="24"/>
          <w:szCs w:val="24"/>
        </w:rPr>
        <w:t xml:space="preserve"> kontroļu un virsuzraudzības stiprināšana</w:t>
      </w:r>
    </w:p>
    <w:p w14:paraId="77C110E8" w14:textId="44A08DFB" w:rsidR="000C4261" w:rsidRPr="00852E0C" w:rsidRDefault="000C4261" w:rsidP="00852E0C">
      <w:pPr>
        <w:spacing w:line="276" w:lineRule="auto"/>
        <w:rPr>
          <w:bCs/>
          <w:color w:val="000000" w:themeColor="text1"/>
          <w:szCs w:val="24"/>
        </w:rPr>
      </w:pPr>
      <w:r w:rsidRPr="00852E0C">
        <w:rPr>
          <w:bCs/>
          <w:color w:val="000000" w:themeColor="text1"/>
          <w:szCs w:val="24"/>
        </w:rPr>
        <w:t xml:space="preserve">Pārskata periodā </w:t>
      </w:r>
      <w:r w:rsidR="00A55096" w:rsidRPr="00852E0C">
        <w:rPr>
          <w:bCs/>
          <w:color w:val="000000" w:themeColor="text1"/>
          <w:szCs w:val="24"/>
        </w:rPr>
        <w:t xml:space="preserve">VI </w:t>
      </w:r>
      <w:r w:rsidRPr="00852E0C">
        <w:rPr>
          <w:bCs/>
          <w:color w:val="000000" w:themeColor="text1"/>
          <w:szCs w:val="24"/>
        </w:rPr>
        <w:t>ir pabeigusi deleģēto funkciju pārbaudes visās ES fondu administrēšanā iesaistītajās institūcijās</w:t>
      </w:r>
      <w:r w:rsidRPr="00852E0C">
        <w:rPr>
          <w:color w:val="000000" w:themeColor="text1"/>
          <w:szCs w:val="24"/>
          <w:vertAlign w:val="superscript"/>
        </w:rPr>
        <w:footnoteReference w:id="47"/>
      </w:r>
      <w:r w:rsidRPr="00852E0C">
        <w:rPr>
          <w:bCs/>
          <w:color w:val="000000" w:themeColor="text1"/>
          <w:szCs w:val="24"/>
        </w:rPr>
        <w:t>. Ņemot vērā veikto pārbaužu rezultātus</w:t>
      </w:r>
      <w:r w:rsidRPr="00852E0C">
        <w:rPr>
          <w:color w:val="000000" w:themeColor="text1"/>
          <w:szCs w:val="24"/>
          <w:vertAlign w:val="superscript"/>
        </w:rPr>
        <w:footnoteReference w:id="48"/>
      </w:r>
      <w:r w:rsidRPr="00852E0C">
        <w:rPr>
          <w:bCs/>
          <w:color w:val="000000" w:themeColor="text1"/>
          <w:szCs w:val="24"/>
        </w:rPr>
        <w:t xml:space="preserve">, </w:t>
      </w:r>
      <w:r w:rsidR="00A55096" w:rsidRPr="00852E0C">
        <w:rPr>
          <w:bCs/>
          <w:color w:val="000000" w:themeColor="text1"/>
          <w:szCs w:val="24"/>
        </w:rPr>
        <w:t>VI</w:t>
      </w:r>
      <w:r w:rsidRPr="00852E0C">
        <w:rPr>
          <w:bCs/>
          <w:color w:val="000000" w:themeColor="text1"/>
          <w:szCs w:val="24"/>
        </w:rPr>
        <w:t xml:space="preserve"> </w:t>
      </w:r>
      <w:r w:rsidR="00A55096" w:rsidRPr="00852E0C">
        <w:rPr>
          <w:bCs/>
          <w:color w:val="000000" w:themeColor="text1"/>
          <w:szCs w:val="24"/>
        </w:rPr>
        <w:lastRenderedPageBreak/>
        <w:t>2013.gada</w:t>
      </w:r>
      <w:r w:rsidRPr="00852E0C">
        <w:rPr>
          <w:bCs/>
          <w:color w:val="000000" w:themeColor="text1"/>
          <w:szCs w:val="24"/>
        </w:rPr>
        <w:t xml:space="preserve"> 1.ceturksnī ir veikusi izvērtējumu</w:t>
      </w:r>
      <w:r w:rsidRPr="00852E0C">
        <w:rPr>
          <w:color w:val="000000" w:themeColor="text1"/>
          <w:szCs w:val="24"/>
          <w:vertAlign w:val="superscript"/>
        </w:rPr>
        <w:footnoteReference w:id="49"/>
      </w:r>
      <w:r w:rsidRPr="00852E0C">
        <w:rPr>
          <w:bCs/>
          <w:color w:val="000000" w:themeColor="text1"/>
          <w:szCs w:val="24"/>
        </w:rPr>
        <w:t xml:space="preserve"> par 2012.gadā veikto deleģēto funkciju pārbaužu rezultātiem, iestāžu iekšējo procedūru izvērtējuma rezultātiem, veikusi iestāžu risku analīzi un identificējusi galvenās problemātiskās jomas un nepieciešamos uzlabojumus katrā iestādē un iestādēs kopumā. Galvenās jomas, kurās nepieciešami uzlabojumi vairumā iestāžu ir projektu iesniegumu vērtēšanas procesā, maksājumu pieprasījumu izskatīšanas termiņu ievērošanā, datu ievades un datu kvalitātes VIS nodrošināšanā, iepirkumu </w:t>
      </w:r>
      <w:r w:rsidR="00A40F45" w:rsidRPr="00852E0C">
        <w:rPr>
          <w:bCs/>
          <w:color w:val="000000" w:themeColor="text1"/>
          <w:szCs w:val="24"/>
        </w:rPr>
        <w:t xml:space="preserve">pārbaužu </w:t>
      </w:r>
      <w:r w:rsidRPr="00852E0C">
        <w:rPr>
          <w:bCs/>
          <w:color w:val="000000" w:themeColor="text1"/>
          <w:szCs w:val="24"/>
        </w:rPr>
        <w:t>jomā un uzraudzības nodrošināšanas jomā u.c.</w:t>
      </w:r>
    </w:p>
    <w:p w14:paraId="44B28A85" w14:textId="6DC10C63" w:rsidR="000C4261" w:rsidRPr="00852E0C" w:rsidRDefault="000C4261" w:rsidP="00852E0C">
      <w:pPr>
        <w:spacing w:line="276" w:lineRule="auto"/>
        <w:rPr>
          <w:bCs/>
          <w:color w:val="000000" w:themeColor="text1"/>
          <w:szCs w:val="24"/>
        </w:rPr>
      </w:pPr>
      <w:r w:rsidRPr="00852E0C">
        <w:rPr>
          <w:bCs/>
          <w:color w:val="000000" w:themeColor="text1"/>
          <w:szCs w:val="24"/>
        </w:rPr>
        <w:t>Pamatojoties uz veikto izvērtējumu, 2013.gadā deleģēto funkciju pārbaudes, pārbaužu intensitāte un apjoms plānots un tiks veiks pamatojoties uz šiem izvērtējumiem, prioritāri pārbaudot iestādes ar visaugstāko risku līmeni. Iestādēs, kuru risku novērtējums ir vidējs, un kurās iepriekšējā periodā netika konstatēti būtiski trūkumi,</w:t>
      </w:r>
      <w:r w:rsidR="000E0633">
        <w:rPr>
          <w:bCs/>
          <w:color w:val="000000" w:themeColor="text1"/>
          <w:szCs w:val="24"/>
        </w:rPr>
        <w:t xml:space="preserve"> </w:t>
      </w:r>
      <w:r w:rsidRPr="00852E0C">
        <w:rPr>
          <w:bCs/>
          <w:color w:val="000000" w:themeColor="text1"/>
          <w:szCs w:val="24"/>
        </w:rPr>
        <w:t>pārbaužu apjomā pamatā tiks iekļautas tās jomas, kurās katrā iestādē tika konstatēti trūkumi un izteikti ieteikumi to novēršanai, tādējādi mazinot pārbaužu apjomu, administratīvo slogu un stiprinot iestādēm deleģēto funkciju veikšanu un kvalitāti. Iestādēs, kurās</w:t>
      </w:r>
      <w:r w:rsidR="000E0633">
        <w:rPr>
          <w:bCs/>
          <w:color w:val="000000" w:themeColor="text1"/>
          <w:szCs w:val="24"/>
        </w:rPr>
        <w:t xml:space="preserve"> </w:t>
      </w:r>
      <w:r w:rsidRPr="00852E0C">
        <w:rPr>
          <w:bCs/>
          <w:color w:val="000000" w:themeColor="text1"/>
          <w:szCs w:val="24"/>
        </w:rPr>
        <w:t>saskaņā ar veikto izvērtējumu, trūkumi netika konstatēti vai tika konstatēti nebūtiski trūkumi, šajā periodā pārbaudes netiek plānotas, izņemot gadījumus, ja tiks saņemtas indikācijas, kas liecinātu par nepieciešamību veikt ārkārtas pārbaudes arī šajās iestādēs.</w:t>
      </w:r>
    </w:p>
    <w:p w14:paraId="1916BF65" w14:textId="6C2CD280" w:rsidR="00A87FB4" w:rsidRPr="00852E0C" w:rsidRDefault="000C4261" w:rsidP="00852E0C">
      <w:pPr>
        <w:spacing w:line="276" w:lineRule="auto"/>
        <w:rPr>
          <w:bCs/>
          <w:color w:val="000000" w:themeColor="text1"/>
          <w:szCs w:val="24"/>
        </w:rPr>
      </w:pPr>
      <w:r w:rsidRPr="00852E0C">
        <w:rPr>
          <w:bCs/>
          <w:color w:val="000000" w:themeColor="text1"/>
          <w:szCs w:val="24"/>
        </w:rPr>
        <w:t xml:space="preserve">Ņemot vērā veikto izvērtējumu, arī šajā pārskata periodā </w:t>
      </w:r>
      <w:r w:rsidR="00352B55">
        <w:rPr>
          <w:bCs/>
          <w:color w:val="000000" w:themeColor="text1"/>
          <w:szCs w:val="24"/>
        </w:rPr>
        <w:t>VI</w:t>
      </w:r>
      <w:r w:rsidRPr="00852E0C">
        <w:rPr>
          <w:bCs/>
          <w:color w:val="000000" w:themeColor="text1"/>
          <w:szCs w:val="24"/>
        </w:rPr>
        <w:t xml:space="preserve"> turpina veikt deleģēto funkciju pārbaudes, kā arī piedalās </w:t>
      </w:r>
      <w:proofErr w:type="spellStart"/>
      <w:r w:rsidRPr="00852E0C">
        <w:rPr>
          <w:bCs/>
          <w:color w:val="000000" w:themeColor="text1"/>
          <w:szCs w:val="24"/>
        </w:rPr>
        <w:t>virspārbaudēs</w:t>
      </w:r>
      <w:proofErr w:type="spellEnd"/>
      <w:r w:rsidRPr="00852E0C">
        <w:rPr>
          <w:bCs/>
          <w:color w:val="000000" w:themeColor="text1"/>
          <w:szCs w:val="24"/>
        </w:rPr>
        <w:t xml:space="preserve"> ES fondu projektu īstenošanas vietās novērotāja statusā, lai gūtu pārliecību par to, ka AI/SI PPIV veic atbilstoši VI un AI/SI izstrādātajai metodikai/vadlīnijām un turpina veikt PPIV.</w:t>
      </w:r>
    </w:p>
    <w:p w14:paraId="18B940F6" w14:textId="3D27FA24" w:rsidR="00230127" w:rsidRPr="00852E0C" w:rsidRDefault="00A87FB4" w:rsidP="00852E0C">
      <w:pPr>
        <w:pStyle w:val="2lmenis"/>
        <w:numPr>
          <w:ilvl w:val="1"/>
          <w:numId w:val="2"/>
        </w:numPr>
        <w:spacing w:before="120" w:after="120" w:line="276" w:lineRule="auto"/>
        <w:ind w:left="1276" w:hanging="425"/>
        <w:jc w:val="both"/>
        <w:rPr>
          <w:color w:val="000000" w:themeColor="text1"/>
          <w:sz w:val="24"/>
          <w:szCs w:val="24"/>
          <w:lang w:val="lv-LV"/>
        </w:rPr>
      </w:pPr>
      <w:bookmarkStart w:id="49" w:name="_Toc356465238"/>
      <w:r w:rsidRPr="00852E0C">
        <w:rPr>
          <w:color w:val="000000" w:themeColor="text1"/>
          <w:sz w:val="24"/>
          <w:szCs w:val="24"/>
          <w:lang w:val="lv-LV"/>
        </w:rPr>
        <w:t>Plānotie pasākumi vadības un kontroles sistēmas pilnveidošanai</w:t>
      </w:r>
      <w:bookmarkEnd w:id="49"/>
    </w:p>
    <w:p w14:paraId="31307651" w14:textId="77777777" w:rsidR="000E790C" w:rsidRPr="00852E0C" w:rsidRDefault="000E790C" w:rsidP="00852E0C">
      <w:pPr>
        <w:pStyle w:val="ListParagraph"/>
        <w:spacing w:after="120"/>
        <w:ind w:left="426"/>
        <w:contextualSpacing w:val="0"/>
        <w:jc w:val="both"/>
        <w:rPr>
          <w:rFonts w:ascii="Times New Roman" w:hAnsi="Times New Roman"/>
          <w:b/>
          <w:bCs/>
          <w:color w:val="000000" w:themeColor="text1"/>
          <w:sz w:val="24"/>
          <w:szCs w:val="24"/>
        </w:rPr>
      </w:pPr>
      <w:bookmarkStart w:id="50" w:name="_Toc318367108"/>
      <w:bookmarkStart w:id="51" w:name="_Toc324948897"/>
      <w:r w:rsidRPr="00852E0C">
        <w:rPr>
          <w:rFonts w:ascii="Times New Roman" w:hAnsi="Times New Roman"/>
          <w:b/>
          <w:bCs/>
          <w:color w:val="000000" w:themeColor="text1"/>
          <w:sz w:val="24"/>
          <w:szCs w:val="24"/>
        </w:rPr>
        <w:t>Metodoloģiskā atbalsta stiprināšana ES fondu vadībā iesaistītajām iestādēm</w:t>
      </w:r>
    </w:p>
    <w:p w14:paraId="19E365DE" w14:textId="0936B0F0" w:rsidR="000E790C" w:rsidRPr="00852E0C" w:rsidRDefault="000E790C" w:rsidP="00852E0C">
      <w:pPr>
        <w:pStyle w:val="PlainText"/>
        <w:numPr>
          <w:ilvl w:val="0"/>
          <w:numId w:val="24"/>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t xml:space="preserve">Vadlīnijas Nr.10.10 „Vadlīnijas par finanšu korekciju piemērošanu Eiropas Savienības fondu finansētajos projektos” </w:t>
      </w:r>
    </w:p>
    <w:p w14:paraId="43C7B989" w14:textId="4F5263F7" w:rsidR="000E790C" w:rsidRPr="00852E0C" w:rsidRDefault="0061252C" w:rsidP="00852E0C">
      <w:pPr>
        <w:spacing w:line="276" w:lineRule="auto"/>
        <w:rPr>
          <w:bCs/>
          <w:color w:val="000000" w:themeColor="text1"/>
          <w:szCs w:val="24"/>
        </w:rPr>
      </w:pPr>
      <w:r w:rsidRPr="00852E0C">
        <w:rPr>
          <w:bCs/>
          <w:color w:val="000000" w:themeColor="text1"/>
          <w:szCs w:val="24"/>
        </w:rPr>
        <w:t>T</w:t>
      </w:r>
      <w:r w:rsidR="000E790C" w:rsidRPr="00852E0C">
        <w:rPr>
          <w:bCs/>
          <w:color w:val="000000" w:themeColor="text1"/>
          <w:szCs w:val="24"/>
        </w:rPr>
        <w:t xml:space="preserve">iks papildinātas ar dažāda veida proporcionālo korekciju piemērošanas gadījumiem, </w:t>
      </w:r>
      <w:r w:rsidR="00B617D0" w:rsidRPr="00852E0C">
        <w:rPr>
          <w:bCs/>
          <w:color w:val="000000" w:themeColor="text1"/>
          <w:szCs w:val="24"/>
        </w:rPr>
        <w:t xml:space="preserve">īpaši izdalot gadījumus iepirkumos virs un zem normatīvajos aktos noteiktajiem sliekšņiem, </w:t>
      </w:r>
      <w:r w:rsidR="000E790C" w:rsidRPr="00852E0C">
        <w:rPr>
          <w:bCs/>
          <w:color w:val="000000" w:themeColor="text1"/>
          <w:szCs w:val="24"/>
        </w:rPr>
        <w:t xml:space="preserve">tādā viedā nodrošinot iesaistīto iestāžu izpratni par korekciju piemērošanas specifiku dažādu pārkāpumu gadījumā. Papildus </w:t>
      </w:r>
      <w:r w:rsidR="00B617D0" w:rsidRPr="00852E0C">
        <w:rPr>
          <w:bCs/>
          <w:color w:val="000000" w:themeColor="text1"/>
          <w:szCs w:val="24"/>
        </w:rPr>
        <w:t xml:space="preserve">tiks skaidri noteikta vadlīniju piemērošana arī </w:t>
      </w:r>
      <w:r w:rsidR="000E790C" w:rsidRPr="00852E0C">
        <w:rPr>
          <w:bCs/>
          <w:color w:val="000000" w:themeColor="text1"/>
          <w:szCs w:val="24"/>
        </w:rPr>
        <w:t>EEZ finanšu instrumentu, Norvēģijas finanšu instrumentu un Šveices programmā</w:t>
      </w:r>
      <w:r w:rsidR="00B617D0" w:rsidRPr="00852E0C">
        <w:rPr>
          <w:bCs/>
          <w:color w:val="000000" w:themeColor="text1"/>
          <w:szCs w:val="24"/>
        </w:rPr>
        <w:t>s</w:t>
      </w:r>
      <w:r w:rsidR="000E790C" w:rsidRPr="00852E0C">
        <w:rPr>
          <w:bCs/>
          <w:color w:val="000000" w:themeColor="text1"/>
          <w:szCs w:val="24"/>
        </w:rPr>
        <w:t>. Tāpat vadlīnijās noteikti proporcionālo finanšu korekciju apmēri par pārkāpumiem iepirkumu jomā,.</w:t>
      </w:r>
    </w:p>
    <w:p w14:paraId="602585F9" w14:textId="77777777" w:rsidR="000E790C" w:rsidRPr="00852E0C" w:rsidRDefault="000E790C" w:rsidP="00852E0C">
      <w:pPr>
        <w:pStyle w:val="PlainText"/>
        <w:numPr>
          <w:ilvl w:val="0"/>
          <w:numId w:val="24"/>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t>Vadlīnijas Nr. 10.11. ,,Vadlīnijas ziņošanai par Eiropas Savienības fondu ieviešanā konstatētajām neatbilstībām un neatbilstoši veikto izdevumu atgūšanu 2007.- 2013.gada plānošanas periodā’’</w:t>
      </w:r>
    </w:p>
    <w:p w14:paraId="1A918D0F" w14:textId="675FAEDB" w:rsidR="000E790C" w:rsidRPr="00852E0C" w:rsidRDefault="0061252C" w:rsidP="00852E0C">
      <w:pPr>
        <w:spacing w:line="276" w:lineRule="auto"/>
        <w:rPr>
          <w:bCs/>
          <w:color w:val="000000" w:themeColor="text1"/>
          <w:szCs w:val="24"/>
        </w:rPr>
      </w:pPr>
      <w:r w:rsidRPr="00852E0C">
        <w:rPr>
          <w:bCs/>
          <w:color w:val="000000" w:themeColor="text1"/>
          <w:szCs w:val="24"/>
        </w:rPr>
        <w:t>Plānots iekļau</w:t>
      </w:r>
      <w:r w:rsidR="000E790C" w:rsidRPr="00852E0C">
        <w:rPr>
          <w:bCs/>
          <w:color w:val="000000" w:themeColor="text1"/>
          <w:szCs w:val="24"/>
        </w:rPr>
        <w:t>t detalizētākus skaidrojumus par neatbilstību ievadi VIS.</w:t>
      </w:r>
    </w:p>
    <w:p w14:paraId="5CDD25A1" w14:textId="77777777" w:rsidR="000E790C" w:rsidRPr="00852E0C" w:rsidRDefault="000E790C" w:rsidP="00852E0C">
      <w:pPr>
        <w:pStyle w:val="PlainText"/>
        <w:numPr>
          <w:ilvl w:val="0"/>
          <w:numId w:val="24"/>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lastRenderedPageBreak/>
        <w:t>Vadlīnijas Nr. 10.7. ,,Vadlīnijas par projekta attiecināmo izmaksu pamatojošiem dokumentiem’’</w:t>
      </w:r>
    </w:p>
    <w:p w14:paraId="2AF97FA2" w14:textId="20A3E9AA" w:rsidR="000E790C" w:rsidRPr="00852E0C" w:rsidRDefault="0061252C" w:rsidP="00852E0C">
      <w:pPr>
        <w:spacing w:line="276" w:lineRule="auto"/>
        <w:rPr>
          <w:bCs/>
          <w:color w:val="000000" w:themeColor="text1"/>
          <w:szCs w:val="24"/>
        </w:rPr>
      </w:pPr>
      <w:r w:rsidRPr="00852E0C">
        <w:rPr>
          <w:bCs/>
          <w:color w:val="000000" w:themeColor="text1"/>
          <w:szCs w:val="24"/>
        </w:rPr>
        <w:t>Pl</w:t>
      </w:r>
      <w:r w:rsidR="000E790C" w:rsidRPr="00852E0C">
        <w:rPr>
          <w:bCs/>
          <w:color w:val="000000" w:themeColor="text1"/>
          <w:szCs w:val="24"/>
        </w:rPr>
        <w:t>ānots iestrādāt precizējumus attiecībā uz tirgus izpētes dokumentēšanu, obligāti iesniedzamo pamatojošo dokumentu apjomu utt.</w:t>
      </w:r>
    </w:p>
    <w:p w14:paraId="40A24424" w14:textId="2C37EA72" w:rsidR="000E790C" w:rsidRPr="00852E0C" w:rsidRDefault="000E790C" w:rsidP="00852E0C">
      <w:pPr>
        <w:pStyle w:val="PlainText"/>
        <w:numPr>
          <w:ilvl w:val="0"/>
          <w:numId w:val="24"/>
        </w:numPr>
        <w:spacing w:line="276" w:lineRule="auto"/>
        <w:ind w:left="0"/>
        <w:jc w:val="both"/>
        <w:rPr>
          <w:rFonts w:ascii="Times New Roman" w:hAnsi="Times New Roman"/>
          <w:i/>
          <w:color w:val="000000" w:themeColor="text1"/>
          <w:sz w:val="24"/>
          <w:szCs w:val="24"/>
          <w:lang w:val="lv-LV"/>
        </w:rPr>
      </w:pPr>
      <w:r w:rsidRPr="00852E0C">
        <w:rPr>
          <w:rFonts w:ascii="Times New Roman" w:hAnsi="Times New Roman"/>
          <w:i/>
          <w:color w:val="000000" w:themeColor="text1"/>
          <w:sz w:val="24"/>
          <w:szCs w:val="24"/>
          <w:lang w:val="lv-LV"/>
        </w:rPr>
        <w:t>Lietotāja rokasgrāmat</w:t>
      </w:r>
      <w:r w:rsidR="00B617D0" w:rsidRPr="00852E0C">
        <w:rPr>
          <w:rFonts w:ascii="Times New Roman" w:hAnsi="Times New Roman"/>
          <w:i/>
          <w:color w:val="000000" w:themeColor="text1"/>
          <w:sz w:val="24"/>
          <w:szCs w:val="24"/>
          <w:lang w:val="lv-LV"/>
        </w:rPr>
        <w:t>u</w:t>
      </w:r>
      <w:r w:rsidRPr="00852E0C">
        <w:rPr>
          <w:rFonts w:ascii="Times New Roman" w:hAnsi="Times New Roman"/>
          <w:i/>
          <w:color w:val="000000" w:themeColor="text1"/>
          <w:sz w:val="24"/>
          <w:szCs w:val="24"/>
          <w:lang w:val="lv-LV"/>
        </w:rPr>
        <w:t xml:space="preserve"> ,,Eiropas Savienības Struktūrfondu un Kohēzijas fonda vadības informācijas sistēmas Biznesa rokasgrāmata’’</w:t>
      </w:r>
    </w:p>
    <w:p w14:paraId="00A7CD09" w14:textId="77777777" w:rsidR="0061252C" w:rsidRPr="00852E0C" w:rsidRDefault="0061252C" w:rsidP="00852E0C">
      <w:pPr>
        <w:spacing w:line="276" w:lineRule="auto"/>
        <w:rPr>
          <w:bCs/>
          <w:color w:val="000000" w:themeColor="text1"/>
          <w:szCs w:val="24"/>
        </w:rPr>
      </w:pPr>
      <w:r w:rsidRPr="00852E0C">
        <w:rPr>
          <w:bCs/>
          <w:color w:val="000000" w:themeColor="text1"/>
          <w:szCs w:val="24"/>
        </w:rPr>
        <w:t>P</w:t>
      </w:r>
      <w:r w:rsidR="000E790C" w:rsidRPr="00852E0C">
        <w:rPr>
          <w:bCs/>
          <w:color w:val="000000" w:themeColor="text1"/>
          <w:szCs w:val="24"/>
        </w:rPr>
        <w:t xml:space="preserve">lānots papildināt ar informācijas ievades nosacījumiem jaunajos datu ievades laukos iepirkumu </w:t>
      </w:r>
      <w:proofErr w:type="spellStart"/>
      <w:r w:rsidR="000E790C" w:rsidRPr="00852E0C">
        <w:rPr>
          <w:bCs/>
          <w:color w:val="000000" w:themeColor="text1"/>
          <w:szCs w:val="24"/>
        </w:rPr>
        <w:t>pirmspārbaudēm</w:t>
      </w:r>
      <w:proofErr w:type="spellEnd"/>
      <w:r w:rsidR="000E790C" w:rsidRPr="00852E0C">
        <w:rPr>
          <w:bCs/>
          <w:color w:val="000000" w:themeColor="text1"/>
          <w:szCs w:val="24"/>
        </w:rPr>
        <w:t xml:space="preserve"> un pārbaudēm projektu īstenošanas vietās. </w:t>
      </w:r>
    </w:p>
    <w:p w14:paraId="2D787C34" w14:textId="40717C74" w:rsidR="008768EE" w:rsidRPr="00852E0C" w:rsidRDefault="008768EE" w:rsidP="00852E0C">
      <w:pPr>
        <w:pStyle w:val="1lmenis"/>
        <w:spacing w:before="120" w:after="120" w:line="276" w:lineRule="auto"/>
        <w:ind w:left="709"/>
        <w:rPr>
          <w:rFonts w:ascii="Times New Roman" w:hAnsi="Times New Roman"/>
          <w:color w:val="000000" w:themeColor="text1"/>
          <w:sz w:val="24"/>
          <w:szCs w:val="24"/>
        </w:rPr>
      </w:pPr>
      <w:bookmarkStart w:id="52" w:name="_Toc356465239"/>
      <w:r w:rsidRPr="00852E0C">
        <w:rPr>
          <w:rFonts w:ascii="Times New Roman" w:hAnsi="Times New Roman"/>
          <w:color w:val="000000" w:themeColor="text1"/>
          <w:sz w:val="24"/>
          <w:szCs w:val="24"/>
        </w:rPr>
        <w:t>ES fondu izvērtēšanas jautājumi</w:t>
      </w:r>
      <w:bookmarkEnd w:id="50"/>
      <w:bookmarkEnd w:id="52"/>
    </w:p>
    <w:p w14:paraId="7ECEEBA1" w14:textId="5DA629EF" w:rsidR="008F555C" w:rsidRPr="00852E0C" w:rsidRDefault="008F555C" w:rsidP="00852E0C">
      <w:pPr>
        <w:spacing w:line="276" w:lineRule="auto"/>
        <w:rPr>
          <w:bCs/>
          <w:color w:val="000000" w:themeColor="text1"/>
          <w:szCs w:val="24"/>
        </w:rPr>
      </w:pPr>
      <w:r w:rsidRPr="00852E0C">
        <w:rPr>
          <w:bCs/>
          <w:color w:val="000000" w:themeColor="text1"/>
          <w:szCs w:val="24"/>
        </w:rPr>
        <w:t xml:space="preserve">Lai nodrošinātu ES fondu piešķirtā finansējuma efektīvu izmantošanu, VI saskaņā ar Regulas Nr.1083/2006 47. pantu veic tematisko izvērtēšanu. 2013. gada </w:t>
      </w:r>
      <w:r w:rsidR="0090406C" w:rsidRPr="00852E0C">
        <w:rPr>
          <w:bCs/>
          <w:color w:val="000000" w:themeColor="text1"/>
          <w:szCs w:val="24"/>
        </w:rPr>
        <w:t>1.</w:t>
      </w:r>
      <w:r w:rsidRPr="00852E0C">
        <w:rPr>
          <w:bCs/>
          <w:color w:val="000000" w:themeColor="text1"/>
          <w:szCs w:val="24"/>
        </w:rPr>
        <w:t xml:space="preserve"> ceturksnī darbs tika veltīts izvērtēšanas jautājumiem, kas saistīti ar ES fondu plān</w:t>
      </w:r>
      <w:r w:rsidR="00E51615" w:rsidRPr="00852E0C">
        <w:rPr>
          <w:bCs/>
          <w:color w:val="000000" w:themeColor="text1"/>
          <w:szCs w:val="24"/>
        </w:rPr>
        <w:t xml:space="preserve">ošanas dokumentu izstrādi 2014. – </w:t>
      </w:r>
      <w:r w:rsidRPr="00852E0C">
        <w:rPr>
          <w:bCs/>
          <w:color w:val="000000" w:themeColor="text1"/>
          <w:szCs w:val="24"/>
        </w:rPr>
        <w:t>2020. gada periodam</w:t>
      </w:r>
      <w:r w:rsidR="00F26D22" w:rsidRPr="00852E0C">
        <w:rPr>
          <w:bCs/>
          <w:color w:val="000000" w:themeColor="text1"/>
          <w:szCs w:val="24"/>
        </w:rPr>
        <w:t xml:space="preserve">, kam </w:t>
      </w:r>
      <w:r w:rsidRPr="00852E0C">
        <w:rPr>
          <w:bCs/>
          <w:color w:val="000000" w:themeColor="text1"/>
          <w:szCs w:val="24"/>
        </w:rPr>
        <w:t>ir nozīmīga loma dokumentu kvalitātes pārbaudē un izrietoši to uzlabo</w:t>
      </w:r>
      <w:r w:rsidR="00FE42C4" w:rsidRPr="00852E0C">
        <w:rPr>
          <w:bCs/>
          <w:color w:val="000000" w:themeColor="text1"/>
          <w:szCs w:val="24"/>
        </w:rPr>
        <w:t xml:space="preserve">šanā. Izvērtēšanas uzdevums ir </w:t>
      </w:r>
      <w:r w:rsidRPr="00852E0C">
        <w:rPr>
          <w:bCs/>
          <w:color w:val="000000" w:themeColor="text1"/>
          <w:szCs w:val="24"/>
        </w:rPr>
        <w:t xml:space="preserve">arī nodrošināt, ka plānošanas dokumenti un to snieguma rādītāji atļauj veikt attiecīgās </w:t>
      </w:r>
      <w:proofErr w:type="spellStart"/>
      <w:r w:rsidRPr="00852E0C">
        <w:rPr>
          <w:bCs/>
          <w:color w:val="000000" w:themeColor="text1"/>
          <w:szCs w:val="24"/>
        </w:rPr>
        <w:t>rīcībpolitikas</w:t>
      </w:r>
      <w:proofErr w:type="spellEnd"/>
      <w:r w:rsidRPr="00852E0C">
        <w:rPr>
          <w:bCs/>
          <w:color w:val="000000" w:themeColor="text1"/>
          <w:szCs w:val="24"/>
        </w:rPr>
        <w:t xml:space="preserve"> ietekmes un efektivitātes izvērtēšanu nākotnē.</w:t>
      </w:r>
    </w:p>
    <w:p w14:paraId="63328ED3" w14:textId="10B05A81" w:rsidR="008F555C" w:rsidRPr="00852E0C" w:rsidRDefault="008F555C" w:rsidP="00852E0C">
      <w:pPr>
        <w:spacing w:line="276" w:lineRule="auto"/>
        <w:rPr>
          <w:bCs/>
          <w:color w:val="000000" w:themeColor="text1"/>
          <w:szCs w:val="24"/>
        </w:rPr>
      </w:pPr>
      <w:r w:rsidRPr="00852E0C">
        <w:rPr>
          <w:bCs/>
          <w:color w:val="000000" w:themeColor="text1"/>
          <w:szCs w:val="24"/>
        </w:rPr>
        <w:t>2013. gada 7. martā tika noslēgts līgums ar par ES Kohēzijas politikas fondu</w:t>
      </w:r>
      <w:r w:rsidRPr="00852E0C">
        <w:rPr>
          <w:bCs/>
          <w:color w:val="000000" w:themeColor="text1"/>
          <w:szCs w:val="24"/>
          <w:vertAlign w:val="superscript"/>
        </w:rPr>
        <w:footnoteReference w:id="50"/>
      </w:r>
      <w:r w:rsidRPr="00852E0C">
        <w:rPr>
          <w:bCs/>
          <w:color w:val="000000" w:themeColor="text1"/>
          <w:szCs w:val="24"/>
        </w:rPr>
        <w:t xml:space="preserve"> </w:t>
      </w:r>
      <w:r w:rsidR="00F865A7" w:rsidRPr="00852E0C">
        <w:rPr>
          <w:bCs/>
          <w:color w:val="000000" w:themeColor="text1"/>
          <w:szCs w:val="24"/>
        </w:rPr>
        <w:t>DP</w:t>
      </w:r>
      <w:r w:rsidR="00E05A20">
        <w:rPr>
          <w:bCs/>
          <w:color w:val="000000" w:themeColor="text1"/>
          <w:szCs w:val="24"/>
        </w:rPr>
        <w:t xml:space="preserve"> </w:t>
      </w:r>
      <w:proofErr w:type="spellStart"/>
      <w:r w:rsidR="00E05A20">
        <w:rPr>
          <w:bCs/>
          <w:color w:val="000000" w:themeColor="text1"/>
          <w:szCs w:val="24"/>
        </w:rPr>
        <w:t>ex</w:t>
      </w:r>
      <w:proofErr w:type="spellEnd"/>
      <w:r w:rsidR="00E05A20">
        <w:rPr>
          <w:bCs/>
          <w:color w:val="000000" w:themeColor="text1"/>
          <w:szCs w:val="24"/>
        </w:rPr>
        <w:t xml:space="preserve"> – </w:t>
      </w:r>
      <w:proofErr w:type="spellStart"/>
      <w:r w:rsidRPr="00852E0C">
        <w:rPr>
          <w:bCs/>
          <w:color w:val="000000" w:themeColor="text1"/>
          <w:szCs w:val="24"/>
        </w:rPr>
        <w:t>ante</w:t>
      </w:r>
      <w:proofErr w:type="spellEnd"/>
      <w:r w:rsidRPr="00852E0C">
        <w:rPr>
          <w:bCs/>
          <w:color w:val="000000" w:themeColor="text1"/>
          <w:szCs w:val="24"/>
        </w:rPr>
        <w:t xml:space="preserve"> izvērtēšanu un ir uzsākts izvērtēšanas process</w:t>
      </w:r>
      <w:r w:rsidR="00F26D22" w:rsidRPr="00852E0C">
        <w:rPr>
          <w:bCs/>
          <w:color w:val="000000" w:themeColor="text1"/>
          <w:szCs w:val="24"/>
        </w:rPr>
        <w:t xml:space="preserve">, </w:t>
      </w:r>
      <w:r w:rsidRPr="00852E0C">
        <w:rPr>
          <w:bCs/>
          <w:color w:val="000000" w:themeColor="text1"/>
          <w:szCs w:val="24"/>
        </w:rPr>
        <w:t xml:space="preserve">tiek izvērtēta izstrādāto </w:t>
      </w:r>
      <w:r w:rsidR="00F865A7" w:rsidRPr="00852E0C">
        <w:rPr>
          <w:bCs/>
          <w:color w:val="000000" w:themeColor="text1"/>
          <w:szCs w:val="24"/>
        </w:rPr>
        <w:t>DP</w:t>
      </w:r>
      <w:r w:rsidRPr="00852E0C">
        <w:rPr>
          <w:bCs/>
          <w:color w:val="000000" w:themeColor="text1"/>
          <w:szCs w:val="24"/>
        </w:rPr>
        <w:t xml:space="preserve"> projektu investīciju stratēģija, rādītāju un to mērķu atbilstība, kā arī šo mērķu ieguldījums un sasaiste ar ES līmeņa stratēģijām</w:t>
      </w:r>
      <w:r w:rsidR="00F26D22" w:rsidRPr="00852E0C">
        <w:rPr>
          <w:bCs/>
          <w:color w:val="000000" w:themeColor="text1"/>
          <w:szCs w:val="24"/>
        </w:rPr>
        <w:t xml:space="preserve">, kā arī </w:t>
      </w:r>
      <w:r w:rsidRPr="00852E0C">
        <w:rPr>
          <w:bCs/>
          <w:color w:val="000000" w:themeColor="text1"/>
          <w:szCs w:val="24"/>
        </w:rPr>
        <w:t xml:space="preserve">tiek veikts </w:t>
      </w:r>
      <w:r w:rsidR="00F865A7" w:rsidRPr="00852E0C">
        <w:rPr>
          <w:bCs/>
          <w:color w:val="000000" w:themeColor="text1"/>
          <w:szCs w:val="24"/>
        </w:rPr>
        <w:t>DP</w:t>
      </w:r>
      <w:r w:rsidRPr="00852E0C">
        <w:rPr>
          <w:bCs/>
          <w:color w:val="000000" w:themeColor="text1"/>
          <w:szCs w:val="24"/>
        </w:rPr>
        <w:t xml:space="preserve"> Stratēģiskais ietekmes uz vidi novērtējums atbilstoši ES un Latvijas regulējošajiem aktiem. </w:t>
      </w:r>
    </w:p>
    <w:p w14:paraId="259E20ED" w14:textId="4CE0D933" w:rsidR="008F555C" w:rsidRPr="00852E0C" w:rsidRDefault="008F555C" w:rsidP="00852E0C">
      <w:pPr>
        <w:spacing w:line="276" w:lineRule="auto"/>
        <w:rPr>
          <w:bCs/>
          <w:color w:val="000000" w:themeColor="text1"/>
          <w:szCs w:val="24"/>
        </w:rPr>
      </w:pPr>
      <w:r w:rsidRPr="00852E0C">
        <w:rPr>
          <w:bCs/>
          <w:color w:val="000000" w:themeColor="text1"/>
          <w:szCs w:val="24"/>
        </w:rPr>
        <w:t xml:space="preserve">Izvērtēšanas kapacitātes celšanas kontekstā atzīmējami pēc FM iniciatīvas notikušie semināri par jauno pieeju rādītāju definēšanai un izvērtēšanas prasībām 2014. – 2020. gada plānošanas periodā, kuru semināru praktisko norisi nodrošināja </w:t>
      </w:r>
      <w:proofErr w:type="spellStart"/>
      <w:r w:rsidRPr="00852E0C">
        <w:rPr>
          <w:bCs/>
          <w:color w:val="000000" w:themeColor="text1"/>
          <w:szCs w:val="24"/>
        </w:rPr>
        <w:t>VKanc</w:t>
      </w:r>
      <w:proofErr w:type="spellEnd"/>
      <w:r w:rsidRPr="00852E0C">
        <w:rPr>
          <w:bCs/>
          <w:color w:val="000000" w:themeColor="text1"/>
          <w:szCs w:val="24"/>
        </w:rPr>
        <w:t xml:space="preserve"> un kuru mērķa auditorija bija 2014. – 2020. gada perioda fondu plānošanā, uzraudzībā un izvērtēšanā iesaistītie institūciju pārstāvji:</w:t>
      </w:r>
    </w:p>
    <w:p w14:paraId="3E61E9A2" w14:textId="5CD9C5B2" w:rsidR="008F555C" w:rsidRPr="00852E0C" w:rsidRDefault="008F555C" w:rsidP="00852E0C">
      <w:pPr>
        <w:pStyle w:val="ListParagraph"/>
        <w:numPr>
          <w:ilvl w:val="0"/>
          <w:numId w:val="27"/>
        </w:numPr>
        <w:spacing w:after="120"/>
        <w:contextualSpacing w:val="0"/>
        <w:jc w:val="both"/>
        <w:rPr>
          <w:rFonts w:ascii="Times New Roman" w:hAnsi="Times New Roman"/>
          <w:color w:val="000000" w:themeColor="text1"/>
          <w:sz w:val="24"/>
          <w:szCs w:val="24"/>
        </w:rPr>
      </w:pPr>
      <w:r w:rsidRPr="00852E0C">
        <w:rPr>
          <w:rFonts w:ascii="Times New Roman" w:hAnsi="Times New Roman"/>
          <w:color w:val="000000" w:themeColor="text1"/>
          <w:sz w:val="24"/>
          <w:szCs w:val="24"/>
        </w:rPr>
        <w:t xml:space="preserve">2013. gada janvārī tika organizēts seminārs par ESF rādītāju definēšanu un </w:t>
      </w:r>
      <w:proofErr w:type="spellStart"/>
      <w:r w:rsidRPr="00852E0C">
        <w:rPr>
          <w:rFonts w:ascii="Times New Roman" w:hAnsi="Times New Roman"/>
          <w:color w:val="000000" w:themeColor="text1"/>
          <w:sz w:val="24"/>
          <w:szCs w:val="24"/>
        </w:rPr>
        <w:t>ex-ante</w:t>
      </w:r>
      <w:proofErr w:type="spellEnd"/>
      <w:r w:rsidRPr="00852E0C">
        <w:rPr>
          <w:rFonts w:ascii="Times New Roman" w:hAnsi="Times New Roman"/>
          <w:color w:val="000000" w:themeColor="text1"/>
          <w:sz w:val="24"/>
          <w:szCs w:val="24"/>
        </w:rPr>
        <w:t xml:space="preserve"> izvērtēšanas procesu, kā ietvaros </w:t>
      </w:r>
      <w:r w:rsidR="00822986" w:rsidRPr="00822986">
        <w:rPr>
          <w:rFonts w:ascii="Times New Roman" w:hAnsi="Times New Roman"/>
          <w:color w:val="000000" w:themeColor="text1"/>
          <w:sz w:val="24"/>
          <w:szCs w:val="24"/>
        </w:rPr>
        <w:t>DG EMPL</w:t>
      </w:r>
      <w:r w:rsidRPr="00852E0C">
        <w:rPr>
          <w:rFonts w:ascii="Times New Roman" w:hAnsi="Times New Roman"/>
          <w:color w:val="000000" w:themeColor="text1"/>
          <w:sz w:val="24"/>
          <w:szCs w:val="24"/>
        </w:rPr>
        <w:t xml:space="preserve"> eksperti iepazīstināja ar pieejamām veiksmīgai rādītāju definēšanai, kā arī izklāstīja </w:t>
      </w:r>
      <w:r w:rsidR="00F865A7" w:rsidRPr="00852E0C">
        <w:rPr>
          <w:rFonts w:ascii="Times New Roman" w:hAnsi="Times New Roman"/>
          <w:color w:val="000000" w:themeColor="text1"/>
          <w:sz w:val="24"/>
          <w:szCs w:val="24"/>
        </w:rPr>
        <w:t>EK</w:t>
      </w:r>
      <w:r w:rsidR="00E05A20">
        <w:rPr>
          <w:rFonts w:ascii="Times New Roman" w:hAnsi="Times New Roman"/>
          <w:color w:val="000000" w:themeColor="text1"/>
          <w:sz w:val="24"/>
          <w:szCs w:val="24"/>
        </w:rPr>
        <w:t xml:space="preserve"> redzējumu attiecībā uz </w:t>
      </w:r>
      <w:proofErr w:type="spellStart"/>
      <w:r w:rsidR="00E05A20">
        <w:rPr>
          <w:rFonts w:ascii="Times New Roman" w:hAnsi="Times New Roman"/>
          <w:color w:val="000000" w:themeColor="text1"/>
          <w:sz w:val="24"/>
          <w:szCs w:val="24"/>
        </w:rPr>
        <w:t>ex</w:t>
      </w:r>
      <w:proofErr w:type="spellEnd"/>
      <w:r w:rsidR="00E05A20">
        <w:rPr>
          <w:rFonts w:ascii="Times New Roman" w:hAnsi="Times New Roman"/>
          <w:color w:val="000000" w:themeColor="text1"/>
          <w:sz w:val="24"/>
          <w:szCs w:val="24"/>
        </w:rPr>
        <w:t xml:space="preserve"> – </w:t>
      </w:r>
      <w:proofErr w:type="spellStart"/>
      <w:r w:rsidRPr="00852E0C">
        <w:rPr>
          <w:rFonts w:ascii="Times New Roman" w:hAnsi="Times New Roman"/>
          <w:color w:val="000000" w:themeColor="text1"/>
          <w:sz w:val="24"/>
          <w:szCs w:val="24"/>
        </w:rPr>
        <w:t>ante</w:t>
      </w:r>
      <w:proofErr w:type="spellEnd"/>
      <w:r w:rsidRPr="00852E0C">
        <w:rPr>
          <w:rFonts w:ascii="Times New Roman" w:hAnsi="Times New Roman"/>
          <w:color w:val="000000" w:themeColor="text1"/>
          <w:sz w:val="24"/>
          <w:szCs w:val="24"/>
        </w:rPr>
        <w:t xml:space="preserve"> izvērtējuma procesu ES dalībvalstu veidotajām fondu </w:t>
      </w:r>
      <w:r w:rsidR="00F865A7" w:rsidRPr="00852E0C">
        <w:rPr>
          <w:rFonts w:ascii="Times New Roman" w:hAnsi="Times New Roman"/>
          <w:color w:val="000000" w:themeColor="text1"/>
          <w:sz w:val="24"/>
          <w:szCs w:val="24"/>
        </w:rPr>
        <w:t>DP</w:t>
      </w:r>
      <w:r w:rsidRPr="00852E0C">
        <w:rPr>
          <w:rFonts w:ascii="Times New Roman" w:hAnsi="Times New Roman"/>
          <w:color w:val="000000" w:themeColor="text1"/>
          <w:sz w:val="24"/>
          <w:szCs w:val="24"/>
        </w:rPr>
        <w:t>;</w:t>
      </w:r>
    </w:p>
    <w:p w14:paraId="50FDC85B" w14:textId="237290D6" w:rsidR="00C8740D" w:rsidRPr="00852E0C" w:rsidRDefault="008F555C" w:rsidP="00852E0C">
      <w:pPr>
        <w:pStyle w:val="ListParagraph"/>
        <w:numPr>
          <w:ilvl w:val="0"/>
          <w:numId w:val="27"/>
        </w:numPr>
        <w:spacing w:after="120"/>
        <w:contextualSpacing w:val="0"/>
        <w:jc w:val="both"/>
        <w:rPr>
          <w:rFonts w:ascii="Times New Roman" w:hAnsi="Times New Roman"/>
          <w:color w:val="000000" w:themeColor="text1"/>
          <w:sz w:val="24"/>
          <w:szCs w:val="24"/>
        </w:rPr>
      </w:pPr>
      <w:r w:rsidRPr="00852E0C">
        <w:rPr>
          <w:rFonts w:ascii="Times New Roman" w:hAnsi="Times New Roman"/>
          <w:color w:val="000000" w:themeColor="text1"/>
          <w:sz w:val="24"/>
          <w:szCs w:val="24"/>
        </w:rPr>
        <w:t xml:space="preserve">2013. gadā februārī tika organizēts seminārs par ERAF, KF rādītāju definēšanu, kuru vadīja </w:t>
      </w:r>
      <w:r w:rsidR="00F865A7" w:rsidRPr="00852E0C">
        <w:rPr>
          <w:rFonts w:ascii="Times New Roman" w:hAnsi="Times New Roman"/>
          <w:color w:val="000000" w:themeColor="text1"/>
          <w:sz w:val="24"/>
          <w:szCs w:val="24"/>
        </w:rPr>
        <w:t xml:space="preserve">EK </w:t>
      </w:r>
      <w:r w:rsidRPr="00852E0C">
        <w:rPr>
          <w:rFonts w:ascii="Times New Roman" w:hAnsi="Times New Roman"/>
          <w:color w:val="000000" w:themeColor="text1"/>
          <w:sz w:val="24"/>
          <w:szCs w:val="24"/>
        </w:rPr>
        <w:t xml:space="preserve">Reģionu politikas un </w:t>
      </w:r>
      <w:proofErr w:type="spellStart"/>
      <w:r w:rsidRPr="00852E0C">
        <w:rPr>
          <w:rFonts w:ascii="Times New Roman" w:hAnsi="Times New Roman"/>
          <w:color w:val="000000" w:themeColor="text1"/>
          <w:sz w:val="24"/>
          <w:szCs w:val="24"/>
        </w:rPr>
        <w:t>pilsētpolitikas</w:t>
      </w:r>
      <w:proofErr w:type="spellEnd"/>
      <w:r w:rsidRPr="00852E0C">
        <w:rPr>
          <w:rFonts w:ascii="Times New Roman" w:hAnsi="Times New Roman"/>
          <w:color w:val="000000" w:themeColor="text1"/>
          <w:sz w:val="24"/>
          <w:szCs w:val="24"/>
        </w:rPr>
        <w:t xml:space="preserve"> ģenerāldirektorāta eksperti. Semināra ietvaros padziļināta uzmanība tika veltīta arī izvērtēšanas prasībām 2014. – 2020. gada plānošanas periodā, kā arī </w:t>
      </w:r>
      <w:r w:rsidR="00614C44" w:rsidRPr="00852E0C">
        <w:rPr>
          <w:rFonts w:ascii="Times New Roman" w:hAnsi="Times New Roman"/>
          <w:color w:val="000000" w:themeColor="text1"/>
          <w:sz w:val="24"/>
          <w:szCs w:val="24"/>
        </w:rPr>
        <w:t>DP</w:t>
      </w:r>
      <w:r w:rsidR="00E51615" w:rsidRPr="00852E0C">
        <w:rPr>
          <w:rFonts w:ascii="Times New Roman" w:hAnsi="Times New Roman"/>
          <w:color w:val="000000" w:themeColor="text1"/>
          <w:sz w:val="24"/>
          <w:szCs w:val="24"/>
        </w:rPr>
        <w:t xml:space="preserve"> </w:t>
      </w:r>
      <w:r w:rsidRPr="00852E0C">
        <w:rPr>
          <w:rFonts w:ascii="Times New Roman" w:hAnsi="Times New Roman"/>
          <w:color w:val="000000" w:themeColor="text1"/>
          <w:sz w:val="24"/>
          <w:szCs w:val="24"/>
        </w:rPr>
        <w:t>snieguma ietvara izveidei.</w:t>
      </w:r>
    </w:p>
    <w:p w14:paraId="0241A8F1" w14:textId="2743073C" w:rsidR="0005142E" w:rsidRPr="00852E0C" w:rsidRDefault="00472C1F" w:rsidP="00852E0C">
      <w:pPr>
        <w:pStyle w:val="1lmenis"/>
        <w:spacing w:before="120" w:after="120" w:line="276" w:lineRule="auto"/>
        <w:ind w:left="709"/>
        <w:rPr>
          <w:rFonts w:ascii="Times New Roman" w:hAnsi="Times New Roman"/>
          <w:color w:val="000000" w:themeColor="text1"/>
          <w:sz w:val="24"/>
          <w:szCs w:val="24"/>
          <w:lang w:val="lv-LV"/>
        </w:rPr>
      </w:pPr>
      <w:bookmarkStart w:id="53" w:name="_Toc356465240"/>
      <w:r w:rsidRPr="00852E0C">
        <w:rPr>
          <w:rFonts w:ascii="Times New Roman" w:hAnsi="Times New Roman"/>
          <w:color w:val="000000" w:themeColor="text1"/>
          <w:sz w:val="24"/>
          <w:szCs w:val="24"/>
          <w:lang w:val="lv-LV"/>
        </w:rPr>
        <w:lastRenderedPageBreak/>
        <w:t xml:space="preserve">Jaunais </w:t>
      </w:r>
      <w:r w:rsidR="008C7FDB" w:rsidRPr="00852E0C">
        <w:rPr>
          <w:rFonts w:ascii="Times New Roman" w:hAnsi="Times New Roman"/>
          <w:color w:val="000000" w:themeColor="text1"/>
          <w:sz w:val="24"/>
          <w:szCs w:val="24"/>
          <w:lang w:val="lv-LV"/>
        </w:rPr>
        <w:t xml:space="preserve">ES fondu 2014.-2020.gada </w:t>
      </w:r>
      <w:r w:rsidRPr="00852E0C">
        <w:rPr>
          <w:rFonts w:ascii="Times New Roman" w:hAnsi="Times New Roman"/>
          <w:color w:val="000000" w:themeColor="text1"/>
          <w:sz w:val="24"/>
          <w:szCs w:val="24"/>
          <w:lang w:val="lv-LV"/>
        </w:rPr>
        <w:t>plānošanas periods</w:t>
      </w:r>
      <w:bookmarkEnd w:id="51"/>
      <w:r w:rsidR="0081086F" w:rsidRPr="00852E0C">
        <w:rPr>
          <w:rStyle w:val="FootnoteReference"/>
          <w:rFonts w:ascii="Times New Roman" w:hAnsi="Times New Roman"/>
          <w:color w:val="000000" w:themeColor="text1"/>
          <w:sz w:val="24"/>
          <w:szCs w:val="24"/>
          <w:lang w:val="lv-LV"/>
        </w:rPr>
        <w:footnoteReference w:id="51"/>
      </w:r>
      <w:bookmarkEnd w:id="53"/>
    </w:p>
    <w:p w14:paraId="0068732C" w14:textId="1B378B7A" w:rsidR="00EE0BAF" w:rsidRPr="00852E0C" w:rsidRDefault="00EE0BAF" w:rsidP="00852E0C">
      <w:pPr>
        <w:spacing w:line="276" w:lineRule="auto"/>
        <w:rPr>
          <w:bCs/>
          <w:color w:val="000000" w:themeColor="text1"/>
          <w:szCs w:val="24"/>
        </w:rPr>
      </w:pPr>
      <w:r w:rsidRPr="00852E0C">
        <w:rPr>
          <w:bCs/>
          <w:color w:val="000000" w:themeColor="text1"/>
          <w:szCs w:val="24"/>
        </w:rPr>
        <w:t>FM turpina pārstāvēt Latvijas intereses sarunās par Kohēzijas politikas regulējumu pēc 2013.gada, kā arī nodrošina dalību ieviešanas un d</w:t>
      </w:r>
      <w:r w:rsidR="00B04285" w:rsidRPr="00852E0C">
        <w:rPr>
          <w:bCs/>
          <w:color w:val="000000" w:themeColor="text1"/>
          <w:szCs w:val="24"/>
        </w:rPr>
        <w:t>eleģēto aktu ekspertu sanāksmēs.</w:t>
      </w:r>
    </w:p>
    <w:p w14:paraId="421714B5" w14:textId="77777777" w:rsidR="00EE0BAF" w:rsidRPr="00852E0C" w:rsidRDefault="00EE0BAF" w:rsidP="00852E0C">
      <w:pPr>
        <w:spacing w:line="276" w:lineRule="auto"/>
        <w:rPr>
          <w:bCs/>
          <w:color w:val="000000" w:themeColor="text1"/>
          <w:szCs w:val="24"/>
        </w:rPr>
      </w:pPr>
      <w:r w:rsidRPr="00852E0C">
        <w:rPr>
          <w:bCs/>
          <w:color w:val="000000" w:themeColor="text1"/>
          <w:szCs w:val="24"/>
        </w:rPr>
        <w:t xml:space="preserve">Pārskata periodā ir izskatīti nozaru ministriju iesūtītie piedāvājumi nākamajam ES fondu plānošanas periodam 2014.–2020.gadam, organizētas tikšanās ar ministriju pārstāvjiem, klāt pieaicinot PKC un sociālos partnerus. Līdz pārskata perioda beigām ir notikušas arī vairākas neformālās sarunas ar EK pārstāvjiem, tai skaitā, par tematiskiem jautājumiem. </w:t>
      </w:r>
    </w:p>
    <w:p w14:paraId="0A8246AA" w14:textId="77777777" w:rsidR="00EE0BAF" w:rsidRPr="00852E0C" w:rsidRDefault="00EE0BAF" w:rsidP="00852E0C">
      <w:pPr>
        <w:spacing w:line="276" w:lineRule="auto"/>
        <w:rPr>
          <w:bCs/>
          <w:color w:val="000000" w:themeColor="text1"/>
          <w:szCs w:val="24"/>
        </w:rPr>
      </w:pPr>
      <w:r w:rsidRPr="00852E0C">
        <w:rPr>
          <w:bCs/>
          <w:color w:val="000000" w:themeColor="text1"/>
          <w:szCs w:val="24"/>
        </w:rPr>
        <w:t>Nacionālā līmenī VI veic aktivitātes ES fondu plānošanas dokumentu sagatavošanai. Atbilstoši saskaņotajam indikatīvajam laika grafikam, līdz 2013.gada vidum turpinās 2012.gada decembrī uzsāktas neformālās sarunas ar EK par plānošanas dokumentu izstrādi.</w:t>
      </w:r>
    </w:p>
    <w:p w14:paraId="0D1258B2" w14:textId="7C9E716C" w:rsidR="00D271C7" w:rsidRPr="00852E0C" w:rsidRDefault="00EE0BAF" w:rsidP="00852E0C">
      <w:pPr>
        <w:spacing w:line="276" w:lineRule="auto"/>
        <w:rPr>
          <w:bCs/>
          <w:color w:val="000000" w:themeColor="text1"/>
          <w:szCs w:val="24"/>
        </w:rPr>
      </w:pPr>
      <w:r w:rsidRPr="00852E0C">
        <w:rPr>
          <w:bCs/>
          <w:color w:val="000000" w:themeColor="text1"/>
          <w:szCs w:val="24"/>
        </w:rPr>
        <w:t xml:space="preserve">Kā minēts </w:t>
      </w:r>
      <w:r w:rsidR="007569F2" w:rsidRPr="00852E0C">
        <w:rPr>
          <w:bCs/>
          <w:color w:val="000000" w:themeColor="text1"/>
          <w:szCs w:val="24"/>
        </w:rPr>
        <w:t>ziņojuma</w:t>
      </w:r>
      <w:r w:rsidRPr="00852E0C">
        <w:rPr>
          <w:bCs/>
          <w:color w:val="000000" w:themeColor="text1"/>
          <w:szCs w:val="24"/>
        </w:rPr>
        <w:t xml:space="preserve"> </w:t>
      </w:r>
      <w:r w:rsidRPr="00852E0C">
        <w:rPr>
          <w:bCs/>
          <w:color w:val="000000" w:themeColor="text1"/>
          <w:szCs w:val="24"/>
          <w:u w:val="single"/>
        </w:rPr>
        <w:t xml:space="preserve">sadaļā </w:t>
      </w:r>
      <w:r w:rsidR="00A37652" w:rsidRPr="00852E0C">
        <w:rPr>
          <w:bCs/>
          <w:color w:val="000000" w:themeColor="text1"/>
          <w:szCs w:val="24"/>
          <w:u w:val="single"/>
        </w:rPr>
        <w:t xml:space="preserve">5. </w:t>
      </w:r>
      <w:r w:rsidRPr="00852E0C">
        <w:rPr>
          <w:bCs/>
          <w:color w:val="000000" w:themeColor="text1"/>
          <w:szCs w:val="24"/>
          <w:u w:val="single"/>
        </w:rPr>
        <w:t>„E</w:t>
      </w:r>
      <w:r w:rsidR="007569F2" w:rsidRPr="00852E0C">
        <w:rPr>
          <w:bCs/>
          <w:color w:val="000000" w:themeColor="text1"/>
          <w:szCs w:val="24"/>
          <w:u w:val="single"/>
        </w:rPr>
        <w:t>S fondu izvērtēšanas jautājumi”</w:t>
      </w:r>
      <w:r w:rsidRPr="00852E0C">
        <w:rPr>
          <w:bCs/>
          <w:color w:val="000000" w:themeColor="text1"/>
          <w:szCs w:val="24"/>
        </w:rPr>
        <w:t xml:space="preserve">, tad 2013. gada martā uzsākts </w:t>
      </w:r>
      <w:proofErr w:type="spellStart"/>
      <w:r w:rsidRPr="00852E0C">
        <w:rPr>
          <w:bCs/>
          <w:color w:val="000000" w:themeColor="text1"/>
          <w:szCs w:val="24"/>
        </w:rPr>
        <w:t>ex-ante</w:t>
      </w:r>
      <w:proofErr w:type="spellEnd"/>
      <w:r w:rsidRPr="00852E0C">
        <w:rPr>
          <w:bCs/>
          <w:color w:val="000000" w:themeColor="text1"/>
          <w:szCs w:val="24"/>
        </w:rPr>
        <w:t xml:space="preserve"> izvērtēšanas process, ku</w:t>
      </w:r>
      <w:r w:rsidR="007569F2" w:rsidRPr="00852E0C">
        <w:rPr>
          <w:bCs/>
          <w:color w:val="000000" w:themeColor="text1"/>
          <w:szCs w:val="24"/>
        </w:rPr>
        <w:t xml:space="preserve">ram paredzēta būtiska loma 2014. – </w:t>
      </w:r>
      <w:r w:rsidRPr="00852E0C">
        <w:rPr>
          <w:bCs/>
          <w:color w:val="000000" w:themeColor="text1"/>
          <w:szCs w:val="24"/>
        </w:rPr>
        <w:t>202</w:t>
      </w:r>
      <w:r w:rsidR="007569F2" w:rsidRPr="00852E0C">
        <w:rPr>
          <w:bCs/>
          <w:color w:val="000000" w:themeColor="text1"/>
          <w:szCs w:val="24"/>
        </w:rPr>
        <w:t>0. gada plānošanas perioda ES Kohēzijas politikas</w:t>
      </w:r>
      <w:r w:rsidRPr="00852E0C">
        <w:rPr>
          <w:bCs/>
          <w:color w:val="000000" w:themeColor="text1"/>
          <w:szCs w:val="24"/>
        </w:rPr>
        <w:t xml:space="preserve"> fondu</w:t>
      </w:r>
      <w:r w:rsidRPr="00852E0C">
        <w:rPr>
          <w:color w:val="000000" w:themeColor="text1"/>
          <w:szCs w:val="24"/>
          <w:vertAlign w:val="superscript"/>
        </w:rPr>
        <w:footnoteReference w:id="52"/>
      </w:r>
      <w:r w:rsidRPr="00852E0C">
        <w:rPr>
          <w:bCs/>
          <w:color w:val="000000" w:themeColor="text1"/>
          <w:szCs w:val="24"/>
        </w:rPr>
        <w:t xml:space="preserve"> </w:t>
      </w:r>
      <w:r w:rsidR="008E73CB" w:rsidRPr="00852E0C">
        <w:rPr>
          <w:bCs/>
          <w:color w:val="000000" w:themeColor="text1"/>
          <w:szCs w:val="24"/>
        </w:rPr>
        <w:t>DP</w:t>
      </w:r>
      <w:r w:rsidRPr="00852E0C">
        <w:rPr>
          <w:bCs/>
          <w:color w:val="000000" w:themeColor="text1"/>
          <w:szCs w:val="24"/>
        </w:rPr>
        <w:t xml:space="preserve"> kvalitātes nodrošināšanā.</w:t>
      </w:r>
    </w:p>
    <w:p w14:paraId="080DD1EE" w14:textId="77777777" w:rsidR="00EE0BAF" w:rsidRPr="00852E0C" w:rsidRDefault="00EE0BAF" w:rsidP="00852E0C">
      <w:pPr>
        <w:pStyle w:val="ListParagraph"/>
        <w:spacing w:after="120"/>
        <w:ind w:left="0"/>
        <w:contextualSpacing w:val="0"/>
        <w:jc w:val="both"/>
        <w:rPr>
          <w:rFonts w:ascii="Times New Roman" w:hAnsi="Times New Roman"/>
          <w:b/>
          <w:bCs/>
          <w:color w:val="000000" w:themeColor="text1"/>
          <w:sz w:val="24"/>
          <w:szCs w:val="24"/>
        </w:rPr>
      </w:pPr>
      <w:r w:rsidRPr="00852E0C">
        <w:rPr>
          <w:rFonts w:ascii="Times New Roman" w:hAnsi="Times New Roman"/>
          <w:b/>
          <w:bCs/>
          <w:color w:val="000000" w:themeColor="text1"/>
          <w:sz w:val="24"/>
          <w:szCs w:val="24"/>
        </w:rPr>
        <w:t>Galvenās sanāksmes un tikšanās:</w:t>
      </w:r>
    </w:p>
    <w:p w14:paraId="623F4111" w14:textId="77777777" w:rsidR="00EE0BAF" w:rsidRPr="00852E0C" w:rsidRDefault="00EE0BAF" w:rsidP="00852E0C">
      <w:pPr>
        <w:pStyle w:val="ListParagraph"/>
        <w:numPr>
          <w:ilvl w:val="0"/>
          <w:numId w:val="48"/>
        </w:numPr>
        <w:spacing w:after="120"/>
        <w:ind w:left="0" w:firstLine="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14.–15.februārī Briselē notika neformālās tematiskās sarunas ar EK pārstāvjiem par energoefektivitātes, vides un klimata pārmaiņu jautājumiem.</w:t>
      </w:r>
    </w:p>
    <w:p w14:paraId="2FB001BE" w14:textId="77777777" w:rsidR="00EE0BAF" w:rsidRPr="00852E0C" w:rsidRDefault="00EE0BAF" w:rsidP="00852E0C">
      <w:pPr>
        <w:pStyle w:val="ListParagraph"/>
        <w:numPr>
          <w:ilvl w:val="0"/>
          <w:numId w:val="48"/>
        </w:numPr>
        <w:spacing w:after="120"/>
        <w:ind w:left="0" w:firstLine="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28.februārī–1.martā Rīgā notika neformālās tematiskās sarunas ar EK pārstāvjiem par nodarbinātības, sociālās iekļaušanas un nabadzības riska mazināšanas, kā arī izglītības jautājumiem.</w:t>
      </w:r>
    </w:p>
    <w:p w14:paraId="0E3FA454" w14:textId="7AC731A5" w:rsidR="00EE0BAF" w:rsidRPr="00852E0C" w:rsidRDefault="00E05A20" w:rsidP="00852E0C">
      <w:pPr>
        <w:pStyle w:val="ListParagraph"/>
        <w:numPr>
          <w:ilvl w:val="0"/>
          <w:numId w:val="48"/>
        </w:numPr>
        <w:spacing w:after="120"/>
        <w:ind w:left="0" w:firstLine="0"/>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14. – </w:t>
      </w:r>
      <w:r w:rsidR="00EE0BAF" w:rsidRPr="00852E0C">
        <w:rPr>
          <w:rFonts w:ascii="Times New Roman" w:hAnsi="Times New Roman"/>
          <w:bCs/>
          <w:color w:val="000000" w:themeColor="text1"/>
          <w:sz w:val="24"/>
          <w:szCs w:val="24"/>
        </w:rPr>
        <w:t xml:space="preserve">15.martā Briselē notika neformālās tematiskās sarunas ar EK par informācijas komunikāciju tehnoloģijas, integrētajām teritoriālajām investīcijām un </w:t>
      </w:r>
      <w:r w:rsidR="00012827">
        <w:rPr>
          <w:rFonts w:ascii="Times New Roman" w:hAnsi="Times New Roman"/>
          <w:bCs/>
          <w:color w:val="000000" w:themeColor="text1"/>
          <w:sz w:val="24"/>
          <w:szCs w:val="24"/>
        </w:rPr>
        <w:t>ZM</w:t>
      </w:r>
      <w:r w:rsidR="00EE0BAF" w:rsidRPr="00852E0C">
        <w:rPr>
          <w:rFonts w:ascii="Times New Roman" w:hAnsi="Times New Roman"/>
          <w:bCs/>
          <w:color w:val="000000" w:themeColor="text1"/>
          <w:sz w:val="24"/>
          <w:szCs w:val="24"/>
        </w:rPr>
        <w:t xml:space="preserve"> </w:t>
      </w:r>
      <w:proofErr w:type="spellStart"/>
      <w:r w:rsidR="00EE0BAF" w:rsidRPr="00852E0C">
        <w:rPr>
          <w:rFonts w:ascii="Times New Roman" w:hAnsi="Times New Roman"/>
          <w:bCs/>
          <w:color w:val="000000" w:themeColor="text1"/>
          <w:sz w:val="24"/>
          <w:szCs w:val="24"/>
        </w:rPr>
        <w:t>pārziņā</w:t>
      </w:r>
      <w:proofErr w:type="spellEnd"/>
      <w:r w:rsidR="00EE0BAF" w:rsidRPr="00852E0C">
        <w:rPr>
          <w:rFonts w:ascii="Times New Roman" w:hAnsi="Times New Roman"/>
          <w:bCs/>
          <w:color w:val="000000" w:themeColor="text1"/>
          <w:sz w:val="24"/>
          <w:szCs w:val="24"/>
        </w:rPr>
        <w:t xml:space="preserve"> esošo </w:t>
      </w:r>
      <w:proofErr w:type="spellStart"/>
      <w:r w:rsidR="000043EB" w:rsidRPr="00852E0C">
        <w:rPr>
          <w:rFonts w:ascii="Times New Roman" w:hAnsi="Times New Roman"/>
          <w:bCs/>
          <w:i/>
          <w:color w:val="000000" w:themeColor="text1"/>
          <w:sz w:val="24"/>
          <w:szCs w:val="24"/>
        </w:rPr>
        <w:t>Liaison</w:t>
      </w:r>
      <w:proofErr w:type="spellEnd"/>
      <w:r w:rsidR="000043EB" w:rsidRPr="00852E0C">
        <w:rPr>
          <w:rFonts w:ascii="Times New Roman" w:hAnsi="Times New Roman"/>
          <w:bCs/>
          <w:i/>
          <w:color w:val="000000" w:themeColor="text1"/>
          <w:sz w:val="24"/>
          <w:szCs w:val="24"/>
        </w:rPr>
        <w:t xml:space="preserve"> </w:t>
      </w:r>
      <w:proofErr w:type="spellStart"/>
      <w:r w:rsidR="000043EB" w:rsidRPr="00852E0C">
        <w:rPr>
          <w:rFonts w:ascii="Times New Roman" w:hAnsi="Times New Roman"/>
          <w:bCs/>
          <w:i/>
          <w:color w:val="000000" w:themeColor="text1"/>
          <w:sz w:val="24"/>
          <w:szCs w:val="24"/>
        </w:rPr>
        <w:t>entre</w:t>
      </w:r>
      <w:proofErr w:type="spellEnd"/>
      <w:r w:rsidR="000043EB" w:rsidRPr="00852E0C">
        <w:rPr>
          <w:rFonts w:ascii="Times New Roman" w:hAnsi="Times New Roman"/>
          <w:bCs/>
          <w:i/>
          <w:color w:val="000000" w:themeColor="text1"/>
          <w:sz w:val="24"/>
          <w:szCs w:val="24"/>
        </w:rPr>
        <w:t xml:space="preserve"> </w:t>
      </w:r>
      <w:proofErr w:type="spellStart"/>
      <w:r w:rsidR="000043EB" w:rsidRPr="00852E0C">
        <w:rPr>
          <w:rFonts w:ascii="Times New Roman" w:hAnsi="Times New Roman"/>
          <w:bCs/>
          <w:i/>
          <w:color w:val="000000" w:themeColor="text1"/>
          <w:sz w:val="24"/>
          <w:szCs w:val="24"/>
        </w:rPr>
        <w:t>actions</w:t>
      </w:r>
      <w:proofErr w:type="spellEnd"/>
      <w:r w:rsidR="000043EB" w:rsidRPr="00852E0C">
        <w:rPr>
          <w:rFonts w:ascii="Times New Roman" w:hAnsi="Times New Roman"/>
          <w:bCs/>
          <w:i/>
          <w:color w:val="000000" w:themeColor="text1"/>
          <w:sz w:val="24"/>
          <w:szCs w:val="24"/>
        </w:rPr>
        <w:t xml:space="preserve"> </w:t>
      </w:r>
      <w:proofErr w:type="spellStart"/>
      <w:r w:rsidR="000043EB" w:rsidRPr="00852E0C">
        <w:rPr>
          <w:rFonts w:ascii="Times New Roman" w:hAnsi="Times New Roman"/>
          <w:bCs/>
          <w:i/>
          <w:color w:val="000000" w:themeColor="text1"/>
          <w:sz w:val="24"/>
          <w:szCs w:val="24"/>
        </w:rPr>
        <w:t>de</w:t>
      </w:r>
      <w:proofErr w:type="spellEnd"/>
      <w:r w:rsidR="000043EB" w:rsidRPr="00852E0C">
        <w:rPr>
          <w:rFonts w:ascii="Times New Roman" w:hAnsi="Times New Roman"/>
          <w:bCs/>
          <w:i/>
          <w:color w:val="000000" w:themeColor="text1"/>
          <w:sz w:val="24"/>
          <w:szCs w:val="24"/>
        </w:rPr>
        <w:t xml:space="preserve"> </w:t>
      </w:r>
      <w:proofErr w:type="spellStart"/>
      <w:r w:rsidR="000043EB" w:rsidRPr="00852E0C">
        <w:rPr>
          <w:rFonts w:ascii="Times New Roman" w:hAnsi="Times New Roman"/>
          <w:bCs/>
          <w:i/>
          <w:color w:val="000000" w:themeColor="text1"/>
          <w:sz w:val="24"/>
          <w:szCs w:val="24"/>
        </w:rPr>
        <w:t>de</w:t>
      </w:r>
      <w:r w:rsidR="00EE0BAF" w:rsidRPr="00852E0C">
        <w:rPr>
          <w:rFonts w:ascii="Times New Roman" w:hAnsi="Times New Roman"/>
          <w:bCs/>
          <w:i/>
          <w:color w:val="000000" w:themeColor="text1"/>
          <w:sz w:val="24"/>
          <w:szCs w:val="24"/>
        </w:rPr>
        <w:t>veloppement</w:t>
      </w:r>
      <w:proofErr w:type="spellEnd"/>
      <w:r w:rsidR="00EE0BAF" w:rsidRPr="00852E0C">
        <w:rPr>
          <w:rFonts w:ascii="Times New Roman" w:hAnsi="Times New Roman"/>
          <w:bCs/>
          <w:i/>
          <w:color w:val="000000" w:themeColor="text1"/>
          <w:sz w:val="24"/>
          <w:szCs w:val="24"/>
        </w:rPr>
        <w:t xml:space="preserve"> </w:t>
      </w:r>
      <w:proofErr w:type="spellStart"/>
      <w:r w:rsidR="00EE0BAF" w:rsidRPr="00852E0C">
        <w:rPr>
          <w:rFonts w:ascii="Times New Roman" w:hAnsi="Times New Roman"/>
          <w:bCs/>
          <w:i/>
          <w:color w:val="000000" w:themeColor="text1"/>
          <w:sz w:val="24"/>
          <w:szCs w:val="24"/>
        </w:rPr>
        <w:t>rural</w:t>
      </w:r>
      <w:proofErr w:type="spellEnd"/>
      <w:r w:rsidR="00EE0BAF" w:rsidRPr="00852E0C">
        <w:rPr>
          <w:rFonts w:ascii="Times New Roman" w:hAnsi="Times New Roman"/>
          <w:bCs/>
          <w:color w:val="000000" w:themeColor="text1"/>
          <w:sz w:val="24"/>
          <w:szCs w:val="24"/>
        </w:rPr>
        <w:t xml:space="preserve"> (LEADER) programmu.</w:t>
      </w:r>
    </w:p>
    <w:p w14:paraId="04A077CD" w14:textId="38FB747B" w:rsidR="00D271C7" w:rsidRPr="00852E0C" w:rsidRDefault="00EE0BAF" w:rsidP="00852E0C">
      <w:pPr>
        <w:pStyle w:val="ListParagraph"/>
        <w:numPr>
          <w:ilvl w:val="0"/>
          <w:numId w:val="48"/>
        </w:numPr>
        <w:spacing w:after="120"/>
        <w:ind w:left="0" w:firstLine="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27.martā Briselē notika augsta līmeņa tikšanās ar EK pārstāvjiem, kuras laikā tika pārrunāti galvenie principi nākamā ES fondu plānošanas perioda 2014.–2020.gadam ieviešanai, optimālais investīciju apjoms un līdzsvars starp ieguldījumu prioritātēm, kā arī nozaru stratēģiskie redzējumi, īpaši uzsverot</w:t>
      </w:r>
      <w:r w:rsidR="000E0633">
        <w:rPr>
          <w:rFonts w:ascii="Times New Roman" w:hAnsi="Times New Roman"/>
          <w:bCs/>
          <w:color w:val="000000" w:themeColor="text1"/>
          <w:sz w:val="24"/>
          <w:szCs w:val="24"/>
        </w:rPr>
        <w:t xml:space="preserve"> </w:t>
      </w:r>
      <w:r w:rsidRPr="00852E0C">
        <w:rPr>
          <w:rFonts w:ascii="Times New Roman" w:hAnsi="Times New Roman"/>
          <w:bCs/>
          <w:color w:val="000000" w:themeColor="text1"/>
          <w:sz w:val="24"/>
          <w:szCs w:val="24"/>
        </w:rPr>
        <w:t>transporta pamatnostādnes un Vied</w:t>
      </w:r>
      <w:r w:rsidR="000043EB" w:rsidRPr="00852E0C">
        <w:rPr>
          <w:rFonts w:ascii="Times New Roman" w:hAnsi="Times New Roman"/>
          <w:bCs/>
          <w:color w:val="000000" w:themeColor="text1"/>
          <w:sz w:val="24"/>
          <w:szCs w:val="24"/>
        </w:rPr>
        <w:t xml:space="preserve">as specializācijas stratēģiju. </w:t>
      </w:r>
      <w:r w:rsidRPr="00852E0C">
        <w:rPr>
          <w:rFonts w:ascii="Times New Roman" w:hAnsi="Times New Roman"/>
          <w:bCs/>
          <w:color w:val="000000" w:themeColor="text1"/>
          <w:sz w:val="24"/>
          <w:szCs w:val="24"/>
        </w:rPr>
        <w:t>Sanāksmes laikā tika pārrunāti arī jautājumi par ilgtspējīgu pilsētvides attīstību un institucionālo ietvaru.</w:t>
      </w:r>
    </w:p>
    <w:p w14:paraId="7D6FCCD5" w14:textId="3B74577B" w:rsidR="00B91DD0" w:rsidRPr="00852E0C" w:rsidRDefault="00EE0BAF" w:rsidP="00852E0C">
      <w:pPr>
        <w:spacing w:line="276" w:lineRule="auto"/>
        <w:rPr>
          <w:bCs/>
          <w:color w:val="000000" w:themeColor="text1"/>
          <w:szCs w:val="24"/>
        </w:rPr>
      </w:pPr>
      <w:r w:rsidRPr="00852E0C">
        <w:rPr>
          <w:bCs/>
          <w:color w:val="000000" w:themeColor="text1"/>
          <w:szCs w:val="24"/>
        </w:rPr>
        <w:t xml:space="preserve">Nākamajā ceturksnī tiks strādāts, lai sagatavotu ES fondu plānošanas dokumentu – Partnerības līgumu un </w:t>
      </w:r>
      <w:r w:rsidR="008E73CB" w:rsidRPr="00852E0C">
        <w:rPr>
          <w:bCs/>
          <w:color w:val="000000" w:themeColor="text1"/>
          <w:szCs w:val="24"/>
        </w:rPr>
        <w:t>DP</w:t>
      </w:r>
      <w:r w:rsidRPr="00852E0C">
        <w:rPr>
          <w:bCs/>
          <w:color w:val="000000" w:themeColor="text1"/>
          <w:szCs w:val="24"/>
        </w:rPr>
        <w:t xml:space="preserve"> projektus, ar mērķi 2013.gada maijā organizēt sabiedriskās apspriešanas un iesniegt plānošanas dokumentu projektus EK komentāru sniegšanai. Neformālais sarunu process nepieciešams, lai nodrošinātu pēc iespējas veiksmīgāku plānošanas dokumentu oficiālo apstiprināšanu, kad tie 2013.jūlijā tiks neoficiāli iesniegti EK komentāru sniegšanai.</w:t>
      </w:r>
    </w:p>
    <w:p w14:paraId="3117D00A" w14:textId="77777777" w:rsidR="00BE0F06" w:rsidRDefault="00BE0F06" w:rsidP="00852E0C">
      <w:pPr>
        <w:pStyle w:val="ListParagraph"/>
        <w:spacing w:after="120"/>
        <w:ind w:left="0"/>
        <w:contextualSpacing w:val="0"/>
        <w:jc w:val="both"/>
        <w:rPr>
          <w:rFonts w:ascii="Times New Roman" w:hAnsi="Times New Roman"/>
          <w:b/>
          <w:bCs/>
          <w:color w:val="000000" w:themeColor="text1"/>
          <w:sz w:val="24"/>
          <w:szCs w:val="24"/>
        </w:rPr>
      </w:pPr>
    </w:p>
    <w:p w14:paraId="56E2316E" w14:textId="6E4FE07E" w:rsidR="00D271C7" w:rsidRPr="00852E0C" w:rsidRDefault="0027624C" w:rsidP="00852E0C">
      <w:pPr>
        <w:pStyle w:val="ListParagraph"/>
        <w:spacing w:after="120"/>
        <w:ind w:left="0"/>
        <w:contextualSpacing w:val="0"/>
        <w:jc w:val="both"/>
        <w:rPr>
          <w:rFonts w:ascii="Times New Roman" w:hAnsi="Times New Roman"/>
          <w:b/>
          <w:bCs/>
          <w:color w:val="000000" w:themeColor="text1"/>
          <w:sz w:val="24"/>
          <w:szCs w:val="24"/>
        </w:rPr>
      </w:pPr>
      <w:r w:rsidRPr="00852E0C">
        <w:rPr>
          <w:rFonts w:ascii="Times New Roman" w:hAnsi="Times New Roman"/>
          <w:b/>
          <w:bCs/>
          <w:color w:val="000000" w:themeColor="text1"/>
          <w:sz w:val="24"/>
          <w:szCs w:val="24"/>
        </w:rPr>
        <w:lastRenderedPageBreak/>
        <w:t xml:space="preserve">Nacionālajā līmenī </w:t>
      </w:r>
      <w:r w:rsidR="00FC6180" w:rsidRPr="00852E0C">
        <w:rPr>
          <w:rFonts w:ascii="Times New Roman" w:hAnsi="Times New Roman"/>
          <w:b/>
          <w:bCs/>
          <w:color w:val="000000" w:themeColor="text1"/>
          <w:sz w:val="24"/>
          <w:szCs w:val="24"/>
        </w:rPr>
        <w:t>2013.gada 2.ceturksnī ir</w:t>
      </w:r>
      <w:r w:rsidRPr="00852E0C">
        <w:rPr>
          <w:rFonts w:ascii="Times New Roman" w:hAnsi="Times New Roman"/>
          <w:b/>
          <w:bCs/>
          <w:color w:val="000000" w:themeColor="text1"/>
          <w:sz w:val="24"/>
          <w:szCs w:val="24"/>
        </w:rPr>
        <w:t xml:space="preserve"> šādas tikšanās un pasākumi:</w:t>
      </w:r>
    </w:p>
    <w:p w14:paraId="22420CCA" w14:textId="77777777" w:rsidR="00CF0392" w:rsidRPr="00852E0C" w:rsidRDefault="00CF0392" w:rsidP="00852E0C">
      <w:pPr>
        <w:pStyle w:val="ListParagraph"/>
        <w:numPr>
          <w:ilvl w:val="0"/>
          <w:numId w:val="34"/>
        </w:numPr>
        <w:spacing w:after="120"/>
        <w:ind w:left="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 xml:space="preserve">Sanāksmes ar nozaru ministrijām un PKC par neatrisinātajiem </w:t>
      </w:r>
      <w:proofErr w:type="spellStart"/>
      <w:r w:rsidRPr="00852E0C">
        <w:rPr>
          <w:rFonts w:ascii="Times New Roman" w:hAnsi="Times New Roman"/>
          <w:bCs/>
          <w:color w:val="000000" w:themeColor="text1"/>
          <w:sz w:val="24"/>
          <w:szCs w:val="24"/>
        </w:rPr>
        <w:t>problēmjautājumiem</w:t>
      </w:r>
      <w:proofErr w:type="spellEnd"/>
      <w:r w:rsidRPr="00852E0C">
        <w:rPr>
          <w:rFonts w:ascii="Times New Roman" w:hAnsi="Times New Roman"/>
          <w:bCs/>
          <w:color w:val="000000" w:themeColor="text1"/>
          <w:sz w:val="24"/>
          <w:szCs w:val="24"/>
        </w:rPr>
        <w:t xml:space="preserve"> atbilstoši neformālo tematisko sarunu laikā ar EK pārstāvjiem izrunātajam.</w:t>
      </w:r>
    </w:p>
    <w:p w14:paraId="5AF164BE" w14:textId="09643970" w:rsidR="00CF0392" w:rsidRPr="00852E0C" w:rsidRDefault="00CF0392" w:rsidP="00852E0C">
      <w:pPr>
        <w:pStyle w:val="ListParagraph"/>
        <w:numPr>
          <w:ilvl w:val="0"/>
          <w:numId w:val="34"/>
        </w:numPr>
        <w:spacing w:after="120"/>
        <w:ind w:left="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 xml:space="preserve">10.–11.aprīlī Rīgā </w:t>
      </w:r>
      <w:r w:rsidR="00FC6180" w:rsidRPr="00852E0C">
        <w:rPr>
          <w:rFonts w:ascii="Times New Roman" w:hAnsi="Times New Roman"/>
          <w:bCs/>
          <w:color w:val="000000" w:themeColor="text1"/>
          <w:sz w:val="24"/>
          <w:szCs w:val="24"/>
        </w:rPr>
        <w:t xml:space="preserve">notika </w:t>
      </w:r>
      <w:r w:rsidRPr="00852E0C">
        <w:rPr>
          <w:rFonts w:ascii="Times New Roman" w:hAnsi="Times New Roman"/>
          <w:bCs/>
          <w:color w:val="000000" w:themeColor="text1"/>
          <w:sz w:val="24"/>
          <w:szCs w:val="24"/>
        </w:rPr>
        <w:t>ceturtās neformālās tematiskās sarunas ar EK</w:t>
      </w:r>
      <w:r w:rsidRPr="00852E0C" w:rsidDel="00DE74F5">
        <w:rPr>
          <w:rFonts w:ascii="Times New Roman" w:hAnsi="Times New Roman"/>
          <w:bCs/>
          <w:color w:val="000000" w:themeColor="text1"/>
          <w:sz w:val="24"/>
          <w:szCs w:val="24"/>
        </w:rPr>
        <w:t xml:space="preserve"> </w:t>
      </w:r>
      <w:r w:rsidRPr="00852E0C">
        <w:rPr>
          <w:rFonts w:ascii="Times New Roman" w:hAnsi="Times New Roman"/>
          <w:bCs/>
          <w:color w:val="000000" w:themeColor="text1"/>
          <w:sz w:val="24"/>
          <w:szCs w:val="24"/>
        </w:rPr>
        <w:t>pārstāvjiem par pētniecības, attīstības, inovācijas, augstākās izglītības, mazo un vidējo uzņēmumu konkurētspējas un administratīvās kapacitātes jautājumiem.</w:t>
      </w:r>
    </w:p>
    <w:p w14:paraId="79B2B22C" w14:textId="3A6FA480" w:rsidR="00CF0392" w:rsidRPr="00852E0C" w:rsidRDefault="00CF0392" w:rsidP="00852E0C">
      <w:pPr>
        <w:pStyle w:val="ListParagraph"/>
        <w:numPr>
          <w:ilvl w:val="0"/>
          <w:numId w:val="34"/>
        </w:numPr>
        <w:spacing w:after="120"/>
        <w:ind w:left="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 xml:space="preserve">25.aprīlī </w:t>
      </w:r>
      <w:r w:rsidR="00FC6180" w:rsidRPr="00852E0C">
        <w:rPr>
          <w:rFonts w:ascii="Times New Roman" w:hAnsi="Times New Roman"/>
          <w:bCs/>
          <w:color w:val="000000" w:themeColor="text1"/>
          <w:sz w:val="24"/>
          <w:szCs w:val="24"/>
        </w:rPr>
        <w:t>notika</w:t>
      </w:r>
      <w:r w:rsidRPr="00852E0C">
        <w:rPr>
          <w:rFonts w:ascii="Times New Roman" w:hAnsi="Times New Roman"/>
          <w:bCs/>
          <w:color w:val="000000" w:themeColor="text1"/>
          <w:sz w:val="24"/>
          <w:szCs w:val="24"/>
        </w:rPr>
        <w:t xml:space="preserve"> Koalīcijas darba grupas sanāksme, kuras laikā ziņot</w:t>
      </w:r>
      <w:r w:rsidR="00FC6180" w:rsidRPr="00852E0C">
        <w:rPr>
          <w:rFonts w:ascii="Times New Roman" w:hAnsi="Times New Roman"/>
          <w:bCs/>
          <w:color w:val="000000" w:themeColor="text1"/>
          <w:sz w:val="24"/>
          <w:szCs w:val="24"/>
        </w:rPr>
        <w:t>s</w:t>
      </w:r>
      <w:r w:rsidRPr="00852E0C">
        <w:rPr>
          <w:rFonts w:ascii="Times New Roman" w:hAnsi="Times New Roman"/>
          <w:bCs/>
          <w:color w:val="000000" w:themeColor="text1"/>
          <w:sz w:val="24"/>
          <w:szCs w:val="24"/>
        </w:rPr>
        <w:t xml:space="preserve"> par piedāvātajām pārdalēm starp ieguldījumu prioritātēm.</w:t>
      </w:r>
    </w:p>
    <w:p w14:paraId="576A4A6D" w14:textId="5B60D996" w:rsidR="00CF0392" w:rsidRPr="00852E0C" w:rsidRDefault="002C2FA3" w:rsidP="00852E0C">
      <w:pPr>
        <w:pStyle w:val="ListParagraph"/>
        <w:numPr>
          <w:ilvl w:val="0"/>
          <w:numId w:val="34"/>
        </w:numPr>
        <w:spacing w:after="120"/>
        <w:ind w:left="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 xml:space="preserve">15. – </w:t>
      </w:r>
      <w:r w:rsidR="00CF0392" w:rsidRPr="00852E0C">
        <w:rPr>
          <w:rFonts w:ascii="Times New Roman" w:hAnsi="Times New Roman"/>
          <w:bCs/>
          <w:color w:val="000000" w:themeColor="text1"/>
          <w:sz w:val="24"/>
          <w:szCs w:val="24"/>
        </w:rPr>
        <w:t>16.maijā Jelgavā plānota Pagaidu Uzraudzības komitejas sanāksme, kuras laikā tiks prezentēti ES fondu plānošanas dokumentu projekti.</w:t>
      </w:r>
    </w:p>
    <w:p w14:paraId="18B4D678" w14:textId="1908EC16" w:rsidR="005F03A9" w:rsidRPr="00852E0C" w:rsidRDefault="00CF0392" w:rsidP="00852E0C">
      <w:pPr>
        <w:pStyle w:val="ListParagraph"/>
        <w:numPr>
          <w:ilvl w:val="0"/>
          <w:numId w:val="34"/>
        </w:numPr>
        <w:spacing w:after="120"/>
        <w:ind w:left="0"/>
        <w:contextualSpacing w:val="0"/>
        <w:jc w:val="both"/>
        <w:rPr>
          <w:rFonts w:ascii="Times New Roman" w:hAnsi="Times New Roman"/>
          <w:bCs/>
          <w:color w:val="000000" w:themeColor="text1"/>
          <w:sz w:val="24"/>
          <w:szCs w:val="24"/>
        </w:rPr>
      </w:pPr>
      <w:r w:rsidRPr="00852E0C">
        <w:rPr>
          <w:rFonts w:ascii="Times New Roman" w:hAnsi="Times New Roman"/>
          <w:bCs/>
          <w:color w:val="000000" w:themeColor="text1"/>
          <w:sz w:val="24"/>
          <w:szCs w:val="24"/>
        </w:rPr>
        <w:t xml:space="preserve">17.maijā Rīgā plānota tikšanās ar EK pārstāvjiem, kuras laikā tiks pārrunāti neatrisinātie tematiskie un horizontālie jautājumi par Partnerības līguma un </w:t>
      </w:r>
      <w:r w:rsidR="008E73CB" w:rsidRPr="00852E0C">
        <w:rPr>
          <w:rFonts w:ascii="Times New Roman" w:hAnsi="Times New Roman"/>
          <w:bCs/>
          <w:color w:val="000000" w:themeColor="text1"/>
          <w:sz w:val="24"/>
          <w:szCs w:val="24"/>
        </w:rPr>
        <w:t>DP</w:t>
      </w:r>
      <w:r w:rsidRPr="00852E0C">
        <w:rPr>
          <w:rFonts w:ascii="Times New Roman" w:hAnsi="Times New Roman"/>
          <w:bCs/>
          <w:color w:val="000000" w:themeColor="text1"/>
          <w:sz w:val="24"/>
          <w:szCs w:val="24"/>
        </w:rPr>
        <w:t xml:space="preserve"> sagatavotajiem projektiem.</w:t>
      </w:r>
    </w:p>
    <w:p w14:paraId="75DEE5E2" w14:textId="4565E04E" w:rsidR="0055577F" w:rsidRPr="00852E0C" w:rsidRDefault="00B14E76" w:rsidP="00852E0C">
      <w:pPr>
        <w:pStyle w:val="1lmenis"/>
        <w:spacing w:before="120" w:after="120" w:line="276" w:lineRule="auto"/>
        <w:ind w:left="709"/>
        <w:rPr>
          <w:rFonts w:ascii="Times New Roman" w:hAnsi="Times New Roman"/>
          <w:color w:val="000000" w:themeColor="text1"/>
          <w:sz w:val="24"/>
          <w:szCs w:val="24"/>
          <w:lang w:val="lv-LV"/>
        </w:rPr>
      </w:pPr>
      <w:r w:rsidRPr="00852E0C">
        <w:rPr>
          <w:rFonts w:ascii="Times New Roman" w:eastAsia="EUAlbertina-Bold-Identity-H" w:hAnsi="Times New Roman"/>
          <w:color w:val="000000" w:themeColor="text1"/>
          <w:sz w:val="24"/>
          <w:szCs w:val="24"/>
          <w:lang w:val="lv-LV" w:eastAsia="lv-LV"/>
        </w:rPr>
        <w:br w:type="page"/>
      </w:r>
      <w:bookmarkStart w:id="54" w:name="_Toc324948900"/>
      <w:bookmarkStart w:id="55" w:name="_Toc356465241"/>
      <w:r w:rsidR="00421725" w:rsidRPr="00852E0C">
        <w:rPr>
          <w:rFonts w:ascii="Times New Roman" w:hAnsi="Times New Roman"/>
          <w:color w:val="000000" w:themeColor="text1"/>
          <w:sz w:val="24"/>
          <w:szCs w:val="24"/>
          <w:lang w:val="lv-LV"/>
        </w:rPr>
        <w:lastRenderedPageBreak/>
        <w:t>Secinājumi</w:t>
      </w:r>
      <w:r w:rsidR="00B60D9A" w:rsidRPr="00852E0C">
        <w:rPr>
          <w:rFonts w:ascii="Times New Roman" w:hAnsi="Times New Roman"/>
          <w:color w:val="000000" w:themeColor="text1"/>
          <w:sz w:val="24"/>
          <w:szCs w:val="24"/>
          <w:lang w:val="lv-LV"/>
        </w:rPr>
        <w:t xml:space="preserve"> </w:t>
      </w:r>
      <w:r w:rsidR="00421725" w:rsidRPr="00852E0C">
        <w:rPr>
          <w:rFonts w:ascii="Times New Roman" w:hAnsi="Times New Roman"/>
          <w:color w:val="000000" w:themeColor="text1"/>
          <w:sz w:val="24"/>
          <w:szCs w:val="24"/>
          <w:lang w:val="lv-LV"/>
        </w:rPr>
        <w:t>un turpmākā rīcība</w:t>
      </w:r>
      <w:bookmarkEnd w:id="48"/>
      <w:bookmarkEnd w:id="54"/>
      <w:bookmarkEnd w:id="55"/>
      <w:r w:rsidR="00B47CDF" w:rsidRPr="00852E0C">
        <w:rPr>
          <w:rFonts w:ascii="Times New Roman" w:hAnsi="Times New Roman"/>
          <w:color w:val="000000" w:themeColor="text1"/>
          <w:sz w:val="24"/>
          <w:szCs w:val="24"/>
          <w:lang w:val="lv-LV"/>
        </w:rPr>
        <w:t xml:space="preserve"> </w:t>
      </w:r>
    </w:p>
    <w:p w14:paraId="07C372FC" w14:textId="576E4266" w:rsidR="0055577F" w:rsidRPr="00852E0C" w:rsidRDefault="0055577F" w:rsidP="00852E0C">
      <w:pPr>
        <w:pStyle w:val="Default"/>
        <w:spacing w:line="276" w:lineRule="auto"/>
        <w:rPr>
          <w:rFonts w:eastAsia="Times New Roman"/>
          <w:color w:val="000000" w:themeColor="text1"/>
          <w:lang w:eastAsia="en-US"/>
        </w:rPr>
      </w:pPr>
      <w:r w:rsidRPr="00852E0C">
        <w:rPr>
          <w:rFonts w:eastAsia="Times New Roman"/>
          <w:color w:val="000000" w:themeColor="text1"/>
          <w:lang w:eastAsia="en-US"/>
        </w:rPr>
        <w:t xml:space="preserve">FM turpinās uzraudzīt </w:t>
      </w:r>
      <w:proofErr w:type="spellStart"/>
      <w:r w:rsidRPr="00852E0C">
        <w:rPr>
          <w:rFonts w:eastAsia="Times New Roman"/>
          <w:color w:val="000000" w:themeColor="text1"/>
          <w:lang w:eastAsia="en-US"/>
        </w:rPr>
        <w:t>virssaistību</w:t>
      </w:r>
      <w:proofErr w:type="spellEnd"/>
      <w:r w:rsidRPr="00852E0C">
        <w:rPr>
          <w:rFonts w:eastAsia="Times New Roman"/>
          <w:color w:val="000000" w:themeColor="text1"/>
          <w:lang w:eastAsia="en-US"/>
        </w:rPr>
        <w:t xml:space="preserve"> izlietojumu un maksājumu mērķu finansējuma saņēmējiem uzraudzību, nepieciešamības gadījumā virzot priekšlikumu </w:t>
      </w:r>
      <w:proofErr w:type="spellStart"/>
      <w:r w:rsidRPr="00852E0C">
        <w:rPr>
          <w:rFonts w:eastAsia="Times New Roman"/>
          <w:color w:val="000000" w:themeColor="text1"/>
          <w:lang w:eastAsia="en-US"/>
        </w:rPr>
        <w:t>virssaistību</w:t>
      </w:r>
      <w:proofErr w:type="spellEnd"/>
      <w:r w:rsidRPr="00852E0C">
        <w:rPr>
          <w:rFonts w:eastAsia="Times New Roman"/>
          <w:color w:val="000000" w:themeColor="text1"/>
          <w:lang w:eastAsia="en-US"/>
        </w:rPr>
        <w:t xml:space="preserve"> samazinājumam MK.</w:t>
      </w:r>
    </w:p>
    <w:p w14:paraId="5C6A54CD" w14:textId="750BF390" w:rsidR="006E609F" w:rsidRPr="00852E0C" w:rsidRDefault="006E609F" w:rsidP="00852E0C">
      <w:pPr>
        <w:spacing w:line="276" w:lineRule="auto"/>
        <w:rPr>
          <w:color w:val="000000" w:themeColor="text1"/>
          <w:szCs w:val="24"/>
        </w:rPr>
      </w:pPr>
      <w:r w:rsidRPr="00852E0C">
        <w:rPr>
          <w:color w:val="000000" w:themeColor="text1"/>
          <w:szCs w:val="24"/>
        </w:rPr>
        <w:t>Galvenie iemesli, kas kavē ES fondu ieviešanu, ir problēmas iepirkumu jomā un līgumu laušana. Turpinās darbs pie iepirkumu procedūru vienkāršošanas, kā arī AI/SI sadarbībā ar IUB turpina organizēt seminārus ES fondu finansējuma saņēmējiem par iepirkumu procedūru normu pareizu pielietošanu un pavaddokumentu sagatavošanu. Līgumu laušanas vai neatbilstību rašanās biežs cēlonis ir nekvalitatīvi sagatavoti projekta dokumenti, projektu ieviešanas laikā konstatētās neatbilstības un krāpnieciskās darbības. Būvniecības nozarē celtniecības/būvniecības darbus un līdz ar to maksājumu pieprasījumu iesniegšanu aizkavē ieilgušie aukstie laika apstākļi Latvijas teritorijā.</w:t>
      </w:r>
    </w:p>
    <w:p w14:paraId="76904CF9" w14:textId="0596E101" w:rsidR="00B04285" w:rsidRPr="00852E0C" w:rsidRDefault="007C5B16" w:rsidP="00852E0C">
      <w:pPr>
        <w:spacing w:line="276" w:lineRule="auto"/>
        <w:rPr>
          <w:color w:val="000000" w:themeColor="text1"/>
          <w:szCs w:val="24"/>
        </w:rPr>
      </w:pPr>
      <w:r w:rsidRPr="00852E0C">
        <w:rPr>
          <w:bCs/>
          <w:color w:val="000000" w:themeColor="text1"/>
          <w:szCs w:val="24"/>
        </w:rPr>
        <w:t>Pārskata periodā</w:t>
      </w:r>
      <w:r w:rsidR="00B04285" w:rsidRPr="00852E0C">
        <w:rPr>
          <w:bCs/>
          <w:color w:val="000000" w:themeColor="text1"/>
          <w:szCs w:val="24"/>
        </w:rPr>
        <w:t xml:space="preserve"> ir apstiprinātas visas</w:t>
      </w:r>
      <w:r w:rsidR="000E0633">
        <w:rPr>
          <w:bCs/>
          <w:color w:val="000000" w:themeColor="text1"/>
          <w:szCs w:val="24"/>
        </w:rPr>
        <w:t xml:space="preserve"> </w:t>
      </w:r>
      <w:r w:rsidR="00B04285" w:rsidRPr="00852E0C">
        <w:rPr>
          <w:bCs/>
          <w:color w:val="000000" w:themeColor="text1"/>
          <w:szCs w:val="24"/>
        </w:rPr>
        <w:t xml:space="preserve">EEZ/Norvēģijas finanšu instrumentu 2009.–2014.gada perioda Latvijas programmas un norit aktīvs darbs pie programmu uzsākšanas un nozaru ministriju izstrādāto MK noteikumu projektu par programmu īstenošanu saskaņošana, </w:t>
      </w:r>
      <w:r w:rsidR="00822E3C" w:rsidRPr="00852E0C">
        <w:rPr>
          <w:bCs/>
          <w:color w:val="000000" w:themeColor="text1"/>
          <w:szCs w:val="24"/>
        </w:rPr>
        <w:t xml:space="preserve">un, </w:t>
      </w:r>
      <w:r w:rsidR="00B04285" w:rsidRPr="00852E0C">
        <w:rPr>
          <w:bCs/>
          <w:color w:val="000000" w:themeColor="text1"/>
          <w:szCs w:val="24"/>
        </w:rPr>
        <w:t xml:space="preserve">lai paātrinātu tiesību aktu projektu par programmu īstenošanu virzību MK, VI ar šīm ziņojumam pievienoto </w:t>
      </w:r>
      <w:proofErr w:type="spellStart"/>
      <w:r w:rsidR="00B04285" w:rsidRPr="00852E0C">
        <w:rPr>
          <w:bCs/>
          <w:color w:val="000000" w:themeColor="text1"/>
          <w:szCs w:val="24"/>
        </w:rPr>
        <w:t>protokollēmuma</w:t>
      </w:r>
      <w:proofErr w:type="spellEnd"/>
      <w:r w:rsidR="00B04285" w:rsidRPr="00852E0C">
        <w:rPr>
          <w:bCs/>
          <w:color w:val="000000" w:themeColor="text1"/>
          <w:szCs w:val="24"/>
        </w:rPr>
        <w:t xml:space="preserve"> projektu ierosina, atbildīgajām ministrijām minētos tiesību aktu projektus iesniegt </w:t>
      </w:r>
      <w:proofErr w:type="spellStart"/>
      <w:r w:rsidR="00B04285" w:rsidRPr="00852E0C">
        <w:rPr>
          <w:bCs/>
          <w:color w:val="000000" w:themeColor="text1"/>
          <w:szCs w:val="24"/>
        </w:rPr>
        <w:t>VKanc</w:t>
      </w:r>
      <w:proofErr w:type="spellEnd"/>
      <w:r w:rsidR="00B04285" w:rsidRPr="00852E0C">
        <w:rPr>
          <w:bCs/>
          <w:color w:val="000000" w:themeColor="text1"/>
          <w:szCs w:val="24"/>
        </w:rPr>
        <w:t xml:space="preserve"> izskatīšanai MK sēdē kā MK lietu.</w:t>
      </w:r>
    </w:p>
    <w:p w14:paraId="11AB07C1" w14:textId="09F7588A" w:rsidR="00DB53C6" w:rsidRPr="00852E0C" w:rsidRDefault="00DB53C6" w:rsidP="00852E0C">
      <w:pPr>
        <w:pStyle w:val="Default"/>
        <w:spacing w:line="276" w:lineRule="auto"/>
        <w:rPr>
          <w:bCs/>
          <w:color w:val="000000" w:themeColor="text1"/>
        </w:rPr>
      </w:pPr>
      <w:r w:rsidRPr="00852E0C">
        <w:rPr>
          <w:rFonts w:eastAsia="EUAlbertina-Bold-Identity-H"/>
          <w:color w:val="000000" w:themeColor="text1"/>
        </w:rPr>
        <w:t>Lai nodrošināt</w:t>
      </w:r>
      <w:r w:rsidR="007C5B16" w:rsidRPr="00852E0C">
        <w:rPr>
          <w:rFonts w:eastAsia="EUAlbertina-Bold-Identity-H"/>
          <w:color w:val="000000" w:themeColor="text1"/>
        </w:rPr>
        <w:t>u</w:t>
      </w:r>
      <w:r w:rsidRPr="00852E0C">
        <w:rPr>
          <w:rFonts w:eastAsia="EUAlbertina-Bold-Identity-H"/>
          <w:color w:val="000000" w:themeColor="text1"/>
        </w:rPr>
        <w:t xml:space="preserve"> padziļinātu finansējuma saņēmēju, kā arī ES fondu administrēšanā iesaistīto institūciju darbinieku izpratni par galvenajiem neatbilstību rašanās iemesl</w:t>
      </w:r>
      <w:r w:rsidR="00C17C43">
        <w:rPr>
          <w:rFonts w:eastAsia="EUAlbertina-Bold-Identity-H"/>
          <w:color w:val="000000" w:themeColor="text1"/>
        </w:rPr>
        <w:t xml:space="preserve">iem un to mazināšanas iespējām, </w:t>
      </w:r>
      <w:r w:rsidRPr="00852E0C">
        <w:rPr>
          <w:rFonts w:eastAsia="EUAlbertina-Bold-Identity-H"/>
          <w:color w:val="000000" w:themeColor="text1"/>
        </w:rPr>
        <w:t xml:space="preserve">IUB </w:t>
      </w:r>
      <w:r w:rsidR="00C17C43">
        <w:rPr>
          <w:rFonts w:eastAsia="EUAlbertina-Bold-Identity-H"/>
          <w:color w:val="000000" w:themeColor="text1"/>
        </w:rPr>
        <w:t>interneta vietnē</w:t>
      </w:r>
      <w:r w:rsidRPr="00852E0C">
        <w:rPr>
          <w:rFonts w:eastAsia="EUAlbertina-Bold-Identity-H"/>
          <w:color w:val="000000" w:themeColor="text1"/>
        </w:rPr>
        <w:t xml:space="preserve"> regulāri tiek aktualizēta Informācija par biežāk sastopamajām kļūdām ES fondu projektu iepirkumos</w:t>
      </w:r>
      <w:r w:rsidRPr="00852E0C">
        <w:rPr>
          <w:rStyle w:val="FootnoteReference"/>
          <w:rFonts w:eastAsia="EUAlbertina-Bold-Identity-H"/>
          <w:color w:val="000000" w:themeColor="text1"/>
        </w:rPr>
        <w:footnoteReference w:id="53"/>
      </w:r>
      <w:r w:rsidRPr="00852E0C">
        <w:rPr>
          <w:rFonts w:eastAsia="EUAlbertina-Bold-Identity-H"/>
          <w:color w:val="000000" w:themeColor="text1"/>
        </w:rPr>
        <w:t>, kā arī normatīvo aktu skaidrojumi</w:t>
      </w:r>
      <w:r w:rsidRPr="00852E0C">
        <w:rPr>
          <w:rStyle w:val="FootnoteReference"/>
          <w:rFonts w:eastAsia="EUAlbertina-Bold-Identity-H"/>
          <w:color w:val="000000" w:themeColor="text1"/>
        </w:rPr>
        <w:footnoteReference w:id="54"/>
      </w:r>
      <w:r w:rsidRPr="00852E0C">
        <w:rPr>
          <w:rFonts w:eastAsia="EUAlbertina-Bold-Identity-H"/>
          <w:color w:val="000000" w:themeColor="text1"/>
        </w:rPr>
        <w:t xml:space="preserve">. Papildus </w:t>
      </w:r>
      <w:r w:rsidR="00352B55">
        <w:rPr>
          <w:rFonts w:eastAsia="EUAlbertina-Bold-Identity-H"/>
          <w:color w:val="000000" w:themeColor="text1"/>
        </w:rPr>
        <w:t>VI</w:t>
      </w:r>
      <w:r w:rsidRPr="00852E0C">
        <w:rPr>
          <w:rFonts w:eastAsia="EUAlbertina-Bold-Identity-H"/>
          <w:color w:val="000000" w:themeColor="text1"/>
        </w:rPr>
        <w:t xml:space="preserve"> 2013.gadā sadarbībā ar Latvijas tiesnešu mācību centru turpinās labo praksi un plāno organizēt papildus apmācības par ES fondu jautāju</w:t>
      </w:r>
      <w:r w:rsidR="00204DBF" w:rsidRPr="00852E0C">
        <w:rPr>
          <w:rFonts w:eastAsia="EUAlbertina-Bold-Identity-H"/>
          <w:color w:val="000000" w:themeColor="text1"/>
        </w:rPr>
        <w:t>miem tiesnešiem un prokuroriem.</w:t>
      </w:r>
    </w:p>
    <w:p w14:paraId="0C1DCF65" w14:textId="77777777" w:rsidR="003512ED" w:rsidRPr="00852E0C" w:rsidRDefault="003512ED" w:rsidP="00852E0C">
      <w:pPr>
        <w:pStyle w:val="Default"/>
        <w:spacing w:line="276" w:lineRule="auto"/>
        <w:rPr>
          <w:bCs/>
          <w:color w:val="000000" w:themeColor="text1"/>
        </w:rPr>
      </w:pPr>
      <w:r w:rsidRPr="00852E0C">
        <w:rPr>
          <w:bCs/>
          <w:color w:val="000000" w:themeColor="text1"/>
        </w:rPr>
        <w:t>VI regulāri aktualizē virkni metodisko un skaidrojošo materiālu ES fondu vadībā iesaistītajām iestādēm, kā arī MK noteikumus, lai nodrošinātu vienotu praksi starp iestādēm un mazināt neatbilstoši veikto izdevumu rašanās risku.</w:t>
      </w:r>
    </w:p>
    <w:p w14:paraId="6EAA13F4" w14:textId="77777777" w:rsidR="003512ED" w:rsidRPr="00852E0C" w:rsidRDefault="003512ED" w:rsidP="00852E0C">
      <w:pPr>
        <w:pStyle w:val="Default"/>
        <w:spacing w:line="276" w:lineRule="auto"/>
        <w:rPr>
          <w:bCs/>
          <w:color w:val="000000" w:themeColor="text1"/>
        </w:rPr>
      </w:pPr>
      <w:r w:rsidRPr="00852E0C">
        <w:rPr>
          <w:bCs/>
          <w:color w:val="000000" w:themeColor="text1"/>
        </w:rPr>
        <w:t>Pamatojoties uz veikto izvērtējumu par 2012.gadā veikto deleģēto funkciju pārbaužu rezultātiem, iestāžu iekšējo procedūru izvērtējuma rezultātiem un konstatētajām problēmām, 2013.gadā deleģēto funkciju pārbaudes, pārbaužu intensitāte un apjoms plānots un tiks veiktas, prioritāri pārbaudot iestādes ar visaugstāko risku līmeni, tādējādi mazinot pārbaužu apjomu, administratīvo slogu un stiprinot iestādēm deleģēto funkciju veikšanu un kvalitāti, tomēr vienlaicīgi nodrošinās pietiekošas kontroles, lai vērtētu drošas finanšu pārvaldības principu ievērošanu un atbilstošu deleģēto funkciju veikšanu.</w:t>
      </w:r>
    </w:p>
    <w:p w14:paraId="2EDD5110" w14:textId="77777777" w:rsidR="00B04285" w:rsidRPr="00852E0C" w:rsidRDefault="00B04285" w:rsidP="00852E0C">
      <w:pPr>
        <w:pStyle w:val="Default"/>
        <w:spacing w:line="276" w:lineRule="auto"/>
        <w:rPr>
          <w:bCs/>
          <w:color w:val="000000" w:themeColor="text1"/>
        </w:rPr>
      </w:pPr>
      <w:r w:rsidRPr="00852E0C">
        <w:rPr>
          <w:bCs/>
          <w:color w:val="000000" w:themeColor="text1"/>
        </w:rPr>
        <w:lastRenderedPageBreak/>
        <w:t>FM turpina pārstāvēt Latvijas intereses sarunās par Kohēzijas politikas regulējumu pēc 2013.gada, kā arī nodrošina dalību ieviešanas un deleģēto aktu ekspertu sanāksmēs. Nākamajā ceturksnī tiks strādāts, lai sagatavotu ES fondu plānošanas dokumentu – Partnerības līgumu un DP projektus, ar mērķi 2013.gada maijā organizēt sabiedriskās apspriešanas un iesniegt plānošanas dokumentu projektus EK komentāru sniegšanai.</w:t>
      </w:r>
    </w:p>
    <w:p w14:paraId="39D8024F" w14:textId="77777777" w:rsidR="00B04285" w:rsidRPr="00852E0C" w:rsidRDefault="00B04285" w:rsidP="00852E0C">
      <w:pPr>
        <w:pStyle w:val="Default"/>
        <w:spacing w:line="276" w:lineRule="auto"/>
        <w:rPr>
          <w:bCs/>
          <w:color w:val="000000" w:themeColor="text1"/>
        </w:rPr>
      </w:pPr>
    </w:p>
    <w:p w14:paraId="383C2D41" w14:textId="77777777" w:rsidR="0055577F" w:rsidRPr="00852E0C" w:rsidRDefault="0055577F" w:rsidP="00852E0C">
      <w:pPr>
        <w:pStyle w:val="Default"/>
        <w:spacing w:line="276" w:lineRule="auto"/>
        <w:rPr>
          <w:bCs/>
          <w:color w:val="000000" w:themeColor="text1"/>
        </w:rPr>
      </w:pPr>
    </w:p>
    <w:p w14:paraId="77A0DB3F" w14:textId="77777777" w:rsidR="0055577F" w:rsidRPr="00852E0C" w:rsidRDefault="0055577F" w:rsidP="00852E0C">
      <w:pPr>
        <w:pStyle w:val="Default"/>
        <w:spacing w:line="276" w:lineRule="auto"/>
        <w:rPr>
          <w:bCs/>
          <w:color w:val="000000" w:themeColor="text1"/>
        </w:rPr>
      </w:pPr>
    </w:p>
    <w:p w14:paraId="7107E869" w14:textId="77777777" w:rsidR="0055577F" w:rsidRPr="00852E0C" w:rsidRDefault="0055577F" w:rsidP="00852E0C">
      <w:pPr>
        <w:pStyle w:val="Default"/>
        <w:spacing w:line="276" w:lineRule="auto"/>
        <w:rPr>
          <w:bCs/>
          <w:color w:val="000000" w:themeColor="text1"/>
        </w:rPr>
      </w:pPr>
    </w:p>
    <w:p w14:paraId="15E502C8" w14:textId="77777777" w:rsidR="00E83324" w:rsidRPr="00852E0C" w:rsidRDefault="00E83324" w:rsidP="00852E0C">
      <w:pPr>
        <w:spacing w:line="276" w:lineRule="auto"/>
        <w:rPr>
          <w:color w:val="000000" w:themeColor="text1"/>
          <w:spacing w:val="6"/>
          <w:szCs w:val="24"/>
          <w:highlight w:val="yellow"/>
        </w:rPr>
      </w:pPr>
    </w:p>
    <w:p w14:paraId="6F551FA0" w14:textId="77777777" w:rsidR="00FF4209" w:rsidRPr="00852E0C" w:rsidRDefault="00442F96" w:rsidP="00852E0C">
      <w:pPr>
        <w:tabs>
          <w:tab w:val="right" w:pos="8647"/>
        </w:tabs>
        <w:spacing w:line="276" w:lineRule="auto"/>
        <w:rPr>
          <w:color w:val="000000" w:themeColor="text1"/>
          <w:spacing w:val="6"/>
          <w:szCs w:val="24"/>
        </w:rPr>
      </w:pPr>
      <w:r w:rsidRPr="00852E0C">
        <w:rPr>
          <w:color w:val="000000" w:themeColor="text1"/>
          <w:spacing w:val="6"/>
          <w:szCs w:val="24"/>
        </w:rPr>
        <w:t>Finanšu ministr</w:t>
      </w:r>
      <w:r w:rsidR="008E64FA" w:rsidRPr="00852E0C">
        <w:rPr>
          <w:color w:val="000000" w:themeColor="text1"/>
          <w:spacing w:val="6"/>
          <w:szCs w:val="24"/>
        </w:rPr>
        <w:t>s</w:t>
      </w:r>
      <w:r w:rsidR="00BA4562" w:rsidRPr="00852E0C">
        <w:rPr>
          <w:color w:val="000000" w:themeColor="text1"/>
          <w:spacing w:val="6"/>
          <w:szCs w:val="24"/>
        </w:rPr>
        <w:tab/>
      </w:r>
      <w:r w:rsidR="00FF4209" w:rsidRPr="00852E0C">
        <w:rPr>
          <w:color w:val="000000" w:themeColor="text1"/>
          <w:spacing w:val="6"/>
          <w:szCs w:val="24"/>
        </w:rPr>
        <w:t xml:space="preserve"> </w:t>
      </w:r>
      <w:r w:rsidR="008E64FA" w:rsidRPr="00852E0C">
        <w:rPr>
          <w:color w:val="000000" w:themeColor="text1"/>
          <w:spacing w:val="6"/>
          <w:szCs w:val="24"/>
        </w:rPr>
        <w:t>A.Vilks</w:t>
      </w:r>
      <w:r w:rsidR="002A561D" w:rsidRPr="00852E0C">
        <w:rPr>
          <w:color w:val="000000" w:themeColor="text1"/>
          <w:spacing w:val="6"/>
          <w:szCs w:val="24"/>
        </w:rPr>
        <w:tab/>
      </w:r>
    </w:p>
    <w:p w14:paraId="4AAB741C" w14:textId="77777777" w:rsidR="00BA4562" w:rsidRDefault="00BA4562" w:rsidP="00852E0C">
      <w:pPr>
        <w:pStyle w:val="FootnoteText"/>
        <w:spacing w:line="276" w:lineRule="auto"/>
        <w:rPr>
          <w:color w:val="000000" w:themeColor="text1"/>
          <w:sz w:val="24"/>
          <w:szCs w:val="24"/>
          <w:lang w:val="lv-LV" w:eastAsia="lv-LV"/>
        </w:rPr>
      </w:pPr>
    </w:p>
    <w:p w14:paraId="0751A9D3" w14:textId="77777777" w:rsidR="00012827" w:rsidRDefault="00012827" w:rsidP="00852E0C">
      <w:pPr>
        <w:pStyle w:val="FootnoteText"/>
        <w:spacing w:line="276" w:lineRule="auto"/>
        <w:rPr>
          <w:color w:val="000000" w:themeColor="text1"/>
          <w:sz w:val="24"/>
          <w:szCs w:val="24"/>
          <w:lang w:val="lv-LV" w:eastAsia="lv-LV"/>
        </w:rPr>
      </w:pPr>
    </w:p>
    <w:p w14:paraId="62ECAF7C" w14:textId="77777777" w:rsidR="00012827" w:rsidRPr="00852E0C" w:rsidRDefault="00012827" w:rsidP="00852E0C">
      <w:pPr>
        <w:pStyle w:val="FootnoteText"/>
        <w:spacing w:line="276" w:lineRule="auto"/>
        <w:rPr>
          <w:color w:val="000000" w:themeColor="text1"/>
          <w:sz w:val="24"/>
          <w:szCs w:val="24"/>
          <w:lang w:val="lv-LV" w:eastAsia="lv-LV"/>
        </w:rPr>
      </w:pPr>
    </w:p>
    <w:p w14:paraId="0FE1E026" w14:textId="77777777" w:rsidR="00C344DE" w:rsidRPr="00852E0C" w:rsidRDefault="00C344DE" w:rsidP="00852E0C">
      <w:pPr>
        <w:pStyle w:val="FootnoteText"/>
        <w:spacing w:line="276" w:lineRule="auto"/>
        <w:rPr>
          <w:color w:val="000000" w:themeColor="text1"/>
          <w:sz w:val="24"/>
          <w:szCs w:val="24"/>
          <w:lang w:val="lv-LV" w:eastAsia="lv-LV"/>
        </w:rPr>
      </w:pPr>
    </w:p>
    <w:p w14:paraId="2E92370E" w14:textId="58FE51AC" w:rsidR="00794609" w:rsidRPr="00E05A20" w:rsidRDefault="00E43636" w:rsidP="00E05A20">
      <w:pPr>
        <w:tabs>
          <w:tab w:val="center" w:pos="4153"/>
          <w:tab w:val="right" w:pos="8306"/>
        </w:tabs>
        <w:spacing w:before="0" w:after="0" w:line="276" w:lineRule="auto"/>
        <w:rPr>
          <w:color w:val="000000" w:themeColor="text1"/>
          <w:sz w:val="22"/>
          <w:szCs w:val="22"/>
        </w:rPr>
      </w:pPr>
      <w:r w:rsidRPr="00E05A20">
        <w:rPr>
          <w:color w:val="000000" w:themeColor="text1"/>
          <w:sz w:val="22"/>
          <w:szCs w:val="22"/>
        </w:rPr>
        <w:t>14</w:t>
      </w:r>
      <w:r w:rsidR="00723280" w:rsidRPr="00E05A20">
        <w:rPr>
          <w:color w:val="000000" w:themeColor="text1"/>
          <w:sz w:val="22"/>
          <w:szCs w:val="22"/>
        </w:rPr>
        <w:t>.0</w:t>
      </w:r>
      <w:r w:rsidR="003D5384" w:rsidRPr="00E05A20">
        <w:rPr>
          <w:color w:val="000000" w:themeColor="text1"/>
          <w:sz w:val="22"/>
          <w:szCs w:val="22"/>
        </w:rPr>
        <w:t>5</w:t>
      </w:r>
      <w:r w:rsidR="005C4A95" w:rsidRPr="00E05A20">
        <w:rPr>
          <w:color w:val="000000" w:themeColor="text1"/>
          <w:sz w:val="22"/>
          <w:szCs w:val="22"/>
        </w:rPr>
        <w:t>.2013.</w:t>
      </w:r>
      <w:r w:rsidR="00794609" w:rsidRPr="00E05A20">
        <w:rPr>
          <w:color w:val="000000" w:themeColor="text1"/>
          <w:sz w:val="22"/>
          <w:szCs w:val="22"/>
        </w:rPr>
        <w:t xml:space="preserve"> 11:00</w:t>
      </w:r>
    </w:p>
    <w:p w14:paraId="3A7759F5" w14:textId="7BB1D468" w:rsidR="002C2FA3" w:rsidRPr="00E05A20" w:rsidRDefault="002C2FA3" w:rsidP="00E05A20">
      <w:pPr>
        <w:tabs>
          <w:tab w:val="center" w:pos="4153"/>
          <w:tab w:val="right" w:pos="8306"/>
        </w:tabs>
        <w:spacing w:before="0" w:after="0" w:line="276" w:lineRule="auto"/>
        <w:rPr>
          <w:color w:val="000000" w:themeColor="text1"/>
          <w:sz w:val="22"/>
          <w:szCs w:val="22"/>
        </w:rPr>
      </w:pPr>
      <w:r w:rsidRPr="00E05A20">
        <w:rPr>
          <w:color w:val="000000" w:themeColor="text1"/>
          <w:sz w:val="22"/>
          <w:szCs w:val="22"/>
        </w:rPr>
        <w:t>1</w:t>
      </w:r>
      <w:r w:rsidR="009F22FC" w:rsidRPr="00E05A20">
        <w:rPr>
          <w:color w:val="000000" w:themeColor="text1"/>
          <w:sz w:val="22"/>
          <w:szCs w:val="22"/>
        </w:rPr>
        <w:t>2</w:t>
      </w:r>
      <w:r w:rsidRPr="00E05A20">
        <w:rPr>
          <w:color w:val="000000" w:themeColor="text1"/>
          <w:sz w:val="22"/>
          <w:szCs w:val="22"/>
        </w:rPr>
        <w:t> </w:t>
      </w:r>
      <w:r w:rsidR="00BE0F06">
        <w:rPr>
          <w:color w:val="000000" w:themeColor="text1"/>
          <w:sz w:val="22"/>
          <w:szCs w:val="22"/>
        </w:rPr>
        <w:t>8</w:t>
      </w:r>
      <w:r w:rsidR="009D0775">
        <w:rPr>
          <w:color w:val="000000" w:themeColor="text1"/>
          <w:sz w:val="22"/>
          <w:szCs w:val="22"/>
        </w:rPr>
        <w:t>88</w:t>
      </w:r>
    </w:p>
    <w:p w14:paraId="332657F4" w14:textId="6D60EFDA" w:rsidR="00794609" w:rsidRPr="00E05A20" w:rsidRDefault="003D5384" w:rsidP="00E05A20">
      <w:pPr>
        <w:tabs>
          <w:tab w:val="center" w:pos="4153"/>
          <w:tab w:val="right" w:pos="8306"/>
        </w:tabs>
        <w:spacing w:before="0" w:after="0" w:line="276" w:lineRule="auto"/>
        <w:rPr>
          <w:color w:val="000000" w:themeColor="text1"/>
          <w:sz w:val="22"/>
          <w:szCs w:val="22"/>
        </w:rPr>
      </w:pPr>
      <w:r w:rsidRPr="00E05A20">
        <w:rPr>
          <w:color w:val="000000" w:themeColor="text1"/>
          <w:sz w:val="22"/>
          <w:szCs w:val="22"/>
        </w:rPr>
        <w:t>Signe Albiņa</w:t>
      </w:r>
    </w:p>
    <w:p w14:paraId="6108F6B8" w14:textId="77777777" w:rsidR="00794609" w:rsidRPr="00E05A20" w:rsidRDefault="00794609" w:rsidP="00E05A20">
      <w:pPr>
        <w:tabs>
          <w:tab w:val="center" w:pos="4153"/>
          <w:tab w:val="right" w:pos="8306"/>
        </w:tabs>
        <w:spacing w:before="0" w:after="0" w:line="276" w:lineRule="auto"/>
        <w:rPr>
          <w:color w:val="000000" w:themeColor="text1"/>
          <w:sz w:val="22"/>
          <w:szCs w:val="22"/>
        </w:rPr>
      </w:pPr>
      <w:r w:rsidRPr="00E05A20">
        <w:rPr>
          <w:color w:val="000000" w:themeColor="text1"/>
          <w:sz w:val="22"/>
          <w:szCs w:val="22"/>
        </w:rPr>
        <w:t>Finanšu ministrijas Eiropas Savienības fondu uzraudzības departamenta</w:t>
      </w:r>
    </w:p>
    <w:p w14:paraId="2FEDCAD5" w14:textId="6DE639FB" w:rsidR="00794609" w:rsidRPr="00E05A20" w:rsidRDefault="00794609" w:rsidP="00E05A20">
      <w:pPr>
        <w:tabs>
          <w:tab w:val="center" w:pos="4153"/>
          <w:tab w:val="right" w:pos="8306"/>
        </w:tabs>
        <w:spacing w:before="0" w:after="0" w:line="276" w:lineRule="auto"/>
        <w:rPr>
          <w:color w:val="000000" w:themeColor="text1"/>
          <w:sz w:val="22"/>
          <w:szCs w:val="22"/>
        </w:rPr>
      </w:pPr>
      <w:r w:rsidRPr="00E05A20">
        <w:rPr>
          <w:color w:val="000000" w:themeColor="text1"/>
          <w:sz w:val="22"/>
          <w:szCs w:val="22"/>
        </w:rPr>
        <w:t xml:space="preserve">Uzņēmējdarbības un inovāciju uzraudzības nodaļas </w:t>
      </w:r>
      <w:r w:rsidR="003D5384" w:rsidRPr="00E05A20">
        <w:rPr>
          <w:color w:val="000000" w:themeColor="text1"/>
          <w:sz w:val="22"/>
          <w:szCs w:val="22"/>
        </w:rPr>
        <w:t>vadītāja vietniece</w:t>
      </w:r>
    </w:p>
    <w:p w14:paraId="508B2CFD" w14:textId="461ACEF0" w:rsidR="00794609" w:rsidRPr="00E05A20" w:rsidRDefault="00794609" w:rsidP="00E05A20">
      <w:pPr>
        <w:tabs>
          <w:tab w:val="center" w:pos="4153"/>
          <w:tab w:val="right" w:pos="8306"/>
        </w:tabs>
        <w:spacing w:before="0" w:after="0" w:line="276" w:lineRule="auto"/>
        <w:rPr>
          <w:color w:val="000000" w:themeColor="text1"/>
          <w:sz w:val="22"/>
          <w:szCs w:val="22"/>
        </w:rPr>
      </w:pPr>
      <w:r w:rsidRPr="00E05A20">
        <w:rPr>
          <w:color w:val="000000" w:themeColor="text1"/>
          <w:sz w:val="22"/>
          <w:szCs w:val="22"/>
        </w:rPr>
        <w:t>Tālr. 67083</w:t>
      </w:r>
      <w:r w:rsidR="003D5384" w:rsidRPr="00E05A20">
        <w:rPr>
          <w:color w:val="000000" w:themeColor="text1"/>
          <w:sz w:val="22"/>
          <w:szCs w:val="22"/>
        </w:rPr>
        <w:t>808</w:t>
      </w:r>
      <w:r w:rsidRPr="00E05A20">
        <w:rPr>
          <w:color w:val="000000" w:themeColor="text1"/>
          <w:sz w:val="22"/>
          <w:szCs w:val="22"/>
        </w:rPr>
        <w:t>, fakss 67095697</w:t>
      </w:r>
    </w:p>
    <w:p w14:paraId="5500896C" w14:textId="48C8DAD6" w:rsidR="005212A9" w:rsidRPr="00E05A20" w:rsidRDefault="00937B41" w:rsidP="00E05A20">
      <w:pPr>
        <w:tabs>
          <w:tab w:val="center" w:pos="4153"/>
          <w:tab w:val="right" w:pos="8306"/>
        </w:tabs>
        <w:spacing w:before="0" w:after="0" w:line="276" w:lineRule="auto"/>
        <w:rPr>
          <w:color w:val="000000" w:themeColor="text1"/>
          <w:sz w:val="22"/>
          <w:szCs w:val="22"/>
        </w:rPr>
      </w:pPr>
      <w:hyperlink r:id="rId49" w:history="1">
        <w:r w:rsidR="003D5384" w:rsidRPr="00E05A20">
          <w:rPr>
            <w:rStyle w:val="Hyperlink"/>
            <w:rFonts w:ascii="Times New Roman" w:hAnsi="Times New Roman" w:cs="Times New Roman"/>
            <w:color w:val="000000" w:themeColor="text1"/>
            <w:sz w:val="22"/>
            <w:szCs w:val="22"/>
          </w:rPr>
          <w:t>Signe.Albina@fm.gov.lv</w:t>
        </w:r>
      </w:hyperlink>
    </w:p>
    <w:p w14:paraId="0C7BD150" w14:textId="77777777" w:rsidR="006055C3" w:rsidRPr="00852E0C" w:rsidRDefault="006055C3" w:rsidP="00852E0C">
      <w:pPr>
        <w:tabs>
          <w:tab w:val="center" w:pos="4153"/>
          <w:tab w:val="right" w:pos="8306"/>
        </w:tabs>
        <w:spacing w:line="276" w:lineRule="auto"/>
        <w:rPr>
          <w:color w:val="000000" w:themeColor="text1"/>
          <w:szCs w:val="24"/>
        </w:rPr>
      </w:pPr>
    </w:p>
    <w:sectPr w:rsidR="006055C3" w:rsidRPr="00852E0C" w:rsidSect="00305963">
      <w:headerReference w:type="even" r:id="rId50"/>
      <w:headerReference w:type="default" r:id="rId51"/>
      <w:footerReference w:type="even" r:id="rId52"/>
      <w:footerReference w:type="default" r:id="rId53"/>
      <w:headerReference w:type="first" r:id="rId54"/>
      <w:footerReference w:type="first" r:id="rId55"/>
      <w:pgSz w:w="11906" w:h="16838" w:code="9"/>
      <w:pgMar w:top="1418" w:right="1558" w:bottom="1418"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0C1A1" w14:textId="77777777" w:rsidR="00937B41" w:rsidRDefault="00937B41" w:rsidP="00FF4209">
      <w:r>
        <w:separator/>
      </w:r>
    </w:p>
  </w:endnote>
  <w:endnote w:type="continuationSeparator" w:id="0">
    <w:p w14:paraId="7893BBE3" w14:textId="77777777" w:rsidR="00937B41" w:rsidRDefault="00937B41" w:rsidP="00F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0B3D" w14:textId="77777777" w:rsidR="00937B41" w:rsidRDefault="00937B41" w:rsidP="00790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42276" w14:textId="77777777" w:rsidR="00937B41" w:rsidRDefault="00937B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E326" w14:textId="3D6860B0" w:rsidR="00937B41" w:rsidRPr="005B7478" w:rsidRDefault="00937B41" w:rsidP="00AF37B9">
    <w:pPr>
      <w:pStyle w:val="Footer"/>
      <w:spacing w:before="0" w:after="0" w:line="240" w:lineRule="auto"/>
      <w:rPr>
        <w:sz w:val="20"/>
        <w:lang w:val="lv-LV"/>
      </w:rPr>
    </w:pPr>
    <w:r w:rsidRPr="003A479C">
      <w:rPr>
        <w:sz w:val="20"/>
      </w:rPr>
      <w:t>FMzino_</w:t>
    </w:r>
    <w:r>
      <w:rPr>
        <w:sz w:val="20"/>
        <w:lang w:val="lv-LV"/>
      </w:rPr>
      <w:t>140513</w:t>
    </w:r>
    <w:r w:rsidRPr="003A479C">
      <w:rPr>
        <w:sz w:val="20"/>
      </w:rPr>
      <w:t>_</w:t>
    </w:r>
    <w:proofErr w:type="spellStart"/>
    <w:r w:rsidRPr="003A479C">
      <w:rPr>
        <w:sz w:val="20"/>
      </w:rPr>
      <w:t>ES_fondi</w:t>
    </w:r>
    <w:proofErr w:type="spellEnd"/>
    <w:r w:rsidRPr="003A479C">
      <w:rPr>
        <w:sz w:val="20"/>
      </w:rPr>
      <w:t xml:space="preserve">; Informatīvais ziņojums par ES struktūrfondu un Kohēzijas fonda, Eiropas Ekonomikas zonas </w:t>
    </w:r>
    <w:r>
      <w:rPr>
        <w:sz w:val="20"/>
      </w:rPr>
      <w:t>finanšu instrumenta, Norvēģijas</w:t>
    </w:r>
    <w:r>
      <w:rPr>
        <w:sz w:val="20"/>
        <w:lang w:val="lv-LV"/>
      </w:rPr>
      <w:t xml:space="preserve"> </w:t>
    </w:r>
    <w:r w:rsidRPr="003A479C">
      <w:rPr>
        <w:sz w:val="20"/>
      </w:rPr>
      <w:t>finanšu instrumenta un Latvijas</w:t>
    </w:r>
    <w:r>
      <w:rPr>
        <w:sz w:val="20"/>
      </w:rPr>
      <w:t>–Šveices sadarbības programmas</w:t>
    </w:r>
    <w:r>
      <w:rPr>
        <w:sz w:val="20"/>
        <w:lang w:val="lv-LV"/>
      </w:rPr>
      <w:t xml:space="preserve"> </w:t>
    </w:r>
    <w:r w:rsidRPr="003A479C">
      <w:rPr>
        <w:sz w:val="20"/>
      </w:rPr>
      <w:t xml:space="preserve">apguvi līdz </w:t>
    </w:r>
    <w:r>
      <w:rPr>
        <w:sz w:val="20"/>
        <w:lang w:val="lv-LV"/>
      </w:rPr>
      <w:t>2012.gada 31.decembrim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A49E" w14:textId="77777777" w:rsidR="00937B41" w:rsidRDefault="0093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6439A" w14:textId="77777777" w:rsidR="00937B41" w:rsidRDefault="00937B41" w:rsidP="00FF4209">
      <w:r>
        <w:separator/>
      </w:r>
    </w:p>
  </w:footnote>
  <w:footnote w:type="continuationSeparator" w:id="0">
    <w:p w14:paraId="1C20F699" w14:textId="77777777" w:rsidR="00937B41" w:rsidRDefault="00937B41" w:rsidP="00FF4209">
      <w:r>
        <w:continuationSeparator/>
      </w:r>
    </w:p>
  </w:footnote>
  <w:footnote w:id="1">
    <w:p w14:paraId="052AB645" w14:textId="4B8DA234"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Ar EK regulu (EK) Nr. 1080/2006, kas stājās spēkā 2006.gada 1.augustā, tiek noteikti trīs mērķi fondu pasākumu īstenošanai. 1.mērķis ir konverģence, kas paredzēts vismazāk attīstīto dalībvalstu un reģionu konverģences paātrināšanai, uzlabojot pieauguma un nodarbinātības nosacījumus un tiek finansēs no ERAF, ESF un KF līdzekļiem. Latvija ir tiesīga saņemt finansējumu šī mērķa ietvaros.</w:t>
      </w:r>
    </w:p>
  </w:footnote>
  <w:footnote w:id="2">
    <w:p w14:paraId="69CD2A77" w14:textId="77777777" w:rsidR="00937B41" w:rsidRPr="00822986" w:rsidRDefault="00937B41" w:rsidP="00822986">
      <w:pPr>
        <w:pStyle w:val="FootnoteText"/>
        <w:spacing w:before="0" w:after="0" w:line="240" w:lineRule="auto"/>
        <w:rPr>
          <w:color w:val="000000" w:themeColor="text1"/>
        </w:rPr>
      </w:pPr>
      <w:r w:rsidRPr="00822986">
        <w:rPr>
          <w:rStyle w:val="FootnoteReference"/>
          <w:color w:val="000000" w:themeColor="text1"/>
        </w:rPr>
        <w:footnoteRef/>
      </w:r>
      <w:r w:rsidRPr="00822986">
        <w:rPr>
          <w:color w:val="000000" w:themeColor="text1"/>
        </w:rPr>
        <w:t xml:space="preserve"> Publiskais finansējums ietver gan ES fondu finansējumu, gan arī valsts budžeta un pašvaldību budžeta līdzfinansējumu (neskaitot piešķirtā valsts budžeta </w:t>
      </w:r>
      <w:proofErr w:type="spellStart"/>
      <w:r w:rsidRPr="00822986">
        <w:rPr>
          <w:color w:val="000000" w:themeColor="text1"/>
        </w:rPr>
        <w:t>virssaistību</w:t>
      </w:r>
      <w:proofErr w:type="spellEnd"/>
      <w:r w:rsidRPr="00822986">
        <w:rPr>
          <w:color w:val="000000" w:themeColor="text1"/>
        </w:rPr>
        <w:t xml:space="preserve"> finansējumu).</w:t>
      </w:r>
    </w:p>
  </w:footnote>
  <w:footnote w:id="3">
    <w:p w14:paraId="0604CD87" w14:textId="0CB4BC5E"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lang w:val="lv-LV"/>
        </w:rPr>
        <w:t xml:space="preserve"> „Vadlīnijas ziņošanai par Eiropas Savienības fondu ieviešanā konstatētajām neatbilstībām un neatbilstoši veikto izdevumu atgūšanu 2007. – 2013.gada plānošanas periodā” </w:t>
      </w:r>
      <w:hyperlink r:id="rId1" w:history="1">
        <w:r w:rsidRPr="00822986">
          <w:rPr>
            <w:rStyle w:val="Hyperlink"/>
            <w:rFonts w:ascii="Times New Roman" w:hAnsi="Times New Roman" w:cs="Times New Roman"/>
            <w:color w:val="000000" w:themeColor="text1"/>
            <w:sz w:val="20"/>
            <w:szCs w:val="20"/>
            <w:lang w:val="lv-LV"/>
          </w:rPr>
          <w:t>http://www.esfondi.lv/upload/00-vadlinijas/Neatbilstibu_vadl__nijas_FINAL26.09.2012.pdf</w:t>
        </w:r>
      </w:hyperlink>
      <w:r w:rsidRPr="00822986">
        <w:rPr>
          <w:color w:val="000000" w:themeColor="text1"/>
          <w:lang w:val="lv-LV"/>
        </w:rPr>
        <w:t xml:space="preserve"> ; „Vadlīnijas par finanšu korekciju piemērošanu Eiropas Savienības fondu finansētajos projektos” </w:t>
      </w:r>
      <w:hyperlink r:id="rId2" w:history="1">
        <w:r w:rsidRPr="00822986">
          <w:rPr>
            <w:rStyle w:val="Hyperlink"/>
            <w:rFonts w:ascii="Times New Roman" w:hAnsi="Times New Roman" w:cs="Times New Roman"/>
            <w:color w:val="000000" w:themeColor="text1"/>
            <w:sz w:val="20"/>
            <w:szCs w:val="20"/>
            <w:lang w:val="lv-LV"/>
          </w:rPr>
          <w:t>http://www.esfondi.lv/upload/00-vadlinijas/10_10_vadlinijas_finansu_korekcijas.pdf</w:t>
        </w:r>
      </w:hyperlink>
    </w:p>
  </w:footnote>
  <w:footnote w:id="4">
    <w:p w14:paraId="320F4037" w14:textId="27E9CE33"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vietnē pieejami </w:t>
      </w:r>
      <w:r w:rsidRPr="00822986">
        <w:rPr>
          <w:bCs/>
          <w:color w:val="000000" w:themeColor="text1"/>
          <w:lang w:val="lv-LV"/>
        </w:rPr>
        <w:t>Latvijas plānošanas dokumenti</w:t>
      </w:r>
      <w:r w:rsidRPr="00822986">
        <w:rPr>
          <w:bCs/>
          <w:color w:val="000000" w:themeColor="text1"/>
        </w:rPr>
        <w:t xml:space="preserve">: </w:t>
      </w:r>
      <w:hyperlink r:id="rId3" w:history="1">
        <w:r w:rsidRPr="00822986">
          <w:rPr>
            <w:rStyle w:val="Hyperlink"/>
            <w:rFonts w:ascii="Times New Roman" w:hAnsi="Times New Roman" w:cs="Times New Roman"/>
            <w:sz w:val="20"/>
            <w:szCs w:val="20"/>
          </w:rPr>
          <w:t>http://www.esfondi.lv/page.php?id=470</w:t>
        </w:r>
      </w:hyperlink>
    </w:p>
  </w:footnote>
  <w:footnote w:id="5">
    <w:p w14:paraId="35E76BED" w14:textId="1985CC66"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eastAsia="lv-LV"/>
        </w:rPr>
        <w:t xml:space="preserve">ņemot vērā MK 2012.gada 21.augusta sēdes </w:t>
      </w:r>
      <w:proofErr w:type="spellStart"/>
      <w:r w:rsidRPr="00822986">
        <w:rPr>
          <w:color w:val="000000" w:themeColor="text1"/>
          <w:lang w:eastAsia="lv-LV"/>
        </w:rPr>
        <w:t>protokollēmuma</w:t>
      </w:r>
      <w:proofErr w:type="spellEnd"/>
      <w:r w:rsidRPr="00822986">
        <w:rPr>
          <w:color w:val="000000" w:themeColor="text1"/>
          <w:lang w:eastAsia="lv-LV"/>
        </w:rPr>
        <w:t xml:space="preserve"> Nr.48 28.§ „Informatīvais ziņojums „Par Eiropas Savienības struktūrfondu un Kohēzijas fonda, Eiropas Ekonomikas zonas finanšu instrumenta, Norvēģijas valdības divpusējā finanšu instrumenta un Latvijas un Šveices sadarbības programmas apguvi līdz 2012.gada 30.jūnijam”” 10.punktā noteikto</w:t>
      </w:r>
      <w:r w:rsidRPr="00822986">
        <w:rPr>
          <w:color w:val="000000" w:themeColor="text1"/>
          <w:lang w:val="lv-LV" w:eastAsia="lv-LV"/>
        </w:rPr>
        <w:t xml:space="preserve">; </w:t>
      </w:r>
      <w:hyperlink r:id="rId4" w:history="1">
        <w:r w:rsidRPr="00822986">
          <w:rPr>
            <w:rStyle w:val="Hyperlink"/>
            <w:rFonts w:ascii="Times New Roman" w:hAnsi="Times New Roman" w:cs="Times New Roman"/>
            <w:color w:val="000000" w:themeColor="text1"/>
            <w:sz w:val="20"/>
            <w:szCs w:val="20"/>
            <w:lang w:val="lv-LV" w:eastAsia="lv-LV"/>
          </w:rPr>
          <w:t>http://www.mk.gov.lv/lv/mk/mksedes/saraksts/protokols/?protokols=2012-08-21</w:t>
        </w:r>
      </w:hyperlink>
    </w:p>
  </w:footnote>
  <w:footnote w:id="6">
    <w:p w14:paraId="475C8FDD" w14:textId="53F7CE66"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sadaļa par </w:t>
      </w:r>
      <w:r w:rsidRPr="00822986">
        <w:t>ES fondu finanšu progres</w:t>
      </w:r>
      <w:r w:rsidRPr="00822986">
        <w:rPr>
          <w:lang w:val="lv-LV"/>
        </w:rPr>
        <w:t xml:space="preserve">u: </w:t>
      </w:r>
      <w:hyperlink r:id="rId5" w:history="1">
        <w:r w:rsidRPr="00822986">
          <w:rPr>
            <w:rStyle w:val="Hyperlink"/>
            <w:rFonts w:ascii="Times New Roman" w:hAnsi="Times New Roman" w:cs="Times New Roman"/>
            <w:color w:val="000000" w:themeColor="text1"/>
            <w:sz w:val="20"/>
            <w:szCs w:val="20"/>
          </w:rPr>
          <w:t>http://www.esfondi.lv/page.php?id=909</w:t>
        </w:r>
      </w:hyperlink>
    </w:p>
  </w:footnote>
  <w:footnote w:id="7">
    <w:p w14:paraId="6862A83C" w14:textId="718E02D4" w:rsidR="00937B41" w:rsidRPr="00822986" w:rsidRDefault="00937B41" w:rsidP="00822986">
      <w:pPr>
        <w:spacing w:before="0" w:after="0" w:line="240" w:lineRule="auto"/>
        <w:rPr>
          <w:color w:val="000000" w:themeColor="text1"/>
          <w:sz w:val="20"/>
        </w:rPr>
      </w:pPr>
      <w:r w:rsidRPr="00822986">
        <w:rPr>
          <w:rStyle w:val="FootnoteReference"/>
          <w:color w:val="000000" w:themeColor="text1"/>
          <w:sz w:val="20"/>
        </w:rPr>
        <w:footnoteRef/>
      </w:r>
      <w:r w:rsidRPr="00822986">
        <w:rPr>
          <w:color w:val="000000" w:themeColor="text1"/>
          <w:sz w:val="20"/>
        </w:rPr>
        <w:t xml:space="preserve"> ES fondu interneta vietnes sadaļā par </w:t>
      </w:r>
      <w:r w:rsidRPr="00822986">
        <w:rPr>
          <w:sz w:val="20"/>
        </w:rPr>
        <w:t>ES fondu valsts budžeta apguvi</w:t>
      </w:r>
      <w:r w:rsidRPr="00822986">
        <w:rPr>
          <w:color w:val="000000" w:themeColor="text1"/>
          <w:sz w:val="20"/>
        </w:rPr>
        <w:t xml:space="preserve"> </w:t>
      </w:r>
      <w:hyperlink r:id="rId6" w:history="1">
        <w:r w:rsidRPr="00822986">
          <w:rPr>
            <w:rStyle w:val="Hyperlink"/>
            <w:rFonts w:ascii="Times New Roman" w:hAnsi="Times New Roman" w:cs="Times New Roman"/>
            <w:color w:val="000000" w:themeColor="text1"/>
            <w:sz w:val="20"/>
            <w:szCs w:val="20"/>
          </w:rPr>
          <w:t>http://www.esfondi.lv/page.php?id=1141</w:t>
        </w:r>
      </w:hyperlink>
    </w:p>
    <w:p w14:paraId="2BDCEA81" w14:textId="77777777" w:rsidR="00937B41" w:rsidRPr="00822986" w:rsidRDefault="00937B41" w:rsidP="00822986">
      <w:pPr>
        <w:pStyle w:val="FootnoteText"/>
        <w:spacing w:before="0" w:after="0" w:line="240" w:lineRule="auto"/>
        <w:rPr>
          <w:color w:val="000000" w:themeColor="text1"/>
          <w:lang w:val="lv-LV"/>
        </w:rPr>
      </w:pPr>
    </w:p>
  </w:footnote>
  <w:footnote w:id="8">
    <w:p w14:paraId="37C986FC" w14:textId="77777777" w:rsidR="00937B41" w:rsidRPr="00822986" w:rsidRDefault="00937B41" w:rsidP="00822986">
      <w:pPr>
        <w:pStyle w:val="FootnoteText"/>
        <w:spacing w:before="0" w:after="0" w:line="240" w:lineRule="auto"/>
        <w:rPr>
          <w:b/>
          <w:color w:val="000000" w:themeColor="text1"/>
          <w:lang w:val="lv-LV" w:eastAsia="lv-LV"/>
        </w:rPr>
      </w:pPr>
      <w:r w:rsidRPr="00822986">
        <w:rPr>
          <w:rStyle w:val="FootnoteReference"/>
          <w:color w:val="000000" w:themeColor="text1"/>
        </w:rPr>
        <w:footnoteRef/>
      </w:r>
      <w:r w:rsidRPr="00822986">
        <w:rPr>
          <w:rStyle w:val="FootnoteReference"/>
          <w:color w:val="000000" w:themeColor="text1"/>
        </w:rPr>
        <w:t xml:space="preserve"> </w:t>
      </w:r>
      <w:r w:rsidRPr="00822986">
        <w:rPr>
          <w:rStyle w:val="FootnoteReference"/>
          <w:color w:val="000000" w:themeColor="text1"/>
          <w:vertAlign w:val="baseline"/>
        </w:rPr>
        <w:t>2013.gada 12.marta MK sēdes protokols Nr.12</w:t>
      </w:r>
      <w:bookmarkStart w:id="16" w:name="26"/>
      <w:r w:rsidRPr="00822986">
        <w:rPr>
          <w:color w:val="000000" w:themeColor="text1"/>
          <w:lang w:val="lv-LV"/>
        </w:rPr>
        <w:t xml:space="preserve"> </w:t>
      </w:r>
      <w:r w:rsidRPr="00822986">
        <w:rPr>
          <w:rStyle w:val="FootnoteReference"/>
          <w:color w:val="000000" w:themeColor="text1"/>
          <w:vertAlign w:val="baseline"/>
        </w:rPr>
        <w:t>32.§</w:t>
      </w:r>
      <w:bookmarkEnd w:id="16"/>
      <w:r w:rsidRPr="00822986">
        <w:rPr>
          <w:color w:val="000000" w:themeColor="text1"/>
          <w:lang w:val="lv-LV"/>
        </w:rPr>
        <w:t xml:space="preserve">. Pieejams MK interneta vietnē: </w:t>
      </w:r>
      <w:hyperlink r:id="rId7" w:history="1">
        <w:r w:rsidRPr="00822986">
          <w:rPr>
            <w:rStyle w:val="Hyperlink"/>
            <w:rFonts w:ascii="Times New Roman" w:hAnsi="Times New Roman" w:cs="Times New Roman"/>
            <w:color w:val="000000" w:themeColor="text1"/>
            <w:sz w:val="20"/>
            <w:szCs w:val="20"/>
            <w:lang w:val="lv-LV"/>
          </w:rPr>
          <w:t>http://www.mk.gov.lv/lv/mk/mksedes/saraksts/protokols/?protokols=2013-03-12</w:t>
        </w:r>
      </w:hyperlink>
    </w:p>
  </w:footnote>
  <w:footnote w:id="9">
    <w:p w14:paraId="65FD8637" w14:textId="77777777"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rStyle w:val="Hyperlink"/>
          <w:rFonts w:ascii="Times New Roman" w:eastAsia="Calibri" w:hAnsi="Times New Roman" w:cs="Times New Roman"/>
          <w:color w:val="000000" w:themeColor="text1"/>
          <w:sz w:val="20"/>
          <w:szCs w:val="20"/>
          <w:lang w:eastAsia="lv-LV" w:bidi="en-US"/>
        </w:rPr>
        <w:t>2012.gada 1.ceturksn</w:t>
      </w:r>
      <w:r w:rsidRPr="00822986">
        <w:rPr>
          <w:rStyle w:val="Hyperlink"/>
          <w:rFonts w:ascii="Times New Roman" w:eastAsia="Calibri" w:hAnsi="Times New Roman" w:cs="Times New Roman"/>
          <w:color w:val="000000" w:themeColor="text1"/>
          <w:sz w:val="20"/>
          <w:szCs w:val="20"/>
          <w:lang w:val="lv-LV" w:eastAsia="lv-LV" w:bidi="en-US"/>
        </w:rPr>
        <w:t>ī</w:t>
      </w:r>
      <w:r w:rsidRPr="00822986">
        <w:rPr>
          <w:rStyle w:val="Hyperlink"/>
          <w:rFonts w:ascii="Times New Roman" w:eastAsia="Calibri" w:hAnsi="Times New Roman" w:cs="Times New Roman"/>
          <w:color w:val="000000" w:themeColor="text1"/>
          <w:sz w:val="20"/>
          <w:szCs w:val="20"/>
          <w:lang w:eastAsia="lv-LV" w:bidi="en-US"/>
        </w:rPr>
        <w:t xml:space="preserve"> plāns tika izpildīts tikai par 86,2% un kopējā neizpilde bija 9,8 milj. latu.</w:t>
      </w:r>
    </w:p>
  </w:footnote>
  <w:footnote w:id="10">
    <w:p w14:paraId="4A12C6A5" w14:textId="7E3CB78C" w:rsidR="00937B41" w:rsidRPr="00822986" w:rsidRDefault="00937B41" w:rsidP="00822986">
      <w:pPr>
        <w:pStyle w:val="Heading2"/>
        <w:spacing w:before="0" w:after="0" w:line="240" w:lineRule="auto"/>
        <w:rPr>
          <w:rFonts w:ascii="Times New Roman" w:hAnsi="Times New Roman"/>
          <w:b w:val="0"/>
          <w:i w:val="0"/>
          <w:sz w:val="20"/>
          <w:szCs w:val="20"/>
        </w:rPr>
      </w:pPr>
      <w:r w:rsidRPr="00822986">
        <w:rPr>
          <w:rStyle w:val="FootnoteReference"/>
          <w:rFonts w:ascii="Times New Roman" w:hAnsi="Times New Roman"/>
          <w:i w:val="0"/>
          <w:color w:val="000000" w:themeColor="text1"/>
          <w:sz w:val="20"/>
          <w:szCs w:val="20"/>
        </w:rPr>
        <w:footnoteRef/>
      </w:r>
      <w:r w:rsidRPr="00822986">
        <w:rPr>
          <w:rFonts w:ascii="Times New Roman" w:hAnsi="Times New Roman"/>
          <w:i w:val="0"/>
          <w:color w:val="000000" w:themeColor="text1"/>
          <w:sz w:val="20"/>
          <w:szCs w:val="20"/>
        </w:rPr>
        <w:t xml:space="preserve"> </w:t>
      </w:r>
      <w:r w:rsidRPr="00822986">
        <w:rPr>
          <w:rStyle w:val="Hyperlink"/>
          <w:rFonts w:ascii="Times New Roman" w:eastAsia="Calibri" w:hAnsi="Times New Roman" w:cs="Times New Roman"/>
          <w:b w:val="0"/>
          <w:bCs w:val="0"/>
          <w:i w:val="0"/>
          <w:iCs w:val="0"/>
          <w:color w:val="000000" w:themeColor="text1"/>
          <w:sz w:val="20"/>
          <w:szCs w:val="20"/>
          <w:lang w:eastAsia="lv-LV" w:bidi="en-US"/>
        </w:rPr>
        <w:t>ES fondu interneta vietnes sadaļā par ES fondu valsts budžeta apguvi</w:t>
      </w:r>
      <w:r w:rsidRPr="00822986">
        <w:rPr>
          <w:rFonts w:ascii="Times New Roman" w:hAnsi="Times New Roman"/>
          <w:i w:val="0"/>
          <w:color w:val="000000" w:themeColor="text1"/>
          <w:sz w:val="20"/>
          <w:szCs w:val="20"/>
          <w:lang w:val="lv-LV"/>
        </w:rPr>
        <w:t xml:space="preserve">: </w:t>
      </w:r>
      <w:hyperlink r:id="rId8" w:history="1">
        <w:r w:rsidRPr="00822986">
          <w:rPr>
            <w:rStyle w:val="Hyperlink"/>
            <w:rFonts w:ascii="Times New Roman" w:hAnsi="Times New Roman" w:cs="Times New Roman"/>
            <w:b w:val="0"/>
            <w:i w:val="0"/>
            <w:color w:val="000000" w:themeColor="text1"/>
            <w:sz w:val="20"/>
            <w:szCs w:val="20"/>
          </w:rPr>
          <w:t>http://www.esfondi.lv/page.php?id=1141</w:t>
        </w:r>
      </w:hyperlink>
    </w:p>
  </w:footnote>
  <w:footnote w:id="11">
    <w:p w14:paraId="4D5B798A" w14:textId="4D5C92E6"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rStyle w:val="Hyperlink"/>
          <w:rFonts w:ascii="Times New Roman" w:eastAsia="Calibri" w:hAnsi="Times New Roman" w:cs="Times New Roman"/>
          <w:bCs/>
          <w:iCs/>
          <w:color w:val="000000" w:themeColor="text1"/>
          <w:sz w:val="20"/>
          <w:szCs w:val="20"/>
          <w:lang w:eastAsia="lv-LV" w:bidi="en-US"/>
        </w:rPr>
        <w:t>ES fondu interneta vietnes sadaļā par ES fondu valsts budžeta apguvi</w:t>
      </w:r>
      <w:r w:rsidRPr="00822986">
        <w:rPr>
          <w:i/>
          <w:color w:val="000000" w:themeColor="text1"/>
          <w:lang w:val="lv-LV"/>
        </w:rPr>
        <w:t xml:space="preserve">: </w:t>
      </w:r>
      <w:hyperlink r:id="rId9" w:history="1">
        <w:r w:rsidRPr="00822986">
          <w:rPr>
            <w:rStyle w:val="Hyperlink"/>
            <w:rFonts w:ascii="Times New Roman" w:hAnsi="Times New Roman" w:cs="Times New Roman"/>
            <w:color w:val="000000" w:themeColor="text1"/>
            <w:sz w:val="20"/>
            <w:szCs w:val="20"/>
          </w:rPr>
          <w:t>http://www.esfondi.lv/page.php?id=1141</w:t>
        </w:r>
      </w:hyperlink>
      <w:r w:rsidRPr="00822986">
        <w:rPr>
          <w:color w:val="000000" w:themeColor="text1"/>
          <w:lang w:val="lv-LV"/>
        </w:rPr>
        <w:t xml:space="preserve"> </w:t>
      </w:r>
    </w:p>
  </w:footnote>
  <w:footnote w:id="12">
    <w:p w14:paraId="2C4C450B" w14:textId="10A9BAF6"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ES fondu un Kohēzijas fonda kopējie</w:t>
      </w:r>
      <w:r w:rsidRPr="00822986">
        <w:rPr>
          <w:lang w:val="lv-LV"/>
        </w:rPr>
        <w:t>m</w:t>
      </w:r>
      <w:r w:rsidRPr="00822986">
        <w:t xml:space="preserve"> EK veiktie</w:t>
      </w:r>
      <w:r w:rsidRPr="00822986">
        <w:rPr>
          <w:lang w:val="lv-LV"/>
        </w:rPr>
        <w:t>m</w:t>
      </w:r>
      <w:r w:rsidRPr="00822986">
        <w:t xml:space="preserve"> maksājumi</w:t>
      </w:r>
      <w:r w:rsidRPr="00822986">
        <w:rPr>
          <w:lang w:val="lv-LV"/>
        </w:rPr>
        <w:t>em</w:t>
      </w:r>
      <w:r w:rsidRPr="00822986">
        <w:t xml:space="preserve"> dalībvalstīm</w:t>
      </w:r>
      <w:r w:rsidRPr="00822986">
        <w:rPr>
          <w:lang w:val="lv-LV"/>
        </w:rPr>
        <w:t>:</w:t>
      </w:r>
      <w:r w:rsidRPr="00822986">
        <w:rPr>
          <w:color w:val="000000" w:themeColor="text1"/>
        </w:rPr>
        <w:t xml:space="preserve"> </w:t>
      </w:r>
      <w:hyperlink r:id="rId10" w:history="1">
        <w:r w:rsidRPr="00822986">
          <w:rPr>
            <w:rStyle w:val="Hyperlink"/>
            <w:rFonts w:ascii="Times New Roman" w:hAnsi="Times New Roman" w:cs="Times New Roman"/>
            <w:sz w:val="20"/>
            <w:szCs w:val="20"/>
          </w:rPr>
          <w:t>http://www.esfondi.lv/page.php?id=1065</w:t>
        </w:r>
      </w:hyperlink>
    </w:p>
  </w:footnote>
  <w:footnote w:id="13">
    <w:p w14:paraId="5752E8D8" w14:textId="449CDC05"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ES fondu apguves salīdzinājum</w:t>
      </w:r>
      <w:r w:rsidRPr="00822986">
        <w:rPr>
          <w:lang w:val="lv-LV"/>
        </w:rPr>
        <w:t>u</w:t>
      </w:r>
      <w:r w:rsidRPr="00822986">
        <w:t xml:space="preserve"> starp Baltijas valstīm 2007-2013.g.</w:t>
      </w:r>
      <w:r w:rsidRPr="00822986">
        <w:rPr>
          <w:lang w:val="lv-LV"/>
        </w:rPr>
        <w:t xml:space="preserve">: </w:t>
      </w:r>
      <w:hyperlink r:id="rId11" w:history="1">
        <w:r w:rsidRPr="00822986">
          <w:rPr>
            <w:rStyle w:val="Hyperlink"/>
            <w:rFonts w:ascii="Times New Roman" w:hAnsi="Times New Roman" w:cs="Times New Roman"/>
            <w:color w:val="000000" w:themeColor="text1"/>
            <w:sz w:val="20"/>
            <w:szCs w:val="20"/>
          </w:rPr>
          <w:t>http://www.esfondi.lv/page.php?id=1025</w:t>
        </w:r>
      </w:hyperlink>
    </w:p>
  </w:footnote>
  <w:footnote w:id="14">
    <w:p w14:paraId="22B627E9" w14:textId="77777777" w:rsidR="00937B41" w:rsidRPr="00822986" w:rsidRDefault="00937B41" w:rsidP="00822986">
      <w:pPr>
        <w:pStyle w:val="FootnoteText"/>
        <w:spacing w:before="0" w:after="0" w:line="240" w:lineRule="auto"/>
        <w:rPr>
          <w:color w:val="000000" w:themeColor="text1"/>
        </w:rPr>
      </w:pPr>
      <w:r w:rsidRPr="00822986">
        <w:rPr>
          <w:rStyle w:val="FootnoteReference"/>
          <w:color w:val="000000" w:themeColor="text1"/>
        </w:rPr>
        <w:footnoteRef/>
      </w:r>
      <w:r w:rsidRPr="00822986">
        <w:rPr>
          <w:color w:val="000000" w:themeColor="text1"/>
        </w:rPr>
        <w:t xml:space="preserve"> </w:t>
      </w:r>
      <w:r w:rsidRPr="00822986">
        <w:rPr>
          <w:rFonts w:eastAsia="EUAlbertina-Bold-Identity-H"/>
          <w:color w:val="000000" w:themeColor="text1"/>
          <w:lang w:eastAsia="lv-LV"/>
        </w:rPr>
        <w:t xml:space="preserve">Detalizēta informācija par </w:t>
      </w:r>
      <w:proofErr w:type="spellStart"/>
      <w:r w:rsidRPr="00822986">
        <w:rPr>
          <w:rFonts w:eastAsia="EUAlbertina-Bold-Identity-H"/>
          <w:color w:val="000000" w:themeColor="text1"/>
          <w:lang w:eastAsia="lv-LV"/>
        </w:rPr>
        <w:t>virssaistībām</w:t>
      </w:r>
      <w:proofErr w:type="spellEnd"/>
      <w:r w:rsidRPr="00822986">
        <w:rPr>
          <w:rFonts w:eastAsia="EUAlbertina-Bold-Identity-H"/>
          <w:color w:val="000000" w:themeColor="text1"/>
          <w:lang w:eastAsia="lv-LV"/>
        </w:rPr>
        <w:t xml:space="preserve"> pieejama ES fondu interneta vietnē: http://www.esfondi.lv/page.php?id=1142</w:t>
      </w:r>
    </w:p>
  </w:footnote>
  <w:footnote w:id="15">
    <w:p w14:paraId="15913AE1" w14:textId="428F4736"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Neizpilde tiek aprēķināta, ņemot vērā AI maksājumu mērķa finansējuma saņēmējiem neizpildi februārī un martā SM, VARAM, KM, EM (15,4 </w:t>
      </w:r>
      <w:proofErr w:type="spellStart"/>
      <w:r w:rsidRPr="00822986">
        <w:rPr>
          <w:color w:val="000000" w:themeColor="text1"/>
        </w:rPr>
        <w:t>milj</w:t>
      </w:r>
      <w:proofErr w:type="spellEnd"/>
      <w:r w:rsidRPr="00822986">
        <w:rPr>
          <w:color w:val="000000" w:themeColor="text1"/>
        </w:rPr>
        <w:t>. latu) un noslēgto līgumu neizpilde 2013.gada 1.ceturksnī SM, VARAM, KM, 22,0 milj. latu.</w:t>
      </w:r>
    </w:p>
  </w:footnote>
  <w:footnote w:id="16">
    <w:p w14:paraId="3FC5A053" w14:textId="1BFEBA90"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MK 2013.gada 12.marta sēdes </w:t>
      </w:r>
      <w:proofErr w:type="spellStart"/>
      <w:r w:rsidRPr="00822986">
        <w:rPr>
          <w:color w:val="000000" w:themeColor="text1"/>
          <w:lang w:eastAsia="lv-LV"/>
        </w:rPr>
        <w:t>protokollēmuma</w:t>
      </w:r>
      <w:proofErr w:type="spellEnd"/>
      <w:r w:rsidRPr="00822986">
        <w:rPr>
          <w:color w:val="000000" w:themeColor="text1"/>
          <w:lang w:eastAsia="lv-LV"/>
        </w:rPr>
        <w:t xml:space="preserve"> Nr.</w:t>
      </w:r>
      <w:r w:rsidRPr="00822986">
        <w:rPr>
          <w:color w:val="000000" w:themeColor="text1"/>
          <w:lang w:val="lv-LV" w:eastAsia="lv-LV"/>
        </w:rPr>
        <w:t>14</w:t>
      </w:r>
      <w:r w:rsidRPr="00822986">
        <w:rPr>
          <w:color w:val="000000" w:themeColor="text1"/>
          <w:lang w:eastAsia="lv-LV"/>
        </w:rPr>
        <w:t xml:space="preserve"> </w:t>
      </w:r>
      <w:r w:rsidRPr="00822986">
        <w:rPr>
          <w:color w:val="000000" w:themeColor="text1"/>
          <w:lang w:val="lv-LV" w:eastAsia="lv-LV"/>
        </w:rPr>
        <w:t>10.punkts</w:t>
      </w:r>
    </w:p>
    <w:p w14:paraId="1BA4741C" w14:textId="77777777" w:rsidR="00937B41" w:rsidRPr="00822986" w:rsidRDefault="00937B41" w:rsidP="00822986">
      <w:pPr>
        <w:pStyle w:val="FootnoteText"/>
        <w:spacing w:before="0" w:after="0" w:line="240" w:lineRule="auto"/>
        <w:rPr>
          <w:color w:val="000000" w:themeColor="text1"/>
          <w:lang w:val="lv-LV"/>
        </w:rPr>
      </w:pPr>
    </w:p>
  </w:footnote>
  <w:footnote w:id="17">
    <w:p w14:paraId="3BE74488" w14:textId="6A2D004D" w:rsidR="00937B41" w:rsidRPr="00822986" w:rsidRDefault="00937B41" w:rsidP="00822986">
      <w:pPr>
        <w:pStyle w:val="FootnoteText"/>
        <w:spacing w:before="0" w:after="0" w:line="240" w:lineRule="auto"/>
        <w:rPr>
          <w:color w:val="000000" w:themeColor="text1"/>
          <w:lang w:val="lv-LV" w:eastAsia="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Ņ</w:t>
      </w:r>
      <w:proofErr w:type="spellStart"/>
      <w:r w:rsidRPr="00822986">
        <w:rPr>
          <w:color w:val="000000" w:themeColor="text1"/>
          <w:lang w:eastAsia="lv-LV"/>
        </w:rPr>
        <w:t>emot</w:t>
      </w:r>
      <w:proofErr w:type="spellEnd"/>
      <w:r w:rsidRPr="00822986">
        <w:rPr>
          <w:color w:val="000000" w:themeColor="text1"/>
          <w:lang w:eastAsia="lv-LV"/>
        </w:rPr>
        <w:t xml:space="preserve"> vērā MK 2012.gada </w:t>
      </w:r>
      <w:r w:rsidRPr="00822986">
        <w:rPr>
          <w:color w:val="000000" w:themeColor="text1"/>
          <w:lang w:val="lv-LV" w:eastAsia="lv-LV"/>
        </w:rPr>
        <w:t>8</w:t>
      </w:r>
      <w:r w:rsidRPr="00822986">
        <w:rPr>
          <w:color w:val="000000" w:themeColor="text1"/>
          <w:lang w:eastAsia="lv-LV"/>
        </w:rPr>
        <w:t>.</w:t>
      </w:r>
      <w:r w:rsidRPr="00822986">
        <w:rPr>
          <w:color w:val="000000" w:themeColor="text1"/>
          <w:lang w:val="lv-LV" w:eastAsia="lv-LV"/>
        </w:rPr>
        <w:t>maija</w:t>
      </w:r>
      <w:r w:rsidRPr="00822986">
        <w:rPr>
          <w:color w:val="000000" w:themeColor="text1"/>
          <w:lang w:eastAsia="lv-LV"/>
        </w:rPr>
        <w:t xml:space="preserve"> sēdes </w:t>
      </w:r>
      <w:proofErr w:type="spellStart"/>
      <w:r w:rsidRPr="00822986">
        <w:rPr>
          <w:color w:val="000000" w:themeColor="text1"/>
          <w:lang w:eastAsia="lv-LV"/>
        </w:rPr>
        <w:t>protokollēmuma</w:t>
      </w:r>
      <w:proofErr w:type="spellEnd"/>
      <w:r w:rsidRPr="00822986">
        <w:rPr>
          <w:color w:val="000000" w:themeColor="text1"/>
          <w:lang w:eastAsia="lv-LV"/>
        </w:rPr>
        <w:t xml:space="preserve"> Nr.</w:t>
      </w:r>
      <w:r w:rsidRPr="00822986">
        <w:rPr>
          <w:color w:val="000000" w:themeColor="text1"/>
          <w:lang w:val="lv-LV" w:eastAsia="lv-LV"/>
        </w:rPr>
        <w:t>25</w:t>
      </w:r>
      <w:r w:rsidRPr="00822986">
        <w:rPr>
          <w:color w:val="000000" w:themeColor="text1"/>
          <w:lang w:eastAsia="lv-LV"/>
        </w:rPr>
        <w:t xml:space="preserve"> 2</w:t>
      </w:r>
      <w:r w:rsidRPr="00822986">
        <w:rPr>
          <w:color w:val="000000" w:themeColor="text1"/>
          <w:lang w:val="lv-LV" w:eastAsia="lv-LV"/>
        </w:rPr>
        <w:t>6</w:t>
      </w:r>
      <w:r w:rsidRPr="00822986">
        <w:rPr>
          <w:color w:val="000000" w:themeColor="text1"/>
          <w:lang w:eastAsia="lv-LV"/>
        </w:rPr>
        <w:t>.§</w:t>
      </w:r>
      <w:r w:rsidRPr="00822986">
        <w:rPr>
          <w:color w:val="000000" w:themeColor="text1"/>
          <w:lang w:val="lv-LV" w:eastAsia="lv-LV"/>
        </w:rPr>
        <w:t xml:space="preserve"> 8.punktu Finanšu ministrijai reizi ceturksnī izvērtēt uzņemto </w:t>
      </w:r>
      <w:proofErr w:type="spellStart"/>
      <w:r w:rsidRPr="00822986">
        <w:rPr>
          <w:color w:val="000000" w:themeColor="text1"/>
          <w:lang w:val="lv-LV" w:eastAsia="lv-LV"/>
        </w:rPr>
        <w:t>virssaistību</w:t>
      </w:r>
      <w:proofErr w:type="spellEnd"/>
      <w:r w:rsidRPr="00822986">
        <w:rPr>
          <w:color w:val="000000" w:themeColor="text1"/>
          <w:lang w:val="lv-LV" w:eastAsia="lv-LV"/>
        </w:rPr>
        <w:t xml:space="preserve"> apmēru un potenciālo ietekmi uz valsts budžeta deficītu 2013.-2015.gadā</w:t>
      </w:r>
      <w:r w:rsidRPr="00822986">
        <w:rPr>
          <w:color w:val="000000" w:themeColor="text1"/>
        </w:rPr>
        <w:t xml:space="preserve"> </w:t>
      </w:r>
      <w:r w:rsidRPr="00822986">
        <w:rPr>
          <w:color w:val="000000" w:themeColor="text1"/>
          <w:lang w:val="lv-LV" w:eastAsia="lv-LV"/>
        </w:rPr>
        <w:t>un nepieciešamības gadījumā informē MK.</w:t>
      </w:r>
    </w:p>
  </w:footnote>
  <w:footnote w:id="18">
    <w:p w14:paraId="28C93CE4" w14:textId="72B4D8EC"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ES fondu finanšu progres</w:t>
      </w:r>
      <w:r w:rsidRPr="00822986">
        <w:rPr>
          <w:lang w:val="lv-LV"/>
        </w:rPr>
        <w:t xml:space="preserve">u: </w:t>
      </w:r>
      <w:hyperlink r:id="rId12" w:history="1">
        <w:r w:rsidRPr="00822986">
          <w:rPr>
            <w:rStyle w:val="Hyperlink"/>
            <w:rFonts w:ascii="Times New Roman" w:hAnsi="Times New Roman" w:cs="Times New Roman"/>
            <w:color w:val="000000" w:themeColor="text1"/>
            <w:sz w:val="20"/>
            <w:szCs w:val="20"/>
          </w:rPr>
          <w:t>http://www.esfondi.lv/page.php?id=909</w:t>
        </w:r>
      </w:hyperlink>
      <w:r w:rsidRPr="00822986">
        <w:rPr>
          <w:color w:val="000000" w:themeColor="text1"/>
          <w:lang w:val="lv-LV"/>
        </w:rPr>
        <w:t xml:space="preserve"> </w:t>
      </w:r>
    </w:p>
  </w:footnote>
  <w:footnote w:id="19">
    <w:p w14:paraId="6D7A0AE3" w14:textId="6499BEF3" w:rsidR="00937B41" w:rsidRPr="00822986" w:rsidRDefault="00937B41" w:rsidP="00822986">
      <w:pPr>
        <w:pStyle w:val="FootnoteText"/>
        <w:spacing w:before="0" w:after="0" w:line="240" w:lineRule="auto"/>
        <w:rPr>
          <w:rStyle w:val="Hyperlink"/>
          <w:rFonts w:ascii="Times New Roman" w:hAnsi="Times New Roman" w:cs="Times New Roman"/>
          <w:color w:val="000000" w:themeColor="text1"/>
          <w:sz w:val="20"/>
          <w:szCs w:val="20"/>
        </w:rPr>
      </w:pPr>
      <w:r w:rsidRPr="00822986">
        <w:rPr>
          <w:rStyle w:val="FootnoteReference"/>
          <w:color w:val="000000" w:themeColor="text1"/>
        </w:rPr>
        <w:footnoteRef/>
      </w:r>
      <w:r w:rsidRPr="00822986">
        <w:rPr>
          <w:rStyle w:val="FootnoteReference"/>
          <w:color w:val="000000" w:themeColor="text1"/>
        </w:rPr>
        <w:t xml:space="preserve"> </w:t>
      </w:r>
      <w:r w:rsidRPr="00822986">
        <w:rPr>
          <w:color w:val="000000" w:themeColor="text1"/>
          <w:lang w:val="lv-LV"/>
        </w:rPr>
        <w:t xml:space="preserve">ES fondu interneta vietnes sadaļā, kur pieejams </w:t>
      </w:r>
      <w:r w:rsidRPr="00822986">
        <w:t>ES fondu aktivitāšu kalendārs</w:t>
      </w:r>
      <w:r w:rsidRPr="00822986">
        <w:rPr>
          <w:lang w:val="lv-LV"/>
        </w:rPr>
        <w:t xml:space="preserve">: </w:t>
      </w:r>
      <w:hyperlink r:id="rId13" w:history="1">
        <w:r w:rsidRPr="00822986">
          <w:rPr>
            <w:rStyle w:val="Hyperlink"/>
            <w:rFonts w:ascii="Times New Roman" w:hAnsi="Times New Roman" w:cs="Times New Roman"/>
            <w:color w:val="000000" w:themeColor="text1"/>
            <w:sz w:val="20"/>
            <w:szCs w:val="20"/>
          </w:rPr>
          <w:t>http://www.esfondi.lv/page.php?id=939</w:t>
        </w:r>
      </w:hyperlink>
    </w:p>
  </w:footnote>
  <w:footnote w:id="20">
    <w:p w14:paraId="574DCF80" w14:textId="1269D9F8"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ES fondu finanšu progres</w:t>
      </w:r>
      <w:r w:rsidRPr="00822986">
        <w:rPr>
          <w:lang w:val="lv-LV"/>
        </w:rPr>
        <w:t xml:space="preserve">u: </w:t>
      </w:r>
      <w:hyperlink r:id="rId14" w:history="1">
        <w:r w:rsidRPr="00822986">
          <w:rPr>
            <w:rStyle w:val="Hyperlink"/>
            <w:rFonts w:ascii="Times New Roman" w:hAnsi="Times New Roman" w:cs="Times New Roman"/>
            <w:color w:val="000000" w:themeColor="text1"/>
            <w:sz w:val="20"/>
            <w:szCs w:val="20"/>
          </w:rPr>
          <w:t>http://www.esfondi.lv/page.php?id=909</w:t>
        </w:r>
      </w:hyperlink>
      <w:r w:rsidRPr="00822986">
        <w:rPr>
          <w:color w:val="000000" w:themeColor="text1"/>
          <w:lang w:val="lv-LV"/>
        </w:rPr>
        <w:t xml:space="preserve"> </w:t>
      </w:r>
    </w:p>
  </w:footnote>
  <w:footnote w:id="21">
    <w:p w14:paraId="788C8617" w14:textId="35B417F3"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Finanšu instrumentu ieviešanas status</w:t>
      </w:r>
      <w:r w:rsidRPr="00822986">
        <w:rPr>
          <w:lang w:val="lv-LV"/>
        </w:rPr>
        <w:t xml:space="preserve">u: </w:t>
      </w:r>
      <w:hyperlink r:id="rId15" w:history="1">
        <w:r w:rsidRPr="00822986">
          <w:rPr>
            <w:rStyle w:val="Hyperlink"/>
            <w:rFonts w:ascii="Times New Roman" w:hAnsi="Times New Roman" w:cs="Times New Roman"/>
            <w:sz w:val="20"/>
            <w:szCs w:val="20"/>
          </w:rPr>
          <w:t>http://www.esfondi.lv/page.php?id=1064</w:t>
        </w:r>
      </w:hyperlink>
    </w:p>
  </w:footnote>
  <w:footnote w:id="22">
    <w:p w14:paraId="0BDB5C47" w14:textId="4C2FC996"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Izpildot MK š.g. 5.marta sēdes </w:t>
      </w:r>
      <w:proofErr w:type="spellStart"/>
      <w:r w:rsidRPr="00822986">
        <w:rPr>
          <w:color w:val="000000" w:themeColor="text1"/>
        </w:rPr>
        <w:t>protokollēmuma</w:t>
      </w:r>
      <w:proofErr w:type="spellEnd"/>
      <w:r w:rsidRPr="00822986">
        <w:rPr>
          <w:color w:val="000000" w:themeColor="text1"/>
        </w:rPr>
        <w:t xml:space="preserve"> </w:t>
      </w:r>
      <w:proofErr w:type="spellStart"/>
      <w:r w:rsidRPr="00822986">
        <w:rPr>
          <w:color w:val="000000" w:themeColor="text1"/>
        </w:rPr>
        <w:t>Nr</w:t>
      </w:r>
      <w:proofErr w:type="spellEnd"/>
      <w:r w:rsidRPr="00822986">
        <w:rPr>
          <w:color w:val="000000" w:themeColor="text1"/>
        </w:rPr>
        <w:t xml:space="preserve">. 13 38.§ „Latvijas nacionālā pozīcija „Par DG REGIO 2011.gada oktobrī veiktās revīzijas rezultātā aprēķināto finanšu korekciju par ERAF līdzfinansēto finanšu vadības instrumentu aktivitāšu īstenošanu Latvijā un DG EMPL 2011.gada decembrī veiktās revīzijas rezultātā aprēķināto finanšu korekciju par </w:t>
      </w:r>
      <w:r w:rsidRPr="00822986">
        <w:rPr>
          <w:color w:val="000000" w:themeColor="text1"/>
          <w:lang w:val="lv-LV"/>
        </w:rPr>
        <w:t>ESF</w:t>
      </w:r>
      <w:r w:rsidRPr="00822986">
        <w:rPr>
          <w:color w:val="000000" w:themeColor="text1"/>
        </w:rPr>
        <w:t xml:space="preserve"> līdzfinansētās finanšu vadības instrumentu aktivitātes īstenošanā Latvijā” 6.punktā noteikto, </w:t>
      </w:r>
      <w:r w:rsidRPr="00822986">
        <w:rPr>
          <w:color w:val="000000" w:themeColor="text1"/>
          <w:lang w:val="lv-LV"/>
        </w:rPr>
        <w:t>FM</w:t>
      </w:r>
      <w:r w:rsidRPr="00822986">
        <w:rPr>
          <w:color w:val="000000" w:themeColor="text1"/>
        </w:rPr>
        <w:t xml:space="preserve"> sadarbībā ar </w:t>
      </w:r>
      <w:r w:rsidRPr="00822986">
        <w:rPr>
          <w:color w:val="000000" w:themeColor="text1"/>
          <w:lang w:val="lv-LV"/>
        </w:rPr>
        <w:t>EM</w:t>
      </w:r>
      <w:r w:rsidRPr="00822986">
        <w:rPr>
          <w:color w:val="000000" w:themeColor="text1"/>
        </w:rPr>
        <w:t xml:space="preserve"> izstrādā grozījumus </w:t>
      </w:r>
      <w:r w:rsidRPr="00822986">
        <w:rPr>
          <w:color w:val="000000" w:themeColor="text1"/>
          <w:lang w:val="lv-LV"/>
        </w:rPr>
        <w:t>DP</w:t>
      </w:r>
      <w:r w:rsidRPr="00822986">
        <w:rPr>
          <w:color w:val="000000" w:themeColor="text1"/>
        </w:rPr>
        <w:t xml:space="preserve"> „Uzņēmējdarbība un inovācijas”, ko plānots apstiprināt MK līdz š.g. 1.jūlijam. Sekojoši grozījumu priekšlikuma konsolidētā versija tiks iesniegta DG REGIO saskaņošanai.</w:t>
      </w:r>
    </w:p>
  </w:footnote>
  <w:footnote w:id="23">
    <w:p w14:paraId="44CBA0BE" w14:textId="0CDC8401"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Finanšu instrumentu ieviešanas status</w:t>
      </w:r>
      <w:r w:rsidRPr="00822986">
        <w:rPr>
          <w:lang w:val="lv-LV"/>
        </w:rPr>
        <w:t xml:space="preserve">u: </w:t>
      </w:r>
      <w:hyperlink r:id="rId16" w:history="1">
        <w:r w:rsidRPr="00822986">
          <w:rPr>
            <w:rStyle w:val="Hyperlink"/>
            <w:rFonts w:ascii="Times New Roman" w:hAnsi="Times New Roman" w:cs="Times New Roman"/>
            <w:sz w:val="20"/>
            <w:szCs w:val="20"/>
          </w:rPr>
          <w:t>http://www.esfondi.lv/page.php?id=1064</w:t>
        </w:r>
      </w:hyperlink>
    </w:p>
  </w:footnote>
  <w:footnote w:id="24">
    <w:p w14:paraId="1023534E" w14:textId="77777777" w:rsidR="00937B41" w:rsidRPr="00822986" w:rsidRDefault="00937B41" w:rsidP="00822986">
      <w:pPr>
        <w:pStyle w:val="FootnoteText"/>
        <w:spacing w:before="0" w:after="0" w:line="240" w:lineRule="auto"/>
        <w:rPr>
          <w:b/>
          <w:color w:val="000000" w:themeColor="text1"/>
          <w:lang w:val="lv-LV" w:eastAsia="lv-LV"/>
        </w:rPr>
      </w:pPr>
      <w:r w:rsidRPr="00822986">
        <w:rPr>
          <w:rStyle w:val="FootnoteReference"/>
          <w:color w:val="000000" w:themeColor="text1"/>
        </w:rPr>
        <w:footnoteRef/>
      </w:r>
      <w:r w:rsidRPr="00822986">
        <w:rPr>
          <w:rStyle w:val="FootnoteReference"/>
          <w:color w:val="000000" w:themeColor="text1"/>
        </w:rPr>
        <w:t xml:space="preserve"> </w:t>
      </w:r>
      <w:r w:rsidRPr="00822986">
        <w:rPr>
          <w:rStyle w:val="FootnoteReference"/>
          <w:color w:val="000000" w:themeColor="text1"/>
          <w:vertAlign w:val="baseline"/>
        </w:rPr>
        <w:t>2013.gada 12.marta MK sēdes protokols Nr.12</w:t>
      </w:r>
      <w:r w:rsidRPr="00822986">
        <w:rPr>
          <w:color w:val="000000" w:themeColor="text1"/>
          <w:lang w:val="lv-LV"/>
        </w:rPr>
        <w:t xml:space="preserve"> </w:t>
      </w:r>
      <w:r w:rsidRPr="00822986">
        <w:rPr>
          <w:rStyle w:val="FootnoteReference"/>
          <w:color w:val="000000" w:themeColor="text1"/>
          <w:vertAlign w:val="baseline"/>
        </w:rPr>
        <w:t>32.§</w:t>
      </w:r>
      <w:r w:rsidRPr="00822986">
        <w:rPr>
          <w:color w:val="000000" w:themeColor="text1"/>
          <w:lang w:val="lv-LV"/>
        </w:rPr>
        <w:t xml:space="preserve">. Pieejams MK interneta vietnē: </w:t>
      </w:r>
      <w:hyperlink r:id="rId17" w:history="1">
        <w:r w:rsidRPr="00822986">
          <w:rPr>
            <w:rStyle w:val="Hyperlink"/>
            <w:rFonts w:ascii="Times New Roman" w:hAnsi="Times New Roman" w:cs="Times New Roman"/>
            <w:color w:val="000000" w:themeColor="text1"/>
            <w:sz w:val="20"/>
            <w:szCs w:val="20"/>
            <w:lang w:val="lv-LV"/>
          </w:rPr>
          <w:t>http://www.mk.gov.lv/lv/mk/mksedes/saraksts/protokols/?protokols=2013-03-12</w:t>
        </w:r>
      </w:hyperlink>
    </w:p>
  </w:footnote>
  <w:footnote w:id="25">
    <w:p w14:paraId="531A1AB5" w14:textId="75CD4DA2"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kur pieejams </w:t>
      </w:r>
      <w:r w:rsidRPr="00822986">
        <w:t>ES fondu aktivitāšu kalendārs</w:t>
      </w:r>
      <w:r w:rsidRPr="00822986">
        <w:rPr>
          <w:lang w:val="lv-LV"/>
        </w:rPr>
        <w:t xml:space="preserve">: </w:t>
      </w:r>
      <w:hyperlink r:id="rId18" w:history="1">
        <w:r w:rsidRPr="00822986">
          <w:rPr>
            <w:rStyle w:val="Hyperlink"/>
            <w:rFonts w:ascii="Times New Roman" w:hAnsi="Times New Roman" w:cs="Times New Roman"/>
            <w:color w:val="000000" w:themeColor="text1"/>
            <w:sz w:val="20"/>
            <w:szCs w:val="20"/>
          </w:rPr>
          <w:t>http://www.esfondi.lv/page.php?id=939</w:t>
        </w:r>
      </w:hyperlink>
    </w:p>
  </w:footnote>
  <w:footnote w:id="26">
    <w:p w14:paraId="2B7F76AF" w14:textId="01DBC2FC"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ES fondu finanšu progres</w:t>
      </w:r>
      <w:r w:rsidRPr="00822986">
        <w:rPr>
          <w:lang w:val="lv-LV"/>
        </w:rPr>
        <w:t xml:space="preserve">u: </w:t>
      </w:r>
      <w:hyperlink r:id="rId19" w:history="1">
        <w:r w:rsidRPr="00822986">
          <w:rPr>
            <w:rStyle w:val="Hyperlink"/>
            <w:rFonts w:ascii="Times New Roman" w:hAnsi="Times New Roman" w:cs="Times New Roman"/>
            <w:color w:val="000000" w:themeColor="text1"/>
            <w:sz w:val="20"/>
            <w:szCs w:val="20"/>
          </w:rPr>
          <w:t>http://www.esfondi.lv/page.php?id=909</w:t>
        </w:r>
      </w:hyperlink>
      <w:r w:rsidRPr="00822986">
        <w:rPr>
          <w:color w:val="000000" w:themeColor="text1"/>
          <w:lang w:val="lv-LV"/>
        </w:rPr>
        <w:t xml:space="preserve"> </w:t>
      </w:r>
    </w:p>
  </w:footnote>
  <w:footnote w:id="27">
    <w:p w14:paraId="0EE83F18" w14:textId="6251D450" w:rsidR="00937B41" w:rsidRPr="00822986" w:rsidRDefault="00937B41" w:rsidP="00822986">
      <w:pPr>
        <w:pStyle w:val="NoSpacing"/>
        <w:spacing w:before="0" w:after="0" w:line="240" w:lineRule="auto"/>
        <w:rPr>
          <w:color w:val="000000" w:themeColor="text1"/>
          <w:sz w:val="20"/>
          <w:szCs w:val="20"/>
        </w:rPr>
      </w:pPr>
      <w:r w:rsidRPr="00822986">
        <w:rPr>
          <w:rStyle w:val="FootnoteReference"/>
          <w:color w:val="000000" w:themeColor="text1"/>
          <w:sz w:val="20"/>
          <w:szCs w:val="20"/>
        </w:rPr>
        <w:footnoteRef/>
      </w:r>
      <w:r w:rsidRPr="00822986">
        <w:rPr>
          <w:color w:val="000000" w:themeColor="text1"/>
          <w:sz w:val="20"/>
          <w:szCs w:val="20"/>
        </w:rPr>
        <w:t xml:space="preserve"> Saskaņā ar MK 26.06.2007. noteikumu Nr.419 „Kārtība, kādā Eiropas Savienības struktūrfondu un Kohēzijas fonda vadībā iesaistītās institūcijas nodrošina plānošanas dokumentu sagatavošanu un šo fondu ieviešanu” 25.</w:t>
      </w:r>
      <w:r w:rsidRPr="00822986">
        <w:rPr>
          <w:color w:val="000000" w:themeColor="text1"/>
          <w:sz w:val="20"/>
          <w:szCs w:val="20"/>
          <w:vertAlign w:val="superscript"/>
        </w:rPr>
        <w:t>2</w:t>
      </w:r>
      <w:r w:rsidRPr="00822986">
        <w:rPr>
          <w:color w:val="000000" w:themeColor="text1"/>
          <w:sz w:val="20"/>
          <w:szCs w:val="20"/>
        </w:rPr>
        <w:t xml:space="preserve"> 5. un 25.</w:t>
      </w:r>
      <w:r w:rsidRPr="00822986">
        <w:rPr>
          <w:color w:val="000000" w:themeColor="text1"/>
          <w:sz w:val="20"/>
          <w:szCs w:val="20"/>
          <w:vertAlign w:val="superscript"/>
        </w:rPr>
        <w:t>2</w:t>
      </w:r>
      <w:r w:rsidRPr="00822986">
        <w:rPr>
          <w:color w:val="000000" w:themeColor="text1"/>
          <w:sz w:val="20"/>
          <w:szCs w:val="20"/>
        </w:rPr>
        <w:t xml:space="preserve"> 3.minētajiem projekta pagarināšanas iemesliem.</w:t>
      </w:r>
    </w:p>
  </w:footnote>
  <w:footnote w:id="28">
    <w:p w14:paraId="53F8E4C0" w14:textId="3BF0B191"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Ņemot vērā grozījumus EK Regulā 1083/2006, par lielajiem projektiem visās nozarēs tiek uzskatīti tādi projekti, kuru kopējās attiecināmās izmaksas pārsniedz 50 miljonus eiro</w:t>
      </w:r>
      <w:r w:rsidRPr="00822986">
        <w:rPr>
          <w:color w:val="000000" w:themeColor="text1"/>
          <w:lang w:val="lv-LV"/>
        </w:rPr>
        <w:t xml:space="preserve"> un tie finansēti no ERAF vai Kohēzijas fonda. Detalizētāka informācija par lielajiem projektiem, t.sk. apguves mērķiem ES fondu interneta vietnē: </w:t>
      </w:r>
      <w:hyperlink r:id="rId20" w:history="1">
        <w:r w:rsidRPr="00822986">
          <w:rPr>
            <w:rStyle w:val="Hyperlink"/>
            <w:rFonts w:ascii="Times New Roman" w:hAnsi="Times New Roman" w:cs="Times New Roman"/>
            <w:color w:val="000000" w:themeColor="text1"/>
            <w:sz w:val="20"/>
            <w:szCs w:val="20"/>
            <w:lang w:val="lv-LV"/>
          </w:rPr>
          <w:t>http://www.esfondi.lv/page.php?id=791</w:t>
        </w:r>
      </w:hyperlink>
      <w:r w:rsidRPr="00822986">
        <w:rPr>
          <w:color w:val="000000" w:themeColor="text1"/>
          <w:lang w:val="lv-LV"/>
        </w:rPr>
        <w:t xml:space="preserve"> </w:t>
      </w:r>
    </w:p>
  </w:footnote>
  <w:footnote w:id="29">
    <w:p w14:paraId="0E6C770A" w14:textId="743538C2"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MK 2013.gada 2.aprīļa sēdes protokols Nr.17 52.§</w:t>
      </w:r>
    </w:p>
  </w:footnote>
  <w:footnote w:id="30">
    <w:p w14:paraId="02EF7D5A" w14:textId="5EB819E4"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„ES Kohēzijas politikas fondu darbības programmas 2014.-2020.gadam sākotnējais (</w:t>
      </w:r>
      <w:proofErr w:type="spellStart"/>
      <w:r w:rsidRPr="00822986">
        <w:rPr>
          <w:color w:val="000000" w:themeColor="text1"/>
        </w:rPr>
        <w:t>ex-ante)</w:t>
      </w:r>
      <w:proofErr w:type="spellEnd"/>
      <w:r w:rsidRPr="00822986">
        <w:rPr>
          <w:color w:val="000000" w:themeColor="text1"/>
        </w:rPr>
        <w:t xml:space="preserve"> izvērtējums”</w:t>
      </w:r>
      <w:r w:rsidRPr="00822986">
        <w:rPr>
          <w:color w:val="000000" w:themeColor="text1"/>
          <w:lang w:val="lv-LV"/>
        </w:rPr>
        <w:t>.</w:t>
      </w:r>
    </w:p>
  </w:footnote>
  <w:footnote w:id="31">
    <w:p w14:paraId="65457487" w14:textId="6F621364" w:rsidR="00937B41" w:rsidRPr="00822986" w:rsidRDefault="00937B41" w:rsidP="00822986">
      <w:pPr>
        <w:pStyle w:val="FootnoteText"/>
        <w:spacing w:before="0" w:after="0" w:line="240" w:lineRule="auto"/>
        <w:jc w:val="left"/>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EEZ/Norvēģijas finanšu instrumentu  interneta vietne: </w:t>
      </w:r>
      <w:hyperlink r:id="rId21" w:history="1">
        <w:r w:rsidRPr="00822986">
          <w:rPr>
            <w:rStyle w:val="Hyperlink"/>
            <w:rFonts w:ascii="Times New Roman" w:hAnsi="Times New Roman" w:cs="Times New Roman"/>
            <w:color w:val="000000" w:themeColor="text1"/>
            <w:sz w:val="20"/>
            <w:szCs w:val="20"/>
          </w:rPr>
          <w:t>http://www.eeagrants.lv/?id=23</w:t>
        </w:r>
      </w:hyperlink>
      <w:r w:rsidRPr="00822986">
        <w:rPr>
          <w:color w:val="000000" w:themeColor="text1"/>
          <w:lang w:val="lv-LV"/>
        </w:rPr>
        <w:t xml:space="preserve"> </w:t>
      </w:r>
    </w:p>
  </w:footnote>
  <w:footnote w:id="32">
    <w:p w14:paraId="34945030" w14:textId="6AB109F1" w:rsidR="00937B41" w:rsidRPr="00822986" w:rsidRDefault="00937B41" w:rsidP="00822986">
      <w:pPr>
        <w:pStyle w:val="FootnoteText"/>
        <w:spacing w:before="0" w:after="0" w:line="240" w:lineRule="auto"/>
        <w:jc w:val="left"/>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EEZ/Norvēģijas finanšu instrumentu  interneta vietne, kur sniegta informācija par īstenotajām programmām: </w:t>
      </w:r>
      <w:hyperlink r:id="rId22" w:history="1">
        <w:r w:rsidRPr="00822986">
          <w:rPr>
            <w:rStyle w:val="Hyperlink"/>
            <w:rFonts w:ascii="Times New Roman" w:hAnsi="Times New Roman" w:cs="Times New Roman"/>
            <w:color w:val="000000" w:themeColor="text1"/>
            <w:sz w:val="20"/>
            <w:szCs w:val="20"/>
          </w:rPr>
          <w:t>http://www.eeagrants.lv/?id=47</w:t>
        </w:r>
      </w:hyperlink>
      <w:r w:rsidRPr="00822986">
        <w:rPr>
          <w:color w:val="000000" w:themeColor="text1"/>
          <w:lang w:val="lv-LV"/>
        </w:rPr>
        <w:t xml:space="preserve"> </w:t>
      </w:r>
    </w:p>
  </w:footnote>
  <w:footnote w:id="33">
    <w:p w14:paraId="1BE7E855" w14:textId="265B0DD9"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Šveices programmas interneta vietnes sadaļa, kura pieejami programmas īstenošanu regulējošie dokumenti:  </w:t>
      </w:r>
      <w:hyperlink r:id="rId23" w:history="1">
        <w:r w:rsidRPr="00822986">
          <w:rPr>
            <w:rStyle w:val="Hyperlink"/>
            <w:rFonts w:ascii="Times New Roman" w:hAnsi="Times New Roman" w:cs="Times New Roman"/>
            <w:sz w:val="20"/>
            <w:szCs w:val="20"/>
            <w:lang w:val="lv-LV"/>
          </w:rPr>
          <w:t>http://www.swiss-contribution.lv/page/4</w:t>
        </w:r>
      </w:hyperlink>
    </w:p>
  </w:footnote>
  <w:footnote w:id="34">
    <w:p w14:paraId="60FD1658" w14:textId="2324A3FD"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lang w:val="lv-LV"/>
        </w:rPr>
        <w:t xml:space="preserve"> Sabiedrības integrācijas fonda interneta vietnes jaunu sadaļā par Latvijas-Šveices sadarbības programmas grantu shēmas „NVO fonds” noslēguma pasākumu: </w:t>
      </w:r>
      <w:hyperlink r:id="rId24" w:history="1">
        <w:r w:rsidRPr="00822986">
          <w:rPr>
            <w:rStyle w:val="Hyperlink"/>
            <w:rFonts w:ascii="Times New Roman" w:hAnsi="Times New Roman" w:cs="Times New Roman"/>
            <w:sz w:val="20"/>
            <w:szCs w:val="20"/>
            <w:lang w:val="lv-LV"/>
          </w:rPr>
          <w:t>http://www.sif.lv/index.php?option=com_content&amp;view=article&amp;id=8691%3ALatvijas-Sveices-sadarbibas-programmas-grantu-shemas-NVO-fonds-nosleguma-pasakums&amp;catid=14%3AJaunumi&amp;Itemid=186&amp;lang=lv</w:t>
        </w:r>
      </w:hyperlink>
    </w:p>
  </w:footnote>
  <w:footnote w:id="35">
    <w:p w14:paraId="4B69E1DC" w14:textId="77777777" w:rsidR="00937B41" w:rsidRPr="00822986" w:rsidRDefault="00937B41" w:rsidP="00822986">
      <w:pPr>
        <w:pStyle w:val="FootnoteText"/>
        <w:spacing w:before="0" w:after="0" w:line="240" w:lineRule="auto"/>
        <w:rPr>
          <w:color w:val="000000" w:themeColor="text1"/>
        </w:rPr>
      </w:pPr>
      <w:r w:rsidRPr="00822986">
        <w:rPr>
          <w:rStyle w:val="FootnoteReference"/>
          <w:rFonts w:eastAsiaTheme="majorEastAsia"/>
          <w:color w:val="000000" w:themeColor="text1"/>
        </w:rPr>
        <w:footnoteRef/>
      </w:r>
      <w:r w:rsidRPr="00822986">
        <w:rPr>
          <w:color w:val="000000" w:themeColor="text1"/>
        </w:rPr>
        <w:t xml:space="preserve"> Jebkurš LR vai ES tiesību akta pārkāpums</w:t>
      </w:r>
      <w:r w:rsidRPr="00822986">
        <w:rPr>
          <w:bCs/>
          <w:color w:val="000000" w:themeColor="text1"/>
        </w:rPr>
        <w:t xml:space="preserve">, </w:t>
      </w:r>
      <w:r w:rsidRPr="00822986">
        <w:rPr>
          <w:color w:val="000000" w:themeColor="text1"/>
        </w:rPr>
        <w:t xml:space="preserve">kas atbilst </w:t>
      </w:r>
      <w:r w:rsidRPr="00822986">
        <w:rPr>
          <w:bCs/>
          <w:color w:val="000000" w:themeColor="text1"/>
        </w:rPr>
        <w:t>Padomes 2006.gada 11.jūlija Regulas (EK) Nr.1083/2006, ar ko paredz vispārīgus noteikumus par ES fondiem un atceļ Regulu (EK) Nr.1260/1999, 2.panta 7.punktā noteiktajam.</w:t>
      </w:r>
    </w:p>
  </w:footnote>
  <w:footnote w:id="36">
    <w:p w14:paraId="380AA1DE" w14:textId="78D82E33" w:rsidR="00937B41" w:rsidRPr="00822986" w:rsidRDefault="00937B41" w:rsidP="00822986">
      <w:pPr>
        <w:pStyle w:val="FootnoteText"/>
        <w:spacing w:before="0" w:after="0" w:line="240" w:lineRule="auto"/>
        <w:rPr>
          <w:color w:val="000000" w:themeColor="text1"/>
          <w:lang w:val="lv-LV"/>
        </w:rPr>
      </w:pPr>
      <w:r w:rsidRPr="00822986">
        <w:rPr>
          <w:rStyle w:val="FootnoteReference"/>
          <w:rFonts w:eastAsiaTheme="majorEastAsia"/>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kur tiek apkopota informācija par </w:t>
      </w:r>
      <w:r w:rsidRPr="00822986">
        <w:t>ES fondos konstatētā</w:t>
      </w:r>
      <w:r w:rsidRPr="00822986">
        <w:rPr>
          <w:lang w:val="lv-LV"/>
        </w:rPr>
        <w:t>m</w:t>
      </w:r>
      <w:r w:rsidRPr="00822986">
        <w:t xml:space="preserve"> neatbilstīb</w:t>
      </w:r>
      <w:r w:rsidRPr="00822986">
        <w:rPr>
          <w:lang w:val="lv-LV"/>
        </w:rPr>
        <w:t xml:space="preserve">ām: </w:t>
      </w:r>
      <w:hyperlink r:id="rId25" w:history="1">
        <w:r w:rsidRPr="00822986">
          <w:rPr>
            <w:rStyle w:val="Hyperlink"/>
            <w:rFonts w:ascii="Times New Roman" w:hAnsi="Times New Roman" w:cs="Times New Roman"/>
            <w:bCs/>
            <w:sz w:val="20"/>
            <w:szCs w:val="20"/>
          </w:rPr>
          <w:t>http://www.esfondi.lv/page.php?id=1188</w:t>
        </w:r>
      </w:hyperlink>
    </w:p>
  </w:footnote>
  <w:footnote w:id="37">
    <w:p w14:paraId="0AF09F8A" w14:textId="07C26D41" w:rsidR="00937B41" w:rsidRPr="00822986" w:rsidRDefault="00937B41" w:rsidP="00822986">
      <w:pPr>
        <w:pStyle w:val="FootnoteText"/>
        <w:spacing w:before="0" w:after="0" w:line="240" w:lineRule="auto"/>
        <w:rPr>
          <w:color w:val="000000" w:themeColor="text1"/>
          <w:lang w:val="lv-LV"/>
        </w:rPr>
      </w:pPr>
      <w:r w:rsidRPr="00822986">
        <w:rPr>
          <w:rStyle w:val="FootnoteReference"/>
          <w:rFonts w:eastAsiaTheme="majorEastAsia"/>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kur tiek apkopota informācija par </w:t>
      </w:r>
      <w:r w:rsidRPr="00822986">
        <w:t>ES fondos konstatētā</w:t>
      </w:r>
      <w:r w:rsidRPr="00822986">
        <w:rPr>
          <w:lang w:val="lv-LV"/>
        </w:rPr>
        <w:t>m</w:t>
      </w:r>
      <w:r w:rsidRPr="00822986">
        <w:t xml:space="preserve"> neatbilstīb</w:t>
      </w:r>
      <w:r w:rsidRPr="00822986">
        <w:rPr>
          <w:lang w:val="lv-LV"/>
        </w:rPr>
        <w:t xml:space="preserve">ām: </w:t>
      </w:r>
      <w:hyperlink r:id="rId26" w:history="1">
        <w:r w:rsidRPr="00822986">
          <w:rPr>
            <w:rStyle w:val="Hyperlink"/>
            <w:rFonts w:ascii="Times New Roman" w:hAnsi="Times New Roman" w:cs="Times New Roman"/>
            <w:sz w:val="20"/>
            <w:szCs w:val="20"/>
          </w:rPr>
          <w:t>http://www.esfondi.lv/page.php?id=1188</w:t>
        </w:r>
      </w:hyperlink>
    </w:p>
  </w:footnote>
  <w:footnote w:id="38">
    <w:p w14:paraId="4C251519" w14:textId="66D3E063" w:rsidR="00937B41" w:rsidRPr="00822986" w:rsidRDefault="00937B41" w:rsidP="00822986">
      <w:pPr>
        <w:pStyle w:val="FootnoteText"/>
        <w:spacing w:before="0" w:after="0" w:line="240" w:lineRule="auto"/>
        <w:rPr>
          <w:color w:val="000000" w:themeColor="text1"/>
          <w:lang w:val="lv-LV"/>
        </w:rPr>
      </w:pPr>
      <w:r w:rsidRPr="00822986">
        <w:rPr>
          <w:rStyle w:val="FootnoteReference"/>
          <w:rFonts w:eastAsiaTheme="majorEastAsia"/>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sadaļā par </w:t>
      </w:r>
      <w:r w:rsidRPr="00822986">
        <w:t>ES fondu finanšu progres</w:t>
      </w:r>
      <w:r w:rsidRPr="00822986">
        <w:rPr>
          <w:lang w:val="lv-LV"/>
        </w:rPr>
        <w:t xml:space="preserve">u: </w:t>
      </w:r>
      <w:r w:rsidRPr="00822986">
        <w:rPr>
          <w:color w:val="000000" w:themeColor="text1"/>
        </w:rPr>
        <w:t>http://www.esfondi.lv/page.php?id=909</w:t>
      </w:r>
    </w:p>
  </w:footnote>
  <w:footnote w:id="39">
    <w:p w14:paraId="45A7411D" w14:textId="77777777"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Saskaņā ar 2012.gada 25. septembra MK sēdes protokola Nr.5 21. § 3.punktā minēto MK ceturkšņa ziņojumos pēc nepieciešamības tiek iekļauta informācija par ceturksnī konstatētajiem būtiskākajiem neatbilstību gadījumiem pašvaldību īstenotajos projektos.</w:t>
      </w:r>
    </w:p>
  </w:footnote>
  <w:footnote w:id="40">
    <w:p w14:paraId="127789D9" w14:textId="2C644C9C" w:rsidR="00937B41" w:rsidRPr="00822986" w:rsidRDefault="00937B41" w:rsidP="00822986">
      <w:pPr>
        <w:pStyle w:val="FootnoteText"/>
        <w:spacing w:before="0" w:after="0" w:line="240" w:lineRule="auto"/>
        <w:rPr>
          <w:color w:val="000000" w:themeColor="text1"/>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eastAsia="lv-LV"/>
        </w:rPr>
        <w:t>AFCOS ir konsultatīva koleģiāla institūcija, kuras mērķis ir veicināt vienotas Eiropas Savienības finanšu interešu aizsardzības valsts politikas ieviešanu un attīstību un viens no uzdevumiem ir sniegt ieteikumus par ES finanšu interešu aizsardzības uzlabošanu</w:t>
      </w:r>
      <w:r w:rsidRPr="00822986">
        <w:rPr>
          <w:color w:val="000000" w:themeColor="text1"/>
          <w:lang w:val="lv-LV" w:eastAsia="lv-LV"/>
        </w:rPr>
        <w:t>, MK 2012.gada 17.janvāra rīkojums Nr.29 ,,Par Eiropas Savienības finanšu interešu aizsardzības koordinācijas padomes sastāvu’’, MK 2010.gada 23.marta noteikumi Nr. 269 ,,Eiropas Savienības finanšu interešu aizsardzības koordinācijas padomes nolikums’’</w:t>
      </w:r>
    </w:p>
  </w:footnote>
  <w:footnote w:id="41">
    <w:p w14:paraId="0EF016F0" w14:textId="678CC942"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MK 2010.gada 23.novembra noteikumi Nr. 1072 ,,Uzraudzības komitejas nolikums’’ </w:t>
      </w:r>
    </w:p>
  </w:footnote>
  <w:footnote w:id="42">
    <w:p w14:paraId="2BACA525" w14:textId="77777777"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Pētījums ,,Smiltis Eiropas naudas sadales zobratos – Eiropas Savienības fondu vadības sistēmas izaicinājumi un riski’’, Sabiedriskās politikas centra ,,</w:t>
      </w:r>
      <w:proofErr w:type="spellStart"/>
      <w:r w:rsidRPr="00822986">
        <w:rPr>
          <w:color w:val="000000" w:themeColor="text1"/>
          <w:lang w:val="lv-LV"/>
        </w:rPr>
        <w:t>Providus</w:t>
      </w:r>
      <w:proofErr w:type="spellEnd"/>
      <w:r w:rsidRPr="00822986">
        <w:rPr>
          <w:color w:val="000000" w:themeColor="text1"/>
          <w:lang w:val="lv-LV"/>
        </w:rPr>
        <w:t xml:space="preserve">’’ pētnieks Gatis Litvins, Rakstu sērijas izlaidums Nr.11, 2010.gads, pieejams:: </w:t>
      </w:r>
      <w:hyperlink r:id="rId27" w:history="1">
        <w:r w:rsidRPr="00822986">
          <w:rPr>
            <w:rStyle w:val="Hyperlink"/>
            <w:rFonts w:ascii="Times New Roman" w:hAnsi="Times New Roman" w:cs="Times New Roman"/>
            <w:color w:val="000000" w:themeColor="text1"/>
            <w:sz w:val="20"/>
            <w:szCs w:val="20"/>
            <w:lang w:val="lv-LV"/>
          </w:rPr>
          <w:t>http://www.providus.lv/upload_file/Publikacijas/Valsts_kvalitate/KC11L.pdf</w:t>
        </w:r>
      </w:hyperlink>
      <w:r w:rsidRPr="00822986">
        <w:rPr>
          <w:color w:val="000000" w:themeColor="text1"/>
          <w:lang w:val="lv-LV"/>
        </w:rPr>
        <w:t xml:space="preserve"> </w:t>
      </w:r>
    </w:p>
  </w:footnote>
  <w:footnote w:id="43">
    <w:p w14:paraId="19483983" w14:textId="5E8315B7"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bCs/>
          <w:color w:val="000000" w:themeColor="text1"/>
        </w:rPr>
        <w:t>Finanšu ministra 2012.gada 16. maija rīkojum</w:t>
      </w:r>
      <w:r w:rsidRPr="00822986">
        <w:rPr>
          <w:bCs/>
          <w:color w:val="000000" w:themeColor="text1"/>
          <w:lang w:val="lv-LV"/>
        </w:rPr>
        <w:t>s</w:t>
      </w:r>
      <w:r w:rsidRPr="00822986">
        <w:rPr>
          <w:bCs/>
          <w:color w:val="000000" w:themeColor="text1"/>
        </w:rPr>
        <w:t xml:space="preserve"> Nr.232 „Par Eiropas Savienības struktūrfondu un Kohēzijas fonda projektos identificēto neatbilstību ziņošanas E</w:t>
      </w:r>
      <w:r w:rsidRPr="00822986">
        <w:rPr>
          <w:bCs/>
          <w:color w:val="000000" w:themeColor="text1"/>
          <w:lang w:val="lv-LV"/>
        </w:rPr>
        <w:t xml:space="preserve">K </w:t>
      </w:r>
      <w:r w:rsidRPr="00822986">
        <w:rPr>
          <w:bCs/>
          <w:color w:val="000000" w:themeColor="text1"/>
        </w:rPr>
        <w:t>darba grupu”</w:t>
      </w:r>
    </w:p>
  </w:footnote>
  <w:footnote w:id="44">
    <w:p w14:paraId="02D30B7E" w14:textId="512DE22F" w:rsidR="00937B41" w:rsidRPr="00822986" w:rsidRDefault="00937B41" w:rsidP="00822986">
      <w:pPr>
        <w:pStyle w:val="FootnoteText"/>
        <w:spacing w:before="0" w:after="0" w:line="240" w:lineRule="auto"/>
        <w:rPr>
          <w:color w:val="000000" w:themeColor="text1"/>
        </w:rPr>
      </w:pPr>
      <w:r w:rsidRPr="00822986">
        <w:rPr>
          <w:rStyle w:val="FootnoteReference"/>
          <w:color w:val="000000" w:themeColor="text1"/>
        </w:rPr>
        <w:footnoteRef/>
      </w:r>
      <w:r w:rsidRPr="00822986">
        <w:rPr>
          <w:color w:val="000000" w:themeColor="text1"/>
        </w:rPr>
        <w:t xml:space="preserve"> M</w:t>
      </w:r>
      <w:r w:rsidRPr="00822986">
        <w:rPr>
          <w:color w:val="000000" w:themeColor="text1"/>
          <w:lang w:val="lv-LV"/>
        </w:rPr>
        <w:t xml:space="preserve">K </w:t>
      </w:r>
      <w:r w:rsidRPr="00822986">
        <w:rPr>
          <w:color w:val="000000" w:themeColor="text1"/>
        </w:rPr>
        <w:t>2010. gada 10. augusta noteikum</w:t>
      </w:r>
      <w:r w:rsidRPr="00822986">
        <w:rPr>
          <w:color w:val="000000" w:themeColor="text1"/>
          <w:lang w:val="lv-LV"/>
        </w:rPr>
        <w:t>i</w:t>
      </w:r>
      <w:r w:rsidRPr="00822986">
        <w:rPr>
          <w:color w:val="000000" w:themeColor="text1"/>
        </w:rPr>
        <w:t xml:space="preserve"> Nr.740 „</w:t>
      </w:r>
      <w:r w:rsidRPr="00822986">
        <w:rPr>
          <w:iCs/>
          <w:color w:val="000000" w:themeColor="text1"/>
        </w:rPr>
        <w:t>Kārtība, kādā ziņo par ES struktūrfondu un Kohēzijas fonda ieviešanā konstatētajām neatbilstībām, pieņem lēmumu par piešķirtā finansējuma izlietojumu un atgūst neatbilstošos izdevumus</w:t>
      </w:r>
      <w:r w:rsidRPr="00822986">
        <w:rPr>
          <w:color w:val="000000" w:themeColor="text1"/>
        </w:rPr>
        <w:t xml:space="preserve">” </w:t>
      </w:r>
    </w:p>
  </w:footnote>
  <w:footnote w:id="45">
    <w:p w14:paraId="6462A376" w14:textId="03A6A5B5"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ES fondu interneta vietnes sadaļa ,,Vadlīnijas, metodikas un skaidrojumi’’ </w:t>
      </w:r>
      <w:hyperlink r:id="rId28" w:history="1">
        <w:r w:rsidRPr="00822986">
          <w:rPr>
            <w:rStyle w:val="Hyperlink"/>
            <w:rFonts w:ascii="Times New Roman" w:hAnsi="Times New Roman" w:cs="Times New Roman"/>
            <w:color w:val="000000" w:themeColor="text1"/>
            <w:sz w:val="20"/>
            <w:szCs w:val="20"/>
            <w:lang w:val="lv-LV"/>
          </w:rPr>
          <w:t>http://www.esfondi.lv/page.php?id=1099</w:t>
        </w:r>
      </w:hyperlink>
      <w:r w:rsidRPr="00822986">
        <w:rPr>
          <w:color w:val="000000" w:themeColor="text1"/>
          <w:lang w:val="lv-LV"/>
        </w:rPr>
        <w:t xml:space="preserve"> </w:t>
      </w:r>
    </w:p>
  </w:footnote>
  <w:footnote w:id="46">
    <w:p w14:paraId="3725C9BF" w14:textId="540D943B"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 xml:space="preserve">Pieejams ES fondu interneta vietnes sadaļā ,,Iepirkumu veikšanas ES fondu projektos’’: </w:t>
      </w:r>
      <w:hyperlink r:id="rId29" w:history="1">
        <w:r w:rsidRPr="00822986">
          <w:rPr>
            <w:rStyle w:val="Hyperlink"/>
            <w:rFonts w:ascii="Times New Roman" w:hAnsi="Times New Roman" w:cs="Times New Roman"/>
            <w:color w:val="000000" w:themeColor="text1"/>
            <w:sz w:val="20"/>
            <w:szCs w:val="20"/>
            <w:lang w:val="lv-LV"/>
          </w:rPr>
          <w:t>http://www.esfondi.lv/page.php?id=1177</w:t>
        </w:r>
      </w:hyperlink>
      <w:r w:rsidRPr="00822986">
        <w:rPr>
          <w:color w:val="000000" w:themeColor="text1"/>
          <w:lang w:val="lv-LV"/>
        </w:rPr>
        <w:t xml:space="preserve"> </w:t>
      </w:r>
    </w:p>
  </w:footnote>
  <w:footnote w:id="47">
    <w:p w14:paraId="2D39570E" w14:textId="7FCF972F"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Ņemot vērā, ka VI deleģēto funkciju pārbaudes sāka veikt 2012.gad martā, š.g. 1.ceturksnī ir noslēdzies 2012.gada deleģēto funkciju pārbaužu periods. K</w:t>
      </w:r>
      <w:proofErr w:type="spellStart"/>
      <w:r w:rsidRPr="00822986">
        <w:rPr>
          <w:color w:val="000000" w:themeColor="text1"/>
        </w:rPr>
        <w:t>opā</w:t>
      </w:r>
      <w:proofErr w:type="spellEnd"/>
      <w:r w:rsidRPr="00822986">
        <w:rPr>
          <w:color w:val="000000" w:themeColor="text1"/>
        </w:rPr>
        <w:t xml:space="preserve"> </w:t>
      </w:r>
      <w:r w:rsidRPr="00822986">
        <w:rPr>
          <w:color w:val="000000" w:themeColor="text1"/>
          <w:lang w:val="lv-LV"/>
        </w:rPr>
        <w:t>veiktas</w:t>
      </w:r>
      <w:r w:rsidRPr="00822986">
        <w:rPr>
          <w:color w:val="000000" w:themeColor="text1"/>
        </w:rPr>
        <w:t xml:space="preserve"> 18 deleģēto funkciju pārbaudes, </w:t>
      </w:r>
      <w:proofErr w:type="spellStart"/>
      <w:r w:rsidRPr="00822986">
        <w:rPr>
          <w:color w:val="000000" w:themeColor="text1"/>
        </w:rPr>
        <w:t>t.sk</w:t>
      </w:r>
      <w:proofErr w:type="spellEnd"/>
      <w:r w:rsidRPr="00822986">
        <w:rPr>
          <w:color w:val="000000" w:themeColor="text1"/>
        </w:rPr>
        <w:t xml:space="preserve">., atkārtotās pārbaudes, 40 </w:t>
      </w:r>
      <w:proofErr w:type="spellStart"/>
      <w:r w:rsidRPr="00822986">
        <w:rPr>
          <w:color w:val="000000" w:themeColor="text1"/>
        </w:rPr>
        <w:t>virspārbaudes</w:t>
      </w:r>
      <w:proofErr w:type="spellEnd"/>
      <w:r w:rsidRPr="00822986">
        <w:rPr>
          <w:color w:val="000000" w:themeColor="text1"/>
        </w:rPr>
        <w:t xml:space="preserve"> AI/SI veiktajām PPIV un 9 </w:t>
      </w:r>
      <w:r w:rsidRPr="00822986">
        <w:rPr>
          <w:color w:val="000000" w:themeColor="text1"/>
          <w:lang w:val="lv-LV"/>
        </w:rPr>
        <w:t>VI</w:t>
      </w:r>
      <w:r w:rsidRPr="00822986">
        <w:rPr>
          <w:color w:val="000000" w:themeColor="text1"/>
        </w:rPr>
        <w:t xml:space="preserve"> PPIV</w:t>
      </w:r>
    </w:p>
  </w:footnote>
  <w:footnote w:id="48">
    <w:p w14:paraId="0BCD87DC" w14:textId="546103ED"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K</w:t>
      </w:r>
      <w:proofErr w:type="spellStart"/>
      <w:r w:rsidRPr="00822986">
        <w:rPr>
          <w:color w:val="000000" w:themeColor="text1"/>
        </w:rPr>
        <w:t>opā</w:t>
      </w:r>
      <w:proofErr w:type="spellEnd"/>
      <w:r w:rsidRPr="00822986">
        <w:rPr>
          <w:color w:val="000000" w:themeColor="text1"/>
        </w:rPr>
        <w:t xml:space="preserve"> 2012.gad</w:t>
      </w:r>
      <w:r w:rsidRPr="00822986">
        <w:rPr>
          <w:color w:val="000000" w:themeColor="text1"/>
          <w:lang w:val="lv-LV"/>
        </w:rPr>
        <w:t>ā VI veikusi</w:t>
      </w:r>
      <w:r w:rsidRPr="00822986">
        <w:rPr>
          <w:color w:val="000000" w:themeColor="text1"/>
        </w:rPr>
        <w:t xml:space="preserve"> 18 deleģēto funkciju pārbaudes, </w:t>
      </w:r>
      <w:proofErr w:type="spellStart"/>
      <w:r w:rsidRPr="00822986">
        <w:rPr>
          <w:color w:val="000000" w:themeColor="text1"/>
        </w:rPr>
        <w:t>t.sk</w:t>
      </w:r>
      <w:proofErr w:type="spellEnd"/>
      <w:r w:rsidRPr="00822986">
        <w:rPr>
          <w:color w:val="000000" w:themeColor="text1"/>
        </w:rPr>
        <w:t xml:space="preserve">., atkārtotās pārbaudes, 40 </w:t>
      </w:r>
      <w:proofErr w:type="spellStart"/>
      <w:r w:rsidRPr="00822986">
        <w:rPr>
          <w:color w:val="000000" w:themeColor="text1"/>
        </w:rPr>
        <w:t>virspārbaudes</w:t>
      </w:r>
      <w:proofErr w:type="spellEnd"/>
      <w:r w:rsidRPr="00822986">
        <w:rPr>
          <w:color w:val="000000" w:themeColor="text1"/>
        </w:rPr>
        <w:t xml:space="preserve"> AI/SI veiktajām PPIV un 9 </w:t>
      </w:r>
      <w:r w:rsidRPr="00822986">
        <w:rPr>
          <w:color w:val="000000" w:themeColor="text1"/>
          <w:lang w:val="lv-LV"/>
        </w:rPr>
        <w:t>VI</w:t>
      </w:r>
      <w:r w:rsidRPr="00822986">
        <w:rPr>
          <w:color w:val="000000" w:themeColor="text1"/>
        </w:rPr>
        <w:t xml:space="preserve"> PPIV</w:t>
      </w:r>
    </w:p>
  </w:footnote>
  <w:footnote w:id="49">
    <w:p w14:paraId="66E1B93E" w14:textId="77777777"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r w:rsidRPr="00822986">
        <w:rPr>
          <w:color w:val="000000" w:themeColor="text1"/>
          <w:lang w:val="lv-LV"/>
        </w:rPr>
        <w:t>Saskaņā ar informatīvajā ziņojumā par Eiropas Savienības struktūrfondu un Kohēzijas fonda, Eiropas Ekonomikas zonas finanšu instrumenta, Norvēģijas finanšu instrumenta un Latvijas un Šveices sadarbības programmas apguvi līdz 2012.gada 31.decembrim 7.2. punkta 4.apakšpunktā minēto</w:t>
      </w:r>
    </w:p>
  </w:footnote>
  <w:footnote w:id="50">
    <w:p w14:paraId="12C505F2" w14:textId="77777777" w:rsidR="00937B41" w:rsidRPr="00822986" w:rsidRDefault="00937B41" w:rsidP="00822986">
      <w:pPr>
        <w:pStyle w:val="FootnoteText"/>
        <w:spacing w:before="0" w:after="0" w:line="240" w:lineRule="auto"/>
        <w:rPr>
          <w:color w:val="000000" w:themeColor="text1"/>
        </w:rPr>
      </w:pPr>
      <w:r w:rsidRPr="00822986">
        <w:rPr>
          <w:rStyle w:val="FootnoteReference"/>
          <w:color w:val="000000" w:themeColor="text1"/>
        </w:rPr>
        <w:footnoteRef/>
      </w:r>
      <w:r w:rsidRPr="00822986">
        <w:rPr>
          <w:color w:val="000000" w:themeColor="text1"/>
        </w:rPr>
        <w:t xml:space="preserve"> Eiropas reģionālās attīstības fonds, Eiropas sociālais fonds un Kohēzijas fonds.</w:t>
      </w:r>
    </w:p>
    <w:p w14:paraId="2B81CA57" w14:textId="77777777" w:rsidR="00937B41" w:rsidRPr="00822986" w:rsidRDefault="00937B41" w:rsidP="00822986">
      <w:pPr>
        <w:pStyle w:val="FootnoteText"/>
        <w:spacing w:before="0" w:after="0" w:line="240" w:lineRule="auto"/>
        <w:rPr>
          <w:color w:val="000000" w:themeColor="text1"/>
        </w:rPr>
      </w:pPr>
    </w:p>
  </w:footnote>
  <w:footnote w:id="51">
    <w:p w14:paraId="51795021" w14:textId="1CA4B3E1"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 </w:t>
      </w:r>
      <w:hyperlink r:id="rId30" w:history="1">
        <w:r w:rsidRPr="00822986">
          <w:rPr>
            <w:rStyle w:val="Hyperlink"/>
            <w:rFonts w:ascii="Times New Roman" w:hAnsi="Times New Roman" w:cs="Times New Roman"/>
            <w:color w:val="000000" w:themeColor="text1"/>
            <w:sz w:val="20"/>
            <w:szCs w:val="20"/>
          </w:rPr>
          <w:t>http://www.esfondi.lv/page.php?id=346</w:t>
        </w:r>
      </w:hyperlink>
    </w:p>
  </w:footnote>
  <w:footnote w:id="52">
    <w:p w14:paraId="4B681528" w14:textId="77777777" w:rsidR="00937B41" w:rsidRPr="00822986" w:rsidRDefault="00937B41" w:rsidP="00822986">
      <w:pPr>
        <w:pStyle w:val="FootnoteText"/>
        <w:spacing w:before="0" w:after="0" w:line="240" w:lineRule="auto"/>
        <w:rPr>
          <w:color w:val="000000" w:themeColor="text1"/>
        </w:rPr>
      </w:pPr>
      <w:r w:rsidRPr="00822986">
        <w:rPr>
          <w:rStyle w:val="FootnoteReference"/>
          <w:color w:val="000000" w:themeColor="text1"/>
        </w:rPr>
        <w:footnoteRef/>
      </w:r>
      <w:r w:rsidRPr="00822986">
        <w:rPr>
          <w:color w:val="000000" w:themeColor="text1"/>
        </w:rPr>
        <w:t xml:space="preserve"> Eiropas reģionālās attīstības fonds, Eiropas sociālais fonds un Kohēzijas fonds.</w:t>
      </w:r>
    </w:p>
  </w:footnote>
  <w:footnote w:id="53">
    <w:p w14:paraId="0FB089D6" w14:textId="77777777"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 xml:space="preserve">Biežāk sastopamās kļūdas ES fondu projektu iepirkumos </w:t>
      </w:r>
      <w:hyperlink r:id="rId31" w:history="1">
        <w:r w:rsidRPr="00822986">
          <w:rPr>
            <w:rStyle w:val="Hyperlink"/>
            <w:rFonts w:ascii="Times New Roman" w:hAnsi="Times New Roman" w:cs="Times New Roman"/>
            <w:color w:val="000000" w:themeColor="text1"/>
            <w:sz w:val="20"/>
            <w:szCs w:val="20"/>
          </w:rPr>
          <w:t>http://www.iub.gov.lv/node/183</w:t>
        </w:r>
      </w:hyperlink>
      <w:r w:rsidRPr="00822986">
        <w:rPr>
          <w:color w:val="000000" w:themeColor="text1"/>
        </w:rPr>
        <w:t xml:space="preserve"> </w:t>
      </w:r>
    </w:p>
  </w:footnote>
  <w:footnote w:id="54">
    <w:p w14:paraId="02A4862D" w14:textId="6EB353EF" w:rsidR="00937B41" w:rsidRPr="00822986" w:rsidRDefault="00937B41" w:rsidP="00822986">
      <w:pPr>
        <w:pStyle w:val="FootnoteText"/>
        <w:spacing w:before="0" w:after="0" w:line="240" w:lineRule="auto"/>
        <w:rPr>
          <w:color w:val="000000" w:themeColor="text1"/>
          <w:lang w:val="lv-LV"/>
        </w:rPr>
      </w:pPr>
      <w:r w:rsidRPr="00822986">
        <w:rPr>
          <w:rStyle w:val="FootnoteReference"/>
          <w:color w:val="000000" w:themeColor="text1"/>
        </w:rPr>
        <w:footnoteRef/>
      </w:r>
      <w:r w:rsidRPr="00822986">
        <w:rPr>
          <w:color w:val="000000" w:themeColor="text1"/>
        </w:rPr>
        <w:t>Skaidrojumi, kas saistīti ar Sabiedrisko pakalpojumu sniedzēju iepirkumu likumu un Publisko iepirkumu likumu pieejami šeit</w:t>
      </w:r>
      <w:r w:rsidRPr="00822986">
        <w:rPr>
          <w:color w:val="000000" w:themeColor="text1"/>
          <w:lang w:val="lv-LV"/>
        </w:rPr>
        <w:t>:</w:t>
      </w:r>
      <w:r w:rsidRPr="00822986">
        <w:rPr>
          <w:color w:val="000000" w:themeColor="text1"/>
        </w:rPr>
        <w:t xml:space="preserve"> </w:t>
      </w:r>
      <w:hyperlink r:id="rId32" w:history="1">
        <w:r w:rsidRPr="00822986">
          <w:rPr>
            <w:rStyle w:val="Hyperlink"/>
            <w:rFonts w:ascii="Times New Roman" w:hAnsi="Times New Roman" w:cs="Times New Roman"/>
            <w:color w:val="000000" w:themeColor="text1"/>
            <w:sz w:val="20"/>
            <w:szCs w:val="20"/>
          </w:rPr>
          <w:t>http://www.iub.gov.lv/node/98</w:t>
        </w:r>
      </w:hyperlink>
      <w:r w:rsidRPr="00822986">
        <w:rPr>
          <w:color w:val="000000" w:themeColor="text1"/>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04FE" w14:textId="77777777" w:rsidR="00937B41" w:rsidRDefault="00937B41" w:rsidP="007906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B4B61" w14:textId="77777777" w:rsidR="00937B41" w:rsidRDefault="00937B41" w:rsidP="007906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85051"/>
      <w:docPartObj>
        <w:docPartGallery w:val="Page Numbers (Top of Page)"/>
        <w:docPartUnique/>
      </w:docPartObj>
    </w:sdtPr>
    <w:sdtEndPr>
      <w:rPr>
        <w:noProof/>
      </w:rPr>
    </w:sdtEndPr>
    <w:sdtContent>
      <w:p w14:paraId="2B5C71FB" w14:textId="77777777" w:rsidR="00937B41" w:rsidRDefault="00937B41">
        <w:pPr>
          <w:pStyle w:val="Header"/>
          <w:jc w:val="center"/>
        </w:pPr>
        <w:r>
          <w:fldChar w:fldCharType="begin"/>
        </w:r>
        <w:r>
          <w:instrText xml:space="preserve"> PAGE   \* MERGEFORMAT </w:instrText>
        </w:r>
        <w:r>
          <w:fldChar w:fldCharType="separate"/>
        </w:r>
        <w:r w:rsidR="00187FBB">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3A49" w14:textId="77777777" w:rsidR="00937B41" w:rsidRPr="00EC578D" w:rsidRDefault="00937B41">
    <w:pPr>
      <w:pStyle w:val="Header"/>
      <w:rPr>
        <w:i/>
      </w:rPr>
    </w:pPr>
    <w:r w:rsidRPr="00EC578D">
      <w:rPr>
        <w:i/>
      </w:rPr>
      <w:tab/>
    </w:r>
    <w:r w:rsidRPr="00EC578D">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9A4"/>
    <w:multiLevelType w:val="hybridMultilevel"/>
    <w:tmpl w:val="3070B502"/>
    <w:lvl w:ilvl="0" w:tplc="04260011">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C85328"/>
    <w:multiLevelType w:val="hybridMultilevel"/>
    <w:tmpl w:val="E40641BE"/>
    <w:lvl w:ilvl="0" w:tplc="0426000F">
      <w:start w:val="1"/>
      <w:numFmt w:val="decimal"/>
      <w:lvlText w:val="%1."/>
      <w:lvlJc w:val="left"/>
      <w:pPr>
        <w:ind w:left="360" w:hanging="360"/>
      </w:pPr>
      <w:rPr>
        <w:rFonts w:hint="default"/>
        <w:i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6EB067B"/>
    <w:multiLevelType w:val="hybridMultilevel"/>
    <w:tmpl w:val="D1E02680"/>
    <w:lvl w:ilvl="0" w:tplc="04260011">
      <w:start w:val="1"/>
      <w:numFmt w:val="decimal"/>
      <w:lvlText w:val="%1)"/>
      <w:lvlJc w:val="left"/>
      <w:pPr>
        <w:ind w:left="360" w:hanging="360"/>
      </w:pPr>
      <w:rPr>
        <w:rFonts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061EA6"/>
    <w:multiLevelType w:val="multilevel"/>
    <w:tmpl w:val="8C5AECDA"/>
    <w:lvl w:ilvl="0">
      <w:start w:val="1"/>
      <w:numFmt w:val="decimal"/>
      <w:lvlText w:val="%1."/>
      <w:lvlJc w:val="left"/>
      <w:pPr>
        <w:ind w:left="360" w:hanging="360"/>
      </w:pPr>
      <w:rPr>
        <w:rFonts w:hint="default"/>
        <w:b w:val="0"/>
        <w:i w:val="0"/>
      </w:rPr>
    </w:lvl>
    <w:lvl w:ilvl="1">
      <w:start w:val="2"/>
      <w:numFmt w:val="decimal"/>
      <w:isLgl/>
      <w:lvlText w:val="%1.%2."/>
      <w:lvlJc w:val="left"/>
      <w:pPr>
        <w:ind w:left="1440" w:hanging="1440"/>
      </w:pPr>
      <w:rPr>
        <w:rFonts w:hint="default"/>
      </w:rPr>
    </w:lvl>
    <w:lvl w:ilvl="2">
      <w:start w:val="2"/>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736B28"/>
    <w:multiLevelType w:val="hybridMultilevel"/>
    <w:tmpl w:val="86D04B76"/>
    <w:lvl w:ilvl="0" w:tplc="42CE360E">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082408A3"/>
    <w:multiLevelType w:val="hybridMultilevel"/>
    <w:tmpl w:val="E81AC9E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0A5C1383"/>
    <w:multiLevelType w:val="hybridMultilevel"/>
    <w:tmpl w:val="653ACD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54090C"/>
    <w:multiLevelType w:val="multilevel"/>
    <w:tmpl w:val="655E5E3A"/>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ascii="Times New Roman" w:hAnsi="Times New Roman" w:cs="Times New Roman" w:hint="default"/>
        <w:b w:val="0"/>
        <w:sz w:val="22"/>
        <w:szCs w:val="22"/>
      </w:rPr>
    </w:lvl>
    <w:lvl w:ilvl="2">
      <w:start w:val="1"/>
      <w:numFmt w:val="decimal"/>
      <w:lvlText w:val="%3."/>
      <w:lvlJc w:val="left"/>
      <w:pPr>
        <w:ind w:left="720" w:hanging="720"/>
      </w:pPr>
      <w:rPr>
        <w:rFonts w:ascii="Times New Roman" w:hAnsi="Times New Roman"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E6320C5"/>
    <w:multiLevelType w:val="hybridMultilevel"/>
    <w:tmpl w:val="653ACD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EC65D8"/>
    <w:multiLevelType w:val="hybridMultilevel"/>
    <w:tmpl w:val="D15A22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1CF69F2"/>
    <w:multiLevelType w:val="hybridMultilevel"/>
    <w:tmpl w:val="7BC6B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2F91480"/>
    <w:multiLevelType w:val="multilevel"/>
    <w:tmpl w:val="5EB26D58"/>
    <w:lvl w:ilvl="0">
      <w:start w:val="1"/>
      <w:numFmt w:val="decimal"/>
      <w:lvlText w:val="%1."/>
      <w:lvlJc w:val="left"/>
      <w:pPr>
        <w:ind w:left="360" w:hanging="360"/>
      </w:pPr>
      <w:rPr>
        <w:rFonts w:ascii="Times New Roman" w:hAnsi="Times New Roman" w:hint="default"/>
        <w:sz w:val="24"/>
      </w:rPr>
    </w:lvl>
    <w:lvl w:ilvl="1">
      <w:start w:val="1"/>
      <w:numFmt w:val="decimal"/>
      <w:pStyle w:val="FDUKam"/>
      <w:isLgl/>
      <w:lvlText w:val="%1.%2."/>
      <w:lvlJc w:val="left"/>
      <w:pPr>
        <w:ind w:left="360" w:hanging="360"/>
      </w:pPr>
      <w:rPr>
        <w:rFonts w:ascii="Times New Roman" w:hAnsi="Times New Roman" w:cs="Times New Roman"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89663A6"/>
    <w:multiLevelType w:val="multilevel"/>
    <w:tmpl w:val="6EB6A80E"/>
    <w:lvl w:ilvl="0">
      <w:start w:val="1"/>
      <w:numFmt w:val="decimal"/>
      <w:lvlText w:val="%1."/>
      <w:lvlJc w:val="left"/>
      <w:pPr>
        <w:ind w:left="360" w:hanging="360"/>
      </w:pPr>
      <w:rPr>
        <w:rFonts w:hint="default"/>
        <w:i w:val="0"/>
      </w:rPr>
    </w:lvl>
    <w:lvl w:ilvl="1">
      <w:start w:val="2"/>
      <w:numFmt w:val="decimal"/>
      <w:isLgl/>
      <w:lvlText w:val="%1.%2."/>
      <w:lvlJc w:val="left"/>
      <w:pPr>
        <w:ind w:left="1440" w:hanging="1440"/>
      </w:pPr>
      <w:rPr>
        <w:rFonts w:hint="default"/>
      </w:rPr>
    </w:lvl>
    <w:lvl w:ilvl="2">
      <w:start w:val="2"/>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EEC72A1"/>
    <w:multiLevelType w:val="hybridMultilevel"/>
    <w:tmpl w:val="9E4071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20F4813"/>
    <w:multiLevelType w:val="hybridMultilevel"/>
    <w:tmpl w:val="930A770A"/>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6F25572"/>
    <w:multiLevelType w:val="hybridMultilevel"/>
    <w:tmpl w:val="85663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7F75D73"/>
    <w:multiLevelType w:val="hybridMultilevel"/>
    <w:tmpl w:val="C178A94E"/>
    <w:lvl w:ilvl="0" w:tplc="224E7BB2">
      <w:start w:val="1"/>
      <w:numFmt w:val="decimal"/>
      <w:lvlText w:val="%1."/>
      <w:lvlJc w:val="left"/>
      <w:pPr>
        <w:ind w:left="360" w:hanging="360"/>
      </w:pPr>
      <w:rPr>
        <w:rFonts w:ascii="Times New Roman" w:hAnsi="Times New Roman" w:hint="default"/>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281E2FA8"/>
    <w:multiLevelType w:val="hybridMultilevel"/>
    <w:tmpl w:val="7BC6B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88317E"/>
    <w:multiLevelType w:val="hybridMultilevel"/>
    <w:tmpl w:val="82264DAC"/>
    <w:lvl w:ilvl="0" w:tplc="EB801948">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2810DF"/>
    <w:multiLevelType w:val="hybridMultilevel"/>
    <w:tmpl w:val="E58E1168"/>
    <w:lvl w:ilvl="0" w:tplc="18E09018">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29CA5401"/>
    <w:multiLevelType w:val="hybridMultilevel"/>
    <w:tmpl w:val="502ABE02"/>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2FB31E74"/>
    <w:multiLevelType w:val="hybridMultilevel"/>
    <w:tmpl w:val="F1F03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09C1A14"/>
    <w:multiLevelType w:val="hybridMultilevel"/>
    <w:tmpl w:val="3932B582"/>
    <w:lvl w:ilvl="0" w:tplc="0426000F">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16C47F5"/>
    <w:multiLevelType w:val="hybridMultilevel"/>
    <w:tmpl w:val="86D04B76"/>
    <w:lvl w:ilvl="0" w:tplc="42CE360E">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36A64DEC"/>
    <w:multiLevelType w:val="hybridMultilevel"/>
    <w:tmpl w:val="467C62DC"/>
    <w:lvl w:ilvl="0" w:tplc="224E7BB2">
      <w:start w:val="1"/>
      <w:numFmt w:val="decimal"/>
      <w:lvlText w:val="%1."/>
      <w:lvlJc w:val="left"/>
      <w:pPr>
        <w:ind w:left="1440" w:hanging="360"/>
      </w:pPr>
      <w:rPr>
        <w:rFonts w:ascii="Times New Roman" w:hAnsi="Times New Roman" w:hint="default"/>
        <w:sz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36F2284E"/>
    <w:multiLevelType w:val="hybridMultilevel"/>
    <w:tmpl w:val="7C288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DD01A5F"/>
    <w:multiLevelType w:val="hybridMultilevel"/>
    <w:tmpl w:val="B65C5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E73095F"/>
    <w:multiLevelType w:val="hybridMultilevel"/>
    <w:tmpl w:val="82264DAC"/>
    <w:lvl w:ilvl="0" w:tplc="EB801948">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0CB7BB5"/>
    <w:multiLevelType w:val="multilevel"/>
    <w:tmpl w:val="E3D61C3A"/>
    <w:lvl w:ilvl="0">
      <w:start w:val="1"/>
      <w:numFmt w:val="decimal"/>
      <w:lvlText w:val="%1."/>
      <w:lvlJc w:val="left"/>
      <w:pPr>
        <w:ind w:left="644"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41B32FA8"/>
    <w:multiLevelType w:val="hybridMultilevel"/>
    <w:tmpl w:val="E58E1168"/>
    <w:lvl w:ilvl="0" w:tplc="18E09018">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459C2A42"/>
    <w:multiLevelType w:val="multilevel"/>
    <w:tmpl w:val="6EB6A80E"/>
    <w:lvl w:ilvl="0">
      <w:start w:val="1"/>
      <w:numFmt w:val="decimal"/>
      <w:lvlText w:val="%1."/>
      <w:lvlJc w:val="left"/>
      <w:pPr>
        <w:ind w:left="360" w:hanging="360"/>
      </w:pPr>
      <w:rPr>
        <w:i w:val="0"/>
      </w:rPr>
    </w:lvl>
    <w:lvl w:ilvl="1">
      <w:start w:val="2"/>
      <w:numFmt w:val="decimal"/>
      <w:isLgl/>
      <w:lvlText w:val="%1.%2."/>
      <w:lvlJc w:val="left"/>
      <w:pPr>
        <w:ind w:left="1440" w:hanging="1440"/>
      </w:pPr>
    </w:lvl>
    <w:lvl w:ilvl="2">
      <w:start w:val="2"/>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1">
    <w:nsid w:val="503D00C1"/>
    <w:multiLevelType w:val="hybridMultilevel"/>
    <w:tmpl w:val="457C2E80"/>
    <w:lvl w:ilvl="0" w:tplc="224E7BB2">
      <w:start w:val="1"/>
      <w:numFmt w:val="decimal"/>
      <w:lvlText w:val="%1."/>
      <w:lvlJc w:val="left"/>
      <w:pPr>
        <w:ind w:left="862" w:hanging="360"/>
      </w:pPr>
      <w:rPr>
        <w:rFonts w:ascii="Times New Roman" w:hAnsi="Times New Roman" w:hint="default"/>
        <w:sz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2">
    <w:nsid w:val="50494682"/>
    <w:multiLevelType w:val="multilevel"/>
    <w:tmpl w:val="6EB6A80E"/>
    <w:lvl w:ilvl="0">
      <w:start w:val="1"/>
      <w:numFmt w:val="decimal"/>
      <w:lvlText w:val="%1."/>
      <w:lvlJc w:val="left"/>
      <w:pPr>
        <w:ind w:left="360" w:hanging="360"/>
      </w:pPr>
      <w:rPr>
        <w:rFonts w:hint="default"/>
        <w:i w:val="0"/>
      </w:rPr>
    </w:lvl>
    <w:lvl w:ilvl="1">
      <w:start w:val="2"/>
      <w:numFmt w:val="decimal"/>
      <w:isLgl/>
      <w:lvlText w:val="%1.%2."/>
      <w:lvlJc w:val="left"/>
      <w:pPr>
        <w:ind w:left="1440" w:hanging="1440"/>
      </w:pPr>
      <w:rPr>
        <w:rFonts w:hint="default"/>
      </w:rPr>
    </w:lvl>
    <w:lvl w:ilvl="2">
      <w:start w:val="2"/>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2F01045"/>
    <w:multiLevelType w:val="hybridMultilevel"/>
    <w:tmpl w:val="2656295A"/>
    <w:lvl w:ilvl="0" w:tplc="F15049D6">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EC17E9"/>
    <w:multiLevelType w:val="hybridMultilevel"/>
    <w:tmpl w:val="D1E02680"/>
    <w:lvl w:ilvl="0" w:tplc="04260011">
      <w:start w:val="1"/>
      <w:numFmt w:val="decimal"/>
      <w:lvlText w:val="%1)"/>
      <w:lvlJc w:val="left"/>
      <w:pPr>
        <w:ind w:left="360" w:hanging="360"/>
      </w:pPr>
      <w:rPr>
        <w:rFonts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5B383BDF"/>
    <w:multiLevelType w:val="hybridMultilevel"/>
    <w:tmpl w:val="86D04B76"/>
    <w:lvl w:ilvl="0" w:tplc="42CE360E">
      <w:start w:val="1"/>
      <w:numFmt w:val="decimal"/>
      <w:lvlText w:val="%1."/>
      <w:lvlJc w:val="left"/>
      <w:pPr>
        <w:ind w:left="360" w:hanging="360"/>
      </w:pPr>
      <w:rPr>
        <w:rFonts w:ascii="Times New Roman" w:hAnsi="Times New Roman" w:cs="Times New Roman"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7">
    <w:nsid w:val="5E815524"/>
    <w:multiLevelType w:val="hybridMultilevel"/>
    <w:tmpl w:val="7BC6B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11"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600A1BE6"/>
    <w:multiLevelType w:val="singleLevel"/>
    <w:tmpl w:val="CC80D138"/>
    <w:lvl w:ilvl="0">
      <w:start w:val="1"/>
      <w:numFmt w:val="decimal"/>
      <w:pStyle w:val="Bullet1Rakstz"/>
      <w:lvlText w:val="%1."/>
      <w:lvlJc w:val="left"/>
      <w:pPr>
        <w:tabs>
          <w:tab w:val="num" w:pos="717"/>
        </w:tabs>
        <w:ind w:left="717" w:hanging="360"/>
      </w:pPr>
    </w:lvl>
  </w:abstractNum>
  <w:abstractNum w:abstractNumId="40">
    <w:nsid w:val="64F60975"/>
    <w:multiLevelType w:val="hybridMultilevel"/>
    <w:tmpl w:val="E9306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F20299"/>
    <w:multiLevelType w:val="hybridMultilevel"/>
    <w:tmpl w:val="B77C928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6CF55008"/>
    <w:multiLevelType w:val="multilevel"/>
    <w:tmpl w:val="E3D61C3A"/>
    <w:lvl w:ilvl="0">
      <w:start w:val="1"/>
      <w:numFmt w:val="decimal"/>
      <w:lvlText w:val="%1."/>
      <w:lvlJc w:val="left"/>
      <w:pPr>
        <w:ind w:left="644"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nsid w:val="6E2E38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E664B7"/>
    <w:multiLevelType w:val="hybridMultilevel"/>
    <w:tmpl w:val="18A4C6D8"/>
    <w:lvl w:ilvl="0" w:tplc="53A44C5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3DD40A1"/>
    <w:multiLevelType w:val="hybridMultilevel"/>
    <w:tmpl w:val="D1E02680"/>
    <w:lvl w:ilvl="0" w:tplc="04260011">
      <w:start w:val="1"/>
      <w:numFmt w:val="decimal"/>
      <w:lvlText w:val="%1)"/>
      <w:lvlJc w:val="left"/>
      <w:pPr>
        <w:ind w:left="360" w:hanging="360"/>
      </w:pPr>
      <w:rPr>
        <w:rFonts w:hint="default"/>
        <w:b w:val="0"/>
        <w:sz w:val="24"/>
        <w:szCs w:val="24"/>
      </w:rPr>
    </w:lvl>
    <w:lvl w:ilvl="1" w:tplc="EB801948">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nsid w:val="791D2287"/>
    <w:multiLevelType w:val="hybridMultilevel"/>
    <w:tmpl w:val="3932B582"/>
    <w:lvl w:ilvl="0" w:tplc="0426000F">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6E0CD2"/>
    <w:multiLevelType w:val="hybridMultilevel"/>
    <w:tmpl w:val="177AE08E"/>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9"/>
    <w:lvlOverride w:ilvl="0">
      <w:startOverride w:val="1"/>
    </w:lvlOverride>
  </w:num>
  <w:num w:numId="2">
    <w:abstractNumId w:val="38"/>
  </w:num>
  <w:num w:numId="3">
    <w:abstractNumId w:val="36"/>
  </w:num>
  <w:num w:numId="4">
    <w:abstractNumId w:val="35"/>
  </w:num>
  <w:num w:numId="5">
    <w:abstractNumId w:val="29"/>
  </w:num>
  <w:num w:numId="6">
    <w:abstractNumId w:val="42"/>
  </w:num>
  <w:num w:numId="7">
    <w:abstractNumId w:val="19"/>
  </w:num>
  <w:num w:numId="8">
    <w:abstractNumId w:val="23"/>
  </w:num>
  <w:num w:numId="9">
    <w:abstractNumId w:val="27"/>
  </w:num>
  <w:num w:numId="10">
    <w:abstractNumId w:val="18"/>
  </w:num>
  <w:num w:numId="11">
    <w:abstractNumId w:val="44"/>
  </w:num>
  <w:num w:numId="12">
    <w:abstractNumId w:val="1"/>
  </w:num>
  <w:num w:numId="13">
    <w:abstractNumId w:val="10"/>
  </w:num>
  <w:num w:numId="14">
    <w:abstractNumId w:val="20"/>
  </w:num>
  <w:num w:numId="15">
    <w:abstractNumId w:val="28"/>
  </w:num>
  <w:num w:numId="16">
    <w:abstractNumId w:val="32"/>
  </w:num>
  <w:num w:numId="17">
    <w:abstractNumId w:val="12"/>
  </w:num>
  <w:num w:numId="18">
    <w:abstractNumId w:val="43"/>
  </w:num>
  <w:num w:numId="19">
    <w:abstractNumId w:val="6"/>
  </w:num>
  <w:num w:numId="20">
    <w:abstractNumId w:val="8"/>
  </w:num>
  <w:num w:numId="21">
    <w:abstractNumId w:val="47"/>
  </w:num>
  <w:num w:numId="22">
    <w:abstractNumId w:val="34"/>
  </w:num>
  <w:num w:numId="23">
    <w:abstractNumId w:val="45"/>
  </w:num>
  <w:num w:numId="24">
    <w:abstractNumId w:val="2"/>
  </w:num>
  <w:num w:numId="25">
    <w:abstractNumId w:val="37"/>
  </w:num>
  <w:num w:numId="26">
    <w:abstractNumId w:val="17"/>
  </w:num>
  <w:num w:numId="27">
    <w:abstractNumId w:val="5"/>
  </w:num>
  <w:num w:numId="28">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 w:numId="31">
    <w:abstractNumId w:val="40"/>
  </w:num>
  <w:num w:numId="32">
    <w:abstractNumId w:val="4"/>
  </w:num>
  <w:num w:numId="33">
    <w:abstractNumId w:val="22"/>
  </w:num>
  <w:num w:numId="34">
    <w:abstractNumId w:val="46"/>
  </w:num>
  <w:num w:numId="35">
    <w:abstractNumId w:val="3"/>
  </w:num>
  <w:num w:numId="36">
    <w:abstractNumId w:val="15"/>
  </w:num>
  <w:num w:numId="37">
    <w:abstractNumId w:val="26"/>
  </w:num>
  <w:num w:numId="38">
    <w:abstractNumId w:val="11"/>
  </w:num>
  <w:num w:numId="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7"/>
  </w:num>
  <w:num w:numId="42">
    <w:abstractNumId w:val="16"/>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8"/>
  </w:num>
  <w:num w:numId="50">
    <w:abstractNumId w:val="38"/>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9"/>
  </w:num>
  <w:num w:numId="54">
    <w:abstractNumId w:val="41"/>
  </w:num>
  <w:num w:numId="55">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09"/>
    <w:rsid w:val="00000265"/>
    <w:rsid w:val="000004B8"/>
    <w:rsid w:val="0000065D"/>
    <w:rsid w:val="000009C4"/>
    <w:rsid w:val="00001122"/>
    <w:rsid w:val="00001243"/>
    <w:rsid w:val="00001D4E"/>
    <w:rsid w:val="00002744"/>
    <w:rsid w:val="00002746"/>
    <w:rsid w:val="000031BC"/>
    <w:rsid w:val="00003243"/>
    <w:rsid w:val="000032F8"/>
    <w:rsid w:val="000033C8"/>
    <w:rsid w:val="0000351B"/>
    <w:rsid w:val="00003A1C"/>
    <w:rsid w:val="00003AA3"/>
    <w:rsid w:val="000043EB"/>
    <w:rsid w:val="00004A7C"/>
    <w:rsid w:val="000057F6"/>
    <w:rsid w:val="000058F8"/>
    <w:rsid w:val="00005B76"/>
    <w:rsid w:val="00005C63"/>
    <w:rsid w:val="00005D74"/>
    <w:rsid w:val="0000602C"/>
    <w:rsid w:val="0000674E"/>
    <w:rsid w:val="000069DD"/>
    <w:rsid w:val="000069FC"/>
    <w:rsid w:val="00006F67"/>
    <w:rsid w:val="0000744B"/>
    <w:rsid w:val="00007462"/>
    <w:rsid w:val="00007483"/>
    <w:rsid w:val="00007CA6"/>
    <w:rsid w:val="00007DCD"/>
    <w:rsid w:val="00010B47"/>
    <w:rsid w:val="00010C9C"/>
    <w:rsid w:val="00010D1E"/>
    <w:rsid w:val="00011090"/>
    <w:rsid w:val="000111FC"/>
    <w:rsid w:val="0001152F"/>
    <w:rsid w:val="000115DB"/>
    <w:rsid w:val="00012827"/>
    <w:rsid w:val="000129A0"/>
    <w:rsid w:val="000133DB"/>
    <w:rsid w:val="00013891"/>
    <w:rsid w:val="00013A3B"/>
    <w:rsid w:val="00013CA4"/>
    <w:rsid w:val="00013D4D"/>
    <w:rsid w:val="00014776"/>
    <w:rsid w:val="00014F6D"/>
    <w:rsid w:val="00014F70"/>
    <w:rsid w:val="00015892"/>
    <w:rsid w:val="00015B29"/>
    <w:rsid w:val="00015E19"/>
    <w:rsid w:val="000164C1"/>
    <w:rsid w:val="000165CA"/>
    <w:rsid w:val="00016876"/>
    <w:rsid w:val="00017665"/>
    <w:rsid w:val="00017679"/>
    <w:rsid w:val="00017F83"/>
    <w:rsid w:val="00020071"/>
    <w:rsid w:val="0002029B"/>
    <w:rsid w:val="0002051C"/>
    <w:rsid w:val="00020619"/>
    <w:rsid w:val="00020680"/>
    <w:rsid w:val="00020D72"/>
    <w:rsid w:val="000213F9"/>
    <w:rsid w:val="00021D35"/>
    <w:rsid w:val="00021ED6"/>
    <w:rsid w:val="00021F7E"/>
    <w:rsid w:val="00022EC0"/>
    <w:rsid w:val="00023A71"/>
    <w:rsid w:val="00023D4A"/>
    <w:rsid w:val="00023DF3"/>
    <w:rsid w:val="0002409D"/>
    <w:rsid w:val="0002418B"/>
    <w:rsid w:val="0002456F"/>
    <w:rsid w:val="000246D3"/>
    <w:rsid w:val="00024994"/>
    <w:rsid w:val="00024A2A"/>
    <w:rsid w:val="00024BA1"/>
    <w:rsid w:val="00025092"/>
    <w:rsid w:val="0002641F"/>
    <w:rsid w:val="000268D1"/>
    <w:rsid w:val="00026DAD"/>
    <w:rsid w:val="00027427"/>
    <w:rsid w:val="00027635"/>
    <w:rsid w:val="00027792"/>
    <w:rsid w:val="000300F4"/>
    <w:rsid w:val="00030864"/>
    <w:rsid w:val="0003086E"/>
    <w:rsid w:val="00030ABE"/>
    <w:rsid w:val="000315B3"/>
    <w:rsid w:val="00031805"/>
    <w:rsid w:val="00031B1D"/>
    <w:rsid w:val="00032071"/>
    <w:rsid w:val="00032148"/>
    <w:rsid w:val="00032570"/>
    <w:rsid w:val="00032804"/>
    <w:rsid w:val="00032CEF"/>
    <w:rsid w:val="00033615"/>
    <w:rsid w:val="000338B0"/>
    <w:rsid w:val="00034754"/>
    <w:rsid w:val="00034EC5"/>
    <w:rsid w:val="00034FBA"/>
    <w:rsid w:val="00035291"/>
    <w:rsid w:val="0003548F"/>
    <w:rsid w:val="000359D6"/>
    <w:rsid w:val="00035A20"/>
    <w:rsid w:val="00035E74"/>
    <w:rsid w:val="000362C6"/>
    <w:rsid w:val="00036C09"/>
    <w:rsid w:val="00037496"/>
    <w:rsid w:val="0003782E"/>
    <w:rsid w:val="00037DB0"/>
    <w:rsid w:val="00037EC1"/>
    <w:rsid w:val="0004051C"/>
    <w:rsid w:val="0004102D"/>
    <w:rsid w:val="00041191"/>
    <w:rsid w:val="0004160C"/>
    <w:rsid w:val="000418F2"/>
    <w:rsid w:val="00041C38"/>
    <w:rsid w:val="00042B08"/>
    <w:rsid w:val="00042E7D"/>
    <w:rsid w:val="00043180"/>
    <w:rsid w:val="00043226"/>
    <w:rsid w:val="00043453"/>
    <w:rsid w:val="00043780"/>
    <w:rsid w:val="000439A5"/>
    <w:rsid w:val="00043F27"/>
    <w:rsid w:val="000440DC"/>
    <w:rsid w:val="00044262"/>
    <w:rsid w:val="00044AE3"/>
    <w:rsid w:val="00044B07"/>
    <w:rsid w:val="0004547F"/>
    <w:rsid w:val="000456D8"/>
    <w:rsid w:val="0004576A"/>
    <w:rsid w:val="000460EA"/>
    <w:rsid w:val="000461C0"/>
    <w:rsid w:val="000468EB"/>
    <w:rsid w:val="00046C9F"/>
    <w:rsid w:val="00046FB6"/>
    <w:rsid w:val="00047023"/>
    <w:rsid w:val="00047879"/>
    <w:rsid w:val="00047C5C"/>
    <w:rsid w:val="00050CDE"/>
    <w:rsid w:val="00050FE4"/>
    <w:rsid w:val="0005142E"/>
    <w:rsid w:val="00051F93"/>
    <w:rsid w:val="00051FD5"/>
    <w:rsid w:val="0005210A"/>
    <w:rsid w:val="000527B9"/>
    <w:rsid w:val="00053776"/>
    <w:rsid w:val="00053AFB"/>
    <w:rsid w:val="00053C4C"/>
    <w:rsid w:val="00053D62"/>
    <w:rsid w:val="000543B5"/>
    <w:rsid w:val="000544F0"/>
    <w:rsid w:val="0005460E"/>
    <w:rsid w:val="00054A3C"/>
    <w:rsid w:val="000553FA"/>
    <w:rsid w:val="0005540F"/>
    <w:rsid w:val="00055941"/>
    <w:rsid w:val="00055968"/>
    <w:rsid w:val="00056078"/>
    <w:rsid w:val="00057BFC"/>
    <w:rsid w:val="00057E52"/>
    <w:rsid w:val="00057FF0"/>
    <w:rsid w:val="000602A0"/>
    <w:rsid w:val="0006099D"/>
    <w:rsid w:val="00060D7E"/>
    <w:rsid w:val="00061440"/>
    <w:rsid w:val="000617C8"/>
    <w:rsid w:val="00061878"/>
    <w:rsid w:val="00061D08"/>
    <w:rsid w:val="00062491"/>
    <w:rsid w:val="00062C3A"/>
    <w:rsid w:val="00062F39"/>
    <w:rsid w:val="00064026"/>
    <w:rsid w:val="00064317"/>
    <w:rsid w:val="000644A0"/>
    <w:rsid w:val="00065026"/>
    <w:rsid w:val="00065164"/>
    <w:rsid w:val="00065180"/>
    <w:rsid w:val="00065559"/>
    <w:rsid w:val="00065C14"/>
    <w:rsid w:val="00065FA2"/>
    <w:rsid w:val="00066384"/>
    <w:rsid w:val="00066958"/>
    <w:rsid w:val="0006775E"/>
    <w:rsid w:val="00067D07"/>
    <w:rsid w:val="0007048F"/>
    <w:rsid w:val="000705CF"/>
    <w:rsid w:val="00070B8B"/>
    <w:rsid w:val="00070F8E"/>
    <w:rsid w:val="00071BBA"/>
    <w:rsid w:val="00071E8D"/>
    <w:rsid w:val="00071EC1"/>
    <w:rsid w:val="000729D0"/>
    <w:rsid w:val="000730E9"/>
    <w:rsid w:val="0007351D"/>
    <w:rsid w:val="0007396F"/>
    <w:rsid w:val="00073A7B"/>
    <w:rsid w:val="00073BE9"/>
    <w:rsid w:val="00073C6E"/>
    <w:rsid w:val="00073F45"/>
    <w:rsid w:val="000748C8"/>
    <w:rsid w:val="000749C2"/>
    <w:rsid w:val="00074B99"/>
    <w:rsid w:val="00075970"/>
    <w:rsid w:val="00075ACB"/>
    <w:rsid w:val="00075C2E"/>
    <w:rsid w:val="0007600B"/>
    <w:rsid w:val="000760F1"/>
    <w:rsid w:val="000762A3"/>
    <w:rsid w:val="000766F9"/>
    <w:rsid w:val="00076C0A"/>
    <w:rsid w:val="000777EB"/>
    <w:rsid w:val="000779E8"/>
    <w:rsid w:val="0008040A"/>
    <w:rsid w:val="0008064B"/>
    <w:rsid w:val="00080AB6"/>
    <w:rsid w:val="00081585"/>
    <w:rsid w:val="0008190D"/>
    <w:rsid w:val="0008242F"/>
    <w:rsid w:val="0008247D"/>
    <w:rsid w:val="00082A2D"/>
    <w:rsid w:val="00082D57"/>
    <w:rsid w:val="00082EA4"/>
    <w:rsid w:val="000838B5"/>
    <w:rsid w:val="00083A61"/>
    <w:rsid w:val="00083C6A"/>
    <w:rsid w:val="000843C5"/>
    <w:rsid w:val="00084A91"/>
    <w:rsid w:val="00084B6F"/>
    <w:rsid w:val="00084B74"/>
    <w:rsid w:val="00084F48"/>
    <w:rsid w:val="00084FE3"/>
    <w:rsid w:val="000850F7"/>
    <w:rsid w:val="00085124"/>
    <w:rsid w:val="00085493"/>
    <w:rsid w:val="000855C0"/>
    <w:rsid w:val="00085BF5"/>
    <w:rsid w:val="000860CA"/>
    <w:rsid w:val="00086156"/>
    <w:rsid w:val="00086851"/>
    <w:rsid w:val="000868F2"/>
    <w:rsid w:val="00087038"/>
    <w:rsid w:val="000877F5"/>
    <w:rsid w:val="00087C14"/>
    <w:rsid w:val="00090152"/>
    <w:rsid w:val="000903FC"/>
    <w:rsid w:val="00090703"/>
    <w:rsid w:val="00090891"/>
    <w:rsid w:val="000910B8"/>
    <w:rsid w:val="00091137"/>
    <w:rsid w:val="000913FD"/>
    <w:rsid w:val="0009150B"/>
    <w:rsid w:val="000916A2"/>
    <w:rsid w:val="0009209F"/>
    <w:rsid w:val="0009262E"/>
    <w:rsid w:val="000927EA"/>
    <w:rsid w:val="00092892"/>
    <w:rsid w:val="000929FB"/>
    <w:rsid w:val="00092BFC"/>
    <w:rsid w:val="0009340C"/>
    <w:rsid w:val="00093956"/>
    <w:rsid w:val="000944F9"/>
    <w:rsid w:val="00094595"/>
    <w:rsid w:val="0009471D"/>
    <w:rsid w:val="0009485C"/>
    <w:rsid w:val="00095B35"/>
    <w:rsid w:val="00095E11"/>
    <w:rsid w:val="00095E6A"/>
    <w:rsid w:val="000961BD"/>
    <w:rsid w:val="0009646D"/>
    <w:rsid w:val="00096735"/>
    <w:rsid w:val="00096DBE"/>
    <w:rsid w:val="00097408"/>
    <w:rsid w:val="00097AB4"/>
    <w:rsid w:val="000A0087"/>
    <w:rsid w:val="000A09B6"/>
    <w:rsid w:val="000A0D4C"/>
    <w:rsid w:val="000A1062"/>
    <w:rsid w:val="000A11E2"/>
    <w:rsid w:val="000A15F5"/>
    <w:rsid w:val="000A1738"/>
    <w:rsid w:val="000A1F77"/>
    <w:rsid w:val="000A20FC"/>
    <w:rsid w:val="000A2230"/>
    <w:rsid w:val="000A2565"/>
    <w:rsid w:val="000A2569"/>
    <w:rsid w:val="000A2833"/>
    <w:rsid w:val="000A2C40"/>
    <w:rsid w:val="000A2E3F"/>
    <w:rsid w:val="000A2EB0"/>
    <w:rsid w:val="000A32D9"/>
    <w:rsid w:val="000A332F"/>
    <w:rsid w:val="000A3A68"/>
    <w:rsid w:val="000A3ABE"/>
    <w:rsid w:val="000A453B"/>
    <w:rsid w:val="000A46A5"/>
    <w:rsid w:val="000A4A90"/>
    <w:rsid w:val="000A5381"/>
    <w:rsid w:val="000A65FE"/>
    <w:rsid w:val="000A669F"/>
    <w:rsid w:val="000A6A8C"/>
    <w:rsid w:val="000A6DAE"/>
    <w:rsid w:val="000A6E47"/>
    <w:rsid w:val="000A7595"/>
    <w:rsid w:val="000A7690"/>
    <w:rsid w:val="000A79C8"/>
    <w:rsid w:val="000B099C"/>
    <w:rsid w:val="000B1866"/>
    <w:rsid w:val="000B24DF"/>
    <w:rsid w:val="000B263A"/>
    <w:rsid w:val="000B28B8"/>
    <w:rsid w:val="000B29CC"/>
    <w:rsid w:val="000B2D05"/>
    <w:rsid w:val="000B33CB"/>
    <w:rsid w:val="000B3954"/>
    <w:rsid w:val="000B3B45"/>
    <w:rsid w:val="000B4535"/>
    <w:rsid w:val="000B46C1"/>
    <w:rsid w:val="000B4DB3"/>
    <w:rsid w:val="000B5033"/>
    <w:rsid w:val="000B510E"/>
    <w:rsid w:val="000B534F"/>
    <w:rsid w:val="000B58D9"/>
    <w:rsid w:val="000B5961"/>
    <w:rsid w:val="000B5B38"/>
    <w:rsid w:val="000B6206"/>
    <w:rsid w:val="000B7124"/>
    <w:rsid w:val="000B71FF"/>
    <w:rsid w:val="000B75C3"/>
    <w:rsid w:val="000B789B"/>
    <w:rsid w:val="000B7938"/>
    <w:rsid w:val="000B7B18"/>
    <w:rsid w:val="000B7B39"/>
    <w:rsid w:val="000C02D2"/>
    <w:rsid w:val="000C08BB"/>
    <w:rsid w:val="000C091D"/>
    <w:rsid w:val="000C0E16"/>
    <w:rsid w:val="000C0FC5"/>
    <w:rsid w:val="000C0FCB"/>
    <w:rsid w:val="000C1304"/>
    <w:rsid w:val="000C145C"/>
    <w:rsid w:val="000C181B"/>
    <w:rsid w:val="000C19BC"/>
    <w:rsid w:val="000C1A7A"/>
    <w:rsid w:val="000C1D8D"/>
    <w:rsid w:val="000C250E"/>
    <w:rsid w:val="000C253E"/>
    <w:rsid w:val="000C2FE5"/>
    <w:rsid w:val="000C30E3"/>
    <w:rsid w:val="000C391F"/>
    <w:rsid w:val="000C39A4"/>
    <w:rsid w:val="000C39F0"/>
    <w:rsid w:val="000C3A9A"/>
    <w:rsid w:val="000C3FE2"/>
    <w:rsid w:val="000C4261"/>
    <w:rsid w:val="000C5932"/>
    <w:rsid w:val="000C59CD"/>
    <w:rsid w:val="000C5DB7"/>
    <w:rsid w:val="000C615B"/>
    <w:rsid w:val="000C641A"/>
    <w:rsid w:val="000C6427"/>
    <w:rsid w:val="000C6961"/>
    <w:rsid w:val="000C6D49"/>
    <w:rsid w:val="000C70FC"/>
    <w:rsid w:val="000C710F"/>
    <w:rsid w:val="000C7130"/>
    <w:rsid w:val="000C7166"/>
    <w:rsid w:val="000C71DA"/>
    <w:rsid w:val="000C7520"/>
    <w:rsid w:val="000C76CF"/>
    <w:rsid w:val="000C77E1"/>
    <w:rsid w:val="000C795B"/>
    <w:rsid w:val="000C7A49"/>
    <w:rsid w:val="000C7BA4"/>
    <w:rsid w:val="000C7DE4"/>
    <w:rsid w:val="000D0964"/>
    <w:rsid w:val="000D0D17"/>
    <w:rsid w:val="000D0E6F"/>
    <w:rsid w:val="000D1070"/>
    <w:rsid w:val="000D1DBE"/>
    <w:rsid w:val="000D2899"/>
    <w:rsid w:val="000D2E60"/>
    <w:rsid w:val="000D2E8A"/>
    <w:rsid w:val="000D2EE6"/>
    <w:rsid w:val="000D3151"/>
    <w:rsid w:val="000D3343"/>
    <w:rsid w:val="000D42BB"/>
    <w:rsid w:val="000D45A7"/>
    <w:rsid w:val="000D4671"/>
    <w:rsid w:val="000D4C69"/>
    <w:rsid w:val="000D514C"/>
    <w:rsid w:val="000D5634"/>
    <w:rsid w:val="000D56BA"/>
    <w:rsid w:val="000D5FF4"/>
    <w:rsid w:val="000D607F"/>
    <w:rsid w:val="000D624F"/>
    <w:rsid w:val="000D6475"/>
    <w:rsid w:val="000D7433"/>
    <w:rsid w:val="000D7E3B"/>
    <w:rsid w:val="000D7EB2"/>
    <w:rsid w:val="000D7F25"/>
    <w:rsid w:val="000E03C8"/>
    <w:rsid w:val="000E0633"/>
    <w:rsid w:val="000E0C94"/>
    <w:rsid w:val="000E0EC3"/>
    <w:rsid w:val="000E156A"/>
    <w:rsid w:val="000E1590"/>
    <w:rsid w:val="000E1BC0"/>
    <w:rsid w:val="000E1CD4"/>
    <w:rsid w:val="000E205C"/>
    <w:rsid w:val="000E2671"/>
    <w:rsid w:val="000E2B2F"/>
    <w:rsid w:val="000E2BB6"/>
    <w:rsid w:val="000E2CC8"/>
    <w:rsid w:val="000E2E06"/>
    <w:rsid w:val="000E2E7C"/>
    <w:rsid w:val="000E3107"/>
    <w:rsid w:val="000E3168"/>
    <w:rsid w:val="000E3F42"/>
    <w:rsid w:val="000E409B"/>
    <w:rsid w:val="000E4522"/>
    <w:rsid w:val="000E457B"/>
    <w:rsid w:val="000E4ABC"/>
    <w:rsid w:val="000E4E98"/>
    <w:rsid w:val="000E5653"/>
    <w:rsid w:val="000E5A00"/>
    <w:rsid w:val="000E6031"/>
    <w:rsid w:val="000E608F"/>
    <w:rsid w:val="000E6234"/>
    <w:rsid w:val="000E67D3"/>
    <w:rsid w:val="000E6C24"/>
    <w:rsid w:val="000E790C"/>
    <w:rsid w:val="000E7C84"/>
    <w:rsid w:val="000E7D3F"/>
    <w:rsid w:val="000F0356"/>
    <w:rsid w:val="000F0763"/>
    <w:rsid w:val="000F0A8F"/>
    <w:rsid w:val="000F0ADD"/>
    <w:rsid w:val="000F0B0A"/>
    <w:rsid w:val="000F0B40"/>
    <w:rsid w:val="000F0C17"/>
    <w:rsid w:val="000F1609"/>
    <w:rsid w:val="000F1969"/>
    <w:rsid w:val="000F2188"/>
    <w:rsid w:val="000F25B5"/>
    <w:rsid w:val="000F27E1"/>
    <w:rsid w:val="000F2E8D"/>
    <w:rsid w:val="000F2FAE"/>
    <w:rsid w:val="000F3929"/>
    <w:rsid w:val="000F41D9"/>
    <w:rsid w:val="000F44C9"/>
    <w:rsid w:val="000F4E7D"/>
    <w:rsid w:val="000F657E"/>
    <w:rsid w:val="000F6B75"/>
    <w:rsid w:val="000F6C84"/>
    <w:rsid w:val="000F6D79"/>
    <w:rsid w:val="000F6F4B"/>
    <w:rsid w:val="000F74ED"/>
    <w:rsid w:val="000F766B"/>
    <w:rsid w:val="000F78CE"/>
    <w:rsid w:val="000F7C71"/>
    <w:rsid w:val="000F7C93"/>
    <w:rsid w:val="000F7DE3"/>
    <w:rsid w:val="00100480"/>
    <w:rsid w:val="00100620"/>
    <w:rsid w:val="001006B0"/>
    <w:rsid w:val="0010097D"/>
    <w:rsid w:val="00100D01"/>
    <w:rsid w:val="00101235"/>
    <w:rsid w:val="00101615"/>
    <w:rsid w:val="00101714"/>
    <w:rsid w:val="00102307"/>
    <w:rsid w:val="0010251F"/>
    <w:rsid w:val="00102B81"/>
    <w:rsid w:val="00102D97"/>
    <w:rsid w:val="00103476"/>
    <w:rsid w:val="0010353D"/>
    <w:rsid w:val="0010370C"/>
    <w:rsid w:val="00103773"/>
    <w:rsid w:val="001037E0"/>
    <w:rsid w:val="0010390B"/>
    <w:rsid w:val="00103A55"/>
    <w:rsid w:val="00103C0A"/>
    <w:rsid w:val="00103EB4"/>
    <w:rsid w:val="001045FA"/>
    <w:rsid w:val="0010491D"/>
    <w:rsid w:val="00104CF1"/>
    <w:rsid w:val="001051C0"/>
    <w:rsid w:val="0010557E"/>
    <w:rsid w:val="00105B91"/>
    <w:rsid w:val="001064C2"/>
    <w:rsid w:val="001068DF"/>
    <w:rsid w:val="00106A71"/>
    <w:rsid w:val="00106AE0"/>
    <w:rsid w:val="00106B3D"/>
    <w:rsid w:val="00106CD4"/>
    <w:rsid w:val="00106FC4"/>
    <w:rsid w:val="0010712D"/>
    <w:rsid w:val="00107222"/>
    <w:rsid w:val="00107F65"/>
    <w:rsid w:val="00110037"/>
    <w:rsid w:val="0011005C"/>
    <w:rsid w:val="00110D33"/>
    <w:rsid w:val="00110F05"/>
    <w:rsid w:val="00111702"/>
    <w:rsid w:val="00111BC4"/>
    <w:rsid w:val="00112080"/>
    <w:rsid w:val="0011258A"/>
    <w:rsid w:val="00112C28"/>
    <w:rsid w:val="00112DB4"/>
    <w:rsid w:val="00113180"/>
    <w:rsid w:val="00113227"/>
    <w:rsid w:val="001132F5"/>
    <w:rsid w:val="001133CE"/>
    <w:rsid w:val="00113726"/>
    <w:rsid w:val="00113C19"/>
    <w:rsid w:val="0011411F"/>
    <w:rsid w:val="00114C66"/>
    <w:rsid w:val="0011512A"/>
    <w:rsid w:val="001153C1"/>
    <w:rsid w:val="00115B85"/>
    <w:rsid w:val="00115E30"/>
    <w:rsid w:val="00115ECA"/>
    <w:rsid w:val="00116B82"/>
    <w:rsid w:val="00116F7D"/>
    <w:rsid w:val="0011726F"/>
    <w:rsid w:val="0011731F"/>
    <w:rsid w:val="00117861"/>
    <w:rsid w:val="00117B2B"/>
    <w:rsid w:val="00117F95"/>
    <w:rsid w:val="00120253"/>
    <w:rsid w:val="0012047D"/>
    <w:rsid w:val="001205E6"/>
    <w:rsid w:val="00120BA0"/>
    <w:rsid w:val="001215E7"/>
    <w:rsid w:val="00121633"/>
    <w:rsid w:val="00121A88"/>
    <w:rsid w:val="00121C67"/>
    <w:rsid w:val="00122564"/>
    <w:rsid w:val="00122719"/>
    <w:rsid w:val="00123CC9"/>
    <w:rsid w:val="00123DFC"/>
    <w:rsid w:val="00123FC8"/>
    <w:rsid w:val="001240C4"/>
    <w:rsid w:val="00124260"/>
    <w:rsid w:val="0012431C"/>
    <w:rsid w:val="001247A6"/>
    <w:rsid w:val="001247E9"/>
    <w:rsid w:val="00124BB2"/>
    <w:rsid w:val="00125412"/>
    <w:rsid w:val="001257C3"/>
    <w:rsid w:val="00125CED"/>
    <w:rsid w:val="00125EB2"/>
    <w:rsid w:val="00125EEA"/>
    <w:rsid w:val="001264F8"/>
    <w:rsid w:val="00126A4B"/>
    <w:rsid w:val="00126B54"/>
    <w:rsid w:val="00126D13"/>
    <w:rsid w:val="00127129"/>
    <w:rsid w:val="0012776E"/>
    <w:rsid w:val="0013014F"/>
    <w:rsid w:val="001301E7"/>
    <w:rsid w:val="001303EC"/>
    <w:rsid w:val="00130611"/>
    <w:rsid w:val="0013071B"/>
    <w:rsid w:val="001308C6"/>
    <w:rsid w:val="00130B83"/>
    <w:rsid w:val="00130CCC"/>
    <w:rsid w:val="00130CEC"/>
    <w:rsid w:val="001311E2"/>
    <w:rsid w:val="00131537"/>
    <w:rsid w:val="00131853"/>
    <w:rsid w:val="00131AFD"/>
    <w:rsid w:val="001325EC"/>
    <w:rsid w:val="001332DF"/>
    <w:rsid w:val="0013360F"/>
    <w:rsid w:val="00133B60"/>
    <w:rsid w:val="00133DC5"/>
    <w:rsid w:val="0013471D"/>
    <w:rsid w:val="00134759"/>
    <w:rsid w:val="00134989"/>
    <w:rsid w:val="00134B97"/>
    <w:rsid w:val="00134DC1"/>
    <w:rsid w:val="001352BC"/>
    <w:rsid w:val="001355BB"/>
    <w:rsid w:val="0013574F"/>
    <w:rsid w:val="0013592F"/>
    <w:rsid w:val="00135981"/>
    <w:rsid w:val="001359B1"/>
    <w:rsid w:val="00135FC6"/>
    <w:rsid w:val="00136000"/>
    <w:rsid w:val="00136139"/>
    <w:rsid w:val="001365AA"/>
    <w:rsid w:val="00136649"/>
    <w:rsid w:val="00136A18"/>
    <w:rsid w:val="00136EC1"/>
    <w:rsid w:val="00137024"/>
    <w:rsid w:val="00137434"/>
    <w:rsid w:val="00137808"/>
    <w:rsid w:val="00137AE9"/>
    <w:rsid w:val="001401AE"/>
    <w:rsid w:val="001402C3"/>
    <w:rsid w:val="0014042B"/>
    <w:rsid w:val="00140510"/>
    <w:rsid w:val="00140692"/>
    <w:rsid w:val="00140939"/>
    <w:rsid w:val="00140B05"/>
    <w:rsid w:val="0014112C"/>
    <w:rsid w:val="001415D5"/>
    <w:rsid w:val="0014160C"/>
    <w:rsid w:val="001417CB"/>
    <w:rsid w:val="00142C73"/>
    <w:rsid w:val="00142DC1"/>
    <w:rsid w:val="00142F59"/>
    <w:rsid w:val="00142FE8"/>
    <w:rsid w:val="00143176"/>
    <w:rsid w:val="001432BA"/>
    <w:rsid w:val="0014362D"/>
    <w:rsid w:val="001437B4"/>
    <w:rsid w:val="00144367"/>
    <w:rsid w:val="001446B3"/>
    <w:rsid w:val="00144C2C"/>
    <w:rsid w:val="00144C70"/>
    <w:rsid w:val="00144D6A"/>
    <w:rsid w:val="00144FC4"/>
    <w:rsid w:val="0014503E"/>
    <w:rsid w:val="0014536D"/>
    <w:rsid w:val="00145B0B"/>
    <w:rsid w:val="00145E83"/>
    <w:rsid w:val="001473C4"/>
    <w:rsid w:val="00147901"/>
    <w:rsid w:val="001479F2"/>
    <w:rsid w:val="00147B33"/>
    <w:rsid w:val="0015002A"/>
    <w:rsid w:val="00150310"/>
    <w:rsid w:val="00150440"/>
    <w:rsid w:val="00150DA5"/>
    <w:rsid w:val="00150E58"/>
    <w:rsid w:val="00151222"/>
    <w:rsid w:val="00151DFB"/>
    <w:rsid w:val="00152818"/>
    <w:rsid w:val="00152C45"/>
    <w:rsid w:val="00152F70"/>
    <w:rsid w:val="0015468E"/>
    <w:rsid w:val="00155170"/>
    <w:rsid w:val="00155378"/>
    <w:rsid w:val="0015541D"/>
    <w:rsid w:val="001554E1"/>
    <w:rsid w:val="00155578"/>
    <w:rsid w:val="00155BB8"/>
    <w:rsid w:val="00155D72"/>
    <w:rsid w:val="0015618B"/>
    <w:rsid w:val="00156D50"/>
    <w:rsid w:val="00156DFF"/>
    <w:rsid w:val="001570AC"/>
    <w:rsid w:val="00157852"/>
    <w:rsid w:val="00160273"/>
    <w:rsid w:val="0016043D"/>
    <w:rsid w:val="0016055A"/>
    <w:rsid w:val="0016087C"/>
    <w:rsid w:val="00161130"/>
    <w:rsid w:val="00161304"/>
    <w:rsid w:val="00161443"/>
    <w:rsid w:val="00161447"/>
    <w:rsid w:val="00161556"/>
    <w:rsid w:val="001618FC"/>
    <w:rsid w:val="00162C84"/>
    <w:rsid w:val="00162F57"/>
    <w:rsid w:val="00163599"/>
    <w:rsid w:val="00163C93"/>
    <w:rsid w:val="00164566"/>
    <w:rsid w:val="00164905"/>
    <w:rsid w:val="00164AA7"/>
    <w:rsid w:val="00164C13"/>
    <w:rsid w:val="00164CA4"/>
    <w:rsid w:val="00165002"/>
    <w:rsid w:val="00165397"/>
    <w:rsid w:val="0016597D"/>
    <w:rsid w:val="00165AF7"/>
    <w:rsid w:val="00165D86"/>
    <w:rsid w:val="00165F4D"/>
    <w:rsid w:val="001665EF"/>
    <w:rsid w:val="00166B93"/>
    <w:rsid w:val="00166EE5"/>
    <w:rsid w:val="0016700E"/>
    <w:rsid w:val="001674F6"/>
    <w:rsid w:val="00167814"/>
    <w:rsid w:val="001678B0"/>
    <w:rsid w:val="00170945"/>
    <w:rsid w:val="00170A6B"/>
    <w:rsid w:val="00170B26"/>
    <w:rsid w:val="00170CB3"/>
    <w:rsid w:val="00170CFE"/>
    <w:rsid w:val="00170FDB"/>
    <w:rsid w:val="00171697"/>
    <w:rsid w:val="001718BB"/>
    <w:rsid w:val="00172070"/>
    <w:rsid w:val="00172088"/>
    <w:rsid w:val="0017352E"/>
    <w:rsid w:val="0017378E"/>
    <w:rsid w:val="001739E4"/>
    <w:rsid w:val="00175300"/>
    <w:rsid w:val="0017539E"/>
    <w:rsid w:val="00175B82"/>
    <w:rsid w:val="00176963"/>
    <w:rsid w:val="00177333"/>
    <w:rsid w:val="00177635"/>
    <w:rsid w:val="001803B1"/>
    <w:rsid w:val="00180736"/>
    <w:rsid w:val="0018073F"/>
    <w:rsid w:val="00180A37"/>
    <w:rsid w:val="0018139A"/>
    <w:rsid w:val="00181DDF"/>
    <w:rsid w:val="00181E4C"/>
    <w:rsid w:val="0018233B"/>
    <w:rsid w:val="00182343"/>
    <w:rsid w:val="00182D65"/>
    <w:rsid w:val="00182E13"/>
    <w:rsid w:val="00182EDA"/>
    <w:rsid w:val="001831F6"/>
    <w:rsid w:val="00183537"/>
    <w:rsid w:val="0018373A"/>
    <w:rsid w:val="001845EA"/>
    <w:rsid w:val="00184BA0"/>
    <w:rsid w:val="00184E20"/>
    <w:rsid w:val="00184F62"/>
    <w:rsid w:val="00184FB6"/>
    <w:rsid w:val="00185394"/>
    <w:rsid w:val="00185625"/>
    <w:rsid w:val="00185A0E"/>
    <w:rsid w:val="00185AC9"/>
    <w:rsid w:val="00185B82"/>
    <w:rsid w:val="00185C49"/>
    <w:rsid w:val="00186BAB"/>
    <w:rsid w:val="00186E0A"/>
    <w:rsid w:val="00187C20"/>
    <w:rsid w:val="00187DA8"/>
    <w:rsid w:val="00187FBB"/>
    <w:rsid w:val="00190250"/>
    <w:rsid w:val="00190389"/>
    <w:rsid w:val="0019048B"/>
    <w:rsid w:val="0019068A"/>
    <w:rsid w:val="001907E2"/>
    <w:rsid w:val="00190973"/>
    <w:rsid w:val="001911B6"/>
    <w:rsid w:val="0019138B"/>
    <w:rsid w:val="00191641"/>
    <w:rsid w:val="00191E31"/>
    <w:rsid w:val="0019222C"/>
    <w:rsid w:val="001923CE"/>
    <w:rsid w:val="001926D5"/>
    <w:rsid w:val="00192793"/>
    <w:rsid w:val="00192918"/>
    <w:rsid w:val="00192D07"/>
    <w:rsid w:val="001932A6"/>
    <w:rsid w:val="00193554"/>
    <w:rsid w:val="00194049"/>
    <w:rsid w:val="001941AC"/>
    <w:rsid w:val="00194496"/>
    <w:rsid w:val="0019460F"/>
    <w:rsid w:val="00194693"/>
    <w:rsid w:val="001947E2"/>
    <w:rsid w:val="00194D53"/>
    <w:rsid w:val="00194E85"/>
    <w:rsid w:val="00194EF3"/>
    <w:rsid w:val="00195548"/>
    <w:rsid w:val="00195AC7"/>
    <w:rsid w:val="00195E11"/>
    <w:rsid w:val="00195F37"/>
    <w:rsid w:val="00196318"/>
    <w:rsid w:val="001964B7"/>
    <w:rsid w:val="001968F0"/>
    <w:rsid w:val="00196A71"/>
    <w:rsid w:val="00196D8C"/>
    <w:rsid w:val="00196F01"/>
    <w:rsid w:val="00196F86"/>
    <w:rsid w:val="0019778F"/>
    <w:rsid w:val="00197994"/>
    <w:rsid w:val="00197CF8"/>
    <w:rsid w:val="001A05E7"/>
    <w:rsid w:val="001A06B1"/>
    <w:rsid w:val="001A0AA9"/>
    <w:rsid w:val="001A0D49"/>
    <w:rsid w:val="001A1583"/>
    <w:rsid w:val="001A18AF"/>
    <w:rsid w:val="001A1A97"/>
    <w:rsid w:val="001A1E31"/>
    <w:rsid w:val="001A20E8"/>
    <w:rsid w:val="001A24DF"/>
    <w:rsid w:val="001A26F1"/>
    <w:rsid w:val="001A284D"/>
    <w:rsid w:val="001A2B58"/>
    <w:rsid w:val="001A2CD4"/>
    <w:rsid w:val="001A337C"/>
    <w:rsid w:val="001A34FA"/>
    <w:rsid w:val="001A3F2C"/>
    <w:rsid w:val="001A3F98"/>
    <w:rsid w:val="001A40C4"/>
    <w:rsid w:val="001A453A"/>
    <w:rsid w:val="001A4770"/>
    <w:rsid w:val="001A484F"/>
    <w:rsid w:val="001A4905"/>
    <w:rsid w:val="001A4DD5"/>
    <w:rsid w:val="001A4FA4"/>
    <w:rsid w:val="001A5735"/>
    <w:rsid w:val="001A57C5"/>
    <w:rsid w:val="001A597D"/>
    <w:rsid w:val="001A5A31"/>
    <w:rsid w:val="001A6D8D"/>
    <w:rsid w:val="001A77EA"/>
    <w:rsid w:val="001A78C2"/>
    <w:rsid w:val="001A7A4A"/>
    <w:rsid w:val="001A7AB8"/>
    <w:rsid w:val="001A7E83"/>
    <w:rsid w:val="001B012A"/>
    <w:rsid w:val="001B02AD"/>
    <w:rsid w:val="001B03B3"/>
    <w:rsid w:val="001B05B2"/>
    <w:rsid w:val="001B08AA"/>
    <w:rsid w:val="001B0D32"/>
    <w:rsid w:val="001B1950"/>
    <w:rsid w:val="001B2149"/>
    <w:rsid w:val="001B21C0"/>
    <w:rsid w:val="001B21DE"/>
    <w:rsid w:val="001B23EA"/>
    <w:rsid w:val="001B36CF"/>
    <w:rsid w:val="001B37AF"/>
    <w:rsid w:val="001B3AE2"/>
    <w:rsid w:val="001B3B44"/>
    <w:rsid w:val="001B44A7"/>
    <w:rsid w:val="001B47CC"/>
    <w:rsid w:val="001B47DD"/>
    <w:rsid w:val="001B4A39"/>
    <w:rsid w:val="001B5C3F"/>
    <w:rsid w:val="001B5FA1"/>
    <w:rsid w:val="001B6825"/>
    <w:rsid w:val="001B6A26"/>
    <w:rsid w:val="001B71CE"/>
    <w:rsid w:val="001B7663"/>
    <w:rsid w:val="001B7B68"/>
    <w:rsid w:val="001C01A9"/>
    <w:rsid w:val="001C0502"/>
    <w:rsid w:val="001C0B87"/>
    <w:rsid w:val="001C0F72"/>
    <w:rsid w:val="001C108D"/>
    <w:rsid w:val="001C14D7"/>
    <w:rsid w:val="001C15CC"/>
    <w:rsid w:val="001C1733"/>
    <w:rsid w:val="001C1847"/>
    <w:rsid w:val="001C1B7A"/>
    <w:rsid w:val="001C2148"/>
    <w:rsid w:val="001C3340"/>
    <w:rsid w:val="001C34EF"/>
    <w:rsid w:val="001C3602"/>
    <w:rsid w:val="001C3749"/>
    <w:rsid w:val="001C3852"/>
    <w:rsid w:val="001C3AC4"/>
    <w:rsid w:val="001C3D07"/>
    <w:rsid w:val="001C4245"/>
    <w:rsid w:val="001C43AA"/>
    <w:rsid w:val="001C47C3"/>
    <w:rsid w:val="001C58F4"/>
    <w:rsid w:val="001C5EA0"/>
    <w:rsid w:val="001C68C8"/>
    <w:rsid w:val="001C7012"/>
    <w:rsid w:val="001C7176"/>
    <w:rsid w:val="001C7374"/>
    <w:rsid w:val="001C7D6D"/>
    <w:rsid w:val="001D0046"/>
    <w:rsid w:val="001D0A2F"/>
    <w:rsid w:val="001D0C28"/>
    <w:rsid w:val="001D0EA8"/>
    <w:rsid w:val="001D101F"/>
    <w:rsid w:val="001D15BF"/>
    <w:rsid w:val="001D161B"/>
    <w:rsid w:val="001D19C0"/>
    <w:rsid w:val="001D1A19"/>
    <w:rsid w:val="001D1B9E"/>
    <w:rsid w:val="001D2119"/>
    <w:rsid w:val="001D23C7"/>
    <w:rsid w:val="001D254E"/>
    <w:rsid w:val="001D298F"/>
    <w:rsid w:val="001D2D4D"/>
    <w:rsid w:val="001D327E"/>
    <w:rsid w:val="001D3AB8"/>
    <w:rsid w:val="001D3AF7"/>
    <w:rsid w:val="001D3F6D"/>
    <w:rsid w:val="001D4BD2"/>
    <w:rsid w:val="001D4CB6"/>
    <w:rsid w:val="001D4E41"/>
    <w:rsid w:val="001D54DA"/>
    <w:rsid w:val="001D5C74"/>
    <w:rsid w:val="001D5E7F"/>
    <w:rsid w:val="001D63A8"/>
    <w:rsid w:val="001D6B38"/>
    <w:rsid w:val="001D6C0B"/>
    <w:rsid w:val="001D7128"/>
    <w:rsid w:val="001D7300"/>
    <w:rsid w:val="001D73B1"/>
    <w:rsid w:val="001D7FE5"/>
    <w:rsid w:val="001E0091"/>
    <w:rsid w:val="001E013D"/>
    <w:rsid w:val="001E0487"/>
    <w:rsid w:val="001E0938"/>
    <w:rsid w:val="001E0A5D"/>
    <w:rsid w:val="001E0D00"/>
    <w:rsid w:val="001E1008"/>
    <w:rsid w:val="001E113A"/>
    <w:rsid w:val="001E1649"/>
    <w:rsid w:val="001E1777"/>
    <w:rsid w:val="001E1906"/>
    <w:rsid w:val="001E1C7A"/>
    <w:rsid w:val="001E2B7C"/>
    <w:rsid w:val="001E2BDC"/>
    <w:rsid w:val="001E3242"/>
    <w:rsid w:val="001E3C5A"/>
    <w:rsid w:val="001E4373"/>
    <w:rsid w:val="001E46FE"/>
    <w:rsid w:val="001E4857"/>
    <w:rsid w:val="001E4A97"/>
    <w:rsid w:val="001E4E9F"/>
    <w:rsid w:val="001E4F87"/>
    <w:rsid w:val="001E531D"/>
    <w:rsid w:val="001E53C0"/>
    <w:rsid w:val="001E60A2"/>
    <w:rsid w:val="001E6458"/>
    <w:rsid w:val="001E64D5"/>
    <w:rsid w:val="001E64EE"/>
    <w:rsid w:val="001E668F"/>
    <w:rsid w:val="001E6F30"/>
    <w:rsid w:val="001E6F89"/>
    <w:rsid w:val="001E791A"/>
    <w:rsid w:val="001E7AB0"/>
    <w:rsid w:val="001E7BEE"/>
    <w:rsid w:val="001E7C31"/>
    <w:rsid w:val="001F0B14"/>
    <w:rsid w:val="001F0B9D"/>
    <w:rsid w:val="001F0C44"/>
    <w:rsid w:val="001F0C5E"/>
    <w:rsid w:val="001F0FF5"/>
    <w:rsid w:val="001F108C"/>
    <w:rsid w:val="001F15CF"/>
    <w:rsid w:val="001F181E"/>
    <w:rsid w:val="001F1C96"/>
    <w:rsid w:val="001F1F6F"/>
    <w:rsid w:val="001F2246"/>
    <w:rsid w:val="001F2C08"/>
    <w:rsid w:val="001F2D38"/>
    <w:rsid w:val="001F2D90"/>
    <w:rsid w:val="001F2E56"/>
    <w:rsid w:val="001F2F61"/>
    <w:rsid w:val="001F33F2"/>
    <w:rsid w:val="001F41C3"/>
    <w:rsid w:val="001F4396"/>
    <w:rsid w:val="001F43D6"/>
    <w:rsid w:val="001F46FD"/>
    <w:rsid w:val="001F475C"/>
    <w:rsid w:val="001F49F7"/>
    <w:rsid w:val="001F5370"/>
    <w:rsid w:val="001F5A25"/>
    <w:rsid w:val="001F5F72"/>
    <w:rsid w:val="001F6239"/>
    <w:rsid w:val="001F6413"/>
    <w:rsid w:val="001F6430"/>
    <w:rsid w:val="001F6DFE"/>
    <w:rsid w:val="001F7214"/>
    <w:rsid w:val="001F78FE"/>
    <w:rsid w:val="001F7F29"/>
    <w:rsid w:val="0020010E"/>
    <w:rsid w:val="002001C6"/>
    <w:rsid w:val="00200564"/>
    <w:rsid w:val="00200A60"/>
    <w:rsid w:val="00200A95"/>
    <w:rsid w:val="00200CAA"/>
    <w:rsid w:val="00201168"/>
    <w:rsid w:val="002015F0"/>
    <w:rsid w:val="00201E43"/>
    <w:rsid w:val="00202211"/>
    <w:rsid w:val="00202508"/>
    <w:rsid w:val="00202714"/>
    <w:rsid w:val="002028B7"/>
    <w:rsid w:val="00202D51"/>
    <w:rsid w:val="00203177"/>
    <w:rsid w:val="002035B3"/>
    <w:rsid w:val="00203EE4"/>
    <w:rsid w:val="00204983"/>
    <w:rsid w:val="00204A43"/>
    <w:rsid w:val="00204BFD"/>
    <w:rsid w:val="00204DBF"/>
    <w:rsid w:val="00204E77"/>
    <w:rsid w:val="00205006"/>
    <w:rsid w:val="002050FF"/>
    <w:rsid w:val="002051DD"/>
    <w:rsid w:val="002056A8"/>
    <w:rsid w:val="002057CB"/>
    <w:rsid w:val="00205A0C"/>
    <w:rsid w:val="0020609F"/>
    <w:rsid w:val="00206748"/>
    <w:rsid w:val="0020686D"/>
    <w:rsid w:val="002069AB"/>
    <w:rsid w:val="00206C65"/>
    <w:rsid w:val="00206D98"/>
    <w:rsid w:val="002075D4"/>
    <w:rsid w:val="00207CDE"/>
    <w:rsid w:val="002106E9"/>
    <w:rsid w:val="002116FA"/>
    <w:rsid w:val="00211C40"/>
    <w:rsid w:val="002126FD"/>
    <w:rsid w:val="00213896"/>
    <w:rsid w:val="00213991"/>
    <w:rsid w:val="002139A9"/>
    <w:rsid w:val="00213A39"/>
    <w:rsid w:val="00213AD5"/>
    <w:rsid w:val="00213C75"/>
    <w:rsid w:val="002141D4"/>
    <w:rsid w:val="00214969"/>
    <w:rsid w:val="002151FB"/>
    <w:rsid w:val="00215B50"/>
    <w:rsid w:val="00215E0D"/>
    <w:rsid w:val="002165A4"/>
    <w:rsid w:val="002165C6"/>
    <w:rsid w:val="00216C12"/>
    <w:rsid w:val="00216CCE"/>
    <w:rsid w:val="00216D04"/>
    <w:rsid w:val="00216DB0"/>
    <w:rsid w:val="00217595"/>
    <w:rsid w:val="0021778F"/>
    <w:rsid w:val="0021797A"/>
    <w:rsid w:val="00217F11"/>
    <w:rsid w:val="00220AB4"/>
    <w:rsid w:val="00221313"/>
    <w:rsid w:val="002224CE"/>
    <w:rsid w:val="002227D3"/>
    <w:rsid w:val="002229C2"/>
    <w:rsid w:val="002234B2"/>
    <w:rsid w:val="002239D1"/>
    <w:rsid w:val="00223D31"/>
    <w:rsid w:val="00224172"/>
    <w:rsid w:val="002241E5"/>
    <w:rsid w:val="00224E03"/>
    <w:rsid w:val="00225606"/>
    <w:rsid w:val="0022579F"/>
    <w:rsid w:val="00225A72"/>
    <w:rsid w:val="00225B9C"/>
    <w:rsid w:val="00225CBD"/>
    <w:rsid w:val="002262EF"/>
    <w:rsid w:val="002263D3"/>
    <w:rsid w:val="0022651B"/>
    <w:rsid w:val="00226654"/>
    <w:rsid w:val="0022697F"/>
    <w:rsid w:val="00226E03"/>
    <w:rsid w:val="002273AE"/>
    <w:rsid w:val="002277F0"/>
    <w:rsid w:val="00227CB3"/>
    <w:rsid w:val="00227D4E"/>
    <w:rsid w:val="00230127"/>
    <w:rsid w:val="0023084A"/>
    <w:rsid w:val="0023107F"/>
    <w:rsid w:val="00232FE3"/>
    <w:rsid w:val="002337C4"/>
    <w:rsid w:val="00234A26"/>
    <w:rsid w:val="00234C36"/>
    <w:rsid w:val="00234D2F"/>
    <w:rsid w:val="00235541"/>
    <w:rsid w:val="002361B4"/>
    <w:rsid w:val="00236C10"/>
    <w:rsid w:val="0023702B"/>
    <w:rsid w:val="00237227"/>
    <w:rsid w:val="00237656"/>
    <w:rsid w:val="0023788C"/>
    <w:rsid w:val="0024044E"/>
    <w:rsid w:val="00240757"/>
    <w:rsid w:val="002407C7"/>
    <w:rsid w:val="00240865"/>
    <w:rsid w:val="00240B70"/>
    <w:rsid w:val="00240BAC"/>
    <w:rsid w:val="00240BF0"/>
    <w:rsid w:val="00240EE1"/>
    <w:rsid w:val="0024137F"/>
    <w:rsid w:val="00241750"/>
    <w:rsid w:val="00242065"/>
    <w:rsid w:val="002420D5"/>
    <w:rsid w:val="00242865"/>
    <w:rsid w:val="00242DAD"/>
    <w:rsid w:val="002431CB"/>
    <w:rsid w:val="002434CF"/>
    <w:rsid w:val="00243A5E"/>
    <w:rsid w:val="00243ABB"/>
    <w:rsid w:val="00243AED"/>
    <w:rsid w:val="00243E04"/>
    <w:rsid w:val="00244336"/>
    <w:rsid w:val="0024518A"/>
    <w:rsid w:val="00245563"/>
    <w:rsid w:val="00245CCD"/>
    <w:rsid w:val="00246579"/>
    <w:rsid w:val="0024659D"/>
    <w:rsid w:val="00246A2C"/>
    <w:rsid w:val="002477BC"/>
    <w:rsid w:val="002478C2"/>
    <w:rsid w:val="00247A11"/>
    <w:rsid w:val="00247C46"/>
    <w:rsid w:val="00247FB7"/>
    <w:rsid w:val="002503FD"/>
    <w:rsid w:val="002505E4"/>
    <w:rsid w:val="0025071A"/>
    <w:rsid w:val="00250B0F"/>
    <w:rsid w:val="00250DB0"/>
    <w:rsid w:val="00250E8A"/>
    <w:rsid w:val="00250F9F"/>
    <w:rsid w:val="00251A00"/>
    <w:rsid w:val="00251AB6"/>
    <w:rsid w:val="002520E5"/>
    <w:rsid w:val="00252321"/>
    <w:rsid w:val="002527AC"/>
    <w:rsid w:val="00252C5D"/>
    <w:rsid w:val="00253217"/>
    <w:rsid w:val="002532B5"/>
    <w:rsid w:val="0025362C"/>
    <w:rsid w:val="002536FD"/>
    <w:rsid w:val="00253B3C"/>
    <w:rsid w:val="00253CD1"/>
    <w:rsid w:val="002541A4"/>
    <w:rsid w:val="00254988"/>
    <w:rsid w:val="002550E9"/>
    <w:rsid w:val="002553FF"/>
    <w:rsid w:val="00255987"/>
    <w:rsid w:val="00255D72"/>
    <w:rsid w:val="00256066"/>
    <w:rsid w:val="002562A7"/>
    <w:rsid w:val="002577CE"/>
    <w:rsid w:val="00260159"/>
    <w:rsid w:val="0026072E"/>
    <w:rsid w:val="002609B8"/>
    <w:rsid w:val="00260FE8"/>
    <w:rsid w:val="002610E6"/>
    <w:rsid w:val="002611D7"/>
    <w:rsid w:val="00261CE1"/>
    <w:rsid w:val="00261FDF"/>
    <w:rsid w:val="00262280"/>
    <w:rsid w:val="0026229D"/>
    <w:rsid w:val="002626EE"/>
    <w:rsid w:val="00262D00"/>
    <w:rsid w:val="00262D63"/>
    <w:rsid w:val="00263627"/>
    <w:rsid w:val="00263CA5"/>
    <w:rsid w:val="002644A5"/>
    <w:rsid w:val="00264512"/>
    <w:rsid w:val="002645EE"/>
    <w:rsid w:val="002648E1"/>
    <w:rsid w:val="00264901"/>
    <w:rsid w:val="00264A6F"/>
    <w:rsid w:val="0026509A"/>
    <w:rsid w:val="0026512D"/>
    <w:rsid w:val="002652DB"/>
    <w:rsid w:val="002656FF"/>
    <w:rsid w:val="002659FD"/>
    <w:rsid w:val="002665A7"/>
    <w:rsid w:val="00267069"/>
    <w:rsid w:val="0026722E"/>
    <w:rsid w:val="002677E4"/>
    <w:rsid w:val="00267A60"/>
    <w:rsid w:val="00267DA3"/>
    <w:rsid w:val="00270AAB"/>
    <w:rsid w:val="00270CAD"/>
    <w:rsid w:val="00270CBA"/>
    <w:rsid w:val="00270CBB"/>
    <w:rsid w:val="002710AB"/>
    <w:rsid w:val="00271819"/>
    <w:rsid w:val="0027188B"/>
    <w:rsid w:val="002720B7"/>
    <w:rsid w:val="002725BA"/>
    <w:rsid w:val="002729C5"/>
    <w:rsid w:val="00273AB1"/>
    <w:rsid w:val="00273D6D"/>
    <w:rsid w:val="00273FC8"/>
    <w:rsid w:val="002742A9"/>
    <w:rsid w:val="00274FFE"/>
    <w:rsid w:val="00275131"/>
    <w:rsid w:val="002753CE"/>
    <w:rsid w:val="00275432"/>
    <w:rsid w:val="0027544C"/>
    <w:rsid w:val="0027569F"/>
    <w:rsid w:val="00275E6C"/>
    <w:rsid w:val="00276062"/>
    <w:rsid w:val="0027624C"/>
    <w:rsid w:val="00276580"/>
    <w:rsid w:val="00276913"/>
    <w:rsid w:val="00276C85"/>
    <w:rsid w:val="00277B91"/>
    <w:rsid w:val="00277F50"/>
    <w:rsid w:val="0028012F"/>
    <w:rsid w:val="0028070A"/>
    <w:rsid w:val="002811CB"/>
    <w:rsid w:val="0028181A"/>
    <w:rsid w:val="0028187D"/>
    <w:rsid w:val="00281CAB"/>
    <w:rsid w:val="00281FAB"/>
    <w:rsid w:val="002826C6"/>
    <w:rsid w:val="00283341"/>
    <w:rsid w:val="0028396C"/>
    <w:rsid w:val="0028398E"/>
    <w:rsid w:val="00283E68"/>
    <w:rsid w:val="00284E6C"/>
    <w:rsid w:val="002852AD"/>
    <w:rsid w:val="00285990"/>
    <w:rsid w:val="00285B0E"/>
    <w:rsid w:val="0028681A"/>
    <w:rsid w:val="00286CF6"/>
    <w:rsid w:val="00287059"/>
    <w:rsid w:val="002870EE"/>
    <w:rsid w:val="00287C0B"/>
    <w:rsid w:val="00287FD2"/>
    <w:rsid w:val="0029002C"/>
    <w:rsid w:val="002903E9"/>
    <w:rsid w:val="00291091"/>
    <w:rsid w:val="002913AA"/>
    <w:rsid w:val="002917E6"/>
    <w:rsid w:val="00291BE9"/>
    <w:rsid w:val="00291D4F"/>
    <w:rsid w:val="00292362"/>
    <w:rsid w:val="00292534"/>
    <w:rsid w:val="00292AF0"/>
    <w:rsid w:val="00292CC3"/>
    <w:rsid w:val="00292FF4"/>
    <w:rsid w:val="0029346C"/>
    <w:rsid w:val="002938BC"/>
    <w:rsid w:val="0029460E"/>
    <w:rsid w:val="002946CE"/>
    <w:rsid w:val="00294A64"/>
    <w:rsid w:val="002952AB"/>
    <w:rsid w:val="00295584"/>
    <w:rsid w:val="00295EA0"/>
    <w:rsid w:val="00295EC7"/>
    <w:rsid w:val="00296559"/>
    <w:rsid w:val="002967D3"/>
    <w:rsid w:val="00296EB1"/>
    <w:rsid w:val="002976D9"/>
    <w:rsid w:val="00297865"/>
    <w:rsid w:val="002978AC"/>
    <w:rsid w:val="00297F57"/>
    <w:rsid w:val="002A050F"/>
    <w:rsid w:val="002A09A5"/>
    <w:rsid w:val="002A10DF"/>
    <w:rsid w:val="002A12E9"/>
    <w:rsid w:val="002A130D"/>
    <w:rsid w:val="002A131F"/>
    <w:rsid w:val="002A18AE"/>
    <w:rsid w:val="002A1B87"/>
    <w:rsid w:val="002A1F56"/>
    <w:rsid w:val="002A2039"/>
    <w:rsid w:val="002A2484"/>
    <w:rsid w:val="002A2772"/>
    <w:rsid w:val="002A2E15"/>
    <w:rsid w:val="002A3204"/>
    <w:rsid w:val="002A337F"/>
    <w:rsid w:val="002A33C5"/>
    <w:rsid w:val="002A35AB"/>
    <w:rsid w:val="002A3E6A"/>
    <w:rsid w:val="002A402A"/>
    <w:rsid w:val="002A43C0"/>
    <w:rsid w:val="002A561D"/>
    <w:rsid w:val="002A581E"/>
    <w:rsid w:val="002A58D2"/>
    <w:rsid w:val="002A58F6"/>
    <w:rsid w:val="002A58F7"/>
    <w:rsid w:val="002A635A"/>
    <w:rsid w:val="002A652B"/>
    <w:rsid w:val="002A6C91"/>
    <w:rsid w:val="002A705F"/>
    <w:rsid w:val="002A727D"/>
    <w:rsid w:val="002A7644"/>
    <w:rsid w:val="002A770D"/>
    <w:rsid w:val="002A7BBF"/>
    <w:rsid w:val="002B035B"/>
    <w:rsid w:val="002B0478"/>
    <w:rsid w:val="002B0705"/>
    <w:rsid w:val="002B0986"/>
    <w:rsid w:val="002B0CCF"/>
    <w:rsid w:val="002B0D5C"/>
    <w:rsid w:val="002B0F5D"/>
    <w:rsid w:val="002B10C3"/>
    <w:rsid w:val="002B1B52"/>
    <w:rsid w:val="002B1BE5"/>
    <w:rsid w:val="002B1FF5"/>
    <w:rsid w:val="002B2547"/>
    <w:rsid w:val="002B2866"/>
    <w:rsid w:val="002B2C87"/>
    <w:rsid w:val="002B2DE2"/>
    <w:rsid w:val="002B34F3"/>
    <w:rsid w:val="002B4701"/>
    <w:rsid w:val="002B4996"/>
    <w:rsid w:val="002B4BD7"/>
    <w:rsid w:val="002B4DDE"/>
    <w:rsid w:val="002B4EC3"/>
    <w:rsid w:val="002B4F6E"/>
    <w:rsid w:val="002B58FD"/>
    <w:rsid w:val="002B5B87"/>
    <w:rsid w:val="002B5EE1"/>
    <w:rsid w:val="002B5FC0"/>
    <w:rsid w:val="002B6233"/>
    <w:rsid w:val="002B6F2F"/>
    <w:rsid w:val="002B6F38"/>
    <w:rsid w:val="002B74A2"/>
    <w:rsid w:val="002B7937"/>
    <w:rsid w:val="002C0453"/>
    <w:rsid w:val="002C0DE2"/>
    <w:rsid w:val="002C0E22"/>
    <w:rsid w:val="002C127B"/>
    <w:rsid w:val="002C13A4"/>
    <w:rsid w:val="002C1419"/>
    <w:rsid w:val="002C160E"/>
    <w:rsid w:val="002C19FA"/>
    <w:rsid w:val="002C1A26"/>
    <w:rsid w:val="002C1F31"/>
    <w:rsid w:val="002C202D"/>
    <w:rsid w:val="002C2356"/>
    <w:rsid w:val="002C2536"/>
    <w:rsid w:val="002C2FA3"/>
    <w:rsid w:val="002C320A"/>
    <w:rsid w:val="002C3727"/>
    <w:rsid w:val="002C4012"/>
    <w:rsid w:val="002C4496"/>
    <w:rsid w:val="002C4608"/>
    <w:rsid w:val="002C46A4"/>
    <w:rsid w:val="002C46DB"/>
    <w:rsid w:val="002C488A"/>
    <w:rsid w:val="002C4AF6"/>
    <w:rsid w:val="002C4C64"/>
    <w:rsid w:val="002C506D"/>
    <w:rsid w:val="002C55BA"/>
    <w:rsid w:val="002C55BF"/>
    <w:rsid w:val="002C5AA8"/>
    <w:rsid w:val="002C60D7"/>
    <w:rsid w:val="002C61B4"/>
    <w:rsid w:val="002C6425"/>
    <w:rsid w:val="002C69BC"/>
    <w:rsid w:val="002C6EF9"/>
    <w:rsid w:val="002C7D42"/>
    <w:rsid w:val="002C7F07"/>
    <w:rsid w:val="002D0230"/>
    <w:rsid w:val="002D097C"/>
    <w:rsid w:val="002D0C06"/>
    <w:rsid w:val="002D1E64"/>
    <w:rsid w:val="002D1F5C"/>
    <w:rsid w:val="002D2A31"/>
    <w:rsid w:val="002D3121"/>
    <w:rsid w:val="002D312C"/>
    <w:rsid w:val="002D3205"/>
    <w:rsid w:val="002D32F3"/>
    <w:rsid w:val="002D3311"/>
    <w:rsid w:val="002D353D"/>
    <w:rsid w:val="002D3F72"/>
    <w:rsid w:val="002D49A0"/>
    <w:rsid w:val="002D4D59"/>
    <w:rsid w:val="002D50DC"/>
    <w:rsid w:val="002D54EA"/>
    <w:rsid w:val="002D56F6"/>
    <w:rsid w:val="002D67B9"/>
    <w:rsid w:val="002D6887"/>
    <w:rsid w:val="002D6B0D"/>
    <w:rsid w:val="002D70A5"/>
    <w:rsid w:val="002D74C5"/>
    <w:rsid w:val="002D78EF"/>
    <w:rsid w:val="002D7B97"/>
    <w:rsid w:val="002E02EA"/>
    <w:rsid w:val="002E0882"/>
    <w:rsid w:val="002E1363"/>
    <w:rsid w:val="002E187C"/>
    <w:rsid w:val="002E205B"/>
    <w:rsid w:val="002E211E"/>
    <w:rsid w:val="002E2219"/>
    <w:rsid w:val="002E22D9"/>
    <w:rsid w:val="002E22F7"/>
    <w:rsid w:val="002E2D11"/>
    <w:rsid w:val="002E2E6B"/>
    <w:rsid w:val="002E2FE4"/>
    <w:rsid w:val="002E316B"/>
    <w:rsid w:val="002E32D6"/>
    <w:rsid w:val="002E3BE4"/>
    <w:rsid w:val="002E3C39"/>
    <w:rsid w:val="002E3C7A"/>
    <w:rsid w:val="002E3D47"/>
    <w:rsid w:val="002E400C"/>
    <w:rsid w:val="002E43E8"/>
    <w:rsid w:val="002E47C7"/>
    <w:rsid w:val="002E49E2"/>
    <w:rsid w:val="002E4AEC"/>
    <w:rsid w:val="002E4DDB"/>
    <w:rsid w:val="002E56D1"/>
    <w:rsid w:val="002E5E98"/>
    <w:rsid w:val="002E5F11"/>
    <w:rsid w:val="002E6804"/>
    <w:rsid w:val="002E690E"/>
    <w:rsid w:val="002E7088"/>
    <w:rsid w:val="002E760D"/>
    <w:rsid w:val="002E7B24"/>
    <w:rsid w:val="002E7D60"/>
    <w:rsid w:val="002F015D"/>
    <w:rsid w:val="002F0314"/>
    <w:rsid w:val="002F088F"/>
    <w:rsid w:val="002F153D"/>
    <w:rsid w:val="002F1B5C"/>
    <w:rsid w:val="002F21A0"/>
    <w:rsid w:val="002F258D"/>
    <w:rsid w:val="002F2731"/>
    <w:rsid w:val="002F2AEB"/>
    <w:rsid w:val="002F3075"/>
    <w:rsid w:val="002F3300"/>
    <w:rsid w:val="002F331E"/>
    <w:rsid w:val="002F3334"/>
    <w:rsid w:val="002F3D5B"/>
    <w:rsid w:val="002F4135"/>
    <w:rsid w:val="002F4759"/>
    <w:rsid w:val="002F4E84"/>
    <w:rsid w:val="002F50B3"/>
    <w:rsid w:val="002F524B"/>
    <w:rsid w:val="002F63C9"/>
    <w:rsid w:val="002F6ADF"/>
    <w:rsid w:val="002F75B0"/>
    <w:rsid w:val="0030019B"/>
    <w:rsid w:val="00300746"/>
    <w:rsid w:val="00301507"/>
    <w:rsid w:val="00301787"/>
    <w:rsid w:val="00301F41"/>
    <w:rsid w:val="00302806"/>
    <w:rsid w:val="003029D1"/>
    <w:rsid w:val="00302B41"/>
    <w:rsid w:val="00302D04"/>
    <w:rsid w:val="00302D4F"/>
    <w:rsid w:val="0030308B"/>
    <w:rsid w:val="00303147"/>
    <w:rsid w:val="0030324B"/>
    <w:rsid w:val="00303B01"/>
    <w:rsid w:val="00303E3D"/>
    <w:rsid w:val="00304A09"/>
    <w:rsid w:val="00304AFA"/>
    <w:rsid w:val="00304B8C"/>
    <w:rsid w:val="0030520C"/>
    <w:rsid w:val="00305525"/>
    <w:rsid w:val="00305680"/>
    <w:rsid w:val="00305963"/>
    <w:rsid w:val="00305A99"/>
    <w:rsid w:val="00305BA5"/>
    <w:rsid w:val="00306426"/>
    <w:rsid w:val="00306D5C"/>
    <w:rsid w:val="00306F38"/>
    <w:rsid w:val="00306F63"/>
    <w:rsid w:val="00306FDE"/>
    <w:rsid w:val="0030751C"/>
    <w:rsid w:val="003076CA"/>
    <w:rsid w:val="003079BB"/>
    <w:rsid w:val="00307C89"/>
    <w:rsid w:val="00307EC2"/>
    <w:rsid w:val="00307F67"/>
    <w:rsid w:val="003100E0"/>
    <w:rsid w:val="00310610"/>
    <w:rsid w:val="00310A62"/>
    <w:rsid w:val="00311006"/>
    <w:rsid w:val="0031170E"/>
    <w:rsid w:val="00311C3F"/>
    <w:rsid w:val="00311CBF"/>
    <w:rsid w:val="00311ECE"/>
    <w:rsid w:val="00312173"/>
    <w:rsid w:val="0031231D"/>
    <w:rsid w:val="0031377F"/>
    <w:rsid w:val="0031415D"/>
    <w:rsid w:val="0031458F"/>
    <w:rsid w:val="00314F5B"/>
    <w:rsid w:val="003154FF"/>
    <w:rsid w:val="003159E6"/>
    <w:rsid w:val="00315ED5"/>
    <w:rsid w:val="00316A32"/>
    <w:rsid w:val="0031710E"/>
    <w:rsid w:val="003171F2"/>
    <w:rsid w:val="003179BC"/>
    <w:rsid w:val="00320268"/>
    <w:rsid w:val="00320508"/>
    <w:rsid w:val="00320D52"/>
    <w:rsid w:val="00321442"/>
    <w:rsid w:val="00321701"/>
    <w:rsid w:val="003217DB"/>
    <w:rsid w:val="00321873"/>
    <w:rsid w:val="003219FC"/>
    <w:rsid w:val="00321B4D"/>
    <w:rsid w:val="00321B99"/>
    <w:rsid w:val="00321C19"/>
    <w:rsid w:val="00321E09"/>
    <w:rsid w:val="00321FE3"/>
    <w:rsid w:val="003227F6"/>
    <w:rsid w:val="00322E98"/>
    <w:rsid w:val="00323B80"/>
    <w:rsid w:val="0032403D"/>
    <w:rsid w:val="0032470B"/>
    <w:rsid w:val="003248D0"/>
    <w:rsid w:val="00325040"/>
    <w:rsid w:val="003250DF"/>
    <w:rsid w:val="003258B6"/>
    <w:rsid w:val="00325937"/>
    <w:rsid w:val="00325D84"/>
    <w:rsid w:val="00325D87"/>
    <w:rsid w:val="00325F3B"/>
    <w:rsid w:val="00327113"/>
    <w:rsid w:val="003271BE"/>
    <w:rsid w:val="003273FE"/>
    <w:rsid w:val="00327C44"/>
    <w:rsid w:val="00327EF1"/>
    <w:rsid w:val="00330289"/>
    <w:rsid w:val="003302AA"/>
    <w:rsid w:val="00330867"/>
    <w:rsid w:val="00330E65"/>
    <w:rsid w:val="00331244"/>
    <w:rsid w:val="003319D6"/>
    <w:rsid w:val="00331D11"/>
    <w:rsid w:val="00332DDE"/>
    <w:rsid w:val="00332FD3"/>
    <w:rsid w:val="003335D9"/>
    <w:rsid w:val="00333689"/>
    <w:rsid w:val="003346AB"/>
    <w:rsid w:val="00334BA5"/>
    <w:rsid w:val="003355A7"/>
    <w:rsid w:val="00335C56"/>
    <w:rsid w:val="003361E1"/>
    <w:rsid w:val="003364B6"/>
    <w:rsid w:val="003369AF"/>
    <w:rsid w:val="00336D2A"/>
    <w:rsid w:val="00337ACF"/>
    <w:rsid w:val="00337E80"/>
    <w:rsid w:val="0034042A"/>
    <w:rsid w:val="0034089A"/>
    <w:rsid w:val="00340B60"/>
    <w:rsid w:val="00341704"/>
    <w:rsid w:val="00341AB2"/>
    <w:rsid w:val="00342234"/>
    <w:rsid w:val="00342822"/>
    <w:rsid w:val="003429BA"/>
    <w:rsid w:val="00342D67"/>
    <w:rsid w:val="00343864"/>
    <w:rsid w:val="00343C7E"/>
    <w:rsid w:val="0034461B"/>
    <w:rsid w:val="0034469C"/>
    <w:rsid w:val="00344DE9"/>
    <w:rsid w:val="00345480"/>
    <w:rsid w:val="003454AF"/>
    <w:rsid w:val="00346191"/>
    <w:rsid w:val="00346433"/>
    <w:rsid w:val="003465D0"/>
    <w:rsid w:val="003466DC"/>
    <w:rsid w:val="00346970"/>
    <w:rsid w:val="00346DB9"/>
    <w:rsid w:val="00346E75"/>
    <w:rsid w:val="00346EBE"/>
    <w:rsid w:val="00347036"/>
    <w:rsid w:val="003470BF"/>
    <w:rsid w:val="0034728D"/>
    <w:rsid w:val="00347898"/>
    <w:rsid w:val="00347CA3"/>
    <w:rsid w:val="0035003F"/>
    <w:rsid w:val="00350110"/>
    <w:rsid w:val="0035039F"/>
    <w:rsid w:val="0035105E"/>
    <w:rsid w:val="003512ED"/>
    <w:rsid w:val="00351D9C"/>
    <w:rsid w:val="00352058"/>
    <w:rsid w:val="00352284"/>
    <w:rsid w:val="003528C1"/>
    <w:rsid w:val="003528D1"/>
    <w:rsid w:val="00352B55"/>
    <w:rsid w:val="00352EE1"/>
    <w:rsid w:val="00353718"/>
    <w:rsid w:val="00354268"/>
    <w:rsid w:val="00354612"/>
    <w:rsid w:val="003552A9"/>
    <w:rsid w:val="0035547B"/>
    <w:rsid w:val="00355B57"/>
    <w:rsid w:val="00355D78"/>
    <w:rsid w:val="00356E64"/>
    <w:rsid w:val="0035702B"/>
    <w:rsid w:val="00357903"/>
    <w:rsid w:val="0035796C"/>
    <w:rsid w:val="00357AB3"/>
    <w:rsid w:val="00357B7D"/>
    <w:rsid w:val="003608C4"/>
    <w:rsid w:val="00360DD1"/>
    <w:rsid w:val="00361076"/>
    <w:rsid w:val="00361149"/>
    <w:rsid w:val="00362BBF"/>
    <w:rsid w:val="00362E94"/>
    <w:rsid w:val="00364379"/>
    <w:rsid w:val="003646AC"/>
    <w:rsid w:val="00364726"/>
    <w:rsid w:val="00364AEF"/>
    <w:rsid w:val="00364FF4"/>
    <w:rsid w:val="003652A1"/>
    <w:rsid w:val="003653B2"/>
    <w:rsid w:val="0036542B"/>
    <w:rsid w:val="00365741"/>
    <w:rsid w:val="00365823"/>
    <w:rsid w:val="00365885"/>
    <w:rsid w:val="0036597A"/>
    <w:rsid w:val="0036692A"/>
    <w:rsid w:val="003673DD"/>
    <w:rsid w:val="0036771B"/>
    <w:rsid w:val="00367982"/>
    <w:rsid w:val="00367A2C"/>
    <w:rsid w:val="00367B29"/>
    <w:rsid w:val="003702F4"/>
    <w:rsid w:val="003703BA"/>
    <w:rsid w:val="00370894"/>
    <w:rsid w:val="00370DAE"/>
    <w:rsid w:val="003711BF"/>
    <w:rsid w:val="003712C4"/>
    <w:rsid w:val="003718A7"/>
    <w:rsid w:val="00372115"/>
    <w:rsid w:val="00372353"/>
    <w:rsid w:val="00372733"/>
    <w:rsid w:val="003731D6"/>
    <w:rsid w:val="003733C8"/>
    <w:rsid w:val="00373674"/>
    <w:rsid w:val="00373F85"/>
    <w:rsid w:val="003742B3"/>
    <w:rsid w:val="00374474"/>
    <w:rsid w:val="0037449A"/>
    <w:rsid w:val="00374629"/>
    <w:rsid w:val="00374928"/>
    <w:rsid w:val="00374D04"/>
    <w:rsid w:val="003760C8"/>
    <w:rsid w:val="00376917"/>
    <w:rsid w:val="00376D50"/>
    <w:rsid w:val="00376FAC"/>
    <w:rsid w:val="003775D3"/>
    <w:rsid w:val="00380A38"/>
    <w:rsid w:val="00380D1C"/>
    <w:rsid w:val="00380D66"/>
    <w:rsid w:val="00380DB7"/>
    <w:rsid w:val="00380DD2"/>
    <w:rsid w:val="003811F9"/>
    <w:rsid w:val="0038142C"/>
    <w:rsid w:val="00381677"/>
    <w:rsid w:val="003817D9"/>
    <w:rsid w:val="00381C14"/>
    <w:rsid w:val="0038201B"/>
    <w:rsid w:val="0038202E"/>
    <w:rsid w:val="0038245B"/>
    <w:rsid w:val="00382E84"/>
    <w:rsid w:val="00383021"/>
    <w:rsid w:val="003840EE"/>
    <w:rsid w:val="00384867"/>
    <w:rsid w:val="00384F24"/>
    <w:rsid w:val="0038538E"/>
    <w:rsid w:val="003853EE"/>
    <w:rsid w:val="00385471"/>
    <w:rsid w:val="00385A22"/>
    <w:rsid w:val="00385E3E"/>
    <w:rsid w:val="0038605F"/>
    <w:rsid w:val="00386260"/>
    <w:rsid w:val="00386400"/>
    <w:rsid w:val="003866B7"/>
    <w:rsid w:val="003867DB"/>
    <w:rsid w:val="00386C01"/>
    <w:rsid w:val="00386C3B"/>
    <w:rsid w:val="00387202"/>
    <w:rsid w:val="003876AE"/>
    <w:rsid w:val="00387D23"/>
    <w:rsid w:val="003901F3"/>
    <w:rsid w:val="00390312"/>
    <w:rsid w:val="00390F54"/>
    <w:rsid w:val="003917D9"/>
    <w:rsid w:val="0039268B"/>
    <w:rsid w:val="00392ACF"/>
    <w:rsid w:val="00392BFA"/>
    <w:rsid w:val="00392FDF"/>
    <w:rsid w:val="0039301C"/>
    <w:rsid w:val="003932E9"/>
    <w:rsid w:val="003933BB"/>
    <w:rsid w:val="00393D26"/>
    <w:rsid w:val="00394348"/>
    <w:rsid w:val="0039542F"/>
    <w:rsid w:val="00395AD4"/>
    <w:rsid w:val="00395D95"/>
    <w:rsid w:val="0039619B"/>
    <w:rsid w:val="00396CED"/>
    <w:rsid w:val="003975E0"/>
    <w:rsid w:val="00397857"/>
    <w:rsid w:val="00397B36"/>
    <w:rsid w:val="00397C4C"/>
    <w:rsid w:val="003A0029"/>
    <w:rsid w:val="003A0120"/>
    <w:rsid w:val="003A06AA"/>
    <w:rsid w:val="003A07D7"/>
    <w:rsid w:val="003A0E06"/>
    <w:rsid w:val="003A1888"/>
    <w:rsid w:val="003A1BFA"/>
    <w:rsid w:val="003A240B"/>
    <w:rsid w:val="003A2487"/>
    <w:rsid w:val="003A2FD7"/>
    <w:rsid w:val="003A30E5"/>
    <w:rsid w:val="003A33EA"/>
    <w:rsid w:val="003A35AE"/>
    <w:rsid w:val="003A3966"/>
    <w:rsid w:val="003A3ECD"/>
    <w:rsid w:val="003A4572"/>
    <w:rsid w:val="003A462D"/>
    <w:rsid w:val="003A479C"/>
    <w:rsid w:val="003A4816"/>
    <w:rsid w:val="003A4BB5"/>
    <w:rsid w:val="003A4E9F"/>
    <w:rsid w:val="003A5ABD"/>
    <w:rsid w:val="003A5F60"/>
    <w:rsid w:val="003A630D"/>
    <w:rsid w:val="003A66E1"/>
    <w:rsid w:val="003A6B96"/>
    <w:rsid w:val="003A6DD1"/>
    <w:rsid w:val="003A7065"/>
    <w:rsid w:val="003A7427"/>
    <w:rsid w:val="003A7885"/>
    <w:rsid w:val="003A78F0"/>
    <w:rsid w:val="003A7C18"/>
    <w:rsid w:val="003A7D9A"/>
    <w:rsid w:val="003A7FC6"/>
    <w:rsid w:val="003B06AB"/>
    <w:rsid w:val="003B079F"/>
    <w:rsid w:val="003B0862"/>
    <w:rsid w:val="003B0E80"/>
    <w:rsid w:val="003B10DB"/>
    <w:rsid w:val="003B13F3"/>
    <w:rsid w:val="003B159C"/>
    <w:rsid w:val="003B1754"/>
    <w:rsid w:val="003B1EFE"/>
    <w:rsid w:val="003B2195"/>
    <w:rsid w:val="003B2503"/>
    <w:rsid w:val="003B283E"/>
    <w:rsid w:val="003B293D"/>
    <w:rsid w:val="003B2A28"/>
    <w:rsid w:val="003B3476"/>
    <w:rsid w:val="003B4703"/>
    <w:rsid w:val="003B4923"/>
    <w:rsid w:val="003B4D8D"/>
    <w:rsid w:val="003B50C5"/>
    <w:rsid w:val="003B55FD"/>
    <w:rsid w:val="003B5636"/>
    <w:rsid w:val="003B5821"/>
    <w:rsid w:val="003B6693"/>
    <w:rsid w:val="003B6720"/>
    <w:rsid w:val="003B6E5D"/>
    <w:rsid w:val="003B71C7"/>
    <w:rsid w:val="003B7606"/>
    <w:rsid w:val="003B7703"/>
    <w:rsid w:val="003B7CFC"/>
    <w:rsid w:val="003C086F"/>
    <w:rsid w:val="003C08F1"/>
    <w:rsid w:val="003C25F7"/>
    <w:rsid w:val="003C290E"/>
    <w:rsid w:val="003C3282"/>
    <w:rsid w:val="003C3F5F"/>
    <w:rsid w:val="003C41BB"/>
    <w:rsid w:val="003C43E5"/>
    <w:rsid w:val="003C46A8"/>
    <w:rsid w:val="003C47AB"/>
    <w:rsid w:val="003C4910"/>
    <w:rsid w:val="003C4C27"/>
    <w:rsid w:val="003C5AA1"/>
    <w:rsid w:val="003C5F9B"/>
    <w:rsid w:val="003C605A"/>
    <w:rsid w:val="003C616B"/>
    <w:rsid w:val="003C6553"/>
    <w:rsid w:val="003C7C51"/>
    <w:rsid w:val="003C7DB7"/>
    <w:rsid w:val="003D00FE"/>
    <w:rsid w:val="003D0480"/>
    <w:rsid w:val="003D1469"/>
    <w:rsid w:val="003D1571"/>
    <w:rsid w:val="003D1605"/>
    <w:rsid w:val="003D175D"/>
    <w:rsid w:val="003D1817"/>
    <w:rsid w:val="003D1A68"/>
    <w:rsid w:val="003D20F2"/>
    <w:rsid w:val="003D240D"/>
    <w:rsid w:val="003D2875"/>
    <w:rsid w:val="003D2DF5"/>
    <w:rsid w:val="003D394D"/>
    <w:rsid w:val="003D397F"/>
    <w:rsid w:val="003D4E1F"/>
    <w:rsid w:val="003D5384"/>
    <w:rsid w:val="003D53CF"/>
    <w:rsid w:val="003D5727"/>
    <w:rsid w:val="003D580D"/>
    <w:rsid w:val="003D6185"/>
    <w:rsid w:val="003D628E"/>
    <w:rsid w:val="003D67A3"/>
    <w:rsid w:val="003D6E8B"/>
    <w:rsid w:val="003D7555"/>
    <w:rsid w:val="003D75BB"/>
    <w:rsid w:val="003D7979"/>
    <w:rsid w:val="003D7A10"/>
    <w:rsid w:val="003E049B"/>
    <w:rsid w:val="003E057A"/>
    <w:rsid w:val="003E0A1A"/>
    <w:rsid w:val="003E0E97"/>
    <w:rsid w:val="003E1DF7"/>
    <w:rsid w:val="003E2029"/>
    <w:rsid w:val="003E22E2"/>
    <w:rsid w:val="003E2308"/>
    <w:rsid w:val="003E238D"/>
    <w:rsid w:val="003E2A76"/>
    <w:rsid w:val="003E2CFF"/>
    <w:rsid w:val="003E3479"/>
    <w:rsid w:val="003E34A8"/>
    <w:rsid w:val="003E3873"/>
    <w:rsid w:val="003E3B03"/>
    <w:rsid w:val="003E478D"/>
    <w:rsid w:val="003E4999"/>
    <w:rsid w:val="003E499A"/>
    <w:rsid w:val="003E4BC5"/>
    <w:rsid w:val="003E514F"/>
    <w:rsid w:val="003E5214"/>
    <w:rsid w:val="003E54FB"/>
    <w:rsid w:val="003E5668"/>
    <w:rsid w:val="003E5AD0"/>
    <w:rsid w:val="003E5DE7"/>
    <w:rsid w:val="003E5EC9"/>
    <w:rsid w:val="003E6300"/>
    <w:rsid w:val="003E6350"/>
    <w:rsid w:val="003E65C2"/>
    <w:rsid w:val="003E6BF6"/>
    <w:rsid w:val="003E6F9F"/>
    <w:rsid w:val="003E72C2"/>
    <w:rsid w:val="003E74E3"/>
    <w:rsid w:val="003E7597"/>
    <w:rsid w:val="003E7821"/>
    <w:rsid w:val="003E7E51"/>
    <w:rsid w:val="003F0394"/>
    <w:rsid w:val="003F039F"/>
    <w:rsid w:val="003F03F3"/>
    <w:rsid w:val="003F0400"/>
    <w:rsid w:val="003F1582"/>
    <w:rsid w:val="003F17CE"/>
    <w:rsid w:val="003F2110"/>
    <w:rsid w:val="003F21E2"/>
    <w:rsid w:val="003F3203"/>
    <w:rsid w:val="003F378B"/>
    <w:rsid w:val="003F384F"/>
    <w:rsid w:val="003F3E34"/>
    <w:rsid w:val="003F44B7"/>
    <w:rsid w:val="003F471D"/>
    <w:rsid w:val="003F4942"/>
    <w:rsid w:val="003F4A52"/>
    <w:rsid w:val="003F4A70"/>
    <w:rsid w:val="003F4CEE"/>
    <w:rsid w:val="003F52B3"/>
    <w:rsid w:val="003F559F"/>
    <w:rsid w:val="003F5A98"/>
    <w:rsid w:val="003F5CC5"/>
    <w:rsid w:val="003F5FF0"/>
    <w:rsid w:val="003F6375"/>
    <w:rsid w:val="003F688E"/>
    <w:rsid w:val="003F68E8"/>
    <w:rsid w:val="003F6A78"/>
    <w:rsid w:val="003F6C4E"/>
    <w:rsid w:val="003F717E"/>
    <w:rsid w:val="003F7E8A"/>
    <w:rsid w:val="003F7F59"/>
    <w:rsid w:val="0040009F"/>
    <w:rsid w:val="004003DF"/>
    <w:rsid w:val="0040041F"/>
    <w:rsid w:val="0040070F"/>
    <w:rsid w:val="00400759"/>
    <w:rsid w:val="00400892"/>
    <w:rsid w:val="00401240"/>
    <w:rsid w:val="00401437"/>
    <w:rsid w:val="00401F37"/>
    <w:rsid w:val="004025AB"/>
    <w:rsid w:val="0040271E"/>
    <w:rsid w:val="004027DE"/>
    <w:rsid w:val="00402C2C"/>
    <w:rsid w:val="00402E90"/>
    <w:rsid w:val="00403A02"/>
    <w:rsid w:val="00404148"/>
    <w:rsid w:val="00404247"/>
    <w:rsid w:val="0040475A"/>
    <w:rsid w:val="00404AF0"/>
    <w:rsid w:val="0040556A"/>
    <w:rsid w:val="00405618"/>
    <w:rsid w:val="00405635"/>
    <w:rsid w:val="0040573A"/>
    <w:rsid w:val="00405830"/>
    <w:rsid w:val="00405890"/>
    <w:rsid w:val="00406307"/>
    <w:rsid w:val="00407237"/>
    <w:rsid w:val="00407327"/>
    <w:rsid w:val="0040797A"/>
    <w:rsid w:val="00407D65"/>
    <w:rsid w:val="00407FDC"/>
    <w:rsid w:val="004103B3"/>
    <w:rsid w:val="00410489"/>
    <w:rsid w:val="00410682"/>
    <w:rsid w:val="00410D3D"/>
    <w:rsid w:val="00411323"/>
    <w:rsid w:val="00411C11"/>
    <w:rsid w:val="00412193"/>
    <w:rsid w:val="00412513"/>
    <w:rsid w:val="00412834"/>
    <w:rsid w:val="00412F24"/>
    <w:rsid w:val="00413C31"/>
    <w:rsid w:val="00414AD4"/>
    <w:rsid w:val="00414B16"/>
    <w:rsid w:val="00415A3B"/>
    <w:rsid w:val="004160E6"/>
    <w:rsid w:val="0041641E"/>
    <w:rsid w:val="00416579"/>
    <w:rsid w:val="0041693F"/>
    <w:rsid w:val="00417EC3"/>
    <w:rsid w:val="0042069F"/>
    <w:rsid w:val="00420737"/>
    <w:rsid w:val="0042143C"/>
    <w:rsid w:val="004216DB"/>
    <w:rsid w:val="00421725"/>
    <w:rsid w:val="0042193E"/>
    <w:rsid w:val="004220EB"/>
    <w:rsid w:val="00423239"/>
    <w:rsid w:val="004238BF"/>
    <w:rsid w:val="00424367"/>
    <w:rsid w:val="00424A44"/>
    <w:rsid w:val="00424D2C"/>
    <w:rsid w:val="0042502D"/>
    <w:rsid w:val="0042535D"/>
    <w:rsid w:val="004255E8"/>
    <w:rsid w:val="0042565B"/>
    <w:rsid w:val="004259F5"/>
    <w:rsid w:val="00425B5C"/>
    <w:rsid w:val="00425BDF"/>
    <w:rsid w:val="0042616F"/>
    <w:rsid w:val="0042624E"/>
    <w:rsid w:val="0042642A"/>
    <w:rsid w:val="00426B54"/>
    <w:rsid w:val="0042758D"/>
    <w:rsid w:val="00427B46"/>
    <w:rsid w:val="00427C26"/>
    <w:rsid w:val="00427D80"/>
    <w:rsid w:val="00427EFC"/>
    <w:rsid w:val="0043027D"/>
    <w:rsid w:val="004311A6"/>
    <w:rsid w:val="00431262"/>
    <w:rsid w:val="00431416"/>
    <w:rsid w:val="00431472"/>
    <w:rsid w:val="004315D3"/>
    <w:rsid w:val="004319FC"/>
    <w:rsid w:val="00431A67"/>
    <w:rsid w:val="00431D56"/>
    <w:rsid w:val="00432117"/>
    <w:rsid w:val="0043229E"/>
    <w:rsid w:val="004324DC"/>
    <w:rsid w:val="00432AC7"/>
    <w:rsid w:val="00433326"/>
    <w:rsid w:val="00433457"/>
    <w:rsid w:val="004334C2"/>
    <w:rsid w:val="0043398F"/>
    <w:rsid w:val="00433DE4"/>
    <w:rsid w:val="00434343"/>
    <w:rsid w:val="004344A8"/>
    <w:rsid w:val="0043499C"/>
    <w:rsid w:val="00434BE9"/>
    <w:rsid w:val="0043585F"/>
    <w:rsid w:val="00435ABB"/>
    <w:rsid w:val="00435D11"/>
    <w:rsid w:val="00435DE7"/>
    <w:rsid w:val="004361C9"/>
    <w:rsid w:val="004366FF"/>
    <w:rsid w:val="00436C5C"/>
    <w:rsid w:val="00437291"/>
    <w:rsid w:val="00437849"/>
    <w:rsid w:val="00437B8E"/>
    <w:rsid w:val="00437F77"/>
    <w:rsid w:val="00437FD0"/>
    <w:rsid w:val="004400E4"/>
    <w:rsid w:val="0044010D"/>
    <w:rsid w:val="004409CC"/>
    <w:rsid w:val="00440BC4"/>
    <w:rsid w:val="00440F39"/>
    <w:rsid w:val="004414C4"/>
    <w:rsid w:val="00441B75"/>
    <w:rsid w:val="0044283D"/>
    <w:rsid w:val="00442D54"/>
    <w:rsid w:val="00442F96"/>
    <w:rsid w:val="0044330A"/>
    <w:rsid w:val="00443868"/>
    <w:rsid w:val="0044478E"/>
    <w:rsid w:val="00445286"/>
    <w:rsid w:val="0044531F"/>
    <w:rsid w:val="0044558E"/>
    <w:rsid w:val="00445D5C"/>
    <w:rsid w:val="00445FCE"/>
    <w:rsid w:val="004461D8"/>
    <w:rsid w:val="00446387"/>
    <w:rsid w:val="00446906"/>
    <w:rsid w:val="00446A8E"/>
    <w:rsid w:val="004471C5"/>
    <w:rsid w:val="0044720C"/>
    <w:rsid w:val="004474CB"/>
    <w:rsid w:val="004478F0"/>
    <w:rsid w:val="0044790F"/>
    <w:rsid w:val="00447A49"/>
    <w:rsid w:val="00447AA3"/>
    <w:rsid w:val="00447FF8"/>
    <w:rsid w:val="00450084"/>
    <w:rsid w:val="00450367"/>
    <w:rsid w:val="00450908"/>
    <w:rsid w:val="00450F40"/>
    <w:rsid w:val="004512FB"/>
    <w:rsid w:val="0045155A"/>
    <w:rsid w:val="00451650"/>
    <w:rsid w:val="0045220F"/>
    <w:rsid w:val="004523B6"/>
    <w:rsid w:val="004525B3"/>
    <w:rsid w:val="00452A03"/>
    <w:rsid w:val="00452D44"/>
    <w:rsid w:val="0045325A"/>
    <w:rsid w:val="004532A8"/>
    <w:rsid w:val="00453749"/>
    <w:rsid w:val="00453CAB"/>
    <w:rsid w:val="00453E68"/>
    <w:rsid w:val="00454223"/>
    <w:rsid w:val="00454366"/>
    <w:rsid w:val="004544D5"/>
    <w:rsid w:val="004546B6"/>
    <w:rsid w:val="00454865"/>
    <w:rsid w:val="004549D9"/>
    <w:rsid w:val="00454A5E"/>
    <w:rsid w:val="00455AA3"/>
    <w:rsid w:val="004560C7"/>
    <w:rsid w:val="004560E9"/>
    <w:rsid w:val="0045636D"/>
    <w:rsid w:val="00456776"/>
    <w:rsid w:val="00456D4C"/>
    <w:rsid w:val="0045738F"/>
    <w:rsid w:val="00457C10"/>
    <w:rsid w:val="00460509"/>
    <w:rsid w:val="0046052E"/>
    <w:rsid w:val="0046088F"/>
    <w:rsid w:val="004608E0"/>
    <w:rsid w:val="004614CF"/>
    <w:rsid w:val="00461ABE"/>
    <w:rsid w:val="00461C07"/>
    <w:rsid w:val="0046255D"/>
    <w:rsid w:val="00462A26"/>
    <w:rsid w:val="00462B38"/>
    <w:rsid w:val="00462CEF"/>
    <w:rsid w:val="00463170"/>
    <w:rsid w:val="00463335"/>
    <w:rsid w:val="00463ED8"/>
    <w:rsid w:val="0046409B"/>
    <w:rsid w:val="004640AA"/>
    <w:rsid w:val="004641E9"/>
    <w:rsid w:val="0046452B"/>
    <w:rsid w:val="0046462E"/>
    <w:rsid w:val="004646A5"/>
    <w:rsid w:val="0046489E"/>
    <w:rsid w:val="00464AB1"/>
    <w:rsid w:val="004652EB"/>
    <w:rsid w:val="00465ADC"/>
    <w:rsid w:val="004660A7"/>
    <w:rsid w:val="004661A8"/>
    <w:rsid w:val="004666B0"/>
    <w:rsid w:val="004676CA"/>
    <w:rsid w:val="00467DFA"/>
    <w:rsid w:val="00467F93"/>
    <w:rsid w:val="004705A6"/>
    <w:rsid w:val="0047076F"/>
    <w:rsid w:val="004709F8"/>
    <w:rsid w:val="00470BF9"/>
    <w:rsid w:val="0047105F"/>
    <w:rsid w:val="00471074"/>
    <w:rsid w:val="00471436"/>
    <w:rsid w:val="0047154D"/>
    <w:rsid w:val="004718B7"/>
    <w:rsid w:val="004719A1"/>
    <w:rsid w:val="004719C3"/>
    <w:rsid w:val="0047279E"/>
    <w:rsid w:val="0047299F"/>
    <w:rsid w:val="00472B22"/>
    <w:rsid w:val="00472C1F"/>
    <w:rsid w:val="0047319B"/>
    <w:rsid w:val="00473242"/>
    <w:rsid w:val="004736C0"/>
    <w:rsid w:val="00473F3F"/>
    <w:rsid w:val="004742C8"/>
    <w:rsid w:val="00474370"/>
    <w:rsid w:val="00474F95"/>
    <w:rsid w:val="004751EA"/>
    <w:rsid w:val="00476202"/>
    <w:rsid w:val="004770D2"/>
    <w:rsid w:val="004776F9"/>
    <w:rsid w:val="00477701"/>
    <w:rsid w:val="004801A2"/>
    <w:rsid w:val="00480D10"/>
    <w:rsid w:val="00481693"/>
    <w:rsid w:val="00482169"/>
    <w:rsid w:val="00482223"/>
    <w:rsid w:val="004825AF"/>
    <w:rsid w:val="0048270A"/>
    <w:rsid w:val="00482B6A"/>
    <w:rsid w:val="00482EA5"/>
    <w:rsid w:val="00482FDB"/>
    <w:rsid w:val="00483552"/>
    <w:rsid w:val="00483CED"/>
    <w:rsid w:val="00484550"/>
    <w:rsid w:val="0048473F"/>
    <w:rsid w:val="004848AD"/>
    <w:rsid w:val="004849AD"/>
    <w:rsid w:val="00484B1F"/>
    <w:rsid w:val="00484E94"/>
    <w:rsid w:val="00485374"/>
    <w:rsid w:val="00485866"/>
    <w:rsid w:val="00485D7C"/>
    <w:rsid w:val="0048659F"/>
    <w:rsid w:val="00486A44"/>
    <w:rsid w:val="00486A4A"/>
    <w:rsid w:val="00486E89"/>
    <w:rsid w:val="00486FCC"/>
    <w:rsid w:val="00487D23"/>
    <w:rsid w:val="00487DEA"/>
    <w:rsid w:val="004905CA"/>
    <w:rsid w:val="00490CE1"/>
    <w:rsid w:val="004915A7"/>
    <w:rsid w:val="00491638"/>
    <w:rsid w:val="00491D67"/>
    <w:rsid w:val="0049239A"/>
    <w:rsid w:val="00492C44"/>
    <w:rsid w:val="00492CB9"/>
    <w:rsid w:val="004937C5"/>
    <w:rsid w:val="00493BFB"/>
    <w:rsid w:val="00493CC2"/>
    <w:rsid w:val="00494208"/>
    <w:rsid w:val="004946B7"/>
    <w:rsid w:val="00495062"/>
    <w:rsid w:val="004951F2"/>
    <w:rsid w:val="00495217"/>
    <w:rsid w:val="004954A0"/>
    <w:rsid w:val="00495646"/>
    <w:rsid w:val="00495E8F"/>
    <w:rsid w:val="00496206"/>
    <w:rsid w:val="0049628C"/>
    <w:rsid w:val="004966BA"/>
    <w:rsid w:val="0049680F"/>
    <w:rsid w:val="00496B3A"/>
    <w:rsid w:val="00496B95"/>
    <w:rsid w:val="00496E70"/>
    <w:rsid w:val="00497E28"/>
    <w:rsid w:val="00497E58"/>
    <w:rsid w:val="004A07F2"/>
    <w:rsid w:val="004A0DA1"/>
    <w:rsid w:val="004A0EE8"/>
    <w:rsid w:val="004A12E3"/>
    <w:rsid w:val="004A1C2E"/>
    <w:rsid w:val="004A1F43"/>
    <w:rsid w:val="004A2701"/>
    <w:rsid w:val="004A2934"/>
    <w:rsid w:val="004A29F9"/>
    <w:rsid w:val="004A2A5B"/>
    <w:rsid w:val="004A2CF2"/>
    <w:rsid w:val="004A3170"/>
    <w:rsid w:val="004A3F90"/>
    <w:rsid w:val="004A4284"/>
    <w:rsid w:val="004A4B83"/>
    <w:rsid w:val="004A4D09"/>
    <w:rsid w:val="004A4F74"/>
    <w:rsid w:val="004A547A"/>
    <w:rsid w:val="004A548E"/>
    <w:rsid w:val="004A5E01"/>
    <w:rsid w:val="004A6017"/>
    <w:rsid w:val="004A63F2"/>
    <w:rsid w:val="004A69EB"/>
    <w:rsid w:val="004A72C4"/>
    <w:rsid w:val="004A7340"/>
    <w:rsid w:val="004A7C5E"/>
    <w:rsid w:val="004A7D66"/>
    <w:rsid w:val="004A7DA9"/>
    <w:rsid w:val="004B02DD"/>
    <w:rsid w:val="004B0347"/>
    <w:rsid w:val="004B07B7"/>
    <w:rsid w:val="004B08FD"/>
    <w:rsid w:val="004B1502"/>
    <w:rsid w:val="004B15D9"/>
    <w:rsid w:val="004B1826"/>
    <w:rsid w:val="004B1878"/>
    <w:rsid w:val="004B1BCC"/>
    <w:rsid w:val="004B22AF"/>
    <w:rsid w:val="004B3564"/>
    <w:rsid w:val="004B35FE"/>
    <w:rsid w:val="004B380B"/>
    <w:rsid w:val="004B3EF0"/>
    <w:rsid w:val="004B3FD3"/>
    <w:rsid w:val="004B44A9"/>
    <w:rsid w:val="004B44FA"/>
    <w:rsid w:val="004B48A2"/>
    <w:rsid w:val="004B4B31"/>
    <w:rsid w:val="004B4B8C"/>
    <w:rsid w:val="004B50F1"/>
    <w:rsid w:val="004B5582"/>
    <w:rsid w:val="004B57C7"/>
    <w:rsid w:val="004B68B3"/>
    <w:rsid w:val="004B7010"/>
    <w:rsid w:val="004B733A"/>
    <w:rsid w:val="004B77D6"/>
    <w:rsid w:val="004B7C6E"/>
    <w:rsid w:val="004B7FB7"/>
    <w:rsid w:val="004C0245"/>
    <w:rsid w:val="004C0E74"/>
    <w:rsid w:val="004C13B7"/>
    <w:rsid w:val="004C1624"/>
    <w:rsid w:val="004C1636"/>
    <w:rsid w:val="004C167A"/>
    <w:rsid w:val="004C16B5"/>
    <w:rsid w:val="004C23C6"/>
    <w:rsid w:val="004C25B2"/>
    <w:rsid w:val="004C25D1"/>
    <w:rsid w:val="004C295F"/>
    <w:rsid w:val="004C2AEB"/>
    <w:rsid w:val="004C4DC1"/>
    <w:rsid w:val="004C4F1B"/>
    <w:rsid w:val="004C52DF"/>
    <w:rsid w:val="004C5301"/>
    <w:rsid w:val="004C59C2"/>
    <w:rsid w:val="004C693B"/>
    <w:rsid w:val="004C6D0F"/>
    <w:rsid w:val="004C6E0C"/>
    <w:rsid w:val="004C74F3"/>
    <w:rsid w:val="004C7A11"/>
    <w:rsid w:val="004C7AC0"/>
    <w:rsid w:val="004C7CA8"/>
    <w:rsid w:val="004C7E23"/>
    <w:rsid w:val="004D02A8"/>
    <w:rsid w:val="004D0B53"/>
    <w:rsid w:val="004D0FE5"/>
    <w:rsid w:val="004D131B"/>
    <w:rsid w:val="004D1502"/>
    <w:rsid w:val="004D156C"/>
    <w:rsid w:val="004D1C61"/>
    <w:rsid w:val="004D1E09"/>
    <w:rsid w:val="004D210B"/>
    <w:rsid w:val="004D273E"/>
    <w:rsid w:val="004D31C3"/>
    <w:rsid w:val="004D37B4"/>
    <w:rsid w:val="004D37DA"/>
    <w:rsid w:val="004D3C15"/>
    <w:rsid w:val="004D3C33"/>
    <w:rsid w:val="004D40D9"/>
    <w:rsid w:val="004D426B"/>
    <w:rsid w:val="004D4343"/>
    <w:rsid w:val="004D4870"/>
    <w:rsid w:val="004D4B1A"/>
    <w:rsid w:val="004D520B"/>
    <w:rsid w:val="004D52C8"/>
    <w:rsid w:val="004D53B1"/>
    <w:rsid w:val="004D54B1"/>
    <w:rsid w:val="004D56B2"/>
    <w:rsid w:val="004D58EC"/>
    <w:rsid w:val="004D5EBC"/>
    <w:rsid w:val="004D6284"/>
    <w:rsid w:val="004D6347"/>
    <w:rsid w:val="004D7534"/>
    <w:rsid w:val="004D7558"/>
    <w:rsid w:val="004D78E7"/>
    <w:rsid w:val="004D78FD"/>
    <w:rsid w:val="004D79D9"/>
    <w:rsid w:val="004D7B83"/>
    <w:rsid w:val="004D7C47"/>
    <w:rsid w:val="004E005A"/>
    <w:rsid w:val="004E0724"/>
    <w:rsid w:val="004E0847"/>
    <w:rsid w:val="004E0B91"/>
    <w:rsid w:val="004E0F16"/>
    <w:rsid w:val="004E0F4C"/>
    <w:rsid w:val="004E126B"/>
    <w:rsid w:val="004E17E2"/>
    <w:rsid w:val="004E2824"/>
    <w:rsid w:val="004E2F34"/>
    <w:rsid w:val="004E4098"/>
    <w:rsid w:val="004E485A"/>
    <w:rsid w:val="004E48D2"/>
    <w:rsid w:val="004E48E5"/>
    <w:rsid w:val="004E4956"/>
    <w:rsid w:val="004E4B8B"/>
    <w:rsid w:val="004E52A5"/>
    <w:rsid w:val="004E63BE"/>
    <w:rsid w:val="004E6475"/>
    <w:rsid w:val="004E668B"/>
    <w:rsid w:val="004E6C2A"/>
    <w:rsid w:val="004E6E73"/>
    <w:rsid w:val="004E70FD"/>
    <w:rsid w:val="004E7836"/>
    <w:rsid w:val="004E7988"/>
    <w:rsid w:val="004F04AE"/>
    <w:rsid w:val="004F0542"/>
    <w:rsid w:val="004F06EC"/>
    <w:rsid w:val="004F0CF0"/>
    <w:rsid w:val="004F1147"/>
    <w:rsid w:val="004F162A"/>
    <w:rsid w:val="004F18A9"/>
    <w:rsid w:val="004F1CF2"/>
    <w:rsid w:val="004F2028"/>
    <w:rsid w:val="004F20D4"/>
    <w:rsid w:val="004F23C1"/>
    <w:rsid w:val="004F3474"/>
    <w:rsid w:val="004F3500"/>
    <w:rsid w:val="004F38BA"/>
    <w:rsid w:val="004F4219"/>
    <w:rsid w:val="004F4536"/>
    <w:rsid w:val="004F4982"/>
    <w:rsid w:val="004F4F87"/>
    <w:rsid w:val="004F577D"/>
    <w:rsid w:val="004F57BC"/>
    <w:rsid w:val="004F59F7"/>
    <w:rsid w:val="004F5AAD"/>
    <w:rsid w:val="004F5DF1"/>
    <w:rsid w:val="004F5F73"/>
    <w:rsid w:val="004F7420"/>
    <w:rsid w:val="004F79D7"/>
    <w:rsid w:val="004F7C4D"/>
    <w:rsid w:val="00500353"/>
    <w:rsid w:val="00500D6A"/>
    <w:rsid w:val="00500E36"/>
    <w:rsid w:val="00501324"/>
    <w:rsid w:val="005013FF"/>
    <w:rsid w:val="00501662"/>
    <w:rsid w:val="005016B2"/>
    <w:rsid w:val="005021FB"/>
    <w:rsid w:val="00502A2D"/>
    <w:rsid w:val="00502D4E"/>
    <w:rsid w:val="0050326E"/>
    <w:rsid w:val="00503BE2"/>
    <w:rsid w:val="00504384"/>
    <w:rsid w:val="005043B5"/>
    <w:rsid w:val="00504535"/>
    <w:rsid w:val="005048E1"/>
    <w:rsid w:val="00504A67"/>
    <w:rsid w:val="00504E6D"/>
    <w:rsid w:val="005050E0"/>
    <w:rsid w:val="005052B7"/>
    <w:rsid w:val="00505369"/>
    <w:rsid w:val="005055BE"/>
    <w:rsid w:val="005055D1"/>
    <w:rsid w:val="005056E3"/>
    <w:rsid w:val="00505873"/>
    <w:rsid w:val="005060E6"/>
    <w:rsid w:val="00506226"/>
    <w:rsid w:val="0050630D"/>
    <w:rsid w:val="00506510"/>
    <w:rsid w:val="0050659A"/>
    <w:rsid w:val="00506BB1"/>
    <w:rsid w:val="00506D96"/>
    <w:rsid w:val="00506DB5"/>
    <w:rsid w:val="00506F57"/>
    <w:rsid w:val="00507330"/>
    <w:rsid w:val="00507682"/>
    <w:rsid w:val="00507B02"/>
    <w:rsid w:val="00507BB1"/>
    <w:rsid w:val="00507C7C"/>
    <w:rsid w:val="00507D98"/>
    <w:rsid w:val="00507FEC"/>
    <w:rsid w:val="00510087"/>
    <w:rsid w:val="0051034F"/>
    <w:rsid w:val="005105B2"/>
    <w:rsid w:val="0051085C"/>
    <w:rsid w:val="00510B62"/>
    <w:rsid w:val="005114ED"/>
    <w:rsid w:val="005115C9"/>
    <w:rsid w:val="005116ED"/>
    <w:rsid w:val="0051171E"/>
    <w:rsid w:val="00511B37"/>
    <w:rsid w:val="005120D4"/>
    <w:rsid w:val="00512A97"/>
    <w:rsid w:val="00513357"/>
    <w:rsid w:val="005139C0"/>
    <w:rsid w:val="00514224"/>
    <w:rsid w:val="00514363"/>
    <w:rsid w:val="005149D9"/>
    <w:rsid w:val="00514B36"/>
    <w:rsid w:val="00514E2E"/>
    <w:rsid w:val="00515134"/>
    <w:rsid w:val="0051553A"/>
    <w:rsid w:val="0051569E"/>
    <w:rsid w:val="0051597E"/>
    <w:rsid w:val="00516031"/>
    <w:rsid w:val="005160ED"/>
    <w:rsid w:val="005164BD"/>
    <w:rsid w:val="00516602"/>
    <w:rsid w:val="005170D9"/>
    <w:rsid w:val="005170E0"/>
    <w:rsid w:val="0051720D"/>
    <w:rsid w:val="005178A3"/>
    <w:rsid w:val="00517A9E"/>
    <w:rsid w:val="00517CEA"/>
    <w:rsid w:val="00517E84"/>
    <w:rsid w:val="00517EAD"/>
    <w:rsid w:val="00517FBB"/>
    <w:rsid w:val="00520821"/>
    <w:rsid w:val="00520951"/>
    <w:rsid w:val="00520DB8"/>
    <w:rsid w:val="005212A9"/>
    <w:rsid w:val="00521397"/>
    <w:rsid w:val="005213C3"/>
    <w:rsid w:val="0052151D"/>
    <w:rsid w:val="0052180E"/>
    <w:rsid w:val="00521A81"/>
    <w:rsid w:val="005224FF"/>
    <w:rsid w:val="005228A3"/>
    <w:rsid w:val="00523038"/>
    <w:rsid w:val="0052308E"/>
    <w:rsid w:val="00523138"/>
    <w:rsid w:val="00523FA5"/>
    <w:rsid w:val="005241D4"/>
    <w:rsid w:val="005244FB"/>
    <w:rsid w:val="00524E33"/>
    <w:rsid w:val="005250BE"/>
    <w:rsid w:val="00525675"/>
    <w:rsid w:val="00525888"/>
    <w:rsid w:val="00525E9A"/>
    <w:rsid w:val="00526050"/>
    <w:rsid w:val="005263E6"/>
    <w:rsid w:val="00526F3A"/>
    <w:rsid w:val="00527FDD"/>
    <w:rsid w:val="0053004A"/>
    <w:rsid w:val="00530170"/>
    <w:rsid w:val="005301ED"/>
    <w:rsid w:val="005301FC"/>
    <w:rsid w:val="00530678"/>
    <w:rsid w:val="005313FD"/>
    <w:rsid w:val="005315D6"/>
    <w:rsid w:val="00531644"/>
    <w:rsid w:val="00531FE4"/>
    <w:rsid w:val="0053216C"/>
    <w:rsid w:val="005321DA"/>
    <w:rsid w:val="00532BA4"/>
    <w:rsid w:val="00532DE0"/>
    <w:rsid w:val="00533362"/>
    <w:rsid w:val="005334C2"/>
    <w:rsid w:val="00533CD5"/>
    <w:rsid w:val="005347B5"/>
    <w:rsid w:val="00534B33"/>
    <w:rsid w:val="00535D02"/>
    <w:rsid w:val="00535F56"/>
    <w:rsid w:val="0053690D"/>
    <w:rsid w:val="00536CF2"/>
    <w:rsid w:val="00537023"/>
    <w:rsid w:val="0053704A"/>
    <w:rsid w:val="00537549"/>
    <w:rsid w:val="00537925"/>
    <w:rsid w:val="00540148"/>
    <w:rsid w:val="00540A43"/>
    <w:rsid w:val="00540B4E"/>
    <w:rsid w:val="00540DA1"/>
    <w:rsid w:val="00541418"/>
    <w:rsid w:val="005414B6"/>
    <w:rsid w:val="0054195C"/>
    <w:rsid w:val="00541AE9"/>
    <w:rsid w:val="00542E54"/>
    <w:rsid w:val="00543829"/>
    <w:rsid w:val="0054383A"/>
    <w:rsid w:val="00543E45"/>
    <w:rsid w:val="0054421D"/>
    <w:rsid w:val="005446A3"/>
    <w:rsid w:val="00544D8B"/>
    <w:rsid w:val="00544E0A"/>
    <w:rsid w:val="00544FE1"/>
    <w:rsid w:val="00545007"/>
    <w:rsid w:val="005455B7"/>
    <w:rsid w:val="005458A4"/>
    <w:rsid w:val="0054597C"/>
    <w:rsid w:val="00545B0F"/>
    <w:rsid w:val="00545EDD"/>
    <w:rsid w:val="00546483"/>
    <w:rsid w:val="00546B9E"/>
    <w:rsid w:val="005470F5"/>
    <w:rsid w:val="0054794B"/>
    <w:rsid w:val="00550587"/>
    <w:rsid w:val="00551316"/>
    <w:rsid w:val="005513AC"/>
    <w:rsid w:val="00551B27"/>
    <w:rsid w:val="00551CE4"/>
    <w:rsid w:val="005522AD"/>
    <w:rsid w:val="0055351E"/>
    <w:rsid w:val="0055386D"/>
    <w:rsid w:val="00554200"/>
    <w:rsid w:val="00554451"/>
    <w:rsid w:val="00554495"/>
    <w:rsid w:val="005550C0"/>
    <w:rsid w:val="00555219"/>
    <w:rsid w:val="0055577F"/>
    <w:rsid w:val="00555A88"/>
    <w:rsid w:val="00555FE4"/>
    <w:rsid w:val="005561ED"/>
    <w:rsid w:val="00556333"/>
    <w:rsid w:val="00556E49"/>
    <w:rsid w:val="00556FE0"/>
    <w:rsid w:val="0055765E"/>
    <w:rsid w:val="005578F3"/>
    <w:rsid w:val="00557D04"/>
    <w:rsid w:val="00557F6D"/>
    <w:rsid w:val="005601F5"/>
    <w:rsid w:val="005609A6"/>
    <w:rsid w:val="00560A8A"/>
    <w:rsid w:val="005611A2"/>
    <w:rsid w:val="00561232"/>
    <w:rsid w:val="00561376"/>
    <w:rsid w:val="005618DE"/>
    <w:rsid w:val="00561D33"/>
    <w:rsid w:val="00561DCC"/>
    <w:rsid w:val="00561F73"/>
    <w:rsid w:val="00561F8F"/>
    <w:rsid w:val="0056254C"/>
    <w:rsid w:val="0056270F"/>
    <w:rsid w:val="0056293B"/>
    <w:rsid w:val="005639D3"/>
    <w:rsid w:val="00563AAD"/>
    <w:rsid w:val="005641DE"/>
    <w:rsid w:val="005647A8"/>
    <w:rsid w:val="00564A3C"/>
    <w:rsid w:val="00564BE8"/>
    <w:rsid w:val="00565006"/>
    <w:rsid w:val="00565294"/>
    <w:rsid w:val="005654F6"/>
    <w:rsid w:val="00565CD8"/>
    <w:rsid w:val="00565F46"/>
    <w:rsid w:val="005660FA"/>
    <w:rsid w:val="00566857"/>
    <w:rsid w:val="005668B8"/>
    <w:rsid w:val="00566EF6"/>
    <w:rsid w:val="0056717C"/>
    <w:rsid w:val="00567187"/>
    <w:rsid w:val="0056777D"/>
    <w:rsid w:val="005678E6"/>
    <w:rsid w:val="00567D1E"/>
    <w:rsid w:val="005706B9"/>
    <w:rsid w:val="00570C8D"/>
    <w:rsid w:val="00570DB0"/>
    <w:rsid w:val="00571451"/>
    <w:rsid w:val="005720BF"/>
    <w:rsid w:val="00572156"/>
    <w:rsid w:val="00572252"/>
    <w:rsid w:val="005729B9"/>
    <w:rsid w:val="00572B30"/>
    <w:rsid w:val="00572B38"/>
    <w:rsid w:val="005730ED"/>
    <w:rsid w:val="005734C9"/>
    <w:rsid w:val="005737DD"/>
    <w:rsid w:val="00573857"/>
    <w:rsid w:val="00573906"/>
    <w:rsid w:val="005748E5"/>
    <w:rsid w:val="00574D61"/>
    <w:rsid w:val="005750A2"/>
    <w:rsid w:val="005755DB"/>
    <w:rsid w:val="005755E6"/>
    <w:rsid w:val="00576204"/>
    <w:rsid w:val="0057624F"/>
    <w:rsid w:val="00576309"/>
    <w:rsid w:val="00576459"/>
    <w:rsid w:val="00576E93"/>
    <w:rsid w:val="0057745E"/>
    <w:rsid w:val="0057778D"/>
    <w:rsid w:val="00577CC9"/>
    <w:rsid w:val="00577FFE"/>
    <w:rsid w:val="0058026F"/>
    <w:rsid w:val="00580728"/>
    <w:rsid w:val="00581070"/>
    <w:rsid w:val="00581892"/>
    <w:rsid w:val="00581EBA"/>
    <w:rsid w:val="0058271E"/>
    <w:rsid w:val="00582C69"/>
    <w:rsid w:val="00582FDA"/>
    <w:rsid w:val="0058348F"/>
    <w:rsid w:val="005834B5"/>
    <w:rsid w:val="00583517"/>
    <w:rsid w:val="005837EC"/>
    <w:rsid w:val="00583A35"/>
    <w:rsid w:val="00585197"/>
    <w:rsid w:val="00586507"/>
    <w:rsid w:val="00586D17"/>
    <w:rsid w:val="00587878"/>
    <w:rsid w:val="00590537"/>
    <w:rsid w:val="0059060E"/>
    <w:rsid w:val="00590647"/>
    <w:rsid w:val="00591277"/>
    <w:rsid w:val="005916A5"/>
    <w:rsid w:val="00591909"/>
    <w:rsid w:val="00591DF4"/>
    <w:rsid w:val="0059296C"/>
    <w:rsid w:val="00592D9B"/>
    <w:rsid w:val="00593070"/>
    <w:rsid w:val="0059340A"/>
    <w:rsid w:val="005938D8"/>
    <w:rsid w:val="005959E5"/>
    <w:rsid w:val="00595BA5"/>
    <w:rsid w:val="00595E64"/>
    <w:rsid w:val="00596184"/>
    <w:rsid w:val="005963E1"/>
    <w:rsid w:val="00596455"/>
    <w:rsid w:val="00596DF8"/>
    <w:rsid w:val="00596E13"/>
    <w:rsid w:val="005970A3"/>
    <w:rsid w:val="005971CE"/>
    <w:rsid w:val="00597AE6"/>
    <w:rsid w:val="00597B29"/>
    <w:rsid w:val="00597EC1"/>
    <w:rsid w:val="005A0564"/>
    <w:rsid w:val="005A091A"/>
    <w:rsid w:val="005A093E"/>
    <w:rsid w:val="005A0E85"/>
    <w:rsid w:val="005A11A9"/>
    <w:rsid w:val="005A1D22"/>
    <w:rsid w:val="005A1ED4"/>
    <w:rsid w:val="005A1F01"/>
    <w:rsid w:val="005A27F8"/>
    <w:rsid w:val="005A28C5"/>
    <w:rsid w:val="005A2F71"/>
    <w:rsid w:val="005A3377"/>
    <w:rsid w:val="005A4FB0"/>
    <w:rsid w:val="005A53F1"/>
    <w:rsid w:val="005A55CD"/>
    <w:rsid w:val="005A5733"/>
    <w:rsid w:val="005A5B06"/>
    <w:rsid w:val="005A5DA8"/>
    <w:rsid w:val="005A6720"/>
    <w:rsid w:val="005A6B89"/>
    <w:rsid w:val="005A6CFF"/>
    <w:rsid w:val="005A723C"/>
    <w:rsid w:val="005A730C"/>
    <w:rsid w:val="005A762A"/>
    <w:rsid w:val="005B004E"/>
    <w:rsid w:val="005B010C"/>
    <w:rsid w:val="005B011F"/>
    <w:rsid w:val="005B086F"/>
    <w:rsid w:val="005B091E"/>
    <w:rsid w:val="005B0AF6"/>
    <w:rsid w:val="005B1852"/>
    <w:rsid w:val="005B215C"/>
    <w:rsid w:val="005B22C9"/>
    <w:rsid w:val="005B2513"/>
    <w:rsid w:val="005B25C8"/>
    <w:rsid w:val="005B271C"/>
    <w:rsid w:val="005B30C5"/>
    <w:rsid w:val="005B361C"/>
    <w:rsid w:val="005B3972"/>
    <w:rsid w:val="005B46C3"/>
    <w:rsid w:val="005B47D5"/>
    <w:rsid w:val="005B4B95"/>
    <w:rsid w:val="005B4CF1"/>
    <w:rsid w:val="005B5164"/>
    <w:rsid w:val="005B535E"/>
    <w:rsid w:val="005B61EA"/>
    <w:rsid w:val="005B6BA0"/>
    <w:rsid w:val="005B6C2B"/>
    <w:rsid w:val="005B6DBA"/>
    <w:rsid w:val="005B7478"/>
    <w:rsid w:val="005B7723"/>
    <w:rsid w:val="005C0207"/>
    <w:rsid w:val="005C06DD"/>
    <w:rsid w:val="005C17AC"/>
    <w:rsid w:val="005C1833"/>
    <w:rsid w:val="005C2227"/>
    <w:rsid w:val="005C255D"/>
    <w:rsid w:val="005C25D3"/>
    <w:rsid w:val="005C27A1"/>
    <w:rsid w:val="005C2995"/>
    <w:rsid w:val="005C2C37"/>
    <w:rsid w:val="005C3173"/>
    <w:rsid w:val="005C37F7"/>
    <w:rsid w:val="005C3E30"/>
    <w:rsid w:val="005C3F9A"/>
    <w:rsid w:val="005C4211"/>
    <w:rsid w:val="005C44DF"/>
    <w:rsid w:val="005C4891"/>
    <w:rsid w:val="005C4A95"/>
    <w:rsid w:val="005C4E12"/>
    <w:rsid w:val="005C5017"/>
    <w:rsid w:val="005C55C3"/>
    <w:rsid w:val="005C5CAD"/>
    <w:rsid w:val="005C5D6F"/>
    <w:rsid w:val="005C61D1"/>
    <w:rsid w:val="005C733E"/>
    <w:rsid w:val="005C7D39"/>
    <w:rsid w:val="005D037F"/>
    <w:rsid w:val="005D10B3"/>
    <w:rsid w:val="005D150A"/>
    <w:rsid w:val="005D16D1"/>
    <w:rsid w:val="005D1B68"/>
    <w:rsid w:val="005D1E30"/>
    <w:rsid w:val="005D23CF"/>
    <w:rsid w:val="005D2410"/>
    <w:rsid w:val="005D257D"/>
    <w:rsid w:val="005D2A99"/>
    <w:rsid w:val="005D2AB9"/>
    <w:rsid w:val="005D2D08"/>
    <w:rsid w:val="005D2DD5"/>
    <w:rsid w:val="005D2E91"/>
    <w:rsid w:val="005D2EDB"/>
    <w:rsid w:val="005D2EEA"/>
    <w:rsid w:val="005D2F06"/>
    <w:rsid w:val="005D33B8"/>
    <w:rsid w:val="005D346C"/>
    <w:rsid w:val="005D47B4"/>
    <w:rsid w:val="005D4A5E"/>
    <w:rsid w:val="005D4B45"/>
    <w:rsid w:val="005D5242"/>
    <w:rsid w:val="005D5268"/>
    <w:rsid w:val="005D52B0"/>
    <w:rsid w:val="005D5ED0"/>
    <w:rsid w:val="005D6685"/>
    <w:rsid w:val="005D692C"/>
    <w:rsid w:val="005D7773"/>
    <w:rsid w:val="005D7FA1"/>
    <w:rsid w:val="005E0121"/>
    <w:rsid w:val="005E064F"/>
    <w:rsid w:val="005E0BAE"/>
    <w:rsid w:val="005E1089"/>
    <w:rsid w:val="005E121F"/>
    <w:rsid w:val="005E1345"/>
    <w:rsid w:val="005E142D"/>
    <w:rsid w:val="005E153A"/>
    <w:rsid w:val="005E1578"/>
    <w:rsid w:val="005E15AC"/>
    <w:rsid w:val="005E15DD"/>
    <w:rsid w:val="005E1672"/>
    <w:rsid w:val="005E1E40"/>
    <w:rsid w:val="005E1EEE"/>
    <w:rsid w:val="005E32FB"/>
    <w:rsid w:val="005E3671"/>
    <w:rsid w:val="005E36E0"/>
    <w:rsid w:val="005E3AE4"/>
    <w:rsid w:val="005E3CC1"/>
    <w:rsid w:val="005E3D09"/>
    <w:rsid w:val="005E4071"/>
    <w:rsid w:val="005E4089"/>
    <w:rsid w:val="005E443F"/>
    <w:rsid w:val="005E4D8E"/>
    <w:rsid w:val="005E54BE"/>
    <w:rsid w:val="005E5E1E"/>
    <w:rsid w:val="005E61AD"/>
    <w:rsid w:val="005E63E7"/>
    <w:rsid w:val="005E669B"/>
    <w:rsid w:val="005E6820"/>
    <w:rsid w:val="005E6C1E"/>
    <w:rsid w:val="005E6F65"/>
    <w:rsid w:val="005E703B"/>
    <w:rsid w:val="005E71F1"/>
    <w:rsid w:val="005E77D0"/>
    <w:rsid w:val="005E7AF2"/>
    <w:rsid w:val="005E7F39"/>
    <w:rsid w:val="005F03A9"/>
    <w:rsid w:val="005F0594"/>
    <w:rsid w:val="005F0AAC"/>
    <w:rsid w:val="005F1ECE"/>
    <w:rsid w:val="005F2045"/>
    <w:rsid w:val="005F22DB"/>
    <w:rsid w:val="005F2A8B"/>
    <w:rsid w:val="005F357B"/>
    <w:rsid w:val="005F383B"/>
    <w:rsid w:val="005F44DE"/>
    <w:rsid w:val="005F4632"/>
    <w:rsid w:val="005F46A8"/>
    <w:rsid w:val="005F4C7F"/>
    <w:rsid w:val="005F4E4B"/>
    <w:rsid w:val="005F4FF4"/>
    <w:rsid w:val="005F57F6"/>
    <w:rsid w:val="005F603C"/>
    <w:rsid w:val="005F60F4"/>
    <w:rsid w:val="005F68F4"/>
    <w:rsid w:val="005F748E"/>
    <w:rsid w:val="005F74FC"/>
    <w:rsid w:val="006000AC"/>
    <w:rsid w:val="00600A57"/>
    <w:rsid w:val="00600CEA"/>
    <w:rsid w:val="0060206E"/>
    <w:rsid w:val="00602472"/>
    <w:rsid w:val="0060249B"/>
    <w:rsid w:val="00602B36"/>
    <w:rsid w:val="0060341A"/>
    <w:rsid w:val="00603630"/>
    <w:rsid w:val="006036CF"/>
    <w:rsid w:val="00603C91"/>
    <w:rsid w:val="00604175"/>
    <w:rsid w:val="006041FA"/>
    <w:rsid w:val="00604527"/>
    <w:rsid w:val="00604BAE"/>
    <w:rsid w:val="006055C3"/>
    <w:rsid w:val="006056F6"/>
    <w:rsid w:val="0060599E"/>
    <w:rsid w:val="00605DA5"/>
    <w:rsid w:val="00606F3E"/>
    <w:rsid w:val="0060784D"/>
    <w:rsid w:val="0061008F"/>
    <w:rsid w:val="00610801"/>
    <w:rsid w:val="006108D9"/>
    <w:rsid w:val="00610942"/>
    <w:rsid w:val="00611610"/>
    <w:rsid w:val="00611984"/>
    <w:rsid w:val="00611F57"/>
    <w:rsid w:val="00612041"/>
    <w:rsid w:val="006123EA"/>
    <w:rsid w:val="0061252C"/>
    <w:rsid w:val="0061267B"/>
    <w:rsid w:val="00612816"/>
    <w:rsid w:val="00612E2D"/>
    <w:rsid w:val="0061320F"/>
    <w:rsid w:val="00613421"/>
    <w:rsid w:val="006134BB"/>
    <w:rsid w:val="00613533"/>
    <w:rsid w:val="006139AC"/>
    <w:rsid w:val="00614290"/>
    <w:rsid w:val="006147B6"/>
    <w:rsid w:val="00614C44"/>
    <w:rsid w:val="00614D63"/>
    <w:rsid w:val="00614E8A"/>
    <w:rsid w:val="006157BE"/>
    <w:rsid w:val="00615800"/>
    <w:rsid w:val="00615881"/>
    <w:rsid w:val="00615C98"/>
    <w:rsid w:val="00615D21"/>
    <w:rsid w:val="00615DEC"/>
    <w:rsid w:val="0061611B"/>
    <w:rsid w:val="00616BBA"/>
    <w:rsid w:val="00617243"/>
    <w:rsid w:val="00617733"/>
    <w:rsid w:val="00617D3A"/>
    <w:rsid w:val="006204F1"/>
    <w:rsid w:val="00621234"/>
    <w:rsid w:val="00621E09"/>
    <w:rsid w:val="00621F85"/>
    <w:rsid w:val="00622D05"/>
    <w:rsid w:val="00622DB7"/>
    <w:rsid w:val="00622EA6"/>
    <w:rsid w:val="0062329B"/>
    <w:rsid w:val="0062388A"/>
    <w:rsid w:val="00623998"/>
    <w:rsid w:val="006240E5"/>
    <w:rsid w:val="006241EE"/>
    <w:rsid w:val="006243A1"/>
    <w:rsid w:val="0062471C"/>
    <w:rsid w:val="006248BE"/>
    <w:rsid w:val="00624AE4"/>
    <w:rsid w:val="00624BB7"/>
    <w:rsid w:val="00625107"/>
    <w:rsid w:val="0062512F"/>
    <w:rsid w:val="0062564D"/>
    <w:rsid w:val="00626429"/>
    <w:rsid w:val="00626B94"/>
    <w:rsid w:val="00626D9F"/>
    <w:rsid w:val="00627176"/>
    <w:rsid w:val="00627BEC"/>
    <w:rsid w:val="00627E9D"/>
    <w:rsid w:val="0063017A"/>
    <w:rsid w:val="00630224"/>
    <w:rsid w:val="006304ED"/>
    <w:rsid w:val="00630942"/>
    <w:rsid w:val="00631462"/>
    <w:rsid w:val="0063152C"/>
    <w:rsid w:val="006316F4"/>
    <w:rsid w:val="00631778"/>
    <w:rsid w:val="00631A0B"/>
    <w:rsid w:val="00631A53"/>
    <w:rsid w:val="00631D94"/>
    <w:rsid w:val="0063202C"/>
    <w:rsid w:val="00632A87"/>
    <w:rsid w:val="00632B0C"/>
    <w:rsid w:val="00632C3D"/>
    <w:rsid w:val="00632C90"/>
    <w:rsid w:val="00632EB8"/>
    <w:rsid w:val="0063324D"/>
    <w:rsid w:val="006333C1"/>
    <w:rsid w:val="00633DDB"/>
    <w:rsid w:val="0063412B"/>
    <w:rsid w:val="006347A4"/>
    <w:rsid w:val="0063498A"/>
    <w:rsid w:val="00634EA4"/>
    <w:rsid w:val="00634FB0"/>
    <w:rsid w:val="00635234"/>
    <w:rsid w:val="00635379"/>
    <w:rsid w:val="00635B2C"/>
    <w:rsid w:val="00635C1E"/>
    <w:rsid w:val="00635EDF"/>
    <w:rsid w:val="00636389"/>
    <w:rsid w:val="006365F2"/>
    <w:rsid w:val="00636938"/>
    <w:rsid w:val="00637066"/>
    <w:rsid w:val="0063772F"/>
    <w:rsid w:val="006377EB"/>
    <w:rsid w:val="006379F8"/>
    <w:rsid w:val="00637AF9"/>
    <w:rsid w:val="00637C88"/>
    <w:rsid w:val="00637F1E"/>
    <w:rsid w:val="00637F32"/>
    <w:rsid w:val="00640181"/>
    <w:rsid w:val="0064042A"/>
    <w:rsid w:val="00640587"/>
    <w:rsid w:val="00640AAE"/>
    <w:rsid w:val="00641137"/>
    <w:rsid w:val="0064204F"/>
    <w:rsid w:val="0064263C"/>
    <w:rsid w:val="00642743"/>
    <w:rsid w:val="00642837"/>
    <w:rsid w:val="00642899"/>
    <w:rsid w:val="00642C25"/>
    <w:rsid w:val="00642CBF"/>
    <w:rsid w:val="00642ECD"/>
    <w:rsid w:val="00643061"/>
    <w:rsid w:val="0064374D"/>
    <w:rsid w:val="00643802"/>
    <w:rsid w:val="006439AC"/>
    <w:rsid w:val="00643CC8"/>
    <w:rsid w:val="00644211"/>
    <w:rsid w:val="0064424F"/>
    <w:rsid w:val="006446F8"/>
    <w:rsid w:val="00644814"/>
    <w:rsid w:val="006448EC"/>
    <w:rsid w:val="006450FA"/>
    <w:rsid w:val="00645C24"/>
    <w:rsid w:val="00645DF8"/>
    <w:rsid w:val="00646502"/>
    <w:rsid w:val="006466E5"/>
    <w:rsid w:val="006473ED"/>
    <w:rsid w:val="0064743E"/>
    <w:rsid w:val="00650573"/>
    <w:rsid w:val="00650DBF"/>
    <w:rsid w:val="00651882"/>
    <w:rsid w:val="00651CE5"/>
    <w:rsid w:val="00651F42"/>
    <w:rsid w:val="00651F92"/>
    <w:rsid w:val="00652497"/>
    <w:rsid w:val="006526CD"/>
    <w:rsid w:val="00652E8A"/>
    <w:rsid w:val="00652F08"/>
    <w:rsid w:val="00652F4A"/>
    <w:rsid w:val="006530F6"/>
    <w:rsid w:val="006531A1"/>
    <w:rsid w:val="006537B0"/>
    <w:rsid w:val="006538E4"/>
    <w:rsid w:val="0065459E"/>
    <w:rsid w:val="00654B9A"/>
    <w:rsid w:val="006551F8"/>
    <w:rsid w:val="00655531"/>
    <w:rsid w:val="006555B9"/>
    <w:rsid w:val="0065580A"/>
    <w:rsid w:val="00655857"/>
    <w:rsid w:val="0065602F"/>
    <w:rsid w:val="00656586"/>
    <w:rsid w:val="00656A97"/>
    <w:rsid w:val="00656C81"/>
    <w:rsid w:val="0065755F"/>
    <w:rsid w:val="00657661"/>
    <w:rsid w:val="00657863"/>
    <w:rsid w:val="006579CA"/>
    <w:rsid w:val="00657A26"/>
    <w:rsid w:val="00657B4A"/>
    <w:rsid w:val="00657E71"/>
    <w:rsid w:val="00660857"/>
    <w:rsid w:val="006608B8"/>
    <w:rsid w:val="006613F6"/>
    <w:rsid w:val="006617FB"/>
    <w:rsid w:val="00661A3B"/>
    <w:rsid w:val="006625CE"/>
    <w:rsid w:val="006627F0"/>
    <w:rsid w:val="006628D5"/>
    <w:rsid w:val="00662ECA"/>
    <w:rsid w:val="0066317C"/>
    <w:rsid w:val="006635B7"/>
    <w:rsid w:val="00663FC2"/>
    <w:rsid w:val="00663FD0"/>
    <w:rsid w:val="00664634"/>
    <w:rsid w:val="006647C9"/>
    <w:rsid w:val="00664E73"/>
    <w:rsid w:val="00664F99"/>
    <w:rsid w:val="006651FF"/>
    <w:rsid w:val="00665AA7"/>
    <w:rsid w:val="0066624E"/>
    <w:rsid w:val="0066759A"/>
    <w:rsid w:val="006678BF"/>
    <w:rsid w:val="0066790B"/>
    <w:rsid w:val="00667A44"/>
    <w:rsid w:val="00667DDA"/>
    <w:rsid w:val="0067049B"/>
    <w:rsid w:val="006704AD"/>
    <w:rsid w:val="00670D43"/>
    <w:rsid w:val="0067154D"/>
    <w:rsid w:val="006718A6"/>
    <w:rsid w:val="00671B3D"/>
    <w:rsid w:val="00671C06"/>
    <w:rsid w:val="0067226D"/>
    <w:rsid w:val="0067252B"/>
    <w:rsid w:val="0067255D"/>
    <w:rsid w:val="006725ED"/>
    <w:rsid w:val="00672AF6"/>
    <w:rsid w:val="00672C20"/>
    <w:rsid w:val="00673234"/>
    <w:rsid w:val="0067388C"/>
    <w:rsid w:val="00673AE2"/>
    <w:rsid w:val="00673EC9"/>
    <w:rsid w:val="00674073"/>
    <w:rsid w:val="00674077"/>
    <w:rsid w:val="00674108"/>
    <w:rsid w:val="006741E6"/>
    <w:rsid w:val="006742FE"/>
    <w:rsid w:val="006744C7"/>
    <w:rsid w:val="006745E0"/>
    <w:rsid w:val="00674917"/>
    <w:rsid w:val="00674C87"/>
    <w:rsid w:val="00674D35"/>
    <w:rsid w:val="00675AC2"/>
    <w:rsid w:val="00675C1E"/>
    <w:rsid w:val="00675E3A"/>
    <w:rsid w:val="00675FB7"/>
    <w:rsid w:val="00676C9C"/>
    <w:rsid w:val="00676EA1"/>
    <w:rsid w:val="00676F2F"/>
    <w:rsid w:val="006776F9"/>
    <w:rsid w:val="00677836"/>
    <w:rsid w:val="00677B82"/>
    <w:rsid w:val="00677D99"/>
    <w:rsid w:val="00677ECA"/>
    <w:rsid w:val="006800EE"/>
    <w:rsid w:val="00680DBC"/>
    <w:rsid w:val="00680F89"/>
    <w:rsid w:val="006815EE"/>
    <w:rsid w:val="00681D9E"/>
    <w:rsid w:val="00681FED"/>
    <w:rsid w:val="006820D3"/>
    <w:rsid w:val="00682319"/>
    <w:rsid w:val="00682708"/>
    <w:rsid w:val="00684581"/>
    <w:rsid w:val="00684655"/>
    <w:rsid w:val="00684C27"/>
    <w:rsid w:val="00685364"/>
    <w:rsid w:val="0068555F"/>
    <w:rsid w:val="00685899"/>
    <w:rsid w:val="00686501"/>
    <w:rsid w:val="00686B37"/>
    <w:rsid w:val="00686BC2"/>
    <w:rsid w:val="00686DC8"/>
    <w:rsid w:val="00687235"/>
    <w:rsid w:val="00687486"/>
    <w:rsid w:val="00687879"/>
    <w:rsid w:val="0069081D"/>
    <w:rsid w:val="00690C2E"/>
    <w:rsid w:val="00690C46"/>
    <w:rsid w:val="00690CAA"/>
    <w:rsid w:val="00690CEF"/>
    <w:rsid w:val="00691087"/>
    <w:rsid w:val="00691166"/>
    <w:rsid w:val="00691265"/>
    <w:rsid w:val="00691759"/>
    <w:rsid w:val="00691D5F"/>
    <w:rsid w:val="00691DE4"/>
    <w:rsid w:val="0069272D"/>
    <w:rsid w:val="006927CC"/>
    <w:rsid w:val="00692BC0"/>
    <w:rsid w:val="00692DC4"/>
    <w:rsid w:val="00693423"/>
    <w:rsid w:val="0069367A"/>
    <w:rsid w:val="00693924"/>
    <w:rsid w:val="00693B7D"/>
    <w:rsid w:val="00693C87"/>
    <w:rsid w:val="006944F0"/>
    <w:rsid w:val="00694626"/>
    <w:rsid w:val="00694D3E"/>
    <w:rsid w:val="006952EB"/>
    <w:rsid w:val="006953CE"/>
    <w:rsid w:val="0069573F"/>
    <w:rsid w:val="00695A86"/>
    <w:rsid w:val="006965A4"/>
    <w:rsid w:val="00696CDC"/>
    <w:rsid w:val="00696E72"/>
    <w:rsid w:val="00696FBC"/>
    <w:rsid w:val="006975DA"/>
    <w:rsid w:val="00697909"/>
    <w:rsid w:val="006979C1"/>
    <w:rsid w:val="00697CFE"/>
    <w:rsid w:val="006A0930"/>
    <w:rsid w:val="006A0D9E"/>
    <w:rsid w:val="006A1048"/>
    <w:rsid w:val="006A129F"/>
    <w:rsid w:val="006A131C"/>
    <w:rsid w:val="006A138B"/>
    <w:rsid w:val="006A17EE"/>
    <w:rsid w:val="006A1D8A"/>
    <w:rsid w:val="006A2160"/>
    <w:rsid w:val="006A2C05"/>
    <w:rsid w:val="006A2C75"/>
    <w:rsid w:val="006A31B8"/>
    <w:rsid w:val="006A3766"/>
    <w:rsid w:val="006A393A"/>
    <w:rsid w:val="006A39E1"/>
    <w:rsid w:val="006A44A0"/>
    <w:rsid w:val="006A45BD"/>
    <w:rsid w:val="006A4A85"/>
    <w:rsid w:val="006A4BF2"/>
    <w:rsid w:val="006A4C4E"/>
    <w:rsid w:val="006A515D"/>
    <w:rsid w:val="006A5564"/>
    <w:rsid w:val="006A5C8A"/>
    <w:rsid w:val="006A6194"/>
    <w:rsid w:val="006A631E"/>
    <w:rsid w:val="006A67DB"/>
    <w:rsid w:val="006A78DE"/>
    <w:rsid w:val="006B09FF"/>
    <w:rsid w:val="006B12C9"/>
    <w:rsid w:val="006B1448"/>
    <w:rsid w:val="006B1641"/>
    <w:rsid w:val="006B1770"/>
    <w:rsid w:val="006B1FCD"/>
    <w:rsid w:val="006B25C7"/>
    <w:rsid w:val="006B263C"/>
    <w:rsid w:val="006B2957"/>
    <w:rsid w:val="006B2C8C"/>
    <w:rsid w:val="006B2D01"/>
    <w:rsid w:val="006B3A1A"/>
    <w:rsid w:val="006B3C72"/>
    <w:rsid w:val="006B418F"/>
    <w:rsid w:val="006B453D"/>
    <w:rsid w:val="006B46F2"/>
    <w:rsid w:val="006B47B5"/>
    <w:rsid w:val="006B4F00"/>
    <w:rsid w:val="006B5681"/>
    <w:rsid w:val="006B58E3"/>
    <w:rsid w:val="006B5B76"/>
    <w:rsid w:val="006B630D"/>
    <w:rsid w:val="006B6446"/>
    <w:rsid w:val="006B66EB"/>
    <w:rsid w:val="006B6898"/>
    <w:rsid w:val="006B7EAF"/>
    <w:rsid w:val="006C0651"/>
    <w:rsid w:val="006C0B2A"/>
    <w:rsid w:val="006C0BE7"/>
    <w:rsid w:val="006C11D6"/>
    <w:rsid w:val="006C1307"/>
    <w:rsid w:val="006C1475"/>
    <w:rsid w:val="006C1B17"/>
    <w:rsid w:val="006C22D2"/>
    <w:rsid w:val="006C29B8"/>
    <w:rsid w:val="006C2D43"/>
    <w:rsid w:val="006C36E6"/>
    <w:rsid w:val="006C389D"/>
    <w:rsid w:val="006C38EA"/>
    <w:rsid w:val="006C39CA"/>
    <w:rsid w:val="006C3DF5"/>
    <w:rsid w:val="006C442D"/>
    <w:rsid w:val="006C49C8"/>
    <w:rsid w:val="006C535A"/>
    <w:rsid w:val="006C609C"/>
    <w:rsid w:val="006C6324"/>
    <w:rsid w:val="006C6411"/>
    <w:rsid w:val="006C6744"/>
    <w:rsid w:val="006C6F2C"/>
    <w:rsid w:val="006C7042"/>
    <w:rsid w:val="006C7548"/>
    <w:rsid w:val="006C774E"/>
    <w:rsid w:val="006C7B3A"/>
    <w:rsid w:val="006C7D7F"/>
    <w:rsid w:val="006D00C7"/>
    <w:rsid w:val="006D00FB"/>
    <w:rsid w:val="006D027F"/>
    <w:rsid w:val="006D0281"/>
    <w:rsid w:val="006D0459"/>
    <w:rsid w:val="006D0BF1"/>
    <w:rsid w:val="006D1090"/>
    <w:rsid w:val="006D1640"/>
    <w:rsid w:val="006D1B79"/>
    <w:rsid w:val="006D2904"/>
    <w:rsid w:val="006D2D92"/>
    <w:rsid w:val="006D3C87"/>
    <w:rsid w:val="006D44D8"/>
    <w:rsid w:val="006D60D1"/>
    <w:rsid w:val="006D60EB"/>
    <w:rsid w:val="006D6151"/>
    <w:rsid w:val="006D6424"/>
    <w:rsid w:val="006D6B96"/>
    <w:rsid w:val="006D738B"/>
    <w:rsid w:val="006D7A81"/>
    <w:rsid w:val="006D7BCC"/>
    <w:rsid w:val="006E012D"/>
    <w:rsid w:val="006E03B1"/>
    <w:rsid w:val="006E04F5"/>
    <w:rsid w:val="006E093B"/>
    <w:rsid w:val="006E0BAF"/>
    <w:rsid w:val="006E1437"/>
    <w:rsid w:val="006E1C96"/>
    <w:rsid w:val="006E1CCA"/>
    <w:rsid w:val="006E1DFA"/>
    <w:rsid w:val="006E1ED3"/>
    <w:rsid w:val="006E2A47"/>
    <w:rsid w:val="006E2C71"/>
    <w:rsid w:val="006E31F2"/>
    <w:rsid w:val="006E37E4"/>
    <w:rsid w:val="006E3AE2"/>
    <w:rsid w:val="006E3CCA"/>
    <w:rsid w:val="006E433C"/>
    <w:rsid w:val="006E45CB"/>
    <w:rsid w:val="006E4821"/>
    <w:rsid w:val="006E4839"/>
    <w:rsid w:val="006E490B"/>
    <w:rsid w:val="006E4C99"/>
    <w:rsid w:val="006E4CB9"/>
    <w:rsid w:val="006E57B1"/>
    <w:rsid w:val="006E5D3C"/>
    <w:rsid w:val="006E609F"/>
    <w:rsid w:val="006E66F6"/>
    <w:rsid w:val="006E6804"/>
    <w:rsid w:val="006E69B4"/>
    <w:rsid w:val="006E742B"/>
    <w:rsid w:val="006E7508"/>
    <w:rsid w:val="006E78FF"/>
    <w:rsid w:val="006E7E68"/>
    <w:rsid w:val="006F0362"/>
    <w:rsid w:val="006F0D85"/>
    <w:rsid w:val="006F0EC1"/>
    <w:rsid w:val="006F2474"/>
    <w:rsid w:val="006F2606"/>
    <w:rsid w:val="006F2637"/>
    <w:rsid w:val="006F2B68"/>
    <w:rsid w:val="006F2F8C"/>
    <w:rsid w:val="006F3017"/>
    <w:rsid w:val="006F36A6"/>
    <w:rsid w:val="006F423C"/>
    <w:rsid w:val="006F44C6"/>
    <w:rsid w:val="006F4646"/>
    <w:rsid w:val="006F49F3"/>
    <w:rsid w:val="006F4A2A"/>
    <w:rsid w:val="006F4AF2"/>
    <w:rsid w:val="006F4C3E"/>
    <w:rsid w:val="006F4C7F"/>
    <w:rsid w:val="006F4D74"/>
    <w:rsid w:val="006F5682"/>
    <w:rsid w:val="006F58EF"/>
    <w:rsid w:val="006F6A49"/>
    <w:rsid w:val="006F71C7"/>
    <w:rsid w:val="006F73DE"/>
    <w:rsid w:val="006F74BF"/>
    <w:rsid w:val="006F74C1"/>
    <w:rsid w:val="006F793A"/>
    <w:rsid w:val="006F7ADA"/>
    <w:rsid w:val="006F7F43"/>
    <w:rsid w:val="006F7F5C"/>
    <w:rsid w:val="0070010C"/>
    <w:rsid w:val="00700578"/>
    <w:rsid w:val="00700AED"/>
    <w:rsid w:val="00700B55"/>
    <w:rsid w:val="0070174B"/>
    <w:rsid w:val="007017E6"/>
    <w:rsid w:val="00701A96"/>
    <w:rsid w:val="00701FF7"/>
    <w:rsid w:val="007023B9"/>
    <w:rsid w:val="007023DE"/>
    <w:rsid w:val="00702AB9"/>
    <w:rsid w:val="00702ADB"/>
    <w:rsid w:val="00702EBD"/>
    <w:rsid w:val="007030EE"/>
    <w:rsid w:val="007031E5"/>
    <w:rsid w:val="00703C9E"/>
    <w:rsid w:val="00703CA2"/>
    <w:rsid w:val="0070431C"/>
    <w:rsid w:val="0070449B"/>
    <w:rsid w:val="00705215"/>
    <w:rsid w:val="007056B6"/>
    <w:rsid w:val="007056E8"/>
    <w:rsid w:val="00705EEA"/>
    <w:rsid w:val="00706456"/>
    <w:rsid w:val="0070658F"/>
    <w:rsid w:val="00706E65"/>
    <w:rsid w:val="00707163"/>
    <w:rsid w:val="00707230"/>
    <w:rsid w:val="007073F3"/>
    <w:rsid w:val="0070761A"/>
    <w:rsid w:val="007078EF"/>
    <w:rsid w:val="007079AD"/>
    <w:rsid w:val="007103CE"/>
    <w:rsid w:val="007105BE"/>
    <w:rsid w:val="00711C8E"/>
    <w:rsid w:val="007122B1"/>
    <w:rsid w:val="0071253F"/>
    <w:rsid w:val="00712E9D"/>
    <w:rsid w:val="00713130"/>
    <w:rsid w:val="00713543"/>
    <w:rsid w:val="007138BB"/>
    <w:rsid w:val="00713FE3"/>
    <w:rsid w:val="00714673"/>
    <w:rsid w:val="007147C1"/>
    <w:rsid w:val="00714AC3"/>
    <w:rsid w:val="00714D4A"/>
    <w:rsid w:val="00714D6E"/>
    <w:rsid w:val="00714DE1"/>
    <w:rsid w:val="00714E78"/>
    <w:rsid w:val="00714EB3"/>
    <w:rsid w:val="00715389"/>
    <w:rsid w:val="0071549F"/>
    <w:rsid w:val="00715B76"/>
    <w:rsid w:val="00715DFC"/>
    <w:rsid w:val="00716E82"/>
    <w:rsid w:val="00717FC1"/>
    <w:rsid w:val="007200D0"/>
    <w:rsid w:val="0072053B"/>
    <w:rsid w:val="0072145E"/>
    <w:rsid w:val="007214C1"/>
    <w:rsid w:val="00721D53"/>
    <w:rsid w:val="00721D61"/>
    <w:rsid w:val="00721F40"/>
    <w:rsid w:val="00722387"/>
    <w:rsid w:val="0072260F"/>
    <w:rsid w:val="00723280"/>
    <w:rsid w:val="007235D8"/>
    <w:rsid w:val="00723AEF"/>
    <w:rsid w:val="00723B0F"/>
    <w:rsid w:val="007241F1"/>
    <w:rsid w:val="00724543"/>
    <w:rsid w:val="00724DBD"/>
    <w:rsid w:val="0072554F"/>
    <w:rsid w:val="00726163"/>
    <w:rsid w:val="007264DC"/>
    <w:rsid w:val="00726F2F"/>
    <w:rsid w:val="007271BF"/>
    <w:rsid w:val="00727952"/>
    <w:rsid w:val="00727BD5"/>
    <w:rsid w:val="00730187"/>
    <w:rsid w:val="00731B18"/>
    <w:rsid w:val="00731BFF"/>
    <w:rsid w:val="00731C49"/>
    <w:rsid w:val="00731DA2"/>
    <w:rsid w:val="00731FB5"/>
    <w:rsid w:val="00732840"/>
    <w:rsid w:val="0073296C"/>
    <w:rsid w:val="007331EF"/>
    <w:rsid w:val="0073321C"/>
    <w:rsid w:val="007336A3"/>
    <w:rsid w:val="007337F9"/>
    <w:rsid w:val="00733E2D"/>
    <w:rsid w:val="00733E6B"/>
    <w:rsid w:val="00733ED6"/>
    <w:rsid w:val="0073413C"/>
    <w:rsid w:val="00734EC2"/>
    <w:rsid w:val="007352C0"/>
    <w:rsid w:val="0073546F"/>
    <w:rsid w:val="00735E04"/>
    <w:rsid w:val="00736625"/>
    <w:rsid w:val="0073662F"/>
    <w:rsid w:val="007369F2"/>
    <w:rsid w:val="00736C78"/>
    <w:rsid w:val="00736F39"/>
    <w:rsid w:val="00737037"/>
    <w:rsid w:val="007374BD"/>
    <w:rsid w:val="00737862"/>
    <w:rsid w:val="007378A2"/>
    <w:rsid w:val="00740CF7"/>
    <w:rsid w:val="00742113"/>
    <w:rsid w:val="00742C2A"/>
    <w:rsid w:val="00743406"/>
    <w:rsid w:val="0074375B"/>
    <w:rsid w:val="00743A5E"/>
    <w:rsid w:val="00743CEF"/>
    <w:rsid w:val="00743D96"/>
    <w:rsid w:val="00744067"/>
    <w:rsid w:val="00744727"/>
    <w:rsid w:val="00744A7F"/>
    <w:rsid w:val="007452B6"/>
    <w:rsid w:val="007456C2"/>
    <w:rsid w:val="007458AE"/>
    <w:rsid w:val="00745C56"/>
    <w:rsid w:val="00745CB6"/>
    <w:rsid w:val="007463DE"/>
    <w:rsid w:val="007469B1"/>
    <w:rsid w:val="00746FAC"/>
    <w:rsid w:val="00747878"/>
    <w:rsid w:val="00747F88"/>
    <w:rsid w:val="0075085B"/>
    <w:rsid w:val="00750FE5"/>
    <w:rsid w:val="00751CAA"/>
    <w:rsid w:val="00751D53"/>
    <w:rsid w:val="0075217D"/>
    <w:rsid w:val="0075266E"/>
    <w:rsid w:val="00752DF2"/>
    <w:rsid w:val="00753F0F"/>
    <w:rsid w:val="00754565"/>
    <w:rsid w:val="00754706"/>
    <w:rsid w:val="00754825"/>
    <w:rsid w:val="0075498C"/>
    <w:rsid w:val="00754C09"/>
    <w:rsid w:val="00754D4E"/>
    <w:rsid w:val="00754EFB"/>
    <w:rsid w:val="00754F74"/>
    <w:rsid w:val="00754FD8"/>
    <w:rsid w:val="007551FE"/>
    <w:rsid w:val="00755AE7"/>
    <w:rsid w:val="00755DDC"/>
    <w:rsid w:val="007569F2"/>
    <w:rsid w:val="007579DC"/>
    <w:rsid w:val="00757B94"/>
    <w:rsid w:val="00757E05"/>
    <w:rsid w:val="007606F6"/>
    <w:rsid w:val="00760978"/>
    <w:rsid w:val="00760B18"/>
    <w:rsid w:val="00760D5F"/>
    <w:rsid w:val="00761307"/>
    <w:rsid w:val="0076137F"/>
    <w:rsid w:val="00761741"/>
    <w:rsid w:val="007619FA"/>
    <w:rsid w:val="0076227D"/>
    <w:rsid w:val="00762AB7"/>
    <w:rsid w:val="00762C96"/>
    <w:rsid w:val="00762DB3"/>
    <w:rsid w:val="00764565"/>
    <w:rsid w:val="0076488E"/>
    <w:rsid w:val="00764956"/>
    <w:rsid w:val="00764C90"/>
    <w:rsid w:val="00764EAB"/>
    <w:rsid w:val="00764FFF"/>
    <w:rsid w:val="007654B9"/>
    <w:rsid w:val="00765831"/>
    <w:rsid w:val="00765D1C"/>
    <w:rsid w:val="007660C5"/>
    <w:rsid w:val="00766632"/>
    <w:rsid w:val="00766B52"/>
    <w:rsid w:val="00766D69"/>
    <w:rsid w:val="0076738D"/>
    <w:rsid w:val="00767781"/>
    <w:rsid w:val="0076789C"/>
    <w:rsid w:val="00767A81"/>
    <w:rsid w:val="00767E9E"/>
    <w:rsid w:val="00770349"/>
    <w:rsid w:val="0077053D"/>
    <w:rsid w:val="00770598"/>
    <w:rsid w:val="007709D6"/>
    <w:rsid w:val="007712D8"/>
    <w:rsid w:val="0077163E"/>
    <w:rsid w:val="00771FA8"/>
    <w:rsid w:val="0077233E"/>
    <w:rsid w:val="00772491"/>
    <w:rsid w:val="00772BA7"/>
    <w:rsid w:val="00772F5C"/>
    <w:rsid w:val="00773099"/>
    <w:rsid w:val="007730FD"/>
    <w:rsid w:val="007731B0"/>
    <w:rsid w:val="0077328D"/>
    <w:rsid w:val="0077359A"/>
    <w:rsid w:val="00773ED5"/>
    <w:rsid w:val="0077409D"/>
    <w:rsid w:val="0077409F"/>
    <w:rsid w:val="007746F9"/>
    <w:rsid w:val="0077558B"/>
    <w:rsid w:val="0077568C"/>
    <w:rsid w:val="00775B17"/>
    <w:rsid w:val="00775D33"/>
    <w:rsid w:val="00775EB5"/>
    <w:rsid w:val="0077609B"/>
    <w:rsid w:val="007761FD"/>
    <w:rsid w:val="007770B8"/>
    <w:rsid w:val="00777618"/>
    <w:rsid w:val="00777C7E"/>
    <w:rsid w:val="00777FE1"/>
    <w:rsid w:val="0078005D"/>
    <w:rsid w:val="00780E35"/>
    <w:rsid w:val="0078112D"/>
    <w:rsid w:val="00781FA1"/>
    <w:rsid w:val="0078240E"/>
    <w:rsid w:val="0078273A"/>
    <w:rsid w:val="00782A39"/>
    <w:rsid w:val="00782F28"/>
    <w:rsid w:val="007830E1"/>
    <w:rsid w:val="00783230"/>
    <w:rsid w:val="0078381C"/>
    <w:rsid w:val="00783954"/>
    <w:rsid w:val="00783CF9"/>
    <w:rsid w:val="00783EEB"/>
    <w:rsid w:val="00784CF9"/>
    <w:rsid w:val="00784F29"/>
    <w:rsid w:val="007856AA"/>
    <w:rsid w:val="007857FC"/>
    <w:rsid w:val="00785E29"/>
    <w:rsid w:val="007862ED"/>
    <w:rsid w:val="0078631B"/>
    <w:rsid w:val="007866D0"/>
    <w:rsid w:val="0078684A"/>
    <w:rsid w:val="00786CEB"/>
    <w:rsid w:val="007872EB"/>
    <w:rsid w:val="007878DA"/>
    <w:rsid w:val="00790531"/>
    <w:rsid w:val="00790675"/>
    <w:rsid w:val="007907EA"/>
    <w:rsid w:val="00791004"/>
    <w:rsid w:val="00791284"/>
    <w:rsid w:val="00791797"/>
    <w:rsid w:val="00791D55"/>
    <w:rsid w:val="00792140"/>
    <w:rsid w:val="0079315E"/>
    <w:rsid w:val="007935E1"/>
    <w:rsid w:val="00793905"/>
    <w:rsid w:val="007940B3"/>
    <w:rsid w:val="00794609"/>
    <w:rsid w:val="0079497B"/>
    <w:rsid w:val="00794BDD"/>
    <w:rsid w:val="00795279"/>
    <w:rsid w:val="007952F6"/>
    <w:rsid w:val="00795FAC"/>
    <w:rsid w:val="00796359"/>
    <w:rsid w:val="00796763"/>
    <w:rsid w:val="00796F5A"/>
    <w:rsid w:val="00797A22"/>
    <w:rsid w:val="00797A42"/>
    <w:rsid w:val="00797A9A"/>
    <w:rsid w:val="007A04C3"/>
    <w:rsid w:val="007A05F0"/>
    <w:rsid w:val="007A07D7"/>
    <w:rsid w:val="007A08DD"/>
    <w:rsid w:val="007A0B79"/>
    <w:rsid w:val="007A1387"/>
    <w:rsid w:val="007A141A"/>
    <w:rsid w:val="007A1743"/>
    <w:rsid w:val="007A17F9"/>
    <w:rsid w:val="007A19AB"/>
    <w:rsid w:val="007A1B4B"/>
    <w:rsid w:val="007A1BA8"/>
    <w:rsid w:val="007A1D8E"/>
    <w:rsid w:val="007A1F72"/>
    <w:rsid w:val="007A1FA7"/>
    <w:rsid w:val="007A2B14"/>
    <w:rsid w:val="007A2BE5"/>
    <w:rsid w:val="007A30B6"/>
    <w:rsid w:val="007A3232"/>
    <w:rsid w:val="007A324E"/>
    <w:rsid w:val="007A33B1"/>
    <w:rsid w:val="007A350B"/>
    <w:rsid w:val="007A4065"/>
    <w:rsid w:val="007A438E"/>
    <w:rsid w:val="007A44FD"/>
    <w:rsid w:val="007A493A"/>
    <w:rsid w:val="007A4A77"/>
    <w:rsid w:val="007A4C00"/>
    <w:rsid w:val="007A58A6"/>
    <w:rsid w:val="007A5B89"/>
    <w:rsid w:val="007A5CD9"/>
    <w:rsid w:val="007A5D0C"/>
    <w:rsid w:val="007A68BB"/>
    <w:rsid w:val="007A6BF8"/>
    <w:rsid w:val="007A7006"/>
    <w:rsid w:val="007A70DF"/>
    <w:rsid w:val="007A71F0"/>
    <w:rsid w:val="007A756C"/>
    <w:rsid w:val="007A78DD"/>
    <w:rsid w:val="007A7A77"/>
    <w:rsid w:val="007B03DF"/>
    <w:rsid w:val="007B0602"/>
    <w:rsid w:val="007B0B2F"/>
    <w:rsid w:val="007B214B"/>
    <w:rsid w:val="007B2519"/>
    <w:rsid w:val="007B281D"/>
    <w:rsid w:val="007B2ABE"/>
    <w:rsid w:val="007B2B87"/>
    <w:rsid w:val="007B3129"/>
    <w:rsid w:val="007B36FA"/>
    <w:rsid w:val="007B38A6"/>
    <w:rsid w:val="007B39A9"/>
    <w:rsid w:val="007B3C20"/>
    <w:rsid w:val="007B4587"/>
    <w:rsid w:val="007B5928"/>
    <w:rsid w:val="007B5B4B"/>
    <w:rsid w:val="007B5E5D"/>
    <w:rsid w:val="007B64BA"/>
    <w:rsid w:val="007B6619"/>
    <w:rsid w:val="007B67AE"/>
    <w:rsid w:val="007B68B4"/>
    <w:rsid w:val="007B693E"/>
    <w:rsid w:val="007B6EC2"/>
    <w:rsid w:val="007B6F3C"/>
    <w:rsid w:val="007B71D4"/>
    <w:rsid w:val="007B7839"/>
    <w:rsid w:val="007B793F"/>
    <w:rsid w:val="007B7D92"/>
    <w:rsid w:val="007B7F0F"/>
    <w:rsid w:val="007C08D3"/>
    <w:rsid w:val="007C1047"/>
    <w:rsid w:val="007C1671"/>
    <w:rsid w:val="007C194D"/>
    <w:rsid w:val="007C1C26"/>
    <w:rsid w:val="007C25B6"/>
    <w:rsid w:val="007C2854"/>
    <w:rsid w:val="007C2E79"/>
    <w:rsid w:val="007C30BC"/>
    <w:rsid w:val="007C3409"/>
    <w:rsid w:val="007C3603"/>
    <w:rsid w:val="007C3AA4"/>
    <w:rsid w:val="007C3C02"/>
    <w:rsid w:val="007C4153"/>
    <w:rsid w:val="007C4BC7"/>
    <w:rsid w:val="007C595D"/>
    <w:rsid w:val="007C5AE8"/>
    <w:rsid w:val="007C5B16"/>
    <w:rsid w:val="007C643F"/>
    <w:rsid w:val="007C678B"/>
    <w:rsid w:val="007C6982"/>
    <w:rsid w:val="007C69AC"/>
    <w:rsid w:val="007C6FE8"/>
    <w:rsid w:val="007C70B4"/>
    <w:rsid w:val="007C71E0"/>
    <w:rsid w:val="007C724D"/>
    <w:rsid w:val="007C76CC"/>
    <w:rsid w:val="007C7707"/>
    <w:rsid w:val="007C777E"/>
    <w:rsid w:val="007C7E23"/>
    <w:rsid w:val="007D0144"/>
    <w:rsid w:val="007D02D5"/>
    <w:rsid w:val="007D09E2"/>
    <w:rsid w:val="007D0D4D"/>
    <w:rsid w:val="007D1B16"/>
    <w:rsid w:val="007D1B46"/>
    <w:rsid w:val="007D1DCA"/>
    <w:rsid w:val="007D1FDA"/>
    <w:rsid w:val="007D203E"/>
    <w:rsid w:val="007D21F8"/>
    <w:rsid w:val="007D2527"/>
    <w:rsid w:val="007D2DE8"/>
    <w:rsid w:val="007D2F34"/>
    <w:rsid w:val="007D2FE5"/>
    <w:rsid w:val="007D334A"/>
    <w:rsid w:val="007D381E"/>
    <w:rsid w:val="007D4078"/>
    <w:rsid w:val="007D466E"/>
    <w:rsid w:val="007D4AC8"/>
    <w:rsid w:val="007D4C0B"/>
    <w:rsid w:val="007D4DD2"/>
    <w:rsid w:val="007D502B"/>
    <w:rsid w:val="007D5303"/>
    <w:rsid w:val="007D5A44"/>
    <w:rsid w:val="007D5B17"/>
    <w:rsid w:val="007D6155"/>
    <w:rsid w:val="007D6549"/>
    <w:rsid w:val="007D6E20"/>
    <w:rsid w:val="007D7085"/>
    <w:rsid w:val="007D711C"/>
    <w:rsid w:val="007D7335"/>
    <w:rsid w:val="007D733D"/>
    <w:rsid w:val="007D75BE"/>
    <w:rsid w:val="007D7D1A"/>
    <w:rsid w:val="007E0041"/>
    <w:rsid w:val="007E0238"/>
    <w:rsid w:val="007E0373"/>
    <w:rsid w:val="007E03BE"/>
    <w:rsid w:val="007E1064"/>
    <w:rsid w:val="007E1C3F"/>
    <w:rsid w:val="007E1EFC"/>
    <w:rsid w:val="007E292C"/>
    <w:rsid w:val="007E2B61"/>
    <w:rsid w:val="007E2DDE"/>
    <w:rsid w:val="007E306D"/>
    <w:rsid w:val="007E38AD"/>
    <w:rsid w:val="007E4096"/>
    <w:rsid w:val="007E4631"/>
    <w:rsid w:val="007E49D7"/>
    <w:rsid w:val="007E51C3"/>
    <w:rsid w:val="007E62B3"/>
    <w:rsid w:val="007E658B"/>
    <w:rsid w:val="007E6E4D"/>
    <w:rsid w:val="007E7453"/>
    <w:rsid w:val="007E7AC1"/>
    <w:rsid w:val="007F030D"/>
    <w:rsid w:val="007F0680"/>
    <w:rsid w:val="007F0816"/>
    <w:rsid w:val="007F0CF4"/>
    <w:rsid w:val="007F0D2A"/>
    <w:rsid w:val="007F164F"/>
    <w:rsid w:val="007F16BF"/>
    <w:rsid w:val="007F19F7"/>
    <w:rsid w:val="007F2357"/>
    <w:rsid w:val="007F273F"/>
    <w:rsid w:val="007F2CAA"/>
    <w:rsid w:val="007F354E"/>
    <w:rsid w:val="007F3C09"/>
    <w:rsid w:val="007F3C33"/>
    <w:rsid w:val="007F3E8F"/>
    <w:rsid w:val="007F3F48"/>
    <w:rsid w:val="007F523C"/>
    <w:rsid w:val="007F5C71"/>
    <w:rsid w:val="007F7160"/>
    <w:rsid w:val="00800C89"/>
    <w:rsid w:val="00800CC3"/>
    <w:rsid w:val="00800EB5"/>
    <w:rsid w:val="008016A3"/>
    <w:rsid w:val="00801862"/>
    <w:rsid w:val="008022B9"/>
    <w:rsid w:val="00802593"/>
    <w:rsid w:val="00802A18"/>
    <w:rsid w:val="00802A26"/>
    <w:rsid w:val="00802EAA"/>
    <w:rsid w:val="00803169"/>
    <w:rsid w:val="00803381"/>
    <w:rsid w:val="00803CEC"/>
    <w:rsid w:val="00803D38"/>
    <w:rsid w:val="00803DB4"/>
    <w:rsid w:val="008048F4"/>
    <w:rsid w:val="00804A39"/>
    <w:rsid w:val="00804B5F"/>
    <w:rsid w:val="00804DB6"/>
    <w:rsid w:val="00804EB3"/>
    <w:rsid w:val="00805229"/>
    <w:rsid w:val="0080543E"/>
    <w:rsid w:val="00805476"/>
    <w:rsid w:val="00805B03"/>
    <w:rsid w:val="0080609F"/>
    <w:rsid w:val="008062F4"/>
    <w:rsid w:val="00806658"/>
    <w:rsid w:val="008069D8"/>
    <w:rsid w:val="00807B22"/>
    <w:rsid w:val="00807BBC"/>
    <w:rsid w:val="0081086F"/>
    <w:rsid w:val="008108F8"/>
    <w:rsid w:val="008115B6"/>
    <w:rsid w:val="00811636"/>
    <w:rsid w:val="00811B3B"/>
    <w:rsid w:val="00812A23"/>
    <w:rsid w:val="00812B6D"/>
    <w:rsid w:val="0081301C"/>
    <w:rsid w:val="008132C6"/>
    <w:rsid w:val="008135E5"/>
    <w:rsid w:val="008136C5"/>
    <w:rsid w:val="00813738"/>
    <w:rsid w:val="00813AEB"/>
    <w:rsid w:val="00813CC6"/>
    <w:rsid w:val="00813D95"/>
    <w:rsid w:val="00813F6E"/>
    <w:rsid w:val="00814033"/>
    <w:rsid w:val="00814058"/>
    <w:rsid w:val="00814B1D"/>
    <w:rsid w:val="00814C76"/>
    <w:rsid w:val="00814DCF"/>
    <w:rsid w:val="0081519E"/>
    <w:rsid w:val="00815D78"/>
    <w:rsid w:val="0081649F"/>
    <w:rsid w:val="0081674F"/>
    <w:rsid w:val="00816CC5"/>
    <w:rsid w:val="00817093"/>
    <w:rsid w:val="008201C8"/>
    <w:rsid w:val="008208F4"/>
    <w:rsid w:val="00821056"/>
    <w:rsid w:val="0082113D"/>
    <w:rsid w:val="008212A8"/>
    <w:rsid w:val="008216CF"/>
    <w:rsid w:val="00821A1B"/>
    <w:rsid w:val="00821D36"/>
    <w:rsid w:val="00822986"/>
    <w:rsid w:val="00822DB3"/>
    <w:rsid w:val="00822E14"/>
    <w:rsid w:val="00822E3C"/>
    <w:rsid w:val="00822F9B"/>
    <w:rsid w:val="008235DB"/>
    <w:rsid w:val="008236EB"/>
    <w:rsid w:val="008237CD"/>
    <w:rsid w:val="00823B24"/>
    <w:rsid w:val="00823DF7"/>
    <w:rsid w:val="00823E51"/>
    <w:rsid w:val="00824828"/>
    <w:rsid w:val="00824DEF"/>
    <w:rsid w:val="008250DE"/>
    <w:rsid w:val="00825818"/>
    <w:rsid w:val="00825B81"/>
    <w:rsid w:val="008260C5"/>
    <w:rsid w:val="008269DC"/>
    <w:rsid w:val="00826B61"/>
    <w:rsid w:val="00826EEE"/>
    <w:rsid w:val="00827767"/>
    <w:rsid w:val="008277EB"/>
    <w:rsid w:val="00827F2D"/>
    <w:rsid w:val="00827F64"/>
    <w:rsid w:val="00830436"/>
    <w:rsid w:val="00830A76"/>
    <w:rsid w:val="00830B34"/>
    <w:rsid w:val="008312F3"/>
    <w:rsid w:val="00831AEE"/>
    <w:rsid w:val="0083211A"/>
    <w:rsid w:val="0083215C"/>
    <w:rsid w:val="008321D0"/>
    <w:rsid w:val="0083232E"/>
    <w:rsid w:val="008328AD"/>
    <w:rsid w:val="00832A34"/>
    <w:rsid w:val="00832AC2"/>
    <w:rsid w:val="00832EAE"/>
    <w:rsid w:val="00833697"/>
    <w:rsid w:val="00833728"/>
    <w:rsid w:val="00833788"/>
    <w:rsid w:val="008337D5"/>
    <w:rsid w:val="0083383C"/>
    <w:rsid w:val="00833A70"/>
    <w:rsid w:val="00833DD9"/>
    <w:rsid w:val="0083400B"/>
    <w:rsid w:val="0083413F"/>
    <w:rsid w:val="008352DE"/>
    <w:rsid w:val="008358AD"/>
    <w:rsid w:val="0083599F"/>
    <w:rsid w:val="00835A21"/>
    <w:rsid w:val="0083609A"/>
    <w:rsid w:val="008368F9"/>
    <w:rsid w:val="008369A4"/>
    <w:rsid w:val="00836BC3"/>
    <w:rsid w:val="00836E7B"/>
    <w:rsid w:val="008374C8"/>
    <w:rsid w:val="008378F9"/>
    <w:rsid w:val="00840018"/>
    <w:rsid w:val="008401EE"/>
    <w:rsid w:val="00840289"/>
    <w:rsid w:val="00840BB3"/>
    <w:rsid w:val="008412FA"/>
    <w:rsid w:val="00841335"/>
    <w:rsid w:val="00841B23"/>
    <w:rsid w:val="00841DF6"/>
    <w:rsid w:val="00841E7A"/>
    <w:rsid w:val="00842262"/>
    <w:rsid w:val="00842967"/>
    <w:rsid w:val="00842ACB"/>
    <w:rsid w:val="00842EC9"/>
    <w:rsid w:val="00843065"/>
    <w:rsid w:val="00843A77"/>
    <w:rsid w:val="00844241"/>
    <w:rsid w:val="008443D7"/>
    <w:rsid w:val="008443E8"/>
    <w:rsid w:val="00844498"/>
    <w:rsid w:val="008447FA"/>
    <w:rsid w:val="0084487B"/>
    <w:rsid w:val="00844A42"/>
    <w:rsid w:val="00844D64"/>
    <w:rsid w:val="008454B7"/>
    <w:rsid w:val="008454D3"/>
    <w:rsid w:val="0084580F"/>
    <w:rsid w:val="0084598D"/>
    <w:rsid w:val="008459AE"/>
    <w:rsid w:val="008459CA"/>
    <w:rsid w:val="00845A61"/>
    <w:rsid w:val="00845DB1"/>
    <w:rsid w:val="00845FCA"/>
    <w:rsid w:val="008460D2"/>
    <w:rsid w:val="008462B6"/>
    <w:rsid w:val="00846D42"/>
    <w:rsid w:val="00847663"/>
    <w:rsid w:val="00850410"/>
    <w:rsid w:val="00850EAD"/>
    <w:rsid w:val="0085154E"/>
    <w:rsid w:val="00851CA8"/>
    <w:rsid w:val="008521A3"/>
    <w:rsid w:val="00852387"/>
    <w:rsid w:val="00852BD5"/>
    <w:rsid w:val="00852E0C"/>
    <w:rsid w:val="008530E0"/>
    <w:rsid w:val="008533D1"/>
    <w:rsid w:val="008533E1"/>
    <w:rsid w:val="00853DBE"/>
    <w:rsid w:val="008544EF"/>
    <w:rsid w:val="008546FA"/>
    <w:rsid w:val="00854AD9"/>
    <w:rsid w:val="00855309"/>
    <w:rsid w:val="00855332"/>
    <w:rsid w:val="00855E60"/>
    <w:rsid w:val="00856B39"/>
    <w:rsid w:val="00856F95"/>
    <w:rsid w:val="008570D0"/>
    <w:rsid w:val="00857EBD"/>
    <w:rsid w:val="00857EF8"/>
    <w:rsid w:val="00860448"/>
    <w:rsid w:val="0086087F"/>
    <w:rsid w:val="00860BE6"/>
    <w:rsid w:val="00860E60"/>
    <w:rsid w:val="00861217"/>
    <w:rsid w:val="008612BC"/>
    <w:rsid w:val="0086139A"/>
    <w:rsid w:val="00861913"/>
    <w:rsid w:val="00862162"/>
    <w:rsid w:val="008621CE"/>
    <w:rsid w:val="00862594"/>
    <w:rsid w:val="008626B8"/>
    <w:rsid w:val="0086310F"/>
    <w:rsid w:val="00863B19"/>
    <w:rsid w:val="00863D52"/>
    <w:rsid w:val="00863E39"/>
    <w:rsid w:val="008644FC"/>
    <w:rsid w:val="008645E6"/>
    <w:rsid w:val="00864743"/>
    <w:rsid w:val="00864815"/>
    <w:rsid w:val="00864C05"/>
    <w:rsid w:val="00864CFA"/>
    <w:rsid w:val="00865B4B"/>
    <w:rsid w:val="00865F7D"/>
    <w:rsid w:val="00865FDD"/>
    <w:rsid w:val="008661EF"/>
    <w:rsid w:val="00866D52"/>
    <w:rsid w:val="00866E58"/>
    <w:rsid w:val="008671C7"/>
    <w:rsid w:val="008674DE"/>
    <w:rsid w:val="00867899"/>
    <w:rsid w:val="00867AAF"/>
    <w:rsid w:val="00867C41"/>
    <w:rsid w:val="00870728"/>
    <w:rsid w:val="00870731"/>
    <w:rsid w:val="00870A5A"/>
    <w:rsid w:val="00870A6A"/>
    <w:rsid w:val="00870E1C"/>
    <w:rsid w:val="0087108D"/>
    <w:rsid w:val="00871A1C"/>
    <w:rsid w:val="00871A90"/>
    <w:rsid w:val="00871D70"/>
    <w:rsid w:val="00872287"/>
    <w:rsid w:val="008723F1"/>
    <w:rsid w:val="008725A4"/>
    <w:rsid w:val="0087274F"/>
    <w:rsid w:val="0087290F"/>
    <w:rsid w:val="00872C7A"/>
    <w:rsid w:val="00872D3B"/>
    <w:rsid w:val="00872F36"/>
    <w:rsid w:val="008730F7"/>
    <w:rsid w:val="00873322"/>
    <w:rsid w:val="00873503"/>
    <w:rsid w:val="00873D56"/>
    <w:rsid w:val="00875457"/>
    <w:rsid w:val="00875890"/>
    <w:rsid w:val="00875B93"/>
    <w:rsid w:val="00875FBB"/>
    <w:rsid w:val="00876521"/>
    <w:rsid w:val="00876665"/>
    <w:rsid w:val="00876743"/>
    <w:rsid w:val="0087678D"/>
    <w:rsid w:val="008768EE"/>
    <w:rsid w:val="00876A0E"/>
    <w:rsid w:val="00876E7F"/>
    <w:rsid w:val="0087745F"/>
    <w:rsid w:val="008776D3"/>
    <w:rsid w:val="00877723"/>
    <w:rsid w:val="00877A29"/>
    <w:rsid w:val="00877B97"/>
    <w:rsid w:val="00877C49"/>
    <w:rsid w:val="00877EFE"/>
    <w:rsid w:val="008803B9"/>
    <w:rsid w:val="008805B9"/>
    <w:rsid w:val="008815C8"/>
    <w:rsid w:val="0088162D"/>
    <w:rsid w:val="008818E7"/>
    <w:rsid w:val="00881D25"/>
    <w:rsid w:val="008826CA"/>
    <w:rsid w:val="008827C3"/>
    <w:rsid w:val="008828BA"/>
    <w:rsid w:val="00882F10"/>
    <w:rsid w:val="00883745"/>
    <w:rsid w:val="00883820"/>
    <w:rsid w:val="00883D52"/>
    <w:rsid w:val="00883FB2"/>
    <w:rsid w:val="008849C7"/>
    <w:rsid w:val="00884EC7"/>
    <w:rsid w:val="00884EE4"/>
    <w:rsid w:val="0088504D"/>
    <w:rsid w:val="008850CA"/>
    <w:rsid w:val="008851A9"/>
    <w:rsid w:val="00885215"/>
    <w:rsid w:val="00885A70"/>
    <w:rsid w:val="00885B10"/>
    <w:rsid w:val="00885F39"/>
    <w:rsid w:val="00885F5A"/>
    <w:rsid w:val="00885F74"/>
    <w:rsid w:val="00886323"/>
    <w:rsid w:val="00886401"/>
    <w:rsid w:val="008865FC"/>
    <w:rsid w:val="0088660A"/>
    <w:rsid w:val="008866A7"/>
    <w:rsid w:val="0088673D"/>
    <w:rsid w:val="008867EB"/>
    <w:rsid w:val="0088698F"/>
    <w:rsid w:val="008869C6"/>
    <w:rsid w:val="00886A32"/>
    <w:rsid w:val="00886B2D"/>
    <w:rsid w:val="00886E12"/>
    <w:rsid w:val="008874BA"/>
    <w:rsid w:val="00887563"/>
    <w:rsid w:val="008875D9"/>
    <w:rsid w:val="008876FD"/>
    <w:rsid w:val="00887AB0"/>
    <w:rsid w:val="008900B1"/>
    <w:rsid w:val="008907C5"/>
    <w:rsid w:val="0089117E"/>
    <w:rsid w:val="00891B3A"/>
    <w:rsid w:val="00891B56"/>
    <w:rsid w:val="00891D1B"/>
    <w:rsid w:val="008925C3"/>
    <w:rsid w:val="00892990"/>
    <w:rsid w:val="00892C5F"/>
    <w:rsid w:val="00892C6D"/>
    <w:rsid w:val="008937FC"/>
    <w:rsid w:val="00893821"/>
    <w:rsid w:val="00893F23"/>
    <w:rsid w:val="00894D2F"/>
    <w:rsid w:val="00894E2A"/>
    <w:rsid w:val="00895A6E"/>
    <w:rsid w:val="00895E46"/>
    <w:rsid w:val="008962D3"/>
    <w:rsid w:val="00896655"/>
    <w:rsid w:val="00896E3E"/>
    <w:rsid w:val="00897091"/>
    <w:rsid w:val="008977B2"/>
    <w:rsid w:val="0089797E"/>
    <w:rsid w:val="00897A26"/>
    <w:rsid w:val="00897F8B"/>
    <w:rsid w:val="008A03C3"/>
    <w:rsid w:val="008A0537"/>
    <w:rsid w:val="008A1586"/>
    <w:rsid w:val="008A160A"/>
    <w:rsid w:val="008A1F76"/>
    <w:rsid w:val="008A2273"/>
    <w:rsid w:val="008A23E0"/>
    <w:rsid w:val="008A25AC"/>
    <w:rsid w:val="008A2631"/>
    <w:rsid w:val="008A2A6A"/>
    <w:rsid w:val="008A2C02"/>
    <w:rsid w:val="008A3078"/>
    <w:rsid w:val="008A33DF"/>
    <w:rsid w:val="008A48C3"/>
    <w:rsid w:val="008A4AE8"/>
    <w:rsid w:val="008A4BD2"/>
    <w:rsid w:val="008A588B"/>
    <w:rsid w:val="008A5CBF"/>
    <w:rsid w:val="008A6101"/>
    <w:rsid w:val="008A65A1"/>
    <w:rsid w:val="008A669C"/>
    <w:rsid w:val="008A690F"/>
    <w:rsid w:val="008A69A6"/>
    <w:rsid w:val="008A6BF7"/>
    <w:rsid w:val="008A6E9D"/>
    <w:rsid w:val="008A78C8"/>
    <w:rsid w:val="008B0574"/>
    <w:rsid w:val="008B0729"/>
    <w:rsid w:val="008B0BF7"/>
    <w:rsid w:val="008B164D"/>
    <w:rsid w:val="008B1683"/>
    <w:rsid w:val="008B1CA6"/>
    <w:rsid w:val="008B1F5F"/>
    <w:rsid w:val="008B233C"/>
    <w:rsid w:val="008B28ED"/>
    <w:rsid w:val="008B2CEC"/>
    <w:rsid w:val="008B38DD"/>
    <w:rsid w:val="008B39B8"/>
    <w:rsid w:val="008B3A71"/>
    <w:rsid w:val="008B41ED"/>
    <w:rsid w:val="008B45B4"/>
    <w:rsid w:val="008B4688"/>
    <w:rsid w:val="008B49AE"/>
    <w:rsid w:val="008B4BC0"/>
    <w:rsid w:val="008B4D7F"/>
    <w:rsid w:val="008B5047"/>
    <w:rsid w:val="008B581C"/>
    <w:rsid w:val="008B5886"/>
    <w:rsid w:val="008B5DE9"/>
    <w:rsid w:val="008B60DC"/>
    <w:rsid w:val="008B6134"/>
    <w:rsid w:val="008B6187"/>
    <w:rsid w:val="008B6287"/>
    <w:rsid w:val="008B6489"/>
    <w:rsid w:val="008B6611"/>
    <w:rsid w:val="008B68F8"/>
    <w:rsid w:val="008B6A03"/>
    <w:rsid w:val="008B6C0B"/>
    <w:rsid w:val="008B6E3F"/>
    <w:rsid w:val="008B725E"/>
    <w:rsid w:val="008B7D3D"/>
    <w:rsid w:val="008B7D7E"/>
    <w:rsid w:val="008B7E1A"/>
    <w:rsid w:val="008C057D"/>
    <w:rsid w:val="008C07FD"/>
    <w:rsid w:val="008C0F43"/>
    <w:rsid w:val="008C1911"/>
    <w:rsid w:val="008C21A4"/>
    <w:rsid w:val="008C24D2"/>
    <w:rsid w:val="008C2E46"/>
    <w:rsid w:val="008C3109"/>
    <w:rsid w:val="008C3402"/>
    <w:rsid w:val="008C3611"/>
    <w:rsid w:val="008C3FF2"/>
    <w:rsid w:val="008C4B3A"/>
    <w:rsid w:val="008C4C7D"/>
    <w:rsid w:val="008C4F79"/>
    <w:rsid w:val="008C4FE7"/>
    <w:rsid w:val="008C544C"/>
    <w:rsid w:val="008C59EA"/>
    <w:rsid w:val="008C6056"/>
    <w:rsid w:val="008C6091"/>
    <w:rsid w:val="008C6587"/>
    <w:rsid w:val="008C7693"/>
    <w:rsid w:val="008C7A35"/>
    <w:rsid w:val="008C7FDB"/>
    <w:rsid w:val="008D0076"/>
    <w:rsid w:val="008D024D"/>
    <w:rsid w:val="008D0258"/>
    <w:rsid w:val="008D12FD"/>
    <w:rsid w:val="008D17C5"/>
    <w:rsid w:val="008D1BB2"/>
    <w:rsid w:val="008D1CBC"/>
    <w:rsid w:val="008D20A7"/>
    <w:rsid w:val="008D228C"/>
    <w:rsid w:val="008D2329"/>
    <w:rsid w:val="008D2B3B"/>
    <w:rsid w:val="008D2CAB"/>
    <w:rsid w:val="008D312E"/>
    <w:rsid w:val="008D36DF"/>
    <w:rsid w:val="008D3869"/>
    <w:rsid w:val="008D3F6C"/>
    <w:rsid w:val="008D48C5"/>
    <w:rsid w:val="008D4A4E"/>
    <w:rsid w:val="008D4AC2"/>
    <w:rsid w:val="008D4B81"/>
    <w:rsid w:val="008D528E"/>
    <w:rsid w:val="008D5D69"/>
    <w:rsid w:val="008D5DA5"/>
    <w:rsid w:val="008D605A"/>
    <w:rsid w:val="008D611E"/>
    <w:rsid w:val="008D70B2"/>
    <w:rsid w:val="008D7158"/>
    <w:rsid w:val="008D733D"/>
    <w:rsid w:val="008D7379"/>
    <w:rsid w:val="008D772E"/>
    <w:rsid w:val="008D7769"/>
    <w:rsid w:val="008D79D0"/>
    <w:rsid w:val="008D7A88"/>
    <w:rsid w:val="008D7EEF"/>
    <w:rsid w:val="008E0BCD"/>
    <w:rsid w:val="008E0FE6"/>
    <w:rsid w:val="008E1241"/>
    <w:rsid w:val="008E14CF"/>
    <w:rsid w:val="008E166A"/>
    <w:rsid w:val="008E189A"/>
    <w:rsid w:val="008E218C"/>
    <w:rsid w:val="008E25F9"/>
    <w:rsid w:val="008E3504"/>
    <w:rsid w:val="008E3C88"/>
    <w:rsid w:val="008E4A66"/>
    <w:rsid w:val="008E4B0B"/>
    <w:rsid w:val="008E4E0D"/>
    <w:rsid w:val="008E4EA2"/>
    <w:rsid w:val="008E4FA7"/>
    <w:rsid w:val="008E5222"/>
    <w:rsid w:val="008E5444"/>
    <w:rsid w:val="008E5866"/>
    <w:rsid w:val="008E59C4"/>
    <w:rsid w:val="008E5BBB"/>
    <w:rsid w:val="008E5C91"/>
    <w:rsid w:val="008E5CC0"/>
    <w:rsid w:val="008E5E54"/>
    <w:rsid w:val="008E5FEB"/>
    <w:rsid w:val="008E62A4"/>
    <w:rsid w:val="008E63D0"/>
    <w:rsid w:val="008E64FA"/>
    <w:rsid w:val="008E68D0"/>
    <w:rsid w:val="008E6A60"/>
    <w:rsid w:val="008E710C"/>
    <w:rsid w:val="008E73CB"/>
    <w:rsid w:val="008E7866"/>
    <w:rsid w:val="008E7B88"/>
    <w:rsid w:val="008F0633"/>
    <w:rsid w:val="008F0A9B"/>
    <w:rsid w:val="008F0BAB"/>
    <w:rsid w:val="008F10F6"/>
    <w:rsid w:val="008F1DC8"/>
    <w:rsid w:val="008F20EA"/>
    <w:rsid w:val="008F2368"/>
    <w:rsid w:val="008F2485"/>
    <w:rsid w:val="008F27FF"/>
    <w:rsid w:val="008F3377"/>
    <w:rsid w:val="008F3659"/>
    <w:rsid w:val="008F4951"/>
    <w:rsid w:val="008F4A05"/>
    <w:rsid w:val="008F4ED9"/>
    <w:rsid w:val="008F555C"/>
    <w:rsid w:val="008F5A58"/>
    <w:rsid w:val="008F5EFB"/>
    <w:rsid w:val="008F5F32"/>
    <w:rsid w:val="008F61BD"/>
    <w:rsid w:val="008F66A1"/>
    <w:rsid w:val="008F6D51"/>
    <w:rsid w:val="008F6E51"/>
    <w:rsid w:val="008F74E7"/>
    <w:rsid w:val="008F7509"/>
    <w:rsid w:val="008F7853"/>
    <w:rsid w:val="009010B1"/>
    <w:rsid w:val="0090128B"/>
    <w:rsid w:val="009015CA"/>
    <w:rsid w:val="0090172C"/>
    <w:rsid w:val="0090181F"/>
    <w:rsid w:val="00901E9F"/>
    <w:rsid w:val="00901FA3"/>
    <w:rsid w:val="00902054"/>
    <w:rsid w:val="009022AE"/>
    <w:rsid w:val="00902965"/>
    <w:rsid w:val="009030E7"/>
    <w:rsid w:val="00903117"/>
    <w:rsid w:val="009038BD"/>
    <w:rsid w:val="00903B9F"/>
    <w:rsid w:val="00903EA1"/>
    <w:rsid w:val="0090406C"/>
    <w:rsid w:val="009043E2"/>
    <w:rsid w:val="00904695"/>
    <w:rsid w:val="00904A67"/>
    <w:rsid w:val="00904BA2"/>
    <w:rsid w:val="00904C30"/>
    <w:rsid w:val="00905254"/>
    <w:rsid w:val="009056FC"/>
    <w:rsid w:val="00905CCB"/>
    <w:rsid w:val="00906730"/>
    <w:rsid w:val="0090691F"/>
    <w:rsid w:val="00906C94"/>
    <w:rsid w:val="00906E08"/>
    <w:rsid w:val="00906F22"/>
    <w:rsid w:val="00906FFF"/>
    <w:rsid w:val="0090702C"/>
    <w:rsid w:val="009076C6"/>
    <w:rsid w:val="00907F73"/>
    <w:rsid w:val="00910125"/>
    <w:rsid w:val="0091014C"/>
    <w:rsid w:val="00910944"/>
    <w:rsid w:val="00910DD1"/>
    <w:rsid w:val="00910E0E"/>
    <w:rsid w:val="00911F2E"/>
    <w:rsid w:val="0091223D"/>
    <w:rsid w:val="00912B01"/>
    <w:rsid w:val="00912CC9"/>
    <w:rsid w:val="00912FB4"/>
    <w:rsid w:val="009135B8"/>
    <w:rsid w:val="00913849"/>
    <w:rsid w:val="00913DB5"/>
    <w:rsid w:val="00914227"/>
    <w:rsid w:val="009142CC"/>
    <w:rsid w:val="009150B0"/>
    <w:rsid w:val="00915256"/>
    <w:rsid w:val="00915421"/>
    <w:rsid w:val="0091569F"/>
    <w:rsid w:val="00915996"/>
    <w:rsid w:val="00915FFC"/>
    <w:rsid w:val="009160EC"/>
    <w:rsid w:val="00916212"/>
    <w:rsid w:val="00916694"/>
    <w:rsid w:val="00916EA7"/>
    <w:rsid w:val="00916EBC"/>
    <w:rsid w:val="00917452"/>
    <w:rsid w:val="009176F5"/>
    <w:rsid w:val="00920732"/>
    <w:rsid w:val="009209E1"/>
    <w:rsid w:val="009209E5"/>
    <w:rsid w:val="00920AA3"/>
    <w:rsid w:val="009212FC"/>
    <w:rsid w:val="00921409"/>
    <w:rsid w:val="00921650"/>
    <w:rsid w:val="00921D5B"/>
    <w:rsid w:val="00921DF8"/>
    <w:rsid w:val="0092373C"/>
    <w:rsid w:val="0092383D"/>
    <w:rsid w:val="00923B08"/>
    <w:rsid w:val="00923E06"/>
    <w:rsid w:val="0092404D"/>
    <w:rsid w:val="0092428A"/>
    <w:rsid w:val="0092463C"/>
    <w:rsid w:val="00924E3A"/>
    <w:rsid w:val="0092567B"/>
    <w:rsid w:val="00925ACC"/>
    <w:rsid w:val="00925FA8"/>
    <w:rsid w:val="009262D2"/>
    <w:rsid w:val="009262F8"/>
    <w:rsid w:val="00926A1C"/>
    <w:rsid w:val="00926D2F"/>
    <w:rsid w:val="00927063"/>
    <w:rsid w:val="009271AD"/>
    <w:rsid w:val="00927256"/>
    <w:rsid w:val="009273E5"/>
    <w:rsid w:val="009300BB"/>
    <w:rsid w:val="009301E9"/>
    <w:rsid w:val="009303F3"/>
    <w:rsid w:val="009305CC"/>
    <w:rsid w:val="009306EA"/>
    <w:rsid w:val="00931663"/>
    <w:rsid w:val="0093194D"/>
    <w:rsid w:val="00931989"/>
    <w:rsid w:val="00931DEE"/>
    <w:rsid w:val="00931FA1"/>
    <w:rsid w:val="009321F7"/>
    <w:rsid w:val="00932800"/>
    <w:rsid w:val="00932B5E"/>
    <w:rsid w:val="00933010"/>
    <w:rsid w:val="00933058"/>
    <w:rsid w:val="00933068"/>
    <w:rsid w:val="00933575"/>
    <w:rsid w:val="00933989"/>
    <w:rsid w:val="00933BF9"/>
    <w:rsid w:val="00933DB2"/>
    <w:rsid w:val="00934339"/>
    <w:rsid w:val="0093449E"/>
    <w:rsid w:val="00934AB7"/>
    <w:rsid w:val="0093507E"/>
    <w:rsid w:val="009352C9"/>
    <w:rsid w:val="009358E7"/>
    <w:rsid w:val="00936167"/>
    <w:rsid w:val="00936BC3"/>
    <w:rsid w:val="00936D9C"/>
    <w:rsid w:val="00936DC6"/>
    <w:rsid w:val="009376F4"/>
    <w:rsid w:val="00937907"/>
    <w:rsid w:val="00937B41"/>
    <w:rsid w:val="00937D6B"/>
    <w:rsid w:val="00937FEF"/>
    <w:rsid w:val="009404FE"/>
    <w:rsid w:val="00940D0E"/>
    <w:rsid w:val="00940F53"/>
    <w:rsid w:val="00940F63"/>
    <w:rsid w:val="0094217D"/>
    <w:rsid w:val="0094245E"/>
    <w:rsid w:val="00942871"/>
    <w:rsid w:val="00942B10"/>
    <w:rsid w:val="00942BCD"/>
    <w:rsid w:val="0094321F"/>
    <w:rsid w:val="00943670"/>
    <w:rsid w:val="009436B6"/>
    <w:rsid w:val="00943A16"/>
    <w:rsid w:val="00944763"/>
    <w:rsid w:val="00944A78"/>
    <w:rsid w:val="00944B9C"/>
    <w:rsid w:val="0094568E"/>
    <w:rsid w:val="009458B1"/>
    <w:rsid w:val="009459F7"/>
    <w:rsid w:val="009459FD"/>
    <w:rsid w:val="00945F2C"/>
    <w:rsid w:val="009461C0"/>
    <w:rsid w:val="00946744"/>
    <w:rsid w:val="009468EA"/>
    <w:rsid w:val="009469ED"/>
    <w:rsid w:val="00946BE9"/>
    <w:rsid w:val="00946C27"/>
    <w:rsid w:val="00947D6A"/>
    <w:rsid w:val="009500E2"/>
    <w:rsid w:val="00950347"/>
    <w:rsid w:val="00950374"/>
    <w:rsid w:val="00950486"/>
    <w:rsid w:val="009505D5"/>
    <w:rsid w:val="009507D1"/>
    <w:rsid w:val="0095085C"/>
    <w:rsid w:val="00950BBE"/>
    <w:rsid w:val="009512C4"/>
    <w:rsid w:val="009528A9"/>
    <w:rsid w:val="00952A35"/>
    <w:rsid w:val="00952C49"/>
    <w:rsid w:val="00952D3B"/>
    <w:rsid w:val="0095325F"/>
    <w:rsid w:val="009533DD"/>
    <w:rsid w:val="00953411"/>
    <w:rsid w:val="00953860"/>
    <w:rsid w:val="00953E9A"/>
    <w:rsid w:val="009541B0"/>
    <w:rsid w:val="0095438C"/>
    <w:rsid w:val="0095493B"/>
    <w:rsid w:val="00954BC3"/>
    <w:rsid w:val="00955225"/>
    <w:rsid w:val="009559E3"/>
    <w:rsid w:val="00956256"/>
    <w:rsid w:val="009566A0"/>
    <w:rsid w:val="009566AC"/>
    <w:rsid w:val="00957037"/>
    <w:rsid w:val="009571E1"/>
    <w:rsid w:val="0095723F"/>
    <w:rsid w:val="00957678"/>
    <w:rsid w:val="009608BA"/>
    <w:rsid w:val="00960B15"/>
    <w:rsid w:val="0096120E"/>
    <w:rsid w:val="00961868"/>
    <w:rsid w:val="00961B32"/>
    <w:rsid w:val="00961C65"/>
    <w:rsid w:val="009622D7"/>
    <w:rsid w:val="009625BD"/>
    <w:rsid w:val="00962BC0"/>
    <w:rsid w:val="00962FA2"/>
    <w:rsid w:val="00963BD6"/>
    <w:rsid w:val="0096459B"/>
    <w:rsid w:val="00964D8F"/>
    <w:rsid w:val="009657F3"/>
    <w:rsid w:val="00965B28"/>
    <w:rsid w:val="00965D1A"/>
    <w:rsid w:val="00966184"/>
    <w:rsid w:val="009664F8"/>
    <w:rsid w:val="00967A2A"/>
    <w:rsid w:val="00967DBF"/>
    <w:rsid w:val="0097009B"/>
    <w:rsid w:val="0097060D"/>
    <w:rsid w:val="0097068A"/>
    <w:rsid w:val="009707EA"/>
    <w:rsid w:val="00970AB0"/>
    <w:rsid w:val="00970B74"/>
    <w:rsid w:val="00970EBB"/>
    <w:rsid w:val="00971125"/>
    <w:rsid w:val="0097146D"/>
    <w:rsid w:val="00971733"/>
    <w:rsid w:val="00971942"/>
    <w:rsid w:val="0097256B"/>
    <w:rsid w:val="00973123"/>
    <w:rsid w:val="009731B6"/>
    <w:rsid w:val="00973583"/>
    <w:rsid w:val="0097361D"/>
    <w:rsid w:val="00973A58"/>
    <w:rsid w:val="00973AA6"/>
    <w:rsid w:val="0097400A"/>
    <w:rsid w:val="009746CA"/>
    <w:rsid w:val="00975081"/>
    <w:rsid w:val="00975152"/>
    <w:rsid w:val="00975231"/>
    <w:rsid w:val="00975C01"/>
    <w:rsid w:val="00975DEB"/>
    <w:rsid w:val="00975E0C"/>
    <w:rsid w:val="00975F74"/>
    <w:rsid w:val="009762F0"/>
    <w:rsid w:val="00976F4A"/>
    <w:rsid w:val="009771C7"/>
    <w:rsid w:val="00977243"/>
    <w:rsid w:val="009772E8"/>
    <w:rsid w:val="00977B84"/>
    <w:rsid w:val="009802A6"/>
    <w:rsid w:val="00980513"/>
    <w:rsid w:val="00981150"/>
    <w:rsid w:val="0098157F"/>
    <w:rsid w:val="009826BA"/>
    <w:rsid w:val="009826CD"/>
    <w:rsid w:val="009828E7"/>
    <w:rsid w:val="00982D21"/>
    <w:rsid w:val="00982E97"/>
    <w:rsid w:val="00982EFC"/>
    <w:rsid w:val="00982F0F"/>
    <w:rsid w:val="00983292"/>
    <w:rsid w:val="0098368C"/>
    <w:rsid w:val="00984392"/>
    <w:rsid w:val="00984AB1"/>
    <w:rsid w:val="00984D85"/>
    <w:rsid w:val="00984FDD"/>
    <w:rsid w:val="0098555E"/>
    <w:rsid w:val="009857E5"/>
    <w:rsid w:val="00985A99"/>
    <w:rsid w:val="00985E48"/>
    <w:rsid w:val="009861E5"/>
    <w:rsid w:val="00986A13"/>
    <w:rsid w:val="00986DBE"/>
    <w:rsid w:val="00986EA9"/>
    <w:rsid w:val="00990515"/>
    <w:rsid w:val="00990A42"/>
    <w:rsid w:val="00991554"/>
    <w:rsid w:val="009919C8"/>
    <w:rsid w:val="00991D0F"/>
    <w:rsid w:val="00991E11"/>
    <w:rsid w:val="00992376"/>
    <w:rsid w:val="00992405"/>
    <w:rsid w:val="00992AE8"/>
    <w:rsid w:val="00992D2E"/>
    <w:rsid w:val="00992D96"/>
    <w:rsid w:val="00992E1D"/>
    <w:rsid w:val="009932A7"/>
    <w:rsid w:val="00993437"/>
    <w:rsid w:val="00993AEE"/>
    <w:rsid w:val="00993C4B"/>
    <w:rsid w:val="009946D9"/>
    <w:rsid w:val="0099499D"/>
    <w:rsid w:val="00994BE7"/>
    <w:rsid w:val="009954C4"/>
    <w:rsid w:val="00995CFA"/>
    <w:rsid w:val="00995DB8"/>
    <w:rsid w:val="00996240"/>
    <w:rsid w:val="00996AF9"/>
    <w:rsid w:val="00996C91"/>
    <w:rsid w:val="00996D86"/>
    <w:rsid w:val="00996DD3"/>
    <w:rsid w:val="00997B86"/>
    <w:rsid w:val="00997F05"/>
    <w:rsid w:val="009A0370"/>
    <w:rsid w:val="009A03D3"/>
    <w:rsid w:val="009A06F5"/>
    <w:rsid w:val="009A0C29"/>
    <w:rsid w:val="009A0C53"/>
    <w:rsid w:val="009A1312"/>
    <w:rsid w:val="009A14E5"/>
    <w:rsid w:val="009A18C5"/>
    <w:rsid w:val="009A1CA6"/>
    <w:rsid w:val="009A25C0"/>
    <w:rsid w:val="009A2683"/>
    <w:rsid w:val="009A2886"/>
    <w:rsid w:val="009A29EC"/>
    <w:rsid w:val="009A30DE"/>
    <w:rsid w:val="009A32F3"/>
    <w:rsid w:val="009A3346"/>
    <w:rsid w:val="009A349C"/>
    <w:rsid w:val="009A34F9"/>
    <w:rsid w:val="009A39AA"/>
    <w:rsid w:val="009A40A7"/>
    <w:rsid w:val="009A4205"/>
    <w:rsid w:val="009A455A"/>
    <w:rsid w:val="009A4A37"/>
    <w:rsid w:val="009A4F8E"/>
    <w:rsid w:val="009A517D"/>
    <w:rsid w:val="009A5280"/>
    <w:rsid w:val="009A5517"/>
    <w:rsid w:val="009A62AD"/>
    <w:rsid w:val="009A69CA"/>
    <w:rsid w:val="009A6F3E"/>
    <w:rsid w:val="009A711F"/>
    <w:rsid w:val="009A7187"/>
    <w:rsid w:val="009A7458"/>
    <w:rsid w:val="009A746C"/>
    <w:rsid w:val="009A7C35"/>
    <w:rsid w:val="009A7E1C"/>
    <w:rsid w:val="009B0487"/>
    <w:rsid w:val="009B0678"/>
    <w:rsid w:val="009B0FD3"/>
    <w:rsid w:val="009B1637"/>
    <w:rsid w:val="009B1DA2"/>
    <w:rsid w:val="009B28AA"/>
    <w:rsid w:val="009B29B2"/>
    <w:rsid w:val="009B2EDF"/>
    <w:rsid w:val="009B319A"/>
    <w:rsid w:val="009B31E5"/>
    <w:rsid w:val="009B34BB"/>
    <w:rsid w:val="009B3869"/>
    <w:rsid w:val="009B3AA5"/>
    <w:rsid w:val="009B3BD9"/>
    <w:rsid w:val="009B3BF5"/>
    <w:rsid w:val="009B4FF1"/>
    <w:rsid w:val="009B5024"/>
    <w:rsid w:val="009B5052"/>
    <w:rsid w:val="009B5076"/>
    <w:rsid w:val="009B5DD5"/>
    <w:rsid w:val="009B5ED3"/>
    <w:rsid w:val="009B5F0F"/>
    <w:rsid w:val="009B6513"/>
    <w:rsid w:val="009B6546"/>
    <w:rsid w:val="009B6E10"/>
    <w:rsid w:val="009B6E21"/>
    <w:rsid w:val="009B7106"/>
    <w:rsid w:val="009B74EF"/>
    <w:rsid w:val="009B7607"/>
    <w:rsid w:val="009B79CD"/>
    <w:rsid w:val="009B7B55"/>
    <w:rsid w:val="009B7B5A"/>
    <w:rsid w:val="009B7E29"/>
    <w:rsid w:val="009C0A0C"/>
    <w:rsid w:val="009C0C36"/>
    <w:rsid w:val="009C0F2E"/>
    <w:rsid w:val="009C107B"/>
    <w:rsid w:val="009C16C1"/>
    <w:rsid w:val="009C17EE"/>
    <w:rsid w:val="009C18B0"/>
    <w:rsid w:val="009C1EBA"/>
    <w:rsid w:val="009C2092"/>
    <w:rsid w:val="009C277E"/>
    <w:rsid w:val="009C2A38"/>
    <w:rsid w:val="009C2CEF"/>
    <w:rsid w:val="009C2F1E"/>
    <w:rsid w:val="009C331C"/>
    <w:rsid w:val="009C36D7"/>
    <w:rsid w:val="009C4014"/>
    <w:rsid w:val="009C4301"/>
    <w:rsid w:val="009C4825"/>
    <w:rsid w:val="009C4884"/>
    <w:rsid w:val="009C4F1E"/>
    <w:rsid w:val="009C504B"/>
    <w:rsid w:val="009C5193"/>
    <w:rsid w:val="009C52AA"/>
    <w:rsid w:val="009C5406"/>
    <w:rsid w:val="009C5698"/>
    <w:rsid w:val="009C5809"/>
    <w:rsid w:val="009C5D06"/>
    <w:rsid w:val="009C6205"/>
    <w:rsid w:val="009C6824"/>
    <w:rsid w:val="009C682A"/>
    <w:rsid w:val="009C68F9"/>
    <w:rsid w:val="009C6A85"/>
    <w:rsid w:val="009C7102"/>
    <w:rsid w:val="009C74E1"/>
    <w:rsid w:val="009C78AD"/>
    <w:rsid w:val="009C7C42"/>
    <w:rsid w:val="009C7C71"/>
    <w:rsid w:val="009D02CC"/>
    <w:rsid w:val="009D0432"/>
    <w:rsid w:val="009D059D"/>
    <w:rsid w:val="009D0738"/>
    <w:rsid w:val="009D0775"/>
    <w:rsid w:val="009D0DBB"/>
    <w:rsid w:val="009D12B1"/>
    <w:rsid w:val="009D1491"/>
    <w:rsid w:val="009D18FF"/>
    <w:rsid w:val="009D1963"/>
    <w:rsid w:val="009D19A3"/>
    <w:rsid w:val="009D268C"/>
    <w:rsid w:val="009D2B6C"/>
    <w:rsid w:val="009D3106"/>
    <w:rsid w:val="009D3C1F"/>
    <w:rsid w:val="009D4678"/>
    <w:rsid w:val="009D4B53"/>
    <w:rsid w:val="009D502F"/>
    <w:rsid w:val="009D52E5"/>
    <w:rsid w:val="009D58C6"/>
    <w:rsid w:val="009D5A73"/>
    <w:rsid w:val="009D5E4D"/>
    <w:rsid w:val="009D5E8B"/>
    <w:rsid w:val="009D6181"/>
    <w:rsid w:val="009D6527"/>
    <w:rsid w:val="009D693D"/>
    <w:rsid w:val="009D6BFE"/>
    <w:rsid w:val="009D6DCC"/>
    <w:rsid w:val="009D73E0"/>
    <w:rsid w:val="009D77BB"/>
    <w:rsid w:val="009E02EF"/>
    <w:rsid w:val="009E049A"/>
    <w:rsid w:val="009E0A96"/>
    <w:rsid w:val="009E153B"/>
    <w:rsid w:val="009E1685"/>
    <w:rsid w:val="009E1B82"/>
    <w:rsid w:val="009E2175"/>
    <w:rsid w:val="009E21D8"/>
    <w:rsid w:val="009E246B"/>
    <w:rsid w:val="009E24C7"/>
    <w:rsid w:val="009E26B5"/>
    <w:rsid w:val="009E29F5"/>
    <w:rsid w:val="009E31E9"/>
    <w:rsid w:val="009E331F"/>
    <w:rsid w:val="009E346A"/>
    <w:rsid w:val="009E34CC"/>
    <w:rsid w:val="009E3CB3"/>
    <w:rsid w:val="009E3DD6"/>
    <w:rsid w:val="009E3F8D"/>
    <w:rsid w:val="009E40F3"/>
    <w:rsid w:val="009E52C6"/>
    <w:rsid w:val="009E54F8"/>
    <w:rsid w:val="009E61A8"/>
    <w:rsid w:val="009E62BF"/>
    <w:rsid w:val="009E658F"/>
    <w:rsid w:val="009E68EE"/>
    <w:rsid w:val="009E70B2"/>
    <w:rsid w:val="009E710D"/>
    <w:rsid w:val="009E73E8"/>
    <w:rsid w:val="009E7D20"/>
    <w:rsid w:val="009F0401"/>
    <w:rsid w:val="009F0B64"/>
    <w:rsid w:val="009F0C27"/>
    <w:rsid w:val="009F0C7A"/>
    <w:rsid w:val="009F0E45"/>
    <w:rsid w:val="009F0F63"/>
    <w:rsid w:val="009F0FF3"/>
    <w:rsid w:val="009F113C"/>
    <w:rsid w:val="009F16C7"/>
    <w:rsid w:val="009F16CD"/>
    <w:rsid w:val="009F1AA7"/>
    <w:rsid w:val="009F1B53"/>
    <w:rsid w:val="009F2179"/>
    <w:rsid w:val="009F22FC"/>
    <w:rsid w:val="009F23EA"/>
    <w:rsid w:val="009F29BF"/>
    <w:rsid w:val="009F2ADA"/>
    <w:rsid w:val="009F2E41"/>
    <w:rsid w:val="009F34BD"/>
    <w:rsid w:val="009F3863"/>
    <w:rsid w:val="009F3E90"/>
    <w:rsid w:val="009F41E0"/>
    <w:rsid w:val="009F4CCB"/>
    <w:rsid w:val="009F4D95"/>
    <w:rsid w:val="009F541C"/>
    <w:rsid w:val="009F5801"/>
    <w:rsid w:val="009F6771"/>
    <w:rsid w:val="009F68DF"/>
    <w:rsid w:val="009F6E5A"/>
    <w:rsid w:val="009F70CC"/>
    <w:rsid w:val="009F7824"/>
    <w:rsid w:val="009F792F"/>
    <w:rsid w:val="00A0014B"/>
    <w:rsid w:val="00A00B4A"/>
    <w:rsid w:val="00A01043"/>
    <w:rsid w:val="00A01A66"/>
    <w:rsid w:val="00A01A8B"/>
    <w:rsid w:val="00A01C50"/>
    <w:rsid w:val="00A02C90"/>
    <w:rsid w:val="00A02EEA"/>
    <w:rsid w:val="00A02FE4"/>
    <w:rsid w:val="00A034B9"/>
    <w:rsid w:val="00A03667"/>
    <w:rsid w:val="00A037F8"/>
    <w:rsid w:val="00A03B6C"/>
    <w:rsid w:val="00A03E86"/>
    <w:rsid w:val="00A03E94"/>
    <w:rsid w:val="00A03FBA"/>
    <w:rsid w:val="00A04B61"/>
    <w:rsid w:val="00A04D9A"/>
    <w:rsid w:val="00A05165"/>
    <w:rsid w:val="00A0530C"/>
    <w:rsid w:val="00A0542F"/>
    <w:rsid w:val="00A05496"/>
    <w:rsid w:val="00A05CB4"/>
    <w:rsid w:val="00A060EB"/>
    <w:rsid w:val="00A065E6"/>
    <w:rsid w:val="00A06CD4"/>
    <w:rsid w:val="00A06F6F"/>
    <w:rsid w:val="00A07E4E"/>
    <w:rsid w:val="00A101C8"/>
    <w:rsid w:val="00A10933"/>
    <w:rsid w:val="00A10D4F"/>
    <w:rsid w:val="00A10E16"/>
    <w:rsid w:val="00A11096"/>
    <w:rsid w:val="00A1120A"/>
    <w:rsid w:val="00A112D3"/>
    <w:rsid w:val="00A1160E"/>
    <w:rsid w:val="00A11735"/>
    <w:rsid w:val="00A11B58"/>
    <w:rsid w:val="00A123D1"/>
    <w:rsid w:val="00A12973"/>
    <w:rsid w:val="00A13801"/>
    <w:rsid w:val="00A13860"/>
    <w:rsid w:val="00A13AE0"/>
    <w:rsid w:val="00A13DDF"/>
    <w:rsid w:val="00A13E93"/>
    <w:rsid w:val="00A1401A"/>
    <w:rsid w:val="00A141D1"/>
    <w:rsid w:val="00A14322"/>
    <w:rsid w:val="00A14CB4"/>
    <w:rsid w:val="00A14DA3"/>
    <w:rsid w:val="00A14EC7"/>
    <w:rsid w:val="00A14F8C"/>
    <w:rsid w:val="00A151D5"/>
    <w:rsid w:val="00A15437"/>
    <w:rsid w:val="00A1555C"/>
    <w:rsid w:val="00A159D9"/>
    <w:rsid w:val="00A15B13"/>
    <w:rsid w:val="00A15CCE"/>
    <w:rsid w:val="00A15CFB"/>
    <w:rsid w:val="00A166B1"/>
    <w:rsid w:val="00A16701"/>
    <w:rsid w:val="00A16E82"/>
    <w:rsid w:val="00A17D41"/>
    <w:rsid w:val="00A2054A"/>
    <w:rsid w:val="00A20C47"/>
    <w:rsid w:val="00A20CCA"/>
    <w:rsid w:val="00A212AB"/>
    <w:rsid w:val="00A2149A"/>
    <w:rsid w:val="00A21519"/>
    <w:rsid w:val="00A215F4"/>
    <w:rsid w:val="00A21748"/>
    <w:rsid w:val="00A21F53"/>
    <w:rsid w:val="00A21FE5"/>
    <w:rsid w:val="00A2236A"/>
    <w:rsid w:val="00A22C2E"/>
    <w:rsid w:val="00A22C30"/>
    <w:rsid w:val="00A22C3A"/>
    <w:rsid w:val="00A22DC9"/>
    <w:rsid w:val="00A22E0B"/>
    <w:rsid w:val="00A22F37"/>
    <w:rsid w:val="00A23221"/>
    <w:rsid w:val="00A23396"/>
    <w:rsid w:val="00A2380B"/>
    <w:rsid w:val="00A23A94"/>
    <w:rsid w:val="00A23D10"/>
    <w:rsid w:val="00A23D5B"/>
    <w:rsid w:val="00A23E61"/>
    <w:rsid w:val="00A24342"/>
    <w:rsid w:val="00A246D1"/>
    <w:rsid w:val="00A246D4"/>
    <w:rsid w:val="00A247F0"/>
    <w:rsid w:val="00A24EFD"/>
    <w:rsid w:val="00A25100"/>
    <w:rsid w:val="00A25427"/>
    <w:rsid w:val="00A25547"/>
    <w:rsid w:val="00A256BF"/>
    <w:rsid w:val="00A25948"/>
    <w:rsid w:val="00A25E0E"/>
    <w:rsid w:val="00A263F3"/>
    <w:rsid w:val="00A267AE"/>
    <w:rsid w:val="00A27153"/>
    <w:rsid w:val="00A278A3"/>
    <w:rsid w:val="00A278E5"/>
    <w:rsid w:val="00A279DA"/>
    <w:rsid w:val="00A27D25"/>
    <w:rsid w:val="00A27F74"/>
    <w:rsid w:val="00A30F23"/>
    <w:rsid w:val="00A31531"/>
    <w:rsid w:val="00A316ED"/>
    <w:rsid w:val="00A31C4A"/>
    <w:rsid w:val="00A31C98"/>
    <w:rsid w:val="00A31F75"/>
    <w:rsid w:val="00A3289A"/>
    <w:rsid w:val="00A333DA"/>
    <w:rsid w:val="00A33AC4"/>
    <w:rsid w:val="00A33EE0"/>
    <w:rsid w:val="00A340A7"/>
    <w:rsid w:val="00A34B0E"/>
    <w:rsid w:val="00A34EA1"/>
    <w:rsid w:val="00A3553D"/>
    <w:rsid w:val="00A3627F"/>
    <w:rsid w:val="00A363DB"/>
    <w:rsid w:val="00A37175"/>
    <w:rsid w:val="00A371AC"/>
    <w:rsid w:val="00A37269"/>
    <w:rsid w:val="00A37514"/>
    <w:rsid w:val="00A37522"/>
    <w:rsid w:val="00A3757C"/>
    <w:rsid w:val="00A37652"/>
    <w:rsid w:val="00A401DF"/>
    <w:rsid w:val="00A40471"/>
    <w:rsid w:val="00A4065A"/>
    <w:rsid w:val="00A40822"/>
    <w:rsid w:val="00A40A78"/>
    <w:rsid w:val="00A40A87"/>
    <w:rsid w:val="00A40C5B"/>
    <w:rsid w:val="00A40E05"/>
    <w:rsid w:val="00A40F45"/>
    <w:rsid w:val="00A40FEB"/>
    <w:rsid w:val="00A41434"/>
    <w:rsid w:val="00A41B58"/>
    <w:rsid w:val="00A42A83"/>
    <w:rsid w:val="00A43031"/>
    <w:rsid w:val="00A437A5"/>
    <w:rsid w:val="00A437DD"/>
    <w:rsid w:val="00A4394F"/>
    <w:rsid w:val="00A43B58"/>
    <w:rsid w:val="00A43E4C"/>
    <w:rsid w:val="00A43F1E"/>
    <w:rsid w:val="00A442CD"/>
    <w:rsid w:val="00A44B61"/>
    <w:rsid w:val="00A44E58"/>
    <w:rsid w:val="00A44E72"/>
    <w:rsid w:val="00A44FBA"/>
    <w:rsid w:val="00A452B9"/>
    <w:rsid w:val="00A45943"/>
    <w:rsid w:val="00A45C1E"/>
    <w:rsid w:val="00A469D9"/>
    <w:rsid w:val="00A4784E"/>
    <w:rsid w:val="00A47B70"/>
    <w:rsid w:val="00A506A1"/>
    <w:rsid w:val="00A50C46"/>
    <w:rsid w:val="00A5117A"/>
    <w:rsid w:val="00A51393"/>
    <w:rsid w:val="00A5192B"/>
    <w:rsid w:val="00A51F53"/>
    <w:rsid w:val="00A52385"/>
    <w:rsid w:val="00A5251E"/>
    <w:rsid w:val="00A5293B"/>
    <w:rsid w:val="00A52B37"/>
    <w:rsid w:val="00A52BC3"/>
    <w:rsid w:val="00A53157"/>
    <w:rsid w:val="00A533B9"/>
    <w:rsid w:val="00A533ED"/>
    <w:rsid w:val="00A534DA"/>
    <w:rsid w:val="00A53A07"/>
    <w:rsid w:val="00A53A2A"/>
    <w:rsid w:val="00A53C5A"/>
    <w:rsid w:val="00A53F0E"/>
    <w:rsid w:val="00A54537"/>
    <w:rsid w:val="00A545AF"/>
    <w:rsid w:val="00A54EEF"/>
    <w:rsid w:val="00A55096"/>
    <w:rsid w:val="00A5584E"/>
    <w:rsid w:val="00A55C2B"/>
    <w:rsid w:val="00A55DD4"/>
    <w:rsid w:val="00A55E55"/>
    <w:rsid w:val="00A56791"/>
    <w:rsid w:val="00A56810"/>
    <w:rsid w:val="00A56C08"/>
    <w:rsid w:val="00A572A7"/>
    <w:rsid w:val="00A5763A"/>
    <w:rsid w:val="00A577AC"/>
    <w:rsid w:val="00A60E80"/>
    <w:rsid w:val="00A6156D"/>
    <w:rsid w:val="00A615CA"/>
    <w:rsid w:val="00A615FF"/>
    <w:rsid w:val="00A61749"/>
    <w:rsid w:val="00A61A5E"/>
    <w:rsid w:val="00A61D82"/>
    <w:rsid w:val="00A61D85"/>
    <w:rsid w:val="00A62CC4"/>
    <w:rsid w:val="00A62DAE"/>
    <w:rsid w:val="00A63550"/>
    <w:rsid w:val="00A63664"/>
    <w:rsid w:val="00A63B18"/>
    <w:rsid w:val="00A63B90"/>
    <w:rsid w:val="00A63E49"/>
    <w:rsid w:val="00A64103"/>
    <w:rsid w:val="00A644C8"/>
    <w:rsid w:val="00A647E7"/>
    <w:rsid w:val="00A64F22"/>
    <w:rsid w:val="00A6529E"/>
    <w:rsid w:val="00A65446"/>
    <w:rsid w:val="00A65A59"/>
    <w:rsid w:val="00A6600B"/>
    <w:rsid w:val="00A66668"/>
    <w:rsid w:val="00A666D0"/>
    <w:rsid w:val="00A66BB3"/>
    <w:rsid w:val="00A66D4F"/>
    <w:rsid w:val="00A67195"/>
    <w:rsid w:val="00A672D8"/>
    <w:rsid w:val="00A6748C"/>
    <w:rsid w:val="00A6754F"/>
    <w:rsid w:val="00A67638"/>
    <w:rsid w:val="00A700C0"/>
    <w:rsid w:val="00A703F1"/>
    <w:rsid w:val="00A70693"/>
    <w:rsid w:val="00A70D0A"/>
    <w:rsid w:val="00A70F29"/>
    <w:rsid w:val="00A7153B"/>
    <w:rsid w:val="00A71908"/>
    <w:rsid w:val="00A7193F"/>
    <w:rsid w:val="00A7212B"/>
    <w:rsid w:val="00A72377"/>
    <w:rsid w:val="00A72CE4"/>
    <w:rsid w:val="00A72F5F"/>
    <w:rsid w:val="00A72F73"/>
    <w:rsid w:val="00A7328A"/>
    <w:rsid w:val="00A737E2"/>
    <w:rsid w:val="00A73A4E"/>
    <w:rsid w:val="00A73BD3"/>
    <w:rsid w:val="00A73BFD"/>
    <w:rsid w:val="00A73FCA"/>
    <w:rsid w:val="00A742B0"/>
    <w:rsid w:val="00A746A6"/>
    <w:rsid w:val="00A74B9B"/>
    <w:rsid w:val="00A74F1D"/>
    <w:rsid w:val="00A752C8"/>
    <w:rsid w:val="00A75413"/>
    <w:rsid w:val="00A7548F"/>
    <w:rsid w:val="00A75955"/>
    <w:rsid w:val="00A759A4"/>
    <w:rsid w:val="00A75CA4"/>
    <w:rsid w:val="00A75D1E"/>
    <w:rsid w:val="00A75F7E"/>
    <w:rsid w:val="00A76198"/>
    <w:rsid w:val="00A76609"/>
    <w:rsid w:val="00A76AF5"/>
    <w:rsid w:val="00A7752A"/>
    <w:rsid w:val="00A77D23"/>
    <w:rsid w:val="00A77D3E"/>
    <w:rsid w:val="00A77FF7"/>
    <w:rsid w:val="00A8023C"/>
    <w:rsid w:val="00A804C6"/>
    <w:rsid w:val="00A8066F"/>
    <w:rsid w:val="00A80A6A"/>
    <w:rsid w:val="00A8126C"/>
    <w:rsid w:val="00A8170B"/>
    <w:rsid w:val="00A8291E"/>
    <w:rsid w:val="00A82946"/>
    <w:rsid w:val="00A829AF"/>
    <w:rsid w:val="00A829EE"/>
    <w:rsid w:val="00A82CC7"/>
    <w:rsid w:val="00A82F1D"/>
    <w:rsid w:val="00A831C9"/>
    <w:rsid w:val="00A83268"/>
    <w:rsid w:val="00A838CD"/>
    <w:rsid w:val="00A83DB9"/>
    <w:rsid w:val="00A84E47"/>
    <w:rsid w:val="00A85C79"/>
    <w:rsid w:val="00A87FB4"/>
    <w:rsid w:val="00A9013A"/>
    <w:rsid w:val="00A90C0F"/>
    <w:rsid w:val="00A90C48"/>
    <w:rsid w:val="00A91D50"/>
    <w:rsid w:val="00A91D64"/>
    <w:rsid w:val="00A91DEC"/>
    <w:rsid w:val="00A91E57"/>
    <w:rsid w:val="00A91ECD"/>
    <w:rsid w:val="00A9214A"/>
    <w:rsid w:val="00A921FA"/>
    <w:rsid w:val="00A9256D"/>
    <w:rsid w:val="00A92883"/>
    <w:rsid w:val="00A929D8"/>
    <w:rsid w:val="00A92A5D"/>
    <w:rsid w:val="00A92E83"/>
    <w:rsid w:val="00A935BB"/>
    <w:rsid w:val="00A93B5B"/>
    <w:rsid w:val="00A93C3A"/>
    <w:rsid w:val="00A941D2"/>
    <w:rsid w:val="00A944C1"/>
    <w:rsid w:val="00A95DD8"/>
    <w:rsid w:val="00A96EFA"/>
    <w:rsid w:val="00A97420"/>
    <w:rsid w:val="00A976BD"/>
    <w:rsid w:val="00A97F9B"/>
    <w:rsid w:val="00AA0183"/>
    <w:rsid w:val="00AA0362"/>
    <w:rsid w:val="00AA0492"/>
    <w:rsid w:val="00AA06C1"/>
    <w:rsid w:val="00AA0A22"/>
    <w:rsid w:val="00AA0BA4"/>
    <w:rsid w:val="00AA0D06"/>
    <w:rsid w:val="00AA11BC"/>
    <w:rsid w:val="00AA1553"/>
    <w:rsid w:val="00AA19D5"/>
    <w:rsid w:val="00AA1A9F"/>
    <w:rsid w:val="00AA1E78"/>
    <w:rsid w:val="00AA2244"/>
    <w:rsid w:val="00AA2C6D"/>
    <w:rsid w:val="00AA2D21"/>
    <w:rsid w:val="00AA2F24"/>
    <w:rsid w:val="00AA31AC"/>
    <w:rsid w:val="00AA355F"/>
    <w:rsid w:val="00AA367D"/>
    <w:rsid w:val="00AA3CC5"/>
    <w:rsid w:val="00AA3E24"/>
    <w:rsid w:val="00AA5F6F"/>
    <w:rsid w:val="00AA5FD9"/>
    <w:rsid w:val="00AA64F8"/>
    <w:rsid w:val="00AA6BCD"/>
    <w:rsid w:val="00AA702C"/>
    <w:rsid w:val="00AA74C4"/>
    <w:rsid w:val="00AA76CE"/>
    <w:rsid w:val="00AA7958"/>
    <w:rsid w:val="00AA7AB1"/>
    <w:rsid w:val="00AA7E65"/>
    <w:rsid w:val="00AB00E6"/>
    <w:rsid w:val="00AB0805"/>
    <w:rsid w:val="00AB08AD"/>
    <w:rsid w:val="00AB1215"/>
    <w:rsid w:val="00AB14A0"/>
    <w:rsid w:val="00AB29DF"/>
    <w:rsid w:val="00AB2ADF"/>
    <w:rsid w:val="00AB2B67"/>
    <w:rsid w:val="00AB2CB6"/>
    <w:rsid w:val="00AB2D4C"/>
    <w:rsid w:val="00AB32B0"/>
    <w:rsid w:val="00AB379D"/>
    <w:rsid w:val="00AB3B68"/>
    <w:rsid w:val="00AB3FF1"/>
    <w:rsid w:val="00AB415D"/>
    <w:rsid w:val="00AB5225"/>
    <w:rsid w:val="00AB52ED"/>
    <w:rsid w:val="00AB5343"/>
    <w:rsid w:val="00AB54DE"/>
    <w:rsid w:val="00AB5678"/>
    <w:rsid w:val="00AB618B"/>
    <w:rsid w:val="00AB61AC"/>
    <w:rsid w:val="00AB6CEB"/>
    <w:rsid w:val="00AB7824"/>
    <w:rsid w:val="00AB7947"/>
    <w:rsid w:val="00AC08E3"/>
    <w:rsid w:val="00AC09A3"/>
    <w:rsid w:val="00AC09D1"/>
    <w:rsid w:val="00AC0E0A"/>
    <w:rsid w:val="00AC0F54"/>
    <w:rsid w:val="00AC0F89"/>
    <w:rsid w:val="00AC103B"/>
    <w:rsid w:val="00AC1411"/>
    <w:rsid w:val="00AC181A"/>
    <w:rsid w:val="00AC1A21"/>
    <w:rsid w:val="00AC25B9"/>
    <w:rsid w:val="00AC28DD"/>
    <w:rsid w:val="00AC2CD5"/>
    <w:rsid w:val="00AC2D88"/>
    <w:rsid w:val="00AC2E4C"/>
    <w:rsid w:val="00AC3169"/>
    <w:rsid w:val="00AC3481"/>
    <w:rsid w:val="00AC3787"/>
    <w:rsid w:val="00AC3A6D"/>
    <w:rsid w:val="00AC3F4B"/>
    <w:rsid w:val="00AC40DA"/>
    <w:rsid w:val="00AC4154"/>
    <w:rsid w:val="00AC43F6"/>
    <w:rsid w:val="00AC4EF2"/>
    <w:rsid w:val="00AC4F67"/>
    <w:rsid w:val="00AC53E9"/>
    <w:rsid w:val="00AC5889"/>
    <w:rsid w:val="00AC5D4C"/>
    <w:rsid w:val="00AC69E6"/>
    <w:rsid w:val="00AC6AF0"/>
    <w:rsid w:val="00AC6B15"/>
    <w:rsid w:val="00AC7025"/>
    <w:rsid w:val="00AC78E1"/>
    <w:rsid w:val="00AD0A4B"/>
    <w:rsid w:val="00AD0AB1"/>
    <w:rsid w:val="00AD152F"/>
    <w:rsid w:val="00AD1592"/>
    <w:rsid w:val="00AD15C6"/>
    <w:rsid w:val="00AD1AA8"/>
    <w:rsid w:val="00AD1D85"/>
    <w:rsid w:val="00AD2003"/>
    <w:rsid w:val="00AD2881"/>
    <w:rsid w:val="00AD33A7"/>
    <w:rsid w:val="00AD3495"/>
    <w:rsid w:val="00AD393C"/>
    <w:rsid w:val="00AD3E20"/>
    <w:rsid w:val="00AD4155"/>
    <w:rsid w:val="00AD42F7"/>
    <w:rsid w:val="00AD4EBD"/>
    <w:rsid w:val="00AD4EEF"/>
    <w:rsid w:val="00AD5439"/>
    <w:rsid w:val="00AD5AB2"/>
    <w:rsid w:val="00AD5F4C"/>
    <w:rsid w:val="00AD625B"/>
    <w:rsid w:val="00AD626D"/>
    <w:rsid w:val="00AD6993"/>
    <w:rsid w:val="00AD69C0"/>
    <w:rsid w:val="00AD69DE"/>
    <w:rsid w:val="00AD69F1"/>
    <w:rsid w:val="00AD7211"/>
    <w:rsid w:val="00AD7D30"/>
    <w:rsid w:val="00AE01EB"/>
    <w:rsid w:val="00AE0EA8"/>
    <w:rsid w:val="00AE1309"/>
    <w:rsid w:val="00AE1410"/>
    <w:rsid w:val="00AE15AA"/>
    <w:rsid w:val="00AE1A11"/>
    <w:rsid w:val="00AE1C08"/>
    <w:rsid w:val="00AE1F67"/>
    <w:rsid w:val="00AE20E5"/>
    <w:rsid w:val="00AE216A"/>
    <w:rsid w:val="00AE24B7"/>
    <w:rsid w:val="00AE2528"/>
    <w:rsid w:val="00AE346E"/>
    <w:rsid w:val="00AE3C2E"/>
    <w:rsid w:val="00AE3E83"/>
    <w:rsid w:val="00AE4160"/>
    <w:rsid w:val="00AE42B3"/>
    <w:rsid w:val="00AE536A"/>
    <w:rsid w:val="00AE5465"/>
    <w:rsid w:val="00AE5D75"/>
    <w:rsid w:val="00AE5E80"/>
    <w:rsid w:val="00AE633E"/>
    <w:rsid w:val="00AE6485"/>
    <w:rsid w:val="00AE6806"/>
    <w:rsid w:val="00AE6C93"/>
    <w:rsid w:val="00AE7D4D"/>
    <w:rsid w:val="00AE7E66"/>
    <w:rsid w:val="00AF045E"/>
    <w:rsid w:val="00AF0DC1"/>
    <w:rsid w:val="00AF12DC"/>
    <w:rsid w:val="00AF2087"/>
    <w:rsid w:val="00AF2156"/>
    <w:rsid w:val="00AF2451"/>
    <w:rsid w:val="00AF2465"/>
    <w:rsid w:val="00AF24C0"/>
    <w:rsid w:val="00AF269D"/>
    <w:rsid w:val="00AF26CA"/>
    <w:rsid w:val="00AF2947"/>
    <w:rsid w:val="00AF3225"/>
    <w:rsid w:val="00AF3704"/>
    <w:rsid w:val="00AF37B9"/>
    <w:rsid w:val="00AF3BD7"/>
    <w:rsid w:val="00AF40BD"/>
    <w:rsid w:val="00AF4B5E"/>
    <w:rsid w:val="00AF51DF"/>
    <w:rsid w:val="00AF53CA"/>
    <w:rsid w:val="00AF5890"/>
    <w:rsid w:val="00AF5A6B"/>
    <w:rsid w:val="00AF5F0E"/>
    <w:rsid w:val="00AF5F18"/>
    <w:rsid w:val="00AF609A"/>
    <w:rsid w:val="00AF62D1"/>
    <w:rsid w:val="00AF6347"/>
    <w:rsid w:val="00AF6352"/>
    <w:rsid w:val="00AF65E5"/>
    <w:rsid w:val="00AF663C"/>
    <w:rsid w:val="00AF6823"/>
    <w:rsid w:val="00AF6906"/>
    <w:rsid w:val="00AF6982"/>
    <w:rsid w:val="00AF6A0F"/>
    <w:rsid w:val="00AF76FF"/>
    <w:rsid w:val="00AF7B12"/>
    <w:rsid w:val="00B00A33"/>
    <w:rsid w:val="00B00E1D"/>
    <w:rsid w:val="00B01B02"/>
    <w:rsid w:val="00B01B73"/>
    <w:rsid w:val="00B021D4"/>
    <w:rsid w:val="00B02533"/>
    <w:rsid w:val="00B02A9E"/>
    <w:rsid w:val="00B02D08"/>
    <w:rsid w:val="00B02E59"/>
    <w:rsid w:val="00B03885"/>
    <w:rsid w:val="00B03A45"/>
    <w:rsid w:val="00B040D6"/>
    <w:rsid w:val="00B0411C"/>
    <w:rsid w:val="00B04170"/>
    <w:rsid w:val="00B04285"/>
    <w:rsid w:val="00B04422"/>
    <w:rsid w:val="00B04882"/>
    <w:rsid w:val="00B04B1B"/>
    <w:rsid w:val="00B04DE9"/>
    <w:rsid w:val="00B06719"/>
    <w:rsid w:val="00B067F4"/>
    <w:rsid w:val="00B06DC8"/>
    <w:rsid w:val="00B07839"/>
    <w:rsid w:val="00B07AB8"/>
    <w:rsid w:val="00B07B26"/>
    <w:rsid w:val="00B10233"/>
    <w:rsid w:val="00B102F2"/>
    <w:rsid w:val="00B1096B"/>
    <w:rsid w:val="00B116A7"/>
    <w:rsid w:val="00B11943"/>
    <w:rsid w:val="00B11A9C"/>
    <w:rsid w:val="00B126DE"/>
    <w:rsid w:val="00B12B40"/>
    <w:rsid w:val="00B12C76"/>
    <w:rsid w:val="00B13188"/>
    <w:rsid w:val="00B1372F"/>
    <w:rsid w:val="00B139B7"/>
    <w:rsid w:val="00B1400D"/>
    <w:rsid w:val="00B1464F"/>
    <w:rsid w:val="00B14B61"/>
    <w:rsid w:val="00B14C2C"/>
    <w:rsid w:val="00B14DED"/>
    <w:rsid w:val="00B14E76"/>
    <w:rsid w:val="00B14F4D"/>
    <w:rsid w:val="00B15548"/>
    <w:rsid w:val="00B15554"/>
    <w:rsid w:val="00B157C1"/>
    <w:rsid w:val="00B15E4A"/>
    <w:rsid w:val="00B165B1"/>
    <w:rsid w:val="00B16D60"/>
    <w:rsid w:val="00B1764F"/>
    <w:rsid w:val="00B176DA"/>
    <w:rsid w:val="00B176E1"/>
    <w:rsid w:val="00B17AD3"/>
    <w:rsid w:val="00B2062F"/>
    <w:rsid w:val="00B20A50"/>
    <w:rsid w:val="00B21163"/>
    <w:rsid w:val="00B21316"/>
    <w:rsid w:val="00B217A3"/>
    <w:rsid w:val="00B219CF"/>
    <w:rsid w:val="00B21C95"/>
    <w:rsid w:val="00B220AE"/>
    <w:rsid w:val="00B22202"/>
    <w:rsid w:val="00B22EB1"/>
    <w:rsid w:val="00B23456"/>
    <w:rsid w:val="00B235D9"/>
    <w:rsid w:val="00B2372B"/>
    <w:rsid w:val="00B23E5A"/>
    <w:rsid w:val="00B2414F"/>
    <w:rsid w:val="00B24357"/>
    <w:rsid w:val="00B246DF"/>
    <w:rsid w:val="00B24745"/>
    <w:rsid w:val="00B2503C"/>
    <w:rsid w:val="00B251C0"/>
    <w:rsid w:val="00B252BE"/>
    <w:rsid w:val="00B25322"/>
    <w:rsid w:val="00B25E2B"/>
    <w:rsid w:val="00B2659B"/>
    <w:rsid w:val="00B26676"/>
    <w:rsid w:val="00B2691D"/>
    <w:rsid w:val="00B26F4D"/>
    <w:rsid w:val="00B27975"/>
    <w:rsid w:val="00B27EA1"/>
    <w:rsid w:val="00B27ED6"/>
    <w:rsid w:val="00B302C0"/>
    <w:rsid w:val="00B305B7"/>
    <w:rsid w:val="00B31188"/>
    <w:rsid w:val="00B31B1A"/>
    <w:rsid w:val="00B31B55"/>
    <w:rsid w:val="00B31E8B"/>
    <w:rsid w:val="00B32638"/>
    <w:rsid w:val="00B32C8D"/>
    <w:rsid w:val="00B3329E"/>
    <w:rsid w:val="00B33326"/>
    <w:rsid w:val="00B3333D"/>
    <w:rsid w:val="00B348F4"/>
    <w:rsid w:val="00B34D85"/>
    <w:rsid w:val="00B34FAE"/>
    <w:rsid w:val="00B3575D"/>
    <w:rsid w:val="00B35A76"/>
    <w:rsid w:val="00B35CF0"/>
    <w:rsid w:val="00B3631B"/>
    <w:rsid w:val="00B369D0"/>
    <w:rsid w:val="00B3704D"/>
    <w:rsid w:val="00B37313"/>
    <w:rsid w:val="00B37E7E"/>
    <w:rsid w:val="00B37F1B"/>
    <w:rsid w:val="00B37F22"/>
    <w:rsid w:val="00B4020B"/>
    <w:rsid w:val="00B41452"/>
    <w:rsid w:val="00B415D7"/>
    <w:rsid w:val="00B418C2"/>
    <w:rsid w:val="00B41D0D"/>
    <w:rsid w:val="00B4200D"/>
    <w:rsid w:val="00B42180"/>
    <w:rsid w:val="00B4266D"/>
    <w:rsid w:val="00B42A64"/>
    <w:rsid w:val="00B42BC0"/>
    <w:rsid w:val="00B42D92"/>
    <w:rsid w:val="00B4348B"/>
    <w:rsid w:val="00B436B7"/>
    <w:rsid w:val="00B43788"/>
    <w:rsid w:val="00B43B4E"/>
    <w:rsid w:val="00B43D71"/>
    <w:rsid w:val="00B4426B"/>
    <w:rsid w:val="00B447E4"/>
    <w:rsid w:val="00B4486C"/>
    <w:rsid w:val="00B449A3"/>
    <w:rsid w:val="00B449A9"/>
    <w:rsid w:val="00B44D0E"/>
    <w:rsid w:val="00B4533F"/>
    <w:rsid w:val="00B458AC"/>
    <w:rsid w:val="00B45A88"/>
    <w:rsid w:val="00B46051"/>
    <w:rsid w:val="00B46841"/>
    <w:rsid w:val="00B46B78"/>
    <w:rsid w:val="00B46C76"/>
    <w:rsid w:val="00B47248"/>
    <w:rsid w:val="00B47270"/>
    <w:rsid w:val="00B473E4"/>
    <w:rsid w:val="00B4760A"/>
    <w:rsid w:val="00B47889"/>
    <w:rsid w:val="00B47BFD"/>
    <w:rsid w:val="00B47C49"/>
    <w:rsid w:val="00B47CDF"/>
    <w:rsid w:val="00B5029A"/>
    <w:rsid w:val="00B50645"/>
    <w:rsid w:val="00B507ED"/>
    <w:rsid w:val="00B5082C"/>
    <w:rsid w:val="00B50B4E"/>
    <w:rsid w:val="00B50B69"/>
    <w:rsid w:val="00B50CD9"/>
    <w:rsid w:val="00B50CE0"/>
    <w:rsid w:val="00B50E14"/>
    <w:rsid w:val="00B5100F"/>
    <w:rsid w:val="00B5117C"/>
    <w:rsid w:val="00B517FD"/>
    <w:rsid w:val="00B51B54"/>
    <w:rsid w:val="00B52055"/>
    <w:rsid w:val="00B5289D"/>
    <w:rsid w:val="00B528F7"/>
    <w:rsid w:val="00B52CDB"/>
    <w:rsid w:val="00B52CFD"/>
    <w:rsid w:val="00B530D8"/>
    <w:rsid w:val="00B5427F"/>
    <w:rsid w:val="00B54F3B"/>
    <w:rsid w:val="00B55289"/>
    <w:rsid w:val="00B554D4"/>
    <w:rsid w:val="00B558B3"/>
    <w:rsid w:val="00B558D6"/>
    <w:rsid w:val="00B5595F"/>
    <w:rsid w:val="00B56C13"/>
    <w:rsid w:val="00B56F9D"/>
    <w:rsid w:val="00B57B5B"/>
    <w:rsid w:val="00B57EEC"/>
    <w:rsid w:val="00B600F8"/>
    <w:rsid w:val="00B6014B"/>
    <w:rsid w:val="00B60822"/>
    <w:rsid w:val="00B609B4"/>
    <w:rsid w:val="00B60D58"/>
    <w:rsid w:val="00B60D9A"/>
    <w:rsid w:val="00B6127A"/>
    <w:rsid w:val="00B617D0"/>
    <w:rsid w:val="00B61AC2"/>
    <w:rsid w:val="00B61B27"/>
    <w:rsid w:val="00B61CD9"/>
    <w:rsid w:val="00B62752"/>
    <w:rsid w:val="00B62889"/>
    <w:rsid w:val="00B629A9"/>
    <w:rsid w:val="00B629E6"/>
    <w:rsid w:val="00B62EB6"/>
    <w:rsid w:val="00B63395"/>
    <w:rsid w:val="00B634BA"/>
    <w:rsid w:val="00B63527"/>
    <w:rsid w:val="00B63C0B"/>
    <w:rsid w:val="00B63D45"/>
    <w:rsid w:val="00B63FCE"/>
    <w:rsid w:val="00B641EB"/>
    <w:rsid w:val="00B64208"/>
    <w:rsid w:val="00B64710"/>
    <w:rsid w:val="00B6492A"/>
    <w:rsid w:val="00B64A03"/>
    <w:rsid w:val="00B64F4F"/>
    <w:rsid w:val="00B650A2"/>
    <w:rsid w:val="00B65D7A"/>
    <w:rsid w:val="00B66061"/>
    <w:rsid w:val="00B661D8"/>
    <w:rsid w:val="00B6630F"/>
    <w:rsid w:val="00B66354"/>
    <w:rsid w:val="00B66AA2"/>
    <w:rsid w:val="00B66D1B"/>
    <w:rsid w:val="00B66F33"/>
    <w:rsid w:val="00B674E4"/>
    <w:rsid w:val="00B678E7"/>
    <w:rsid w:val="00B67EE4"/>
    <w:rsid w:val="00B70539"/>
    <w:rsid w:val="00B70612"/>
    <w:rsid w:val="00B70E4C"/>
    <w:rsid w:val="00B71916"/>
    <w:rsid w:val="00B71923"/>
    <w:rsid w:val="00B71AC4"/>
    <w:rsid w:val="00B733BF"/>
    <w:rsid w:val="00B73558"/>
    <w:rsid w:val="00B7384F"/>
    <w:rsid w:val="00B73A35"/>
    <w:rsid w:val="00B73CB4"/>
    <w:rsid w:val="00B73DF7"/>
    <w:rsid w:val="00B747F9"/>
    <w:rsid w:val="00B74CC1"/>
    <w:rsid w:val="00B75059"/>
    <w:rsid w:val="00B75193"/>
    <w:rsid w:val="00B75318"/>
    <w:rsid w:val="00B75515"/>
    <w:rsid w:val="00B7581F"/>
    <w:rsid w:val="00B76340"/>
    <w:rsid w:val="00B764F2"/>
    <w:rsid w:val="00B76A40"/>
    <w:rsid w:val="00B7756F"/>
    <w:rsid w:val="00B77893"/>
    <w:rsid w:val="00B778A0"/>
    <w:rsid w:val="00B77AB8"/>
    <w:rsid w:val="00B805DC"/>
    <w:rsid w:val="00B80B87"/>
    <w:rsid w:val="00B81170"/>
    <w:rsid w:val="00B8125E"/>
    <w:rsid w:val="00B8130B"/>
    <w:rsid w:val="00B81503"/>
    <w:rsid w:val="00B818B9"/>
    <w:rsid w:val="00B820C2"/>
    <w:rsid w:val="00B827BF"/>
    <w:rsid w:val="00B830FD"/>
    <w:rsid w:val="00B83810"/>
    <w:rsid w:val="00B8473E"/>
    <w:rsid w:val="00B85134"/>
    <w:rsid w:val="00B8522F"/>
    <w:rsid w:val="00B86094"/>
    <w:rsid w:val="00B86157"/>
    <w:rsid w:val="00B8671A"/>
    <w:rsid w:val="00B867CF"/>
    <w:rsid w:val="00B86D8D"/>
    <w:rsid w:val="00B8705E"/>
    <w:rsid w:val="00B878EF"/>
    <w:rsid w:val="00B87A7A"/>
    <w:rsid w:val="00B87DF3"/>
    <w:rsid w:val="00B87FBA"/>
    <w:rsid w:val="00B90255"/>
    <w:rsid w:val="00B90A6A"/>
    <w:rsid w:val="00B90DEA"/>
    <w:rsid w:val="00B91C8F"/>
    <w:rsid w:val="00B91D94"/>
    <w:rsid w:val="00B91DD0"/>
    <w:rsid w:val="00B91F5A"/>
    <w:rsid w:val="00B9204E"/>
    <w:rsid w:val="00B929BF"/>
    <w:rsid w:val="00B92A9A"/>
    <w:rsid w:val="00B92B98"/>
    <w:rsid w:val="00B92D8B"/>
    <w:rsid w:val="00B93045"/>
    <w:rsid w:val="00B931C4"/>
    <w:rsid w:val="00B93277"/>
    <w:rsid w:val="00B934D0"/>
    <w:rsid w:val="00B93E10"/>
    <w:rsid w:val="00B9431A"/>
    <w:rsid w:val="00B945A4"/>
    <w:rsid w:val="00B94676"/>
    <w:rsid w:val="00B94AA6"/>
    <w:rsid w:val="00B94AAF"/>
    <w:rsid w:val="00B95364"/>
    <w:rsid w:val="00B95907"/>
    <w:rsid w:val="00B95AEF"/>
    <w:rsid w:val="00B95B0A"/>
    <w:rsid w:val="00B95C5D"/>
    <w:rsid w:val="00B95DD0"/>
    <w:rsid w:val="00B96482"/>
    <w:rsid w:val="00B9649A"/>
    <w:rsid w:val="00B96668"/>
    <w:rsid w:val="00B968E4"/>
    <w:rsid w:val="00B96DC0"/>
    <w:rsid w:val="00B97419"/>
    <w:rsid w:val="00B976A0"/>
    <w:rsid w:val="00B97F80"/>
    <w:rsid w:val="00BA0209"/>
    <w:rsid w:val="00BA059E"/>
    <w:rsid w:val="00BA0B74"/>
    <w:rsid w:val="00BA0C49"/>
    <w:rsid w:val="00BA10BA"/>
    <w:rsid w:val="00BA1C62"/>
    <w:rsid w:val="00BA1D0E"/>
    <w:rsid w:val="00BA1F96"/>
    <w:rsid w:val="00BA26A4"/>
    <w:rsid w:val="00BA2925"/>
    <w:rsid w:val="00BA2CEF"/>
    <w:rsid w:val="00BA2EB0"/>
    <w:rsid w:val="00BA3135"/>
    <w:rsid w:val="00BA3664"/>
    <w:rsid w:val="00BA375C"/>
    <w:rsid w:val="00BA3A8F"/>
    <w:rsid w:val="00BA4066"/>
    <w:rsid w:val="00BA43B6"/>
    <w:rsid w:val="00BA4562"/>
    <w:rsid w:val="00BA46C1"/>
    <w:rsid w:val="00BA4879"/>
    <w:rsid w:val="00BA4AC4"/>
    <w:rsid w:val="00BA541B"/>
    <w:rsid w:val="00BA55EF"/>
    <w:rsid w:val="00BA56D5"/>
    <w:rsid w:val="00BA5952"/>
    <w:rsid w:val="00BA67C9"/>
    <w:rsid w:val="00BA69CA"/>
    <w:rsid w:val="00BA6AC7"/>
    <w:rsid w:val="00BA701A"/>
    <w:rsid w:val="00BA718B"/>
    <w:rsid w:val="00BA7C55"/>
    <w:rsid w:val="00BB0010"/>
    <w:rsid w:val="00BB02BD"/>
    <w:rsid w:val="00BB06A7"/>
    <w:rsid w:val="00BB06D4"/>
    <w:rsid w:val="00BB10CE"/>
    <w:rsid w:val="00BB110E"/>
    <w:rsid w:val="00BB14A4"/>
    <w:rsid w:val="00BB18A1"/>
    <w:rsid w:val="00BB20B6"/>
    <w:rsid w:val="00BB20EF"/>
    <w:rsid w:val="00BB2694"/>
    <w:rsid w:val="00BB26CE"/>
    <w:rsid w:val="00BB3B41"/>
    <w:rsid w:val="00BB3C05"/>
    <w:rsid w:val="00BB3FBD"/>
    <w:rsid w:val="00BB4287"/>
    <w:rsid w:val="00BB42B1"/>
    <w:rsid w:val="00BB4492"/>
    <w:rsid w:val="00BB4769"/>
    <w:rsid w:val="00BB5361"/>
    <w:rsid w:val="00BB5B5A"/>
    <w:rsid w:val="00BB5EF3"/>
    <w:rsid w:val="00BB65D0"/>
    <w:rsid w:val="00BB68CA"/>
    <w:rsid w:val="00BB6B0E"/>
    <w:rsid w:val="00BB7235"/>
    <w:rsid w:val="00BB73A4"/>
    <w:rsid w:val="00BB7598"/>
    <w:rsid w:val="00BC0060"/>
    <w:rsid w:val="00BC0B4B"/>
    <w:rsid w:val="00BC0DCD"/>
    <w:rsid w:val="00BC1621"/>
    <w:rsid w:val="00BC2253"/>
    <w:rsid w:val="00BC29D5"/>
    <w:rsid w:val="00BC3127"/>
    <w:rsid w:val="00BC3179"/>
    <w:rsid w:val="00BC335C"/>
    <w:rsid w:val="00BC3384"/>
    <w:rsid w:val="00BC3551"/>
    <w:rsid w:val="00BC3AF0"/>
    <w:rsid w:val="00BC3BC6"/>
    <w:rsid w:val="00BC3E00"/>
    <w:rsid w:val="00BC40BF"/>
    <w:rsid w:val="00BC44C9"/>
    <w:rsid w:val="00BC45C1"/>
    <w:rsid w:val="00BC4E1B"/>
    <w:rsid w:val="00BC4EA1"/>
    <w:rsid w:val="00BC5241"/>
    <w:rsid w:val="00BC5395"/>
    <w:rsid w:val="00BC55C9"/>
    <w:rsid w:val="00BC5E41"/>
    <w:rsid w:val="00BC63FF"/>
    <w:rsid w:val="00BC679A"/>
    <w:rsid w:val="00BC6AA1"/>
    <w:rsid w:val="00BC6B80"/>
    <w:rsid w:val="00BC6C7A"/>
    <w:rsid w:val="00BC77F6"/>
    <w:rsid w:val="00BC7B95"/>
    <w:rsid w:val="00BC7D87"/>
    <w:rsid w:val="00BD0079"/>
    <w:rsid w:val="00BD133C"/>
    <w:rsid w:val="00BD1957"/>
    <w:rsid w:val="00BD25E1"/>
    <w:rsid w:val="00BD33CE"/>
    <w:rsid w:val="00BD3466"/>
    <w:rsid w:val="00BD34A2"/>
    <w:rsid w:val="00BD3663"/>
    <w:rsid w:val="00BD3BC9"/>
    <w:rsid w:val="00BD3D41"/>
    <w:rsid w:val="00BD40CB"/>
    <w:rsid w:val="00BD4112"/>
    <w:rsid w:val="00BD4120"/>
    <w:rsid w:val="00BD44F1"/>
    <w:rsid w:val="00BD488E"/>
    <w:rsid w:val="00BD4C8A"/>
    <w:rsid w:val="00BD50BE"/>
    <w:rsid w:val="00BD531B"/>
    <w:rsid w:val="00BD564F"/>
    <w:rsid w:val="00BD5908"/>
    <w:rsid w:val="00BD5C91"/>
    <w:rsid w:val="00BD651F"/>
    <w:rsid w:val="00BD6A5D"/>
    <w:rsid w:val="00BD6B5E"/>
    <w:rsid w:val="00BD7459"/>
    <w:rsid w:val="00BD7710"/>
    <w:rsid w:val="00BD7C4B"/>
    <w:rsid w:val="00BD7EE6"/>
    <w:rsid w:val="00BD7F0C"/>
    <w:rsid w:val="00BE002B"/>
    <w:rsid w:val="00BE0389"/>
    <w:rsid w:val="00BE0D9C"/>
    <w:rsid w:val="00BE0E72"/>
    <w:rsid w:val="00BE0F06"/>
    <w:rsid w:val="00BE1A55"/>
    <w:rsid w:val="00BE1A9F"/>
    <w:rsid w:val="00BE2018"/>
    <w:rsid w:val="00BE26BE"/>
    <w:rsid w:val="00BE27A2"/>
    <w:rsid w:val="00BE2A2C"/>
    <w:rsid w:val="00BE2E40"/>
    <w:rsid w:val="00BE2ED0"/>
    <w:rsid w:val="00BE32CC"/>
    <w:rsid w:val="00BE32D2"/>
    <w:rsid w:val="00BE4162"/>
    <w:rsid w:val="00BE4179"/>
    <w:rsid w:val="00BE454F"/>
    <w:rsid w:val="00BE4603"/>
    <w:rsid w:val="00BE49D7"/>
    <w:rsid w:val="00BE50C4"/>
    <w:rsid w:val="00BE53B3"/>
    <w:rsid w:val="00BE5456"/>
    <w:rsid w:val="00BE5775"/>
    <w:rsid w:val="00BE66D4"/>
    <w:rsid w:val="00BE6A33"/>
    <w:rsid w:val="00BE6BBF"/>
    <w:rsid w:val="00BE6E84"/>
    <w:rsid w:val="00BE7645"/>
    <w:rsid w:val="00BE7723"/>
    <w:rsid w:val="00BE77A2"/>
    <w:rsid w:val="00BE7DB4"/>
    <w:rsid w:val="00BE7EB6"/>
    <w:rsid w:val="00BF07DF"/>
    <w:rsid w:val="00BF0919"/>
    <w:rsid w:val="00BF0D70"/>
    <w:rsid w:val="00BF1645"/>
    <w:rsid w:val="00BF1726"/>
    <w:rsid w:val="00BF1839"/>
    <w:rsid w:val="00BF1E34"/>
    <w:rsid w:val="00BF2E08"/>
    <w:rsid w:val="00BF40FF"/>
    <w:rsid w:val="00BF53E0"/>
    <w:rsid w:val="00BF5493"/>
    <w:rsid w:val="00BF599D"/>
    <w:rsid w:val="00BF5EEB"/>
    <w:rsid w:val="00BF68B1"/>
    <w:rsid w:val="00BF69BB"/>
    <w:rsid w:val="00BF6D90"/>
    <w:rsid w:val="00BF7490"/>
    <w:rsid w:val="00BF757F"/>
    <w:rsid w:val="00BF75D1"/>
    <w:rsid w:val="00BF7928"/>
    <w:rsid w:val="00BF7B7D"/>
    <w:rsid w:val="00C001D2"/>
    <w:rsid w:val="00C006C0"/>
    <w:rsid w:val="00C00703"/>
    <w:rsid w:val="00C00908"/>
    <w:rsid w:val="00C012ED"/>
    <w:rsid w:val="00C012F6"/>
    <w:rsid w:val="00C014B6"/>
    <w:rsid w:val="00C01921"/>
    <w:rsid w:val="00C01944"/>
    <w:rsid w:val="00C01B21"/>
    <w:rsid w:val="00C01DC3"/>
    <w:rsid w:val="00C02111"/>
    <w:rsid w:val="00C034CB"/>
    <w:rsid w:val="00C0379C"/>
    <w:rsid w:val="00C03D01"/>
    <w:rsid w:val="00C03EC5"/>
    <w:rsid w:val="00C043F3"/>
    <w:rsid w:val="00C04D1C"/>
    <w:rsid w:val="00C05747"/>
    <w:rsid w:val="00C058C1"/>
    <w:rsid w:val="00C059B8"/>
    <w:rsid w:val="00C05D74"/>
    <w:rsid w:val="00C063B8"/>
    <w:rsid w:val="00C065E2"/>
    <w:rsid w:val="00C06816"/>
    <w:rsid w:val="00C06DF3"/>
    <w:rsid w:val="00C078A3"/>
    <w:rsid w:val="00C079E1"/>
    <w:rsid w:val="00C07C5B"/>
    <w:rsid w:val="00C10205"/>
    <w:rsid w:val="00C106F0"/>
    <w:rsid w:val="00C10A39"/>
    <w:rsid w:val="00C10C9C"/>
    <w:rsid w:val="00C11063"/>
    <w:rsid w:val="00C11F15"/>
    <w:rsid w:val="00C12BA0"/>
    <w:rsid w:val="00C13223"/>
    <w:rsid w:val="00C13B0B"/>
    <w:rsid w:val="00C13BA4"/>
    <w:rsid w:val="00C13D44"/>
    <w:rsid w:val="00C13E9F"/>
    <w:rsid w:val="00C1438E"/>
    <w:rsid w:val="00C14617"/>
    <w:rsid w:val="00C1489E"/>
    <w:rsid w:val="00C1496A"/>
    <w:rsid w:val="00C14E3C"/>
    <w:rsid w:val="00C14E85"/>
    <w:rsid w:val="00C157C6"/>
    <w:rsid w:val="00C15B63"/>
    <w:rsid w:val="00C15BAB"/>
    <w:rsid w:val="00C15F90"/>
    <w:rsid w:val="00C166B5"/>
    <w:rsid w:val="00C16C48"/>
    <w:rsid w:val="00C16E8E"/>
    <w:rsid w:val="00C17411"/>
    <w:rsid w:val="00C17C1C"/>
    <w:rsid w:val="00C17C43"/>
    <w:rsid w:val="00C17D98"/>
    <w:rsid w:val="00C17F65"/>
    <w:rsid w:val="00C17FDD"/>
    <w:rsid w:val="00C20B57"/>
    <w:rsid w:val="00C215CE"/>
    <w:rsid w:val="00C2161B"/>
    <w:rsid w:val="00C22395"/>
    <w:rsid w:val="00C223D0"/>
    <w:rsid w:val="00C22605"/>
    <w:rsid w:val="00C2275E"/>
    <w:rsid w:val="00C22C06"/>
    <w:rsid w:val="00C22DCB"/>
    <w:rsid w:val="00C22E08"/>
    <w:rsid w:val="00C23624"/>
    <w:rsid w:val="00C23670"/>
    <w:rsid w:val="00C238F6"/>
    <w:rsid w:val="00C241C1"/>
    <w:rsid w:val="00C24206"/>
    <w:rsid w:val="00C242BE"/>
    <w:rsid w:val="00C24573"/>
    <w:rsid w:val="00C25780"/>
    <w:rsid w:val="00C25D36"/>
    <w:rsid w:val="00C26851"/>
    <w:rsid w:val="00C26AF2"/>
    <w:rsid w:val="00C27154"/>
    <w:rsid w:val="00C272CD"/>
    <w:rsid w:val="00C27484"/>
    <w:rsid w:val="00C27844"/>
    <w:rsid w:val="00C278A7"/>
    <w:rsid w:val="00C27BEB"/>
    <w:rsid w:val="00C27D20"/>
    <w:rsid w:val="00C27E8D"/>
    <w:rsid w:val="00C303A3"/>
    <w:rsid w:val="00C304F9"/>
    <w:rsid w:val="00C30674"/>
    <w:rsid w:val="00C30846"/>
    <w:rsid w:val="00C308E3"/>
    <w:rsid w:val="00C30A01"/>
    <w:rsid w:val="00C30A18"/>
    <w:rsid w:val="00C30A6F"/>
    <w:rsid w:val="00C30C6B"/>
    <w:rsid w:val="00C3111C"/>
    <w:rsid w:val="00C311A0"/>
    <w:rsid w:val="00C31721"/>
    <w:rsid w:val="00C31EDC"/>
    <w:rsid w:val="00C31F1D"/>
    <w:rsid w:val="00C32413"/>
    <w:rsid w:val="00C3241A"/>
    <w:rsid w:val="00C326D1"/>
    <w:rsid w:val="00C3271A"/>
    <w:rsid w:val="00C32AAD"/>
    <w:rsid w:val="00C32C92"/>
    <w:rsid w:val="00C32EED"/>
    <w:rsid w:val="00C330DA"/>
    <w:rsid w:val="00C33142"/>
    <w:rsid w:val="00C33726"/>
    <w:rsid w:val="00C341AD"/>
    <w:rsid w:val="00C344DE"/>
    <w:rsid w:val="00C3476A"/>
    <w:rsid w:val="00C347D4"/>
    <w:rsid w:val="00C34C58"/>
    <w:rsid w:val="00C34EDC"/>
    <w:rsid w:val="00C355B9"/>
    <w:rsid w:val="00C35722"/>
    <w:rsid w:val="00C35CF0"/>
    <w:rsid w:val="00C35E3F"/>
    <w:rsid w:val="00C36C7E"/>
    <w:rsid w:val="00C36CBE"/>
    <w:rsid w:val="00C36FF5"/>
    <w:rsid w:val="00C371DD"/>
    <w:rsid w:val="00C373AF"/>
    <w:rsid w:val="00C377E5"/>
    <w:rsid w:val="00C37CD5"/>
    <w:rsid w:val="00C4023C"/>
    <w:rsid w:val="00C41306"/>
    <w:rsid w:val="00C41BAA"/>
    <w:rsid w:val="00C426E3"/>
    <w:rsid w:val="00C42D41"/>
    <w:rsid w:val="00C43063"/>
    <w:rsid w:val="00C43508"/>
    <w:rsid w:val="00C438A1"/>
    <w:rsid w:val="00C43FCA"/>
    <w:rsid w:val="00C440A5"/>
    <w:rsid w:val="00C44218"/>
    <w:rsid w:val="00C442F7"/>
    <w:rsid w:val="00C448E9"/>
    <w:rsid w:val="00C44DCB"/>
    <w:rsid w:val="00C45C48"/>
    <w:rsid w:val="00C45CCE"/>
    <w:rsid w:val="00C45E79"/>
    <w:rsid w:val="00C46556"/>
    <w:rsid w:val="00C466C3"/>
    <w:rsid w:val="00C46809"/>
    <w:rsid w:val="00C47586"/>
    <w:rsid w:val="00C47743"/>
    <w:rsid w:val="00C47F58"/>
    <w:rsid w:val="00C5020A"/>
    <w:rsid w:val="00C50801"/>
    <w:rsid w:val="00C50A6E"/>
    <w:rsid w:val="00C516CE"/>
    <w:rsid w:val="00C52438"/>
    <w:rsid w:val="00C52578"/>
    <w:rsid w:val="00C52967"/>
    <w:rsid w:val="00C52A47"/>
    <w:rsid w:val="00C52E02"/>
    <w:rsid w:val="00C531A4"/>
    <w:rsid w:val="00C532B8"/>
    <w:rsid w:val="00C53318"/>
    <w:rsid w:val="00C535B6"/>
    <w:rsid w:val="00C537A5"/>
    <w:rsid w:val="00C53C64"/>
    <w:rsid w:val="00C5415E"/>
    <w:rsid w:val="00C54602"/>
    <w:rsid w:val="00C54AB3"/>
    <w:rsid w:val="00C55B6C"/>
    <w:rsid w:val="00C55F2B"/>
    <w:rsid w:val="00C5627C"/>
    <w:rsid w:val="00C5654D"/>
    <w:rsid w:val="00C56748"/>
    <w:rsid w:val="00C57124"/>
    <w:rsid w:val="00C60048"/>
    <w:rsid w:val="00C6068A"/>
    <w:rsid w:val="00C60B94"/>
    <w:rsid w:val="00C60DB5"/>
    <w:rsid w:val="00C60EAD"/>
    <w:rsid w:val="00C6148B"/>
    <w:rsid w:val="00C617B1"/>
    <w:rsid w:val="00C619A2"/>
    <w:rsid w:val="00C621A6"/>
    <w:rsid w:val="00C62AD9"/>
    <w:rsid w:val="00C62B45"/>
    <w:rsid w:val="00C63271"/>
    <w:rsid w:val="00C63B0C"/>
    <w:rsid w:val="00C63E35"/>
    <w:rsid w:val="00C64237"/>
    <w:rsid w:val="00C6447A"/>
    <w:rsid w:val="00C657EB"/>
    <w:rsid w:val="00C6584B"/>
    <w:rsid w:val="00C65B2A"/>
    <w:rsid w:val="00C65EB3"/>
    <w:rsid w:val="00C65F35"/>
    <w:rsid w:val="00C666A5"/>
    <w:rsid w:val="00C67151"/>
    <w:rsid w:val="00C6733A"/>
    <w:rsid w:val="00C673B2"/>
    <w:rsid w:val="00C6748A"/>
    <w:rsid w:val="00C67F2D"/>
    <w:rsid w:val="00C7077D"/>
    <w:rsid w:val="00C707B2"/>
    <w:rsid w:val="00C7080C"/>
    <w:rsid w:val="00C709CA"/>
    <w:rsid w:val="00C70A13"/>
    <w:rsid w:val="00C70B15"/>
    <w:rsid w:val="00C71089"/>
    <w:rsid w:val="00C719E4"/>
    <w:rsid w:val="00C71D69"/>
    <w:rsid w:val="00C71E7D"/>
    <w:rsid w:val="00C72D60"/>
    <w:rsid w:val="00C72F47"/>
    <w:rsid w:val="00C73620"/>
    <w:rsid w:val="00C73F18"/>
    <w:rsid w:val="00C74075"/>
    <w:rsid w:val="00C740E4"/>
    <w:rsid w:val="00C74315"/>
    <w:rsid w:val="00C74328"/>
    <w:rsid w:val="00C747B8"/>
    <w:rsid w:val="00C74923"/>
    <w:rsid w:val="00C75580"/>
    <w:rsid w:val="00C756A9"/>
    <w:rsid w:val="00C756E5"/>
    <w:rsid w:val="00C7590D"/>
    <w:rsid w:val="00C759F0"/>
    <w:rsid w:val="00C759F2"/>
    <w:rsid w:val="00C75A20"/>
    <w:rsid w:val="00C75DE7"/>
    <w:rsid w:val="00C76263"/>
    <w:rsid w:val="00C764E8"/>
    <w:rsid w:val="00C765B1"/>
    <w:rsid w:val="00C76C37"/>
    <w:rsid w:val="00C76D74"/>
    <w:rsid w:val="00C7715C"/>
    <w:rsid w:val="00C776A5"/>
    <w:rsid w:val="00C776AE"/>
    <w:rsid w:val="00C77CC4"/>
    <w:rsid w:val="00C77D2A"/>
    <w:rsid w:val="00C77DC1"/>
    <w:rsid w:val="00C77FCE"/>
    <w:rsid w:val="00C8031F"/>
    <w:rsid w:val="00C8035B"/>
    <w:rsid w:val="00C80524"/>
    <w:rsid w:val="00C80B8A"/>
    <w:rsid w:val="00C8100A"/>
    <w:rsid w:val="00C817A5"/>
    <w:rsid w:val="00C82029"/>
    <w:rsid w:val="00C8206C"/>
    <w:rsid w:val="00C82936"/>
    <w:rsid w:val="00C82B25"/>
    <w:rsid w:val="00C844A9"/>
    <w:rsid w:val="00C84B12"/>
    <w:rsid w:val="00C84DB0"/>
    <w:rsid w:val="00C86522"/>
    <w:rsid w:val="00C86AE1"/>
    <w:rsid w:val="00C8740D"/>
    <w:rsid w:val="00C87B49"/>
    <w:rsid w:val="00C87BEA"/>
    <w:rsid w:val="00C900A4"/>
    <w:rsid w:val="00C900DA"/>
    <w:rsid w:val="00C90975"/>
    <w:rsid w:val="00C9116D"/>
    <w:rsid w:val="00C9189A"/>
    <w:rsid w:val="00C91992"/>
    <w:rsid w:val="00C91F3D"/>
    <w:rsid w:val="00C9221F"/>
    <w:rsid w:val="00C927A5"/>
    <w:rsid w:val="00C927C0"/>
    <w:rsid w:val="00C927E0"/>
    <w:rsid w:val="00C92A92"/>
    <w:rsid w:val="00C92DB5"/>
    <w:rsid w:val="00C92EAC"/>
    <w:rsid w:val="00C931A9"/>
    <w:rsid w:val="00C931F0"/>
    <w:rsid w:val="00C93461"/>
    <w:rsid w:val="00C9384A"/>
    <w:rsid w:val="00C93978"/>
    <w:rsid w:val="00C939F0"/>
    <w:rsid w:val="00C93DB6"/>
    <w:rsid w:val="00C94097"/>
    <w:rsid w:val="00C940A7"/>
    <w:rsid w:val="00C954AB"/>
    <w:rsid w:val="00C958D8"/>
    <w:rsid w:val="00C965FC"/>
    <w:rsid w:val="00C9679A"/>
    <w:rsid w:val="00C96AE8"/>
    <w:rsid w:val="00C96D84"/>
    <w:rsid w:val="00C96F75"/>
    <w:rsid w:val="00C971D1"/>
    <w:rsid w:val="00C9741B"/>
    <w:rsid w:val="00C97D73"/>
    <w:rsid w:val="00C97F4E"/>
    <w:rsid w:val="00CA04EA"/>
    <w:rsid w:val="00CA0A53"/>
    <w:rsid w:val="00CA0F2B"/>
    <w:rsid w:val="00CA0F7E"/>
    <w:rsid w:val="00CA128C"/>
    <w:rsid w:val="00CA18C8"/>
    <w:rsid w:val="00CA1A6E"/>
    <w:rsid w:val="00CA1C99"/>
    <w:rsid w:val="00CA29A1"/>
    <w:rsid w:val="00CA2CBE"/>
    <w:rsid w:val="00CA310E"/>
    <w:rsid w:val="00CA3519"/>
    <w:rsid w:val="00CA42AA"/>
    <w:rsid w:val="00CA42F8"/>
    <w:rsid w:val="00CA48F7"/>
    <w:rsid w:val="00CA4A1A"/>
    <w:rsid w:val="00CA54D0"/>
    <w:rsid w:val="00CA5D69"/>
    <w:rsid w:val="00CA6098"/>
    <w:rsid w:val="00CA613F"/>
    <w:rsid w:val="00CA67EB"/>
    <w:rsid w:val="00CA71FD"/>
    <w:rsid w:val="00CA767F"/>
    <w:rsid w:val="00CA7729"/>
    <w:rsid w:val="00CB0435"/>
    <w:rsid w:val="00CB0718"/>
    <w:rsid w:val="00CB1B28"/>
    <w:rsid w:val="00CB1C26"/>
    <w:rsid w:val="00CB2753"/>
    <w:rsid w:val="00CB2904"/>
    <w:rsid w:val="00CB3377"/>
    <w:rsid w:val="00CB448C"/>
    <w:rsid w:val="00CB4AE3"/>
    <w:rsid w:val="00CB4D15"/>
    <w:rsid w:val="00CB50F7"/>
    <w:rsid w:val="00CB5104"/>
    <w:rsid w:val="00CB5207"/>
    <w:rsid w:val="00CB5214"/>
    <w:rsid w:val="00CB5540"/>
    <w:rsid w:val="00CB58F9"/>
    <w:rsid w:val="00CB611F"/>
    <w:rsid w:val="00CB61A2"/>
    <w:rsid w:val="00CB6279"/>
    <w:rsid w:val="00CB6779"/>
    <w:rsid w:val="00CB6B89"/>
    <w:rsid w:val="00CB6B9C"/>
    <w:rsid w:val="00CB743E"/>
    <w:rsid w:val="00CB74F0"/>
    <w:rsid w:val="00CC0167"/>
    <w:rsid w:val="00CC0CB4"/>
    <w:rsid w:val="00CC17B0"/>
    <w:rsid w:val="00CC1A18"/>
    <w:rsid w:val="00CC1B31"/>
    <w:rsid w:val="00CC215D"/>
    <w:rsid w:val="00CC29B5"/>
    <w:rsid w:val="00CC2D0F"/>
    <w:rsid w:val="00CC31B0"/>
    <w:rsid w:val="00CC32B5"/>
    <w:rsid w:val="00CC3500"/>
    <w:rsid w:val="00CC39DA"/>
    <w:rsid w:val="00CC4523"/>
    <w:rsid w:val="00CC56FE"/>
    <w:rsid w:val="00CC5948"/>
    <w:rsid w:val="00CC5D88"/>
    <w:rsid w:val="00CC66E8"/>
    <w:rsid w:val="00CC6C48"/>
    <w:rsid w:val="00CC6F88"/>
    <w:rsid w:val="00CC743D"/>
    <w:rsid w:val="00CC7FE2"/>
    <w:rsid w:val="00CD02FF"/>
    <w:rsid w:val="00CD038D"/>
    <w:rsid w:val="00CD0E5B"/>
    <w:rsid w:val="00CD1045"/>
    <w:rsid w:val="00CD213E"/>
    <w:rsid w:val="00CD27D0"/>
    <w:rsid w:val="00CD2B96"/>
    <w:rsid w:val="00CD307E"/>
    <w:rsid w:val="00CD31E2"/>
    <w:rsid w:val="00CD380C"/>
    <w:rsid w:val="00CD3BA2"/>
    <w:rsid w:val="00CD3D91"/>
    <w:rsid w:val="00CD4A53"/>
    <w:rsid w:val="00CD4E2A"/>
    <w:rsid w:val="00CD5033"/>
    <w:rsid w:val="00CD5225"/>
    <w:rsid w:val="00CD5763"/>
    <w:rsid w:val="00CD5865"/>
    <w:rsid w:val="00CD5EDC"/>
    <w:rsid w:val="00CD5FCA"/>
    <w:rsid w:val="00CD658C"/>
    <w:rsid w:val="00CD7928"/>
    <w:rsid w:val="00CD7C36"/>
    <w:rsid w:val="00CD7CBC"/>
    <w:rsid w:val="00CE01B4"/>
    <w:rsid w:val="00CE0811"/>
    <w:rsid w:val="00CE0A17"/>
    <w:rsid w:val="00CE11BE"/>
    <w:rsid w:val="00CE1280"/>
    <w:rsid w:val="00CE16B4"/>
    <w:rsid w:val="00CE1A70"/>
    <w:rsid w:val="00CE1EF2"/>
    <w:rsid w:val="00CE2135"/>
    <w:rsid w:val="00CE2184"/>
    <w:rsid w:val="00CE234A"/>
    <w:rsid w:val="00CE2853"/>
    <w:rsid w:val="00CE4257"/>
    <w:rsid w:val="00CE4AC7"/>
    <w:rsid w:val="00CE4FFF"/>
    <w:rsid w:val="00CE51F5"/>
    <w:rsid w:val="00CE5275"/>
    <w:rsid w:val="00CE52B5"/>
    <w:rsid w:val="00CE52D9"/>
    <w:rsid w:val="00CE5639"/>
    <w:rsid w:val="00CE5CAA"/>
    <w:rsid w:val="00CE5CF4"/>
    <w:rsid w:val="00CE6624"/>
    <w:rsid w:val="00CE6A29"/>
    <w:rsid w:val="00CE6D7B"/>
    <w:rsid w:val="00CE70DD"/>
    <w:rsid w:val="00CE7265"/>
    <w:rsid w:val="00CE7A15"/>
    <w:rsid w:val="00CE7B02"/>
    <w:rsid w:val="00CE7E2F"/>
    <w:rsid w:val="00CF0392"/>
    <w:rsid w:val="00CF0416"/>
    <w:rsid w:val="00CF0443"/>
    <w:rsid w:val="00CF0E86"/>
    <w:rsid w:val="00CF11BA"/>
    <w:rsid w:val="00CF161C"/>
    <w:rsid w:val="00CF1679"/>
    <w:rsid w:val="00CF1A92"/>
    <w:rsid w:val="00CF1CE6"/>
    <w:rsid w:val="00CF2D82"/>
    <w:rsid w:val="00CF37E3"/>
    <w:rsid w:val="00CF3A6B"/>
    <w:rsid w:val="00CF3B65"/>
    <w:rsid w:val="00CF49AE"/>
    <w:rsid w:val="00CF4AEC"/>
    <w:rsid w:val="00CF4CB5"/>
    <w:rsid w:val="00CF4E96"/>
    <w:rsid w:val="00CF4FF6"/>
    <w:rsid w:val="00CF5624"/>
    <w:rsid w:val="00CF5CAE"/>
    <w:rsid w:val="00CF5E16"/>
    <w:rsid w:val="00CF5E41"/>
    <w:rsid w:val="00CF6B14"/>
    <w:rsid w:val="00CF6BC3"/>
    <w:rsid w:val="00CF71DD"/>
    <w:rsid w:val="00CF73D5"/>
    <w:rsid w:val="00CF7445"/>
    <w:rsid w:val="00CF75DD"/>
    <w:rsid w:val="00CF7949"/>
    <w:rsid w:val="00D00010"/>
    <w:rsid w:val="00D0021E"/>
    <w:rsid w:val="00D002B8"/>
    <w:rsid w:val="00D005B0"/>
    <w:rsid w:val="00D006E0"/>
    <w:rsid w:val="00D0085E"/>
    <w:rsid w:val="00D00BA1"/>
    <w:rsid w:val="00D00C2A"/>
    <w:rsid w:val="00D00DD5"/>
    <w:rsid w:val="00D01283"/>
    <w:rsid w:val="00D013D9"/>
    <w:rsid w:val="00D0148B"/>
    <w:rsid w:val="00D0156A"/>
    <w:rsid w:val="00D01789"/>
    <w:rsid w:val="00D02304"/>
    <w:rsid w:val="00D02B72"/>
    <w:rsid w:val="00D02C8F"/>
    <w:rsid w:val="00D0317B"/>
    <w:rsid w:val="00D03A16"/>
    <w:rsid w:val="00D03CBA"/>
    <w:rsid w:val="00D049B5"/>
    <w:rsid w:val="00D05688"/>
    <w:rsid w:val="00D05700"/>
    <w:rsid w:val="00D0570D"/>
    <w:rsid w:val="00D062EB"/>
    <w:rsid w:val="00D068FA"/>
    <w:rsid w:val="00D06CF6"/>
    <w:rsid w:val="00D06D69"/>
    <w:rsid w:val="00D071A0"/>
    <w:rsid w:val="00D07302"/>
    <w:rsid w:val="00D07597"/>
    <w:rsid w:val="00D075B7"/>
    <w:rsid w:val="00D07CF1"/>
    <w:rsid w:val="00D1004C"/>
    <w:rsid w:val="00D103D9"/>
    <w:rsid w:val="00D10429"/>
    <w:rsid w:val="00D1046D"/>
    <w:rsid w:val="00D10881"/>
    <w:rsid w:val="00D10E8C"/>
    <w:rsid w:val="00D11194"/>
    <w:rsid w:val="00D116AC"/>
    <w:rsid w:val="00D1178F"/>
    <w:rsid w:val="00D117CA"/>
    <w:rsid w:val="00D11968"/>
    <w:rsid w:val="00D11DFA"/>
    <w:rsid w:val="00D120DB"/>
    <w:rsid w:val="00D12149"/>
    <w:rsid w:val="00D12693"/>
    <w:rsid w:val="00D127ED"/>
    <w:rsid w:val="00D12C0C"/>
    <w:rsid w:val="00D1332B"/>
    <w:rsid w:val="00D13E1A"/>
    <w:rsid w:val="00D14193"/>
    <w:rsid w:val="00D1450C"/>
    <w:rsid w:val="00D14835"/>
    <w:rsid w:val="00D14A62"/>
    <w:rsid w:val="00D14B6C"/>
    <w:rsid w:val="00D14C49"/>
    <w:rsid w:val="00D14CB2"/>
    <w:rsid w:val="00D15DE8"/>
    <w:rsid w:val="00D15F2F"/>
    <w:rsid w:val="00D15FE5"/>
    <w:rsid w:val="00D1628C"/>
    <w:rsid w:val="00D165FB"/>
    <w:rsid w:val="00D16FE8"/>
    <w:rsid w:val="00D1762E"/>
    <w:rsid w:val="00D17D50"/>
    <w:rsid w:val="00D200E2"/>
    <w:rsid w:val="00D20518"/>
    <w:rsid w:val="00D20B92"/>
    <w:rsid w:val="00D212B7"/>
    <w:rsid w:val="00D212FC"/>
    <w:rsid w:val="00D215E0"/>
    <w:rsid w:val="00D21952"/>
    <w:rsid w:val="00D21BA6"/>
    <w:rsid w:val="00D21E8F"/>
    <w:rsid w:val="00D22897"/>
    <w:rsid w:val="00D2339B"/>
    <w:rsid w:val="00D23E7F"/>
    <w:rsid w:val="00D23FD8"/>
    <w:rsid w:val="00D24631"/>
    <w:rsid w:val="00D24ADF"/>
    <w:rsid w:val="00D25077"/>
    <w:rsid w:val="00D25234"/>
    <w:rsid w:val="00D26ADA"/>
    <w:rsid w:val="00D26D56"/>
    <w:rsid w:val="00D270E7"/>
    <w:rsid w:val="00D271C7"/>
    <w:rsid w:val="00D27864"/>
    <w:rsid w:val="00D27B89"/>
    <w:rsid w:val="00D27BC6"/>
    <w:rsid w:val="00D27C25"/>
    <w:rsid w:val="00D301B9"/>
    <w:rsid w:val="00D30448"/>
    <w:rsid w:val="00D309D0"/>
    <w:rsid w:val="00D30C92"/>
    <w:rsid w:val="00D30DDD"/>
    <w:rsid w:val="00D31106"/>
    <w:rsid w:val="00D3212E"/>
    <w:rsid w:val="00D322D8"/>
    <w:rsid w:val="00D3238E"/>
    <w:rsid w:val="00D32454"/>
    <w:rsid w:val="00D328BC"/>
    <w:rsid w:val="00D32E8F"/>
    <w:rsid w:val="00D332C7"/>
    <w:rsid w:val="00D3365A"/>
    <w:rsid w:val="00D3438A"/>
    <w:rsid w:val="00D34396"/>
    <w:rsid w:val="00D343AC"/>
    <w:rsid w:val="00D34743"/>
    <w:rsid w:val="00D3493F"/>
    <w:rsid w:val="00D34BE3"/>
    <w:rsid w:val="00D34E82"/>
    <w:rsid w:val="00D351A4"/>
    <w:rsid w:val="00D35237"/>
    <w:rsid w:val="00D3551C"/>
    <w:rsid w:val="00D35716"/>
    <w:rsid w:val="00D35FCA"/>
    <w:rsid w:val="00D36275"/>
    <w:rsid w:val="00D362DD"/>
    <w:rsid w:val="00D36B53"/>
    <w:rsid w:val="00D36CE8"/>
    <w:rsid w:val="00D37209"/>
    <w:rsid w:val="00D374DF"/>
    <w:rsid w:val="00D37598"/>
    <w:rsid w:val="00D377D9"/>
    <w:rsid w:val="00D40C08"/>
    <w:rsid w:val="00D410CB"/>
    <w:rsid w:val="00D416AF"/>
    <w:rsid w:val="00D41FB4"/>
    <w:rsid w:val="00D4290F"/>
    <w:rsid w:val="00D4350F"/>
    <w:rsid w:val="00D438D6"/>
    <w:rsid w:val="00D43AF1"/>
    <w:rsid w:val="00D43B3C"/>
    <w:rsid w:val="00D4415D"/>
    <w:rsid w:val="00D44A2D"/>
    <w:rsid w:val="00D45224"/>
    <w:rsid w:val="00D45811"/>
    <w:rsid w:val="00D4609A"/>
    <w:rsid w:val="00D4656D"/>
    <w:rsid w:val="00D47780"/>
    <w:rsid w:val="00D47A8D"/>
    <w:rsid w:val="00D47CD0"/>
    <w:rsid w:val="00D508FF"/>
    <w:rsid w:val="00D51483"/>
    <w:rsid w:val="00D5186A"/>
    <w:rsid w:val="00D521AA"/>
    <w:rsid w:val="00D52ADE"/>
    <w:rsid w:val="00D53222"/>
    <w:rsid w:val="00D534C1"/>
    <w:rsid w:val="00D5350A"/>
    <w:rsid w:val="00D53E35"/>
    <w:rsid w:val="00D53F05"/>
    <w:rsid w:val="00D53FC1"/>
    <w:rsid w:val="00D540B5"/>
    <w:rsid w:val="00D54751"/>
    <w:rsid w:val="00D54BED"/>
    <w:rsid w:val="00D54DB8"/>
    <w:rsid w:val="00D5503B"/>
    <w:rsid w:val="00D550E2"/>
    <w:rsid w:val="00D560AC"/>
    <w:rsid w:val="00D562BD"/>
    <w:rsid w:val="00D56348"/>
    <w:rsid w:val="00D56866"/>
    <w:rsid w:val="00D56C9F"/>
    <w:rsid w:val="00D56D85"/>
    <w:rsid w:val="00D572E3"/>
    <w:rsid w:val="00D57740"/>
    <w:rsid w:val="00D5787B"/>
    <w:rsid w:val="00D60C8D"/>
    <w:rsid w:val="00D60F23"/>
    <w:rsid w:val="00D6167F"/>
    <w:rsid w:val="00D6168B"/>
    <w:rsid w:val="00D61C3A"/>
    <w:rsid w:val="00D61E86"/>
    <w:rsid w:val="00D61FA6"/>
    <w:rsid w:val="00D62040"/>
    <w:rsid w:val="00D6236C"/>
    <w:rsid w:val="00D62AE8"/>
    <w:rsid w:val="00D62FA3"/>
    <w:rsid w:val="00D6306E"/>
    <w:rsid w:val="00D6413D"/>
    <w:rsid w:val="00D649E6"/>
    <w:rsid w:val="00D64B8F"/>
    <w:rsid w:val="00D64D46"/>
    <w:rsid w:val="00D64DE4"/>
    <w:rsid w:val="00D654FE"/>
    <w:rsid w:val="00D656BC"/>
    <w:rsid w:val="00D65A47"/>
    <w:rsid w:val="00D65EC5"/>
    <w:rsid w:val="00D661EE"/>
    <w:rsid w:val="00D6665A"/>
    <w:rsid w:val="00D66D04"/>
    <w:rsid w:val="00D66D38"/>
    <w:rsid w:val="00D67864"/>
    <w:rsid w:val="00D67A03"/>
    <w:rsid w:val="00D702B6"/>
    <w:rsid w:val="00D7046E"/>
    <w:rsid w:val="00D70ADA"/>
    <w:rsid w:val="00D70FB4"/>
    <w:rsid w:val="00D7121B"/>
    <w:rsid w:val="00D713B0"/>
    <w:rsid w:val="00D71655"/>
    <w:rsid w:val="00D722D3"/>
    <w:rsid w:val="00D72A26"/>
    <w:rsid w:val="00D72F38"/>
    <w:rsid w:val="00D7311B"/>
    <w:rsid w:val="00D733BB"/>
    <w:rsid w:val="00D733D1"/>
    <w:rsid w:val="00D73862"/>
    <w:rsid w:val="00D7399A"/>
    <w:rsid w:val="00D73A38"/>
    <w:rsid w:val="00D73B8C"/>
    <w:rsid w:val="00D73F5A"/>
    <w:rsid w:val="00D7532B"/>
    <w:rsid w:val="00D75339"/>
    <w:rsid w:val="00D75CE0"/>
    <w:rsid w:val="00D75ECE"/>
    <w:rsid w:val="00D765AF"/>
    <w:rsid w:val="00D7660C"/>
    <w:rsid w:val="00D7695B"/>
    <w:rsid w:val="00D76B1F"/>
    <w:rsid w:val="00D76F28"/>
    <w:rsid w:val="00D770CD"/>
    <w:rsid w:val="00D77214"/>
    <w:rsid w:val="00D77645"/>
    <w:rsid w:val="00D77B7D"/>
    <w:rsid w:val="00D77D9A"/>
    <w:rsid w:val="00D77FE8"/>
    <w:rsid w:val="00D800C4"/>
    <w:rsid w:val="00D805B3"/>
    <w:rsid w:val="00D80DD7"/>
    <w:rsid w:val="00D80F2A"/>
    <w:rsid w:val="00D81904"/>
    <w:rsid w:val="00D8191B"/>
    <w:rsid w:val="00D81C53"/>
    <w:rsid w:val="00D81D18"/>
    <w:rsid w:val="00D81F38"/>
    <w:rsid w:val="00D82DC1"/>
    <w:rsid w:val="00D82FE7"/>
    <w:rsid w:val="00D8333D"/>
    <w:rsid w:val="00D839F7"/>
    <w:rsid w:val="00D83B95"/>
    <w:rsid w:val="00D83F03"/>
    <w:rsid w:val="00D845BD"/>
    <w:rsid w:val="00D84808"/>
    <w:rsid w:val="00D84966"/>
    <w:rsid w:val="00D84BA4"/>
    <w:rsid w:val="00D84FDE"/>
    <w:rsid w:val="00D85491"/>
    <w:rsid w:val="00D8549D"/>
    <w:rsid w:val="00D860E9"/>
    <w:rsid w:val="00D8619F"/>
    <w:rsid w:val="00D872CA"/>
    <w:rsid w:val="00D87637"/>
    <w:rsid w:val="00D877AA"/>
    <w:rsid w:val="00D87A65"/>
    <w:rsid w:val="00D87E45"/>
    <w:rsid w:val="00D90FB0"/>
    <w:rsid w:val="00D910C1"/>
    <w:rsid w:val="00D91A6C"/>
    <w:rsid w:val="00D92331"/>
    <w:rsid w:val="00D9242D"/>
    <w:rsid w:val="00D92BB8"/>
    <w:rsid w:val="00D92BCF"/>
    <w:rsid w:val="00D92BE9"/>
    <w:rsid w:val="00D92FCA"/>
    <w:rsid w:val="00D930D2"/>
    <w:rsid w:val="00D9320C"/>
    <w:rsid w:val="00D93312"/>
    <w:rsid w:val="00D9332C"/>
    <w:rsid w:val="00D93481"/>
    <w:rsid w:val="00D93731"/>
    <w:rsid w:val="00D93A8D"/>
    <w:rsid w:val="00D93B5C"/>
    <w:rsid w:val="00D93BA5"/>
    <w:rsid w:val="00D93DC7"/>
    <w:rsid w:val="00D93DFD"/>
    <w:rsid w:val="00D9410E"/>
    <w:rsid w:val="00D942D4"/>
    <w:rsid w:val="00D94881"/>
    <w:rsid w:val="00D94D77"/>
    <w:rsid w:val="00D952BE"/>
    <w:rsid w:val="00D95635"/>
    <w:rsid w:val="00D95817"/>
    <w:rsid w:val="00D95E73"/>
    <w:rsid w:val="00D96871"/>
    <w:rsid w:val="00D970F7"/>
    <w:rsid w:val="00D97278"/>
    <w:rsid w:val="00D9771E"/>
    <w:rsid w:val="00DA0077"/>
    <w:rsid w:val="00DA026E"/>
    <w:rsid w:val="00DA032C"/>
    <w:rsid w:val="00DA0463"/>
    <w:rsid w:val="00DA04F6"/>
    <w:rsid w:val="00DA0543"/>
    <w:rsid w:val="00DA0A21"/>
    <w:rsid w:val="00DA0B02"/>
    <w:rsid w:val="00DA0BE3"/>
    <w:rsid w:val="00DA1266"/>
    <w:rsid w:val="00DA14A1"/>
    <w:rsid w:val="00DA17F8"/>
    <w:rsid w:val="00DA1A3D"/>
    <w:rsid w:val="00DA1A45"/>
    <w:rsid w:val="00DA1BEE"/>
    <w:rsid w:val="00DA1CF4"/>
    <w:rsid w:val="00DA21ED"/>
    <w:rsid w:val="00DA2C85"/>
    <w:rsid w:val="00DA2F8D"/>
    <w:rsid w:val="00DA3B5B"/>
    <w:rsid w:val="00DA3FD2"/>
    <w:rsid w:val="00DA471A"/>
    <w:rsid w:val="00DA48D7"/>
    <w:rsid w:val="00DA4E12"/>
    <w:rsid w:val="00DA509C"/>
    <w:rsid w:val="00DA59DD"/>
    <w:rsid w:val="00DA5C9B"/>
    <w:rsid w:val="00DA5D36"/>
    <w:rsid w:val="00DA60A5"/>
    <w:rsid w:val="00DA6488"/>
    <w:rsid w:val="00DA66C3"/>
    <w:rsid w:val="00DA69D3"/>
    <w:rsid w:val="00DA6DDD"/>
    <w:rsid w:val="00DA72C0"/>
    <w:rsid w:val="00DB043F"/>
    <w:rsid w:val="00DB0775"/>
    <w:rsid w:val="00DB0EA8"/>
    <w:rsid w:val="00DB18B4"/>
    <w:rsid w:val="00DB1E05"/>
    <w:rsid w:val="00DB2A5C"/>
    <w:rsid w:val="00DB2B21"/>
    <w:rsid w:val="00DB3459"/>
    <w:rsid w:val="00DB42FC"/>
    <w:rsid w:val="00DB44F9"/>
    <w:rsid w:val="00DB46FC"/>
    <w:rsid w:val="00DB4C0F"/>
    <w:rsid w:val="00DB4D7C"/>
    <w:rsid w:val="00DB4E07"/>
    <w:rsid w:val="00DB4F9A"/>
    <w:rsid w:val="00DB5391"/>
    <w:rsid w:val="00DB53C6"/>
    <w:rsid w:val="00DB559F"/>
    <w:rsid w:val="00DB57B3"/>
    <w:rsid w:val="00DB5B3C"/>
    <w:rsid w:val="00DB5BEC"/>
    <w:rsid w:val="00DB5ED5"/>
    <w:rsid w:val="00DB6556"/>
    <w:rsid w:val="00DB6591"/>
    <w:rsid w:val="00DB675D"/>
    <w:rsid w:val="00DB681F"/>
    <w:rsid w:val="00DB6994"/>
    <w:rsid w:val="00DB6D14"/>
    <w:rsid w:val="00DB7051"/>
    <w:rsid w:val="00DB716A"/>
    <w:rsid w:val="00DB71C3"/>
    <w:rsid w:val="00DB72AA"/>
    <w:rsid w:val="00DB73CB"/>
    <w:rsid w:val="00DB7783"/>
    <w:rsid w:val="00DC08D0"/>
    <w:rsid w:val="00DC15CB"/>
    <w:rsid w:val="00DC19E7"/>
    <w:rsid w:val="00DC1BCF"/>
    <w:rsid w:val="00DC1D32"/>
    <w:rsid w:val="00DC2045"/>
    <w:rsid w:val="00DC25BF"/>
    <w:rsid w:val="00DC268B"/>
    <w:rsid w:val="00DC26E4"/>
    <w:rsid w:val="00DC272F"/>
    <w:rsid w:val="00DC2B8C"/>
    <w:rsid w:val="00DC3737"/>
    <w:rsid w:val="00DC398D"/>
    <w:rsid w:val="00DC4D19"/>
    <w:rsid w:val="00DC51DF"/>
    <w:rsid w:val="00DC5225"/>
    <w:rsid w:val="00DC563A"/>
    <w:rsid w:val="00DC5830"/>
    <w:rsid w:val="00DC5B5A"/>
    <w:rsid w:val="00DC5BB8"/>
    <w:rsid w:val="00DC6249"/>
    <w:rsid w:val="00DC6473"/>
    <w:rsid w:val="00DC67E8"/>
    <w:rsid w:val="00DC68CB"/>
    <w:rsid w:val="00DC69B6"/>
    <w:rsid w:val="00DC76B2"/>
    <w:rsid w:val="00DC7725"/>
    <w:rsid w:val="00DC77F1"/>
    <w:rsid w:val="00DD04DE"/>
    <w:rsid w:val="00DD0930"/>
    <w:rsid w:val="00DD1403"/>
    <w:rsid w:val="00DD1419"/>
    <w:rsid w:val="00DD18D8"/>
    <w:rsid w:val="00DD1AFF"/>
    <w:rsid w:val="00DD203A"/>
    <w:rsid w:val="00DD2300"/>
    <w:rsid w:val="00DD272E"/>
    <w:rsid w:val="00DD30DC"/>
    <w:rsid w:val="00DD33D7"/>
    <w:rsid w:val="00DD39E2"/>
    <w:rsid w:val="00DD3ACC"/>
    <w:rsid w:val="00DD410B"/>
    <w:rsid w:val="00DD449F"/>
    <w:rsid w:val="00DD4811"/>
    <w:rsid w:val="00DD48A8"/>
    <w:rsid w:val="00DD4B1C"/>
    <w:rsid w:val="00DD4E9B"/>
    <w:rsid w:val="00DD61B8"/>
    <w:rsid w:val="00DD6BB5"/>
    <w:rsid w:val="00DD70A1"/>
    <w:rsid w:val="00DD730B"/>
    <w:rsid w:val="00DD76F0"/>
    <w:rsid w:val="00DD7A6E"/>
    <w:rsid w:val="00DE0736"/>
    <w:rsid w:val="00DE1FB2"/>
    <w:rsid w:val="00DE351F"/>
    <w:rsid w:val="00DE3C60"/>
    <w:rsid w:val="00DE46CD"/>
    <w:rsid w:val="00DE46EA"/>
    <w:rsid w:val="00DE51FC"/>
    <w:rsid w:val="00DE575D"/>
    <w:rsid w:val="00DE5816"/>
    <w:rsid w:val="00DE5C50"/>
    <w:rsid w:val="00DE6057"/>
    <w:rsid w:val="00DE6395"/>
    <w:rsid w:val="00DE6E09"/>
    <w:rsid w:val="00DE721A"/>
    <w:rsid w:val="00DE7717"/>
    <w:rsid w:val="00DE7CB8"/>
    <w:rsid w:val="00DF0114"/>
    <w:rsid w:val="00DF0D62"/>
    <w:rsid w:val="00DF0E81"/>
    <w:rsid w:val="00DF120F"/>
    <w:rsid w:val="00DF17FF"/>
    <w:rsid w:val="00DF25EB"/>
    <w:rsid w:val="00DF3004"/>
    <w:rsid w:val="00DF322E"/>
    <w:rsid w:val="00DF350E"/>
    <w:rsid w:val="00DF367B"/>
    <w:rsid w:val="00DF3768"/>
    <w:rsid w:val="00DF4383"/>
    <w:rsid w:val="00DF466B"/>
    <w:rsid w:val="00DF52B2"/>
    <w:rsid w:val="00DF5C20"/>
    <w:rsid w:val="00DF6A26"/>
    <w:rsid w:val="00DF6F61"/>
    <w:rsid w:val="00DF7512"/>
    <w:rsid w:val="00E00173"/>
    <w:rsid w:val="00E01741"/>
    <w:rsid w:val="00E01B1C"/>
    <w:rsid w:val="00E01C3F"/>
    <w:rsid w:val="00E01DAD"/>
    <w:rsid w:val="00E01FE0"/>
    <w:rsid w:val="00E02176"/>
    <w:rsid w:val="00E02534"/>
    <w:rsid w:val="00E02A1A"/>
    <w:rsid w:val="00E02CD8"/>
    <w:rsid w:val="00E037A5"/>
    <w:rsid w:val="00E03DFD"/>
    <w:rsid w:val="00E04369"/>
    <w:rsid w:val="00E0494C"/>
    <w:rsid w:val="00E058DC"/>
    <w:rsid w:val="00E05A20"/>
    <w:rsid w:val="00E05BC6"/>
    <w:rsid w:val="00E066CF"/>
    <w:rsid w:val="00E069FB"/>
    <w:rsid w:val="00E06AAB"/>
    <w:rsid w:val="00E075F7"/>
    <w:rsid w:val="00E07D32"/>
    <w:rsid w:val="00E101AF"/>
    <w:rsid w:val="00E106DE"/>
    <w:rsid w:val="00E10B12"/>
    <w:rsid w:val="00E11289"/>
    <w:rsid w:val="00E114B2"/>
    <w:rsid w:val="00E116B1"/>
    <w:rsid w:val="00E119E8"/>
    <w:rsid w:val="00E11DAC"/>
    <w:rsid w:val="00E12455"/>
    <w:rsid w:val="00E125CA"/>
    <w:rsid w:val="00E12758"/>
    <w:rsid w:val="00E12A55"/>
    <w:rsid w:val="00E12ABF"/>
    <w:rsid w:val="00E12B54"/>
    <w:rsid w:val="00E12CED"/>
    <w:rsid w:val="00E13087"/>
    <w:rsid w:val="00E132E8"/>
    <w:rsid w:val="00E137D2"/>
    <w:rsid w:val="00E13950"/>
    <w:rsid w:val="00E13ACD"/>
    <w:rsid w:val="00E140E6"/>
    <w:rsid w:val="00E14104"/>
    <w:rsid w:val="00E1481D"/>
    <w:rsid w:val="00E14D3D"/>
    <w:rsid w:val="00E14D98"/>
    <w:rsid w:val="00E14F84"/>
    <w:rsid w:val="00E1517B"/>
    <w:rsid w:val="00E15A10"/>
    <w:rsid w:val="00E15CBF"/>
    <w:rsid w:val="00E15DD4"/>
    <w:rsid w:val="00E15DDB"/>
    <w:rsid w:val="00E161ED"/>
    <w:rsid w:val="00E16824"/>
    <w:rsid w:val="00E16A7B"/>
    <w:rsid w:val="00E16C23"/>
    <w:rsid w:val="00E16F5A"/>
    <w:rsid w:val="00E1751E"/>
    <w:rsid w:val="00E17AF8"/>
    <w:rsid w:val="00E17B07"/>
    <w:rsid w:val="00E201EA"/>
    <w:rsid w:val="00E2056C"/>
    <w:rsid w:val="00E20A10"/>
    <w:rsid w:val="00E20CBA"/>
    <w:rsid w:val="00E21D24"/>
    <w:rsid w:val="00E21DD1"/>
    <w:rsid w:val="00E22485"/>
    <w:rsid w:val="00E23116"/>
    <w:rsid w:val="00E2348E"/>
    <w:rsid w:val="00E2421B"/>
    <w:rsid w:val="00E2486F"/>
    <w:rsid w:val="00E24871"/>
    <w:rsid w:val="00E24ABC"/>
    <w:rsid w:val="00E24C51"/>
    <w:rsid w:val="00E254AE"/>
    <w:rsid w:val="00E26132"/>
    <w:rsid w:val="00E263A5"/>
    <w:rsid w:val="00E26578"/>
    <w:rsid w:val="00E26C2F"/>
    <w:rsid w:val="00E2739E"/>
    <w:rsid w:val="00E27DE3"/>
    <w:rsid w:val="00E30AC4"/>
    <w:rsid w:val="00E31567"/>
    <w:rsid w:val="00E31C52"/>
    <w:rsid w:val="00E31E57"/>
    <w:rsid w:val="00E31F68"/>
    <w:rsid w:val="00E32117"/>
    <w:rsid w:val="00E3265E"/>
    <w:rsid w:val="00E331D8"/>
    <w:rsid w:val="00E33269"/>
    <w:rsid w:val="00E3338E"/>
    <w:rsid w:val="00E33521"/>
    <w:rsid w:val="00E335C6"/>
    <w:rsid w:val="00E33D42"/>
    <w:rsid w:val="00E34869"/>
    <w:rsid w:val="00E348D8"/>
    <w:rsid w:val="00E34AAE"/>
    <w:rsid w:val="00E34B16"/>
    <w:rsid w:val="00E34C29"/>
    <w:rsid w:val="00E34FE4"/>
    <w:rsid w:val="00E357CF"/>
    <w:rsid w:val="00E35A02"/>
    <w:rsid w:val="00E35EDA"/>
    <w:rsid w:val="00E362D7"/>
    <w:rsid w:val="00E362DE"/>
    <w:rsid w:val="00E36FF3"/>
    <w:rsid w:val="00E370E7"/>
    <w:rsid w:val="00E371E5"/>
    <w:rsid w:val="00E37392"/>
    <w:rsid w:val="00E37BC0"/>
    <w:rsid w:val="00E37EA0"/>
    <w:rsid w:val="00E4021A"/>
    <w:rsid w:val="00E404BC"/>
    <w:rsid w:val="00E404E1"/>
    <w:rsid w:val="00E40C46"/>
    <w:rsid w:val="00E41BB8"/>
    <w:rsid w:val="00E421A4"/>
    <w:rsid w:val="00E42286"/>
    <w:rsid w:val="00E423A4"/>
    <w:rsid w:val="00E427CA"/>
    <w:rsid w:val="00E43636"/>
    <w:rsid w:val="00E4372C"/>
    <w:rsid w:val="00E43853"/>
    <w:rsid w:val="00E439AE"/>
    <w:rsid w:val="00E43D7E"/>
    <w:rsid w:val="00E44925"/>
    <w:rsid w:val="00E44A2D"/>
    <w:rsid w:val="00E44AE9"/>
    <w:rsid w:val="00E4538F"/>
    <w:rsid w:val="00E45E50"/>
    <w:rsid w:val="00E45FD2"/>
    <w:rsid w:val="00E462C5"/>
    <w:rsid w:val="00E46387"/>
    <w:rsid w:val="00E46B28"/>
    <w:rsid w:val="00E46EC7"/>
    <w:rsid w:val="00E47086"/>
    <w:rsid w:val="00E47124"/>
    <w:rsid w:val="00E50339"/>
    <w:rsid w:val="00E5049B"/>
    <w:rsid w:val="00E50977"/>
    <w:rsid w:val="00E50BB8"/>
    <w:rsid w:val="00E50C23"/>
    <w:rsid w:val="00E51347"/>
    <w:rsid w:val="00E51615"/>
    <w:rsid w:val="00E51792"/>
    <w:rsid w:val="00E520C0"/>
    <w:rsid w:val="00E52290"/>
    <w:rsid w:val="00E52C45"/>
    <w:rsid w:val="00E52D24"/>
    <w:rsid w:val="00E52E3C"/>
    <w:rsid w:val="00E530D5"/>
    <w:rsid w:val="00E5312B"/>
    <w:rsid w:val="00E5322A"/>
    <w:rsid w:val="00E5368F"/>
    <w:rsid w:val="00E53B2B"/>
    <w:rsid w:val="00E53DB8"/>
    <w:rsid w:val="00E54299"/>
    <w:rsid w:val="00E5437E"/>
    <w:rsid w:val="00E54D6D"/>
    <w:rsid w:val="00E54F34"/>
    <w:rsid w:val="00E5509B"/>
    <w:rsid w:val="00E554F0"/>
    <w:rsid w:val="00E5581A"/>
    <w:rsid w:val="00E558C6"/>
    <w:rsid w:val="00E559A3"/>
    <w:rsid w:val="00E55B2D"/>
    <w:rsid w:val="00E56373"/>
    <w:rsid w:val="00E56667"/>
    <w:rsid w:val="00E56D8E"/>
    <w:rsid w:val="00E56F71"/>
    <w:rsid w:val="00E57104"/>
    <w:rsid w:val="00E574E0"/>
    <w:rsid w:val="00E57582"/>
    <w:rsid w:val="00E5772D"/>
    <w:rsid w:val="00E57857"/>
    <w:rsid w:val="00E5799E"/>
    <w:rsid w:val="00E57F31"/>
    <w:rsid w:val="00E603AA"/>
    <w:rsid w:val="00E607A6"/>
    <w:rsid w:val="00E60C9D"/>
    <w:rsid w:val="00E60E70"/>
    <w:rsid w:val="00E60E96"/>
    <w:rsid w:val="00E60F0D"/>
    <w:rsid w:val="00E60FAE"/>
    <w:rsid w:val="00E60FB0"/>
    <w:rsid w:val="00E612B2"/>
    <w:rsid w:val="00E616EC"/>
    <w:rsid w:val="00E61B97"/>
    <w:rsid w:val="00E62074"/>
    <w:rsid w:val="00E62148"/>
    <w:rsid w:val="00E6273C"/>
    <w:rsid w:val="00E629ED"/>
    <w:rsid w:val="00E63271"/>
    <w:rsid w:val="00E63534"/>
    <w:rsid w:val="00E63584"/>
    <w:rsid w:val="00E636EA"/>
    <w:rsid w:val="00E63B76"/>
    <w:rsid w:val="00E63E2F"/>
    <w:rsid w:val="00E644AD"/>
    <w:rsid w:val="00E645F8"/>
    <w:rsid w:val="00E64777"/>
    <w:rsid w:val="00E64901"/>
    <w:rsid w:val="00E64959"/>
    <w:rsid w:val="00E64F51"/>
    <w:rsid w:val="00E65286"/>
    <w:rsid w:val="00E65D1D"/>
    <w:rsid w:val="00E66A8B"/>
    <w:rsid w:val="00E6711F"/>
    <w:rsid w:val="00E67833"/>
    <w:rsid w:val="00E67A6E"/>
    <w:rsid w:val="00E704A7"/>
    <w:rsid w:val="00E7065A"/>
    <w:rsid w:val="00E70B4F"/>
    <w:rsid w:val="00E70D0E"/>
    <w:rsid w:val="00E71044"/>
    <w:rsid w:val="00E71418"/>
    <w:rsid w:val="00E71786"/>
    <w:rsid w:val="00E72425"/>
    <w:rsid w:val="00E72512"/>
    <w:rsid w:val="00E727F7"/>
    <w:rsid w:val="00E7280B"/>
    <w:rsid w:val="00E7321D"/>
    <w:rsid w:val="00E735E0"/>
    <w:rsid w:val="00E736CB"/>
    <w:rsid w:val="00E7371C"/>
    <w:rsid w:val="00E7384A"/>
    <w:rsid w:val="00E740B5"/>
    <w:rsid w:val="00E745D1"/>
    <w:rsid w:val="00E760D0"/>
    <w:rsid w:val="00E7622E"/>
    <w:rsid w:val="00E76D9D"/>
    <w:rsid w:val="00E77C94"/>
    <w:rsid w:val="00E77E38"/>
    <w:rsid w:val="00E8054E"/>
    <w:rsid w:val="00E8070B"/>
    <w:rsid w:val="00E807BE"/>
    <w:rsid w:val="00E80921"/>
    <w:rsid w:val="00E81254"/>
    <w:rsid w:val="00E814C6"/>
    <w:rsid w:val="00E8152E"/>
    <w:rsid w:val="00E81657"/>
    <w:rsid w:val="00E81671"/>
    <w:rsid w:val="00E826DB"/>
    <w:rsid w:val="00E8307B"/>
    <w:rsid w:val="00E83324"/>
    <w:rsid w:val="00E835DF"/>
    <w:rsid w:val="00E844B5"/>
    <w:rsid w:val="00E844C3"/>
    <w:rsid w:val="00E847B4"/>
    <w:rsid w:val="00E84A8C"/>
    <w:rsid w:val="00E84B50"/>
    <w:rsid w:val="00E84BF5"/>
    <w:rsid w:val="00E85447"/>
    <w:rsid w:val="00E85AF1"/>
    <w:rsid w:val="00E861EA"/>
    <w:rsid w:val="00E86239"/>
    <w:rsid w:val="00E86253"/>
    <w:rsid w:val="00E8642F"/>
    <w:rsid w:val="00E86E40"/>
    <w:rsid w:val="00E8745D"/>
    <w:rsid w:val="00E903C4"/>
    <w:rsid w:val="00E9062E"/>
    <w:rsid w:val="00E90658"/>
    <w:rsid w:val="00E90EFC"/>
    <w:rsid w:val="00E91214"/>
    <w:rsid w:val="00E915A4"/>
    <w:rsid w:val="00E91A1A"/>
    <w:rsid w:val="00E91B7B"/>
    <w:rsid w:val="00E91BC9"/>
    <w:rsid w:val="00E91F07"/>
    <w:rsid w:val="00E9201A"/>
    <w:rsid w:val="00E9206B"/>
    <w:rsid w:val="00E93213"/>
    <w:rsid w:val="00E93589"/>
    <w:rsid w:val="00E9382F"/>
    <w:rsid w:val="00E94217"/>
    <w:rsid w:val="00E9500C"/>
    <w:rsid w:val="00E9535A"/>
    <w:rsid w:val="00E95E1C"/>
    <w:rsid w:val="00E96795"/>
    <w:rsid w:val="00E96BBA"/>
    <w:rsid w:val="00E96F4F"/>
    <w:rsid w:val="00E97229"/>
    <w:rsid w:val="00E97415"/>
    <w:rsid w:val="00E974AE"/>
    <w:rsid w:val="00E9798D"/>
    <w:rsid w:val="00EA0039"/>
    <w:rsid w:val="00EA011C"/>
    <w:rsid w:val="00EA1672"/>
    <w:rsid w:val="00EA1AE4"/>
    <w:rsid w:val="00EA1BFC"/>
    <w:rsid w:val="00EA2359"/>
    <w:rsid w:val="00EA25F6"/>
    <w:rsid w:val="00EA323F"/>
    <w:rsid w:val="00EA3265"/>
    <w:rsid w:val="00EA3471"/>
    <w:rsid w:val="00EA34C8"/>
    <w:rsid w:val="00EA3684"/>
    <w:rsid w:val="00EA46DC"/>
    <w:rsid w:val="00EA471F"/>
    <w:rsid w:val="00EA4C17"/>
    <w:rsid w:val="00EA5160"/>
    <w:rsid w:val="00EA51D0"/>
    <w:rsid w:val="00EA53CF"/>
    <w:rsid w:val="00EA56E0"/>
    <w:rsid w:val="00EA588D"/>
    <w:rsid w:val="00EA5C9D"/>
    <w:rsid w:val="00EA603F"/>
    <w:rsid w:val="00EA69AA"/>
    <w:rsid w:val="00EA6E47"/>
    <w:rsid w:val="00EA7620"/>
    <w:rsid w:val="00EA77DD"/>
    <w:rsid w:val="00EA788E"/>
    <w:rsid w:val="00EA7C1E"/>
    <w:rsid w:val="00EA7E4B"/>
    <w:rsid w:val="00EB046B"/>
    <w:rsid w:val="00EB08DE"/>
    <w:rsid w:val="00EB1069"/>
    <w:rsid w:val="00EB10D6"/>
    <w:rsid w:val="00EB11F9"/>
    <w:rsid w:val="00EB133A"/>
    <w:rsid w:val="00EB16FC"/>
    <w:rsid w:val="00EB18E7"/>
    <w:rsid w:val="00EB18FA"/>
    <w:rsid w:val="00EB1C02"/>
    <w:rsid w:val="00EB1CF2"/>
    <w:rsid w:val="00EB1D28"/>
    <w:rsid w:val="00EB27EA"/>
    <w:rsid w:val="00EB2878"/>
    <w:rsid w:val="00EB28C1"/>
    <w:rsid w:val="00EB2931"/>
    <w:rsid w:val="00EB2B55"/>
    <w:rsid w:val="00EB2F0E"/>
    <w:rsid w:val="00EB325E"/>
    <w:rsid w:val="00EB357C"/>
    <w:rsid w:val="00EB3602"/>
    <w:rsid w:val="00EB37C9"/>
    <w:rsid w:val="00EB3923"/>
    <w:rsid w:val="00EB3C35"/>
    <w:rsid w:val="00EB3C92"/>
    <w:rsid w:val="00EB4134"/>
    <w:rsid w:val="00EB4228"/>
    <w:rsid w:val="00EB4D4B"/>
    <w:rsid w:val="00EB4F2E"/>
    <w:rsid w:val="00EB5700"/>
    <w:rsid w:val="00EB5AE3"/>
    <w:rsid w:val="00EB5CF7"/>
    <w:rsid w:val="00EB60C0"/>
    <w:rsid w:val="00EB62BC"/>
    <w:rsid w:val="00EB655E"/>
    <w:rsid w:val="00EB7754"/>
    <w:rsid w:val="00EB7B97"/>
    <w:rsid w:val="00EB7CF5"/>
    <w:rsid w:val="00EB7D60"/>
    <w:rsid w:val="00EC01FC"/>
    <w:rsid w:val="00EC080A"/>
    <w:rsid w:val="00EC0B37"/>
    <w:rsid w:val="00EC191D"/>
    <w:rsid w:val="00EC265E"/>
    <w:rsid w:val="00EC2BF7"/>
    <w:rsid w:val="00EC2FD9"/>
    <w:rsid w:val="00EC312B"/>
    <w:rsid w:val="00EC322F"/>
    <w:rsid w:val="00EC36C6"/>
    <w:rsid w:val="00EC3A0D"/>
    <w:rsid w:val="00EC3DBE"/>
    <w:rsid w:val="00EC3FF5"/>
    <w:rsid w:val="00EC4083"/>
    <w:rsid w:val="00EC44B0"/>
    <w:rsid w:val="00EC513F"/>
    <w:rsid w:val="00EC5200"/>
    <w:rsid w:val="00EC520E"/>
    <w:rsid w:val="00EC536A"/>
    <w:rsid w:val="00EC567F"/>
    <w:rsid w:val="00EC5785"/>
    <w:rsid w:val="00EC578D"/>
    <w:rsid w:val="00EC5BED"/>
    <w:rsid w:val="00EC5C34"/>
    <w:rsid w:val="00EC658F"/>
    <w:rsid w:val="00EC6684"/>
    <w:rsid w:val="00EC680C"/>
    <w:rsid w:val="00EC6A66"/>
    <w:rsid w:val="00EC6DC1"/>
    <w:rsid w:val="00EC7606"/>
    <w:rsid w:val="00EC78A3"/>
    <w:rsid w:val="00EC7B49"/>
    <w:rsid w:val="00EC7EAB"/>
    <w:rsid w:val="00ED00FB"/>
    <w:rsid w:val="00ED016D"/>
    <w:rsid w:val="00ED0B8D"/>
    <w:rsid w:val="00ED0CAB"/>
    <w:rsid w:val="00ED124F"/>
    <w:rsid w:val="00ED1878"/>
    <w:rsid w:val="00ED1B78"/>
    <w:rsid w:val="00ED1CA0"/>
    <w:rsid w:val="00ED1D4B"/>
    <w:rsid w:val="00ED1E2D"/>
    <w:rsid w:val="00ED1E83"/>
    <w:rsid w:val="00ED1FAF"/>
    <w:rsid w:val="00ED224C"/>
    <w:rsid w:val="00ED2B62"/>
    <w:rsid w:val="00ED2B90"/>
    <w:rsid w:val="00ED2E06"/>
    <w:rsid w:val="00ED2E9B"/>
    <w:rsid w:val="00ED2F63"/>
    <w:rsid w:val="00ED33F3"/>
    <w:rsid w:val="00ED35E8"/>
    <w:rsid w:val="00ED37FA"/>
    <w:rsid w:val="00ED42BF"/>
    <w:rsid w:val="00ED4336"/>
    <w:rsid w:val="00ED4C5F"/>
    <w:rsid w:val="00ED4DDC"/>
    <w:rsid w:val="00ED5565"/>
    <w:rsid w:val="00ED5C56"/>
    <w:rsid w:val="00ED5D0B"/>
    <w:rsid w:val="00ED6003"/>
    <w:rsid w:val="00ED60E4"/>
    <w:rsid w:val="00ED6D30"/>
    <w:rsid w:val="00ED7136"/>
    <w:rsid w:val="00ED760E"/>
    <w:rsid w:val="00ED76D6"/>
    <w:rsid w:val="00ED7969"/>
    <w:rsid w:val="00EE0181"/>
    <w:rsid w:val="00EE079C"/>
    <w:rsid w:val="00EE0AA4"/>
    <w:rsid w:val="00EE0BAF"/>
    <w:rsid w:val="00EE0D1E"/>
    <w:rsid w:val="00EE0EE9"/>
    <w:rsid w:val="00EE17DE"/>
    <w:rsid w:val="00EE1859"/>
    <w:rsid w:val="00EE1A0C"/>
    <w:rsid w:val="00EE2147"/>
    <w:rsid w:val="00EE27D0"/>
    <w:rsid w:val="00EE2E4B"/>
    <w:rsid w:val="00EE30E4"/>
    <w:rsid w:val="00EE3C02"/>
    <w:rsid w:val="00EE3C99"/>
    <w:rsid w:val="00EE3DE8"/>
    <w:rsid w:val="00EE423C"/>
    <w:rsid w:val="00EE4564"/>
    <w:rsid w:val="00EE510D"/>
    <w:rsid w:val="00EE5B20"/>
    <w:rsid w:val="00EE61BC"/>
    <w:rsid w:val="00EE6736"/>
    <w:rsid w:val="00EE6932"/>
    <w:rsid w:val="00EE6D8D"/>
    <w:rsid w:val="00EE6F01"/>
    <w:rsid w:val="00EE75B1"/>
    <w:rsid w:val="00EE79BE"/>
    <w:rsid w:val="00EF00F3"/>
    <w:rsid w:val="00EF1154"/>
    <w:rsid w:val="00EF1369"/>
    <w:rsid w:val="00EF13E5"/>
    <w:rsid w:val="00EF1C02"/>
    <w:rsid w:val="00EF1C37"/>
    <w:rsid w:val="00EF1F50"/>
    <w:rsid w:val="00EF23A5"/>
    <w:rsid w:val="00EF23B1"/>
    <w:rsid w:val="00EF25A3"/>
    <w:rsid w:val="00EF2B49"/>
    <w:rsid w:val="00EF2BFC"/>
    <w:rsid w:val="00EF2F38"/>
    <w:rsid w:val="00EF32DC"/>
    <w:rsid w:val="00EF358D"/>
    <w:rsid w:val="00EF35FA"/>
    <w:rsid w:val="00EF3742"/>
    <w:rsid w:val="00EF3B02"/>
    <w:rsid w:val="00EF3C95"/>
    <w:rsid w:val="00EF3E7C"/>
    <w:rsid w:val="00EF40DC"/>
    <w:rsid w:val="00EF40EE"/>
    <w:rsid w:val="00EF429F"/>
    <w:rsid w:val="00EF433F"/>
    <w:rsid w:val="00EF436A"/>
    <w:rsid w:val="00EF43C0"/>
    <w:rsid w:val="00EF4618"/>
    <w:rsid w:val="00EF482A"/>
    <w:rsid w:val="00EF4C56"/>
    <w:rsid w:val="00EF4D6A"/>
    <w:rsid w:val="00EF4EE2"/>
    <w:rsid w:val="00EF5762"/>
    <w:rsid w:val="00EF5CF8"/>
    <w:rsid w:val="00EF6062"/>
    <w:rsid w:val="00EF648D"/>
    <w:rsid w:val="00EF65D3"/>
    <w:rsid w:val="00EF688C"/>
    <w:rsid w:val="00EF7843"/>
    <w:rsid w:val="00EF789C"/>
    <w:rsid w:val="00EF7900"/>
    <w:rsid w:val="00EF7A57"/>
    <w:rsid w:val="00EF7B58"/>
    <w:rsid w:val="00EF7B80"/>
    <w:rsid w:val="00EF7E7A"/>
    <w:rsid w:val="00F00E08"/>
    <w:rsid w:val="00F010CE"/>
    <w:rsid w:val="00F010D9"/>
    <w:rsid w:val="00F01A3D"/>
    <w:rsid w:val="00F01E77"/>
    <w:rsid w:val="00F02AFE"/>
    <w:rsid w:val="00F02C81"/>
    <w:rsid w:val="00F03265"/>
    <w:rsid w:val="00F03C2F"/>
    <w:rsid w:val="00F03C47"/>
    <w:rsid w:val="00F03D49"/>
    <w:rsid w:val="00F03F30"/>
    <w:rsid w:val="00F0439B"/>
    <w:rsid w:val="00F04567"/>
    <w:rsid w:val="00F0463F"/>
    <w:rsid w:val="00F0483B"/>
    <w:rsid w:val="00F0498A"/>
    <w:rsid w:val="00F04E80"/>
    <w:rsid w:val="00F05071"/>
    <w:rsid w:val="00F054F3"/>
    <w:rsid w:val="00F061CF"/>
    <w:rsid w:val="00F062B2"/>
    <w:rsid w:val="00F06468"/>
    <w:rsid w:val="00F064C9"/>
    <w:rsid w:val="00F06A96"/>
    <w:rsid w:val="00F06C61"/>
    <w:rsid w:val="00F06DA5"/>
    <w:rsid w:val="00F070EA"/>
    <w:rsid w:val="00F0738B"/>
    <w:rsid w:val="00F07DD8"/>
    <w:rsid w:val="00F101DA"/>
    <w:rsid w:val="00F103FA"/>
    <w:rsid w:val="00F10642"/>
    <w:rsid w:val="00F10D9D"/>
    <w:rsid w:val="00F113BD"/>
    <w:rsid w:val="00F117F8"/>
    <w:rsid w:val="00F11A84"/>
    <w:rsid w:val="00F11B94"/>
    <w:rsid w:val="00F123AC"/>
    <w:rsid w:val="00F12634"/>
    <w:rsid w:val="00F13196"/>
    <w:rsid w:val="00F139BD"/>
    <w:rsid w:val="00F149E4"/>
    <w:rsid w:val="00F14BE8"/>
    <w:rsid w:val="00F15323"/>
    <w:rsid w:val="00F155A9"/>
    <w:rsid w:val="00F15673"/>
    <w:rsid w:val="00F15B11"/>
    <w:rsid w:val="00F15BAF"/>
    <w:rsid w:val="00F16491"/>
    <w:rsid w:val="00F167B6"/>
    <w:rsid w:val="00F16BB8"/>
    <w:rsid w:val="00F16CE1"/>
    <w:rsid w:val="00F16F72"/>
    <w:rsid w:val="00F175DD"/>
    <w:rsid w:val="00F1775C"/>
    <w:rsid w:val="00F2094F"/>
    <w:rsid w:val="00F20BD7"/>
    <w:rsid w:val="00F20F65"/>
    <w:rsid w:val="00F214D2"/>
    <w:rsid w:val="00F21680"/>
    <w:rsid w:val="00F21BF4"/>
    <w:rsid w:val="00F21E8E"/>
    <w:rsid w:val="00F2234B"/>
    <w:rsid w:val="00F22360"/>
    <w:rsid w:val="00F224CC"/>
    <w:rsid w:val="00F22DB1"/>
    <w:rsid w:val="00F22E16"/>
    <w:rsid w:val="00F231D6"/>
    <w:rsid w:val="00F231E9"/>
    <w:rsid w:val="00F239F3"/>
    <w:rsid w:val="00F24CF3"/>
    <w:rsid w:val="00F24F00"/>
    <w:rsid w:val="00F253E7"/>
    <w:rsid w:val="00F25743"/>
    <w:rsid w:val="00F25E2C"/>
    <w:rsid w:val="00F25F2E"/>
    <w:rsid w:val="00F26261"/>
    <w:rsid w:val="00F263F1"/>
    <w:rsid w:val="00F26BE6"/>
    <w:rsid w:val="00F26D22"/>
    <w:rsid w:val="00F2759D"/>
    <w:rsid w:val="00F3009F"/>
    <w:rsid w:val="00F308D4"/>
    <w:rsid w:val="00F3091C"/>
    <w:rsid w:val="00F309BA"/>
    <w:rsid w:val="00F312FF"/>
    <w:rsid w:val="00F31810"/>
    <w:rsid w:val="00F31919"/>
    <w:rsid w:val="00F31CF6"/>
    <w:rsid w:val="00F31ED2"/>
    <w:rsid w:val="00F3203D"/>
    <w:rsid w:val="00F322D9"/>
    <w:rsid w:val="00F32602"/>
    <w:rsid w:val="00F3291C"/>
    <w:rsid w:val="00F3297A"/>
    <w:rsid w:val="00F329F2"/>
    <w:rsid w:val="00F32F97"/>
    <w:rsid w:val="00F3392B"/>
    <w:rsid w:val="00F33E60"/>
    <w:rsid w:val="00F33E6B"/>
    <w:rsid w:val="00F340D4"/>
    <w:rsid w:val="00F34245"/>
    <w:rsid w:val="00F3443D"/>
    <w:rsid w:val="00F3490B"/>
    <w:rsid w:val="00F349C7"/>
    <w:rsid w:val="00F34DA0"/>
    <w:rsid w:val="00F3652D"/>
    <w:rsid w:val="00F371BE"/>
    <w:rsid w:val="00F3729F"/>
    <w:rsid w:val="00F37485"/>
    <w:rsid w:val="00F3752D"/>
    <w:rsid w:val="00F375BA"/>
    <w:rsid w:val="00F37887"/>
    <w:rsid w:val="00F40310"/>
    <w:rsid w:val="00F4039D"/>
    <w:rsid w:val="00F4073B"/>
    <w:rsid w:val="00F40B6F"/>
    <w:rsid w:val="00F40D9C"/>
    <w:rsid w:val="00F4194E"/>
    <w:rsid w:val="00F41DC3"/>
    <w:rsid w:val="00F41ECE"/>
    <w:rsid w:val="00F435A7"/>
    <w:rsid w:val="00F43BDC"/>
    <w:rsid w:val="00F43C54"/>
    <w:rsid w:val="00F43E38"/>
    <w:rsid w:val="00F44259"/>
    <w:rsid w:val="00F44D4E"/>
    <w:rsid w:val="00F45741"/>
    <w:rsid w:val="00F457D6"/>
    <w:rsid w:val="00F458C2"/>
    <w:rsid w:val="00F45D55"/>
    <w:rsid w:val="00F474D8"/>
    <w:rsid w:val="00F47755"/>
    <w:rsid w:val="00F47DE9"/>
    <w:rsid w:val="00F5012C"/>
    <w:rsid w:val="00F50585"/>
    <w:rsid w:val="00F50707"/>
    <w:rsid w:val="00F50A52"/>
    <w:rsid w:val="00F515FE"/>
    <w:rsid w:val="00F516BD"/>
    <w:rsid w:val="00F5170D"/>
    <w:rsid w:val="00F51966"/>
    <w:rsid w:val="00F51D96"/>
    <w:rsid w:val="00F52769"/>
    <w:rsid w:val="00F52D16"/>
    <w:rsid w:val="00F530C2"/>
    <w:rsid w:val="00F5310D"/>
    <w:rsid w:val="00F531C2"/>
    <w:rsid w:val="00F531C9"/>
    <w:rsid w:val="00F53473"/>
    <w:rsid w:val="00F53669"/>
    <w:rsid w:val="00F53933"/>
    <w:rsid w:val="00F53A60"/>
    <w:rsid w:val="00F53B98"/>
    <w:rsid w:val="00F53EA8"/>
    <w:rsid w:val="00F53EFD"/>
    <w:rsid w:val="00F5509C"/>
    <w:rsid w:val="00F55264"/>
    <w:rsid w:val="00F55FBE"/>
    <w:rsid w:val="00F56B40"/>
    <w:rsid w:val="00F576EB"/>
    <w:rsid w:val="00F579CB"/>
    <w:rsid w:val="00F57EFD"/>
    <w:rsid w:val="00F60202"/>
    <w:rsid w:val="00F607AD"/>
    <w:rsid w:val="00F60E88"/>
    <w:rsid w:val="00F618C2"/>
    <w:rsid w:val="00F61B69"/>
    <w:rsid w:val="00F62032"/>
    <w:rsid w:val="00F621C5"/>
    <w:rsid w:val="00F629B2"/>
    <w:rsid w:val="00F62B77"/>
    <w:rsid w:val="00F62BFD"/>
    <w:rsid w:val="00F6360C"/>
    <w:rsid w:val="00F6364F"/>
    <w:rsid w:val="00F63D79"/>
    <w:rsid w:val="00F63DC0"/>
    <w:rsid w:val="00F64398"/>
    <w:rsid w:val="00F6472F"/>
    <w:rsid w:val="00F647A8"/>
    <w:rsid w:val="00F64A61"/>
    <w:rsid w:val="00F65212"/>
    <w:rsid w:val="00F66498"/>
    <w:rsid w:val="00F668A4"/>
    <w:rsid w:val="00F6693E"/>
    <w:rsid w:val="00F66AF3"/>
    <w:rsid w:val="00F66FB9"/>
    <w:rsid w:val="00F67261"/>
    <w:rsid w:val="00F6796B"/>
    <w:rsid w:val="00F67EC3"/>
    <w:rsid w:val="00F700EB"/>
    <w:rsid w:val="00F71EBE"/>
    <w:rsid w:val="00F72622"/>
    <w:rsid w:val="00F732D0"/>
    <w:rsid w:val="00F735D9"/>
    <w:rsid w:val="00F73ADE"/>
    <w:rsid w:val="00F73E69"/>
    <w:rsid w:val="00F741EB"/>
    <w:rsid w:val="00F74459"/>
    <w:rsid w:val="00F751F1"/>
    <w:rsid w:val="00F7533B"/>
    <w:rsid w:val="00F75596"/>
    <w:rsid w:val="00F757A9"/>
    <w:rsid w:val="00F75DF6"/>
    <w:rsid w:val="00F75E5F"/>
    <w:rsid w:val="00F7624A"/>
    <w:rsid w:val="00F770EA"/>
    <w:rsid w:val="00F77C0D"/>
    <w:rsid w:val="00F77D3D"/>
    <w:rsid w:val="00F77ED8"/>
    <w:rsid w:val="00F80146"/>
    <w:rsid w:val="00F8088F"/>
    <w:rsid w:val="00F8089A"/>
    <w:rsid w:val="00F80C34"/>
    <w:rsid w:val="00F81305"/>
    <w:rsid w:val="00F8147A"/>
    <w:rsid w:val="00F81A41"/>
    <w:rsid w:val="00F81B68"/>
    <w:rsid w:val="00F8218D"/>
    <w:rsid w:val="00F82952"/>
    <w:rsid w:val="00F82C27"/>
    <w:rsid w:val="00F83396"/>
    <w:rsid w:val="00F8429F"/>
    <w:rsid w:val="00F84372"/>
    <w:rsid w:val="00F844AA"/>
    <w:rsid w:val="00F847ED"/>
    <w:rsid w:val="00F8491D"/>
    <w:rsid w:val="00F84B65"/>
    <w:rsid w:val="00F8519A"/>
    <w:rsid w:val="00F852E5"/>
    <w:rsid w:val="00F855D7"/>
    <w:rsid w:val="00F85C20"/>
    <w:rsid w:val="00F860EB"/>
    <w:rsid w:val="00F86527"/>
    <w:rsid w:val="00F865A7"/>
    <w:rsid w:val="00F86D30"/>
    <w:rsid w:val="00F86F93"/>
    <w:rsid w:val="00F87391"/>
    <w:rsid w:val="00F905ED"/>
    <w:rsid w:val="00F9082C"/>
    <w:rsid w:val="00F90A95"/>
    <w:rsid w:val="00F90AE7"/>
    <w:rsid w:val="00F90BBE"/>
    <w:rsid w:val="00F90E01"/>
    <w:rsid w:val="00F9110E"/>
    <w:rsid w:val="00F912E0"/>
    <w:rsid w:val="00F91A06"/>
    <w:rsid w:val="00F91DCE"/>
    <w:rsid w:val="00F92077"/>
    <w:rsid w:val="00F921D2"/>
    <w:rsid w:val="00F927A5"/>
    <w:rsid w:val="00F9294C"/>
    <w:rsid w:val="00F92DE9"/>
    <w:rsid w:val="00F938BD"/>
    <w:rsid w:val="00F93A96"/>
    <w:rsid w:val="00F93C7A"/>
    <w:rsid w:val="00F941B9"/>
    <w:rsid w:val="00F9442C"/>
    <w:rsid w:val="00F9469A"/>
    <w:rsid w:val="00F954CE"/>
    <w:rsid w:val="00F95765"/>
    <w:rsid w:val="00F96271"/>
    <w:rsid w:val="00F962A9"/>
    <w:rsid w:val="00F96C7A"/>
    <w:rsid w:val="00F975A1"/>
    <w:rsid w:val="00F97836"/>
    <w:rsid w:val="00F97C51"/>
    <w:rsid w:val="00FA0C18"/>
    <w:rsid w:val="00FA1192"/>
    <w:rsid w:val="00FA181B"/>
    <w:rsid w:val="00FA19F6"/>
    <w:rsid w:val="00FA1A6A"/>
    <w:rsid w:val="00FA1FBC"/>
    <w:rsid w:val="00FA1FCF"/>
    <w:rsid w:val="00FA2304"/>
    <w:rsid w:val="00FA3467"/>
    <w:rsid w:val="00FA379F"/>
    <w:rsid w:val="00FA3CA8"/>
    <w:rsid w:val="00FA3CC1"/>
    <w:rsid w:val="00FA407A"/>
    <w:rsid w:val="00FA4F4D"/>
    <w:rsid w:val="00FA5164"/>
    <w:rsid w:val="00FA59BD"/>
    <w:rsid w:val="00FA5B0F"/>
    <w:rsid w:val="00FA5B44"/>
    <w:rsid w:val="00FA5C02"/>
    <w:rsid w:val="00FA654A"/>
    <w:rsid w:val="00FA6589"/>
    <w:rsid w:val="00FA6844"/>
    <w:rsid w:val="00FA6B51"/>
    <w:rsid w:val="00FA6EDD"/>
    <w:rsid w:val="00FA7525"/>
    <w:rsid w:val="00FA761B"/>
    <w:rsid w:val="00FA7702"/>
    <w:rsid w:val="00FA79E0"/>
    <w:rsid w:val="00FA7B24"/>
    <w:rsid w:val="00FA7D9C"/>
    <w:rsid w:val="00FB0429"/>
    <w:rsid w:val="00FB0463"/>
    <w:rsid w:val="00FB0A35"/>
    <w:rsid w:val="00FB0CC2"/>
    <w:rsid w:val="00FB0D4E"/>
    <w:rsid w:val="00FB0DAA"/>
    <w:rsid w:val="00FB103C"/>
    <w:rsid w:val="00FB167C"/>
    <w:rsid w:val="00FB1DEB"/>
    <w:rsid w:val="00FB2125"/>
    <w:rsid w:val="00FB385F"/>
    <w:rsid w:val="00FB3C8F"/>
    <w:rsid w:val="00FB440B"/>
    <w:rsid w:val="00FB4467"/>
    <w:rsid w:val="00FB5A31"/>
    <w:rsid w:val="00FB5E80"/>
    <w:rsid w:val="00FB6E8E"/>
    <w:rsid w:val="00FB72E2"/>
    <w:rsid w:val="00FB7EA1"/>
    <w:rsid w:val="00FC0350"/>
    <w:rsid w:val="00FC0C21"/>
    <w:rsid w:val="00FC0DC2"/>
    <w:rsid w:val="00FC143D"/>
    <w:rsid w:val="00FC1CF1"/>
    <w:rsid w:val="00FC2088"/>
    <w:rsid w:val="00FC23A3"/>
    <w:rsid w:val="00FC2439"/>
    <w:rsid w:val="00FC2B1E"/>
    <w:rsid w:val="00FC2B47"/>
    <w:rsid w:val="00FC2C24"/>
    <w:rsid w:val="00FC3399"/>
    <w:rsid w:val="00FC3A06"/>
    <w:rsid w:val="00FC415F"/>
    <w:rsid w:val="00FC4561"/>
    <w:rsid w:val="00FC4CC5"/>
    <w:rsid w:val="00FC5214"/>
    <w:rsid w:val="00FC5677"/>
    <w:rsid w:val="00FC6180"/>
    <w:rsid w:val="00FC64AD"/>
    <w:rsid w:val="00FC6869"/>
    <w:rsid w:val="00FC6FF6"/>
    <w:rsid w:val="00FC7211"/>
    <w:rsid w:val="00FC72FA"/>
    <w:rsid w:val="00FC78B4"/>
    <w:rsid w:val="00FC7D16"/>
    <w:rsid w:val="00FD0106"/>
    <w:rsid w:val="00FD0694"/>
    <w:rsid w:val="00FD0AD1"/>
    <w:rsid w:val="00FD10EE"/>
    <w:rsid w:val="00FD13EE"/>
    <w:rsid w:val="00FD1652"/>
    <w:rsid w:val="00FD1673"/>
    <w:rsid w:val="00FD270D"/>
    <w:rsid w:val="00FD2C02"/>
    <w:rsid w:val="00FD303D"/>
    <w:rsid w:val="00FD3186"/>
    <w:rsid w:val="00FD3625"/>
    <w:rsid w:val="00FD3B8A"/>
    <w:rsid w:val="00FD3CE2"/>
    <w:rsid w:val="00FD3E8A"/>
    <w:rsid w:val="00FD4153"/>
    <w:rsid w:val="00FD4227"/>
    <w:rsid w:val="00FD4648"/>
    <w:rsid w:val="00FD4B85"/>
    <w:rsid w:val="00FD4DA9"/>
    <w:rsid w:val="00FD5798"/>
    <w:rsid w:val="00FD5B4E"/>
    <w:rsid w:val="00FD5CD3"/>
    <w:rsid w:val="00FD5DE8"/>
    <w:rsid w:val="00FD5EA9"/>
    <w:rsid w:val="00FD5FF7"/>
    <w:rsid w:val="00FD6215"/>
    <w:rsid w:val="00FD62E2"/>
    <w:rsid w:val="00FD65E6"/>
    <w:rsid w:val="00FD663D"/>
    <w:rsid w:val="00FD68C2"/>
    <w:rsid w:val="00FD6E27"/>
    <w:rsid w:val="00FD7157"/>
    <w:rsid w:val="00FD728C"/>
    <w:rsid w:val="00FD75A9"/>
    <w:rsid w:val="00FD7C53"/>
    <w:rsid w:val="00FD7D51"/>
    <w:rsid w:val="00FE00E0"/>
    <w:rsid w:val="00FE0973"/>
    <w:rsid w:val="00FE180D"/>
    <w:rsid w:val="00FE23CA"/>
    <w:rsid w:val="00FE2623"/>
    <w:rsid w:val="00FE2DF1"/>
    <w:rsid w:val="00FE2F22"/>
    <w:rsid w:val="00FE3040"/>
    <w:rsid w:val="00FE4222"/>
    <w:rsid w:val="00FE42C4"/>
    <w:rsid w:val="00FE471B"/>
    <w:rsid w:val="00FE4AEA"/>
    <w:rsid w:val="00FE5045"/>
    <w:rsid w:val="00FE520B"/>
    <w:rsid w:val="00FE533B"/>
    <w:rsid w:val="00FE5421"/>
    <w:rsid w:val="00FE575F"/>
    <w:rsid w:val="00FE5970"/>
    <w:rsid w:val="00FE5D47"/>
    <w:rsid w:val="00FE693E"/>
    <w:rsid w:val="00FE6956"/>
    <w:rsid w:val="00FE69E7"/>
    <w:rsid w:val="00FE6E33"/>
    <w:rsid w:val="00FE7C30"/>
    <w:rsid w:val="00FF001C"/>
    <w:rsid w:val="00FF12D8"/>
    <w:rsid w:val="00FF130B"/>
    <w:rsid w:val="00FF143A"/>
    <w:rsid w:val="00FF16DA"/>
    <w:rsid w:val="00FF18AA"/>
    <w:rsid w:val="00FF1992"/>
    <w:rsid w:val="00FF2223"/>
    <w:rsid w:val="00FF248B"/>
    <w:rsid w:val="00FF2CD6"/>
    <w:rsid w:val="00FF37FA"/>
    <w:rsid w:val="00FF3A9A"/>
    <w:rsid w:val="00FF3DFA"/>
    <w:rsid w:val="00FF4001"/>
    <w:rsid w:val="00FF401D"/>
    <w:rsid w:val="00FF4209"/>
    <w:rsid w:val="00FF4463"/>
    <w:rsid w:val="00FF47A5"/>
    <w:rsid w:val="00FF47C5"/>
    <w:rsid w:val="00FF4995"/>
    <w:rsid w:val="00FF56A3"/>
    <w:rsid w:val="00FF5EA9"/>
    <w:rsid w:val="00FF6094"/>
    <w:rsid w:val="00FF6E80"/>
    <w:rsid w:val="00FF7221"/>
    <w:rsid w:val="00FF7335"/>
    <w:rsid w:val="00FF7415"/>
    <w:rsid w:val="00FF75A9"/>
    <w:rsid w:val="00FF77C3"/>
    <w:rsid w:val="00FF793A"/>
    <w:rsid w:val="00FF7A80"/>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17A38"/>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6A"/>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F42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4209"/>
    <w:pPr>
      <w:keepNext/>
      <w:spacing w:before="240" w:after="60"/>
      <w:jc w:val="left"/>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FF420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209"/>
    <w:rPr>
      <w:rFonts w:ascii="Cambria" w:eastAsia="Times New Roman" w:hAnsi="Cambria" w:cs="DokChampa"/>
      <w:b/>
      <w:bCs/>
      <w:kern w:val="32"/>
      <w:sz w:val="32"/>
      <w:szCs w:val="32"/>
    </w:rPr>
  </w:style>
  <w:style w:type="character" w:customStyle="1" w:styleId="Heading2Char">
    <w:name w:val="Heading 2 Char"/>
    <w:link w:val="Heading2"/>
    <w:rsid w:val="00FF4209"/>
    <w:rPr>
      <w:rFonts w:ascii="Arial" w:eastAsia="Times New Roman" w:hAnsi="Arial" w:cs="Arial"/>
      <w:b/>
      <w:bCs/>
      <w:i/>
      <w:iCs/>
      <w:sz w:val="28"/>
      <w:szCs w:val="28"/>
    </w:rPr>
  </w:style>
  <w:style w:type="character" w:customStyle="1" w:styleId="Heading3Char">
    <w:name w:val="Heading 3 Char"/>
    <w:link w:val="Heading3"/>
    <w:uiPriority w:val="9"/>
    <w:semiHidden/>
    <w:rsid w:val="00FF4209"/>
    <w:rPr>
      <w:rFonts w:ascii="Cambria" w:eastAsia="Times New Roman" w:hAnsi="Cambria" w:cs="Times New Roman"/>
      <w:b/>
      <w:bCs/>
      <w:color w:val="4F81BD"/>
      <w:sz w:val="24"/>
      <w:szCs w:val="20"/>
    </w:rPr>
  </w:style>
  <w:style w:type="paragraph" w:styleId="Header">
    <w:name w:val="header"/>
    <w:basedOn w:val="Normal"/>
    <w:link w:val="HeaderChar"/>
    <w:uiPriority w:val="99"/>
    <w:rsid w:val="00FF4209"/>
    <w:pPr>
      <w:tabs>
        <w:tab w:val="center" w:pos="4153"/>
        <w:tab w:val="right" w:pos="8306"/>
      </w:tabs>
      <w:jc w:val="left"/>
    </w:pPr>
    <w:rPr>
      <w:szCs w:val="24"/>
      <w:lang w:val="en-GB" w:eastAsia="x-none"/>
    </w:rPr>
  </w:style>
  <w:style w:type="character" w:customStyle="1" w:styleId="HeaderChar">
    <w:name w:val="Header Char"/>
    <w:link w:val="Header"/>
    <w:uiPriority w:val="99"/>
    <w:rsid w:val="00FF4209"/>
    <w:rPr>
      <w:rFonts w:ascii="Times New Roman" w:eastAsia="Times New Roman" w:hAnsi="Times New Roman" w:cs="Times New Roman"/>
      <w:sz w:val="24"/>
      <w:szCs w:val="24"/>
      <w:lang w:val="en-GB"/>
    </w:rPr>
  </w:style>
  <w:style w:type="character" w:styleId="Hyperlink">
    <w:name w:val="Hyperlink"/>
    <w:uiPriority w:val="99"/>
    <w:rsid w:val="00FF4209"/>
    <w:rPr>
      <w:rFonts w:ascii="Arial" w:hAnsi="Arial" w:cs="Arial" w:hint="default"/>
      <w:strike w:val="0"/>
      <w:dstrike w:val="0"/>
      <w:color w:val="189B70"/>
      <w:sz w:val="18"/>
      <w:szCs w:val="18"/>
      <w:u w:val="none"/>
      <w:effect w:val="none"/>
    </w:rPr>
  </w:style>
  <w:style w:type="paragraph" w:styleId="BalloonText">
    <w:name w:val="Balloon Text"/>
    <w:basedOn w:val="Normal"/>
    <w:link w:val="BalloonTextChar"/>
    <w:semiHidden/>
    <w:rsid w:val="00FF4209"/>
    <w:rPr>
      <w:rFonts w:ascii="Tahoma" w:hAnsi="Tahoma"/>
      <w:sz w:val="16"/>
      <w:szCs w:val="16"/>
      <w:lang w:val="x-none" w:eastAsia="x-none"/>
    </w:rPr>
  </w:style>
  <w:style w:type="character" w:customStyle="1" w:styleId="BalloonTextChar">
    <w:name w:val="Balloon Text Char"/>
    <w:link w:val="BalloonText"/>
    <w:semiHidden/>
    <w:rsid w:val="00FF4209"/>
    <w:rPr>
      <w:rFonts w:ascii="Tahoma" w:eastAsia="Times New Roman" w:hAnsi="Tahoma" w:cs="Tahoma"/>
      <w:sz w:val="16"/>
      <w:szCs w:val="16"/>
    </w:rPr>
  </w:style>
  <w:style w:type="paragraph" w:styleId="NormalWeb">
    <w:name w:val="Normal (Web)"/>
    <w:basedOn w:val="Normal"/>
    <w:uiPriority w:val="99"/>
    <w:rsid w:val="00FF4209"/>
    <w:pPr>
      <w:spacing w:before="100" w:beforeAutospacing="1" w:after="100" w:afterAutospacing="1"/>
      <w:jc w:val="left"/>
    </w:pPr>
    <w:rPr>
      <w:szCs w:val="24"/>
      <w:lang w:val="en-GB"/>
    </w:rPr>
  </w:style>
  <w:style w:type="character" w:styleId="Strong">
    <w:name w:val="Strong"/>
    <w:uiPriority w:val="22"/>
    <w:qFormat/>
    <w:rsid w:val="00FF4209"/>
    <w:rPr>
      <w:b/>
      <w:bCs/>
    </w:rPr>
  </w:style>
  <w:style w:type="paragraph" w:styleId="Title">
    <w:name w:val="Title"/>
    <w:basedOn w:val="Normal"/>
    <w:link w:val="TitleChar"/>
    <w:uiPriority w:val="10"/>
    <w:qFormat/>
    <w:rsid w:val="00FF4209"/>
    <w:pPr>
      <w:jc w:val="center"/>
    </w:pPr>
    <w:rPr>
      <w:b/>
      <w:sz w:val="28"/>
      <w:szCs w:val="28"/>
      <w:lang w:val="x-none" w:eastAsia="x-none"/>
    </w:rPr>
  </w:style>
  <w:style w:type="character" w:customStyle="1" w:styleId="TitleChar">
    <w:name w:val="Title Char"/>
    <w:link w:val="Title"/>
    <w:uiPriority w:val="10"/>
    <w:rsid w:val="00FF4209"/>
    <w:rPr>
      <w:rFonts w:ascii="Times New Roman" w:eastAsia="Times New Roman" w:hAnsi="Times New Roman" w:cs="Times New Roman"/>
      <w:b/>
      <w:sz w:val="28"/>
      <w:szCs w:val="28"/>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FF4209"/>
    <w:rPr>
      <w:sz w:val="20"/>
      <w:lang w:val="x-none" w:eastAsia="x-none"/>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FF4209"/>
    <w:rPr>
      <w:rFonts w:ascii="Times New Roman" w:eastAsia="Times New Roman" w:hAnsi="Times New Roman" w:cs="Times New Roman"/>
      <w:sz w:val="20"/>
      <w:szCs w:val="20"/>
    </w:rPr>
  </w:style>
  <w:style w:type="character" w:styleId="FootnoteReference">
    <w:name w:val="footnote reference"/>
    <w:aliases w:val="Footnote Reference Number,Footnote symbol"/>
    <w:uiPriority w:val="99"/>
    <w:rsid w:val="00FF4209"/>
    <w:rPr>
      <w:vertAlign w:val="superscript"/>
    </w:rPr>
  </w:style>
  <w:style w:type="paragraph" w:styleId="Footer">
    <w:name w:val="footer"/>
    <w:basedOn w:val="Normal"/>
    <w:link w:val="FooterChar"/>
    <w:rsid w:val="00FF4209"/>
    <w:pPr>
      <w:tabs>
        <w:tab w:val="center" w:pos="4153"/>
        <w:tab w:val="right" w:pos="8306"/>
      </w:tabs>
    </w:pPr>
    <w:rPr>
      <w:lang w:val="x-none" w:eastAsia="x-none"/>
    </w:rPr>
  </w:style>
  <w:style w:type="character" w:customStyle="1" w:styleId="FooterChar">
    <w:name w:val="Footer Char"/>
    <w:link w:val="Footer"/>
    <w:rsid w:val="00FF4209"/>
    <w:rPr>
      <w:rFonts w:ascii="Times New Roman" w:eastAsia="Times New Roman" w:hAnsi="Times New Roman" w:cs="Times New Roman"/>
      <w:sz w:val="24"/>
      <w:szCs w:val="20"/>
    </w:rPr>
  </w:style>
  <w:style w:type="character" w:styleId="PageNumber">
    <w:name w:val="page number"/>
    <w:basedOn w:val="DefaultParagraphFont"/>
    <w:rsid w:val="00FF4209"/>
  </w:style>
  <w:style w:type="character" w:styleId="FollowedHyperlink">
    <w:name w:val="FollowedHyperlink"/>
    <w:rsid w:val="00FF4209"/>
    <w:rPr>
      <w:color w:val="800080"/>
      <w:u w:val="single"/>
    </w:rPr>
  </w:style>
  <w:style w:type="character" w:styleId="Emphasis">
    <w:name w:val="Emphasis"/>
    <w:uiPriority w:val="20"/>
    <w:qFormat/>
    <w:rsid w:val="00FF4209"/>
    <w:rPr>
      <w:i/>
      <w:iCs/>
    </w:rPr>
  </w:style>
  <w:style w:type="paragraph" w:customStyle="1" w:styleId="RakstzRakstz">
    <w:name w:val="Rakstz. Rakstz."/>
    <w:basedOn w:val="Normal"/>
    <w:next w:val="BlockText"/>
    <w:rsid w:val="00FF4209"/>
    <w:pPr>
      <w:spacing w:after="160" w:line="240" w:lineRule="exact"/>
      <w:ind w:firstLine="720"/>
    </w:pPr>
    <w:rPr>
      <w:rFonts w:ascii="Verdana" w:hAnsi="Verdana"/>
      <w:sz w:val="20"/>
      <w:lang w:val="en-US"/>
    </w:rPr>
  </w:style>
  <w:style w:type="paragraph" w:styleId="BlockText">
    <w:name w:val="Block Text"/>
    <w:basedOn w:val="Normal"/>
    <w:rsid w:val="00FF4209"/>
    <w:pPr>
      <w:ind w:left="1440" w:right="1440"/>
    </w:pPr>
  </w:style>
  <w:style w:type="paragraph" w:customStyle="1" w:styleId="CharChar2Char">
    <w:name w:val="Char Char2 Char"/>
    <w:basedOn w:val="Normal"/>
    <w:rsid w:val="00FF4209"/>
    <w:pPr>
      <w:spacing w:before="40"/>
      <w:jc w:val="left"/>
    </w:pPr>
    <w:rPr>
      <w:szCs w:val="24"/>
      <w:lang w:val="pl-PL" w:eastAsia="pl-PL"/>
    </w:rPr>
  </w:style>
  <w:style w:type="paragraph" w:styleId="BodyText">
    <w:name w:val="Body Text"/>
    <w:basedOn w:val="Normal"/>
    <w:link w:val="BodyTextChar"/>
    <w:rsid w:val="00FF4209"/>
    <w:pPr>
      <w:jc w:val="left"/>
    </w:pPr>
    <w:rPr>
      <w:b/>
      <w:bCs/>
      <w:szCs w:val="24"/>
      <w:lang w:val="en-GB" w:eastAsia="x-none"/>
    </w:rPr>
  </w:style>
  <w:style w:type="character" w:customStyle="1" w:styleId="BodyTextChar">
    <w:name w:val="Body Text Char"/>
    <w:link w:val="BodyText"/>
    <w:rsid w:val="00FF420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F4209"/>
    <w:pPr>
      <w:ind w:left="283"/>
    </w:pPr>
    <w:rPr>
      <w:lang w:val="x-none" w:eastAsia="x-none"/>
    </w:rPr>
  </w:style>
  <w:style w:type="character" w:customStyle="1" w:styleId="BodyTextIndentChar">
    <w:name w:val="Body Text Indent Char"/>
    <w:link w:val="BodyTextIndent"/>
    <w:rsid w:val="00FF4209"/>
    <w:rPr>
      <w:rFonts w:ascii="Times New Roman" w:eastAsia="Times New Roman" w:hAnsi="Times New Roman" w:cs="Times New Roman"/>
      <w:sz w:val="24"/>
      <w:szCs w:val="20"/>
    </w:rPr>
  </w:style>
  <w:style w:type="paragraph" w:customStyle="1" w:styleId="CharCharCharCharChar">
    <w:name w:val="Char Char Char Char Char"/>
    <w:basedOn w:val="Normal"/>
    <w:next w:val="BlockText"/>
    <w:rsid w:val="00FF4209"/>
    <w:pPr>
      <w:spacing w:after="160" w:line="240" w:lineRule="exact"/>
      <w:ind w:firstLine="720"/>
    </w:pPr>
    <w:rPr>
      <w:rFonts w:ascii="Verdana" w:hAnsi="Verdana"/>
      <w:sz w:val="20"/>
      <w:lang w:val="en-US"/>
    </w:rPr>
  </w:style>
  <w:style w:type="paragraph" w:customStyle="1" w:styleId="CharChar1">
    <w:name w:val="Char Char1"/>
    <w:basedOn w:val="Normal"/>
    <w:next w:val="BlockText"/>
    <w:rsid w:val="00FF4209"/>
    <w:pPr>
      <w:spacing w:after="160" w:line="240" w:lineRule="exact"/>
      <w:ind w:firstLine="720"/>
    </w:pPr>
    <w:rPr>
      <w:rFonts w:ascii="Verdana" w:hAnsi="Verdana"/>
      <w:sz w:val="20"/>
      <w:lang w:val="en-US"/>
    </w:rPr>
  </w:style>
  <w:style w:type="character" w:styleId="CommentReference">
    <w:name w:val="annotation reference"/>
    <w:uiPriority w:val="99"/>
    <w:rsid w:val="00FF4209"/>
    <w:rPr>
      <w:sz w:val="16"/>
      <w:szCs w:val="16"/>
    </w:rPr>
  </w:style>
  <w:style w:type="paragraph" w:styleId="CommentText">
    <w:name w:val="annotation text"/>
    <w:basedOn w:val="Normal"/>
    <w:link w:val="CommentTextChar"/>
    <w:uiPriority w:val="99"/>
    <w:rsid w:val="00FF4209"/>
    <w:rPr>
      <w:sz w:val="20"/>
      <w:lang w:val="x-none" w:eastAsia="x-none"/>
    </w:rPr>
  </w:style>
  <w:style w:type="character" w:customStyle="1" w:styleId="CommentTextChar">
    <w:name w:val="Comment Text Char"/>
    <w:link w:val="CommentText"/>
    <w:uiPriority w:val="99"/>
    <w:rsid w:val="00FF4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4209"/>
    <w:rPr>
      <w:b/>
      <w:bCs/>
    </w:rPr>
  </w:style>
  <w:style w:type="character" w:customStyle="1" w:styleId="CommentSubjectChar">
    <w:name w:val="Comment Subject Char"/>
    <w:link w:val="CommentSubject"/>
    <w:semiHidden/>
    <w:rsid w:val="00FF4209"/>
    <w:rPr>
      <w:rFonts w:ascii="Times New Roman" w:eastAsia="Times New Roman" w:hAnsi="Times New Roman" w:cs="Times New Roman"/>
      <w:b/>
      <w:bCs/>
      <w:sz w:val="20"/>
      <w:szCs w:val="20"/>
    </w:rPr>
  </w:style>
  <w:style w:type="paragraph" w:customStyle="1" w:styleId="Norm">
    <w:name w:val="Norm"/>
    <w:basedOn w:val="Normal"/>
    <w:autoRedefine/>
    <w:rsid w:val="00FF4209"/>
    <w:pPr>
      <w:tabs>
        <w:tab w:val="num" w:pos="1080"/>
      </w:tabs>
      <w:ind w:left="1080" w:hanging="360"/>
    </w:pPr>
    <w:rPr>
      <w:sz w:val="28"/>
      <w:szCs w:val="28"/>
    </w:rPr>
  </w:style>
  <w:style w:type="paragraph" w:styleId="BodyText2">
    <w:name w:val="Body Text 2"/>
    <w:basedOn w:val="Normal"/>
    <w:link w:val="BodyText2Char"/>
    <w:rsid w:val="00FF4209"/>
    <w:pPr>
      <w:spacing w:line="480" w:lineRule="auto"/>
      <w:jc w:val="left"/>
    </w:pPr>
    <w:rPr>
      <w:szCs w:val="24"/>
      <w:lang w:val="x-none" w:eastAsia="x-none"/>
    </w:rPr>
  </w:style>
  <w:style w:type="character" w:customStyle="1" w:styleId="BodyText2Char">
    <w:name w:val="Body Text 2 Char"/>
    <w:link w:val="BodyText2"/>
    <w:rsid w:val="00FF4209"/>
    <w:rPr>
      <w:rFonts w:ascii="Times New Roman" w:eastAsia="Times New Roman" w:hAnsi="Times New Roman" w:cs="Times New Roman"/>
      <w:sz w:val="24"/>
      <w:szCs w:val="24"/>
    </w:rPr>
  </w:style>
  <w:style w:type="paragraph" w:styleId="BodyText3">
    <w:name w:val="Body Text 3"/>
    <w:basedOn w:val="Normal"/>
    <w:link w:val="BodyText3Char"/>
    <w:rsid w:val="00FF4209"/>
    <w:pPr>
      <w:jc w:val="left"/>
    </w:pPr>
    <w:rPr>
      <w:sz w:val="16"/>
      <w:szCs w:val="16"/>
      <w:lang w:val="x-none" w:eastAsia="lv-LV"/>
    </w:rPr>
  </w:style>
  <w:style w:type="character" w:customStyle="1" w:styleId="BodyText3Char">
    <w:name w:val="Body Text 3 Char"/>
    <w:link w:val="BodyText3"/>
    <w:rsid w:val="00FF4209"/>
    <w:rPr>
      <w:rFonts w:ascii="Times New Roman" w:eastAsia="Times New Roman" w:hAnsi="Times New Roman" w:cs="Times New Roman"/>
      <w:sz w:val="16"/>
      <w:szCs w:val="16"/>
      <w:lang w:eastAsia="lv-LV"/>
    </w:rPr>
  </w:style>
  <w:style w:type="paragraph" w:customStyle="1" w:styleId="mkh">
    <w:name w:val="mkh"/>
    <w:basedOn w:val="Normal"/>
    <w:rsid w:val="00FF4209"/>
    <w:pPr>
      <w:ind w:firstLine="720"/>
      <w:jc w:val="center"/>
    </w:pPr>
    <w:rPr>
      <w:b/>
      <w:bCs/>
      <w:sz w:val="28"/>
      <w:szCs w:val="28"/>
      <w:lang w:eastAsia="lv-LV"/>
    </w:rPr>
  </w:style>
  <w:style w:type="paragraph" w:customStyle="1" w:styleId="CharChar2CharCharCharChar">
    <w:name w:val="Char Char2 Char Char Char Char"/>
    <w:basedOn w:val="Normal"/>
    <w:rsid w:val="00FF4209"/>
    <w:pPr>
      <w:spacing w:before="40"/>
      <w:jc w:val="left"/>
    </w:pPr>
    <w:rPr>
      <w:szCs w:val="24"/>
      <w:lang w:val="pl-PL" w:eastAsia="pl-PL"/>
    </w:rPr>
  </w:style>
  <w:style w:type="paragraph" w:customStyle="1" w:styleId="CharChar2CharCharCharCharChar">
    <w:name w:val="Char Char2 Char Char Char Char Char"/>
    <w:basedOn w:val="Normal"/>
    <w:rsid w:val="00FF4209"/>
    <w:pPr>
      <w:spacing w:before="40"/>
      <w:jc w:val="left"/>
    </w:pPr>
    <w:rPr>
      <w:szCs w:val="24"/>
      <w:lang w:val="pl-PL" w:eastAsia="pl-PL"/>
    </w:rPr>
  </w:style>
  <w:style w:type="paragraph" w:styleId="NoSpacing">
    <w:name w:val="No Spacing"/>
    <w:uiPriority w:val="1"/>
    <w:qFormat/>
    <w:rsid w:val="00FF4209"/>
    <w:rPr>
      <w:rFonts w:ascii="Times New Roman" w:hAnsi="Times New Roman"/>
      <w:sz w:val="24"/>
      <w:szCs w:val="24"/>
    </w:rPr>
  </w:style>
  <w:style w:type="paragraph" w:customStyle="1" w:styleId="naiskr">
    <w:name w:val="naiskr"/>
    <w:basedOn w:val="Normal"/>
    <w:rsid w:val="00FF4209"/>
    <w:pPr>
      <w:spacing w:before="100" w:beforeAutospacing="1" w:after="100" w:afterAutospacing="1"/>
      <w:jc w:val="left"/>
    </w:pPr>
    <w:rPr>
      <w:szCs w:val="24"/>
      <w:lang w:eastAsia="lv-LV"/>
    </w:rPr>
  </w:style>
  <w:style w:type="paragraph" w:styleId="BodyTextIndent2">
    <w:name w:val="Body Text Indent 2"/>
    <w:basedOn w:val="Normal"/>
    <w:link w:val="BodyTextIndent2Char"/>
    <w:rsid w:val="00FF4209"/>
    <w:pPr>
      <w:spacing w:line="480" w:lineRule="auto"/>
      <w:ind w:left="283"/>
    </w:pPr>
    <w:rPr>
      <w:lang w:val="x-none" w:eastAsia="x-none"/>
    </w:rPr>
  </w:style>
  <w:style w:type="character" w:customStyle="1" w:styleId="BodyTextIndent2Char">
    <w:name w:val="Body Text Indent 2 Char"/>
    <w:link w:val="BodyTextIndent2"/>
    <w:rsid w:val="00FF4209"/>
    <w:rPr>
      <w:rFonts w:ascii="Times New Roman" w:eastAsia="Times New Roman" w:hAnsi="Times New Roman" w:cs="Times New Roman"/>
      <w:sz w:val="24"/>
      <w:szCs w:val="20"/>
    </w:rPr>
  </w:style>
  <w:style w:type="paragraph" w:customStyle="1" w:styleId="RakstzCharCharRakstzCharCharRakstzCharCharRakstzCharChar">
    <w:name w:val="Rakstz. Char Char Rakstz. Char Char Rakstz. Char Char Rakstz. Char Char"/>
    <w:basedOn w:val="Normal"/>
    <w:rsid w:val="00FF4209"/>
    <w:pPr>
      <w:spacing w:after="160" w:line="240" w:lineRule="exact"/>
      <w:jc w:val="left"/>
    </w:pPr>
    <w:rPr>
      <w:rFonts w:ascii="Tahoma" w:hAnsi="Tahoma"/>
      <w:sz w:val="20"/>
      <w:lang w:val="en-US"/>
    </w:rPr>
  </w:style>
  <w:style w:type="paragraph" w:customStyle="1" w:styleId="msolistparagraph0">
    <w:name w:val="msolistparagraph"/>
    <w:basedOn w:val="Normal"/>
    <w:rsid w:val="00FF4209"/>
    <w:pPr>
      <w:ind w:left="720"/>
      <w:jc w:val="left"/>
    </w:pPr>
    <w:rPr>
      <w:szCs w:val="24"/>
      <w:lang w:eastAsia="lv-LV"/>
    </w:rPr>
  </w:style>
  <w:style w:type="paragraph" w:customStyle="1" w:styleId="NChar1CharCharCharCharChar">
    <w:name w:val="N Char1 Char Char Char Char Char"/>
    <w:basedOn w:val="Normal"/>
    <w:uiPriority w:val="99"/>
    <w:rsid w:val="00FF4209"/>
    <w:pPr>
      <w:tabs>
        <w:tab w:val="num" w:pos="0"/>
        <w:tab w:val="num" w:pos="765"/>
      </w:tabs>
      <w:ind w:left="765" w:hanging="720"/>
    </w:pPr>
    <w:rPr>
      <w:iCs/>
      <w:sz w:val="22"/>
      <w:szCs w:val="16"/>
      <w:lang w:eastAsia="lv-LV"/>
    </w:rPr>
  </w:style>
  <w:style w:type="character" w:customStyle="1" w:styleId="textsCharChar">
    <w:name w:val="texts Char Char"/>
    <w:aliases w:val="texts Char Char1,texts Char Char2,texts Char Char3"/>
    <w:rsid w:val="00FF4209"/>
    <w:rPr>
      <w:sz w:val="24"/>
      <w:szCs w:val="24"/>
      <w:lang w:val="en-GB" w:eastAsia="en-US" w:bidi="ar-SA"/>
    </w:rPr>
  </w:style>
  <w:style w:type="paragraph" w:styleId="ListParagraph">
    <w:name w:val="List Paragraph"/>
    <w:basedOn w:val="Normal"/>
    <w:uiPriority w:val="34"/>
    <w:qFormat/>
    <w:rsid w:val="00FF4209"/>
    <w:pPr>
      <w:spacing w:after="200" w:line="276" w:lineRule="auto"/>
      <w:ind w:left="720"/>
      <w:contextualSpacing/>
      <w:jc w:val="left"/>
    </w:pPr>
    <w:rPr>
      <w:rFonts w:ascii="Calibri" w:eastAsia="Calibri" w:hAnsi="Calibri"/>
      <w:sz w:val="22"/>
      <w:szCs w:val="22"/>
    </w:rPr>
  </w:style>
  <w:style w:type="paragraph" w:customStyle="1" w:styleId="CharCharCharCharCharCharCharChar">
    <w:name w:val="Char Char Char Char Char Char Char Char"/>
    <w:basedOn w:val="Normal"/>
    <w:next w:val="BlockText"/>
    <w:rsid w:val="00FF4209"/>
    <w:pPr>
      <w:spacing w:after="160" w:line="240" w:lineRule="exact"/>
      <w:ind w:firstLine="720"/>
    </w:pPr>
    <w:rPr>
      <w:rFonts w:ascii="Verdana" w:hAnsi="Verdana"/>
      <w:sz w:val="20"/>
      <w:lang w:val="en-US"/>
    </w:rPr>
  </w:style>
  <w:style w:type="paragraph" w:customStyle="1" w:styleId="naisf">
    <w:name w:val="naisf"/>
    <w:basedOn w:val="Normal"/>
    <w:link w:val="naisfChar"/>
    <w:rsid w:val="00FF4209"/>
    <w:pPr>
      <w:spacing w:before="100" w:beforeAutospacing="1" w:after="100" w:afterAutospacing="1"/>
      <w:jc w:val="left"/>
    </w:pPr>
    <w:rPr>
      <w:szCs w:val="24"/>
      <w:lang w:val="x-none" w:eastAsia="x-none"/>
    </w:rPr>
  </w:style>
  <w:style w:type="character" w:customStyle="1" w:styleId="naisfChar">
    <w:name w:val="naisf Char"/>
    <w:link w:val="naisf"/>
    <w:rsid w:val="00FF4209"/>
    <w:rPr>
      <w:rFonts w:ascii="Times New Roman" w:eastAsia="Times New Roman" w:hAnsi="Times New Roman" w:cs="Times New Roman"/>
      <w:sz w:val="24"/>
      <w:szCs w:val="24"/>
    </w:rPr>
  </w:style>
  <w:style w:type="paragraph" w:customStyle="1" w:styleId="Rakstz">
    <w:name w:val="Rakstz."/>
    <w:basedOn w:val="Normal"/>
    <w:rsid w:val="00FF4209"/>
    <w:pPr>
      <w:spacing w:before="40"/>
      <w:jc w:val="left"/>
    </w:pPr>
    <w:rPr>
      <w:szCs w:val="24"/>
      <w:lang w:val="pl-PL" w:eastAsia="pl-PL"/>
    </w:rPr>
  </w:style>
  <w:style w:type="paragraph" w:customStyle="1" w:styleId="Bullet1Rakstz">
    <w:name w:val="Bullet 1 Rakstz."/>
    <w:basedOn w:val="Normal"/>
    <w:rsid w:val="00FF4209"/>
    <w:pPr>
      <w:numPr>
        <w:numId w:val="1"/>
      </w:numPr>
      <w:snapToGrid w:val="0"/>
      <w:spacing w:before="20" w:line="288" w:lineRule="auto"/>
    </w:pPr>
    <w:rPr>
      <w:rFonts w:eastAsia="Calibri"/>
      <w:szCs w:val="24"/>
      <w:lang w:val="en-GB" w:eastAsia="en-GB"/>
    </w:rPr>
  </w:style>
  <w:style w:type="paragraph" w:customStyle="1" w:styleId="naisnod">
    <w:name w:val="naisnod"/>
    <w:basedOn w:val="Normal"/>
    <w:rsid w:val="00FF4209"/>
    <w:pPr>
      <w:spacing w:before="100" w:beforeAutospacing="1" w:after="100" w:afterAutospacing="1"/>
      <w:jc w:val="left"/>
    </w:pPr>
    <w:rPr>
      <w:rFonts w:eastAsia="Calibri"/>
      <w:szCs w:val="24"/>
      <w:lang w:eastAsia="lv-LV"/>
    </w:rPr>
  </w:style>
  <w:style w:type="table" w:styleId="TableGrid">
    <w:name w:val="Table Grid"/>
    <w:basedOn w:val="TableNormal"/>
    <w:uiPriority w:val="59"/>
    <w:rsid w:val="00FF42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209"/>
    <w:pPr>
      <w:autoSpaceDE w:val="0"/>
      <w:autoSpaceDN w:val="0"/>
      <w:adjustRightInd w:val="0"/>
    </w:pPr>
    <w:rPr>
      <w:rFonts w:ascii="Times New Roman" w:hAnsi="Times New Roman"/>
      <w:color w:val="000000"/>
      <w:sz w:val="24"/>
      <w:szCs w:val="24"/>
    </w:rPr>
  </w:style>
  <w:style w:type="character" w:customStyle="1" w:styleId="skypetbinnertext">
    <w:name w:val="skype_tb_innertext"/>
    <w:basedOn w:val="DefaultParagraphFont"/>
    <w:rsid w:val="00FF4209"/>
  </w:style>
  <w:style w:type="character" w:customStyle="1" w:styleId="spelle">
    <w:name w:val="spelle"/>
    <w:basedOn w:val="DefaultParagraphFont"/>
    <w:rsid w:val="00FF4209"/>
  </w:style>
  <w:style w:type="paragraph" w:customStyle="1" w:styleId="Normal1">
    <w:name w:val="Normal1"/>
    <w:basedOn w:val="Normal"/>
    <w:rsid w:val="00FF4209"/>
    <w:pPr>
      <w:spacing w:before="100" w:beforeAutospacing="1" w:after="100" w:afterAutospacing="1"/>
      <w:jc w:val="left"/>
    </w:pPr>
    <w:rPr>
      <w:szCs w:val="24"/>
      <w:lang w:val="en-US"/>
    </w:rPr>
  </w:style>
  <w:style w:type="paragraph" w:customStyle="1" w:styleId="1lmenis">
    <w:name w:val="1.līmenis"/>
    <w:basedOn w:val="Heading1"/>
    <w:link w:val="1lmenisChar"/>
    <w:uiPriority w:val="99"/>
    <w:qFormat/>
    <w:rsid w:val="00FF4209"/>
    <w:pPr>
      <w:numPr>
        <w:numId w:val="2"/>
      </w:numPr>
    </w:pPr>
    <w:rPr>
      <w:sz w:val="36"/>
      <w:szCs w:val="30"/>
    </w:rPr>
  </w:style>
  <w:style w:type="paragraph" w:customStyle="1" w:styleId="2lmenis">
    <w:name w:val="2.līmenis"/>
    <w:basedOn w:val="Heading2"/>
    <w:link w:val="2lmenisChar"/>
    <w:qFormat/>
    <w:rsid w:val="00FF4209"/>
    <w:pPr>
      <w:ind w:left="720"/>
    </w:pPr>
    <w:rPr>
      <w:rFonts w:ascii="Times New Roman" w:hAnsi="Times New Roman"/>
      <w:bCs w:val="0"/>
      <w:i w:val="0"/>
    </w:rPr>
  </w:style>
  <w:style w:type="character" w:customStyle="1" w:styleId="1lmenisChar">
    <w:name w:val="1.līmenis Char"/>
    <w:link w:val="1lmenis"/>
    <w:uiPriority w:val="99"/>
    <w:rsid w:val="00FF4209"/>
    <w:rPr>
      <w:rFonts w:ascii="Cambria" w:eastAsia="Times New Roman" w:hAnsi="Cambria"/>
      <w:b/>
      <w:bCs/>
      <w:kern w:val="32"/>
      <w:sz w:val="36"/>
      <w:szCs w:val="30"/>
      <w:lang w:val="x-none" w:eastAsia="x-none"/>
    </w:rPr>
  </w:style>
  <w:style w:type="paragraph" w:customStyle="1" w:styleId="3lmenis">
    <w:name w:val="3.līmenis"/>
    <w:basedOn w:val="Normal"/>
    <w:link w:val="3lmenisChar"/>
    <w:qFormat/>
    <w:rsid w:val="00FF4209"/>
    <w:pPr>
      <w:spacing w:line="276" w:lineRule="auto"/>
      <w:ind w:left="720"/>
    </w:pPr>
    <w:rPr>
      <w:b/>
      <w:bCs/>
      <w:szCs w:val="24"/>
      <w:u w:val="single"/>
      <w:lang w:val="x-none" w:eastAsia="x-none"/>
    </w:rPr>
  </w:style>
  <w:style w:type="character" w:customStyle="1" w:styleId="2lmenisChar">
    <w:name w:val="2.līmenis Char"/>
    <w:link w:val="2lmenis"/>
    <w:rsid w:val="00FF4209"/>
    <w:rPr>
      <w:rFonts w:ascii="Times New Roman" w:eastAsia="Times New Roman" w:hAnsi="Times New Roman" w:cs="Arial"/>
      <w:b/>
      <w:iCs/>
      <w:sz w:val="28"/>
      <w:szCs w:val="28"/>
    </w:rPr>
  </w:style>
  <w:style w:type="character" w:customStyle="1" w:styleId="3lmenisChar">
    <w:name w:val="3.līmenis Char"/>
    <w:link w:val="3lmenis"/>
    <w:rsid w:val="00FF4209"/>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FF4209"/>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A5117A"/>
    <w:pPr>
      <w:tabs>
        <w:tab w:val="left" w:pos="426"/>
        <w:tab w:val="right" w:leader="dot" w:pos="9214"/>
      </w:tabs>
      <w:spacing w:line="276" w:lineRule="auto"/>
      <w:jc w:val="left"/>
    </w:pPr>
    <w:rPr>
      <w:b/>
      <w:bCs/>
      <w:caps/>
      <w:noProof/>
      <w:szCs w:val="24"/>
    </w:rPr>
  </w:style>
  <w:style w:type="paragraph" w:styleId="TOC2">
    <w:name w:val="toc 2"/>
    <w:basedOn w:val="Normal"/>
    <w:next w:val="Normal"/>
    <w:autoRedefine/>
    <w:uiPriority w:val="39"/>
    <w:unhideWhenUsed/>
    <w:qFormat/>
    <w:rsid w:val="00906FFF"/>
    <w:pPr>
      <w:tabs>
        <w:tab w:val="left" w:pos="720"/>
        <w:tab w:val="right" w:leader="dot" w:pos="9214"/>
      </w:tabs>
      <w:spacing w:before="240"/>
    </w:pPr>
    <w:rPr>
      <w:bCs/>
      <w:noProof/>
      <w:szCs w:val="24"/>
    </w:rPr>
  </w:style>
  <w:style w:type="paragraph" w:styleId="TOC3">
    <w:name w:val="toc 3"/>
    <w:basedOn w:val="Normal"/>
    <w:next w:val="Normal"/>
    <w:autoRedefine/>
    <w:uiPriority w:val="39"/>
    <w:unhideWhenUsed/>
    <w:qFormat/>
    <w:rsid w:val="00FF4209"/>
    <w:pPr>
      <w:ind w:left="240"/>
      <w:jc w:val="left"/>
    </w:pPr>
    <w:rPr>
      <w:rFonts w:ascii="Calibri" w:hAnsi="Calibri"/>
      <w:sz w:val="20"/>
      <w:szCs w:val="24"/>
    </w:rPr>
  </w:style>
  <w:style w:type="paragraph" w:styleId="TOC4">
    <w:name w:val="toc 4"/>
    <w:basedOn w:val="Normal"/>
    <w:next w:val="Normal"/>
    <w:autoRedefine/>
    <w:uiPriority w:val="39"/>
    <w:unhideWhenUsed/>
    <w:rsid w:val="00FF4209"/>
    <w:pPr>
      <w:ind w:left="480"/>
      <w:jc w:val="left"/>
    </w:pPr>
    <w:rPr>
      <w:rFonts w:ascii="Calibri" w:hAnsi="Calibri"/>
      <w:sz w:val="20"/>
      <w:szCs w:val="24"/>
    </w:rPr>
  </w:style>
  <w:style w:type="paragraph" w:styleId="TOC5">
    <w:name w:val="toc 5"/>
    <w:basedOn w:val="Normal"/>
    <w:next w:val="Normal"/>
    <w:autoRedefine/>
    <w:uiPriority w:val="39"/>
    <w:unhideWhenUsed/>
    <w:rsid w:val="00FF4209"/>
    <w:pPr>
      <w:ind w:left="720"/>
      <w:jc w:val="left"/>
    </w:pPr>
    <w:rPr>
      <w:rFonts w:ascii="Calibri" w:hAnsi="Calibri"/>
      <w:sz w:val="20"/>
      <w:szCs w:val="24"/>
    </w:rPr>
  </w:style>
  <w:style w:type="paragraph" w:styleId="TOC6">
    <w:name w:val="toc 6"/>
    <w:basedOn w:val="Normal"/>
    <w:next w:val="Normal"/>
    <w:autoRedefine/>
    <w:uiPriority w:val="39"/>
    <w:unhideWhenUsed/>
    <w:rsid w:val="00FF4209"/>
    <w:pPr>
      <w:ind w:left="960"/>
      <w:jc w:val="left"/>
    </w:pPr>
    <w:rPr>
      <w:rFonts w:ascii="Calibri" w:hAnsi="Calibri"/>
      <w:sz w:val="20"/>
      <w:szCs w:val="24"/>
    </w:rPr>
  </w:style>
  <w:style w:type="paragraph" w:styleId="TOC7">
    <w:name w:val="toc 7"/>
    <w:basedOn w:val="Normal"/>
    <w:next w:val="Normal"/>
    <w:autoRedefine/>
    <w:uiPriority w:val="39"/>
    <w:unhideWhenUsed/>
    <w:rsid w:val="00FF4209"/>
    <w:pPr>
      <w:ind w:left="1200"/>
      <w:jc w:val="left"/>
    </w:pPr>
    <w:rPr>
      <w:rFonts w:ascii="Calibri" w:hAnsi="Calibri"/>
      <w:sz w:val="20"/>
      <w:szCs w:val="24"/>
    </w:rPr>
  </w:style>
  <w:style w:type="paragraph" w:styleId="TOC8">
    <w:name w:val="toc 8"/>
    <w:basedOn w:val="Normal"/>
    <w:next w:val="Normal"/>
    <w:autoRedefine/>
    <w:uiPriority w:val="39"/>
    <w:unhideWhenUsed/>
    <w:rsid w:val="00FF4209"/>
    <w:pPr>
      <w:ind w:left="1440"/>
      <w:jc w:val="left"/>
    </w:pPr>
    <w:rPr>
      <w:rFonts w:ascii="Calibri" w:hAnsi="Calibri"/>
      <w:sz w:val="20"/>
      <w:szCs w:val="24"/>
    </w:rPr>
  </w:style>
  <w:style w:type="paragraph" w:styleId="TOC9">
    <w:name w:val="toc 9"/>
    <w:basedOn w:val="Normal"/>
    <w:next w:val="Normal"/>
    <w:autoRedefine/>
    <w:uiPriority w:val="39"/>
    <w:unhideWhenUsed/>
    <w:rsid w:val="00FF4209"/>
    <w:pPr>
      <w:ind w:left="1680"/>
      <w:jc w:val="left"/>
    </w:pPr>
    <w:rPr>
      <w:rFonts w:ascii="Calibri" w:hAnsi="Calibri"/>
      <w:sz w:val="20"/>
      <w:szCs w:val="24"/>
    </w:rPr>
  </w:style>
  <w:style w:type="paragraph" w:customStyle="1" w:styleId="TabCharChar">
    <w:name w:val="Tab Char Char"/>
    <w:basedOn w:val="Normal"/>
    <w:autoRedefine/>
    <w:rsid w:val="00FF4209"/>
    <w:pPr>
      <w:spacing w:after="200" w:line="276" w:lineRule="auto"/>
    </w:pPr>
    <w:rPr>
      <w:szCs w:val="24"/>
      <w:lang w:eastAsia="lv-LV"/>
    </w:rPr>
  </w:style>
  <w:style w:type="paragraph" w:customStyle="1" w:styleId="MKNormal">
    <w:name w:val="MKNormal"/>
    <w:basedOn w:val="Normal"/>
    <w:autoRedefine/>
    <w:rsid w:val="00FF4209"/>
    <w:pPr>
      <w:ind w:firstLine="720"/>
    </w:pPr>
    <w:rPr>
      <w:szCs w:val="24"/>
      <w:lang w:eastAsia="lv-LV"/>
    </w:rPr>
  </w:style>
  <w:style w:type="paragraph" w:styleId="EndnoteText">
    <w:name w:val="endnote text"/>
    <w:basedOn w:val="Normal"/>
    <w:link w:val="EndnoteTextChar"/>
    <w:uiPriority w:val="99"/>
    <w:semiHidden/>
    <w:unhideWhenUsed/>
    <w:rsid w:val="00FF4209"/>
    <w:rPr>
      <w:sz w:val="20"/>
      <w:lang w:val="x-none" w:eastAsia="x-none"/>
    </w:rPr>
  </w:style>
  <w:style w:type="character" w:customStyle="1" w:styleId="EndnoteTextChar">
    <w:name w:val="Endnote Text Char"/>
    <w:link w:val="EndnoteText"/>
    <w:uiPriority w:val="99"/>
    <w:semiHidden/>
    <w:rsid w:val="00FF4209"/>
    <w:rPr>
      <w:rFonts w:ascii="Times New Roman" w:eastAsia="Times New Roman" w:hAnsi="Times New Roman" w:cs="Times New Roman"/>
      <w:sz w:val="20"/>
      <w:szCs w:val="20"/>
    </w:rPr>
  </w:style>
  <w:style w:type="character" w:styleId="EndnoteReference">
    <w:name w:val="endnote reference"/>
    <w:uiPriority w:val="99"/>
    <w:semiHidden/>
    <w:unhideWhenUsed/>
    <w:rsid w:val="00FF4209"/>
    <w:rPr>
      <w:vertAlign w:val="superscript"/>
    </w:rPr>
  </w:style>
  <w:style w:type="paragraph" w:customStyle="1" w:styleId="Normal1-centered">
    <w:name w:val="Normal1-centered"/>
    <w:basedOn w:val="Normal1"/>
    <w:qFormat/>
    <w:rsid w:val="00FF4209"/>
    <w:pPr>
      <w:spacing w:before="0" w:beforeAutospacing="0" w:after="0" w:afterAutospacing="0"/>
      <w:jc w:val="center"/>
    </w:pPr>
    <w:rPr>
      <w:rFonts w:eastAsia="Calibri"/>
      <w:i/>
      <w:sz w:val="20"/>
      <w:szCs w:val="22"/>
      <w:lang w:val="lv-LV"/>
    </w:rPr>
  </w:style>
  <w:style w:type="character" w:customStyle="1" w:styleId="xdtextbox1">
    <w:name w:val="xdtextbox1"/>
    <w:rsid w:val="00FF4209"/>
    <w:rPr>
      <w:color w:val="auto"/>
      <w:bdr w:val="single" w:sz="8" w:space="1" w:color="DCDCDC" w:frame="1"/>
      <w:shd w:val="clear" w:color="auto" w:fill="FFFFFF"/>
    </w:rPr>
  </w:style>
  <w:style w:type="paragraph" w:styleId="PlainText">
    <w:name w:val="Plain Text"/>
    <w:basedOn w:val="Normal"/>
    <w:link w:val="PlainTextChar"/>
    <w:uiPriority w:val="99"/>
    <w:unhideWhenUsed/>
    <w:rsid w:val="00FF4209"/>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F4209"/>
    <w:rPr>
      <w:rFonts w:ascii="Consolas" w:eastAsia="Calibri" w:hAnsi="Consolas" w:cs="Times New Roman"/>
      <w:sz w:val="21"/>
      <w:szCs w:val="21"/>
    </w:rPr>
  </w:style>
  <w:style w:type="paragraph" w:styleId="ListBullet">
    <w:name w:val="List Bullet"/>
    <w:basedOn w:val="Normal"/>
    <w:rsid w:val="00FF4209"/>
    <w:pPr>
      <w:numPr>
        <w:numId w:val="3"/>
      </w:numPr>
    </w:pPr>
    <w:rPr>
      <w:lang w:val="en-GB" w:eastAsia="de-DE"/>
    </w:rPr>
  </w:style>
  <w:style w:type="character" w:customStyle="1" w:styleId="colora">
    <w:name w:val="colora"/>
    <w:basedOn w:val="DefaultParagraphFont"/>
    <w:rsid w:val="00FF4209"/>
  </w:style>
  <w:style w:type="table" w:styleId="LightGrid-Accent3">
    <w:name w:val="Light Grid Accent 3"/>
    <w:basedOn w:val="TableNormal"/>
    <w:uiPriority w:val="62"/>
    <w:rsid w:val="00FF4209"/>
    <w:rPr>
      <w:rFonts w:ascii="Times New Roman" w:hAnsi="Times New Roman"/>
      <w:sz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aisc">
    <w:name w:val="naisc"/>
    <w:basedOn w:val="Normal"/>
    <w:uiPriority w:val="99"/>
    <w:rsid w:val="00A63B18"/>
    <w:pPr>
      <w:spacing w:before="100" w:beforeAutospacing="1" w:after="100" w:afterAutospacing="1"/>
      <w:jc w:val="left"/>
    </w:pPr>
    <w:rPr>
      <w:szCs w:val="24"/>
      <w:lang w:eastAsia="lv-LV"/>
    </w:rPr>
  </w:style>
  <w:style w:type="character" w:customStyle="1" w:styleId="xdtextboxctrl11ms-xedit-plaintext">
    <w:name w:val="xdtextbox ctrl11 ms-xedit-plaintext"/>
    <w:uiPriority w:val="99"/>
    <w:rsid w:val="00014F70"/>
    <w:rPr>
      <w:rFonts w:ascii="Times New Roman" w:hAnsi="Times New Roman" w:cs="Times New Roman" w:hint="default"/>
    </w:rPr>
  </w:style>
  <w:style w:type="character" w:customStyle="1" w:styleId="xdtextboxctrl10ms-xedit-plaintext">
    <w:name w:val="xdtextbox ctrl10 ms-xedit-plaintext"/>
    <w:uiPriority w:val="99"/>
    <w:rsid w:val="00014F70"/>
    <w:rPr>
      <w:rFonts w:ascii="Times New Roman" w:hAnsi="Times New Roman" w:cs="Times New Roman" w:hint="default"/>
    </w:rPr>
  </w:style>
  <w:style w:type="character" w:customStyle="1" w:styleId="apple-style-span">
    <w:name w:val="apple-style-span"/>
    <w:rsid w:val="00AC09A3"/>
  </w:style>
  <w:style w:type="paragraph" w:customStyle="1" w:styleId="rteleft">
    <w:name w:val="rteleft"/>
    <w:basedOn w:val="Normal"/>
    <w:rsid w:val="00D800C4"/>
    <w:pPr>
      <w:spacing w:before="100" w:beforeAutospacing="1" w:after="100" w:afterAutospacing="1"/>
      <w:jc w:val="left"/>
    </w:pPr>
    <w:rPr>
      <w:szCs w:val="24"/>
      <w:lang w:eastAsia="lv-LV"/>
    </w:rPr>
  </w:style>
  <w:style w:type="character" w:customStyle="1" w:styleId="EE-paragr-12Char">
    <w:name w:val="EE-paragr-12 Char"/>
    <w:link w:val="EE-paragr-12"/>
    <w:uiPriority w:val="99"/>
    <w:locked/>
    <w:rsid w:val="002001C6"/>
    <w:rPr>
      <w:sz w:val="24"/>
      <w:szCs w:val="24"/>
    </w:rPr>
  </w:style>
  <w:style w:type="paragraph" w:customStyle="1" w:styleId="EE-paragr-12">
    <w:name w:val="EE-paragr-12"/>
    <w:basedOn w:val="Normal"/>
    <w:link w:val="EE-paragr-12Char"/>
    <w:uiPriority w:val="99"/>
    <w:rsid w:val="002001C6"/>
    <w:rPr>
      <w:rFonts w:ascii="Calibri" w:eastAsia="Calibri" w:hAnsi="Calibri"/>
      <w:szCs w:val="24"/>
      <w:lang w:eastAsia="lv-LV"/>
    </w:rPr>
  </w:style>
  <w:style w:type="character" w:customStyle="1" w:styleId="st">
    <w:name w:val="st"/>
    <w:basedOn w:val="DefaultParagraphFont"/>
    <w:rsid w:val="00EC5BED"/>
  </w:style>
  <w:style w:type="character" w:customStyle="1" w:styleId="hps">
    <w:name w:val="hps"/>
    <w:basedOn w:val="DefaultParagraphFont"/>
    <w:rsid w:val="00591277"/>
  </w:style>
  <w:style w:type="character" w:customStyle="1" w:styleId="PlainTextChar1">
    <w:name w:val="Plain Text Char1"/>
    <w:basedOn w:val="DefaultParagraphFont"/>
    <w:uiPriority w:val="99"/>
    <w:semiHidden/>
    <w:rsid w:val="00467DFA"/>
    <w:rPr>
      <w:rFonts w:ascii="Consolas" w:eastAsia="Calibri" w:hAnsi="Consolas" w:cs="Times New Roman"/>
      <w:sz w:val="21"/>
      <w:szCs w:val="21"/>
    </w:rPr>
  </w:style>
  <w:style w:type="character" w:customStyle="1" w:styleId="st1">
    <w:name w:val="st1"/>
    <w:rsid w:val="000F2FAE"/>
  </w:style>
  <w:style w:type="paragraph" w:customStyle="1" w:styleId="FDUKam">
    <w:name w:val="FDUKam"/>
    <w:basedOn w:val="ListParagraph"/>
    <w:link w:val="FDUKamChar"/>
    <w:qFormat/>
    <w:rsid w:val="00110F05"/>
    <w:pPr>
      <w:numPr>
        <w:ilvl w:val="1"/>
        <w:numId w:val="38"/>
      </w:numPr>
      <w:spacing w:before="0"/>
      <w:jc w:val="both"/>
    </w:pPr>
    <w:rPr>
      <w:rFonts w:ascii="Times New Roman" w:hAnsi="Times New Roman"/>
    </w:rPr>
  </w:style>
  <w:style w:type="character" w:customStyle="1" w:styleId="FDUKamChar">
    <w:name w:val="FDUKam Char"/>
    <w:basedOn w:val="DefaultParagraphFont"/>
    <w:link w:val="FDUKam"/>
    <w:rsid w:val="00110F05"/>
    <w:rPr>
      <w:rFonts w:ascii="Times New Roman" w:hAnsi="Times New Roman"/>
      <w:sz w:val="22"/>
      <w:szCs w:val="22"/>
      <w:lang w:eastAsia="en-US"/>
    </w:rPr>
  </w:style>
  <w:style w:type="paragraph" w:customStyle="1" w:styleId="tv20787921">
    <w:name w:val="tv207_87_921"/>
    <w:basedOn w:val="Normal"/>
    <w:rsid w:val="004315D3"/>
    <w:pPr>
      <w:spacing w:before="0" w:after="567"/>
      <w:jc w:val="center"/>
    </w:pPr>
    <w:rPr>
      <w:rFonts w:ascii="Verdana" w:hAnsi="Verdana"/>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6A"/>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F42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4209"/>
    <w:pPr>
      <w:keepNext/>
      <w:spacing w:before="240" w:after="60"/>
      <w:jc w:val="left"/>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FF420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209"/>
    <w:rPr>
      <w:rFonts w:ascii="Cambria" w:eastAsia="Times New Roman" w:hAnsi="Cambria" w:cs="DokChampa"/>
      <w:b/>
      <w:bCs/>
      <w:kern w:val="32"/>
      <w:sz w:val="32"/>
      <w:szCs w:val="32"/>
    </w:rPr>
  </w:style>
  <w:style w:type="character" w:customStyle="1" w:styleId="Heading2Char">
    <w:name w:val="Heading 2 Char"/>
    <w:link w:val="Heading2"/>
    <w:rsid w:val="00FF4209"/>
    <w:rPr>
      <w:rFonts w:ascii="Arial" w:eastAsia="Times New Roman" w:hAnsi="Arial" w:cs="Arial"/>
      <w:b/>
      <w:bCs/>
      <w:i/>
      <w:iCs/>
      <w:sz w:val="28"/>
      <w:szCs w:val="28"/>
    </w:rPr>
  </w:style>
  <w:style w:type="character" w:customStyle="1" w:styleId="Heading3Char">
    <w:name w:val="Heading 3 Char"/>
    <w:link w:val="Heading3"/>
    <w:uiPriority w:val="9"/>
    <w:semiHidden/>
    <w:rsid w:val="00FF4209"/>
    <w:rPr>
      <w:rFonts w:ascii="Cambria" w:eastAsia="Times New Roman" w:hAnsi="Cambria" w:cs="Times New Roman"/>
      <w:b/>
      <w:bCs/>
      <w:color w:val="4F81BD"/>
      <w:sz w:val="24"/>
      <w:szCs w:val="20"/>
    </w:rPr>
  </w:style>
  <w:style w:type="paragraph" w:styleId="Header">
    <w:name w:val="header"/>
    <w:basedOn w:val="Normal"/>
    <w:link w:val="HeaderChar"/>
    <w:uiPriority w:val="99"/>
    <w:rsid w:val="00FF4209"/>
    <w:pPr>
      <w:tabs>
        <w:tab w:val="center" w:pos="4153"/>
        <w:tab w:val="right" w:pos="8306"/>
      </w:tabs>
      <w:jc w:val="left"/>
    </w:pPr>
    <w:rPr>
      <w:szCs w:val="24"/>
      <w:lang w:val="en-GB" w:eastAsia="x-none"/>
    </w:rPr>
  </w:style>
  <w:style w:type="character" w:customStyle="1" w:styleId="HeaderChar">
    <w:name w:val="Header Char"/>
    <w:link w:val="Header"/>
    <w:uiPriority w:val="99"/>
    <w:rsid w:val="00FF4209"/>
    <w:rPr>
      <w:rFonts w:ascii="Times New Roman" w:eastAsia="Times New Roman" w:hAnsi="Times New Roman" w:cs="Times New Roman"/>
      <w:sz w:val="24"/>
      <w:szCs w:val="24"/>
      <w:lang w:val="en-GB"/>
    </w:rPr>
  </w:style>
  <w:style w:type="character" w:styleId="Hyperlink">
    <w:name w:val="Hyperlink"/>
    <w:uiPriority w:val="99"/>
    <w:rsid w:val="00FF4209"/>
    <w:rPr>
      <w:rFonts w:ascii="Arial" w:hAnsi="Arial" w:cs="Arial" w:hint="default"/>
      <w:strike w:val="0"/>
      <w:dstrike w:val="0"/>
      <w:color w:val="189B70"/>
      <w:sz w:val="18"/>
      <w:szCs w:val="18"/>
      <w:u w:val="none"/>
      <w:effect w:val="none"/>
    </w:rPr>
  </w:style>
  <w:style w:type="paragraph" w:styleId="BalloonText">
    <w:name w:val="Balloon Text"/>
    <w:basedOn w:val="Normal"/>
    <w:link w:val="BalloonTextChar"/>
    <w:semiHidden/>
    <w:rsid w:val="00FF4209"/>
    <w:rPr>
      <w:rFonts w:ascii="Tahoma" w:hAnsi="Tahoma"/>
      <w:sz w:val="16"/>
      <w:szCs w:val="16"/>
      <w:lang w:val="x-none" w:eastAsia="x-none"/>
    </w:rPr>
  </w:style>
  <w:style w:type="character" w:customStyle="1" w:styleId="BalloonTextChar">
    <w:name w:val="Balloon Text Char"/>
    <w:link w:val="BalloonText"/>
    <w:semiHidden/>
    <w:rsid w:val="00FF4209"/>
    <w:rPr>
      <w:rFonts w:ascii="Tahoma" w:eastAsia="Times New Roman" w:hAnsi="Tahoma" w:cs="Tahoma"/>
      <w:sz w:val="16"/>
      <w:szCs w:val="16"/>
    </w:rPr>
  </w:style>
  <w:style w:type="paragraph" w:styleId="NormalWeb">
    <w:name w:val="Normal (Web)"/>
    <w:basedOn w:val="Normal"/>
    <w:uiPriority w:val="99"/>
    <w:rsid w:val="00FF4209"/>
    <w:pPr>
      <w:spacing w:before="100" w:beforeAutospacing="1" w:after="100" w:afterAutospacing="1"/>
      <w:jc w:val="left"/>
    </w:pPr>
    <w:rPr>
      <w:szCs w:val="24"/>
      <w:lang w:val="en-GB"/>
    </w:rPr>
  </w:style>
  <w:style w:type="character" w:styleId="Strong">
    <w:name w:val="Strong"/>
    <w:uiPriority w:val="22"/>
    <w:qFormat/>
    <w:rsid w:val="00FF4209"/>
    <w:rPr>
      <w:b/>
      <w:bCs/>
    </w:rPr>
  </w:style>
  <w:style w:type="paragraph" w:styleId="Title">
    <w:name w:val="Title"/>
    <w:basedOn w:val="Normal"/>
    <w:link w:val="TitleChar"/>
    <w:uiPriority w:val="10"/>
    <w:qFormat/>
    <w:rsid w:val="00FF4209"/>
    <w:pPr>
      <w:jc w:val="center"/>
    </w:pPr>
    <w:rPr>
      <w:b/>
      <w:sz w:val="28"/>
      <w:szCs w:val="28"/>
      <w:lang w:val="x-none" w:eastAsia="x-none"/>
    </w:rPr>
  </w:style>
  <w:style w:type="character" w:customStyle="1" w:styleId="TitleChar">
    <w:name w:val="Title Char"/>
    <w:link w:val="Title"/>
    <w:uiPriority w:val="10"/>
    <w:rsid w:val="00FF4209"/>
    <w:rPr>
      <w:rFonts w:ascii="Times New Roman" w:eastAsia="Times New Roman" w:hAnsi="Times New Roman" w:cs="Times New Roman"/>
      <w:b/>
      <w:sz w:val="28"/>
      <w:szCs w:val="28"/>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FF4209"/>
    <w:rPr>
      <w:sz w:val="20"/>
      <w:lang w:val="x-none" w:eastAsia="x-none"/>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FF4209"/>
    <w:rPr>
      <w:rFonts w:ascii="Times New Roman" w:eastAsia="Times New Roman" w:hAnsi="Times New Roman" w:cs="Times New Roman"/>
      <w:sz w:val="20"/>
      <w:szCs w:val="20"/>
    </w:rPr>
  </w:style>
  <w:style w:type="character" w:styleId="FootnoteReference">
    <w:name w:val="footnote reference"/>
    <w:aliases w:val="Footnote Reference Number,Footnote symbol"/>
    <w:uiPriority w:val="99"/>
    <w:rsid w:val="00FF4209"/>
    <w:rPr>
      <w:vertAlign w:val="superscript"/>
    </w:rPr>
  </w:style>
  <w:style w:type="paragraph" w:styleId="Footer">
    <w:name w:val="footer"/>
    <w:basedOn w:val="Normal"/>
    <w:link w:val="FooterChar"/>
    <w:rsid w:val="00FF4209"/>
    <w:pPr>
      <w:tabs>
        <w:tab w:val="center" w:pos="4153"/>
        <w:tab w:val="right" w:pos="8306"/>
      </w:tabs>
    </w:pPr>
    <w:rPr>
      <w:lang w:val="x-none" w:eastAsia="x-none"/>
    </w:rPr>
  </w:style>
  <w:style w:type="character" w:customStyle="1" w:styleId="FooterChar">
    <w:name w:val="Footer Char"/>
    <w:link w:val="Footer"/>
    <w:rsid w:val="00FF4209"/>
    <w:rPr>
      <w:rFonts w:ascii="Times New Roman" w:eastAsia="Times New Roman" w:hAnsi="Times New Roman" w:cs="Times New Roman"/>
      <w:sz w:val="24"/>
      <w:szCs w:val="20"/>
    </w:rPr>
  </w:style>
  <w:style w:type="character" w:styleId="PageNumber">
    <w:name w:val="page number"/>
    <w:basedOn w:val="DefaultParagraphFont"/>
    <w:rsid w:val="00FF4209"/>
  </w:style>
  <w:style w:type="character" w:styleId="FollowedHyperlink">
    <w:name w:val="FollowedHyperlink"/>
    <w:rsid w:val="00FF4209"/>
    <w:rPr>
      <w:color w:val="800080"/>
      <w:u w:val="single"/>
    </w:rPr>
  </w:style>
  <w:style w:type="character" w:styleId="Emphasis">
    <w:name w:val="Emphasis"/>
    <w:uiPriority w:val="20"/>
    <w:qFormat/>
    <w:rsid w:val="00FF4209"/>
    <w:rPr>
      <w:i/>
      <w:iCs/>
    </w:rPr>
  </w:style>
  <w:style w:type="paragraph" w:customStyle="1" w:styleId="RakstzRakstz">
    <w:name w:val="Rakstz. Rakstz."/>
    <w:basedOn w:val="Normal"/>
    <w:next w:val="BlockText"/>
    <w:rsid w:val="00FF4209"/>
    <w:pPr>
      <w:spacing w:after="160" w:line="240" w:lineRule="exact"/>
      <w:ind w:firstLine="720"/>
    </w:pPr>
    <w:rPr>
      <w:rFonts w:ascii="Verdana" w:hAnsi="Verdana"/>
      <w:sz w:val="20"/>
      <w:lang w:val="en-US"/>
    </w:rPr>
  </w:style>
  <w:style w:type="paragraph" w:styleId="BlockText">
    <w:name w:val="Block Text"/>
    <w:basedOn w:val="Normal"/>
    <w:rsid w:val="00FF4209"/>
    <w:pPr>
      <w:ind w:left="1440" w:right="1440"/>
    </w:pPr>
  </w:style>
  <w:style w:type="paragraph" w:customStyle="1" w:styleId="CharChar2Char">
    <w:name w:val="Char Char2 Char"/>
    <w:basedOn w:val="Normal"/>
    <w:rsid w:val="00FF4209"/>
    <w:pPr>
      <w:spacing w:before="40"/>
      <w:jc w:val="left"/>
    </w:pPr>
    <w:rPr>
      <w:szCs w:val="24"/>
      <w:lang w:val="pl-PL" w:eastAsia="pl-PL"/>
    </w:rPr>
  </w:style>
  <w:style w:type="paragraph" w:styleId="BodyText">
    <w:name w:val="Body Text"/>
    <w:basedOn w:val="Normal"/>
    <w:link w:val="BodyTextChar"/>
    <w:rsid w:val="00FF4209"/>
    <w:pPr>
      <w:jc w:val="left"/>
    </w:pPr>
    <w:rPr>
      <w:b/>
      <w:bCs/>
      <w:szCs w:val="24"/>
      <w:lang w:val="en-GB" w:eastAsia="x-none"/>
    </w:rPr>
  </w:style>
  <w:style w:type="character" w:customStyle="1" w:styleId="BodyTextChar">
    <w:name w:val="Body Text Char"/>
    <w:link w:val="BodyText"/>
    <w:rsid w:val="00FF420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F4209"/>
    <w:pPr>
      <w:ind w:left="283"/>
    </w:pPr>
    <w:rPr>
      <w:lang w:val="x-none" w:eastAsia="x-none"/>
    </w:rPr>
  </w:style>
  <w:style w:type="character" w:customStyle="1" w:styleId="BodyTextIndentChar">
    <w:name w:val="Body Text Indent Char"/>
    <w:link w:val="BodyTextIndent"/>
    <w:rsid w:val="00FF4209"/>
    <w:rPr>
      <w:rFonts w:ascii="Times New Roman" w:eastAsia="Times New Roman" w:hAnsi="Times New Roman" w:cs="Times New Roman"/>
      <w:sz w:val="24"/>
      <w:szCs w:val="20"/>
    </w:rPr>
  </w:style>
  <w:style w:type="paragraph" w:customStyle="1" w:styleId="CharCharCharCharChar">
    <w:name w:val="Char Char Char Char Char"/>
    <w:basedOn w:val="Normal"/>
    <w:next w:val="BlockText"/>
    <w:rsid w:val="00FF4209"/>
    <w:pPr>
      <w:spacing w:after="160" w:line="240" w:lineRule="exact"/>
      <w:ind w:firstLine="720"/>
    </w:pPr>
    <w:rPr>
      <w:rFonts w:ascii="Verdana" w:hAnsi="Verdana"/>
      <w:sz w:val="20"/>
      <w:lang w:val="en-US"/>
    </w:rPr>
  </w:style>
  <w:style w:type="paragraph" w:customStyle="1" w:styleId="CharChar1">
    <w:name w:val="Char Char1"/>
    <w:basedOn w:val="Normal"/>
    <w:next w:val="BlockText"/>
    <w:rsid w:val="00FF4209"/>
    <w:pPr>
      <w:spacing w:after="160" w:line="240" w:lineRule="exact"/>
      <w:ind w:firstLine="720"/>
    </w:pPr>
    <w:rPr>
      <w:rFonts w:ascii="Verdana" w:hAnsi="Verdana"/>
      <w:sz w:val="20"/>
      <w:lang w:val="en-US"/>
    </w:rPr>
  </w:style>
  <w:style w:type="character" w:styleId="CommentReference">
    <w:name w:val="annotation reference"/>
    <w:uiPriority w:val="99"/>
    <w:rsid w:val="00FF4209"/>
    <w:rPr>
      <w:sz w:val="16"/>
      <w:szCs w:val="16"/>
    </w:rPr>
  </w:style>
  <w:style w:type="paragraph" w:styleId="CommentText">
    <w:name w:val="annotation text"/>
    <w:basedOn w:val="Normal"/>
    <w:link w:val="CommentTextChar"/>
    <w:uiPriority w:val="99"/>
    <w:rsid w:val="00FF4209"/>
    <w:rPr>
      <w:sz w:val="20"/>
      <w:lang w:val="x-none" w:eastAsia="x-none"/>
    </w:rPr>
  </w:style>
  <w:style w:type="character" w:customStyle="1" w:styleId="CommentTextChar">
    <w:name w:val="Comment Text Char"/>
    <w:link w:val="CommentText"/>
    <w:uiPriority w:val="99"/>
    <w:rsid w:val="00FF4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4209"/>
    <w:rPr>
      <w:b/>
      <w:bCs/>
    </w:rPr>
  </w:style>
  <w:style w:type="character" w:customStyle="1" w:styleId="CommentSubjectChar">
    <w:name w:val="Comment Subject Char"/>
    <w:link w:val="CommentSubject"/>
    <w:semiHidden/>
    <w:rsid w:val="00FF4209"/>
    <w:rPr>
      <w:rFonts w:ascii="Times New Roman" w:eastAsia="Times New Roman" w:hAnsi="Times New Roman" w:cs="Times New Roman"/>
      <w:b/>
      <w:bCs/>
      <w:sz w:val="20"/>
      <w:szCs w:val="20"/>
    </w:rPr>
  </w:style>
  <w:style w:type="paragraph" w:customStyle="1" w:styleId="Norm">
    <w:name w:val="Norm"/>
    <w:basedOn w:val="Normal"/>
    <w:autoRedefine/>
    <w:rsid w:val="00FF4209"/>
    <w:pPr>
      <w:tabs>
        <w:tab w:val="num" w:pos="1080"/>
      </w:tabs>
      <w:ind w:left="1080" w:hanging="360"/>
    </w:pPr>
    <w:rPr>
      <w:sz w:val="28"/>
      <w:szCs w:val="28"/>
    </w:rPr>
  </w:style>
  <w:style w:type="paragraph" w:styleId="BodyText2">
    <w:name w:val="Body Text 2"/>
    <w:basedOn w:val="Normal"/>
    <w:link w:val="BodyText2Char"/>
    <w:rsid w:val="00FF4209"/>
    <w:pPr>
      <w:spacing w:line="480" w:lineRule="auto"/>
      <w:jc w:val="left"/>
    </w:pPr>
    <w:rPr>
      <w:szCs w:val="24"/>
      <w:lang w:val="x-none" w:eastAsia="x-none"/>
    </w:rPr>
  </w:style>
  <w:style w:type="character" w:customStyle="1" w:styleId="BodyText2Char">
    <w:name w:val="Body Text 2 Char"/>
    <w:link w:val="BodyText2"/>
    <w:rsid w:val="00FF4209"/>
    <w:rPr>
      <w:rFonts w:ascii="Times New Roman" w:eastAsia="Times New Roman" w:hAnsi="Times New Roman" w:cs="Times New Roman"/>
      <w:sz w:val="24"/>
      <w:szCs w:val="24"/>
    </w:rPr>
  </w:style>
  <w:style w:type="paragraph" w:styleId="BodyText3">
    <w:name w:val="Body Text 3"/>
    <w:basedOn w:val="Normal"/>
    <w:link w:val="BodyText3Char"/>
    <w:rsid w:val="00FF4209"/>
    <w:pPr>
      <w:jc w:val="left"/>
    </w:pPr>
    <w:rPr>
      <w:sz w:val="16"/>
      <w:szCs w:val="16"/>
      <w:lang w:val="x-none" w:eastAsia="lv-LV"/>
    </w:rPr>
  </w:style>
  <w:style w:type="character" w:customStyle="1" w:styleId="BodyText3Char">
    <w:name w:val="Body Text 3 Char"/>
    <w:link w:val="BodyText3"/>
    <w:rsid w:val="00FF4209"/>
    <w:rPr>
      <w:rFonts w:ascii="Times New Roman" w:eastAsia="Times New Roman" w:hAnsi="Times New Roman" w:cs="Times New Roman"/>
      <w:sz w:val="16"/>
      <w:szCs w:val="16"/>
      <w:lang w:eastAsia="lv-LV"/>
    </w:rPr>
  </w:style>
  <w:style w:type="paragraph" w:customStyle="1" w:styleId="mkh">
    <w:name w:val="mkh"/>
    <w:basedOn w:val="Normal"/>
    <w:rsid w:val="00FF4209"/>
    <w:pPr>
      <w:ind w:firstLine="720"/>
      <w:jc w:val="center"/>
    </w:pPr>
    <w:rPr>
      <w:b/>
      <w:bCs/>
      <w:sz w:val="28"/>
      <w:szCs w:val="28"/>
      <w:lang w:eastAsia="lv-LV"/>
    </w:rPr>
  </w:style>
  <w:style w:type="paragraph" w:customStyle="1" w:styleId="CharChar2CharCharCharChar">
    <w:name w:val="Char Char2 Char Char Char Char"/>
    <w:basedOn w:val="Normal"/>
    <w:rsid w:val="00FF4209"/>
    <w:pPr>
      <w:spacing w:before="40"/>
      <w:jc w:val="left"/>
    </w:pPr>
    <w:rPr>
      <w:szCs w:val="24"/>
      <w:lang w:val="pl-PL" w:eastAsia="pl-PL"/>
    </w:rPr>
  </w:style>
  <w:style w:type="paragraph" w:customStyle="1" w:styleId="CharChar2CharCharCharCharChar">
    <w:name w:val="Char Char2 Char Char Char Char Char"/>
    <w:basedOn w:val="Normal"/>
    <w:rsid w:val="00FF4209"/>
    <w:pPr>
      <w:spacing w:before="40"/>
      <w:jc w:val="left"/>
    </w:pPr>
    <w:rPr>
      <w:szCs w:val="24"/>
      <w:lang w:val="pl-PL" w:eastAsia="pl-PL"/>
    </w:rPr>
  </w:style>
  <w:style w:type="paragraph" w:styleId="NoSpacing">
    <w:name w:val="No Spacing"/>
    <w:uiPriority w:val="1"/>
    <w:qFormat/>
    <w:rsid w:val="00FF4209"/>
    <w:rPr>
      <w:rFonts w:ascii="Times New Roman" w:hAnsi="Times New Roman"/>
      <w:sz w:val="24"/>
      <w:szCs w:val="24"/>
    </w:rPr>
  </w:style>
  <w:style w:type="paragraph" w:customStyle="1" w:styleId="naiskr">
    <w:name w:val="naiskr"/>
    <w:basedOn w:val="Normal"/>
    <w:rsid w:val="00FF4209"/>
    <w:pPr>
      <w:spacing w:before="100" w:beforeAutospacing="1" w:after="100" w:afterAutospacing="1"/>
      <w:jc w:val="left"/>
    </w:pPr>
    <w:rPr>
      <w:szCs w:val="24"/>
      <w:lang w:eastAsia="lv-LV"/>
    </w:rPr>
  </w:style>
  <w:style w:type="paragraph" w:styleId="BodyTextIndent2">
    <w:name w:val="Body Text Indent 2"/>
    <w:basedOn w:val="Normal"/>
    <w:link w:val="BodyTextIndent2Char"/>
    <w:rsid w:val="00FF4209"/>
    <w:pPr>
      <w:spacing w:line="480" w:lineRule="auto"/>
      <w:ind w:left="283"/>
    </w:pPr>
    <w:rPr>
      <w:lang w:val="x-none" w:eastAsia="x-none"/>
    </w:rPr>
  </w:style>
  <w:style w:type="character" w:customStyle="1" w:styleId="BodyTextIndent2Char">
    <w:name w:val="Body Text Indent 2 Char"/>
    <w:link w:val="BodyTextIndent2"/>
    <w:rsid w:val="00FF4209"/>
    <w:rPr>
      <w:rFonts w:ascii="Times New Roman" w:eastAsia="Times New Roman" w:hAnsi="Times New Roman" w:cs="Times New Roman"/>
      <w:sz w:val="24"/>
      <w:szCs w:val="20"/>
    </w:rPr>
  </w:style>
  <w:style w:type="paragraph" w:customStyle="1" w:styleId="RakstzCharCharRakstzCharCharRakstzCharCharRakstzCharChar">
    <w:name w:val="Rakstz. Char Char Rakstz. Char Char Rakstz. Char Char Rakstz. Char Char"/>
    <w:basedOn w:val="Normal"/>
    <w:rsid w:val="00FF4209"/>
    <w:pPr>
      <w:spacing w:after="160" w:line="240" w:lineRule="exact"/>
      <w:jc w:val="left"/>
    </w:pPr>
    <w:rPr>
      <w:rFonts w:ascii="Tahoma" w:hAnsi="Tahoma"/>
      <w:sz w:val="20"/>
      <w:lang w:val="en-US"/>
    </w:rPr>
  </w:style>
  <w:style w:type="paragraph" w:customStyle="1" w:styleId="msolistparagraph0">
    <w:name w:val="msolistparagraph"/>
    <w:basedOn w:val="Normal"/>
    <w:rsid w:val="00FF4209"/>
    <w:pPr>
      <w:ind w:left="720"/>
      <w:jc w:val="left"/>
    </w:pPr>
    <w:rPr>
      <w:szCs w:val="24"/>
      <w:lang w:eastAsia="lv-LV"/>
    </w:rPr>
  </w:style>
  <w:style w:type="paragraph" w:customStyle="1" w:styleId="NChar1CharCharCharCharChar">
    <w:name w:val="N Char1 Char Char Char Char Char"/>
    <w:basedOn w:val="Normal"/>
    <w:uiPriority w:val="99"/>
    <w:rsid w:val="00FF4209"/>
    <w:pPr>
      <w:tabs>
        <w:tab w:val="num" w:pos="0"/>
        <w:tab w:val="num" w:pos="765"/>
      </w:tabs>
      <w:ind w:left="765" w:hanging="720"/>
    </w:pPr>
    <w:rPr>
      <w:iCs/>
      <w:sz w:val="22"/>
      <w:szCs w:val="16"/>
      <w:lang w:eastAsia="lv-LV"/>
    </w:rPr>
  </w:style>
  <w:style w:type="character" w:customStyle="1" w:styleId="textsCharChar">
    <w:name w:val="texts Char Char"/>
    <w:aliases w:val="texts Char Char1,texts Char Char2,texts Char Char3"/>
    <w:rsid w:val="00FF4209"/>
    <w:rPr>
      <w:sz w:val="24"/>
      <w:szCs w:val="24"/>
      <w:lang w:val="en-GB" w:eastAsia="en-US" w:bidi="ar-SA"/>
    </w:rPr>
  </w:style>
  <w:style w:type="paragraph" w:styleId="ListParagraph">
    <w:name w:val="List Paragraph"/>
    <w:basedOn w:val="Normal"/>
    <w:uiPriority w:val="34"/>
    <w:qFormat/>
    <w:rsid w:val="00FF4209"/>
    <w:pPr>
      <w:spacing w:after="200" w:line="276" w:lineRule="auto"/>
      <w:ind w:left="720"/>
      <w:contextualSpacing/>
      <w:jc w:val="left"/>
    </w:pPr>
    <w:rPr>
      <w:rFonts w:ascii="Calibri" w:eastAsia="Calibri" w:hAnsi="Calibri"/>
      <w:sz w:val="22"/>
      <w:szCs w:val="22"/>
    </w:rPr>
  </w:style>
  <w:style w:type="paragraph" w:customStyle="1" w:styleId="CharCharCharCharCharCharCharChar">
    <w:name w:val="Char Char Char Char Char Char Char Char"/>
    <w:basedOn w:val="Normal"/>
    <w:next w:val="BlockText"/>
    <w:rsid w:val="00FF4209"/>
    <w:pPr>
      <w:spacing w:after="160" w:line="240" w:lineRule="exact"/>
      <w:ind w:firstLine="720"/>
    </w:pPr>
    <w:rPr>
      <w:rFonts w:ascii="Verdana" w:hAnsi="Verdana"/>
      <w:sz w:val="20"/>
      <w:lang w:val="en-US"/>
    </w:rPr>
  </w:style>
  <w:style w:type="paragraph" w:customStyle="1" w:styleId="naisf">
    <w:name w:val="naisf"/>
    <w:basedOn w:val="Normal"/>
    <w:link w:val="naisfChar"/>
    <w:rsid w:val="00FF4209"/>
    <w:pPr>
      <w:spacing w:before="100" w:beforeAutospacing="1" w:after="100" w:afterAutospacing="1"/>
      <w:jc w:val="left"/>
    </w:pPr>
    <w:rPr>
      <w:szCs w:val="24"/>
      <w:lang w:val="x-none" w:eastAsia="x-none"/>
    </w:rPr>
  </w:style>
  <w:style w:type="character" w:customStyle="1" w:styleId="naisfChar">
    <w:name w:val="naisf Char"/>
    <w:link w:val="naisf"/>
    <w:rsid w:val="00FF4209"/>
    <w:rPr>
      <w:rFonts w:ascii="Times New Roman" w:eastAsia="Times New Roman" w:hAnsi="Times New Roman" w:cs="Times New Roman"/>
      <w:sz w:val="24"/>
      <w:szCs w:val="24"/>
    </w:rPr>
  </w:style>
  <w:style w:type="paragraph" w:customStyle="1" w:styleId="Rakstz">
    <w:name w:val="Rakstz."/>
    <w:basedOn w:val="Normal"/>
    <w:rsid w:val="00FF4209"/>
    <w:pPr>
      <w:spacing w:before="40"/>
      <w:jc w:val="left"/>
    </w:pPr>
    <w:rPr>
      <w:szCs w:val="24"/>
      <w:lang w:val="pl-PL" w:eastAsia="pl-PL"/>
    </w:rPr>
  </w:style>
  <w:style w:type="paragraph" w:customStyle="1" w:styleId="Bullet1Rakstz">
    <w:name w:val="Bullet 1 Rakstz."/>
    <w:basedOn w:val="Normal"/>
    <w:rsid w:val="00FF4209"/>
    <w:pPr>
      <w:numPr>
        <w:numId w:val="1"/>
      </w:numPr>
      <w:snapToGrid w:val="0"/>
      <w:spacing w:before="20" w:line="288" w:lineRule="auto"/>
    </w:pPr>
    <w:rPr>
      <w:rFonts w:eastAsia="Calibri"/>
      <w:szCs w:val="24"/>
      <w:lang w:val="en-GB" w:eastAsia="en-GB"/>
    </w:rPr>
  </w:style>
  <w:style w:type="paragraph" w:customStyle="1" w:styleId="naisnod">
    <w:name w:val="naisnod"/>
    <w:basedOn w:val="Normal"/>
    <w:rsid w:val="00FF4209"/>
    <w:pPr>
      <w:spacing w:before="100" w:beforeAutospacing="1" w:after="100" w:afterAutospacing="1"/>
      <w:jc w:val="left"/>
    </w:pPr>
    <w:rPr>
      <w:rFonts w:eastAsia="Calibri"/>
      <w:szCs w:val="24"/>
      <w:lang w:eastAsia="lv-LV"/>
    </w:rPr>
  </w:style>
  <w:style w:type="table" w:styleId="TableGrid">
    <w:name w:val="Table Grid"/>
    <w:basedOn w:val="TableNormal"/>
    <w:uiPriority w:val="59"/>
    <w:rsid w:val="00FF42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209"/>
    <w:pPr>
      <w:autoSpaceDE w:val="0"/>
      <w:autoSpaceDN w:val="0"/>
      <w:adjustRightInd w:val="0"/>
    </w:pPr>
    <w:rPr>
      <w:rFonts w:ascii="Times New Roman" w:hAnsi="Times New Roman"/>
      <w:color w:val="000000"/>
      <w:sz w:val="24"/>
      <w:szCs w:val="24"/>
    </w:rPr>
  </w:style>
  <w:style w:type="character" w:customStyle="1" w:styleId="skypetbinnertext">
    <w:name w:val="skype_tb_innertext"/>
    <w:basedOn w:val="DefaultParagraphFont"/>
    <w:rsid w:val="00FF4209"/>
  </w:style>
  <w:style w:type="character" w:customStyle="1" w:styleId="spelle">
    <w:name w:val="spelle"/>
    <w:basedOn w:val="DefaultParagraphFont"/>
    <w:rsid w:val="00FF4209"/>
  </w:style>
  <w:style w:type="paragraph" w:customStyle="1" w:styleId="Normal1">
    <w:name w:val="Normal1"/>
    <w:basedOn w:val="Normal"/>
    <w:rsid w:val="00FF4209"/>
    <w:pPr>
      <w:spacing w:before="100" w:beforeAutospacing="1" w:after="100" w:afterAutospacing="1"/>
      <w:jc w:val="left"/>
    </w:pPr>
    <w:rPr>
      <w:szCs w:val="24"/>
      <w:lang w:val="en-US"/>
    </w:rPr>
  </w:style>
  <w:style w:type="paragraph" w:customStyle="1" w:styleId="1lmenis">
    <w:name w:val="1.līmenis"/>
    <w:basedOn w:val="Heading1"/>
    <w:link w:val="1lmenisChar"/>
    <w:uiPriority w:val="99"/>
    <w:qFormat/>
    <w:rsid w:val="00FF4209"/>
    <w:pPr>
      <w:numPr>
        <w:numId w:val="2"/>
      </w:numPr>
    </w:pPr>
    <w:rPr>
      <w:sz w:val="36"/>
      <w:szCs w:val="30"/>
    </w:rPr>
  </w:style>
  <w:style w:type="paragraph" w:customStyle="1" w:styleId="2lmenis">
    <w:name w:val="2.līmenis"/>
    <w:basedOn w:val="Heading2"/>
    <w:link w:val="2lmenisChar"/>
    <w:qFormat/>
    <w:rsid w:val="00FF4209"/>
    <w:pPr>
      <w:ind w:left="720"/>
    </w:pPr>
    <w:rPr>
      <w:rFonts w:ascii="Times New Roman" w:hAnsi="Times New Roman"/>
      <w:bCs w:val="0"/>
      <w:i w:val="0"/>
    </w:rPr>
  </w:style>
  <w:style w:type="character" w:customStyle="1" w:styleId="1lmenisChar">
    <w:name w:val="1.līmenis Char"/>
    <w:link w:val="1lmenis"/>
    <w:uiPriority w:val="99"/>
    <w:rsid w:val="00FF4209"/>
    <w:rPr>
      <w:rFonts w:ascii="Cambria" w:eastAsia="Times New Roman" w:hAnsi="Cambria"/>
      <w:b/>
      <w:bCs/>
      <w:kern w:val="32"/>
      <w:sz w:val="36"/>
      <w:szCs w:val="30"/>
      <w:lang w:val="x-none" w:eastAsia="x-none"/>
    </w:rPr>
  </w:style>
  <w:style w:type="paragraph" w:customStyle="1" w:styleId="3lmenis">
    <w:name w:val="3.līmenis"/>
    <w:basedOn w:val="Normal"/>
    <w:link w:val="3lmenisChar"/>
    <w:qFormat/>
    <w:rsid w:val="00FF4209"/>
    <w:pPr>
      <w:spacing w:line="276" w:lineRule="auto"/>
      <w:ind w:left="720"/>
    </w:pPr>
    <w:rPr>
      <w:b/>
      <w:bCs/>
      <w:szCs w:val="24"/>
      <w:u w:val="single"/>
      <w:lang w:val="x-none" w:eastAsia="x-none"/>
    </w:rPr>
  </w:style>
  <w:style w:type="character" w:customStyle="1" w:styleId="2lmenisChar">
    <w:name w:val="2.līmenis Char"/>
    <w:link w:val="2lmenis"/>
    <w:rsid w:val="00FF4209"/>
    <w:rPr>
      <w:rFonts w:ascii="Times New Roman" w:eastAsia="Times New Roman" w:hAnsi="Times New Roman" w:cs="Arial"/>
      <w:b/>
      <w:iCs/>
      <w:sz w:val="28"/>
      <w:szCs w:val="28"/>
    </w:rPr>
  </w:style>
  <w:style w:type="character" w:customStyle="1" w:styleId="3lmenisChar">
    <w:name w:val="3.līmenis Char"/>
    <w:link w:val="3lmenis"/>
    <w:rsid w:val="00FF4209"/>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FF4209"/>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A5117A"/>
    <w:pPr>
      <w:tabs>
        <w:tab w:val="left" w:pos="426"/>
        <w:tab w:val="right" w:leader="dot" w:pos="9214"/>
      </w:tabs>
      <w:spacing w:line="276" w:lineRule="auto"/>
      <w:jc w:val="left"/>
    </w:pPr>
    <w:rPr>
      <w:b/>
      <w:bCs/>
      <w:caps/>
      <w:noProof/>
      <w:szCs w:val="24"/>
    </w:rPr>
  </w:style>
  <w:style w:type="paragraph" w:styleId="TOC2">
    <w:name w:val="toc 2"/>
    <w:basedOn w:val="Normal"/>
    <w:next w:val="Normal"/>
    <w:autoRedefine/>
    <w:uiPriority w:val="39"/>
    <w:unhideWhenUsed/>
    <w:qFormat/>
    <w:rsid w:val="00906FFF"/>
    <w:pPr>
      <w:tabs>
        <w:tab w:val="left" w:pos="720"/>
        <w:tab w:val="right" w:leader="dot" w:pos="9214"/>
      </w:tabs>
      <w:spacing w:before="240"/>
    </w:pPr>
    <w:rPr>
      <w:bCs/>
      <w:noProof/>
      <w:szCs w:val="24"/>
    </w:rPr>
  </w:style>
  <w:style w:type="paragraph" w:styleId="TOC3">
    <w:name w:val="toc 3"/>
    <w:basedOn w:val="Normal"/>
    <w:next w:val="Normal"/>
    <w:autoRedefine/>
    <w:uiPriority w:val="39"/>
    <w:unhideWhenUsed/>
    <w:qFormat/>
    <w:rsid w:val="00FF4209"/>
    <w:pPr>
      <w:ind w:left="240"/>
      <w:jc w:val="left"/>
    </w:pPr>
    <w:rPr>
      <w:rFonts w:ascii="Calibri" w:hAnsi="Calibri"/>
      <w:sz w:val="20"/>
      <w:szCs w:val="24"/>
    </w:rPr>
  </w:style>
  <w:style w:type="paragraph" w:styleId="TOC4">
    <w:name w:val="toc 4"/>
    <w:basedOn w:val="Normal"/>
    <w:next w:val="Normal"/>
    <w:autoRedefine/>
    <w:uiPriority w:val="39"/>
    <w:unhideWhenUsed/>
    <w:rsid w:val="00FF4209"/>
    <w:pPr>
      <w:ind w:left="480"/>
      <w:jc w:val="left"/>
    </w:pPr>
    <w:rPr>
      <w:rFonts w:ascii="Calibri" w:hAnsi="Calibri"/>
      <w:sz w:val="20"/>
      <w:szCs w:val="24"/>
    </w:rPr>
  </w:style>
  <w:style w:type="paragraph" w:styleId="TOC5">
    <w:name w:val="toc 5"/>
    <w:basedOn w:val="Normal"/>
    <w:next w:val="Normal"/>
    <w:autoRedefine/>
    <w:uiPriority w:val="39"/>
    <w:unhideWhenUsed/>
    <w:rsid w:val="00FF4209"/>
    <w:pPr>
      <w:ind w:left="720"/>
      <w:jc w:val="left"/>
    </w:pPr>
    <w:rPr>
      <w:rFonts w:ascii="Calibri" w:hAnsi="Calibri"/>
      <w:sz w:val="20"/>
      <w:szCs w:val="24"/>
    </w:rPr>
  </w:style>
  <w:style w:type="paragraph" w:styleId="TOC6">
    <w:name w:val="toc 6"/>
    <w:basedOn w:val="Normal"/>
    <w:next w:val="Normal"/>
    <w:autoRedefine/>
    <w:uiPriority w:val="39"/>
    <w:unhideWhenUsed/>
    <w:rsid w:val="00FF4209"/>
    <w:pPr>
      <w:ind w:left="960"/>
      <w:jc w:val="left"/>
    </w:pPr>
    <w:rPr>
      <w:rFonts w:ascii="Calibri" w:hAnsi="Calibri"/>
      <w:sz w:val="20"/>
      <w:szCs w:val="24"/>
    </w:rPr>
  </w:style>
  <w:style w:type="paragraph" w:styleId="TOC7">
    <w:name w:val="toc 7"/>
    <w:basedOn w:val="Normal"/>
    <w:next w:val="Normal"/>
    <w:autoRedefine/>
    <w:uiPriority w:val="39"/>
    <w:unhideWhenUsed/>
    <w:rsid w:val="00FF4209"/>
    <w:pPr>
      <w:ind w:left="1200"/>
      <w:jc w:val="left"/>
    </w:pPr>
    <w:rPr>
      <w:rFonts w:ascii="Calibri" w:hAnsi="Calibri"/>
      <w:sz w:val="20"/>
      <w:szCs w:val="24"/>
    </w:rPr>
  </w:style>
  <w:style w:type="paragraph" w:styleId="TOC8">
    <w:name w:val="toc 8"/>
    <w:basedOn w:val="Normal"/>
    <w:next w:val="Normal"/>
    <w:autoRedefine/>
    <w:uiPriority w:val="39"/>
    <w:unhideWhenUsed/>
    <w:rsid w:val="00FF4209"/>
    <w:pPr>
      <w:ind w:left="1440"/>
      <w:jc w:val="left"/>
    </w:pPr>
    <w:rPr>
      <w:rFonts w:ascii="Calibri" w:hAnsi="Calibri"/>
      <w:sz w:val="20"/>
      <w:szCs w:val="24"/>
    </w:rPr>
  </w:style>
  <w:style w:type="paragraph" w:styleId="TOC9">
    <w:name w:val="toc 9"/>
    <w:basedOn w:val="Normal"/>
    <w:next w:val="Normal"/>
    <w:autoRedefine/>
    <w:uiPriority w:val="39"/>
    <w:unhideWhenUsed/>
    <w:rsid w:val="00FF4209"/>
    <w:pPr>
      <w:ind w:left="1680"/>
      <w:jc w:val="left"/>
    </w:pPr>
    <w:rPr>
      <w:rFonts w:ascii="Calibri" w:hAnsi="Calibri"/>
      <w:sz w:val="20"/>
      <w:szCs w:val="24"/>
    </w:rPr>
  </w:style>
  <w:style w:type="paragraph" w:customStyle="1" w:styleId="TabCharChar">
    <w:name w:val="Tab Char Char"/>
    <w:basedOn w:val="Normal"/>
    <w:autoRedefine/>
    <w:rsid w:val="00FF4209"/>
    <w:pPr>
      <w:spacing w:after="200" w:line="276" w:lineRule="auto"/>
    </w:pPr>
    <w:rPr>
      <w:szCs w:val="24"/>
      <w:lang w:eastAsia="lv-LV"/>
    </w:rPr>
  </w:style>
  <w:style w:type="paragraph" w:customStyle="1" w:styleId="MKNormal">
    <w:name w:val="MKNormal"/>
    <w:basedOn w:val="Normal"/>
    <w:autoRedefine/>
    <w:rsid w:val="00FF4209"/>
    <w:pPr>
      <w:ind w:firstLine="720"/>
    </w:pPr>
    <w:rPr>
      <w:szCs w:val="24"/>
      <w:lang w:eastAsia="lv-LV"/>
    </w:rPr>
  </w:style>
  <w:style w:type="paragraph" w:styleId="EndnoteText">
    <w:name w:val="endnote text"/>
    <w:basedOn w:val="Normal"/>
    <w:link w:val="EndnoteTextChar"/>
    <w:uiPriority w:val="99"/>
    <w:semiHidden/>
    <w:unhideWhenUsed/>
    <w:rsid w:val="00FF4209"/>
    <w:rPr>
      <w:sz w:val="20"/>
      <w:lang w:val="x-none" w:eastAsia="x-none"/>
    </w:rPr>
  </w:style>
  <w:style w:type="character" w:customStyle="1" w:styleId="EndnoteTextChar">
    <w:name w:val="Endnote Text Char"/>
    <w:link w:val="EndnoteText"/>
    <w:uiPriority w:val="99"/>
    <w:semiHidden/>
    <w:rsid w:val="00FF4209"/>
    <w:rPr>
      <w:rFonts w:ascii="Times New Roman" w:eastAsia="Times New Roman" w:hAnsi="Times New Roman" w:cs="Times New Roman"/>
      <w:sz w:val="20"/>
      <w:szCs w:val="20"/>
    </w:rPr>
  </w:style>
  <w:style w:type="character" w:styleId="EndnoteReference">
    <w:name w:val="endnote reference"/>
    <w:uiPriority w:val="99"/>
    <w:semiHidden/>
    <w:unhideWhenUsed/>
    <w:rsid w:val="00FF4209"/>
    <w:rPr>
      <w:vertAlign w:val="superscript"/>
    </w:rPr>
  </w:style>
  <w:style w:type="paragraph" w:customStyle="1" w:styleId="Normal1-centered">
    <w:name w:val="Normal1-centered"/>
    <w:basedOn w:val="Normal1"/>
    <w:qFormat/>
    <w:rsid w:val="00FF4209"/>
    <w:pPr>
      <w:spacing w:before="0" w:beforeAutospacing="0" w:after="0" w:afterAutospacing="0"/>
      <w:jc w:val="center"/>
    </w:pPr>
    <w:rPr>
      <w:rFonts w:eastAsia="Calibri"/>
      <w:i/>
      <w:sz w:val="20"/>
      <w:szCs w:val="22"/>
      <w:lang w:val="lv-LV"/>
    </w:rPr>
  </w:style>
  <w:style w:type="character" w:customStyle="1" w:styleId="xdtextbox1">
    <w:name w:val="xdtextbox1"/>
    <w:rsid w:val="00FF4209"/>
    <w:rPr>
      <w:color w:val="auto"/>
      <w:bdr w:val="single" w:sz="8" w:space="1" w:color="DCDCDC" w:frame="1"/>
      <w:shd w:val="clear" w:color="auto" w:fill="FFFFFF"/>
    </w:rPr>
  </w:style>
  <w:style w:type="paragraph" w:styleId="PlainText">
    <w:name w:val="Plain Text"/>
    <w:basedOn w:val="Normal"/>
    <w:link w:val="PlainTextChar"/>
    <w:uiPriority w:val="99"/>
    <w:unhideWhenUsed/>
    <w:rsid w:val="00FF4209"/>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F4209"/>
    <w:rPr>
      <w:rFonts w:ascii="Consolas" w:eastAsia="Calibri" w:hAnsi="Consolas" w:cs="Times New Roman"/>
      <w:sz w:val="21"/>
      <w:szCs w:val="21"/>
    </w:rPr>
  </w:style>
  <w:style w:type="paragraph" w:styleId="ListBullet">
    <w:name w:val="List Bullet"/>
    <w:basedOn w:val="Normal"/>
    <w:rsid w:val="00FF4209"/>
    <w:pPr>
      <w:numPr>
        <w:numId w:val="3"/>
      </w:numPr>
    </w:pPr>
    <w:rPr>
      <w:lang w:val="en-GB" w:eastAsia="de-DE"/>
    </w:rPr>
  </w:style>
  <w:style w:type="character" w:customStyle="1" w:styleId="colora">
    <w:name w:val="colora"/>
    <w:basedOn w:val="DefaultParagraphFont"/>
    <w:rsid w:val="00FF4209"/>
  </w:style>
  <w:style w:type="table" w:styleId="LightGrid-Accent3">
    <w:name w:val="Light Grid Accent 3"/>
    <w:basedOn w:val="TableNormal"/>
    <w:uiPriority w:val="62"/>
    <w:rsid w:val="00FF4209"/>
    <w:rPr>
      <w:rFonts w:ascii="Times New Roman" w:hAnsi="Times New Roman"/>
      <w:sz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aisc">
    <w:name w:val="naisc"/>
    <w:basedOn w:val="Normal"/>
    <w:uiPriority w:val="99"/>
    <w:rsid w:val="00A63B18"/>
    <w:pPr>
      <w:spacing w:before="100" w:beforeAutospacing="1" w:after="100" w:afterAutospacing="1"/>
      <w:jc w:val="left"/>
    </w:pPr>
    <w:rPr>
      <w:szCs w:val="24"/>
      <w:lang w:eastAsia="lv-LV"/>
    </w:rPr>
  </w:style>
  <w:style w:type="character" w:customStyle="1" w:styleId="xdtextboxctrl11ms-xedit-plaintext">
    <w:name w:val="xdtextbox ctrl11 ms-xedit-plaintext"/>
    <w:uiPriority w:val="99"/>
    <w:rsid w:val="00014F70"/>
    <w:rPr>
      <w:rFonts w:ascii="Times New Roman" w:hAnsi="Times New Roman" w:cs="Times New Roman" w:hint="default"/>
    </w:rPr>
  </w:style>
  <w:style w:type="character" w:customStyle="1" w:styleId="xdtextboxctrl10ms-xedit-plaintext">
    <w:name w:val="xdtextbox ctrl10 ms-xedit-plaintext"/>
    <w:uiPriority w:val="99"/>
    <w:rsid w:val="00014F70"/>
    <w:rPr>
      <w:rFonts w:ascii="Times New Roman" w:hAnsi="Times New Roman" w:cs="Times New Roman" w:hint="default"/>
    </w:rPr>
  </w:style>
  <w:style w:type="character" w:customStyle="1" w:styleId="apple-style-span">
    <w:name w:val="apple-style-span"/>
    <w:rsid w:val="00AC09A3"/>
  </w:style>
  <w:style w:type="paragraph" w:customStyle="1" w:styleId="rteleft">
    <w:name w:val="rteleft"/>
    <w:basedOn w:val="Normal"/>
    <w:rsid w:val="00D800C4"/>
    <w:pPr>
      <w:spacing w:before="100" w:beforeAutospacing="1" w:after="100" w:afterAutospacing="1"/>
      <w:jc w:val="left"/>
    </w:pPr>
    <w:rPr>
      <w:szCs w:val="24"/>
      <w:lang w:eastAsia="lv-LV"/>
    </w:rPr>
  </w:style>
  <w:style w:type="character" w:customStyle="1" w:styleId="EE-paragr-12Char">
    <w:name w:val="EE-paragr-12 Char"/>
    <w:link w:val="EE-paragr-12"/>
    <w:uiPriority w:val="99"/>
    <w:locked/>
    <w:rsid w:val="002001C6"/>
    <w:rPr>
      <w:sz w:val="24"/>
      <w:szCs w:val="24"/>
    </w:rPr>
  </w:style>
  <w:style w:type="paragraph" w:customStyle="1" w:styleId="EE-paragr-12">
    <w:name w:val="EE-paragr-12"/>
    <w:basedOn w:val="Normal"/>
    <w:link w:val="EE-paragr-12Char"/>
    <w:uiPriority w:val="99"/>
    <w:rsid w:val="002001C6"/>
    <w:rPr>
      <w:rFonts w:ascii="Calibri" w:eastAsia="Calibri" w:hAnsi="Calibri"/>
      <w:szCs w:val="24"/>
      <w:lang w:eastAsia="lv-LV"/>
    </w:rPr>
  </w:style>
  <w:style w:type="character" w:customStyle="1" w:styleId="st">
    <w:name w:val="st"/>
    <w:basedOn w:val="DefaultParagraphFont"/>
    <w:rsid w:val="00EC5BED"/>
  </w:style>
  <w:style w:type="character" w:customStyle="1" w:styleId="hps">
    <w:name w:val="hps"/>
    <w:basedOn w:val="DefaultParagraphFont"/>
    <w:rsid w:val="00591277"/>
  </w:style>
  <w:style w:type="character" w:customStyle="1" w:styleId="PlainTextChar1">
    <w:name w:val="Plain Text Char1"/>
    <w:basedOn w:val="DefaultParagraphFont"/>
    <w:uiPriority w:val="99"/>
    <w:semiHidden/>
    <w:rsid w:val="00467DFA"/>
    <w:rPr>
      <w:rFonts w:ascii="Consolas" w:eastAsia="Calibri" w:hAnsi="Consolas" w:cs="Times New Roman"/>
      <w:sz w:val="21"/>
      <w:szCs w:val="21"/>
    </w:rPr>
  </w:style>
  <w:style w:type="character" w:customStyle="1" w:styleId="st1">
    <w:name w:val="st1"/>
    <w:rsid w:val="000F2FAE"/>
  </w:style>
  <w:style w:type="paragraph" w:customStyle="1" w:styleId="FDUKam">
    <w:name w:val="FDUKam"/>
    <w:basedOn w:val="ListParagraph"/>
    <w:link w:val="FDUKamChar"/>
    <w:qFormat/>
    <w:rsid w:val="00110F05"/>
    <w:pPr>
      <w:numPr>
        <w:ilvl w:val="1"/>
        <w:numId w:val="38"/>
      </w:numPr>
      <w:spacing w:before="0"/>
      <w:jc w:val="both"/>
    </w:pPr>
    <w:rPr>
      <w:rFonts w:ascii="Times New Roman" w:hAnsi="Times New Roman"/>
    </w:rPr>
  </w:style>
  <w:style w:type="character" w:customStyle="1" w:styleId="FDUKamChar">
    <w:name w:val="FDUKam Char"/>
    <w:basedOn w:val="DefaultParagraphFont"/>
    <w:link w:val="FDUKam"/>
    <w:rsid w:val="00110F05"/>
    <w:rPr>
      <w:rFonts w:ascii="Times New Roman" w:hAnsi="Times New Roman"/>
      <w:sz w:val="22"/>
      <w:szCs w:val="22"/>
      <w:lang w:eastAsia="en-US"/>
    </w:rPr>
  </w:style>
  <w:style w:type="paragraph" w:customStyle="1" w:styleId="tv20787921">
    <w:name w:val="tv207_87_921"/>
    <w:basedOn w:val="Normal"/>
    <w:rsid w:val="004315D3"/>
    <w:pPr>
      <w:spacing w:before="0" w:after="567"/>
      <w:jc w:val="center"/>
    </w:pPr>
    <w:rPr>
      <w:rFonts w:ascii="Verdana" w:hAnsi="Verdana"/>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367">
      <w:bodyDiv w:val="1"/>
      <w:marLeft w:val="0"/>
      <w:marRight w:val="0"/>
      <w:marTop w:val="0"/>
      <w:marBottom w:val="0"/>
      <w:divBdr>
        <w:top w:val="none" w:sz="0" w:space="0" w:color="auto"/>
        <w:left w:val="none" w:sz="0" w:space="0" w:color="auto"/>
        <w:bottom w:val="none" w:sz="0" w:space="0" w:color="auto"/>
        <w:right w:val="none" w:sz="0" w:space="0" w:color="auto"/>
      </w:divBdr>
    </w:div>
    <w:div w:id="20211245">
      <w:bodyDiv w:val="1"/>
      <w:marLeft w:val="0"/>
      <w:marRight w:val="0"/>
      <w:marTop w:val="0"/>
      <w:marBottom w:val="0"/>
      <w:divBdr>
        <w:top w:val="none" w:sz="0" w:space="0" w:color="auto"/>
        <w:left w:val="none" w:sz="0" w:space="0" w:color="auto"/>
        <w:bottom w:val="none" w:sz="0" w:space="0" w:color="auto"/>
        <w:right w:val="none" w:sz="0" w:space="0" w:color="auto"/>
      </w:divBdr>
    </w:div>
    <w:div w:id="20666058">
      <w:bodyDiv w:val="1"/>
      <w:marLeft w:val="0"/>
      <w:marRight w:val="0"/>
      <w:marTop w:val="0"/>
      <w:marBottom w:val="0"/>
      <w:divBdr>
        <w:top w:val="none" w:sz="0" w:space="0" w:color="auto"/>
        <w:left w:val="none" w:sz="0" w:space="0" w:color="auto"/>
        <w:bottom w:val="none" w:sz="0" w:space="0" w:color="auto"/>
        <w:right w:val="none" w:sz="0" w:space="0" w:color="auto"/>
      </w:divBdr>
      <w:divsChild>
        <w:div w:id="1080054089">
          <w:marLeft w:val="0"/>
          <w:marRight w:val="0"/>
          <w:marTop w:val="0"/>
          <w:marBottom w:val="0"/>
          <w:divBdr>
            <w:top w:val="none" w:sz="0" w:space="0" w:color="auto"/>
            <w:left w:val="none" w:sz="0" w:space="0" w:color="auto"/>
            <w:bottom w:val="none" w:sz="0" w:space="0" w:color="auto"/>
            <w:right w:val="none" w:sz="0" w:space="0" w:color="auto"/>
          </w:divBdr>
          <w:divsChild>
            <w:div w:id="1289702363">
              <w:marLeft w:val="0"/>
              <w:marRight w:val="0"/>
              <w:marTop w:val="0"/>
              <w:marBottom w:val="0"/>
              <w:divBdr>
                <w:top w:val="none" w:sz="0" w:space="0" w:color="auto"/>
                <w:left w:val="none" w:sz="0" w:space="0" w:color="auto"/>
                <w:bottom w:val="none" w:sz="0" w:space="0" w:color="auto"/>
                <w:right w:val="none" w:sz="0" w:space="0" w:color="auto"/>
              </w:divBdr>
              <w:divsChild>
                <w:div w:id="90663725">
                  <w:marLeft w:val="135"/>
                  <w:marRight w:val="0"/>
                  <w:marTop w:val="0"/>
                  <w:marBottom w:val="0"/>
                  <w:divBdr>
                    <w:top w:val="none" w:sz="0" w:space="0" w:color="auto"/>
                    <w:left w:val="none" w:sz="0" w:space="0" w:color="auto"/>
                    <w:bottom w:val="none" w:sz="0" w:space="0" w:color="auto"/>
                    <w:right w:val="none" w:sz="0" w:space="0" w:color="auto"/>
                  </w:divBdr>
                  <w:divsChild>
                    <w:div w:id="2054427960">
                      <w:marLeft w:val="0"/>
                      <w:marRight w:val="0"/>
                      <w:marTop w:val="0"/>
                      <w:marBottom w:val="0"/>
                      <w:divBdr>
                        <w:top w:val="none" w:sz="0" w:space="0" w:color="auto"/>
                        <w:left w:val="none" w:sz="0" w:space="0" w:color="auto"/>
                        <w:bottom w:val="none" w:sz="0" w:space="0" w:color="auto"/>
                        <w:right w:val="none" w:sz="0" w:space="0" w:color="auto"/>
                      </w:divBdr>
                      <w:divsChild>
                        <w:div w:id="1688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4056">
      <w:bodyDiv w:val="1"/>
      <w:marLeft w:val="0"/>
      <w:marRight w:val="0"/>
      <w:marTop w:val="0"/>
      <w:marBottom w:val="0"/>
      <w:divBdr>
        <w:top w:val="none" w:sz="0" w:space="0" w:color="auto"/>
        <w:left w:val="none" w:sz="0" w:space="0" w:color="auto"/>
        <w:bottom w:val="none" w:sz="0" w:space="0" w:color="auto"/>
        <w:right w:val="none" w:sz="0" w:space="0" w:color="auto"/>
      </w:divBdr>
    </w:div>
    <w:div w:id="42600070">
      <w:bodyDiv w:val="1"/>
      <w:marLeft w:val="0"/>
      <w:marRight w:val="0"/>
      <w:marTop w:val="0"/>
      <w:marBottom w:val="0"/>
      <w:divBdr>
        <w:top w:val="none" w:sz="0" w:space="0" w:color="auto"/>
        <w:left w:val="none" w:sz="0" w:space="0" w:color="auto"/>
        <w:bottom w:val="none" w:sz="0" w:space="0" w:color="auto"/>
        <w:right w:val="none" w:sz="0" w:space="0" w:color="auto"/>
      </w:divBdr>
    </w:div>
    <w:div w:id="43405393">
      <w:bodyDiv w:val="1"/>
      <w:marLeft w:val="0"/>
      <w:marRight w:val="0"/>
      <w:marTop w:val="0"/>
      <w:marBottom w:val="0"/>
      <w:divBdr>
        <w:top w:val="none" w:sz="0" w:space="0" w:color="auto"/>
        <w:left w:val="none" w:sz="0" w:space="0" w:color="auto"/>
        <w:bottom w:val="none" w:sz="0" w:space="0" w:color="auto"/>
        <w:right w:val="none" w:sz="0" w:space="0" w:color="auto"/>
      </w:divBdr>
    </w:div>
    <w:div w:id="48000122">
      <w:bodyDiv w:val="1"/>
      <w:marLeft w:val="0"/>
      <w:marRight w:val="0"/>
      <w:marTop w:val="0"/>
      <w:marBottom w:val="0"/>
      <w:divBdr>
        <w:top w:val="none" w:sz="0" w:space="0" w:color="auto"/>
        <w:left w:val="none" w:sz="0" w:space="0" w:color="auto"/>
        <w:bottom w:val="none" w:sz="0" w:space="0" w:color="auto"/>
        <w:right w:val="none" w:sz="0" w:space="0" w:color="auto"/>
      </w:divBdr>
    </w:div>
    <w:div w:id="53968234">
      <w:bodyDiv w:val="1"/>
      <w:marLeft w:val="0"/>
      <w:marRight w:val="0"/>
      <w:marTop w:val="0"/>
      <w:marBottom w:val="0"/>
      <w:divBdr>
        <w:top w:val="none" w:sz="0" w:space="0" w:color="auto"/>
        <w:left w:val="none" w:sz="0" w:space="0" w:color="auto"/>
        <w:bottom w:val="none" w:sz="0" w:space="0" w:color="auto"/>
        <w:right w:val="none" w:sz="0" w:space="0" w:color="auto"/>
      </w:divBdr>
    </w:div>
    <w:div w:id="68112552">
      <w:bodyDiv w:val="1"/>
      <w:marLeft w:val="0"/>
      <w:marRight w:val="0"/>
      <w:marTop w:val="0"/>
      <w:marBottom w:val="0"/>
      <w:divBdr>
        <w:top w:val="none" w:sz="0" w:space="0" w:color="auto"/>
        <w:left w:val="none" w:sz="0" w:space="0" w:color="auto"/>
        <w:bottom w:val="none" w:sz="0" w:space="0" w:color="auto"/>
        <w:right w:val="none" w:sz="0" w:space="0" w:color="auto"/>
      </w:divBdr>
    </w:div>
    <w:div w:id="81417354">
      <w:bodyDiv w:val="1"/>
      <w:marLeft w:val="0"/>
      <w:marRight w:val="0"/>
      <w:marTop w:val="0"/>
      <w:marBottom w:val="0"/>
      <w:divBdr>
        <w:top w:val="none" w:sz="0" w:space="0" w:color="auto"/>
        <w:left w:val="none" w:sz="0" w:space="0" w:color="auto"/>
        <w:bottom w:val="none" w:sz="0" w:space="0" w:color="auto"/>
        <w:right w:val="none" w:sz="0" w:space="0" w:color="auto"/>
      </w:divBdr>
    </w:div>
    <w:div w:id="82919630">
      <w:bodyDiv w:val="1"/>
      <w:marLeft w:val="0"/>
      <w:marRight w:val="0"/>
      <w:marTop w:val="0"/>
      <w:marBottom w:val="0"/>
      <w:divBdr>
        <w:top w:val="none" w:sz="0" w:space="0" w:color="auto"/>
        <w:left w:val="none" w:sz="0" w:space="0" w:color="auto"/>
        <w:bottom w:val="none" w:sz="0" w:space="0" w:color="auto"/>
        <w:right w:val="none" w:sz="0" w:space="0" w:color="auto"/>
      </w:divBdr>
    </w:div>
    <w:div w:id="83427417">
      <w:bodyDiv w:val="1"/>
      <w:marLeft w:val="0"/>
      <w:marRight w:val="0"/>
      <w:marTop w:val="0"/>
      <w:marBottom w:val="0"/>
      <w:divBdr>
        <w:top w:val="none" w:sz="0" w:space="0" w:color="auto"/>
        <w:left w:val="none" w:sz="0" w:space="0" w:color="auto"/>
        <w:bottom w:val="none" w:sz="0" w:space="0" w:color="auto"/>
        <w:right w:val="none" w:sz="0" w:space="0" w:color="auto"/>
      </w:divBdr>
    </w:div>
    <w:div w:id="89744451">
      <w:bodyDiv w:val="1"/>
      <w:marLeft w:val="0"/>
      <w:marRight w:val="0"/>
      <w:marTop w:val="0"/>
      <w:marBottom w:val="0"/>
      <w:divBdr>
        <w:top w:val="none" w:sz="0" w:space="0" w:color="auto"/>
        <w:left w:val="none" w:sz="0" w:space="0" w:color="auto"/>
        <w:bottom w:val="none" w:sz="0" w:space="0" w:color="auto"/>
        <w:right w:val="none" w:sz="0" w:space="0" w:color="auto"/>
      </w:divBdr>
    </w:div>
    <w:div w:id="90396161">
      <w:bodyDiv w:val="1"/>
      <w:marLeft w:val="0"/>
      <w:marRight w:val="0"/>
      <w:marTop w:val="0"/>
      <w:marBottom w:val="0"/>
      <w:divBdr>
        <w:top w:val="none" w:sz="0" w:space="0" w:color="auto"/>
        <w:left w:val="none" w:sz="0" w:space="0" w:color="auto"/>
        <w:bottom w:val="none" w:sz="0" w:space="0" w:color="auto"/>
        <w:right w:val="none" w:sz="0" w:space="0" w:color="auto"/>
      </w:divBdr>
    </w:div>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110052936">
      <w:bodyDiv w:val="1"/>
      <w:marLeft w:val="0"/>
      <w:marRight w:val="0"/>
      <w:marTop w:val="0"/>
      <w:marBottom w:val="0"/>
      <w:divBdr>
        <w:top w:val="none" w:sz="0" w:space="0" w:color="auto"/>
        <w:left w:val="none" w:sz="0" w:space="0" w:color="auto"/>
        <w:bottom w:val="none" w:sz="0" w:space="0" w:color="auto"/>
        <w:right w:val="none" w:sz="0" w:space="0" w:color="auto"/>
      </w:divBdr>
    </w:div>
    <w:div w:id="114250973">
      <w:bodyDiv w:val="1"/>
      <w:marLeft w:val="0"/>
      <w:marRight w:val="0"/>
      <w:marTop w:val="0"/>
      <w:marBottom w:val="0"/>
      <w:divBdr>
        <w:top w:val="none" w:sz="0" w:space="0" w:color="auto"/>
        <w:left w:val="none" w:sz="0" w:space="0" w:color="auto"/>
        <w:bottom w:val="none" w:sz="0" w:space="0" w:color="auto"/>
        <w:right w:val="none" w:sz="0" w:space="0" w:color="auto"/>
      </w:divBdr>
    </w:div>
    <w:div w:id="119226031">
      <w:bodyDiv w:val="1"/>
      <w:marLeft w:val="0"/>
      <w:marRight w:val="0"/>
      <w:marTop w:val="0"/>
      <w:marBottom w:val="0"/>
      <w:divBdr>
        <w:top w:val="none" w:sz="0" w:space="0" w:color="auto"/>
        <w:left w:val="none" w:sz="0" w:space="0" w:color="auto"/>
        <w:bottom w:val="none" w:sz="0" w:space="0" w:color="auto"/>
        <w:right w:val="none" w:sz="0" w:space="0" w:color="auto"/>
      </w:divBdr>
    </w:div>
    <w:div w:id="127287465">
      <w:bodyDiv w:val="1"/>
      <w:marLeft w:val="0"/>
      <w:marRight w:val="0"/>
      <w:marTop w:val="0"/>
      <w:marBottom w:val="0"/>
      <w:divBdr>
        <w:top w:val="none" w:sz="0" w:space="0" w:color="auto"/>
        <w:left w:val="none" w:sz="0" w:space="0" w:color="auto"/>
        <w:bottom w:val="none" w:sz="0" w:space="0" w:color="auto"/>
        <w:right w:val="none" w:sz="0" w:space="0" w:color="auto"/>
      </w:divBdr>
    </w:div>
    <w:div w:id="148138949">
      <w:bodyDiv w:val="1"/>
      <w:marLeft w:val="0"/>
      <w:marRight w:val="0"/>
      <w:marTop w:val="0"/>
      <w:marBottom w:val="0"/>
      <w:divBdr>
        <w:top w:val="none" w:sz="0" w:space="0" w:color="auto"/>
        <w:left w:val="none" w:sz="0" w:space="0" w:color="auto"/>
        <w:bottom w:val="none" w:sz="0" w:space="0" w:color="auto"/>
        <w:right w:val="none" w:sz="0" w:space="0" w:color="auto"/>
      </w:divBdr>
    </w:div>
    <w:div w:id="156920479">
      <w:bodyDiv w:val="1"/>
      <w:marLeft w:val="0"/>
      <w:marRight w:val="0"/>
      <w:marTop w:val="0"/>
      <w:marBottom w:val="0"/>
      <w:divBdr>
        <w:top w:val="none" w:sz="0" w:space="0" w:color="auto"/>
        <w:left w:val="none" w:sz="0" w:space="0" w:color="auto"/>
        <w:bottom w:val="none" w:sz="0" w:space="0" w:color="auto"/>
        <w:right w:val="none" w:sz="0" w:space="0" w:color="auto"/>
      </w:divBdr>
    </w:div>
    <w:div w:id="166483197">
      <w:bodyDiv w:val="1"/>
      <w:marLeft w:val="0"/>
      <w:marRight w:val="0"/>
      <w:marTop w:val="0"/>
      <w:marBottom w:val="0"/>
      <w:divBdr>
        <w:top w:val="none" w:sz="0" w:space="0" w:color="auto"/>
        <w:left w:val="none" w:sz="0" w:space="0" w:color="auto"/>
        <w:bottom w:val="none" w:sz="0" w:space="0" w:color="auto"/>
        <w:right w:val="none" w:sz="0" w:space="0" w:color="auto"/>
      </w:divBdr>
    </w:div>
    <w:div w:id="177471859">
      <w:bodyDiv w:val="1"/>
      <w:marLeft w:val="0"/>
      <w:marRight w:val="0"/>
      <w:marTop w:val="0"/>
      <w:marBottom w:val="0"/>
      <w:divBdr>
        <w:top w:val="none" w:sz="0" w:space="0" w:color="auto"/>
        <w:left w:val="none" w:sz="0" w:space="0" w:color="auto"/>
        <w:bottom w:val="none" w:sz="0" w:space="0" w:color="auto"/>
        <w:right w:val="none" w:sz="0" w:space="0" w:color="auto"/>
      </w:divBdr>
    </w:div>
    <w:div w:id="190608165">
      <w:bodyDiv w:val="1"/>
      <w:marLeft w:val="0"/>
      <w:marRight w:val="0"/>
      <w:marTop w:val="0"/>
      <w:marBottom w:val="0"/>
      <w:divBdr>
        <w:top w:val="none" w:sz="0" w:space="0" w:color="auto"/>
        <w:left w:val="none" w:sz="0" w:space="0" w:color="auto"/>
        <w:bottom w:val="none" w:sz="0" w:space="0" w:color="auto"/>
        <w:right w:val="none" w:sz="0" w:space="0" w:color="auto"/>
      </w:divBdr>
    </w:div>
    <w:div w:id="192160117">
      <w:bodyDiv w:val="1"/>
      <w:marLeft w:val="0"/>
      <w:marRight w:val="0"/>
      <w:marTop w:val="0"/>
      <w:marBottom w:val="0"/>
      <w:divBdr>
        <w:top w:val="none" w:sz="0" w:space="0" w:color="auto"/>
        <w:left w:val="none" w:sz="0" w:space="0" w:color="auto"/>
        <w:bottom w:val="none" w:sz="0" w:space="0" w:color="auto"/>
        <w:right w:val="none" w:sz="0" w:space="0" w:color="auto"/>
      </w:divBdr>
    </w:div>
    <w:div w:id="216674010">
      <w:bodyDiv w:val="1"/>
      <w:marLeft w:val="0"/>
      <w:marRight w:val="0"/>
      <w:marTop w:val="0"/>
      <w:marBottom w:val="0"/>
      <w:divBdr>
        <w:top w:val="none" w:sz="0" w:space="0" w:color="auto"/>
        <w:left w:val="none" w:sz="0" w:space="0" w:color="auto"/>
        <w:bottom w:val="none" w:sz="0" w:space="0" w:color="auto"/>
        <w:right w:val="none" w:sz="0" w:space="0" w:color="auto"/>
      </w:divBdr>
    </w:div>
    <w:div w:id="223030110">
      <w:bodyDiv w:val="1"/>
      <w:marLeft w:val="0"/>
      <w:marRight w:val="0"/>
      <w:marTop w:val="0"/>
      <w:marBottom w:val="0"/>
      <w:divBdr>
        <w:top w:val="none" w:sz="0" w:space="0" w:color="auto"/>
        <w:left w:val="none" w:sz="0" w:space="0" w:color="auto"/>
        <w:bottom w:val="none" w:sz="0" w:space="0" w:color="auto"/>
        <w:right w:val="none" w:sz="0" w:space="0" w:color="auto"/>
      </w:divBdr>
    </w:div>
    <w:div w:id="226839236">
      <w:bodyDiv w:val="1"/>
      <w:marLeft w:val="0"/>
      <w:marRight w:val="0"/>
      <w:marTop w:val="0"/>
      <w:marBottom w:val="0"/>
      <w:divBdr>
        <w:top w:val="none" w:sz="0" w:space="0" w:color="auto"/>
        <w:left w:val="none" w:sz="0" w:space="0" w:color="auto"/>
        <w:bottom w:val="none" w:sz="0" w:space="0" w:color="auto"/>
        <w:right w:val="none" w:sz="0" w:space="0" w:color="auto"/>
      </w:divBdr>
    </w:div>
    <w:div w:id="228343490">
      <w:bodyDiv w:val="1"/>
      <w:marLeft w:val="0"/>
      <w:marRight w:val="0"/>
      <w:marTop w:val="0"/>
      <w:marBottom w:val="0"/>
      <w:divBdr>
        <w:top w:val="none" w:sz="0" w:space="0" w:color="auto"/>
        <w:left w:val="none" w:sz="0" w:space="0" w:color="auto"/>
        <w:bottom w:val="none" w:sz="0" w:space="0" w:color="auto"/>
        <w:right w:val="none" w:sz="0" w:space="0" w:color="auto"/>
      </w:divBdr>
    </w:div>
    <w:div w:id="242422654">
      <w:bodyDiv w:val="1"/>
      <w:marLeft w:val="0"/>
      <w:marRight w:val="0"/>
      <w:marTop w:val="0"/>
      <w:marBottom w:val="0"/>
      <w:divBdr>
        <w:top w:val="none" w:sz="0" w:space="0" w:color="auto"/>
        <w:left w:val="none" w:sz="0" w:space="0" w:color="auto"/>
        <w:bottom w:val="none" w:sz="0" w:space="0" w:color="auto"/>
        <w:right w:val="none" w:sz="0" w:space="0" w:color="auto"/>
      </w:divBdr>
    </w:div>
    <w:div w:id="249628054">
      <w:bodyDiv w:val="1"/>
      <w:marLeft w:val="0"/>
      <w:marRight w:val="0"/>
      <w:marTop w:val="0"/>
      <w:marBottom w:val="0"/>
      <w:divBdr>
        <w:top w:val="none" w:sz="0" w:space="0" w:color="auto"/>
        <w:left w:val="none" w:sz="0" w:space="0" w:color="auto"/>
        <w:bottom w:val="none" w:sz="0" w:space="0" w:color="auto"/>
        <w:right w:val="none" w:sz="0" w:space="0" w:color="auto"/>
      </w:divBdr>
    </w:div>
    <w:div w:id="251469777">
      <w:bodyDiv w:val="1"/>
      <w:marLeft w:val="0"/>
      <w:marRight w:val="0"/>
      <w:marTop w:val="0"/>
      <w:marBottom w:val="0"/>
      <w:divBdr>
        <w:top w:val="none" w:sz="0" w:space="0" w:color="auto"/>
        <w:left w:val="none" w:sz="0" w:space="0" w:color="auto"/>
        <w:bottom w:val="none" w:sz="0" w:space="0" w:color="auto"/>
        <w:right w:val="none" w:sz="0" w:space="0" w:color="auto"/>
      </w:divBdr>
    </w:div>
    <w:div w:id="253128226">
      <w:bodyDiv w:val="1"/>
      <w:marLeft w:val="0"/>
      <w:marRight w:val="0"/>
      <w:marTop w:val="0"/>
      <w:marBottom w:val="0"/>
      <w:divBdr>
        <w:top w:val="none" w:sz="0" w:space="0" w:color="auto"/>
        <w:left w:val="none" w:sz="0" w:space="0" w:color="auto"/>
        <w:bottom w:val="none" w:sz="0" w:space="0" w:color="auto"/>
        <w:right w:val="none" w:sz="0" w:space="0" w:color="auto"/>
      </w:divBdr>
    </w:div>
    <w:div w:id="274794299">
      <w:bodyDiv w:val="1"/>
      <w:marLeft w:val="0"/>
      <w:marRight w:val="0"/>
      <w:marTop w:val="0"/>
      <w:marBottom w:val="0"/>
      <w:divBdr>
        <w:top w:val="none" w:sz="0" w:space="0" w:color="auto"/>
        <w:left w:val="none" w:sz="0" w:space="0" w:color="auto"/>
        <w:bottom w:val="none" w:sz="0" w:space="0" w:color="auto"/>
        <w:right w:val="none" w:sz="0" w:space="0" w:color="auto"/>
      </w:divBdr>
    </w:div>
    <w:div w:id="279144483">
      <w:bodyDiv w:val="1"/>
      <w:marLeft w:val="0"/>
      <w:marRight w:val="0"/>
      <w:marTop w:val="0"/>
      <w:marBottom w:val="0"/>
      <w:divBdr>
        <w:top w:val="none" w:sz="0" w:space="0" w:color="auto"/>
        <w:left w:val="none" w:sz="0" w:space="0" w:color="auto"/>
        <w:bottom w:val="none" w:sz="0" w:space="0" w:color="auto"/>
        <w:right w:val="none" w:sz="0" w:space="0" w:color="auto"/>
      </w:divBdr>
    </w:div>
    <w:div w:id="283275607">
      <w:bodyDiv w:val="1"/>
      <w:marLeft w:val="0"/>
      <w:marRight w:val="0"/>
      <w:marTop w:val="0"/>
      <w:marBottom w:val="0"/>
      <w:divBdr>
        <w:top w:val="none" w:sz="0" w:space="0" w:color="auto"/>
        <w:left w:val="none" w:sz="0" w:space="0" w:color="auto"/>
        <w:bottom w:val="none" w:sz="0" w:space="0" w:color="auto"/>
        <w:right w:val="none" w:sz="0" w:space="0" w:color="auto"/>
      </w:divBdr>
    </w:div>
    <w:div w:id="301929169">
      <w:bodyDiv w:val="1"/>
      <w:marLeft w:val="0"/>
      <w:marRight w:val="0"/>
      <w:marTop w:val="0"/>
      <w:marBottom w:val="0"/>
      <w:divBdr>
        <w:top w:val="none" w:sz="0" w:space="0" w:color="auto"/>
        <w:left w:val="none" w:sz="0" w:space="0" w:color="auto"/>
        <w:bottom w:val="none" w:sz="0" w:space="0" w:color="auto"/>
        <w:right w:val="none" w:sz="0" w:space="0" w:color="auto"/>
      </w:divBdr>
    </w:div>
    <w:div w:id="310597030">
      <w:bodyDiv w:val="1"/>
      <w:marLeft w:val="0"/>
      <w:marRight w:val="0"/>
      <w:marTop w:val="0"/>
      <w:marBottom w:val="0"/>
      <w:divBdr>
        <w:top w:val="none" w:sz="0" w:space="0" w:color="auto"/>
        <w:left w:val="none" w:sz="0" w:space="0" w:color="auto"/>
        <w:bottom w:val="none" w:sz="0" w:space="0" w:color="auto"/>
        <w:right w:val="none" w:sz="0" w:space="0" w:color="auto"/>
      </w:divBdr>
    </w:div>
    <w:div w:id="313070861">
      <w:bodyDiv w:val="1"/>
      <w:marLeft w:val="0"/>
      <w:marRight w:val="0"/>
      <w:marTop w:val="0"/>
      <w:marBottom w:val="0"/>
      <w:divBdr>
        <w:top w:val="none" w:sz="0" w:space="0" w:color="auto"/>
        <w:left w:val="none" w:sz="0" w:space="0" w:color="auto"/>
        <w:bottom w:val="none" w:sz="0" w:space="0" w:color="auto"/>
        <w:right w:val="none" w:sz="0" w:space="0" w:color="auto"/>
      </w:divBdr>
    </w:div>
    <w:div w:id="317729354">
      <w:bodyDiv w:val="1"/>
      <w:marLeft w:val="0"/>
      <w:marRight w:val="0"/>
      <w:marTop w:val="0"/>
      <w:marBottom w:val="0"/>
      <w:divBdr>
        <w:top w:val="none" w:sz="0" w:space="0" w:color="auto"/>
        <w:left w:val="none" w:sz="0" w:space="0" w:color="auto"/>
        <w:bottom w:val="none" w:sz="0" w:space="0" w:color="auto"/>
        <w:right w:val="none" w:sz="0" w:space="0" w:color="auto"/>
      </w:divBdr>
    </w:div>
    <w:div w:id="322859718">
      <w:bodyDiv w:val="1"/>
      <w:marLeft w:val="0"/>
      <w:marRight w:val="0"/>
      <w:marTop w:val="0"/>
      <w:marBottom w:val="0"/>
      <w:divBdr>
        <w:top w:val="none" w:sz="0" w:space="0" w:color="auto"/>
        <w:left w:val="none" w:sz="0" w:space="0" w:color="auto"/>
        <w:bottom w:val="none" w:sz="0" w:space="0" w:color="auto"/>
        <w:right w:val="none" w:sz="0" w:space="0" w:color="auto"/>
      </w:divBdr>
    </w:div>
    <w:div w:id="359553000">
      <w:bodyDiv w:val="1"/>
      <w:marLeft w:val="0"/>
      <w:marRight w:val="0"/>
      <w:marTop w:val="0"/>
      <w:marBottom w:val="0"/>
      <w:divBdr>
        <w:top w:val="none" w:sz="0" w:space="0" w:color="auto"/>
        <w:left w:val="none" w:sz="0" w:space="0" w:color="auto"/>
        <w:bottom w:val="none" w:sz="0" w:space="0" w:color="auto"/>
        <w:right w:val="none" w:sz="0" w:space="0" w:color="auto"/>
      </w:divBdr>
    </w:div>
    <w:div w:id="371346119">
      <w:bodyDiv w:val="1"/>
      <w:marLeft w:val="0"/>
      <w:marRight w:val="0"/>
      <w:marTop w:val="0"/>
      <w:marBottom w:val="0"/>
      <w:divBdr>
        <w:top w:val="none" w:sz="0" w:space="0" w:color="auto"/>
        <w:left w:val="none" w:sz="0" w:space="0" w:color="auto"/>
        <w:bottom w:val="none" w:sz="0" w:space="0" w:color="auto"/>
        <w:right w:val="none" w:sz="0" w:space="0" w:color="auto"/>
      </w:divBdr>
    </w:div>
    <w:div w:id="373769675">
      <w:bodyDiv w:val="1"/>
      <w:marLeft w:val="0"/>
      <w:marRight w:val="0"/>
      <w:marTop w:val="0"/>
      <w:marBottom w:val="0"/>
      <w:divBdr>
        <w:top w:val="none" w:sz="0" w:space="0" w:color="auto"/>
        <w:left w:val="none" w:sz="0" w:space="0" w:color="auto"/>
        <w:bottom w:val="none" w:sz="0" w:space="0" w:color="auto"/>
        <w:right w:val="none" w:sz="0" w:space="0" w:color="auto"/>
      </w:divBdr>
    </w:div>
    <w:div w:id="377358285">
      <w:bodyDiv w:val="1"/>
      <w:marLeft w:val="0"/>
      <w:marRight w:val="0"/>
      <w:marTop w:val="0"/>
      <w:marBottom w:val="0"/>
      <w:divBdr>
        <w:top w:val="none" w:sz="0" w:space="0" w:color="auto"/>
        <w:left w:val="none" w:sz="0" w:space="0" w:color="auto"/>
        <w:bottom w:val="none" w:sz="0" w:space="0" w:color="auto"/>
        <w:right w:val="none" w:sz="0" w:space="0" w:color="auto"/>
      </w:divBdr>
    </w:div>
    <w:div w:id="386999702">
      <w:bodyDiv w:val="1"/>
      <w:marLeft w:val="0"/>
      <w:marRight w:val="0"/>
      <w:marTop w:val="0"/>
      <w:marBottom w:val="0"/>
      <w:divBdr>
        <w:top w:val="none" w:sz="0" w:space="0" w:color="auto"/>
        <w:left w:val="none" w:sz="0" w:space="0" w:color="auto"/>
        <w:bottom w:val="none" w:sz="0" w:space="0" w:color="auto"/>
        <w:right w:val="none" w:sz="0" w:space="0" w:color="auto"/>
      </w:divBdr>
    </w:div>
    <w:div w:id="397365793">
      <w:bodyDiv w:val="1"/>
      <w:marLeft w:val="0"/>
      <w:marRight w:val="0"/>
      <w:marTop w:val="0"/>
      <w:marBottom w:val="0"/>
      <w:divBdr>
        <w:top w:val="none" w:sz="0" w:space="0" w:color="auto"/>
        <w:left w:val="none" w:sz="0" w:space="0" w:color="auto"/>
        <w:bottom w:val="none" w:sz="0" w:space="0" w:color="auto"/>
        <w:right w:val="none" w:sz="0" w:space="0" w:color="auto"/>
      </w:divBdr>
    </w:div>
    <w:div w:id="399400226">
      <w:bodyDiv w:val="1"/>
      <w:marLeft w:val="0"/>
      <w:marRight w:val="0"/>
      <w:marTop w:val="0"/>
      <w:marBottom w:val="0"/>
      <w:divBdr>
        <w:top w:val="none" w:sz="0" w:space="0" w:color="auto"/>
        <w:left w:val="none" w:sz="0" w:space="0" w:color="auto"/>
        <w:bottom w:val="none" w:sz="0" w:space="0" w:color="auto"/>
        <w:right w:val="none" w:sz="0" w:space="0" w:color="auto"/>
      </w:divBdr>
    </w:div>
    <w:div w:id="419327817">
      <w:bodyDiv w:val="1"/>
      <w:marLeft w:val="0"/>
      <w:marRight w:val="0"/>
      <w:marTop w:val="0"/>
      <w:marBottom w:val="0"/>
      <w:divBdr>
        <w:top w:val="none" w:sz="0" w:space="0" w:color="auto"/>
        <w:left w:val="none" w:sz="0" w:space="0" w:color="auto"/>
        <w:bottom w:val="none" w:sz="0" w:space="0" w:color="auto"/>
        <w:right w:val="none" w:sz="0" w:space="0" w:color="auto"/>
      </w:divBdr>
      <w:divsChild>
        <w:div w:id="253049575">
          <w:marLeft w:val="0"/>
          <w:marRight w:val="0"/>
          <w:marTop w:val="0"/>
          <w:marBottom w:val="0"/>
          <w:divBdr>
            <w:top w:val="none" w:sz="0" w:space="0" w:color="auto"/>
            <w:left w:val="none" w:sz="0" w:space="0" w:color="auto"/>
            <w:bottom w:val="none" w:sz="0" w:space="0" w:color="auto"/>
            <w:right w:val="none" w:sz="0" w:space="0" w:color="auto"/>
          </w:divBdr>
          <w:divsChild>
            <w:div w:id="1323002648">
              <w:marLeft w:val="0"/>
              <w:marRight w:val="0"/>
              <w:marTop w:val="0"/>
              <w:marBottom w:val="0"/>
              <w:divBdr>
                <w:top w:val="none" w:sz="0" w:space="0" w:color="auto"/>
                <w:left w:val="none" w:sz="0" w:space="0" w:color="auto"/>
                <w:bottom w:val="none" w:sz="0" w:space="0" w:color="auto"/>
                <w:right w:val="none" w:sz="0" w:space="0" w:color="auto"/>
              </w:divBdr>
              <w:divsChild>
                <w:div w:id="2113627719">
                  <w:marLeft w:val="0"/>
                  <w:marRight w:val="0"/>
                  <w:marTop w:val="0"/>
                  <w:marBottom w:val="0"/>
                  <w:divBdr>
                    <w:top w:val="none" w:sz="0" w:space="0" w:color="auto"/>
                    <w:left w:val="none" w:sz="0" w:space="0" w:color="auto"/>
                    <w:bottom w:val="none" w:sz="0" w:space="0" w:color="auto"/>
                    <w:right w:val="none" w:sz="0" w:space="0" w:color="auto"/>
                  </w:divBdr>
                  <w:divsChild>
                    <w:div w:id="1992981266">
                      <w:marLeft w:val="0"/>
                      <w:marRight w:val="0"/>
                      <w:marTop w:val="0"/>
                      <w:marBottom w:val="0"/>
                      <w:divBdr>
                        <w:top w:val="none" w:sz="0" w:space="0" w:color="auto"/>
                        <w:left w:val="none" w:sz="0" w:space="0" w:color="auto"/>
                        <w:bottom w:val="none" w:sz="0" w:space="0" w:color="auto"/>
                        <w:right w:val="none" w:sz="0" w:space="0" w:color="auto"/>
                      </w:divBdr>
                      <w:divsChild>
                        <w:div w:id="1108088366">
                          <w:marLeft w:val="0"/>
                          <w:marRight w:val="0"/>
                          <w:marTop w:val="450"/>
                          <w:marBottom w:val="0"/>
                          <w:divBdr>
                            <w:top w:val="none" w:sz="0" w:space="0" w:color="auto"/>
                            <w:left w:val="none" w:sz="0" w:space="0" w:color="auto"/>
                            <w:bottom w:val="none" w:sz="0" w:space="0" w:color="auto"/>
                            <w:right w:val="none" w:sz="0" w:space="0" w:color="auto"/>
                          </w:divBdr>
                          <w:divsChild>
                            <w:div w:id="8906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6736">
      <w:bodyDiv w:val="1"/>
      <w:marLeft w:val="0"/>
      <w:marRight w:val="0"/>
      <w:marTop w:val="0"/>
      <w:marBottom w:val="0"/>
      <w:divBdr>
        <w:top w:val="none" w:sz="0" w:space="0" w:color="auto"/>
        <w:left w:val="none" w:sz="0" w:space="0" w:color="auto"/>
        <w:bottom w:val="none" w:sz="0" w:space="0" w:color="auto"/>
        <w:right w:val="none" w:sz="0" w:space="0" w:color="auto"/>
      </w:divBdr>
    </w:div>
    <w:div w:id="437723217">
      <w:bodyDiv w:val="1"/>
      <w:marLeft w:val="0"/>
      <w:marRight w:val="0"/>
      <w:marTop w:val="0"/>
      <w:marBottom w:val="0"/>
      <w:divBdr>
        <w:top w:val="none" w:sz="0" w:space="0" w:color="auto"/>
        <w:left w:val="none" w:sz="0" w:space="0" w:color="auto"/>
        <w:bottom w:val="none" w:sz="0" w:space="0" w:color="auto"/>
        <w:right w:val="none" w:sz="0" w:space="0" w:color="auto"/>
      </w:divBdr>
    </w:div>
    <w:div w:id="441194674">
      <w:bodyDiv w:val="1"/>
      <w:marLeft w:val="0"/>
      <w:marRight w:val="0"/>
      <w:marTop w:val="0"/>
      <w:marBottom w:val="0"/>
      <w:divBdr>
        <w:top w:val="none" w:sz="0" w:space="0" w:color="auto"/>
        <w:left w:val="none" w:sz="0" w:space="0" w:color="auto"/>
        <w:bottom w:val="none" w:sz="0" w:space="0" w:color="auto"/>
        <w:right w:val="none" w:sz="0" w:space="0" w:color="auto"/>
      </w:divBdr>
    </w:div>
    <w:div w:id="444038480">
      <w:bodyDiv w:val="1"/>
      <w:marLeft w:val="0"/>
      <w:marRight w:val="0"/>
      <w:marTop w:val="0"/>
      <w:marBottom w:val="0"/>
      <w:divBdr>
        <w:top w:val="none" w:sz="0" w:space="0" w:color="auto"/>
        <w:left w:val="none" w:sz="0" w:space="0" w:color="auto"/>
        <w:bottom w:val="none" w:sz="0" w:space="0" w:color="auto"/>
        <w:right w:val="none" w:sz="0" w:space="0" w:color="auto"/>
      </w:divBdr>
    </w:div>
    <w:div w:id="449281112">
      <w:bodyDiv w:val="1"/>
      <w:marLeft w:val="0"/>
      <w:marRight w:val="0"/>
      <w:marTop w:val="0"/>
      <w:marBottom w:val="0"/>
      <w:divBdr>
        <w:top w:val="none" w:sz="0" w:space="0" w:color="auto"/>
        <w:left w:val="none" w:sz="0" w:space="0" w:color="auto"/>
        <w:bottom w:val="none" w:sz="0" w:space="0" w:color="auto"/>
        <w:right w:val="none" w:sz="0" w:space="0" w:color="auto"/>
      </w:divBdr>
    </w:div>
    <w:div w:id="454252422">
      <w:bodyDiv w:val="1"/>
      <w:marLeft w:val="0"/>
      <w:marRight w:val="0"/>
      <w:marTop w:val="0"/>
      <w:marBottom w:val="0"/>
      <w:divBdr>
        <w:top w:val="none" w:sz="0" w:space="0" w:color="auto"/>
        <w:left w:val="none" w:sz="0" w:space="0" w:color="auto"/>
        <w:bottom w:val="none" w:sz="0" w:space="0" w:color="auto"/>
        <w:right w:val="none" w:sz="0" w:space="0" w:color="auto"/>
      </w:divBdr>
    </w:div>
    <w:div w:id="462238800">
      <w:bodyDiv w:val="1"/>
      <w:marLeft w:val="0"/>
      <w:marRight w:val="0"/>
      <w:marTop w:val="0"/>
      <w:marBottom w:val="0"/>
      <w:divBdr>
        <w:top w:val="none" w:sz="0" w:space="0" w:color="auto"/>
        <w:left w:val="none" w:sz="0" w:space="0" w:color="auto"/>
        <w:bottom w:val="none" w:sz="0" w:space="0" w:color="auto"/>
        <w:right w:val="none" w:sz="0" w:space="0" w:color="auto"/>
      </w:divBdr>
    </w:div>
    <w:div w:id="477067864">
      <w:bodyDiv w:val="1"/>
      <w:marLeft w:val="0"/>
      <w:marRight w:val="0"/>
      <w:marTop w:val="0"/>
      <w:marBottom w:val="0"/>
      <w:divBdr>
        <w:top w:val="none" w:sz="0" w:space="0" w:color="auto"/>
        <w:left w:val="none" w:sz="0" w:space="0" w:color="auto"/>
        <w:bottom w:val="none" w:sz="0" w:space="0" w:color="auto"/>
        <w:right w:val="none" w:sz="0" w:space="0" w:color="auto"/>
      </w:divBdr>
    </w:div>
    <w:div w:id="477965574">
      <w:bodyDiv w:val="1"/>
      <w:marLeft w:val="0"/>
      <w:marRight w:val="0"/>
      <w:marTop w:val="0"/>
      <w:marBottom w:val="0"/>
      <w:divBdr>
        <w:top w:val="none" w:sz="0" w:space="0" w:color="auto"/>
        <w:left w:val="none" w:sz="0" w:space="0" w:color="auto"/>
        <w:bottom w:val="none" w:sz="0" w:space="0" w:color="auto"/>
        <w:right w:val="none" w:sz="0" w:space="0" w:color="auto"/>
      </w:divBdr>
    </w:div>
    <w:div w:id="479616573">
      <w:bodyDiv w:val="1"/>
      <w:marLeft w:val="0"/>
      <w:marRight w:val="0"/>
      <w:marTop w:val="0"/>
      <w:marBottom w:val="0"/>
      <w:divBdr>
        <w:top w:val="none" w:sz="0" w:space="0" w:color="auto"/>
        <w:left w:val="none" w:sz="0" w:space="0" w:color="auto"/>
        <w:bottom w:val="none" w:sz="0" w:space="0" w:color="auto"/>
        <w:right w:val="none" w:sz="0" w:space="0" w:color="auto"/>
      </w:divBdr>
    </w:div>
    <w:div w:id="482936877">
      <w:bodyDiv w:val="1"/>
      <w:marLeft w:val="0"/>
      <w:marRight w:val="0"/>
      <w:marTop w:val="0"/>
      <w:marBottom w:val="0"/>
      <w:divBdr>
        <w:top w:val="none" w:sz="0" w:space="0" w:color="auto"/>
        <w:left w:val="none" w:sz="0" w:space="0" w:color="auto"/>
        <w:bottom w:val="none" w:sz="0" w:space="0" w:color="auto"/>
        <w:right w:val="none" w:sz="0" w:space="0" w:color="auto"/>
      </w:divBdr>
    </w:div>
    <w:div w:id="491797378">
      <w:bodyDiv w:val="1"/>
      <w:marLeft w:val="0"/>
      <w:marRight w:val="0"/>
      <w:marTop w:val="0"/>
      <w:marBottom w:val="0"/>
      <w:divBdr>
        <w:top w:val="none" w:sz="0" w:space="0" w:color="auto"/>
        <w:left w:val="none" w:sz="0" w:space="0" w:color="auto"/>
        <w:bottom w:val="none" w:sz="0" w:space="0" w:color="auto"/>
        <w:right w:val="none" w:sz="0" w:space="0" w:color="auto"/>
      </w:divBdr>
    </w:div>
    <w:div w:id="492375623">
      <w:bodyDiv w:val="1"/>
      <w:marLeft w:val="0"/>
      <w:marRight w:val="0"/>
      <w:marTop w:val="0"/>
      <w:marBottom w:val="0"/>
      <w:divBdr>
        <w:top w:val="none" w:sz="0" w:space="0" w:color="auto"/>
        <w:left w:val="none" w:sz="0" w:space="0" w:color="auto"/>
        <w:bottom w:val="none" w:sz="0" w:space="0" w:color="auto"/>
        <w:right w:val="none" w:sz="0" w:space="0" w:color="auto"/>
      </w:divBdr>
    </w:div>
    <w:div w:id="499539723">
      <w:bodyDiv w:val="1"/>
      <w:marLeft w:val="0"/>
      <w:marRight w:val="0"/>
      <w:marTop w:val="0"/>
      <w:marBottom w:val="0"/>
      <w:divBdr>
        <w:top w:val="none" w:sz="0" w:space="0" w:color="auto"/>
        <w:left w:val="none" w:sz="0" w:space="0" w:color="auto"/>
        <w:bottom w:val="none" w:sz="0" w:space="0" w:color="auto"/>
        <w:right w:val="none" w:sz="0" w:space="0" w:color="auto"/>
      </w:divBdr>
    </w:div>
    <w:div w:id="513032292">
      <w:bodyDiv w:val="1"/>
      <w:marLeft w:val="0"/>
      <w:marRight w:val="0"/>
      <w:marTop w:val="0"/>
      <w:marBottom w:val="0"/>
      <w:divBdr>
        <w:top w:val="none" w:sz="0" w:space="0" w:color="auto"/>
        <w:left w:val="none" w:sz="0" w:space="0" w:color="auto"/>
        <w:bottom w:val="none" w:sz="0" w:space="0" w:color="auto"/>
        <w:right w:val="none" w:sz="0" w:space="0" w:color="auto"/>
      </w:divBdr>
    </w:div>
    <w:div w:id="522591120">
      <w:bodyDiv w:val="1"/>
      <w:marLeft w:val="0"/>
      <w:marRight w:val="0"/>
      <w:marTop w:val="0"/>
      <w:marBottom w:val="0"/>
      <w:divBdr>
        <w:top w:val="none" w:sz="0" w:space="0" w:color="auto"/>
        <w:left w:val="none" w:sz="0" w:space="0" w:color="auto"/>
        <w:bottom w:val="none" w:sz="0" w:space="0" w:color="auto"/>
        <w:right w:val="none" w:sz="0" w:space="0" w:color="auto"/>
      </w:divBdr>
    </w:div>
    <w:div w:id="538902530">
      <w:bodyDiv w:val="1"/>
      <w:marLeft w:val="0"/>
      <w:marRight w:val="0"/>
      <w:marTop w:val="0"/>
      <w:marBottom w:val="0"/>
      <w:divBdr>
        <w:top w:val="none" w:sz="0" w:space="0" w:color="auto"/>
        <w:left w:val="none" w:sz="0" w:space="0" w:color="auto"/>
        <w:bottom w:val="none" w:sz="0" w:space="0" w:color="auto"/>
        <w:right w:val="none" w:sz="0" w:space="0" w:color="auto"/>
      </w:divBdr>
    </w:div>
    <w:div w:id="564491320">
      <w:bodyDiv w:val="1"/>
      <w:marLeft w:val="0"/>
      <w:marRight w:val="0"/>
      <w:marTop w:val="0"/>
      <w:marBottom w:val="0"/>
      <w:divBdr>
        <w:top w:val="none" w:sz="0" w:space="0" w:color="auto"/>
        <w:left w:val="none" w:sz="0" w:space="0" w:color="auto"/>
        <w:bottom w:val="none" w:sz="0" w:space="0" w:color="auto"/>
        <w:right w:val="none" w:sz="0" w:space="0" w:color="auto"/>
      </w:divBdr>
    </w:div>
    <w:div w:id="579369961">
      <w:bodyDiv w:val="1"/>
      <w:marLeft w:val="0"/>
      <w:marRight w:val="0"/>
      <w:marTop w:val="0"/>
      <w:marBottom w:val="0"/>
      <w:divBdr>
        <w:top w:val="none" w:sz="0" w:space="0" w:color="auto"/>
        <w:left w:val="none" w:sz="0" w:space="0" w:color="auto"/>
        <w:bottom w:val="none" w:sz="0" w:space="0" w:color="auto"/>
        <w:right w:val="none" w:sz="0" w:space="0" w:color="auto"/>
      </w:divBdr>
    </w:div>
    <w:div w:id="586381056">
      <w:bodyDiv w:val="1"/>
      <w:marLeft w:val="0"/>
      <w:marRight w:val="0"/>
      <w:marTop w:val="0"/>
      <w:marBottom w:val="0"/>
      <w:divBdr>
        <w:top w:val="none" w:sz="0" w:space="0" w:color="auto"/>
        <w:left w:val="none" w:sz="0" w:space="0" w:color="auto"/>
        <w:bottom w:val="none" w:sz="0" w:space="0" w:color="auto"/>
        <w:right w:val="none" w:sz="0" w:space="0" w:color="auto"/>
      </w:divBdr>
      <w:divsChild>
        <w:div w:id="1317566231">
          <w:marLeft w:val="0"/>
          <w:marRight w:val="0"/>
          <w:marTop w:val="0"/>
          <w:marBottom w:val="0"/>
          <w:divBdr>
            <w:top w:val="none" w:sz="0" w:space="0" w:color="auto"/>
            <w:left w:val="none" w:sz="0" w:space="0" w:color="auto"/>
            <w:bottom w:val="none" w:sz="0" w:space="0" w:color="auto"/>
            <w:right w:val="none" w:sz="0" w:space="0" w:color="auto"/>
          </w:divBdr>
        </w:div>
      </w:divsChild>
    </w:div>
    <w:div w:id="586765487">
      <w:bodyDiv w:val="1"/>
      <w:marLeft w:val="0"/>
      <w:marRight w:val="0"/>
      <w:marTop w:val="0"/>
      <w:marBottom w:val="0"/>
      <w:divBdr>
        <w:top w:val="none" w:sz="0" w:space="0" w:color="auto"/>
        <w:left w:val="none" w:sz="0" w:space="0" w:color="auto"/>
        <w:bottom w:val="none" w:sz="0" w:space="0" w:color="auto"/>
        <w:right w:val="none" w:sz="0" w:space="0" w:color="auto"/>
      </w:divBdr>
    </w:div>
    <w:div w:id="589704696">
      <w:bodyDiv w:val="1"/>
      <w:marLeft w:val="0"/>
      <w:marRight w:val="0"/>
      <w:marTop w:val="0"/>
      <w:marBottom w:val="0"/>
      <w:divBdr>
        <w:top w:val="none" w:sz="0" w:space="0" w:color="auto"/>
        <w:left w:val="none" w:sz="0" w:space="0" w:color="auto"/>
        <w:bottom w:val="none" w:sz="0" w:space="0" w:color="auto"/>
        <w:right w:val="none" w:sz="0" w:space="0" w:color="auto"/>
      </w:divBdr>
    </w:div>
    <w:div w:id="593053687">
      <w:bodyDiv w:val="1"/>
      <w:marLeft w:val="0"/>
      <w:marRight w:val="0"/>
      <w:marTop w:val="0"/>
      <w:marBottom w:val="0"/>
      <w:divBdr>
        <w:top w:val="none" w:sz="0" w:space="0" w:color="auto"/>
        <w:left w:val="none" w:sz="0" w:space="0" w:color="auto"/>
        <w:bottom w:val="none" w:sz="0" w:space="0" w:color="auto"/>
        <w:right w:val="none" w:sz="0" w:space="0" w:color="auto"/>
      </w:divBdr>
    </w:div>
    <w:div w:id="596793131">
      <w:bodyDiv w:val="1"/>
      <w:marLeft w:val="0"/>
      <w:marRight w:val="0"/>
      <w:marTop w:val="0"/>
      <w:marBottom w:val="0"/>
      <w:divBdr>
        <w:top w:val="none" w:sz="0" w:space="0" w:color="auto"/>
        <w:left w:val="none" w:sz="0" w:space="0" w:color="auto"/>
        <w:bottom w:val="none" w:sz="0" w:space="0" w:color="auto"/>
        <w:right w:val="none" w:sz="0" w:space="0" w:color="auto"/>
      </w:divBdr>
    </w:div>
    <w:div w:id="602612642">
      <w:bodyDiv w:val="1"/>
      <w:marLeft w:val="0"/>
      <w:marRight w:val="0"/>
      <w:marTop w:val="0"/>
      <w:marBottom w:val="0"/>
      <w:divBdr>
        <w:top w:val="none" w:sz="0" w:space="0" w:color="auto"/>
        <w:left w:val="none" w:sz="0" w:space="0" w:color="auto"/>
        <w:bottom w:val="none" w:sz="0" w:space="0" w:color="auto"/>
        <w:right w:val="none" w:sz="0" w:space="0" w:color="auto"/>
      </w:divBdr>
    </w:div>
    <w:div w:id="603656233">
      <w:bodyDiv w:val="1"/>
      <w:marLeft w:val="0"/>
      <w:marRight w:val="0"/>
      <w:marTop w:val="0"/>
      <w:marBottom w:val="0"/>
      <w:divBdr>
        <w:top w:val="none" w:sz="0" w:space="0" w:color="auto"/>
        <w:left w:val="none" w:sz="0" w:space="0" w:color="auto"/>
        <w:bottom w:val="none" w:sz="0" w:space="0" w:color="auto"/>
        <w:right w:val="none" w:sz="0" w:space="0" w:color="auto"/>
      </w:divBdr>
    </w:div>
    <w:div w:id="606350383">
      <w:bodyDiv w:val="1"/>
      <w:marLeft w:val="0"/>
      <w:marRight w:val="0"/>
      <w:marTop w:val="0"/>
      <w:marBottom w:val="0"/>
      <w:divBdr>
        <w:top w:val="none" w:sz="0" w:space="0" w:color="auto"/>
        <w:left w:val="none" w:sz="0" w:space="0" w:color="auto"/>
        <w:bottom w:val="none" w:sz="0" w:space="0" w:color="auto"/>
        <w:right w:val="none" w:sz="0" w:space="0" w:color="auto"/>
      </w:divBdr>
    </w:div>
    <w:div w:id="607155575">
      <w:bodyDiv w:val="1"/>
      <w:marLeft w:val="0"/>
      <w:marRight w:val="0"/>
      <w:marTop w:val="0"/>
      <w:marBottom w:val="0"/>
      <w:divBdr>
        <w:top w:val="none" w:sz="0" w:space="0" w:color="auto"/>
        <w:left w:val="none" w:sz="0" w:space="0" w:color="auto"/>
        <w:bottom w:val="none" w:sz="0" w:space="0" w:color="auto"/>
        <w:right w:val="none" w:sz="0" w:space="0" w:color="auto"/>
      </w:divBdr>
    </w:div>
    <w:div w:id="621616386">
      <w:bodyDiv w:val="1"/>
      <w:marLeft w:val="0"/>
      <w:marRight w:val="0"/>
      <w:marTop w:val="0"/>
      <w:marBottom w:val="0"/>
      <w:divBdr>
        <w:top w:val="none" w:sz="0" w:space="0" w:color="auto"/>
        <w:left w:val="none" w:sz="0" w:space="0" w:color="auto"/>
        <w:bottom w:val="none" w:sz="0" w:space="0" w:color="auto"/>
        <w:right w:val="none" w:sz="0" w:space="0" w:color="auto"/>
      </w:divBdr>
    </w:div>
    <w:div w:id="637300043">
      <w:bodyDiv w:val="1"/>
      <w:marLeft w:val="0"/>
      <w:marRight w:val="0"/>
      <w:marTop w:val="0"/>
      <w:marBottom w:val="0"/>
      <w:divBdr>
        <w:top w:val="none" w:sz="0" w:space="0" w:color="auto"/>
        <w:left w:val="none" w:sz="0" w:space="0" w:color="auto"/>
        <w:bottom w:val="none" w:sz="0" w:space="0" w:color="auto"/>
        <w:right w:val="none" w:sz="0" w:space="0" w:color="auto"/>
      </w:divBdr>
    </w:div>
    <w:div w:id="645164658">
      <w:bodyDiv w:val="1"/>
      <w:marLeft w:val="0"/>
      <w:marRight w:val="0"/>
      <w:marTop w:val="0"/>
      <w:marBottom w:val="0"/>
      <w:divBdr>
        <w:top w:val="none" w:sz="0" w:space="0" w:color="auto"/>
        <w:left w:val="none" w:sz="0" w:space="0" w:color="auto"/>
        <w:bottom w:val="none" w:sz="0" w:space="0" w:color="auto"/>
        <w:right w:val="none" w:sz="0" w:space="0" w:color="auto"/>
      </w:divBdr>
    </w:div>
    <w:div w:id="657154672">
      <w:bodyDiv w:val="1"/>
      <w:marLeft w:val="0"/>
      <w:marRight w:val="0"/>
      <w:marTop w:val="0"/>
      <w:marBottom w:val="0"/>
      <w:divBdr>
        <w:top w:val="none" w:sz="0" w:space="0" w:color="auto"/>
        <w:left w:val="none" w:sz="0" w:space="0" w:color="auto"/>
        <w:bottom w:val="none" w:sz="0" w:space="0" w:color="auto"/>
        <w:right w:val="none" w:sz="0" w:space="0" w:color="auto"/>
      </w:divBdr>
    </w:div>
    <w:div w:id="664748253">
      <w:bodyDiv w:val="1"/>
      <w:marLeft w:val="0"/>
      <w:marRight w:val="0"/>
      <w:marTop w:val="0"/>
      <w:marBottom w:val="0"/>
      <w:divBdr>
        <w:top w:val="none" w:sz="0" w:space="0" w:color="auto"/>
        <w:left w:val="none" w:sz="0" w:space="0" w:color="auto"/>
        <w:bottom w:val="none" w:sz="0" w:space="0" w:color="auto"/>
        <w:right w:val="none" w:sz="0" w:space="0" w:color="auto"/>
      </w:divBdr>
    </w:div>
    <w:div w:id="669604294">
      <w:bodyDiv w:val="1"/>
      <w:marLeft w:val="0"/>
      <w:marRight w:val="0"/>
      <w:marTop w:val="0"/>
      <w:marBottom w:val="0"/>
      <w:divBdr>
        <w:top w:val="none" w:sz="0" w:space="0" w:color="auto"/>
        <w:left w:val="none" w:sz="0" w:space="0" w:color="auto"/>
        <w:bottom w:val="none" w:sz="0" w:space="0" w:color="auto"/>
        <w:right w:val="none" w:sz="0" w:space="0" w:color="auto"/>
      </w:divBdr>
    </w:div>
    <w:div w:id="697699654">
      <w:bodyDiv w:val="1"/>
      <w:marLeft w:val="0"/>
      <w:marRight w:val="0"/>
      <w:marTop w:val="0"/>
      <w:marBottom w:val="0"/>
      <w:divBdr>
        <w:top w:val="none" w:sz="0" w:space="0" w:color="auto"/>
        <w:left w:val="none" w:sz="0" w:space="0" w:color="auto"/>
        <w:bottom w:val="none" w:sz="0" w:space="0" w:color="auto"/>
        <w:right w:val="none" w:sz="0" w:space="0" w:color="auto"/>
      </w:divBdr>
    </w:div>
    <w:div w:id="702678317">
      <w:bodyDiv w:val="1"/>
      <w:marLeft w:val="0"/>
      <w:marRight w:val="0"/>
      <w:marTop w:val="0"/>
      <w:marBottom w:val="0"/>
      <w:divBdr>
        <w:top w:val="none" w:sz="0" w:space="0" w:color="auto"/>
        <w:left w:val="none" w:sz="0" w:space="0" w:color="auto"/>
        <w:bottom w:val="none" w:sz="0" w:space="0" w:color="auto"/>
        <w:right w:val="none" w:sz="0" w:space="0" w:color="auto"/>
      </w:divBdr>
    </w:div>
    <w:div w:id="717508115">
      <w:bodyDiv w:val="1"/>
      <w:marLeft w:val="0"/>
      <w:marRight w:val="0"/>
      <w:marTop w:val="0"/>
      <w:marBottom w:val="0"/>
      <w:divBdr>
        <w:top w:val="none" w:sz="0" w:space="0" w:color="auto"/>
        <w:left w:val="none" w:sz="0" w:space="0" w:color="auto"/>
        <w:bottom w:val="none" w:sz="0" w:space="0" w:color="auto"/>
        <w:right w:val="none" w:sz="0" w:space="0" w:color="auto"/>
      </w:divBdr>
    </w:div>
    <w:div w:id="731776240">
      <w:bodyDiv w:val="1"/>
      <w:marLeft w:val="0"/>
      <w:marRight w:val="0"/>
      <w:marTop w:val="0"/>
      <w:marBottom w:val="0"/>
      <w:divBdr>
        <w:top w:val="none" w:sz="0" w:space="0" w:color="auto"/>
        <w:left w:val="none" w:sz="0" w:space="0" w:color="auto"/>
        <w:bottom w:val="none" w:sz="0" w:space="0" w:color="auto"/>
        <w:right w:val="none" w:sz="0" w:space="0" w:color="auto"/>
      </w:divBdr>
    </w:div>
    <w:div w:id="745766106">
      <w:bodyDiv w:val="1"/>
      <w:marLeft w:val="0"/>
      <w:marRight w:val="0"/>
      <w:marTop w:val="0"/>
      <w:marBottom w:val="0"/>
      <w:divBdr>
        <w:top w:val="none" w:sz="0" w:space="0" w:color="auto"/>
        <w:left w:val="none" w:sz="0" w:space="0" w:color="auto"/>
        <w:bottom w:val="none" w:sz="0" w:space="0" w:color="auto"/>
        <w:right w:val="none" w:sz="0" w:space="0" w:color="auto"/>
      </w:divBdr>
      <w:divsChild>
        <w:div w:id="437990304">
          <w:marLeft w:val="547"/>
          <w:marRight w:val="0"/>
          <w:marTop w:val="134"/>
          <w:marBottom w:val="0"/>
          <w:divBdr>
            <w:top w:val="none" w:sz="0" w:space="0" w:color="auto"/>
            <w:left w:val="none" w:sz="0" w:space="0" w:color="auto"/>
            <w:bottom w:val="none" w:sz="0" w:space="0" w:color="auto"/>
            <w:right w:val="none" w:sz="0" w:space="0" w:color="auto"/>
          </w:divBdr>
        </w:div>
        <w:div w:id="1228564835">
          <w:marLeft w:val="547"/>
          <w:marRight w:val="0"/>
          <w:marTop w:val="134"/>
          <w:marBottom w:val="0"/>
          <w:divBdr>
            <w:top w:val="none" w:sz="0" w:space="0" w:color="auto"/>
            <w:left w:val="none" w:sz="0" w:space="0" w:color="auto"/>
            <w:bottom w:val="none" w:sz="0" w:space="0" w:color="auto"/>
            <w:right w:val="none" w:sz="0" w:space="0" w:color="auto"/>
          </w:divBdr>
        </w:div>
        <w:div w:id="1330671717">
          <w:marLeft w:val="547"/>
          <w:marRight w:val="0"/>
          <w:marTop w:val="134"/>
          <w:marBottom w:val="0"/>
          <w:divBdr>
            <w:top w:val="none" w:sz="0" w:space="0" w:color="auto"/>
            <w:left w:val="none" w:sz="0" w:space="0" w:color="auto"/>
            <w:bottom w:val="none" w:sz="0" w:space="0" w:color="auto"/>
            <w:right w:val="none" w:sz="0" w:space="0" w:color="auto"/>
          </w:divBdr>
        </w:div>
      </w:divsChild>
    </w:div>
    <w:div w:id="746848370">
      <w:bodyDiv w:val="1"/>
      <w:marLeft w:val="0"/>
      <w:marRight w:val="0"/>
      <w:marTop w:val="0"/>
      <w:marBottom w:val="0"/>
      <w:divBdr>
        <w:top w:val="none" w:sz="0" w:space="0" w:color="auto"/>
        <w:left w:val="none" w:sz="0" w:space="0" w:color="auto"/>
        <w:bottom w:val="none" w:sz="0" w:space="0" w:color="auto"/>
        <w:right w:val="none" w:sz="0" w:space="0" w:color="auto"/>
      </w:divBdr>
    </w:div>
    <w:div w:id="760417839">
      <w:bodyDiv w:val="1"/>
      <w:marLeft w:val="0"/>
      <w:marRight w:val="0"/>
      <w:marTop w:val="0"/>
      <w:marBottom w:val="0"/>
      <w:divBdr>
        <w:top w:val="none" w:sz="0" w:space="0" w:color="auto"/>
        <w:left w:val="none" w:sz="0" w:space="0" w:color="auto"/>
        <w:bottom w:val="none" w:sz="0" w:space="0" w:color="auto"/>
        <w:right w:val="none" w:sz="0" w:space="0" w:color="auto"/>
      </w:divBdr>
    </w:div>
    <w:div w:id="761487905">
      <w:bodyDiv w:val="1"/>
      <w:marLeft w:val="0"/>
      <w:marRight w:val="0"/>
      <w:marTop w:val="0"/>
      <w:marBottom w:val="0"/>
      <w:divBdr>
        <w:top w:val="none" w:sz="0" w:space="0" w:color="auto"/>
        <w:left w:val="none" w:sz="0" w:space="0" w:color="auto"/>
        <w:bottom w:val="none" w:sz="0" w:space="0" w:color="auto"/>
        <w:right w:val="none" w:sz="0" w:space="0" w:color="auto"/>
      </w:divBdr>
    </w:div>
    <w:div w:id="782461115">
      <w:bodyDiv w:val="1"/>
      <w:marLeft w:val="0"/>
      <w:marRight w:val="0"/>
      <w:marTop w:val="0"/>
      <w:marBottom w:val="0"/>
      <w:divBdr>
        <w:top w:val="none" w:sz="0" w:space="0" w:color="auto"/>
        <w:left w:val="none" w:sz="0" w:space="0" w:color="auto"/>
        <w:bottom w:val="none" w:sz="0" w:space="0" w:color="auto"/>
        <w:right w:val="none" w:sz="0" w:space="0" w:color="auto"/>
      </w:divBdr>
    </w:div>
    <w:div w:id="787092329">
      <w:bodyDiv w:val="1"/>
      <w:marLeft w:val="0"/>
      <w:marRight w:val="0"/>
      <w:marTop w:val="0"/>
      <w:marBottom w:val="0"/>
      <w:divBdr>
        <w:top w:val="none" w:sz="0" w:space="0" w:color="auto"/>
        <w:left w:val="none" w:sz="0" w:space="0" w:color="auto"/>
        <w:bottom w:val="none" w:sz="0" w:space="0" w:color="auto"/>
        <w:right w:val="none" w:sz="0" w:space="0" w:color="auto"/>
      </w:divBdr>
    </w:div>
    <w:div w:id="799036984">
      <w:bodyDiv w:val="1"/>
      <w:marLeft w:val="0"/>
      <w:marRight w:val="0"/>
      <w:marTop w:val="0"/>
      <w:marBottom w:val="0"/>
      <w:divBdr>
        <w:top w:val="none" w:sz="0" w:space="0" w:color="auto"/>
        <w:left w:val="none" w:sz="0" w:space="0" w:color="auto"/>
        <w:bottom w:val="none" w:sz="0" w:space="0" w:color="auto"/>
        <w:right w:val="none" w:sz="0" w:space="0" w:color="auto"/>
      </w:divBdr>
    </w:div>
    <w:div w:id="802306098">
      <w:bodyDiv w:val="1"/>
      <w:marLeft w:val="0"/>
      <w:marRight w:val="0"/>
      <w:marTop w:val="0"/>
      <w:marBottom w:val="0"/>
      <w:divBdr>
        <w:top w:val="none" w:sz="0" w:space="0" w:color="auto"/>
        <w:left w:val="none" w:sz="0" w:space="0" w:color="auto"/>
        <w:bottom w:val="none" w:sz="0" w:space="0" w:color="auto"/>
        <w:right w:val="none" w:sz="0" w:space="0" w:color="auto"/>
      </w:divBdr>
    </w:div>
    <w:div w:id="803933995">
      <w:bodyDiv w:val="1"/>
      <w:marLeft w:val="0"/>
      <w:marRight w:val="0"/>
      <w:marTop w:val="0"/>
      <w:marBottom w:val="0"/>
      <w:divBdr>
        <w:top w:val="none" w:sz="0" w:space="0" w:color="auto"/>
        <w:left w:val="none" w:sz="0" w:space="0" w:color="auto"/>
        <w:bottom w:val="none" w:sz="0" w:space="0" w:color="auto"/>
        <w:right w:val="none" w:sz="0" w:space="0" w:color="auto"/>
      </w:divBdr>
    </w:div>
    <w:div w:id="805396646">
      <w:bodyDiv w:val="1"/>
      <w:marLeft w:val="0"/>
      <w:marRight w:val="0"/>
      <w:marTop w:val="0"/>
      <w:marBottom w:val="0"/>
      <w:divBdr>
        <w:top w:val="none" w:sz="0" w:space="0" w:color="auto"/>
        <w:left w:val="none" w:sz="0" w:space="0" w:color="auto"/>
        <w:bottom w:val="none" w:sz="0" w:space="0" w:color="auto"/>
        <w:right w:val="none" w:sz="0" w:space="0" w:color="auto"/>
      </w:divBdr>
    </w:div>
    <w:div w:id="812912698">
      <w:bodyDiv w:val="1"/>
      <w:marLeft w:val="0"/>
      <w:marRight w:val="0"/>
      <w:marTop w:val="0"/>
      <w:marBottom w:val="0"/>
      <w:divBdr>
        <w:top w:val="none" w:sz="0" w:space="0" w:color="auto"/>
        <w:left w:val="none" w:sz="0" w:space="0" w:color="auto"/>
        <w:bottom w:val="none" w:sz="0" w:space="0" w:color="auto"/>
        <w:right w:val="none" w:sz="0" w:space="0" w:color="auto"/>
      </w:divBdr>
    </w:div>
    <w:div w:id="816411589">
      <w:bodyDiv w:val="1"/>
      <w:marLeft w:val="0"/>
      <w:marRight w:val="0"/>
      <w:marTop w:val="0"/>
      <w:marBottom w:val="0"/>
      <w:divBdr>
        <w:top w:val="none" w:sz="0" w:space="0" w:color="auto"/>
        <w:left w:val="none" w:sz="0" w:space="0" w:color="auto"/>
        <w:bottom w:val="none" w:sz="0" w:space="0" w:color="auto"/>
        <w:right w:val="none" w:sz="0" w:space="0" w:color="auto"/>
      </w:divBdr>
    </w:div>
    <w:div w:id="823740417">
      <w:bodyDiv w:val="1"/>
      <w:marLeft w:val="0"/>
      <w:marRight w:val="0"/>
      <w:marTop w:val="0"/>
      <w:marBottom w:val="0"/>
      <w:divBdr>
        <w:top w:val="none" w:sz="0" w:space="0" w:color="auto"/>
        <w:left w:val="none" w:sz="0" w:space="0" w:color="auto"/>
        <w:bottom w:val="none" w:sz="0" w:space="0" w:color="auto"/>
        <w:right w:val="none" w:sz="0" w:space="0" w:color="auto"/>
      </w:divBdr>
      <w:divsChild>
        <w:div w:id="649484459">
          <w:marLeft w:val="0"/>
          <w:marRight w:val="0"/>
          <w:marTop w:val="0"/>
          <w:marBottom w:val="0"/>
          <w:divBdr>
            <w:top w:val="none" w:sz="0" w:space="0" w:color="auto"/>
            <w:left w:val="none" w:sz="0" w:space="0" w:color="auto"/>
            <w:bottom w:val="none" w:sz="0" w:space="0" w:color="auto"/>
            <w:right w:val="none" w:sz="0" w:space="0" w:color="auto"/>
          </w:divBdr>
          <w:divsChild>
            <w:div w:id="1234388117">
              <w:marLeft w:val="0"/>
              <w:marRight w:val="0"/>
              <w:marTop w:val="0"/>
              <w:marBottom w:val="0"/>
              <w:divBdr>
                <w:top w:val="none" w:sz="0" w:space="0" w:color="auto"/>
                <w:left w:val="none" w:sz="0" w:space="0" w:color="auto"/>
                <w:bottom w:val="none" w:sz="0" w:space="0" w:color="auto"/>
                <w:right w:val="none" w:sz="0" w:space="0" w:color="auto"/>
              </w:divBdr>
              <w:divsChild>
                <w:div w:id="1556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3988">
      <w:bodyDiv w:val="1"/>
      <w:marLeft w:val="0"/>
      <w:marRight w:val="0"/>
      <w:marTop w:val="0"/>
      <w:marBottom w:val="0"/>
      <w:divBdr>
        <w:top w:val="none" w:sz="0" w:space="0" w:color="auto"/>
        <w:left w:val="none" w:sz="0" w:space="0" w:color="auto"/>
        <w:bottom w:val="none" w:sz="0" w:space="0" w:color="auto"/>
        <w:right w:val="none" w:sz="0" w:space="0" w:color="auto"/>
      </w:divBdr>
    </w:div>
    <w:div w:id="836650032">
      <w:bodyDiv w:val="1"/>
      <w:marLeft w:val="0"/>
      <w:marRight w:val="0"/>
      <w:marTop w:val="0"/>
      <w:marBottom w:val="0"/>
      <w:divBdr>
        <w:top w:val="none" w:sz="0" w:space="0" w:color="auto"/>
        <w:left w:val="none" w:sz="0" w:space="0" w:color="auto"/>
        <w:bottom w:val="none" w:sz="0" w:space="0" w:color="auto"/>
        <w:right w:val="none" w:sz="0" w:space="0" w:color="auto"/>
      </w:divBdr>
    </w:div>
    <w:div w:id="839854455">
      <w:bodyDiv w:val="1"/>
      <w:marLeft w:val="0"/>
      <w:marRight w:val="0"/>
      <w:marTop w:val="0"/>
      <w:marBottom w:val="0"/>
      <w:divBdr>
        <w:top w:val="none" w:sz="0" w:space="0" w:color="auto"/>
        <w:left w:val="none" w:sz="0" w:space="0" w:color="auto"/>
        <w:bottom w:val="none" w:sz="0" w:space="0" w:color="auto"/>
        <w:right w:val="none" w:sz="0" w:space="0" w:color="auto"/>
      </w:divBdr>
    </w:div>
    <w:div w:id="848565452">
      <w:bodyDiv w:val="1"/>
      <w:marLeft w:val="0"/>
      <w:marRight w:val="0"/>
      <w:marTop w:val="0"/>
      <w:marBottom w:val="0"/>
      <w:divBdr>
        <w:top w:val="none" w:sz="0" w:space="0" w:color="auto"/>
        <w:left w:val="none" w:sz="0" w:space="0" w:color="auto"/>
        <w:bottom w:val="none" w:sz="0" w:space="0" w:color="auto"/>
        <w:right w:val="none" w:sz="0" w:space="0" w:color="auto"/>
      </w:divBdr>
    </w:div>
    <w:div w:id="854617009">
      <w:bodyDiv w:val="1"/>
      <w:marLeft w:val="0"/>
      <w:marRight w:val="0"/>
      <w:marTop w:val="0"/>
      <w:marBottom w:val="0"/>
      <w:divBdr>
        <w:top w:val="none" w:sz="0" w:space="0" w:color="auto"/>
        <w:left w:val="none" w:sz="0" w:space="0" w:color="auto"/>
        <w:bottom w:val="none" w:sz="0" w:space="0" w:color="auto"/>
        <w:right w:val="none" w:sz="0" w:space="0" w:color="auto"/>
      </w:divBdr>
    </w:div>
    <w:div w:id="865219161">
      <w:bodyDiv w:val="1"/>
      <w:marLeft w:val="0"/>
      <w:marRight w:val="0"/>
      <w:marTop w:val="0"/>
      <w:marBottom w:val="0"/>
      <w:divBdr>
        <w:top w:val="none" w:sz="0" w:space="0" w:color="auto"/>
        <w:left w:val="none" w:sz="0" w:space="0" w:color="auto"/>
        <w:bottom w:val="none" w:sz="0" w:space="0" w:color="auto"/>
        <w:right w:val="none" w:sz="0" w:space="0" w:color="auto"/>
      </w:divBdr>
    </w:div>
    <w:div w:id="866454591">
      <w:bodyDiv w:val="1"/>
      <w:marLeft w:val="0"/>
      <w:marRight w:val="0"/>
      <w:marTop w:val="0"/>
      <w:marBottom w:val="0"/>
      <w:divBdr>
        <w:top w:val="none" w:sz="0" w:space="0" w:color="auto"/>
        <w:left w:val="none" w:sz="0" w:space="0" w:color="auto"/>
        <w:bottom w:val="none" w:sz="0" w:space="0" w:color="auto"/>
        <w:right w:val="none" w:sz="0" w:space="0" w:color="auto"/>
      </w:divBdr>
    </w:div>
    <w:div w:id="871575662">
      <w:bodyDiv w:val="1"/>
      <w:marLeft w:val="0"/>
      <w:marRight w:val="0"/>
      <w:marTop w:val="0"/>
      <w:marBottom w:val="0"/>
      <w:divBdr>
        <w:top w:val="none" w:sz="0" w:space="0" w:color="auto"/>
        <w:left w:val="none" w:sz="0" w:space="0" w:color="auto"/>
        <w:bottom w:val="none" w:sz="0" w:space="0" w:color="auto"/>
        <w:right w:val="none" w:sz="0" w:space="0" w:color="auto"/>
      </w:divBdr>
    </w:div>
    <w:div w:id="871921736">
      <w:bodyDiv w:val="1"/>
      <w:marLeft w:val="0"/>
      <w:marRight w:val="0"/>
      <w:marTop w:val="0"/>
      <w:marBottom w:val="0"/>
      <w:divBdr>
        <w:top w:val="none" w:sz="0" w:space="0" w:color="auto"/>
        <w:left w:val="none" w:sz="0" w:space="0" w:color="auto"/>
        <w:bottom w:val="none" w:sz="0" w:space="0" w:color="auto"/>
        <w:right w:val="none" w:sz="0" w:space="0" w:color="auto"/>
      </w:divBdr>
    </w:div>
    <w:div w:id="874535608">
      <w:bodyDiv w:val="1"/>
      <w:marLeft w:val="0"/>
      <w:marRight w:val="0"/>
      <w:marTop w:val="0"/>
      <w:marBottom w:val="0"/>
      <w:divBdr>
        <w:top w:val="none" w:sz="0" w:space="0" w:color="auto"/>
        <w:left w:val="none" w:sz="0" w:space="0" w:color="auto"/>
        <w:bottom w:val="none" w:sz="0" w:space="0" w:color="auto"/>
        <w:right w:val="none" w:sz="0" w:space="0" w:color="auto"/>
      </w:divBdr>
    </w:div>
    <w:div w:id="880939796">
      <w:bodyDiv w:val="1"/>
      <w:marLeft w:val="0"/>
      <w:marRight w:val="0"/>
      <w:marTop w:val="0"/>
      <w:marBottom w:val="0"/>
      <w:divBdr>
        <w:top w:val="none" w:sz="0" w:space="0" w:color="auto"/>
        <w:left w:val="none" w:sz="0" w:space="0" w:color="auto"/>
        <w:bottom w:val="none" w:sz="0" w:space="0" w:color="auto"/>
        <w:right w:val="none" w:sz="0" w:space="0" w:color="auto"/>
      </w:divBdr>
    </w:div>
    <w:div w:id="887105446">
      <w:bodyDiv w:val="1"/>
      <w:marLeft w:val="0"/>
      <w:marRight w:val="0"/>
      <w:marTop w:val="0"/>
      <w:marBottom w:val="0"/>
      <w:divBdr>
        <w:top w:val="none" w:sz="0" w:space="0" w:color="auto"/>
        <w:left w:val="none" w:sz="0" w:space="0" w:color="auto"/>
        <w:bottom w:val="none" w:sz="0" w:space="0" w:color="auto"/>
        <w:right w:val="none" w:sz="0" w:space="0" w:color="auto"/>
      </w:divBdr>
    </w:div>
    <w:div w:id="887838664">
      <w:bodyDiv w:val="1"/>
      <w:marLeft w:val="0"/>
      <w:marRight w:val="0"/>
      <w:marTop w:val="0"/>
      <w:marBottom w:val="0"/>
      <w:divBdr>
        <w:top w:val="none" w:sz="0" w:space="0" w:color="auto"/>
        <w:left w:val="none" w:sz="0" w:space="0" w:color="auto"/>
        <w:bottom w:val="none" w:sz="0" w:space="0" w:color="auto"/>
        <w:right w:val="none" w:sz="0" w:space="0" w:color="auto"/>
      </w:divBdr>
    </w:div>
    <w:div w:id="908075254">
      <w:bodyDiv w:val="1"/>
      <w:marLeft w:val="0"/>
      <w:marRight w:val="0"/>
      <w:marTop w:val="0"/>
      <w:marBottom w:val="0"/>
      <w:divBdr>
        <w:top w:val="none" w:sz="0" w:space="0" w:color="auto"/>
        <w:left w:val="none" w:sz="0" w:space="0" w:color="auto"/>
        <w:bottom w:val="none" w:sz="0" w:space="0" w:color="auto"/>
        <w:right w:val="none" w:sz="0" w:space="0" w:color="auto"/>
      </w:divBdr>
    </w:div>
    <w:div w:id="915626063">
      <w:bodyDiv w:val="1"/>
      <w:marLeft w:val="0"/>
      <w:marRight w:val="0"/>
      <w:marTop w:val="0"/>
      <w:marBottom w:val="0"/>
      <w:divBdr>
        <w:top w:val="none" w:sz="0" w:space="0" w:color="auto"/>
        <w:left w:val="none" w:sz="0" w:space="0" w:color="auto"/>
        <w:bottom w:val="none" w:sz="0" w:space="0" w:color="auto"/>
        <w:right w:val="none" w:sz="0" w:space="0" w:color="auto"/>
      </w:divBdr>
    </w:div>
    <w:div w:id="929848114">
      <w:bodyDiv w:val="1"/>
      <w:marLeft w:val="0"/>
      <w:marRight w:val="0"/>
      <w:marTop w:val="0"/>
      <w:marBottom w:val="0"/>
      <w:divBdr>
        <w:top w:val="none" w:sz="0" w:space="0" w:color="auto"/>
        <w:left w:val="none" w:sz="0" w:space="0" w:color="auto"/>
        <w:bottom w:val="none" w:sz="0" w:space="0" w:color="auto"/>
        <w:right w:val="none" w:sz="0" w:space="0" w:color="auto"/>
      </w:divBdr>
    </w:div>
    <w:div w:id="949240576">
      <w:bodyDiv w:val="1"/>
      <w:marLeft w:val="0"/>
      <w:marRight w:val="0"/>
      <w:marTop w:val="0"/>
      <w:marBottom w:val="0"/>
      <w:divBdr>
        <w:top w:val="none" w:sz="0" w:space="0" w:color="auto"/>
        <w:left w:val="none" w:sz="0" w:space="0" w:color="auto"/>
        <w:bottom w:val="none" w:sz="0" w:space="0" w:color="auto"/>
        <w:right w:val="none" w:sz="0" w:space="0" w:color="auto"/>
      </w:divBdr>
    </w:div>
    <w:div w:id="965357364">
      <w:bodyDiv w:val="1"/>
      <w:marLeft w:val="0"/>
      <w:marRight w:val="0"/>
      <w:marTop w:val="0"/>
      <w:marBottom w:val="0"/>
      <w:divBdr>
        <w:top w:val="none" w:sz="0" w:space="0" w:color="auto"/>
        <w:left w:val="none" w:sz="0" w:space="0" w:color="auto"/>
        <w:bottom w:val="none" w:sz="0" w:space="0" w:color="auto"/>
        <w:right w:val="none" w:sz="0" w:space="0" w:color="auto"/>
      </w:divBdr>
    </w:div>
    <w:div w:id="967053772">
      <w:bodyDiv w:val="1"/>
      <w:marLeft w:val="0"/>
      <w:marRight w:val="0"/>
      <w:marTop w:val="0"/>
      <w:marBottom w:val="0"/>
      <w:divBdr>
        <w:top w:val="none" w:sz="0" w:space="0" w:color="auto"/>
        <w:left w:val="none" w:sz="0" w:space="0" w:color="auto"/>
        <w:bottom w:val="none" w:sz="0" w:space="0" w:color="auto"/>
        <w:right w:val="none" w:sz="0" w:space="0" w:color="auto"/>
      </w:divBdr>
    </w:div>
    <w:div w:id="990905761">
      <w:bodyDiv w:val="1"/>
      <w:marLeft w:val="0"/>
      <w:marRight w:val="0"/>
      <w:marTop w:val="0"/>
      <w:marBottom w:val="0"/>
      <w:divBdr>
        <w:top w:val="none" w:sz="0" w:space="0" w:color="auto"/>
        <w:left w:val="none" w:sz="0" w:space="0" w:color="auto"/>
        <w:bottom w:val="none" w:sz="0" w:space="0" w:color="auto"/>
        <w:right w:val="none" w:sz="0" w:space="0" w:color="auto"/>
      </w:divBdr>
    </w:div>
    <w:div w:id="1004161253">
      <w:bodyDiv w:val="1"/>
      <w:marLeft w:val="0"/>
      <w:marRight w:val="0"/>
      <w:marTop w:val="0"/>
      <w:marBottom w:val="0"/>
      <w:divBdr>
        <w:top w:val="none" w:sz="0" w:space="0" w:color="auto"/>
        <w:left w:val="none" w:sz="0" w:space="0" w:color="auto"/>
        <w:bottom w:val="none" w:sz="0" w:space="0" w:color="auto"/>
        <w:right w:val="none" w:sz="0" w:space="0" w:color="auto"/>
      </w:divBdr>
    </w:div>
    <w:div w:id="1007514530">
      <w:bodyDiv w:val="1"/>
      <w:marLeft w:val="0"/>
      <w:marRight w:val="0"/>
      <w:marTop w:val="0"/>
      <w:marBottom w:val="0"/>
      <w:divBdr>
        <w:top w:val="none" w:sz="0" w:space="0" w:color="auto"/>
        <w:left w:val="none" w:sz="0" w:space="0" w:color="auto"/>
        <w:bottom w:val="none" w:sz="0" w:space="0" w:color="auto"/>
        <w:right w:val="none" w:sz="0" w:space="0" w:color="auto"/>
      </w:divBdr>
    </w:div>
    <w:div w:id="1028529993">
      <w:bodyDiv w:val="1"/>
      <w:marLeft w:val="0"/>
      <w:marRight w:val="0"/>
      <w:marTop w:val="0"/>
      <w:marBottom w:val="0"/>
      <w:divBdr>
        <w:top w:val="none" w:sz="0" w:space="0" w:color="auto"/>
        <w:left w:val="none" w:sz="0" w:space="0" w:color="auto"/>
        <w:bottom w:val="none" w:sz="0" w:space="0" w:color="auto"/>
        <w:right w:val="none" w:sz="0" w:space="0" w:color="auto"/>
      </w:divBdr>
    </w:div>
    <w:div w:id="1043748936">
      <w:bodyDiv w:val="1"/>
      <w:marLeft w:val="0"/>
      <w:marRight w:val="0"/>
      <w:marTop w:val="0"/>
      <w:marBottom w:val="0"/>
      <w:divBdr>
        <w:top w:val="none" w:sz="0" w:space="0" w:color="auto"/>
        <w:left w:val="none" w:sz="0" w:space="0" w:color="auto"/>
        <w:bottom w:val="none" w:sz="0" w:space="0" w:color="auto"/>
        <w:right w:val="none" w:sz="0" w:space="0" w:color="auto"/>
      </w:divBdr>
    </w:div>
    <w:div w:id="1064334180">
      <w:bodyDiv w:val="1"/>
      <w:marLeft w:val="0"/>
      <w:marRight w:val="0"/>
      <w:marTop w:val="0"/>
      <w:marBottom w:val="0"/>
      <w:divBdr>
        <w:top w:val="none" w:sz="0" w:space="0" w:color="auto"/>
        <w:left w:val="none" w:sz="0" w:space="0" w:color="auto"/>
        <w:bottom w:val="none" w:sz="0" w:space="0" w:color="auto"/>
        <w:right w:val="none" w:sz="0" w:space="0" w:color="auto"/>
      </w:divBdr>
    </w:div>
    <w:div w:id="1067803699">
      <w:bodyDiv w:val="1"/>
      <w:marLeft w:val="0"/>
      <w:marRight w:val="0"/>
      <w:marTop w:val="0"/>
      <w:marBottom w:val="0"/>
      <w:divBdr>
        <w:top w:val="none" w:sz="0" w:space="0" w:color="auto"/>
        <w:left w:val="none" w:sz="0" w:space="0" w:color="auto"/>
        <w:bottom w:val="none" w:sz="0" w:space="0" w:color="auto"/>
        <w:right w:val="none" w:sz="0" w:space="0" w:color="auto"/>
      </w:divBdr>
    </w:div>
    <w:div w:id="1068651581">
      <w:bodyDiv w:val="1"/>
      <w:marLeft w:val="0"/>
      <w:marRight w:val="0"/>
      <w:marTop w:val="0"/>
      <w:marBottom w:val="0"/>
      <w:divBdr>
        <w:top w:val="none" w:sz="0" w:space="0" w:color="auto"/>
        <w:left w:val="none" w:sz="0" w:space="0" w:color="auto"/>
        <w:bottom w:val="none" w:sz="0" w:space="0" w:color="auto"/>
        <w:right w:val="none" w:sz="0" w:space="0" w:color="auto"/>
      </w:divBdr>
    </w:div>
    <w:div w:id="1071317126">
      <w:bodyDiv w:val="1"/>
      <w:marLeft w:val="0"/>
      <w:marRight w:val="0"/>
      <w:marTop w:val="0"/>
      <w:marBottom w:val="0"/>
      <w:divBdr>
        <w:top w:val="none" w:sz="0" w:space="0" w:color="auto"/>
        <w:left w:val="none" w:sz="0" w:space="0" w:color="auto"/>
        <w:bottom w:val="none" w:sz="0" w:space="0" w:color="auto"/>
        <w:right w:val="none" w:sz="0" w:space="0" w:color="auto"/>
      </w:divBdr>
    </w:div>
    <w:div w:id="1074621827">
      <w:bodyDiv w:val="1"/>
      <w:marLeft w:val="0"/>
      <w:marRight w:val="0"/>
      <w:marTop w:val="0"/>
      <w:marBottom w:val="0"/>
      <w:divBdr>
        <w:top w:val="none" w:sz="0" w:space="0" w:color="auto"/>
        <w:left w:val="none" w:sz="0" w:space="0" w:color="auto"/>
        <w:bottom w:val="none" w:sz="0" w:space="0" w:color="auto"/>
        <w:right w:val="none" w:sz="0" w:space="0" w:color="auto"/>
      </w:divBdr>
    </w:div>
    <w:div w:id="1074814748">
      <w:bodyDiv w:val="1"/>
      <w:marLeft w:val="0"/>
      <w:marRight w:val="0"/>
      <w:marTop w:val="0"/>
      <w:marBottom w:val="0"/>
      <w:divBdr>
        <w:top w:val="none" w:sz="0" w:space="0" w:color="auto"/>
        <w:left w:val="none" w:sz="0" w:space="0" w:color="auto"/>
        <w:bottom w:val="none" w:sz="0" w:space="0" w:color="auto"/>
        <w:right w:val="none" w:sz="0" w:space="0" w:color="auto"/>
      </w:divBdr>
    </w:div>
    <w:div w:id="1088772822">
      <w:bodyDiv w:val="1"/>
      <w:marLeft w:val="0"/>
      <w:marRight w:val="0"/>
      <w:marTop w:val="0"/>
      <w:marBottom w:val="0"/>
      <w:divBdr>
        <w:top w:val="none" w:sz="0" w:space="0" w:color="auto"/>
        <w:left w:val="none" w:sz="0" w:space="0" w:color="auto"/>
        <w:bottom w:val="none" w:sz="0" w:space="0" w:color="auto"/>
        <w:right w:val="none" w:sz="0" w:space="0" w:color="auto"/>
      </w:divBdr>
    </w:div>
    <w:div w:id="1092361986">
      <w:bodyDiv w:val="1"/>
      <w:marLeft w:val="0"/>
      <w:marRight w:val="0"/>
      <w:marTop w:val="0"/>
      <w:marBottom w:val="0"/>
      <w:divBdr>
        <w:top w:val="none" w:sz="0" w:space="0" w:color="auto"/>
        <w:left w:val="none" w:sz="0" w:space="0" w:color="auto"/>
        <w:bottom w:val="none" w:sz="0" w:space="0" w:color="auto"/>
        <w:right w:val="none" w:sz="0" w:space="0" w:color="auto"/>
      </w:divBdr>
    </w:div>
    <w:div w:id="1095901019">
      <w:bodyDiv w:val="1"/>
      <w:marLeft w:val="0"/>
      <w:marRight w:val="0"/>
      <w:marTop w:val="0"/>
      <w:marBottom w:val="0"/>
      <w:divBdr>
        <w:top w:val="none" w:sz="0" w:space="0" w:color="auto"/>
        <w:left w:val="none" w:sz="0" w:space="0" w:color="auto"/>
        <w:bottom w:val="none" w:sz="0" w:space="0" w:color="auto"/>
        <w:right w:val="none" w:sz="0" w:space="0" w:color="auto"/>
      </w:divBdr>
    </w:div>
    <w:div w:id="1101415162">
      <w:bodyDiv w:val="1"/>
      <w:marLeft w:val="0"/>
      <w:marRight w:val="0"/>
      <w:marTop w:val="0"/>
      <w:marBottom w:val="0"/>
      <w:divBdr>
        <w:top w:val="none" w:sz="0" w:space="0" w:color="auto"/>
        <w:left w:val="none" w:sz="0" w:space="0" w:color="auto"/>
        <w:bottom w:val="none" w:sz="0" w:space="0" w:color="auto"/>
        <w:right w:val="none" w:sz="0" w:space="0" w:color="auto"/>
      </w:divBdr>
    </w:div>
    <w:div w:id="1106774066">
      <w:bodyDiv w:val="1"/>
      <w:marLeft w:val="0"/>
      <w:marRight w:val="0"/>
      <w:marTop w:val="0"/>
      <w:marBottom w:val="0"/>
      <w:divBdr>
        <w:top w:val="none" w:sz="0" w:space="0" w:color="auto"/>
        <w:left w:val="none" w:sz="0" w:space="0" w:color="auto"/>
        <w:bottom w:val="none" w:sz="0" w:space="0" w:color="auto"/>
        <w:right w:val="none" w:sz="0" w:space="0" w:color="auto"/>
      </w:divBdr>
    </w:div>
    <w:div w:id="1108701595">
      <w:bodyDiv w:val="1"/>
      <w:marLeft w:val="0"/>
      <w:marRight w:val="0"/>
      <w:marTop w:val="0"/>
      <w:marBottom w:val="0"/>
      <w:divBdr>
        <w:top w:val="none" w:sz="0" w:space="0" w:color="auto"/>
        <w:left w:val="none" w:sz="0" w:space="0" w:color="auto"/>
        <w:bottom w:val="none" w:sz="0" w:space="0" w:color="auto"/>
        <w:right w:val="none" w:sz="0" w:space="0" w:color="auto"/>
      </w:divBdr>
    </w:div>
    <w:div w:id="1111390486">
      <w:bodyDiv w:val="1"/>
      <w:marLeft w:val="0"/>
      <w:marRight w:val="0"/>
      <w:marTop w:val="0"/>
      <w:marBottom w:val="0"/>
      <w:divBdr>
        <w:top w:val="none" w:sz="0" w:space="0" w:color="auto"/>
        <w:left w:val="none" w:sz="0" w:space="0" w:color="auto"/>
        <w:bottom w:val="none" w:sz="0" w:space="0" w:color="auto"/>
        <w:right w:val="none" w:sz="0" w:space="0" w:color="auto"/>
      </w:divBdr>
    </w:div>
    <w:div w:id="1116289172">
      <w:bodyDiv w:val="1"/>
      <w:marLeft w:val="0"/>
      <w:marRight w:val="0"/>
      <w:marTop w:val="0"/>
      <w:marBottom w:val="0"/>
      <w:divBdr>
        <w:top w:val="none" w:sz="0" w:space="0" w:color="auto"/>
        <w:left w:val="none" w:sz="0" w:space="0" w:color="auto"/>
        <w:bottom w:val="none" w:sz="0" w:space="0" w:color="auto"/>
        <w:right w:val="none" w:sz="0" w:space="0" w:color="auto"/>
      </w:divBdr>
    </w:div>
    <w:div w:id="1126968778">
      <w:bodyDiv w:val="1"/>
      <w:marLeft w:val="0"/>
      <w:marRight w:val="0"/>
      <w:marTop w:val="0"/>
      <w:marBottom w:val="0"/>
      <w:divBdr>
        <w:top w:val="none" w:sz="0" w:space="0" w:color="auto"/>
        <w:left w:val="none" w:sz="0" w:space="0" w:color="auto"/>
        <w:bottom w:val="none" w:sz="0" w:space="0" w:color="auto"/>
        <w:right w:val="none" w:sz="0" w:space="0" w:color="auto"/>
      </w:divBdr>
    </w:div>
    <w:div w:id="1130050738">
      <w:bodyDiv w:val="1"/>
      <w:marLeft w:val="0"/>
      <w:marRight w:val="0"/>
      <w:marTop w:val="0"/>
      <w:marBottom w:val="0"/>
      <w:divBdr>
        <w:top w:val="none" w:sz="0" w:space="0" w:color="auto"/>
        <w:left w:val="none" w:sz="0" w:space="0" w:color="auto"/>
        <w:bottom w:val="none" w:sz="0" w:space="0" w:color="auto"/>
        <w:right w:val="none" w:sz="0" w:space="0" w:color="auto"/>
      </w:divBdr>
    </w:div>
    <w:div w:id="1145464604">
      <w:bodyDiv w:val="1"/>
      <w:marLeft w:val="0"/>
      <w:marRight w:val="0"/>
      <w:marTop w:val="0"/>
      <w:marBottom w:val="0"/>
      <w:divBdr>
        <w:top w:val="none" w:sz="0" w:space="0" w:color="auto"/>
        <w:left w:val="none" w:sz="0" w:space="0" w:color="auto"/>
        <w:bottom w:val="none" w:sz="0" w:space="0" w:color="auto"/>
        <w:right w:val="none" w:sz="0" w:space="0" w:color="auto"/>
      </w:divBdr>
    </w:div>
    <w:div w:id="1157840790">
      <w:bodyDiv w:val="1"/>
      <w:marLeft w:val="0"/>
      <w:marRight w:val="0"/>
      <w:marTop w:val="0"/>
      <w:marBottom w:val="0"/>
      <w:divBdr>
        <w:top w:val="none" w:sz="0" w:space="0" w:color="auto"/>
        <w:left w:val="none" w:sz="0" w:space="0" w:color="auto"/>
        <w:bottom w:val="none" w:sz="0" w:space="0" w:color="auto"/>
        <w:right w:val="none" w:sz="0" w:space="0" w:color="auto"/>
      </w:divBdr>
    </w:div>
    <w:div w:id="1179386527">
      <w:bodyDiv w:val="1"/>
      <w:marLeft w:val="0"/>
      <w:marRight w:val="0"/>
      <w:marTop w:val="0"/>
      <w:marBottom w:val="0"/>
      <w:divBdr>
        <w:top w:val="none" w:sz="0" w:space="0" w:color="auto"/>
        <w:left w:val="none" w:sz="0" w:space="0" w:color="auto"/>
        <w:bottom w:val="none" w:sz="0" w:space="0" w:color="auto"/>
        <w:right w:val="none" w:sz="0" w:space="0" w:color="auto"/>
      </w:divBdr>
    </w:div>
    <w:div w:id="1185512147">
      <w:bodyDiv w:val="1"/>
      <w:marLeft w:val="0"/>
      <w:marRight w:val="0"/>
      <w:marTop w:val="0"/>
      <w:marBottom w:val="0"/>
      <w:divBdr>
        <w:top w:val="none" w:sz="0" w:space="0" w:color="auto"/>
        <w:left w:val="none" w:sz="0" w:space="0" w:color="auto"/>
        <w:bottom w:val="none" w:sz="0" w:space="0" w:color="auto"/>
        <w:right w:val="none" w:sz="0" w:space="0" w:color="auto"/>
      </w:divBdr>
    </w:div>
    <w:div w:id="1213613066">
      <w:bodyDiv w:val="1"/>
      <w:marLeft w:val="0"/>
      <w:marRight w:val="0"/>
      <w:marTop w:val="0"/>
      <w:marBottom w:val="0"/>
      <w:divBdr>
        <w:top w:val="none" w:sz="0" w:space="0" w:color="auto"/>
        <w:left w:val="none" w:sz="0" w:space="0" w:color="auto"/>
        <w:bottom w:val="none" w:sz="0" w:space="0" w:color="auto"/>
        <w:right w:val="none" w:sz="0" w:space="0" w:color="auto"/>
      </w:divBdr>
    </w:div>
    <w:div w:id="1230850951">
      <w:bodyDiv w:val="1"/>
      <w:marLeft w:val="0"/>
      <w:marRight w:val="0"/>
      <w:marTop w:val="0"/>
      <w:marBottom w:val="0"/>
      <w:divBdr>
        <w:top w:val="none" w:sz="0" w:space="0" w:color="auto"/>
        <w:left w:val="none" w:sz="0" w:space="0" w:color="auto"/>
        <w:bottom w:val="none" w:sz="0" w:space="0" w:color="auto"/>
        <w:right w:val="none" w:sz="0" w:space="0" w:color="auto"/>
      </w:divBdr>
    </w:div>
    <w:div w:id="1237936604">
      <w:bodyDiv w:val="1"/>
      <w:marLeft w:val="0"/>
      <w:marRight w:val="0"/>
      <w:marTop w:val="0"/>
      <w:marBottom w:val="0"/>
      <w:divBdr>
        <w:top w:val="none" w:sz="0" w:space="0" w:color="auto"/>
        <w:left w:val="none" w:sz="0" w:space="0" w:color="auto"/>
        <w:bottom w:val="none" w:sz="0" w:space="0" w:color="auto"/>
        <w:right w:val="none" w:sz="0" w:space="0" w:color="auto"/>
      </w:divBdr>
    </w:div>
    <w:div w:id="1241526536">
      <w:bodyDiv w:val="1"/>
      <w:marLeft w:val="0"/>
      <w:marRight w:val="0"/>
      <w:marTop w:val="0"/>
      <w:marBottom w:val="0"/>
      <w:divBdr>
        <w:top w:val="none" w:sz="0" w:space="0" w:color="auto"/>
        <w:left w:val="none" w:sz="0" w:space="0" w:color="auto"/>
        <w:bottom w:val="none" w:sz="0" w:space="0" w:color="auto"/>
        <w:right w:val="none" w:sz="0" w:space="0" w:color="auto"/>
      </w:divBdr>
    </w:div>
    <w:div w:id="1246065446">
      <w:bodyDiv w:val="1"/>
      <w:marLeft w:val="0"/>
      <w:marRight w:val="0"/>
      <w:marTop w:val="0"/>
      <w:marBottom w:val="0"/>
      <w:divBdr>
        <w:top w:val="none" w:sz="0" w:space="0" w:color="auto"/>
        <w:left w:val="none" w:sz="0" w:space="0" w:color="auto"/>
        <w:bottom w:val="none" w:sz="0" w:space="0" w:color="auto"/>
        <w:right w:val="none" w:sz="0" w:space="0" w:color="auto"/>
      </w:divBdr>
    </w:div>
    <w:div w:id="1247569244">
      <w:bodyDiv w:val="1"/>
      <w:marLeft w:val="0"/>
      <w:marRight w:val="0"/>
      <w:marTop w:val="0"/>
      <w:marBottom w:val="0"/>
      <w:divBdr>
        <w:top w:val="none" w:sz="0" w:space="0" w:color="auto"/>
        <w:left w:val="none" w:sz="0" w:space="0" w:color="auto"/>
        <w:bottom w:val="none" w:sz="0" w:space="0" w:color="auto"/>
        <w:right w:val="none" w:sz="0" w:space="0" w:color="auto"/>
      </w:divBdr>
    </w:div>
    <w:div w:id="1250843624">
      <w:bodyDiv w:val="1"/>
      <w:marLeft w:val="0"/>
      <w:marRight w:val="0"/>
      <w:marTop w:val="0"/>
      <w:marBottom w:val="0"/>
      <w:divBdr>
        <w:top w:val="none" w:sz="0" w:space="0" w:color="auto"/>
        <w:left w:val="none" w:sz="0" w:space="0" w:color="auto"/>
        <w:bottom w:val="none" w:sz="0" w:space="0" w:color="auto"/>
        <w:right w:val="none" w:sz="0" w:space="0" w:color="auto"/>
      </w:divBdr>
      <w:divsChild>
        <w:div w:id="55596543">
          <w:marLeft w:val="547"/>
          <w:marRight w:val="0"/>
          <w:marTop w:val="60"/>
          <w:marBottom w:val="60"/>
          <w:divBdr>
            <w:top w:val="none" w:sz="0" w:space="0" w:color="auto"/>
            <w:left w:val="none" w:sz="0" w:space="0" w:color="auto"/>
            <w:bottom w:val="none" w:sz="0" w:space="0" w:color="auto"/>
            <w:right w:val="none" w:sz="0" w:space="0" w:color="auto"/>
          </w:divBdr>
        </w:div>
        <w:div w:id="1105343720">
          <w:marLeft w:val="547"/>
          <w:marRight w:val="0"/>
          <w:marTop w:val="60"/>
          <w:marBottom w:val="60"/>
          <w:divBdr>
            <w:top w:val="none" w:sz="0" w:space="0" w:color="auto"/>
            <w:left w:val="none" w:sz="0" w:space="0" w:color="auto"/>
            <w:bottom w:val="none" w:sz="0" w:space="0" w:color="auto"/>
            <w:right w:val="none" w:sz="0" w:space="0" w:color="auto"/>
          </w:divBdr>
        </w:div>
        <w:div w:id="1385252390">
          <w:marLeft w:val="547"/>
          <w:marRight w:val="0"/>
          <w:marTop w:val="60"/>
          <w:marBottom w:val="60"/>
          <w:divBdr>
            <w:top w:val="none" w:sz="0" w:space="0" w:color="auto"/>
            <w:left w:val="none" w:sz="0" w:space="0" w:color="auto"/>
            <w:bottom w:val="none" w:sz="0" w:space="0" w:color="auto"/>
            <w:right w:val="none" w:sz="0" w:space="0" w:color="auto"/>
          </w:divBdr>
        </w:div>
        <w:div w:id="1858496520">
          <w:marLeft w:val="547"/>
          <w:marRight w:val="0"/>
          <w:marTop w:val="60"/>
          <w:marBottom w:val="60"/>
          <w:divBdr>
            <w:top w:val="none" w:sz="0" w:space="0" w:color="auto"/>
            <w:left w:val="none" w:sz="0" w:space="0" w:color="auto"/>
            <w:bottom w:val="none" w:sz="0" w:space="0" w:color="auto"/>
            <w:right w:val="none" w:sz="0" w:space="0" w:color="auto"/>
          </w:divBdr>
        </w:div>
      </w:divsChild>
    </w:div>
    <w:div w:id="1268611627">
      <w:bodyDiv w:val="1"/>
      <w:marLeft w:val="0"/>
      <w:marRight w:val="0"/>
      <w:marTop w:val="0"/>
      <w:marBottom w:val="0"/>
      <w:divBdr>
        <w:top w:val="none" w:sz="0" w:space="0" w:color="auto"/>
        <w:left w:val="none" w:sz="0" w:space="0" w:color="auto"/>
        <w:bottom w:val="none" w:sz="0" w:space="0" w:color="auto"/>
        <w:right w:val="none" w:sz="0" w:space="0" w:color="auto"/>
      </w:divBdr>
    </w:div>
    <w:div w:id="1277638275">
      <w:bodyDiv w:val="1"/>
      <w:marLeft w:val="0"/>
      <w:marRight w:val="0"/>
      <w:marTop w:val="0"/>
      <w:marBottom w:val="0"/>
      <w:divBdr>
        <w:top w:val="none" w:sz="0" w:space="0" w:color="auto"/>
        <w:left w:val="none" w:sz="0" w:space="0" w:color="auto"/>
        <w:bottom w:val="none" w:sz="0" w:space="0" w:color="auto"/>
        <w:right w:val="none" w:sz="0" w:space="0" w:color="auto"/>
      </w:divBdr>
    </w:div>
    <w:div w:id="1286694345">
      <w:bodyDiv w:val="1"/>
      <w:marLeft w:val="0"/>
      <w:marRight w:val="0"/>
      <w:marTop w:val="0"/>
      <w:marBottom w:val="0"/>
      <w:divBdr>
        <w:top w:val="none" w:sz="0" w:space="0" w:color="auto"/>
        <w:left w:val="none" w:sz="0" w:space="0" w:color="auto"/>
        <w:bottom w:val="none" w:sz="0" w:space="0" w:color="auto"/>
        <w:right w:val="none" w:sz="0" w:space="0" w:color="auto"/>
      </w:divBdr>
    </w:div>
    <w:div w:id="1310093790">
      <w:bodyDiv w:val="1"/>
      <w:marLeft w:val="0"/>
      <w:marRight w:val="0"/>
      <w:marTop w:val="0"/>
      <w:marBottom w:val="0"/>
      <w:divBdr>
        <w:top w:val="none" w:sz="0" w:space="0" w:color="auto"/>
        <w:left w:val="none" w:sz="0" w:space="0" w:color="auto"/>
        <w:bottom w:val="none" w:sz="0" w:space="0" w:color="auto"/>
        <w:right w:val="none" w:sz="0" w:space="0" w:color="auto"/>
      </w:divBdr>
    </w:div>
    <w:div w:id="1314069002">
      <w:bodyDiv w:val="1"/>
      <w:marLeft w:val="0"/>
      <w:marRight w:val="0"/>
      <w:marTop w:val="0"/>
      <w:marBottom w:val="0"/>
      <w:divBdr>
        <w:top w:val="none" w:sz="0" w:space="0" w:color="auto"/>
        <w:left w:val="none" w:sz="0" w:space="0" w:color="auto"/>
        <w:bottom w:val="none" w:sz="0" w:space="0" w:color="auto"/>
        <w:right w:val="none" w:sz="0" w:space="0" w:color="auto"/>
      </w:divBdr>
    </w:div>
    <w:div w:id="1325551078">
      <w:bodyDiv w:val="1"/>
      <w:marLeft w:val="0"/>
      <w:marRight w:val="0"/>
      <w:marTop w:val="0"/>
      <w:marBottom w:val="0"/>
      <w:divBdr>
        <w:top w:val="none" w:sz="0" w:space="0" w:color="auto"/>
        <w:left w:val="none" w:sz="0" w:space="0" w:color="auto"/>
        <w:bottom w:val="none" w:sz="0" w:space="0" w:color="auto"/>
        <w:right w:val="none" w:sz="0" w:space="0" w:color="auto"/>
      </w:divBdr>
    </w:div>
    <w:div w:id="1329603368">
      <w:bodyDiv w:val="1"/>
      <w:marLeft w:val="0"/>
      <w:marRight w:val="0"/>
      <w:marTop w:val="0"/>
      <w:marBottom w:val="0"/>
      <w:divBdr>
        <w:top w:val="none" w:sz="0" w:space="0" w:color="auto"/>
        <w:left w:val="none" w:sz="0" w:space="0" w:color="auto"/>
        <w:bottom w:val="none" w:sz="0" w:space="0" w:color="auto"/>
        <w:right w:val="none" w:sz="0" w:space="0" w:color="auto"/>
      </w:divBdr>
    </w:div>
    <w:div w:id="1330907360">
      <w:bodyDiv w:val="1"/>
      <w:marLeft w:val="0"/>
      <w:marRight w:val="0"/>
      <w:marTop w:val="0"/>
      <w:marBottom w:val="0"/>
      <w:divBdr>
        <w:top w:val="none" w:sz="0" w:space="0" w:color="auto"/>
        <w:left w:val="none" w:sz="0" w:space="0" w:color="auto"/>
        <w:bottom w:val="none" w:sz="0" w:space="0" w:color="auto"/>
        <w:right w:val="none" w:sz="0" w:space="0" w:color="auto"/>
      </w:divBdr>
    </w:div>
    <w:div w:id="1345207740">
      <w:bodyDiv w:val="1"/>
      <w:marLeft w:val="0"/>
      <w:marRight w:val="0"/>
      <w:marTop w:val="0"/>
      <w:marBottom w:val="0"/>
      <w:divBdr>
        <w:top w:val="none" w:sz="0" w:space="0" w:color="auto"/>
        <w:left w:val="none" w:sz="0" w:space="0" w:color="auto"/>
        <w:bottom w:val="none" w:sz="0" w:space="0" w:color="auto"/>
        <w:right w:val="none" w:sz="0" w:space="0" w:color="auto"/>
      </w:divBdr>
    </w:div>
    <w:div w:id="1381049995">
      <w:bodyDiv w:val="1"/>
      <w:marLeft w:val="0"/>
      <w:marRight w:val="0"/>
      <w:marTop w:val="0"/>
      <w:marBottom w:val="0"/>
      <w:divBdr>
        <w:top w:val="none" w:sz="0" w:space="0" w:color="auto"/>
        <w:left w:val="none" w:sz="0" w:space="0" w:color="auto"/>
        <w:bottom w:val="none" w:sz="0" w:space="0" w:color="auto"/>
        <w:right w:val="none" w:sz="0" w:space="0" w:color="auto"/>
      </w:divBdr>
    </w:div>
    <w:div w:id="1386903476">
      <w:bodyDiv w:val="1"/>
      <w:marLeft w:val="0"/>
      <w:marRight w:val="0"/>
      <w:marTop w:val="0"/>
      <w:marBottom w:val="0"/>
      <w:divBdr>
        <w:top w:val="none" w:sz="0" w:space="0" w:color="auto"/>
        <w:left w:val="none" w:sz="0" w:space="0" w:color="auto"/>
        <w:bottom w:val="none" w:sz="0" w:space="0" w:color="auto"/>
        <w:right w:val="none" w:sz="0" w:space="0" w:color="auto"/>
      </w:divBdr>
    </w:div>
    <w:div w:id="1389187897">
      <w:bodyDiv w:val="1"/>
      <w:marLeft w:val="0"/>
      <w:marRight w:val="0"/>
      <w:marTop w:val="0"/>
      <w:marBottom w:val="0"/>
      <w:divBdr>
        <w:top w:val="none" w:sz="0" w:space="0" w:color="auto"/>
        <w:left w:val="none" w:sz="0" w:space="0" w:color="auto"/>
        <w:bottom w:val="none" w:sz="0" w:space="0" w:color="auto"/>
        <w:right w:val="none" w:sz="0" w:space="0" w:color="auto"/>
      </w:divBdr>
    </w:div>
    <w:div w:id="1399137164">
      <w:bodyDiv w:val="1"/>
      <w:marLeft w:val="0"/>
      <w:marRight w:val="0"/>
      <w:marTop w:val="0"/>
      <w:marBottom w:val="0"/>
      <w:divBdr>
        <w:top w:val="none" w:sz="0" w:space="0" w:color="auto"/>
        <w:left w:val="none" w:sz="0" w:space="0" w:color="auto"/>
        <w:bottom w:val="none" w:sz="0" w:space="0" w:color="auto"/>
        <w:right w:val="none" w:sz="0" w:space="0" w:color="auto"/>
      </w:divBdr>
    </w:div>
    <w:div w:id="1403915305">
      <w:bodyDiv w:val="1"/>
      <w:marLeft w:val="0"/>
      <w:marRight w:val="0"/>
      <w:marTop w:val="0"/>
      <w:marBottom w:val="0"/>
      <w:divBdr>
        <w:top w:val="none" w:sz="0" w:space="0" w:color="auto"/>
        <w:left w:val="none" w:sz="0" w:space="0" w:color="auto"/>
        <w:bottom w:val="none" w:sz="0" w:space="0" w:color="auto"/>
        <w:right w:val="none" w:sz="0" w:space="0" w:color="auto"/>
      </w:divBdr>
    </w:div>
    <w:div w:id="1413890143">
      <w:bodyDiv w:val="1"/>
      <w:marLeft w:val="0"/>
      <w:marRight w:val="0"/>
      <w:marTop w:val="0"/>
      <w:marBottom w:val="0"/>
      <w:divBdr>
        <w:top w:val="none" w:sz="0" w:space="0" w:color="auto"/>
        <w:left w:val="none" w:sz="0" w:space="0" w:color="auto"/>
        <w:bottom w:val="none" w:sz="0" w:space="0" w:color="auto"/>
        <w:right w:val="none" w:sz="0" w:space="0" w:color="auto"/>
      </w:divBdr>
    </w:div>
    <w:div w:id="1428112211">
      <w:bodyDiv w:val="1"/>
      <w:marLeft w:val="0"/>
      <w:marRight w:val="0"/>
      <w:marTop w:val="0"/>
      <w:marBottom w:val="0"/>
      <w:divBdr>
        <w:top w:val="none" w:sz="0" w:space="0" w:color="auto"/>
        <w:left w:val="none" w:sz="0" w:space="0" w:color="auto"/>
        <w:bottom w:val="none" w:sz="0" w:space="0" w:color="auto"/>
        <w:right w:val="none" w:sz="0" w:space="0" w:color="auto"/>
      </w:divBdr>
    </w:div>
    <w:div w:id="1449161158">
      <w:bodyDiv w:val="1"/>
      <w:marLeft w:val="0"/>
      <w:marRight w:val="0"/>
      <w:marTop w:val="0"/>
      <w:marBottom w:val="0"/>
      <w:divBdr>
        <w:top w:val="none" w:sz="0" w:space="0" w:color="auto"/>
        <w:left w:val="none" w:sz="0" w:space="0" w:color="auto"/>
        <w:bottom w:val="none" w:sz="0" w:space="0" w:color="auto"/>
        <w:right w:val="none" w:sz="0" w:space="0" w:color="auto"/>
      </w:divBdr>
    </w:div>
    <w:div w:id="1461655653">
      <w:bodyDiv w:val="1"/>
      <w:marLeft w:val="0"/>
      <w:marRight w:val="0"/>
      <w:marTop w:val="0"/>
      <w:marBottom w:val="0"/>
      <w:divBdr>
        <w:top w:val="none" w:sz="0" w:space="0" w:color="auto"/>
        <w:left w:val="none" w:sz="0" w:space="0" w:color="auto"/>
        <w:bottom w:val="none" w:sz="0" w:space="0" w:color="auto"/>
        <w:right w:val="none" w:sz="0" w:space="0" w:color="auto"/>
      </w:divBdr>
    </w:div>
    <w:div w:id="1473137809">
      <w:bodyDiv w:val="1"/>
      <w:marLeft w:val="0"/>
      <w:marRight w:val="0"/>
      <w:marTop w:val="0"/>
      <w:marBottom w:val="0"/>
      <w:divBdr>
        <w:top w:val="none" w:sz="0" w:space="0" w:color="auto"/>
        <w:left w:val="none" w:sz="0" w:space="0" w:color="auto"/>
        <w:bottom w:val="none" w:sz="0" w:space="0" w:color="auto"/>
        <w:right w:val="none" w:sz="0" w:space="0" w:color="auto"/>
      </w:divBdr>
    </w:div>
    <w:div w:id="1498110980">
      <w:bodyDiv w:val="1"/>
      <w:marLeft w:val="0"/>
      <w:marRight w:val="0"/>
      <w:marTop w:val="0"/>
      <w:marBottom w:val="0"/>
      <w:divBdr>
        <w:top w:val="none" w:sz="0" w:space="0" w:color="auto"/>
        <w:left w:val="none" w:sz="0" w:space="0" w:color="auto"/>
        <w:bottom w:val="none" w:sz="0" w:space="0" w:color="auto"/>
        <w:right w:val="none" w:sz="0" w:space="0" w:color="auto"/>
      </w:divBdr>
    </w:div>
    <w:div w:id="1507132260">
      <w:bodyDiv w:val="1"/>
      <w:marLeft w:val="0"/>
      <w:marRight w:val="0"/>
      <w:marTop w:val="0"/>
      <w:marBottom w:val="0"/>
      <w:divBdr>
        <w:top w:val="none" w:sz="0" w:space="0" w:color="auto"/>
        <w:left w:val="none" w:sz="0" w:space="0" w:color="auto"/>
        <w:bottom w:val="none" w:sz="0" w:space="0" w:color="auto"/>
        <w:right w:val="none" w:sz="0" w:space="0" w:color="auto"/>
      </w:divBdr>
    </w:div>
    <w:div w:id="1518691334">
      <w:bodyDiv w:val="1"/>
      <w:marLeft w:val="0"/>
      <w:marRight w:val="0"/>
      <w:marTop w:val="0"/>
      <w:marBottom w:val="0"/>
      <w:divBdr>
        <w:top w:val="none" w:sz="0" w:space="0" w:color="auto"/>
        <w:left w:val="none" w:sz="0" w:space="0" w:color="auto"/>
        <w:bottom w:val="none" w:sz="0" w:space="0" w:color="auto"/>
        <w:right w:val="none" w:sz="0" w:space="0" w:color="auto"/>
      </w:divBdr>
    </w:div>
    <w:div w:id="1519807518">
      <w:bodyDiv w:val="1"/>
      <w:marLeft w:val="0"/>
      <w:marRight w:val="0"/>
      <w:marTop w:val="0"/>
      <w:marBottom w:val="0"/>
      <w:divBdr>
        <w:top w:val="none" w:sz="0" w:space="0" w:color="auto"/>
        <w:left w:val="none" w:sz="0" w:space="0" w:color="auto"/>
        <w:bottom w:val="none" w:sz="0" w:space="0" w:color="auto"/>
        <w:right w:val="none" w:sz="0" w:space="0" w:color="auto"/>
      </w:divBdr>
    </w:div>
    <w:div w:id="1530609521">
      <w:bodyDiv w:val="1"/>
      <w:marLeft w:val="0"/>
      <w:marRight w:val="0"/>
      <w:marTop w:val="0"/>
      <w:marBottom w:val="0"/>
      <w:divBdr>
        <w:top w:val="none" w:sz="0" w:space="0" w:color="auto"/>
        <w:left w:val="none" w:sz="0" w:space="0" w:color="auto"/>
        <w:bottom w:val="none" w:sz="0" w:space="0" w:color="auto"/>
        <w:right w:val="none" w:sz="0" w:space="0" w:color="auto"/>
      </w:divBdr>
    </w:div>
    <w:div w:id="1536386517">
      <w:bodyDiv w:val="1"/>
      <w:marLeft w:val="0"/>
      <w:marRight w:val="0"/>
      <w:marTop w:val="0"/>
      <w:marBottom w:val="0"/>
      <w:divBdr>
        <w:top w:val="none" w:sz="0" w:space="0" w:color="auto"/>
        <w:left w:val="none" w:sz="0" w:space="0" w:color="auto"/>
        <w:bottom w:val="none" w:sz="0" w:space="0" w:color="auto"/>
        <w:right w:val="none" w:sz="0" w:space="0" w:color="auto"/>
      </w:divBdr>
    </w:div>
    <w:div w:id="1537963236">
      <w:bodyDiv w:val="1"/>
      <w:marLeft w:val="0"/>
      <w:marRight w:val="0"/>
      <w:marTop w:val="0"/>
      <w:marBottom w:val="0"/>
      <w:divBdr>
        <w:top w:val="none" w:sz="0" w:space="0" w:color="auto"/>
        <w:left w:val="none" w:sz="0" w:space="0" w:color="auto"/>
        <w:bottom w:val="none" w:sz="0" w:space="0" w:color="auto"/>
        <w:right w:val="none" w:sz="0" w:space="0" w:color="auto"/>
      </w:divBdr>
    </w:div>
    <w:div w:id="1538657991">
      <w:bodyDiv w:val="1"/>
      <w:marLeft w:val="0"/>
      <w:marRight w:val="0"/>
      <w:marTop w:val="0"/>
      <w:marBottom w:val="0"/>
      <w:divBdr>
        <w:top w:val="none" w:sz="0" w:space="0" w:color="auto"/>
        <w:left w:val="none" w:sz="0" w:space="0" w:color="auto"/>
        <w:bottom w:val="none" w:sz="0" w:space="0" w:color="auto"/>
        <w:right w:val="none" w:sz="0" w:space="0" w:color="auto"/>
      </w:divBdr>
    </w:div>
    <w:div w:id="1542127881">
      <w:bodyDiv w:val="1"/>
      <w:marLeft w:val="0"/>
      <w:marRight w:val="0"/>
      <w:marTop w:val="0"/>
      <w:marBottom w:val="0"/>
      <w:divBdr>
        <w:top w:val="none" w:sz="0" w:space="0" w:color="auto"/>
        <w:left w:val="none" w:sz="0" w:space="0" w:color="auto"/>
        <w:bottom w:val="none" w:sz="0" w:space="0" w:color="auto"/>
        <w:right w:val="none" w:sz="0" w:space="0" w:color="auto"/>
      </w:divBdr>
    </w:div>
    <w:div w:id="1559513212">
      <w:bodyDiv w:val="1"/>
      <w:marLeft w:val="0"/>
      <w:marRight w:val="0"/>
      <w:marTop w:val="0"/>
      <w:marBottom w:val="0"/>
      <w:divBdr>
        <w:top w:val="none" w:sz="0" w:space="0" w:color="auto"/>
        <w:left w:val="none" w:sz="0" w:space="0" w:color="auto"/>
        <w:bottom w:val="none" w:sz="0" w:space="0" w:color="auto"/>
        <w:right w:val="none" w:sz="0" w:space="0" w:color="auto"/>
      </w:divBdr>
    </w:div>
    <w:div w:id="1578049130">
      <w:bodyDiv w:val="1"/>
      <w:marLeft w:val="0"/>
      <w:marRight w:val="0"/>
      <w:marTop w:val="0"/>
      <w:marBottom w:val="0"/>
      <w:divBdr>
        <w:top w:val="none" w:sz="0" w:space="0" w:color="auto"/>
        <w:left w:val="none" w:sz="0" w:space="0" w:color="auto"/>
        <w:bottom w:val="none" w:sz="0" w:space="0" w:color="auto"/>
        <w:right w:val="none" w:sz="0" w:space="0" w:color="auto"/>
      </w:divBdr>
    </w:div>
    <w:div w:id="1584487202">
      <w:bodyDiv w:val="1"/>
      <w:marLeft w:val="0"/>
      <w:marRight w:val="0"/>
      <w:marTop w:val="0"/>
      <w:marBottom w:val="0"/>
      <w:divBdr>
        <w:top w:val="none" w:sz="0" w:space="0" w:color="auto"/>
        <w:left w:val="none" w:sz="0" w:space="0" w:color="auto"/>
        <w:bottom w:val="none" w:sz="0" w:space="0" w:color="auto"/>
        <w:right w:val="none" w:sz="0" w:space="0" w:color="auto"/>
      </w:divBdr>
    </w:div>
    <w:div w:id="1597636679">
      <w:bodyDiv w:val="1"/>
      <w:marLeft w:val="0"/>
      <w:marRight w:val="0"/>
      <w:marTop w:val="0"/>
      <w:marBottom w:val="0"/>
      <w:divBdr>
        <w:top w:val="none" w:sz="0" w:space="0" w:color="auto"/>
        <w:left w:val="none" w:sz="0" w:space="0" w:color="auto"/>
        <w:bottom w:val="none" w:sz="0" w:space="0" w:color="auto"/>
        <w:right w:val="none" w:sz="0" w:space="0" w:color="auto"/>
      </w:divBdr>
    </w:div>
    <w:div w:id="1603108073">
      <w:bodyDiv w:val="1"/>
      <w:marLeft w:val="0"/>
      <w:marRight w:val="0"/>
      <w:marTop w:val="0"/>
      <w:marBottom w:val="0"/>
      <w:divBdr>
        <w:top w:val="none" w:sz="0" w:space="0" w:color="auto"/>
        <w:left w:val="none" w:sz="0" w:space="0" w:color="auto"/>
        <w:bottom w:val="none" w:sz="0" w:space="0" w:color="auto"/>
        <w:right w:val="none" w:sz="0" w:space="0" w:color="auto"/>
      </w:divBdr>
    </w:div>
    <w:div w:id="1658727512">
      <w:bodyDiv w:val="1"/>
      <w:marLeft w:val="0"/>
      <w:marRight w:val="0"/>
      <w:marTop w:val="0"/>
      <w:marBottom w:val="0"/>
      <w:divBdr>
        <w:top w:val="none" w:sz="0" w:space="0" w:color="auto"/>
        <w:left w:val="none" w:sz="0" w:space="0" w:color="auto"/>
        <w:bottom w:val="none" w:sz="0" w:space="0" w:color="auto"/>
        <w:right w:val="none" w:sz="0" w:space="0" w:color="auto"/>
      </w:divBdr>
    </w:div>
    <w:div w:id="1669095836">
      <w:bodyDiv w:val="1"/>
      <w:marLeft w:val="0"/>
      <w:marRight w:val="0"/>
      <w:marTop w:val="0"/>
      <w:marBottom w:val="0"/>
      <w:divBdr>
        <w:top w:val="none" w:sz="0" w:space="0" w:color="auto"/>
        <w:left w:val="none" w:sz="0" w:space="0" w:color="auto"/>
        <w:bottom w:val="none" w:sz="0" w:space="0" w:color="auto"/>
        <w:right w:val="none" w:sz="0" w:space="0" w:color="auto"/>
      </w:divBdr>
    </w:div>
    <w:div w:id="1675762637">
      <w:bodyDiv w:val="1"/>
      <w:marLeft w:val="0"/>
      <w:marRight w:val="0"/>
      <w:marTop w:val="0"/>
      <w:marBottom w:val="0"/>
      <w:divBdr>
        <w:top w:val="none" w:sz="0" w:space="0" w:color="auto"/>
        <w:left w:val="none" w:sz="0" w:space="0" w:color="auto"/>
        <w:bottom w:val="none" w:sz="0" w:space="0" w:color="auto"/>
        <w:right w:val="none" w:sz="0" w:space="0" w:color="auto"/>
      </w:divBdr>
    </w:div>
    <w:div w:id="1683897024">
      <w:bodyDiv w:val="1"/>
      <w:marLeft w:val="0"/>
      <w:marRight w:val="0"/>
      <w:marTop w:val="0"/>
      <w:marBottom w:val="0"/>
      <w:divBdr>
        <w:top w:val="none" w:sz="0" w:space="0" w:color="auto"/>
        <w:left w:val="none" w:sz="0" w:space="0" w:color="auto"/>
        <w:bottom w:val="none" w:sz="0" w:space="0" w:color="auto"/>
        <w:right w:val="none" w:sz="0" w:space="0" w:color="auto"/>
      </w:divBdr>
    </w:div>
    <w:div w:id="1694069540">
      <w:bodyDiv w:val="1"/>
      <w:marLeft w:val="0"/>
      <w:marRight w:val="0"/>
      <w:marTop w:val="0"/>
      <w:marBottom w:val="0"/>
      <w:divBdr>
        <w:top w:val="none" w:sz="0" w:space="0" w:color="auto"/>
        <w:left w:val="none" w:sz="0" w:space="0" w:color="auto"/>
        <w:bottom w:val="none" w:sz="0" w:space="0" w:color="auto"/>
        <w:right w:val="none" w:sz="0" w:space="0" w:color="auto"/>
      </w:divBdr>
    </w:div>
    <w:div w:id="1708485780">
      <w:bodyDiv w:val="1"/>
      <w:marLeft w:val="0"/>
      <w:marRight w:val="0"/>
      <w:marTop w:val="0"/>
      <w:marBottom w:val="0"/>
      <w:divBdr>
        <w:top w:val="none" w:sz="0" w:space="0" w:color="auto"/>
        <w:left w:val="none" w:sz="0" w:space="0" w:color="auto"/>
        <w:bottom w:val="none" w:sz="0" w:space="0" w:color="auto"/>
        <w:right w:val="none" w:sz="0" w:space="0" w:color="auto"/>
      </w:divBdr>
    </w:div>
    <w:div w:id="1755589735">
      <w:bodyDiv w:val="1"/>
      <w:marLeft w:val="0"/>
      <w:marRight w:val="0"/>
      <w:marTop w:val="0"/>
      <w:marBottom w:val="0"/>
      <w:divBdr>
        <w:top w:val="none" w:sz="0" w:space="0" w:color="auto"/>
        <w:left w:val="none" w:sz="0" w:space="0" w:color="auto"/>
        <w:bottom w:val="none" w:sz="0" w:space="0" w:color="auto"/>
        <w:right w:val="none" w:sz="0" w:space="0" w:color="auto"/>
      </w:divBdr>
    </w:div>
    <w:div w:id="1764491888">
      <w:bodyDiv w:val="1"/>
      <w:marLeft w:val="0"/>
      <w:marRight w:val="0"/>
      <w:marTop w:val="0"/>
      <w:marBottom w:val="0"/>
      <w:divBdr>
        <w:top w:val="none" w:sz="0" w:space="0" w:color="auto"/>
        <w:left w:val="none" w:sz="0" w:space="0" w:color="auto"/>
        <w:bottom w:val="none" w:sz="0" w:space="0" w:color="auto"/>
        <w:right w:val="none" w:sz="0" w:space="0" w:color="auto"/>
      </w:divBdr>
    </w:div>
    <w:div w:id="1771662564">
      <w:bodyDiv w:val="1"/>
      <w:marLeft w:val="0"/>
      <w:marRight w:val="0"/>
      <w:marTop w:val="0"/>
      <w:marBottom w:val="0"/>
      <w:divBdr>
        <w:top w:val="none" w:sz="0" w:space="0" w:color="auto"/>
        <w:left w:val="none" w:sz="0" w:space="0" w:color="auto"/>
        <w:bottom w:val="none" w:sz="0" w:space="0" w:color="auto"/>
        <w:right w:val="none" w:sz="0" w:space="0" w:color="auto"/>
      </w:divBdr>
    </w:div>
    <w:div w:id="1775175346">
      <w:bodyDiv w:val="1"/>
      <w:marLeft w:val="0"/>
      <w:marRight w:val="0"/>
      <w:marTop w:val="0"/>
      <w:marBottom w:val="0"/>
      <w:divBdr>
        <w:top w:val="none" w:sz="0" w:space="0" w:color="auto"/>
        <w:left w:val="none" w:sz="0" w:space="0" w:color="auto"/>
        <w:bottom w:val="none" w:sz="0" w:space="0" w:color="auto"/>
        <w:right w:val="none" w:sz="0" w:space="0" w:color="auto"/>
      </w:divBdr>
    </w:div>
    <w:div w:id="1786458458">
      <w:bodyDiv w:val="1"/>
      <w:marLeft w:val="0"/>
      <w:marRight w:val="0"/>
      <w:marTop w:val="0"/>
      <w:marBottom w:val="0"/>
      <w:divBdr>
        <w:top w:val="none" w:sz="0" w:space="0" w:color="auto"/>
        <w:left w:val="none" w:sz="0" w:space="0" w:color="auto"/>
        <w:bottom w:val="none" w:sz="0" w:space="0" w:color="auto"/>
        <w:right w:val="none" w:sz="0" w:space="0" w:color="auto"/>
      </w:divBdr>
    </w:div>
    <w:div w:id="1814104124">
      <w:bodyDiv w:val="1"/>
      <w:marLeft w:val="0"/>
      <w:marRight w:val="0"/>
      <w:marTop w:val="0"/>
      <w:marBottom w:val="0"/>
      <w:divBdr>
        <w:top w:val="none" w:sz="0" w:space="0" w:color="auto"/>
        <w:left w:val="none" w:sz="0" w:space="0" w:color="auto"/>
        <w:bottom w:val="none" w:sz="0" w:space="0" w:color="auto"/>
        <w:right w:val="none" w:sz="0" w:space="0" w:color="auto"/>
      </w:divBdr>
    </w:div>
    <w:div w:id="1814909295">
      <w:bodyDiv w:val="1"/>
      <w:marLeft w:val="0"/>
      <w:marRight w:val="0"/>
      <w:marTop w:val="0"/>
      <w:marBottom w:val="0"/>
      <w:divBdr>
        <w:top w:val="none" w:sz="0" w:space="0" w:color="auto"/>
        <w:left w:val="none" w:sz="0" w:space="0" w:color="auto"/>
        <w:bottom w:val="none" w:sz="0" w:space="0" w:color="auto"/>
        <w:right w:val="none" w:sz="0" w:space="0" w:color="auto"/>
      </w:divBdr>
    </w:div>
    <w:div w:id="1852404333">
      <w:bodyDiv w:val="1"/>
      <w:marLeft w:val="0"/>
      <w:marRight w:val="0"/>
      <w:marTop w:val="0"/>
      <w:marBottom w:val="0"/>
      <w:divBdr>
        <w:top w:val="none" w:sz="0" w:space="0" w:color="auto"/>
        <w:left w:val="none" w:sz="0" w:space="0" w:color="auto"/>
        <w:bottom w:val="none" w:sz="0" w:space="0" w:color="auto"/>
        <w:right w:val="none" w:sz="0" w:space="0" w:color="auto"/>
      </w:divBdr>
    </w:div>
    <w:div w:id="1854221202">
      <w:bodyDiv w:val="1"/>
      <w:marLeft w:val="0"/>
      <w:marRight w:val="0"/>
      <w:marTop w:val="0"/>
      <w:marBottom w:val="0"/>
      <w:divBdr>
        <w:top w:val="none" w:sz="0" w:space="0" w:color="auto"/>
        <w:left w:val="none" w:sz="0" w:space="0" w:color="auto"/>
        <w:bottom w:val="none" w:sz="0" w:space="0" w:color="auto"/>
        <w:right w:val="none" w:sz="0" w:space="0" w:color="auto"/>
      </w:divBdr>
    </w:div>
    <w:div w:id="1855992211">
      <w:bodyDiv w:val="1"/>
      <w:marLeft w:val="0"/>
      <w:marRight w:val="0"/>
      <w:marTop w:val="0"/>
      <w:marBottom w:val="0"/>
      <w:divBdr>
        <w:top w:val="none" w:sz="0" w:space="0" w:color="auto"/>
        <w:left w:val="none" w:sz="0" w:space="0" w:color="auto"/>
        <w:bottom w:val="none" w:sz="0" w:space="0" w:color="auto"/>
        <w:right w:val="none" w:sz="0" w:space="0" w:color="auto"/>
      </w:divBdr>
    </w:div>
    <w:div w:id="1862862162">
      <w:bodyDiv w:val="1"/>
      <w:marLeft w:val="0"/>
      <w:marRight w:val="0"/>
      <w:marTop w:val="0"/>
      <w:marBottom w:val="0"/>
      <w:divBdr>
        <w:top w:val="none" w:sz="0" w:space="0" w:color="auto"/>
        <w:left w:val="none" w:sz="0" w:space="0" w:color="auto"/>
        <w:bottom w:val="none" w:sz="0" w:space="0" w:color="auto"/>
        <w:right w:val="none" w:sz="0" w:space="0" w:color="auto"/>
      </w:divBdr>
    </w:div>
    <w:div w:id="1881091745">
      <w:bodyDiv w:val="1"/>
      <w:marLeft w:val="0"/>
      <w:marRight w:val="0"/>
      <w:marTop w:val="0"/>
      <w:marBottom w:val="0"/>
      <w:divBdr>
        <w:top w:val="none" w:sz="0" w:space="0" w:color="auto"/>
        <w:left w:val="none" w:sz="0" w:space="0" w:color="auto"/>
        <w:bottom w:val="none" w:sz="0" w:space="0" w:color="auto"/>
        <w:right w:val="none" w:sz="0" w:space="0" w:color="auto"/>
      </w:divBdr>
    </w:div>
    <w:div w:id="1887326866">
      <w:bodyDiv w:val="1"/>
      <w:marLeft w:val="0"/>
      <w:marRight w:val="0"/>
      <w:marTop w:val="0"/>
      <w:marBottom w:val="0"/>
      <w:divBdr>
        <w:top w:val="none" w:sz="0" w:space="0" w:color="auto"/>
        <w:left w:val="none" w:sz="0" w:space="0" w:color="auto"/>
        <w:bottom w:val="none" w:sz="0" w:space="0" w:color="auto"/>
        <w:right w:val="none" w:sz="0" w:space="0" w:color="auto"/>
      </w:divBdr>
    </w:div>
    <w:div w:id="1889606340">
      <w:bodyDiv w:val="1"/>
      <w:marLeft w:val="0"/>
      <w:marRight w:val="0"/>
      <w:marTop w:val="0"/>
      <w:marBottom w:val="0"/>
      <w:divBdr>
        <w:top w:val="none" w:sz="0" w:space="0" w:color="auto"/>
        <w:left w:val="none" w:sz="0" w:space="0" w:color="auto"/>
        <w:bottom w:val="none" w:sz="0" w:space="0" w:color="auto"/>
        <w:right w:val="none" w:sz="0" w:space="0" w:color="auto"/>
      </w:divBdr>
    </w:div>
    <w:div w:id="1892687166">
      <w:bodyDiv w:val="1"/>
      <w:marLeft w:val="0"/>
      <w:marRight w:val="0"/>
      <w:marTop w:val="0"/>
      <w:marBottom w:val="0"/>
      <w:divBdr>
        <w:top w:val="none" w:sz="0" w:space="0" w:color="auto"/>
        <w:left w:val="none" w:sz="0" w:space="0" w:color="auto"/>
        <w:bottom w:val="none" w:sz="0" w:space="0" w:color="auto"/>
        <w:right w:val="none" w:sz="0" w:space="0" w:color="auto"/>
      </w:divBdr>
    </w:div>
    <w:div w:id="1898591899">
      <w:bodyDiv w:val="1"/>
      <w:marLeft w:val="0"/>
      <w:marRight w:val="0"/>
      <w:marTop w:val="0"/>
      <w:marBottom w:val="0"/>
      <w:divBdr>
        <w:top w:val="none" w:sz="0" w:space="0" w:color="auto"/>
        <w:left w:val="none" w:sz="0" w:space="0" w:color="auto"/>
        <w:bottom w:val="none" w:sz="0" w:space="0" w:color="auto"/>
        <w:right w:val="none" w:sz="0" w:space="0" w:color="auto"/>
      </w:divBdr>
    </w:div>
    <w:div w:id="1904901078">
      <w:bodyDiv w:val="1"/>
      <w:marLeft w:val="0"/>
      <w:marRight w:val="0"/>
      <w:marTop w:val="0"/>
      <w:marBottom w:val="0"/>
      <w:divBdr>
        <w:top w:val="none" w:sz="0" w:space="0" w:color="auto"/>
        <w:left w:val="none" w:sz="0" w:space="0" w:color="auto"/>
        <w:bottom w:val="none" w:sz="0" w:space="0" w:color="auto"/>
        <w:right w:val="none" w:sz="0" w:space="0" w:color="auto"/>
      </w:divBdr>
      <w:divsChild>
        <w:div w:id="88084956">
          <w:marLeft w:val="0"/>
          <w:marRight w:val="0"/>
          <w:marTop w:val="0"/>
          <w:marBottom w:val="0"/>
          <w:divBdr>
            <w:top w:val="none" w:sz="0" w:space="0" w:color="auto"/>
            <w:left w:val="none" w:sz="0" w:space="0" w:color="auto"/>
            <w:bottom w:val="none" w:sz="0" w:space="0" w:color="auto"/>
            <w:right w:val="none" w:sz="0" w:space="0" w:color="auto"/>
          </w:divBdr>
          <w:divsChild>
            <w:div w:id="216015281">
              <w:marLeft w:val="0"/>
              <w:marRight w:val="0"/>
              <w:marTop w:val="0"/>
              <w:marBottom w:val="0"/>
              <w:divBdr>
                <w:top w:val="none" w:sz="0" w:space="0" w:color="auto"/>
                <w:left w:val="none" w:sz="0" w:space="0" w:color="auto"/>
                <w:bottom w:val="none" w:sz="0" w:space="0" w:color="auto"/>
                <w:right w:val="none" w:sz="0" w:space="0" w:color="auto"/>
              </w:divBdr>
              <w:divsChild>
                <w:div w:id="1630626703">
                  <w:marLeft w:val="0"/>
                  <w:marRight w:val="0"/>
                  <w:marTop w:val="0"/>
                  <w:marBottom w:val="0"/>
                  <w:divBdr>
                    <w:top w:val="none" w:sz="0" w:space="0" w:color="auto"/>
                    <w:left w:val="none" w:sz="0" w:space="0" w:color="auto"/>
                    <w:bottom w:val="none" w:sz="0" w:space="0" w:color="auto"/>
                    <w:right w:val="none" w:sz="0" w:space="0" w:color="auto"/>
                  </w:divBdr>
                  <w:divsChild>
                    <w:div w:id="157498358">
                      <w:marLeft w:val="0"/>
                      <w:marRight w:val="0"/>
                      <w:marTop w:val="0"/>
                      <w:marBottom w:val="0"/>
                      <w:divBdr>
                        <w:top w:val="none" w:sz="0" w:space="0" w:color="auto"/>
                        <w:left w:val="none" w:sz="0" w:space="0" w:color="auto"/>
                        <w:bottom w:val="none" w:sz="0" w:space="0" w:color="auto"/>
                        <w:right w:val="none" w:sz="0" w:space="0" w:color="auto"/>
                      </w:divBdr>
                      <w:divsChild>
                        <w:div w:id="1960837444">
                          <w:marLeft w:val="0"/>
                          <w:marRight w:val="0"/>
                          <w:marTop w:val="450"/>
                          <w:marBottom w:val="0"/>
                          <w:divBdr>
                            <w:top w:val="none" w:sz="0" w:space="0" w:color="auto"/>
                            <w:left w:val="none" w:sz="0" w:space="0" w:color="auto"/>
                            <w:bottom w:val="none" w:sz="0" w:space="0" w:color="auto"/>
                            <w:right w:val="none" w:sz="0" w:space="0" w:color="auto"/>
                          </w:divBdr>
                          <w:divsChild>
                            <w:div w:id="1680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768">
      <w:bodyDiv w:val="1"/>
      <w:marLeft w:val="0"/>
      <w:marRight w:val="0"/>
      <w:marTop w:val="0"/>
      <w:marBottom w:val="0"/>
      <w:divBdr>
        <w:top w:val="none" w:sz="0" w:space="0" w:color="auto"/>
        <w:left w:val="none" w:sz="0" w:space="0" w:color="auto"/>
        <w:bottom w:val="none" w:sz="0" w:space="0" w:color="auto"/>
        <w:right w:val="none" w:sz="0" w:space="0" w:color="auto"/>
      </w:divBdr>
    </w:div>
    <w:div w:id="1923904321">
      <w:bodyDiv w:val="1"/>
      <w:marLeft w:val="0"/>
      <w:marRight w:val="0"/>
      <w:marTop w:val="0"/>
      <w:marBottom w:val="0"/>
      <w:divBdr>
        <w:top w:val="none" w:sz="0" w:space="0" w:color="auto"/>
        <w:left w:val="none" w:sz="0" w:space="0" w:color="auto"/>
        <w:bottom w:val="none" w:sz="0" w:space="0" w:color="auto"/>
        <w:right w:val="none" w:sz="0" w:space="0" w:color="auto"/>
      </w:divBdr>
    </w:div>
    <w:div w:id="1933734078">
      <w:bodyDiv w:val="1"/>
      <w:marLeft w:val="0"/>
      <w:marRight w:val="0"/>
      <w:marTop w:val="0"/>
      <w:marBottom w:val="0"/>
      <w:divBdr>
        <w:top w:val="none" w:sz="0" w:space="0" w:color="auto"/>
        <w:left w:val="none" w:sz="0" w:space="0" w:color="auto"/>
        <w:bottom w:val="none" w:sz="0" w:space="0" w:color="auto"/>
        <w:right w:val="none" w:sz="0" w:space="0" w:color="auto"/>
      </w:divBdr>
    </w:div>
    <w:div w:id="1939480681">
      <w:bodyDiv w:val="1"/>
      <w:marLeft w:val="0"/>
      <w:marRight w:val="0"/>
      <w:marTop w:val="0"/>
      <w:marBottom w:val="0"/>
      <w:divBdr>
        <w:top w:val="none" w:sz="0" w:space="0" w:color="auto"/>
        <w:left w:val="none" w:sz="0" w:space="0" w:color="auto"/>
        <w:bottom w:val="none" w:sz="0" w:space="0" w:color="auto"/>
        <w:right w:val="none" w:sz="0" w:space="0" w:color="auto"/>
      </w:divBdr>
    </w:div>
    <w:div w:id="1978486956">
      <w:bodyDiv w:val="1"/>
      <w:marLeft w:val="0"/>
      <w:marRight w:val="0"/>
      <w:marTop w:val="0"/>
      <w:marBottom w:val="0"/>
      <w:divBdr>
        <w:top w:val="none" w:sz="0" w:space="0" w:color="auto"/>
        <w:left w:val="none" w:sz="0" w:space="0" w:color="auto"/>
        <w:bottom w:val="none" w:sz="0" w:space="0" w:color="auto"/>
        <w:right w:val="none" w:sz="0" w:space="0" w:color="auto"/>
      </w:divBdr>
    </w:div>
    <w:div w:id="1981033873">
      <w:bodyDiv w:val="1"/>
      <w:marLeft w:val="0"/>
      <w:marRight w:val="0"/>
      <w:marTop w:val="0"/>
      <w:marBottom w:val="0"/>
      <w:divBdr>
        <w:top w:val="none" w:sz="0" w:space="0" w:color="auto"/>
        <w:left w:val="none" w:sz="0" w:space="0" w:color="auto"/>
        <w:bottom w:val="none" w:sz="0" w:space="0" w:color="auto"/>
        <w:right w:val="none" w:sz="0" w:space="0" w:color="auto"/>
      </w:divBdr>
    </w:div>
    <w:div w:id="1981224847">
      <w:bodyDiv w:val="1"/>
      <w:marLeft w:val="0"/>
      <w:marRight w:val="0"/>
      <w:marTop w:val="0"/>
      <w:marBottom w:val="0"/>
      <w:divBdr>
        <w:top w:val="none" w:sz="0" w:space="0" w:color="auto"/>
        <w:left w:val="none" w:sz="0" w:space="0" w:color="auto"/>
        <w:bottom w:val="none" w:sz="0" w:space="0" w:color="auto"/>
        <w:right w:val="none" w:sz="0" w:space="0" w:color="auto"/>
      </w:divBdr>
    </w:div>
    <w:div w:id="1985695859">
      <w:bodyDiv w:val="1"/>
      <w:marLeft w:val="0"/>
      <w:marRight w:val="0"/>
      <w:marTop w:val="0"/>
      <w:marBottom w:val="0"/>
      <w:divBdr>
        <w:top w:val="none" w:sz="0" w:space="0" w:color="auto"/>
        <w:left w:val="none" w:sz="0" w:space="0" w:color="auto"/>
        <w:bottom w:val="none" w:sz="0" w:space="0" w:color="auto"/>
        <w:right w:val="none" w:sz="0" w:space="0" w:color="auto"/>
      </w:divBdr>
    </w:div>
    <w:div w:id="2017729488">
      <w:bodyDiv w:val="1"/>
      <w:marLeft w:val="0"/>
      <w:marRight w:val="0"/>
      <w:marTop w:val="0"/>
      <w:marBottom w:val="0"/>
      <w:divBdr>
        <w:top w:val="none" w:sz="0" w:space="0" w:color="auto"/>
        <w:left w:val="none" w:sz="0" w:space="0" w:color="auto"/>
        <w:bottom w:val="none" w:sz="0" w:space="0" w:color="auto"/>
        <w:right w:val="none" w:sz="0" w:space="0" w:color="auto"/>
      </w:divBdr>
    </w:div>
    <w:div w:id="2022387119">
      <w:bodyDiv w:val="1"/>
      <w:marLeft w:val="0"/>
      <w:marRight w:val="0"/>
      <w:marTop w:val="0"/>
      <w:marBottom w:val="0"/>
      <w:divBdr>
        <w:top w:val="none" w:sz="0" w:space="0" w:color="auto"/>
        <w:left w:val="none" w:sz="0" w:space="0" w:color="auto"/>
        <w:bottom w:val="none" w:sz="0" w:space="0" w:color="auto"/>
        <w:right w:val="none" w:sz="0" w:space="0" w:color="auto"/>
      </w:divBdr>
    </w:div>
    <w:div w:id="2027632117">
      <w:bodyDiv w:val="1"/>
      <w:marLeft w:val="0"/>
      <w:marRight w:val="0"/>
      <w:marTop w:val="0"/>
      <w:marBottom w:val="0"/>
      <w:divBdr>
        <w:top w:val="none" w:sz="0" w:space="0" w:color="auto"/>
        <w:left w:val="none" w:sz="0" w:space="0" w:color="auto"/>
        <w:bottom w:val="none" w:sz="0" w:space="0" w:color="auto"/>
        <w:right w:val="none" w:sz="0" w:space="0" w:color="auto"/>
      </w:divBdr>
    </w:div>
    <w:div w:id="2028557256">
      <w:bodyDiv w:val="1"/>
      <w:marLeft w:val="0"/>
      <w:marRight w:val="0"/>
      <w:marTop w:val="0"/>
      <w:marBottom w:val="0"/>
      <w:divBdr>
        <w:top w:val="none" w:sz="0" w:space="0" w:color="auto"/>
        <w:left w:val="none" w:sz="0" w:space="0" w:color="auto"/>
        <w:bottom w:val="none" w:sz="0" w:space="0" w:color="auto"/>
        <w:right w:val="none" w:sz="0" w:space="0" w:color="auto"/>
      </w:divBdr>
    </w:div>
    <w:div w:id="2028943271">
      <w:bodyDiv w:val="1"/>
      <w:marLeft w:val="0"/>
      <w:marRight w:val="0"/>
      <w:marTop w:val="0"/>
      <w:marBottom w:val="0"/>
      <w:divBdr>
        <w:top w:val="none" w:sz="0" w:space="0" w:color="auto"/>
        <w:left w:val="none" w:sz="0" w:space="0" w:color="auto"/>
        <w:bottom w:val="none" w:sz="0" w:space="0" w:color="auto"/>
        <w:right w:val="none" w:sz="0" w:space="0" w:color="auto"/>
      </w:divBdr>
    </w:div>
    <w:div w:id="2030597592">
      <w:bodyDiv w:val="1"/>
      <w:marLeft w:val="0"/>
      <w:marRight w:val="0"/>
      <w:marTop w:val="0"/>
      <w:marBottom w:val="0"/>
      <w:divBdr>
        <w:top w:val="none" w:sz="0" w:space="0" w:color="auto"/>
        <w:left w:val="none" w:sz="0" w:space="0" w:color="auto"/>
        <w:bottom w:val="none" w:sz="0" w:space="0" w:color="auto"/>
        <w:right w:val="none" w:sz="0" w:space="0" w:color="auto"/>
      </w:divBdr>
    </w:div>
    <w:div w:id="2038384966">
      <w:bodyDiv w:val="1"/>
      <w:marLeft w:val="0"/>
      <w:marRight w:val="0"/>
      <w:marTop w:val="0"/>
      <w:marBottom w:val="0"/>
      <w:divBdr>
        <w:top w:val="none" w:sz="0" w:space="0" w:color="auto"/>
        <w:left w:val="none" w:sz="0" w:space="0" w:color="auto"/>
        <w:bottom w:val="none" w:sz="0" w:space="0" w:color="auto"/>
        <w:right w:val="none" w:sz="0" w:space="0" w:color="auto"/>
      </w:divBdr>
    </w:div>
    <w:div w:id="2042514368">
      <w:bodyDiv w:val="1"/>
      <w:marLeft w:val="0"/>
      <w:marRight w:val="0"/>
      <w:marTop w:val="0"/>
      <w:marBottom w:val="0"/>
      <w:divBdr>
        <w:top w:val="none" w:sz="0" w:space="0" w:color="auto"/>
        <w:left w:val="none" w:sz="0" w:space="0" w:color="auto"/>
        <w:bottom w:val="none" w:sz="0" w:space="0" w:color="auto"/>
        <w:right w:val="none" w:sz="0" w:space="0" w:color="auto"/>
      </w:divBdr>
    </w:div>
    <w:div w:id="2052071882">
      <w:bodyDiv w:val="1"/>
      <w:marLeft w:val="0"/>
      <w:marRight w:val="0"/>
      <w:marTop w:val="0"/>
      <w:marBottom w:val="0"/>
      <w:divBdr>
        <w:top w:val="none" w:sz="0" w:space="0" w:color="auto"/>
        <w:left w:val="none" w:sz="0" w:space="0" w:color="auto"/>
        <w:bottom w:val="none" w:sz="0" w:space="0" w:color="auto"/>
        <w:right w:val="none" w:sz="0" w:space="0" w:color="auto"/>
      </w:divBdr>
    </w:div>
    <w:div w:id="2059936218">
      <w:bodyDiv w:val="1"/>
      <w:marLeft w:val="0"/>
      <w:marRight w:val="0"/>
      <w:marTop w:val="0"/>
      <w:marBottom w:val="0"/>
      <w:divBdr>
        <w:top w:val="none" w:sz="0" w:space="0" w:color="auto"/>
        <w:left w:val="none" w:sz="0" w:space="0" w:color="auto"/>
        <w:bottom w:val="none" w:sz="0" w:space="0" w:color="auto"/>
        <w:right w:val="none" w:sz="0" w:space="0" w:color="auto"/>
      </w:divBdr>
    </w:div>
    <w:div w:id="2062170655">
      <w:bodyDiv w:val="1"/>
      <w:marLeft w:val="0"/>
      <w:marRight w:val="0"/>
      <w:marTop w:val="0"/>
      <w:marBottom w:val="0"/>
      <w:divBdr>
        <w:top w:val="none" w:sz="0" w:space="0" w:color="auto"/>
        <w:left w:val="none" w:sz="0" w:space="0" w:color="auto"/>
        <w:bottom w:val="none" w:sz="0" w:space="0" w:color="auto"/>
        <w:right w:val="none" w:sz="0" w:space="0" w:color="auto"/>
      </w:divBdr>
    </w:div>
    <w:div w:id="2078360961">
      <w:bodyDiv w:val="1"/>
      <w:marLeft w:val="0"/>
      <w:marRight w:val="0"/>
      <w:marTop w:val="0"/>
      <w:marBottom w:val="0"/>
      <w:divBdr>
        <w:top w:val="none" w:sz="0" w:space="0" w:color="auto"/>
        <w:left w:val="none" w:sz="0" w:space="0" w:color="auto"/>
        <w:bottom w:val="none" w:sz="0" w:space="0" w:color="auto"/>
        <w:right w:val="none" w:sz="0" w:space="0" w:color="auto"/>
      </w:divBdr>
    </w:div>
    <w:div w:id="2089813587">
      <w:bodyDiv w:val="1"/>
      <w:marLeft w:val="0"/>
      <w:marRight w:val="0"/>
      <w:marTop w:val="0"/>
      <w:marBottom w:val="0"/>
      <w:divBdr>
        <w:top w:val="none" w:sz="0" w:space="0" w:color="auto"/>
        <w:left w:val="none" w:sz="0" w:space="0" w:color="auto"/>
        <w:bottom w:val="none" w:sz="0" w:space="0" w:color="auto"/>
        <w:right w:val="none" w:sz="0" w:space="0" w:color="auto"/>
      </w:divBdr>
    </w:div>
    <w:div w:id="2089886544">
      <w:bodyDiv w:val="1"/>
      <w:marLeft w:val="0"/>
      <w:marRight w:val="0"/>
      <w:marTop w:val="0"/>
      <w:marBottom w:val="0"/>
      <w:divBdr>
        <w:top w:val="none" w:sz="0" w:space="0" w:color="auto"/>
        <w:left w:val="none" w:sz="0" w:space="0" w:color="auto"/>
        <w:bottom w:val="none" w:sz="0" w:space="0" w:color="auto"/>
        <w:right w:val="none" w:sz="0" w:space="0" w:color="auto"/>
      </w:divBdr>
    </w:div>
    <w:div w:id="2097821846">
      <w:bodyDiv w:val="1"/>
      <w:marLeft w:val="0"/>
      <w:marRight w:val="0"/>
      <w:marTop w:val="0"/>
      <w:marBottom w:val="0"/>
      <w:divBdr>
        <w:top w:val="none" w:sz="0" w:space="0" w:color="auto"/>
        <w:left w:val="none" w:sz="0" w:space="0" w:color="auto"/>
        <w:bottom w:val="none" w:sz="0" w:space="0" w:color="auto"/>
        <w:right w:val="none" w:sz="0" w:space="0" w:color="auto"/>
      </w:divBdr>
    </w:div>
    <w:div w:id="2099785535">
      <w:bodyDiv w:val="1"/>
      <w:marLeft w:val="0"/>
      <w:marRight w:val="0"/>
      <w:marTop w:val="0"/>
      <w:marBottom w:val="0"/>
      <w:divBdr>
        <w:top w:val="none" w:sz="0" w:space="0" w:color="auto"/>
        <w:left w:val="none" w:sz="0" w:space="0" w:color="auto"/>
        <w:bottom w:val="none" w:sz="0" w:space="0" w:color="auto"/>
        <w:right w:val="none" w:sz="0" w:space="0" w:color="auto"/>
      </w:divBdr>
    </w:div>
    <w:div w:id="2115436958">
      <w:bodyDiv w:val="1"/>
      <w:marLeft w:val="0"/>
      <w:marRight w:val="0"/>
      <w:marTop w:val="0"/>
      <w:marBottom w:val="0"/>
      <w:divBdr>
        <w:top w:val="none" w:sz="0" w:space="0" w:color="auto"/>
        <w:left w:val="none" w:sz="0" w:space="0" w:color="auto"/>
        <w:bottom w:val="none" w:sz="0" w:space="0" w:color="auto"/>
        <w:right w:val="none" w:sz="0" w:space="0" w:color="auto"/>
      </w:divBdr>
    </w:div>
    <w:div w:id="2131509702">
      <w:bodyDiv w:val="1"/>
      <w:marLeft w:val="0"/>
      <w:marRight w:val="0"/>
      <w:marTop w:val="0"/>
      <w:marBottom w:val="0"/>
      <w:divBdr>
        <w:top w:val="none" w:sz="0" w:space="0" w:color="auto"/>
        <w:left w:val="none" w:sz="0" w:space="0" w:color="auto"/>
        <w:bottom w:val="none" w:sz="0" w:space="0" w:color="auto"/>
        <w:right w:val="none" w:sz="0" w:space="0" w:color="auto"/>
      </w:divBdr>
    </w:div>
    <w:div w:id="21458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www.esfondi.lv/page.php?id=1065" TargetMode="External"/><Relationship Id="rId39" Type="http://schemas.openxmlformats.org/officeDocument/2006/relationships/chart" Target="charts/chart11.xml"/><Relationship Id="rId21" Type="http://schemas.openxmlformats.org/officeDocument/2006/relationships/chart" Target="charts/chart2.xml"/><Relationship Id="rId34" Type="http://schemas.openxmlformats.org/officeDocument/2006/relationships/hyperlink" Target="http://esfondi.izm.gov.lv/projektu_iesniedzejiem/konkursi_0" TargetMode="External"/><Relationship Id="rId42" Type="http://schemas.openxmlformats.org/officeDocument/2006/relationships/hyperlink" Target="http://www.esfondi.lv/page.php?id=1188" TargetMode="External"/><Relationship Id="rId47" Type="http://schemas.openxmlformats.org/officeDocument/2006/relationships/chart" Target="charts/chart14.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cid:image010.jpg@01CBC3A8.FD1A1C60" TargetMode="External"/><Relationship Id="rId17" Type="http://schemas.openxmlformats.org/officeDocument/2006/relationships/hyperlink" Target="http://www.esfondi.lv/page.php?id=470" TargetMode="External"/><Relationship Id="rId25" Type="http://schemas.openxmlformats.org/officeDocument/2006/relationships/hyperlink" Target="http://www.esfondi.lv/page.php?id=1141" TargetMode="External"/><Relationship Id="rId33" Type="http://schemas.openxmlformats.org/officeDocument/2006/relationships/hyperlink" Target="http://www.esfondi.lv/page.php?id=1064" TargetMode="External"/><Relationship Id="rId38" Type="http://schemas.openxmlformats.org/officeDocument/2006/relationships/chart" Target="charts/chart10.xm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cid:image011.png@01CBC3A8.FD1A1C60" TargetMode="External"/><Relationship Id="rId20" Type="http://schemas.openxmlformats.org/officeDocument/2006/relationships/chart" Target="charts/chart1.xml"/><Relationship Id="rId29" Type="http://schemas.openxmlformats.org/officeDocument/2006/relationships/chart" Target="charts/chart6.xml"/><Relationship Id="rId41" Type="http://schemas.openxmlformats.org/officeDocument/2006/relationships/hyperlink" Target="http://www.sif.lv/index.php?option=com_content&amp;view=article&amp;id=8691%3ALatvijas-Sveices-sadarbibas-programmas-grantu-shemas-NVO-fonds-nosleguma-pasakums&amp;catid=14%3AJaunumi&amp;Itemid=186&amp;lang=lv"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sfondi.lv/page.php?id=1141" TargetMode="External"/><Relationship Id="rId32" Type="http://schemas.openxmlformats.org/officeDocument/2006/relationships/chart" Target="charts/chart8.xml"/><Relationship Id="rId37" Type="http://schemas.openxmlformats.org/officeDocument/2006/relationships/hyperlink" Target="http://www.esfondi.lv/page.php?id=939" TargetMode="External"/><Relationship Id="rId40" Type="http://schemas.openxmlformats.org/officeDocument/2006/relationships/hyperlink" Target="http://www.swiss-contribution.lv/page/4" TargetMode="External"/><Relationship Id="rId45" Type="http://schemas.openxmlformats.org/officeDocument/2006/relationships/hyperlink" Target="http://www.esfondi.lv/page.php?id=909"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4.xml"/><Relationship Id="rId28" Type="http://schemas.openxmlformats.org/officeDocument/2006/relationships/chart" Target="charts/chart5.xml"/><Relationship Id="rId36" Type="http://schemas.openxmlformats.org/officeDocument/2006/relationships/chart" Target="charts/chart9.xml"/><Relationship Id="rId49" Type="http://schemas.openxmlformats.org/officeDocument/2006/relationships/hyperlink" Target="mailto:Signe.Albina@fm.gov.lv" TargetMode="External"/><Relationship Id="rId57" Type="http://schemas.openxmlformats.org/officeDocument/2006/relationships/theme" Target="theme/theme1.xml"/><Relationship Id="rId10" Type="http://schemas.openxmlformats.org/officeDocument/2006/relationships/image" Target="cid:image006.jpg@01CBC3A8.FD1A1C60" TargetMode="External"/><Relationship Id="rId19" Type="http://schemas.openxmlformats.org/officeDocument/2006/relationships/hyperlink" Target="http://www.esfondi.lv/page.php?id=909" TargetMode="External"/><Relationship Id="rId31" Type="http://schemas.openxmlformats.org/officeDocument/2006/relationships/hyperlink" Target="http://www.esfondi.lv/page.php?id=939" TargetMode="External"/><Relationship Id="rId44" Type="http://schemas.openxmlformats.org/officeDocument/2006/relationships/hyperlink" Target="http://www.esfondi.lv/page.php?id=1188"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9.jpg@01CBC3A8.FD1A1C60" TargetMode="External"/><Relationship Id="rId22" Type="http://schemas.openxmlformats.org/officeDocument/2006/relationships/chart" Target="charts/chart3.xml"/><Relationship Id="rId27" Type="http://schemas.openxmlformats.org/officeDocument/2006/relationships/hyperlink" Target="http://www.esfondi.lv/page.php?id=1025" TargetMode="External"/><Relationship Id="rId30" Type="http://schemas.openxmlformats.org/officeDocument/2006/relationships/chart" Target="charts/chart7.xml"/><Relationship Id="rId35" Type="http://schemas.openxmlformats.org/officeDocument/2006/relationships/hyperlink" Target="http://www.esfondi.lv/page.php?id=1064" TargetMode="External"/><Relationship Id="rId43" Type="http://schemas.openxmlformats.org/officeDocument/2006/relationships/chart" Target="charts/chart12.xml"/><Relationship Id="rId48" Type="http://schemas.openxmlformats.org/officeDocument/2006/relationships/hyperlink" Target="http://www.esfondi.lv/page.php?id=109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page.php?id=1141" TargetMode="External"/><Relationship Id="rId13" Type="http://schemas.openxmlformats.org/officeDocument/2006/relationships/hyperlink" Target="http://www.esfondi.lv/page.php?id=939" TargetMode="External"/><Relationship Id="rId18" Type="http://schemas.openxmlformats.org/officeDocument/2006/relationships/hyperlink" Target="http://www.esfondi.lv/page.php?id=939" TargetMode="External"/><Relationship Id="rId26" Type="http://schemas.openxmlformats.org/officeDocument/2006/relationships/hyperlink" Target="http://www.esfondi.lv/page.php?id=1188" TargetMode="External"/><Relationship Id="rId3" Type="http://schemas.openxmlformats.org/officeDocument/2006/relationships/hyperlink" Target="http://www.esfondi.lv/page.php?id=470" TargetMode="External"/><Relationship Id="rId21" Type="http://schemas.openxmlformats.org/officeDocument/2006/relationships/hyperlink" Target="http://www.eeagrants.lv/?id=23" TargetMode="External"/><Relationship Id="rId7" Type="http://schemas.openxmlformats.org/officeDocument/2006/relationships/hyperlink" Target="http://www.mk.gov.lv/lv/mk/mksedes/saraksts/protokols/?protokols=2013-03-12" TargetMode="External"/><Relationship Id="rId12" Type="http://schemas.openxmlformats.org/officeDocument/2006/relationships/hyperlink" Target="http://www.esfondi.lv/page.php?id=909" TargetMode="External"/><Relationship Id="rId17" Type="http://schemas.openxmlformats.org/officeDocument/2006/relationships/hyperlink" Target="http://www.mk.gov.lv/lv/mk/mksedes/saraksts/protokols/?protokols=2013-03-12" TargetMode="External"/><Relationship Id="rId25" Type="http://schemas.openxmlformats.org/officeDocument/2006/relationships/hyperlink" Target="http://www.esfondi.lv/page.php?id=1188" TargetMode="External"/><Relationship Id="rId2" Type="http://schemas.openxmlformats.org/officeDocument/2006/relationships/hyperlink" Target="http://www.esfondi.lv/upload/00-vadlinijas/10_10_vadlinijas_finansu_korekcijas.pdf" TargetMode="External"/><Relationship Id="rId16" Type="http://schemas.openxmlformats.org/officeDocument/2006/relationships/hyperlink" Target="http://www.esfondi.lv/page.php?id=1064" TargetMode="External"/><Relationship Id="rId20" Type="http://schemas.openxmlformats.org/officeDocument/2006/relationships/hyperlink" Target="http://www.esfondi.lv/page.php?id=791" TargetMode="External"/><Relationship Id="rId29" Type="http://schemas.openxmlformats.org/officeDocument/2006/relationships/hyperlink" Target="http://www.esfondi.lv/page.php?id=1177" TargetMode="External"/><Relationship Id="rId1" Type="http://schemas.openxmlformats.org/officeDocument/2006/relationships/hyperlink" Target="http://www.esfondi.lv/upload/00-vadlinijas/Neatbilstibu_vadl__nijas_FINAL26.09.2012.pdf" TargetMode="External"/><Relationship Id="rId6" Type="http://schemas.openxmlformats.org/officeDocument/2006/relationships/hyperlink" Target="http://www.esfondi.lv/page.php?id=1141" TargetMode="External"/><Relationship Id="rId11" Type="http://schemas.openxmlformats.org/officeDocument/2006/relationships/hyperlink" Target="http://www.esfondi.lv/page.php?id=1025" TargetMode="External"/><Relationship Id="rId24" Type="http://schemas.openxmlformats.org/officeDocument/2006/relationships/hyperlink" Target="http://www.sif.lv/index.php?option=com_content&amp;view=article&amp;id=8691%3ALatvijas-Sveices-sadarbibas-programmas-grantu-shemas-NVO-fonds-nosleguma-pasakums&amp;catid=14%3AJaunumi&amp;Itemid=186&amp;lang=lv" TargetMode="External"/><Relationship Id="rId32" Type="http://schemas.openxmlformats.org/officeDocument/2006/relationships/hyperlink" Target="http://www.iub.gov.lv/node/98" TargetMode="External"/><Relationship Id="rId5" Type="http://schemas.openxmlformats.org/officeDocument/2006/relationships/hyperlink" Target="http://www.esfondi.lv/page.php?id=909" TargetMode="External"/><Relationship Id="rId15" Type="http://schemas.openxmlformats.org/officeDocument/2006/relationships/hyperlink" Target="http://www.esfondi.lv/page.php?id=1064" TargetMode="External"/><Relationship Id="rId23" Type="http://schemas.openxmlformats.org/officeDocument/2006/relationships/hyperlink" Target="http://www.swiss-contribution.lv/page/4" TargetMode="External"/><Relationship Id="rId28" Type="http://schemas.openxmlformats.org/officeDocument/2006/relationships/hyperlink" Target="http://www.esfondi.lv/page.php?id=1099" TargetMode="External"/><Relationship Id="rId10" Type="http://schemas.openxmlformats.org/officeDocument/2006/relationships/hyperlink" Target="http://www.esfondi.lv/page.php?id=1065" TargetMode="External"/><Relationship Id="rId19" Type="http://schemas.openxmlformats.org/officeDocument/2006/relationships/hyperlink" Target="http://www.esfondi.lv/page.php?id=909" TargetMode="External"/><Relationship Id="rId31" Type="http://schemas.openxmlformats.org/officeDocument/2006/relationships/hyperlink" Target="http://www.iub.gov.lv/node/183" TargetMode="External"/><Relationship Id="rId4" Type="http://schemas.openxmlformats.org/officeDocument/2006/relationships/hyperlink" Target="http://www.mk.gov.lv/lv/mk/mksedes/saraksts/protokols/?protokols=2012-08-21" TargetMode="External"/><Relationship Id="rId9" Type="http://schemas.openxmlformats.org/officeDocument/2006/relationships/hyperlink" Target="http://www.esfondi.lv/page.php?id=1141" TargetMode="External"/><Relationship Id="rId14" Type="http://schemas.openxmlformats.org/officeDocument/2006/relationships/hyperlink" Target="http://www.esfondi.lv/page.php?id=909" TargetMode="External"/><Relationship Id="rId22" Type="http://schemas.openxmlformats.org/officeDocument/2006/relationships/hyperlink" Target="http://www.eeagrants.lv/?id=47" TargetMode="External"/><Relationship Id="rId27" Type="http://schemas.openxmlformats.org/officeDocument/2006/relationships/hyperlink" Target="http://www.providus.lv/upload_file/Publikacijas/Valsts_kvalitate/KC11L.pdf" TargetMode="External"/><Relationship Id="rId30" Type="http://schemas.openxmlformats.org/officeDocument/2006/relationships/hyperlink" Target="http://www.esfondi.lv/page.php?id=346"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x\FUD\IEVIE&#352;ANAS%20UZRAUDZ&#298;BA\ZI&#325;OJUMI_MAKS&#256;JUMU%20PROGNOZES%20EK\VI%20cet.zi&#326;oj.par%20ES%20fondu%20apguvi\1%20-%20MK\2013.gads\21.%20-%2017.05.2013\Darba%20faili\Grafiki\Apguves_grafiks%20-%2031.03.201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ilex\FUD\IEVIE&#352;ANAS%20UZRAUDZ&#298;BA\ZI&#325;OJUMI_MAKS&#256;JUMU%20PROGNOZES%20EK\VI%20cet.zi&#326;oj.par%20ES%20fondu%20apguvi\1%20-%20MK\2013.gads\21.%20-%2017.05.2013\Darba%20faili\Grafiki\Apguves_grafiks%20-%2031.03.2013..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filex\FUD\EEZ_NOR_SWISS_UZRAUDZIBA\Ceturksna%20zinojumi%20uz%20MK%20par%20ES%20fondu%20apguvi\I%202013\Inga\Merka%20profils_apguve%20plans_graf%20MK%201cet%20zin.xlsx" TargetMode="External"/><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oleObject" Target="file:///\\filex\FVD\NEATBILST&#298;BAS\MK%20zi&#326;ojumi%20Neatb%20sada&#316;a\2013_I.cet\DATI_neatb_san_uz_31.03.2013_ieguti_08.04.2013.xlsx" TargetMode="External"/><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oleObject" Target="file:///\\filex\FVD\NEATBILST&#298;BAS\MK%20zi&#326;ojumi%20Neatb%20sada&#316;a\2013_I.cet\DATI_neatb_san_uz_31.03.2013_ieguti_08.04.2013.xlsx" TargetMode="External"/><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Alda\My%20Documents\Downloads\cet.xls"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x\FUD\IEVIE&#352;ANAS%20UZRAUDZ&#298;BA\ZI&#325;OJUMI_MAKS&#256;JUMU%20PROGNOZES%20EK\VI%20cet.zi&#326;oj.par%20ES%20fondu%20apguvi\1%20-%20MK\2013.gads\21.%20-%2017.05.2013\Darba%20faili\Grafiki\Apguves_grafiks%20-%2031.03.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3.gads\21.%20-%2017.05.2013\Darba%20faili\Grafiki\M&#275;r&#311;u_izpilde_2013.04.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2.gads\20.%20-%2001.03.2013\Darba%20faili\Grafiki\AI_m&#275;r&#311;u_izpilde_AI_25.01.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3.gads\21.%20-%2017.05.2013\Darba%20faili\Grafiki\3B_grafik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3.gads\21.%20-%2017.05.2013\Darba%20faili\Grafiki\Virssaist&#299;bu%20progress_31.03.2013_090413_grafiki_tabulas_15.04.201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ilex\FUD\IEVIE&#352;ANAS%20UZRAUDZ&#298;BA\ZI&#325;OJUMI_MAKS&#256;JUMU%20PROGNOZES%20EK\VI%20cet.zi&#326;oj.par%20ES%20fondu%20apguvi\1%20-%20MK\2013.gads\21.%20-%2017.05.2013\Darba%20faili\Grafiki\Apguves_grafiks%20-%2031.03.201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ilex\FUD\IEVIE&#352;ANAS%20UZRAUDZ&#298;BA\ZI&#325;OJUMI_MAKS&#256;JUMU%20PROGNOZES%20EK\VI%20cet.zi&#326;oj.par%20ES%20fondu%20apguvi\1%20-%20MK\2013.gads\21.%20-%2017.05.2013\Darba%20faili\Grafiki\Apguves_grafiks%20-%2031.03.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3.gads\21.%20-%2017.05.2013\Darba%20faili\Grafiki\Grafils_2DP_FI%20apguves%20progress_uz%2031.03.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4869593155404"/>
          <c:y val="5.0925925925925923E-2"/>
          <c:w val="0.32425698296392952"/>
          <c:h val="0.73389253426654999"/>
        </c:manualLayout>
      </c:layout>
      <c:barChart>
        <c:barDir val="bar"/>
        <c:grouping val="stacked"/>
        <c:varyColors val="0"/>
        <c:ser>
          <c:idx val="0"/>
          <c:order val="0"/>
          <c:tx>
            <c:v>Piešķirtais publiskais finansējums</c:v>
          </c:tx>
          <c:invertIfNegative val="0"/>
          <c:dPt>
            <c:idx val="0"/>
            <c:invertIfNegative val="0"/>
            <c:bubble3D val="0"/>
            <c:spPr>
              <a:solidFill>
                <a:schemeClr val="accent4"/>
              </a:solidFill>
            </c:spPr>
          </c:dPt>
          <c:dPt>
            <c:idx val="1"/>
            <c:invertIfNegative val="0"/>
            <c:bubble3D val="0"/>
            <c:spPr>
              <a:solidFill>
                <a:schemeClr val="accent6"/>
              </a:solidFill>
            </c:spPr>
          </c:dPt>
          <c:dPt>
            <c:idx val="2"/>
            <c:invertIfNegative val="0"/>
            <c:bubble3D val="0"/>
            <c:spPr>
              <a:solidFill>
                <a:schemeClr val="accent3">
                  <a:lumMod val="75000"/>
                </a:schemeClr>
              </a:solidFill>
            </c:spPr>
          </c:dPt>
          <c:dLbls>
            <c:dLbl>
              <c:idx val="0"/>
              <c:layout>
                <c:manualLayout>
                  <c:x val="0.16543382586975738"/>
                  <c:y val="2.9171836819635817E-2"/>
                </c:manualLayout>
              </c:layout>
              <c:tx>
                <c:rich>
                  <a:bodyPr/>
                  <a:lstStyle/>
                  <a:p>
                    <a:r>
                      <a:rPr lang="en-US"/>
                      <a:t>2 054,7 (59,1%); 2,4%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21767591527223995"/>
                  <c:y val="2.3337469455708654E-2"/>
                </c:manualLayout>
              </c:layout>
              <c:tx>
                <c:rich>
                  <a:bodyPr/>
                  <a:lstStyle/>
                  <a:p>
                    <a:r>
                      <a:rPr lang="en-US"/>
                      <a:t>3 367,0 (96,9%); 1,9%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21769922546734799"/>
                  <c:y val="2.3335631859688517E-2"/>
                </c:manualLayout>
              </c:layout>
              <c:tx>
                <c:rich>
                  <a:bodyPr/>
                  <a:lstStyle/>
                  <a:p>
                    <a:r>
                      <a:rPr lang="en-US"/>
                      <a:t>3 395,6 (97,7%); 1,3%</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3 476,1 (100%)</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Kopā!$A$19:$D$19</c:f>
              <c:strCache>
                <c:ptCount val="4"/>
                <c:pt idx="0">
                  <c:v>Veikti maksājumi finansējuma saņēmējiem</c:v>
                </c:pt>
                <c:pt idx="1">
                  <c:v>Noslēgti līgumi</c:v>
                </c:pt>
                <c:pt idx="2">
                  <c:v>Apstiprināti projekti</c:v>
                </c:pt>
                <c:pt idx="3">
                  <c:v>Piešķirtais publiskais finansējums</c:v>
                </c:pt>
              </c:strCache>
            </c:strRef>
          </c:cat>
          <c:val>
            <c:numRef>
              <c:f>Kopā!$A$20:$D$20</c:f>
              <c:numCache>
                <c:formatCode>General</c:formatCode>
                <c:ptCount val="4"/>
                <c:pt idx="0">
                  <c:v>2054669362.6699998</c:v>
                </c:pt>
                <c:pt idx="1">
                  <c:v>3366963310.6700001</c:v>
                </c:pt>
                <c:pt idx="2">
                  <c:v>3395647469.5900002</c:v>
                </c:pt>
                <c:pt idx="3">
                  <c:v>3476095484.3260922</c:v>
                </c:pt>
              </c:numCache>
            </c:numRef>
          </c:val>
        </c:ser>
        <c:ser>
          <c:idx val="1"/>
          <c:order val="1"/>
          <c:tx>
            <c:v>Piešķirtais virssaistību apjoms</c:v>
          </c:tx>
          <c:invertIfNegative val="0"/>
          <c:dLbls>
            <c:dLbl>
              <c:idx val="3"/>
              <c:layout/>
              <c:tx>
                <c:rich>
                  <a:bodyPr/>
                  <a:lstStyle/>
                  <a:p>
                    <a:r>
                      <a:rPr lang="en-US"/>
                      <a:t>298,6 (8,6%)</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Kopā!$A$19:$D$19</c:f>
              <c:strCache>
                <c:ptCount val="4"/>
                <c:pt idx="0">
                  <c:v>Veikti maksājumi finansējuma saņēmējiem</c:v>
                </c:pt>
                <c:pt idx="1">
                  <c:v>Noslēgti līgumi</c:v>
                </c:pt>
                <c:pt idx="2">
                  <c:v>Apstiprināti projekti</c:v>
                </c:pt>
                <c:pt idx="3">
                  <c:v>Piešķirtais publiskais finansējums</c:v>
                </c:pt>
              </c:strCache>
            </c:strRef>
          </c:cat>
          <c:val>
            <c:numRef>
              <c:f>Kopā!$A$21:$D$21</c:f>
              <c:numCache>
                <c:formatCode>General</c:formatCode>
                <c:ptCount val="4"/>
                <c:pt idx="3">
                  <c:v>298574715.76090598</c:v>
                </c:pt>
              </c:numCache>
            </c:numRef>
          </c:val>
        </c:ser>
        <c:dLbls>
          <c:showLegendKey val="0"/>
          <c:showVal val="0"/>
          <c:showCatName val="0"/>
          <c:showSerName val="0"/>
          <c:showPercent val="0"/>
          <c:showBubbleSize val="0"/>
        </c:dLbls>
        <c:gapWidth val="150"/>
        <c:overlap val="100"/>
        <c:axId val="25798912"/>
        <c:axId val="25804800"/>
      </c:barChart>
      <c:catAx>
        <c:axId val="25798912"/>
        <c:scaling>
          <c:orientation val="minMax"/>
        </c:scaling>
        <c:delete val="0"/>
        <c:axPos val="l"/>
        <c:numFmt formatCode="General" sourceLinked="0"/>
        <c:majorTickMark val="out"/>
        <c:minorTickMark val="none"/>
        <c:tickLblPos val="nextTo"/>
        <c:crossAx val="25804800"/>
        <c:crosses val="autoZero"/>
        <c:auto val="1"/>
        <c:lblAlgn val="ctr"/>
        <c:lblOffset val="100"/>
        <c:noMultiLvlLbl val="0"/>
      </c:catAx>
      <c:valAx>
        <c:axId val="25804800"/>
        <c:scaling>
          <c:orientation val="minMax"/>
        </c:scaling>
        <c:delete val="0"/>
        <c:axPos val="b"/>
        <c:majorGridlines/>
        <c:numFmt formatCode="General" sourceLinked="1"/>
        <c:majorTickMark val="out"/>
        <c:minorTickMark val="none"/>
        <c:tickLblPos val="nextTo"/>
        <c:crossAx val="25798912"/>
        <c:crosses val="autoZero"/>
        <c:crossBetween val="between"/>
        <c:dispUnits>
          <c:builtInUnit val="millions"/>
        </c:dispUnits>
      </c:valAx>
    </c:plotArea>
    <c:legend>
      <c:legendPos val="b"/>
      <c:layout>
        <c:manualLayout>
          <c:xMode val="edge"/>
          <c:yMode val="edge"/>
          <c:x val="0.13868724121469142"/>
          <c:y val="0.88372739391126476"/>
          <c:w val="0.72262534615414287"/>
          <c:h val="0.1162726060887351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675073005870093"/>
          <c:y val="5.674468054923042E-3"/>
          <c:w val="0.37578768319196154"/>
          <c:h val="0.8674396230455339"/>
        </c:manualLayout>
      </c:layout>
      <c:barChart>
        <c:barDir val="bar"/>
        <c:grouping val="clustered"/>
        <c:varyColors val="0"/>
        <c:ser>
          <c:idx val="0"/>
          <c:order val="0"/>
          <c:tx>
            <c:strRef>
              <c:f>'3DP'!$C$15</c:f>
              <c:strCache>
                <c:ptCount val="1"/>
                <c:pt idx="0">
                  <c:v>Veikti maksājumi finansējuma saņēmējiem</c:v>
                </c:pt>
              </c:strCache>
            </c:strRef>
          </c:tx>
          <c:invertIfNegative val="0"/>
          <c:dLbls>
            <c:dLbl>
              <c:idx val="0"/>
              <c:layout/>
              <c:tx>
                <c:rich>
                  <a:bodyPr/>
                  <a:lstStyle/>
                  <a:p>
                    <a:r>
                      <a:rPr lang="en-US"/>
                      <a:t>3,3 (38,4%); 4,9%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20,1 (49,7%); 4,1%</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168,4 (74,2%); 2%</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313,4</a:t>
                    </a:r>
                    <a:r>
                      <a:rPr lang="en-US" sz="950" b="0" i="0" u="none" strike="noStrike" kern="1200" baseline="0">
                        <a:solidFill>
                          <a:sysClr val="windowText" lastClr="000000"/>
                        </a:solidFill>
                        <a:latin typeface="Times New Roman" pitchFamily="18" charset="0"/>
                        <a:ea typeface="+mn-ea"/>
                        <a:cs typeface="Times New Roman" pitchFamily="18" charset="0"/>
                      </a:rPr>
                      <a:t> </a:t>
                    </a:r>
                    <a:r>
                      <a:rPr lang="en-US"/>
                      <a:t>(63,3%); 1,1%</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116,3 (44,9%); 3,1%</a:t>
                    </a:r>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281,7 (43,3%); 2,1%</a:t>
                    </a:r>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196,3 (49,5%); 3,3%</a:t>
                    </a:r>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a:t>257,8 (65,4%); 2,1%</a:t>
                    </a:r>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a:t>1 357 (54,9%); 2,3% </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'3DP'!$B$16:$B$33</c:f>
              <c:strCache>
                <c:ptCount val="17"/>
                <c:pt idx="0">
                  <c:v>Tehniskā palīdzība KF ieviešanai</c:v>
                </c:pt>
                <c:pt idx="2">
                  <c:v>Tehniskā palīdzība ERAF ieviešanai</c:v>
                </c:pt>
                <c:pt idx="4">
                  <c:v>Policentriska attīstība</c:v>
                </c:pt>
                <c:pt idx="6">
                  <c:v>Vides infrastruktūras un videi draudzīgas enerģētikas veicināšana</c:v>
                </c:pt>
                <c:pt idx="8">
                  <c:v>Kvalitatīvas vides dzīvei un ekonomiskai aktivitātei nodrošināšana</c:v>
                </c:pt>
                <c:pt idx="10">
                  <c:v>Eiropas nozīmes transporta tīklu attīstība un ilgtspējīga transporta veicināšana</c:v>
                </c:pt>
                <c:pt idx="12">
                  <c:v>Teritoriju pieejamības un sasniedzamības veicināšana</c:v>
                </c:pt>
                <c:pt idx="14">
                  <c:v>Infrastruktūra cilvēku kapitāla nostiprināšanai</c:v>
                </c:pt>
                <c:pt idx="16">
                  <c:v>DP "Infrastruktūra un pakalpojumi" kopā</c:v>
                </c:pt>
              </c:strCache>
            </c:strRef>
          </c:cat>
          <c:val>
            <c:numRef>
              <c:f>'3DP'!$C$16:$C$33</c:f>
              <c:numCache>
                <c:formatCode>General</c:formatCode>
                <c:ptCount val="18"/>
                <c:pt idx="0" formatCode="#,##0_ ;\-#,##0\ ">
                  <c:v>3290678.54</c:v>
                </c:pt>
                <c:pt idx="2" formatCode="#,##0_ ;\-#,##0\ ">
                  <c:v>20107571.760000002</c:v>
                </c:pt>
                <c:pt idx="4" formatCode="#,##0_ ;\-#,##0\ ">
                  <c:v>168401148.16999999</c:v>
                </c:pt>
                <c:pt idx="6" formatCode="#,##0_ ;\-#,##0\ ">
                  <c:v>313357534.01999998</c:v>
                </c:pt>
                <c:pt idx="8" formatCode="#,##0_ ;\-#,##0\ ">
                  <c:v>116266637.39</c:v>
                </c:pt>
                <c:pt idx="10" formatCode="#,##0_ ;\-#,##0\ ">
                  <c:v>281656472.50999999</c:v>
                </c:pt>
                <c:pt idx="12" formatCode="#,##0_ ;\-#,##0\ ">
                  <c:v>196344161.75</c:v>
                </c:pt>
                <c:pt idx="14" formatCode="#,##0_ ;\-#,##0\ ">
                  <c:v>257804204.81999999</c:v>
                </c:pt>
                <c:pt idx="16" formatCode="#,##0_ ;\-#,##0\ ">
                  <c:v>1357228408.9599998</c:v>
                </c:pt>
              </c:numCache>
            </c:numRef>
          </c:val>
        </c:ser>
        <c:ser>
          <c:idx val="1"/>
          <c:order val="1"/>
          <c:tx>
            <c:strRef>
              <c:f>'3DP'!$D$15</c:f>
              <c:strCache>
                <c:ptCount val="1"/>
                <c:pt idx="0">
                  <c:v>Noslēgti līgumi</c:v>
                </c:pt>
              </c:strCache>
            </c:strRef>
          </c:tx>
          <c:invertIfNegative val="0"/>
          <c:dLbls>
            <c:dLbl>
              <c:idx val="0"/>
              <c:layout/>
              <c:tx>
                <c:rich>
                  <a:bodyPr/>
                  <a:lstStyle/>
                  <a:p>
                    <a:r>
                      <a:rPr lang="en-US"/>
                      <a:t>7,1 (83%); 8,5%</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36,4 (90%); 1,9%</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223,9 (98,6%); 3,6%</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436,8 (88,3%); 3,1%</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230,7 (89%); 5,1%</a:t>
                    </a:r>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681,1 (104,6%);</a:t>
                    </a:r>
                    <a:r>
                      <a:rPr lang="en-US" baseline="0"/>
                      <a:t> 3,4%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403,3 (101,7%); 1%</a:t>
                    </a:r>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a:t>362,9 (92,0%); -0,2%</a:t>
                    </a:r>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a:t>2 382,2 (96,4%); 2,5%)</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'3DP'!$B$16:$B$33</c:f>
              <c:strCache>
                <c:ptCount val="17"/>
                <c:pt idx="0">
                  <c:v>Tehniskā palīdzība KF ieviešanai</c:v>
                </c:pt>
                <c:pt idx="2">
                  <c:v>Tehniskā palīdzība ERAF ieviešanai</c:v>
                </c:pt>
                <c:pt idx="4">
                  <c:v>Policentriska attīstība</c:v>
                </c:pt>
                <c:pt idx="6">
                  <c:v>Vides infrastruktūras un videi draudzīgas enerģētikas veicināšana</c:v>
                </c:pt>
                <c:pt idx="8">
                  <c:v>Kvalitatīvas vides dzīvei un ekonomiskai aktivitātei nodrošināšana</c:v>
                </c:pt>
                <c:pt idx="10">
                  <c:v>Eiropas nozīmes transporta tīklu attīstība un ilgtspējīga transporta veicināšana</c:v>
                </c:pt>
                <c:pt idx="12">
                  <c:v>Teritoriju pieejamības un sasniedzamības veicināšana</c:v>
                </c:pt>
                <c:pt idx="14">
                  <c:v>Infrastruktūra cilvēku kapitāla nostiprināšanai</c:v>
                </c:pt>
                <c:pt idx="16">
                  <c:v>DP "Infrastruktūra un pakalpojumi" kopā</c:v>
                </c:pt>
              </c:strCache>
            </c:strRef>
          </c:cat>
          <c:val>
            <c:numRef>
              <c:f>'3DP'!$D$16:$D$33</c:f>
              <c:numCache>
                <c:formatCode>General</c:formatCode>
                <c:ptCount val="18"/>
                <c:pt idx="0" formatCode="#,##0_ ;\-#,##0\ ">
                  <c:v>7115306.0099999998</c:v>
                </c:pt>
                <c:pt idx="2" formatCode="#,##0_ ;\-#,##0\ ">
                  <c:v>36421964.039999999</c:v>
                </c:pt>
                <c:pt idx="4" formatCode="#,##0_ ;\-#,##0\ ">
                  <c:v>223856864.37</c:v>
                </c:pt>
                <c:pt idx="6" formatCode="#,##0_ ;\-#,##0\ ">
                  <c:v>436760208.31</c:v>
                </c:pt>
                <c:pt idx="8" formatCode="#,##0_ ;\-#,##0\ ">
                  <c:v>230688399.36000001</c:v>
                </c:pt>
                <c:pt idx="10" formatCode="#,##0_ ;\-#,##0\ ">
                  <c:v>681105626.16999996</c:v>
                </c:pt>
                <c:pt idx="12" formatCode="#,##0_ ;\-#,##0\ ">
                  <c:v>403335191.63</c:v>
                </c:pt>
                <c:pt idx="14" formatCode="#,##0_ ;\-#,##0\ ">
                  <c:v>362879981.13999999</c:v>
                </c:pt>
                <c:pt idx="16" formatCode="#,##0_ ;\-#,##0\ ">
                  <c:v>2382163541.0300002</c:v>
                </c:pt>
              </c:numCache>
            </c:numRef>
          </c:val>
        </c:ser>
        <c:ser>
          <c:idx val="2"/>
          <c:order val="2"/>
          <c:tx>
            <c:strRef>
              <c:f>'3DP'!$E$15</c:f>
              <c:strCache>
                <c:ptCount val="1"/>
                <c:pt idx="0">
                  <c:v>Apstiprināti projekti</c:v>
                </c:pt>
              </c:strCache>
            </c:strRef>
          </c:tx>
          <c:invertIfNegative val="0"/>
          <c:dLbls>
            <c:dLbl>
              <c:idx val="0"/>
              <c:layout/>
              <c:tx>
                <c:rich>
                  <a:bodyPr/>
                  <a:lstStyle/>
                  <a:p>
                    <a:r>
                      <a:rPr lang="en-US"/>
                      <a:t>7,1 (83%); 8,5%</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36,4 (90%); 1,9%</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227,1 (100,1%);</a:t>
                    </a:r>
                    <a:r>
                      <a:rPr lang="en-US" sz="950" b="0" i="0" u="none" strike="noStrike" kern="1200" baseline="0">
                        <a:solidFill>
                          <a:sysClr val="windowText" lastClr="000000"/>
                        </a:solidFill>
                        <a:latin typeface="Times New Roman" pitchFamily="18" charset="0"/>
                        <a:ea typeface="+mn-ea"/>
                        <a:cs typeface="Times New Roman" pitchFamily="18" charset="0"/>
                      </a:rPr>
                      <a:t> </a:t>
                    </a:r>
                    <a:r>
                      <a:rPr lang="en-US"/>
                      <a:t>3,3%</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445,2 (90%); 0,1%</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238,0 (91,8%); 2,2%</a:t>
                    </a:r>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681,1 (104,3%); 3,4%</a:t>
                    </a:r>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408,6 (103%); 1,2%</a:t>
                    </a:r>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a:t>363,7 (92,2%); 0% </a:t>
                    </a:r>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a:t>2 407,2 (97,4%); 1,7%</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'3DP'!$B$16:$B$33</c:f>
              <c:strCache>
                <c:ptCount val="17"/>
                <c:pt idx="0">
                  <c:v>Tehniskā palīdzība KF ieviešanai</c:v>
                </c:pt>
                <c:pt idx="2">
                  <c:v>Tehniskā palīdzība ERAF ieviešanai</c:v>
                </c:pt>
                <c:pt idx="4">
                  <c:v>Policentriska attīstība</c:v>
                </c:pt>
                <c:pt idx="6">
                  <c:v>Vides infrastruktūras un videi draudzīgas enerģētikas veicināšana</c:v>
                </c:pt>
                <c:pt idx="8">
                  <c:v>Kvalitatīvas vides dzīvei un ekonomiskai aktivitātei nodrošināšana</c:v>
                </c:pt>
                <c:pt idx="10">
                  <c:v>Eiropas nozīmes transporta tīklu attīstība un ilgtspējīga transporta veicināšana</c:v>
                </c:pt>
                <c:pt idx="12">
                  <c:v>Teritoriju pieejamības un sasniedzamības veicināšana</c:v>
                </c:pt>
                <c:pt idx="14">
                  <c:v>Infrastruktūra cilvēku kapitāla nostiprināšanai</c:v>
                </c:pt>
                <c:pt idx="16">
                  <c:v>DP "Infrastruktūra un pakalpojumi" kopā</c:v>
                </c:pt>
              </c:strCache>
            </c:strRef>
          </c:cat>
          <c:val>
            <c:numRef>
              <c:f>'3DP'!$E$16:$E$33</c:f>
              <c:numCache>
                <c:formatCode>General</c:formatCode>
                <c:ptCount val="18"/>
                <c:pt idx="0" formatCode="#,##0_ ;\-#,##0\ ">
                  <c:v>7115306.0099999998</c:v>
                </c:pt>
                <c:pt idx="2" formatCode="#,##0_ ;\-#,##0\ ">
                  <c:v>36421964.039999999</c:v>
                </c:pt>
                <c:pt idx="4" formatCode="#,##0_ ;\-#,##0\ ">
                  <c:v>227122974.49000001</c:v>
                </c:pt>
                <c:pt idx="6" formatCode="#,##0_ ;\-#,##0\ ">
                  <c:v>445172077.25</c:v>
                </c:pt>
                <c:pt idx="8" formatCode="#,##0_ ;\-#,##0\ ">
                  <c:v>238023112.86000001</c:v>
                </c:pt>
                <c:pt idx="10" formatCode="#,##0_ ;\-#,##0\ ">
                  <c:v>681105626.16999996</c:v>
                </c:pt>
                <c:pt idx="12" formatCode="#,##0_ ;\-#,##0\ ">
                  <c:v>408602174.85000002</c:v>
                </c:pt>
                <c:pt idx="14" formatCode="#,##0_ ;\-#,##0\ ">
                  <c:v>363654642.16000003</c:v>
                </c:pt>
                <c:pt idx="16" formatCode="#,##0_ ;\-#,##0\ ">
                  <c:v>2407217877.8299999</c:v>
                </c:pt>
              </c:numCache>
            </c:numRef>
          </c:val>
        </c:ser>
        <c:dLbls>
          <c:showLegendKey val="0"/>
          <c:showVal val="0"/>
          <c:showCatName val="0"/>
          <c:showSerName val="0"/>
          <c:showPercent val="0"/>
          <c:showBubbleSize val="0"/>
        </c:dLbls>
        <c:gapWidth val="14"/>
        <c:axId val="28228608"/>
        <c:axId val="28345088"/>
      </c:barChart>
      <c:barChart>
        <c:barDir val="bar"/>
        <c:grouping val="stacked"/>
        <c:varyColors val="0"/>
        <c:ser>
          <c:idx val="3"/>
          <c:order val="3"/>
          <c:tx>
            <c:strRef>
              <c:f>'3DP'!$F$15</c:f>
              <c:strCache>
                <c:ptCount val="1"/>
                <c:pt idx="0">
                  <c:v>Piešķirtais publiskais finansējums</c:v>
                </c:pt>
              </c:strCache>
            </c:strRef>
          </c:tx>
          <c:invertIfNegative val="0"/>
          <c:dLbls>
            <c:dLbl>
              <c:idx val="1"/>
              <c:layout>
                <c:manualLayout>
                  <c:x val="3.7367641195271091E-2"/>
                  <c:y val="1.0403071256858689E-16"/>
                </c:manualLayout>
              </c:layout>
              <c:tx>
                <c:rich>
                  <a:bodyPr/>
                  <a:lstStyle/>
                  <a:p>
                    <a:pPr>
                      <a:defRPr b="1"/>
                    </a:pPr>
                    <a:r>
                      <a:rPr lang="en-US" b="1"/>
                      <a:t>8,6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3"/>
              <c:layout>
                <c:manualLayout>
                  <c:x val="4.3863500270266198E-2"/>
                  <c:y val="0"/>
                </c:manualLayout>
              </c:layout>
              <c:tx>
                <c:rich>
                  <a:bodyPr/>
                  <a:lstStyle/>
                  <a:p>
                    <a:pPr>
                      <a:defRPr b="1"/>
                    </a:pPr>
                    <a:r>
                      <a:rPr lang="en-US" b="1"/>
                      <a:t>40,5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5"/>
              <c:layout>
                <c:manualLayout>
                  <c:x val="-2.7755100455008754E-2"/>
                  <c:y val="0"/>
                </c:manualLayout>
              </c:layout>
              <c:tx>
                <c:rich>
                  <a:bodyPr/>
                  <a:lstStyle/>
                  <a:p>
                    <a:r>
                      <a:rPr lang="en-US" b="0"/>
                      <a:t>227,0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1.7683213023350956E-2"/>
                  <c:y val="0"/>
                </c:manualLayout>
              </c:layout>
              <c:tx>
                <c:rich>
                  <a:bodyPr/>
                  <a:lstStyle/>
                  <a:p>
                    <a:r>
                      <a:rPr lang="en-US" b="0"/>
                      <a:t>494,9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2.4113472304569426E-2"/>
                  <c:y val="0"/>
                </c:manualLayout>
              </c:layout>
              <c:tx>
                <c:rich>
                  <a:bodyPr/>
                  <a:lstStyle/>
                  <a:p>
                    <a:r>
                      <a:rPr lang="en-US" b="0"/>
                      <a:t>259,2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6.4302592812184702E-3"/>
                  <c:y val="0"/>
                </c:manualLayout>
              </c:layout>
              <c:tx>
                <c:rich>
                  <a:bodyPr/>
                  <a:lstStyle/>
                  <a:p>
                    <a:r>
                      <a:rPr lang="en-US" b="0"/>
                      <a:t>651,0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2.2505907484264912E-2"/>
                  <c:y val="-2.6007678142146722E-17"/>
                </c:manualLayout>
              </c:layout>
              <c:tx>
                <c:rich>
                  <a:bodyPr/>
                  <a:lstStyle/>
                  <a:p>
                    <a:r>
                      <a:rPr lang="en-US" b="0"/>
                      <a:t>396,6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1.1252953742132367E-2"/>
                  <c:y val="0"/>
                </c:manualLayout>
              </c:layout>
              <c:tx>
                <c:rich>
                  <a:bodyPr/>
                  <a:lstStyle/>
                  <a:p>
                    <a:r>
                      <a:rPr lang="en-US" b="0"/>
                      <a:t>394,5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7"/>
              <c:layout/>
              <c:tx>
                <c:rich>
                  <a:bodyPr/>
                  <a:lstStyle/>
                  <a:p>
                    <a:r>
                      <a:rPr lang="en-US" b="0"/>
                      <a:t>2 472,2 (100%)</a:t>
                    </a:r>
                    <a:endParaRPr lang="en-US"/>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'3DP'!$B$16:$B$33</c:f>
              <c:strCache>
                <c:ptCount val="17"/>
                <c:pt idx="0">
                  <c:v>Tehniskā palīdzība KF ieviešanai</c:v>
                </c:pt>
                <c:pt idx="2">
                  <c:v>Tehniskā palīdzība ERAF ieviešanai</c:v>
                </c:pt>
                <c:pt idx="4">
                  <c:v>Policentriska attīstība</c:v>
                </c:pt>
                <c:pt idx="6">
                  <c:v>Vides infrastruktūras un videi draudzīgas enerģētikas veicināšana</c:v>
                </c:pt>
                <c:pt idx="8">
                  <c:v>Kvalitatīvas vides dzīvei un ekonomiskai aktivitātei nodrošināšana</c:v>
                </c:pt>
                <c:pt idx="10">
                  <c:v>Eiropas nozīmes transporta tīklu attīstība un ilgtspējīga transporta veicināšana</c:v>
                </c:pt>
                <c:pt idx="12">
                  <c:v>Teritoriju pieejamības un sasniedzamības veicināšana</c:v>
                </c:pt>
                <c:pt idx="14">
                  <c:v>Infrastruktūra cilvēku kapitāla nostiprināšanai</c:v>
                </c:pt>
                <c:pt idx="16">
                  <c:v>DP "Infrastruktūra un pakalpojumi" kopā</c:v>
                </c:pt>
              </c:strCache>
            </c:strRef>
          </c:cat>
          <c:val>
            <c:numRef>
              <c:f>'3DP'!$F$16:$F$33</c:f>
              <c:numCache>
                <c:formatCode>#,##0_ ;\-#,##0\ </c:formatCode>
                <c:ptCount val="18"/>
                <c:pt idx="1">
                  <c:v>8574208.8000000007</c:v>
                </c:pt>
                <c:pt idx="3">
                  <c:v>40488570.07</c:v>
                </c:pt>
                <c:pt idx="5">
                  <c:v>226969401.31</c:v>
                </c:pt>
                <c:pt idx="7">
                  <c:v>494896636</c:v>
                </c:pt>
                <c:pt idx="9">
                  <c:v>259173385.30000001</c:v>
                </c:pt>
                <c:pt idx="11">
                  <c:v>651027786.54999995</c:v>
                </c:pt>
                <c:pt idx="13">
                  <c:v>396573367.89999998</c:v>
                </c:pt>
                <c:pt idx="15">
                  <c:v>394454499</c:v>
                </c:pt>
                <c:pt idx="17">
                  <c:v>2472157854.9300003</c:v>
                </c:pt>
              </c:numCache>
            </c:numRef>
          </c:val>
        </c:ser>
        <c:ser>
          <c:idx val="4"/>
          <c:order val="4"/>
          <c:tx>
            <c:strRef>
              <c:f>'3DP'!$G$15</c:f>
              <c:strCache>
                <c:ptCount val="1"/>
                <c:pt idx="0">
                  <c:v>Piešķirtais virssaistību apjoms</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layout>
                <c:manualLayout>
                  <c:x val="6.3108448170244566E-2"/>
                  <c:y val="0"/>
                </c:manualLayout>
              </c:layout>
              <c:tx>
                <c:rich>
                  <a:bodyPr/>
                  <a:lstStyle/>
                  <a:p>
                    <a:r>
                      <a:rPr lang="en-US"/>
                      <a:t>43,6 (19,2%)</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5.1850432274663086E-2"/>
                  <c:y val="6.7780485240287636E-17"/>
                </c:manualLayout>
              </c:layout>
              <c:tx>
                <c:rich>
                  <a:bodyPr/>
                  <a:lstStyle/>
                  <a:p>
                    <a:r>
                      <a:rPr lang="en-US"/>
                      <a:t>11,9 (2,4%)</a:t>
                    </a:r>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6.426619024654999E-2"/>
                  <c:y val="0"/>
                </c:manualLayout>
              </c:layout>
              <c:tx>
                <c:rich>
                  <a:bodyPr/>
                  <a:lstStyle/>
                  <a:p>
                    <a:r>
                      <a:rPr lang="en-US"/>
                      <a:t>27,0 (10,4%)</a:t>
                    </a:r>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4.7763337245037278E-2"/>
                  <c:y val="-1.4555748370702305E-7"/>
                </c:manualLayout>
              </c:layout>
              <c:tx>
                <c:rich>
                  <a:bodyPr/>
                  <a:lstStyle/>
                  <a:p>
                    <a:r>
                      <a:rPr lang="en-US"/>
                      <a:t>35,0 (5,4%)</a:t>
                    </a:r>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5.3355255609980431E-2"/>
                  <c:y val="-1.4555748370702305E-7"/>
                </c:manualLayout>
              </c:layout>
              <c:tx>
                <c:rich>
                  <a:bodyPr/>
                  <a:lstStyle/>
                  <a:p>
                    <a:r>
                      <a:rPr lang="en-US"/>
                      <a:t>33,8 (8,5%)</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6.6115037565069687E-2"/>
                  <c:y val="2.2785568499497388E-3"/>
                </c:manualLayout>
              </c:layout>
              <c:tx>
                <c:rich>
                  <a:bodyPr/>
                  <a:lstStyle/>
                  <a:p>
                    <a:r>
                      <a:rPr lang="en-US"/>
                      <a:t>65,5 (16,6%)</a:t>
                    </a:r>
                  </a:p>
                </c:rich>
              </c:tx>
              <c:showLegendKey val="0"/>
              <c:showVal val="1"/>
              <c:showCatName val="0"/>
              <c:showSerName val="0"/>
              <c:showPercent val="0"/>
              <c:showBubbleSize val="0"/>
              <c:extLst>
                <c:ext xmlns:c15="http://schemas.microsoft.com/office/drawing/2012/chart" uri="{CE6537A1-D6FC-4f65-9D91-7224C49458BB}"/>
              </c:extLst>
            </c:dLbl>
            <c:dLbl>
              <c:idx val="17"/>
              <c:layout>
                <c:manualLayout>
                  <c:x val="9.8647026726866038E-3"/>
                  <c:y val="0"/>
                </c:manualLayout>
              </c:layout>
              <c:tx>
                <c:rich>
                  <a:bodyPr/>
                  <a:lstStyle/>
                  <a:p>
                    <a:r>
                      <a:rPr lang="en-US"/>
                      <a:t>216,9(8,8%)</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'3DP'!$B$16:$B$33</c:f>
              <c:strCache>
                <c:ptCount val="17"/>
                <c:pt idx="0">
                  <c:v>Tehniskā palīdzība KF ieviešanai</c:v>
                </c:pt>
                <c:pt idx="2">
                  <c:v>Tehniskā palīdzība ERAF ieviešanai</c:v>
                </c:pt>
                <c:pt idx="4">
                  <c:v>Policentriska attīstība</c:v>
                </c:pt>
                <c:pt idx="6">
                  <c:v>Vides infrastruktūras un videi draudzīgas enerģētikas veicināšana</c:v>
                </c:pt>
                <c:pt idx="8">
                  <c:v>Kvalitatīvas vides dzīvei un ekonomiskai aktivitātei nodrošināšana</c:v>
                </c:pt>
                <c:pt idx="10">
                  <c:v>Eiropas nozīmes transporta tīklu attīstība un ilgtspējīga transporta veicināšana</c:v>
                </c:pt>
                <c:pt idx="12">
                  <c:v>Teritoriju pieejamības un sasniedzamības veicināšana</c:v>
                </c:pt>
                <c:pt idx="14">
                  <c:v>Infrastruktūra cilvēku kapitāla nostiprināšanai</c:v>
                </c:pt>
                <c:pt idx="16">
                  <c:v>DP "Infrastruktūra un pakalpojumi" kopā</c:v>
                </c:pt>
              </c:strCache>
            </c:strRef>
          </c:cat>
          <c:val>
            <c:numRef>
              <c:f>'3DP'!$G$16:$G$33</c:f>
              <c:numCache>
                <c:formatCode>#,##0_ ;\-#,##0\ </c:formatCode>
                <c:ptCount val="18"/>
                <c:pt idx="1">
                  <c:v>0</c:v>
                </c:pt>
                <c:pt idx="3">
                  <c:v>0</c:v>
                </c:pt>
                <c:pt idx="5">
                  <c:v>43561543</c:v>
                </c:pt>
                <c:pt idx="7">
                  <c:v>11912839</c:v>
                </c:pt>
                <c:pt idx="9">
                  <c:v>27000000</c:v>
                </c:pt>
                <c:pt idx="11">
                  <c:v>35044118</c:v>
                </c:pt>
                <c:pt idx="13">
                  <c:v>33785455</c:v>
                </c:pt>
                <c:pt idx="15">
                  <c:v>65549363</c:v>
                </c:pt>
                <c:pt idx="17">
                  <c:v>216853318</c:v>
                </c:pt>
              </c:numCache>
            </c:numRef>
          </c:val>
        </c:ser>
        <c:dLbls>
          <c:showLegendKey val="0"/>
          <c:showVal val="0"/>
          <c:showCatName val="0"/>
          <c:showSerName val="0"/>
          <c:showPercent val="0"/>
          <c:showBubbleSize val="0"/>
        </c:dLbls>
        <c:gapWidth val="113"/>
        <c:overlap val="100"/>
        <c:axId val="28357376"/>
        <c:axId val="28347008"/>
      </c:barChart>
      <c:catAx>
        <c:axId val="28228608"/>
        <c:scaling>
          <c:orientation val="minMax"/>
        </c:scaling>
        <c:delete val="0"/>
        <c:axPos val="l"/>
        <c:numFmt formatCode="General" sourceLinked="0"/>
        <c:majorTickMark val="out"/>
        <c:minorTickMark val="none"/>
        <c:tickLblPos val="nextTo"/>
        <c:crossAx val="28345088"/>
        <c:crosses val="autoZero"/>
        <c:auto val="1"/>
        <c:lblAlgn val="ctr"/>
        <c:lblOffset val="100"/>
        <c:noMultiLvlLbl val="0"/>
      </c:catAx>
      <c:valAx>
        <c:axId val="28345088"/>
        <c:scaling>
          <c:orientation val="minMax"/>
        </c:scaling>
        <c:delete val="0"/>
        <c:axPos val="b"/>
        <c:majorGridlines/>
        <c:numFmt formatCode="#,##0_ ;\-#,##0\ " sourceLinked="1"/>
        <c:majorTickMark val="out"/>
        <c:minorTickMark val="none"/>
        <c:tickLblPos val="nextTo"/>
        <c:crossAx val="28228608"/>
        <c:crosses val="autoZero"/>
        <c:crossBetween val="between"/>
        <c:dispUnits>
          <c:builtInUnit val="millions"/>
        </c:dispUnits>
      </c:valAx>
      <c:valAx>
        <c:axId val="28347008"/>
        <c:scaling>
          <c:orientation val="minMax"/>
        </c:scaling>
        <c:delete val="1"/>
        <c:axPos val="t"/>
        <c:numFmt formatCode="#,##0_ ;\-#,##0\ " sourceLinked="1"/>
        <c:majorTickMark val="out"/>
        <c:minorTickMark val="none"/>
        <c:tickLblPos val="nextTo"/>
        <c:crossAx val="28357376"/>
        <c:crosses val="max"/>
        <c:crossBetween val="between"/>
        <c:dispUnits>
          <c:builtInUnit val="millions"/>
        </c:dispUnits>
      </c:valAx>
      <c:catAx>
        <c:axId val="28357376"/>
        <c:scaling>
          <c:orientation val="minMax"/>
        </c:scaling>
        <c:delete val="1"/>
        <c:axPos val="l"/>
        <c:numFmt formatCode="General" sourceLinked="1"/>
        <c:majorTickMark val="out"/>
        <c:minorTickMark val="none"/>
        <c:tickLblPos val="nextTo"/>
        <c:crossAx val="28347008"/>
        <c:crosses val="autoZero"/>
        <c:auto val="1"/>
        <c:lblAlgn val="ctr"/>
        <c:lblOffset val="100"/>
        <c:noMultiLvlLbl val="0"/>
      </c:catAx>
    </c:plotArea>
    <c:legend>
      <c:legendPos val="b"/>
      <c:layout>
        <c:manualLayout>
          <c:xMode val="edge"/>
          <c:yMode val="edge"/>
          <c:x val="1.9665205011361861E-2"/>
          <c:y val="0.91590734585480638"/>
          <c:w val="0.98033479498863818"/>
          <c:h val="7.5580944285097734E-2"/>
        </c:manualLayout>
      </c:layout>
      <c:overlay val="0"/>
    </c:legend>
    <c:plotVisOnly val="1"/>
    <c:dispBlanksAs val="gap"/>
    <c:showDLblsOverMax val="0"/>
  </c:chart>
  <c:spPr>
    <a:ln>
      <a:noFill/>
    </a:ln>
  </c:spPr>
  <c:txPr>
    <a:bodyPr/>
    <a:lstStyle/>
    <a:p>
      <a:pPr>
        <a:defRPr sz="950">
          <a:latin typeface="Times New Roman" pitchFamily="18" charset="0"/>
          <a:cs typeface="Times New Roman" pitchFamily="18" charset="0"/>
        </a:defRPr>
      </a:pPr>
      <a:endParaRPr lang="lv-LV"/>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133836680284739E-2"/>
          <c:y val="8.994276369582993E-2"/>
          <c:w val="0.94286616331971529"/>
          <c:h val="0.6362788518289908"/>
        </c:manualLayout>
      </c:layout>
      <c:bar3DChart>
        <c:barDir val="col"/>
        <c:grouping val="clustered"/>
        <c:varyColors val="0"/>
        <c:ser>
          <c:idx val="0"/>
          <c:order val="0"/>
          <c:tx>
            <c:v>Apguves plāns </c:v>
          </c:tx>
          <c:spPr>
            <a:solidFill>
              <a:schemeClr val="accent1"/>
            </a:solidFill>
            <a:ln>
              <a:noFill/>
            </a:ln>
            <a:effectLst/>
            <a:sp3d/>
          </c:spPr>
          <c:invertIfNegative val="0"/>
          <c:dLbls>
            <c:dLbl>
              <c:idx val="0"/>
              <c:layout>
                <c:manualLayout>
                  <c:x val="-8.9086328510395926E-3"/>
                  <c:y val="-1.0552306620672273E-2"/>
                </c:manualLayout>
              </c:layout>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0278247468492726E-2"/>
                  <c:y val="-1.9170854584506389E-2"/>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6.6814746382797751E-3"/>
                  <c:y val="-1.8379016142813429E-2"/>
                </c:manualLayout>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2271582127598982E-3"/>
                  <c:y val="-1.4861580602589332E-2"/>
                </c:manualLayout>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Sheet1!$I$2:$L$2</c:f>
              <c:strCache>
                <c:ptCount val="4"/>
                <c:pt idx="0">
                  <c:v>1.ceturksnis</c:v>
                </c:pt>
                <c:pt idx="1">
                  <c:v>2.ceturksnis</c:v>
                </c:pt>
                <c:pt idx="2">
                  <c:v>3.ceturksnis</c:v>
                </c:pt>
                <c:pt idx="3">
                  <c:v>4.ceturksnis</c:v>
                </c:pt>
              </c:strCache>
            </c:strRef>
          </c:cat>
          <c:val>
            <c:numRef>
              <c:f>Sheet1!$I$4:$L$4</c:f>
              <c:numCache>
                <c:formatCode>#,##0</c:formatCode>
                <c:ptCount val="4"/>
                <c:pt idx="0">
                  <c:v>405027</c:v>
                </c:pt>
                <c:pt idx="1">
                  <c:v>1591776</c:v>
                </c:pt>
                <c:pt idx="2">
                  <c:v>3342543</c:v>
                </c:pt>
                <c:pt idx="3">
                  <c:v>2782327</c:v>
                </c:pt>
              </c:numCache>
            </c:numRef>
          </c:val>
        </c:ser>
        <c:ser>
          <c:idx val="1"/>
          <c:order val="1"/>
          <c:tx>
            <c:strRef>
              <c:f>Sheet1!$A$5</c:f>
              <c:strCache>
                <c:ptCount val="1"/>
                <c:pt idx="0">
                  <c:v>Izpilde</c:v>
                </c:pt>
              </c:strCache>
            </c:strRef>
          </c:tx>
          <c:spPr>
            <a:solidFill>
              <a:schemeClr val="accent2"/>
            </a:solidFill>
            <a:ln>
              <a:noFill/>
            </a:ln>
            <a:effectLst/>
            <a:sp3d/>
          </c:spPr>
          <c:invertIfNegative val="0"/>
          <c:dLbls>
            <c:dLbl>
              <c:idx val="0"/>
              <c:layout>
                <c:manualLayout>
                  <c:x val="1.6364527226921468E-2"/>
                  <c:y val="-2.1896451683037513E-2"/>
                </c:manualLayout>
              </c:layout>
              <c:tx>
                <c:rich>
                  <a:bodyPr/>
                  <a:lstStyle/>
                  <a:p>
                    <a:r>
                      <a:rPr lang="en-US"/>
                      <a:t>0,08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Sheet1!$I$5</c:f>
              <c:numCache>
                <c:formatCode>#,##0</c:formatCode>
                <c:ptCount val="1"/>
                <c:pt idx="0">
                  <c:v>79895</c:v>
                </c:pt>
              </c:numCache>
            </c:numRef>
          </c:val>
        </c:ser>
        <c:dLbls>
          <c:showLegendKey val="0"/>
          <c:showVal val="1"/>
          <c:showCatName val="0"/>
          <c:showSerName val="0"/>
          <c:showPercent val="0"/>
          <c:showBubbleSize val="0"/>
        </c:dLbls>
        <c:gapWidth val="150"/>
        <c:shape val="box"/>
        <c:axId val="28691072"/>
        <c:axId val="28692864"/>
        <c:axId val="0"/>
      </c:bar3DChart>
      <c:catAx>
        <c:axId val="2869107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lv-LV"/>
          </a:p>
        </c:txPr>
        <c:crossAx val="28692864"/>
        <c:crosses val="autoZero"/>
        <c:auto val="1"/>
        <c:lblAlgn val="ctr"/>
        <c:lblOffset val="100"/>
        <c:noMultiLvlLbl val="0"/>
      </c:catAx>
      <c:valAx>
        <c:axId val="28692864"/>
        <c:scaling>
          <c:orientation val="minMax"/>
          <c:max val="300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vert="horz"/>
          <a:lstStyle/>
          <a:p>
            <a:pPr>
              <a:defRPr/>
            </a:pPr>
            <a:endParaRPr lang="lv-LV"/>
          </a:p>
        </c:txPr>
        <c:crossAx val="28691072"/>
        <c:crosses val="autoZero"/>
        <c:crossBetween val="between"/>
        <c:dispUnits>
          <c:builtInUnit val="hundredThousands"/>
        </c:dispUnits>
      </c:valAx>
      <c:spPr>
        <a:noFill/>
        <a:ln>
          <a:noFill/>
        </a:ln>
        <a:effectLst/>
      </c:spPr>
    </c:plotArea>
    <c:legend>
      <c:legendPos val="b"/>
      <c:layout>
        <c:manualLayout>
          <c:xMode val="edge"/>
          <c:yMode val="edge"/>
          <c:x val="0.35009411378702221"/>
          <c:y val="0.86133169371817075"/>
          <c:w val="0.29981177242595553"/>
          <c:h val="0.13866835385355072"/>
        </c:manualLayout>
      </c:layout>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6692125237585251"/>
          <c:y val="3.1152647975077899E-2"/>
          <c:w val="0.55738197999773731"/>
          <c:h val="0.81976559054007136"/>
        </c:manualLayout>
      </c:layout>
      <c:bar3DChart>
        <c:barDir val="bar"/>
        <c:grouping val="clustered"/>
        <c:varyColors val="0"/>
        <c:ser>
          <c:idx val="1"/>
          <c:order val="0"/>
          <c:tx>
            <c:strRef>
              <c:f>'Analīze par kumul datiem'!$R$6</c:f>
              <c:strCache>
                <c:ptCount val="1"/>
                <c:pt idx="0">
                  <c:v>NVO</c:v>
                </c:pt>
              </c:strCache>
            </c:strRef>
          </c:tx>
          <c:invertIfNegative val="0"/>
          <c:dLbls>
            <c:dLbl>
              <c:idx val="0"/>
              <c:layout/>
              <c:tx>
                <c:rich>
                  <a:bodyPr/>
                  <a:lstStyle/>
                  <a:p>
                    <a:r>
                      <a:rPr lang="en-US" sz="1050" b="1"/>
                      <a:t>0,1 (17,7%, 0,5%)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050" b="1"/>
                      <a:t>3,1 (27,5%, 0,5%)</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datiem'!$V$3:$W$3</c:f>
              <c:strCache>
                <c:ptCount val="2"/>
                <c:pt idx="0">
                  <c:v>Neatbilstības uz 31.12.2012</c:v>
                </c:pt>
                <c:pt idx="1">
                  <c:v>Neatbilstības uz 31.03.2013</c:v>
                </c:pt>
              </c:strCache>
            </c:strRef>
          </c:cat>
          <c:val>
            <c:numRef>
              <c:f>'Analīze par kumul datiem'!$S$6:$W$6</c:f>
              <c:numCache>
                <c:formatCode>#,##0.00</c:formatCode>
                <c:ptCount val="2"/>
                <c:pt idx="0">
                  <c:v>136281.90000000002</c:v>
                </c:pt>
                <c:pt idx="1">
                  <c:v>163585.54</c:v>
                </c:pt>
              </c:numCache>
            </c:numRef>
          </c:val>
        </c:ser>
        <c:ser>
          <c:idx val="2"/>
          <c:order val="1"/>
          <c:tx>
            <c:strRef>
              <c:f>'Analīze par kumul datiem'!$R$8</c:f>
              <c:strCache>
                <c:ptCount val="1"/>
                <c:pt idx="0">
                  <c:v>Valsts iestādes</c:v>
                </c:pt>
              </c:strCache>
            </c:strRef>
          </c:tx>
          <c:invertIfNegative val="0"/>
          <c:dLbls>
            <c:dLbl>
              <c:idx val="0"/>
              <c:layout/>
              <c:tx>
                <c:rich>
                  <a:bodyPr/>
                  <a:lstStyle/>
                  <a:p>
                    <a:r>
                      <a:rPr lang="en-US" sz="1050" b="1"/>
                      <a:t>2,4 (41,7%, 0,4%)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050" b="1"/>
                      <a:t>3,0 (27,5%, 0,5%)</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datiem'!$V$3:$W$3</c:f>
              <c:strCache>
                <c:ptCount val="2"/>
                <c:pt idx="0">
                  <c:v>Neatbilstības uz 31.12.2012</c:v>
                </c:pt>
                <c:pt idx="1">
                  <c:v>Neatbilstības uz 31.03.2013</c:v>
                </c:pt>
              </c:strCache>
            </c:strRef>
          </c:cat>
          <c:val>
            <c:numRef>
              <c:f>'Analīze par kumul datiem'!$S$8:$W$8</c:f>
              <c:numCache>
                <c:formatCode>#,##0.00</c:formatCode>
                <c:ptCount val="2"/>
                <c:pt idx="0">
                  <c:v>2392636.1300000008</c:v>
                </c:pt>
                <c:pt idx="1">
                  <c:v>3050213.7699999982</c:v>
                </c:pt>
              </c:numCache>
            </c:numRef>
          </c:val>
        </c:ser>
        <c:ser>
          <c:idx val="3"/>
          <c:order val="2"/>
          <c:tx>
            <c:strRef>
              <c:f>'Analīze par kumul datiem'!$R$4</c:f>
              <c:strCache>
                <c:ptCount val="1"/>
                <c:pt idx="0">
                  <c:v>Izglītības iestādes</c:v>
                </c:pt>
              </c:strCache>
            </c:strRef>
          </c:tx>
          <c:invertIfNegative val="0"/>
          <c:dLbls>
            <c:dLbl>
              <c:idx val="0"/>
              <c:layout/>
              <c:tx>
                <c:rich>
                  <a:bodyPr/>
                  <a:lstStyle/>
                  <a:p>
                    <a:r>
                      <a:rPr lang="en-US" sz="1050" b="1"/>
                      <a:t>5,5 (3,9%, 2,3%)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050" b="1"/>
                      <a:t>5,8 (4,3%, 2,2%)</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datiem'!$V$3:$W$3</c:f>
              <c:strCache>
                <c:ptCount val="2"/>
                <c:pt idx="0">
                  <c:v>Neatbilstības uz 31.12.2012</c:v>
                </c:pt>
                <c:pt idx="1">
                  <c:v>Neatbilstības uz 31.03.2013</c:v>
                </c:pt>
              </c:strCache>
            </c:strRef>
          </c:cat>
          <c:val>
            <c:numRef>
              <c:f>'Analīze par kumul datiem'!$S$4:$W$4</c:f>
              <c:numCache>
                <c:formatCode>#,##0.00</c:formatCode>
                <c:ptCount val="2"/>
                <c:pt idx="0">
                  <c:v>5538931.5700000022</c:v>
                </c:pt>
                <c:pt idx="1">
                  <c:v>5779133.8000000035</c:v>
                </c:pt>
              </c:numCache>
            </c:numRef>
          </c:val>
        </c:ser>
        <c:ser>
          <c:idx val="4"/>
          <c:order val="3"/>
          <c:tx>
            <c:strRef>
              <c:f>'Analīze par kumul datiem'!$R$7</c:f>
              <c:strCache>
                <c:ptCount val="1"/>
                <c:pt idx="0">
                  <c:v>Pašvaldības</c:v>
                </c:pt>
              </c:strCache>
            </c:strRef>
          </c:tx>
          <c:invertIfNegative val="0"/>
          <c:dLbls>
            <c:dLbl>
              <c:idx val="0"/>
              <c:layout/>
              <c:tx>
                <c:rich>
                  <a:bodyPr/>
                  <a:lstStyle/>
                  <a:p>
                    <a:r>
                      <a:rPr lang="en-US" sz="1050" b="1"/>
                      <a:t>8,2 (5,9%, 1,9%)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050" b="1"/>
                      <a:t>10,0 (22,7%, 1,6%)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datiem'!$V$3:$W$3</c:f>
              <c:strCache>
                <c:ptCount val="2"/>
                <c:pt idx="0">
                  <c:v>Neatbilstības uz 31.12.2012</c:v>
                </c:pt>
                <c:pt idx="1">
                  <c:v>Neatbilstības uz 31.03.2013</c:v>
                </c:pt>
              </c:strCache>
            </c:strRef>
          </c:cat>
          <c:val>
            <c:numRef>
              <c:f>'Analīze par kumul datiem'!$S$7:$W$7</c:f>
              <c:numCache>
                <c:formatCode>#,##0.00</c:formatCode>
                <c:ptCount val="2"/>
                <c:pt idx="0">
                  <c:v>8190080.349999994</c:v>
                </c:pt>
                <c:pt idx="1">
                  <c:v>10046146.66</c:v>
                </c:pt>
              </c:numCache>
            </c:numRef>
          </c:val>
        </c:ser>
        <c:ser>
          <c:idx val="5"/>
          <c:order val="4"/>
          <c:tx>
            <c:strRef>
              <c:f>'Analīze par kumul datiem'!$R$5</c:f>
              <c:strCache>
                <c:ptCount val="1"/>
                <c:pt idx="0">
                  <c:v>Komersanti</c:v>
                </c:pt>
              </c:strCache>
            </c:strRef>
          </c:tx>
          <c:invertIfNegative val="0"/>
          <c:dLbls>
            <c:dLbl>
              <c:idx val="0"/>
              <c:layout/>
              <c:tx>
                <c:rich>
                  <a:bodyPr/>
                  <a:lstStyle/>
                  <a:p>
                    <a:r>
                      <a:rPr lang="en-US" sz="1050" b="1"/>
                      <a:t>11,4 (8,1%, 1,5%)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050" b="1"/>
                      <a:t>26,4 (132,8%, 2,8%)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datiem'!$V$3:$W$3</c:f>
              <c:strCache>
                <c:ptCount val="2"/>
                <c:pt idx="0">
                  <c:v>Neatbilstības uz 31.12.2012</c:v>
                </c:pt>
                <c:pt idx="1">
                  <c:v>Neatbilstības uz 31.03.2013</c:v>
                </c:pt>
              </c:strCache>
            </c:strRef>
          </c:cat>
          <c:val>
            <c:numRef>
              <c:f>'Analīze par kumul datiem'!$S$5:$W$5</c:f>
              <c:numCache>
                <c:formatCode>#,##0.00</c:formatCode>
                <c:ptCount val="2"/>
                <c:pt idx="0">
                  <c:v>11370288.259999998</c:v>
                </c:pt>
                <c:pt idx="1">
                  <c:v>26473685.570000079</c:v>
                </c:pt>
              </c:numCache>
            </c:numRef>
          </c:val>
        </c:ser>
        <c:ser>
          <c:idx val="6"/>
          <c:order val="5"/>
          <c:tx>
            <c:strRef>
              <c:f>'Analīze par kumul datiem'!$R$9</c:f>
              <c:strCache>
                <c:ptCount val="1"/>
                <c:pt idx="0">
                  <c:v>KOPĀ</c:v>
                </c:pt>
              </c:strCache>
            </c:strRef>
          </c:tx>
          <c:spPr>
            <a:ln>
              <a:noFill/>
            </a:ln>
          </c:spPr>
          <c:invertIfNegative val="0"/>
          <c:dLbls>
            <c:dLbl>
              <c:idx val="0"/>
              <c:layout/>
              <c:tx>
                <c:rich>
                  <a:bodyPr/>
                  <a:lstStyle/>
                  <a:p>
                    <a:r>
                      <a:rPr lang="en-US" sz="1050" b="1"/>
                      <a:t>27,6 (8,8%, 1,4%)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050" b="1"/>
                      <a:t>45,5 (64,7%, 1,8%)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datiem'!$V$3:$W$3</c:f>
              <c:strCache>
                <c:ptCount val="2"/>
                <c:pt idx="0">
                  <c:v>Neatbilstības uz 31.12.2012</c:v>
                </c:pt>
                <c:pt idx="1">
                  <c:v>Neatbilstības uz 31.03.2013</c:v>
                </c:pt>
              </c:strCache>
            </c:strRef>
          </c:cat>
          <c:val>
            <c:numRef>
              <c:f>'Analīze par kumul datiem'!$S$9:$W$9</c:f>
              <c:numCache>
                <c:formatCode>#,##0.00</c:formatCode>
                <c:ptCount val="2"/>
                <c:pt idx="0">
                  <c:v>27628218.209999993</c:v>
                </c:pt>
                <c:pt idx="1">
                  <c:v>45512765.340000078</c:v>
                </c:pt>
              </c:numCache>
            </c:numRef>
          </c:val>
        </c:ser>
        <c:dLbls>
          <c:showLegendKey val="0"/>
          <c:showVal val="0"/>
          <c:showCatName val="0"/>
          <c:showSerName val="0"/>
          <c:showPercent val="0"/>
          <c:showBubbleSize val="0"/>
        </c:dLbls>
        <c:gapWidth val="150"/>
        <c:shape val="box"/>
        <c:axId val="28777088"/>
        <c:axId val="28799360"/>
        <c:axId val="0"/>
      </c:bar3DChart>
      <c:catAx>
        <c:axId val="28777088"/>
        <c:scaling>
          <c:orientation val="minMax"/>
        </c:scaling>
        <c:delete val="0"/>
        <c:axPos val="l"/>
        <c:numFmt formatCode="General" sourceLinked="0"/>
        <c:majorTickMark val="out"/>
        <c:minorTickMark val="none"/>
        <c:tickLblPos val="nextTo"/>
        <c:txPr>
          <a:bodyPr/>
          <a:lstStyle/>
          <a:p>
            <a:pPr>
              <a:defRPr sz="1000" b="0"/>
            </a:pPr>
            <a:endParaRPr lang="lv-LV"/>
          </a:p>
        </c:txPr>
        <c:crossAx val="28799360"/>
        <c:crosses val="autoZero"/>
        <c:auto val="1"/>
        <c:lblAlgn val="ctr"/>
        <c:lblOffset val="100"/>
        <c:noMultiLvlLbl val="0"/>
      </c:catAx>
      <c:valAx>
        <c:axId val="28799360"/>
        <c:scaling>
          <c:orientation val="minMax"/>
        </c:scaling>
        <c:delete val="0"/>
        <c:axPos val="b"/>
        <c:majorGridlines/>
        <c:numFmt formatCode="General" sourceLinked="0"/>
        <c:majorTickMark val="out"/>
        <c:minorTickMark val="none"/>
        <c:tickLblPos val="nextTo"/>
        <c:txPr>
          <a:bodyPr/>
          <a:lstStyle/>
          <a:p>
            <a:pPr>
              <a:defRPr sz="1000"/>
            </a:pPr>
            <a:endParaRPr lang="lv-LV"/>
          </a:p>
        </c:txPr>
        <c:crossAx val="28777088"/>
        <c:crosses val="autoZero"/>
        <c:crossBetween val="between"/>
        <c:dispUnits>
          <c:builtInUnit val="millions"/>
        </c:dispUnits>
      </c:valAx>
    </c:plotArea>
    <c:legend>
      <c:legendPos val="b"/>
      <c:layout>
        <c:manualLayout>
          <c:xMode val="edge"/>
          <c:yMode val="edge"/>
          <c:x val="0.11930912767889747"/>
          <c:y val="0.91324543835500338"/>
          <c:w val="0.81932512639253763"/>
          <c:h val="5.6205511633336966E-2"/>
        </c:manualLayout>
      </c:layout>
      <c:overlay val="0"/>
      <c:spPr>
        <a:ln>
          <a:solidFill>
            <a:schemeClr val="bg1">
              <a:lumMod val="85000"/>
            </a:schemeClr>
          </a:solidFill>
        </a:ln>
      </c:spPr>
      <c:txPr>
        <a:bodyPr/>
        <a:lstStyle/>
        <a:p>
          <a:pPr>
            <a:defRPr sz="1000" b="0"/>
          </a:pPr>
          <a:endParaRPr lang="lv-LV"/>
        </a:p>
      </c:txPr>
    </c:legend>
    <c:plotVisOnly val="1"/>
    <c:dispBlanksAs val="gap"/>
    <c:showDLblsOverMax val="0"/>
  </c:chart>
  <c:spPr>
    <a:ln>
      <a:noFill/>
    </a:ln>
  </c:spPr>
  <c:txPr>
    <a:bodyPr/>
    <a:lstStyle/>
    <a:p>
      <a:pPr algn="just">
        <a:defRPr sz="1200">
          <a:latin typeface="Times New Roman" pitchFamily="18" charset="0"/>
          <a:cs typeface="Times New Roman" pitchFamily="18" charset="0"/>
        </a:defRPr>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7701612770101852E-2"/>
          <c:y val="2.9121164846593862E-2"/>
          <c:w val="0.88333445158410684"/>
          <c:h val="0.65260200429491766"/>
        </c:manualLayout>
      </c:layout>
      <c:bar3DChart>
        <c:barDir val="col"/>
        <c:grouping val="stacked"/>
        <c:varyColors val="0"/>
        <c:ser>
          <c:idx val="2"/>
          <c:order val="0"/>
          <c:tx>
            <c:strRef>
              <c:f>'Analīze par kumul datiem'!$B$179</c:f>
              <c:strCache>
                <c:ptCount val="1"/>
                <c:pt idx="0">
                  <c:v>Aizdomas par krāpšanu vai organizēto noziedzību</c:v>
                </c:pt>
              </c:strCache>
            </c:strRef>
          </c:tx>
          <c:invertIfNegative val="0"/>
          <c:dLbls>
            <c:dLbl>
              <c:idx val="2"/>
              <c:layout>
                <c:manualLayout>
                  <c:x val="0"/>
                  <c:y val="9.5859439338850273E-17"/>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datiem'!$A$180:$A$185</c:f>
              <c:strCache>
                <c:ptCount val="6"/>
                <c:pt idx="0">
                  <c:v>KOPĀ (45,1 milj.latu)</c:v>
                </c:pt>
                <c:pt idx="1">
                  <c:v>Komersanti (26,4 milj.latu; 58,5%)</c:v>
                </c:pt>
                <c:pt idx="2">
                  <c:v>Pašvaldības (9,9 milj.latu; 21,9%)</c:v>
                </c:pt>
                <c:pt idx="3">
                  <c:v>Izglītības iestādes (5,8 milj.latu, 12,8%)</c:v>
                </c:pt>
                <c:pt idx="4">
                  <c:v>Valsts iestādes (2,9 milj.latu, 6,5%)</c:v>
                </c:pt>
                <c:pt idx="5">
                  <c:v>NVO (0,2 milj.latu, 0,4%)</c:v>
                </c:pt>
              </c:strCache>
            </c:strRef>
          </c:cat>
          <c:val>
            <c:numRef>
              <c:f>'Analīze par kumul datiem'!$B$180:$B$185</c:f>
              <c:numCache>
                <c:formatCode>#,##0.0</c:formatCode>
                <c:ptCount val="6"/>
                <c:pt idx="0">
                  <c:v>3918987.5999999996</c:v>
                </c:pt>
                <c:pt idx="1">
                  <c:v>2424524.3499999996</c:v>
                </c:pt>
                <c:pt idx="2">
                  <c:v>1438271.2600000002</c:v>
                </c:pt>
                <c:pt idx="3">
                  <c:v>9005.1</c:v>
                </c:pt>
                <c:pt idx="4">
                  <c:v>30193.14</c:v>
                </c:pt>
                <c:pt idx="5">
                  <c:v>16993.75</c:v>
                </c:pt>
              </c:numCache>
            </c:numRef>
          </c:val>
        </c:ser>
        <c:ser>
          <c:idx val="3"/>
          <c:order val="1"/>
          <c:tx>
            <c:strRef>
              <c:f>'Analīze par kumul datiem'!$E$179</c:f>
              <c:strCache>
                <c:ptCount val="1"/>
                <c:pt idx="0">
                  <c:v>Iespējams interešu konflikts</c:v>
                </c:pt>
              </c:strCache>
            </c:strRef>
          </c:tx>
          <c:invertIfNegative val="0"/>
          <c:cat>
            <c:strRef>
              <c:f>'Analīze par kumul datiem'!$A$180:$A$185</c:f>
              <c:strCache>
                <c:ptCount val="6"/>
                <c:pt idx="0">
                  <c:v>KOPĀ (45,1 milj.latu)</c:v>
                </c:pt>
                <c:pt idx="1">
                  <c:v>Komersanti (26,4 milj.latu; 58,5%)</c:v>
                </c:pt>
                <c:pt idx="2">
                  <c:v>Pašvaldības (9,9 milj.latu; 21,9%)</c:v>
                </c:pt>
                <c:pt idx="3">
                  <c:v>Izglītības iestādes (5,8 milj.latu, 12,8%)</c:v>
                </c:pt>
                <c:pt idx="4">
                  <c:v>Valsts iestādes (2,9 milj.latu, 6,5%)</c:v>
                </c:pt>
                <c:pt idx="5">
                  <c:v>NVO (0,2 milj.latu, 0,4%)</c:v>
                </c:pt>
              </c:strCache>
            </c:strRef>
          </c:cat>
          <c:val>
            <c:numRef>
              <c:f>'Analīze par kumul datiem'!$E$180:$E$185</c:f>
              <c:numCache>
                <c:formatCode>#,##0.0</c:formatCode>
                <c:ptCount val="6"/>
                <c:pt idx="0">
                  <c:v>33868.449999999997</c:v>
                </c:pt>
                <c:pt idx="1">
                  <c:v>8372.2400000000016</c:v>
                </c:pt>
                <c:pt idx="2">
                  <c:v>14809.82</c:v>
                </c:pt>
                <c:pt idx="3">
                  <c:v>4992.1899999999996</c:v>
                </c:pt>
                <c:pt idx="4">
                  <c:v>714.7</c:v>
                </c:pt>
                <c:pt idx="5">
                  <c:v>4979.5</c:v>
                </c:pt>
              </c:numCache>
            </c:numRef>
          </c:val>
        </c:ser>
        <c:ser>
          <c:idx val="0"/>
          <c:order val="2"/>
          <c:tx>
            <c:strRef>
              <c:f>'Analīze par kumul datiem'!$D$179</c:f>
              <c:strCache>
                <c:ptCount val="1"/>
                <c:pt idx="0">
                  <c:v>Iepirkuma vai konkurences normu pārkāpums</c:v>
                </c:pt>
              </c:strCache>
            </c:strRef>
          </c:tx>
          <c:invertIfNegative val="0"/>
          <c:dLbls>
            <c:dLbl>
              <c:idx val="5"/>
              <c:delete val="1"/>
              <c:extLst>
                <c:ext xmlns:c15="http://schemas.microsoft.com/office/drawing/2012/chart" uri="{CE6537A1-D6FC-4f65-9D91-7224C49458BB}"/>
              </c:extLst>
            </c:dLbl>
            <c:spPr>
              <a:noFill/>
              <a:ln>
                <a:noFill/>
              </a:ln>
              <a:effectLst/>
            </c:spPr>
            <c:txPr>
              <a:bodyPr/>
              <a:lstStyle/>
              <a:p>
                <a:pPr algn="ctr">
                  <a:defRPr lang="lv-LV" sz="1050" b="1" i="0" u="none" strike="noStrike" kern="1200" baseline="0">
                    <a:solidFill>
                      <a:sysClr val="windowText" lastClr="000000"/>
                    </a:solidFill>
                    <a:latin typeface="Times New Roman" pitchFamily="18" charset="0"/>
                    <a:ea typeface="+mn-ea"/>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datiem'!$A$180:$A$185</c:f>
              <c:strCache>
                <c:ptCount val="6"/>
                <c:pt idx="0">
                  <c:v>KOPĀ (45,1 milj.latu)</c:v>
                </c:pt>
                <c:pt idx="1">
                  <c:v>Komersanti (26,4 milj.latu; 58,5%)</c:v>
                </c:pt>
                <c:pt idx="2">
                  <c:v>Pašvaldības (9,9 milj.latu; 21,9%)</c:v>
                </c:pt>
                <c:pt idx="3">
                  <c:v>Izglītības iestādes (5,8 milj.latu, 12,8%)</c:v>
                </c:pt>
                <c:pt idx="4">
                  <c:v>Valsts iestādes (2,9 milj.latu, 6,5%)</c:v>
                </c:pt>
                <c:pt idx="5">
                  <c:v>NVO (0,2 milj.latu, 0,4%)</c:v>
                </c:pt>
              </c:strCache>
            </c:strRef>
          </c:cat>
          <c:val>
            <c:numRef>
              <c:f>'Analīze par kumul datiem'!$D$180:$D$185</c:f>
              <c:numCache>
                <c:formatCode>#,##0.0</c:formatCode>
                <c:ptCount val="6"/>
                <c:pt idx="0">
                  <c:v>10508046.609999998</c:v>
                </c:pt>
                <c:pt idx="1">
                  <c:v>3229289.8299999987</c:v>
                </c:pt>
                <c:pt idx="2">
                  <c:v>3037099.16</c:v>
                </c:pt>
                <c:pt idx="3">
                  <c:v>1784946.3499999999</c:v>
                </c:pt>
                <c:pt idx="4">
                  <c:v>2432762.0599999991</c:v>
                </c:pt>
                <c:pt idx="5">
                  <c:v>23949.209999999995</c:v>
                </c:pt>
              </c:numCache>
            </c:numRef>
          </c:val>
        </c:ser>
        <c:ser>
          <c:idx val="4"/>
          <c:order val="3"/>
          <c:tx>
            <c:strRef>
              <c:f>'Analīze par kumul datiem'!$F$179</c:f>
              <c:strCache>
                <c:ptCount val="1"/>
                <c:pt idx="0">
                  <c:v>Noteikto ieviešanas nosacījumu pārkāpšana</c:v>
                </c:pt>
              </c:strCache>
            </c:strRef>
          </c:tx>
          <c:invertIfNegative val="0"/>
          <c:dLbls>
            <c:dLbl>
              <c:idx val="0"/>
              <c:layout/>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numFmt formatCode="#,##0.00" sourceLinked="0"/>
            <c:spPr>
              <a:noFill/>
              <a:ln>
                <a:noFill/>
              </a:ln>
              <a:effectLst/>
            </c:spPr>
            <c:txPr>
              <a:bodyPr/>
              <a:lstStyle/>
              <a:p>
                <a:pPr algn="ctr">
                  <a:defRPr lang="lv-LV" sz="1050" b="1" i="0" u="none" strike="noStrike" kern="1200" baseline="0">
                    <a:solidFill>
                      <a:sysClr val="windowText" lastClr="000000"/>
                    </a:solidFill>
                    <a:latin typeface="Times New Roman" pitchFamily="18" charset="0"/>
                    <a:ea typeface="+mn-ea"/>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datiem'!$A$180:$A$185</c:f>
              <c:strCache>
                <c:ptCount val="6"/>
                <c:pt idx="0">
                  <c:v>KOPĀ (45,1 milj.latu)</c:v>
                </c:pt>
                <c:pt idx="1">
                  <c:v>Komersanti (26,4 milj.latu; 58,5%)</c:v>
                </c:pt>
                <c:pt idx="2">
                  <c:v>Pašvaldības (9,9 milj.latu; 21,9%)</c:v>
                </c:pt>
                <c:pt idx="3">
                  <c:v>Izglītības iestādes (5,8 milj.latu, 12,8%)</c:v>
                </c:pt>
                <c:pt idx="4">
                  <c:v>Valsts iestādes (2,9 milj.latu, 6,5%)</c:v>
                </c:pt>
                <c:pt idx="5">
                  <c:v>NVO (0,2 milj.latu, 0,4%)</c:v>
                </c:pt>
              </c:strCache>
            </c:strRef>
          </c:cat>
          <c:val>
            <c:numRef>
              <c:f>'Analīze par kumul datiem'!$F$180:$F$185</c:f>
              <c:numCache>
                <c:formatCode>#,##0.0</c:formatCode>
                <c:ptCount val="6"/>
                <c:pt idx="0">
                  <c:v>12183471.130000001</c:v>
                </c:pt>
                <c:pt idx="1">
                  <c:v>12152657.039999999</c:v>
                </c:pt>
                <c:pt idx="2">
                  <c:v>25840.609999999997</c:v>
                </c:pt>
                <c:pt idx="3">
                  <c:v>514.30999999999995</c:v>
                </c:pt>
                <c:pt idx="4">
                  <c:v>1002.28</c:v>
                </c:pt>
                <c:pt idx="5">
                  <c:v>3456.8900000000003</c:v>
                </c:pt>
              </c:numCache>
            </c:numRef>
          </c:val>
        </c:ser>
        <c:ser>
          <c:idx val="5"/>
          <c:order val="4"/>
          <c:tx>
            <c:strRef>
              <c:f>'Analīze par kumul datiem'!$C$179</c:f>
              <c:strCache>
                <c:ptCount val="1"/>
                <c:pt idx="0">
                  <c:v>Cita neatbilstība</c:v>
                </c:pt>
              </c:strCache>
            </c:strRef>
          </c:tx>
          <c:invertIfNegative val="0"/>
          <c:dLbls>
            <c:dLbl>
              <c:idx val="0"/>
              <c:layout>
                <c:manualLayout>
                  <c:x val="-1.6270382845961515E-3"/>
                  <c:y val="1.3233915183378988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520803539919703E-3"/>
                  <c:y val="-1.23542249526501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520803539919767E-2"/>
                  <c:y val="-2.1978021978021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272883893911671E-2"/>
                  <c:y val="-4.15140415140414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'Analīze par kumul datiem'!$A$180:$A$185</c:f>
              <c:strCache>
                <c:ptCount val="6"/>
                <c:pt idx="0">
                  <c:v>KOPĀ (45,1 milj.latu)</c:v>
                </c:pt>
                <c:pt idx="1">
                  <c:v>Komersanti (26,4 milj.latu; 58,5%)</c:v>
                </c:pt>
                <c:pt idx="2">
                  <c:v>Pašvaldības (9,9 milj.latu; 21,9%)</c:v>
                </c:pt>
                <c:pt idx="3">
                  <c:v>Izglītības iestādes (5,8 milj.latu, 12,8%)</c:v>
                </c:pt>
                <c:pt idx="4">
                  <c:v>Valsts iestādes (2,9 milj.latu, 6,5%)</c:v>
                </c:pt>
                <c:pt idx="5">
                  <c:v>NVO (0,2 milj.latu, 0,4%)</c:v>
                </c:pt>
              </c:strCache>
            </c:strRef>
          </c:cat>
          <c:val>
            <c:numRef>
              <c:f>'Analīze par kumul datiem'!$C$180:$C$185</c:f>
              <c:numCache>
                <c:formatCode>#,##0.0</c:formatCode>
                <c:ptCount val="6"/>
                <c:pt idx="0">
                  <c:v>18416718.369999997</c:v>
                </c:pt>
                <c:pt idx="1">
                  <c:v>8543183.870000001</c:v>
                </c:pt>
                <c:pt idx="2">
                  <c:v>5338599.2099999925</c:v>
                </c:pt>
                <c:pt idx="3">
                  <c:v>3963947.92</c:v>
                </c:pt>
                <c:pt idx="4">
                  <c:v>458168.46000000025</c:v>
                </c:pt>
                <c:pt idx="5">
                  <c:v>112818.90999999999</c:v>
                </c:pt>
              </c:numCache>
            </c:numRef>
          </c:val>
        </c:ser>
        <c:dLbls>
          <c:showLegendKey val="0"/>
          <c:showVal val="0"/>
          <c:showCatName val="0"/>
          <c:showSerName val="0"/>
          <c:showPercent val="0"/>
          <c:showBubbleSize val="0"/>
        </c:dLbls>
        <c:gapWidth val="191"/>
        <c:gapDepth val="158"/>
        <c:shape val="box"/>
        <c:axId val="28866432"/>
        <c:axId val="28867968"/>
        <c:axId val="0"/>
      </c:bar3DChart>
      <c:catAx>
        <c:axId val="28866432"/>
        <c:scaling>
          <c:orientation val="minMax"/>
        </c:scaling>
        <c:delete val="0"/>
        <c:axPos val="b"/>
        <c:numFmt formatCode="General" sourceLinked="0"/>
        <c:majorTickMark val="out"/>
        <c:minorTickMark val="none"/>
        <c:tickLblPos val="nextTo"/>
        <c:txPr>
          <a:bodyPr/>
          <a:lstStyle/>
          <a:p>
            <a:pPr>
              <a:defRPr sz="1000"/>
            </a:pPr>
            <a:endParaRPr lang="lv-LV"/>
          </a:p>
        </c:txPr>
        <c:crossAx val="28867968"/>
        <c:crosses val="autoZero"/>
        <c:auto val="1"/>
        <c:lblAlgn val="ctr"/>
        <c:lblOffset val="100"/>
        <c:noMultiLvlLbl val="0"/>
      </c:catAx>
      <c:valAx>
        <c:axId val="28867968"/>
        <c:scaling>
          <c:orientation val="minMax"/>
        </c:scaling>
        <c:delete val="0"/>
        <c:axPos val="l"/>
        <c:majorGridlines/>
        <c:numFmt formatCode="#,##0" sourceLinked="0"/>
        <c:majorTickMark val="out"/>
        <c:minorTickMark val="none"/>
        <c:tickLblPos val="nextTo"/>
        <c:txPr>
          <a:bodyPr/>
          <a:lstStyle/>
          <a:p>
            <a:pPr>
              <a:defRPr sz="1000"/>
            </a:pPr>
            <a:endParaRPr lang="lv-LV"/>
          </a:p>
        </c:txPr>
        <c:crossAx val="28866432"/>
        <c:crosses val="autoZero"/>
        <c:crossBetween val="between"/>
        <c:dispUnits>
          <c:builtInUnit val="millions"/>
        </c:dispUnits>
      </c:valAx>
    </c:plotArea>
    <c:legend>
      <c:legendPos val="b"/>
      <c:layout>
        <c:manualLayout>
          <c:xMode val="edge"/>
          <c:yMode val="edge"/>
          <c:x val="7.9960100681194753E-4"/>
          <c:y val="0.87756840488007026"/>
          <c:w val="0.99217166187349914"/>
          <c:h val="0.12061665368751982"/>
        </c:manualLayout>
      </c:layout>
      <c:overlay val="0"/>
      <c:spPr>
        <a:ln>
          <a:solidFill>
            <a:schemeClr val="bg1">
              <a:lumMod val="85000"/>
            </a:schemeClr>
          </a:solidFill>
        </a:ln>
      </c:spPr>
      <c:txPr>
        <a:bodyPr/>
        <a:lstStyle/>
        <a:p>
          <a:pPr>
            <a:defRPr sz="1000"/>
          </a:pPr>
          <a:endParaRPr lang="lv-LV"/>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4741319308782754E-2"/>
          <c:y val="2.2256753677494492E-2"/>
          <c:w val="0.86839044094850792"/>
          <c:h val="0.5936002749221797"/>
        </c:manualLayout>
      </c:layout>
      <c:bar3DChart>
        <c:barDir val="col"/>
        <c:grouping val="stacked"/>
        <c:varyColors val="0"/>
        <c:ser>
          <c:idx val="5"/>
          <c:order val="0"/>
          <c:tx>
            <c:strRef>
              <c:f>'ANALIZe 1.cet'!$R$66</c:f>
              <c:strCache>
                <c:ptCount val="1"/>
                <c:pt idx="0">
                  <c:v>Aizdomas par krāpšanu</c:v>
                </c:pt>
              </c:strCache>
            </c:strRef>
          </c:tx>
          <c:invertIfNegative val="0"/>
          <c:dLbls>
            <c:dLbl>
              <c:idx val="0"/>
              <c:layout>
                <c:manualLayout>
                  <c:x val="-1.6270382845961534E-3"/>
                  <c:y val="1.3233915183378988E-4"/>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
                  <c:y val="6.0905848307423955E-3"/>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numFmt formatCode="#,##0.0" sourceLinked="0"/>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'ANALIZe 1.cet'!$Q$67:$Q$72</c:f>
              <c:strCache>
                <c:ptCount val="6"/>
                <c:pt idx="0">
                  <c:v>KOPĀ (19,5 milj.latu)</c:v>
                </c:pt>
                <c:pt idx="1">
                  <c:v>Komersanti (16,6 milj.latu; 84,9%)</c:v>
                </c:pt>
                <c:pt idx="2">
                  <c:v>Pašvaldības (2,0 milj.latu; 10,2%)</c:v>
                </c:pt>
                <c:pt idx="3">
                  <c:v>Valsts iestādes (0,7 milj. latu; 3,5%)</c:v>
                </c:pt>
                <c:pt idx="4">
                  <c:v>Izglītības iestādes (0,3 milj.latu; 1,3%)</c:v>
                </c:pt>
                <c:pt idx="5">
                  <c:v>NVO (0,03 milj.latu; 0,2%)</c:v>
                </c:pt>
              </c:strCache>
            </c:strRef>
          </c:cat>
          <c:val>
            <c:numRef>
              <c:f>'ANALIZe 1.cet'!$R$67:$R$72</c:f>
              <c:numCache>
                <c:formatCode>#,##0.00</c:formatCode>
                <c:ptCount val="6"/>
                <c:pt idx="0">
                  <c:v>1505481.6400000001</c:v>
                </c:pt>
                <c:pt idx="1">
                  <c:v>73579.489999999991</c:v>
                </c:pt>
                <c:pt idx="2">
                  <c:v>1431902.1500000001</c:v>
                </c:pt>
                <c:pt idx="3">
                  <c:v>0</c:v>
                </c:pt>
                <c:pt idx="4">
                  <c:v>0</c:v>
                </c:pt>
                <c:pt idx="5">
                  <c:v>0</c:v>
                </c:pt>
              </c:numCache>
            </c:numRef>
          </c:val>
        </c:ser>
        <c:ser>
          <c:idx val="1"/>
          <c:order val="1"/>
          <c:tx>
            <c:strRef>
              <c:f>'ANALIZe 1.cet'!$S$66</c:f>
              <c:strCache>
                <c:ptCount val="1"/>
                <c:pt idx="0">
                  <c:v>Cita neatbilstība</c:v>
                </c:pt>
              </c:strCache>
            </c:strRef>
          </c:tx>
          <c:invertIfNegative val="0"/>
          <c:dLbls>
            <c:dLbl>
              <c:idx val="0"/>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7521018786325819E-3"/>
                  <c:y val="-3.5611092704910849E-2"/>
                </c:manualLayout>
              </c:layout>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numFmt formatCode="#,##0.0" sourceLinked="0"/>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'ANALIZe 1.cet'!$Q$67:$Q$72</c:f>
              <c:strCache>
                <c:ptCount val="6"/>
                <c:pt idx="0">
                  <c:v>KOPĀ (19,5 milj.latu)</c:v>
                </c:pt>
                <c:pt idx="1">
                  <c:v>Komersanti (16,6 milj.latu; 84,9%)</c:v>
                </c:pt>
                <c:pt idx="2">
                  <c:v>Pašvaldības (2,0 milj.latu; 10,2%)</c:v>
                </c:pt>
                <c:pt idx="3">
                  <c:v>Valsts iestādes (0,7 milj. latu; 3,5%)</c:v>
                </c:pt>
                <c:pt idx="4">
                  <c:v>Izglītības iestādes (0,3 milj.latu; 1,3%)</c:v>
                </c:pt>
                <c:pt idx="5">
                  <c:v>NVO (0,03 milj.latu; 0,2%)</c:v>
                </c:pt>
              </c:strCache>
            </c:strRef>
          </c:cat>
          <c:val>
            <c:numRef>
              <c:f>'ANALIZe 1.cet'!$S$67:$S$72</c:f>
              <c:numCache>
                <c:formatCode>#,##0.00</c:formatCode>
                <c:ptCount val="6"/>
                <c:pt idx="0">
                  <c:v>2319313.0600000005</c:v>
                </c:pt>
                <c:pt idx="1">
                  <c:v>1970539.5200000003</c:v>
                </c:pt>
                <c:pt idx="2">
                  <c:v>192222.7</c:v>
                </c:pt>
                <c:pt idx="3">
                  <c:v>16634.649999999987</c:v>
                </c:pt>
                <c:pt idx="4">
                  <c:v>117796.87000000002</c:v>
                </c:pt>
                <c:pt idx="5">
                  <c:v>22119.320000000003</c:v>
                </c:pt>
              </c:numCache>
            </c:numRef>
          </c:val>
        </c:ser>
        <c:ser>
          <c:idx val="2"/>
          <c:order val="2"/>
          <c:tx>
            <c:strRef>
              <c:f>'ANALIZe 1.cet'!$T$66</c:f>
              <c:strCache>
                <c:ptCount val="1"/>
                <c:pt idx="0">
                  <c:v>Iepirkuma vai konkurences normu pārkāpums</c:v>
                </c:pt>
              </c:strCache>
            </c:strRef>
          </c:tx>
          <c:invertIfNegative val="0"/>
          <c:dLbls>
            <c:dLbl>
              <c:idx val="0"/>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5859439338850926E-17"/>
                </c:manualLayout>
              </c:layout>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504161191414808E-3"/>
                  <c:y val="-2.6663974695470801E-3"/>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6.4242213044411418E-17"/>
                  <c:y val="2.0623768182823438E-2"/>
                </c:manualLayout>
              </c:layout>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numFmt formatCode="#,##0.0" sourceLinked="0"/>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'ANALIZe 1.cet'!$Q$67:$Q$72</c:f>
              <c:strCache>
                <c:ptCount val="6"/>
                <c:pt idx="0">
                  <c:v>KOPĀ (19,5 milj.latu)</c:v>
                </c:pt>
                <c:pt idx="1">
                  <c:v>Komersanti (16,6 milj.latu; 84,9%)</c:v>
                </c:pt>
                <c:pt idx="2">
                  <c:v>Pašvaldības (2,0 milj.latu; 10,2%)</c:v>
                </c:pt>
                <c:pt idx="3">
                  <c:v>Valsts iestādes (0,7 milj. latu; 3,5%)</c:v>
                </c:pt>
                <c:pt idx="4">
                  <c:v>Izglītības iestādes (0,3 milj.latu; 1,3%)</c:v>
                </c:pt>
                <c:pt idx="5">
                  <c:v>NVO (0,03 milj.latu; 0,2%)</c:v>
                </c:pt>
              </c:strCache>
            </c:strRef>
          </c:cat>
          <c:val>
            <c:numRef>
              <c:f>'ANALIZe 1.cet'!$T$67:$T$72</c:f>
              <c:numCache>
                <c:formatCode>#,##0.00</c:formatCode>
                <c:ptCount val="6"/>
                <c:pt idx="0">
                  <c:v>3559823.7399999998</c:v>
                </c:pt>
                <c:pt idx="1">
                  <c:v>2388812.8099999987</c:v>
                </c:pt>
                <c:pt idx="2">
                  <c:v>368310.36999999994</c:v>
                </c:pt>
                <c:pt idx="3">
                  <c:v>659353.73</c:v>
                </c:pt>
                <c:pt idx="4">
                  <c:v>137170.15</c:v>
                </c:pt>
                <c:pt idx="5">
                  <c:v>6176.68</c:v>
                </c:pt>
              </c:numCache>
            </c:numRef>
          </c:val>
        </c:ser>
        <c:ser>
          <c:idx val="3"/>
          <c:order val="3"/>
          <c:tx>
            <c:strRef>
              <c:f>'ANALIZe 1.cet'!$U$66</c:f>
              <c:strCache>
                <c:ptCount val="1"/>
                <c:pt idx="0">
                  <c:v>Iespējams interešu konflikts</c:v>
                </c:pt>
              </c:strCache>
            </c:strRef>
          </c:tx>
          <c:invertIfNegative val="0"/>
          <c:cat>
            <c:strRef>
              <c:f>'ANALIZe 1.cet'!$Q$67:$Q$72</c:f>
              <c:strCache>
                <c:ptCount val="6"/>
                <c:pt idx="0">
                  <c:v>KOPĀ (19,5 milj.latu)</c:v>
                </c:pt>
                <c:pt idx="1">
                  <c:v>Komersanti (16,6 milj.latu; 84,9%)</c:v>
                </c:pt>
                <c:pt idx="2">
                  <c:v>Pašvaldības (2,0 milj.latu; 10,2%)</c:v>
                </c:pt>
                <c:pt idx="3">
                  <c:v>Valsts iestādes (0,7 milj. latu; 3,5%)</c:v>
                </c:pt>
                <c:pt idx="4">
                  <c:v>Izglītības iestādes (0,3 milj.latu; 1,3%)</c:v>
                </c:pt>
                <c:pt idx="5">
                  <c:v>NVO (0,03 milj.latu; 0,2%)</c:v>
                </c:pt>
              </c:strCache>
            </c:strRef>
          </c:cat>
          <c:val>
            <c:numRef>
              <c:f>'ANALIZe 1.cet'!$U$67:$U$72</c:f>
              <c:numCache>
                <c:formatCode>#,##0.00</c:formatCode>
                <c:ptCount val="6"/>
                <c:pt idx="0">
                  <c:v>2128.1499999999987</c:v>
                </c:pt>
                <c:pt idx="1">
                  <c:v>2128.1499999999987</c:v>
                </c:pt>
                <c:pt idx="2">
                  <c:v>0</c:v>
                </c:pt>
                <c:pt idx="3">
                  <c:v>0</c:v>
                </c:pt>
                <c:pt idx="4">
                  <c:v>0</c:v>
                </c:pt>
                <c:pt idx="5">
                  <c:v>0</c:v>
                </c:pt>
              </c:numCache>
            </c:numRef>
          </c:val>
        </c:ser>
        <c:ser>
          <c:idx val="4"/>
          <c:order val="4"/>
          <c:tx>
            <c:strRef>
              <c:f>'ANALIZe 1.cet'!$V$66</c:f>
              <c:strCache>
                <c:ptCount val="1"/>
                <c:pt idx="0">
                  <c:v>Noteikto ieviešanas nosacījumu pārkāpšana</c:v>
                </c:pt>
              </c:strCache>
            </c:strRef>
          </c:tx>
          <c:invertIfNegative val="0"/>
          <c:dLbls>
            <c:dLbl>
              <c:idx val="0"/>
              <c:layout/>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1.4016644765659218E-2"/>
                  <c:y val="-4.1514041514041512E-2"/>
                </c:manualLayout>
              </c:layout>
              <c:tx>
                <c:rich>
                  <a:bodyPr/>
                  <a:lstStyle/>
                  <a:p>
                    <a:r>
                      <a:rPr lang="en-US"/>
                      <a:t>0,0</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'ANALIZe 1.cet'!$Q$67:$Q$72</c:f>
              <c:strCache>
                <c:ptCount val="6"/>
                <c:pt idx="0">
                  <c:v>KOPĀ (19,5 milj.latu)</c:v>
                </c:pt>
                <c:pt idx="1">
                  <c:v>Komersanti (16,6 milj.latu; 84,9%)</c:v>
                </c:pt>
                <c:pt idx="2">
                  <c:v>Pašvaldības (2,0 milj.latu; 10,2%)</c:v>
                </c:pt>
                <c:pt idx="3">
                  <c:v>Valsts iestādes (0,7 milj. latu; 3,5%)</c:v>
                </c:pt>
                <c:pt idx="4">
                  <c:v>Izglītības iestādes (0,3 milj.latu; 1,3%)</c:v>
                </c:pt>
                <c:pt idx="5">
                  <c:v>NVO (0,03 milj.latu; 0,2%)</c:v>
                </c:pt>
              </c:strCache>
            </c:strRef>
          </c:cat>
          <c:val>
            <c:numRef>
              <c:f>'ANALIZe 1.cet'!$V$67:$V$72</c:f>
              <c:numCache>
                <c:formatCode>#,##0.00</c:formatCode>
                <c:ptCount val="6"/>
                <c:pt idx="0">
                  <c:v>12156233.199999994</c:v>
                </c:pt>
                <c:pt idx="1">
                  <c:v>12152523.209999993</c:v>
                </c:pt>
                <c:pt idx="2">
                  <c:v>2134.8500000000013</c:v>
                </c:pt>
                <c:pt idx="3">
                  <c:v>66.169999999999987</c:v>
                </c:pt>
                <c:pt idx="4">
                  <c:v>0</c:v>
                </c:pt>
                <c:pt idx="5">
                  <c:v>1508.97</c:v>
                </c:pt>
              </c:numCache>
            </c:numRef>
          </c:val>
        </c:ser>
        <c:dLbls>
          <c:showLegendKey val="0"/>
          <c:showVal val="0"/>
          <c:showCatName val="0"/>
          <c:showSerName val="0"/>
          <c:showPercent val="0"/>
          <c:showBubbleSize val="0"/>
        </c:dLbls>
        <c:gapWidth val="191"/>
        <c:gapDepth val="158"/>
        <c:shape val="box"/>
        <c:axId val="28447488"/>
        <c:axId val="28449024"/>
        <c:axId val="0"/>
      </c:bar3DChart>
      <c:catAx>
        <c:axId val="28447488"/>
        <c:scaling>
          <c:orientation val="minMax"/>
        </c:scaling>
        <c:delete val="0"/>
        <c:axPos val="b"/>
        <c:numFmt formatCode="General" sourceLinked="0"/>
        <c:majorTickMark val="out"/>
        <c:minorTickMark val="none"/>
        <c:tickLblPos val="nextTo"/>
        <c:txPr>
          <a:bodyPr/>
          <a:lstStyle/>
          <a:p>
            <a:pPr>
              <a:defRPr sz="1000"/>
            </a:pPr>
            <a:endParaRPr lang="lv-LV"/>
          </a:p>
        </c:txPr>
        <c:crossAx val="28449024"/>
        <c:crosses val="autoZero"/>
        <c:auto val="1"/>
        <c:lblAlgn val="ctr"/>
        <c:lblOffset val="100"/>
        <c:noMultiLvlLbl val="0"/>
      </c:catAx>
      <c:valAx>
        <c:axId val="28449024"/>
        <c:scaling>
          <c:orientation val="minMax"/>
        </c:scaling>
        <c:delete val="0"/>
        <c:axPos val="l"/>
        <c:majorGridlines/>
        <c:numFmt formatCode="#,##0" sourceLinked="0"/>
        <c:majorTickMark val="out"/>
        <c:minorTickMark val="none"/>
        <c:tickLblPos val="nextTo"/>
        <c:txPr>
          <a:bodyPr/>
          <a:lstStyle/>
          <a:p>
            <a:pPr>
              <a:defRPr sz="1000"/>
            </a:pPr>
            <a:endParaRPr lang="lv-LV"/>
          </a:p>
        </c:txPr>
        <c:crossAx val="28447488"/>
        <c:crosses val="autoZero"/>
        <c:crossBetween val="between"/>
        <c:dispUnits>
          <c:builtInUnit val="millions"/>
        </c:dispUnits>
      </c:valAx>
      <c:spPr>
        <a:noFill/>
        <a:ln w="25400">
          <a:noFill/>
        </a:ln>
      </c:spPr>
    </c:plotArea>
    <c:legend>
      <c:legendPos val="b"/>
      <c:layout>
        <c:manualLayout>
          <c:xMode val="edge"/>
          <c:yMode val="edge"/>
          <c:x val="8.0309989177530568E-3"/>
          <c:y val="0.86618842952863428"/>
          <c:w val="0.95389581905340237"/>
          <c:h val="0.12061665368752002"/>
        </c:manualLayout>
      </c:layout>
      <c:overlay val="0"/>
      <c:spPr>
        <a:ln>
          <a:solidFill>
            <a:schemeClr val="bg1">
              <a:lumMod val="85000"/>
            </a:schemeClr>
          </a:solidFill>
        </a:ln>
      </c:spPr>
      <c:txPr>
        <a:bodyPr/>
        <a:lstStyle/>
        <a:p>
          <a:pPr>
            <a:defRPr sz="1000"/>
          </a:pPr>
          <a:endParaRPr lang="lv-LV"/>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02077865266841"/>
          <c:y val="2.2155085599194362E-2"/>
          <c:w val="0.60313615130238674"/>
          <c:h val="0.85308482210116487"/>
        </c:manualLayout>
      </c:layout>
      <c:barChart>
        <c:barDir val="bar"/>
        <c:grouping val="clustered"/>
        <c:varyColors val="0"/>
        <c:ser>
          <c:idx val="2"/>
          <c:order val="2"/>
          <c:tx>
            <c:strRef>
              <c:f>AI!$E$3</c:f>
              <c:strCache>
                <c:ptCount val="1"/>
                <c:pt idx="0">
                  <c:v>Veikti maksājumi FS</c:v>
                </c:pt>
              </c:strCache>
            </c:strRef>
          </c:tx>
          <c:invertIfNegative val="0"/>
          <c:dLbls>
            <c:dLbl>
              <c:idx val="0"/>
              <c:layout/>
              <c:tx>
                <c:rich>
                  <a:bodyPr/>
                  <a:lstStyle/>
                  <a:p>
                    <a:r>
                      <a:rPr lang="en-US"/>
                      <a:t>5,9(71,4%);4,9%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12,6(49,8%);3,6%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41,8(51,7%);3,5%</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103,6(67,2%);3,6%</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157,3(87,4%);4,6%</a:t>
                    </a:r>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305,4(60,0%);1,6%</a:t>
                    </a:r>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294,8(56,2%);2,3%</a:t>
                    </a:r>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a:t>371,1(44,2%);2,1%</a:t>
                    </a:r>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a:t>564,8(65,5%);1,5%</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AI!$A$4:$A$21</c:f>
              <c:strCache>
                <c:ptCount val="17"/>
                <c:pt idx="0">
                  <c:v>VKanc</c:v>
                </c:pt>
                <c:pt idx="2">
                  <c:v>KM</c:v>
                </c:pt>
                <c:pt idx="4">
                  <c:v>FM</c:v>
                </c:pt>
                <c:pt idx="6">
                  <c:v>VM</c:v>
                </c:pt>
                <c:pt idx="8">
                  <c:v>LM</c:v>
                </c:pt>
                <c:pt idx="10">
                  <c:v>IZM</c:v>
                </c:pt>
                <c:pt idx="12">
                  <c:v>EM</c:v>
                </c:pt>
                <c:pt idx="14">
                  <c:v>SM</c:v>
                </c:pt>
                <c:pt idx="16">
                  <c:v>VARAM </c:v>
                </c:pt>
              </c:strCache>
            </c:strRef>
          </c:cat>
          <c:val>
            <c:numRef>
              <c:f>AI!$E$4:$E$21</c:f>
              <c:numCache>
                <c:formatCode>General</c:formatCode>
                <c:ptCount val="18"/>
                <c:pt idx="0" formatCode="#,##0">
                  <c:v>5910148.1199999992</c:v>
                </c:pt>
                <c:pt idx="2" formatCode="#,##0">
                  <c:v>12604965.609999999</c:v>
                </c:pt>
                <c:pt idx="4" formatCode="#,##0">
                  <c:v>41825249.189999998</c:v>
                </c:pt>
                <c:pt idx="6" formatCode="#,##0">
                  <c:v>103625662.19</c:v>
                </c:pt>
                <c:pt idx="8" formatCode="#,##0">
                  <c:v>157324139.83999997</c:v>
                </c:pt>
                <c:pt idx="10" formatCode="#,##0">
                  <c:v>305380267.79999995</c:v>
                </c:pt>
                <c:pt idx="12" formatCode="#,##0">
                  <c:v>294764936.17000002</c:v>
                </c:pt>
                <c:pt idx="14" formatCode="#,##0">
                  <c:v>371075840.61000001</c:v>
                </c:pt>
                <c:pt idx="16" formatCode="#,##0">
                  <c:v>564799338.25999999</c:v>
                </c:pt>
              </c:numCache>
            </c:numRef>
          </c:val>
        </c:ser>
        <c:dLbls>
          <c:showLegendKey val="0"/>
          <c:showVal val="0"/>
          <c:showCatName val="0"/>
          <c:showSerName val="0"/>
          <c:showPercent val="0"/>
          <c:showBubbleSize val="0"/>
        </c:dLbls>
        <c:gapWidth val="62"/>
        <c:axId val="26142208"/>
        <c:axId val="26143744"/>
      </c:barChart>
      <c:barChart>
        <c:barDir val="bar"/>
        <c:grouping val="stacked"/>
        <c:varyColors val="0"/>
        <c:ser>
          <c:idx val="0"/>
          <c:order val="0"/>
          <c:tx>
            <c:strRef>
              <c:f>AI!$B$3</c:f>
              <c:strCache>
                <c:ptCount val="1"/>
                <c:pt idx="0">
                  <c:v>Pieejamais ES fondu finansējums </c:v>
                </c:pt>
              </c:strCache>
            </c:strRef>
          </c:tx>
          <c:invertIfNegative val="0"/>
          <c:dLbls>
            <c:dLbl>
              <c:idx val="1"/>
              <c:layout>
                <c:manualLayout>
                  <c:x val="6.3937007874015753E-2"/>
                  <c:y val="-2.014098690835851E-3"/>
                </c:manualLayout>
              </c:layout>
              <c:tx>
                <c:rich>
                  <a:bodyPr/>
                  <a:lstStyle/>
                  <a:p>
                    <a:pPr>
                      <a:defRPr b="1"/>
                    </a:pPr>
                    <a:r>
                      <a:rPr lang="en-US" b="1"/>
                      <a:t>8,3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25,3 (100%)</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9.4069512937180425E-2"/>
                  <c:y val="7.3849432215705091E-17"/>
                </c:manualLayout>
              </c:layout>
              <c:tx>
                <c:rich>
                  <a:bodyPr/>
                  <a:lstStyle/>
                  <a:p>
                    <a:pPr>
                      <a:defRPr b="1"/>
                    </a:pPr>
                    <a:r>
                      <a:rPr lang="en-US" b="1"/>
                      <a:t>80,8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154,2 (100%)</a:t>
                    </a:r>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a:t>180,1 (100%)</a:t>
                    </a:r>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a:t>508,7 (100%)</a:t>
                    </a:r>
                  </a:p>
                </c:rich>
              </c:tx>
              <c:showLegendKey val="0"/>
              <c:showVal val="1"/>
              <c:showCatName val="0"/>
              <c:showSerName val="0"/>
              <c:showPercent val="0"/>
              <c:showBubbleSize val="0"/>
              <c:extLst>
                <c:ext xmlns:c15="http://schemas.microsoft.com/office/drawing/2012/chart" uri="{CE6537A1-D6FC-4f65-9D91-7224C49458BB}"/>
              </c:extLst>
            </c:dLbl>
            <c:dLbl>
              <c:idx val="13"/>
              <c:layout/>
              <c:tx>
                <c:rich>
                  <a:bodyPr/>
                  <a:lstStyle/>
                  <a:p>
                    <a:r>
                      <a:rPr lang="en-US"/>
                      <a:t>524,9 (100%)</a:t>
                    </a:r>
                  </a:p>
                </c:rich>
              </c:tx>
              <c:showLegendKey val="0"/>
              <c:showVal val="1"/>
              <c:showCatName val="0"/>
              <c:showSerName val="0"/>
              <c:showPercent val="0"/>
              <c:showBubbleSize val="0"/>
              <c:extLst>
                <c:ext xmlns:c15="http://schemas.microsoft.com/office/drawing/2012/chart" uri="{CE6537A1-D6FC-4f65-9D91-7224C49458BB}"/>
              </c:extLst>
            </c:dLbl>
            <c:dLbl>
              <c:idx val="15"/>
              <c:layout/>
              <c:tx>
                <c:rich>
                  <a:bodyPr/>
                  <a:lstStyle/>
                  <a:p>
                    <a:r>
                      <a:rPr lang="en-US"/>
                      <a:t>838,8 (100%)</a:t>
                    </a:r>
                  </a:p>
                </c:rich>
              </c:tx>
              <c:showLegendKey val="0"/>
              <c:showVal val="1"/>
              <c:showCatName val="0"/>
              <c:showSerName val="0"/>
              <c:showPercent val="0"/>
              <c:showBubbleSize val="0"/>
              <c:extLst>
                <c:ext xmlns:c15="http://schemas.microsoft.com/office/drawing/2012/chart" uri="{CE6537A1-D6FC-4f65-9D91-7224C49458BB}"/>
              </c:extLst>
            </c:dLbl>
            <c:dLbl>
              <c:idx val="17"/>
              <c:layout/>
              <c:tx>
                <c:rich>
                  <a:bodyPr/>
                  <a:lstStyle/>
                  <a:p>
                    <a:r>
                      <a:rPr lang="en-US"/>
                      <a:t>862,9 (100%)</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AI!$A$4:$A$21</c:f>
              <c:strCache>
                <c:ptCount val="17"/>
                <c:pt idx="0">
                  <c:v>VKanc</c:v>
                </c:pt>
                <c:pt idx="2">
                  <c:v>KM</c:v>
                </c:pt>
                <c:pt idx="4">
                  <c:v>FM</c:v>
                </c:pt>
                <c:pt idx="6">
                  <c:v>VM</c:v>
                </c:pt>
                <c:pt idx="8">
                  <c:v>LM</c:v>
                </c:pt>
                <c:pt idx="10">
                  <c:v>IZM</c:v>
                </c:pt>
                <c:pt idx="12">
                  <c:v>EM</c:v>
                </c:pt>
                <c:pt idx="14">
                  <c:v>SM</c:v>
                </c:pt>
                <c:pt idx="16">
                  <c:v>VARAM </c:v>
                </c:pt>
              </c:strCache>
            </c:strRef>
          </c:cat>
          <c:val>
            <c:numRef>
              <c:f>AI!$B$4:$B$21</c:f>
              <c:numCache>
                <c:formatCode>#,##0</c:formatCode>
                <c:ptCount val="18"/>
                <c:pt idx="1">
                  <c:v>8279706.3609439991</c:v>
                </c:pt>
                <c:pt idx="3">
                  <c:v>25335213.425843999</c:v>
                </c:pt>
                <c:pt idx="5">
                  <c:v>80846003.200727999</c:v>
                </c:pt>
                <c:pt idx="7">
                  <c:v>154236973.32562798</c:v>
                </c:pt>
                <c:pt idx="9">
                  <c:v>180080445.18579596</c:v>
                </c:pt>
                <c:pt idx="11">
                  <c:v>508687220.76188797</c:v>
                </c:pt>
                <c:pt idx="13">
                  <c:v>524861448.06462395</c:v>
                </c:pt>
                <c:pt idx="15">
                  <c:v>838782329.56852794</c:v>
                </c:pt>
                <c:pt idx="17">
                  <c:v>862907376.70203602</c:v>
                </c:pt>
              </c:numCache>
            </c:numRef>
          </c:val>
        </c:ser>
        <c:ser>
          <c:idx val="1"/>
          <c:order val="1"/>
          <c:tx>
            <c:strRef>
              <c:f>AI!$C$3</c:f>
              <c:strCache>
                <c:ptCount val="1"/>
                <c:pt idx="0">
                  <c:v>Valsts budžeta virssaistības</c:v>
                </c:pt>
              </c:strCache>
            </c:strRef>
          </c:tx>
          <c:invertIfNegative val="0"/>
          <c:dLbls>
            <c:dLbl>
              <c:idx val="1"/>
              <c:delete val="1"/>
              <c:extLst>
                <c:ext xmlns:c15="http://schemas.microsoft.com/office/drawing/2012/chart" uri="{CE6537A1-D6FC-4f65-9D91-7224C49458BB}"/>
              </c:extLst>
            </c:dLbl>
            <c:dLbl>
              <c:idx val="3"/>
              <c:layout>
                <c:manualLayout>
                  <c:x val="0.11869293154964626"/>
                  <c:y val="2.014098690835851E-3"/>
                </c:manualLayout>
              </c:layout>
              <c:tx>
                <c:rich>
                  <a:bodyPr/>
                  <a:lstStyle/>
                  <a:p>
                    <a:r>
                      <a:rPr lang="en-US"/>
                      <a:t>12,0 (47,4%)</a:t>
                    </a:r>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layout>
                <c:manualLayout>
                  <c:x val="6.8892994873835711E-2"/>
                  <c:y val="0"/>
                </c:manualLayout>
              </c:layout>
              <c:tx>
                <c:rich>
                  <a:bodyPr/>
                  <a:lstStyle/>
                  <a:p>
                    <a:r>
                      <a:rPr lang="en-US"/>
                      <a:t>11,8 (7,7%)</a:t>
                    </a:r>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6.9444444444444448E-2"/>
                  <c:y val="0"/>
                </c:manualLayout>
              </c:layout>
              <c:tx>
                <c:rich>
                  <a:bodyPr/>
                  <a:lstStyle/>
                  <a:p>
                    <a:r>
                      <a:rPr lang="en-US"/>
                      <a:t>26,7 (14,8%)</a:t>
                    </a:r>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4.1522491349480967E-2"/>
                  <c:y val="0"/>
                </c:manualLayout>
              </c:layout>
              <c:tx>
                <c:rich>
                  <a:bodyPr/>
                  <a:lstStyle/>
                  <a:p>
                    <a:r>
                      <a:rPr lang="en-US"/>
                      <a:t>68,9 (13,6%)</a:t>
                    </a:r>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4.3829296424452137E-2"/>
                  <c:y val="0"/>
                </c:manualLayout>
              </c:layout>
              <c:tx>
                <c:rich>
                  <a:bodyPr/>
                  <a:lstStyle/>
                  <a:p>
                    <a:r>
                      <a:rPr lang="en-US"/>
                      <a:t>43,6 (8,3%)</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2.7681479261459099E-2"/>
                  <c:y val="0"/>
                </c:manualLayout>
              </c:layout>
              <c:tx>
                <c:rich>
                  <a:bodyPr/>
                  <a:lstStyle/>
                  <a:p>
                    <a:r>
                      <a:rPr lang="en-US"/>
                      <a:t>57,0 (6,8%)</a:t>
                    </a:r>
                  </a:p>
                </c:rich>
              </c:tx>
              <c:showLegendKey val="0"/>
              <c:showVal val="1"/>
              <c:showCatName val="0"/>
              <c:showSerName val="0"/>
              <c:showPercent val="0"/>
              <c:showBubbleSize val="0"/>
              <c:extLst>
                <c:ext xmlns:c15="http://schemas.microsoft.com/office/drawing/2012/chart" uri="{CE6537A1-D6FC-4f65-9D91-7224C49458BB}"/>
              </c:extLst>
            </c:dLbl>
            <c:dLbl>
              <c:idx val="17"/>
              <c:layout>
                <c:manualLayout>
                  <c:x val="1.1534025374855825E-2"/>
                  <c:y val="0"/>
                </c:manualLayout>
              </c:layout>
              <c:tx>
                <c:rich>
                  <a:bodyPr/>
                  <a:lstStyle/>
                  <a:p>
                    <a:r>
                      <a:rPr lang="en-US"/>
                      <a:t>78,5 (9,1%)</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AI!$A$4:$A$21</c:f>
              <c:strCache>
                <c:ptCount val="17"/>
                <c:pt idx="0">
                  <c:v>VKanc</c:v>
                </c:pt>
                <c:pt idx="2">
                  <c:v>KM</c:v>
                </c:pt>
                <c:pt idx="4">
                  <c:v>FM</c:v>
                </c:pt>
                <c:pt idx="6">
                  <c:v>VM</c:v>
                </c:pt>
                <c:pt idx="8">
                  <c:v>LM</c:v>
                </c:pt>
                <c:pt idx="10">
                  <c:v>IZM</c:v>
                </c:pt>
                <c:pt idx="12">
                  <c:v>EM</c:v>
                </c:pt>
                <c:pt idx="14">
                  <c:v>SM</c:v>
                </c:pt>
                <c:pt idx="16">
                  <c:v>VARAM </c:v>
                </c:pt>
              </c:strCache>
            </c:strRef>
          </c:cat>
          <c:val>
            <c:numRef>
              <c:f>AI!$C$4:$C$21</c:f>
              <c:numCache>
                <c:formatCode>#,##0</c:formatCode>
                <c:ptCount val="18"/>
                <c:pt idx="1">
                  <c:v>0</c:v>
                </c:pt>
                <c:pt idx="3">
                  <c:v>12000000</c:v>
                </c:pt>
                <c:pt idx="5">
                  <c:v>0</c:v>
                </c:pt>
                <c:pt idx="7">
                  <c:v>11800000</c:v>
                </c:pt>
                <c:pt idx="9">
                  <c:v>26731313.413770001</c:v>
                </c:pt>
                <c:pt idx="11">
                  <c:v>68948002.557135999</c:v>
                </c:pt>
                <c:pt idx="13">
                  <c:v>43570677.789999999</c:v>
                </c:pt>
                <c:pt idx="15">
                  <c:v>57022961</c:v>
                </c:pt>
                <c:pt idx="17">
                  <c:v>78501761</c:v>
                </c:pt>
              </c:numCache>
            </c:numRef>
          </c:val>
        </c:ser>
        <c:dLbls>
          <c:showLegendKey val="0"/>
          <c:showVal val="0"/>
          <c:showCatName val="0"/>
          <c:showSerName val="0"/>
          <c:showPercent val="0"/>
          <c:showBubbleSize val="0"/>
        </c:dLbls>
        <c:gapWidth val="36"/>
        <c:overlap val="100"/>
        <c:axId val="27474944"/>
        <c:axId val="27473024"/>
      </c:barChart>
      <c:catAx>
        <c:axId val="26142208"/>
        <c:scaling>
          <c:orientation val="minMax"/>
        </c:scaling>
        <c:delete val="0"/>
        <c:axPos val="l"/>
        <c:numFmt formatCode="General" sourceLinked="0"/>
        <c:majorTickMark val="out"/>
        <c:minorTickMark val="none"/>
        <c:tickLblPos val="nextTo"/>
        <c:txPr>
          <a:bodyPr rot="0" vert="horz" anchor="ctr" anchorCtr="0"/>
          <a:lstStyle/>
          <a:p>
            <a:pPr>
              <a:defRPr/>
            </a:pPr>
            <a:endParaRPr lang="lv-LV"/>
          </a:p>
        </c:txPr>
        <c:crossAx val="26143744"/>
        <c:crosses val="autoZero"/>
        <c:auto val="1"/>
        <c:lblAlgn val="r"/>
        <c:lblOffset val="100"/>
        <c:tickLblSkip val="1"/>
        <c:tickMarkSkip val="1"/>
        <c:noMultiLvlLbl val="0"/>
      </c:catAx>
      <c:valAx>
        <c:axId val="26143744"/>
        <c:scaling>
          <c:orientation val="minMax"/>
          <c:max val="1000000000"/>
        </c:scaling>
        <c:delete val="0"/>
        <c:axPos val="b"/>
        <c:majorGridlines/>
        <c:numFmt formatCode="#,##0" sourceLinked="1"/>
        <c:majorTickMark val="out"/>
        <c:minorTickMark val="none"/>
        <c:tickLblPos val="low"/>
        <c:crossAx val="26142208"/>
        <c:crosses val="autoZero"/>
        <c:crossBetween val="between"/>
        <c:dispUnits>
          <c:builtInUnit val="millions"/>
        </c:dispUnits>
      </c:valAx>
      <c:valAx>
        <c:axId val="27473024"/>
        <c:scaling>
          <c:orientation val="minMax"/>
          <c:max val="1000000000"/>
        </c:scaling>
        <c:delete val="1"/>
        <c:axPos val="t"/>
        <c:numFmt formatCode="#,##0" sourceLinked="1"/>
        <c:majorTickMark val="out"/>
        <c:minorTickMark val="none"/>
        <c:tickLblPos val="nextTo"/>
        <c:crossAx val="27474944"/>
        <c:crosses val="max"/>
        <c:crossBetween val="between"/>
        <c:minorUnit val="40000000"/>
        <c:dispUnits>
          <c:builtInUnit val="millions"/>
        </c:dispUnits>
      </c:valAx>
      <c:catAx>
        <c:axId val="27474944"/>
        <c:scaling>
          <c:orientation val="minMax"/>
        </c:scaling>
        <c:delete val="1"/>
        <c:axPos val="l"/>
        <c:numFmt formatCode="General" sourceLinked="1"/>
        <c:majorTickMark val="out"/>
        <c:minorTickMark val="none"/>
        <c:tickLblPos val="nextTo"/>
        <c:crossAx val="27473024"/>
        <c:crosses val="autoZero"/>
        <c:auto val="1"/>
        <c:lblAlgn val="ctr"/>
        <c:lblOffset val="100"/>
        <c:noMultiLvlLbl val="0"/>
      </c:catAx>
    </c:plotArea>
    <c:legend>
      <c:legendPos val="b"/>
      <c:layout>
        <c:manualLayout>
          <c:xMode val="edge"/>
          <c:yMode val="edge"/>
          <c:x val="0"/>
          <c:y val="0.91548778457073532"/>
          <c:w val="1"/>
          <c:h val="8.2985782366328087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30818022747157"/>
          <c:y val="4.6858344240113294E-2"/>
          <c:w val="0.79220581802274714"/>
          <c:h val="0.76566341207349087"/>
        </c:manualLayout>
      </c:layout>
      <c:barChart>
        <c:barDir val="bar"/>
        <c:grouping val="clustered"/>
        <c:varyColors val="0"/>
        <c:ser>
          <c:idx val="2"/>
          <c:order val="0"/>
          <c:tx>
            <c:strRef>
              <c:f>Fondi!$D$2</c:f>
              <c:strCache>
                <c:ptCount val="1"/>
                <c:pt idx="0">
                  <c:v>Maksājumi FS 01.01.2013 - 31.03.2013.</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Fondi!$A$3:$A$6</c:f>
              <c:strCache>
                <c:ptCount val="4"/>
                <c:pt idx="0">
                  <c:v>ESF</c:v>
                </c:pt>
                <c:pt idx="1">
                  <c:v>KF</c:v>
                </c:pt>
                <c:pt idx="2">
                  <c:v>ERAF</c:v>
                </c:pt>
                <c:pt idx="3">
                  <c:v>Kopā</c:v>
                </c:pt>
              </c:strCache>
            </c:strRef>
          </c:cat>
          <c:val>
            <c:numRef>
              <c:f>Fondi!$D$3:$D$6</c:f>
              <c:numCache>
                <c:formatCode>_-* #,##0_-;\-* #,##0_-;_-* "-"??_-;_-@_-</c:formatCode>
                <c:ptCount val="4"/>
                <c:pt idx="0">
                  <c:v>13806987.389999926</c:v>
                </c:pt>
                <c:pt idx="1">
                  <c:v>14086046.430000007</c:v>
                </c:pt>
                <c:pt idx="2">
                  <c:v>41008857.579999804</c:v>
                </c:pt>
                <c:pt idx="3">
                  <c:v>68901891.399999738</c:v>
                </c:pt>
              </c:numCache>
            </c:numRef>
          </c:val>
        </c:ser>
        <c:ser>
          <c:idx val="1"/>
          <c:order val="1"/>
          <c:tx>
            <c:strRef>
              <c:f>Fondi!$C$2</c:f>
              <c:strCache>
                <c:ptCount val="1"/>
                <c:pt idx="0">
                  <c:v>AI mērķis 01.01.2013 - 31.03.2013. </c:v>
                </c:pt>
              </c:strCache>
            </c:strRef>
          </c:tx>
          <c:invertIfNegative val="0"/>
          <c:dLbls>
            <c:dLbl>
              <c:idx val="0"/>
              <c:layout/>
              <c:tx>
                <c:rich>
                  <a:bodyPr/>
                  <a:lstStyle/>
                  <a:p>
                    <a:r>
                      <a:rPr lang="en-US"/>
                      <a:t>12,6 (109,3%)</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20,5 (68,6%)</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53,9 (76,1%)</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87,1 (79,2%)</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Fondi!$A$3:$A$6</c:f>
              <c:strCache>
                <c:ptCount val="4"/>
                <c:pt idx="0">
                  <c:v>ESF</c:v>
                </c:pt>
                <c:pt idx="1">
                  <c:v>KF</c:v>
                </c:pt>
                <c:pt idx="2">
                  <c:v>ERAF</c:v>
                </c:pt>
                <c:pt idx="3">
                  <c:v>Kopā</c:v>
                </c:pt>
              </c:strCache>
            </c:strRef>
          </c:cat>
          <c:val>
            <c:numRef>
              <c:f>Fondi!$C$3:$C$6</c:f>
              <c:numCache>
                <c:formatCode>_-* #,##0_-;\-* #,##0_-;_-* "-"??_-;_-@_-</c:formatCode>
                <c:ptCount val="4"/>
                <c:pt idx="0">
                  <c:v>12627122.308499999</c:v>
                </c:pt>
                <c:pt idx="1">
                  <c:v>20543604.509999998</c:v>
                </c:pt>
                <c:pt idx="2">
                  <c:v>53881209.298000008</c:v>
                </c:pt>
                <c:pt idx="3">
                  <c:v>87051936.116500005</c:v>
                </c:pt>
              </c:numCache>
            </c:numRef>
          </c:val>
        </c:ser>
        <c:ser>
          <c:idx val="0"/>
          <c:order val="2"/>
          <c:tx>
            <c:strRef>
              <c:f>Fondi!$B$2</c:f>
              <c:strCache>
                <c:ptCount val="1"/>
                <c:pt idx="0">
                  <c:v>2013.gada AI mērķis</c:v>
                </c:pt>
              </c:strCache>
            </c:strRef>
          </c:tx>
          <c:invertIfNegative val="0"/>
          <c:dLbls>
            <c:dLbl>
              <c:idx val="0"/>
              <c:layout/>
              <c:tx>
                <c:rich>
                  <a:bodyPr/>
                  <a:lstStyle/>
                  <a:p>
                    <a:r>
                      <a:rPr lang="en-US"/>
                      <a:t>57,7 (23,9%)</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183,2 (7,7%)</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252,6 (16,2%)</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493,6 (14%)</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Fondi!$A$3:$A$6</c:f>
              <c:strCache>
                <c:ptCount val="4"/>
                <c:pt idx="0">
                  <c:v>ESF</c:v>
                </c:pt>
                <c:pt idx="1">
                  <c:v>KF</c:v>
                </c:pt>
                <c:pt idx="2">
                  <c:v>ERAF</c:v>
                </c:pt>
                <c:pt idx="3">
                  <c:v>Kopā</c:v>
                </c:pt>
              </c:strCache>
            </c:strRef>
          </c:cat>
          <c:val>
            <c:numRef>
              <c:f>Fondi!$B$3:$B$6</c:f>
              <c:numCache>
                <c:formatCode>_-* #,##0_-;\-* #,##0_-;_-* "-"??_-;_-@_-</c:formatCode>
                <c:ptCount val="4"/>
                <c:pt idx="0">
                  <c:v>57746290.449000001</c:v>
                </c:pt>
                <c:pt idx="1">
                  <c:v>183225324.12256023</c:v>
                </c:pt>
                <c:pt idx="2">
                  <c:v>252634604.44030002</c:v>
                </c:pt>
                <c:pt idx="3">
                  <c:v>493606219.01186025</c:v>
                </c:pt>
              </c:numCache>
            </c:numRef>
          </c:val>
        </c:ser>
        <c:dLbls>
          <c:showLegendKey val="0"/>
          <c:showVal val="0"/>
          <c:showCatName val="0"/>
          <c:showSerName val="0"/>
          <c:showPercent val="0"/>
          <c:showBubbleSize val="0"/>
        </c:dLbls>
        <c:gapWidth val="150"/>
        <c:axId val="27644672"/>
        <c:axId val="27646208"/>
      </c:barChart>
      <c:catAx>
        <c:axId val="27644672"/>
        <c:scaling>
          <c:orientation val="minMax"/>
        </c:scaling>
        <c:delete val="0"/>
        <c:axPos val="l"/>
        <c:numFmt formatCode="General" sourceLinked="0"/>
        <c:majorTickMark val="out"/>
        <c:minorTickMark val="none"/>
        <c:tickLblPos val="nextTo"/>
        <c:crossAx val="27646208"/>
        <c:crosses val="autoZero"/>
        <c:auto val="1"/>
        <c:lblAlgn val="ctr"/>
        <c:lblOffset val="100"/>
        <c:noMultiLvlLbl val="0"/>
      </c:catAx>
      <c:valAx>
        <c:axId val="27646208"/>
        <c:scaling>
          <c:orientation val="minMax"/>
        </c:scaling>
        <c:delete val="0"/>
        <c:axPos val="b"/>
        <c:majorGridlines/>
        <c:numFmt formatCode="#,##0" sourceLinked="0"/>
        <c:majorTickMark val="out"/>
        <c:minorTickMark val="none"/>
        <c:tickLblPos val="nextTo"/>
        <c:crossAx val="27644672"/>
        <c:crosses val="autoZero"/>
        <c:crossBetween val="between"/>
        <c:dispUnits>
          <c:builtInUnit val="millions"/>
        </c:dispUnits>
      </c:valAx>
    </c:plotArea>
    <c:legend>
      <c:legendPos val="b"/>
      <c:layout>
        <c:manualLayout>
          <c:xMode val="edge"/>
          <c:yMode val="edge"/>
          <c:x val="0"/>
          <c:y val="0.889878845144357"/>
          <c:w val="0.98996742586391973"/>
          <c:h val="0.10829312335958007"/>
        </c:manualLayout>
      </c:layout>
      <c:overlay val="0"/>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92847769028873"/>
          <c:y val="2.4624883562028611E-2"/>
          <c:w val="0.76923359580052497"/>
          <c:h val="0.82858201353195382"/>
        </c:manualLayout>
      </c:layout>
      <c:barChart>
        <c:barDir val="bar"/>
        <c:grouping val="clustered"/>
        <c:varyColors val="0"/>
        <c:ser>
          <c:idx val="2"/>
          <c:order val="0"/>
          <c:tx>
            <c:strRef>
              <c:f>AI!$D$1</c:f>
              <c:strCache>
                <c:ptCount val="1"/>
                <c:pt idx="0">
                  <c:v>Maksājumi FS 01.01.2013 - 31.03.2013.</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AI!$A$2:$A$10</c:f>
              <c:strCache>
                <c:ptCount val="9"/>
                <c:pt idx="0">
                  <c:v>Vkanc</c:v>
                </c:pt>
                <c:pt idx="1">
                  <c:v>KM</c:v>
                </c:pt>
                <c:pt idx="2">
                  <c:v>FM</c:v>
                </c:pt>
                <c:pt idx="3">
                  <c:v>VM</c:v>
                </c:pt>
                <c:pt idx="4">
                  <c:v>LM</c:v>
                </c:pt>
                <c:pt idx="5">
                  <c:v>IZM</c:v>
                </c:pt>
                <c:pt idx="6">
                  <c:v>EM</c:v>
                </c:pt>
                <c:pt idx="7">
                  <c:v>VARAM</c:v>
                </c:pt>
                <c:pt idx="8">
                  <c:v>SM</c:v>
                </c:pt>
              </c:strCache>
            </c:strRef>
          </c:cat>
          <c:val>
            <c:numRef>
              <c:f>AI!$D$2:$D$10</c:f>
              <c:numCache>
                <c:formatCode>_-* #,##0_-;\-* #,##0_-;_-* "-"??_-;_-@_-</c:formatCode>
                <c:ptCount val="9"/>
                <c:pt idx="0">
                  <c:v>407330.64999999851</c:v>
                </c:pt>
                <c:pt idx="1">
                  <c:v>909653.97999999858</c:v>
                </c:pt>
                <c:pt idx="2">
                  <c:v>2859197.1199999982</c:v>
                </c:pt>
                <c:pt idx="3">
                  <c:v>5624918.7199999886</c:v>
                </c:pt>
                <c:pt idx="4">
                  <c:v>8373090.4800000191</c:v>
                </c:pt>
                <c:pt idx="5">
                  <c:v>8121244.0599999726</c:v>
                </c:pt>
                <c:pt idx="6">
                  <c:v>11952817.36999996</c:v>
                </c:pt>
                <c:pt idx="7">
                  <c:v>13374618.280000007</c:v>
                </c:pt>
                <c:pt idx="8">
                  <c:v>17279020.739999995</c:v>
                </c:pt>
              </c:numCache>
            </c:numRef>
          </c:val>
        </c:ser>
        <c:ser>
          <c:idx val="1"/>
          <c:order val="1"/>
          <c:tx>
            <c:strRef>
              <c:f>AI!$C$1</c:f>
              <c:strCache>
                <c:ptCount val="1"/>
                <c:pt idx="0">
                  <c:v>AI mērķis 01.01.2013 - 31.03.2013. </c:v>
                </c:pt>
              </c:strCache>
            </c:strRef>
          </c:tx>
          <c:invertIfNegative val="0"/>
          <c:dLbls>
            <c:dLbl>
              <c:idx val="0"/>
              <c:layout/>
              <c:tx>
                <c:rich>
                  <a:bodyPr/>
                  <a:lstStyle/>
                  <a:p>
                    <a:r>
                      <a:rPr lang="en-US"/>
                      <a:t>0,4 (101,3%)</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1,1 (84,4%)</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2,5 (112,2%)</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3,9 (142,9%)</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7,8 (106,7%)</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8,5 (95%)</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11,4 (104,8%)</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17,4 (76,7%)</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33,9 (51%)</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AI!$A$2:$A$10</c:f>
              <c:strCache>
                <c:ptCount val="9"/>
                <c:pt idx="0">
                  <c:v>Vkanc</c:v>
                </c:pt>
                <c:pt idx="1">
                  <c:v>KM</c:v>
                </c:pt>
                <c:pt idx="2">
                  <c:v>FM</c:v>
                </c:pt>
                <c:pt idx="3">
                  <c:v>VM</c:v>
                </c:pt>
                <c:pt idx="4">
                  <c:v>LM</c:v>
                </c:pt>
                <c:pt idx="5">
                  <c:v>IZM</c:v>
                </c:pt>
                <c:pt idx="6">
                  <c:v>EM</c:v>
                </c:pt>
                <c:pt idx="7">
                  <c:v>VARAM</c:v>
                </c:pt>
                <c:pt idx="8">
                  <c:v>SM</c:v>
                </c:pt>
              </c:strCache>
            </c:strRef>
          </c:cat>
          <c:val>
            <c:numRef>
              <c:f>AI!$C$2:$C$10</c:f>
              <c:numCache>
                <c:formatCode>_-* #,##0_-;\-* #,##0_-;_-* "-"??_-;_-@_-</c:formatCode>
                <c:ptCount val="9"/>
                <c:pt idx="0">
                  <c:v>402286.6985</c:v>
                </c:pt>
                <c:pt idx="1">
                  <c:v>1077502.42</c:v>
                </c:pt>
                <c:pt idx="2">
                  <c:v>2549261.62</c:v>
                </c:pt>
                <c:pt idx="3">
                  <c:v>3935184</c:v>
                </c:pt>
                <c:pt idx="4">
                  <c:v>7846068</c:v>
                </c:pt>
                <c:pt idx="5">
                  <c:v>8546576.6740000006</c:v>
                </c:pt>
                <c:pt idx="6">
                  <c:v>11407350.880000001</c:v>
                </c:pt>
                <c:pt idx="7">
                  <c:v>17434426.504000001</c:v>
                </c:pt>
                <c:pt idx="8">
                  <c:v>33853279.32</c:v>
                </c:pt>
              </c:numCache>
            </c:numRef>
          </c:val>
        </c:ser>
        <c:ser>
          <c:idx val="0"/>
          <c:order val="2"/>
          <c:tx>
            <c:strRef>
              <c:f>AI!$B$1</c:f>
              <c:strCache>
                <c:ptCount val="1"/>
                <c:pt idx="0">
                  <c:v>2013.gada AI mērķis</c:v>
                </c:pt>
              </c:strCache>
            </c:strRef>
          </c:tx>
          <c:invertIfNegative val="0"/>
          <c:dLbls>
            <c:dLbl>
              <c:idx val="0"/>
              <c:layout/>
              <c:tx>
                <c:rich>
                  <a:bodyPr/>
                  <a:lstStyle/>
                  <a:p>
                    <a:r>
                      <a:rPr lang="en-US"/>
                      <a:t>2,0 (20,9%)</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6,8 (13,4%)</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11,3 (25,3%)</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23,8</a:t>
                    </a:r>
                    <a:r>
                      <a:rPr lang="en-US" sz="950" b="0" i="0" u="none" strike="noStrike" kern="1200" baseline="0">
                        <a:solidFill>
                          <a:sysClr val="windowText" lastClr="000000"/>
                        </a:solidFill>
                        <a:latin typeface="Times New Roman" pitchFamily="18" charset="0"/>
                        <a:ea typeface="+mn-ea"/>
                        <a:cs typeface="Times New Roman" pitchFamily="18" charset="0"/>
                      </a:rPr>
                      <a:t> </a:t>
                    </a:r>
                    <a:r>
                      <a:rPr lang="en-US"/>
                      <a:t>(23,6%);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29,4 (28,5%)</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52,6 (15,4%)</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66,5 (18%)</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131,6 (10,2%)</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169,6 (10,2%)</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AI!$A$2:$A$10</c:f>
              <c:strCache>
                <c:ptCount val="9"/>
                <c:pt idx="0">
                  <c:v>Vkanc</c:v>
                </c:pt>
                <c:pt idx="1">
                  <c:v>KM</c:v>
                </c:pt>
                <c:pt idx="2">
                  <c:v>FM</c:v>
                </c:pt>
                <c:pt idx="3">
                  <c:v>VM</c:v>
                </c:pt>
                <c:pt idx="4">
                  <c:v>LM</c:v>
                </c:pt>
                <c:pt idx="5">
                  <c:v>IZM</c:v>
                </c:pt>
                <c:pt idx="6">
                  <c:v>EM</c:v>
                </c:pt>
                <c:pt idx="7">
                  <c:v>VARAM</c:v>
                </c:pt>
                <c:pt idx="8">
                  <c:v>SM</c:v>
                </c:pt>
              </c:strCache>
            </c:strRef>
          </c:cat>
          <c:val>
            <c:numRef>
              <c:f>AI!$B$2:$B$10</c:f>
              <c:numCache>
                <c:formatCode>_-* #,##0_-;\-* #,##0_-;_-* "-"??_-;_-@_-</c:formatCode>
                <c:ptCount val="9"/>
                <c:pt idx="0">
                  <c:v>1952665.6159999999</c:v>
                </c:pt>
                <c:pt idx="1">
                  <c:v>6807205.2300000004</c:v>
                </c:pt>
                <c:pt idx="2">
                  <c:v>11287948.289999999</c:v>
                </c:pt>
                <c:pt idx="3">
                  <c:v>23834693.379999999</c:v>
                </c:pt>
                <c:pt idx="4">
                  <c:v>29415232.489999998</c:v>
                </c:pt>
                <c:pt idx="5">
                  <c:v>52587054.864</c:v>
                </c:pt>
                <c:pt idx="6">
                  <c:v>66532285.114699997</c:v>
                </c:pt>
                <c:pt idx="7">
                  <c:v>131601138.21116027</c:v>
                </c:pt>
                <c:pt idx="8">
                  <c:v>169587995.81600001</c:v>
                </c:pt>
              </c:numCache>
            </c:numRef>
          </c:val>
        </c:ser>
        <c:dLbls>
          <c:showLegendKey val="0"/>
          <c:showVal val="0"/>
          <c:showCatName val="0"/>
          <c:showSerName val="0"/>
          <c:showPercent val="0"/>
          <c:showBubbleSize val="0"/>
        </c:dLbls>
        <c:gapWidth val="150"/>
        <c:axId val="27682304"/>
        <c:axId val="27683840"/>
      </c:barChart>
      <c:catAx>
        <c:axId val="27682304"/>
        <c:scaling>
          <c:orientation val="minMax"/>
        </c:scaling>
        <c:delete val="0"/>
        <c:axPos val="l"/>
        <c:numFmt formatCode="General" sourceLinked="0"/>
        <c:majorTickMark val="out"/>
        <c:minorTickMark val="none"/>
        <c:tickLblPos val="nextTo"/>
        <c:crossAx val="27683840"/>
        <c:crosses val="autoZero"/>
        <c:auto val="1"/>
        <c:lblAlgn val="ctr"/>
        <c:lblOffset val="100"/>
        <c:noMultiLvlLbl val="0"/>
      </c:catAx>
      <c:valAx>
        <c:axId val="27683840"/>
        <c:scaling>
          <c:orientation val="minMax"/>
        </c:scaling>
        <c:delete val="0"/>
        <c:axPos val="b"/>
        <c:majorGridlines/>
        <c:numFmt formatCode="#,##0" sourceLinked="0"/>
        <c:majorTickMark val="out"/>
        <c:minorTickMark val="none"/>
        <c:tickLblPos val="nextTo"/>
        <c:crossAx val="27682304"/>
        <c:crosses val="autoZero"/>
        <c:crossBetween val="between"/>
        <c:dispUnits>
          <c:builtInUnit val="millions"/>
        </c:dispUnits>
      </c:valAx>
    </c:plotArea>
    <c:legend>
      <c:legendPos val="b"/>
      <c:layout>
        <c:manualLayout>
          <c:xMode val="edge"/>
          <c:yMode val="edge"/>
          <c:x val="0"/>
          <c:y val="0.90652222479158751"/>
          <c:w val="1"/>
          <c:h val="9.3102317434201318E-2"/>
        </c:manualLayout>
      </c:layout>
      <c:overlay val="0"/>
    </c:legend>
    <c:plotVisOnly val="1"/>
    <c:dispBlanksAs val="gap"/>
    <c:showDLblsOverMax val="0"/>
  </c:chart>
  <c:spPr>
    <a:noFill/>
    <a:ln>
      <a:noFill/>
    </a:ln>
  </c:spPr>
  <c:txPr>
    <a:bodyPr/>
    <a:lstStyle/>
    <a:p>
      <a:pPr>
        <a:defRPr sz="950">
          <a:latin typeface="Times New Roman" pitchFamily="18" charset="0"/>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Sheet2!$A$3</c:f>
              <c:strCache>
                <c:ptCount val="1"/>
                <c:pt idx="0">
                  <c:v>ERAF</c:v>
                </c:pt>
              </c:strCache>
            </c:strRef>
          </c:tx>
          <c:invertIfNegative val="0"/>
          <c:dLbls>
            <c:dLbl>
              <c:idx val="0"/>
              <c:layout/>
              <c:tx>
                <c:rich>
                  <a:bodyPr/>
                  <a:lstStyle/>
                  <a:p>
                    <a:r>
                      <a:rPr lang="en-US" sz="900"/>
                      <a:t>92,7% (0,2%)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900"/>
                      <a:t>92,2% (1,2%)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sz="900"/>
                      <a:t>92,2% (1,3%)</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Sheet2!$F$2:$H$2</c:f>
              <c:strCache>
                <c:ptCount val="3"/>
                <c:pt idx="0">
                  <c:v>Lietuva</c:v>
                </c:pt>
                <c:pt idx="1">
                  <c:v>Igaunija</c:v>
                </c:pt>
                <c:pt idx="2">
                  <c:v>Latvija</c:v>
                </c:pt>
              </c:strCache>
            </c:strRef>
          </c:cat>
          <c:val>
            <c:numRef>
              <c:f>Sheet2!$B$3:$D$3</c:f>
              <c:numCache>
                <c:formatCode>0.0%</c:formatCode>
                <c:ptCount val="3"/>
                <c:pt idx="0">
                  <c:v>0.9266486690857878</c:v>
                </c:pt>
                <c:pt idx="1">
                  <c:v>0.92237393828620573</c:v>
                </c:pt>
                <c:pt idx="2">
                  <c:v>0.92225872227858408</c:v>
                </c:pt>
              </c:numCache>
            </c:numRef>
          </c:val>
        </c:ser>
        <c:ser>
          <c:idx val="1"/>
          <c:order val="1"/>
          <c:tx>
            <c:strRef>
              <c:f>Sheet2!$A$4</c:f>
              <c:strCache>
                <c:ptCount val="1"/>
                <c:pt idx="0">
                  <c:v>ESF</c:v>
                </c:pt>
              </c:strCache>
            </c:strRef>
          </c:tx>
          <c:invertIfNegative val="0"/>
          <c:dLbls>
            <c:dLbl>
              <c:idx val="0"/>
              <c:layout/>
              <c:tx>
                <c:rich>
                  <a:bodyPr/>
                  <a:lstStyle/>
                  <a:p>
                    <a:r>
                      <a:rPr lang="en-US" sz="900"/>
                      <a:t>88,6% (2,3%)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900"/>
                      <a:t>95,1% (1,6%)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sz="900"/>
                      <a:t>104,4% (1%)</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Sheet2!$F$2:$H$2</c:f>
              <c:strCache>
                <c:ptCount val="3"/>
                <c:pt idx="0">
                  <c:v>Lietuva</c:v>
                </c:pt>
                <c:pt idx="1">
                  <c:v>Igaunija</c:v>
                </c:pt>
                <c:pt idx="2">
                  <c:v>Latvija</c:v>
                </c:pt>
              </c:strCache>
            </c:strRef>
          </c:cat>
          <c:val>
            <c:numRef>
              <c:f>Sheet2!$B$4:$D$4</c:f>
              <c:numCache>
                <c:formatCode>0.0%</c:formatCode>
                <c:ptCount val="3"/>
                <c:pt idx="0">
                  <c:v>0.88604424295742834</c:v>
                </c:pt>
                <c:pt idx="1">
                  <c:v>0.95095785440613034</c:v>
                </c:pt>
                <c:pt idx="2">
                  <c:v>1.0435536362293754</c:v>
                </c:pt>
              </c:numCache>
            </c:numRef>
          </c:val>
        </c:ser>
        <c:ser>
          <c:idx val="2"/>
          <c:order val="2"/>
          <c:tx>
            <c:strRef>
              <c:f>Sheet2!$A$5</c:f>
              <c:strCache>
                <c:ptCount val="1"/>
                <c:pt idx="0">
                  <c:v>KF</c:v>
                </c:pt>
              </c:strCache>
            </c:strRef>
          </c:tx>
          <c:invertIfNegative val="0"/>
          <c:dLbls>
            <c:dLbl>
              <c:idx val="0"/>
              <c:layout/>
              <c:tx>
                <c:rich>
                  <a:bodyPr/>
                  <a:lstStyle/>
                  <a:p>
                    <a:r>
                      <a:rPr lang="en-US" sz="900"/>
                      <a:t>89,4% (0,6%)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900"/>
                      <a:t>91,8% (0,9%)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sz="900"/>
                      <a:t>96,5% (1,6%)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Sheet2!$F$2:$H$2</c:f>
              <c:strCache>
                <c:ptCount val="3"/>
                <c:pt idx="0">
                  <c:v>Lietuva</c:v>
                </c:pt>
                <c:pt idx="1">
                  <c:v>Igaunija</c:v>
                </c:pt>
                <c:pt idx="2">
                  <c:v>Latvija</c:v>
                </c:pt>
              </c:strCache>
            </c:strRef>
          </c:cat>
          <c:val>
            <c:numRef>
              <c:f>Sheet2!$B$5:$D$5</c:f>
              <c:numCache>
                <c:formatCode>0.0%</c:formatCode>
                <c:ptCount val="3"/>
                <c:pt idx="0">
                  <c:v>0.89361793316224458</c:v>
                </c:pt>
                <c:pt idx="1">
                  <c:v>0.91794738213076321</c:v>
                </c:pt>
                <c:pt idx="2">
                  <c:v>0.96475037050392087</c:v>
                </c:pt>
              </c:numCache>
            </c:numRef>
          </c:val>
        </c:ser>
        <c:ser>
          <c:idx val="3"/>
          <c:order val="3"/>
          <c:tx>
            <c:strRef>
              <c:f>Sheet2!$A$6</c:f>
              <c:strCache>
                <c:ptCount val="1"/>
                <c:pt idx="0">
                  <c:v>Kopā</c:v>
                </c:pt>
              </c:strCache>
            </c:strRef>
          </c:tx>
          <c:invertIfNegative val="0"/>
          <c:dLbls>
            <c:dLbl>
              <c:idx val="0"/>
              <c:layout/>
              <c:tx>
                <c:rich>
                  <a:bodyPr/>
                  <a:lstStyle/>
                  <a:p>
                    <a:r>
                      <a:rPr lang="en-US" sz="900"/>
                      <a:t>90,5% (0,2%)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900"/>
                      <a:t>92,4% (1,1%)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sz="900"/>
                      <a:t>95,2% (1,3%)</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Sheet2!$F$2:$H$2</c:f>
              <c:strCache>
                <c:ptCount val="3"/>
                <c:pt idx="0">
                  <c:v>Lietuva</c:v>
                </c:pt>
                <c:pt idx="1">
                  <c:v>Igaunija</c:v>
                </c:pt>
                <c:pt idx="2">
                  <c:v>Latvija</c:v>
                </c:pt>
              </c:strCache>
            </c:strRef>
          </c:cat>
          <c:val>
            <c:numRef>
              <c:f>Sheet2!$B$6:$D$6</c:f>
              <c:numCache>
                <c:formatCode>0.0%</c:formatCode>
                <c:ptCount val="3"/>
                <c:pt idx="0">
                  <c:v>0.90485924018108077</c:v>
                </c:pt>
                <c:pt idx="1">
                  <c:v>0.9241640712228949</c:v>
                </c:pt>
                <c:pt idx="2">
                  <c:v>0.95231207891753322</c:v>
                </c:pt>
              </c:numCache>
            </c:numRef>
          </c:val>
        </c:ser>
        <c:dLbls>
          <c:showLegendKey val="0"/>
          <c:showVal val="0"/>
          <c:showCatName val="0"/>
          <c:showSerName val="0"/>
          <c:showPercent val="0"/>
          <c:showBubbleSize val="0"/>
        </c:dLbls>
        <c:gapWidth val="150"/>
        <c:axId val="27774976"/>
        <c:axId val="27776512"/>
      </c:barChart>
      <c:catAx>
        <c:axId val="27774976"/>
        <c:scaling>
          <c:orientation val="minMax"/>
        </c:scaling>
        <c:delete val="0"/>
        <c:axPos val="l"/>
        <c:numFmt formatCode="General" sourceLinked="0"/>
        <c:majorTickMark val="out"/>
        <c:minorTickMark val="none"/>
        <c:tickLblPos val="nextTo"/>
        <c:crossAx val="27776512"/>
        <c:crosses val="autoZero"/>
        <c:auto val="1"/>
        <c:lblAlgn val="ctr"/>
        <c:lblOffset val="100"/>
        <c:noMultiLvlLbl val="0"/>
      </c:catAx>
      <c:valAx>
        <c:axId val="27776512"/>
        <c:scaling>
          <c:orientation val="minMax"/>
        </c:scaling>
        <c:delete val="0"/>
        <c:axPos val="b"/>
        <c:majorGridlines/>
        <c:numFmt formatCode="0%" sourceLinked="0"/>
        <c:majorTickMark val="out"/>
        <c:minorTickMark val="none"/>
        <c:tickLblPos val="nextTo"/>
        <c:crossAx val="27774976"/>
        <c:crosses val="autoZero"/>
        <c:crossBetween val="between"/>
      </c:valAx>
    </c:plotArea>
    <c:legend>
      <c:legendPos val="b"/>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63906256497633E-2"/>
          <c:y val="2.4818257247972413E-2"/>
          <c:w val="0.88568660529341492"/>
          <c:h val="0.70288803483172779"/>
        </c:manualLayout>
      </c:layout>
      <c:barChart>
        <c:barDir val="col"/>
        <c:grouping val="stacked"/>
        <c:varyColors val="0"/>
        <c:ser>
          <c:idx val="0"/>
          <c:order val="0"/>
          <c:tx>
            <c:strRef>
              <c:f>Grafiks_jaunais!$B$1</c:f>
              <c:strCache>
                <c:ptCount val="1"/>
                <c:pt idx="0">
                  <c:v>Virssaistību finansējums atbilstoši apst. MK p/l, latu; Kopā 298,6 milj. latu</c:v>
                </c:pt>
              </c:strCache>
            </c:strRef>
          </c:tx>
          <c:spPr>
            <a:ln w="25400">
              <a:solidFill>
                <a:schemeClr val="accent1"/>
              </a:solidFill>
            </a:ln>
          </c:spPr>
          <c:invertIfNegative val="0"/>
          <c:dLbls>
            <c:dLbl>
              <c:idx val="0"/>
              <c:layout>
                <c:manualLayout>
                  <c:x val="0"/>
                  <c:y val="-0.38759008630089437"/>
                </c:manualLayout>
              </c:layout>
              <c:tx>
                <c:rich>
                  <a:bodyPr/>
                  <a:lstStyle/>
                  <a:p>
                    <a:r>
                      <a:rPr lang="en-US" sz="900" b="1"/>
                      <a:t>78,5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
                  <c:y val="-0.29437221744371722"/>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0"/>
                  <c:y val="-0.3017315228798102"/>
                </c:manualLayout>
              </c:layout>
              <c:tx>
                <c:rich>
                  <a:bodyPr/>
                  <a:lstStyle/>
                  <a:p>
                    <a:r>
                      <a:rPr lang="en-US" sz="900" b="1"/>
                      <a:t>57,0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21096675583466407"/>
                </c:manualLayout>
              </c:layout>
              <c:tx>
                <c:rich>
                  <a:bodyPr/>
                  <a:lstStyle/>
                  <a:p>
                    <a:r>
                      <a:rPr lang="en-US" sz="900" b="1"/>
                      <a:t>43,6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2265509060154885"/>
                </c:manualLayout>
              </c:layout>
              <c:tx>
                <c:rich>
                  <a:bodyPr/>
                  <a:lstStyle/>
                  <a:p>
                    <a:r>
                      <a:rPr lang="en-US" sz="900" b="1"/>
                      <a:t>26,7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8.3405461609053225E-2"/>
                </c:manualLayout>
              </c:layout>
              <c:tx>
                <c:rich>
                  <a:bodyPr/>
                  <a:lstStyle/>
                  <a:p>
                    <a:r>
                      <a:rPr lang="en-US" sz="900" b="1"/>
                      <a:t>12,0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6.132754530077434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1.2265509060154976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1.471861087218595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Grafiks_jaunais!$A$3:$A$23</c:f>
              <c:strCache>
                <c:ptCount val="19"/>
                <c:pt idx="0">
                  <c:v>VARAM</c:v>
                </c:pt>
                <c:pt idx="3">
                  <c:v>IZM</c:v>
                </c:pt>
                <c:pt idx="6">
                  <c:v>SM</c:v>
                </c:pt>
                <c:pt idx="9">
                  <c:v>EM</c:v>
                </c:pt>
                <c:pt idx="12">
                  <c:v>LM</c:v>
                </c:pt>
                <c:pt idx="15">
                  <c:v>KM</c:v>
                </c:pt>
                <c:pt idx="18">
                  <c:v>VeM</c:v>
                </c:pt>
              </c:strCache>
            </c:strRef>
          </c:cat>
          <c:val>
            <c:numRef>
              <c:f>Grafiks_jaunais!$B$3:$B$23</c:f>
              <c:numCache>
                <c:formatCode>General</c:formatCode>
                <c:ptCount val="21"/>
                <c:pt idx="0" formatCode="#,##0">
                  <c:v>65252699.50599999</c:v>
                </c:pt>
                <c:pt idx="3" formatCode="#,##0">
                  <c:v>68948002.557135999</c:v>
                </c:pt>
                <c:pt idx="6" formatCode="#,##0">
                  <c:v>40708665.68</c:v>
                </c:pt>
                <c:pt idx="9" formatCode="#,##0">
                  <c:v>39768579.439999998</c:v>
                </c:pt>
                <c:pt idx="12" formatCode="#,##0">
                  <c:v>26731313.413770001</c:v>
                </c:pt>
                <c:pt idx="15" formatCode="#,##0">
                  <c:v>8000000</c:v>
                </c:pt>
                <c:pt idx="18" formatCode="#,##0">
                  <c:v>11800000</c:v>
                </c:pt>
              </c:numCache>
            </c:numRef>
          </c:val>
        </c:ser>
        <c:ser>
          <c:idx val="1"/>
          <c:order val="1"/>
          <c:tx>
            <c:strRef>
              <c:f>Grafiks_jaunais!$D$1</c:f>
              <c:strCache>
                <c:ptCount val="1"/>
                <c:pt idx="0">
                  <c:v>Virssaistību līgumu plāna neizpilde; Kopā 22,0 milj. latu</c:v>
                </c:pt>
              </c:strCache>
            </c:strRef>
          </c:tx>
          <c:spPr>
            <a:ln w="3175">
              <a:solidFill>
                <a:schemeClr val="accent1"/>
              </a:solidFill>
              <a:miter lim="800000"/>
            </a:ln>
          </c:spPr>
          <c:invertIfNegative val="0"/>
          <c:dPt>
            <c:idx val="0"/>
            <c:invertIfNegative val="0"/>
            <c:bubble3D val="0"/>
            <c:spPr>
              <a:ln w="25400">
                <a:solidFill>
                  <a:schemeClr val="accent1"/>
                </a:solidFill>
                <a:miter lim="800000"/>
              </a:ln>
            </c:spPr>
          </c:dPt>
          <c:dPt>
            <c:idx val="6"/>
            <c:invertIfNegative val="0"/>
            <c:bubble3D val="0"/>
            <c:spPr>
              <a:ln w="25400">
                <a:solidFill>
                  <a:schemeClr val="accent1"/>
                </a:solidFill>
                <a:miter lim="800000"/>
              </a:ln>
            </c:spPr>
          </c:dPt>
          <c:dPt>
            <c:idx val="9"/>
            <c:invertIfNegative val="0"/>
            <c:bubble3D val="0"/>
            <c:spPr>
              <a:ln w="25400">
                <a:solidFill>
                  <a:schemeClr val="accent1"/>
                </a:solidFill>
                <a:miter lim="800000"/>
              </a:ln>
            </c:spPr>
          </c:dPt>
          <c:dPt>
            <c:idx val="15"/>
            <c:invertIfNegative val="0"/>
            <c:bubble3D val="0"/>
            <c:spPr>
              <a:ln w="25400">
                <a:solidFill>
                  <a:schemeClr val="accent1"/>
                </a:solidFill>
                <a:miter lim="800000"/>
              </a:ln>
            </c:spPr>
          </c:dPt>
          <c:dLbls>
            <c:dLbl>
              <c:idx val="0"/>
              <c:layout>
                <c:manualLayout>
                  <c:x val="2.4752992146702565E-2"/>
                  <c:y val="2.4531018120309772E-3"/>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2.6521063014324192E-2"/>
                  <c:y val="-1.9315762303953815E-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6521063014324157E-2"/>
                  <c:y val="0"/>
                </c:manualLayout>
              </c:layout>
              <c:showLegendKey val="0"/>
              <c:showVal val="1"/>
              <c:showCatName val="0"/>
              <c:showSerName val="0"/>
              <c:showPercent val="0"/>
              <c:showBubbleSize val="0"/>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5"/>
              <c:layout>
                <c:manualLayout>
                  <c:x val="-2.2984921279080937E-2"/>
                  <c:y val="-1.9315762299456512E-7"/>
                </c:manualLayout>
              </c:layout>
              <c:showLegendKey val="0"/>
              <c:showVal val="1"/>
              <c:showCatName val="0"/>
              <c:showSerName val="0"/>
              <c:showPercent val="0"/>
              <c:showBubbleSize val="0"/>
              <c:extLst>
                <c:ext xmlns:c15="http://schemas.microsoft.com/office/drawing/2012/chart" uri="{CE6537A1-D6FC-4f65-9D91-7224C49458BB}"/>
              </c:extLst>
            </c:dLbl>
            <c:dLbl>
              <c:idx val="18"/>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4"/>
              <c:delete val="1"/>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Grafiks_jaunais!$A$3:$A$23</c:f>
              <c:strCache>
                <c:ptCount val="19"/>
                <c:pt idx="0">
                  <c:v>VARAM</c:v>
                </c:pt>
                <c:pt idx="3">
                  <c:v>IZM</c:v>
                </c:pt>
                <c:pt idx="6">
                  <c:v>SM</c:v>
                </c:pt>
                <c:pt idx="9">
                  <c:v>EM</c:v>
                </c:pt>
                <c:pt idx="12">
                  <c:v>LM</c:v>
                </c:pt>
                <c:pt idx="15">
                  <c:v>KM</c:v>
                </c:pt>
                <c:pt idx="18">
                  <c:v>VeM</c:v>
                </c:pt>
              </c:strCache>
            </c:strRef>
          </c:cat>
          <c:val>
            <c:numRef>
              <c:f>Grafiks_jaunais!$D$3:$D$23</c:f>
              <c:numCache>
                <c:formatCode>General</c:formatCode>
                <c:ptCount val="21"/>
                <c:pt idx="0" formatCode="#,##0">
                  <c:v>8005827</c:v>
                </c:pt>
                <c:pt idx="3" formatCode="#,##0">
                  <c:v>0</c:v>
                </c:pt>
                <c:pt idx="6" formatCode="#,##0">
                  <c:v>7014631.7900000028</c:v>
                </c:pt>
                <c:pt idx="9" formatCode="#,##0">
                  <c:v>3000000</c:v>
                </c:pt>
                <c:pt idx="12" formatCode="#,##0">
                  <c:v>0</c:v>
                </c:pt>
                <c:pt idx="15" formatCode="#,##0">
                  <c:v>4000000</c:v>
                </c:pt>
                <c:pt idx="18" formatCode="#,##0">
                  <c:v>0</c:v>
                </c:pt>
              </c:numCache>
            </c:numRef>
          </c:val>
        </c:ser>
        <c:ser>
          <c:idx val="2"/>
          <c:order val="2"/>
          <c:tx>
            <c:strRef>
              <c:f>Grafiks_jaunais!$E$1</c:f>
              <c:strCache>
                <c:ptCount val="1"/>
                <c:pt idx="0">
                  <c:v>Atbildīgās iestādes mērķa maksājumiem FS neizpilde 2 mēnešus pēc kārtas (feb./marts); Kopā 15,3 milj. latu</c:v>
                </c:pt>
              </c:strCache>
            </c:strRef>
          </c:tx>
          <c:spPr>
            <a:ln w="3175" cap="sq">
              <a:solidFill>
                <a:schemeClr val="accent1"/>
              </a:solidFill>
            </a:ln>
          </c:spPr>
          <c:invertIfNegative val="0"/>
          <c:dPt>
            <c:idx val="0"/>
            <c:invertIfNegative val="0"/>
            <c:bubble3D val="0"/>
            <c:spPr>
              <a:ln w="25400" cap="sq">
                <a:solidFill>
                  <a:schemeClr val="accent1"/>
                </a:solidFill>
              </a:ln>
            </c:spPr>
          </c:dPt>
          <c:dPt>
            <c:idx val="6"/>
            <c:invertIfNegative val="0"/>
            <c:bubble3D val="0"/>
            <c:spPr>
              <a:ln w="25400" cap="sq">
                <a:solidFill>
                  <a:schemeClr val="accent1"/>
                </a:solidFill>
              </a:ln>
            </c:spPr>
          </c:dPt>
          <c:dLbls>
            <c:dLbl>
              <c:idx val="0"/>
              <c:layout>
                <c:manualLayout>
                  <c:x val="2.4752992146702565E-2"/>
                  <c:y val="-6.283417476013204E-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2.9056339259868839E-2"/>
                  <c:y val="-2.8386329194874972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2.6521063014324157E-2"/>
                  <c:y val="-5.7051035527674755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4"/>
              <c:delete val="1"/>
              <c:extLst>
                <c:ext xmlns:c15="http://schemas.microsoft.com/office/drawing/2012/chart" uri="{CE6537A1-D6FC-4f65-9D91-7224C49458BB}"/>
              </c:extLst>
            </c:dLbl>
            <c:numFmt formatCode="#,##0.0" sourceLinked="0"/>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Grafiks_jaunais!$A$3:$A$23</c:f>
              <c:strCache>
                <c:ptCount val="19"/>
                <c:pt idx="0">
                  <c:v>VARAM</c:v>
                </c:pt>
                <c:pt idx="3">
                  <c:v>IZM</c:v>
                </c:pt>
                <c:pt idx="6">
                  <c:v>SM</c:v>
                </c:pt>
                <c:pt idx="9">
                  <c:v>EM</c:v>
                </c:pt>
                <c:pt idx="12">
                  <c:v>LM</c:v>
                </c:pt>
                <c:pt idx="15">
                  <c:v>KM</c:v>
                </c:pt>
                <c:pt idx="18">
                  <c:v>VeM</c:v>
                </c:pt>
              </c:strCache>
            </c:strRef>
          </c:cat>
          <c:val>
            <c:numRef>
              <c:f>Grafiks_jaunais!$E$3:$E$23</c:f>
              <c:numCache>
                <c:formatCode>General</c:formatCode>
                <c:ptCount val="21"/>
                <c:pt idx="0" formatCode="#,##0">
                  <c:v>5243234.4940000102</c:v>
                </c:pt>
                <c:pt idx="3" formatCode="#,##0">
                  <c:v>0</c:v>
                </c:pt>
                <c:pt idx="6" formatCode="#,##0">
                  <c:v>9299663.5299999937</c:v>
                </c:pt>
                <c:pt idx="9" formatCode="#,##0">
                  <c:v>802098.35000000149</c:v>
                </c:pt>
                <c:pt idx="12" formatCode="#,##0">
                  <c:v>0</c:v>
                </c:pt>
                <c:pt idx="15" formatCode="#,##0">
                  <c:v>0</c:v>
                </c:pt>
                <c:pt idx="18" formatCode="#,##0">
                  <c:v>0</c:v>
                </c:pt>
              </c:numCache>
            </c:numRef>
          </c:val>
        </c:ser>
        <c:ser>
          <c:idx val="3"/>
          <c:order val="3"/>
          <c:tx>
            <c:strRef>
              <c:f>Grafiks_jaunais!$C$1</c:f>
              <c:strCache>
                <c:ptCount val="1"/>
                <c:pt idx="0">
                  <c:v>Noslēgti līgumi par virssaistību finansējumu (publiskā fin.daļa) uz 31.03.2013., latu; Kopā 112,0 milj. latu</c:v>
                </c:pt>
              </c:strCache>
            </c:strRef>
          </c:tx>
          <c:spPr>
            <a:solidFill>
              <a:schemeClr val="accent4">
                <a:lumMod val="60000"/>
                <a:lumOff val="40000"/>
              </a:schemeClr>
            </a:solidFill>
          </c:spPr>
          <c:invertIfNegative val="0"/>
          <c:dLbls>
            <c:dLbl>
              <c:idx val="0"/>
              <c:delete val="1"/>
              <c:extLst>
                <c:ext xmlns:c15="http://schemas.microsoft.com/office/drawing/2012/chart" uri="{CE6537A1-D6FC-4f65-9D91-7224C49458BB}"/>
              </c:extLst>
            </c:dLbl>
            <c:dLbl>
              <c:idx val="1"/>
              <c:layout>
                <c:manualLayout>
                  <c:x val="0"/>
                  <c:y val="-4.9062036240619541E-2"/>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2.9437221744371814E-2"/>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layout>
                <c:manualLayout>
                  <c:x val="5.3042126028648318E-3"/>
                  <c:y val="-0.1839826359023232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5.6421341676712471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7680708676216753E-3"/>
                  <c:y val="-0.11284268335342494"/>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7680708676216105E-3"/>
                  <c:y val="-4.4155832616557589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6.1327545300774423E-2"/>
                </c:manualLayout>
              </c:layout>
              <c:showLegendKey val="0"/>
              <c:showVal val="1"/>
              <c:showCatName val="0"/>
              <c:showSerName val="0"/>
              <c:showPercent val="0"/>
              <c:showBubbleSize val="0"/>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5"/>
              <c:delete val="1"/>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Grafiks_jaunais!$A$3:$A$23</c:f>
              <c:strCache>
                <c:ptCount val="19"/>
                <c:pt idx="0">
                  <c:v>VARAM</c:v>
                </c:pt>
                <c:pt idx="3">
                  <c:v>IZM</c:v>
                </c:pt>
                <c:pt idx="6">
                  <c:v>SM</c:v>
                </c:pt>
                <c:pt idx="9">
                  <c:v>EM</c:v>
                </c:pt>
                <c:pt idx="12">
                  <c:v>LM</c:v>
                </c:pt>
                <c:pt idx="15">
                  <c:v>KM</c:v>
                </c:pt>
                <c:pt idx="18">
                  <c:v>VeM</c:v>
                </c:pt>
              </c:strCache>
            </c:strRef>
          </c:cat>
          <c:val>
            <c:numRef>
              <c:f>Grafiks_jaunais!$C$3:$C$23</c:f>
              <c:numCache>
                <c:formatCode>#,##0</c:formatCode>
                <c:ptCount val="21"/>
                <c:pt idx="1">
                  <c:v>8225692.0800000001</c:v>
                </c:pt>
                <c:pt idx="4">
                  <c:v>3916830.0999999992</c:v>
                </c:pt>
                <c:pt idx="7">
                  <c:v>43441318.209999993</c:v>
                </c:pt>
                <c:pt idx="10">
                  <c:v>11285819.830000008</c:v>
                </c:pt>
                <c:pt idx="13">
                  <c:v>25301847.260000002</c:v>
                </c:pt>
                <c:pt idx="16">
                  <c:v>7999059.0699999994</c:v>
                </c:pt>
                <c:pt idx="19">
                  <c:v>11800000</c:v>
                </c:pt>
              </c:numCache>
            </c:numRef>
          </c:val>
        </c:ser>
        <c:ser>
          <c:idx val="4"/>
          <c:order val="4"/>
          <c:tx>
            <c:strRef>
              <c:f>Grafiks_jaunais!$G$1</c:f>
              <c:strCache>
                <c:ptCount val="1"/>
                <c:pt idx="0">
                  <c:v>Prognoze lauztajiem līgumiem un neatbilstībām 09.05.2012.-31.12.2015. (publiskais fin.); Kopā 52,3 milj. latu</c:v>
                </c:pt>
              </c:strCache>
            </c:strRef>
          </c:tx>
          <c:spPr>
            <a:solidFill>
              <a:schemeClr val="accent6">
                <a:lumMod val="60000"/>
                <a:lumOff val="40000"/>
              </a:schemeClr>
            </a:solidFill>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1.7680708676216105E-3"/>
                  <c:y val="-7.3593054360929305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
                  <c:y val="-2.207791630827879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717171268421674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0.13982680328576569"/>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4718610872185862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1.2265509060154885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1.7171712684216838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1.9624814496247818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7682100858000338E-3"/>
                  <c:y val="-1.7171712684216748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Grafiks_jaunais!$A$3:$A$23</c:f>
              <c:strCache>
                <c:ptCount val="19"/>
                <c:pt idx="0">
                  <c:v>VARAM</c:v>
                </c:pt>
                <c:pt idx="3">
                  <c:v>IZM</c:v>
                </c:pt>
                <c:pt idx="6">
                  <c:v>SM</c:v>
                </c:pt>
                <c:pt idx="9">
                  <c:v>EM</c:v>
                </c:pt>
                <c:pt idx="12">
                  <c:v>LM</c:v>
                </c:pt>
                <c:pt idx="15">
                  <c:v>KM</c:v>
                </c:pt>
                <c:pt idx="18">
                  <c:v>VeM</c:v>
                </c:pt>
              </c:strCache>
            </c:strRef>
          </c:cat>
          <c:val>
            <c:numRef>
              <c:f>Grafiks_jaunais!$G$3:$G$23</c:f>
              <c:numCache>
                <c:formatCode>General</c:formatCode>
                <c:ptCount val="21"/>
                <c:pt idx="2" formatCode="#,##0">
                  <c:v>14785949.785991568</c:v>
                </c:pt>
                <c:pt idx="5" formatCode="#,##0">
                  <c:v>2493962.5767379175</c:v>
                </c:pt>
                <c:pt idx="8" formatCode="#,##0">
                  <c:v>268448.37000000011</c:v>
                </c:pt>
                <c:pt idx="11" formatCode="#,##0">
                  <c:v>32269727.408574041</c:v>
                </c:pt>
                <c:pt idx="14" formatCode="#,##0">
                  <c:v>428621.95277560357</c:v>
                </c:pt>
                <c:pt idx="17" formatCode="#,##0">
                  <c:v>312127.97340220003</c:v>
                </c:pt>
                <c:pt idx="20" formatCode="#,##0">
                  <c:v>1485730.9671041665</c:v>
                </c:pt>
              </c:numCache>
            </c:numRef>
          </c:val>
        </c:ser>
        <c:dLbls>
          <c:showLegendKey val="0"/>
          <c:showVal val="0"/>
          <c:showCatName val="0"/>
          <c:showSerName val="0"/>
          <c:showPercent val="0"/>
          <c:showBubbleSize val="0"/>
        </c:dLbls>
        <c:gapWidth val="50"/>
        <c:overlap val="100"/>
        <c:axId val="27896064"/>
        <c:axId val="27246592"/>
      </c:barChart>
      <c:catAx>
        <c:axId val="27896064"/>
        <c:scaling>
          <c:orientation val="minMax"/>
        </c:scaling>
        <c:delete val="0"/>
        <c:axPos val="b"/>
        <c:numFmt formatCode="General" sourceLinked="0"/>
        <c:majorTickMark val="out"/>
        <c:minorTickMark val="none"/>
        <c:tickLblPos val="nextTo"/>
        <c:crossAx val="27246592"/>
        <c:crosses val="autoZero"/>
        <c:auto val="1"/>
        <c:lblAlgn val="r"/>
        <c:lblOffset val="100"/>
        <c:noMultiLvlLbl val="0"/>
      </c:catAx>
      <c:valAx>
        <c:axId val="27246592"/>
        <c:scaling>
          <c:orientation val="minMax"/>
        </c:scaling>
        <c:delete val="0"/>
        <c:axPos val="l"/>
        <c:majorGridlines/>
        <c:numFmt formatCode="#,##0" sourceLinked="0"/>
        <c:majorTickMark val="out"/>
        <c:minorTickMark val="none"/>
        <c:tickLblPos val="nextTo"/>
        <c:crossAx val="27896064"/>
        <c:crosses val="autoZero"/>
        <c:crossBetween val="between"/>
        <c:dispUnits>
          <c:builtInUnit val="millions"/>
        </c:dispUnits>
      </c:valAx>
    </c:plotArea>
    <c:legend>
      <c:legendPos val="b"/>
      <c:layout>
        <c:manualLayout>
          <c:xMode val="edge"/>
          <c:yMode val="edge"/>
          <c:x val="5.338794398417368E-2"/>
          <c:y val="0.76980150543188219"/>
          <c:w val="0.89322411203165264"/>
          <c:h val="0.22414570729396022"/>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282934590778208"/>
          <c:y val="1.6575258034024307E-2"/>
          <c:w val="0.42193610942074183"/>
          <c:h val="0.80358237658529452"/>
        </c:manualLayout>
      </c:layout>
      <c:barChart>
        <c:barDir val="bar"/>
        <c:grouping val="clustered"/>
        <c:varyColors val="0"/>
        <c:ser>
          <c:idx val="0"/>
          <c:order val="0"/>
          <c:tx>
            <c:strRef>
              <c:f>'1DP'!$C$13</c:f>
              <c:strCache>
                <c:ptCount val="1"/>
                <c:pt idx="0">
                  <c:v>Veikti maksājumi finansējuma saņēmējiem</c:v>
                </c:pt>
              </c:strCache>
            </c:strRef>
          </c:tx>
          <c:invertIfNegative val="0"/>
          <c:dLbls>
            <c:dLbl>
              <c:idx val="0"/>
              <c:layout/>
              <c:tx>
                <c:rich>
                  <a:bodyPr/>
                  <a:lstStyle/>
                  <a:p>
                    <a:r>
                      <a:rPr lang="en-US"/>
                      <a:t>8,5 (66,2%); 2,3%</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12,2 (72%); 3,9%</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29,5</a:t>
                    </a:r>
                    <a:r>
                      <a:rPr lang="en-US" sz="900" b="0" i="0" u="none" strike="noStrike" kern="1200" baseline="0">
                        <a:solidFill>
                          <a:sysClr val="windowText" lastClr="000000"/>
                        </a:solidFill>
                        <a:latin typeface="Times New Roman" pitchFamily="18" charset="0"/>
                        <a:ea typeface="+mn-ea"/>
                        <a:cs typeface="Times New Roman" pitchFamily="18" charset="0"/>
                      </a:rPr>
                      <a:t> </a:t>
                    </a:r>
                    <a:r>
                      <a:rPr lang="en-US"/>
                      <a:t>(81,3%); 5,8%</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171,8 (86,3%); 4,4%</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80,0 (77,9%); 2,1% </a:t>
                    </a:r>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75,2 (82,1%); 0,7%</a:t>
                    </a:r>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377,1 (82,1%); 3,2%</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'1DP'!$B$14:$B$27</c:f>
              <c:strCache>
                <c:ptCount val="13"/>
                <c:pt idx="0">
                  <c:v>Tehniskā palīdzība</c:v>
                </c:pt>
                <c:pt idx="2">
                  <c:v>Administratīvās kapacitātes stiprināšana</c:v>
                </c:pt>
                <c:pt idx="4">
                  <c:v>Sociālās iekļaušanas veicināšana</c:v>
                </c:pt>
                <c:pt idx="6">
                  <c:v>Nodarbinātības veicināšana un veselība darbā</c:v>
                </c:pt>
                <c:pt idx="8">
                  <c:v>Izglītība un prasmes</c:v>
                </c:pt>
                <c:pt idx="10">
                  <c:v>Augstākā izglītība un zinātne</c:v>
                </c:pt>
                <c:pt idx="12">
                  <c:v>Cilvēkresursi un nodarbinātība</c:v>
                </c:pt>
              </c:strCache>
            </c:strRef>
          </c:cat>
          <c:val>
            <c:numRef>
              <c:f>'1DP'!$C$14:$C$27</c:f>
              <c:numCache>
                <c:formatCode>General</c:formatCode>
                <c:ptCount val="14"/>
                <c:pt idx="0" formatCode="#,##0_ ;\-#,##0\ ">
                  <c:v>8499954.7699999996</c:v>
                </c:pt>
                <c:pt idx="2" formatCode="#,##0_ ;\-#,##0\ ">
                  <c:v>12150421.68</c:v>
                </c:pt>
                <c:pt idx="4" formatCode="#,##0_ ;\-#,##0\ ">
                  <c:v>29482742.59</c:v>
                </c:pt>
                <c:pt idx="6" formatCode="#,##0_ ;\-#,##0\ ">
                  <c:v>171775323.21000001</c:v>
                </c:pt>
                <c:pt idx="8" formatCode="#,##0_ ;\-#,##0\ ">
                  <c:v>79983073.739999995</c:v>
                </c:pt>
                <c:pt idx="10" formatCode="#,##0_ ;\-#,##0\ ">
                  <c:v>75163460.170000002</c:v>
                </c:pt>
                <c:pt idx="12" formatCode="#,##0_ ;\-#,##0\ ">
                  <c:v>377054976.15999997</c:v>
                </c:pt>
              </c:numCache>
            </c:numRef>
          </c:val>
        </c:ser>
        <c:ser>
          <c:idx val="1"/>
          <c:order val="1"/>
          <c:tx>
            <c:strRef>
              <c:f>'1DP'!$D$13</c:f>
              <c:strCache>
                <c:ptCount val="1"/>
                <c:pt idx="0">
                  <c:v>Noslēgti līgumi</c:v>
                </c:pt>
              </c:strCache>
            </c:strRef>
          </c:tx>
          <c:invertIfNegative val="0"/>
          <c:dLbls>
            <c:dLbl>
              <c:idx val="0"/>
              <c:layout/>
              <c:tx>
                <c:rich>
                  <a:bodyPr/>
                  <a:lstStyle/>
                  <a:p>
                    <a:r>
                      <a:rPr lang="en-US"/>
                      <a:t>12,0</a:t>
                    </a:r>
                    <a:r>
                      <a:rPr lang="en-US" sz="900" b="0" i="0" u="none" strike="noStrike" kern="1200" baseline="0">
                        <a:solidFill>
                          <a:sysClr val="windowText" lastClr="000000"/>
                        </a:solidFill>
                        <a:latin typeface="Times New Roman" pitchFamily="18" charset="0"/>
                        <a:ea typeface="+mn-ea"/>
                        <a:cs typeface="Times New Roman" pitchFamily="18" charset="0"/>
                      </a:rPr>
                      <a:t> </a:t>
                    </a:r>
                    <a:r>
                      <a:rPr lang="en-US" baseline="0"/>
                      <a:t>(93,3%); -5%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16,4 (97,2%); 0%</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37,9 (104,6%); 5,9%</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222,4 (111,8%); 1,6%</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105,7 (103%);</a:t>
                    </a:r>
                    <a:r>
                      <a:rPr lang="en-US" sz="900" b="0" i="0" u="none" strike="noStrike" kern="1200" baseline="0">
                        <a:solidFill>
                          <a:sysClr val="windowText" lastClr="000000"/>
                        </a:solidFill>
                        <a:latin typeface="Times New Roman" pitchFamily="18" charset="0"/>
                        <a:ea typeface="+mn-ea"/>
                        <a:cs typeface="Times New Roman" pitchFamily="18" charset="0"/>
                      </a:rPr>
                      <a:t> </a:t>
                    </a:r>
                    <a:r>
                      <a:rPr lang="en-US" baseline="0"/>
                      <a:t>-0,3%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85,6 (93,5%); 0%</a:t>
                    </a:r>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480,0 (104,5%); 0,9%</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'1DP'!$B$14:$B$27</c:f>
              <c:strCache>
                <c:ptCount val="13"/>
                <c:pt idx="0">
                  <c:v>Tehniskā palīdzība</c:v>
                </c:pt>
                <c:pt idx="2">
                  <c:v>Administratīvās kapacitātes stiprināšana</c:v>
                </c:pt>
                <c:pt idx="4">
                  <c:v>Sociālās iekļaušanas veicināšana</c:v>
                </c:pt>
                <c:pt idx="6">
                  <c:v>Nodarbinātības veicināšana un veselība darbā</c:v>
                </c:pt>
                <c:pt idx="8">
                  <c:v>Izglītība un prasmes</c:v>
                </c:pt>
                <c:pt idx="10">
                  <c:v>Augstākā izglītība un zinātne</c:v>
                </c:pt>
                <c:pt idx="12">
                  <c:v>Cilvēkresursi un nodarbinātība</c:v>
                </c:pt>
              </c:strCache>
            </c:strRef>
          </c:cat>
          <c:val>
            <c:numRef>
              <c:f>'1DP'!$D$14:$D$27</c:f>
              <c:numCache>
                <c:formatCode>General</c:formatCode>
                <c:ptCount val="14"/>
                <c:pt idx="0" formatCode="#,##0_ ;\-#,##0\ ">
                  <c:v>11983924.43</c:v>
                </c:pt>
                <c:pt idx="2" formatCode="#,##0_ ;\-#,##0\ ">
                  <c:v>16410656.439999999</c:v>
                </c:pt>
                <c:pt idx="4" formatCode="#,##0_ ;\-#,##0\ ">
                  <c:v>37916985.789999999</c:v>
                </c:pt>
                <c:pt idx="6" formatCode="#,##0_ ;\-#,##0\ ">
                  <c:v>222363979.03999999</c:v>
                </c:pt>
                <c:pt idx="8" formatCode="#,##0_ ;\-#,##0\ ">
                  <c:v>105698179.06</c:v>
                </c:pt>
                <c:pt idx="10" formatCode="#,##0_ ;\-#,##0\ ">
                  <c:v>85598641.299999997</c:v>
                </c:pt>
                <c:pt idx="12" formatCode="#,##0_ ;\-#,##0\ ">
                  <c:v>479972366.06</c:v>
                </c:pt>
              </c:numCache>
            </c:numRef>
          </c:val>
        </c:ser>
        <c:ser>
          <c:idx val="2"/>
          <c:order val="2"/>
          <c:tx>
            <c:strRef>
              <c:f>'1DP'!$E$13</c:f>
              <c:strCache>
                <c:ptCount val="1"/>
                <c:pt idx="0">
                  <c:v>Apstiprināti projekti</c:v>
                </c:pt>
              </c:strCache>
            </c:strRef>
          </c:tx>
          <c:invertIfNegative val="0"/>
          <c:dLbls>
            <c:dLbl>
              <c:idx val="0"/>
              <c:layout/>
              <c:tx>
                <c:rich>
                  <a:bodyPr/>
                  <a:lstStyle/>
                  <a:p>
                    <a:r>
                      <a:rPr lang="en-US"/>
                      <a:t>12,0 (93,3%); -5%</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16,5 (97,7%); 0,2%</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37,9 (104,6%); 5,9%</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222,4 (111,8%);</a:t>
                    </a:r>
                    <a:r>
                      <a:rPr lang="en-US" sz="900" b="0" i="0" u="none" strike="noStrike" kern="1200" baseline="0">
                        <a:solidFill>
                          <a:sysClr val="windowText" lastClr="000000"/>
                        </a:solidFill>
                        <a:latin typeface="Times New Roman" pitchFamily="18" charset="0"/>
                        <a:ea typeface="+mn-ea"/>
                        <a:cs typeface="Times New Roman" pitchFamily="18" charset="0"/>
                      </a:rPr>
                      <a:t> </a:t>
                    </a:r>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105,7 (103%);</a:t>
                    </a:r>
                    <a:r>
                      <a:rPr lang="en-US" baseline="0"/>
                      <a:t> -0,3%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a:t>85,6 (93,5%); 0%</a:t>
                    </a:r>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a:t>480,1 (104,6%); 0,9%</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'1DP'!$B$14:$B$27</c:f>
              <c:strCache>
                <c:ptCount val="13"/>
                <c:pt idx="0">
                  <c:v>Tehniskā palīdzība</c:v>
                </c:pt>
                <c:pt idx="2">
                  <c:v>Administratīvās kapacitātes stiprināšana</c:v>
                </c:pt>
                <c:pt idx="4">
                  <c:v>Sociālās iekļaušanas veicināšana</c:v>
                </c:pt>
                <c:pt idx="6">
                  <c:v>Nodarbinātības veicināšana un veselība darbā</c:v>
                </c:pt>
                <c:pt idx="8">
                  <c:v>Izglītība un prasmes</c:v>
                </c:pt>
                <c:pt idx="10">
                  <c:v>Augstākā izglītība un zinātne</c:v>
                </c:pt>
                <c:pt idx="12">
                  <c:v>Cilvēkresursi un nodarbinātība</c:v>
                </c:pt>
              </c:strCache>
            </c:strRef>
          </c:cat>
          <c:val>
            <c:numRef>
              <c:f>'1DP'!$E$14:$E$27</c:f>
              <c:numCache>
                <c:formatCode>General</c:formatCode>
                <c:ptCount val="14"/>
                <c:pt idx="0" formatCode="#,##0_ ;\-#,##0\ ">
                  <c:v>11983924.43</c:v>
                </c:pt>
                <c:pt idx="2" formatCode="#,##0_ ;\-#,##0\ ">
                  <c:v>16490296.32</c:v>
                </c:pt>
                <c:pt idx="4" formatCode="#,##0_ ;\-#,##0\ ">
                  <c:v>37916985.789999999</c:v>
                </c:pt>
                <c:pt idx="6" formatCode="#,##0_ ;\-#,##0\ ">
                  <c:v>222363979.03999999</c:v>
                </c:pt>
                <c:pt idx="8" formatCode="#,##0_ ;\-#,##0\ ">
                  <c:v>105698179.06</c:v>
                </c:pt>
                <c:pt idx="10" formatCode="#,##0_ ;\-#,##0\ ">
                  <c:v>85598641.299999997</c:v>
                </c:pt>
                <c:pt idx="12" formatCode="#,##0_ ;\-#,##0\ ">
                  <c:v>480052005.94</c:v>
                </c:pt>
              </c:numCache>
            </c:numRef>
          </c:val>
        </c:ser>
        <c:dLbls>
          <c:showLegendKey val="0"/>
          <c:showVal val="0"/>
          <c:showCatName val="0"/>
          <c:showSerName val="0"/>
          <c:showPercent val="0"/>
          <c:showBubbleSize val="0"/>
        </c:dLbls>
        <c:gapWidth val="0"/>
        <c:axId val="27407488"/>
        <c:axId val="27409024"/>
      </c:barChart>
      <c:barChart>
        <c:barDir val="bar"/>
        <c:grouping val="stacked"/>
        <c:varyColors val="0"/>
        <c:ser>
          <c:idx val="3"/>
          <c:order val="3"/>
          <c:tx>
            <c:strRef>
              <c:f>'1DP'!$F$13</c:f>
              <c:strCache>
                <c:ptCount val="1"/>
                <c:pt idx="0">
                  <c:v>Piešķirtais publiskais finansējums</c:v>
                </c:pt>
              </c:strCache>
            </c:strRef>
          </c:tx>
          <c:invertIfNegative val="0"/>
          <c:dLbls>
            <c:dLbl>
              <c:idx val="1"/>
              <c:layout>
                <c:manualLayout>
                  <c:x val="7.3870776653405842E-2"/>
                  <c:y val="1.7989417689631834E-3"/>
                </c:manualLayout>
              </c:layout>
              <c:tx>
                <c:rich>
                  <a:bodyPr/>
                  <a:lstStyle/>
                  <a:p>
                    <a:pPr>
                      <a:defRPr b="1"/>
                    </a:pPr>
                    <a:r>
                      <a:rPr lang="en-US" b="1"/>
                      <a:t>12,8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3"/>
              <c:layout>
                <c:manualLayout>
                  <c:x val="7.5814744460074426E-2"/>
                  <c:y val="0"/>
                </c:manualLayout>
              </c:layout>
              <c:tx>
                <c:rich>
                  <a:bodyPr/>
                  <a:lstStyle/>
                  <a:p>
                    <a:pPr>
                      <a:defRPr b="1"/>
                    </a:pPr>
                    <a:r>
                      <a:rPr lang="en-US" b="1"/>
                      <a:t>16,9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36,3 (100%)</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199,0 (100%)</a:t>
                    </a:r>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a:t>102,7 (100%)</a:t>
                    </a:r>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a:t>91,5 (100%)</a:t>
                    </a:r>
                  </a:p>
                </c:rich>
              </c:tx>
              <c:showLegendKey val="0"/>
              <c:showVal val="1"/>
              <c:showCatName val="0"/>
              <c:showSerName val="0"/>
              <c:showPercent val="0"/>
              <c:showBubbleSize val="0"/>
              <c:extLst>
                <c:ext xmlns:c15="http://schemas.microsoft.com/office/drawing/2012/chart" uri="{CE6537A1-D6FC-4f65-9D91-7224C49458BB}"/>
              </c:extLst>
            </c:dLbl>
            <c:dLbl>
              <c:idx val="13"/>
              <c:layout/>
              <c:tx>
                <c:rich>
                  <a:bodyPr/>
                  <a:lstStyle/>
                  <a:p>
                    <a:r>
                      <a:rPr lang="en-US"/>
                      <a:t>459,1 (100%)</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'1DP'!$B$14:$B$27</c:f>
              <c:strCache>
                <c:ptCount val="13"/>
                <c:pt idx="0">
                  <c:v>Tehniskā palīdzība</c:v>
                </c:pt>
                <c:pt idx="2">
                  <c:v>Administratīvās kapacitātes stiprināšana</c:v>
                </c:pt>
                <c:pt idx="4">
                  <c:v>Sociālās iekļaušanas veicināšana</c:v>
                </c:pt>
                <c:pt idx="6">
                  <c:v>Nodarbinātības veicināšana un veselība darbā</c:v>
                </c:pt>
                <c:pt idx="8">
                  <c:v>Izglītība un prasmes</c:v>
                </c:pt>
                <c:pt idx="10">
                  <c:v>Augstākā izglītība un zinātne</c:v>
                </c:pt>
                <c:pt idx="12">
                  <c:v>Cilvēkresursi un nodarbinātība</c:v>
                </c:pt>
              </c:strCache>
            </c:strRef>
          </c:cat>
          <c:val>
            <c:numRef>
              <c:f>'1DP'!$F$14:$F$27</c:f>
              <c:numCache>
                <c:formatCode>#,##0_ ;\-#,##0\ </c:formatCode>
                <c:ptCount val="14"/>
                <c:pt idx="1">
                  <c:v>12847761.029999999</c:v>
                </c:pt>
                <c:pt idx="3">
                  <c:v>16877607.539999999</c:v>
                </c:pt>
                <c:pt idx="5">
                  <c:v>36258630.340000004</c:v>
                </c:pt>
                <c:pt idx="7">
                  <c:v>198980166</c:v>
                </c:pt>
                <c:pt idx="9">
                  <c:v>102661493</c:v>
                </c:pt>
                <c:pt idx="11">
                  <c:v>91518201.450000003</c:v>
                </c:pt>
                <c:pt idx="13">
                  <c:v>459143859.35999995</c:v>
                </c:pt>
              </c:numCache>
            </c:numRef>
          </c:val>
        </c:ser>
        <c:ser>
          <c:idx val="4"/>
          <c:order val="4"/>
          <c:tx>
            <c:strRef>
              <c:f>'1DP'!$G$13</c:f>
              <c:strCache>
                <c:ptCount val="1"/>
                <c:pt idx="0">
                  <c:v>Piešķirtais virssaistību apjoms</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layout>
                <c:manualLayout>
                  <c:x val="8.4397158407485434E-2"/>
                  <c:y val="0"/>
                </c:manualLayout>
              </c:layout>
              <c:tx>
                <c:rich>
                  <a:bodyPr/>
                  <a:lstStyle/>
                  <a:p>
                    <a:r>
                      <a:rPr lang="en-US"/>
                      <a:t>2,5 (6,8%)</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4.8226947661420244E-2"/>
                  <c:y val="0"/>
                </c:manualLayout>
              </c:layout>
              <c:tx>
                <c:rich>
                  <a:bodyPr/>
                  <a:lstStyle/>
                  <a:p>
                    <a:r>
                      <a:rPr lang="en-US"/>
                      <a:t>31,0 (15,6%)</a:t>
                    </a:r>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7.8368789949807893E-2"/>
                  <c:y val="0"/>
                </c:manualLayout>
              </c:layout>
              <c:tx>
                <c:rich>
                  <a:bodyPr/>
                  <a:lstStyle/>
                  <a:p>
                    <a:r>
                      <a:rPr lang="en-US"/>
                      <a:t>6,8 (6,6%)</a:t>
                    </a:r>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7.2340421492130366E-2"/>
                  <c:y val="1.8992263763734513E-17"/>
                </c:manualLayout>
              </c:layout>
              <c:tx>
                <c:rich>
                  <a:bodyPr/>
                  <a:lstStyle/>
                  <a:p>
                    <a:r>
                      <a:rPr lang="en-US"/>
                      <a:t>4,5 (4,9%)</a:t>
                    </a:r>
                  </a:p>
                </c:rich>
              </c:tx>
              <c:showLegendKey val="0"/>
              <c:showVal val="1"/>
              <c:showCatName val="0"/>
              <c:showSerName val="0"/>
              <c:showPercent val="0"/>
              <c:showBubbleSize val="0"/>
              <c:extLst>
                <c:ext xmlns:c15="http://schemas.microsoft.com/office/drawing/2012/chart" uri="{CE6537A1-D6FC-4f65-9D91-7224C49458BB}"/>
              </c:extLst>
            </c:dLbl>
            <c:dLbl>
              <c:idx val="13"/>
              <c:layout/>
              <c:tx>
                <c:rich>
                  <a:bodyPr/>
                  <a:lstStyle/>
                  <a:p>
                    <a:r>
                      <a:rPr lang="en-US"/>
                      <a:t>44,7 (9,7%)</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'1DP'!$B$14:$B$27</c:f>
              <c:strCache>
                <c:ptCount val="13"/>
                <c:pt idx="0">
                  <c:v>Tehniskā palīdzība</c:v>
                </c:pt>
                <c:pt idx="2">
                  <c:v>Administratīvās kapacitātes stiprināšana</c:v>
                </c:pt>
                <c:pt idx="4">
                  <c:v>Sociālās iekļaušanas veicināšana</c:v>
                </c:pt>
                <c:pt idx="6">
                  <c:v>Nodarbinātības veicināšana un veselība darbā</c:v>
                </c:pt>
                <c:pt idx="8">
                  <c:v>Izglītība un prasmes</c:v>
                </c:pt>
                <c:pt idx="10">
                  <c:v>Augstākā izglītība un zinātne</c:v>
                </c:pt>
                <c:pt idx="12">
                  <c:v>Cilvēkresursi un nodarbinātība</c:v>
                </c:pt>
              </c:strCache>
            </c:strRef>
          </c:cat>
          <c:val>
            <c:numRef>
              <c:f>'1DP'!$G$14:$G$27</c:f>
              <c:numCache>
                <c:formatCode>#,##0_ ;\-#,##0\ </c:formatCode>
                <c:ptCount val="14"/>
                <c:pt idx="1">
                  <c:v>0</c:v>
                </c:pt>
                <c:pt idx="3">
                  <c:v>0</c:v>
                </c:pt>
                <c:pt idx="5">
                  <c:v>2452445.6</c:v>
                </c:pt>
                <c:pt idx="7">
                  <c:v>30978867.81377</c:v>
                </c:pt>
                <c:pt idx="9">
                  <c:v>6756261</c:v>
                </c:pt>
                <c:pt idx="11">
                  <c:v>4463145.5571360001</c:v>
                </c:pt>
                <c:pt idx="13">
                  <c:v>44650719.970905997</c:v>
                </c:pt>
              </c:numCache>
            </c:numRef>
          </c:val>
        </c:ser>
        <c:dLbls>
          <c:showLegendKey val="0"/>
          <c:showVal val="0"/>
          <c:showCatName val="0"/>
          <c:showSerName val="0"/>
          <c:showPercent val="0"/>
          <c:showBubbleSize val="0"/>
        </c:dLbls>
        <c:gapWidth val="107"/>
        <c:overlap val="100"/>
        <c:axId val="27458176"/>
        <c:axId val="27456256"/>
      </c:barChart>
      <c:catAx>
        <c:axId val="27407488"/>
        <c:scaling>
          <c:orientation val="minMax"/>
        </c:scaling>
        <c:delete val="0"/>
        <c:axPos val="l"/>
        <c:numFmt formatCode="General" sourceLinked="0"/>
        <c:majorTickMark val="out"/>
        <c:minorTickMark val="none"/>
        <c:tickLblPos val="nextTo"/>
        <c:crossAx val="27409024"/>
        <c:crosses val="autoZero"/>
        <c:auto val="1"/>
        <c:lblAlgn val="ctr"/>
        <c:lblOffset val="100"/>
        <c:noMultiLvlLbl val="0"/>
      </c:catAx>
      <c:valAx>
        <c:axId val="27409024"/>
        <c:scaling>
          <c:orientation val="minMax"/>
        </c:scaling>
        <c:delete val="0"/>
        <c:axPos val="b"/>
        <c:majorGridlines/>
        <c:numFmt formatCode="#,##0_ ;\-#,##0\ " sourceLinked="1"/>
        <c:majorTickMark val="out"/>
        <c:minorTickMark val="none"/>
        <c:tickLblPos val="nextTo"/>
        <c:crossAx val="27407488"/>
        <c:crosses val="autoZero"/>
        <c:crossBetween val="between"/>
        <c:dispUnits>
          <c:builtInUnit val="millions"/>
        </c:dispUnits>
      </c:valAx>
      <c:valAx>
        <c:axId val="27456256"/>
        <c:scaling>
          <c:orientation val="minMax"/>
          <c:max val="600000000"/>
          <c:min val="0"/>
        </c:scaling>
        <c:delete val="1"/>
        <c:axPos val="t"/>
        <c:numFmt formatCode="#,##0" sourceLinked="0"/>
        <c:majorTickMark val="out"/>
        <c:minorTickMark val="none"/>
        <c:tickLblPos val="nextTo"/>
        <c:crossAx val="27458176"/>
        <c:crosses val="max"/>
        <c:crossBetween val="between"/>
        <c:majorUnit val="200000000"/>
        <c:minorUnit val="20000000"/>
        <c:dispUnits>
          <c:builtInUnit val="millions"/>
          <c:dispUnitsLbl>
            <c:layout/>
          </c:dispUnitsLbl>
        </c:dispUnits>
      </c:valAx>
      <c:catAx>
        <c:axId val="27458176"/>
        <c:scaling>
          <c:orientation val="minMax"/>
        </c:scaling>
        <c:delete val="1"/>
        <c:axPos val="l"/>
        <c:numFmt formatCode="General" sourceLinked="1"/>
        <c:majorTickMark val="out"/>
        <c:minorTickMark val="none"/>
        <c:tickLblPos val="nextTo"/>
        <c:crossAx val="27456256"/>
        <c:crosses val="autoZero"/>
        <c:auto val="1"/>
        <c:lblAlgn val="ctr"/>
        <c:lblOffset val="100"/>
        <c:noMultiLvlLbl val="0"/>
      </c:catAx>
    </c:plotArea>
    <c:legend>
      <c:legendPos val="b"/>
      <c:layout>
        <c:manualLayout>
          <c:xMode val="edge"/>
          <c:yMode val="edge"/>
          <c:x val="0"/>
          <c:y val="0.88449378085224883"/>
          <c:w val="1"/>
          <c:h val="0.1030747756222329"/>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lv-LV"/>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007786610030255"/>
          <c:y val="1.9635668708566853E-2"/>
          <c:w val="0.61029078923274127"/>
          <c:h val="0.81639204178355429"/>
        </c:manualLayout>
      </c:layout>
      <c:barChart>
        <c:barDir val="bar"/>
        <c:grouping val="clustered"/>
        <c:varyColors val="0"/>
        <c:ser>
          <c:idx val="0"/>
          <c:order val="0"/>
          <c:tx>
            <c:strRef>
              <c:f>'2DP'!$C$19</c:f>
              <c:strCache>
                <c:ptCount val="1"/>
                <c:pt idx="0">
                  <c:v>Veikti maksājumi finansējuma saņēmējiem</c:v>
                </c:pt>
              </c:strCache>
            </c:strRef>
          </c:tx>
          <c:invertIfNegative val="0"/>
          <c:dLbls>
            <c:dLbl>
              <c:idx val="0"/>
              <c:layout/>
              <c:tx>
                <c:rich>
                  <a:bodyPr/>
                  <a:lstStyle/>
                  <a:p>
                    <a:r>
                      <a:rPr lang="en-US"/>
                      <a:t>8,5 (52,5%);</a:t>
                    </a:r>
                    <a:r>
                      <a:rPr lang="en-US" baseline="0"/>
                      <a:t> 2,4%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21,5 (35,1%);1,5%</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147,5 (100%);0%</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143,0 (44,7%);44,7%</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320,4 (58,8%);1,9%</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'2DP'!$B$20:$B$29</c:f>
              <c:strCache>
                <c:ptCount val="9"/>
                <c:pt idx="0">
                  <c:v>Tehniskā palīdzība</c:v>
                </c:pt>
                <c:pt idx="2">
                  <c:v>Uzņēmējdarbības veicināšana</c:v>
                </c:pt>
                <c:pt idx="4">
                  <c:v>Finanšu pieejamība*</c:v>
                </c:pt>
                <c:pt idx="6">
                  <c:v>Zinātne un inovācijas</c:v>
                </c:pt>
                <c:pt idx="8">
                  <c:v>DP "Uzņēmējdarbība un inovācijas" kopā</c:v>
                </c:pt>
              </c:strCache>
            </c:strRef>
          </c:cat>
          <c:val>
            <c:numRef>
              <c:f>'2DP'!$C$20:$C$29</c:f>
              <c:numCache>
                <c:formatCode>General</c:formatCode>
                <c:ptCount val="10"/>
                <c:pt idx="0" formatCode="_-* #,##0_-;\-* #,##0_-;_-* &quot;-&quot;??_-;_-@_-">
                  <c:v>8478207.4199999999</c:v>
                </c:pt>
                <c:pt idx="2" formatCode="_-* #,##0_-;\-* #,##0_-;_-* &quot;-&quot;??_-;_-@_-">
                  <c:v>21450925.280000001</c:v>
                </c:pt>
                <c:pt idx="4" formatCode="_-* #,##0_-;\-* #,##0_-;_-* &quot;-&quot;??_-;_-@_-">
                  <c:v>147494365</c:v>
                </c:pt>
                <c:pt idx="6" formatCode="_-* #,##0_-;\-* #,##0_-;_-* &quot;-&quot;??_-;_-@_-">
                  <c:v>142962479.84999999</c:v>
                </c:pt>
                <c:pt idx="8" formatCode="_-* #,##0_-;\-* #,##0_-;_-* &quot;-&quot;??_-;_-@_-">
                  <c:v>320385977.55000001</c:v>
                </c:pt>
              </c:numCache>
            </c:numRef>
          </c:val>
        </c:ser>
        <c:ser>
          <c:idx val="1"/>
          <c:order val="1"/>
          <c:tx>
            <c:strRef>
              <c:f>'2DP'!$D$19</c:f>
              <c:strCache>
                <c:ptCount val="1"/>
                <c:pt idx="0">
                  <c:v>Noslēgti līgumi</c:v>
                </c:pt>
              </c:strCache>
            </c:strRef>
          </c:tx>
          <c:invertIfNegative val="0"/>
          <c:dLbls>
            <c:dLbl>
              <c:idx val="0"/>
              <c:layout/>
              <c:tx>
                <c:rich>
                  <a:bodyPr/>
                  <a:lstStyle/>
                  <a:p>
                    <a:r>
                      <a:rPr lang="en-US"/>
                      <a:t>14,3 (88,6%);3,6%</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43,7</a:t>
                    </a:r>
                    <a:r>
                      <a:rPr lang="en-US" baseline="0"/>
                      <a:t> (71,5%); 3,6%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147,5 (100%);0%</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299,4 (93,5%); -1,2%</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504,8 (92,7%); -0,4%</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'2DP'!$B$20:$B$29</c:f>
              <c:strCache>
                <c:ptCount val="9"/>
                <c:pt idx="0">
                  <c:v>Tehniskā palīdzība</c:v>
                </c:pt>
                <c:pt idx="2">
                  <c:v>Uzņēmējdarbības veicināšana</c:v>
                </c:pt>
                <c:pt idx="4">
                  <c:v>Finanšu pieejamība*</c:v>
                </c:pt>
                <c:pt idx="6">
                  <c:v>Zinātne un inovācijas</c:v>
                </c:pt>
                <c:pt idx="8">
                  <c:v>DP "Uzņēmējdarbība un inovācijas" kopā</c:v>
                </c:pt>
              </c:strCache>
            </c:strRef>
          </c:cat>
          <c:val>
            <c:numRef>
              <c:f>'2DP'!$D$20:$D$29</c:f>
              <c:numCache>
                <c:formatCode>General</c:formatCode>
                <c:ptCount val="10"/>
                <c:pt idx="0" formatCode="_-* #,##0_-;\-* #,##0_-;_-* &quot;-&quot;??_-;_-@_-">
                  <c:v>14319339.970000001</c:v>
                </c:pt>
                <c:pt idx="2" formatCode="_-* #,##0_-;\-* #,##0_-;_-* &quot;-&quot;??_-;_-@_-">
                  <c:v>43660170.280000001</c:v>
                </c:pt>
                <c:pt idx="4" formatCode="_-* #,##0_-;\-* #,##0_-;_-* &quot;-&quot;??_-;_-@_-">
                  <c:v>147494365</c:v>
                </c:pt>
                <c:pt idx="6" formatCode="_-* #,##0_-;\-* #,##0_-;_-* &quot;-&quot;??_-;_-@_-">
                  <c:v>299353528.32999998</c:v>
                </c:pt>
                <c:pt idx="8" formatCode="_-* #,##0_-;\-* #,##0_-;_-* &quot;-&quot;??_-;_-@_-">
                  <c:v>504827403.58000004</c:v>
                </c:pt>
              </c:numCache>
            </c:numRef>
          </c:val>
        </c:ser>
        <c:ser>
          <c:idx val="2"/>
          <c:order val="2"/>
          <c:tx>
            <c:strRef>
              <c:f>'2DP'!$E$19</c:f>
              <c:strCache>
                <c:ptCount val="1"/>
                <c:pt idx="0">
                  <c:v>Apstiprināti projekti</c:v>
                </c:pt>
              </c:strCache>
            </c:strRef>
          </c:tx>
          <c:invertIfNegative val="0"/>
          <c:dLbls>
            <c:dLbl>
              <c:idx val="0"/>
              <c:layout/>
              <c:tx>
                <c:rich>
                  <a:bodyPr/>
                  <a:lstStyle/>
                  <a:p>
                    <a:r>
                      <a:rPr lang="en-US"/>
                      <a:t>14,3 (88,6%);-3,2%</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44,1 (72,1%);3,5%</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147,5 (100%);0%</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302,5 (94,5%); -1,2%</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508,4 (93,3%);</a:t>
                    </a:r>
                    <a:r>
                      <a:rPr lang="en-US" baseline="0"/>
                      <a:t> -0,4%</a:t>
                    </a:r>
                    <a:endParaRPr lang="en-US"/>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'2DP'!$B$20:$B$29</c:f>
              <c:strCache>
                <c:ptCount val="9"/>
                <c:pt idx="0">
                  <c:v>Tehniskā palīdzība</c:v>
                </c:pt>
                <c:pt idx="2">
                  <c:v>Uzņēmējdarbības veicināšana</c:v>
                </c:pt>
                <c:pt idx="4">
                  <c:v>Finanšu pieejamība*</c:v>
                </c:pt>
                <c:pt idx="6">
                  <c:v>Zinātne un inovācijas</c:v>
                </c:pt>
                <c:pt idx="8">
                  <c:v>DP "Uzņēmējdarbība un inovācijas" kopā</c:v>
                </c:pt>
              </c:strCache>
            </c:strRef>
          </c:cat>
          <c:val>
            <c:numRef>
              <c:f>'2DP'!$E$20:$E$29</c:f>
              <c:numCache>
                <c:formatCode>General</c:formatCode>
                <c:ptCount val="10"/>
                <c:pt idx="0" formatCode="_-* #,##0_-;\-* #,##0_-;_-* &quot;-&quot;??_-;_-@_-">
                  <c:v>14319339.970000001</c:v>
                </c:pt>
                <c:pt idx="2" formatCode="_-* #,##0_-;\-* #,##0_-;_-* &quot;-&quot;??_-;_-@_-">
                  <c:v>44056305.299999997</c:v>
                </c:pt>
                <c:pt idx="4" formatCode="_-* #,##0_-;\-* #,##0_-;_-* &quot;-&quot;??_-;_-@_-">
                  <c:v>147494365</c:v>
                </c:pt>
                <c:pt idx="6" formatCode="_-* #,##0_-;\-* #,##0_-;_-* &quot;-&quot;??_-;_-@_-">
                  <c:v>302507575.55000001</c:v>
                </c:pt>
                <c:pt idx="8" formatCode="_-* #,##0_-;\-* #,##0_-;_-* &quot;-&quot;??_-;_-@_-">
                  <c:v>508377585.82000005</c:v>
                </c:pt>
              </c:numCache>
            </c:numRef>
          </c:val>
        </c:ser>
        <c:dLbls>
          <c:showLegendKey val="0"/>
          <c:showVal val="0"/>
          <c:showCatName val="0"/>
          <c:showSerName val="0"/>
          <c:showPercent val="0"/>
          <c:showBubbleSize val="0"/>
        </c:dLbls>
        <c:gapWidth val="0"/>
        <c:overlap val="11"/>
        <c:axId val="28291456"/>
        <c:axId val="28292992"/>
      </c:barChart>
      <c:barChart>
        <c:barDir val="bar"/>
        <c:grouping val="stacked"/>
        <c:varyColors val="0"/>
        <c:ser>
          <c:idx val="3"/>
          <c:order val="3"/>
          <c:tx>
            <c:strRef>
              <c:f>'2DP'!$F$19</c:f>
              <c:strCache>
                <c:ptCount val="1"/>
                <c:pt idx="0">
                  <c:v>Piešķirtais publiskais finansējums</c:v>
                </c:pt>
              </c:strCache>
            </c:strRef>
          </c:tx>
          <c:invertIfNegative val="0"/>
          <c:dLbls>
            <c:dLbl>
              <c:idx val="1"/>
              <c:layout>
                <c:manualLayout>
                  <c:x val="5.7364341085271317E-2"/>
                  <c:y val="0"/>
                </c:manualLayout>
              </c:layout>
              <c:tx>
                <c:rich>
                  <a:bodyPr/>
                  <a:lstStyle/>
                  <a:p>
                    <a:pPr>
                      <a:defRPr b="1"/>
                    </a:pPr>
                    <a:r>
                      <a:rPr lang="en-US" b="1"/>
                      <a:t>16,2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3"/>
              <c:layout>
                <c:manualLayout>
                  <c:x val="-1.2020202593821774E-2"/>
                  <c:y val="4.0774726219385046E-3"/>
                </c:manualLayout>
              </c:layout>
              <c:tx>
                <c:rich>
                  <a:bodyPr/>
                  <a:lstStyle/>
                  <a:p>
                    <a:r>
                      <a:rPr lang="en-US">
                        <a:latin typeface="Times New Roman" pitchFamily="18" charset="0"/>
                        <a:cs typeface="Times New Roman" pitchFamily="18" charset="0"/>
                      </a:rPr>
                      <a:t>61,1(100%)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11007751937984496"/>
                  <c:y val="0"/>
                </c:manualLayout>
              </c:layout>
              <c:tx>
                <c:rich>
                  <a:bodyPr/>
                  <a:lstStyle/>
                  <a:p>
                    <a:pPr>
                      <a:defRPr b="1"/>
                    </a:pPr>
                    <a:r>
                      <a:rPr lang="en-US" b="1"/>
                      <a:t>147,5 (100%)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latin typeface="Times New Roman" pitchFamily="18" charset="0"/>
                        <a:cs typeface="Times New Roman" pitchFamily="18" charset="0"/>
                      </a:rPr>
                      <a:t>320,0 (100%)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a:latin typeface="Times New Roman" pitchFamily="18" charset="0"/>
                        <a:cs typeface="Times New Roman" pitchFamily="18" charset="0"/>
                      </a:rPr>
                      <a:t>544,8 (100%)</a:t>
                    </a:r>
                    <a:endParaRPr lang="en-US"/>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'2DP'!$B$20:$B$29</c:f>
              <c:strCache>
                <c:ptCount val="9"/>
                <c:pt idx="0">
                  <c:v>Tehniskā palīdzība</c:v>
                </c:pt>
                <c:pt idx="2">
                  <c:v>Uzņēmējdarbības veicināšana</c:v>
                </c:pt>
                <c:pt idx="4">
                  <c:v>Finanšu pieejamība*</c:v>
                </c:pt>
                <c:pt idx="6">
                  <c:v>Zinātne un inovācijas</c:v>
                </c:pt>
                <c:pt idx="8">
                  <c:v>DP "Uzņēmējdarbība un inovācijas" kopā</c:v>
                </c:pt>
              </c:strCache>
            </c:strRef>
          </c:cat>
          <c:val>
            <c:numRef>
              <c:f>'2DP'!$F$20:$F$29</c:f>
              <c:numCache>
                <c:formatCode>_-* #,##0_-;\-* #,##0_-;_-* "-"??_-;_-@_-</c:formatCode>
                <c:ptCount val="10"/>
                <c:pt idx="1">
                  <c:v>16153989.300000001</c:v>
                </c:pt>
                <c:pt idx="3">
                  <c:v>61100320.036091998</c:v>
                </c:pt>
                <c:pt idx="5">
                  <c:v>147494366.30000001</c:v>
                </c:pt>
                <c:pt idx="7">
                  <c:v>320045094.39999998</c:v>
                </c:pt>
                <c:pt idx="9">
                  <c:v>544793770.03609192</c:v>
                </c:pt>
              </c:numCache>
            </c:numRef>
          </c:val>
        </c:ser>
        <c:ser>
          <c:idx val="4"/>
          <c:order val="4"/>
          <c:tx>
            <c:strRef>
              <c:f>'2DP'!$G$19</c:f>
              <c:strCache>
                <c:ptCount val="1"/>
                <c:pt idx="0">
                  <c:v>Piešķirtais virssaistību apjoms</c:v>
                </c:pt>
              </c:strCache>
            </c:strRef>
          </c:tx>
          <c:invertIfNegative val="0"/>
          <c:dLbls>
            <c:dLbl>
              <c:idx val="1"/>
              <c:delete val="1"/>
              <c:extLst>
                <c:ext xmlns:c15="http://schemas.microsoft.com/office/drawing/2012/chart" uri="{CE6537A1-D6FC-4f65-9D91-7224C49458BB}"/>
              </c:extLst>
            </c:dLbl>
            <c:dLbl>
              <c:idx val="3"/>
              <c:layout>
                <c:manualLayout>
                  <c:x val="6.5163259548399521E-2"/>
                  <c:y val="4.0774242236336243E-3"/>
                </c:manualLayout>
              </c:layout>
              <c:tx>
                <c:rich>
                  <a:bodyPr/>
                  <a:lstStyle/>
                  <a:p>
                    <a:r>
                      <a:rPr lang="en-US">
                        <a:latin typeface="Times New Roman" pitchFamily="18" charset="0"/>
                        <a:cs typeface="Times New Roman" pitchFamily="18" charset="0"/>
                      </a:rPr>
                      <a:t>6,0 (9,8%)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layout/>
              <c:tx>
                <c:rich>
                  <a:bodyPr/>
                  <a:lstStyle/>
                  <a:p>
                    <a:r>
                      <a:rPr lang="en-US">
                        <a:latin typeface="Times New Roman" pitchFamily="18" charset="0"/>
                        <a:cs typeface="Times New Roman" pitchFamily="18" charset="0"/>
                      </a:rPr>
                      <a:t>31,1(9,7%)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a:latin typeface="Times New Roman" pitchFamily="18" charset="0"/>
                        <a:cs typeface="Times New Roman" pitchFamily="18" charset="0"/>
                      </a:rPr>
                      <a:t>37,1 (6,8%)</a:t>
                    </a:r>
                    <a:endParaRPr lang="en-US"/>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'2DP'!$B$20:$B$29</c:f>
              <c:strCache>
                <c:ptCount val="9"/>
                <c:pt idx="0">
                  <c:v>Tehniskā palīdzība</c:v>
                </c:pt>
                <c:pt idx="2">
                  <c:v>Uzņēmējdarbības veicināšana</c:v>
                </c:pt>
                <c:pt idx="4">
                  <c:v>Finanšu pieejamība*</c:v>
                </c:pt>
                <c:pt idx="6">
                  <c:v>Zinātne un inovācijas</c:v>
                </c:pt>
                <c:pt idx="8">
                  <c:v>DP "Uzņēmējdarbība un inovācijas" kopā</c:v>
                </c:pt>
              </c:strCache>
            </c:strRef>
          </c:cat>
          <c:val>
            <c:numRef>
              <c:f>'2DP'!$G$20:$G$29</c:f>
              <c:numCache>
                <c:formatCode>_-* #,##0_-;\-* #,##0_-;_-* "-"??_-;_-@_-</c:formatCode>
                <c:ptCount val="10"/>
                <c:pt idx="1">
                  <c:v>0</c:v>
                </c:pt>
                <c:pt idx="3">
                  <c:v>6000000</c:v>
                </c:pt>
                <c:pt idx="5">
                  <c:v>0</c:v>
                </c:pt>
                <c:pt idx="7">
                  <c:v>31070677.789999999</c:v>
                </c:pt>
                <c:pt idx="9">
                  <c:v>37070677.789999999</c:v>
                </c:pt>
              </c:numCache>
            </c:numRef>
          </c:val>
        </c:ser>
        <c:dLbls>
          <c:showLegendKey val="0"/>
          <c:showVal val="0"/>
          <c:showCatName val="0"/>
          <c:showSerName val="0"/>
          <c:showPercent val="0"/>
          <c:showBubbleSize val="0"/>
        </c:dLbls>
        <c:gapWidth val="150"/>
        <c:overlap val="100"/>
        <c:axId val="27993984"/>
        <c:axId val="27992064"/>
      </c:barChart>
      <c:catAx>
        <c:axId val="28291456"/>
        <c:scaling>
          <c:orientation val="minMax"/>
        </c:scaling>
        <c:delete val="0"/>
        <c:axPos val="l"/>
        <c:numFmt formatCode="General" sourceLinked="0"/>
        <c:majorTickMark val="out"/>
        <c:minorTickMark val="none"/>
        <c:tickLblPos val="nextTo"/>
        <c:crossAx val="28292992"/>
        <c:crosses val="autoZero"/>
        <c:auto val="1"/>
        <c:lblAlgn val="ctr"/>
        <c:lblOffset val="100"/>
        <c:noMultiLvlLbl val="0"/>
      </c:catAx>
      <c:valAx>
        <c:axId val="28292992"/>
        <c:scaling>
          <c:orientation val="minMax"/>
        </c:scaling>
        <c:delete val="0"/>
        <c:axPos val="b"/>
        <c:majorGridlines/>
        <c:numFmt formatCode="#,##0" sourceLinked="0"/>
        <c:majorTickMark val="out"/>
        <c:minorTickMark val="none"/>
        <c:tickLblPos val="nextTo"/>
        <c:crossAx val="28291456"/>
        <c:crosses val="autoZero"/>
        <c:crossBetween val="between"/>
        <c:dispUnits>
          <c:builtInUnit val="millions"/>
        </c:dispUnits>
      </c:valAx>
      <c:valAx>
        <c:axId val="27992064"/>
        <c:scaling>
          <c:orientation val="minMax"/>
        </c:scaling>
        <c:delete val="1"/>
        <c:axPos val="t"/>
        <c:numFmt formatCode="_-* #,##0_-;\-* #,##0_-;_-* &quot;-&quot;??_-;_-@_-" sourceLinked="1"/>
        <c:majorTickMark val="out"/>
        <c:minorTickMark val="none"/>
        <c:tickLblPos val="nextTo"/>
        <c:crossAx val="27993984"/>
        <c:crosses val="max"/>
        <c:crossBetween val="between"/>
        <c:dispUnits>
          <c:builtInUnit val="millions"/>
        </c:dispUnits>
      </c:valAx>
      <c:catAx>
        <c:axId val="27993984"/>
        <c:scaling>
          <c:orientation val="minMax"/>
        </c:scaling>
        <c:delete val="1"/>
        <c:axPos val="l"/>
        <c:numFmt formatCode="General" sourceLinked="1"/>
        <c:majorTickMark val="out"/>
        <c:minorTickMark val="none"/>
        <c:tickLblPos val="nextTo"/>
        <c:crossAx val="27992064"/>
        <c:crosses val="autoZero"/>
        <c:auto val="1"/>
        <c:lblAlgn val="ctr"/>
        <c:lblOffset val="100"/>
        <c:noMultiLvlLbl val="0"/>
      </c:catAx>
    </c:plotArea>
    <c:legend>
      <c:legendPos val="b"/>
      <c:layout>
        <c:manualLayout>
          <c:xMode val="edge"/>
          <c:yMode val="edge"/>
          <c:x val="0"/>
          <c:y val="0.88144797926551977"/>
          <c:w val="0.96533557458055697"/>
          <c:h val="0.1042746443354189"/>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lv-LV"/>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v>Līdz 31.12.2012.</c:v>
          </c:tx>
          <c:spPr>
            <a:solidFill>
              <a:srgbClr val="FFC000"/>
            </a:solidFill>
          </c:spPr>
          <c:invertIfNegative val="0"/>
          <c:dLbls>
            <c:dLbl>
              <c:idx val="0"/>
              <c:layout>
                <c:manualLayout>
                  <c:x val="0.22839088089195461"/>
                  <c:y val="-1.3260231359968892E-2"/>
                </c:manualLayout>
              </c:layout>
              <c:tx>
                <c:rich>
                  <a:bodyPr/>
                  <a:lstStyle/>
                  <a:p>
                    <a:r>
                      <a:rPr lang="en-US"/>
                      <a:t> 59,9</a:t>
                    </a:r>
                    <a:r>
                      <a:rPr lang="en-US" baseline="0"/>
                      <a:t> (50,7%), 2,7%</a:t>
                    </a:r>
                    <a:r>
                      <a:rPr lang="en-US"/>
                      <a:t>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'2DP'!$O$3:$O$6</c:f>
              <c:strCache>
                <c:ptCount val="4"/>
                <c:pt idx="0">
                  <c:v>Apgūts ES fondu finansējums komersantu līmenī **</c:v>
                </c:pt>
                <c:pt idx="1">
                  <c:v>Noslēgti līgumi ar ieviesējinstitūcijām/finanšu starpniekiem*</c:v>
                </c:pt>
                <c:pt idx="2">
                  <c:v>Pieejamais ES fondu finansējums līdz 2015.gadam atbilstoši nacionālajā līmenī apstiprinātajai DP*</c:v>
                </c:pt>
                <c:pt idx="3">
                  <c:v>Pieejamais ES fondu finansējums līdz 2015.gadam atbilstoši EK apstiprinātajai DP</c:v>
                </c:pt>
              </c:strCache>
            </c:strRef>
          </c:cat>
          <c:val>
            <c:numRef>
              <c:f>'2DP'!$P$3:$P$6</c:f>
              <c:numCache>
                <c:formatCode>General</c:formatCode>
                <c:ptCount val="4"/>
                <c:pt idx="0" formatCode="_-* #,##0_-;\-* #,##0_-;_-* &quot;-&quot;??_-;_-@_-">
                  <c:v>56787066</c:v>
                </c:pt>
              </c:numCache>
            </c:numRef>
          </c:val>
        </c:ser>
        <c:ser>
          <c:idx val="1"/>
          <c:order val="1"/>
          <c:tx>
            <c:v>tai skaitā 2013.gada 1.ceturksnī</c:v>
          </c:tx>
          <c:invertIfNegative val="0"/>
          <c:dPt>
            <c:idx val="0"/>
            <c:invertIfNegative val="0"/>
            <c:bubble3D val="0"/>
            <c:spPr>
              <a:solidFill>
                <a:schemeClr val="accent2"/>
              </a:solidFill>
            </c:spPr>
          </c:dPt>
          <c:dPt>
            <c:idx val="1"/>
            <c:invertIfNegative val="0"/>
            <c:bubble3D val="0"/>
            <c:spPr>
              <a:solidFill>
                <a:schemeClr val="accent1"/>
              </a:solidFill>
            </c:spPr>
          </c:dPt>
          <c:dPt>
            <c:idx val="2"/>
            <c:invertIfNegative val="0"/>
            <c:bubble3D val="0"/>
            <c:spPr>
              <a:solidFill>
                <a:schemeClr val="accent3">
                  <a:lumMod val="75000"/>
                </a:schemeClr>
              </a:solidFill>
            </c:spPr>
          </c:dPt>
          <c:dPt>
            <c:idx val="3"/>
            <c:invertIfNegative val="0"/>
            <c:bubble3D val="0"/>
            <c:spPr>
              <a:solidFill>
                <a:schemeClr val="accent4">
                  <a:lumMod val="75000"/>
                </a:schemeClr>
              </a:solidFill>
            </c:spPr>
          </c:dPt>
          <c:dLbls>
            <c:dLbl>
              <c:idx val="0"/>
              <c:layout>
                <c:manualLayout>
                  <c:x val="2.9026702240732304E-2"/>
                  <c:y val="-8.629921259842519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5140921021235985"/>
                  <c:y val="-9.2590648391173321E-3"/>
                </c:manualLayout>
              </c:layout>
              <c:tx>
                <c:rich>
                  <a:bodyPr/>
                  <a:lstStyle/>
                  <a:p>
                    <a:r>
                      <a:rPr lang="en-US"/>
                      <a:t>116,4 (98,5%)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27625431118630833"/>
                  <c:y val="-8.9507144940215808E-3"/>
                </c:manualLayout>
              </c:layout>
              <c:tx>
                <c:rich>
                  <a:bodyPr/>
                  <a:lstStyle/>
                  <a:p>
                    <a:r>
                      <a:rPr lang="en-US"/>
                      <a:t>129,5 (109,6%)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2580207804602937"/>
                  <c:y val="-1.3888986098959851E-2"/>
                </c:manualLayout>
              </c:layout>
              <c:tx>
                <c:rich>
                  <a:bodyPr/>
                  <a:lstStyle/>
                  <a:p>
                    <a:r>
                      <a:rPr lang="en-US"/>
                      <a:t>118,2 (100%)</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'2DP'!$O$3:$O$6</c:f>
              <c:strCache>
                <c:ptCount val="4"/>
                <c:pt idx="0">
                  <c:v>Apgūts ES fondu finansējums komersantu līmenī **</c:v>
                </c:pt>
                <c:pt idx="1">
                  <c:v>Noslēgti līgumi ar ieviesējinstitūcijām/finanšu starpniekiem*</c:v>
                </c:pt>
                <c:pt idx="2">
                  <c:v>Pieejamais ES fondu finansējums līdz 2015.gadam atbilstoši nacionālajā līmenī apstiprinātajai DP*</c:v>
                </c:pt>
                <c:pt idx="3">
                  <c:v>Pieejamais ES fondu finansējums līdz 2015.gadam atbilstoši EK apstiprinātajai DP</c:v>
                </c:pt>
              </c:strCache>
            </c:strRef>
          </c:cat>
          <c:val>
            <c:numRef>
              <c:f>'2DP'!$Q$3:$Q$6</c:f>
              <c:numCache>
                <c:formatCode>_-* #,##0_-;\-* #,##0_-;_-* "-"??_-;_-@_-</c:formatCode>
                <c:ptCount val="4"/>
                <c:pt idx="0" formatCode="#,##0">
                  <c:v>3145068.75</c:v>
                </c:pt>
                <c:pt idx="1">
                  <c:v>116423684.01945598</c:v>
                </c:pt>
                <c:pt idx="2">
                  <c:v>129516332.12695199</c:v>
                </c:pt>
                <c:pt idx="3">
                  <c:v>118190548.72945599</c:v>
                </c:pt>
              </c:numCache>
            </c:numRef>
          </c:val>
        </c:ser>
        <c:dLbls>
          <c:showLegendKey val="0"/>
          <c:showVal val="0"/>
          <c:showCatName val="0"/>
          <c:showSerName val="0"/>
          <c:showPercent val="0"/>
          <c:showBubbleSize val="0"/>
        </c:dLbls>
        <c:gapWidth val="150"/>
        <c:shape val="box"/>
        <c:axId val="28035712"/>
        <c:axId val="28041600"/>
        <c:axId val="0"/>
      </c:bar3DChart>
      <c:catAx>
        <c:axId val="28035712"/>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lv-LV"/>
          </a:p>
        </c:txPr>
        <c:crossAx val="28041600"/>
        <c:crosses val="autoZero"/>
        <c:auto val="1"/>
        <c:lblAlgn val="ctr"/>
        <c:lblOffset val="100"/>
        <c:noMultiLvlLbl val="0"/>
      </c:catAx>
      <c:valAx>
        <c:axId val="28041600"/>
        <c:scaling>
          <c:orientation val="minMax"/>
        </c:scaling>
        <c:delete val="0"/>
        <c:axPos val="b"/>
        <c:majorGridlines/>
        <c:numFmt formatCode="#,##0" sourceLinked="0"/>
        <c:majorTickMark val="out"/>
        <c:minorTickMark val="none"/>
        <c:tickLblPos val="nextTo"/>
        <c:crossAx val="28035712"/>
        <c:crosses val="autoZero"/>
        <c:crossBetween val="between"/>
        <c:dispUnits>
          <c:builtInUnit val="millions"/>
        </c:dispUnits>
      </c:valAx>
    </c:plotArea>
    <c:legend>
      <c:legendPos val="b"/>
      <c:legendEntry>
        <c:idx val="0"/>
        <c:delete val="1"/>
      </c:legendEntry>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0.76445</cdr:x>
      <cdr:y>0.03494</cdr:y>
    </cdr:from>
    <cdr:to>
      <cdr:x>1</cdr:x>
      <cdr:y>0.2795</cdr:y>
    </cdr:to>
    <cdr:sp macro="" textlink="">
      <cdr:nvSpPr>
        <cdr:cNvPr id="2" name="TextBox 1"/>
        <cdr:cNvSpPr txBox="1"/>
      </cdr:nvSpPr>
      <cdr:spPr>
        <a:xfrm xmlns:a="http://schemas.openxmlformats.org/drawingml/2006/main">
          <a:off x="4577569" y="64736"/>
          <a:ext cx="1410481" cy="453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latin typeface="Times New Roman" pitchFamily="18" charset="0"/>
              <a:cs typeface="Times New Roman" pitchFamily="18" charset="0"/>
            </a:rPr>
            <a:t>Kopā: 3 774,7 (108,6%)</a:t>
          </a:r>
        </a:p>
      </cdr:txBody>
    </cdr:sp>
  </cdr:relSizeAnchor>
</c:userShapes>
</file>

<file path=word/drawings/drawing2.xml><?xml version="1.0" encoding="utf-8"?>
<c:userShapes xmlns:c="http://schemas.openxmlformats.org/drawingml/2006/chart">
  <cdr:relSizeAnchor xmlns:cdr="http://schemas.openxmlformats.org/drawingml/2006/chartDrawing">
    <cdr:from>
      <cdr:x>0.74394</cdr:x>
      <cdr:y>0.01896</cdr:y>
    </cdr:from>
    <cdr:to>
      <cdr:x>1</cdr:x>
      <cdr:y>0.06076</cdr:y>
    </cdr:to>
    <cdr:sp macro="" textlink="">
      <cdr:nvSpPr>
        <cdr:cNvPr id="2" name="TextBox 3"/>
        <cdr:cNvSpPr txBox="1"/>
      </cdr:nvSpPr>
      <cdr:spPr>
        <a:xfrm xmlns:a="http://schemas.openxmlformats.org/drawingml/2006/main">
          <a:off x="4210507" y="90205"/>
          <a:ext cx="1449074" cy="19891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941,4 (109,1%)</a:t>
          </a:r>
        </a:p>
      </cdr:txBody>
    </cdr:sp>
  </cdr:relSizeAnchor>
  <cdr:relSizeAnchor xmlns:cdr="http://schemas.openxmlformats.org/drawingml/2006/chartDrawing">
    <cdr:from>
      <cdr:x>0.74214</cdr:x>
      <cdr:y>0.11799</cdr:y>
    </cdr:from>
    <cdr:to>
      <cdr:x>1</cdr:x>
      <cdr:y>0.15877</cdr:y>
    </cdr:to>
    <cdr:sp macro="" textlink="">
      <cdr:nvSpPr>
        <cdr:cNvPr id="3" name="TextBox 3"/>
        <cdr:cNvSpPr txBox="1"/>
      </cdr:nvSpPr>
      <cdr:spPr>
        <a:xfrm xmlns:a="http://schemas.openxmlformats.org/drawingml/2006/main">
          <a:off x="4200320" y="561492"/>
          <a:ext cx="1459261" cy="1940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895,8 (106,8%)</a:t>
          </a:r>
        </a:p>
      </cdr:txBody>
    </cdr:sp>
  </cdr:relSizeAnchor>
  <cdr:relSizeAnchor xmlns:cdr="http://schemas.openxmlformats.org/drawingml/2006/chartDrawing">
    <cdr:from>
      <cdr:x>0.57569</cdr:x>
      <cdr:y>0.21326</cdr:y>
    </cdr:from>
    <cdr:to>
      <cdr:x>0.83355</cdr:x>
      <cdr:y>0.24851</cdr:y>
    </cdr:to>
    <cdr:sp macro="" textlink="">
      <cdr:nvSpPr>
        <cdr:cNvPr id="4" name="TextBox 3"/>
        <cdr:cNvSpPr txBox="1"/>
      </cdr:nvSpPr>
      <cdr:spPr>
        <a:xfrm xmlns:a="http://schemas.openxmlformats.org/drawingml/2006/main">
          <a:off x="3257889" y="1014844"/>
          <a:ext cx="1459261" cy="16774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568,4</a:t>
          </a:r>
          <a:r>
            <a:rPr lang="lv-LV" sz="1000" b="1">
              <a:solidFill>
                <a:schemeClr val="dk1"/>
              </a:solidFill>
              <a:latin typeface="Times New Roman" pitchFamily="18" charset="0"/>
              <a:ea typeface="+mn-ea"/>
              <a:cs typeface="Times New Roman" pitchFamily="18" charset="0"/>
            </a:rPr>
            <a:t> </a:t>
          </a:r>
          <a:r>
            <a:rPr lang="lv-LV" sz="1000" b="1">
              <a:latin typeface="Times New Roman" pitchFamily="18" charset="0"/>
              <a:cs typeface="Times New Roman" pitchFamily="18" charset="0"/>
            </a:rPr>
            <a:t>(108,3%)</a:t>
          </a:r>
        </a:p>
      </cdr:txBody>
    </cdr:sp>
  </cdr:relSizeAnchor>
  <cdr:relSizeAnchor xmlns:cdr="http://schemas.openxmlformats.org/drawingml/2006/chartDrawing">
    <cdr:from>
      <cdr:x>0.58067</cdr:x>
      <cdr:y>0.30586</cdr:y>
    </cdr:from>
    <cdr:to>
      <cdr:x>0.83853</cdr:x>
      <cdr:y>0.34111</cdr:y>
    </cdr:to>
    <cdr:sp macro="" textlink="">
      <cdr:nvSpPr>
        <cdr:cNvPr id="5" name="TextBox 1"/>
        <cdr:cNvSpPr txBox="1"/>
      </cdr:nvSpPr>
      <cdr:spPr>
        <a:xfrm xmlns:a="http://schemas.openxmlformats.org/drawingml/2006/main">
          <a:off x="3286058" y="1455479"/>
          <a:ext cx="1459261" cy="16774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577,6</a:t>
          </a:r>
          <a:r>
            <a:rPr lang="lv-LV" sz="1000" b="1">
              <a:solidFill>
                <a:schemeClr val="dk1"/>
              </a:solidFill>
              <a:latin typeface="Times New Roman" pitchFamily="18" charset="0"/>
              <a:ea typeface="+mn-ea"/>
              <a:cs typeface="Times New Roman" pitchFamily="18" charset="0"/>
            </a:rPr>
            <a:t> </a:t>
          </a:r>
          <a:r>
            <a:rPr lang="lv-LV" sz="1000" b="1">
              <a:latin typeface="Times New Roman" pitchFamily="18" charset="0"/>
              <a:cs typeface="Times New Roman" pitchFamily="18" charset="0"/>
            </a:rPr>
            <a:t>(113,6%)</a:t>
          </a:r>
        </a:p>
      </cdr:txBody>
    </cdr:sp>
  </cdr:relSizeAnchor>
  <cdr:relSizeAnchor xmlns:cdr="http://schemas.openxmlformats.org/drawingml/2006/chartDrawing">
    <cdr:from>
      <cdr:x>0.39626</cdr:x>
      <cdr:y>0.40114</cdr:y>
    </cdr:from>
    <cdr:to>
      <cdr:x>0.65412</cdr:x>
      <cdr:y>0.43639</cdr:y>
    </cdr:to>
    <cdr:sp macro="" textlink="">
      <cdr:nvSpPr>
        <cdr:cNvPr id="6" name="TextBox 1"/>
        <cdr:cNvSpPr txBox="1"/>
      </cdr:nvSpPr>
      <cdr:spPr>
        <a:xfrm xmlns:a="http://schemas.openxmlformats.org/drawingml/2006/main">
          <a:off x="2242506" y="1908880"/>
          <a:ext cx="1459260" cy="16774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206,8</a:t>
          </a:r>
          <a:r>
            <a:rPr lang="lv-LV" sz="1000" b="1">
              <a:solidFill>
                <a:schemeClr val="dk1"/>
              </a:solidFill>
              <a:latin typeface="Times New Roman" pitchFamily="18" charset="0"/>
              <a:ea typeface="+mn-ea"/>
              <a:cs typeface="Times New Roman" pitchFamily="18" charset="0"/>
            </a:rPr>
            <a:t> </a:t>
          </a:r>
          <a:r>
            <a:rPr lang="lv-LV" sz="1000" b="1">
              <a:latin typeface="Times New Roman" pitchFamily="18" charset="0"/>
              <a:cs typeface="Times New Roman" pitchFamily="18" charset="0"/>
            </a:rPr>
            <a:t>(114,8%)</a:t>
          </a:r>
        </a:p>
      </cdr:txBody>
    </cdr:sp>
  </cdr:relSizeAnchor>
  <cdr:relSizeAnchor xmlns:cdr="http://schemas.openxmlformats.org/drawingml/2006/chartDrawing">
    <cdr:from>
      <cdr:x>0.37154</cdr:x>
      <cdr:y>0.49619</cdr:y>
    </cdr:from>
    <cdr:to>
      <cdr:x>0.6294</cdr:x>
      <cdr:y>0.53144</cdr:y>
    </cdr:to>
    <cdr:sp macro="" textlink="">
      <cdr:nvSpPr>
        <cdr:cNvPr id="7" name="TextBox 1"/>
        <cdr:cNvSpPr txBox="1"/>
      </cdr:nvSpPr>
      <cdr:spPr>
        <a:xfrm xmlns:a="http://schemas.openxmlformats.org/drawingml/2006/main">
          <a:off x="2102580" y="2361201"/>
          <a:ext cx="1459260" cy="16774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166,0</a:t>
          </a:r>
          <a:r>
            <a:rPr lang="lv-LV" sz="1000" b="1">
              <a:solidFill>
                <a:schemeClr val="dk1"/>
              </a:solidFill>
              <a:latin typeface="Times New Roman" pitchFamily="18" charset="0"/>
              <a:ea typeface="+mn-ea"/>
              <a:cs typeface="Times New Roman" pitchFamily="18" charset="0"/>
            </a:rPr>
            <a:t> </a:t>
          </a:r>
          <a:r>
            <a:rPr lang="lv-LV" sz="1000" b="1">
              <a:latin typeface="Times New Roman" pitchFamily="18" charset="0"/>
              <a:cs typeface="Times New Roman" pitchFamily="18" charset="0"/>
            </a:rPr>
            <a:t>(107,7%)</a:t>
          </a:r>
        </a:p>
      </cdr:txBody>
    </cdr:sp>
  </cdr:relSizeAnchor>
  <cdr:relSizeAnchor xmlns:cdr="http://schemas.openxmlformats.org/drawingml/2006/chartDrawing">
    <cdr:from>
      <cdr:x>0.35394</cdr:x>
      <cdr:y>0.68507</cdr:y>
    </cdr:from>
    <cdr:to>
      <cdr:x>0.6118</cdr:x>
      <cdr:y>0.72031</cdr:y>
    </cdr:to>
    <cdr:sp macro="" textlink="">
      <cdr:nvSpPr>
        <cdr:cNvPr id="8" name="TextBox 1"/>
        <cdr:cNvSpPr txBox="1"/>
      </cdr:nvSpPr>
      <cdr:spPr>
        <a:xfrm xmlns:a="http://schemas.openxmlformats.org/drawingml/2006/main">
          <a:off x="2003014" y="3260043"/>
          <a:ext cx="1459261" cy="16769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37,3</a:t>
          </a:r>
          <a:r>
            <a:rPr lang="lv-LV" sz="1000" b="1">
              <a:solidFill>
                <a:schemeClr val="dk1"/>
              </a:solidFill>
              <a:latin typeface="Times New Roman" pitchFamily="18" charset="0"/>
              <a:ea typeface="+mn-ea"/>
              <a:cs typeface="Times New Roman" pitchFamily="18" charset="0"/>
            </a:rPr>
            <a:t> </a:t>
          </a:r>
          <a:r>
            <a:rPr lang="lv-LV" sz="1000" b="1">
              <a:latin typeface="Times New Roman" pitchFamily="18" charset="0"/>
              <a:cs typeface="Times New Roman" pitchFamily="18" charset="0"/>
            </a:rPr>
            <a:t>(147,4%)</a:t>
          </a:r>
        </a:p>
      </cdr:txBody>
    </cdr:sp>
  </cdr:relSizeAnchor>
  <cdr:relSizeAnchor xmlns:cdr="http://schemas.openxmlformats.org/drawingml/2006/chartDrawing">
    <cdr:from>
      <cdr:x>0</cdr:x>
      <cdr:y>0.11631</cdr:y>
    </cdr:from>
    <cdr:to>
      <cdr:x>1</cdr:x>
      <cdr:y>0.11631</cdr:y>
    </cdr:to>
    <cdr:cxnSp macro="">
      <cdr:nvCxnSpPr>
        <cdr:cNvPr id="10" name="Straight Connector 9"/>
        <cdr:cNvCxnSpPr/>
      </cdr:nvCxnSpPr>
      <cdr:spPr>
        <a:xfrm xmlns:a="http://schemas.openxmlformats.org/drawingml/2006/main">
          <a:off x="0" y="733425"/>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0.21198</cdr:y>
    </cdr:from>
    <cdr:to>
      <cdr:x>1</cdr:x>
      <cdr:y>0.21198</cdr:y>
    </cdr:to>
    <cdr:cxnSp macro="">
      <cdr:nvCxnSpPr>
        <cdr:cNvPr id="12" name="Straight Connector 11"/>
        <cdr:cNvCxnSpPr/>
      </cdr:nvCxnSpPr>
      <cdr:spPr>
        <a:xfrm xmlns:a="http://schemas.openxmlformats.org/drawingml/2006/main">
          <a:off x="0" y="1336675"/>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0.30564</cdr:y>
    </cdr:from>
    <cdr:to>
      <cdr:x>1</cdr:x>
      <cdr:y>0.30564</cdr:y>
    </cdr:to>
    <cdr:cxnSp macro="">
      <cdr:nvCxnSpPr>
        <cdr:cNvPr id="13" name="Straight Connector 12"/>
        <cdr:cNvCxnSpPr/>
      </cdr:nvCxnSpPr>
      <cdr:spPr>
        <a:xfrm xmlns:a="http://schemas.openxmlformats.org/drawingml/2006/main">
          <a:off x="0" y="1927225"/>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0.40081</cdr:y>
    </cdr:from>
    <cdr:to>
      <cdr:x>1</cdr:x>
      <cdr:y>0.40081</cdr:y>
    </cdr:to>
    <cdr:cxnSp macro="">
      <cdr:nvCxnSpPr>
        <cdr:cNvPr id="14" name="Straight Connector 13"/>
        <cdr:cNvCxnSpPr/>
      </cdr:nvCxnSpPr>
      <cdr:spPr>
        <a:xfrm xmlns:a="http://schemas.openxmlformats.org/drawingml/2006/main">
          <a:off x="0" y="2527300"/>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0.49597</cdr:y>
    </cdr:from>
    <cdr:to>
      <cdr:x>1</cdr:x>
      <cdr:y>0.49597</cdr:y>
    </cdr:to>
    <cdr:cxnSp macro="">
      <cdr:nvCxnSpPr>
        <cdr:cNvPr id="15" name="Straight Connector 14"/>
        <cdr:cNvCxnSpPr/>
      </cdr:nvCxnSpPr>
      <cdr:spPr>
        <a:xfrm xmlns:a="http://schemas.openxmlformats.org/drawingml/2006/main">
          <a:off x="0" y="3127375"/>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0.59114</cdr:y>
    </cdr:from>
    <cdr:to>
      <cdr:x>1</cdr:x>
      <cdr:y>0.59114</cdr:y>
    </cdr:to>
    <cdr:cxnSp macro="">
      <cdr:nvCxnSpPr>
        <cdr:cNvPr id="16" name="Straight Connector 15"/>
        <cdr:cNvCxnSpPr/>
      </cdr:nvCxnSpPr>
      <cdr:spPr>
        <a:xfrm xmlns:a="http://schemas.openxmlformats.org/drawingml/2006/main">
          <a:off x="0" y="3727450"/>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0.68479</cdr:y>
    </cdr:from>
    <cdr:to>
      <cdr:x>1</cdr:x>
      <cdr:y>0.68479</cdr:y>
    </cdr:to>
    <cdr:cxnSp macro="">
      <cdr:nvCxnSpPr>
        <cdr:cNvPr id="17" name="Straight Connector 16"/>
        <cdr:cNvCxnSpPr/>
      </cdr:nvCxnSpPr>
      <cdr:spPr>
        <a:xfrm xmlns:a="http://schemas.openxmlformats.org/drawingml/2006/main">
          <a:off x="0" y="4318000"/>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0.77996</cdr:y>
    </cdr:from>
    <cdr:to>
      <cdr:x>1</cdr:x>
      <cdr:y>0.77996</cdr:y>
    </cdr:to>
    <cdr:cxnSp macro="">
      <cdr:nvCxnSpPr>
        <cdr:cNvPr id="18" name="Straight Connector 17"/>
        <cdr:cNvCxnSpPr/>
      </cdr:nvCxnSpPr>
      <cdr:spPr>
        <a:xfrm xmlns:a="http://schemas.openxmlformats.org/drawingml/2006/main">
          <a:off x="0" y="4918075"/>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0.87513</cdr:y>
    </cdr:from>
    <cdr:to>
      <cdr:x>1</cdr:x>
      <cdr:y>0.87513</cdr:y>
    </cdr:to>
    <cdr:cxnSp macro="">
      <cdr:nvCxnSpPr>
        <cdr:cNvPr id="19" name="Straight Connector 18"/>
        <cdr:cNvCxnSpPr/>
      </cdr:nvCxnSpPr>
      <cdr:spPr>
        <a:xfrm xmlns:a="http://schemas.openxmlformats.org/drawingml/2006/main">
          <a:off x="0" y="5518150"/>
          <a:ext cx="55054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0.7753</cdr:x>
      <cdr:y>0.02291</cdr:y>
    </cdr:from>
    <cdr:to>
      <cdr:x>1</cdr:x>
      <cdr:y>0.06947</cdr:y>
    </cdr:to>
    <cdr:sp macro="" textlink="">
      <cdr:nvSpPr>
        <cdr:cNvPr id="2" name="TextBox 4"/>
        <cdr:cNvSpPr txBox="1"/>
      </cdr:nvSpPr>
      <cdr:spPr>
        <a:xfrm xmlns:a="http://schemas.openxmlformats.org/drawingml/2006/main">
          <a:off x="4253606" y="150163"/>
          <a:ext cx="1232794" cy="30517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Kopā:503,8(109,7%)</a:t>
          </a:r>
        </a:p>
      </cdr:txBody>
    </cdr:sp>
  </cdr:relSizeAnchor>
  <cdr:relSizeAnchor xmlns:cdr="http://schemas.openxmlformats.org/drawingml/2006/chartDrawing">
    <cdr:from>
      <cdr:x>0.58754</cdr:x>
      <cdr:y>0.13991</cdr:y>
    </cdr:from>
    <cdr:to>
      <cdr:x>0.81224</cdr:x>
      <cdr:y>0.18647</cdr:y>
    </cdr:to>
    <cdr:sp macro="" textlink="">
      <cdr:nvSpPr>
        <cdr:cNvPr id="3" name="TextBox 4"/>
        <cdr:cNvSpPr txBox="1"/>
      </cdr:nvSpPr>
      <cdr:spPr>
        <a:xfrm xmlns:a="http://schemas.openxmlformats.org/drawingml/2006/main">
          <a:off x="3838388" y="857623"/>
          <a:ext cx="1467971" cy="28537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95,9 (104,9%)</a:t>
          </a:r>
        </a:p>
      </cdr:txBody>
    </cdr:sp>
  </cdr:relSizeAnchor>
  <cdr:relSizeAnchor xmlns:cdr="http://schemas.openxmlformats.org/drawingml/2006/chartDrawing">
    <cdr:from>
      <cdr:x>0.60297</cdr:x>
      <cdr:y>0.25509</cdr:y>
    </cdr:from>
    <cdr:to>
      <cdr:x>0.88053</cdr:x>
      <cdr:y>0.30165</cdr:y>
    </cdr:to>
    <cdr:sp macro="" textlink="">
      <cdr:nvSpPr>
        <cdr:cNvPr id="4" name="TextBox 4"/>
        <cdr:cNvSpPr txBox="1"/>
      </cdr:nvSpPr>
      <cdr:spPr>
        <a:xfrm xmlns:a="http://schemas.openxmlformats.org/drawingml/2006/main">
          <a:off x="3308135" y="1671980"/>
          <a:ext cx="1522810" cy="30517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a:t>
          </a:r>
          <a:r>
            <a:rPr lang="lv-LV" sz="1000" b="1" baseline="0">
              <a:latin typeface="Times New Roman" pitchFamily="18" charset="0"/>
              <a:cs typeface="Times New Roman" pitchFamily="18" charset="0"/>
            </a:rPr>
            <a:t> 109,4 </a:t>
          </a:r>
          <a:r>
            <a:rPr lang="lv-LV" sz="1000" b="1">
              <a:latin typeface="Times New Roman" pitchFamily="18" charset="0"/>
              <a:cs typeface="Times New Roman" pitchFamily="18" charset="0"/>
            </a:rPr>
            <a:t>(106,6%)</a:t>
          </a:r>
        </a:p>
      </cdr:txBody>
    </cdr:sp>
  </cdr:relSizeAnchor>
  <cdr:relSizeAnchor xmlns:cdr="http://schemas.openxmlformats.org/drawingml/2006/chartDrawing">
    <cdr:from>
      <cdr:x>0.65958</cdr:x>
      <cdr:y>0.37026</cdr:y>
    </cdr:from>
    <cdr:to>
      <cdr:x>0.9587</cdr:x>
      <cdr:y>0.41682</cdr:y>
    </cdr:to>
    <cdr:sp macro="" textlink="">
      <cdr:nvSpPr>
        <cdr:cNvPr id="5" name="TextBox 4"/>
        <cdr:cNvSpPr txBox="1"/>
      </cdr:nvSpPr>
      <cdr:spPr>
        <a:xfrm xmlns:a="http://schemas.openxmlformats.org/drawingml/2006/main">
          <a:off x="3618719" y="2426858"/>
          <a:ext cx="1641103" cy="30517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a:t>
          </a:r>
          <a:r>
            <a:rPr lang="lv-LV" sz="1000" b="1" baseline="0">
              <a:latin typeface="Times New Roman" pitchFamily="18" charset="0"/>
              <a:cs typeface="Times New Roman" pitchFamily="18" charset="0"/>
            </a:rPr>
            <a:t> 229,9 </a:t>
          </a:r>
          <a:r>
            <a:rPr lang="lv-LV" sz="1000" b="1">
              <a:latin typeface="Times New Roman" pitchFamily="18" charset="0"/>
              <a:cs typeface="Times New Roman" pitchFamily="18" charset="0"/>
            </a:rPr>
            <a:t>(115,6%)</a:t>
          </a:r>
        </a:p>
      </cdr:txBody>
    </cdr:sp>
  </cdr:relSizeAnchor>
  <cdr:relSizeAnchor xmlns:cdr="http://schemas.openxmlformats.org/drawingml/2006/chartDrawing">
    <cdr:from>
      <cdr:x>0.56181</cdr:x>
      <cdr:y>0.48178</cdr:y>
    </cdr:from>
    <cdr:to>
      <cdr:x>0.80961</cdr:x>
      <cdr:y>0.52834</cdr:y>
    </cdr:to>
    <cdr:sp macro="" textlink="">
      <cdr:nvSpPr>
        <cdr:cNvPr id="6" name="TextBox 4"/>
        <cdr:cNvSpPr txBox="1"/>
      </cdr:nvSpPr>
      <cdr:spPr>
        <a:xfrm xmlns:a="http://schemas.openxmlformats.org/drawingml/2006/main">
          <a:off x="3670300" y="2953123"/>
          <a:ext cx="1618877" cy="28537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38,7 (106,8%)</a:t>
          </a:r>
        </a:p>
      </cdr:txBody>
    </cdr:sp>
  </cdr:relSizeAnchor>
</c:userShapes>
</file>

<file path=word/drawings/drawing4.xml><?xml version="1.0" encoding="utf-8"?>
<c:userShapes xmlns:c="http://schemas.openxmlformats.org/drawingml/2006/chart">
  <cdr:relSizeAnchor xmlns:cdr="http://schemas.openxmlformats.org/drawingml/2006/chartDrawing">
    <cdr:from>
      <cdr:x>0.58886</cdr:x>
      <cdr:y>0.20131</cdr:y>
    </cdr:from>
    <cdr:to>
      <cdr:x>0.85427</cdr:x>
      <cdr:y>0.24184</cdr:y>
    </cdr:to>
    <cdr:sp macro="" textlink="">
      <cdr:nvSpPr>
        <cdr:cNvPr id="5" name="TextBox 4"/>
        <cdr:cNvSpPr txBox="1"/>
      </cdr:nvSpPr>
      <cdr:spPr>
        <a:xfrm xmlns:a="http://schemas.openxmlformats.org/drawingml/2006/main">
          <a:off x="3502167" y="965903"/>
          <a:ext cx="1578501" cy="19446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50" b="1">
              <a:latin typeface="Times New Roman" pitchFamily="18" charset="0"/>
              <a:cs typeface="Times New Roman" pitchFamily="18" charset="0"/>
            </a:rPr>
            <a:t>Kopā:351,1(109,7%)</a:t>
          </a:r>
        </a:p>
      </cdr:txBody>
    </cdr:sp>
  </cdr:relSizeAnchor>
  <cdr:relSizeAnchor xmlns:cdr="http://schemas.openxmlformats.org/drawingml/2006/chartDrawing">
    <cdr:from>
      <cdr:x>0.44195</cdr:x>
      <cdr:y>0.52739</cdr:y>
    </cdr:from>
    <cdr:to>
      <cdr:x>0.68677</cdr:x>
      <cdr:y>0.56947</cdr:y>
    </cdr:to>
    <cdr:sp macro="" textlink="">
      <cdr:nvSpPr>
        <cdr:cNvPr id="6" name="TextBox 4"/>
        <cdr:cNvSpPr txBox="1"/>
      </cdr:nvSpPr>
      <cdr:spPr>
        <a:xfrm xmlns:a="http://schemas.openxmlformats.org/drawingml/2006/main">
          <a:off x="2628469" y="2530437"/>
          <a:ext cx="1456045" cy="2019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50" b="1">
              <a:latin typeface="Times New Roman" pitchFamily="18" charset="0"/>
              <a:cs typeface="Times New Roman" pitchFamily="18" charset="0"/>
            </a:rPr>
            <a:t>Kopā:67,1(109,8%)</a:t>
          </a:r>
        </a:p>
      </cdr:txBody>
    </cdr:sp>
  </cdr:relSizeAnchor>
  <cdr:relSizeAnchor xmlns:cdr="http://schemas.openxmlformats.org/drawingml/2006/chartDrawing">
    <cdr:from>
      <cdr:x>0.75649</cdr:x>
      <cdr:y>0.04158</cdr:y>
    </cdr:from>
    <cdr:to>
      <cdr:x>1</cdr:x>
      <cdr:y>0.08186</cdr:y>
    </cdr:to>
    <cdr:sp macro="" textlink="">
      <cdr:nvSpPr>
        <cdr:cNvPr id="7" name="TextBox 4"/>
        <cdr:cNvSpPr txBox="1"/>
      </cdr:nvSpPr>
      <cdr:spPr>
        <a:xfrm xmlns:a="http://schemas.openxmlformats.org/drawingml/2006/main">
          <a:off x="4499407" y="199493"/>
          <a:ext cx="1448239" cy="19327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lv-LV" sz="1050" b="1">
              <a:latin typeface="Times New Roman" pitchFamily="18" charset="0"/>
              <a:cs typeface="Times New Roman" pitchFamily="18" charset="0"/>
            </a:rPr>
            <a:t>Kopā:581,9(106,8%)</a:t>
          </a:r>
        </a:p>
      </cdr:txBody>
    </cdr:sp>
  </cdr:relSizeAnchor>
</c:userShapes>
</file>

<file path=word/drawings/drawing5.xml><?xml version="1.0" encoding="utf-8"?>
<c:userShapes xmlns:c="http://schemas.openxmlformats.org/drawingml/2006/chart">
  <cdr:relSizeAnchor xmlns:cdr="http://schemas.openxmlformats.org/drawingml/2006/chartDrawing">
    <cdr:from>
      <cdr:x>0.81648</cdr:x>
      <cdr:y>0</cdr:y>
    </cdr:from>
    <cdr:to>
      <cdr:x>1</cdr:x>
      <cdr:y>0.06236</cdr:y>
    </cdr:to>
    <cdr:sp macro="" textlink="">
      <cdr:nvSpPr>
        <cdr:cNvPr id="2" name="TextBox 1"/>
        <cdr:cNvSpPr txBox="1"/>
      </cdr:nvSpPr>
      <cdr:spPr>
        <a:xfrm xmlns:a="http://schemas.openxmlformats.org/drawingml/2006/main">
          <a:off x="5074215" y="0"/>
          <a:ext cx="1140530" cy="416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950" b="1">
              <a:latin typeface="Times New Roman" pitchFamily="18" charset="0"/>
              <a:cs typeface="Times New Roman" pitchFamily="18" charset="0"/>
            </a:rPr>
            <a:t>Kopā:2 689,0 (108,8%)</a:t>
          </a:r>
        </a:p>
      </cdr:txBody>
    </cdr:sp>
  </cdr:relSizeAnchor>
  <cdr:relSizeAnchor xmlns:cdr="http://schemas.openxmlformats.org/drawingml/2006/chartDrawing">
    <cdr:from>
      <cdr:x>0.56535</cdr:x>
      <cdr:y>0.10581</cdr:y>
    </cdr:from>
    <cdr:to>
      <cdr:x>0.80216</cdr:x>
      <cdr:y>0.14336</cdr:y>
    </cdr:to>
    <cdr:sp macro="" textlink="">
      <cdr:nvSpPr>
        <cdr:cNvPr id="3" name="TextBox 1"/>
        <cdr:cNvSpPr txBox="1"/>
      </cdr:nvSpPr>
      <cdr:spPr>
        <a:xfrm xmlns:a="http://schemas.openxmlformats.org/drawingml/2006/main">
          <a:off x="3513146" y="726922"/>
          <a:ext cx="1471547" cy="257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460,0</a:t>
          </a:r>
          <a:r>
            <a:rPr lang="lv-LV" sz="1000" b="1" baseline="0">
              <a:latin typeface="Times New Roman" pitchFamily="18" charset="0"/>
              <a:cs typeface="Times New Roman" pitchFamily="18" charset="0"/>
            </a:rPr>
            <a:t> </a:t>
          </a:r>
          <a:r>
            <a:rPr lang="lv-LV" sz="1000" b="1">
              <a:latin typeface="Times New Roman" pitchFamily="18" charset="0"/>
              <a:cs typeface="Times New Roman" pitchFamily="18" charset="0"/>
            </a:rPr>
            <a:t>(116,6%)</a:t>
          </a:r>
        </a:p>
      </cdr:txBody>
    </cdr:sp>
  </cdr:relSizeAnchor>
  <cdr:relSizeAnchor xmlns:cdr="http://schemas.openxmlformats.org/drawingml/2006/chartDrawing">
    <cdr:from>
      <cdr:x>0.54683</cdr:x>
      <cdr:y>0.20124</cdr:y>
    </cdr:from>
    <cdr:to>
      <cdr:x>0.7683</cdr:x>
      <cdr:y>0.23879</cdr:y>
    </cdr:to>
    <cdr:sp macro="" textlink="">
      <cdr:nvSpPr>
        <cdr:cNvPr id="4" name="TextBox 1"/>
        <cdr:cNvSpPr txBox="1"/>
      </cdr:nvSpPr>
      <cdr:spPr>
        <a:xfrm xmlns:a="http://schemas.openxmlformats.org/drawingml/2006/main">
          <a:off x="3398063" y="1382522"/>
          <a:ext cx="1376238" cy="257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430,4 (108,5%)</a:t>
          </a:r>
        </a:p>
      </cdr:txBody>
    </cdr:sp>
  </cdr:relSizeAnchor>
  <cdr:relSizeAnchor xmlns:cdr="http://schemas.openxmlformats.org/drawingml/2006/chartDrawing">
    <cdr:from>
      <cdr:x>0.57172</cdr:x>
      <cdr:y>0.30108</cdr:y>
    </cdr:from>
    <cdr:to>
      <cdr:x>0.79565</cdr:x>
      <cdr:y>0.33863</cdr:y>
    </cdr:to>
    <cdr:sp macro="" textlink="">
      <cdr:nvSpPr>
        <cdr:cNvPr id="5" name="TextBox 1"/>
        <cdr:cNvSpPr txBox="1"/>
      </cdr:nvSpPr>
      <cdr:spPr>
        <a:xfrm xmlns:a="http://schemas.openxmlformats.org/drawingml/2006/main">
          <a:off x="3552760" y="2068439"/>
          <a:ext cx="1391473" cy="257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686,1</a:t>
          </a:r>
          <a:r>
            <a:rPr lang="lv-LV" sz="1000" b="1" baseline="0">
              <a:latin typeface="Times New Roman" pitchFamily="18" charset="0"/>
              <a:cs typeface="Times New Roman" pitchFamily="18" charset="0"/>
            </a:rPr>
            <a:t> </a:t>
          </a:r>
          <a:r>
            <a:rPr lang="lv-LV" sz="1000" b="1">
              <a:latin typeface="Times New Roman" pitchFamily="18" charset="0"/>
              <a:cs typeface="Times New Roman" pitchFamily="18" charset="0"/>
            </a:rPr>
            <a:t>(105,4%)</a:t>
          </a:r>
        </a:p>
      </cdr:txBody>
    </cdr:sp>
  </cdr:relSizeAnchor>
  <cdr:relSizeAnchor xmlns:cdr="http://schemas.openxmlformats.org/drawingml/2006/chartDrawing">
    <cdr:from>
      <cdr:x>0.54836</cdr:x>
      <cdr:y>0.40115</cdr:y>
    </cdr:from>
    <cdr:to>
      <cdr:x>0.77611</cdr:x>
      <cdr:y>0.4387</cdr:y>
    </cdr:to>
    <cdr:sp macro="" textlink="">
      <cdr:nvSpPr>
        <cdr:cNvPr id="6" name="TextBox 1"/>
        <cdr:cNvSpPr txBox="1"/>
      </cdr:nvSpPr>
      <cdr:spPr>
        <a:xfrm xmlns:a="http://schemas.openxmlformats.org/drawingml/2006/main">
          <a:off x="3407591" y="2755912"/>
          <a:ext cx="1415262" cy="257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286,2</a:t>
          </a:r>
          <a:r>
            <a:rPr lang="lv-LV" sz="1000" b="1" baseline="0">
              <a:latin typeface="Times New Roman" pitchFamily="18" charset="0"/>
              <a:cs typeface="Times New Roman" pitchFamily="18" charset="0"/>
            </a:rPr>
            <a:t> </a:t>
          </a:r>
          <a:r>
            <a:rPr lang="lv-LV" sz="1000" b="1">
              <a:latin typeface="Times New Roman" pitchFamily="18" charset="0"/>
              <a:cs typeface="Times New Roman" pitchFamily="18" charset="0"/>
            </a:rPr>
            <a:t>(110,4%)</a:t>
          </a:r>
        </a:p>
      </cdr:txBody>
    </cdr:sp>
  </cdr:relSizeAnchor>
  <cdr:relSizeAnchor xmlns:cdr="http://schemas.openxmlformats.org/drawingml/2006/chartDrawing">
    <cdr:from>
      <cdr:x>0.55995</cdr:x>
      <cdr:y>0.4951</cdr:y>
    </cdr:from>
    <cdr:to>
      <cdr:x>0.79955</cdr:x>
      <cdr:y>0.53265</cdr:y>
    </cdr:to>
    <cdr:sp macro="" textlink="">
      <cdr:nvSpPr>
        <cdr:cNvPr id="7" name="TextBox 1"/>
        <cdr:cNvSpPr txBox="1"/>
      </cdr:nvSpPr>
      <cdr:spPr>
        <a:xfrm xmlns:a="http://schemas.openxmlformats.org/drawingml/2006/main">
          <a:off x="3479575" y="3401369"/>
          <a:ext cx="1488934" cy="257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506,8</a:t>
          </a:r>
          <a:r>
            <a:rPr lang="lv-LV" sz="1000" b="1" baseline="0">
              <a:latin typeface="Times New Roman" pitchFamily="18" charset="0"/>
              <a:cs typeface="Times New Roman" pitchFamily="18" charset="0"/>
            </a:rPr>
            <a:t> </a:t>
          </a:r>
          <a:r>
            <a:rPr lang="lv-LV" sz="1000" b="1">
              <a:latin typeface="Times New Roman" pitchFamily="18" charset="0"/>
              <a:cs typeface="Times New Roman" pitchFamily="18" charset="0"/>
            </a:rPr>
            <a:t>(102,4%)</a:t>
          </a:r>
        </a:p>
      </cdr:txBody>
    </cdr:sp>
  </cdr:relSizeAnchor>
  <cdr:relSizeAnchor xmlns:cdr="http://schemas.openxmlformats.org/drawingml/2006/chartDrawing">
    <cdr:from>
      <cdr:x>0.54041</cdr:x>
      <cdr:y>0.59023</cdr:y>
    </cdr:from>
    <cdr:to>
      <cdr:x>0.76179</cdr:x>
      <cdr:y>0.62778</cdr:y>
    </cdr:to>
    <cdr:sp macro="" textlink="">
      <cdr:nvSpPr>
        <cdr:cNvPr id="8" name="TextBox 1"/>
        <cdr:cNvSpPr txBox="1"/>
      </cdr:nvSpPr>
      <cdr:spPr>
        <a:xfrm xmlns:a="http://schemas.openxmlformats.org/drawingml/2006/main">
          <a:off x="3358194" y="4054918"/>
          <a:ext cx="1375646" cy="257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b="1">
              <a:latin typeface="Times New Roman" pitchFamily="18" charset="0"/>
              <a:cs typeface="Times New Roman" pitchFamily="18" charset="0"/>
            </a:rPr>
            <a:t>Kopā: 270,5 (119,2%)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B6BD-1CE6-4BF4-B1D7-8AD2D820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62537</Words>
  <Characters>35647</Characters>
  <Application>Microsoft Office Word</Application>
  <DocSecurity>0</DocSecurity>
  <Lines>297</Lines>
  <Paragraphs>195</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Eiropas Ekonomikas zonas finanšu instrumenta, Norvēģijas finanšu instrumenta un Latvijas un Šveices sadarbības programmas apguvi līdz 2013.gada 31.martu</vt:lpstr>
    </vt:vector>
  </TitlesOfParts>
  <Company>Finanšu ministrija</Company>
  <LinksUpToDate>false</LinksUpToDate>
  <CharactersWithSpaces>97989</CharactersWithSpaces>
  <SharedDoc>false</SharedDoc>
  <HLinks>
    <vt:vector size="228" baseType="variant">
      <vt:variant>
        <vt:i4>1507377</vt:i4>
      </vt:variant>
      <vt:variant>
        <vt:i4>200</vt:i4>
      </vt:variant>
      <vt:variant>
        <vt:i4>0</vt:i4>
      </vt:variant>
      <vt:variant>
        <vt:i4>5</vt:i4>
      </vt:variant>
      <vt:variant>
        <vt:lpwstr/>
      </vt:variant>
      <vt:variant>
        <vt:lpwstr>_Toc317146161</vt:lpwstr>
      </vt:variant>
      <vt:variant>
        <vt:i4>1507377</vt:i4>
      </vt:variant>
      <vt:variant>
        <vt:i4>194</vt:i4>
      </vt:variant>
      <vt:variant>
        <vt:i4>0</vt:i4>
      </vt:variant>
      <vt:variant>
        <vt:i4>5</vt:i4>
      </vt:variant>
      <vt:variant>
        <vt:lpwstr/>
      </vt:variant>
      <vt:variant>
        <vt:lpwstr>_Toc317146160</vt:lpwstr>
      </vt:variant>
      <vt:variant>
        <vt:i4>1310769</vt:i4>
      </vt:variant>
      <vt:variant>
        <vt:i4>188</vt:i4>
      </vt:variant>
      <vt:variant>
        <vt:i4>0</vt:i4>
      </vt:variant>
      <vt:variant>
        <vt:i4>5</vt:i4>
      </vt:variant>
      <vt:variant>
        <vt:lpwstr/>
      </vt:variant>
      <vt:variant>
        <vt:lpwstr>_Toc317146159</vt:lpwstr>
      </vt:variant>
      <vt:variant>
        <vt:i4>1310769</vt:i4>
      </vt:variant>
      <vt:variant>
        <vt:i4>182</vt:i4>
      </vt:variant>
      <vt:variant>
        <vt:i4>0</vt:i4>
      </vt:variant>
      <vt:variant>
        <vt:i4>5</vt:i4>
      </vt:variant>
      <vt:variant>
        <vt:lpwstr/>
      </vt:variant>
      <vt:variant>
        <vt:lpwstr>_Toc317146158</vt:lpwstr>
      </vt:variant>
      <vt:variant>
        <vt:i4>1310769</vt:i4>
      </vt:variant>
      <vt:variant>
        <vt:i4>176</vt:i4>
      </vt:variant>
      <vt:variant>
        <vt:i4>0</vt:i4>
      </vt:variant>
      <vt:variant>
        <vt:i4>5</vt:i4>
      </vt:variant>
      <vt:variant>
        <vt:lpwstr/>
      </vt:variant>
      <vt:variant>
        <vt:lpwstr>_Toc317146157</vt:lpwstr>
      </vt:variant>
      <vt:variant>
        <vt:i4>1310769</vt:i4>
      </vt:variant>
      <vt:variant>
        <vt:i4>170</vt:i4>
      </vt:variant>
      <vt:variant>
        <vt:i4>0</vt:i4>
      </vt:variant>
      <vt:variant>
        <vt:i4>5</vt:i4>
      </vt:variant>
      <vt:variant>
        <vt:lpwstr/>
      </vt:variant>
      <vt:variant>
        <vt:lpwstr>_Toc317146156</vt:lpwstr>
      </vt:variant>
      <vt:variant>
        <vt:i4>1310769</vt:i4>
      </vt:variant>
      <vt:variant>
        <vt:i4>164</vt:i4>
      </vt:variant>
      <vt:variant>
        <vt:i4>0</vt:i4>
      </vt:variant>
      <vt:variant>
        <vt:i4>5</vt:i4>
      </vt:variant>
      <vt:variant>
        <vt:lpwstr/>
      </vt:variant>
      <vt:variant>
        <vt:lpwstr>_Toc317146155</vt:lpwstr>
      </vt:variant>
      <vt:variant>
        <vt:i4>1310769</vt:i4>
      </vt:variant>
      <vt:variant>
        <vt:i4>158</vt:i4>
      </vt:variant>
      <vt:variant>
        <vt:i4>0</vt:i4>
      </vt:variant>
      <vt:variant>
        <vt:i4>5</vt:i4>
      </vt:variant>
      <vt:variant>
        <vt:lpwstr/>
      </vt:variant>
      <vt:variant>
        <vt:lpwstr>_Toc317146154</vt:lpwstr>
      </vt:variant>
      <vt:variant>
        <vt:i4>1310769</vt:i4>
      </vt:variant>
      <vt:variant>
        <vt:i4>152</vt:i4>
      </vt:variant>
      <vt:variant>
        <vt:i4>0</vt:i4>
      </vt:variant>
      <vt:variant>
        <vt:i4>5</vt:i4>
      </vt:variant>
      <vt:variant>
        <vt:lpwstr/>
      </vt:variant>
      <vt:variant>
        <vt:lpwstr>_Toc317146153</vt:lpwstr>
      </vt:variant>
      <vt:variant>
        <vt:i4>1310769</vt:i4>
      </vt:variant>
      <vt:variant>
        <vt:i4>146</vt:i4>
      </vt:variant>
      <vt:variant>
        <vt:i4>0</vt:i4>
      </vt:variant>
      <vt:variant>
        <vt:i4>5</vt:i4>
      </vt:variant>
      <vt:variant>
        <vt:lpwstr/>
      </vt:variant>
      <vt:variant>
        <vt:lpwstr>_Toc317146152</vt:lpwstr>
      </vt:variant>
      <vt:variant>
        <vt:i4>1310769</vt:i4>
      </vt:variant>
      <vt:variant>
        <vt:i4>140</vt:i4>
      </vt:variant>
      <vt:variant>
        <vt:i4>0</vt:i4>
      </vt:variant>
      <vt:variant>
        <vt:i4>5</vt:i4>
      </vt:variant>
      <vt:variant>
        <vt:lpwstr/>
      </vt:variant>
      <vt:variant>
        <vt:lpwstr>_Toc317146151</vt:lpwstr>
      </vt:variant>
      <vt:variant>
        <vt:i4>1310769</vt:i4>
      </vt:variant>
      <vt:variant>
        <vt:i4>134</vt:i4>
      </vt:variant>
      <vt:variant>
        <vt:i4>0</vt:i4>
      </vt:variant>
      <vt:variant>
        <vt:i4>5</vt:i4>
      </vt:variant>
      <vt:variant>
        <vt:lpwstr/>
      </vt:variant>
      <vt:variant>
        <vt:lpwstr>_Toc317146150</vt:lpwstr>
      </vt:variant>
      <vt:variant>
        <vt:i4>1376305</vt:i4>
      </vt:variant>
      <vt:variant>
        <vt:i4>128</vt:i4>
      </vt:variant>
      <vt:variant>
        <vt:i4>0</vt:i4>
      </vt:variant>
      <vt:variant>
        <vt:i4>5</vt:i4>
      </vt:variant>
      <vt:variant>
        <vt:lpwstr/>
      </vt:variant>
      <vt:variant>
        <vt:lpwstr>_Toc317146149</vt:lpwstr>
      </vt:variant>
      <vt:variant>
        <vt:i4>1376305</vt:i4>
      </vt:variant>
      <vt:variant>
        <vt:i4>122</vt:i4>
      </vt:variant>
      <vt:variant>
        <vt:i4>0</vt:i4>
      </vt:variant>
      <vt:variant>
        <vt:i4>5</vt:i4>
      </vt:variant>
      <vt:variant>
        <vt:lpwstr/>
      </vt:variant>
      <vt:variant>
        <vt:lpwstr>_Toc317146148</vt:lpwstr>
      </vt:variant>
      <vt:variant>
        <vt:i4>1376305</vt:i4>
      </vt:variant>
      <vt:variant>
        <vt:i4>116</vt:i4>
      </vt:variant>
      <vt:variant>
        <vt:i4>0</vt:i4>
      </vt:variant>
      <vt:variant>
        <vt:i4>5</vt:i4>
      </vt:variant>
      <vt:variant>
        <vt:lpwstr/>
      </vt:variant>
      <vt:variant>
        <vt:lpwstr>_Toc317146147</vt:lpwstr>
      </vt:variant>
      <vt:variant>
        <vt:i4>1376305</vt:i4>
      </vt:variant>
      <vt:variant>
        <vt:i4>110</vt:i4>
      </vt:variant>
      <vt:variant>
        <vt:i4>0</vt:i4>
      </vt:variant>
      <vt:variant>
        <vt:i4>5</vt:i4>
      </vt:variant>
      <vt:variant>
        <vt:lpwstr/>
      </vt:variant>
      <vt:variant>
        <vt:lpwstr>_Toc317146146</vt:lpwstr>
      </vt:variant>
      <vt:variant>
        <vt:i4>1376305</vt:i4>
      </vt:variant>
      <vt:variant>
        <vt:i4>104</vt:i4>
      </vt:variant>
      <vt:variant>
        <vt:i4>0</vt:i4>
      </vt:variant>
      <vt:variant>
        <vt:i4>5</vt:i4>
      </vt:variant>
      <vt:variant>
        <vt:lpwstr/>
      </vt:variant>
      <vt:variant>
        <vt:lpwstr>_Toc317146145</vt:lpwstr>
      </vt:variant>
      <vt:variant>
        <vt:i4>1376305</vt:i4>
      </vt:variant>
      <vt:variant>
        <vt:i4>98</vt:i4>
      </vt:variant>
      <vt:variant>
        <vt:i4>0</vt:i4>
      </vt:variant>
      <vt:variant>
        <vt:i4>5</vt:i4>
      </vt:variant>
      <vt:variant>
        <vt:lpwstr/>
      </vt:variant>
      <vt:variant>
        <vt:lpwstr>_Toc317146144</vt:lpwstr>
      </vt:variant>
      <vt:variant>
        <vt:i4>1376305</vt:i4>
      </vt:variant>
      <vt:variant>
        <vt:i4>92</vt:i4>
      </vt:variant>
      <vt:variant>
        <vt:i4>0</vt:i4>
      </vt:variant>
      <vt:variant>
        <vt:i4>5</vt:i4>
      </vt:variant>
      <vt:variant>
        <vt:lpwstr/>
      </vt:variant>
      <vt:variant>
        <vt:lpwstr>_Toc317146143</vt:lpwstr>
      </vt:variant>
      <vt:variant>
        <vt:i4>1376305</vt:i4>
      </vt:variant>
      <vt:variant>
        <vt:i4>86</vt:i4>
      </vt:variant>
      <vt:variant>
        <vt:i4>0</vt:i4>
      </vt:variant>
      <vt:variant>
        <vt:i4>5</vt:i4>
      </vt:variant>
      <vt:variant>
        <vt:lpwstr/>
      </vt:variant>
      <vt:variant>
        <vt:lpwstr>_Toc317146142</vt:lpwstr>
      </vt:variant>
      <vt:variant>
        <vt:i4>1376305</vt:i4>
      </vt:variant>
      <vt:variant>
        <vt:i4>80</vt:i4>
      </vt:variant>
      <vt:variant>
        <vt:i4>0</vt:i4>
      </vt:variant>
      <vt:variant>
        <vt:i4>5</vt:i4>
      </vt:variant>
      <vt:variant>
        <vt:lpwstr/>
      </vt:variant>
      <vt:variant>
        <vt:lpwstr>_Toc317146141</vt:lpwstr>
      </vt:variant>
      <vt:variant>
        <vt:i4>1376305</vt:i4>
      </vt:variant>
      <vt:variant>
        <vt:i4>74</vt:i4>
      </vt:variant>
      <vt:variant>
        <vt:i4>0</vt:i4>
      </vt:variant>
      <vt:variant>
        <vt:i4>5</vt:i4>
      </vt:variant>
      <vt:variant>
        <vt:lpwstr/>
      </vt:variant>
      <vt:variant>
        <vt:lpwstr>_Toc317146140</vt:lpwstr>
      </vt:variant>
      <vt:variant>
        <vt:i4>1179697</vt:i4>
      </vt:variant>
      <vt:variant>
        <vt:i4>68</vt:i4>
      </vt:variant>
      <vt:variant>
        <vt:i4>0</vt:i4>
      </vt:variant>
      <vt:variant>
        <vt:i4>5</vt:i4>
      </vt:variant>
      <vt:variant>
        <vt:lpwstr/>
      </vt:variant>
      <vt:variant>
        <vt:lpwstr>_Toc317146139</vt:lpwstr>
      </vt:variant>
      <vt:variant>
        <vt:i4>1179697</vt:i4>
      </vt:variant>
      <vt:variant>
        <vt:i4>62</vt:i4>
      </vt:variant>
      <vt:variant>
        <vt:i4>0</vt:i4>
      </vt:variant>
      <vt:variant>
        <vt:i4>5</vt:i4>
      </vt:variant>
      <vt:variant>
        <vt:lpwstr/>
      </vt:variant>
      <vt:variant>
        <vt:lpwstr>_Toc317146138</vt:lpwstr>
      </vt:variant>
      <vt:variant>
        <vt:i4>1179697</vt:i4>
      </vt:variant>
      <vt:variant>
        <vt:i4>56</vt:i4>
      </vt:variant>
      <vt:variant>
        <vt:i4>0</vt:i4>
      </vt:variant>
      <vt:variant>
        <vt:i4>5</vt:i4>
      </vt:variant>
      <vt:variant>
        <vt:lpwstr/>
      </vt:variant>
      <vt:variant>
        <vt:lpwstr>_Toc317146137</vt:lpwstr>
      </vt:variant>
      <vt:variant>
        <vt:i4>1179697</vt:i4>
      </vt:variant>
      <vt:variant>
        <vt:i4>50</vt:i4>
      </vt:variant>
      <vt:variant>
        <vt:i4>0</vt:i4>
      </vt:variant>
      <vt:variant>
        <vt:i4>5</vt:i4>
      </vt:variant>
      <vt:variant>
        <vt:lpwstr/>
      </vt:variant>
      <vt:variant>
        <vt:lpwstr>_Toc317146136</vt:lpwstr>
      </vt:variant>
      <vt:variant>
        <vt:i4>1179697</vt:i4>
      </vt:variant>
      <vt:variant>
        <vt:i4>44</vt:i4>
      </vt:variant>
      <vt:variant>
        <vt:i4>0</vt:i4>
      </vt:variant>
      <vt:variant>
        <vt:i4>5</vt:i4>
      </vt:variant>
      <vt:variant>
        <vt:lpwstr/>
      </vt:variant>
      <vt:variant>
        <vt:lpwstr>_Toc317146135</vt:lpwstr>
      </vt:variant>
      <vt:variant>
        <vt:i4>1179697</vt:i4>
      </vt:variant>
      <vt:variant>
        <vt:i4>38</vt:i4>
      </vt:variant>
      <vt:variant>
        <vt:i4>0</vt:i4>
      </vt:variant>
      <vt:variant>
        <vt:i4>5</vt:i4>
      </vt:variant>
      <vt:variant>
        <vt:lpwstr/>
      </vt:variant>
      <vt:variant>
        <vt:lpwstr>_Toc317146134</vt:lpwstr>
      </vt:variant>
      <vt:variant>
        <vt:i4>1179697</vt:i4>
      </vt:variant>
      <vt:variant>
        <vt:i4>32</vt:i4>
      </vt:variant>
      <vt:variant>
        <vt:i4>0</vt:i4>
      </vt:variant>
      <vt:variant>
        <vt:i4>5</vt:i4>
      </vt:variant>
      <vt:variant>
        <vt:lpwstr/>
      </vt:variant>
      <vt:variant>
        <vt:lpwstr>_Toc317146133</vt:lpwstr>
      </vt:variant>
      <vt:variant>
        <vt:i4>1179697</vt:i4>
      </vt:variant>
      <vt:variant>
        <vt:i4>26</vt:i4>
      </vt:variant>
      <vt:variant>
        <vt:i4>0</vt:i4>
      </vt:variant>
      <vt:variant>
        <vt:i4>5</vt:i4>
      </vt:variant>
      <vt:variant>
        <vt:lpwstr/>
      </vt:variant>
      <vt:variant>
        <vt:lpwstr>_Toc317146132</vt:lpwstr>
      </vt:variant>
      <vt:variant>
        <vt:i4>1179697</vt:i4>
      </vt:variant>
      <vt:variant>
        <vt:i4>20</vt:i4>
      </vt:variant>
      <vt:variant>
        <vt:i4>0</vt:i4>
      </vt:variant>
      <vt:variant>
        <vt:i4>5</vt:i4>
      </vt:variant>
      <vt:variant>
        <vt:lpwstr/>
      </vt:variant>
      <vt:variant>
        <vt:lpwstr>_Toc317146131</vt:lpwstr>
      </vt:variant>
      <vt:variant>
        <vt:i4>1179697</vt:i4>
      </vt:variant>
      <vt:variant>
        <vt:i4>14</vt:i4>
      </vt:variant>
      <vt:variant>
        <vt:i4>0</vt:i4>
      </vt:variant>
      <vt:variant>
        <vt:i4>5</vt:i4>
      </vt:variant>
      <vt:variant>
        <vt:lpwstr/>
      </vt:variant>
      <vt:variant>
        <vt:lpwstr>_Toc317146130</vt:lpwstr>
      </vt:variant>
      <vt:variant>
        <vt:i4>1245233</vt:i4>
      </vt:variant>
      <vt:variant>
        <vt:i4>8</vt:i4>
      </vt:variant>
      <vt:variant>
        <vt:i4>0</vt:i4>
      </vt:variant>
      <vt:variant>
        <vt:i4>5</vt:i4>
      </vt:variant>
      <vt:variant>
        <vt:lpwstr/>
      </vt:variant>
      <vt:variant>
        <vt:lpwstr>_Toc317146129</vt:lpwstr>
      </vt:variant>
      <vt:variant>
        <vt:i4>1245233</vt:i4>
      </vt:variant>
      <vt:variant>
        <vt:i4>2</vt:i4>
      </vt:variant>
      <vt:variant>
        <vt:i4>0</vt:i4>
      </vt:variant>
      <vt:variant>
        <vt:i4>5</vt:i4>
      </vt:variant>
      <vt:variant>
        <vt:lpwstr/>
      </vt:variant>
      <vt:variant>
        <vt:lpwstr>_Toc317146128</vt:lpwstr>
      </vt:variant>
      <vt:variant>
        <vt:i4>7602252</vt:i4>
      </vt:variant>
      <vt:variant>
        <vt:i4>-1</vt:i4>
      </vt:variant>
      <vt:variant>
        <vt:i4>1027</vt:i4>
      </vt:variant>
      <vt:variant>
        <vt:i4>1</vt:i4>
      </vt:variant>
      <vt:variant>
        <vt:lpwstr>cid:image009.jpg@01CBC3A8.FD1A1C60</vt:lpwstr>
      </vt:variant>
      <vt:variant>
        <vt:lpwstr/>
      </vt:variant>
      <vt:variant>
        <vt:i4>8061004</vt:i4>
      </vt:variant>
      <vt:variant>
        <vt:i4>-1</vt:i4>
      </vt:variant>
      <vt:variant>
        <vt:i4>1029</vt:i4>
      </vt:variant>
      <vt:variant>
        <vt:i4>1</vt:i4>
      </vt:variant>
      <vt:variant>
        <vt:lpwstr>cid:image006.jpg@01CBC3A8.FD1A1C60</vt:lpwstr>
      </vt:variant>
      <vt:variant>
        <vt:lpwstr/>
      </vt:variant>
      <vt:variant>
        <vt:i4>8192077</vt:i4>
      </vt:variant>
      <vt:variant>
        <vt:i4>-1</vt:i4>
      </vt:variant>
      <vt:variant>
        <vt:i4>1028</vt:i4>
      </vt:variant>
      <vt:variant>
        <vt:i4>1</vt:i4>
      </vt:variant>
      <vt:variant>
        <vt:lpwstr>cid:image010.jpg@01CBC3A8.FD1A1C60</vt:lpwstr>
      </vt:variant>
      <vt:variant>
        <vt:lpwstr/>
      </vt:variant>
      <vt:variant>
        <vt:i4>6684755</vt:i4>
      </vt:variant>
      <vt:variant>
        <vt:i4>-1</vt:i4>
      </vt:variant>
      <vt:variant>
        <vt:i4>1026</vt:i4>
      </vt:variant>
      <vt:variant>
        <vt:i4>1</vt:i4>
      </vt:variant>
      <vt:variant>
        <vt:lpwstr>cid:image011.png@01CBC3A8.FD1A1C60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Eiropas Ekonomikas zonas finanšu instrumenta, Norvēģijas finanšu instrumenta un Latvijas un Šveices sadarbības programmas apguvi līdz 2013.gada 31.martu</dc:title>
  <dc:subject>Informatīvais ziņojums par Eiropas Savienības struktūrfondu un Kohēzijas fonda, Eiropas Ekonomikas zonas finanšu instrumenta, Norvēģijas finanšu instrumenta un Latvijas un Šveices sadarbības programmas apguvi līdz 2013.gada 31.martam</dc:subject>
  <dc:creator>Signe Albiņa</dc:creator>
  <dc:description>Signe Albiņa
Finanšu ministrijas Eiropas Savienības fondu uzraudzības departamenta
Uzņēmējdarbības un inovāciju uzraudzības nodaļas vadītāja vietniece
Tālr. 67083808, fakss 67095697
Signe.Albina@fm.gov.lv</dc:description>
  <cp:lastModifiedBy>Sintija Laugale - Volbaka</cp:lastModifiedBy>
  <cp:revision>10</cp:revision>
  <cp:lastPrinted>2013-05-17T10:00:00Z</cp:lastPrinted>
  <dcterms:created xsi:type="dcterms:W3CDTF">2013-05-16T12:29:00Z</dcterms:created>
  <dcterms:modified xsi:type="dcterms:W3CDTF">2013-05-17T10:14:00Z</dcterms:modified>
</cp:coreProperties>
</file>