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3A" w:rsidRPr="00E84355" w:rsidRDefault="005440CF" w:rsidP="00973FFB">
      <w:pPr>
        <w:tabs>
          <w:tab w:val="left" w:pos="3686"/>
        </w:tabs>
        <w:ind w:left="3686"/>
        <w:rPr>
          <w:b/>
          <w:bCs/>
          <w:color w:val="000000"/>
          <w:sz w:val="20"/>
          <w:lang w:eastAsia="lv-LV"/>
        </w:rPr>
      </w:pPr>
      <w:r w:rsidRPr="00E84355">
        <w:rPr>
          <w:b/>
          <w:bCs/>
          <w:color w:val="000000"/>
          <w:sz w:val="20"/>
          <w:lang w:eastAsia="lv-LV"/>
        </w:rPr>
        <w:t>6</w:t>
      </w:r>
      <w:r w:rsidR="00E93E3A" w:rsidRPr="00E84355">
        <w:rPr>
          <w:b/>
          <w:bCs/>
          <w:color w:val="000000"/>
          <w:sz w:val="20"/>
          <w:lang w:eastAsia="lv-LV"/>
        </w:rPr>
        <w:t>.pielikums informatīvajam ziņojumam par Eiropas Savienības struktūrfondu un Kohēzijas fonda, Eiropas Ekonomikas zonas finanšu instrumenta,  Norvēģijas finanšu instrumenta un Latvijas–Šveices sadarbības programmas apguvi līdz 201</w:t>
      </w:r>
      <w:r w:rsidR="0038792A" w:rsidRPr="00E84355">
        <w:rPr>
          <w:b/>
          <w:bCs/>
          <w:color w:val="000000"/>
          <w:sz w:val="20"/>
          <w:lang w:eastAsia="lv-LV"/>
        </w:rPr>
        <w:t>2</w:t>
      </w:r>
      <w:r w:rsidR="00E93E3A" w:rsidRPr="00E84355">
        <w:rPr>
          <w:b/>
          <w:bCs/>
          <w:color w:val="000000"/>
          <w:sz w:val="20"/>
          <w:lang w:eastAsia="lv-LV"/>
        </w:rPr>
        <w:t xml:space="preserve">.gada </w:t>
      </w:r>
      <w:r w:rsidR="005D09A9" w:rsidRPr="00E84355">
        <w:rPr>
          <w:b/>
          <w:bCs/>
          <w:color w:val="000000"/>
          <w:sz w:val="20"/>
          <w:lang w:eastAsia="lv-LV"/>
        </w:rPr>
        <w:t>30</w:t>
      </w:r>
      <w:r w:rsidR="00E93E3A" w:rsidRPr="00E84355">
        <w:rPr>
          <w:b/>
          <w:bCs/>
          <w:color w:val="000000"/>
          <w:sz w:val="20"/>
          <w:lang w:eastAsia="lv-LV"/>
        </w:rPr>
        <w:t>.</w:t>
      </w:r>
      <w:r w:rsidR="005D09A9" w:rsidRPr="00E84355">
        <w:rPr>
          <w:b/>
          <w:bCs/>
          <w:color w:val="000000"/>
          <w:sz w:val="20"/>
          <w:lang w:eastAsia="lv-LV"/>
        </w:rPr>
        <w:t>jūnijam</w:t>
      </w:r>
      <w:r w:rsidR="00E93E3A" w:rsidRPr="00E84355">
        <w:rPr>
          <w:b/>
          <w:bCs/>
          <w:color w:val="000000"/>
          <w:sz w:val="20"/>
          <w:lang w:eastAsia="lv-LV"/>
        </w:rPr>
        <w:t>.</w:t>
      </w:r>
    </w:p>
    <w:p w:rsidR="00E84355" w:rsidRPr="005D09A9" w:rsidRDefault="00E84355" w:rsidP="00973FFB">
      <w:pPr>
        <w:tabs>
          <w:tab w:val="left" w:pos="3686"/>
        </w:tabs>
        <w:ind w:left="3686"/>
        <w:rPr>
          <w:b/>
          <w:bCs/>
          <w:color w:val="000000"/>
          <w:sz w:val="22"/>
          <w:szCs w:val="22"/>
          <w:lang w:eastAsia="lv-LV"/>
        </w:rPr>
      </w:pPr>
    </w:p>
    <w:p w:rsidR="00E84355" w:rsidRDefault="00E93E3A" w:rsidP="00E84355">
      <w:pPr>
        <w:jc w:val="center"/>
        <w:rPr>
          <w:rFonts w:eastAsia="EUAlbertina-Bold-Identity-H"/>
          <w:color w:val="000000" w:themeColor="text1"/>
          <w:szCs w:val="24"/>
          <w:lang w:eastAsia="lv-LV"/>
        </w:rPr>
      </w:pPr>
      <w:r w:rsidRPr="00E84355">
        <w:rPr>
          <w:rFonts w:eastAsia="EUAlbertina-Bold-Identity-H"/>
          <w:color w:val="000000" w:themeColor="text1"/>
          <w:szCs w:val="24"/>
          <w:lang w:eastAsia="lv-LV"/>
        </w:rPr>
        <w:t>Informācija par aktivitātēm,</w:t>
      </w:r>
      <w:r w:rsidR="00AF0873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 kurās neatbilstību apjoms pret aktivitātē</w:t>
      </w:r>
      <w:r w:rsidR="005D09A9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 </w:t>
      </w:r>
      <w:r w:rsidR="00E84355" w:rsidRPr="00E84355">
        <w:rPr>
          <w:rFonts w:eastAsia="EUAlbertina-Bold-Identity-H"/>
          <w:color w:val="000000" w:themeColor="text1"/>
          <w:szCs w:val="24"/>
          <w:lang w:eastAsia="lv-LV"/>
        </w:rPr>
        <w:t>iesniegtajiem maksājumu piepras</w:t>
      </w:r>
      <w:bookmarkStart w:id="0" w:name="_GoBack"/>
      <w:bookmarkEnd w:id="0"/>
      <w:r w:rsidR="00E84355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ījumiem </w:t>
      </w:r>
      <w:r w:rsidR="00D27A5D" w:rsidRPr="00E84355">
        <w:rPr>
          <w:rFonts w:eastAsia="EUAlbertina-Bold-Identity-H"/>
          <w:color w:val="000000" w:themeColor="text1"/>
          <w:szCs w:val="24"/>
          <w:lang w:eastAsia="lv-LV"/>
        </w:rPr>
        <w:t>līdz</w:t>
      </w:r>
      <w:r w:rsidR="005D09A9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 </w:t>
      </w:r>
      <w:r w:rsidR="00D27A5D" w:rsidRPr="00E84355">
        <w:rPr>
          <w:rFonts w:eastAsia="EUAlbertina-Bold-Identity-H"/>
          <w:color w:val="000000" w:themeColor="text1"/>
          <w:szCs w:val="24"/>
          <w:lang w:eastAsia="lv-LV"/>
        </w:rPr>
        <w:t>2012.gada 30.jūnijam</w:t>
      </w:r>
      <w:r w:rsidR="00AF0873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 pārsniedz </w:t>
      </w:r>
      <w:r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2% </w:t>
      </w:r>
    </w:p>
    <w:p w:rsidR="00D2094F" w:rsidRPr="00E84355" w:rsidRDefault="00D2094F" w:rsidP="00E84355">
      <w:pPr>
        <w:jc w:val="center"/>
        <w:rPr>
          <w:rFonts w:eastAsia="EUAlbertina-Bold-Identity-H"/>
          <w:color w:val="000000" w:themeColor="text1"/>
          <w:szCs w:val="24"/>
          <w:lang w:eastAsia="lv-LV"/>
        </w:rPr>
      </w:pPr>
      <w:r w:rsidRPr="00E84355">
        <w:rPr>
          <w:rFonts w:eastAsia="EUAlbertina-Bold-Identity-H"/>
          <w:color w:val="000000" w:themeColor="text1"/>
          <w:szCs w:val="24"/>
          <w:lang w:eastAsia="lv-LV"/>
        </w:rPr>
        <w:t>būtiskuma līmeni</w:t>
      </w:r>
    </w:p>
    <w:p w:rsidR="00E84355" w:rsidRPr="0059068E" w:rsidRDefault="00E84355" w:rsidP="00E84355">
      <w:pPr>
        <w:jc w:val="center"/>
        <w:rPr>
          <w:rFonts w:eastAsia="EUAlbertina-Bold-Identity-H"/>
          <w:color w:val="000000" w:themeColor="text1"/>
          <w:sz w:val="28"/>
          <w:szCs w:val="24"/>
          <w:lang w:eastAsia="lv-LV"/>
        </w:rPr>
      </w:pPr>
    </w:p>
    <w:tbl>
      <w:tblPr>
        <w:tblStyle w:val="LightGrid-Accent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559"/>
        <w:gridCol w:w="1418"/>
        <w:gridCol w:w="1417"/>
      </w:tblGrid>
      <w:tr w:rsidR="00773D2A" w:rsidRPr="00773D2A" w:rsidTr="00773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C2D69B" w:themeFill="accent3" w:themeFillTint="99"/>
            <w:noWrap/>
            <w:vAlign w:val="center"/>
            <w:hideMark/>
          </w:tcPr>
          <w:p w:rsidR="005D09A9" w:rsidRPr="00773D2A" w:rsidRDefault="005D09A9" w:rsidP="00E84355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proofErr w:type="spellStart"/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Ak</w:t>
            </w:r>
            <w:r w:rsidR="00E84355"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t</w:t>
            </w:r>
            <w:proofErr w:type="spellEnd"/>
            <w:r w:rsidR="00E84355"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 xml:space="preserve">./ </w:t>
            </w:r>
            <w:proofErr w:type="spellStart"/>
            <w:r w:rsidR="00E84355"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Apakšakt</w:t>
            </w:r>
            <w:proofErr w:type="spellEnd"/>
            <w:r w:rsidR="00E84355"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.</w:t>
            </w:r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 xml:space="preserve"> </w:t>
            </w:r>
            <w:proofErr w:type="spellStart"/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Nr</w:t>
            </w:r>
            <w:proofErr w:type="spellEnd"/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center"/>
            <w:hideMark/>
          </w:tcPr>
          <w:p w:rsidR="005D09A9" w:rsidRPr="00773D2A" w:rsidRDefault="005D09A9" w:rsidP="00E84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Nosaukums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vAlign w:val="center"/>
            <w:hideMark/>
          </w:tcPr>
          <w:p w:rsidR="005D09A9" w:rsidRPr="00773D2A" w:rsidRDefault="005D09A9" w:rsidP="00E84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AI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  <w:hideMark/>
          </w:tcPr>
          <w:p w:rsidR="005D09A9" w:rsidRPr="00773D2A" w:rsidRDefault="005D09A9" w:rsidP="00E84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Pieprasītais finansējums uz 30.06.2012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  <w:hideMark/>
          </w:tcPr>
          <w:p w:rsidR="005D09A9" w:rsidRPr="00773D2A" w:rsidRDefault="005D09A9" w:rsidP="00E84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Konstatētās neatbilstības uz 30.06.2012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  <w:hideMark/>
          </w:tcPr>
          <w:p w:rsidR="005D09A9" w:rsidRPr="00773D2A" w:rsidRDefault="005D09A9" w:rsidP="00E84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Neatbi</w:t>
            </w:r>
            <w:r w:rsidR="00000A45"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 xml:space="preserve">lstības pret </w:t>
            </w:r>
            <w:r w:rsidR="00E84355"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pieprasīto</w:t>
            </w:r>
            <w:r w:rsidR="00000A45"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 xml:space="preserve"> </w:t>
            </w:r>
            <w:proofErr w:type="spellStart"/>
            <w:r w:rsidR="00000A45"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fin</w:t>
            </w:r>
            <w:proofErr w:type="spellEnd"/>
            <w:r w:rsidR="00E84355"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.</w:t>
            </w:r>
            <w:r w:rsidR="00000A45"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 xml:space="preserve"> uz 30</w:t>
            </w:r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.06.2012, %</w:t>
            </w:r>
          </w:p>
        </w:tc>
      </w:tr>
      <w:tr w:rsidR="00773D2A" w:rsidRPr="00773D2A" w:rsidTr="00773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5D09A9" w:rsidRPr="00773D2A" w:rsidRDefault="005D09A9" w:rsidP="005D0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D09A9" w:rsidRPr="00773D2A" w:rsidRDefault="005D09A9" w:rsidP="00E84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3</w:t>
            </w:r>
          </w:p>
        </w:tc>
        <w:tc>
          <w:tcPr>
            <w:tcW w:w="1559" w:type="dxa"/>
            <w:hideMark/>
          </w:tcPr>
          <w:p w:rsidR="005D09A9" w:rsidRPr="00773D2A" w:rsidRDefault="005D09A9" w:rsidP="005D0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5</w:t>
            </w:r>
          </w:p>
        </w:tc>
        <w:tc>
          <w:tcPr>
            <w:tcW w:w="1418" w:type="dxa"/>
            <w:hideMark/>
          </w:tcPr>
          <w:p w:rsidR="005D09A9" w:rsidRPr="00773D2A" w:rsidRDefault="005D09A9" w:rsidP="005D0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6</w:t>
            </w:r>
          </w:p>
        </w:tc>
        <w:tc>
          <w:tcPr>
            <w:tcW w:w="1417" w:type="dxa"/>
            <w:hideMark/>
          </w:tcPr>
          <w:p w:rsidR="005D09A9" w:rsidRPr="00773D2A" w:rsidRDefault="005D09A9" w:rsidP="005D0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color w:val="000000"/>
                <w:sz w:val="20"/>
                <w:lang w:eastAsia="lv-LV"/>
              </w:rPr>
              <w:t>7=(6/5)*100</w:t>
            </w:r>
          </w:p>
        </w:tc>
      </w:tr>
      <w:tr w:rsidR="00773D2A" w:rsidRPr="00773D2A" w:rsidTr="0077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1.2.1.1.2.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Profesionālajā izglītībā iesaistīto pedagogu kompetences paaugstināšana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IZM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3 546 986,25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2 35 320,96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6,63%</w:t>
            </w:r>
          </w:p>
        </w:tc>
      </w:tr>
      <w:tr w:rsidR="00773D2A" w:rsidRPr="00773D2A" w:rsidTr="00773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1.2.1.1.3.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Atbalsts sākotnējās profesionālās izglītības programmu īstenošanas kvalitātes uzlabošanai un īstenošanai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IZM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4 009 704,45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8C626D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216 389.79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8C626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5,</w:t>
            </w:r>
            <w:r w:rsidR="008C626D">
              <w:rPr>
                <w:sz w:val="20"/>
                <w:lang w:eastAsia="lv-LV"/>
              </w:rPr>
              <w:t>40</w:t>
            </w:r>
            <w:r w:rsidRPr="00773D2A">
              <w:rPr>
                <w:sz w:val="20"/>
                <w:lang w:eastAsia="lv-LV"/>
              </w:rPr>
              <w:t>%</w:t>
            </w:r>
          </w:p>
        </w:tc>
      </w:tr>
      <w:tr w:rsidR="00773D2A" w:rsidRPr="00773D2A" w:rsidTr="0077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1.2.1.2.3.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Vispārējās izglītības pedagogu kompetences paaugstināšana un prasmju atjaunošana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IZM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1 480 614,74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016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48 0</w:t>
            </w:r>
            <w:r w:rsidR="00016C64">
              <w:rPr>
                <w:color w:val="000000"/>
                <w:sz w:val="20"/>
                <w:lang w:eastAsia="lv-LV"/>
              </w:rPr>
              <w:t>1</w:t>
            </w:r>
            <w:r w:rsidRPr="00773D2A">
              <w:rPr>
                <w:color w:val="000000"/>
                <w:sz w:val="20"/>
                <w:lang w:eastAsia="lv-LV"/>
              </w:rPr>
              <w:t>2,51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3,24%</w:t>
            </w:r>
          </w:p>
        </w:tc>
      </w:tr>
      <w:tr w:rsidR="00773D2A" w:rsidRPr="00773D2A" w:rsidTr="00773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1.3.1.1.4.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Atbalsts nodarbināto apmācībām komersantu konkurētspējas veicināšanai - atbalsts komersantu individuāli organizētām apmācībām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2 050 409,78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102 652,97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5,01%</w:t>
            </w:r>
          </w:p>
        </w:tc>
      </w:tr>
      <w:tr w:rsidR="00773D2A" w:rsidRPr="00773D2A" w:rsidTr="0077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1.3.1.3.1.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Darba attiecību un darba drošības normatīvo aktu uzraudzības pilnveidošana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LM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684 875,27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73 419,04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10,72%</w:t>
            </w:r>
          </w:p>
        </w:tc>
      </w:tr>
      <w:tr w:rsidR="00773D2A" w:rsidRPr="00773D2A" w:rsidTr="00773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1.4.1.2.1.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Darbspēju vērtēšanas sistēmas pilnveidošana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LM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756 214,71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17 568,26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2,32%</w:t>
            </w:r>
          </w:p>
        </w:tc>
      </w:tr>
      <w:tr w:rsidR="00773D2A" w:rsidRPr="00773D2A" w:rsidTr="0010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</w:p>
        </w:tc>
        <w:tc>
          <w:tcPr>
            <w:tcW w:w="2693" w:type="dxa"/>
          </w:tcPr>
          <w:p w:rsidR="005D09A9" w:rsidRPr="00773D2A" w:rsidRDefault="005D09A9" w:rsidP="005D09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134" w:type="dxa"/>
          </w:tcPr>
          <w:p w:rsidR="005D09A9" w:rsidRPr="00773D2A" w:rsidRDefault="005D09A9" w:rsidP="00E84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559" w:type="dxa"/>
            <w:noWrap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1418" w:type="dxa"/>
            <w:noWrap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1417" w:type="dxa"/>
            <w:noWrap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lv-LV"/>
              </w:rPr>
            </w:pPr>
          </w:p>
        </w:tc>
      </w:tr>
      <w:tr w:rsidR="00773D2A" w:rsidRPr="00773D2A" w:rsidTr="00773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1.5.2.2.2.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NVO administratīvās kapacitātes stiprināšana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proofErr w:type="spellStart"/>
            <w:r w:rsidRPr="00773D2A">
              <w:rPr>
                <w:bCs/>
                <w:color w:val="000000"/>
                <w:sz w:val="20"/>
                <w:lang w:eastAsia="lv-LV"/>
              </w:rPr>
              <w:t>Vkanc</w:t>
            </w:r>
            <w:proofErr w:type="spellEnd"/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1 021 293,13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27 751,85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2,72%</w:t>
            </w:r>
          </w:p>
        </w:tc>
      </w:tr>
      <w:tr w:rsidR="00773D2A" w:rsidRPr="00773D2A" w:rsidTr="0077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1.5.2.2.3.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Atbalsts pašvaldībām kapacitātes stiprināšanā  Eiropas Savienības politiku instrumentu un pārējās ārvalstu finanšu palīdzības līdzfinansēto projektu un pasākumu īstenošanai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proofErr w:type="spellStart"/>
            <w:r w:rsidRPr="00773D2A">
              <w:rPr>
                <w:bCs/>
                <w:color w:val="000000"/>
                <w:sz w:val="20"/>
                <w:lang w:eastAsia="lv-LV"/>
              </w:rPr>
              <w:t>Vkanc</w:t>
            </w:r>
            <w:proofErr w:type="spellEnd"/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782 532,8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55 208,75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7,06%</w:t>
            </w:r>
          </w:p>
        </w:tc>
      </w:tr>
      <w:tr w:rsidR="00773D2A" w:rsidRPr="00773D2A" w:rsidTr="00773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2.1.1.2.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Atbalsts starptautiskās sadarbības projektiem zinātnē un tehnoloģijās (EUREKA, 7.IP un citi)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IZM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2 419 932,65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51 253,49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2,12%</w:t>
            </w:r>
          </w:p>
        </w:tc>
      </w:tr>
      <w:tr w:rsidR="00773D2A" w:rsidRPr="00773D2A" w:rsidTr="0077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2.1.2.2.1.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Jaunu produktu un tehnoloģiju izstrāde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5 202 701,54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120 437,45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2,31%</w:t>
            </w:r>
          </w:p>
        </w:tc>
      </w:tr>
      <w:tr w:rsidR="00773D2A" w:rsidRPr="00773D2A" w:rsidTr="00773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2.1.2.2.3.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Jaunu produktu un tehnoloģiju izstrāde - atbalsts rūpnieciskā īpašuma tiesību nostiprināšanai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10 664,71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10 252,47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96,13%</w:t>
            </w:r>
          </w:p>
        </w:tc>
      </w:tr>
      <w:tr w:rsidR="00773D2A" w:rsidRPr="00773D2A" w:rsidTr="0077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lastRenderedPageBreak/>
              <w:t>2.1.2.4.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Augstas pievienotās vērtības investīcijas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40 596 459,49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4 004 295,49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9,86%</w:t>
            </w:r>
          </w:p>
        </w:tc>
      </w:tr>
      <w:tr w:rsidR="00773D2A" w:rsidRPr="00773D2A" w:rsidTr="00773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2.3.1.1.1.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Ārējo tirgu apgūšana – ārējais mārketings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3 079 274,12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102 414,46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3,33%</w:t>
            </w:r>
          </w:p>
        </w:tc>
      </w:tr>
      <w:tr w:rsidR="00773D2A" w:rsidRPr="00773D2A" w:rsidTr="0077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2.3.2.2.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 xml:space="preserve">Atbalsts ieguldījumiem </w:t>
            </w:r>
            <w:proofErr w:type="spellStart"/>
            <w:r w:rsidRPr="00773D2A">
              <w:rPr>
                <w:bCs/>
                <w:color w:val="000000"/>
                <w:sz w:val="20"/>
                <w:lang w:eastAsia="lv-LV"/>
              </w:rPr>
              <w:t>mikro</w:t>
            </w:r>
            <w:proofErr w:type="spellEnd"/>
            <w:r w:rsidRPr="00773D2A">
              <w:rPr>
                <w:bCs/>
                <w:color w:val="000000"/>
                <w:sz w:val="20"/>
                <w:lang w:eastAsia="lv-LV"/>
              </w:rPr>
              <w:t>, maziem un vidējiem komersantiem  īpaši atbalstāmajās teritorijās (ĪĀT)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5 433 685,46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589 429,56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10,85%</w:t>
            </w:r>
          </w:p>
        </w:tc>
      </w:tr>
      <w:tr w:rsidR="00773D2A" w:rsidRPr="00773D2A" w:rsidTr="00773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3.1.1.1.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Mācību aprīkojuma modernizācija un infrastruktūras uzlabošana profesionālās izglītības programmu īstenošanai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IZM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17 604 683,94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4 609 950,77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26,19%</w:t>
            </w:r>
          </w:p>
        </w:tc>
      </w:tr>
      <w:tr w:rsidR="00773D2A" w:rsidRPr="00773D2A" w:rsidTr="0077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3.1.1.2.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Profesionālās izglītības infrastruktūras attīstība un mācību aprīkojuma modernizācija ieslodzījuma vietās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IZM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1 576 968,08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175 128,4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11,11%</w:t>
            </w:r>
          </w:p>
        </w:tc>
      </w:tr>
      <w:tr w:rsidR="00773D2A" w:rsidRPr="00773D2A" w:rsidTr="00773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3.1.4.3.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Pirmskolas izglītības iestāžu infrastruktūras attīstība nacionālās un reģionālās attīstības centros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VARAM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24 034 230,23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811 439,28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3,38%</w:t>
            </w:r>
          </w:p>
        </w:tc>
      </w:tr>
      <w:tr w:rsidR="00773D2A" w:rsidRPr="00773D2A" w:rsidTr="0077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3.4.1.1.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Ūdenssaimniecības infrastruktūras attīstība apdzīvotās vietās ar iedzīvotāju skaitu līdz 2000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VARAM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47 975 689,8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2 473 327,91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5,16%</w:t>
            </w:r>
          </w:p>
        </w:tc>
      </w:tr>
      <w:tr w:rsidR="00773D2A" w:rsidRPr="00773D2A" w:rsidTr="00773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3.4.2.1.1.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Valsts nozīmes pilsētbūvniecības pieminekļu saglabāšana, atjaunošana un infrastruktūras pielāgošana tūrisma produkta attīstība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4 774 900,09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257 830,18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5,40%</w:t>
            </w:r>
          </w:p>
        </w:tc>
      </w:tr>
      <w:tr w:rsidR="00773D2A" w:rsidRPr="00773D2A" w:rsidTr="0077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3.4.2.1.2.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 xml:space="preserve">Nacionālas nozīmes </w:t>
            </w:r>
            <w:proofErr w:type="spellStart"/>
            <w:r w:rsidRPr="00773D2A">
              <w:rPr>
                <w:bCs/>
                <w:color w:val="000000"/>
                <w:sz w:val="20"/>
                <w:lang w:eastAsia="lv-LV"/>
              </w:rPr>
              <w:t>velotūrisma</w:t>
            </w:r>
            <w:proofErr w:type="spellEnd"/>
            <w:r w:rsidRPr="00773D2A">
              <w:rPr>
                <w:bCs/>
                <w:color w:val="000000"/>
                <w:sz w:val="20"/>
                <w:lang w:eastAsia="lv-LV"/>
              </w:rPr>
              <w:t xml:space="preserve"> produktu attīstība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2 826 492,84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58 520,07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2,07%</w:t>
            </w:r>
          </w:p>
        </w:tc>
      </w:tr>
      <w:tr w:rsidR="00773D2A" w:rsidRPr="00773D2A" w:rsidTr="00773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3.4.4.1.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 xml:space="preserve">Daudzdzīvokļu māju </w:t>
            </w:r>
            <w:proofErr w:type="spellStart"/>
            <w:r w:rsidRPr="00773D2A">
              <w:rPr>
                <w:bCs/>
                <w:color w:val="000000"/>
                <w:sz w:val="20"/>
                <w:lang w:eastAsia="lv-LV"/>
              </w:rPr>
              <w:t>siltumnoturības</w:t>
            </w:r>
            <w:proofErr w:type="spellEnd"/>
            <w:r w:rsidRPr="00773D2A">
              <w:rPr>
                <w:bCs/>
                <w:color w:val="000000"/>
                <w:sz w:val="20"/>
                <w:lang w:eastAsia="lv-LV"/>
              </w:rPr>
              <w:t xml:space="preserve"> uzlabošanas pasākumi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5 125 041,9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148 402,63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2,90%</w:t>
            </w:r>
          </w:p>
        </w:tc>
      </w:tr>
      <w:tr w:rsidR="00773D2A" w:rsidRPr="00773D2A" w:rsidTr="00773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5D09A9" w:rsidRPr="00773D2A" w:rsidRDefault="005D09A9" w:rsidP="005D09A9">
            <w:pPr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lang w:eastAsia="lv-LV"/>
              </w:rPr>
            </w:pPr>
            <w:r w:rsidRPr="00773D2A">
              <w:rPr>
                <w:rFonts w:ascii="Times New Roman" w:hAnsi="Times New Roman"/>
                <w:b w:val="0"/>
                <w:color w:val="000000"/>
                <w:sz w:val="20"/>
                <w:lang w:eastAsia="lv-LV"/>
              </w:rPr>
              <w:t>3.4.4.2.</w:t>
            </w:r>
          </w:p>
        </w:tc>
        <w:tc>
          <w:tcPr>
            <w:tcW w:w="2693" w:type="dxa"/>
            <w:hideMark/>
          </w:tcPr>
          <w:p w:rsidR="005D09A9" w:rsidRPr="00773D2A" w:rsidRDefault="005D09A9" w:rsidP="005D09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 xml:space="preserve">Sociālo dzīvojamo māju </w:t>
            </w:r>
            <w:proofErr w:type="spellStart"/>
            <w:r w:rsidRPr="00773D2A">
              <w:rPr>
                <w:bCs/>
                <w:color w:val="000000"/>
                <w:sz w:val="20"/>
                <w:lang w:eastAsia="lv-LV"/>
              </w:rPr>
              <w:t>siltumnoturības</w:t>
            </w:r>
            <w:proofErr w:type="spellEnd"/>
            <w:r w:rsidRPr="00773D2A">
              <w:rPr>
                <w:bCs/>
                <w:color w:val="000000"/>
                <w:sz w:val="20"/>
                <w:lang w:eastAsia="lv-LV"/>
              </w:rPr>
              <w:t xml:space="preserve"> uzlabošanas pasākumi</w:t>
            </w:r>
          </w:p>
        </w:tc>
        <w:tc>
          <w:tcPr>
            <w:tcW w:w="1134" w:type="dxa"/>
            <w:hideMark/>
          </w:tcPr>
          <w:p w:rsidR="005D09A9" w:rsidRPr="00773D2A" w:rsidRDefault="005D09A9" w:rsidP="00E84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lang w:eastAsia="lv-LV"/>
              </w:rPr>
            </w:pPr>
            <w:r w:rsidRPr="00773D2A">
              <w:rPr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559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2 343 778,97</w:t>
            </w:r>
          </w:p>
        </w:tc>
        <w:tc>
          <w:tcPr>
            <w:tcW w:w="1418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eastAsia="lv-LV"/>
              </w:rPr>
            </w:pPr>
            <w:r w:rsidRPr="00773D2A">
              <w:rPr>
                <w:color w:val="000000"/>
                <w:sz w:val="20"/>
                <w:lang w:eastAsia="lv-LV"/>
              </w:rPr>
              <w:t>302 955,93</w:t>
            </w:r>
          </w:p>
        </w:tc>
        <w:tc>
          <w:tcPr>
            <w:tcW w:w="1417" w:type="dxa"/>
            <w:noWrap/>
            <w:hideMark/>
          </w:tcPr>
          <w:p w:rsidR="005D09A9" w:rsidRPr="00773D2A" w:rsidRDefault="005D09A9" w:rsidP="005D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lv-LV"/>
              </w:rPr>
            </w:pPr>
            <w:r w:rsidRPr="00773D2A">
              <w:rPr>
                <w:sz w:val="20"/>
                <w:lang w:eastAsia="lv-LV"/>
              </w:rPr>
              <w:t>12,93%</w:t>
            </w:r>
          </w:p>
        </w:tc>
      </w:tr>
    </w:tbl>
    <w:p w:rsidR="00973FFB" w:rsidRDefault="00973FFB" w:rsidP="00973FFB">
      <w:pPr>
        <w:pStyle w:val="Normal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color w:val="auto"/>
          <w:sz w:val="28"/>
          <w:szCs w:val="22"/>
        </w:rPr>
      </w:pPr>
    </w:p>
    <w:p w:rsidR="005D09A9" w:rsidRDefault="005D09A9" w:rsidP="00973FFB">
      <w:pPr>
        <w:pStyle w:val="Normal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color w:val="auto"/>
          <w:sz w:val="28"/>
          <w:szCs w:val="22"/>
        </w:rPr>
      </w:pPr>
    </w:p>
    <w:p w:rsidR="005D09A9" w:rsidRDefault="00DE2499" w:rsidP="00EF5BE6">
      <w:pPr>
        <w:pStyle w:val="Header"/>
        <w:spacing w:line="276" w:lineRule="auto"/>
        <w:rPr>
          <w:color w:val="000000"/>
          <w:sz w:val="16"/>
          <w:szCs w:val="16"/>
          <w:lang w:eastAsia="lv-LV"/>
        </w:rPr>
      </w:pPr>
      <w:r>
        <w:rPr>
          <w:color w:val="000000"/>
          <w:sz w:val="16"/>
          <w:szCs w:val="16"/>
          <w:lang w:eastAsia="lv-LV"/>
        </w:rPr>
        <w:t>08.08.2012.</w:t>
      </w:r>
    </w:p>
    <w:p w:rsidR="00E93E3A" w:rsidRPr="005D09A9" w:rsidRDefault="00E84355" w:rsidP="00EF5BE6">
      <w:pPr>
        <w:pStyle w:val="Header"/>
        <w:spacing w:line="276" w:lineRule="auto"/>
        <w:rPr>
          <w:i/>
          <w:color w:val="000000"/>
          <w:sz w:val="16"/>
          <w:szCs w:val="16"/>
          <w:lang w:eastAsia="lv-LV"/>
        </w:rPr>
      </w:pPr>
      <w:proofErr w:type="spellStart"/>
      <w:r>
        <w:rPr>
          <w:i/>
          <w:color w:val="000000"/>
          <w:sz w:val="16"/>
          <w:szCs w:val="16"/>
          <w:lang w:eastAsia="lv-LV"/>
        </w:rPr>
        <w:t>A.Pukse</w:t>
      </w:r>
      <w:proofErr w:type="spellEnd"/>
    </w:p>
    <w:p w:rsidR="00E93E3A" w:rsidRPr="005D09A9" w:rsidRDefault="00E84355" w:rsidP="00EF5BE6">
      <w:pPr>
        <w:pStyle w:val="Header"/>
        <w:spacing w:line="276" w:lineRule="auto"/>
        <w:rPr>
          <w:i/>
          <w:color w:val="000000"/>
          <w:sz w:val="16"/>
          <w:szCs w:val="16"/>
          <w:lang w:eastAsia="lv-LV"/>
        </w:rPr>
      </w:pPr>
      <w:r>
        <w:rPr>
          <w:i/>
          <w:color w:val="000000"/>
          <w:sz w:val="16"/>
          <w:szCs w:val="16"/>
          <w:lang w:eastAsia="lv-LV"/>
        </w:rPr>
        <w:t>67083930</w:t>
      </w:r>
      <w:r w:rsidR="00E93E3A" w:rsidRPr="005D09A9">
        <w:rPr>
          <w:i/>
          <w:color w:val="000000"/>
          <w:sz w:val="16"/>
          <w:szCs w:val="16"/>
          <w:lang w:eastAsia="lv-LV"/>
        </w:rPr>
        <w:t>,</w:t>
      </w:r>
    </w:p>
    <w:p w:rsidR="00E93E3A" w:rsidRPr="005D09A9" w:rsidRDefault="00E84355" w:rsidP="00EF5BE6">
      <w:pPr>
        <w:pStyle w:val="Header"/>
        <w:spacing w:line="276" w:lineRule="auto"/>
        <w:rPr>
          <w:i/>
          <w:sz w:val="16"/>
          <w:szCs w:val="16"/>
          <w:lang w:val="lv-LV"/>
        </w:rPr>
      </w:pPr>
      <w:r>
        <w:rPr>
          <w:i/>
          <w:color w:val="000000"/>
          <w:sz w:val="16"/>
          <w:szCs w:val="16"/>
          <w:lang w:eastAsia="lv-LV"/>
        </w:rPr>
        <w:t>Anna.Pukse@fm.gov.lv</w:t>
      </w:r>
    </w:p>
    <w:sectPr w:rsidR="00E93E3A" w:rsidRPr="005D09A9" w:rsidSect="00EF5BE6">
      <w:footerReference w:type="default" r:id="rId9"/>
      <w:pgSz w:w="11906" w:h="16838"/>
      <w:pgMar w:top="1134" w:right="1134" w:bottom="993" w:left="1701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B3" w:rsidRDefault="001039B3" w:rsidP="00A93D58">
      <w:r>
        <w:separator/>
      </w:r>
    </w:p>
  </w:endnote>
  <w:endnote w:type="continuationSeparator" w:id="0">
    <w:p w:rsidR="001039B3" w:rsidRDefault="001039B3" w:rsidP="00A9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B3" w:rsidRPr="00E33D95" w:rsidRDefault="00393F9A" w:rsidP="005745EF">
    <w:pPr>
      <w:pStyle w:val="Footer"/>
      <w:rPr>
        <w:sz w:val="16"/>
        <w:szCs w:val="16"/>
      </w:rPr>
    </w:pPr>
    <w:r>
      <w:rPr>
        <w:sz w:val="16"/>
        <w:szCs w:val="16"/>
      </w:rPr>
      <w:t>FMzinop6_15</w:t>
    </w:r>
    <w:r w:rsidR="001039B3">
      <w:rPr>
        <w:sz w:val="16"/>
        <w:szCs w:val="16"/>
      </w:rPr>
      <w:t>08</w:t>
    </w:r>
    <w:r w:rsidR="001039B3" w:rsidRPr="00000A45">
      <w:rPr>
        <w:sz w:val="16"/>
        <w:szCs w:val="16"/>
      </w:rPr>
      <w:t xml:space="preserve">12_ES_fondi; </w:t>
    </w:r>
    <w:r w:rsidR="001039B3" w:rsidRPr="00000A45">
      <w:rPr>
        <w:rFonts w:eastAsia="EUAlbertina-Bold-Identity-H"/>
        <w:color w:val="000000" w:themeColor="text1"/>
        <w:sz w:val="16"/>
        <w:szCs w:val="16"/>
        <w:lang w:eastAsia="lv-LV"/>
      </w:rPr>
      <w:t xml:space="preserve">Informācija par aktivitātēm, kurās neatbilstību apjoms pret aktivitātē </w:t>
    </w:r>
    <w:r w:rsidR="001039B3">
      <w:rPr>
        <w:rFonts w:eastAsia="EUAlbertina-Bold-Identity-H"/>
        <w:color w:val="000000" w:themeColor="text1"/>
        <w:sz w:val="16"/>
        <w:szCs w:val="16"/>
        <w:lang w:eastAsia="lv-LV"/>
      </w:rPr>
      <w:t>iesniegtajiem maksājumu pieprasījumiem</w:t>
    </w:r>
    <w:r w:rsidR="001039B3" w:rsidRPr="00000A45">
      <w:rPr>
        <w:rFonts w:eastAsia="EUAlbertina-Bold-Identity-H"/>
        <w:color w:val="000000" w:themeColor="text1"/>
        <w:sz w:val="16"/>
        <w:szCs w:val="16"/>
        <w:lang w:eastAsia="lv-LV"/>
      </w:rPr>
      <w:t xml:space="preserve"> </w:t>
    </w:r>
    <w:r w:rsidR="001039B3">
      <w:rPr>
        <w:rFonts w:eastAsia="EUAlbertina-Bold-Identity-H"/>
        <w:color w:val="000000" w:themeColor="text1"/>
        <w:sz w:val="16"/>
        <w:szCs w:val="16"/>
        <w:lang w:eastAsia="lv-LV"/>
      </w:rPr>
      <w:t>līdz 2012.gada 30.jūnijam</w:t>
    </w:r>
    <w:r w:rsidR="001039B3" w:rsidRPr="00000A45">
      <w:rPr>
        <w:rFonts w:eastAsia="EUAlbertina-Bold-Identity-H"/>
        <w:color w:val="000000" w:themeColor="text1"/>
        <w:sz w:val="16"/>
        <w:szCs w:val="16"/>
        <w:lang w:eastAsia="lv-LV"/>
      </w:rPr>
      <w:t xml:space="preserve"> pārsniedz EK noteikto 2% būtiskuma līmeni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B3" w:rsidRDefault="001039B3" w:rsidP="00A93D58">
      <w:r>
        <w:separator/>
      </w:r>
    </w:p>
  </w:footnote>
  <w:footnote w:type="continuationSeparator" w:id="0">
    <w:p w:rsidR="001039B3" w:rsidRDefault="001039B3" w:rsidP="00A9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518B"/>
    <w:multiLevelType w:val="multilevel"/>
    <w:tmpl w:val="0AAE01CA"/>
    <w:lvl w:ilvl="0">
      <w:start w:val="1"/>
      <w:numFmt w:val="decimal"/>
      <w:pStyle w:val="1lmenis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73"/>
    <w:rsid w:val="00000A45"/>
    <w:rsid w:val="00016C64"/>
    <w:rsid w:val="000746E9"/>
    <w:rsid w:val="00097B3A"/>
    <w:rsid w:val="001039B3"/>
    <w:rsid w:val="001B7234"/>
    <w:rsid w:val="001C2D8A"/>
    <w:rsid w:val="00203B19"/>
    <w:rsid w:val="002270AF"/>
    <w:rsid w:val="0038792A"/>
    <w:rsid w:val="00392C90"/>
    <w:rsid w:val="00393F9A"/>
    <w:rsid w:val="004674CB"/>
    <w:rsid w:val="0049789E"/>
    <w:rsid w:val="004A5778"/>
    <w:rsid w:val="00532061"/>
    <w:rsid w:val="005440CF"/>
    <w:rsid w:val="005745EF"/>
    <w:rsid w:val="0059068E"/>
    <w:rsid w:val="005C4183"/>
    <w:rsid w:val="005D09A9"/>
    <w:rsid w:val="006430C5"/>
    <w:rsid w:val="00661306"/>
    <w:rsid w:val="006B2E3B"/>
    <w:rsid w:val="006B4FCC"/>
    <w:rsid w:val="006E7F51"/>
    <w:rsid w:val="00773D2A"/>
    <w:rsid w:val="0078732D"/>
    <w:rsid w:val="007E6807"/>
    <w:rsid w:val="00814D12"/>
    <w:rsid w:val="00822646"/>
    <w:rsid w:val="008C626D"/>
    <w:rsid w:val="008D480D"/>
    <w:rsid w:val="008F519D"/>
    <w:rsid w:val="00973FFB"/>
    <w:rsid w:val="009A7871"/>
    <w:rsid w:val="00A122C5"/>
    <w:rsid w:val="00A369A7"/>
    <w:rsid w:val="00A93D58"/>
    <w:rsid w:val="00AF0873"/>
    <w:rsid w:val="00B73300"/>
    <w:rsid w:val="00BF5F52"/>
    <w:rsid w:val="00C7502A"/>
    <w:rsid w:val="00D2094F"/>
    <w:rsid w:val="00D27A5D"/>
    <w:rsid w:val="00DB0B88"/>
    <w:rsid w:val="00DB5020"/>
    <w:rsid w:val="00DE2499"/>
    <w:rsid w:val="00E33D95"/>
    <w:rsid w:val="00E84355"/>
    <w:rsid w:val="00E93E3A"/>
    <w:rsid w:val="00EF5BE6"/>
    <w:rsid w:val="00F81FB4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73"/>
    <w:pPr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73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lmenis">
    <w:name w:val="1.līmenis"/>
    <w:basedOn w:val="Heading1"/>
    <w:link w:val="1lmenisChar"/>
    <w:qFormat/>
    <w:rsid w:val="00AF0873"/>
    <w:pPr>
      <w:keepLines w:val="0"/>
      <w:numPr>
        <w:numId w:val="1"/>
      </w:numPr>
      <w:spacing w:before="240" w:after="60"/>
    </w:pPr>
    <w:rPr>
      <w:rFonts w:ascii="Cambria" w:eastAsia="Times New Roman" w:hAnsi="Cambria" w:cs="Times New Roman"/>
      <w:color w:val="auto"/>
      <w:kern w:val="32"/>
      <w:sz w:val="36"/>
      <w:szCs w:val="30"/>
      <w:lang w:val="x-none" w:eastAsia="x-none"/>
    </w:rPr>
  </w:style>
  <w:style w:type="character" w:customStyle="1" w:styleId="1lmenisChar">
    <w:name w:val="1.līmenis Char"/>
    <w:link w:val="1lmenis"/>
    <w:rsid w:val="00AF0873"/>
    <w:rPr>
      <w:rFonts w:ascii="Cambria" w:eastAsia="Times New Roman" w:hAnsi="Cambria" w:cs="Times New Roman"/>
      <w:b/>
      <w:bCs/>
      <w:kern w:val="32"/>
      <w:sz w:val="36"/>
      <w:szCs w:val="3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F0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E93E3A"/>
    <w:pPr>
      <w:tabs>
        <w:tab w:val="center" w:pos="4153"/>
        <w:tab w:val="right" w:pos="8306"/>
      </w:tabs>
      <w:jc w:val="left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93E3A"/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rsid w:val="00E93E3A"/>
    <w:pPr>
      <w:spacing w:before="100" w:beforeAutospacing="1" w:after="100" w:afterAutospacing="1"/>
      <w:jc w:val="left"/>
    </w:pPr>
    <w:rPr>
      <w:rFonts w:ascii="Helvetica" w:hAnsi="Helvetica"/>
      <w:color w:val="000000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93D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D58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9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3D5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270A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0A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0AF"/>
    <w:rPr>
      <w:vertAlign w:val="superscript"/>
    </w:rPr>
  </w:style>
  <w:style w:type="table" w:styleId="LightGrid-Accent3">
    <w:name w:val="Light Grid Accent 3"/>
    <w:basedOn w:val="TableNormal"/>
    <w:uiPriority w:val="62"/>
    <w:rsid w:val="00E8435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73"/>
    <w:pPr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73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lmenis">
    <w:name w:val="1.līmenis"/>
    <w:basedOn w:val="Heading1"/>
    <w:link w:val="1lmenisChar"/>
    <w:qFormat/>
    <w:rsid w:val="00AF0873"/>
    <w:pPr>
      <w:keepLines w:val="0"/>
      <w:numPr>
        <w:numId w:val="1"/>
      </w:numPr>
      <w:spacing w:before="240" w:after="60"/>
    </w:pPr>
    <w:rPr>
      <w:rFonts w:ascii="Cambria" w:eastAsia="Times New Roman" w:hAnsi="Cambria" w:cs="Times New Roman"/>
      <w:color w:val="auto"/>
      <w:kern w:val="32"/>
      <w:sz w:val="36"/>
      <w:szCs w:val="30"/>
      <w:lang w:val="x-none" w:eastAsia="x-none"/>
    </w:rPr>
  </w:style>
  <w:style w:type="character" w:customStyle="1" w:styleId="1lmenisChar">
    <w:name w:val="1.līmenis Char"/>
    <w:link w:val="1lmenis"/>
    <w:rsid w:val="00AF0873"/>
    <w:rPr>
      <w:rFonts w:ascii="Cambria" w:eastAsia="Times New Roman" w:hAnsi="Cambria" w:cs="Times New Roman"/>
      <w:b/>
      <w:bCs/>
      <w:kern w:val="32"/>
      <w:sz w:val="36"/>
      <w:szCs w:val="3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F0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E93E3A"/>
    <w:pPr>
      <w:tabs>
        <w:tab w:val="center" w:pos="4153"/>
        <w:tab w:val="right" w:pos="8306"/>
      </w:tabs>
      <w:jc w:val="left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93E3A"/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rsid w:val="00E93E3A"/>
    <w:pPr>
      <w:spacing w:before="100" w:beforeAutospacing="1" w:after="100" w:afterAutospacing="1"/>
      <w:jc w:val="left"/>
    </w:pPr>
    <w:rPr>
      <w:rFonts w:ascii="Helvetica" w:hAnsi="Helvetica"/>
      <w:color w:val="000000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93D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D58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9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3D5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270A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0A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0AF"/>
    <w:rPr>
      <w:vertAlign w:val="superscript"/>
    </w:rPr>
  </w:style>
  <w:style w:type="table" w:styleId="LightGrid-Accent3">
    <w:name w:val="Light Grid Accent 3"/>
    <w:basedOn w:val="TableNormal"/>
    <w:uiPriority w:val="62"/>
    <w:rsid w:val="00E8435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C4E7-6FB2-40FF-919F-F219EDAF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Informatīvā ziņojuma 6.pielikums</vt:lpstr>
    </vt:vector>
  </TitlesOfParts>
  <Company>Finanšu ministrija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6.pielikums</dc:title>
  <dc:subject>Informācija par aktivitātēm, kurās neatbilstību apjoms pret aktivitātē iesniegtajiem maksājumu pieprasījumiem līdz 2012.gada 30.jūnijam pārsniedz 2% būtiskuma līmeni</dc:subject>
  <dc:creator>Anna Pukse</dc:creator>
  <dc:description>Anna Pukse
Finanšu ministrijas
Eiropas Savienības fondu uzraudzības departamenta
Ieviešanas sistēmas nodaļas
vecākā eksperte
Tālr.:67083930; fakss 67095697
E-pasts: Anna.Pukse@fm.gov.lv </dc:description>
  <cp:lastModifiedBy>Lelde Torntone</cp:lastModifiedBy>
  <cp:revision>17</cp:revision>
  <cp:lastPrinted>2012-07-27T11:00:00Z</cp:lastPrinted>
  <dcterms:created xsi:type="dcterms:W3CDTF">2012-07-20T11:23:00Z</dcterms:created>
  <dcterms:modified xsi:type="dcterms:W3CDTF">2012-08-15T11:22:00Z</dcterms:modified>
</cp:coreProperties>
</file>