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24" w:rsidRPr="0011480F" w:rsidRDefault="007F0224" w:rsidP="0079482A">
      <w:pPr>
        <w:jc w:val="center"/>
        <w:outlineLvl w:val="0"/>
        <w:rPr>
          <w:b/>
        </w:rPr>
      </w:pPr>
      <w:bookmarkStart w:id="0" w:name="OLE_LINK3"/>
      <w:bookmarkStart w:id="1" w:name="OLE_LINK4"/>
      <w:r w:rsidRPr="0011480F">
        <w:rPr>
          <w:b/>
        </w:rPr>
        <w:t>Ministru kabineta rīkojuma projekta</w:t>
      </w:r>
    </w:p>
    <w:p w:rsidR="00E2556C" w:rsidRPr="0011480F" w:rsidRDefault="007F0224" w:rsidP="007F0224">
      <w:pPr>
        <w:jc w:val="center"/>
        <w:rPr>
          <w:b/>
        </w:rPr>
      </w:pPr>
      <w:r w:rsidRPr="0011480F">
        <w:rPr>
          <w:b/>
        </w:rPr>
        <w:t xml:space="preserve">„Par finanšu līdzekļu piešķiršanu no valsts budžeta programmas </w:t>
      </w:r>
    </w:p>
    <w:p w:rsidR="00AD1E34" w:rsidRPr="0011480F" w:rsidRDefault="007F0224" w:rsidP="00E2556C">
      <w:pPr>
        <w:jc w:val="center"/>
        <w:rPr>
          <w:b/>
        </w:rPr>
      </w:pPr>
      <w:r w:rsidRPr="0011480F">
        <w:rPr>
          <w:b/>
        </w:rPr>
        <w:t xml:space="preserve">„Līdzekļi neparedzētiem gadījumiem”” sākotnējās ietekmes novērtējuma </w:t>
      </w:r>
    </w:p>
    <w:p w:rsidR="00AD1E34" w:rsidRPr="0011480F" w:rsidRDefault="007F0224" w:rsidP="005E4B11">
      <w:pPr>
        <w:jc w:val="center"/>
        <w:rPr>
          <w:b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1480F">
          <w:rPr>
            <w:b/>
          </w:rPr>
          <w:t>ziņojums</w:t>
        </w:r>
      </w:smartTag>
      <w:r w:rsidRPr="0011480F">
        <w:rPr>
          <w:b/>
        </w:rPr>
        <w:t xml:space="preserve">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891"/>
        <w:gridCol w:w="5558"/>
      </w:tblGrid>
      <w:tr w:rsidR="00852042" w:rsidRPr="0011480F" w:rsidTr="00A8125C">
        <w:tc>
          <w:tcPr>
            <w:tcW w:w="5000" w:type="pct"/>
            <w:gridSpan w:val="3"/>
            <w:vAlign w:val="center"/>
          </w:tcPr>
          <w:p w:rsidR="00852042" w:rsidRPr="0011480F" w:rsidRDefault="00852042" w:rsidP="006C4607">
            <w:pPr>
              <w:pStyle w:val="naisnod"/>
              <w:spacing w:before="0" w:after="0"/>
            </w:pPr>
            <w:r w:rsidRPr="0011480F">
              <w:t>I</w:t>
            </w:r>
            <w:r w:rsidR="000941C5" w:rsidRPr="0011480F">
              <w:t>.</w:t>
            </w:r>
            <w:r w:rsidRPr="0011480F">
              <w:t xml:space="preserve"> Tiesību akta </w:t>
            </w:r>
            <w:r w:rsidR="002E3FF4" w:rsidRPr="0011480F">
              <w:t xml:space="preserve">projekta </w:t>
            </w:r>
            <w:r w:rsidRPr="0011480F">
              <w:t>izstrādes nepieciešamība</w:t>
            </w:r>
          </w:p>
        </w:tc>
      </w:tr>
      <w:tr w:rsidR="00262E2B" w:rsidRPr="0011480F" w:rsidTr="00A8125C">
        <w:trPr>
          <w:trHeight w:val="415"/>
        </w:trPr>
        <w:tc>
          <w:tcPr>
            <w:tcW w:w="348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t>1.</w:t>
            </w:r>
          </w:p>
        </w:tc>
        <w:tc>
          <w:tcPr>
            <w:tcW w:w="1592" w:type="pct"/>
          </w:tcPr>
          <w:p w:rsidR="00262E2B" w:rsidRPr="0011480F" w:rsidRDefault="002D7F54" w:rsidP="006C4607">
            <w:pPr>
              <w:pStyle w:val="naiskr"/>
              <w:spacing w:before="0" w:after="0"/>
              <w:ind w:hanging="10"/>
            </w:pPr>
            <w:r w:rsidRPr="0011480F">
              <w:t>Pamatojums</w:t>
            </w:r>
          </w:p>
        </w:tc>
        <w:tc>
          <w:tcPr>
            <w:tcW w:w="3060" w:type="pct"/>
          </w:tcPr>
          <w:p w:rsidR="0011480F" w:rsidRPr="0011480F" w:rsidRDefault="00E2556C" w:rsidP="00851D24">
            <w:pPr>
              <w:pStyle w:val="naiskr"/>
              <w:spacing w:before="0" w:after="0"/>
              <w:ind w:left="26" w:firstLine="425"/>
              <w:jc w:val="both"/>
            </w:pPr>
            <w:r w:rsidRPr="0011480F">
              <w:t>Ministru kabineta rīkojuma projekts „Par finanšu līdzekļu piešķiršanu no valsts budžeta programmas „Līdzekļi neparedzētiem gadījumiem”” (turpmāk – rīkojuma projekts)</w:t>
            </w:r>
            <w:r w:rsidR="00065314" w:rsidRPr="0011480F">
              <w:t xml:space="preserve"> </w:t>
            </w:r>
            <w:r w:rsidRPr="0011480F">
              <w:t>izstrādāts saskaņā ar Ministru kabineta 2009.gada 22.decembra noteikumu Nr.1644 „</w:t>
            </w:r>
            <w:r w:rsidRPr="0011480F">
              <w:rPr>
                <w:bCs/>
              </w:rPr>
              <w:t xml:space="preserve">Kārtība, kādā pieprasa un izlieto budžeta programmas </w:t>
            </w:r>
            <w:r w:rsidR="0011480F" w:rsidRPr="0011480F">
              <w:t>„</w:t>
            </w:r>
            <w:r w:rsidRPr="0011480F">
              <w:rPr>
                <w:bCs/>
              </w:rPr>
              <w:t>Līdzekļi neparedzētiem gadījumiem</w:t>
            </w:r>
            <w:r w:rsidR="0011480F" w:rsidRPr="0011480F">
              <w:t>”</w:t>
            </w:r>
            <w:r w:rsidRPr="0011480F">
              <w:rPr>
                <w:bCs/>
              </w:rPr>
              <w:t xml:space="preserve"> līdzekļus</w:t>
            </w:r>
            <w:r w:rsidRPr="0011480F">
              <w:t>” 3.punktu</w:t>
            </w:r>
            <w:r w:rsidR="00F31E28" w:rsidRPr="0011480F">
              <w:t xml:space="preserve"> </w:t>
            </w:r>
            <w:r w:rsidR="001F54A6">
              <w:t xml:space="preserve">un </w:t>
            </w:r>
            <w:r w:rsidR="00A63268" w:rsidRPr="0011480F">
              <w:t>Prokuratūras likuma 51.pantu</w:t>
            </w:r>
            <w:r w:rsidRPr="0011480F">
              <w:t>.</w:t>
            </w:r>
          </w:p>
        </w:tc>
      </w:tr>
      <w:tr w:rsidR="00262E2B" w:rsidRPr="0011480F" w:rsidTr="00A8125C">
        <w:trPr>
          <w:trHeight w:val="472"/>
        </w:trPr>
        <w:tc>
          <w:tcPr>
            <w:tcW w:w="348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t>2.</w:t>
            </w:r>
          </w:p>
        </w:tc>
        <w:tc>
          <w:tcPr>
            <w:tcW w:w="1592" w:type="pct"/>
          </w:tcPr>
          <w:p w:rsidR="00262E2B" w:rsidRPr="0011480F" w:rsidRDefault="00262E2B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11480F">
              <w:t>Pašreizējā situācija</w:t>
            </w:r>
            <w:r w:rsidR="001F5CD6" w:rsidRPr="0011480F">
              <w:t xml:space="preserve"> un problēmas</w:t>
            </w:r>
          </w:p>
        </w:tc>
        <w:tc>
          <w:tcPr>
            <w:tcW w:w="3060" w:type="pct"/>
          </w:tcPr>
          <w:p w:rsidR="00647FBF" w:rsidRPr="0011480F" w:rsidRDefault="001F54A6" w:rsidP="009A1B85">
            <w:pPr>
              <w:ind w:firstLine="451"/>
              <w:jc w:val="both"/>
            </w:pPr>
            <w:r w:rsidRPr="00CF7D97">
              <w:t xml:space="preserve">Latvijas Republikas </w:t>
            </w:r>
            <w:r w:rsidR="00A96C60" w:rsidRPr="00CF7D97">
              <w:t xml:space="preserve">Prokuratūras </w:t>
            </w:r>
            <w:r w:rsidRPr="00CF7D97">
              <w:t>(turpmāk –</w:t>
            </w:r>
            <w:r w:rsidR="002C3A2A" w:rsidRPr="00CF7D97">
              <w:t xml:space="preserve"> P</w:t>
            </w:r>
            <w:r w:rsidRPr="00CF7D97">
              <w:t>rokuratūra)</w:t>
            </w:r>
            <w:r>
              <w:t xml:space="preserve"> </w:t>
            </w:r>
            <w:r w:rsidR="00A96C60" w:rsidRPr="0011480F">
              <w:t>struktūru veido 44 visā Latvijas teritorijā izvietotās prokuratūras struktūrvienības</w:t>
            </w:r>
            <w:r w:rsidR="00647FBF" w:rsidRPr="0011480F">
              <w:t xml:space="preserve"> (Ģenerālprokuratūra, tiesu apgabalu, rajonu, pilsētu un specializētās prokuratūras)</w:t>
            </w:r>
            <w:r w:rsidR="00401A48" w:rsidRPr="0011480F">
              <w:t xml:space="preserve">. </w:t>
            </w:r>
          </w:p>
          <w:p w:rsidR="00621612" w:rsidRPr="0011480F" w:rsidRDefault="000629F3" w:rsidP="00621612">
            <w:pPr>
              <w:ind w:firstLine="451"/>
              <w:jc w:val="both"/>
            </w:pPr>
            <w:r w:rsidRPr="0011480F">
              <w:t>Atsevišķas Prokuratūras struktūrvienības izvietotas ēkās, kuras, pamatojoties uz Valsts nekustamā īpašuma vienotas pārvaldīšanas un apsaimniekošanas koncepcijā noteikto, ar Ministru kabineta 200</w:t>
            </w:r>
            <w:r w:rsidR="00CF7D97">
              <w:t>8.gada 11.decembra rīkojumu Nr.</w:t>
            </w:r>
            <w:r w:rsidRPr="0011480F">
              <w:t>795 „Par Latvijas Republikas Prokuratūras valdījumā esošu valsts nekustamo īpašumu nodošanu Finanšu mi</w:t>
            </w:r>
            <w:r w:rsidR="001F54A6">
              <w:t>nistrijas valdījumā”</w:t>
            </w:r>
            <w:r w:rsidRPr="0011480F">
              <w:t xml:space="preserve"> 2009.gadā nodotas Finanšu ministrijas valdījumā un VAS „Valsts nekustamie īpašumi” pārvaldīšanā.</w:t>
            </w:r>
            <w:r w:rsidR="00753F13" w:rsidRPr="0011480F">
              <w:t xml:space="preserve"> </w:t>
            </w:r>
            <w:r w:rsidRPr="0011480F">
              <w:t>Līdz ar to turpmāko ēku lietošanu Prokuratūras vajadzībām nosaka 2009.gadā starp VAS „Valsts nekustamie īpašumi” un Prokuratūru noslēgtie nekustamo īpašumu apsaimniekošanas un lietošanas līgumi.</w:t>
            </w:r>
          </w:p>
          <w:p w:rsidR="00BF0C5D" w:rsidRPr="0011480F" w:rsidRDefault="00401A48" w:rsidP="00BF0C5D">
            <w:pPr>
              <w:ind w:firstLine="451"/>
              <w:jc w:val="both"/>
            </w:pPr>
            <w:r w:rsidRPr="0011480F">
              <w:t xml:space="preserve">Vairākas prokuratūras struktūrvienību ēkas jau ilgstoši atrodas kritiskā stāvoklī, neatbilst prokuratūrai noteikto funkciju izpildei un tajās </w:t>
            </w:r>
            <w:r w:rsidRPr="0011480F">
              <w:rPr>
                <w:bCs/>
              </w:rPr>
              <w:t>nepieciešams veikt finansiāli apjomīgus remontdarbus</w:t>
            </w:r>
            <w:r w:rsidRPr="0011480F">
              <w:t>.</w:t>
            </w:r>
          </w:p>
          <w:p w:rsidR="005E4116" w:rsidRPr="0011480F" w:rsidRDefault="00BF0C5D" w:rsidP="00851D24">
            <w:pPr>
              <w:pStyle w:val="Nosaukums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>Valsts budžeta līdzekļi prokuratūras apsaimniekošanā esošo ēku remontdarbu veikšanai Prokuratūrai nav piešķirti kopš 2007.gada.</w:t>
            </w:r>
            <w:r w:rsidR="00B32DBB"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2C3A2A">
              <w:rPr>
                <w:rFonts w:ascii="Times New Roman" w:hAnsi="Times New Roman" w:cs="Times New Roman"/>
                <w:sz w:val="24"/>
                <w:szCs w:val="24"/>
              </w:rPr>
              <w:t>finansējuma nepietiekamības dēļ</w:t>
            </w: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 Prokuratūra ik gadu spiesta nepieciešamos ēku remontdarbus atlikt, un ēku stāvoklis ar katru gadu pasliktinās.</w:t>
            </w:r>
            <w:r w:rsidR="005E4116"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EA4" w:rsidRPr="0011480F" w:rsidRDefault="002C3A2A" w:rsidP="00851D24">
            <w:pPr>
              <w:pStyle w:val="Nosaukums"/>
              <w:ind w:firstLine="4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2013.gadā</w:t>
            </w:r>
            <w:r w:rsidR="005E4116"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 saskaņā ar sertificēto būvinženieru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ehniskās apsekošanas atzinumiem</w:t>
            </w:r>
            <w:r w:rsidR="005E4116"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 četrām prokuratūras struktūrvienību ēkām Valmierā, Ogrē, Alūksnē un Dobelē</w:t>
            </w:r>
            <w:r w:rsidR="005E4116" w:rsidRPr="001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116" w:rsidRPr="0011480F">
              <w:rPr>
                <w:rFonts w:ascii="Times New Roman" w:hAnsi="Times New Roman" w:cs="Times New Roman"/>
                <w:sz w:val="24"/>
                <w:szCs w:val="24"/>
              </w:rPr>
              <w:t>neatliekami jāveic jumtu remonti. Pretējā gadījumā, neveicot jumtu remontdarbus, tiek apdraudēts šo ēku tehniskais stāvoklis kopumā, un ēku tālākā ekspluatācija jau tuvākajos gados var kļūt bīstama.</w:t>
            </w:r>
            <w:r w:rsidR="00EB6EA4" w:rsidRPr="0011480F">
              <w:rPr>
                <w:sz w:val="24"/>
                <w:szCs w:val="24"/>
              </w:rPr>
              <w:t xml:space="preserve"> </w:t>
            </w:r>
          </w:p>
          <w:p w:rsidR="00EB6EA4" w:rsidRPr="0011480F" w:rsidRDefault="00EB6EA4" w:rsidP="00851D24">
            <w:pPr>
              <w:pStyle w:val="Nosaukums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>Steidz</w:t>
            </w:r>
            <w:r w:rsidR="00851D24">
              <w:rPr>
                <w:rFonts w:ascii="Times New Roman" w:hAnsi="Times New Roman" w:cs="Times New Roman"/>
                <w:sz w:val="24"/>
                <w:szCs w:val="24"/>
              </w:rPr>
              <w:t>amo jumtu remontdarbu veikšanai</w:t>
            </w: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 saskaņā ar būvuzņēmēju remontdarbu tāmēm Prokuratūrai </w:t>
            </w:r>
            <w:r w:rsidRPr="0011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kopsummā nepieciešami 65 953 lati, t.sk.:</w:t>
            </w:r>
          </w:p>
          <w:p w:rsidR="00EB6EA4" w:rsidRPr="0011480F" w:rsidRDefault="00EB6EA4" w:rsidP="00B4627B">
            <w:pPr>
              <w:pStyle w:val="Nosaukums"/>
              <w:numPr>
                <w:ilvl w:val="0"/>
                <w:numId w:val="24"/>
              </w:numPr>
              <w:ind w:left="26"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>Valmieras rajona prokuratūras ēkai – 21 021 lats;</w:t>
            </w:r>
          </w:p>
          <w:p w:rsidR="00EB6EA4" w:rsidRPr="0011480F" w:rsidRDefault="00EB6EA4" w:rsidP="00EB6EA4">
            <w:pPr>
              <w:pStyle w:val="Nosaukums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>Ogres rajona prokuratūras ēkai – 13 357 lati;</w:t>
            </w:r>
          </w:p>
          <w:p w:rsidR="00EB6EA4" w:rsidRPr="0011480F" w:rsidRDefault="00EB6EA4" w:rsidP="00EB6EA4">
            <w:pPr>
              <w:pStyle w:val="Nosaukums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>Alūksnes rajona prokuratūras ēkai – 15 255</w:t>
            </w:r>
            <w:r w:rsidRPr="0011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 xml:space="preserve">lati; </w:t>
            </w:r>
          </w:p>
          <w:p w:rsidR="00EB6EA4" w:rsidRPr="0011480F" w:rsidRDefault="00EB6EA4" w:rsidP="00EB6EA4">
            <w:pPr>
              <w:pStyle w:val="Nosaukums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0F">
              <w:rPr>
                <w:rFonts w:ascii="Times New Roman" w:hAnsi="Times New Roman" w:cs="Times New Roman"/>
                <w:sz w:val="24"/>
                <w:szCs w:val="24"/>
              </w:rPr>
              <w:t>Dobeles rajona prokuratūras ēkai – 16 320 lati.</w:t>
            </w:r>
          </w:p>
          <w:p w:rsidR="00D16F79" w:rsidRPr="0011480F" w:rsidRDefault="00C921B7" w:rsidP="00287D1D">
            <w:pPr>
              <w:autoSpaceDE w:val="0"/>
              <w:autoSpaceDN w:val="0"/>
              <w:adjustRightInd w:val="0"/>
              <w:ind w:left="26" w:firstLine="425"/>
              <w:jc w:val="both"/>
              <w:rPr>
                <w:b/>
                <w:bCs/>
              </w:rPr>
            </w:pPr>
            <w:r w:rsidRPr="0011480F">
              <w:t xml:space="preserve">Lai </w:t>
            </w:r>
            <w:r w:rsidR="002E6CAB" w:rsidRPr="0011480F">
              <w:t>nodrošinātu 2013</w:t>
            </w:r>
            <w:r w:rsidR="001C3439" w:rsidRPr="0011480F">
              <w:t xml:space="preserve">.gadā </w:t>
            </w:r>
            <w:r w:rsidR="002E6CAB" w:rsidRPr="0011480F">
              <w:t xml:space="preserve">prokuratūras struktūrvienību ēku Valmierā, Ogrē, Alūksnē un Dobelē  jumtu remontdarbus, </w:t>
            </w:r>
            <w:r w:rsidR="00D43F1B" w:rsidRPr="0011480F">
              <w:t>no valsts budžeta programmas „Līdzekļi neparedzētiem gadījumiem” kopā nepieciešami finanšu līdzekļi</w:t>
            </w:r>
            <w:r w:rsidRPr="0011480F">
              <w:t xml:space="preserve"> </w:t>
            </w:r>
            <w:r w:rsidR="002E6CAB" w:rsidRPr="0011480F">
              <w:rPr>
                <w:b/>
              </w:rPr>
              <w:t>65 953</w:t>
            </w:r>
            <w:r w:rsidR="00606E9C" w:rsidRPr="0011480F">
              <w:rPr>
                <w:b/>
              </w:rPr>
              <w:t xml:space="preserve"> lati</w:t>
            </w:r>
            <w:r w:rsidRPr="0011480F">
              <w:t>.</w:t>
            </w:r>
            <w:r w:rsidR="00B77676" w:rsidRPr="0011480F">
              <w:t xml:space="preserve"> </w:t>
            </w:r>
          </w:p>
          <w:p w:rsidR="00B47C62" w:rsidRPr="0011480F" w:rsidRDefault="00DF2C9F" w:rsidP="00851D24">
            <w:pPr>
              <w:autoSpaceDE w:val="0"/>
              <w:autoSpaceDN w:val="0"/>
              <w:adjustRightInd w:val="0"/>
              <w:ind w:left="26" w:firstLine="451"/>
              <w:jc w:val="both"/>
              <w:rPr>
                <w:rFonts w:ascii="TimesNewRomanPSMT" w:hAnsi="TimesNewRomanPSMT" w:cs="TimesNewRomanPSMT"/>
              </w:rPr>
            </w:pPr>
            <w:r w:rsidRPr="0011480F">
              <w:t xml:space="preserve">Ievērojot minēto, </w:t>
            </w:r>
            <w:r w:rsidR="00F83E34" w:rsidRPr="0011480F">
              <w:t>Prokuratūra</w:t>
            </w:r>
            <w:r w:rsidR="00805EDB" w:rsidRPr="0011480F">
              <w:t xml:space="preserve">, </w:t>
            </w:r>
            <w:r w:rsidR="007F0224" w:rsidRPr="0011480F">
              <w:t>pamatojoties uz Ministru kabineta 2009</w:t>
            </w:r>
            <w:r w:rsidR="005D6031" w:rsidRPr="0011480F">
              <w:t>.gada 22.decembra noteikumu Nr.</w:t>
            </w:r>
            <w:r w:rsidR="007F0224" w:rsidRPr="0011480F">
              <w:t xml:space="preserve">1644 </w:t>
            </w:r>
            <w:r w:rsidR="00851D24" w:rsidRPr="0011480F">
              <w:t>„</w:t>
            </w:r>
            <w:r w:rsidR="007F0224" w:rsidRPr="0011480F">
              <w:t>Kārtība, kādā pieprasa un izlieto budžeta programmas „Līdzekļi neparedzētiem gadījumiem” līdzekļus” 3.punktu</w:t>
            </w:r>
            <w:r w:rsidRPr="0011480F">
              <w:t xml:space="preserve">, </w:t>
            </w:r>
            <w:r w:rsidR="007F0224" w:rsidRPr="0011480F">
              <w:t>ir izstrādājusi Ministru kabineta rīkojuma projektu „Par finanšu līdzekļu piešķiršanu no valsts budžeta programmas „Līdzekļi neparedzētiem gadījumiem</w:t>
            </w:r>
            <w:r w:rsidR="0058310B" w:rsidRPr="0011480F">
              <w:t>””</w:t>
            </w:r>
            <w:r w:rsidR="00851D24">
              <w:t>.</w:t>
            </w:r>
          </w:p>
        </w:tc>
      </w:tr>
      <w:tr w:rsidR="00262E2B" w:rsidRPr="0011480F" w:rsidTr="00A8125C">
        <w:trPr>
          <w:trHeight w:val="448"/>
        </w:trPr>
        <w:tc>
          <w:tcPr>
            <w:tcW w:w="348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lastRenderedPageBreak/>
              <w:t>3.</w:t>
            </w:r>
          </w:p>
        </w:tc>
        <w:tc>
          <w:tcPr>
            <w:tcW w:w="1592" w:type="pct"/>
          </w:tcPr>
          <w:p w:rsidR="00262E2B" w:rsidRPr="0011480F" w:rsidRDefault="00420870" w:rsidP="006C4607">
            <w:pPr>
              <w:pStyle w:val="naiskr"/>
              <w:spacing w:before="0" w:after="0"/>
            </w:pPr>
            <w:r w:rsidRPr="0011480F">
              <w:t>S</w:t>
            </w:r>
            <w:r w:rsidR="000B69CF" w:rsidRPr="0011480F">
              <w:t xml:space="preserve">aistītie </w:t>
            </w:r>
            <w:r w:rsidR="001A6AE4" w:rsidRPr="0011480F">
              <w:t>politikas ietekmes novērtējumi</w:t>
            </w:r>
            <w:r w:rsidR="00CB0247" w:rsidRPr="0011480F">
              <w:t xml:space="preserve"> un</w:t>
            </w:r>
            <w:r w:rsidR="001A6AE4" w:rsidRPr="0011480F">
              <w:t xml:space="preserve"> </w:t>
            </w:r>
            <w:r w:rsidR="000B69CF" w:rsidRPr="0011480F">
              <w:t>pētījumi</w:t>
            </w:r>
          </w:p>
        </w:tc>
        <w:tc>
          <w:tcPr>
            <w:tcW w:w="3060" w:type="pct"/>
          </w:tcPr>
          <w:p w:rsidR="00D20FF4" w:rsidRPr="0011480F" w:rsidRDefault="00BA6308" w:rsidP="00B4627B">
            <w:pPr>
              <w:pStyle w:val="Vresteksts"/>
              <w:ind w:left="168" w:right="145" w:firstLine="283"/>
              <w:rPr>
                <w:sz w:val="24"/>
                <w:szCs w:val="24"/>
              </w:rPr>
            </w:pPr>
            <w:r w:rsidRPr="0011480F">
              <w:rPr>
                <w:sz w:val="24"/>
                <w:szCs w:val="24"/>
              </w:rPr>
              <w:t>Rīkojuma projekts šo jomu neskar</w:t>
            </w:r>
            <w:r w:rsidR="00AE0726">
              <w:rPr>
                <w:sz w:val="24"/>
                <w:szCs w:val="24"/>
              </w:rPr>
              <w:t>.</w:t>
            </w:r>
          </w:p>
        </w:tc>
      </w:tr>
      <w:tr w:rsidR="00262E2B" w:rsidRPr="0011480F" w:rsidTr="00A8125C">
        <w:trPr>
          <w:trHeight w:val="384"/>
        </w:trPr>
        <w:tc>
          <w:tcPr>
            <w:tcW w:w="348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t>4.</w:t>
            </w:r>
          </w:p>
        </w:tc>
        <w:tc>
          <w:tcPr>
            <w:tcW w:w="1592" w:type="pct"/>
          </w:tcPr>
          <w:p w:rsidR="00262E2B" w:rsidRPr="0011480F" w:rsidRDefault="000C790C" w:rsidP="006C4607">
            <w:pPr>
              <w:pStyle w:val="naiskr"/>
              <w:spacing w:before="0" w:after="0"/>
            </w:pPr>
            <w:r w:rsidRPr="0011480F">
              <w:t>Tiesiskā r</w:t>
            </w:r>
            <w:r w:rsidR="00400032" w:rsidRPr="0011480F">
              <w:t xml:space="preserve">egulējuma </w:t>
            </w:r>
            <w:r w:rsidR="00262E2B" w:rsidRPr="0011480F">
              <w:t>mērķis un būtība</w:t>
            </w:r>
          </w:p>
        </w:tc>
        <w:tc>
          <w:tcPr>
            <w:tcW w:w="3060" w:type="pct"/>
          </w:tcPr>
          <w:p w:rsidR="003A24F8" w:rsidRPr="0011480F" w:rsidRDefault="00DF2C9F" w:rsidP="00851D24">
            <w:pPr>
              <w:pStyle w:val="Pamatteksts"/>
              <w:tabs>
                <w:tab w:val="left" w:pos="0"/>
                <w:tab w:val="left" w:pos="851"/>
              </w:tabs>
              <w:spacing w:after="0"/>
              <w:ind w:firstLine="451"/>
              <w:jc w:val="both"/>
            </w:pPr>
            <w:r w:rsidRPr="0011480F">
              <w:rPr>
                <w:color w:val="000000"/>
              </w:rPr>
              <w:t>R</w:t>
            </w:r>
            <w:r w:rsidR="00D126EF" w:rsidRPr="0011480F">
              <w:rPr>
                <w:color w:val="000000"/>
              </w:rPr>
              <w:t xml:space="preserve">īkojuma projekts </w:t>
            </w:r>
            <w:r w:rsidR="00BE707A" w:rsidRPr="0011480F">
              <w:t>paredz</w:t>
            </w:r>
            <w:r w:rsidR="00D126EF" w:rsidRPr="0011480F">
              <w:t xml:space="preserve"> </w:t>
            </w:r>
            <w:r w:rsidR="00D126EF" w:rsidRPr="0011480F">
              <w:rPr>
                <w:color w:val="000000"/>
              </w:rPr>
              <w:t>uzdevumu</w:t>
            </w:r>
            <w:r w:rsidR="00D126EF" w:rsidRPr="0011480F">
              <w:t xml:space="preserve"> </w:t>
            </w:r>
            <w:r w:rsidR="002C3218" w:rsidRPr="0011480F">
              <w:rPr>
                <w:color w:val="000000"/>
              </w:rPr>
              <w:t xml:space="preserve">Finanšu ministrijai no valsts budžeta programmas 02.00.00 </w:t>
            </w:r>
            <w:r w:rsidR="00851D24" w:rsidRPr="0011480F">
              <w:t>„</w:t>
            </w:r>
            <w:r w:rsidR="002C3218" w:rsidRPr="0011480F">
              <w:rPr>
                <w:color w:val="000000"/>
              </w:rPr>
              <w:t>Līdzekļi neparedzētiem gadījumie</w:t>
            </w:r>
            <w:r w:rsidR="002B4998" w:rsidRPr="0011480F">
              <w:rPr>
                <w:color w:val="000000"/>
              </w:rPr>
              <w:t>m</w:t>
            </w:r>
            <w:r w:rsidR="00851D24">
              <w:rPr>
                <w:color w:val="000000"/>
              </w:rPr>
              <w:t>”</w:t>
            </w:r>
            <w:r w:rsidR="002B4998" w:rsidRPr="0011480F">
              <w:rPr>
                <w:color w:val="000000"/>
              </w:rPr>
              <w:t xml:space="preserve"> piešķirt </w:t>
            </w:r>
            <w:r w:rsidR="004211AA" w:rsidRPr="0011480F">
              <w:rPr>
                <w:color w:val="000000"/>
              </w:rPr>
              <w:t xml:space="preserve">Prokuratūrai </w:t>
            </w:r>
            <w:r w:rsidR="003A24F8" w:rsidRPr="0011480F">
              <w:t>65 953 latu</w:t>
            </w:r>
            <w:r w:rsidR="00A83BF5" w:rsidRPr="0011480F">
              <w:t xml:space="preserve">s, lai nodrošinātu </w:t>
            </w:r>
            <w:r w:rsidR="003A24F8" w:rsidRPr="0011480F">
              <w:t>prokuratūras struktūrvienību ēku nea</w:t>
            </w:r>
            <w:r w:rsidR="00A83BF5" w:rsidRPr="0011480F">
              <w:t>tliekamo jumtu remontu veikšanu</w:t>
            </w:r>
            <w:r w:rsidR="003A24F8" w:rsidRPr="0011480F">
              <w:t>, tai skaitā:</w:t>
            </w:r>
          </w:p>
          <w:p w:rsidR="003A24F8" w:rsidRPr="0011480F" w:rsidRDefault="003E15BA" w:rsidP="003E15BA">
            <w:pPr>
              <w:pStyle w:val="Pamatteksts"/>
              <w:tabs>
                <w:tab w:val="left" w:pos="0"/>
                <w:tab w:val="left" w:pos="851"/>
              </w:tabs>
              <w:spacing w:after="0"/>
              <w:contextualSpacing/>
              <w:jc w:val="both"/>
            </w:pPr>
            <w:r>
              <w:t>1. </w:t>
            </w:r>
            <w:r w:rsidR="003A24F8" w:rsidRPr="0011480F">
              <w:t>Valmieras rajona prokuratūras ēkai – 21 021 latu;</w:t>
            </w:r>
          </w:p>
          <w:p w:rsidR="003A24F8" w:rsidRPr="0011480F" w:rsidRDefault="003E15BA" w:rsidP="003E15BA">
            <w:pPr>
              <w:pStyle w:val="Pamatteksts"/>
              <w:tabs>
                <w:tab w:val="left" w:pos="0"/>
                <w:tab w:val="left" w:pos="851"/>
              </w:tabs>
              <w:spacing w:after="0"/>
              <w:contextualSpacing/>
              <w:jc w:val="both"/>
            </w:pPr>
            <w:r>
              <w:t>2. </w:t>
            </w:r>
            <w:r w:rsidR="003A24F8" w:rsidRPr="0011480F">
              <w:t>Ogres rajona prokuratūras ēkai –</w:t>
            </w:r>
            <w:r>
              <w:t xml:space="preserve"> </w:t>
            </w:r>
            <w:r w:rsidR="003A24F8" w:rsidRPr="0011480F">
              <w:t>13 357 latus;</w:t>
            </w:r>
          </w:p>
          <w:p w:rsidR="003A24F8" w:rsidRPr="0011480F" w:rsidRDefault="003E15BA" w:rsidP="003E15BA">
            <w:pPr>
              <w:pStyle w:val="Pamatteksts"/>
              <w:tabs>
                <w:tab w:val="left" w:pos="0"/>
                <w:tab w:val="left" w:pos="851"/>
              </w:tabs>
              <w:spacing w:after="0"/>
              <w:contextualSpacing/>
              <w:jc w:val="both"/>
            </w:pPr>
            <w:r>
              <w:t>3. </w:t>
            </w:r>
            <w:r w:rsidR="003A24F8" w:rsidRPr="0011480F">
              <w:t>Alūksnes rajona prokuratūras ēkai – 15 255 latus;</w:t>
            </w:r>
          </w:p>
          <w:p w:rsidR="00262E2B" w:rsidRPr="0011480F" w:rsidRDefault="003E15BA" w:rsidP="003E15BA">
            <w:pPr>
              <w:pStyle w:val="Pamatteksts"/>
              <w:tabs>
                <w:tab w:val="left" w:pos="0"/>
                <w:tab w:val="left" w:pos="851"/>
              </w:tabs>
              <w:spacing w:after="0"/>
              <w:contextualSpacing/>
              <w:jc w:val="both"/>
              <w:rPr>
                <w:color w:val="000000"/>
              </w:rPr>
            </w:pPr>
            <w:r>
              <w:t>4. </w:t>
            </w:r>
            <w:r w:rsidR="003A24F8" w:rsidRPr="0011480F">
              <w:t>Dobeles rajona prokuratūras ēkai – 16 320 latus.</w:t>
            </w:r>
          </w:p>
        </w:tc>
      </w:tr>
      <w:tr w:rsidR="00262E2B" w:rsidRPr="0011480F" w:rsidTr="00A8125C">
        <w:trPr>
          <w:trHeight w:val="476"/>
        </w:trPr>
        <w:tc>
          <w:tcPr>
            <w:tcW w:w="348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t>5.</w:t>
            </w:r>
          </w:p>
        </w:tc>
        <w:tc>
          <w:tcPr>
            <w:tcW w:w="1592" w:type="pct"/>
          </w:tcPr>
          <w:p w:rsidR="00262E2B" w:rsidRPr="0011480F" w:rsidRDefault="001A4066" w:rsidP="006C4607">
            <w:pPr>
              <w:pStyle w:val="naiskr"/>
              <w:spacing w:before="0" w:after="0"/>
            </w:pPr>
            <w:r w:rsidRPr="0011480F">
              <w:t>Projekta i</w:t>
            </w:r>
            <w:r w:rsidR="00262E2B" w:rsidRPr="0011480F">
              <w:t>zstrād</w:t>
            </w:r>
            <w:r w:rsidR="00420870" w:rsidRPr="0011480F">
              <w:t xml:space="preserve">ē </w:t>
            </w:r>
            <w:r w:rsidR="00262E2B" w:rsidRPr="0011480F">
              <w:t>iesaistītās institūcijas</w:t>
            </w:r>
          </w:p>
        </w:tc>
        <w:tc>
          <w:tcPr>
            <w:tcW w:w="3060" w:type="pct"/>
          </w:tcPr>
          <w:p w:rsidR="00262E2B" w:rsidRPr="0011480F" w:rsidRDefault="00851D24" w:rsidP="00B4627B">
            <w:pPr>
              <w:pStyle w:val="naiskr"/>
              <w:spacing w:before="0" w:after="0"/>
              <w:ind w:left="168" w:right="145" w:firstLine="283"/>
            </w:pPr>
            <w:r>
              <w:t>P</w:t>
            </w:r>
            <w:r w:rsidR="00BB66FA" w:rsidRPr="0011480F">
              <w:t>rokuratūra</w:t>
            </w:r>
          </w:p>
        </w:tc>
      </w:tr>
      <w:tr w:rsidR="00262E2B" w:rsidRPr="0011480F" w:rsidTr="00851D24">
        <w:trPr>
          <w:trHeight w:val="861"/>
        </w:trPr>
        <w:tc>
          <w:tcPr>
            <w:tcW w:w="348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t>6.</w:t>
            </w:r>
          </w:p>
        </w:tc>
        <w:tc>
          <w:tcPr>
            <w:tcW w:w="1592" w:type="pct"/>
          </w:tcPr>
          <w:p w:rsidR="00262E2B" w:rsidRPr="0011480F" w:rsidRDefault="00BB7C94" w:rsidP="006C4607">
            <w:pPr>
              <w:pStyle w:val="naiskr"/>
              <w:spacing w:before="0" w:after="0"/>
              <w:rPr>
                <w:i/>
              </w:rPr>
            </w:pPr>
            <w:r w:rsidRPr="0011480F">
              <w:t xml:space="preserve">Iemesli, kādēļ netika nodrošināta </w:t>
            </w:r>
            <w:r w:rsidR="00262E2B" w:rsidRPr="0011480F">
              <w:t xml:space="preserve">sabiedrības </w:t>
            </w:r>
            <w:r w:rsidRPr="0011480F">
              <w:t>līdzdalība</w:t>
            </w:r>
          </w:p>
        </w:tc>
        <w:tc>
          <w:tcPr>
            <w:tcW w:w="3060" w:type="pct"/>
          </w:tcPr>
          <w:p w:rsidR="006F28C9" w:rsidRPr="0011480F" w:rsidRDefault="00851D24" w:rsidP="00851D24">
            <w:pPr>
              <w:pStyle w:val="Vresteksts"/>
              <w:ind w:left="26" w:firstLine="425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Sabiedrības līdzdalība netika nodrošināta, jo rīkojuma projekts neskar sabiedrības intereses</w:t>
            </w:r>
            <w:r w:rsidR="00AE0726">
              <w:rPr>
                <w:sz w:val="24"/>
                <w:szCs w:val="24"/>
              </w:rPr>
              <w:t>.</w:t>
            </w:r>
          </w:p>
        </w:tc>
      </w:tr>
      <w:tr w:rsidR="00262E2B" w:rsidRPr="0011480F" w:rsidTr="00A8125C">
        <w:tc>
          <w:tcPr>
            <w:tcW w:w="348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t>7.</w:t>
            </w:r>
          </w:p>
        </w:tc>
        <w:tc>
          <w:tcPr>
            <w:tcW w:w="1592" w:type="pct"/>
          </w:tcPr>
          <w:p w:rsidR="00262E2B" w:rsidRPr="0011480F" w:rsidRDefault="00262E2B" w:rsidP="006C4607">
            <w:pPr>
              <w:pStyle w:val="naiskr"/>
              <w:spacing w:before="0" w:after="0"/>
            </w:pPr>
            <w:r w:rsidRPr="0011480F">
              <w:t>Cita informācija</w:t>
            </w:r>
          </w:p>
        </w:tc>
        <w:tc>
          <w:tcPr>
            <w:tcW w:w="3060" w:type="pct"/>
          </w:tcPr>
          <w:p w:rsidR="00262E2B" w:rsidRPr="0011480F" w:rsidRDefault="00262E2B" w:rsidP="00287D1D">
            <w:pPr>
              <w:pStyle w:val="naiskr"/>
              <w:spacing w:before="0" w:after="0"/>
              <w:ind w:left="168" w:right="145"/>
            </w:pPr>
            <w:r w:rsidRPr="0011480F">
              <w:t>Nav</w:t>
            </w:r>
          </w:p>
        </w:tc>
      </w:tr>
    </w:tbl>
    <w:p w:rsidR="00AD1E34" w:rsidRPr="0011480F" w:rsidRDefault="00AD1E34" w:rsidP="00EA2A60">
      <w:pPr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1196"/>
        <w:gridCol w:w="1306"/>
        <w:gridCol w:w="1306"/>
        <w:gridCol w:w="1306"/>
        <w:gridCol w:w="1302"/>
      </w:tblGrid>
      <w:tr w:rsidR="00124F12" w:rsidRPr="0011480F" w:rsidTr="00CC4263">
        <w:trPr>
          <w:trHeight w:val="652"/>
          <w:jc w:val="center"/>
        </w:trPr>
        <w:tc>
          <w:tcPr>
            <w:tcW w:w="5000" w:type="pct"/>
            <w:gridSpan w:val="6"/>
          </w:tcPr>
          <w:p w:rsidR="00124F12" w:rsidRPr="0011480F" w:rsidRDefault="00124F12" w:rsidP="006C4607">
            <w:pPr>
              <w:pStyle w:val="naisnod"/>
              <w:spacing w:before="0" w:after="0"/>
              <w:rPr>
                <w:i/>
              </w:rPr>
            </w:pPr>
            <w:r w:rsidRPr="0011480F">
              <w:br w:type="page"/>
              <w:t>III</w:t>
            </w:r>
            <w:r w:rsidR="000941C5" w:rsidRPr="0011480F">
              <w:t>.</w:t>
            </w:r>
            <w:r w:rsidRPr="0011480F">
              <w:t xml:space="preserve"> Tiesību akta projekta ietekme uz valsts budžetu un pašvaldību budžetiem</w:t>
            </w:r>
          </w:p>
        </w:tc>
      </w:tr>
      <w:tr w:rsidR="00124F12" w:rsidRPr="0011480F" w:rsidTr="00CC4263">
        <w:trPr>
          <w:jc w:val="center"/>
        </w:trPr>
        <w:tc>
          <w:tcPr>
            <w:tcW w:w="1546" w:type="pct"/>
            <w:vMerge w:val="restart"/>
            <w:vAlign w:val="center"/>
          </w:tcPr>
          <w:p w:rsidR="00124F12" w:rsidRPr="0011480F" w:rsidRDefault="00124F12" w:rsidP="0034795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Rādītāji</w:t>
            </w:r>
          </w:p>
        </w:tc>
        <w:tc>
          <w:tcPr>
            <w:tcW w:w="1347" w:type="pct"/>
            <w:gridSpan w:val="2"/>
            <w:vMerge w:val="restart"/>
            <w:vAlign w:val="center"/>
          </w:tcPr>
          <w:p w:rsidR="00124F12" w:rsidRPr="0011480F" w:rsidRDefault="008E117D" w:rsidP="006C460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2013</w:t>
            </w:r>
            <w:r w:rsidR="00797BEF" w:rsidRPr="0011480F">
              <w:rPr>
                <w:b/>
              </w:rPr>
              <w:t>.</w:t>
            </w:r>
            <w:r w:rsidR="00124F12" w:rsidRPr="0011480F">
              <w:rPr>
                <w:b/>
              </w:rPr>
              <w:t>gads</w:t>
            </w:r>
          </w:p>
        </w:tc>
        <w:tc>
          <w:tcPr>
            <w:tcW w:w="2108" w:type="pct"/>
            <w:gridSpan w:val="3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t>Turpmākie trīs gadi</w:t>
            </w:r>
            <w:r w:rsidR="009E12D7" w:rsidRPr="0011480F">
              <w:t xml:space="preserve">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="009E12D7" w:rsidRPr="0011480F">
                <w:t>. latu</w:t>
              </w:r>
            </w:smartTag>
            <w:r w:rsidR="009E12D7" w:rsidRPr="0011480F">
              <w:t>)</w:t>
            </w:r>
          </w:p>
        </w:tc>
      </w:tr>
      <w:tr w:rsidR="00124F12" w:rsidRPr="0011480F" w:rsidTr="00CC4263">
        <w:trPr>
          <w:jc w:val="center"/>
        </w:trPr>
        <w:tc>
          <w:tcPr>
            <w:tcW w:w="1546" w:type="pct"/>
            <w:vMerge/>
            <w:vAlign w:val="center"/>
          </w:tcPr>
          <w:p w:rsidR="00124F12" w:rsidRPr="0011480F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47" w:type="pct"/>
            <w:gridSpan w:val="2"/>
            <w:vMerge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03" w:type="pct"/>
            <w:vAlign w:val="center"/>
          </w:tcPr>
          <w:p w:rsidR="00124F12" w:rsidRPr="0011480F" w:rsidRDefault="00797BEF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rPr>
                <w:b/>
                <w:bCs/>
              </w:rPr>
              <w:t>20</w:t>
            </w:r>
            <w:r w:rsidR="00124F12" w:rsidRPr="0011480F">
              <w:rPr>
                <w:b/>
                <w:bCs/>
              </w:rPr>
              <w:t>1</w:t>
            </w:r>
            <w:r w:rsidR="008E117D" w:rsidRPr="0011480F">
              <w:rPr>
                <w:b/>
                <w:bCs/>
              </w:rPr>
              <w:t>4</w:t>
            </w:r>
            <w:r w:rsidRPr="0011480F">
              <w:rPr>
                <w:b/>
                <w:bCs/>
              </w:rPr>
              <w:t>.g</w:t>
            </w:r>
            <w:r w:rsidR="003E15BA">
              <w:rPr>
                <w:b/>
                <w:bCs/>
              </w:rPr>
              <w:t>ads</w:t>
            </w:r>
          </w:p>
        </w:tc>
        <w:tc>
          <w:tcPr>
            <w:tcW w:w="703" w:type="pct"/>
            <w:vAlign w:val="center"/>
          </w:tcPr>
          <w:p w:rsidR="00124F12" w:rsidRPr="0011480F" w:rsidRDefault="008E117D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rPr>
                <w:b/>
                <w:bCs/>
              </w:rPr>
              <w:t>2015</w:t>
            </w:r>
            <w:r w:rsidR="00797BEF" w:rsidRPr="0011480F">
              <w:rPr>
                <w:b/>
                <w:bCs/>
              </w:rPr>
              <w:t>.g</w:t>
            </w:r>
            <w:r w:rsidR="003E15BA">
              <w:rPr>
                <w:b/>
                <w:bCs/>
              </w:rPr>
              <w:t>ads</w:t>
            </w:r>
          </w:p>
        </w:tc>
        <w:tc>
          <w:tcPr>
            <w:tcW w:w="703" w:type="pct"/>
            <w:vAlign w:val="center"/>
          </w:tcPr>
          <w:p w:rsidR="00124F12" w:rsidRPr="0011480F" w:rsidRDefault="008E117D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rPr>
                <w:b/>
                <w:bCs/>
              </w:rPr>
              <w:t>2016</w:t>
            </w:r>
            <w:r w:rsidR="00797BEF" w:rsidRPr="0011480F">
              <w:rPr>
                <w:b/>
                <w:bCs/>
              </w:rPr>
              <w:t>.g</w:t>
            </w:r>
            <w:r w:rsidR="003E15BA">
              <w:rPr>
                <w:b/>
                <w:bCs/>
              </w:rPr>
              <w:t>ads</w:t>
            </w:r>
          </w:p>
        </w:tc>
      </w:tr>
      <w:tr w:rsidR="00124F12" w:rsidRPr="0011480F" w:rsidTr="00CC4263">
        <w:trPr>
          <w:jc w:val="center"/>
        </w:trPr>
        <w:tc>
          <w:tcPr>
            <w:tcW w:w="1546" w:type="pct"/>
            <w:vMerge/>
            <w:vAlign w:val="center"/>
          </w:tcPr>
          <w:p w:rsidR="00124F12" w:rsidRPr="0011480F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t>Izmaiņas kārtējā gadā</w:t>
            </w:r>
            <w:r w:rsidR="009E12D7" w:rsidRPr="0011480F">
              <w:t>,</w:t>
            </w:r>
            <w:r w:rsidRPr="0011480F">
              <w:t xml:space="preserve"> salīdzinot ar budžetu kārtējam gadam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t>Izmaiņas</w:t>
            </w:r>
            <w:r w:rsidR="00182C18" w:rsidRPr="0011480F">
              <w:t>,</w:t>
            </w:r>
            <w:r w:rsidR="00751353" w:rsidRPr="0011480F">
              <w:t xml:space="preserve"> salīdzinot ar kārtējo (2013.</w:t>
            </w:r>
            <w:r w:rsidRPr="0011480F">
              <w:t>) gadu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t>Izmaiņas</w:t>
            </w:r>
            <w:r w:rsidR="00182C18" w:rsidRPr="0011480F">
              <w:t>,</w:t>
            </w:r>
            <w:r w:rsidRPr="0011480F">
              <w:t xml:space="preserve"> salīdzinot </w:t>
            </w:r>
            <w:r w:rsidR="00751353" w:rsidRPr="0011480F">
              <w:t>ar kārtējo (2013.</w:t>
            </w:r>
            <w:r w:rsidRPr="0011480F">
              <w:t>) gadu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797BEF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11480F">
              <w:t>Izmaiņas</w:t>
            </w:r>
            <w:r w:rsidR="00182C18" w:rsidRPr="0011480F">
              <w:t>,</w:t>
            </w:r>
            <w:r w:rsidRPr="0011480F">
              <w:t xml:space="preserve"> salīdzinot ar kārtējo (</w:t>
            </w:r>
            <w:r w:rsidR="00751353" w:rsidRPr="0011480F">
              <w:t>2013.</w:t>
            </w:r>
            <w:r w:rsidRPr="0011480F">
              <w:t>) gadu</w:t>
            </w:r>
          </w:p>
        </w:tc>
      </w:tr>
      <w:tr w:rsidR="00124F12" w:rsidRPr="0011480F" w:rsidTr="00CC4263">
        <w:trPr>
          <w:jc w:val="center"/>
        </w:trPr>
        <w:tc>
          <w:tcPr>
            <w:tcW w:w="1546" w:type="pct"/>
            <w:vAlign w:val="center"/>
          </w:tcPr>
          <w:p w:rsidR="00124F12" w:rsidRPr="0011480F" w:rsidRDefault="00124F12" w:rsidP="0034795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11480F">
              <w:rPr>
                <w:bCs/>
              </w:rPr>
              <w:t>1</w:t>
            </w:r>
          </w:p>
        </w:tc>
        <w:tc>
          <w:tcPr>
            <w:tcW w:w="644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11480F">
              <w:rPr>
                <w:bCs/>
              </w:rPr>
              <w:t>2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11480F">
              <w:rPr>
                <w:bCs/>
              </w:rPr>
              <w:t>3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11480F">
              <w:rPr>
                <w:bCs/>
              </w:rPr>
              <w:t>4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11480F">
              <w:rPr>
                <w:bCs/>
              </w:rPr>
              <w:t>5</w:t>
            </w:r>
          </w:p>
        </w:tc>
        <w:tc>
          <w:tcPr>
            <w:tcW w:w="703" w:type="pct"/>
            <w:vAlign w:val="center"/>
          </w:tcPr>
          <w:p w:rsidR="00124F12" w:rsidRPr="0011480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11480F">
              <w:rPr>
                <w:bCs/>
              </w:rPr>
              <w:t>6</w:t>
            </w:r>
          </w:p>
        </w:tc>
      </w:tr>
      <w:tr w:rsidR="00124F12" w:rsidRPr="0011480F" w:rsidTr="00CC4263">
        <w:trPr>
          <w:jc w:val="center"/>
        </w:trPr>
        <w:tc>
          <w:tcPr>
            <w:tcW w:w="1546" w:type="pct"/>
          </w:tcPr>
          <w:p w:rsidR="00124F12" w:rsidRPr="0011480F" w:rsidRDefault="00124F12" w:rsidP="0034795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11480F">
              <w:t>1. Budžeta ieņēmumi:</w:t>
            </w:r>
          </w:p>
        </w:tc>
        <w:tc>
          <w:tcPr>
            <w:tcW w:w="644" w:type="pct"/>
          </w:tcPr>
          <w:p w:rsidR="00124F12" w:rsidRPr="0011480F" w:rsidRDefault="00C50194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124F12" w:rsidRPr="0011480F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124F12" w:rsidRPr="0011480F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124F12" w:rsidRPr="0011480F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124F12" w:rsidRPr="0011480F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11480F">
              <w:lastRenderedPageBreak/>
              <w:t>1.1. valsts pamatbudžets, tai sk</w:t>
            </w:r>
            <w:r w:rsidR="00E9693C" w:rsidRPr="0011480F">
              <w:t>aitā ieņēmumi no maksas pakalpo</w:t>
            </w:r>
            <w:r w:rsidRPr="0011480F">
              <w:t>jumiem un citi pašu ieņēmumi</w:t>
            </w:r>
          </w:p>
        </w:tc>
        <w:tc>
          <w:tcPr>
            <w:tcW w:w="644" w:type="pct"/>
          </w:tcPr>
          <w:p w:rsidR="005A53B8" w:rsidRPr="0011480F" w:rsidRDefault="005A53B8" w:rsidP="005A53B8">
            <w:pPr>
              <w:pStyle w:val="naisf"/>
              <w:spacing w:before="0" w:after="0"/>
              <w:ind w:firstLine="0"/>
              <w:jc w:val="center"/>
            </w:pPr>
          </w:p>
          <w:p w:rsidR="0025780E" w:rsidRPr="0011480F" w:rsidRDefault="0025780E" w:rsidP="005A53B8">
            <w:pPr>
              <w:pStyle w:val="naisf"/>
              <w:spacing w:before="0" w:after="0"/>
              <w:ind w:firstLine="0"/>
              <w:jc w:val="center"/>
            </w:pPr>
          </w:p>
          <w:p w:rsidR="005A53B8" w:rsidRPr="0011480F" w:rsidRDefault="00C50194" w:rsidP="005A53B8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6C4607">
            <w:pPr>
              <w:pStyle w:val="naisf"/>
              <w:spacing w:before="0" w:after="0"/>
              <w:ind w:firstLine="0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25780E" w:rsidRPr="0011480F" w:rsidRDefault="0025780E" w:rsidP="005A53B8">
            <w:pPr>
              <w:pStyle w:val="naisf"/>
              <w:spacing w:before="0" w:after="0"/>
              <w:ind w:firstLine="0"/>
              <w:jc w:val="center"/>
            </w:pPr>
          </w:p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5A53B8">
            <w:pPr>
              <w:pStyle w:val="naisf"/>
              <w:spacing w:before="0" w:after="0"/>
              <w:ind w:firstLine="0"/>
              <w:jc w:val="center"/>
            </w:pPr>
          </w:p>
          <w:p w:rsidR="00CA24B4" w:rsidRPr="0011480F" w:rsidRDefault="00CA24B4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496DEA" w:rsidRPr="0011480F" w:rsidRDefault="00496DEA" w:rsidP="005A53B8">
            <w:pPr>
              <w:pStyle w:val="naisf"/>
              <w:spacing w:before="0" w:after="0"/>
              <w:ind w:firstLine="0"/>
              <w:jc w:val="center"/>
            </w:pPr>
          </w:p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5A53B8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703" w:type="pct"/>
            <w:vAlign w:val="center"/>
          </w:tcPr>
          <w:p w:rsidR="00496DEA" w:rsidRPr="0011480F" w:rsidRDefault="00496DEA" w:rsidP="0025780E">
            <w:pPr>
              <w:pStyle w:val="naisf"/>
              <w:spacing w:before="0" w:after="0"/>
              <w:ind w:firstLine="0"/>
              <w:jc w:val="center"/>
            </w:pPr>
          </w:p>
          <w:p w:rsidR="00CA24B4" w:rsidRPr="0011480F" w:rsidRDefault="00DD2BEA" w:rsidP="0025780E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5A53B8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703" w:type="pct"/>
            <w:vAlign w:val="center"/>
          </w:tcPr>
          <w:p w:rsidR="00CA24B4" w:rsidRPr="0011480F" w:rsidRDefault="00CA24B4" w:rsidP="005A53B8">
            <w:pPr>
              <w:pStyle w:val="naisf"/>
              <w:spacing w:before="0" w:after="0"/>
              <w:ind w:firstLine="0"/>
              <w:jc w:val="center"/>
            </w:pPr>
          </w:p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5A53B8">
            <w:pPr>
              <w:pStyle w:val="naisf"/>
              <w:spacing w:before="0" w:after="0"/>
              <w:ind w:firstLine="0"/>
              <w:jc w:val="center"/>
            </w:pPr>
          </w:p>
          <w:p w:rsidR="00CA24B4" w:rsidRPr="0011480F" w:rsidRDefault="00CA24B4" w:rsidP="005A53B8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CA24B4" w:rsidRPr="0011480F" w:rsidTr="00CC4263">
        <w:trPr>
          <w:trHeight w:val="657"/>
          <w:jc w:val="center"/>
        </w:trPr>
        <w:tc>
          <w:tcPr>
            <w:tcW w:w="1546" w:type="pct"/>
          </w:tcPr>
          <w:p w:rsidR="00CA24B4" w:rsidRPr="0011480F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11480F">
              <w:t>1.2. valsts speciālais budžets</w:t>
            </w:r>
          </w:p>
        </w:tc>
        <w:tc>
          <w:tcPr>
            <w:tcW w:w="644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11480F">
              <w:t>1.3. pašvaldību budžets</w:t>
            </w:r>
          </w:p>
        </w:tc>
        <w:tc>
          <w:tcPr>
            <w:tcW w:w="644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124F12" w:rsidRPr="0011480F" w:rsidTr="00CC4263">
        <w:trPr>
          <w:jc w:val="center"/>
        </w:trPr>
        <w:tc>
          <w:tcPr>
            <w:tcW w:w="1546" w:type="pct"/>
          </w:tcPr>
          <w:p w:rsidR="00124F12" w:rsidRPr="0011480F" w:rsidRDefault="00124F12" w:rsidP="0034795A">
            <w:r w:rsidRPr="0011480F">
              <w:t>2. Budžeta izdevumi:</w:t>
            </w:r>
          </w:p>
        </w:tc>
        <w:tc>
          <w:tcPr>
            <w:tcW w:w="644" w:type="pct"/>
          </w:tcPr>
          <w:p w:rsidR="00124F12" w:rsidRPr="0011480F" w:rsidRDefault="00C50194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124F12" w:rsidRPr="0011480F" w:rsidRDefault="00077BC1" w:rsidP="00BA4CC0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+</w:t>
            </w:r>
            <w:r w:rsidR="00BA4CC0" w:rsidRPr="0011480F">
              <w:rPr>
                <w:b/>
              </w:rPr>
              <w:t>66,0</w:t>
            </w:r>
          </w:p>
        </w:tc>
        <w:tc>
          <w:tcPr>
            <w:tcW w:w="703" w:type="pct"/>
          </w:tcPr>
          <w:p w:rsidR="00124F12" w:rsidRPr="0011480F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124F12" w:rsidRPr="0011480F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124F12" w:rsidRPr="0011480F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</w:tr>
      <w:tr w:rsidR="00CA24B4" w:rsidRPr="0011480F" w:rsidTr="00CC4263">
        <w:trPr>
          <w:trHeight w:val="414"/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2.1. valsts pamatbudžets</w:t>
            </w:r>
          </w:p>
        </w:tc>
        <w:tc>
          <w:tcPr>
            <w:tcW w:w="644" w:type="pct"/>
          </w:tcPr>
          <w:p w:rsidR="00CA24B4" w:rsidRPr="0011480F" w:rsidRDefault="00C50194" w:rsidP="00AE1FDB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</w:tc>
        <w:tc>
          <w:tcPr>
            <w:tcW w:w="703" w:type="pct"/>
          </w:tcPr>
          <w:p w:rsidR="00CA24B4" w:rsidRPr="0011480F" w:rsidRDefault="00077BC1" w:rsidP="004A7004">
            <w:pPr>
              <w:pStyle w:val="naisf"/>
              <w:spacing w:before="0" w:after="0"/>
              <w:ind w:firstLine="0"/>
              <w:jc w:val="center"/>
            </w:pPr>
            <w:r w:rsidRPr="0011480F">
              <w:t>+</w:t>
            </w:r>
            <w:r w:rsidR="00BA4CC0" w:rsidRPr="0011480F">
              <w:t>66,0</w:t>
            </w:r>
          </w:p>
        </w:tc>
        <w:tc>
          <w:tcPr>
            <w:tcW w:w="703" w:type="pct"/>
          </w:tcPr>
          <w:p w:rsidR="00CA24B4" w:rsidRPr="0011480F" w:rsidRDefault="00DD2BEA" w:rsidP="00AE1FDB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AE1FDB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703" w:type="pct"/>
          </w:tcPr>
          <w:p w:rsidR="00CA24B4" w:rsidRPr="0011480F" w:rsidRDefault="00DD2BEA" w:rsidP="00AE1FDB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AE1FDB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703" w:type="pct"/>
          </w:tcPr>
          <w:p w:rsidR="00CA24B4" w:rsidRPr="0011480F" w:rsidRDefault="00DD2BEA" w:rsidP="00AE1FDB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  <w:p w:rsidR="00CA24B4" w:rsidRPr="0011480F" w:rsidRDefault="00CA24B4" w:rsidP="00AE1FDB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2.2. valsts speciālais budžets</w:t>
            </w:r>
          </w:p>
        </w:tc>
        <w:tc>
          <w:tcPr>
            <w:tcW w:w="644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 xml:space="preserve">2.3. pašvaldību budžets </w:t>
            </w:r>
          </w:p>
        </w:tc>
        <w:tc>
          <w:tcPr>
            <w:tcW w:w="644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3. Finansiālā ietekme: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1480F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</w:tcPr>
          <w:p w:rsidR="00CA24B4" w:rsidRPr="0011480F" w:rsidRDefault="00065314" w:rsidP="004A700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-</w:t>
            </w:r>
            <w:r w:rsidR="007B391A" w:rsidRPr="0011480F">
              <w:rPr>
                <w:b/>
              </w:rPr>
              <w:t>66,0</w:t>
            </w:r>
          </w:p>
        </w:tc>
        <w:tc>
          <w:tcPr>
            <w:tcW w:w="703" w:type="pct"/>
            <w:vAlign w:val="center"/>
          </w:tcPr>
          <w:p w:rsidR="00CA24B4" w:rsidRPr="0011480F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3.1. valsts pamatbudžets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A34A8" w:rsidP="004A700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-</w:t>
            </w:r>
            <w:r w:rsidR="007B391A" w:rsidRPr="0011480F">
              <w:t>66,0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3.2. speciālais 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 xml:space="preserve">3.3. pašvaldību budžets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5C795B" w:rsidRPr="0011480F" w:rsidTr="00CC4263">
        <w:trPr>
          <w:jc w:val="center"/>
        </w:trPr>
        <w:tc>
          <w:tcPr>
            <w:tcW w:w="1546" w:type="pct"/>
            <w:vMerge w:val="restart"/>
          </w:tcPr>
          <w:p w:rsidR="005C795B" w:rsidRPr="0011480F" w:rsidRDefault="005C795B" w:rsidP="0034795A">
            <w:r w:rsidRPr="0011480F">
              <w:t>4. Finanšu līdzekļi pap</w:t>
            </w:r>
            <w:r w:rsidR="0034795A" w:rsidRPr="0011480F">
              <w:t>ildu izde</w:t>
            </w:r>
            <w:r w:rsidR="0034795A" w:rsidRPr="0011480F">
              <w:softHyphen/>
              <w:t xml:space="preserve">vumu </w:t>
            </w:r>
            <w:r w:rsidRPr="0011480F">
              <w:t>finansēšanai (kompensējošu izdevumu samazinājumu norāda ar "+" zīmi)</w:t>
            </w:r>
          </w:p>
        </w:tc>
        <w:tc>
          <w:tcPr>
            <w:tcW w:w="644" w:type="pct"/>
            <w:vMerge w:val="restart"/>
            <w:vAlign w:val="center"/>
          </w:tcPr>
          <w:p w:rsidR="005C795B" w:rsidRPr="0011480F" w:rsidRDefault="005C795B" w:rsidP="00C472EA">
            <w:pPr>
              <w:pStyle w:val="naisf"/>
              <w:spacing w:before="0" w:after="0"/>
              <w:ind w:firstLine="0"/>
              <w:jc w:val="center"/>
            </w:pPr>
            <w:r w:rsidRPr="0011480F">
              <w:t>X</w:t>
            </w:r>
          </w:p>
        </w:tc>
        <w:tc>
          <w:tcPr>
            <w:tcW w:w="703" w:type="pct"/>
            <w:vMerge w:val="restart"/>
            <w:vAlign w:val="center"/>
          </w:tcPr>
          <w:p w:rsidR="005C795B" w:rsidRPr="0011480F" w:rsidRDefault="00077BC1" w:rsidP="004A700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rPr>
                <w:b/>
              </w:rPr>
              <w:t>+66,0</w:t>
            </w:r>
          </w:p>
        </w:tc>
        <w:tc>
          <w:tcPr>
            <w:tcW w:w="703" w:type="pct"/>
            <w:vAlign w:val="center"/>
          </w:tcPr>
          <w:p w:rsidR="005C795B" w:rsidRPr="0011480F" w:rsidRDefault="00DD2BEA" w:rsidP="00DD2BE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Galvene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5C795B" w:rsidRPr="0011480F" w:rsidTr="00CC4263">
        <w:trPr>
          <w:jc w:val="center"/>
        </w:trPr>
        <w:tc>
          <w:tcPr>
            <w:tcW w:w="1546" w:type="pct"/>
            <w:vMerge/>
          </w:tcPr>
          <w:p w:rsidR="005C795B" w:rsidRPr="0011480F" w:rsidRDefault="005C795B" w:rsidP="0034795A"/>
        </w:tc>
        <w:tc>
          <w:tcPr>
            <w:tcW w:w="644" w:type="pct"/>
            <w:vMerge/>
          </w:tcPr>
          <w:p w:rsidR="005C795B" w:rsidRPr="0011480F" w:rsidRDefault="005C795B" w:rsidP="006C4607">
            <w:pPr>
              <w:pStyle w:val="Galvene"/>
              <w:jc w:val="center"/>
            </w:pPr>
          </w:p>
        </w:tc>
        <w:tc>
          <w:tcPr>
            <w:tcW w:w="703" w:type="pct"/>
            <w:vMerge/>
            <w:vAlign w:val="center"/>
          </w:tcPr>
          <w:p w:rsidR="005C795B" w:rsidRPr="0011480F" w:rsidRDefault="005C795B" w:rsidP="005A53B8">
            <w:pPr>
              <w:pStyle w:val="naisf"/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Galvene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5C795B" w:rsidRPr="0011480F" w:rsidTr="00CC4263">
        <w:trPr>
          <w:jc w:val="center"/>
        </w:trPr>
        <w:tc>
          <w:tcPr>
            <w:tcW w:w="1546" w:type="pct"/>
            <w:vMerge/>
          </w:tcPr>
          <w:p w:rsidR="005C795B" w:rsidRPr="0011480F" w:rsidRDefault="005C795B" w:rsidP="0034795A"/>
        </w:tc>
        <w:tc>
          <w:tcPr>
            <w:tcW w:w="644" w:type="pct"/>
            <w:vMerge/>
          </w:tcPr>
          <w:p w:rsidR="005C795B" w:rsidRPr="0011480F" w:rsidRDefault="005C795B" w:rsidP="006C4607">
            <w:pPr>
              <w:pStyle w:val="Galvene"/>
              <w:jc w:val="center"/>
            </w:pPr>
          </w:p>
        </w:tc>
        <w:tc>
          <w:tcPr>
            <w:tcW w:w="703" w:type="pct"/>
            <w:vMerge/>
            <w:vAlign w:val="center"/>
          </w:tcPr>
          <w:p w:rsidR="005C795B" w:rsidRPr="0011480F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naislab"/>
              <w:spacing w:before="0" w:after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naislab"/>
              <w:spacing w:before="0" w:after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5C795B" w:rsidRPr="0011480F" w:rsidRDefault="00DD2BEA" w:rsidP="005A53B8">
            <w:pPr>
              <w:pStyle w:val="Galvene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5. Precizēta finansiālā ietekme:</w:t>
            </w:r>
          </w:p>
        </w:tc>
        <w:tc>
          <w:tcPr>
            <w:tcW w:w="644" w:type="pct"/>
            <w:vMerge w:val="restart"/>
            <w:vAlign w:val="center"/>
          </w:tcPr>
          <w:p w:rsidR="00CA24B4" w:rsidRPr="0011480F" w:rsidRDefault="00CA24B4" w:rsidP="004617ED">
            <w:pPr>
              <w:pStyle w:val="Galvene"/>
              <w:jc w:val="center"/>
            </w:pPr>
            <w:r w:rsidRPr="0011480F">
              <w:t>X</w:t>
            </w:r>
          </w:p>
        </w:tc>
        <w:tc>
          <w:tcPr>
            <w:tcW w:w="703" w:type="pct"/>
            <w:vAlign w:val="center"/>
          </w:tcPr>
          <w:p w:rsidR="00CA24B4" w:rsidRPr="0011480F" w:rsidRDefault="005C795B" w:rsidP="005A53B8">
            <w:pPr>
              <w:pStyle w:val="naislab"/>
              <w:spacing w:before="0" w:after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Galvene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5.1. valsts pamatbudžets</w:t>
            </w:r>
          </w:p>
        </w:tc>
        <w:tc>
          <w:tcPr>
            <w:tcW w:w="644" w:type="pct"/>
            <w:vMerge/>
            <w:vAlign w:val="center"/>
          </w:tcPr>
          <w:p w:rsidR="00CA24B4" w:rsidRPr="0011480F" w:rsidRDefault="00CA24B4" w:rsidP="006C4607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703" w:type="pct"/>
            <w:vAlign w:val="center"/>
          </w:tcPr>
          <w:p w:rsidR="00CA24B4" w:rsidRPr="0011480F" w:rsidRDefault="005C795B" w:rsidP="005A53B8">
            <w:pPr>
              <w:pStyle w:val="naislab"/>
              <w:spacing w:before="0" w:after="0"/>
              <w:jc w:val="center"/>
              <w:rPr>
                <w:b/>
              </w:rPr>
            </w:pPr>
            <w:r w:rsidRPr="0011480F">
              <w:rPr>
                <w:b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lab"/>
              <w:spacing w:before="0" w:after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lab"/>
              <w:spacing w:before="0" w:after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>5.2. speciālais budžets</w:t>
            </w:r>
          </w:p>
        </w:tc>
        <w:tc>
          <w:tcPr>
            <w:tcW w:w="644" w:type="pct"/>
            <w:vMerge/>
            <w:vAlign w:val="center"/>
          </w:tcPr>
          <w:p w:rsidR="00CA24B4" w:rsidRPr="0011480F" w:rsidRDefault="00CA24B4" w:rsidP="006C4607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CA24B4" w:rsidRPr="0011480F" w:rsidTr="00CC4263">
        <w:trPr>
          <w:jc w:val="center"/>
        </w:trPr>
        <w:tc>
          <w:tcPr>
            <w:tcW w:w="1546" w:type="pct"/>
          </w:tcPr>
          <w:p w:rsidR="00CA24B4" w:rsidRPr="0011480F" w:rsidRDefault="00CA24B4" w:rsidP="0034795A">
            <w:r w:rsidRPr="0011480F">
              <w:t xml:space="preserve">5.3. pašvaldību budžets </w:t>
            </w:r>
          </w:p>
        </w:tc>
        <w:tc>
          <w:tcPr>
            <w:tcW w:w="644" w:type="pct"/>
            <w:vMerge/>
            <w:vAlign w:val="center"/>
          </w:tcPr>
          <w:p w:rsidR="00CA24B4" w:rsidRPr="0011480F" w:rsidRDefault="00CA24B4" w:rsidP="006C4607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  <w:tc>
          <w:tcPr>
            <w:tcW w:w="703" w:type="pct"/>
            <w:vAlign w:val="center"/>
          </w:tcPr>
          <w:p w:rsidR="00CA24B4" w:rsidRPr="0011480F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1480F">
              <w:t>0</w:t>
            </w:r>
          </w:p>
        </w:tc>
      </w:tr>
      <w:tr w:rsidR="0095334F" w:rsidRPr="0011480F" w:rsidTr="00CC4263">
        <w:trPr>
          <w:jc w:val="center"/>
        </w:trPr>
        <w:tc>
          <w:tcPr>
            <w:tcW w:w="1546" w:type="pct"/>
          </w:tcPr>
          <w:p w:rsidR="0095334F" w:rsidRPr="0011480F" w:rsidRDefault="0095334F" w:rsidP="0034795A">
            <w:r w:rsidRPr="0011480F">
              <w:t>6.</w:t>
            </w:r>
            <w:r w:rsidR="00F5139D" w:rsidRPr="0011480F">
              <w:t> </w:t>
            </w:r>
            <w:r w:rsidRPr="0011480F">
              <w:t>Detalizēts ieņēmumu un izdevu</w:t>
            </w:r>
            <w:r w:rsidR="009E12D7" w:rsidRPr="0011480F">
              <w:softHyphen/>
            </w:r>
            <w:r w:rsidRPr="0011480F">
              <w:t>mu aprēķins (ja nepieciešams, detalizētu ieņēmumu un izdevumu aprēķinu var pievienot anotācijas pielikumā):</w:t>
            </w:r>
          </w:p>
        </w:tc>
        <w:tc>
          <w:tcPr>
            <w:tcW w:w="3454" w:type="pct"/>
            <w:gridSpan w:val="5"/>
            <w:vMerge w:val="restart"/>
          </w:tcPr>
          <w:p w:rsidR="00216F49" w:rsidRPr="00CF7D97" w:rsidRDefault="00B50E24" w:rsidP="00B50E24">
            <w:pPr>
              <w:pStyle w:val="naisf"/>
              <w:spacing w:before="0" w:after="0"/>
              <w:ind w:firstLine="0"/>
            </w:pPr>
            <w:r>
              <w:t>Prokuratūras papildu nepieciešamā finansējuma atšifrējumu</w:t>
            </w:r>
            <w:r w:rsidR="00CF7D97">
              <w:t xml:space="preserve"> </w:t>
            </w:r>
            <w:r w:rsidR="00CF7D97" w:rsidRPr="00CF7D97">
              <w:t>skat</w:t>
            </w:r>
            <w:r w:rsidR="00CF7D97">
              <w:t>īt šīs anotācijas</w:t>
            </w:r>
            <w:r w:rsidR="00CF7D97" w:rsidRPr="00CF7D97">
              <w:t xml:space="preserve"> pielikumā.</w:t>
            </w:r>
          </w:p>
        </w:tc>
      </w:tr>
      <w:tr w:rsidR="0095334F" w:rsidRPr="0011480F" w:rsidTr="00CC4263">
        <w:trPr>
          <w:jc w:val="center"/>
        </w:trPr>
        <w:tc>
          <w:tcPr>
            <w:tcW w:w="1546" w:type="pct"/>
          </w:tcPr>
          <w:p w:rsidR="0095334F" w:rsidRPr="0011480F" w:rsidRDefault="0095334F" w:rsidP="0034795A">
            <w:r w:rsidRPr="0011480F">
              <w:t>6.1.</w:t>
            </w:r>
            <w:r w:rsidR="00F5139D" w:rsidRPr="0011480F">
              <w:t> </w:t>
            </w:r>
            <w:r w:rsidR="00D00059" w:rsidRPr="0011480F">
              <w:t>d</w:t>
            </w:r>
            <w:r w:rsidRPr="0011480F">
              <w:t>etalizēts ieņēmumu aprēķins</w:t>
            </w:r>
          </w:p>
        </w:tc>
        <w:tc>
          <w:tcPr>
            <w:tcW w:w="3454" w:type="pct"/>
            <w:gridSpan w:val="5"/>
            <w:vMerge/>
          </w:tcPr>
          <w:p w:rsidR="0095334F" w:rsidRPr="0011480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highlight w:val="yellow"/>
              </w:rPr>
            </w:pPr>
          </w:p>
        </w:tc>
      </w:tr>
      <w:tr w:rsidR="0095334F" w:rsidRPr="0011480F" w:rsidTr="00CC4263">
        <w:trPr>
          <w:jc w:val="center"/>
        </w:trPr>
        <w:tc>
          <w:tcPr>
            <w:tcW w:w="1546" w:type="pct"/>
          </w:tcPr>
          <w:p w:rsidR="0095334F" w:rsidRPr="0011480F" w:rsidRDefault="0095334F" w:rsidP="0034795A">
            <w:r w:rsidRPr="0011480F">
              <w:t xml:space="preserve">6.2. </w:t>
            </w:r>
            <w:r w:rsidR="00D00059" w:rsidRPr="0011480F">
              <w:t>d</w:t>
            </w:r>
            <w:r w:rsidRPr="0011480F">
              <w:t>etalizēts izdevumu aprēķins</w:t>
            </w:r>
          </w:p>
        </w:tc>
        <w:tc>
          <w:tcPr>
            <w:tcW w:w="3454" w:type="pct"/>
            <w:gridSpan w:val="5"/>
            <w:vMerge/>
          </w:tcPr>
          <w:p w:rsidR="0095334F" w:rsidRPr="0011480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highlight w:val="yellow"/>
              </w:rPr>
            </w:pPr>
          </w:p>
        </w:tc>
      </w:tr>
      <w:tr w:rsidR="00124F12" w:rsidRPr="0011480F" w:rsidTr="00CC4263">
        <w:trPr>
          <w:jc w:val="center"/>
        </w:trPr>
        <w:tc>
          <w:tcPr>
            <w:tcW w:w="1546" w:type="pct"/>
          </w:tcPr>
          <w:p w:rsidR="00124F12" w:rsidRPr="0011480F" w:rsidRDefault="00124F12" w:rsidP="0034795A">
            <w:r w:rsidRPr="0011480F">
              <w:t>7. Cita informācija</w:t>
            </w:r>
          </w:p>
        </w:tc>
        <w:tc>
          <w:tcPr>
            <w:tcW w:w="3454" w:type="pct"/>
            <w:gridSpan w:val="5"/>
          </w:tcPr>
          <w:p w:rsidR="00124F12" w:rsidRPr="0011480F" w:rsidRDefault="0052105F" w:rsidP="000A77C5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b/>
                <w:i/>
              </w:rPr>
            </w:pPr>
            <w:r w:rsidRPr="0011480F">
              <w:t xml:space="preserve">Izdevumus sedz no valsts budžeta programmas 02.00.00 „Līdzekļi neparedzētiem gadījumiem”. </w:t>
            </w:r>
          </w:p>
        </w:tc>
      </w:tr>
    </w:tbl>
    <w:p w:rsidR="00706257" w:rsidRPr="0011480F" w:rsidRDefault="00706257" w:rsidP="00473CEF">
      <w:pPr>
        <w:pStyle w:val="naisf"/>
        <w:spacing w:before="0" w:after="0"/>
        <w:ind w:firstLine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3983"/>
        <w:gridCol w:w="4689"/>
      </w:tblGrid>
      <w:tr w:rsidR="0023436E" w:rsidRPr="0011480F" w:rsidTr="00E2556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11480F" w:rsidRDefault="0023436E" w:rsidP="007D099D">
            <w:pPr>
              <w:pStyle w:val="naisnod"/>
              <w:spacing w:before="0" w:after="0"/>
              <w:ind w:left="57" w:right="57"/>
            </w:pPr>
            <w:r w:rsidRPr="0011480F">
              <w:t>VII</w:t>
            </w:r>
            <w:r w:rsidR="000941C5" w:rsidRPr="0011480F">
              <w:t>.</w:t>
            </w:r>
            <w:r w:rsidRPr="0011480F">
              <w:t xml:space="preserve"> Tiesību akta projekta izpildes nodrošināšana un tās ietekme uz institūcijām</w:t>
            </w:r>
          </w:p>
        </w:tc>
      </w:tr>
      <w:tr w:rsidR="0023436E" w:rsidRPr="0011480F" w:rsidTr="00E2556C">
        <w:trPr>
          <w:trHeight w:val="427"/>
        </w:trPr>
        <w:tc>
          <w:tcPr>
            <w:tcW w:w="249" w:type="pct"/>
          </w:tcPr>
          <w:p w:rsidR="0023436E" w:rsidRPr="0011480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t>1.</w:t>
            </w:r>
          </w:p>
        </w:tc>
        <w:tc>
          <w:tcPr>
            <w:tcW w:w="2182" w:type="pct"/>
          </w:tcPr>
          <w:p w:rsidR="0023436E" w:rsidRPr="0011480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P</w:t>
            </w:r>
            <w:r w:rsidR="0023436E" w:rsidRPr="0011480F">
              <w:t xml:space="preserve">rojekta izpildē iesaistītās institūcijas </w:t>
            </w:r>
          </w:p>
        </w:tc>
        <w:tc>
          <w:tcPr>
            <w:tcW w:w="2569" w:type="pct"/>
          </w:tcPr>
          <w:p w:rsidR="0023436E" w:rsidRPr="0011480F" w:rsidRDefault="00F05E72" w:rsidP="0083311D">
            <w:pPr>
              <w:pStyle w:val="naisnod"/>
              <w:spacing w:before="0" w:after="0"/>
              <w:ind w:left="-43" w:right="-1"/>
              <w:jc w:val="both"/>
              <w:rPr>
                <w:b w:val="0"/>
              </w:rPr>
            </w:pPr>
            <w:r w:rsidRPr="0011480F">
              <w:rPr>
                <w:b w:val="0"/>
                <w:color w:val="000000"/>
              </w:rPr>
              <w:t xml:space="preserve"> </w:t>
            </w:r>
            <w:r w:rsidR="0083311D" w:rsidRPr="0011480F">
              <w:rPr>
                <w:b w:val="0"/>
                <w:color w:val="000000"/>
              </w:rPr>
              <w:t>Prokuratūra</w:t>
            </w:r>
          </w:p>
        </w:tc>
      </w:tr>
      <w:tr w:rsidR="0023436E" w:rsidRPr="0011480F" w:rsidTr="00E2556C">
        <w:trPr>
          <w:trHeight w:val="463"/>
        </w:trPr>
        <w:tc>
          <w:tcPr>
            <w:tcW w:w="249" w:type="pct"/>
          </w:tcPr>
          <w:p w:rsidR="0023436E" w:rsidRPr="0011480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t>2.</w:t>
            </w:r>
          </w:p>
        </w:tc>
        <w:tc>
          <w:tcPr>
            <w:tcW w:w="2182" w:type="pct"/>
          </w:tcPr>
          <w:p w:rsidR="0023436E" w:rsidRPr="0011480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Projekta i</w:t>
            </w:r>
            <w:r w:rsidR="0023436E" w:rsidRPr="0011480F">
              <w:t xml:space="preserve">zpildes ietekme uz pārvaldes funkcijām </w:t>
            </w:r>
          </w:p>
        </w:tc>
        <w:tc>
          <w:tcPr>
            <w:tcW w:w="2569" w:type="pct"/>
          </w:tcPr>
          <w:p w:rsidR="0023436E" w:rsidRPr="0011480F" w:rsidRDefault="00F82109" w:rsidP="00F82109">
            <w:pPr>
              <w:pStyle w:val="Pamattekstaatkpe2"/>
              <w:spacing w:after="0" w:line="240" w:lineRule="auto"/>
              <w:ind w:left="0"/>
              <w:jc w:val="both"/>
              <w:rPr>
                <w:b/>
              </w:rPr>
            </w:pPr>
            <w:r w:rsidRPr="0011480F">
              <w:t xml:space="preserve">Veicamās funkcijas un uzdevumi netiek paplašināti vai sašaurināti. </w:t>
            </w:r>
          </w:p>
        </w:tc>
      </w:tr>
      <w:tr w:rsidR="0023436E" w:rsidRPr="0011480F" w:rsidTr="00E2556C">
        <w:trPr>
          <w:trHeight w:val="725"/>
        </w:trPr>
        <w:tc>
          <w:tcPr>
            <w:tcW w:w="249" w:type="pct"/>
          </w:tcPr>
          <w:p w:rsidR="0023436E" w:rsidRPr="0011480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t>3.</w:t>
            </w:r>
          </w:p>
        </w:tc>
        <w:tc>
          <w:tcPr>
            <w:tcW w:w="2182" w:type="pct"/>
          </w:tcPr>
          <w:p w:rsidR="0023436E" w:rsidRPr="0011480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Projekta iz</w:t>
            </w:r>
            <w:r w:rsidR="0023436E" w:rsidRPr="0011480F">
              <w:t>pildes ietekme uz pārvaldes institucionālo struktūru.</w:t>
            </w:r>
          </w:p>
          <w:p w:rsidR="0023436E" w:rsidRPr="0011480F" w:rsidRDefault="006C4607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Jaunu institūciju izveide</w:t>
            </w:r>
          </w:p>
        </w:tc>
        <w:tc>
          <w:tcPr>
            <w:tcW w:w="2569" w:type="pct"/>
          </w:tcPr>
          <w:p w:rsidR="0023436E" w:rsidRPr="0011480F" w:rsidRDefault="00F25EC3" w:rsidP="00F05E72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t>Rīkojuma projekts šo jomu neskar.</w:t>
            </w:r>
          </w:p>
        </w:tc>
      </w:tr>
      <w:tr w:rsidR="0023436E" w:rsidRPr="0011480F" w:rsidTr="00E2556C">
        <w:trPr>
          <w:trHeight w:val="780"/>
        </w:trPr>
        <w:tc>
          <w:tcPr>
            <w:tcW w:w="249" w:type="pct"/>
          </w:tcPr>
          <w:p w:rsidR="0023436E" w:rsidRPr="0011480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lastRenderedPageBreak/>
              <w:t>4.</w:t>
            </w:r>
          </w:p>
        </w:tc>
        <w:tc>
          <w:tcPr>
            <w:tcW w:w="2182" w:type="pct"/>
          </w:tcPr>
          <w:p w:rsidR="0023436E" w:rsidRPr="0011480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Projekta i</w:t>
            </w:r>
            <w:r w:rsidR="0023436E" w:rsidRPr="0011480F">
              <w:t>zpildes ietekme uz pārvaldes institucionālo struktūru.</w:t>
            </w:r>
          </w:p>
          <w:p w:rsidR="0023436E" w:rsidRPr="0011480F" w:rsidRDefault="006C4607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Esošu institūciju likvidācija</w:t>
            </w:r>
          </w:p>
        </w:tc>
        <w:tc>
          <w:tcPr>
            <w:tcW w:w="2569" w:type="pct"/>
          </w:tcPr>
          <w:p w:rsidR="0023436E" w:rsidRPr="0011480F" w:rsidRDefault="008D4DEC" w:rsidP="00F25EC3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t>Rīkojuma projekts šo jomu neskar.</w:t>
            </w:r>
          </w:p>
        </w:tc>
      </w:tr>
      <w:tr w:rsidR="0023436E" w:rsidRPr="0011480F" w:rsidTr="00E2556C">
        <w:trPr>
          <w:trHeight w:val="703"/>
        </w:trPr>
        <w:tc>
          <w:tcPr>
            <w:tcW w:w="249" w:type="pct"/>
          </w:tcPr>
          <w:p w:rsidR="0023436E" w:rsidRPr="0011480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t>5.</w:t>
            </w:r>
          </w:p>
        </w:tc>
        <w:tc>
          <w:tcPr>
            <w:tcW w:w="2182" w:type="pct"/>
          </w:tcPr>
          <w:p w:rsidR="0023436E" w:rsidRPr="0011480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Projekta i</w:t>
            </w:r>
            <w:r w:rsidR="0023436E" w:rsidRPr="0011480F">
              <w:t>zpildes ietekme uz pārvaldes institucionālo struktūru.</w:t>
            </w:r>
          </w:p>
          <w:p w:rsidR="0023436E" w:rsidRPr="0011480F" w:rsidRDefault="0023436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11480F">
              <w:t>Esošu institūciju reorganizācija</w:t>
            </w:r>
          </w:p>
        </w:tc>
        <w:tc>
          <w:tcPr>
            <w:tcW w:w="2569" w:type="pct"/>
          </w:tcPr>
          <w:p w:rsidR="0023436E" w:rsidRPr="0011480F" w:rsidRDefault="008D4DEC" w:rsidP="00F25EC3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11480F">
              <w:rPr>
                <w:b w:val="0"/>
              </w:rPr>
              <w:t>Rīkojuma projekts šo jomu neskar.</w:t>
            </w:r>
          </w:p>
        </w:tc>
      </w:tr>
      <w:tr w:rsidR="0023436E" w:rsidRPr="0011480F" w:rsidTr="00E2556C">
        <w:trPr>
          <w:trHeight w:val="476"/>
        </w:trPr>
        <w:tc>
          <w:tcPr>
            <w:tcW w:w="249" w:type="pct"/>
          </w:tcPr>
          <w:p w:rsidR="0023436E" w:rsidRPr="0011480F" w:rsidRDefault="00F63DAC" w:rsidP="007D099D">
            <w:pPr>
              <w:pStyle w:val="naiskr"/>
              <w:spacing w:before="0" w:after="0"/>
              <w:ind w:left="57" w:right="57"/>
            </w:pPr>
            <w:r w:rsidRPr="0011480F">
              <w:t>6</w:t>
            </w:r>
            <w:r w:rsidR="0023436E" w:rsidRPr="0011480F">
              <w:t>.</w:t>
            </w:r>
          </w:p>
        </w:tc>
        <w:tc>
          <w:tcPr>
            <w:tcW w:w="2182" w:type="pct"/>
          </w:tcPr>
          <w:p w:rsidR="0023436E" w:rsidRPr="0011480F" w:rsidRDefault="006C4607" w:rsidP="007D099D">
            <w:pPr>
              <w:pStyle w:val="naiskr"/>
              <w:spacing w:before="0" w:after="0"/>
              <w:ind w:left="57" w:right="57"/>
            </w:pPr>
            <w:r w:rsidRPr="0011480F">
              <w:t>Cita informācija</w:t>
            </w:r>
          </w:p>
        </w:tc>
        <w:tc>
          <w:tcPr>
            <w:tcW w:w="2569" w:type="pct"/>
          </w:tcPr>
          <w:p w:rsidR="0023436E" w:rsidRPr="0011480F" w:rsidRDefault="00794411" w:rsidP="007D099D">
            <w:pPr>
              <w:pStyle w:val="naiskr"/>
              <w:spacing w:before="0" w:after="0"/>
              <w:ind w:left="57" w:right="57"/>
            </w:pPr>
            <w:r w:rsidRPr="0011480F">
              <w:t>Nav</w:t>
            </w:r>
          </w:p>
        </w:tc>
      </w:tr>
    </w:tbl>
    <w:p w:rsidR="00AA41A2" w:rsidRPr="0011480F" w:rsidRDefault="00AA41A2" w:rsidP="005E4B11">
      <w:pPr>
        <w:ind w:firstLine="720"/>
      </w:pPr>
    </w:p>
    <w:p w:rsidR="0011480F" w:rsidRPr="0011480F" w:rsidRDefault="0011480F" w:rsidP="0011480F">
      <w:pPr>
        <w:spacing w:before="75" w:after="75"/>
        <w:outlineLvl w:val="0"/>
        <w:rPr>
          <w:i/>
          <w:iCs/>
        </w:rPr>
      </w:pPr>
      <w:r w:rsidRPr="0011480F">
        <w:rPr>
          <w:i/>
          <w:iCs/>
        </w:rPr>
        <w:t xml:space="preserve">Anotācijas II, IV, V un VI sadaļa – projekts šīs jomas neskar. </w:t>
      </w:r>
    </w:p>
    <w:p w:rsidR="0011480F" w:rsidRDefault="0011480F" w:rsidP="001F3C26">
      <w:pPr>
        <w:jc w:val="both"/>
      </w:pPr>
    </w:p>
    <w:p w:rsidR="003F12F6" w:rsidRPr="0011480F" w:rsidRDefault="003F12F6" w:rsidP="001F3C26">
      <w:pPr>
        <w:jc w:val="both"/>
      </w:pPr>
      <w:r>
        <w:t>Iesniedzējs:</w:t>
      </w:r>
    </w:p>
    <w:p w:rsidR="000507B5" w:rsidRDefault="000507B5" w:rsidP="001F3C26">
      <w:pPr>
        <w:jc w:val="both"/>
      </w:pPr>
      <w:r>
        <w:t>Tieslietu ministra vietā</w:t>
      </w:r>
    </w:p>
    <w:p w:rsidR="001F3C26" w:rsidRPr="0011480F" w:rsidRDefault="000507B5" w:rsidP="001F3C26">
      <w:pPr>
        <w:jc w:val="both"/>
      </w:pPr>
      <w:r>
        <w:t>Iekšlietu ministrs</w:t>
      </w:r>
      <w:r w:rsidR="001F3C26" w:rsidRPr="0011480F">
        <w:tab/>
      </w:r>
      <w:r w:rsidR="001F3C26" w:rsidRPr="0011480F">
        <w:tab/>
      </w:r>
      <w:r w:rsidR="001F3C26" w:rsidRPr="0011480F">
        <w:tab/>
      </w:r>
      <w:r w:rsidR="001F3C26" w:rsidRPr="0011480F">
        <w:tab/>
      </w:r>
      <w:r w:rsidR="001F3C26" w:rsidRPr="0011480F">
        <w:tab/>
      </w:r>
      <w:r w:rsidR="001F3C26" w:rsidRPr="0011480F">
        <w:tab/>
      </w:r>
      <w:r w:rsidR="001F3C26" w:rsidRPr="0011480F">
        <w:tab/>
      </w:r>
      <w:r>
        <w:tab/>
        <w:t xml:space="preserve">        R. </w:t>
      </w:r>
      <w:proofErr w:type="spellStart"/>
      <w:r>
        <w:t>Kozlovskis</w:t>
      </w:r>
      <w:proofErr w:type="spellEnd"/>
    </w:p>
    <w:p w:rsidR="001F3C26" w:rsidRPr="0011480F" w:rsidRDefault="001F3C26" w:rsidP="001F3C26">
      <w:pPr>
        <w:jc w:val="both"/>
      </w:pPr>
    </w:p>
    <w:p w:rsidR="00851D24" w:rsidRDefault="00851D24" w:rsidP="001F3C26">
      <w:pPr>
        <w:pStyle w:val="Galvene"/>
        <w:tabs>
          <w:tab w:val="clear" w:pos="4153"/>
          <w:tab w:val="clear" w:pos="8306"/>
        </w:tabs>
      </w:pPr>
      <w:bookmarkStart w:id="2" w:name="_GoBack"/>
      <w:bookmarkEnd w:id="2"/>
    </w:p>
    <w:p w:rsidR="004B2E32" w:rsidRPr="0011480F" w:rsidRDefault="004B2E32" w:rsidP="001F3C26">
      <w:pPr>
        <w:pStyle w:val="Galvene"/>
        <w:tabs>
          <w:tab w:val="clear" w:pos="4153"/>
          <w:tab w:val="clear" w:pos="8306"/>
        </w:tabs>
      </w:pPr>
    </w:p>
    <w:p w:rsidR="0011480F" w:rsidRDefault="000507B5" w:rsidP="0011480F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3F12F6">
        <w:rPr>
          <w:sz w:val="20"/>
          <w:szCs w:val="20"/>
        </w:rPr>
        <w:t>3</w:t>
      </w:r>
      <w:r w:rsidR="00851D24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851D24">
        <w:rPr>
          <w:sz w:val="20"/>
          <w:szCs w:val="20"/>
        </w:rPr>
        <w:t xml:space="preserve">.2013. </w:t>
      </w:r>
      <w:r w:rsidR="003F12F6">
        <w:rPr>
          <w:sz w:val="20"/>
          <w:szCs w:val="20"/>
        </w:rPr>
        <w:t>12</w:t>
      </w:r>
      <w:r>
        <w:rPr>
          <w:sz w:val="20"/>
          <w:szCs w:val="20"/>
        </w:rPr>
        <w:t>:</w:t>
      </w:r>
      <w:r w:rsidR="003F12F6">
        <w:rPr>
          <w:sz w:val="20"/>
          <w:szCs w:val="20"/>
        </w:rPr>
        <w:t>32</w:t>
      </w:r>
    </w:p>
    <w:p w:rsidR="0011480F" w:rsidRPr="004B2E32" w:rsidRDefault="004B2E32" w:rsidP="0011480F">
      <w:pPr>
        <w:rPr>
          <w:sz w:val="20"/>
          <w:szCs w:val="20"/>
        </w:rPr>
      </w:pPr>
      <w:r>
        <w:rPr>
          <w:sz w:val="20"/>
          <w:szCs w:val="20"/>
        </w:rPr>
        <w:t>86</w:t>
      </w:r>
      <w:r w:rsidR="003F12F6">
        <w:rPr>
          <w:sz w:val="20"/>
          <w:szCs w:val="20"/>
        </w:rPr>
        <w:t>5</w:t>
      </w:r>
    </w:p>
    <w:p w:rsidR="0011480F" w:rsidRPr="00AC4A1A" w:rsidRDefault="0011480F" w:rsidP="0011480F">
      <w:pPr>
        <w:rPr>
          <w:sz w:val="20"/>
          <w:szCs w:val="20"/>
        </w:rPr>
      </w:pPr>
      <w:proofErr w:type="spellStart"/>
      <w:r w:rsidRPr="00AC4A1A">
        <w:rPr>
          <w:sz w:val="20"/>
          <w:szCs w:val="20"/>
        </w:rPr>
        <w:t>I.Serjogina</w:t>
      </w:r>
      <w:proofErr w:type="spellEnd"/>
    </w:p>
    <w:p w:rsidR="00E23D82" w:rsidRPr="00F735E4" w:rsidRDefault="0011480F" w:rsidP="0011480F">
      <w:pPr>
        <w:rPr>
          <w:sz w:val="28"/>
          <w:szCs w:val="28"/>
        </w:rPr>
      </w:pPr>
      <w:r w:rsidRPr="00AC4A1A">
        <w:rPr>
          <w:sz w:val="20"/>
          <w:szCs w:val="20"/>
        </w:rPr>
        <w:t>67044512</w:t>
      </w:r>
      <w:r>
        <w:rPr>
          <w:sz w:val="20"/>
          <w:szCs w:val="20"/>
        </w:rPr>
        <w:t xml:space="preserve">, </w:t>
      </w:r>
      <w:hyperlink r:id="rId9" w:history="1">
        <w:proofErr w:type="spellStart"/>
        <w:r w:rsidRPr="00AC4A1A">
          <w:rPr>
            <w:rStyle w:val="Hipersaite"/>
            <w:sz w:val="20"/>
            <w:szCs w:val="20"/>
          </w:rPr>
          <w:t>Ineta.Serjogina</w:t>
        </w:r>
        <w:proofErr w:type="spellEnd"/>
        <w:r w:rsidRPr="00AC4A1A">
          <w:rPr>
            <w:rStyle w:val="Hipersaite"/>
            <w:sz w:val="20"/>
            <w:szCs w:val="20"/>
          </w:rPr>
          <w:t xml:space="preserve"> @</w:t>
        </w:r>
        <w:proofErr w:type="spellStart"/>
        <w:r w:rsidRPr="00AC4A1A">
          <w:rPr>
            <w:rStyle w:val="Hipersaite"/>
            <w:sz w:val="20"/>
            <w:szCs w:val="20"/>
          </w:rPr>
          <w:t>lrp.gov.lv</w:t>
        </w:r>
        <w:proofErr w:type="spellEnd"/>
      </w:hyperlink>
    </w:p>
    <w:sectPr w:rsidR="00E23D82" w:rsidRPr="00F735E4" w:rsidSect="00FB470E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2A" w:rsidRDefault="002C3A2A">
      <w:r>
        <w:separator/>
      </w:r>
    </w:p>
    <w:p w:rsidR="002C3A2A" w:rsidRDefault="002C3A2A"/>
  </w:endnote>
  <w:endnote w:type="continuationSeparator" w:id="0">
    <w:p w:rsidR="002C3A2A" w:rsidRDefault="002C3A2A">
      <w:r>
        <w:continuationSeparator/>
      </w:r>
    </w:p>
    <w:p w:rsidR="002C3A2A" w:rsidRDefault="002C3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A" w:rsidRPr="0015024A" w:rsidRDefault="0015024A" w:rsidP="0015024A">
    <w:pPr>
      <w:pStyle w:val="Kjene"/>
      <w:jc w:val="both"/>
    </w:pPr>
    <w:r w:rsidRPr="0011480F">
      <w:rPr>
        <w:sz w:val="20"/>
        <w:szCs w:val="20"/>
      </w:rPr>
      <w:t>GPAnot_</w:t>
    </w:r>
    <w:r w:rsidR="000507B5">
      <w:rPr>
        <w:sz w:val="20"/>
        <w:szCs w:val="20"/>
      </w:rPr>
      <w:t>0</w:t>
    </w:r>
    <w:r w:rsidR="003F12F6">
      <w:rPr>
        <w:sz w:val="20"/>
        <w:szCs w:val="20"/>
      </w:rPr>
      <w:t>3</w:t>
    </w:r>
    <w:r w:rsidR="000507B5">
      <w:rPr>
        <w:sz w:val="20"/>
        <w:szCs w:val="20"/>
      </w:rPr>
      <w:t>07</w:t>
    </w:r>
    <w:r w:rsidRPr="0011480F">
      <w:rPr>
        <w:sz w:val="20"/>
        <w:szCs w:val="20"/>
      </w:rPr>
      <w:t>13</w:t>
    </w:r>
    <w:r>
      <w:rPr>
        <w:sz w:val="20"/>
        <w:szCs w:val="20"/>
      </w:rPr>
      <w:t>_rem;</w:t>
    </w:r>
    <w:r w:rsidRPr="0015024A">
      <w:rPr>
        <w:sz w:val="20"/>
        <w:szCs w:val="20"/>
      </w:rPr>
      <w:t xml:space="preserve"> </w:t>
    </w:r>
    <w:r w:rsidRPr="0011480F">
      <w:rPr>
        <w:sz w:val="20"/>
        <w:szCs w:val="20"/>
      </w:rPr>
      <w:t>Ministru kabineta rīkojuma projekta „Par finanšu līdzekļu piešķiršanu no valsts budžeta programmas „Līdzekļi neparedzētiem gadījumiem”” sākotnējās ietekmes novērtējuma ziņojums (anotācija</w:t>
    </w:r>
    <w:r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A" w:rsidRPr="0011480F" w:rsidRDefault="002C3A2A" w:rsidP="00E2556C">
    <w:pPr>
      <w:pStyle w:val="Kjene"/>
      <w:jc w:val="both"/>
      <w:rPr>
        <w:sz w:val="20"/>
        <w:szCs w:val="20"/>
      </w:rPr>
    </w:pPr>
    <w:r w:rsidRPr="0011480F">
      <w:rPr>
        <w:sz w:val="20"/>
        <w:szCs w:val="20"/>
      </w:rPr>
      <w:t>GPAnot_</w:t>
    </w:r>
    <w:r w:rsidR="000507B5">
      <w:rPr>
        <w:sz w:val="20"/>
        <w:szCs w:val="20"/>
      </w:rPr>
      <w:t>0</w:t>
    </w:r>
    <w:r w:rsidR="003F12F6">
      <w:rPr>
        <w:sz w:val="20"/>
        <w:szCs w:val="20"/>
      </w:rPr>
      <w:t>3</w:t>
    </w:r>
    <w:r w:rsidR="000507B5">
      <w:rPr>
        <w:sz w:val="20"/>
        <w:szCs w:val="20"/>
      </w:rPr>
      <w:t>07</w:t>
    </w:r>
    <w:r w:rsidRPr="0011480F">
      <w:rPr>
        <w:sz w:val="20"/>
        <w:szCs w:val="20"/>
      </w:rPr>
      <w:t>13</w:t>
    </w:r>
    <w:r w:rsidR="00170E4E">
      <w:rPr>
        <w:sz w:val="20"/>
        <w:szCs w:val="20"/>
      </w:rPr>
      <w:t>_rem</w:t>
    </w:r>
    <w:r w:rsidR="0015024A">
      <w:rPr>
        <w:sz w:val="20"/>
        <w:szCs w:val="20"/>
      </w:rPr>
      <w:t>;</w:t>
    </w:r>
    <w:r w:rsidR="0015024A" w:rsidRPr="0015024A">
      <w:rPr>
        <w:sz w:val="20"/>
        <w:szCs w:val="20"/>
      </w:rPr>
      <w:t xml:space="preserve"> </w:t>
    </w:r>
    <w:r w:rsidR="0015024A" w:rsidRPr="0011480F">
      <w:rPr>
        <w:sz w:val="20"/>
        <w:szCs w:val="20"/>
      </w:rPr>
      <w:t>Ministru kabineta rīkojuma projekta „Par finanšu līdzekļu piešķiršanu no valsts budžeta programmas „Līdzekļi neparedzētiem gadījumiem”” sākotnējās ietekmes novērtējuma ziņojums (anotācija</w:t>
    </w:r>
    <w:r w:rsidR="0015024A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2A" w:rsidRDefault="002C3A2A">
      <w:r>
        <w:separator/>
      </w:r>
    </w:p>
    <w:p w:rsidR="002C3A2A" w:rsidRDefault="002C3A2A"/>
  </w:footnote>
  <w:footnote w:type="continuationSeparator" w:id="0">
    <w:p w:rsidR="002C3A2A" w:rsidRDefault="002C3A2A">
      <w:r>
        <w:continuationSeparator/>
      </w:r>
    </w:p>
    <w:p w:rsidR="002C3A2A" w:rsidRDefault="002C3A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A" w:rsidRDefault="002C3A2A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C3A2A" w:rsidRDefault="002C3A2A">
    <w:pPr>
      <w:pStyle w:val="Galvene"/>
    </w:pPr>
  </w:p>
  <w:p w:rsidR="002C3A2A" w:rsidRDefault="002C3A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A" w:rsidRPr="00E2556C" w:rsidRDefault="002C3A2A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2556C">
      <w:rPr>
        <w:rStyle w:val="Lappusesnumurs"/>
        <w:sz w:val="22"/>
        <w:szCs w:val="22"/>
      </w:rPr>
      <w:fldChar w:fldCharType="begin"/>
    </w:r>
    <w:r w:rsidRPr="00E2556C">
      <w:rPr>
        <w:rStyle w:val="Lappusesnumurs"/>
        <w:sz w:val="22"/>
        <w:szCs w:val="22"/>
      </w:rPr>
      <w:instrText xml:space="preserve">PAGE  </w:instrText>
    </w:r>
    <w:r w:rsidRPr="00E2556C">
      <w:rPr>
        <w:rStyle w:val="Lappusesnumurs"/>
        <w:sz w:val="22"/>
        <w:szCs w:val="22"/>
      </w:rPr>
      <w:fldChar w:fldCharType="separate"/>
    </w:r>
    <w:r w:rsidR="003F12F6">
      <w:rPr>
        <w:rStyle w:val="Lappusesnumurs"/>
        <w:noProof/>
        <w:sz w:val="22"/>
        <w:szCs w:val="22"/>
      </w:rPr>
      <w:t>3</w:t>
    </w:r>
    <w:r w:rsidRPr="00E2556C">
      <w:rPr>
        <w:rStyle w:val="Lappusesnumurs"/>
        <w:sz w:val="22"/>
        <w:szCs w:val="22"/>
      </w:rPr>
      <w:fldChar w:fldCharType="end"/>
    </w:r>
  </w:p>
  <w:p w:rsidR="002C3A2A" w:rsidRDefault="002C3A2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4C310A"/>
    <w:multiLevelType w:val="hybridMultilevel"/>
    <w:tmpl w:val="8A4279DA"/>
    <w:lvl w:ilvl="0" w:tplc="0426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950DB"/>
    <w:multiLevelType w:val="hybridMultilevel"/>
    <w:tmpl w:val="8CE0E95A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904FE2"/>
    <w:multiLevelType w:val="hybridMultilevel"/>
    <w:tmpl w:val="43A2E840"/>
    <w:lvl w:ilvl="0" w:tplc="7E8E8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680CC2"/>
    <w:multiLevelType w:val="hybridMultilevel"/>
    <w:tmpl w:val="5B2060EC"/>
    <w:lvl w:ilvl="0" w:tplc="D1460C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846929"/>
    <w:multiLevelType w:val="hybridMultilevel"/>
    <w:tmpl w:val="333AC50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C7510"/>
    <w:multiLevelType w:val="hybridMultilevel"/>
    <w:tmpl w:val="8F1CD174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A0BF7"/>
    <w:multiLevelType w:val="hybridMultilevel"/>
    <w:tmpl w:val="65B0897E"/>
    <w:lvl w:ilvl="0" w:tplc="042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24E2773"/>
    <w:multiLevelType w:val="hybridMultilevel"/>
    <w:tmpl w:val="614E8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4732CCB"/>
    <w:multiLevelType w:val="hybridMultilevel"/>
    <w:tmpl w:val="4EB87626"/>
    <w:lvl w:ilvl="0" w:tplc="D1460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3">
    <w:nsid w:val="75156FDB"/>
    <w:multiLevelType w:val="hybridMultilevel"/>
    <w:tmpl w:val="0A60893A"/>
    <w:lvl w:ilvl="0" w:tplc="D1460CA8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3"/>
  </w:num>
  <w:num w:numId="5">
    <w:abstractNumId w:val="1"/>
  </w:num>
  <w:num w:numId="6">
    <w:abstractNumId w:val="16"/>
  </w:num>
  <w:num w:numId="7">
    <w:abstractNumId w:val="21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18"/>
  </w:num>
  <w:num w:numId="14">
    <w:abstractNumId w:val="2"/>
  </w:num>
  <w:num w:numId="15">
    <w:abstractNumId w:val="20"/>
  </w:num>
  <w:num w:numId="16">
    <w:abstractNumId w:val="23"/>
  </w:num>
  <w:num w:numId="17">
    <w:abstractNumId w:val="22"/>
  </w:num>
  <w:num w:numId="18">
    <w:abstractNumId w:val="5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10C09"/>
    <w:rsid w:val="00011D24"/>
    <w:rsid w:val="00013FF4"/>
    <w:rsid w:val="00020FE1"/>
    <w:rsid w:val="000214DB"/>
    <w:rsid w:val="00022E13"/>
    <w:rsid w:val="00023C23"/>
    <w:rsid w:val="00027D88"/>
    <w:rsid w:val="00032388"/>
    <w:rsid w:val="00034C8A"/>
    <w:rsid w:val="00035013"/>
    <w:rsid w:val="00035CE2"/>
    <w:rsid w:val="00037FD3"/>
    <w:rsid w:val="00043D65"/>
    <w:rsid w:val="000459AF"/>
    <w:rsid w:val="00046D14"/>
    <w:rsid w:val="00046E60"/>
    <w:rsid w:val="000507B5"/>
    <w:rsid w:val="000508F8"/>
    <w:rsid w:val="0005553B"/>
    <w:rsid w:val="0005576D"/>
    <w:rsid w:val="000604D2"/>
    <w:rsid w:val="000629F3"/>
    <w:rsid w:val="00065314"/>
    <w:rsid w:val="00071885"/>
    <w:rsid w:val="00077BC1"/>
    <w:rsid w:val="0008382C"/>
    <w:rsid w:val="0009005E"/>
    <w:rsid w:val="00090A7B"/>
    <w:rsid w:val="00090B3A"/>
    <w:rsid w:val="000937C6"/>
    <w:rsid w:val="000941C5"/>
    <w:rsid w:val="00095E74"/>
    <w:rsid w:val="0009746B"/>
    <w:rsid w:val="000A04B4"/>
    <w:rsid w:val="000A26EC"/>
    <w:rsid w:val="000A4853"/>
    <w:rsid w:val="000A6451"/>
    <w:rsid w:val="000A77C5"/>
    <w:rsid w:val="000A7876"/>
    <w:rsid w:val="000B0649"/>
    <w:rsid w:val="000B064E"/>
    <w:rsid w:val="000B69CF"/>
    <w:rsid w:val="000C04C0"/>
    <w:rsid w:val="000C169B"/>
    <w:rsid w:val="000C45A4"/>
    <w:rsid w:val="000C790C"/>
    <w:rsid w:val="000D04C8"/>
    <w:rsid w:val="000D1A41"/>
    <w:rsid w:val="000D1D50"/>
    <w:rsid w:val="000D20AB"/>
    <w:rsid w:val="000E01B7"/>
    <w:rsid w:val="000E1F44"/>
    <w:rsid w:val="000E4C63"/>
    <w:rsid w:val="000F061D"/>
    <w:rsid w:val="000F4794"/>
    <w:rsid w:val="000F5D2A"/>
    <w:rsid w:val="000F622E"/>
    <w:rsid w:val="00101947"/>
    <w:rsid w:val="00104953"/>
    <w:rsid w:val="001059C3"/>
    <w:rsid w:val="00110B04"/>
    <w:rsid w:val="001110C6"/>
    <w:rsid w:val="001121C1"/>
    <w:rsid w:val="00112A15"/>
    <w:rsid w:val="00113D2D"/>
    <w:rsid w:val="0011480F"/>
    <w:rsid w:val="00124F12"/>
    <w:rsid w:val="00127FA9"/>
    <w:rsid w:val="0013052A"/>
    <w:rsid w:val="001344F6"/>
    <w:rsid w:val="00135B14"/>
    <w:rsid w:val="0014123A"/>
    <w:rsid w:val="00142EB5"/>
    <w:rsid w:val="00144E3A"/>
    <w:rsid w:val="0015024A"/>
    <w:rsid w:val="0015060C"/>
    <w:rsid w:val="0015224D"/>
    <w:rsid w:val="001522B9"/>
    <w:rsid w:val="001522D1"/>
    <w:rsid w:val="00152EDE"/>
    <w:rsid w:val="001554B6"/>
    <w:rsid w:val="0016018A"/>
    <w:rsid w:val="00160B5B"/>
    <w:rsid w:val="00161CD1"/>
    <w:rsid w:val="00161F0E"/>
    <w:rsid w:val="001646D8"/>
    <w:rsid w:val="00164F6E"/>
    <w:rsid w:val="00170E2A"/>
    <w:rsid w:val="00170E4E"/>
    <w:rsid w:val="00173780"/>
    <w:rsid w:val="00176A47"/>
    <w:rsid w:val="00177394"/>
    <w:rsid w:val="00182C18"/>
    <w:rsid w:val="0018328E"/>
    <w:rsid w:val="001837F8"/>
    <w:rsid w:val="00183CC2"/>
    <w:rsid w:val="001866EE"/>
    <w:rsid w:val="00187DFA"/>
    <w:rsid w:val="001900E4"/>
    <w:rsid w:val="00190F88"/>
    <w:rsid w:val="0019339A"/>
    <w:rsid w:val="001A4066"/>
    <w:rsid w:val="001A6AE4"/>
    <w:rsid w:val="001A7FE4"/>
    <w:rsid w:val="001B01FD"/>
    <w:rsid w:val="001B1854"/>
    <w:rsid w:val="001B3421"/>
    <w:rsid w:val="001B3DBB"/>
    <w:rsid w:val="001B4A71"/>
    <w:rsid w:val="001C2654"/>
    <w:rsid w:val="001C3439"/>
    <w:rsid w:val="001C4B6E"/>
    <w:rsid w:val="001D5B54"/>
    <w:rsid w:val="001D5BA3"/>
    <w:rsid w:val="001E1DBF"/>
    <w:rsid w:val="001E4639"/>
    <w:rsid w:val="001E4A7D"/>
    <w:rsid w:val="001E71CA"/>
    <w:rsid w:val="001F060B"/>
    <w:rsid w:val="001F39A2"/>
    <w:rsid w:val="001F3C26"/>
    <w:rsid w:val="001F4209"/>
    <w:rsid w:val="001F43A8"/>
    <w:rsid w:val="001F54A6"/>
    <w:rsid w:val="001F5CD6"/>
    <w:rsid w:val="0020042B"/>
    <w:rsid w:val="002029D8"/>
    <w:rsid w:val="0021263D"/>
    <w:rsid w:val="00213F0C"/>
    <w:rsid w:val="00214094"/>
    <w:rsid w:val="00214FA9"/>
    <w:rsid w:val="0021592D"/>
    <w:rsid w:val="00216F49"/>
    <w:rsid w:val="00222D76"/>
    <w:rsid w:val="00223227"/>
    <w:rsid w:val="00223EB1"/>
    <w:rsid w:val="00224B09"/>
    <w:rsid w:val="00224BBF"/>
    <w:rsid w:val="002265B9"/>
    <w:rsid w:val="00231344"/>
    <w:rsid w:val="0023436E"/>
    <w:rsid w:val="002347C0"/>
    <w:rsid w:val="00241A6C"/>
    <w:rsid w:val="00242D2B"/>
    <w:rsid w:val="0024308C"/>
    <w:rsid w:val="00250D16"/>
    <w:rsid w:val="00253797"/>
    <w:rsid w:val="0025780E"/>
    <w:rsid w:val="00261703"/>
    <w:rsid w:val="00262E2B"/>
    <w:rsid w:val="002637EF"/>
    <w:rsid w:val="00264968"/>
    <w:rsid w:val="002676A6"/>
    <w:rsid w:val="00267C4B"/>
    <w:rsid w:val="00267C87"/>
    <w:rsid w:val="00270429"/>
    <w:rsid w:val="002723E9"/>
    <w:rsid w:val="00274537"/>
    <w:rsid w:val="00277929"/>
    <w:rsid w:val="00277AD3"/>
    <w:rsid w:val="00283B82"/>
    <w:rsid w:val="002846E9"/>
    <w:rsid w:val="00284C34"/>
    <w:rsid w:val="00287D1D"/>
    <w:rsid w:val="0029066C"/>
    <w:rsid w:val="002907FE"/>
    <w:rsid w:val="00296930"/>
    <w:rsid w:val="002B08D1"/>
    <w:rsid w:val="002B469C"/>
    <w:rsid w:val="002B4998"/>
    <w:rsid w:val="002B50DB"/>
    <w:rsid w:val="002C0532"/>
    <w:rsid w:val="002C12AB"/>
    <w:rsid w:val="002C3218"/>
    <w:rsid w:val="002C3A2A"/>
    <w:rsid w:val="002C59E1"/>
    <w:rsid w:val="002C65C1"/>
    <w:rsid w:val="002C7CAC"/>
    <w:rsid w:val="002C7F41"/>
    <w:rsid w:val="002D1AAF"/>
    <w:rsid w:val="002D3197"/>
    <w:rsid w:val="002D3306"/>
    <w:rsid w:val="002D47B8"/>
    <w:rsid w:val="002D48AA"/>
    <w:rsid w:val="002D7BAA"/>
    <w:rsid w:val="002D7F54"/>
    <w:rsid w:val="002E2570"/>
    <w:rsid w:val="002E394B"/>
    <w:rsid w:val="002E3FF4"/>
    <w:rsid w:val="002E6CAB"/>
    <w:rsid w:val="002F3BE4"/>
    <w:rsid w:val="002F451B"/>
    <w:rsid w:val="002F78C8"/>
    <w:rsid w:val="00301CF3"/>
    <w:rsid w:val="00305CD4"/>
    <w:rsid w:val="00313AC2"/>
    <w:rsid w:val="00313BDE"/>
    <w:rsid w:val="003144DF"/>
    <w:rsid w:val="003155F1"/>
    <w:rsid w:val="0032715C"/>
    <w:rsid w:val="00336EB7"/>
    <w:rsid w:val="003374CE"/>
    <w:rsid w:val="00337CA5"/>
    <w:rsid w:val="003404D1"/>
    <w:rsid w:val="00342952"/>
    <w:rsid w:val="0034795A"/>
    <w:rsid w:val="00362478"/>
    <w:rsid w:val="00365E7F"/>
    <w:rsid w:val="00373121"/>
    <w:rsid w:val="00375B25"/>
    <w:rsid w:val="0037756E"/>
    <w:rsid w:val="0038132C"/>
    <w:rsid w:val="00390AAA"/>
    <w:rsid w:val="00396542"/>
    <w:rsid w:val="0039685B"/>
    <w:rsid w:val="003A24F8"/>
    <w:rsid w:val="003A31A6"/>
    <w:rsid w:val="003A43BB"/>
    <w:rsid w:val="003A7F0C"/>
    <w:rsid w:val="003A7F79"/>
    <w:rsid w:val="003B2124"/>
    <w:rsid w:val="003B6404"/>
    <w:rsid w:val="003C3568"/>
    <w:rsid w:val="003C3CB5"/>
    <w:rsid w:val="003C449B"/>
    <w:rsid w:val="003C7874"/>
    <w:rsid w:val="003D21FF"/>
    <w:rsid w:val="003D3B4A"/>
    <w:rsid w:val="003D3BB2"/>
    <w:rsid w:val="003D468F"/>
    <w:rsid w:val="003D5E1F"/>
    <w:rsid w:val="003E15BA"/>
    <w:rsid w:val="003E3966"/>
    <w:rsid w:val="003F0112"/>
    <w:rsid w:val="003F071A"/>
    <w:rsid w:val="003F12F6"/>
    <w:rsid w:val="003F160B"/>
    <w:rsid w:val="003F5075"/>
    <w:rsid w:val="003F55BC"/>
    <w:rsid w:val="00400032"/>
    <w:rsid w:val="004004CD"/>
    <w:rsid w:val="00400B43"/>
    <w:rsid w:val="00400B5B"/>
    <w:rsid w:val="00401A48"/>
    <w:rsid w:val="00405A00"/>
    <w:rsid w:val="004066C0"/>
    <w:rsid w:val="004070D7"/>
    <w:rsid w:val="00411A9E"/>
    <w:rsid w:val="0041349E"/>
    <w:rsid w:val="00416904"/>
    <w:rsid w:val="00416FF4"/>
    <w:rsid w:val="00420870"/>
    <w:rsid w:val="004211AA"/>
    <w:rsid w:val="00422063"/>
    <w:rsid w:val="00432D0C"/>
    <w:rsid w:val="0043791B"/>
    <w:rsid w:val="004405CA"/>
    <w:rsid w:val="00441483"/>
    <w:rsid w:val="00441BCB"/>
    <w:rsid w:val="0044531E"/>
    <w:rsid w:val="00446C27"/>
    <w:rsid w:val="004503BE"/>
    <w:rsid w:val="00450816"/>
    <w:rsid w:val="0045176A"/>
    <w:rsid w:val="00453E60"/>
    <w:rsid w:val="00456332"/>
    <w:rsid w:val="004617ED"/>
    <w:rsid w:val="00461826"/>
    <w:rsid w:val="00461B3C"/>
    <w:rsid w:val="00462646"/>
    <w:rsid w:val="004639C3"/>
    <w:rsid w:val="00473CEF"/>
    <w:rsid w:val="00475F99"/>
    <w:rsid w:val="00477559"/>
    <w:rsid w:val="004800F9"/>
    <w:rsid w:val="004816B2"/>
    <w:rsid w:val="0049134A"/>
    <w:rsid w:val="0049261C"/>
    <w:rsid w:val="00496DEA"/>
    <w:rsid w:val="004A18FC"/>
    <w:rsid w:val="004A58CB"/>
    <w:rsid w:val="004A7004"/>
    <w:rsid w:val="004B1795"/>
    <w:rsid w:val="004B2E32"/>
    <w:rsid w:val="004B56DD"/>
    <w:rsid w:val="004B65AB"/>
    <w:rsid w:val="004B7AE3"/>
    <w:rsid w:val="004C020F"/>
    <w:rsid w:val="004C1AFD"/>
    <w:rsid w:val="004C558B"/>
    <w:rsid w:val="004C74BC"/>
    <w:rsid w:val="004D04DE"/>
    <w:rsid w:val="004D0A76"/>
    <w:rsid w:val="004D46C2"/>
    <w:rsid w:val="004D716A"/>
    <w:rsid w:val="004E4B1C"/>
    <w:rsid w:val="004E6641"/>
    <w:rsid w:val="004F117E"/>
    <w:rsid w:val="004F1F88"/>
    <w:rsid w:val="004F5F1B"/>
    <w:rsid w:val="00501A67"/>
    <w:rsid w:val="00502374"/>
    <w:rsid w:val="00502565"/>
    <w:rsid w:val="00502850"/>
    <w:rsid w:val="0050584F"/>
    <w:rsid w:val="005060A1"/>
    <w:rsid w:val="00511843"/>
    <w:rsid w:val="00512ACA"/>
    <w:rsid w:val="00516072"/>
    <w:rsid w:val="0052105F"/>
    <w:rsid w:val="005256C1"/>
    <w:rsid w:val="00526327"/>
    <w:rsid w:val="005332EC"/>
    <w:rsid w:val="00534418"/>
    <w:rsid w:val="005353AB"/>
    <w:rsid w:val="005426FC"/>
    <w:rsid w:val="00544B71"/>
    <w:rsid w:val="00551818"/>
    <w:rsid w:val="00551E2E"/>
    <w:rsid w:val="005560BC"/>
    <w:rsid w:val="005573BE"/>
    <w:rsid w:val="0056757A"/>
    <w:rsid w:val="00572700"/>
    <w:rsid w:val="00577AC1"/>
    <w:rsid w:val="00580468"/>
    <w:rsid w:val="00581BBE"/>
    <w:rsid w:val="00582231"/>
    <w:rsid w:val="0058310B"/>
    <w:rsid w:val="0058603B"/>
    <w:rsid w:val="00590604"/>
    <w:rsid w:val="0059431B"/>
    <w:rsid w:val="005947C5"/>
    <w:rsid w:val="00594B6F"/>
    <w:rsid w:val="00596C27"/>
    <w:rsid w:val="005A39CC"/>
    <w:rsid w:val="005A3B94"/>
    <w:rsid w:val="005A4CBB"/>
    <w:rsid w:val="005A4EE7"/>
    <w:rsid w:val="005A53B8"/>
    <w:rsid w:val="005B4730"/>
    <w:rsid w:val="005C28BD"/>
    <w:rsid w:val="005C62AD"/>
    <w:rsid w:val="005C7000"/>
    <w:rsid w:val="005C795B"/>
    <w:rsid w:val="005D0F0A"/>
    <w:rsid w:val="005D2DEC"/>
    <w:rsid w:val="005D4A6E"/>
    <w:rsid w:val="005D6031"/>
    <w:rsid w:val="005E05D7"/>
    <w:rsid w:val="005E1FE5"/>
    <w:rsid w:val="005E2788"/>
    <w:rsid w:val="005E29B4"/>
    <w:rsid w:val="005E4116"/>
    <w:rsid w:val="005E41E7"/>
    <w:rsid w:val="005E450F"/>
    <w:rsid w:val="005E4B11"/>
    <w:rsid w:val="005E523E"/>
    <w:rsid w:val="005E6B01"/>
    <w:rsid w:val="005F267D"/>
    <w:rsid w:val="005F7935"/>
    <w:rsid w:val="0060130B"/>
    <w:rsid w:val="00603FAD"/>
    <w:rsid w:val="00606E9C"/>
    <w:rsid w:val="00621612"/>
    <w:rsid w:val="00621650"/>
    <w:rsid w:val="0062298A"/>
    <w:rsid w:val="00626514"/>
    <w:rsid w:val="00626589"/>
    <w:rsid w:val="006305BC"/>
    <w:rsid w:val="006339A0"/>
    <w:rsid w:val="00634C89"/>
    <w:rsid w:val="006413A8"/>
    <w:rsid w:val="00642E56"/>
    <w:rsid w:val="00647FBF"/>
    <w:rsid w:val="00651E00"/>
    <w:rsid w:val="0066452B"/>
    <w:rsid w:val="00665C50"/>
    <w:rsid w:val="006715E9"/>
    <w:rsid w:val="00674572"/>
    <w:rsid w:val="00681ED2"/>
    <w:rsid w:val="0068434B"/>
    <w:rsid w:val="00687763"/>
    <w:rsid w:val="00692B0D"/>
    <w:rsid w:val="00693E0E"/>
    <w:rsid w:val="00694DFF"/>
    <w:rsid w:val="00697C6E"/>
    <w:rsid w:val="006A1AE3"/>
    <w:rsid w:val="006A1F2B"/>
    <w:rsid w:val="006B382C"/>
    <w:rsid w:val="006B7527"/>
    <w:rsid w:val="006C30E1"/>
    <w:rsid w:val="006C4607"/>
    <w:rsid w:val="006D0181"/>
    <w:rsid w:val="006D48F1"/>
    <w:rsid w:val="006D496A"/>
    <w:rsid w:val="006E42C0"/>
    <w:rsid w:val="006E612C"/>
    <w:rsid w:val="006E6A7B"/>
    <w:rsid w:val="006F28C9"/>
    <w:rsid w:val="006F45BE"/>
    <w:rsid w:val="006F5F3E"/>
    <w:rsid w:val="007004FC"/>
    <w:rsid w:val="0070221E"/>
    <w:rsid w:val="00703630"/>
    <w:rsid w:val="00704267"/>
    <w:rsid w:val="00706257"/>
    <w:rsid w:val="00706670"/>
    <w:rsid w:val="007072D6"/>
    <w:rsid w:val="007104DB"/>
    <w:rsid w:val="00711F59"/>
    <w:rsid w:val="00712204"/>
    <w:rsid w:val="00715166"/>
    <w:rsid w:val="007233E0"/>
    <w:rsid w:val="0072417C"/>
    <w:rsid w:val="0072583C"/>
    <w:rsid w:val="00727043"/>
    <w:rsid w:val="007338FC"/>
    <w:rsid w:val="00734450"/>
    <w:rsid w:val="00737BE9"/>
    <w:rsid w:val="0074171F"/>
    <w:rsid w:val="00745F67"/>
    <w:rsid w:val="0075039E"/>
    <w:rsid w:val="00751353"/>
    <w:rsid w:val="00752D9D"/>
    <w:rsid w:val="00753F13"/>
    <w:rsid w:val="00754784"/>
    <w:rsid w:val="00757C6E"/>
    <w:rsid w:val="00762BDA"/>
    <w:rsid w:val="007650C7"/>
    <w:rsid w:val="007701DE"/>
    <w:rsid w:val="00771C00"/>
    <w:rsid w:val="00774021"/>
    <w:rsid w:val="007805FD"/>
    <w:rsid w:val="00784422"/>
    <w:rsid w:val="00787D46"/>
    <w:rsid w:val="007939BD"/>
    <w:rsid w:val="00794411"/>
    <w:rsid w:val="0079482A"/>
    <w:rsid w:val="0079527F"/>
    <w:rsid w:val="00797BEF"/>
    <w:rsid w:val="007A0762"/>
    <w:rsid w:val="007A5E80"/>
    <w:rsid w:val="007B32DF"/>
    <w:rsid w:val="007B391A"/>
    <w:rsid w:val="007B3B54"/>
    <w:rsid w:val="007B3FA0"/>
    <w:rsid w:val="007C07D9"/>
    <w:rsid w:val="007C0F2C"/>
    <w:rsid w:val="007C2BCC"/>
    <w:rsid w:val="007C2C75"/>
    <w:rsid w:val="007C4EF0"/>
    <w:rsid w:val="007C6348"/>
    <w:rsid w:val="007D07D1"/>
    <w:rsid w:val="007D099D"/>
    <w:rsid w:val="007D5B43"/>
    <w:rsid w:val="007E2664"/>
    <w:rsid w:val="007E3ABF"/>
    <w:rsid w:val="007E3CA7"/>
    <w:rsid w:val="007E49D5"/>
    <w:rsid w:val="007E5BFA"/>
    <w:rsid w:val="007E6689"/>
    <w:rsid w:val="007E731C"/>
    <w:rsid w:val="007F0224"/>
    <w:rsid w:val="007F0A03"/>
    <w:rsid w:val="007F122C"/>
    <w:rsid w:val="007F7437"/>
    <w:rsid w:val="00802A27"/>
    <w:rsid w:val="008059B5"/>
    <w:rsid w:val="00805EDB"/>
    <w:rsid w:val="00806166"/>
    <w:rsid w:val="00810040"/>
    <w:rsid w:val="00810404"/>
    <w:rsid w:val="00811DD4"/>
    <w:rsid w:val="0081277F"/>
    <w:rsid w:val="008139FD"/>
    <w:rsid w:val="00815230"/>
    <w:rsid w:val="0081578A"/>
    <w:rsid w:val="0082023A"/>
    <w:rsid w:val="00821A7A"/>
    <w:rsid w:val="008225EE"/>
    <w:rsid w:val="008253F8"/>
    <w:rsid w:val="0082626E"/>
    <w:rsid w:val="00831170"/>
    <w:rsid w:val="00831438"/>
    <w:rsid w:val="008325E4"/>
    <w:rsid w:val="00832720"/>
    <w:rsid w:val="00832A2B"/>
    <w:rsid w:val="0083311D"/>
    <w:rsid w:val="00843277"/>
    <w:rsid w:val="008457A4"/>
    <w:rsid w:val="00845811"/>
    <w:rsid w:val="008458A6"/>
    <w:rsid w:val="00846994"/>
    <w:rsid w:val="00850451"/>
    <w:rsid w:val="00851D24"/>
    <w:rsid w:val="00852042"/>
    <w:rsid w:val="008534C9"/>
    <w:rsid w:val="0085599D"/>
    <w:rsid w:val="00861E40"/>
    <w:rsid w:val="00871D1A"/>
    <w:rsid w:val="0087328C"/>
    <w:rsid w:val="00873485"/>
    <w:rsid w:val="00873C8E"/>
    <w:rsid w:val="0087510C"/>
    <w:rsid w:val="008843CE"/>
    <w:rsid w:val="00885CEA"/>
    <w:rsid w:val="008968D2"/>
    <w:rsid w:val="0089738E"/>
    <w:rsid w:val="008A10CB"/>
    <w:rsid w:val="008A2157"/>
    <w:rsid w:val="008A32FF"/>
    <w:rsid w:val="008A5C4B"/>
    <w:rsid w:val="008A6561"/>
    <w:rsid w:val="008B3C09"/>
    <w:rsid w:val="008B5FDB"/>
    <w:rsid w:val="008C50F4"/>
    <w:rsid w:val="008C5649"/>
    <w:rsid w:val="008C697B"/>
    <w:rsid w:val="008D276A"/>
    <w:rsid w:val="008D379C"/>
    <w:rsid w:val="008D4DEC"/>
    <w:rsid w:val="008D601B"/>
    <w:rsid w:val="008E117D"/>
    <w:rsid w:val="008E44A2"/>
    <w:rsid w:val="008E50A8"/>
    <w:rsid w:val="008E697D"/>
    <w:rsid w:val="008E6FBE"/>
    <w:rsid w:val="00903263"/>
    <w:rsid w:val="00906A21"/>
    <w:rsid w:val="009079C3"/>
    <w:rsid w:val="00910462"/>
    <w:rsid w:val="0091161B"/>
    <w:rsid w:val="00915AB1"/>
    <w:rsid w:val="00915EAB"/>
    <w:rsid w:val="00917532"/>
    <w:rsid w:val="009202EE"/>
    <w:rsid w:val="00922829"/>
    <w:rsid w:val="00922FF1"/>
    <w:rsid w:val="009235BA"/>
    <w:rsid w:val="00924023"/>
    <w:rsid w:val="00924CE2"/>
    <w:rsid w:val="009257A9"/>
    <w:rsid w:val="00925B9F"/>
    <w:rsid w:val="00927257"/>
    <w:rsid w:val="00930B6D"/>
    <w:rsid w:val="00931AED"/>
    <w:rsid w:val="00931D35"/>
    <w:rsid w:val="0093732A"/>
    <w:rsid w:val="009426E9"/>
    <w:rsid w:val="009476A3"/>
    <w:rsid w:val="00950977"/>
    <w:rsid w:val="0095334F"/>
    <w:rsid w:val="009543EC"/>
    <w:rsid w:val="00965897"/>
    <w:rsid w:val="0096765C"/>
    <w:rsid w:val="00967762"/>
    <w:rsid w:val="009677ED"/>
    <w:rsid w:val="0097238D"/>
    <w:rsid w:val="009727E4"/>
    <w:rsid w:val="0097297B"/>
    <w:rsid w:val="00977270"/>
    <w:rsid w:val="009802DD"/>
    <w:rsid w:val="0098742E"/>
    <w:rsid w:val="009926AD"/>
    <w:rsid w:val="009934C5"/>
    <w:rsid w:val="00994C0F"/>
    <w:rsid w:val="009A0353"/>
    <w:rsid w:val="009A067E"/>
    <w:rsid w:val="009A1B85"/>
    <w:rsid w:val="009A5A45"/>
    <w:rsid w:val="009A6361"/>
    <w:rsid w:val="009B1BF6"/>
    <w:rsid w:val="009B22D7"/>
    <w:rsid w:val="009B2745"/>
    <w:rsid w:val="009B5ADC"/>
    <w:rsid w:val="009B72ED"/>
    <w:rsid w:val="009C20B6"/>
    <w:rsid w:val="009C53DB"/>
    <w:rsid w:val="009C6DEB"/>
    <w:rsid w:val="009D6504"/>
    <w:rsid w:val="009E12D7"/>
    <w:rsid w:val="009E661A"/>
    <w:rsid w:val="009E6A86"/>
    <w:rsid w:val="009E7437"/>
    <w:rsid w:val="009F7769"/>
    <w:rsid w:val="00A06781"/>
    <w:rsid w:val="00A071B2"/>
    <w:rsid w:val="00A074C3"/>
    <w:rsid w:val="00A11062"/>
    <w:rsid w:val="00A12935"/>
    <w:rsid w:val="00A14E70"/>
    <w:rsid w:val="00A1509C"/>
    <w:rsid w:val="00A16F4B"/>
    <w:rsid w:val="00A20B20"/>
    <w:rsid w:val="00A21C8A"/>
    <w:rsid w:val="00A22230"/>
    <w:rsid w:val="00A249B9"/>
    <w:rsid w:val="00A30577"/>
    <w:rsid w:val="00A34260"/>
    <w:rsid w:val="00A36F16"/>
    <w:rsid w:val="00A4190A"/>
    <w:rsid w:val="00A460E6"/>
    <w:rsid w:val="00A46336"/>
    <w:rsid w:val="00A46D3C"/>
    <w:rsid w:val="00A54D0A"/>
    <w:rsid w:val="00A5522E"/>
    <w:rsid w:val="00A5581F"/>
    <w:rsid w:val="00A63268"/>
    <w:rsid w:val="00A70CFD"/>
    <w:rsid w:val="00A70F16"/>
    <w:rsid w:val="00A714E9"/>
    <w:rsid w:val="00A72A0B"/>
    <w:rsid w:val="00A74E07"/>
    <w:rsid w:val="00A80518"/>
    <w:rsid w:val="00A8125C"/>
    <w:rsid w:val="00A81E42"/>
    <w:rsid w:val="00A83BF5"/>
    <w:rsid w:val="00A864FE"/>
    <w:rsid w:val="00A86F41"/>
    <w:rsid w:val="00A87D04"/>
    <w:rsid w:val="00A9014A"/>
    <w:rsid w:val="00A94E4B"/>
    <w:rsid w:val="00A950C5"/>
    <w:rsid w:val="00A953A6"/>
    <w:rsid w:val="00A95F38"/>
    <w:rsid w:val="00A96C60"/>
    <w:rsid w:val="00AA19F9"/>
    <w:rsid w:val="00AA1D25"/>
    <w:rsid w:val="00AA31BB"/>
    <w:rsid w:val="00AA41A2"/>
    <w:rsid w:val="00AA52A9"/>
    <w:rsid w:val="00AA5AA2"/>
    <w:rsid w:val="00AA5F5C"/>
    <w:rsid w:val="00AB015A"/>
    <w:rsid w:val="00AB028F"/>
    <w:rsid w:val="00AB2B1A"/>
    <w:rsid w:val="00AB397F"/>
    <w:rsid w:val="00AB5832"/>
    <w:rsid w:val="00AC51F2"/>
    <w:rsid w:val="00AC7B48"/>
    <w:rsid w:val="00AD1E34"/>
    <w:rsid w:val="00AD3269"/>
    <w:rsid w:val="00AD43AC"/>
    <w:rsid w:val="00AD44CB"/>
    <w:rsid w:val="00AD62A1"/>
    <w:rsid w:val="00AD6528"/>
    <w:rsid w:val="00AE0726"/>
    <w:rsid w:val="00AE1FDB"/>
    <w:rsid w:val="00AE4599"/>
    <w:rsid w:val="00AE5066"/>
    <w:rsid w:val="00AE5E24"/>
    <w:rsid w:val="00AE61B7"/>
    <w:rsid w:val="00AE6CBA"/>
    <w:rsid w:val="00AE79AD"/>
    <w:rsid w:val="00AE7C40"/>
    <w:rsid w:val="00AF35E4"/>
    <w:rsid w:val="00AF4F1F"/>
    <w:rsid w:val="00AF50C3"/>
    <w:rsid w:val="00AF5CDE"/>
    <w:rsid w:val="00B0626C"/>
    <w:rsid w:val="00B069D7"/>
    <w:rsid w:val="00B07682"/>
    <w:rsid w:val="00B11A57"/>
    <w:rsid w:val="00B13208"/>
    <w:rsid w:val="00B171A4"/>
    <w:rsid w:val="00B17C99"/>
    <w:rsid w:val="00B211C3"/>
    <w:rsid w:val="00B2317D"/>
    <w:rsid w:val="00B23F47"/>
    <w:rsid w:val="00B244D1"/>
    <w:rsid w:val="00B24CC9"/>
    <w:rsid w:val="00B25597"/>
    <w:rsid w:val="00B25B36"/>
    <w:rsid w:val="00B267B9"/>
    <w:rsid w:val="00B2698D"/>
    <w:rsid w:val="00B302BF"/>
    <w:rsid w:val="00B32DBB"/>
    <w:rsid w:val="00B33E09"/>
    <w:rsid w:val="00B34D14"/>
    <w:rsid w:val="00B4627B"/>
    <w:rsid w:val="00B47C62"/>
    <w:rsid w:val="00B50708"/>
    <w:rsid w:val="00B50C68"/>
    <w:rsid w:val="00B50E24"/>
    <w:rsid w:val="00B51293"/>
    <w:rsid w:val="00B51B35"/>
    <w:rsid w:val="00B52B1E"/>
    <w:rsid w:val="00B55481"/>
    <w:rsid w:val="00B56C32"/>
    <w:rsid w:val="00B57ACF"/>
    <w:rsid w:val="00B60770"/>
    <w:rsid w:val="00B64BB1"/>
    <w:rsid w:val="00B71F6E"/>
    <w:rsid w:val="00B73166"/>
    <w:rsid w:val="00B73573"/>
    <w:rsid w:val="00B77676"/>
    <w:rsid w:val="00B8426C"/>
    <w:rsid w:val="00B87B6D"/>
    <w:rsid w:val="00B915CF"/>
    <w:rsid w:val="00B91B8D"/>
    <w:rsid w:val="00B9346C"/>
    <w:rsid w:val="00B9481A"/>
    <w:rsid w:val="00B94E90"/>
    <w:rsid w:val="00B9580D"/>
    <w:rsid w:val="00B96E07"/>
    <w:rsid w:val="00BA3134"/>
    <w:rsid w:val="00BA3A03"/>
    <w:rsid w:val="00BA4296"/>
    <w:rsid w:val="00BA4CC0"/>
    <w:rsid w:val="00BA5400"/>
    <w:rsid w:val="00BA6308"/>
    <w:rsid w:val="00BA63A7"/>
    <w:rsid w:val="00BA7FB2"/>
    <w:rsid w:val="00BB0A82"/>
    <w:rsid w:val="00BB1850"/>
    <w:rsid w:val="00BB405A"/>
    <w:rsid w:val="00BB66FA"/>
    <w:rsid w:val="00BB7930"/>
    <w:rsid w:val="00BB7C94"/>
    <w:rsid w:val="00BC0A9D"/>
    <w:rsid w:val="00BC5588"/>
    <w:rsid w:val="00BD447A"/>
    <w:rsid w:val="00BD5E24"/>
    <w:rsid w:val="00BE09EA"/>
    <w:rsid w:val="00BE1B4A"/>
    <w:rsid w:val="00BE3315"/>
    <w:rsid w:val="00BE4AE2"/>
    <w:rsid w:val="00BE707A"/>
    <w:rsid w:val="00BF01DB"/>
    <w:rsid w:val="00BF0C5D"/>
    <w:rsid w:val="00BF37BD"/>
    <w:rsid w:val="00BF40ED"/>
    <w:rsid w:val="00BF5BC2"/>
    <w:rsid w:val="00C1133D"/>
    <w:rsid w:val="00C15032"/>
    <w:rsid w:val="00C15E18"/>
    <w:rsid w:val="00C2127F"/>
    <w:rsid w:val="00C21977"/>
    <w:rsid w:val="00C27A08"/>
    <w:rsid w:val="00C31312"/>
    <w:rsid w:val="00C31E36"/>
    <w:rsid w:val="00C3227B"/>
    <w:rsid w:val="00C326C6"/>
    <w:rsid w:val="00C35295"/>
    <w:rsid w:val="00C36ADD"/>
    <w:rsid w:val="00C36E74"/>
    <w:rsid w:val="00C401C7"/>
    <w:rsid w:val="00C40595"/>
    <w:rsid w:val="00C40F32"/>
    <w:rsid w:val="00C41621"/>
    <w:rsid w:val="00C41861"/>
    <w:rsid w:val="00C43476"/>
    <w:rsid w:val="00C449FA"/>
    <w:rsid w:val="00C472EA"/>
    <w:rsid w:val="00C50194"/>
    <w:rsid w:val="00C52F74"/>
    <w:rsid w:val="00C5384F"/>
    <w:rsid w:val="00C55CF3"/>
    <w:rsid w:val="00C56964"/>
    <w:rsid w:val="00C627F0"/>
    <w:rsid w:val="00C656D5"/>
    <w:rsid w:val="00C67103"/>
    <w:rsid w:val="00C679B7"/>
    <w:rsid w:val="00C71BB9"/>
    <w:rsid w:val="00C74058"/>
    <w:rsid w:val="00C90BBC"/>
    <w:rsid w:val="00C921B7"/>
    <w:rsid w:val="00C93F0D"/>
    <w:rsid w:val="00C93FA7"/>
    <w:rsid w:val="00C94C28"/>
    <w:rsid w:val="00C97853"/>
    <w:rsid w:val="00CA24B4"/>
    <w:rsid w:val="00CB0247"/>
    <w:rsid w:val="00CB3440"/>
    <w:rsid w:val="00CB3994"/>
    <w:rsid w:val="00CB47C7"/>
    <w:rsid w:val="00CC1692"/>
    <w:rsid w:val="00CC16B6"/>
    <w:rsid w:val="00CC1E0A"/>
    <w:rsid w:val="00CC391A"/>
    <w:rsid w:val="00CC4263"/>
    <w:rsid w:val="00CC5236"/>
    <w:rsid w:val="00CC637B"/>
    <w:rsid w:val="00CD1346"/>
    <w:rsid w:val="00CD138B"/>
    <w:rsid w:val="00CD3E31"/>
    <w:rsid w:val="00CD74A3"/>
    <w:rsid w:val="00CD76EE"/>
    <w:rsid w:val="00CE0527"/>
    <w:rsid w:val="00CE2BE6"/>
    <w:rsid w:val="00CE4665"/>
    <w:rsid w:val="00CE5B23"/>
    <w:rsid w:val="00CE5EF3"/>
    <w:rsid w:val="00CE671C"/>
    <w:rsid w:val="00CF0725"/>
    <w:rsid w:val="00CF3BF7"/>
    <w:rsid w:val="00CF5BD1"/>
    <w:rsid w:val="00CF5D42"/>
    <w:rsid w:val="00CF70AD"/>
    <w:rsid w:val="00CF7729"/>
    <w:rsid w:val="00CF7D97"/>
    <w:rsid w:val="00D00059"/>
    <w:rsid w:val="00D0040A"/>
    <w:rsid w:val="00D02283"/>
    <w:rsid w:val="00D02404"/>
    <w:rsid w:val="00D052E1"/>
    <w:rsid w:val="00D072A9"/>
    <w:rsid w:val="00D107FA"/>
    <w:rsid w:val="00D12275"/>
    <w:rsid w:val="00D126EF"/>
    <w:rsid w:val="00D12766"/>
    <w:rsid w:val="00D13196"/>
    <w:rsid w:val="00D14699"/>
    <w:rsid w:val="00D14869"/>
    <w:rsid w:val="00D16E69"/>
    <w:rsid w:val="00D16EF1"/>
    <w:rsid w:val="00D16F79"/>
    <w:rsid w:val="00D17ABF"/>
    <w:rsid w:val="00D17D2C"/>
    <w:rsid w:val="00D20FF4"/>
    <w:rsid w:val="00D2417D"/>
    <w:rsid w:val="00D24C1C"/>
    <w:rsid w:val="00D24D2C"/>
    <w:rsid w:val="00D35881"/>
    <w:rsid w:val="00D36317"/>
    <w:rsid w:val="00D43F1B"/>
    <w:rsid w:val="00D4784F"/>
    <w:rsid w:val="00D519B2"/>
    <w:rsid w:val="00D54BCE"/>
    <w:rsid w:val="00D62374"/>
    <w:rsid w:val="00D65367"/>
    <w:rsid w:val="00D657D7"/>
    <w:rsid w:val="00D667C2"/>
    <w:rsid w:val="00D76C6A"/>
    <w:rsid w:val="00D82DB6"/>
    <w:rsid w:val="00D83B61"/>
    <w:rsid w:val="00D84B7F"/>
    <w:rsid w:val="00D92E5E"/>
    <w:rsid w:val="00D948BC"/>
    <w:rsid w:val="00D97B62"/>
    <w:rsid w:val="00DA0E01"/>
    <w:rsid w:val="00DA34A8"/>
    <w:rsid w:val="00DA6846"/>
    <w:rsid w:val="00DA6AF4"/>
    <w:rsid w:val="00DA7DA5"/>
    <w:rsid w:val="00DB073B"/>
    <w:rsid w:val="00DB0BC2"/>
    <w:rsid w:val="00DB78F0"/>
    <w:rsid w:val="00DC0234"/>
    <w:rsid w:val="00DC0CEA"/>
    <w:rsid w:val="00DC2E43"/>
    <w:rsid w:val="00DC5426"/>
    <w:rsid w:val="00DD095C"/>
    <w:rsid w:val="00DD1020"/>
    <w:rsid w:val="00DD1330"/>
    <w:rsid w:val="00DD2805"/>
    <w:rsid w:val="00DD2BEA"/>
    <w:rsid w:val="00DE0B83"/>
    <w:rsid w:val="00DE1A81"/>
    <w:rsid w:val="00DE1C13"/>
    <w:rsid w:val="00DE4E10"/>
    <w:rsid w:val="00DE6D36"/>
    <w:rsid w:val="00DF2C9F"/>
    <w:rsid w:val="00E02ABF"/>
    <w:rsid w:val="00E04AE0"/>
    <w:rsid w:val="00E07E54"/>
    <w:rsid w:val="00E14995"/>
    <w:rsid w:val="00E179CD"/>
    <w:rsid w:val="00E23D82"/>
    <w:rsid w:val="00E23E8D"/>
    <w:rsid w:val="00E2556C"/>
    <w:rsid w:val="00E27AFF"/>
    <w:rsid w:val="00E317CE"/>
    <w:rsid w:val="00E35755"/>
    <w:rsid w:val="00E35AC3"/>
    <w:rsid w:val="00E37F98"/>
    <w:rsid w:val="00E46559"/>
    <w:rsid w:val="00E503DC"/>
    <w:rsid w:val="00E55F9E"/>
    <w:rsid w:val="00E5700C"/>
    <w:rsid w:val="00E5736A"/>
    <w:rsid w:val="00E61116"/>
    <w:rsid w:val="00E6670C"/>
    <w:rsid w:val="00E667F2"/>
    <w:rsid w:val="00E72EDB"/>
    <w:rsid w:val="00E776E8"/>
    <w:rsid w:val="00E9069A"/>
    <w:rsid w:val="00E916F3"/>
    <w:rsid w:val="00E92C1F"/>
    <w:rsid w:val="00E946E7"/>
    <w:rsid w:val="00E95D4B"/>
    <w:rsid w:val="00E9693C"/>
    <w:rsid w:val="00EA2A60"/>
    <w:rsid w:val="00EA3DAA"/>
    <w:rsid w:val="00EB199F"/>
    <w:rsid w:val="00EB1E78"/>
    <w:rsid w:val="00EB6EA4"/>
    <w:rsid w:val="00EC23F7"/>
    <w:rsid w:val="00EC48A5"/>
    <w:rsid w:val="00EC4BD8"/>
    <w:rsid w:val="00EC4FC6"/>
    <w:rsid w:val="00EC58D2"/>
    <w:rsid w:val="00EC63EB"/>
    <w:rsid w:val="00EC74EF"/>
    <w:rsid w:val="00ED412F"/>
    <w:rsid w:val="00EE0879"/>
    <w:rsid w:val="00EE30BE"/>
    <w:rsid w:val="00EE46E6"/>
    <w:rsid w:val="00EF148B"/>
    <w:rsid w:val="00EF36B2"/>
    <w:rsid w:val="00EF6727"/>
    <w:rsid w:val="00F018F4"/>
    <w:rsid w:val="00F05E72"/>
    <w:rsid w:val="00F1246B"/>
    <w:rsid w:val="00F12AF2"/>
    <w:rsid w:val="00F13273"/>
    <w:rsid w:val="00F201EC"/>
    <w:rsid w:val="00F208A9"/>
    <w:rsid w:val="00F22FE5"/>
    <w:rsid w:val="00F2552A"/>
    <w:rsid w:val="00F25EC3"/>
    <w:rsid w:val="00F30A4D"/>
    <w:rsid w:val="00F31E28"/>
    <w:rsid w:val="00F41D75"/>
    <w:rsid w:val="00F42BDA"/>
    <w:rsid w:val="00F45A52"/>
    <w:rsid w:val="00F45B3B"/>
    <w:rsid w:val="00F511E9"/>
    <w:rsid w:val="00F5139D"/>
    <w:rsid w:val="00F53ABD"/>
    <w:rsid w:val="00F55E53"/>
    <w:rsid w:val="00F566AD"/>
    <w:rsid w:val="00F613F1"/>
    <w:rsid w:val="00F63DAC"/>
    <w:rsid w:val="00F66191"/>
    <w:rsid w:val="00F66798"/>
    <w:rsid w:val="00F735E4"/>
    <w:rsid w:val="00F7454F"/>
    <w:rsid w:val="00F77988"/>
    <w:rsid w:val="00F77F48"/>
    <w:rsid w:val="00F82109"/>
    <w:rsid w:val="00F83E34"/>
    <w:rsid w:val="00F846C7"/>
    <w:rsid w:val="00F8731A"/>
    <w:rsid w:val="00F9132F"/>
    <w:rsid w:val="00F91838"/>
    <w:rsid w:val="00F929BF"/>
    <w:rsid w:val="00F96372"/>
    <w:rsid w:val="00F97C00"/>
    <w:rsid w:val="00FA7930"/>
    <w:rsid w:val="00FB2199"/>
    <w:rsid w:val="00FB30F1"/>
    <w:rsid w:val="00FB470E"/>
    <w:rsid w:val="00FB53E7"/>
    <w:rsid w:val="00FD2672"/>
    <w:rsid w:val="00FD2A8A"/>
    <w:rsid w:val="00FD4389"/>
    <w:rsid w:val="00FD78E1"/>
    <w:rsid w:val="00FE429D"/>
    <w:rsid w:val="00FE7BE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aatkpe2">
    <w:name w:val="Body Text Indent 2"/>
    <w:basedOn w:val="Parasts"/>
    <w:link w:val="Pamattekstaatkpe2Rakstz"/>
    <w:rsid w:val="008059B5"/>
    <w:pPr>
      <w:spacing w:after="120" w:line="480" w:lineRule="auto"/>
      <w:ind w:left="283"/>
    </w:pPr>
    <w:rPr>
      <w:rFonts w:eastAsia="Calibri"/>
    </w:rPr>
  </w:style>
  <w:style w:type="character" w:customStyle="1" w:styleId="Pamattekstaatkpe2Rakstz">
    <w:name w:val="Pamatteksta atkāpe 2 Rakstz."/>
    <w:basedOn w:val="Noklusjumarindkopasfonts"/>
    <w:link w:val="Pamattekstaatkpe2"/>
    <w:rsid w:val="008059B5"/>
    <w:rPr>
      <w:rFonts w:eastAsia="Calibri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B069D7"/>
    <w:rPr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24BBF"/>
    <w:rPr>
      <w:b/>
      <w:bCs/>
    </w:rPr>
  </w:style>
  <w:style w:type="character" w:customStyle="1" w:styleId="Bodytext6">
    <w:name w:val="Body text (6)_"/>
    <w:basedOn w:val="Noklusjumarindkopasfonts"/>
    <w:link w:val="Bodytext60"/>
    <w:rsid w:val="00810404"/>
    <w:rPr>
      <w:shd w:val="clear" w:color="auto" w:fill="FFFFFF"/>
    </w:rPr>
  </w:style>
  <w:style w:type="character" w:customStyle="1" w:styleId="Bodytext6Bold">
    <w:name w:val="Body text (6) + Bold"/>
    <w:basedOn w:val="Bodytext6"/>
    <w:rsid w:val="00810404"/>
    <w:rPr>
      <w:b/>
      <w:bCs/>
      <w:shd w:val="clear" w:color="auto" w:fill="FFFFFF"/>
    </w:rPr>
  </w:style>
  <w:style w:type="paragraph" w:customStyle="1" w:styleId="Bodytext60">
    <w:name w:val="Body text (6)"/>
    <w:basedOn w:val="Parasts"/>
    <w:link w:val="Bodytext6"/>
    <w:rsid w:val="00810404"/>
    <w:pPr>
      <w:shd w:val="clear" w:color="auto" w:fill="FFFFFF"/>
      <w:spacing w:before="900" w:after="60" w:line="259" w:lineRule="exact"/>
      <w:jc w:val="both"/>
    </w:pPr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1C2654"/>
    <w:pPr>
      <w:overflowPunct w:val="0"/>
      <w:autoSpaceDE w:val="0"/>
      <w:autoSpaceDN w:val="0"/>
      <w:adjustRightInd w:val="0"/>
      <w:spacing w:after="120"/>
      <w:ind w:left="720" w:firstLine="720"/>
      <w:contextualSpacing/>
      <w:jc w:val="both"/>
      <w:textAlignment w:val="baseline"/>
    </w:pPr>
    <w:rPr>
      <w:szCs w:val="20"/>
      <w:lang w:val="en-GB"/>
    </w:rPr>
  </w:style>
  <w:style w:type="character" w:styleId="Izclums">
    <w:name w:val="Emphasis"/>
    <w:basedOn w:val="Noklusjumarindkopasfonts"/>
    <w:uiPriority w:val="20"/>
    <w:qFormat/>
    <w:rsid w:val="00CC16B6"/>
    <w:rPr>
      <w:b/>
      <w:bCs/>
      <w:i w:val="0"/>
      <w:iCs w:val="0"/>
    </w:rPr>
  </w:style>
  <w:style w:type="paragraph" w:customStyle="1" w:styleId="tv213">
    <w:name w:val="tv213"/>
    <w:basedOn w:val="Parasts"/>
    <w:rsid w:val="00BF0C5D"/>
    <w:pPr>
      <w:spacing w:before="100" w:beforeAutospacing="1" w:after="100" w:afterAutospacing="1"/>
      <w:jc w:val="both"/>
    </w:pPr>
    <w:rPr>
      <w:lang w:val="en-US" w:eastAsia="en-US"/>
    </w:rPr>
  </w:style>
  <w:style w:type="paragraph" w:styleId="Nosaukums">
    <w:name w:val="Title"/>
    <w:basedOn w:val="Parasts"/>
    <w:link w:val="NosaukumsRakstz"/>
    <w:qFormat/>
    <w:rsid w:val="005E4116"/>
    <w:pPr>
      <w:jc w:val="center"/>
    </w:pPr>
    <w:rPr>
      <w:rFonts w:ascii="Arial" w:hAnsi="Arial" w:cs="Arial"/>
      <w:sz w:val="28"/>
      <w:szCs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5E4116"/>
    <w:rPr>
      <w:rFonts w:ascii="Arial" w:hAnsi="Arial" w:cs="Arial"/>
      <w:sz w:val="28"/>
      <w:szCs w:val="28"/>
      <w:lang w:eastAsia="en-US"/>
    </w:rPr>
  </w:style>
  <w:style w:type="paragraph" w:styleId="Pamatteksts">
    <w:name w:val="Body Text"/>
    <w:basedOn w:val="Parasts"/>
    <w:link w:val="PamattekstsRakstz"/>
    <w:rsid w:val="003A24F8"/>
    <w:pPr>
      <w:spacing w:after="120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rsid w:val="003A24F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aatkpe2">
    <w:name w:val="Body Text Indent 2"/>
    <w:basedOn w:val="Parasts"/>
    <w:link w:val="Pamattekstaatkpe2Rakstz"/>
    <w:rsid w:val="008059B5"/>
    <w:pPr>
      <w:spacing w:after="120" w:line="480" w:lineRule="auto"/>
      <w:ind w:left="283"/>
    </w:pPr>
    <w:rPr>
      <w:rFonts w:eastAsia="Calibri"/>
    </w:rPr>
  </w:style>
  <w:style w:type="character" w:customStyle="1" w:styleId="Pamattekstaatkpe2Rakstz">
    <w:name w:val="Pamatteksta atkāpe 2 Rakstz."/>
    <w:basedOn w:val="Noklusjumarindkopasfonts"/>
    <w:link w:val="Pamattekstaatkpe2"/>
    <w:rsid w:val="008059B5"/>
    <w:rPr>
      <w:rFonts w:eastAsia="Calibri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B069D7"/>
    <w:rPr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24BBF"/>
    <w:rPr>
      <w:b/>
      <w:bCs/>
    </w:rPr>
  </w:style>
  <w:style w:type="character" w:customStyle="1" w:styleId="Bodytext6">
    <w:name w:val="Body text (6)_"/>
    <w:basedOn w:val="Noklusjumarindkopasfonts"/>
    <w:link w:val="Bodytext60"/>
    <w:rsid w:val="00810404"/>
    <w:rPr>
      <w:shd w:val="clear" w:color="auto" w:fill="FFFFFF"/>
    </w:rPr>
  </w:style>
  <w:style w:type="character" w:customStyle="1" w:styleId="Bodytext6Bold">
    <w:name w:val="Body text (6) + Bold"/>
    <w:basedOn w:val="Bodytext6"/>
    <w:rsid w:val="00810404"/>
    <w:rPr>
      <w:b/>
      <w:bCs/>
      <w:shd w:val="clear" w:color="auto" w:fill="FFFFFF"/>
    </w:rPr>
  </w:style>
  <w:style w:type="paragraph" w:customStyle="1" w:styleId="Bodytext60">
    <w:name w:val="Body text (6)"/>
    <w:basedOn w:val="Parasts"/>
    <w:link w:val="Bodytext6"/>
    <w:rsid w:val="00810404"/>
    <w:pPr>
      <w:shd w:val="clear" w:color="auto" w:fill="FFFFFF"/>
      <w:spacing w:before="900" w:after="60" w:line="259" w:lineRule="exact"/>
      <w:jc w:val="both"/>
    </w:pPr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1C2654"/>
    <w:pPr>
      <w:overflowPunct w:val="0"/>
      <w:autoSpaceDE w:val="0"/>
      <w:autoSpaceDN w:val="0"/>
      <w:adjustRightInd w:val="0"/>
      <w:spacing w:after="120"/>
      <w:ind w:left="720" w:firstLine="720"/>
      <w:contextualSpacing/>
      <w:jc w:val="both"/>
      <w:textAlignment w:val="baseline"/>
    </w:pPr>
    <w:rPr>
      <w:szCs w:val="20"/>
      <w:lang w:val="en-GB"/>
    </w:rPr>
  </w:style>
  <w:style w:type="character" w:styleId="Izclums">
    <w:name w:val="Emphasis"/>
    <w:basedOn w:val="Noklusjumarindkopasfonts"/>
    <w:uiPriority w:val="20"/>
    <w:qFormat/>
    <w:rsid w:val="00CC16B6"/>
    <w:rPr>
      <w:b/>
      <w:bCs/>
      <w:i w:val="0"/>
      <w:iCs w:val="0"/>
    </w:rPr>
  </w:style>
  <w:style w:type="paragraph" w:customStyle="1" w:styleId="tv213">
    <w:name w:val="tv213"/>
    <w:basedOn w:val="Parasts"/>
    <w:rsid w:val="00BF0C5D"/>
    <w:pPr>
      <w:spacing w:before="100" w:beforeAutospacing="1" w:after="100" w:afterAutospacing="1"/>
      <w:jc w:val="both"/>
    </w:pPr>
    <w:rPr>
      <w:lang w:val="en-US" w:eastAsia="en-US"/>
    </w:rPr>
  </w:style>
  <w:style w:type="paragraph" w:styleId="Nosaukums">
    <w:name w:val="Title"/>
    <w:basedOn w:val="Parasts"/>
    <w:link w:val="NosaukumsRakstz"/>
    <w:qFormat/>
    <w:rsid w:val="005E4116"/>
    <w:pPr>
      <w:jc w:val="center"/>
    </w:pPr>
    <w:rPr>
      <w:rFonts w:ascii="Arial" w:hAnsi="Arial" w:cs="Arial"/>
      <w:sz w:val="28"/>
      <w:szCs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5E4116"/>
    <w:rPr>
      <w:rFonts w:ascii="Arial" w:hAnsi="Arial" w:cs="Arial"/>
      <w:sz w:val="28"/>
      <w:szCs w:val="28"/>
      <w:lang w:eastAsia="en-US"/>
    </w:rPr>
  </w:style>
  <w:style w:type="paragraph" w:styleId="Pamatteksts">
    <w:name w:val="Body Text"/>
    <w:basedOn w:val="Parasts"/>
    <w:link w:val="PamattekstsRakstz"/>
    <w:rsid w:val="003A24F8"/>
    <w:pPr>
      <w:spacing w:after="120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rsid w:val="003A24F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gurds.Pastars@lr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888A-2949-4FCC-BE16-70FB1FA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5906</Characters>
  <Application>Microsoft Office Word</Application>
  <DocSecurity>4</DocSecurity>
  <Lines>49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"Par finanšu līdzekļu piešķiršanu no valsts budžeta programmas "Līdzekļi neparedzētiem gadījumiem"" sākotnējās ietekmes novērtējuma ziņojums (anotācija)</vt:lpstr>
      <vt:lpstr>;  Ministru kabineta rīkojuma projekta "Par finanšu līdzekļu piešķiršanu no valsts budžeta programmas "Līdzekļi neparedzētiem gadījumiem"" sākotnējās ietekmes novērtējuma ziņojums (anotācija)</vt:lpstr>
    </vt:vector>
  </TitlesOfParts>
  <Company>LR Kultūras Ministrija</Company>
  <LinksUpToDate>false</LinksUpToDate>
  <CharactersWithSpaces>6758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finanšu līdzekļu piešķiršanu no valsts budžeta programmas "Līdzekļi neparedzētiem gadījumiem"" sākotnējās ietekmes novērtējuma ziņojums (anotācija)</dc:title>
  <dc:subject>Ministru kabineta rīkojuma projekta "Par finanšu līdzekļu piešķiršanu no valsts budžeta programmas "Līdzekļi neparedzētiem gadījumiem"" sākotnējās ietekmes novērtējuma ziņojums (anotācija)</dc:subject>
  <dc:creator>Ģenerālprokuratūra</dc:creator>
  <dc:description>Ineta Serjogina
67044512 
Ineta.Serjogina @lrp.gov.lv</dc:description>
  <cp:lastModifiedBy>Inese Zaca</cp:lastModifiedBy>
  <cp:revision>2</cp:revision>
  <cp:lastPrinted>2012-11-22T12:27:00Z</cp:lastPrinted>
  <dcterms:created xsi:type="dcterms:W3CDTF">2013-07-03T09:32:00Z</dcterms:created>
  <dcterms:modified xsi:type="dcterms:W3CDTF">2013-07-03T09:32:00Z</dcterms:modified>
</cp:coreProperties>
</file>