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24" w:rsidRPr="005D756B" w:rsidRDefault="007F0224" w:rsidP="0079482A">
      <w:pPr>
        <w:jc w:val="center"/>
        <w:outlineLvl w:val="0"/>
        <w:rPr>
          <w:b/>
        </w:rPr>
      </w:pPr>
      <w:bookmarkStart w:id="0" w:name="OLE_LINK3"/>
      <w:bookmarkStart w:id="1" w:name="OLE_LINK4"/>
      <w:r w:rsidRPr="005D756B">
        <w:rPr>
          <w:b/>
        </w:rPr>
        <w:t>Ministru kabineta rīkojuma projekta</w:t>
      </w:r>
    </w:p>
    <w:p w:rsidR="00E2556C" w:rsidRPr="005D756B" w:rsidRDefault="007F0224" w:rsidP="007F0224">
      <w:pPr>
        <w:jc w:val="center"/>
        <w:rPr>
          <w:b/>
        </w:rPr>
      </w:pPr>
      <w:r w:rsidRPr="005D756B">
        <w:rPr>
          <w:b/>
        </w:rPr>
        <w:t xml:space="preserve">„Par finanšu līdzekļu piešķiršanu no valsts budžeta programmas </w:t>
      </w:r>
    </w:p>
    <w:p w:rsidR="00AD1E34" w:rsidRPr="005D756B" w:rsidRDefault="007F0224" w:rsidP="00E2556C">
      <w:pPr>
        <w:jc w:val="center"/>
        <w:rPr>
          <w:b/>
        </w:rPr>
      </w:pPr>
      <w:r w:rsidRPr="005D756B">
        <w:rPr>
          <w:b/>
        </w:rPr>
        <w:t xml:space="preserve">„Līdzekļi neparedzētiem gadījumiem”” sākotnējās ietekmes novērtējuma </w:t>
      </w:r>
    </w:p>
    <w:p w:rsidR="00AD1E34" w:rsidRPr="005D756B" w:rsidRDefault="007F0224" w:rsidP="005E4B11">
      <w:pPr>
        <w:jc w:val="center"/>
        <w:rPr>
          <w:b/>
        </w:rPr>
      </w:pPr>
      <w:smartTag w:uri="schemas-tilde-lv/tildestengine" w:element="veidnes">
        <w:smartTagPr>
          <w:attr w:name="id" w:val="-1"/>
          <w:attr w:name="baseform" w:val="ziņojums"/>
          <w:attr w:name="text" w:val="ziņojums"/>
        </w:smartTagPr>
        <w:r w:rsidRPr="005D756B">
          <w:rPr>
            <w:b/>
          </w:rPr>
          <w:t>ziņojums</w:t>
        </w:r>
      </w:smartTag>
      <w:r w:rsidRPr="005D756B">
        <w:rPr>
          <w:b/>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2891"/>
        <w:gridCol w:w="5558"/>
      </w:tblGrid>
      <w:tr w:rsidR="00852042" w:rsidRPr="005D756B" w:rsidTr="00A8125C">
        <w:tc>
          <w:tcPr>
            <w:tcW w:w="5000" w:type="pct"/>
            <w:gridSpan w:val="3"/>
            <w:vAlign w:val="center"/>
          </w:tcPr>
          <w:p w:rsidR="00852042" w:rsidRPr="005D756B" w:rsidRDefault="00852042" w:rsidP="006C4607">
            <w:pPr>
              <w:pStyle w:val="naisnod"/>
              <w:spacing w:before="0" w:after="0"/>
            </w:pPr>
            <w:r w:rsidRPr="005D756B">
              <w:t>I</w:t>
            </w:r>
            <w:r w:rsidR="000941C5" w:rsidRPr="005D756B">
              <w:t>.</w:t>
            </w:r>
            <w:r w:rsidRPr="005D756B">
              <w:t xml:space="preserve"> Tiesību akta </w:t>
            </w:r>
            <w:r w:rsidR="002E3FF4" w:rsidRPr="005D756B">
              <w:t xml:space="preserve">projekta </w:t>
            </w:r>
            <w:r w:rsidRPr="005D756B">
              <w:t>izstrādes nepieciešamība</w:t>
            </w:r>
          </w:p>
        </w:tc>
      </w:tr>
      <w:tr w:rsidR="00262E2B" w:rsidRPr="005D756B" w:rsidTr="00A8125C">
        <w:trPr>
          <w:trHeight w:val="415"/>
        </w:trPr>
        <w:tc>
          <w:tcPr>
            <w:tcW w:w="348" w:type="pct"/>
          </w:tcPr>
          <w:p w:rsidR="00262E2B" w:rsidRPr="005D756B" w:rsidRDefault="00262E2B" w:rsidP="006C4607">
            <w:pPr>
              <w:pStyle w:val="naiskr"/>
              <w:spacing w:before="0" w:after="0"/>
            </w:pPr>
            <w:r w:rsidRPr="005D756B">
              <w:t>1.</w:t>
            </w:r>
          </w:p>
        </w:tc>
        <w:tc>
          <w:tcPr>
            <w:tcW w:w="1592" w:type="pct"/>
          </w:tcPr>
          <w:p w:rsidR="00262E2B" w:rsidRPr="005D756B" w:rsidRDefault="002D7F54" w:rsidP="006C4607">
            <w:pPr>
              <w:pStyle w:val="naiskr"/>
              <w:spacing w:before="0" w:after="0"/>
              <w:ind w:hanging="10"/>
            </w:pPr>
            <w:r w:rsidRPr="005D756B">
              <w:t>Pamatojums</w:t>
            </w:r>
          </w:p>
        </w:tc>
        <w:tc>
          <w:tcPr>
            <w:tcW w:w="3060" w:type="pct"/>
          </w:tcPr>
          <w:p w:rsidR="00262E2B" w:rsidRPr="005D756B" w:rsidRDefault="00E2556C" w:rsidP="00352BC9">
            <w:pPr>
              <w:pStyle w:val="naiskr"/>
              <w:spacing w:before="0" w:after="0"/>
              <w:ind w:left="26" w:firstLine="567"/>
              <w:jc w:val="both"/>
            </w:pPr>
            <w:r w:rsidRPr="005D756B">
              <w:t>Ministru kabineta rīkojuma projekts „Par finanšu līdzekļu piešķiršanu no valsts budžeta programmas „Līdzekļi neparedzētiem gadījumiem”” (turpmāk – rīkojuma projekts)</w:t>
            </w:r>
            <w:r w:rsidR="00065314" w:rsidRPr="005D756B">
              <w:t xml:space="preserve"> </w:t>
            </w:r>
            <w:r w:rsidRPr="005D756B">
              <w:t>izstrādāts saskaņā ar Ministru kabineta 2009.gada 22.decembra noteikumu Nr.1644 „</w:t>
            </w:r>
            <w:r w:rsidRPr="005D756B">
              <w:rPr>
                <w:bCs/>
              </w:rPr>
              <w:t>Kārtība, kādā pieprasa</w:t>
            </w:r>
            <w:r w:rsidR="00F5626E">
              <w:rPr>
                <w:bCs/>
              </w:rPr>
              <w:t xml:space="preserve"> un izlieto budžeta programmas </w:t>
            </w:r>
            <w:r w:rsidR="00F5626E" w:rsidRPr="005D756B">
              <w:t>„</w:t>
            </w:r>
            <w:r w:rsidRPr="005D756B">
              <w:rPr>
                <w:bCs/>
              </w:rPr>
              <w:t>Līdzekļi neparedzētiem gadījumiem</w:t>
            </w:r>
            <w:r w:rsidR="00F5626E" w:rsidRPr="005D756B">
              <w:t>”</w:t>
            </w:r>
            <w:r w:rsidRPr="005D756B">
              <w:rPr>
                <w:bCs/>
              </w:rPr>
              <w:t xml:space="preserve"> līdzekļus</w:t>
            </w:r>
            <w:r w:rsidRPr="005D756B">
              <w:t>” 3.punktu</w:t>
            </w:r>
            <w:r w:rsidR="00352BC9">
              <w:t xml:space="preserve"> un</w:t>
            </w:r>
            <w:r w:rsidR="007D573E" w:rsidRPr="005D756B">
              <w:t xml:space="preserve"> pamatojoties uz</w:t>
            </w:r>
            <w:r w:rsidR="00F31E28" w:rsidRPr="005D756B">
              <w:t xml:space="preserve"> </w:t>
            </w:r>
            <w:r w:rsidR="007D573E" w:rsidRPr="005D756B">
              <w:t>Valsts valodas likuma prasībām.</w:t>
            </w:r>
            <w:r w:rsidR="00F31E28" w:rsidRPr="005D756B">
              <w:t xml:space="preserve"> </w:t>
            </w:r>
          </w:p>
        </w:tc>
      </w:tr>
      <w:tr w:rsidR="00262E2B" w:rsidRPr="005D756B" w:rsidTr="00A8125C">
        <w:trPr>
          <w:trHeight w:val="472"/>
        </w:trPr>
        <w:tc>
          <w:tcPr>
            <w:tcW w:w="348" w:type="pct"/>
          </w:tcPr>
          <w:p w:rsidR="00262E2B" w:rsidRPr="005D756B" w:rsidRDefault="00262E2B" w:rsidP="006C4607">
            <w:pPr>
              <w:pStyle w:val="naiskr"/>
              <w:spacing w:before="0" w:after="0"/>
            </w:pPr>
            <w:r w:rsidRPr="005D756B">
              <w:t>2.</w:t>
            </w:r>
          </w:p>
        </w:tc>
        <w:tc>
          <w:tcPr>
            <w:tcW w:w="1592" w:type="pct"/>
          </w:tcPr>
          <w:p w:rsidR="00262E2B" w:rsidRPr="005D756B" w:rsidRDefault="00262E2B" w:rsidP="006C4607">
            <w:pPr>
              <w:pStyle w:val="naiskr"/>
              <w:tabs>
                <w:tab w:val="left" w:pos="170"/>
              </w:tabs>
              <w:spacing w:before="0" w:after="0"/>
            </w:pPr>
            <w:r w:rsidRPr="005D756B">
              <w:t>Pašreizējā situācija</w:t>
            </w:r>
            <w:r w:rsidR="001F5CD6" w:rsidRPr="005D756B">
              <w:t xml:space="preserve"> un problēmas</w:t>
            </w:r>
          </w:p>
        </w:tc>
        <w:tc>
          <w:tcPr>
            <w:tcW w:w="3060" w:type="pct"/>
          </w:tcPr>
          <w:p w:rsidR="00581B68" w:rsidRPr="005D756B" w:rsidRDefault="00581B68" w:rsidP="00581B68">
            <w:pPr>
              <w:pStyle w:val="Nosaukums"/>
              <w:ind w:firstLine="720"/>
              <w:jc w:val="both"/>
              <w:rPr>
                <w:rFonts w:ascii="Times New Roman" w:hAnsi="Times New Roman" w:cs="Times New Roman"/>
                <w:sz w:val="24"/>
                <w:szCs w:val="24"/>
              </w:rPr>
            </w:pPr>
            <w:r w:rsidRPr="005D756B">
              <w:rPr>
                <w:rFonts w:ascii="Times New Roman" w:hAnsi="Times New Roman" w:cs="Times New Roman"/>
                <w:sz w:val="24"/>
                <w:szCs w:val="24"/>
              </w:rPr>
              <w:t xml:space="preserve">2013.gadā, salīdzinot ar 2012.gadu, </w:t>
            </w:r>
            <w:r w:rsidR="006066D2">
              <w:rPr>
                <w:rFonts w:ascii="Times New Roman" w:hAnsi="Times New Roman" w:cs="Times New Roman"/>
                <w:sz w:val="24"/>
                <w:szCs w:val="24"/>
              </w:rPr>
              <w:t xml:space="preserve">Latvijas Republikas Prokuratūrā (turpmāk – Prokuratūra) </w:t>
            </w:r>
            <w:r w:rsidRPr="005D756B">
              <w:rPr>
                <w:rFonts w:ascii="Times New Roman" w:hAnsi="Times New Roman" w:cs="Times New Roman"/>
                <w:sz w:val="24"/>
                <w:szCs w:val="24"/>
              </w:rPr>
              <w:t xml:space="preserve">ievērojami pieauga tulkošanas pakalpojumu izdevumi. </w:t>
            </w:r>
            <w:r w:rsidR="0052288C" w:rsidRPr="005D756B">
              <w:rPr>
                <w:rFonts w:ascii="Times New Roman" w:hAnsi="Times New Roman" w:cs="Times New Roman"/>
                <w:sz w:val="24"/>
                <w:szCs w:val="24"/>
              </w:rPr>
              <w:t>Sakarā ar tulkojumu ve</w:t>
            </w:r>
            <w:r w:rsidR="006066D2">
              <w:rPr>
                <w:rFonts w:ascii="Times New Roman" w:hAnsi="Times New Roman" w:cs="Times New Roman"/>
                <w:sz w:val="24"/>
                <w:szCs w:val="24"/>
              </w:rPr>
              <w:t>ikšanu apjomīgās krimināllietās</w:t>
            </w:r>
            <w:r w:rsidR="0052288C" w:rsidRPr="005D756B">
              <w:rPr>
                <w:rFonts w:ascii="Times New Roman" w:hAnsi="Times New Roman" w:cs="Times New Roman"/>
                <w:sz w:val="24"/>
                <w:szCs w:val="24"/>
              </w:rPr>
              <w:t xml:space="preserve"> līdz 2013.gada beigām tie vēl vairāk pieaugs.</w:t>
            </w:r>
          </w:p>
          <w:p w:rsidR="004C0671" w:rsidRPr="005D756B" w:rsidRDefault="00C50AFE" w:rsidP="004C0671">
            <w:pPr>
              <w:ind w:firstLine="720"/>
              <w:jc w:val="both"/>
            </w:pPr>
            <w:r>
              <w:t>Turklāt</w:t>
            </w:r>
            <w:r w:rsidR="004C0671" w:rsidRPr="005D756B">
              <w:t xml:space="preserve"> 2013.gada 2</w:t>
            </w:r>
            <w:r>
              <w:t>3.maijā Saeimā trešajā</w:t>
            </w:r>
            <w:r w:rsidR="004C0671" w:rsidRPr="005D756B">
              <w:t xml:space="preserve"> lasījumā tika pieņemti grozījumi Kriminālprocesa likumā, kas nosaka, ka personām, kuras neprot valsts valodu, kriminālprocesā noteiktas plašākas iespējas saņemt bezmaksas tulka pakalpojumus. Saskaņā ar m</w:t>
            </w:r>
            <w:r>
              <w:t>inētajiem grozījumiem</w:t>
            </w:r>
            <w:r w:rsidR="004C0671" w:rsidRPr="005D756B">
              <w:t xml:space="preserve"> Prokuratūrai būs jānodrošina bezmaksas tulka palīdzība un svešvalodu tulkojums personām, kā arī tulka pakalpojumi personām ar dzirdes, runas vai redzes traucējumiem tādā valodā un veidā, kādā viņi procesuālos dokumentus spēj saprast un uztvert. Tulka pakalpojumus kriminālproc</w:t>
            </w:r>
            <w:r w:rsidR="00FB515A">
              <w:t>esā plašāk varēs izmantot</w:t>
            </w:r>
            <w:r w:rsidR="004C0671" w:rsidRPr="005D756B">
              <w:t xml:space="preserve"> jau ar 2013.</w:t>
            </w:r>
            <w:r w:rsidR="00FB515A">
              <w:t>gada 27.oktobri.</w:t>
            </w:r>
          </w:p>
          <w:p w:rsidR="004C0671" w:rsidRPr="005D756B" w:rsidRDefault="00FB515A" w:rsidP="004C0671">
            <w:pPr>
              <w:ind w:firstLine="709"/>
              <w:jc w:val="both"/>
            </w:pPr>
            <w:r>
              <w:t>Pēc veiktajiem aprēķiniem</w:t>
            </w:r>
            <w:r w:rsidR="004C0671" w:rsidRPr="005D756B">
              <w:t xml:space="preserve"> mutvārdu tulkošanas un procesuālo dokumentu (apsūdzības, lēmuma par krimināllietas nodošanu tiesai neatliekamības kārtībā vai saīsinātā procesa kārtībā, Eiropas apcietinājuma lē</w:t>
            </w:r>
            <w:r>
              <w:t>muma) tulkošanas nodrošināšanai</w:t>
            </w:r>
            <w:r w:rsidR="004C0671" w:rsidRPr="005D756B">
              <w:t xml:space="preserve"> Prokuratūrai 2013.gada novembrim-decembrim pamatbudžeta programmā 01.00.00 „Prokuratūras iestāžu uzturēšana” nepieciešams papildu valsts budžeta finansējums </w:t>
            </w:r>
            <w:r w:rsidR="004C0671" w:rsidRPr="005D756B">
              <w:rPr>
                <w:b/>
              </w:rPr>
              <w:t>28 716 latu apmērā</w:t>
            </w:r>
            <w:r w:rsidR="004C0671" w:rsidRPr="005D756B">
              <w:t>.</w:t>
            </w:r>
          </w:p>
          <w:p w:rsidR="00581B68" w:rsidRPr="005D756B" w:rsidRDefault="00581B68" w:rsidP="00581B68">
            <w:pPr>
              <w:pStyle w:val="Nosaukums"/>
              <w:ind w:firstLine="720"/>
              <w:jc w:val="both"/>
              <w:rPr>
                <w:rFonts w:ascii="Times New Roman" w:hAnsi="Times New Roman" w:cs="Times New Roman"/>
                <w:sz w:val="24"/>
                <w:szCs w:val="24"/>
              </w:rPr>
            </w:pPr>
            <w:r w:rsidRPr="005D756B">
              <w:rPr>
                <w:rFonts w:ascii="Times New Roman" w:hAnsi="Times New Roman" w:cs="Times New Roman"/>
                <w:sz w:val="24"/>
                <w:szCs w:val="24"/>
              </w:rPr>
              <w:t xml:space="preserve">Apstiprinātā budžeta ietvaros Prokuratūra tulkošanas pakalpojumiem 2013.gadā sākotnēji ir plānojusi 50 000 latu gadā, bet jau 2013.gada februārī sakarā ar strauji pieaugušo tulkošanas pakalpojumu apjomu Prokuratūra vērsās Finanšu ministrijā ar lūgumu veikt Prokuratūras pamatbudžeta programmā 01.00.00 „Prokuratūras iestāžu uzturēšana” </w:t>
            </w:r>
            <w:r w:rsidRPr="005D756B">
              <w:rPr>
                <w:rFonts w:ascii="Times New Roman" w:hAnsi="Times New Roman" w:cs="Times New Roman"/>
                <w:bCs/>
                <w:sz w:val="24"/>
                <w:szCs w:val="24"/>
              </w:rPr>
              <w:t xml:space="preserve">apropriācijas pārdali starp izdevumu klasifikācijas kodiem un atalgojuma fonda līdzekļus </w:t>
            </w:r>
            <w:r w:rsidRPr="005D756B">
              <w:rPr>
                <w:rFonts w:ascii="Times New Roman" w:hAnsi="Times New Roman" w:cs="Times New Roman"/>
                <w:sz w:val="24"/>
                <w:szCs w:val="24"/>
              </w:rPr>
              <w:t>12 840 latu apmērā novirzīt tulkošanas pakalpojumu apmaksai</w:t>
            </w:r>
            <w:r w:rsidRPr="005D756B">
              <w:rPr>
                <w:rFonts w:ascii="Times New Roman" w:hAnsi="Times New Roman" w:cs="Times New Roman"/>
                <w:bCs/>
                <w:sz w:val="24"/>
                <w:szCs w:val="24"/>
              </w:rPr>
              <w:t xml:space="preserve">, </w:t>
            </w:r>
            <w:r w:rsidRPr="005D756B">
              <w:rPr>
                <w:rFonts w:ascii="Times New Roman" w:hAnsi="Times New Roman" w:cs="Times New Roman"/>
                <w:sz w:val="24"/>
                <w:szCs w:val="24"/>
              </w:rPr>
              <w:t xml:space="preserve">lai nepieļautu tulkošanas pakalpojumu parādu veidošanos un nodrošinātu </w:t>
            </w:r>
            <w:r w:rsidRPr="005D756B">
              <w:rPr>
                <w:rFonts w:ascii="Times New Roman" w:hAnsi="Times New Roman" w:cs="Times New Roman"/>
                <w:sz w:val="24"/>
                <w:szCs w:val="24"/>
              </w:rPr>
              <w:lastRenderedPageBreak/>
              <w:t xml:space="preserve">prokuratūras struktūrvienību darbību. Šādu daļēju risinājumu Prokuratūra bija radusi, pārskatot 2013.gadam sākotnēji plānoto atalgojuma fonda izlietojumu un maksimāli samazinot visu </w:t>
            </w:r>
            <w:r w:rsidR="007A31C5">
              <w:rPr>
                <w:rFonts w:ascii="Times New Roman" w:hAnsi="Times New Roman" w:cs="Times New Roman"/>
                <w:sz w:val="24"/>
                <w:szCs w:val="24"/>
              </w:rPr>
              <w:t>Valsts un pašvaldību institūciju amatpersonu un darbinieku atlīdzības likumā</w:t>
            </w:r>
            <w:r w:rsidRPr="005D756B">
              <w:rPr>
                <w:rFonts w:ascii="Times New Roman" w:hAnsi="Times New Roman" w:cs="Times New Roman"/>
                <w:sz w:val="24"/>
                <w:szCs w:val="24"/>
              </w:rPr>
              <w:t xml:space="preserve"> atļauto piemaksu un pabalstu apmēru visiem prokuroriem un darbiniekiem.</w:t>
            </w:r>
          </w:p>
          <w:p w:rsidR="00581B68" w:rsidRPr="005D756B" w:rsidRDefault="00581B68" w:rsidP="00581B68">
            <w:pPr>
              <w:pStyle w:val="Nosaukums"/>
              <w:ind w:firstLine="720"/>
              <w:jc w:val="both"/>
              <w:rPr>
                <w:rFonts w:ascii="Times New Roman" w:hAnsi="Times New Roman" w:cs="Times New Roman"/>
                <w:sz w:val="24"/>
                <w:szCs w:val="24"/>
              </w:rPr>
            </w:pPr>
            <w:r w:rsidRPr="005D756B">
              <w:rPr>
                <w:rFonts w:ascii="Times New Roman" w:hAnsi="Times New Roman" w:cs="Times New Roman"/>
                <w:sz w:val="24"/>
                <w:szCs w:val="24"/>
              </w:rPr>
              <w:t>2013.gada otraj</w:t>
            </w:r>
            <w:r w:rsidR="00FB515A">
              <w:rPr>
                <w:rFonts w:ascii="Times New Roman" w:hAnsi="Times New Roman" w:cs="Times New Roman"/>
                <w:sz w:val="24"/>
                <w:szCs w:val="24"/>
              </w:rPr>
              <w:t>ā pusgadā</w:t>
            </w:r>
            <w:r w:rsidRPr="005D756B">
              <w:rPr>
                <w:rFonts w:ascii="Times New Roman" w:hAnsi="Times New Roman" w:cs="Times New Roman"/>
                <w:sz w:val="24"/>
                <w:szCs w:val="24"/>
              </w:rPr>
              <w:t xml:space="preserve"> Prokuratūrai piešķirtā budžeta ietvaros nodrošināt pieaugušo tulkošanas pakalpojumu apmaksu </w:t>
            </w:r>
            <w:r w:rsidR="0052288C" w:rsidRPr="005D756B">
              <w:rPr>
                <w:rFonts w:ascii="Times New Roman" w:hAnsi="Times New Roman" w:cs="Times New Roman"/>
                <w:sz w:val="24"/>
                <w:szCs w:val="24"/>
              </w:rPr>
              <w:t xml:space="preserve">vairs </w:t>
            </w:r>
            <w:r w:rsidRPr="005D756B">
              <w:rPr>
                <w:rFonts w:ascii="Times New Roman" w:hAnsi="Times New Roman" w:cs="Times New Roman"/>
                <w:sz w:val="24"/>
                <w:szCs w:val="24"/>
              </w:rPr>
              <w:t xml:space="preserve">nav iespējams. </w:t>
            </w:r>
          </w:p>
          <w:p w:rsidR="00581B68" w:rsidRPr="005D756B" w:rsidRDefault="00581B68" w:rsidP="00581B68">
            <w:pPr>
              <w:pStyle w:val="Nosaukums"/>
              <w:ind w:firstLine="720"/>
              <w:jc w:val="both"/>
              <w:rPr>
                <w:rFonts w:ascii="Times New Roman" w:hAnsi="Times New Roman" w:cs="Times New Roman"/>
                <w:sz w:val="24"/>
                <w:szCs w:val="24"/>
              </w:rPr>
            </w:pPr>
            <w:r w:rsidRPr="005D756B">
              <w:rPr>
                <w:rFonts w:ascii="Times New Roman" w:hAnsi="Times New Roman" w:cs="Times New Roman"/>
                <w:sz w:val="24"/>
                <w:szCs w:val="24"/>
              </w:rPr>
              <w:t>Saskaņā ar Prokuratūras pre</w:t>
            </w:r>
            <w:r w:rsidR="00FB515A">
              <w:rPr>
                <w:rFonts w:ascii="Times New Roman" w:hAnsi="Times New Roman" w:cs="Times New Roman"/>
                <w:sz w:val="24"/>
                <w:szCs w:val="24"/>
              </w:rPr>
              <w:t>cizēto izdevumu tāmi 2013.gadam</w:t>
            </w:r>
            <w:r w:rsidRPr="005D756B">
              <w:rPr>
                <w:rFonts w:ascii="Times New Roman" w:hAnsi="Times New Roman" w:cs="Times New Roman"/>
                <w:sz w:val="24"/>
                <w:szCs w:val="24"/>
              </w:rPr>
              <w:t xml:space="preserve"> pamatbudžeta programmā 01.00.00 „Prokuratūras iestāžu uzturēšana” tulkošanas pakalpojumiem ir apstiprināti kopsummā 62 840 latu gadā. Pēc Valsts kases finanšu uzskaites kopsavilkuma datiem tulkošanas pakalpojumu faktiskie izdevumi </w:t>
            </w:r>
            <w:r w:rsidR="00FB515A">
              <w:rPr>
                <w:rFonts w:ascii="Times New Roman" w:hAnsi="Times New Roman" w:cs="Times New Roman"/>
                <w:sz w:val="24"/>
                <w:szCs w:val="24"/>
              </w:rPr>
              <w:t>2013.gada 14.jūnijā</w:t>
            </w:r>
            <w:r w:rsidRPr="005D756B">
              <w:rPr>
                <w:rFonts w:ascii="Times New Roman" w:hAnsi="Times New Roman" w:cs="Times New Roman"/>
                <w:sz w:val="24"/>
                <w:szCs w:val="24"/>
              </w:rPr>
              <w:t xml:space="preserve"> kopsummā jau sastāda 58 531 latu un nepilnos sešos mēnešos sasniedza gandrīz visu gadam ap</w:t>
            </w:r>
            <w:r w:rsidR="0052288C" w:rsidRPr="005D756B">
              <w:rPr>
                <w:rFonts w:ascii="Times New Roman" w:hAnsi="Times New Roman" w:cs="Times New Roman"/>
                <w:sz w:val="24"/>
                <w:szCs w:val="24"/>
              </w:rPr>
              <w:t>stiprināto summu, bet tulkošanai</w:t>
            </w:r>
            <w:r w:rsidRPr="005D756B">
              <w:rPr>
                <w:rFonts w:ascii="Times New Roman" w:hAnsi="Times New Roman" w:cs="Times New Roman"/>
                <w:sz w:val="24"/>
                <w:szCs w:val="24"/>
              </w:rPr>
              <w:t xml:space="preserve"> pēc </w:t>
            </w:r>
            <w:r w:rsidR="00FB515A">
              <w:rPr>
                <w:rFonts w:ascii="Times New Roman" w:hAnsi="Times New Roman" w:cs="Times New Roman"/>
                <w:sz w:val="24"/>
                <w:szCs w:val="24"/>
              </w:rPr>
              <w:t>2013.gada 1</w:t>
            </w:r>
            <w:r w:rsidR="007A31C5">
              <w:rPr>
                <w:rFonts w:ascii="Times New Roman" w:hAnsi="Times New Roman" w:cs="Times New Roman"/>
                <w:sz w:val="24"/>
                <w:szCs w:val="24"/>
              </w:rPr>
              <w:t>4</w:t>
            </w:r>
            <w:r w:rsidR="00FB515A">
              <w:rPr>
                <w:rFonts w:ascii="Times New Roman" w:hAnsi="Times New Roman" w:cs="Times New Roman"/>
                <w:sz w:val="24"/>
                <w:szCs w:val="24"/>
              </w:rPr>
              <w:t>.jūnija</w:t>
            </w:r>
            <w:r w:rsidRPr="005D756B">
              <w:rPr>
                <w:rFonts w:ascii="Times New Roman" w:hAnsi="Times New Roman" w:cs="Times New Roman"/>
                <w:sz w:val="24"/>
                <w:szCs w:val="24"/>
              </w:rPr>
              <w:t xml:space="preserve"> ir iesniegts materiāls vēl kopsummā par 24 427 latiem. Līdz ar to, lai nodrošinātu Prokuratūrai noteikto funkciju izpildi, nepieļautu parādu veidošanos un nodrošinātu minēto tulkošanas pakalpojumu ap</w:t>
            </w:r>
            <w:r w:rsidR="00D54645">
              <w:rPr>
                <w:rFonts w:ascii="Times New Roman" w:hAnsi="Times New Roman" w:cs="Times New Roman"/>
                <w:sz w:val="24"/>
                <w:szCs w:val="24"/>
              </w:rPr>
              <w:t xml:space="preserve">maksu 2013.gada otrajā </w:t>
            </w:r>
            <w:r w:rsidRPr="005D756B">
              <w:rPr>
                <w:rFonts w:ascii="Times New Roman" w:hAnsi="Times New Roman" w:cs="Times New Roman"/>
                <w:sz w:val="24"/>
                <w:szCs w:val="24"/>
              </w:rPr>
              <w:t xml:space="preserve">pusgadā, Prokuratūrai ir nepieciešams papildu finansējums </w:t>
            </w:r>
            <w:r w:rsidRPr="005D756B">
              <w:rPr>
                <w:rFonts w:ascii="Times New Roman" w:hAnsi="Times New Roman" w:cs="Times New Roman"/>
                <w:b/>
                <w:sz w:val="24"/>
                <w:szCs w:val="24"/>
              </w:rPr>
              <w:t>89 291 latu apmērā</w:t>
            </w:r>
            <w:r w:rsidRPr="005D756B">
              <w:rPr>
                <w:rFonts w:ascii="Times New Roman" w:hAnsi="Times New Roman" w:cs="Times New Roman"/>
                <w:sz w:val="24"/>
                <w:szCs w:val="24"/>
              </w:rPr>
              <w:t xml:space="preserve">. </w:t>
            </w:r>
          </w:p>
          <w:p w:rsidR="00581B68" w:rsidRPr="005D756B" w:rsidRDefault="002C68B8" w:rsidP="00581B68">
            <w:pPr>
              <w:pStyle w:val="Nosaukums"/>
              <w:ind w:firstLine="720"/>
              <w:jc w:val="both"/>
              <w:rPr>
                <w:rFonts w:ascii="Times New Roman" w:hAnsi="Times New Roman" w:cs="Times New Roman"/>
                <w:b/>
                <w:sz w:val="24"/>
                <w:szCs w:val="24"/>
              </w:rPr>
            </w:pPr>
            <w:r w:rsidRPr="005D756B">
              <w:rPr>
                <w:rFonts w:ascii="Times New Roman" w:hAnsi="Times New Roman" w:cs="Times New Roman"/>
                <w:sz w:val="24"/>
                <w:szCs w:val="24"/>
              </w:rPr>
              <w:t>L</w:t>
            </w:r>
            <w:r w:rsidR="005737AE" w:rsidRPr="005D756B">
              <w:rPr>
                <w:rFonts w:ascii="Times New Roman" w:hAnsi="Times New Roman" w:cs="Times New Roman"/>
                <w:sz w:val="24"/>
                <w:szCs w:val="24"/>
              </w:rPr>
              <w:t xml:space="preserve">ai nodrošinātu </w:t>
            </w:r>
            <w:r w:rsidR="00370219" w:rsidRPr="005D756B">
              <w:rPr>
                <w:rFonts w:ascii="Times New Roman" w:hAnsi="Times New Roman" w:cs="Times New Roman"/>
                <w:sz w:val="24"/>
                <w:szCs w:val="24"/>
              </w:rPr>
              <w:t xml:space="preserve">tulkošanas pakalpojumu apmaksu </w:t>
            </w:r>
            <w:r w:rsidR="005737AE" w:rsidRPr="005D756B">
              <w:rPr>
                <w:rFonts w:ascii="Times New Roman" w:hAnsi="Times New Roman" w:cs="Times New Roman"/>
                <w:sz w:val="24"/>
                <w:szCs w:val="24"/>
              </w:rPr>
              <w:t xml:space="preserve">2013.gada otrajā pusgadā </w:t>
            </w:r>
            <w:r w:rsidR="00581B68" w:rsidRPr="005D756B">
              <w:rPr>
                <w:rFonts w:ascii="Times New Roman" w:hAnsi="Times New Roman" w:cs="Times New Roman"/>
                <w:sz w:val="24"/>
                <w:szCs w:val="24"/>
              </w:rPr>
              <w:t xml:space="preserve">no valsts budžeta programmas „Līdzekļi neparedzētiem gadījumiem” </w:t>
            </w:r>
            <w:r w:rsidR="00370219" w:rsidRPr="005D756B">
              <w:rPr>
                <w:rFonts w:ascii="Times New Roman" w:hAnsi="Times New Roman" w:cs="Times New Roman"/>
                <w:b/>
                <w:sz w:val="24"/>
                <w:szCs w:val="24"/>
              </w:rPr>
              <w:t xml:space="preserve">kopā nepieciešami finanšu līdzekļi </w:t>
            </w:r>
            <w:r w:rsidR="0052288C" w:rsidRPr="005D756B">
              <w:rPr>
                <w:rFonts w:ascii="Times New Roman" w:hAnsi="Times New Roman" w:cs="Times New Roman"/>
                <w:b/>
                <w:sz w:val="24"/>
                <w:szCs w:val="24"/>
              </w:rPr>
              <w:t xml:space="preserve">- </w:t>
            </w:r>
            <w:r w:rsidR="00581B68" w:rsidRPr="005D756B">
              <w:rPr>
                <w:rFonts w:ascii="Times New Roman" w:hAnsi="Times New Roman" w:cs="Times New Roman"/>
                <w:b/>
                <w:sz w:val="24"/>
                <w:szCs w:val="24"/>
              </w:rPr>
              <w:t xml:space="preserve">118 007 </w:t>
            </w:r>
            <w:r w:rsidR="00370219" w:rsidRPr="005D756B">
              <w:rPr>
                <w:rFonts w:ascii="Times New Roman" w:hAnsi="Times New Roman" w:cs="Times New Roman"/>
                <w:b/>
                <w:sz w:val="24"/>
                <w:szCs w:val="24"/>
              </w:rPr>
              <w:t>lati.</w:t>
            </w:r>
            <w:r w:rsidR="00581B68" w:rsidRPr="005D756B">
              <w:rPr>
                <w:rFonts w:ascii="Times New Roman" w:hAnsi="Times New Roman" w:cs="Times New Roman"/>
                <w:b/>
                <w:sz w:val="24"/>
                <w:szCs w:val="24"/>
              </w:rPr>
              <w:t xml:space="preserve"> </w:t>
            </w:r>
          </w:p>
          <w:p w:rsidR="00B47C62" w:rsidRPr="005D756B" w:rsidRDefault="00DF2C9F" w:rsidP="00475F99">
            <w:pPr>
              <w:autoSpaceDE w:val="0"/>
              <w:autoSpaceDN w:val="0"/>
              <w:adjustRightInd w:val="0"/>
              <w:ind w:left="26" w:firstLine="451"/>
              <w:jc w:val="both"/>
              <w:rPr>
                <w:rFonts w:ascii="TimesNewRomanPSMT" w:hAnsi="TimesNewRomanPSMT" w:cs="TimesNewRomanPSMT"/>
              </w:rPr>
            </w:pPr>
            <w:r w:rsidRPr="005D756B">
              <w:t xml:space="preserve">Ievērojot minēto, </w:t>
            </w:r>
            <w:r w:rsidR="00F83E34" w:rsidRPr="005D756B">
              <w:t>Prokuratūra</w:t>
            </w:r>
            <w:r w:rsidR="00805EDB" w:rsidRPr="005D756B">
              <w:t xml:space="preserve">, </w:t>
            </w:r>
            <w:r w:rsidR="007F0224" w:rsidRPr="005D756B">
              <w:t>pamatojoties uz Ministru kabineta 2009</w:t>
            </w:r>
            <w:r w:rsidR="005D6031" w:rsidRPr="005D756B">
              <w:t>.gada 22.decembra noteikumu Nr.</w:t>
            </w:r>
            <w:r w:rsidR="00D54645">
              <w:t xml:space="preserve">1644 </w:t>
            </w:r>
            <w:r w:rsidR="00D54645" w:rsidRPr="005D756B">
              <w:t>„</w:t>
            </w:r>
            <w:r w:rsidR="007F0224" w:rsidRPr="005D756B">
              <w:t>Kārtība, kādā pieprasa un izlieto budžeta programmas „Līdzekļi neparedzētiem gadījumiem” līdzekļus” 3.punktu</w:t>
            </w:r>
            <w:r w:rsidRPr="005D756B">
              <w:t xml:space="preserve">, </w:t>
            </w:r>
            <w:r w:rsidR="007F0224" w:rsidRPr="005D756B">
              <w:t>ir izstrādājusi Ministru kabineta rīkojuma projektu „Par finanšu līdzekļu piešķiršanu no valsts budžeta programmas „Lī</w:t>
            </w:r>
            <w:r w:rsidR="00D54645">
              <w:t>dzekļi neparedzētiem gadījumiem</w:t>
            </w:r>
            <w:r w:rsidR="0058310B" w:rsidRPr="005D756B">
              <w:t>””</w:t>
            </w:r>
            <w:r w:rsidR="00D54645">
              <w:t>.</w:t>
            </w:r>
          </w:p>
        </w:tc>
      </w:tr>
      <w:tr w:rsidR="00262E2B" w:rsidRPr="005D756B" w:rsidTr="00A8125C">
        <w:trPr>
          <w:trHeight w:val="448"/>
        </w:trPr>
        <w:tc>
          <w:tcPr>
            <w:tcW w:w="348" w:type="pct"/>
          </w:tcPr>
          <w:p w:rsidR="00262E2B" w:rsidRPr="005D756B" w:rsidRDefault="00262E2B" w:rsidP="006C4607">
            <w:pPr>
              <w:pStyle w:val="naiskr"/>
              <w:spacing w:before="0" w:after="0"/>
            </w:pPr>
            <w:r w:rsidRPr="005D756B">
              <w:lastRenderedPageBreak/>
              <w:t>3.</w:t>
            </w:r>
          </w:p>
        </w:tc>
        <w:tc>
          <w:tcPr>
            <w:tcW w:w="1592" w:type="pct"/>
          </w:tcPr>
          <w:p w:rsidR="00262E2B" w:rsidRPr="005D756B" w:rsidRDefault="00420870" w:rsidP="006C4607">
            <w:pPr>
              <w:pStyle w:val="naiskr"/>
              <w:spacing w:before="0" w:after="0"/>
            </w:pPr>
            <w:r w:rsidRPr="005D756B">
              <w:t>S</w:t>
            </w:r>
            <w:r w:rsidR="000B69CF" w:rsidRPr="005D756B">
              <w:t xml:space="preserve">aistītie </w:t>
            </w:r>
            <w:r w:rsidR="001A6AE4" w:rsidRPr="005D756B">
              <w:t>politikas ietekmes novērtējumi</w:t>
            </w:r>
            <w:r w:rsidR="00CB0247" w:rsidRPr="005D756B">
              <w:t xml:space="preserve"> un</w:t>
            </w:r>
            <w:r w:rsidR="001A6AE4" w:rsidRPr="005D756B">
              <w:t xml:space="preserve"> </w:t>
            </w:r>
            <w:r w:rsidR="000B69CF" w:rsidRPr="005D756B">
              <w:t>pētījumi</w:t>
            </w:r>
          </w:p>
        </w:tc>
        <w:tc>
          <w:tcPr>
            <w:tcW w:w="3060" w:type="pct"/>
          </w:tcPr>
          <w:p w:rsidR="00D20FF4" w:rsidRPr="005D756B" w:rsidRDefault="00BA6308" w:rsidP="00CA7125">
            <w:pPr>
              <w:pStyle w:val="Vresteksts"/>
              <w:ind w:left="168" w:right="145" w:firstLine="425"/>
              <w:rPr>
                <w:sz w:val="24"/>
                <w:szCs w:val="24"/>
              </w:rPr>
            </w:pPr>
            <w:r w:rsidRPr="005D756B">
              <w:rPr>
                <w:sz w:val="24"/>
                <w:szCs w:val="24"/>
              </w:rPr>
              <w:t>Rīkojuma projekts šo jomu neskar.</w:t>
            </w:r>
          </w:p>
        </w:tc>
      </w:tr>
      <w:tr w:rsidR="00262E2B" w:rsidRPr="005D756B" w:rsidTr="00A8125C">
        <w:trPr>
          <w:trHeight w:val="384"/>
        </w:trPr>
        <w:tc>
          <w:tcPr>
            <w:tcW w:w="348" w:type="pct"/>
          </w:tcPr>
          <w:p w:rsidR="00262E2B" w:rsidRPr="005D756B" w:rsidRDefault="00262E2B" w:rsidP="006C4607">
            <w:pPr>
              <w:pStyle w:val="naiskr"/>
              <w:spacing w:before="0" w:after="0"/>
            </w:pPr>
            <w:r w:rsidRPr="005D756B">
              <w:t>4.</w:t>
            </w:r>
          </w:p>
        </w:tc>
        <w:tc>
          <w:tcPr>
            <w:tcW w:w="1592" w:type="pct"/>
          </w:tcPr>
          <w:p w:rsidR="00262E2B" w:rsidRPr="005D756B" w:rsidRDefault="000C790C" w:rsidP="006C4607">
            <w:pPr>
              <w:pStyle w:val="naiskr"/>
              <w:spacing w:before="0" w:after="0"/>
            </w:pPr>
            <w:r w:rsidRPr="005D756B">
              <w:t>Tiesiskā r</w:t>
            </w:r>
            <w:r w:rsidR="00400032" w:rsidRPr="005D756B">
              <w:t xml:space="preserve">egulējuma </w:t>
            </w:r>
            <w:r w:rsidR="00262E2B" w:rsidRPr="005D756B">
              <w:t>mērķis un būtība</w:t>
            </w:r>
          </w:p>
        </w:tc>
        <w:tc>
          <w:tcPr>
            <w:tcW w:w="3060" w:type="pct"/>
          </w:tcPr>
          <w:p w:rsidR="00262E2B" w:rsidRPr="005D756B" w:rsidRDefault="00DF2C9F" w:rsidP="00683AE8">
            <w:pPr>
              <w:pStyle w:val="Pamatteksts"/>
              <w:tabs>
                <w:tab w:val="left" w:pos="0"/>
                <w:tab w:val="left" w:pos="851"/>
              </w:tabs>
              <w:spacing w:after="0"/>
              <w:ind w:firstLine="567"/>
              <w:jc w:val="both"/>
              <w:rPr>
                <w:color w:val="000000"/>
              </w:rPr>
            </w:pPr>
            <w:r w:rsidRPr="005D756B">
              <w:t>R</w:t>
            </w:r>
            <w:r w:rsidR="00D126EF" w:rsidRPr="005D756B">
              <w:t xml:space="preserve">īkojuma projekts </w:t>
            </w:r>
            <w:r w:rsidR="00BE707A" w:rsidRPr="005D756B">
              <w:t>paredz</w:t>
            </w:r>
            <w:r w:rsidR="00D126EF" w:rsidRPr="005D756B">
              <w:t xml:space="preserve"> uzdevumu</w:t>
            </w:r>
            <w:r w:rsidR="002C3218" w:rsidRPr="005D756B">
              <w:t xml:space="preserve"> Finanšu ministrijai no valsts budžeta programmas 02.00.00 "Līdzekļi neparedzētiem gadījumie</w:t>
            </w:r>
            <w:r w:rsidR="002B4998" w:rsidRPr="005D756B">
              <w:t xml:space="preserve">m" piešķirt </w:t>
            </w:r>
            <w:r w:rsidR="004211AA" w:rsidRPr="005D756B">
              <w:t xml:space="preserve">Prokuratūrai </w:t>
            </w:r>
            <w:r w:rsidR="00683AE8" w:rsidRPr="005D756B">
              <w:t>118 007</w:t>
            </w:r>
            <w:r w:rsidR="003A24F8" w:rsidRPr="005D756B">
              <w:t xml:space="preserve"> latu</w:t>
            </w:r>
            <w:r w:rsidR="00A83BF5" w:rsidRPr="005D756B">
              <w:t>s</w:t>
            </w:r>
            <w:r w:rsidR="00683AE8" w:rsidRPr="005D756B">
              <w:t xml:space="preserve"> tulkošanas pakalpojumu nodrošināšanai 2013.gada otrajā pusgadā.</w:t>
            </w:r>
            <w:r w:rsidR="003A24F8" w:rsidRPr="005D756B">
              <w:t xml:space="preserve"> </w:t>
            </w:r>
          </w:p>
        </w:tc>
      </w:tr>
      <w:tr w:rsidR="00262E2B" w:rsidRPr="005D756B" w:rsidTr="00A8125C">
        <w:trPr>
          <w:trHeight w:val="476"/>
        </w:trPr>
        <w:tc>
          <w:tcPr>
            <w:tcW w:w="348" w:type="pct"/>
          </w:tcPr>
          <w:p w:rsidR="00262E2B" w:rsidRPr="005D756B" w:rsidRDefault="00262E2B" w:rsidP="006C4607">
            <w:pPr>
              <w:pStyle w:val="naiskr"/>
              <w:spacing w:before="0" w:after="0"/>
            </w:pPr>
            <w:r w:rsidRPr="005D756B">
              <w:t>5.</w:t>
            </w:r>
          </w:p>
        </w:tc>
        <w:tc>
          <w:tcPr>
            <w:tcW w:w="1592" w:type="pct"/>
          </w:tcPr>
          <w:p w:rsidR="00262E2B" w:rsidRPr="005D756B" w:rsidRDefault="001A4066" w:rsidP="006C4607">
            <w:pPr>
              <w:pStyle w:val="naiskr"/>
              <w:spacing w:before="0" w:after="0"/>
            </w:pPr>
            <w:r w:rsidRPr="005D756B">
              <w:t>Projekta i</w:t>
            </w:r>
            <w:r w:rsidR="00262E2B" w:rsidRPr="005D756B">
              <w:t>zstrād</w:t>
            </w:r>
            <w:r w:rsidR="00420870" w:rsidRPr="005D756B">
              <w:t xml:space="preserve">ē </w:t>
            </w:r>
            <w:r w:rsidR="00262E2B" w:rsidRPr="005D756B">
              <w:t>iesaistītās institūcijas</w:t>
            </w:r>
          </w:p>
        </w:tc>
        <w:tc>
          <w:tcPr>
            <w:tcW w:w="3060" w:type="pct"/>
          </w:tcPr>
          <w:p w:rsidR="00262E2B" w:rsidRPr="005D756B" w:rsidRDefault="00BB66FA" w:rsidP="00CA7125">
            <w:pPr>
              <w:pStyle w:val="naiskr"/>
              <w:spacing w:before="0" w:after="0"/>
              <w:ind w:left="168" w:right="145" w:firstLine="425"/>
            </w:pPr>
            <w:r w:rsidRPr="005D756B">
              <w:t>Prokuratūra.</w:t>
            </w:r>
          </w:p>
        </w:tc>
      </w:tr>
      <w:tr w:rsidR="00262E2B" w:rsidRPr="005D756B" w:rsidTr="00A8125C">
        <w:trPr>
          <w:trHeight w:val="976"/>
        </w:trPr>
        <w:tc>
          <w:tcPr>
            <w:tcW w:w="348" w:type="pct"/>
          </w:tcPr>
          <w:p w:rsidR="00262E2B" w:rsidRPr="005D756B" w:rsidRDefault="00262E2B" w:rsidP="006C4607">
            <w:pPr>
              <w:pStyle w:val="naiskr"/>
              <w:spacing w:before="0" w:after="0"/>
            </w:pPr>
            <w:r w:rsidRPr="005D756B">
              <w:t>6.</w:t>
            </w:r>
          </w:p>
        </w:tc>
        <w:tc>
          <w:tcPr>
            <w:tcW w:w="1592" w:type="pct"/>
          </w:tcPr>
          <w:p w:rsidR="00262E2B" w:rsidRPr="005D756B" w:rsidRDefault="00BB7C94" w:rsidP="006C4607">
            <w:pPr>
              <w:pStyle w:val="naiskr"/>
              <w:spacing w:before="0" w:after="0"/>
              <w:rPr>
                <w:i/>
              </w:rPr>
            </w:pPr>
            <w:r w:rsidRPr="005D756B">
              <w:t xml:space="preserve">Iemesli, kādēļ netika nodrošināta </w:t>
            </w:r>
            <w:r w:rsidR="00262E2B" w:rsidRPr="005D756B">
              <w:t xml:space="preserve">sabiedrības </w:t>
            </w:r>
            <w:r w:rsidRPr="005D756B">
              <w:t>līdzdalība</w:t>
            </w:r>
          </w:p>
        </w:tc>
        <w:tc>
          <w:tcPr>
            <w:tcW w:w="3060" w:type="pct"/>
          </w:tcPr>
          <w:p w:rsidR="006F28C9" w:rsidRPr="005D756B" w:rsidRDefault="005D756B" w:rsidP="00CA7125">
            <w:pPr>
              <w:pStyle w:val="Vresteksts"/>
              <w:ind w:left="168" w:right="145" w:firstLine="425"/>
              <w:jc w:val="both"/>
              <w:rPr>
                <w:b/>
                <w:bCs/>
                <w:sz w:val="24"/>
                <w:szCs w:val="24"/>
                <w:highlight w:val="yellow"/>
              </w:rPr>
            </w:pPr>
            <w:r w:rsidRPr="005D756B">
              <w:rPr>
                <w:sz w:val="24"/>
                <w:szCs w:val="24"/>
              </w:rPr>
              <w:t>Sabiedrības līdzdalība netika nodrošināta, jo rīkojuma projekts neskar sabiedrības intereses.</w:t>
            </w:r>
          </w:p>
        </w:tc>
      </w:tr>
      <w:tr w:rsidR="00262E2B" w:rsidRPr="005D756B" w:rsidTr="00A8125C">
        <w:tc>
          <w:tcPr>
            <w:tcW w:w="348" w:type="pct"/>
          </w:tcPr>
          <w:p w:rsidR="00262E2B" w:rsidRPr="005D756B" w:rsidRDefault="00262E2B" w:rsidP="006C4607">
            <w:pPr>
              <w:pStyle w:val="naiskr"/>
              <w:spacing w:before="0" w:after="0"/>
            </w:pPr>
            <w:r w:rsidRPr="005D756B">
              <w:t>7.</w:t>
            </w:r>
          </w:p>
        </w:tc>
        <w:tc>
          <w:tcPr>
            <w:tcW w:w="1592" w:type="pct"/>
          </w:tcPr>
          <w:p w:rsidR="00262E2B" w:rsidRPr="005D756B" w:rsidRDefault="00262E2B" w:rsidP="006C4607">
            <w:pPr>
              <w:pStyle w:val="naiskr"/>
              <w:spacing w:before="0" w:after="0"/>
            </w:pPr>
            <w:r w:rsidRPr="005D756B">
              <w:t>Cita informācija</w:t>
            </w:r>
          </w:p>
        </w:tc>
        <w:tc>
          <w:tcPr>
            <w:tcW w:w="3060" w:type="pct"/>
          </w:tcPr>
          <w:p w:rsidR="00262E2B" w:rsidRPr="005D756B" w:rsidRDefault="00262E2B" w:rsidP="00CA7125">
            <w:pPr>
              <w:pStyle w:val="naiskr"/>
              <w:spacing w:before="0" w:after="0"/>
              <w:ind w:left="168" w:right="145" w:hanging="142"/>
            </w:pPr>
            <w:r w:rsidRPr="005D756B">
              <w:t>Nav</w:t>
            </w:r>
          </w:p>
        </w:tc>
      </w:tr>
    </w:tbl>
    <w:p w:rsidR="004617ED" w:rsidRPr="005D756B" w:rsidRDefault="004617ED" w:rsidP="00EA2A60">
      <w:pPr>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196"/>
        <w:gridCol w:w="1306"/>
        <w:gridCol w:w="1306"/>
        <w:gridCol w:w="1306"/>
        <w:gridCol w:w="1302"/>
      </w:tblGrid>
      <w:tr w:rsidR="00124F12" w:rsidRPr="005D756B" w:rsidTr="00CC4263">
        <w:trPr>
          <w:trHeight w:val="652"/>
          <w:jc w:val="center"/>
        </w:trPr>
        <w:tc>
          <w:tcPr>
            <w:tcW w:w="5000" w:type="pct"/>
            <w:gridSpan w:val="6"/>
          </w:tcPr>
          <w:p w:rsidR="00124F12" w:rsidRPr="005D756B" w:rsidRDefault="00124F12" w:rsidP="006C4607">
            <w:pPr>
              <w:pStyle w:val="naisnod"/>
              <w:spacing w:before="0" w:after="0"/>
              <w:rPr>
                <w:i/>
              </w:rPr>
            </w:pPr>
            <w:r w:rsidRPr="005D756B">
              <w:br w:type="page"/>
              <w:t>III</w:t>
            </w:r>
            <w:r w:rsidR="000941C5" w:rsidRPr="005D756B">
              <w:t>.</w:t>
            </w:r>
            <w:r w:rsidRPr="005D756B">
              <w:t xml:space="preserve"> Tiesību akta projekta ietekme uz valsts budžetu un pašvaldību budžetiem</w:t>
            </w:r>
          </w:p>
        </w:tc>
      </w:tr>
      <w:tr w:rsidR="00124F12" w:rsidRPr="005D756B" w:rsidTr="00D54645">
        <w:trPr>
          <w:jc w:val="center"/>
        </w:trPr>
        <w:tc>
          <w:tcPr>
            <w:tcW w:w="1546" w:type="pct"/>
            <w:vMerge w:val="restart"/>
            <w:vAlign w:val="center"/>
          </w:tcPr>
          <w:p w:rsidR="00124F12" w:rsidRPr="005D756B" w:rsidRDefault="00124F12" w:rsidP="0034795A">
            <w:pPr>
              <w:pStyle w:val="naisf"/>
              <w:spacing w:before="0" w:after="0"/>
              <w:ind w:firstLine="0"/>
              <w:jc w:val="center"/>
              <w:rPr>
                <w:b/>
              </w:rPr>
            </w:pPr>
            <w:r w:rsidRPr="005D756B">
              <w:rPr>
                <w:b/>
              </w:rPr>
              <w:t>Rādītāji</w:t>
            </w:r>
          </w:p>
        </w:tc>
        <w:tc>
          <w:tcPr>
            <w:tcW w:w="1347" w:type="pct"/>
            <w:gridSpan w:val="2"/>
            <w:vMerge w:val="restart"/>
            <w:vAlign w:val="center"/>
          </w:tcPr>
          <w:p w:rsidR="00124F12" w:rsidRPr="005D756B" w:rsidRDefault="008E117D" w:rsidP="006C4607">
            <w:pPr>
              <w:pStyle w:val="naisf"/>
              <w:spacing w:before="0" w:after="0"/>
              <w:ind w:firstLine="0"/>
              <w:jc w:val="center"/>
              <w:rPr>
                <w:b/>
              </w:rPr>
            </w:pPr>
            <w:r w:rsidRPr="005D756B">
              <w:rPr>
                <w:b/>
              </w:rPr>
              <w:t>2013</w:t>
            </w:r>
            <w:r w:rsidR="00797BEF" w:rsidRPr="005D756B">
              <w:rPr>
                <w:b/>
              </w:rPr>
              <w:t>.</w:t>
            </w:r>
            <w:r w:rsidR="00124F12" w:rsidRPr="005D756B">
              <w:rPr>
                <w:b/>
              </w:rPr>
              <w:t>gads</w:t>
            </w:r>
          </w:p>
        </w:tc>
        <w:tc>
          <w:tcPr>
            <w:tcW w:w="2107" w:type="pct"/>
            <w:gridSpan w:val="3"/>
            <w:vAlign w:val="center"/>
          </w:tcPr>
          <w:p w:rsidR="00124F12" w:rsidRPr="005D756B" w:rsidRDefault="00124F12" w:rsidP="006C4607">
            <w:pPr>
              <w:pStyle w:val="naisf"/>
              <w:spacing w:before="0" w:after="0"/>
              <w:ind w:firstLine="0"/>
              <w:jc w:val="center"/>
              <w:rPr>
                <w:b/>
                <w:i/>
              </w:rPr>
            </w:pPr>
            <w:r w:rsidRPr="005D756B">
              <w:t>Turpmākie trīs gadi</w:t>
            </w:r>
            <w:r w:rsidR="009E12D7" w:rsidRPr="005D756B">
              <w:t xml:space="preserve"> (tūkst</w:t>
            </w:r>
            <w:smartTag w:uri="schemas-tilde-lv/tildestengine" w:element="currency2">
              <w:smartTagPr>
                <w:attr w:name="currency_text" w:val="latu"/>
                <w:attr w:name="currency_value" w:val="."/>
                <w:attr w:name="currency_key" w:val="LVL"/>
                <w:attr w:name="currency_id" w:val="48"/>
              </w:smartTagPr>
              <w:r w:rsidR="009E12D7" w:rsidRPr="005D756B">
                <w:t>. latu</w:t>
              </w:r>
            </w:smartTag>
            <w:r w:rsidR="009E12D7" w:rsidRPr="005D756B">
              <w:t>)</w:t>
            </w:r>
          </w:p>
        </w:tc>
      </w:tr>
      <w:tr w:rsidR="00124F12" w:rsidRPr="005D756B" w:rsidTr="00D54645">
        <w:trPr>
          <w:jc w:val="center"/>
        </w:trPr>
        <w:tc>
          <w:tcPr>
            <w:tcW w:w="1546" w:type="pct"/>
            <w:vMerge/>
            <w:vAlign w:val="center"/>
          </w:tcPr>
          <w:p w:rsidR="00124F12" w:rsidRPr="005D756B" w:rsidRDefault="00124F12" w:rsidP="0034795A">
            <w:pPr>
              <w:pStyle w:val="naisf"/>
              <w:spacing w:before="0" w:after="0"/>
              <w:ind w:firstLine="0"/>
              <w:jc w:val="left"/>
              <w:rPr>
                <w:b/>
                <w:i/>
              </w:rPr>
            </w:pPr>
          </w:p>
        </w:tc>
        <w:tc>
          <w:tcPr>
            <w:tcW w:w="1347" w:type="pct"/>
            <w:gridSpan w:val="2"/>
            <w:vMerge/>
            <w:vAlign w:val="center"/>
          </w:tcPr>
          <w:p w:rsidR="00124F12" w:rsidRPr="005D756B" w:rsidRDefault="00124F12" w:rsidP="006C4607">
            <w:pPr>
              <w:pStyle w:val="naisf"/>
              <w:spacing w:before="0" w:after="0"/>
              <w:ind w:firstLine="0"/>
              <w:jc w:val="center"/>
              <w:rPr>
                <w:b/>
                <w:i/>
              </w:rPr>
            </w:pPr>
          </w:p>
        </w:tc>
        <w:tc>
          <w:tcPr>
            <w:tcW w:w="703" w:type="pct"/>
            <w:vAlign w:val="center"/>
          </w:tcPr>
          <w:p w:rsidR="00124F12" w:rsidRPr="005D756B" w:rsidRDefault="00797BEF" w:rsidP="006C4607">
            <w:pPr>
              <w:pStyle w:val="naisf"/>
              <w:spacing w:before="0" w:after="0"/>
              <w:ind w:firstLine="0"/>
              <w:jc w:val="center"/>
              <w:rPr>
                <w:b/>
                <w:i/>
              </w:rPr>
            </w:pPr>
            <w:r w:rsidRPr="005D756B">
              <w:rPr>
                <w:b/>
                <w:bCs/>
              </w:rPr>
              <w:t>20</w:t>
            </w:r>
            <w:r w:rsidR="00124F12" w:rsidRPr="005D756B">
              <w:rPr>
                <w:b/>
                <w:bCs/>
              </w:rPr>
              <w:t>1</w:t>
            </w:r>
            <w:r w:rsidR="008E117D" w:rsidRPr="005D756B">
              <w:rPr>
                <w:b/>
                <w:bCs/>
              </w:rPr>
              <w:t>4</w:t>
            </w:r>
            <w:r w:rsidRPr="005D756B">
              <w:rPr>
                <w:b/>
                <w:bCs/>
              </w:rPr>
              <w:t>.g.</w:t>
            </w:r>
          </w:p>
        </w:tc>
        <w:tc>
          <w:tcPr>
            <w:tcW w:w="703" w:type="pct"/>
            <w:vAlign w:val="center"/>
          </w:tcPr>
          <w:p w:rsidR="00124F12" w:rsidRPr="005D756B" w:rsidRDefault="008E117D" w:rsidP="006C4607">
            <w:pPr>
              <w:pStyle w:val="naisf"/>
              <w:spacing w:before="0" w:after="0"/>
              <w:ind w:firstLine="0"/>
              <w:jc w:val="center"/>
              <w:rPr>
                <w:b/>
                <w:i/>
              </w:rPr>
            </w:pPr>
            <w:r w:rsidRPr="005D756B">
              <w:rPr>
                <w:b/>
                <w:bCs/>
              </w:rPr>
              <w:t>2015</w:t>
            </w:r>
            <w:r w:rsidR="00797BEF" w:rsidRPr="005D756B">
              <w:rPr>
                <w:b/>
                <w:bCs/>
              </w:rPr>
              <w:t>.g.</w:t>
            </w:r>
          </w:p>
        </w:tc>
        <w:tc>
          <w:tcPr>
            <w:tcW w:w="701" w:type="pct"/>
            <w:vAlign w:val="center"/>
          </w:tcPr>
          <w:p w:rsidR="00124F12" w:rsidRPr="005D756B" w:rsidRDefault="008E117D" w:rsidP="006C4607">
            <w:pPr>
              <w:pStyle w:val="naisf"/>
              <w:spacing w:before="0" w:after="0"/>
              <w:ind w:firstLine="0"/>
              <w:jc w:val="center"/>
              <w:rPr>
                <w:b/>
                <w:i/>
              </w:rPr>
            </w:pPr>
            <w:r w:rsidRPr="005D756B">
              <w:rPr>
                <w:b/>
                <w:bCs/>
              </w:rPr>
              <w:t>2016</w:t>
            </w:r>
            <w:r w:rsidR="00797BEF" w:rsidRPr="005D756B">
              <w:rPr>
                <w:b/>
                <w:bCs/>
              </w:rPr>
              <w:t>.g.</w:t>
            </w:r>
          </w:p>
        </w:tc>
      </w:tr>
      <w:tr w:rsidR="00124F12" w:rsidRPr="005D756B" w:rsidTr="00D54645">
        <w:trPr>
          <w:jc w:val="center"/>
        </w:trPr>
        <w:tc>
          <w:tcPr>
            <w:tcW w:w="1546" w:type="pct"/>
            <w:vMerge/>
            <w:vAlign w:val="center"/>
          </w:tcPr>
          <w:p w:rsidR="00124F12" w:rsidRPr="005D756B" w:rsidRDefault="00124F12" w:rsidP="0034795A">
            <w:pPr>
              <w:pStyle w:val="naisf"/>
              <w:spacing w:before="0" w:after="0"/>
              <w:ind w:firstLine="0"/>
              <w:jc w:val="left"/>
              <w:rPr>
                <w:b/>
                <w:i/>
              </w:rPr>
            </w:pPr>
          </w:p>
        </w:tc>
        <w:tc>
          <w:tcPr>
            <w:tcW w:w="644" w:type="pct"/>
            <w:vAlign w:val="center"/>
          </w:tcPr>
          <w:p w:rsidR="00124F12" w:rsidRPr="005D756B" w:rsidRDefault="00124F12" w:rsidP="006C4607">
            <w:pPr>
              <w:pStyle w:val="naisf"/>
              <w:spacing w:before="0" w:after="0"/>
              <w:ind w:firstLine="0"/>
              <w:jc w:val="center"/>
              <w:rPr>
                <w:b/>
                <w:i/>
              </w:rPr>
            </w:pPr>
            <w:r w:rsidRPr="005D756B">
              <w:t>Saskaņā ar valsts budžetu kārtējam gadam</w:t>
            </w:r>
          </w:p>
        </w:tc>
        <w:tc>
          <w:tcPr>
            <w:tcW w:w="703" w:type="pct"/>
            <w:vAlign w:val="center"/>
          </w:tcPr>
          <w:p w:rsidR="00124F12" w:rsidRPr="005D756B" w:rsidRDefault="00124F12" w:rsidP="006C4607">
            <w:pPr>
              <w:pStyle w:val="naisf"/>
              <w:spacing w:before="0" w:after="0"/>
              <w:ind w:firstLine="0"/>
              <w:jc w:val="center"/>
              <w:rPr>
                <w:b/>
                <w:i/>
              </w:rPr>
            </w:pPr>
            <w:r w:rsidRPr="005D756B">
              <w:t>Izmaiņas kārtējā gadā</w:t>
            </w:r>
            <w:r w:rsidR="009E12D7" w:rsidRPr="005D756B">
              <w:t>,</w:t>
            </w:r>
            <w:r w:rsidRPr="005D756B">
              <w:t xml:space="preserve"> salīdzinot ar budžetu kārtējam gadam</w:t>
            </w:r>
          </w:p>
        </w:tc>
        <w:tc>
          <w:tcPr>
            <w:tcW w:w="703" w:type="pct"/>
            <w:vAlign w:val="center"/>
          </w:tcPr>
          <w:p w:rsidR="00124F12" w:rsidRPr="005D756B" w:rsidRDefault="00124F12" w:rsidP="006C4607">
            <w:pPr>
              <w:pStyle w:val="naisf"/>
              <w:spacing w:before="0" w:after="0"/>
              <w:ind w:firstLine="0"/>
              <w:jc w:val="center"/>
              <w:rPr>
                <w:b/>
                <w:i/>
              </w:rPr>
            </w:pPr>
            <w:r w:rsidRPr="005D756B">
              <w:t>Izmaiņas</w:t>
            </w:r>
            <w:r w:rsidR="00182C18" w:rsidRPr="005D756B">
              <w:t>,</w:t>
            </w:r>
            <w:r w:rsidR="00751353" w:rsidRPr="005D756B">
              <w:t xml:space="preserve"> salīdzinot ar kārtējo (2013.</w:t>
            </w:r>
            <w:r w:rsidRPr="005D756B">
              <w:t>) gadu</w:t>
            </w:r>
          </w:p>
        </w:tc>
        <w:tc>
          <w:tcPr>
            <w:tcW w:w="703" w:type="pct"/>
            <w:vAlign w:val="center"/>
          </w:tcPr>
          <w:p w:rsidR="00124F12" w:rsidRPr="005D756B" w:rsidRDefault="00124F12" w:rsidP="006C4607">
            <w:pPr>
              <w:pStyle w:val="naisf"/>
              <w:spacing w:before="0" w:after="0"/>
              <w:ind w:firstLine="0"/>
              <w:jc w:val="center"/>
              <w:rPr>
                <w:b/>
                <w:i/>
              </w:rPr>
            </w:pPr>
            <w:r w:rsidRPr="005D756B">
              <w:t>Izmaiņas</w:t>
            </w:r>
            <w:r w:rsidR="00182C18" w:rsidRPr="005D756B">
              <w:t>,</w:t>
            </w:r>
            <w:r w:rsidRPr="005D756B">
              <w:t xml:space="preserve"> salīdzinot </w:t>
            </w:r>
            <w:r w:rsidR="00751353" w:rsidRPr="005D756B">
              <w:t>ar kārtējo (2013.</w:t>
            </w:r>
            <w:r w:rsidRPr="005D756B">
              <w:t>) gadu</w:t>
            </w:r>
          </w:p>
        </w:tc>
        <w:tc>
          <w:tcPr>
            <w:tcW w:w="701" w:type="pct"/>
            <w:vAlign w:val="center"/>
          </w:tcPr>
          <w:p w:rsidR="00124F12" w:rsidRPr="005D756B" w:rsidRDefault="00124F12" w:rsidP="00797BEF">
            <w:pPr>
              <w:pStyle w:val="naisf"/>
              <w:spacing w:before="0" w:after="0"/>
              <w:ind w:firstLine="0"/>
              <w:jc w:val="center"/>
              <w:rPr>
                <w:b/>
                <w:i/>
              </w:rPr>
            </w:pPr>
            <w:r w:rsidRPr="005D756B">
              <w:t>Izmaiņas</w:t>
            </w:r>
            <w:r w:rsidR="00182C18" w:rsidRPr="005D756B">
              <w:t>,</w:t>
            </w:r>
            <w:r w:rsidRPr="005D756B">
              <w:t xml:space="preserve"> salīdzinot ar kārtējo (</w:t>
            </w:r>
            <w:r w:rsidR="00751353" w:rsidRPr="005D756B">
              <w:t>2013.</w:t>
            </w:r>
            <w:r w:rsidRPr="005D756B">
              <w:t>) gadu</w:t>
            </w:r>
          </w:p>
        </w:tc>
      </w:tr>
      <w:tr w:rsidR="00124F12" w:rsidRPr="005D756B" w:rsidTr="00D54645">
        <w:trPr>
          <w:jc w:val="center"/>
        </w:trPr>
        <w:tc>
          <w:tcPr>
            <w:tcW w:w="1546" w:type="pct"/>
            <w:vAlign w:val="center"/>
          </w:tcPr>
          <w:p w:rsidR="00124F12" w:rsidRPr="005D756B" w:rsidRDefault="00124F12" w:rsidP="0034795A">
            <w:pPr>
              <w:pStyle w:val="naisf"/>
              <w:spacing w:before="0" w:after="0"/>
              <w:ind w:firstLine="0"/>
              <w:jc w:val="center"/>
              <w:rPr>
                <w:bCs/>
              </w:rPr>
            </w:pPr>
            <w:r w:rsidRPr="005D756B">
              <w:rPr>
                <w:bCs/>
              </w:rPr>
              <w:t>1</w:t>
            </w:r>
          </w:p>
        </w:tc>
        <w:tc>
          <w:tcPr>
            <w:tcW w:w="644" w:type="pct"/>
            <w:vAlign w:val="center"/>
          </w:tcPr>
          <w:p w:rsidR="00124F12" w:rsidRPr="005D756B" w:rsidRDefault="00124F12" w:rsidP="006C4607">
            <w:pPr>
              <w:pStyle w:val="naisf"/>
              <w:spacing w:before="0" w:after="0"/>
              <w:ind w:firstLine="0"/>
              <w:jc w:val="center"/>
              <w:rPr>
                <w:bCs/>
              </w:rPr>
            </w:pPr>
            <w:r w:rsidRPr="005D756B">
              <w:rPr>
                <w:bCs/>
              </w:rPr>
              <w:t>2</w:t>
            </w:r>
          </w:p>
        </w:tc>
        <w:tc>
          <w:tcPr>
            <w:tcW w:w="703" w:type="pct"/>
            <w:vAlign w:val="center"/>
          </w:tcPr>
          <w:p w:rsidR="00124F12" w:rsidRPr="005D756B" w:rsidRDefault="00124F12" w:rsidP="006C4607">
            <w:pPr>
              <w:pStyle w:val="naisf"/>
              <w:spacing w:before="0" w:after="0"/>
              <w:ind w:firstLine="0"/>
              <w:jc w:val="center"/>
              <w:rPr>
                <w:bCs/>
              </w:rPr>
            </w:pPr>
            <w:r w:rsidRPr="005D756B">
              <w:rPr>
                <w:bCs/>
              </w:rPr>
              <w:t>3</w:t>
            </w:r>
          </w:p>
        </w:tc>
        <w:tc>
          <w:tcPr>
            <w:tcW w:w="703" w:type="pct"/>
            <w:vAlign w:val="center"/>
          </w:tcPr>
          <w:p w:rsidR="00124F12" w:rsidRPr="005D756B" w:rsidRDefault="00124F12" w:rsidP="006C4607">
            <w:pPr>
              <w:pStyle w:val="naisf"/>
              <w:spacing w:before="0" w:after="0"/>
              <w:ind w:firstLine="0"/>
              <w:jc w:val="center"/>
              <w:rPr>
                <w:bCs/>
              </w:rPr>
            </w:pPr>
            <w:r w:rsidRPr="005D756B">
              <w:rPr>
                <w:bCs/>
              </w:rPr>
              <w:t>4</w:t>
            </w:r>
          </w:p>
        </w:tc>
        <w:tc>
          <w:tcPr>
            <w:tcW w:w="703" w:type="pct"/>
            <w:vAlign w:val="center"/>
          </w:tcPr>
          <w:p w:rsidR="00124F12" w:rsidRPr="005D756B" w:rsidRDefault="00124F12" w:rsidP="006C4607">
            <w:pPr>
              <w:pStyle w:val="naisf"/>
              <w:spacing w:before="0" w:after="0"/>
              <w:ind w:firstLine="0"/>
              <w:jc w:val="center"/>
              <w:rPr>
                <w:bCs/>
              </w:rPr>
            </w:pPr>
            <w:r w:rsidRPr="005D756B">
              <w:rPr>
                <w:bCs/>
              </w:rPr>
              <w:t>5</w:t>
            </w:r>
          </w:p>
        </w:tc>
        <w:tc>
          <w:tcPr>
            <w:tcW w:w="701" w:type="pct"/>
            <w:vAlign w:val="center"/>
          </w:tcPr>
          <w:p w:rsidR="00124F12" w:rsidRPr="005D756B" w:rsidRDefault="00124F12" w:rsidP="006C4607">
            <w:pPr>
              <w:pStyle w:val="naisf"/>
              <w:spacing w:before="0" w:after="0"/>
              <w:ind w:firstLine="0"/>
              <w:jc w:val="center"/>
              <w:rPr>
                <w:bCs/>
              </w:rPr>
            </w:pPr>
            <w:r w:rsidRPr="005D756B">
              <w:rPr>
                <w:bCs/>
              </w:rPr>
              <w:t>6</w:t>
            </w:r>
          </w:p>
        </w:tc>
      </w:tr>
      <w:tr w:rsidR="00124F12" w:rsidRPr="005D756B" w:rsidTr="00D54645">
        <w:trPr>
          <w:jc w:val="center"/>
        </w:trPr>
        <w:tc>
          <w:tcPr>
            <w:tcW w:w="1546" w:type="pct"/>
          </w:tcPr>
          <w:p w:rsidR="00124F12" w:rsidRPr="005D756B" w:rsidRDefault="00124F12" w:rsidP="0034795A">
            <w:pPr>
              <w:pStyle w:val="naisf"/>
              <w:spacing w:before="0" w:after="0"/>
              <w:ind w:firstLine="0"/>
              <w:jc w:val="left"/>
              <w:rPr>
                <w:i/>
              </w:rPr>
            </w:pPr>
            <w:r w:rsidRPr="005D756B">
              <w:t>1. Budžeta ieņēmumi:</w:t>
            </w:r>
          </w:p>
        </w:tc>
        <w:tc>
          <w:tcPr>
            <w:tcW w:w="644" w:type="pct"/>
          </w:tcPr>
          <w:p w:rsidR="00124F12" w:rsidRPr="005D756B" w:rsidRDefault="007A31C5" w:rsidP="005A53B8">
            <w:pPr>
              <w:pStyle w:val="naisf"/>
              <w:spacing w:before="0" w:after="0"/>
              <w:ind w:firstLine="0"/>
              <w:jc w:val="center"/>
              <w:rPr>
                <w:b/>
              </w:rPr>
            </w:pPr>
            <w:r>
              <w:rPr>
                <w:b/>
              </w:rPr>
              <w:t>50,0</w:t>
            </w:r>
          </w:p>
        </w:tc>
        <w:tc>
          <w:tcPr>
            <w:tcW w:w="703" w:type="pct"/>
          </w:tcPr>
          <w:p w:rsidR="00124F12" w:rsidRPr="005D756B" w:rsidRDefault="00CA24B4" w:rsidP="00CA24B4">
            <w:pPr>
              <w:pStyle w:val="naisf"/>
              <w:spacing w:before="0" w:after="0"/>
              <w:ind w:firstLine="0"/>
              <w:jc w:val="center"/>
              <w:rPr>
                <w:b/>
              </w:rPr>
            </w:pPr>
            <w:r w:rsidRPr="005D756B">
              <w:rPr>
                <w:b/>
              </w:rPr>
              <w:t>0</w:t>
            </w:r>
          </w:p>
        </w:tc>
        <w:tc>
          <w:tcPr>
            <w:tcW w:w="703" w:type="pct"/>
          </w:tcPr>
          <w:p w:rsidR="00124F12" w:rsidRPr="005D756B" w:rsidRDefault="00CA24B4" w:rsidP="00CA24B4">
            <w:pPr>
              <w:pStyle w:val="naisf"/>
              <w:spacing w:before="0" w:after="0"/>
              <w:ind w:firstLine="0"/>
              <w:jc w:val="center"/>
              <w:rPr>
                <w:b/>
              </w:rPr>
            </w:pPr>
            <w:r w:rsidRPr="005D756B">
              <w:rPr>
                <w:b/>
              </w:rPr>
              <w:t>0</w:t>
            </w:r>
          </w:p>
        </w:tc>
        <w:tc>
          <w:tcPr>
            <w:tcW w:w="703" w:type="pct"/>
          </w:tcPr>
          <w:p w:rsidR="00124F12" w:rsidRPr="005D756B" w:rsidRDefault="00CA24B4" w:rsidP="00CA24B4">
            <w:pPr>
              <w:pStyle w:val="naisf"/>
              <w:spacing w:before="0" w:after="0"/>
              <w:ind w:firstLine="0"/>
              <w:jc w:val="center"/>
              <w:rPr>
                <w:b/>
              </w:rPr>
            </w:pPr>
            <w:r w:rsidRPr="005D756B">
              <w:rPr>
                <w:b/>
              </w:rPr>
              <w:t>0</w:t>
            </w:r>
          </w:p>
        </w:tc>
        <w:tc>
          <w:tcPr>
            <w:tcW w:w="701" w:type="pct"/>
          </w:tcPr>
          <w:p w:rsidR="00124F12" w:rsidRPr="005D756B" w:rsidRDefault="00CA24B4" w:rsidP="00CA24B4">
            <w:pPr>
              <w:pStyle w:val="naisf"/>
              <w:spacing w:before="0" w:after="0"/>
              <w:ind w:firstLine="0"/>
              <w:jc w:val="center"/>
              <w:rPr>
                <w:b/>
              </w:rPr>
            </w:pPr>
            <w:r w:rsidRPr="005D756B">
              <w:rPr>
                <w:b/>
              </w:rPr>
              <w:t>0</w:t>
            </w:r>
          </w:p>
        </w:tc>
      </w:tr>
      <w:tr w:rsidR="00CA24B4" w:rsidRPr="005D756B" w:rsidTr="00D54645">
        <w:trPr>
          <w:jc w:val="center"/>
        </w:trPr>
        <w:tc>
          <w:tcPr>
            <w:tcW w:w="1546" w:type="pct"/>
          </w:tcPr>
          <w:p w:rsidR="00CA24B4" w:rsidRPr="005D756B" w:rsidRDefault="00CA24B4" w:rsidP="0034795A">
            <w:pPr>
              <w:pStyle w:val="naisf"/>
              <w:spacing w:before="0" w:after="0"/>
              <w:ind w:firstLine="0"/>
              <w:jc w:val="left"/>
              <w:rPr>
                <w:i/>
              </w:rPr>
            </w:pPr>
            <w:r w:rsidRPr="005D756B">
              <w:t>1.1. valsts pamatbudžets, tai sk</w:t>
            </w:r>
            <w:r w:rsidR="00E9693C" w:rsidRPr="005D756B">
              <w:t>aitā ieņēmumi no maksas pakalpo</w:t>
            </w:r>
            <w:r w:rsidRPr="005D756B">
              <w:t>jumiem un citi pašu ieņēmumi</w:t>
            </w:r>
          </w:p>
        </w:tc>
        <w:tc>
          <w:tcPr>
            <w:tcW w:w="644" w:type="pct"/>
          </w:tcPr>
          <w:p w:rsidR="0025780E" w:rsidRPr="005D756B" w:rsidRDefault="0025780E" w:rsidP="005A53B8">
            <w:pPr>
              <w:pStyle w:val="naisf"/>
              <w:spacing w:before="0" w:after="0"/>
              <w:ind w:firstLine="0"/>
              <w:jc w:val="center"/>
            </w:pPr>
          </w:p>
          <w:p w:rsidR="005A53B8" w:rsidRPr="005D756B" w:rsidRDefault="007A31C5" w:rsidP="005A53B8">
            <w:pPr>
              <w:pStyle w:val="naisf"/>
              <w:spacing w:before="0" w:after="0"/>
              <w:ind w:firstLine="0"/>
              <w:jc w:val="center"/>
            </w:pPr>
            <w:r>
              <w:t>50,0</w:t>
            </w:r>
          </w:p>
          <w:p w:rsidR="00CA24B4" w:rsidRPr="005D756B" w:rsidRDefault="00CA24B4" w:rsidP="006C4607">
            <w:pPr>
              <w:pStyle w:val="naisf"/>
              <w:spacing w:before="0" w:after="0"/>
              <w:ind w:firstLine="0"/>
              <w:rPr>
                <w:b/>
              </w:rPr>
            </w:pPr>
          </w:p>
        </w:tc>
        <w:tc>
          <w:tcPr>
            <w:tcW w:w="703" w:type="pct"/>
            <w:vAlign w:val="center"/>
          </w:tcPr>
          <w:p w:rsidR="0025780E" w:rsidRPr="005D756B" w:rsidRDefault="0025780E" w:rsidP="005A53B8">
            <w:pPr>
              <w:pStyle w:val="naisf"/>
              <w:spacing w:before="0" w:after="0"/>
              <w:ind w:firstLine="0"/>
              <w:jc w:val="center"/>
            </w:pPr>
          </w:p>
          <w:p w:rsidR="00CA24B4" w:rsidRPr="005D756B" w:rsidRDefault="00DD2BEA" w:rsidP="005A53B8">
            <w:pPr>
              <w:pStyle w:val="naisf"/>
              <w:spacing w:before="0" w:after="0"/>
              <w:ind w:firstLine="0"/>
              <w:jc w:val="center"/>
            </w:pPr>
            <w:r w:rsidRPr="005D756B">
              <w:t>0</w:t>
            </w:r>
          </w:p>
          <w:p w:rsidR="00CA24B4" w:rsidRPr="005D756B" w:rsidRDefault="00CA24B4" w:rsidP="005A53B8">
            <w:pPr>
              <w:pStyle w:val="naisf"/>
              <w:spacing w:before="0" w:after="0"/>
              <w:ind w:firstLine="0"/>
              <w:jc w:val="center"/>
            </w:pPr>
          </w:p>
          <w:p w:rsidR="00CA24B4" w:rsidRPr="005D756B" w:rsidRDefault="00CA24B4" w:rsidP="005A53B8">
            <w:pPr>
              <w:pStyle w:val="naisf"/>
              <w:spacing w:before="0" w:after="0"/>
              <w:ind w:firstLine="0"/>
              <w:jc w:val="center"/>
              <w:rPr>
                <w:b/>
              </w:rPr>
            </w:pPr>
          </w:p>
        </w:tc>
        <w:tc>
          <w:tcPr>
            <w:tcW w:w="703" w:type="pct"/>
            <w:vAlign w:val="center"/>
          </w:tcPr>
          <w:p w:rsidR="00CA24B4" w:rsidRPr="005D756B" w:rsidRDefault="00DD2BEA" w:rsidP="005A53B8">
            <w:pPr>
              <w:pStyle w:val="naisf"/>
              <w:spacing w:before="0" w:after="0"/>
              <w:ind w:firstLine="0"/>
              <w:jc w:val="center"/>
            </w:pPr>
            <w:r w:rsidRPr="005D756B">
              <w:t>0</w:t>
            </w:r>
          </w:p>
          <w:p w:rsidR="00CA24B4" w:rsidRPr="005D756B" w:rsidRDefault="00CA24B4" w:rsidP="005A53B8">
            <w:pPr>
              <w:pStyle w:val="naisf"/>
              <w:spacing w:before="0" w:after="0"/>
              <w:ind w:firstLine="0"/>
              <w:jc w:val="center"/>
            </w:pPr>
          </w:p>
        </w:tc>
        <w:tc>
          <w:tcPr>
            <w:tcW w:w="703" w:type="pct"/>
            <w:vAlign w:val="center"/>
          </w:tcPr>
          <w:p w:rsidR="00CA24B4" w:rsidRPr="005D756B" w:rsidRDefault="00DD2BEA" w:rsidP="0025780E">
            <w:pPr>
              <w:pStyle w:val="naisf"/>
              <w:spacing w:before="0" w:after="0"/>
              <w:ind w:firstLine="0"/>
              <w:jc w:val="center"/>
            </w:pPr>
            <w:r w:rsidRPr="005D756B">
              <w:t>0</w:t>
            </w:r>
          </w:p>
          <w:p w:rsidR="00CA24B4" w:rsidRPr="005D756B" w:rsidRDefault="00CA24B4" w:rsidP="005A53B8">
            <w:pPr>
              <w:pStyle w:val="naisf"/>
              <w:spacing w:before="0" w:after="0"/>
              <w:ind w:firstLine="0"/>
              <w:jc w:val="center"/>
            </w:pPr>
          </w:p>
        </w:tc>
        <w:tc>
          <w:tcPr>
            <w:tcW w:w="701" w:type="pct"/>
            <w:vAlign w:val="center"/>
          </w:tcPr>
          <w:p w:rsidR="00CA24B4" w:rsidRPr="005D756B" w:rsidRDefault="00CA24B4" w:rsidP="005A53B8">
            <w:pPr>
              <w:pStyle w:val="naisf"/>
              <w:spacing w:before="0" w:after="0"/>
              <w:ind w:firstLine="0"/>
              <w:jc w:val="center"/>
            </w:pPr>
          </w:p>
          <w:p w:rsidR="00CA24B4" w:rsidRPr="005D756B" w:rsidRDefault="00DD2BEA" w:rsidP="005A53B8">
            <w:pPr>
              <w:pStyle w:val="naisf"/>
              <w:spacing w:before="0" w:after="0"/>
              <w:ind w:firstLine="0"/>
              <w:jc w:val="center"/>
            </w:pPr>
            <w:r w:rsidRPr="005D756B">
              <w:t>0</w:t>
            </w:r>
          </w:p>
          <w:p w:rsidR="00CA24B4" w:rsidRPr="005D756B" w:rsidRDefault="00CA24B4" w:rsidP="005A53B8">
            <w:pPr>
              <w:pStyle w:val="naisf"/>
              <w:spacing w:before="0" w:after="0"/>
              <w:ind w:firstLine="0"/>
              <w:jc w:val="center"/>
            </w:pPr>
          </w:p>
          <w:p w:rsidR="00CA24B4" w:rsidRPr="005D756B" w:rsidRDefault="00CA24B4" w:rsidP="005A53B8">
            <w:pPr>
              <w:pStyle w:val="naisf"/>
              <w:spacing w:before="0" w:after="0"/>
              <w:ind w:firstLine="0"/>
              <w:jc w:val="center"/>
            </w:pPr>
          </w:p>
        </w:tc>
      </w:tr>
      <w:tr w:rsidR="00CA24B4" w:rsidRPr="005D756B" w:rsidTr="00D54645">
        <w:trPr>
          <w:trHeight w:val="657"/>
          <w:jc w:val="center"/>
        </w:trPr>
        <w:tc>
          <w:tcPr>
            <w:tcW w:w="1546" w:type="pct"/>
          </w:tcPr>
          <w:p w:rsidR="00CA24B4" w:rsidRPr="005D756B" w:rsidRDefault="00CA24B4" w:rsidP="0034795A">
            <w:pPr>
              <w:pStyle w:val="naisf"/>
              <w:spacing w:before="0" w:after="0"/>
              <w:ind w:firstLine="0"/>
              <w:jc w:val="left"/>
              <w:rPr>
                <w:i/>
              </w:rPr>
            </w:pPr>
            <w:r w:rsidRPr="005D756B">
              <w:t>1.2. valsts speciālais budžets</w:t>
            </w:r>
          </w:p>
        </w:tc>
        <w:tc>
          <w:tcPr>
            <w:tcW w:w="644"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pPr>
              <w:pStyle w:val="naisf"/>
              <w:spacing w:before="0" w:after="0"/>
              <w:ind w:firstLine="0"/>
              <w:jc w:val="left"/>
              <w:rPr>
                <w:i/>
              </w:rPr>
            </w:pPr>
            <w:r w:rsidRPr="005D756B">
              <w:t>1.3. pašvaldību budžets</w:t>
            </w:r>
          </w:p>
        </w:tc>
        <w:tc>
          <w:tcPr>
            <w:tcW w:w="644"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124F12" w:rsidRPr="005D756B" w:rsidTr="00D54645">
        <w:trPr>
          <w:jc w:val="center"/>
        </w:trPr>
        <w:tc>
          <w:tcPr>
            <w:tcW w:w="1546" w:type="pct"/>
          </w:tcPr>
          <w:p w:rsidR="00124F12" w:rsidRPr="005D756B" w:rsidRDefault="00124F12" w:rsidP="0034795A">
            <w:r w:rsidRPr="005D756B">
              <w:t>2. Budžeta izdevumi:</w:t>
            </w:r>
          </w:p>
        </w:tc>
        <w:tc>
          <w:tcPr>
            <w:tcW w:w="644" w:type="pct"/>
          </w:tcPr>
          <w:p w:rsidR="00124F12" w:rsidRPr="005D756B" w:rsidRDefault="00AD250D" w:rsidP="005A53B8">
            <w:pPr>
              <w:pStyle w:val="naisf"/>
              <w:spacing w:before="0" w:after="0"/>
              <w:ind w:firstLine="0"/>
              <w:jc w:val="center"/>
              <w:rPr>
                <w:b/>
              </w:rPr>
            </w:pPr>
            <w:r>
              <w:rPr>
                <w:b/>
              </w:rPr>
              <w:t>50,0</w:t>
            </w:r>
          </w:p>
        </w:tc>
        <w:tc>
          <w:tcPr>
            <w:tcW w:w="703" w:type="pct"/>
          </w:tcPr>
          <w:p w:rsidR="00124F12" w:rsidRPr="005D756B" w:rsidRDefault="00077BC1" w:rsidP="00BA4CC0">
            <w:pPr>
              <w:pStyle w:val="naisf"/>
              <w:spacing w:before="0" w:after="0"/>
              <w:ind w:firstLine="0"/>
              <w:jc w:val="center"/>
              <w:rPr>
                <w:b/>
              </w:rPr>
            </w:pPr>
            <w:r w:rsidRPr="005D756B">
              <w:rPr>
                <w:b/>
              </w:rPr>
              <w:t>+</w:t>
            </w:r>
            <w:r w:rsidR="002B4C4D" w:rsidRPr="005D756B">
              <w:rPr>
                <w:b/>
              </w:rPr>
              <w:t>118</w:t>
            </w:r>
            <w:r w:rsidR="00BA4CC0" w:rsidRPr="005D756B">
              <w:rPr>
                <w:b/>
              </w:rPr>
              <w:t>,0</w:t>
            </w:r>
          </w:p>
        </w:tc>
        <w:tc>
          <w:tcPr>
            <w:tcW w:w="703" w:type="pct"/>
          </w:tcPr>
          <w:p w:rsidR="00124F12" w:rsidRPr="005D756B" w:rsidRDefault="00CA24B4" w:rsidP="00CA24B4">
            <w:pPr>
              <w:pStyle w:val="naisf"/>
              <w:spacing w:before="0" w:after="0"/>
              <w:ind w:firstLine="0"/>
              <w:jc w:val="center"/>
              <w:rPr>
                <w:b/>
              </w:rPr>
            </w:pPr>
            <w:r w:rsidRPr="005D756B">
              <w:rPr>
                <w:b/>
              </w:rPr>
              <w:t>0</w:t>
            </w:r>
          </w:p>
        </w:tc>
        <w:tc>
          <w:tcPr>
            <w:tcW w:w="703" w:type="pct"/>
          </w:tcPr>
          <w:p w:rsidR="00124F12" w:rsidRPr="005D756B" w:rsidRDefault="00CA24B4" w:rsidP="00CA24B4">
            <w:pPr>
              <w:pStyle w:val="naisf"/>
              <w:spacing w:before="0" w:after="0"/>
              <w:ind w:firstLine="0"/>
              <w:jc w:val="center"/>
              <w:rPr>
                <w:b/>
              </w:rPr>
            </w:pPr>
            <w:r w:rsidRPr="005D756B">
              <w:rPr>
                <w:b/>
              </w:rPr>
              <w:t>0</w:t>
            </w:r>
          </w:p>
        </w:tc>
        <w:tc>
          <w:tcPr>
            <w:tcW w:w="701" w:type="pct"/>
          </w:tcPr>
          <w:p w:rsidR="00124F12" w:rsidRPr="005D756B" w:rsidRDefault="00CA24B4" w:rsidP="00CA24B4">
            <w:pPr>
              <w:pStyle w:val="naisf"/>
              <w:spacing w:before="0" w:after="0"/>
              <w:ind w:firstLine="0"/>
              <w:jc w:val="center"/>
              <w:rPr>
                <w:b/>
              </w:rPr>
            </w:pPr>
            <w:r w:rsidRPr="005D756B">
              <w:rPr>
                <w:b/>
              </w:rPr>
              <w:t>0</w:t>
            </w:r>
          </w:p>
        </w:tc>
      </w:tr>
      <w:tr w:rsidR="00CA24B4" w:rsidRPr="005D756B" w:rsidTr="00D54645">
        <w:trPr>
          <w:trHeight w:val="414"/>
          <w:jc w:val="center"/>
        </w:trPr>
        <w:tc>
          <w:tcPr>
            <w:tcW w:w="1546" w:type="pct"/>
          </w:tcPr>
          <w:p w:rsidR="00CA24B4" w:rsidRPr="005D756B" w:rsidRDefault="00CA24B4" w:rsidP="0034795A">
            <w:r w:rsidRPr="005D756B">
              <w:t>2.1. valsts pamatbudžets</w:t>
            </w:r>
          </w:p>
        </w:tc>
        <w:tc>
          <w:tcPr>
            <w:tcW w:w="644" w:type="pct"/>
          </w:tcPr>
          <w:p w:rsidR="00CA24B4" w:rsidRPr="005D756B" w:rsidRDefault="00AD250D" w:rsidP="00AE1FDB">
            <w:pPr>
              <w:pStyle w:val="naisf"/>
              <w:spacing w:before="0" w:after="0"/>
              <w:ind w:firstLine="0"/>
              <w:jc w:val="center"/>
            </w:pPr>
            <w:r>
              <w:t>50,0</w:t>
            </w:r>
          </w:p>
        </w:tc>
        <w:tc>
          <w:tcPr>
            <w:tcW w:w="703" w:type="pct"/>
          </w:tcPr>
          <w:p w:rsidR="00CA24B4" w:rsidRPr="005D756B" w:rsidRDefault="00077BC1" w:rsidP="004A7004">
            <w:pPr>
              <w:pStyle w:val="naisf"/>
              <w:spacing w:before="0" w:after="0"/>
              <w:ind w:firstLine="0"/>
              <w:jc w:val="center"/>
            </w:pPr>
            <w:r w:rsidRPr="005D756B">
              <w:t>+</w:t>
            </w:r>
            <w:r w:rsidR="002B4C4D" w:rsidRPr="005D756B">
              <w:t>118</w:t>
            </w:r>
            <w:r w:rsidR="00BA4CC0" w:rsidRPr="005D756B">
              <w:t>,0</w:t>
            </w:r>
          </w:p>
        </w:tc>
        <w:tc>
          <w:tcPr>
            <w:tcW w:w="703" w:type="pct"/>
          </w:tcPr>
          <w:p w:rsidR="00CA24B4" w:rsidRPr="005D756B" w:rsidRDefault="00DD2BEA" w:rsidP="00AE1FDB">
            <w:pPr>
              <w:pStyle w:val="naisf"/>
              <w:spacing w:before="0" w:after="0"/>
              <w:ind w:firstLine="0"/>
              <w:jc w:val="center"/>
            </w:pPr>
            <w:r w:rsidRPr="005D756B">
              <w:t>0</w:t>
            </w:r>
          </w:p>
          <w:p w:rsidR="00CA24B4" w:rsidRPr="005D756B" w:rsidRDefault="00CA24B4" w:rsidP="00AE1FDB">
            <w:pPr>
              <w:pStyle w:val="naisf"/>
              <w:spacing w:before="0" w:after="0"/>
              <w:ind w:firstLine="0"/>
              <w:jc w:val="center"/>
            </w:pPr>
          </w:p>
        </w:tc>
        <w:tc>
          <w:tcPr>
            <w:tcW w:w="703" w:type="pct"/>
          </w:tcPr>
          <w:p w:rsidR="00CA24B4" w:rsidRPr="005D756B" w:rsidRDefault="00DD2BEA" w:rsidP="00AE1FDB">
            <w:pPr>
              <w:pStyle w:val="naisf"/>
              <w:spacing w:before="0" w:after="0"/>
              <w:ind w:firstLine="0"/>
              <w:jc w:val="center"/>
            </w:pPr>
            <w:r w:rsidRPr="005D756B">
              <w:t>0</w:t>
            </w:r>
          </w:p>
          <w:p w:rsidR="00CA24B4" w:rsidRPr="005D756B" w:rsidRDefault="00CA24B4" w:rsidP="00AE1FDB">
            <w:pPr>
              <w:pStyle w:val="naisf"/>
              <w:spacing w:before="0" w:after="0"/>
              <w:ind w:firstLine="0"/>
              <w:jc w:val="center"/>
            </w:pPr>
          </w:p>
        </w:tc>
        <w:tc>
          <w:tcPr>
            <w:tcW w:w="701" w:type="pct"/>
          </w:tcPr>
          <w:p w:rsidR="00CA24B4" w:rsidRPr="005D756B" w:rsidRDefault="00DD2BEA" w:rsidP="00AE1FDB">
            <w:pPr>
              <w:pStyle w:val="naisf"/>
              <w:spacing w:before="0" w:after="0"/>
              <w:ind w:firstLine="0"/>
              <w:jc w:val="center"/>
            </w:pPr>
            <w:r w:rsidRPr="005D756B">
              <w:t>0</w:t>
            </w:r>
          </w:p>
          <w:p w:rsidR="00CA24B4" w:rsidRPr="005D756B" w:rsidRDefault="00CA24B4" w:rsidP="00AE1FDB">
            <w:pPr>
              <w:pStyle w:val="naisf"/>
              <w:spacing w:before="0" w:after="0"/>
              <w:ind w:firstLine="0"/>
              <w:jc w:val="center"/>
            </w:pPr>
          </w:p>
        </w:tc>
      </w:tr>
      <w:tr w:rsidR="00CA24B4" w:rsidRPr="005D756B" w:rsidTr="00D54645">
        <w:trPr>
          <w:jc w:val="center"/>
        </w:trPr>
        <w:tc>
          <w:tcPr>
            <w:tcW w:w="1546" w:type="pct"/>
          </w:tcPr>
          <w:p w:rsidR="00CA24B4" w:rsidRPr="005D756B" w:rsidRDefault="00CA24B4" w:rsidP="0034795A">
            <w:r w:rsidRPr="005D756B">
              <w:t>2.2. valsts speciālais budžets</w:t>
            </w:r>
          </w:p>
        </w:tc>
        <w:tc>
          <w:tcPr>
            <w:tcW w:w="644"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 xml:space="preserve">2.3. pašvaldību budžets </w:t>
            </w:r>
          </w:p>
        </w:tc>
        <w:tc>
          <w:tcPr>
            <w:tcW w:w="644"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3. Finansiālā ietekme:</w:t>
            </w:r>
          </w:p>
        </w:tc>
        <w:tc>
          <w:tcPr>
            <w:tcW w:w="644" w:type="pct"/>
            <w:shd w:val="clear" w:color="auto" w:fill="auto"/>
            <w:vAlign w:val="center"/>
          </w:tcPr>
          <w:p w:rsidR="00CA24B4" w:rsidRPr="005D756B" w:rsidRDefault="005C795B" w:rsidP="005A53B8">
            <w:pPr>
              <w:pStyle w:val="naisf"/>
              <w:spacing w:before="0" w:after="0"/>
              <w:ind w:firstLine="0"/>
              <w:jc w:val="center"/>
              <w:rPr>
                <w:b/>
              </w:rPr>
            </w:pPr>
            <w:r w:rsidRPr="005D756B">
              <w:rPr>
                <w:b/>
              </w:rPr>
              <w:t>0</w:t>
            </w:r>
          </w:p>
        </w:tc>
        <w:tc>
          <w:tcPr>
            <w:tcW w:w="703" w:type="pct"/>
          </w:tcPr>
          <w:p w:rsidR="00CA24B4" w:rsidRPr="005D756B" w:rsidRDefault="00065314" w:rsidP="004A7004">
            <w:pPr>
              <w:pStyle w:val="naisf"/>
              <w:spacing w:before="0" w:after="0"/>
              <w:ind w:firstLine="0"/>
              <w:jc w:val="center"/>
              <w:rPr>
                <w:b/>
              </w:rPr>
            </w:pPr>
            <w:r w:rsidRPr="005D756B">
              <w:rPr>
                <w:b/>
              </w:rPr>
              <w:t>-</w:t>
            </w:r>
            <w:r w:rsidR="002B4C4D" w:rsidRPr="005D756B">
              <w:rPr>
                <w:b/>
              </w:rPr>
              <w:t>118</w:t>
            </w:r>
            <w:r w:rsidR="007B391A" w:rsidRPr="005D756B">
              <w:rPr>
                <w:b/>
              </w:rPr>
              <w:t>,0</w:t>
            </w:r>
          </w:p>
        </w:tc>
        <w:tc>
          <w:tcPr>
            <w:tcW w:w="703" w:type="pct"/>
            <w:vAlign w:val="center"/>
          </w:tcPr>
          <w:p w:rsidR="00CA24B4" w:rsidRPr="005D756B" w:rsidRDefault="005C795B" w:rsidP="005A53B8">
            <w:pPr>
              <w:pStyle w:val="naisf"/>
              <w:spacing w:before="0" w:after="0"/>
              <w:ind w:firstLine="0"/>
              <w:jc w:val="center"/>
              <w:rPr>
                <w:b/>
              </w:rPr>
            </w:pPr>
            <w:r w:rsidRPr="005D756B">
              <w:rPr>
                <w:b/>
              </w:rPr>
              <w:t>0</w:t>
            </w:r>
          </w:p>
        </w:tc>
        <w:tc>
          <w:tcPr>
            <w:tcW w:w="703" w:type="pct"/>
            <w:vAlign w:val="center"/>
          </w:tcPr>
          <w:p w:rsidR="00CA24B4" w:rsidRPr="005D756B" w:rsidRDefault="005C795B" w:rsidP="005A53B8">
            <w:pPr>
              <w:pStyle w:val="naisf"/>
              <w:spacing w:before="0" w:after="0"/>
              <w:ind w:firstLine="0"/>
              <w:jc w:val="center"/>
              <w:rPr>
                <w:b/>
              </w:rPr>
            </w:pPr>
            <w:r w:rsidRPr="005D756B">
              <w:rPr>
                <w:b/>
              </w:rPr>
              <w:t>0</w:t>
            </w:r>
          </w:p>
        </w:tc>
        <w:tc>
          <w:tcPr>
            <w:tcW w:w="701" w:type="pct"/>
            <w:vAlign w:val="center"/>
          </w:tcPr>
          <w:p w:rsidR="00CA24B4" w:rsidRPr="005D756B" w:rsidRDefault="005C795B" w:rsidP="005A53B8">
            <w:pPr>
              <w:pStyle w:val="naisf"/>
              <w:spacing w:before="0" w:after="0"/>
              <w:ind w:firstLine="0"/>
              <w:jc w:val="center"/>
              <w:rPr>
                <w:b/>
              </w:rPr>
            </w:pPr>
            <w:r w:rsidRPr="005D756B">
              <w:rPr>
                <w:b/>
              </w:rPr>
              <w:t>0</w:t>
            </w:r>
          </w:p>
        </w:tc>
      </w:tr>
      <w:tr w:rsidR="00CA24B4" w:rsidRPr="005D756B" w:rsidTr="00D54645">
        <w:trPr>
          <w:jc w:val="center"/>
        </w:trPr>
        <w:tc>
          <w:tcPr>
            <w:tcW w:w="1546" w:type="pct"/>
          </w:tcPr>
          <w:p w:rsidR="00CA24B4" w:rsidRPr="005D756B" w:rsidRDefault="00CA24B4" w:rsidP="0034795A">
            <w:r w:rsidRPr="005D756B">
              <w:t>3.1. valsts pamatbudžets</w:t>
            </w:r>
          </w:p>
        </w:tc>
        <w:tc>
          <w:tcPr>
            <w:tcW w:w="644" w:type="pct"/>
            <w:shd w:val="clear" w:color="auto" w:fill="auto"/>
            <w:vAlign w:val="center"/>
          </w:tcPr>
          <w:p w:rsidR="00CA24B4" w:rsidRPr="005D756B" w:rsidRDefault="00DD2BEA" w:rsidP="005A53B8">
            <w:pPr>
              <w:pStyle w:val="naisf"/>
              <w:spacing w:before="0" w:after="0"/>
              <w:ind w:firstLine="0"/>
              <w:jc w:val="center"/>
            </w:pPr>
            <w:r w:rsidRPr="005D756B">
              <w:t>0</w:t>
            </w:r>
          </w:p>
        </w:tc>
        <w:tc>
          <w:tcPr>
            <w:tcW w:w="703" w:type="pct"/>
            <w:vAlign w:val="center"/>
          </w:tcPr>
          <w:p w:rsidR="00CA24B4" w:rsidRPr="005D756B" w:rsidRDefault="00DA34A8" w:rsidP="004A7004">
            <w:pPr>
              <w:pStyle w:val="naisf"/>
              <w:spacing w:before="0" w:after="0"/>
              <w:ind w:firstLine="0"/>
              <w:jc w:val="center"/>
              <w:rPr>
                <w:b/>
              </w:rPr>
            </w:pPr>
            <w:r w:rsidRPr="005D756B">
              <w:t>-</w:t>
            </w:r>
            <w:r w:rsidR="002B4C4D" w:rsidRPr="005D756B">
              <w:t>118</w:t>
            </w:r>
            <w:r w:rsidR="007B391A"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3.2. speciālais budžets</w:t>
            </w:r>
          </w:p>
        </w:tc>
        <w:tc>
          <w:tcPr>
            <w:tcW w:w="644" w:type="pct"/>
            <w:shd w:val="clear" w:color="auto" w:fill="auto"/>
            <w:vAlign w:val="center"/>
          </w:tcPr>
          <w:p w:rsidR="00CA24B4" w:rsidRPr="005D756B" w:rsidRDefault="00DD2BEA" w:rsidP="005A53B8">
            <w:pPr>
              <w:pStyle w:val="naisf"/>
              <w:spacing w:before="0" w:after="0"/>
              <w:ind w:firstLine="0"/>
              <w:jc w:val="cente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 xml:space="preserve">3.3. pašvaldību budžets </w:t>
            </w:r>
          </w:p>
        </w:tc>
        <w:tc>
          <w:tcPr>
            <w:tcW w:w="644" w:type="pct"/>
            <w:shd w:val="clear" w:color="auto" w:fill="auto"/>
            <w:vAlign w:val="center"/>
          </w:tcPr>
          <w:p w:rsidR="00CA24B4" w:rsidRPr="005D756B" w:rsidRDefault="00DD2BEA" w:rsidP="005A53B8">
            <w:pPr>
              <w:pStyle w:val="naisf"/>
              <w:spacing w:before="0" w:after="0"/>
              <w:ind w:firstLine="0"/>
              <w:jc w:val="cente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5C795B" w:rsidRPr="005D756B" w:rsidTr="00D54645">
        <w:trPr>
          <w:jc w:val="center"/>
        </w:trPr>
        <w:tc>
          <w:tcPr>
            <w:tcW w:w="1546" w:type="pct"/>
            <w:vMerge w:val="restart"/>
          </w:tcPr>
          <w:p w:rsidR="005C795B" w:rsidRPr="005D756B" w:rsidRDefault="005C795B" w:rsidP="0034795A">
            <w:r w:rsidRPr="005D756B">
              <w:t>4. Finanšu līdzekļi pap</w:t>
            </w:r>
            <w:r w:rsidR="0034795A" w:rsidRPr="005D756B">
              <w:t>ildu izde</w:t>
            </w:r>
            <w:r w:rsidR="0034795A" w:rsidRPr="005D756B">
              <w:softHyphen/>
              <w:t xml:space="preserve">vumu </w:t>
            </w:r>
            <w:r w:rsidRPr="005D756B">
              <w:t>finansēšanai (kompensējošu izdevumu samazinājumu norāda ar "+" zīmi)</w:t>
            </w:r>
          </w:p>
        </w:tc>
        <w:tc>
          <w:tcPr>
            <w:tcW w:w="644" w:type="pct"/>
            <w:vMerge w:val="restart"/>
            <w:vAlign w:val="center"/>
          </w:tcPr>
          <w:p w:rsidR="005C795B" w:rsidRPr="005D756B" w:rsidRDefault="005C795B" w:rsidP="00C472EA">
            <w:pPr>
              <w:pStyle w:val="naisf"/>
              <w:spacing w:before="0" w:after="0"/>
              <w:ind w:firstLine="0"/>
              <w:jc w:val="center"/>
            </w:pPr>
            <w:r w:rsidRPr="005D756B">
              <w:t>X</w:t>
            </w:r>
          </w:p>
        </w:tc>
        <w:tc>
          <w:tcPr>
            <w:tcW w:w="703" w:type="pct"/>
            <w:vMerge w:val="restart"/>
            <w:vAlign w:val="center"/>
          </w:tcPr>
          <w:p w:rsidR="005C795B" w:rsidRPr="005D756B" w:rsidRDefault="002B4C4D" w:rsidP="004A7004">
            <w:pPr>
              <w:pStyle w:val="naisf"/>
              <w:spacing w:before="0" w:after="0"/>
              <w:ind w:firstLine="0"/>
              <w:jc w:val="center"/>
              <w:rPr>
                <w:b/>
              </w:rPr>
            </w:pPr>
            <w:r w:rsidRPr="005D756B">
              <w:rPr>
                <w:b/>
              </w:rPr>
              <w:t>+118</w:t>
            </w:r>
            <w:r w:rsidR="00077BC1" w:rsidRPr="005D756B">
              <w:rPr>
                <w:b/>
              </w:rPr>
              <w:t>,0</w:t>
            </w:r>
          </w:p>
        </w:tc>
        <w:tc>
          <w:tcPr>
            <w:tcW w:w="703" w:type="pct"/>
            <w:vAlign w:val="center"/>
          </w:tcPr>
          <w:p w:rsidR="005C795B" w:rsidRPr="005D756B" w:rsidRDefault="00DD2BEA" w:rsidP="00DD2BEA">
            <w:pPr>
              <w:pStyle w:val="naisf"/>
              <w:spacing w:before="0" w:after="0"/>
              <w:ind w:firstLine="0"/>
              <w:jc w:val="center"/>
              <w:rPr>
                <w:b/>
              </w:rPr>
            </w:pPr>
            <w:r w:rsidRPr="005D756B">
              <w:t>0</w:t>
            </w:r>
          </w:p>
        </w:tc>
        <w:tc>
          <w:tcPr>
            <w:tcW w:w="703" w:type="pct"/>
            <w:vAlign w:val="center"/>
          </w:tcPr>
          <w:p w:rsidR="005C795B" w:rsidRPr="005D756B" w:rsidRDefault="00DD2BEA" w:rsidP="005A53B8">
            <w:pPr>
              <w:pStyle w:val="naisf"/>
              <w:spacing w:before="0" w:after="0"/>
              <w:ind w:firstLine="0"/>
              <w:jc w:val="center"/>
              <w:rPr>
                <w:b/>
              </w:rPr>
            </w:pPr>
            <w:r w:rsidRPr="005D756B">
              <w:t>0</w:t>
            </w:r>
          </w:p>
        </w:tc>
        <w:tc>
          <w:tcPr>
            <w:tcW w:w="701" w:type="pct"/>
            <w:vAlign w:val="center"/>
          </w:tcPr>
          <w:p w:rsidR="005C795B" w:rsidRPr="005D756B" w:rsidRDefault="00DD2BEA" w:rsidP="005A53B8">
            <w:pPr>
              <w:pStyle w:val="Galvene"/>
              <w:jc w:val="center"/>
              <w:rPr>
                <w:b/>
              </w:rPr>
            </w:pPr>
            <w:r w:rsidRPr="005D756B">
              <w:t>0</w:t>
            </w:r>
          </w:p>
        </w:tc>
      </w:tr>
      <w:tr w:rsidR="005C795B" w:rsidRPr="005D756B" w:rsidTr="00D54645">
        <w:trPr>
          <w:jc w:val="center"/>
        </w:trPr>
        <w:tc>
          <w:tcPr>
            <w:tcW w:w="1546" w:type="pct"/>
            <w:vMerge/>
          </w:tcPr>
          <w:p w:rsidR="005C795B" w:rsidRPr="005D756B" w:rsidRDefault="005C795B" w:rsidP="0034795A"/>
        </w:tc>
        <w:tc>
          <w:tcPr>
            <w:tcW w:w="644" w:type="pct"/>
            <w:vMerge/>
          </w:tcPr>
          <w:p w:rsidR="005C795B" w:rsidRPr="005D756B" w:rsidRDefault="005C795B" w:rsidP="006C4607">
            <w:pPr>
              <w:pStyle w:val="Galvene"/>
              <w:jc w:val="center"/>
            </w:pPr>
          </w:p>
        </w:tc>
        <w:tc>
          <w:tcPr>
            <w:tcW w:w="703" w:type="pct"/>
            <w:vMerge/>
            <w:vAlign w:val="center"/>
          </w:tcPr>
          <w:p w:rsidR="005C795B" w:rsidRPr="005D756B" w:rsidRDefault="005C795B" w:rsidP="005A53B8">
            <w:pPr>
              <w:pStyle w:val="naisf"/>
              <w:jc w:val="center"/>
              <w:rPr>
                <w:b/>
              </w:rPr>
            </w:pPr>
          </w:p>
        </w:tc>
        <w:tc>
          <w:tcPr>
            <w:tcW w:w="703" w:type="pct"/>
            <w:vAlign w:val="center"/>
          </w:tcPr>
          <w:p w:rsidR="005C795B" w:rsidRPr="005D756B" w:rsidRDefault="00DD2BEA" w:rsidP="005A53B8">
            <w:pPr>
              <w:pStyle w:val="naisf"/>
              <w:spacing w:before="0" w:after="0"/>
              <w:ind w:firstLine="0"/>
              <w:jc w:val="center"/>
              <w:rPr>
                <w:b/>
              </w:rPr>
            </w:pPr>
            <w:r w:rsidRPr="005D756B">
              <w:t>0</w:t>
            </w:r>
          </w:p>
        </w:tc>
        <w:tc>
          <w:tcPr>
            <w:tcW w:w="703" w:type="pct"/>
            <w:vAlign w:val="center"/>
          </w:tcPr>
          <w:p w:rsidR="005C795B" w:rsidRPr="005D756B" w:rsidRDefault="00DD2BEA" w:rsidP="005A53B8">
            <w:pPr>
              <w:pStyle w:val="naisf"/>
              <w:spacing w:before="0" w:after="0"/>
              <w:ind w:firstLine="0"/>
              <w:jc w:val="center"/>
              <w:rPr>
                <w:b/>
              </w:rPr>
            </w:pPr>
            <w:r w:rsidRPr="005D756B">
              <w:t>0</w:t>
            </w:r>
          </w:p>
        </w:tc>
        <w:tc>
          <w:tcPr>
            <w:tcW w:w="701" w:type="pct"/>
            <w:vAlign w:val="center"/>
          </w:tcPr>
          <w:p w:rsidR="005C795B" w:rsidRPr="005D756B" w:rsidRDefault="00DD2BEA" w:rsidP="005A53B8">
            <w:pPr>
              <w:pStyle w:val="Galvene"/>
              <w:jc w:val="center"/>
              <w:rPr>
                <w:b/>
              </w:rPr>
            </w:pPr>
            <w:r w:rsidRPr="005D756B">
              <w:t>0</w:t>
            </w:r>
          </w:p>
        </w:tc>
      </w:tr>
      <w:tr w:rsidR="005C795B" w:rsidRPr="005D756B" w:rsidTr="00D54645">
        <w:trPr>
          <w:jc w:val="center"/>
        </w:trPr>
        <w:tc>
          <w:tcPr>
            <w:tcW w:w="1546" w:type="pct"/>
            <w:vMerge/>
          </w:tcPr>
          <w:p w:rsidR="005C795B" w:rsidRPr="005D756B" w:rsidRDefault="005C795B" w:rsidP="0034795A"/>
        </w:tc>
        <w:tc>
          <w:tcPr>
            <w:tcW w:w="644" w:type="pct"/>
            <w:vMerge/>
          </w:tcPr>
          <w:p w:rsidR="005C795B" w:rsidRPr="005D756B" w:rsidRDefault="005C795B" w:rsidP="006C4607">
            <w:pPr>
              <w:pStyle w:val="Galvene"/>
              <w:jc w:val="center"/>
            </w:pPr>
          </w:p>
        </w:tc>
        <w:tc>
          <w:tcPr>
            <w:tcW w:w="703" w:type="pct"/>
            <w:vMerge/>
            <w:vAlign w:val="center"/>
          </w:tcPr>
          <w:p w:rsidR="005C795B" w:rsidRPr="005D756B" w:rsidRDefault="005C795B" w:rsidP="005A53B8">
            <w:pPr>
              <w:pStyle w:val="naisf"/>
              <w:spacing w:before="0" w:after="0"/>
              <w:ind w:firstLine="0"/>
              <w:jc w:val="center"/>
              <w:rPr>
                <w:b/>
              </w:rPr>
            </w:pPr>
          </w:p>
        </w:tc>
        <w:tc>
          <w:tcPr>
            <w:tcW w:w="703" w:type="pct"/>
            <w:vAlign w:val="center"/>
          </w:tcPr>
          <w:p w:rsidR="005C795B" w:rsidRPr="005D756B" w:rsidRDefault="00DD2BEA" w:rsidP="005A53B8">
            <w:pPr>
              <w:pStyle w:val="naislab"/>
              <w:spacing w:before="0" w:after="0"/>
              <w:jc w:val="center"/>
              <w:rPr>
                <w:b/>
              </w:rPr>
            </w:pPr>
            <w:r w:rsidRPr="005D756B">
              <w:t>0</w:t>
            </w:r>
          </w:p>
        </w:tc>
        <w:tc>
          <w:tcPr>
            <w:tcW w:w="703" w:type="pct"/>
            <w:vAlign w:val="center"/>
          </w:tcPr>
          <w:p w:rsidR="005C795B" w:rsidRPr="005D756B" w:rsidRDefault="00DD2BEA" w:rsidP="005A53B8">
            <w:pPr>
              <w:pStyle w:val="naislab"/>
              <w:spacing w:before="0" w:after="0"/>
              <w:jc w:val="center"/>
              <w:rPr>
                <w:b/>
              </w:rPr>
            </w:pPr>
            <w:r w:rsidRPr="005D756B">
              <w:t>0</w:t>
            </w:r>
          </w:p>
        </w:tc>
        <w:tc>
          <w:tcPr>
            <w:tcW w:w="701" w:type="pct"/>
            <w:vAlign w:val="center"/>
          </w:tcPr>
          <w:p w:rsidR="005C795B" w:rsidRPr="005D756B" w:rsidRDefault="00DD2BEA" w:rsidP="005A53B8">
            <w:pPr>
              <w:pStyle w:val="Galvene"/>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5. Precizēta finansiālā ietekme:</w:t>
            </w:r>
          </w:p>
        </w:tc>
        <w:tc>
          <w:tcPr>
            <w:tcW w:w="644" w:type="pct"/>
            <w:vMerge w:val="restart"/>
            <w:vAlign w:val="center"/>
          </w:tcPr>
          <w:p w:rsidR="00CA24B4" w:rsidRPr="005D756B" w:rsidRDefault="00CA24B4" w:rsidP="004617ED">
            <w:pPr>
              <w:pStyle w:val="Galvene"/>
              <w:jc w:val="center"/>
            </w:pPr>
            <w:r w:rsidRPr="005D756B">
              <w:t>X</w:t>
            </w:r>
          </w:p>
        </w:tc>
        <w:tc>
          <w:tcPr>
            <w:tcW w:w="703" w:type="pct"/>
            <w:vAlign w:val="center"/>
          </w:tcPr>
          <w:p w:rsidR="00CA24B4" w:rsidRPr="005D756B" w:rsidRDefault="005C795B" w:rsidP="005A53B8">
            <w:pPr>
              <w:pStyle w:val="naislab"/>
              <w:spacing w:before="0" w:after="0"/>
              <w:jc w:val="center"/>
              <w:rPr>
                <w:b/>
              </w:rPr>
            </w:pPr>
            <w:r w:rsidRPr="005D756B">
              <w:rPr>
                <w:b/>
              </w:rPr>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Galvene"/>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5.1. valsts pamatbudžets</w:t>
            </w:r>
          </w:p>
        </w:tc>
        <w:tc>
          <w:tcPr>
            <w:tcW w:w="644" w:type="pct"/>
            <w:vMerge/>
            <w:vAlign w:val="center"/>
          </w:tcPr>
          <w:p w:rsidR="00CA24B4" w:rsidRPr="005D756B" w:rsidRDefault="00CA24B4" w:rsidP="006C4607">
            <w:pPr>
              <w:pStyle w:val="naisf"/>
              <w:spacing w:before="0" w:after="0"/>
              <w:ind w:firstLine="0"/>
              <w:jc w:val="center"/>
            </w:pPr>
          </w:p>
        </w:tc>
        <w:tc>
          <w:tcPr>
            <w:tcW w:w="703" w:type="pct"/>
            <w:vAlign w:val="center"/>
          </w:tcPr>
          <w:p w:rsidR="00CA24B4" w:rsidRPr="005D756B" w:rsidRDefault="005C795B" w:rsidP="005A53B8">
            <w:pPr>
              <w:pStyle w:val="naislab"/>
              <w:spacing w:before="0" w:after="0"/>
              <w:jc w:val="center"/>
              <w:rPr>
                <w:b/>
              </w:rPr>
            </w:pPr>
            <w:r w:rsidRPr="005D756B">
              <w:rPr>
                <w:b/>
              </w:rPr>
              <w:t>0</w:t>
            </w:r>
          </w:p>
        </w:tc>
        <w:tc>
          <w:tcPr>
            <w:tcW w:w="703" w:type="pct"/>
            <w:vAlign w:val="center"/>
          </w:tcPr>
          <w:p w:rsidR="00CA24B4" w:rsidRPr="005D756B" w:rsidRDefault="00DD2BEA" w:rsidP="005A53B8">
            <w:pPr>
              <w:pStyle w:val="naislab"/>
              <w:spacing w:before="0" w:after="0"/>
              <w:jc w:val="center"/>
              <w:rPr>
                <w:b/>
              </w:rPr>
            </w:pPr>
            <w:r w:rsidRPr="005D756B">
              <w:t>0</w:t>
            </w:r>
          </w:p>
        </w:tc>
        <w:tc>
          <w:tcPr>
            <w:tcW w:w="703" w:type="pct"/>
            <w:vAlign w:val="center"/>
          </w:tcPr>
          <w:p w:rsidR="00CA24B4" w:rsidRPr="005D756B" w:rsidRDefault="00DD2BEA" w:rsidP="005A53B8">
            <w:pPr>
              <w:pStyle w:val="naislab"/>
              <w:spacing w:before="0" w:after="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5.2. speciālais budžets</w:t>
            </w:r>
          </w:p>
        </w:tc>
        <w:tc>
          <w:tcPr>
            <w:tcW w:w="644" w:type="pct"/>
            <w:vMerge/>
            <w:vAlign w:val="center"/>
          </w:tcPr>
          <w:p w:rsidR="00CA24B4" w:rsidRPr="005D756B" w:rsidRDefault="00CA24B4" w:rsidP="006C4607">
            <w:pPr>
              <w:pStyle w:val="naisf"/>
              <w:spacing w:before="0" w:after="0"/>
              <w:ind w:firstLine="0"/>
              <w:jc w:val="center"/>
            </w:pP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CA24B4" w:rsidRPr="005D756B" w:rsidTr="00D54645">
        <w:trPr>
          <w:jc w:val="center"/>
        </w:trPr>
        <w:tc>
          <w:tcPr>
            <w:tcW w:w="1546" w:type="pct"/>
          </w:tcPr>
          <w:p w:rsidR="00CA24B4" w:rsidRPr="005D756B" w:rsidRDefault="00CA24B4" w:rsidP="0034795A">
            <w:r w:rsidRPr="005D756B">
              <w:t xml:space="preserve">5.3. pašvaldību budžets </w:t>
            </w:r>
          </w:p>
        </w:tc>
        <w:tc>
          <w:tcPr>
            <w:tcW w:w="644" w:type="pct"/>
            <w:vMerge/>
            <w:vAlign w:val="center"/>
          </w:tcPr>
          <w:p w:rsidR="00CA24B4" w:rsidRPr="005D756B" w:rsidRDefault="00CA24B4" w:rsidP="006C4607">
            <w:pPr>
              <w:pStyle w:val="naisf"/>
              <w:spacing w:before="0" w:after="0"/>
              <w:ind w:firstLine="0"/>
              <w:jc w:val="center"/>
            </w:pP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3" w:type="pct"/>
            <w:vAlign w:val="center"/>
          </w:tcPr>
          <w:p w:rsidR="00CA24B4" w:rsidRPr="005D756B" w:rsidRDefault="00DD2BEA" w:rsidP="005A53B8">
            <w:pPr>
              <w:pStyle w:val="naisf"/>
              <w:spacing w:before="0" w:after="0"/>
              <w:ind w:firstLine="0"/>
              <w:jc w:val="center"/>
              <w:rPr>
                <w:b/>
              </w:rPr>
            </w:pPr>
            <w:r w:rsidRPr="005D756B">
              <w:t>0</w:t>
            </w:r>
          </w:p>
        </w:tc>
        <w:tc>
          <w:tcPr>
            <w:tcW w:w="701" w:type="pct"/>
            <w:vAlign w:val="center"/>
          </w:tcPr>
          <w:p w:rsidR="00CA24B4" w:rsidRPr="005D756B" w:rsidRDefault="00DD2BEA" w:rsidP="005A53B8">
            <w:pPr>
              <w:pStyle w:val="naisf"/>
              <w:spacing w:before="0" w:after="0"/>
              <w:ind w:firstLine="0"/>
              <w:jc w:val="center"/>
              <w:rPr>
                <w:b/>
              </w:rPr>
            </w:pPr>
            <w:r w:rsidRPr="005D756B">
              <w:t>0</w:t>
            </w:r>
          </w:p>
        </w:tc>
      </w:tr>
      <w:tr w:rsidR="0095334F" w:rsidRPr="005D756B" w:rsidTr="00CC4263">
        <w:trPr>
          <w:jc w:val="center"/>
        </w:trPr>
        <w:tc>
          <w:tcPr>
            <w:tcW w:w="1546" w:type="pct"/>
          </w:tcPr>
          <w:p w:rsidR="0095334F" w:rsidRPr="005D756B" w:rsidRDefault="0095334F" w:rsidP="0034795A">
            <w:r w:rsidRPr="005D756B">
              <w:t>6.</w:t>
            </w:r>
            <w:r w:rsidR="00F5139D" w:rsidRPr="005D756B">
              <w:t> </w:t>
            </w:r>
            <w:r w:rsidRPr="005D756B">
              <w:t>Detalizēts ieņēmumu un izdevu</w:t>
            </w:r>
            <w:r w:rsidR="009E12D7" w:rsidRPr="005D756B">
              <w:softHyphen/>
            </w:r>
            <w:r w:rsidRPr="005D756B">
              <w:t>mu aprēķins (ja nepieciešams, detalizētu ieņēmumu un izdevumu aprēķinu var pievienot anotācijas pielikumā):</w:t>
            </w:r>
          </w:p>
        </w:tc>
        <w:tc>
          <w:tcPr>
            <w:tcW w:w="3454" w:type="pct"/>
            <w:gridSpan w:val="5"/>
            <w:vMerge w:val="restart"/>
          </w:tcPr>
          <w:p w:rsidR="00216F49" w:rsidRPr="005D756B" w:rsidRDefault="007A31C5" w:rsidP="007A31C5">
            <w:pPr>
              <w:pStyle w:val="naisf"/>
              <w:spacing w:before="0" w:after="0"/>
              <w:ind w:firstLine="0"/>
            </w:pPr>
            <w:r>
              <w:t>Saskaņā ar likumu „Par valsts budžetu 2013.gadam” Prokuratūrai tulkošanas pakalpojumu nodrošināšanai 2013.gadā paredzēti 50 000 Ls. Papildus nepieciešamā finansējuma atšifrējumu skatīt šīs anotācijas pielikumā.</w:t>
            </w:r>
          </w:p>
        </w:tc>
      </w:tr>
      <w:tr w:rsidR="0095334F" w:rsidRPr="005D756B" w:rsidTr="00CC4263">
        <w:trPr>
          <w:jc w:val="center"/>
        </w:trPr>
        <w:tc>
          <w:tcPr>
            <w:tcW w:w="1546" w:type="pct"/>
          </w:tcPr>
          <w:p w:rsidR="0095334F" w:rsidRPr="005D756B" w:rsidRDefault="0095334F" w:rsidP="0034795A">
            <w:r w:rsidRPr="005D756B">
              <w:t>6.1.</w:t>
            </w:r>
            <w:r w:rsidR="00F5139D" w:rsidRPr="005D756B">
              <w:t> </w:t>
            </w:r>
            <w:r w:rsidR="00D00059" w:rsidRPr="005D756B">
              <w:t>d</w:t>
            </w:r>
            <w:r w:rsidRPr="005D756B">
              <w:t>etalizēts ieņēmumu aprēķins</w:t>
            </w:r>
          </w:p>
        </w:tc>
        <w:tc>
          <w:tcPr>
            <w:tcW w:w="3454" w:type="pct"/>
            <w:gridSpan w:val="5"/>
            <w:vMerge/>
          </w:tcPr>
          <w:p w:rsidR="0095334F" w:rsidRPr="005D756B" w:rsidRDefault="0095334F" w:rsidP="006C4607">
            <w:pPr>
              <w:pStyle w:val="naisf"/>
              <w:spacing w:before="0" w:after="0"/>
              <w:ind w:firstLine="0"/>
              <w:rPr>
                <w:b/>
                <w:i/>
                <w:highlight w:val="yellow"/>
              </w:rPr>
            </w:pPr>
          </w:p>
        </w:tc>
      </w:tr>
      <w:tr w:rsidR="0095334F" w:rsidRPr="005D756B" w:rsidTr="00CC4263">
        <w:trPr>
          <w:jc w:val="center"/>
        </w:trPr>
        <w:tc>
          <w:tcPr>
            <w:tcW w:w="1546" w:type="pct"/>
          </w:tcPr>
          <w:p w:rsidR="0095334F" w:rsidRPr="005D756B" w:rsidRDefault="0095334F" w:rsidP="0034795A">
            <w:r w:rsidRPr="005D756B">
              <w:lastRenderedPageBreak/>
              <w:t xml:space="preserve">6.2. </w:t>
            </w:r>
            <w:r w:rsidR="00D00059" w:rsidRPr="005D756B">
              <w:t>d</w:t>
            </w:r>
            <w:r w:rsidRPr="005D756B">
              <w:t>etalizēts izdevumu aprēķins</w:t>
            </w:r>
          </w:p>
        </w:tc>
        <w:tc>
          <w:tcPr>
            <w:tcW w:w="3454" w:type="pct"/>
            <w:gridSpan w:val="5"/>
            <w:vMerge/>
          </w:tcPr>
          <w:p w:rsidR="0095334F" w:rsidRPr="005D756B" w:rsidRDefault="0095334F" w:rsidP="006C4607">
            <w:pPr>
              <w:pStyle w:val="naisf"/>
              <w:spacing w:before="0" w:after="0"/>
              <w:ind w:firstLine="0"/>
              <w:rPr>
                <w:b/>
                <w:i/>
                <w:highlight w:val="yellow"/>
              </w:rPr>
            </w:pPr>
          </w:p>
        </w:tc>
      </w:tr>
      <w:tr w:rsidR="00124F12" w:rsidRPr="005D756B" w:rsidTr="00CC4263">
        <w:trPr>
          <w:jc w:val="center"/>
        </w:trPr>
        <w:tc>
          <w:tcPr>
            <w:tcW w:w="1546" w:type="pct"/>
          </w:tcPr>
          <w:p w:rsidR="00124F12" w:rsidRPr="005D756B" w:rsidRDefault="00124F12" w:rsidP="0034795A">
            <w:r w:rsidRPr="005D756B">
              <w:t>7. Cita informācija</w:t>
            </w:r>
          </w:p>
        </w:tc>
        <w:tc>
          <w:tcPr>
            <w:tcW w:w="3454" w:type="pct"/>
            <w:gridSpan w:val="5"/>
          </w:tcPr>
          <w:p w:rsidR="00124F12" w:rsidRPr="005D756B" w:rsidRDefault="0052105F" w:rsidP="000A77C5">
            <w:pPr>
              <w:pStyle w:val="naisf"/>
              <w:tabs>
                <w:tab w:val="left" w:pos="4644"/>
              </w:tabs>
              <w:spacing w:before="0" w:after="0"/>
              <w:ind w:firstLine="0"/>
              <w:rPr>
                <w:b/>
                <w:i/>
              </w:rPr>
            </w:pPr>
            <w:r w:rsidRPr="005D756B">
              <w:t xml:space="preserve">Izdevumus sedz no valsts budžeta programmas 02.00.00 „Līdzekļi neparedzētiem gadījumiem”. </w:t>
            </w:r>
          </w:p>
        </w:tc>
      </w:tr>
    </w:tbl>
    <w:p w:rsidR="00AD1E34" w:rsidRPr="005D756B" w:rsidRDefault="00AD1E34" w:rsidP="00473CEF">
      <w:pPr>
        <w:pStyle w:val="naisf"/>
        <w:spacing w:before="0" w:after="0"/>
        <w:ind w:firstLine="0"/>
        <w:rPr>
          <w:highlight w:val="yellow"/>
        </w:rPr>
      </w:pPr>
    </w:p>
    <w:p w:rsidR="00706257" w:rsidRPr="005D756B" w:rsidRDefault="00706257" w:rsidP="00473CEF">
      <w:pPr>
        <w:pStyle w:val="naisf"/>
        <w:spacing w:before="0" w:after="0"/>
        <w:ind w:firstLine="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5"/>
        <w:gridCol w:w="3983"/>
        <w:gridCol w:w="4689"/>
      </w:tblGrid>
      <w:tr w:rsidR="0023436E" w:rsidRPr="005D756B" w:rsidTr="00E2556C">
        <w:tc>
          <w:tcPr>
            <w:tcW w:w="5000" w:type="pct"/>
            <w:gridSpan w:val="3"/>
            <w:tcBorders>
              <w:top w:val="single" w:sz="4" w:space="0" w:color="auto"/>
            </w:tcBorders>
          </w:tcPr>
          <w:p w:rsidR="0023436E" w:rsidRPr="005D756B" w:rsidRDefault="0023436E" w:rsidP="007D099D">
            <w:pPr>
              <w:pStyle w:val="naisnod"/>
              <w:spacing w:before="0" w:after="0"/>
              <w:ind w:left="57" w:right="57"/>
            </w:pPr>
            <w:r w:rsidRPr="005D756B">
              <w:t>VII</w:t>
            </w:r>
            <w:r w:rsidR="000941C5" w:rsidRPr="005D756B">
              <w:t>.</w:t>
            </w:r>
            <w:r w:rsidRPr="005D756B">
              <w:t xml:space="preserve"> Tiesību akta projekta izpildes nodrošināšana un tās ietekme uz institūcijām</w:t>
            </w:r>
          </w:p>
        </w:tc>
      </w:tr>
      <w:tr w:rsidR="0023436E" w:rsidRPr="005D756B" w:rsidTr="00E2556C">
        <w:trPr>
          <w:trHeight w:val="427"/>
        </w:trPr>
        <w:tc>
          <w:tcPr>
            <w:tcW w:w="249" w:type="pct"/>
          </w:tcPr>
          <w:p w:rsidR="0023436E" w:rsidRPr="005D756B" w:rsidRDefault="0023436E" w:rsidP="007D099D">
            <w:pPr>
              <w:pStyle w:val="naisnod"/>
              <w:spacing w:before="0" w:after="0"/>
              <w:ind w:left="57" w:right="57"/>
              <w:jc w:val="left"/>
              <w:rPr>
                <w:b w:val="0"/>
              </w:rPr>
            </w:pPr>
            <w:r w:rsidRPr="005D756B">
              <w:rPr>
                <w:b w:val="0"/>
              </w:rPr>
              <w:t>1.</w:t>
            </w:r>
          </w:p>
        </w:tc>
        <w:tc>
          <w:tcPr>
            <w:tcW w:w="2182" w:type="pct"/>
          </w:tcPr>
          <w:p w:rsidR="0023436E" w:rsidRPr="005D756B" w:rsidRDefault="001A4066" w:rsidP="007D099D">
            <w:pPr>
              <w:pStyle w:val="naisf"/>
              <w:spacing w:before="0" w:after="0"/>
              <w:ind w:left="57" w:right="57" w:firstLine="0"/>
              <w:jc w:val="left"/>
            </w:pPr>
            <w:r w:rsidRPr="005D756B">
              <w:t>P</w:t>
            </w:r>
            <w:r w:rsidR="0023436E" w:rsidRPr="005D756B">
              <w:t xml:space="preserve">rojekta izpildē iesaistītās institūcijas </w:t>
            </w:r>
          </w:p>
        </w:tc>
        <w:tc>
          <w:tcPr>
            <w:tcW w:w="2569" w:type="pct"/>
          </w:tcPr>
          <w:p w:rsidR="0023436E" w:rsidRPr="005D756B" w:rsidRDefault="00F05E72" w:rsidP="0083311D">
            <w:pPr>
              <w:pStyle w:val="naisnod"/>
              <w:spacing w:before="0" w:after="0"/>
              <w:ind w:left="-43" w:right="-1"/>
              <w:jc w:val="both"/>
              <w:rPr>
                <w:b w:val="0"/>
              </w:rPr>
            </w:pPr>
            <w:r w:rsidRPr="005D756B">
              <w:rPr>
                <w:b w:val="0"/>
                <w:color w:val="000000"/>
              </w:rPr>
              <w:t xml:space="preserve"> </w:t>
            </w:r>
            <w:r w:rsidR="0083311D" w:rsidRPr="005D756B">
              <w:rPr>
                <w:b w:val="0"/>
                <w:color w:val="000000"/>
              </w:rPr>
              <w:t>Prokuratūra.</w:t>
            </w:r>
          </w:p>
        </w:tc>
      </w:tr>
      <w:tr w:rsidR="0023436E" w:rsidRPr="005D756B" w:rsidTr="00E2556C">
        <w:trPr>
          <w:trHeight w:val="463"/>
        </w:trPr>
        <w:tc>
          <w:tcPr>
            <w:tcW w:w="249" w:type="pct"/>
          </w:tcPr>
          <w:p w:rsidR="0023436E" w:rsidRPr="005D756B" w:rsidRDefault="0023436E" w:rsidP="007D099D">
            <w:pPr>
              <w:pStyle w:val="naisnod"/>
              <w:spacing w:before="0" w:after="0"/>
              <w:ind w:left="57" w:right="57"/>
              <w:jc w:val="left"/>
              <w:rPr>
                <w:b w:val="0"/>
              </w:rPr>
            </w:pPr>
            <w:r w:rsidRPr="005D756B">
              <w:rPr>
                <w:b w:val="0"/>
              </w:rPr>
              <w:t>2.</w:t>
            </w:r>
          </w:p>
        </w:tc>
        <w:tc>
          <w:tcPr>
            <w:tcW w:w="2182" w:type="pct"/>
          </w:tcPr>
          <w:p w:rsidR="0023436E" w:rsidRPr="005D756B" w:rsidRDefault="001A4066" w:rsidP="007D099D">
            <w:pPr>
              <w:pStyle w:val="naisf"/>
              <w:spacing w:before="0" w:after="0"/>
              <w:ind w:left="57" w:right="57" w:firstLine="0"/>
              <w:jc w:val="left"/>
            </w:pPr>
            <w:r w:rsidRPr="005D756B">
              <w:t>Projekta i</w:t>
            </w:r>
            <w:r w:rsidR="0023436E" w:rsidRPr="005D756B">
              <w:t xml:space="preserve">zpildes ietekme uz pārvaldes funkcijām </w:t>
            </w:r>
          </w:p>
        </w:tc>
        <w:tc>
          <w:tcPr>
            <w:tcW w:w="2569" w:type="pct"/>
          </w:tcPr>
          <w:p w:rsidR="0023436E" w:rsidRPr="005D756B" w:rsidRDefault="00086734" w:rsidP="00086734">
            <w:pPr>
              <w:pStyle w:val="Pamattekstaatkpe2"/>
              <w:spacing w:after="0" w:line="240" w:lineRule="auto"/>
              <w:ind w:left="0"/>
              <w:jc w:val="both"/>
              <w:rPr>
                <w:b/>
              </w:rPr>
            </w:pPr>
            <w:r w:rsidRPr="005D756B">
              <w:t xml:space="preserve">Tiek nodrošināta Prokuratūrai noteikto funkciju izpilde. </w:t>
            </w:r>
          </w:p>
        </w:tc>
      </w:tr>
      <w:tr w:rsidR="0023436E" w:rsidRPr="005D756B" w:rsidTr="00E2556C">
        <w:trPr>
          <w:trHeight w:val="725"/>
        </w:trPr>
        <w:tc>
          <w:tcPr>
            <w:tcW w:w="249" w:type="pct"/>
          </w:tcPr>
          <w:p w:rsidR="0023436E" w:rsidRPr="005D756B" w:rsidRDefault="0023436E" w:rsidP="007D099D">
            <w:pPr>
              <w:pStyle w:val="naisnod"/>
              <w:spacing w:before="0" w:after="0"/>
              <w:ind w:left="57" w:right="57"/>
              <w:jc w:val="left"/>
              <w:rPr>
                <w:b w:val="0"/>
              </w:rPr>
            </w:pPr>
            <w:r w:rsidRPr="005D756B">
              <w:rPr>
                <w:b w:val="0"/>
              </w:rPr>
              <w:t>3.</w:t>
            </w:r>
          </w:p>
        </w:tc>
        <w:tc>
          <w:tcPr>
            <w:tcW w:w="2182" w:type="pct"/>
          </w:tcPr>
          <w:p w:rsidR="0023436E" w:rsidRPr="005D756B" w:rsidRDefault="001A4066" w:rsidP="007D099D">
            <w:pPr>
              <w:pStyle w:val="naisf"/>
              <w:spacing w:before="0" w:after="0"/>
              <w:ind w:left="57" w:right="57" w:firstLine="0"/>
              <w:jc w:val="left"/>
            </w:pPr>
            <w:r w:rsidRPr="005D756B">
              <w:t>Projekta iz</w:t>
            </w:r>
            <w:r w:rsidR="0023436E" w:rsidRPr="005D756B">
              <w:t>pildes ietekme uz pārvaldes institucionālo struktūru.</w:t>
            </w:r>
          </w:p>
          <w:p w:rsidR="0023436E" w:rsidRPr="005D756B" w:rsidRDefault="006C4607" w:rsidP="007D099D">
            <w:pPr>
              <w:pStyle w:val="naisf"/>
              <w:spacing w:before="0" w:after="0"/>
              <w:ind w:left="57" w:right="57" w:firstLine="0"/>
              <w:jc w:val="left"/>
            </w:pPr>
            <w:r w:rsidRPr="005D756B">
              <w:t>Jaunu institūciju izveide</w:t>
            </w:r>
          </w:p>
        </w:tc>
        <w:tc>
          <w:tcPr>
            <w:tcW w:w="2569" w:type="pct"/>
          </w:tcPr>
          <w:p w:rsidR="0023436E" w:rsidRPr="005D756B" w:rsidRDefault="00F25EC3" w:rsidP="00F05E72">
            <w:pPr>
              <w:pStyle w:val="naisnod"/>
              <w:spacing w:before="0" w:after="0"/>
              <w:ind w:right="57"/>
              <w:jc w:val="left"/>
              <w:rPr>
                <w:b w:val="0"/>
              </w:rPr>
            </w:pPr>
            <w:r w:rsidRPr="005D756B">
              <w:rPr>
                <w:b w:val="0"/>
              </w:rPr>
              <w:t>Rīkojuma projekts šo jomu neskar.</w:t>
            </w:r>
          </w:p>
        </w:tc>
      </w:tr>
      <w:tr w:rsidR="0023436E" w:rsidRPr="005D756B" w:rsidTr="00E2556C">
        <w:trPr>
          <w:trHeight w:val="780"/>
        </w:trPr>
        <w:tc>
          <w:tcPr>
            <w:tcW w:w="249" w:type="pct"/>
          </w:tcPr>
          <w:p w:rsidR="0023436E" w:rsidRPr="005D756B" w:rsidRDefault="0023436E" w:rsidP="007D099D">
            <w:pPr>
              <w:pStyle w:val="naisnod"/>
              <w:spacing w:before="0" w:after="0"/>
              <w:ind w:left="57" w:right="57"/>
              <w:jc w:val="left"/>
              <w:rPr>
                <w:b w:val="0"/>
              </w:rPr>
            </w:pPr>
            <w:r w:rsidRPr="005D756B">
              <w:rPr>
                <w:b w:val="0"/>
              </w:rPr>
              <w:t>4.</w:t>
            </w:r>
          </w:p>
        </w:tc>
        <w:tc>
          <w:tcPr>
            <w:tcW w:w="2182" w:type="pct"/>
          </w:tcPr>
          <w:p w:rsidR="0023436E" w:rsidRPr="005D756B" w:rsidRDefault="001A4066" w:rsidP="007D099D">
            <w:pPr>
              <w:pStyle w:val="naisf"/>
              <w:spacing w:before="0" w:after="0"/>
              <w:ind w:left="57" w:right="57" w:firstLine="0"/>
              <w:jc w:val="left"/>
            </w:pPr>
            <w:r w:rsidRPr="005D756B">
              <w:t>Projekta i</w:t>
            </w:r>
            <w:r w:rsidR="0023436E" w:rsidRPr="005D756B">
              <w:t>zpildes ietekme uz pārvaldes institucionālo struktūru.</w:t>
            </w:r>
          </w:p>
          <w:p w:rsidR="0023436E" w:rsidRPr="005D756B" w:rsidRDefault="006C4607" w:rsidP="007D099D">
            <w:pPr>
              <w:pStyle w:val="naisf"/>
              <w:spacing w:before="0" w:after="0"/>
              <w:ind w:left="57" w:right="57" w:firstLine="0"/>
              <w:jc w:val="left"/>
            </w:pPr>
            <w:r w:rsidRPr="005D756B">
              <w:t>Esošu institūciju likvidācija</w:t>
            </w:r>
          </w:p>
        </w:tc>
        <w:tc>
          <w:tcPr>
            <w:tcW w:w="2569" w:type="pct"/>
          </w:tcPr>
          <w:p w:rsidR="0023436E" w:rsidRPr="005D756B" w:rsidRDefault="008D4DEC" w:rsidP="00F25EC3">
            <w:pPr>
              <w:pStyle w:val="naisnod"/>
              <w:spacing w:before="0" w:after="0"/>
              <w:ind w:right="57"/>
              <w:jc w:val="left"/>
              <w:rPr>
                <w:b w:val="0"/>
              </w:rPr>
            </w:pPr>
            <w:r w:rsidRPr="005D756B">
              <w:rPr>
                <w:b w:val="0"/>
              </w:rPr>
              <w:t>Rīkojuma projekts šo jomu neskar.</w:t>
            </w:r>
          </w:p>
        </w:tc>
      </w:tr>
      <w:tr w:rsidR="0023436E" w:rsidRPr="005D756B" w:rsidTr="00E2556C">
        <w:trPr>
          <w:trHeight w:val="703"/>
        </w:trPr>
        <w:tc>
          <w:tcPr>
            <w:tcW w:w="249" w:type="pct"/>
          </w:tcPr>
          <w:p w:rsidR="0023436E" w:rsidRPr="005D756B" w:rsidRDefault="0023436E" w:rsidP="007D099D">
            <w:pPr>
              <w:pStyle w:val="naisnod"/>
              <w:spacing w:before="0" w:after="0"/>
              <w:ind w:left="57" w:right="57"/>
              <w:jc w:val="left"/>
              <w:rPr>
                <w:b w:val="0"/>
              </w:rPr>
            </w:pPr>
            <w:r w:rsidRPr="005D756B">
              <w:rPr>
                <w:b w:val="0"/>
              </w:rPr>
              <w:t>5.</w:t>
            </w:r>
          </w:p>
        </w:tc>
        <w:tc>
          <w:tcPr>
            <w:tcW w:w="2182" w:type="pct"/>
          </w:tcPr>
          <w:p w:rsidR="0023436E" w:rsidRPr="005D756B" w:rsidRDefault="001A4066" w:rsidP="007D099D">
            <w:pPr>
              <w:pStyle w:val="naisf"/>
              <w:spacing w:before="0" w:after="0"/>
              <w:ind w:left="57" w:right="57" w:firstLine="0"/>
              <w:jc w:val="left"/>
            </w:pPr>
            <w:r w:rsidRPr="005D756B">
              <w:t>Projekta i</w:t>
            </w:r>
            <w:r w:rsidR="0023436E" w:rsidRPr="005D756B">
              <w:t>zpildes ietekme uz pārvaldes institucionālo struktūru.</w:t>
            </w:r>
          </w:p>
          <w:p w:rsidR="0023436E" w:rsidRPr="005D756B" w:rsidRDefault="0023436E" w:rsidP="007D099D">
            <w:pPr>
              <w:pStyle w:val="naisf"/>
              <w:spacing w:before="0" w:after="0"/>
              <w:ind w:left="57" w:right="57" w:firstLine="0"/>
              <w:jc w:val="left"/>
            </w:pPr>
            <w:r w:rsidRPr="005D756B">
              <w:t>Esošu institūciju reorganizācija</w:t>
            </w:r>
          </w:p>
        </w:tc>
        <w:tc>
          <w:tcPr>
            <w:tcW w:w="2569" w:type="pct"/>
          </w:tcPr>
          <w:p w:rsidR="0023436E" w:rsidRPr="005D756B" w:rsidRDefault="008D4DEC" w:rsidP="00F25EC3">
            <w:pPr>
              <w:pStyle w:val="naisnod"/>
              <w:spacing w:before="0" w:after="0"/>
              <w:ind w:right="57"/>
              <w:jc w:val="left"/>
              <w:rPr>
                <w:b w:val="0"/>
              </w:rPr>
            </w:pPr>
            <w:r w:rsidRPr="005D756B">
              <w:rPr>
                <w:b w:val="0"/>
              </w:rPr>
              <w:t>Rīkojuma projekts šo jomu neskar.</w:t>
            </w:r>
          </w:p>
        </w:tc>
      </w:tr>
      <w:tr w:rsidR="0023436E" w:rsidRPr="005D756B" w:rsidTr="00E2556C">
        <w:trPr>
          <w:trHeight w:val="476"/>
        </w:trPr>
        <w:tc>
          <w:tcPr>
            <w:tcW w:w="249" w:type="pct"/>
          </w:tcPr>
          <w:p w:rsidR="0023436E" w:rsidRPr="005D756B" w:rsidRDefault="00F63DAC" w:rsidP="007D099D">
            <w:pPr>
              <w:pStyle w:val="naiskr"/>
              <w:spacing w:before="0" w:after="0"/>
              <w:ind w:left="57" w:right="57"/>
            </w:pPr>
            <w:r w:rsidRPr="005D756B">
              <w:t>6</w:t>
            </w:r>
            <w:r w:rsidR="0023436E" w:rsidRPr="005D756B">
              <w:t>.</w:t>
            </w:r>
          </w:p>
        </w:tc>
        <w:tc>
          <w:tcPr>
            <w:tcW w:w="2182" w:type="pct"/>
          </w:tcPr>
          <w:p w:rsidR="0023436E" w:rsidRPr="005D756B" w:rsidRDefault="006C4607" w:rsidP="007D099D">
            <w:pPr>
              <w:pStyle w:val="naiskr"/>
              <w:spacing w:before="0" w:after="0"/>
              <w:ind w:left="57" w:right="57"/>
            </w:pPr>
            <w:r w:rsidRPr="005D756B">
              <w:t>Cita informācija</w:t>
            </w:r>
          </w:p>
        </w:tc>
        <w:tc>
          <w:tcPr>
            <w:tcW w:w="2569" w:type="pct"/>
          </w:tcPr>
          <w:p w:rsidR="0023436E" w:rsidRPr="005D756B" w:rsidRDefault="00794411" w:rsidP="007D099D">
            <w:pPr>
              <w:pStyle w:val="naiskr"/>
              <w:spacing w:before="0" w:after="0"/>
              <w:ind w:left="57" w:right="57"/>
            </w:pPr>
            <w:r w:rsidRPr="005D756B">
              <w:t>Nav</w:t>
            </w:r>
          </w:p>
        </w:tc>
      </w:tr>
    </w:tbl>
    <w:p w:rsidR="00AA41A2" w:rsidRPr="005D756B" w:rsidRDefault="00AA41A2" w:rsidP="005E4B11">
      <w:pPr>
        <w:ind w:firstLine="720"/>
      </w:pPr>
    </w:p>
    <w:p w:rsidR="00B64400" w:rsidRPr="005D756B" w:rsidRDefault="00B64400" w:rsidP="00B64400">
      <w:pPr>
        <w:spacing w:before="75" w:after="75"/>
        <w:outlineLvl w:val="0"/>
        <w:rPr>
          <w:i/>
          <w:iCs/>
        </w:rPr>
      </w:pPr>
      <w:r w:rsidRPr="005D756B">
        <w:rPr>
          <w:i/>
          <w:iCs/>
        </w:rPr>
        <w:t xml:space="preserve">Anotācijas II, IV, V un VI sadaļa – projekts šīs jomas neskar. </w:t>
      </w:r>
    </w:p>
    <w:p w:rsidR="004E4B1C" w:rsidRPr="005D756B" w:rsidRDefault="004E4B1C" w:rsidP="001F3C26">
      <w:pPr>
        <w:jc w:val="both"/>
      </w:pPr>
    </w:p>
    <w:p w:rsidR="00B64400" w:rsidRPr="005D756B" w:rsidRDefault="00601D7E" w:rsidP="001F3C26">
      <w:pPr>
        <w:jc w:val="both"/>
      </w:pPr>
      <w:r>
        <w:t>Iesniedzējs:</w:t>
      </w:r>
    </w:p>
    <w:p w:rsidR="00445AC8" w:rsidRPr="00445AC8" w:rsidRDefault="00445AC8" w:rsidP="00445AC8">
      <w:pPr>
        <w:jc w:val="both"/>
        <w:rPr>
          <w:rFonts w:eastAsia="Calibri"/>
        </w:rPr>
      </w:pPr>
      <w:r w:rsidRPr="00445AC8">
        <w:rPr>
          <w:rFonts w:eastAsia="Calibri"/>
        </w:rPr>
        <w:t>Tieslietu ministra vietā</w:t>
      </w:r>
    </w:p>
    <w:p w:rsidR="00445AC8" w:rsidRPr="00445AC8" w:rsidRDefault="00445AC8" w:rsidP="00445AC8">
      <w:pPr>
        <w:jc w:val="both"/>
        <w:rPr>
          <w:rFonts w:eastAsia="Calibri"/>
        </w:rPr>
      </w:pPr>
      <w:r w:rsidRPr="00445AC8">
        <w:rPr>
          <w:rFonts w:eastAsia="Calibri"/>
        </w:rPr>
        <w:t>Iekšlietu ministrs</w:t>
      </w:r>
      <w:r w:rsidRPr="00445AC8">
        <w:rPr>
          <w:rFonts w:eastAsia="Calibri"/>
        </w:rPr>
        <w:tab/>
      </w:r>
      <w:r w:rsidRPr="00445AC8">
        <w:rPr>
          <w:rFonts w:eastAsia="Calibri"/>
        </w:rPr>
        <w:tab/>
      </w:r>
      <w:r w:rsidRPr="00445AC8">
        <w:rPr>
          <w:rFonts w:eastAsia="Calibri"/>
        </w:rPr>
        <w:tab/>
      </w:r>
      <w:r w:rsidRPr="00445AC8">
        <w:rPr>
          <w:rFonts w:eastAsia="Calibri"/>
        </w:rPr>
        <w:tab/>
      </w:r>
      <w:r w:rsidRPr="00445AC8">
        <w:rPr>
          <w:rFonts w:eastAsia="Calibri"/>
        </w:rPr>
        <w:tab/>
      </w:r>
      <w:r w:rsidRPr="00445AC8">
        <w:rPr>
          <w:rFonts w:eastAsia="Calibri"/>
        </w:rPr>
        <w:tab/>
      </w:r>
      <w:r w:rsidRPr="00445AC8">
        <w:rPr>
          <w:rFonts w:eastAsia="Calibri"/>
        </w:rPr>
        <w:tab/>
      </w:r>
      <w:r w:rsidRPr="00445AC8">
        <w:rPr>
          <w:rFonts w:eastAsia="Calibri"/>
        </w:rPr>
        <w:tab/>
      </w:r>
      <w:r>
        <w:rPr>
          <w:rFonts w:eastAsia="Calibri"/>
        </w:rPr>
        <w:t xml:space="preserve">         </w:t>
      </w:r>
      <w:proofErr w:type="spellStart"/>
      <w:r w:rsidRPr="00445AC8">
        <w:rPr>
          <w:rFonts w:eastAsia="Calibri"/>
        </w:rPr>
        <w:t>R.Kozlovskis</w:t>
      </w:r>
      <w:proofErr w:type="spellEnd"/>
    </w:p>
    <w:p w:rsidR="00B64400" w:rsidRPr="005D756B" w:rsidRDefault="00B64400" w:rsidP="00B64400">
      <w:pPr>
        <w:jc w:val="both"/>
      </w:pPr>
    </w:p>
    <w:p w:rsidR="00B64400" w:rsidRPr="005D756B" w:rsidRDefault="00B64400" w:rsidP="00B64400">
      <w:pPr>
        <w:pStyle w:val="Galvene"/>
        <w:tabs>
          <w:tab w:val="clear" w:pos="4153"/>
          <w:tab w:val="clear" w:pos="8306"/>
        </w:tabs>
      </w:pPr>
    </w:p>
    <w:p w:rsidR="00B64400" w:rsidRPr="005D756B" w:rsidRDefault="00445AC8" w:rsidP="00B64400">
      <w:pPr>
        <w:rPr>
          <w:sz w:val="20"/>
          <w:szCs w:val="20"/>
        </w:rPr>
      </w:pPr>
      <w:r>
        <w:rPr>
          <w:sz w:val="20"/>
          <w:szCs w:val="20"/>
        </w:rPr>
        <w:t>0</w:t>
      </w:r>
      <w:r w:rsidR="00CA7125">
        <w:rPr>
          <w:sz w:val="20"/>
          <w:szCs w:val="20"/>
        </w:rPr>
        <w:t>3</w:t>
      </w:r>
      <w:r w:rsidR="00AD250D">
        <w:rPr>
          <w:sz w:val="20"/>
          <w:szCs w:val="20"/>
        </w:rPr>
        <w:t>.0</w:t>
      </w:r>
      <w:r>
        <w:rPr>
          <w:sz w:val="20"/>
          <w:szCs w:val="20"/>
        </w:rPr>
        <w:t>7</w:t>
      </w:r>
      <w:r w:rsidR="00AD250D">
        <w:rPr>
          <w:sz w:val="20"/>
          <w:szCs w:val="20"/>
        </w:rPr>
        <w:t xml:space="preserve">.2013. </w:t>
      </w:r>
      <w:r w:rsidR="00CA7125">
        <w:rPr>
          <w:sz w:val="20"/>
          <w:szCs w:val="20"/>
        </w:rPr>
        <w:t>12</w:t>
      </w:r>
      <w:r>
        <w:rPr>
          <w:sz w:val="20"/>
          <w:szCs w:val="20"/>
        </w:rPr>
        <w:t>:</w:t>
      </w:r>
      <w:r w:rsidR="00CA7125">
        <w:rPr>
          <w:sz w:val="20"/>
          <w:szCs w:val="20"/>
        </w:rPr>
        <w:t>47</w:t>
      </w:r>
    </w:p>
    <w:p w:rsidR="00B64400" w:rsidRPr="00AD250D" w:rsidRDefault="00B76846" w:rsidP="00B64400">
      <w:pPr>
        <w:rPr>
          <w:sz w:val="20"/>
          <w:szCs w:val="20"/>
        </w:rPr>
      </w:pPr>
      <w:r>
        <w:rPr>
          <w:sz w:val="20"/>
          <w:szCs w:val="20"/>
        </w:rPr>
        <w:t>95</w:t>
      </w:r>
      <w:r w:rsidR="00CA7125">
        <w:rPr>
          <w:sz w:val="20"/>
          <w:szCs w:val="20"/>
        </w:rPr>
        <w:t>9</w:t>
      </w:r>
      <w:bookmarkStart w:id="2" w:name="_GoBack"/>
      <w:bookmarkEnd w:id="2"/>
    </w:p>
    <w:p w:rsidR="00B64400" w:rsidRPr="005D756B" w:rsidRDefault="00B64400" w:rsidP="00B64400">
      <w:pPr>
        <w:rPr>
          <w:sz w:val="20"/>
          <w:szCs w:val="20"/>
        </w:rPr>
      </w:pPr>
      <w:proofErr w:type="spellStart"/>
      <w:r w:rsidRPr="005D756B">
        <w:rPr>
          <w:sz w:val="20"/>
          <w:szCs w:val="20"/>
        </w:rPr>
        <w:t>I.Serjogina</w:t>
      </w:r>
      <w:proofErr w:type="spellEnd"/>
    </w:p>
    <w:p w:rsidR="00B64400" w:rsidRPr="005D756B" w:rsidRDefault="00B64400" w:rsidP="00B64400">
      <w:pPr>
        <w:rPr>
          <w:sz w:val="20"/>
          <w:szCs w:val="20"/>
        </w:rPr>
      </w:pPr>
      <w:r w:rsidRPr="005D756B">
        <w:rPr>
          <w:sz w:val="20"/>
          <w:szCs w:val="20"/>
        </w:rPr>
        <w:t xml:space="preserve">67044512, </w:t>
      </w:r>
      <w:hyperlink r:id="rId9" w:history="1">
        <w:proofErr w:type="spellStart"/>
        <w:r w:rsidRPr="005D756B">
          <w:rPr>
            <w:rStyle w:val="Hipersaite"/>
            <w:sz w:val="20"/>
            <w:szCs w:val="20"/>
          </w:rPr>
          <w:t>Ineta.Serjogina</w:t>
        </w:r>
        <w:proofErr w:type="spellEnd"/>
        <w:r w:rsidRPr="005D756B">
          <w:rPr>
            <w:rStyle w:val="Hipersaite"/>
            <w:sz w:val="20"/>
            <w:szCs w:val="20"/>
          </w:rPr>
          <w:t xml:space="preserve"> @</w:t>
        </w:r>
        <w:proofErr w:type="spellStart"/>
        <w:r w:rsidRPr="005D756B">
          <w:rPr>
            <w:rStyle w:val="Hipersaite"/>
            <w:sz w:val="20"/>
            <w:szCs w:val="20"/>
          </w:rPr>
          <w:t>lrp.gov.lv</w:t>
        </w:r>
        <w:proofErr w:type="spellEnd"/>
      </w:hyperlink>
    </w:p>
    <w:p w:rsidR="00E23D82" w:rsidRPr="005D756B" w:rsidRDefault="00214FA9">
      <w:pPr>
        <w:tabs>
          <w:tab w:val="left" w:pos="7425"/>
        </w:tabs>
        <w:rPr>
          <w:sz w:val="20"/>
          <w:szCs w:val="20"/>
        </w:rPr>
      </w:pPr>
      <w:r w:rsidRPr="005D756B">
        <w:rPr>
          <w:sz w:val="20"/>
          <w:szCs w:val="20"/>
        </w:rPr>
        <w:tab/>
      </w:r>
    </w:p>
    <w:sectPr w:rsidR="00E23D82" w:rsidRPr="005D756B" w:rsidSect="00D101A6">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5A" w:rsidRDefault="00FB515A">
      <w:r>
        <w:separator/>
      </w:r>
    </w:p>
    <w:p w:rsidR="00FB515A" w:rsidRDefault="00FB515A"/>
  </w:endnote>
  <w:endnote w:type="continuationSeparator" w:id="0">
    <w:p w:rsidR="00FB515A" w:rsidRDefault="00FB515A">
      <w:r>
        <w:continuationSeparator/>
      </w:r>
    </w:p>
    <w:p w:rsidR="00FB515A" w:rsidRDefault="00FB5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A" w:rsidRPr="00D5430D" w:rsidRDefault="00D5430D" w:rsidP="00D5430D">
    <w:pPr>
      <w:pStyle w:val="Kjene"/>
      <w:jc w:val="both"/>
    </w:pPr>
    <w:r w:rsidRPr="0011480F">
      <w:rPr>
        <w:sz w:val="20"/>
        <w:szCs w:val="20"/>
      </w:rPr>
      <w:t>GPAnot_</w:t>
    </w:r>
    <w:r w:rsidR="00445AC8">
      <w:rPr>
        <w:sz w:val="20"/>
        <w:szCs w:val="20"/>
      </w:rPr>
      <w:t>0</w:t>
    </w:r>
    <w:r w:rsidR="00CA7125">
      <w:rPr>
        <w:sz w:val="20"/>
        <w:szCs w:val="20"/>
      </w:rPr>
      <w:t>3</w:t>
    </w:r>
    <w:r w:rsidR="00445AC8">
      <w:rPr>
        <w:sz w:val="20"/>
        <w:szCs w:val="20"/>
      </w:rPr>
      <w:t>07</w:t>
    </w:r>
    <w:r w:rsidRPr="0011480F">
      <w:rPr>
        <w:sz w:val="20"/>
        <w:szCs w:val="20"/>
      </w:rPr>
      <w:t>13</w:t>
    </w:r>
    <w:r>
      <w:rPr>
        <w:sz w:val="20"/>
        <w:szCs w:val="20"/>
      </w:rPr>
      <w:t xml:space="preserve">_tulk; Ministru kabineta rīkojuma projekta </w:t>
    </w:r>
    <w:r w:rsidR="006B47DC">
      <w:rPr>
        <w:sz w:val="20"/>
        <w:szCs w:val="20"/>
      </w:rPr>
      <w:t>„</w:t>
    </w:r>
    <w:r>
      <w:rPr>
        <w:sz w:val="20"/>
        <w:szCs w:val="20"/>
      </w:rPr>
      <w:t xml:space="preserve">Par finanšu līdzekļu piešķiršanu no valsts budžeta programmas </w:t>
    </w:r>
    <w:r w:rsidR="006B47DC">
      <w:rPr>
        <w:sz w:val="20"/>
        <w:szCs w:val="20"/>
      </w:rPr>
      <w:t>„</w:t>
    </w:r>
    <w:r>
      <w:rPr>
        <w:sz w:val="20"/>
        <w:szCs w:val="20"/>
      </w:rPr>
      <w:t>Līdzekļi neparedzētiem gadījumiem</w:t>
    </w:r>
    <w:r w:rsidR="006B47DC">
      <w:rPr>
        <w:sz w:val="20"/>
        <w:szCs w:val="20"/>
      </w:rPr>
      <w:t>””</w:t>
    </w:r>
    <w:r>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A" w:rsidRPr="0099528A" w:rsidRDefault="00FB515A" w:rsidP="0099528A">
    <w:pPr>
      <w:pStyle w:val="Kjene"/>
      <w:jc w:val="both"/>
    </w:pPr>
    <w:r w:rsidRPr="0011480F">
      <w:rPr>
        <w:sz w:val="20"/>
        <w:szCs w:val="20"/>
      </w:rPr>
      <w:t>GPAnot_</w:t>
    </w:r>
    <w:r w:rsidR="00445AC8">
      <w:rPr>
        <w:sz w:val="20"/>
        <w:szCs w:val="20"/>
      </w:rPr>
      <w:t>0</w:t>
    </w:r>
    <w:r w:rsidR="00CA7125">
      <w:rPr>
        <w:sz w:val="20"/>
        <w:szCs w:val="20"/>
      </w:rPr>
      <w:t>3</w:t>
    </w:r>
    <w:r w:rsidR="00445AC8">
      <w:rPr>
        <w:sz w:val="20"/>
        <w:szCs w:val="20"/>
      </w:rPr>
      <w:t>07</w:t>
    </w:r>
    <w:r w:rsidRPr="0011480F">
      <w:rPr>
        <w:sz w:val="20"/>
        <w:szCs w:val="20"/>
      </w:rPr>
      <w:t>13</w:t>
    </w:r>
    <w:r>
      <w:rPr>
        <w:sz w:val="20"/>
        <w:szCs w:val="20"/>
      </w:rPr>
      <w:t>_tulk</w:t>
    </w:r>
    <w:r w:rsidR="00D5430D">
      <w:rPr>
        <w:sz w:val="20"/>
        <w:szCs w:val="20"/>
      </w:rPr>
      <w:t xml:space="preserve">; Ministru kabineta rīkojuma projekta </w:t>
    </w:r>
    <w:r w:rsidR="006B47DC">
      <w:rPr>
        <w:sz w:val="20"/>
        <w:szCs w:val="20"/>
      </w:rPr>
      <w:t>„</w:t>
    </w:r>
    <w:r w:rsidR="00D5430D">
      <w:rPr>
        <w:sz w:val="20"/>
        <w:szCs w:val="20"/>
      </w:rPr>
      <w:t xml:space="preserve">Par finanšu līdzekļu piešķiršanu no valsts budžeta programmas </w:t>
    </w:r>
    <w:r w:rsidR="006B47DC">
      <w:rPr>
        <w:sz w:val="20"/>
        <w:szCs w:val="20"/>
      </w:rPr>
      <w:t>„</w:t>
    </w:r>
    <w:r w:rsidR="00D5430D">
      <w:rPr>
        <w:sz w:val="20"/>
        <w:szCs w:val="20"/>
      </w:rPr>
      <w:t>Līdzekļi neparedzētiem gadījumiem</w:t>
    </w:r>
    <w:r w:rsidR="006B47DC">
      <w:rPr>
        <w:sz w:val="20"/>
        <w:szCs w:val="20"/>
      </w:rPr>
      <w:t>””</w:t>
    </w:r>
    <w:r w:rsidR="00D5430D">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5A" w:rsidRDefault="00FB515A">
      <w:r>
        <w:separator/>
      </w:r>
    </w:p>
    <w:p w:rsidR="00FB515A" w:rsidRDefault="00FB515A"/>
  </w:footnote>
  <w:footnote w:type="continuationSeparator" w:id="0">
    <w:p w:rsidR="00FB515A" w:rsidRDefault="00FB515A">
      <w:r>
        <w:continuationSeparator/>
      </w:r>
    </w:p>
    <w:p w:rsidR="00FB515A" w:rsidRDefault="00FB5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A" w:rsidRDefault="00FB515A"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515A" w:rsidRDefault="00FB515A">
    <w:pPr>
      <w:pStyle w:val="Galvene"/>
    </w:pPr>
  </w:p>
  <w:p w:rsidR="00FB515A" w:rsidRDefault="00FB51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5A" w:rsidRPr="00E2556C" w:rsidRDefault="00FB515A"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Pr="00E2556C">
      <w:rPr>
        <w:rStyle w:val="Lappusesnumurs"/>
        <w:sz w:val="22"/>
        <w:szCs w:val="22"/>
      </w:rPr>
      <w:instrText xml:space="preserve">PAGE  </w:instrText>
    </w:r>
    <w:r w:rsidRPr="00E2556C">
      <w:rPr>
        <w:rStyle w:val="Lappusesnumurs"/>
        <w:sz w:val="22"/>
        <w:szCs w:val="22"/>
      </w:rPr>
      <w:fldChar w:fldCharType="separate"/>
    </w:r>
    <w:r w:rsidR="00CA7125">
      <w:rPr>
        <w:rStyle w:val="Lappusesnumurs"/>
        <w:noProof/>
        <w:sz w:val="22"/>
        <w:szCs w:val="22"/>
      </w:rPr>
      <w:t>4</w:t>
    </w:r>
    <w:r w:rsidRPr="00E2556C">
      <w:rPr>
        <w:rStyle w:val="Lappusesnumurs"/>
        <w:sz w:val="22"/>
        <w:szCs w:val="22"/>
      </w:rPr>
      <w:fldChar w:fldCharType="end"/>
    </w:r>
  </w:p>
  <w:p w:rsidR="00FB515A" w:rsidRDefault="00FB515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E1A0BF7"/>
    <w:multiLevelType w:val="hybridMultilevel"/>
    <w:tmpl w:val="65B0897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23">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8"/>
  </w:num>
  <w:num w:numId="2">
    <w:abstractNumId w:val="19"/>
  </w:num>
  <w:num w:numId="3">
    <w:abstractNumId w:val="6"/>
  </w:num>
  <w:num w:numId="4">
    <w:abstractNumId w:val="3"/>
  </w:num>
  <w:num w:numId="5">
    <w:abstractNumId w:val="1"/>
  </w:num>
  <w:num w:numId="6">
    <w:abstractNumId w:val="16"/>
  </w:num>
  <w:num w:numId="7">
    <w:abstractNumId w:val="21"/>
  </w:num>
  <w:num w:numId="8">
    <w:abstractNumId w:val="12"/>
  </w:num>
  <w:num w:numId="9">
    <w:abstractNumId w:val="4"/>
  </w:num>
  <w:num w:numId="10">
    <w:abstractNumId w:val="13"/>
  </w:num>
  <w:num w:numId="11">
    <w:abstractNumId w:val="14"/>
  </w:num>
  <w:num w:numId="12">
    <w:abstractNumId w:val="17"/>
  </w:num>
  <w:num w:numId="13">
    <w:abstractNumId w:val="18"/>
  </w:num>
  <w:num w:numId="14">
    <w:abstractNumId w:val="2"/>
  </w:num>
  <w:num w:numId="15">
    <w:abstractNumId w:val="20"/>
  </w:num>
  <w:num w:numId="16">
    <w:abstractNumId w:val="23"/>
  </w:num>
  <w:num w:numId="17">
    <w:abstractNumId w:val="22"/>
  </w:num>
  <w:num w:numId="18">
    <w:abstractNumId w:val="5"/>
  </w:num>
  <w:num w:numId="19">
    <w:abstractNumId w:val="9"/>
  </w:num>
  <w:num w:numId="20">
    <w:abstractNumId w:val="11"/>
  </w:num>
  <w:num w:numId="21">
    <w:abstractNumId w:val="0"/>
  </w:num>
  <w:num w:numId="22">
    <w:abstractNumId w:val="10"/>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C09"/>
    <w:rsid w:val="00011D24"/>
    <w:rsid w:val="00013FF4"/>
    <w:rsid w:val="00020FE1"/>
    <w:rsid w:val="000214DB"/>
    <w:rsid w:val="00022E13"/>
    <w:rsid w:val="00023C23"/>
    <w:rsid w:val="00027D88"/>
    <w:rsid w:val="00032388"/>
    <w:rsid w:val="00034C8A"/>
    <w:rsid w:val="00035013"/>
    <w:rsid w:val="00035CE2"/>
    <w:rsid w:val="00037FD3"/>
    <w:rsid w:val="00043D65"/>
    <w:rsid w:val="000459AF"/>
    <w:rsid w:val="00046D14"/>
    <w:rsid w:val="00046E60"/>
    <w:rsid w:val="000508F8"/>
    <w:rsid w:val="0005553B"/>
    <w:rsid w:val="0005576D"/>
    <w:rsid w:val="000604D2"/>
    <w:rsid w:val="000629F3"/>
    <w:rsid w:val="00065314"/>
    <w:rsid w:val="00071885"/>
    <w:rsid w:val="00077BC1"/>
    <w:rsid w:val="0008382C"/>
    <w:rsid w:val="00086734"/>
    <w:rsid w:val="0009005E"/>
    <w:rsid w:val="00090A7B"/>
    <w:rsid w:val="00090B3A"/>
    <w:rsid w:val="000937C6"/>
    <w:rsid w:val="000941C5"/>
    <w:rsid w:val="00095E74"/>
    <w:rsid w:val="0009746B"/>
    <w:rsid w:val="000A04B4"/>
    <w:rsid w:val="000A26EC"/>
    <w:rsid w:val="000A4853"/>
    <w:rsid w:val="000A6451"/>
    <w:rsid w:val="000A77C5"/>
    <w:rsid w:val="000A7876"/>
    <w:rsid w:val="000B0649"/>
    <w:rsid w:val="000B064E"/>
    <w:rsid w:val="000B69CF"/>
    <w:rsid w:val="000C04C0"/>
    <w:rsid w:val="000C169B"/>
    <w:rsid w:val="000C45A4"/>
    <w:rsid w:val="000C790C"/>
    <w:rsid w:val="000D04C8"/>
    <w:rsid w:val="000D1A41"/>
    <w:rsid w:val="000D1D50"/>
    <w:rsid w:val="000D20AB"/>
    <w:rsid w:val="000E01B7"/>
    <w:rsid w:val="000E1F44"/>
    <w:rsid w:val="000E4C63"/>
    <w:rsid w:val="000F061D"/>
    <w:rsid w:val="000F4794"/>
    <w:rsid w:val="000F5D2A"/>
    <w:rsid w:val="000F622E"/>
    <w:rsid w:val="00101947"/>
    <w:rsid w:val="00104953"/>
    <w:rsid w:val="001059C3"/>
    <w:rsid w:val="00110B04"/>
    <w:rsid w:val="001110C6"/>
    <w:rsid w:val="001121C1"/>
    <w:rsid w:val="00112A15"/>
    <w:rsid w:val="00113D2D"/>
    <w:rsid w:val="00124F12"/>
    <w:rsid w:val="00127FA9"/>
    <w:rsid w:val="0013052A"/>
    <w:rsid w:val="001344F6"/>
    <w:rsid w:val="00135B14"/>
    <w:rsid w:val="0014123A"/>
    <w:rsid w:val="00142EB5"/>
    <w:rsid w:val="00144E3A"/>
    <w:rsid w:val="0015060C"/>
    <w:rsid w:val="0015224D"/>
    <w:rsid w:val="001522B9"/>
    <w:rsid w:val="001522D1"/>
    <w:rsid w:val="00152EDE"/>
    <w:rsid w:val="001554B6"/>
    <w:rsid w:val="0016018A"/>
    <w:rsid w:val="00160B5B"/>
    <w:rsid w:val="00161CD1"/>
    <w:rsid w:val="00161F0E"/>
    <w:rsid w:val="001646D8"/>
    <w:rsid w:val="00164F6E"/>
    <w:rsid w:val="00170E2A"/>
    <w:rsid w:val="00173780"/>
    <w:rsid w:val="00176A47"/>
    <w:rsid w:val="00177394"/>
    <w:rsid w:val="00182C18"/>
    <w:rsid w:val="0018328E"/>
    <w:rsid w:val="001837F8"/>
    <w:rsid w:val="00183CC2"/>
    <w:rsid w:val="001866EE"/>
    <w:rsid w:val="00187DFA"/>
    <w:rsid w:val="001900E4"/>
    <w:rsid w:val="00190F88"/>
    <w:rsid w:val="0019339A"/>
    <w:rsid w:val="001A4066"/>
    <w:rsid w:val="001A6AE4"/>
    <w:rsid w:val="001A7FE4"/>
    <w:rsid w:val="001B01FD"/>
    <w:rsid w:val="001B1854"/>
    <w:rsid w:val="001B3421"/>
    <w:rsid w:val="001B3DBB"/>
    <w:rsid w:val="001B4A71"/>
    <w:rsid w:val="001C2654"/>
    <w:rsid w:val="001C3439"/>
    <w:rsid w:val="001C4B6E"/>
    <w:rsid w:val="001D5B54"/>
    <w:rsid w:val="001D5BA3"/>
    <w:rsid w:val="001E1DBF"/>
    <w:rsid w:val="001E4639"/>
    <w:rsid w:val="001E4A7D"/>
    <w:rsid w:val="001E71CA"/>
    <w:rsid w:val="001F060B"/>
    <w:rsid w:val="001F39A2"/>
    <w:rsid w:val="001F3C26"/>
    <w:rsid w:val="001F4209"/>
    <w:rsid w:val="001F43A8"/>
    <w:rsid w:val="001F5CD6"/>
    <w:rsid w:val="0020042B"/>
    <w:rsid w:val="002029D8"/>
    <w:rsid w:val="00205C39"/>
    <w:rsid w:val="0021263D"/>
    <w:rsid w:val="00213F0C"/>
    <w:rsid w:val="00214094"/>
    <w:rsid w:val="00214FA9"/>
    <w:rsid w:val="0021592D"/>
    <w:rsid w:val="00216F49"/>
    <w:rsid w:val="00222D76"/>
    <w:rsid w:val="00223227"/>
    <w:rsid w:val="00223EB1"/>
    <w:rsid w:val="00224B09"/>
    <w:rsid w:val="00224BBF"/>
    <w:rsid w:val="002265B9"/>
    <w:rsid w:val="00231344"/>
    <w:rsid w:val="0023436E"/>
    <w:rsid w:val="002347C0"/>
    <w:rsid w:val="00241A6C"/>
    <w:rsid w:val="00242D2B"/>
    <w:rsid w:val="0024308C"/>
    <w:rsid w:val="00250D16"/>
    <w:rsid w:val="00253797"/>
    <w:rsid w:val="0025780E"/>
    <w:rsid w:val="00261703"/>
    <w:rsid w:val="00262E2B"/>
    <w:rsid w:val="002637EF"/>
    <w:rsid w:val="00264968"/>
    <w:rsid w:val="002676A6"/>
    <w:rsid w:val="00267C4B"/>
    <w:rsid w:val="00267C87"/>
    <w:rsid w:val="00270429"/>
    <w:rsid w:val="002723E9"/>
    <w:rsid w:val="00274537"/>
    <w:rsid w:val="00277929"/>
    <w:rsid w:val="00277AD3"/>
    <w:rsid w:val="00283B82"/>
    <w:rsid w:val="002846E9"/>
    <w:rsid w:val="00284C34"/>
    <w:rsid w:val="002857CE"/>
    <w:rsid w:val="00287D1D"/>
    <w:rsid w:val="0029066C"/>
    <w:rsid w:val="002907FE"/>
    <w:rsid w:val="00296930"/>
    <w:rsid w:val="002B08D1"/>
    <w:rsid w:val="002B469C"/>
    <w:rsid w:val="002B4998"/>
    <w:rsid w:val="002B4C4D"/>
    <w:rsid w:val="002B50DB"/>
    <w:rsid w:val="002C0532"/>
    <w:rsid w:val="002C12AB"/>
    <w:rsid w:val="002C3218"/>
    <w:rsid w:val="002C59E1"/>
    <w:rsid w:val="002C65C1"/>
    <w:rsid w:val="002C68B8"/>
    <w:rsid w:val="002C7CAC"/>
    <w:rsid w:val="002C7F41"/>
    <w:rsid w:val="002D1AAF"/>
    <w:rsid w:val="002D3197"/>
    <w:rsid w:val="002D3306"/>
    <w:rsid w:val="002D47B8"/>
    <w:rsid w:val="002D48AA"/>
    <w:rsid w:val="002D7BAA"/>
    <w:rsid w:val="002D7F54"/>
    <w:rsid w:val="002E2570"/>
    <w:rsid w:val="002E394B"/>
    <w:rsid w:val="002E3FF4"/>
    <w:rsid w:val="002E6CAB"/>
    <w:rsid w:val="002F3BE4"/>
    <w:rsid w:val="002F451B"/>
    <w:rsid w:val="002F78C8"/>
    <w:rsid w:val="00301CF3"/>
    <w:rsid w:val="00305CD4"/>
    <w:rsid w:val="00313AC2"/>
    <w:rsid w:val="00313BDE"/>
    <w:rsid w:val="003144DF"/>
    <w:rsid w:val="003155F1"/>
    <w:rsid w:val="0032715C"/>
    <w:rsid w:val="00331C4A"/>
    <w:rsid w:val="00336EB7"/>
    <w:rsid w:val="003374CE"/>
    <w:rsid w:val="00337CA5"/>
    <w:rsid w:val="003404D1"/>
    <w:rsid w:val="00342952"/>
    <w:rsid w:val="0034795A"/>
    <w:rsid w:val="003513CF"/>
    <w:rsid w:val="00352BC9"/>
    <w:rsid w:val="00362478"/>
    <w:rsid w:val="00365E7F"/>
    <w:rsid w:val="00370219"/>
    <w:rsid w:val="00373121"/>
    <w:rsid w:val="00375B25"/>
    <w:rsid w:val="0037756E"/>
    <w:rsid w:val="0038132C"/>
    <w:rsid w:val="00390AAA"/>
    <w:rsid w:val="00396542"/>
    <w:rsid w:val="0039685B"/>
    <w:rsid w:val="003A24F8"/>
    <w:rsid w:val="003A31A6"/>
    <w:rsid w:val="003A43BB"/>
    <w:rsid w:val="003A7F0C"/>
    <w:rsid w:val="003A7F79"/>
    <w:rsid w:val="003B2124"/>
    <w:rsid w:val="003B6404"/>
    <w:rsid w:val="003C3568"/>
    <w:rsid w:val="003C3CB5"/>
    <w:rsid w:val="003C449B"/>
    <w:rsid w:val="003C7874"/>
    <w:rsid w:val="003D21FF"/>
    <w:rsid w:val="003D3B4A"/>
    <w:rsid w:val="003D3BB2"/>
    <w:rsid w:val="003D468F"/>
    <w:rsid w:val="003D5E1F"/>
    <w:rsid w:val="003E3966"/>
    <w:rsid w:val="003E5C61"/>
    <w:rsid w:val="003E649B"/>
    <w:rsid w:val="003F0112"/>
    <w:rsid w:val="003F071A"/>
    <w:rsid w:val="003F160B"/>
    <w:rsid w:val="003F5075"/>
    <w:rsid w:val="003F55BC"/>
    <w:rsid w:val="00400032"/>
    <w:rsid w:val="004004CD"/>
    <w:rsid w:val="00400B43"/>
    <w:rsid w:val="00400B5B"/>
    <w:rsid w:val="00401A48"/>
    <w:rsid w:val="00405A00"/>
    <w:rsid w:val="004066C0"/>
    <w:rsid w:val="004070D7"/>
    <w:rsid w:val="00411A9E"/>
    <w:rsid w:val="0041349E"/>
    <w:rsid w:val="00416904"/>
    <w:rsid w:val="00416FF4"/>
    <w:rsid w:val="00420870"/>
    <w:rsid w:val="004211AA"/>
    <w:rsid w:val="00422063"/>
    <w:rsid w:val="00432D0C"/>
    <w:rsid w:val="0043791B"/>
    <w:rsid w:val="004405CA"/>
    <w:rsid w:val="00441483"/>
    <w:rsid w:val="00441BCB"/>
    <w:rsid w:val="0044531E"/>
    <w:rsid w:val="00445AC8"/>
    <w:rsid w:val="00446C27"/>
    <w:rsid w:val="004503BE"/>
    <w:rsid w:val="00450816"/>
    <w:rsid w:val="0045176A"/>
    <w:rsid w:val="00453E60"/>
    <w:rsid w:val="00456332"/>
    <w:rsid w:val="004617ED"/>
    <w:rsid w:val="00461826"/>
    <w:rsid w:val="00461B3C"/>
    <w:rsid w:val="00462646"/>
    <w:rsid w:val="004639C3"/>
    <w:rsid w:val="00473CEF"/>
    <w:rsid w:val="00475F99"/>
    <w:rsid w:val="00476A1F"/>
    <w:rsid w:val="00477559"/>
    <w:rsid w:val="004800F9"/>
    <w:rsid w:val="004816B2"/>
    <w:rsid w:val="0049134A"/>
    <w:rsid w:val="0049261C"/>
    <w:rsid w:val="00496DEA"/>
    <w:rsid w:val="004A18FC"/>
    <w:rsid w:val="004A58CB"/>
    <w:rsid w:val="004A7004"/>
    <w:rsid w:val="004B1795"/>
    <w:rsid w:val="004B56DD"/>
    <w:rsid w:val="004B65AB"/>
    <w:rsid w:val="004B7AE3"/>
    <w:rsid w:val="004C020F"/>
    <w:rsid w:val="004C0671"/>
    <w:rsid w:val="004C1AFD"/>
    <w:rsid w:val="004C558B"/>
    <w:rsid w:val="004D04DE"/>
    <w:rsid w:val="004D0A76"/>
    <w:rsid w:val="004D46C2"/>
    <w:rsid w:val="004D716A"/>
    <w:rsid w:val="004E4B1C"/>
    <w:rsid w:val="004E6641"/>
    <w:rsid w:val="004F117E"/>
    <w:rsid w:val="004F1F88"/>
    <w:rsid w:val="004F5F1B"/>
    <w:rsid w:val="00501A67"/>
    <w:rsid w:val="00502374"/>
    <w:rsid w:val="00502565"/>
    <w:rsid w:val="00502850"/>
    <w:rsid w:val="0050584F"/>
    <w:rsid w:val="005060A1"/>
    <w:rsid w:val="00511843"/>
    <w:rsid w:val="00512ACA"/>
    <w:rsid w:val="00516072"/>
    <w:rsid w:val="0052105F"/>
    <w:rsid w:val="0052288C"/>
    <w:rsid w:val="005256C1"/>
    <w:rsid w:val="00526327"/>
    <w:rsid w:val="005332EC"/>
    <w:rsid w:val="00534418"/>
    <w:rsid w:val="005353AB"/>
    <w:rsid w:val="005426FC"/>
    <w:rsid w:val="00544B71"/>
    <w:rsid w:val="00551818"/>
    <w:rsid w:val="00551E2E"/>
    <w:rsid w:val="005560BC"/>
    <w:rsid w:val="005573BE"/>
    <w:rsid w:val="0056757A"/>
    <w:rsid w:val="00572700"/>
    <w:rsid w:val="005737AE"/>
    <w:rsid w:val="00577AC1"/>
    <w:rsid w:val="00580468"/>
    <w:rsid w:val="00581B68"/>
    <w:rsid w:val="00581BBE"/>
    <w:rsid w:val="00582231"/>
    <w:rsid w:val="0058310B"/>
    <w:rsid w:val="0058603B"/>
    <w:rsid w:val="00590604"/>
    <w:rsid w:val="0059431B"/>
    <w:rsid w:val="005947C5"/>
    <w:rsid w:val="00594B6F"/>
    <w:rsid w:val="00596C27"/>
    <w:rsid w:val="005A39CC"/>
    <w:rsid w:val="005A3B94"/>
    <w:rsid w:val="005A4CBB"/>
    <w:rsid w:val="005A4EE7"/>
    <w:rsid w:val="005A53B8"/>
    <w:rsid w:val="005B4730"/>
    <w:rsid w:val="005C28BD"/>
    <w:rsid w:val="005C62AD"/>
    <w:rsid w:val="005C7000"/>
    <w:rsid w:val="005C795B"/>
    <w:rsid w:val="005D0F0A"/>
    <w:rsid w:val="005D2DEC"/>
    <w:rsid w:val="005D4A6E"/>
    <w:rsid w:val="005D6031"/>
    <w:rsid w:val="005D756B"/>
    <w:rsid w:val="005D77D0"/>
    <w:rsid w:val="005E05D7"/>
    <w:rsid w:val="005E1FE5"/>
    <w:rsid w:val="005E2788"/>
    <w:rsid w:val="005E29B4"/>
    <w:rsid w:val="005E4116"/>
    <w:rsid w:val="005E41E7"/>
    <w:rsid w:val="005E450F"/>
    <w:rsid w:val="005E4B11"/>
    <w:rsid w:val="005E523E"/>
    <w:rsid w:val="005E6B01"/>
    <w:rsid w:val="005F267D"/>
    <w:rsid w:val="005F5FCD"/>
    <w:rsid w:val="005F7935"/>
    <w:rsid w:val="0060130B"/>
    <w:rsid w:val="00601D7E"/>
    <w:rsid w:val="00603FAD"/>
    <w:rsid w:val="006066D2"/>
    <w:rsid w:val="00606E9C"/>
    <w:rsid w:val="00621612"/>
    <w:rsid w:val="00621650"/>
    <w:rsid w:val="0062298A"/>
    <w:rsid w:val="00626514"/>
    <w:rsid w:val="00626589"/>
    <w:rsid w:val="006305BC"/>
    <w:rsid w:val="006339A0"/>
    <w:rsid w:val="00634C89"/>
    <w:rsid w:val="006413A8"/>
    <w:rsid w:val="00642E56"/>
    <w:rsid w:val="00647FBF"/>
    <w:rsid w:val="00651E00"/>
    <w:rsid w:val="0066452B"/>
    <w:rsid w:val="00665C50"/>
    <w:rsid w:val="006715E9"/>
    <w:rsid w:val="00674572"/>
    <w:rsid w:val="00676980"/>
    <w:rsid w:val="00681ED2"/>
    <w:rsid w:val="006821FF"/>
    <w:rsid w:val="00683AE8"/>
    <w:rsid w:val="0068434B"/>
    <w:rsid w:val="00687763"/>
    <w:rsid w:val="00692B0D"/>
    <w:rsid w:val="00693E0E"/>
    <w:rsid w:val="00694DFF"/>
    <w:rsid w:val="00697C6E"/>
    <w:rsid w:val="006A1AE3"/>
    <w:rsid w:val="006A1F2B"/>
    <w:rsid w:val="006A439F"/>
    <w:rsid w:val="006B382C"/>
    <w:rsid w:val="006B47DC"/>
    <w:rsid w:val="006B7527"/>
    <w:rsid w:val="006C30E1"/>
    <w:rsid w:val="006C4607"/>
    <w:rsid w:val="006D0181"/>
    <w:rsid w:val="006D48F1"/>
    <w:rsid w:val="006D496A"/>
    <w:rsid w:val="006E42C0"/>
    <w:rsid w:val="006E612C"/>
    <w:rsid w:val="006E6A7B"/>
    <w:rsid w:val="006F28C9"/>
    <w:rsid w:val="006F45BE"/>
    <w:rsid w:val="006F5F3E"/>
    <w:rsid w:val="007004FC"/>
    <w:rsid w:val="0070221E"/>
    <w:rsid w:val="00704267"/>
    <w:rsid w:val="00706257"/>
    <w:rsid w:val="00706670"/>
    <w:rsid w:val="007072D6"/>
    <w:rsid w:val="007104DB"/>
    <w:rsid w:val="00711F59"/>
    <w:rsid w:val="00712204"/>
    <w:rsid w:val="00715166"/>
    <w:rsid w:val="007233E0"/>
    <w:rsid w:val="0072417C"/>
    <w:rsid w:val="0072583C"/>
    <w:rsid w:val="00727043"/>
    <w:rsid w:val="007338FC"/>
    <w:rsid w:val="00734450"/>
    <w:rsid w:val="00737BE9"/>
    <w:rsid w:val="0074171F"/>
    <w:rsid w:val="00745F67"/>
    <w:rsid w:val="0075039E"/>
    <w:rsid w:val="00751353"/>
    <w:rsid w:val="00752D9D"/>
    <w:rsid w:val="00753F13"/>
    <w:rsid w:val="00754784"/>
    <w:rsid w:val="00757C6E"/>
    <w:rsid w:val="00762BDA"/>
    <w:rsid w:val="007650C7"/>
    <w:rsid w:val="007701DE"/>
    <w:rsid w:val="00771C00"/>
    <w:rsid w:val="00774021"/>
    <w:rsid w:val="007805FD"/>
    <w:rsid w:val="00784422"/>
    <w:rsid w:val="00787D46"/>
    <w:rsid w:val="007939BD"/>
    <w:rsid w:val="00794411"/>
    <w:rsid w:val="0079482A"/>
    <w:rsid w:val="0079527F"/>
    <w:rsid w:val="00797BEF"/>
    <w:rsid w:val="007A0762"/>
    <w:rsid w:val="007A31C5"/>
    <w:rsid w:val="007A5E80"/>
    <w:rsid w:val="007B32DF"/>
    <w:rsid w:val="007B391A"/>
    <w:rsid w:val="007B3B54"/>
    <w:rsid w:val="007B3FA0"/>
    <w:rsid w:val="007C07D9"/>
    <w:rsid w:val="007C0F2C"/>
    <w:rsid w:val="007C2BCC"/>
    <w:rsid w:val="007C2C75"/>
    <w:rsid w:val="007C4EF0"/>
    <w:rsid w:val="007C6348"/>
    <w:rsid w:val="007D07D1"/>
    <w:rsid w:val="007D099D"/>
    <w:rsid w:val="007D573E"/>
    <w:rsid w:val="007D5B43"/>
    <w:rsid w:val="007E2664"/>
    <w:rsid w:val="007E3ABF"/>
    <w:rsid w:val="007E3CA7"/>
    <w:rsid w:val="007E49D5"/>
    <w:rsid w:val="007E5BFA"/>
    <w:rsid w:val="007E6689"/>
    <w:rsid w:val="007E731C"/>
    <w:rsid w:val="007F0224"/>
    <w:rsid w:val="007F0A03"/>
    <w:rsid w:val="007F122C"/>
    <w:rsid w:val="007F7437"/>
    <w:rsid w:val="00802A27"/>
    <w:rsid w:val="008059B5"/>
    <w:rsid w:val="00805EDB"/>
    <w:rsid w:val="00806166"/>
    <w:rsid w:val="00810040"/>
    <w:rsid w:val="00810404"/>
    <w:rsid w:val="00810A93"/>
    <w:rsid w:val="00811DD4"/>
    <w:rsid w:val="0081277F"/>
    <w:rsid w:val="008139FD"/>
    <w:rsid w:val="00815230"/>
    <w:rsid w:val="0081578A"/>
    <w:rsid w:val="0082023A"/>
    <w:rsid w:val="00821A7A"/>
    <w:rsid w:val="008225EE"/>
    <w:rsid w:val="008253F8"/>
    <w:rsid w:val="0082626E"/>
    <w:rsid w:val="00831170"/>
    <w:rsid w:val="00831438"/>
    <w:rsid w:val="008325E4"/>
    <w:rsid w:val="00832720"/>
    <w:rsid w:val="00832A2B"/>
    <w:rsid w:val="0083311D"/>
    <w:rsid w:val="00843277"/>
    <w:rsid w:val="008457A4"/>
    <w:rsid w:val="00845811"/>
    <w:rsid w:val="008458A6"/>
    <w:rsid w:val="00846994"/>
    <w:rsid w:val="00850451"/>
    <w:rsid w:val="00852042"/>
    <w:rsid w:val="008534C9"/>
    <w:rsid w:val="0085599D"/>
    <w:rsid w:val="00861E40"/>
    <w:rsid w:val="00871D1A"/>
    <w:rsid w:val="0087328C"/>
    <w:rsid w:val="00873485"/>
    <w:rsid w:val="00873C8E"/>
    <w:rsid w:val="0087510C"/>
    <w:rsid w:val="008843CE"/>
    <w:rsid w:val="00885CEA"/>
    <w:rsid w:val="008968D2"/>
    <w:rsid w:val="0089738E"/>
    <w:rsid w:val="008A10CB"/>
    <w:rsid w:val="008A2157"/>
    <w:rsid w:val="008A32FF"/>
    <w:rsid w:val="008A5C4B"/>
    <w:rsid w:val="008A6561"/>
    <w:rsid w:val="008B1285"/>
    <w:rsid w:val="008B3C09"/>
    <w:rsid w:val="008B5FDB"/>
    <w:rsid w:val="008C50F4"/>
    <w:rsid w:val="008C5649"/>
    <w:rsid w:val="008C697B"/>
    <w:rsid w:val="008D276A"/>
    <w:rsid w:val="008D379C"/>
    <w:rsid w:val="008D4DEC"/>
    <w:rsid w:val="008D601B"/>
    <w:rsid w:val="008E117D"/>
    <w:rsid w:val="008E44A2"/>
    <w:rsid w:val="008E50A8"/>
    <w:rsid w:val="008E697D"/>
    <w:rsid w:val="008E6FBE"/>
    <w:rsid w:val="00903263"/>
    <w:rsid w:val="00906A21"/>
    <w:rsid w:val="009079C3"/>
    <w:rsid w:val="00910462"/>
    <w:rsid w:val="0091161B"/>
    <w:rsid w:val="00915AB1"/>
    <w:rsid w:val="00915EAB"/>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76A3"/>
    <w:rsid w:val="00950977"/>
    <w:rsid w:val="0095334F"/>
    <w:rsid w:val="009543EC"/>
    <w:rsid w:val="00965897"/>
    <w:rsid w:val="0096765C"/>
    <w:rsid w:val="00967762"/>
    <w:rsid w:val="009677ED"/>
    <w:rsid w:val="0097238D"/>
    <w:rsid w:val="009727E4"/>
    <w:rsid w:val="0097297B"/>
    <w:rsid w:val="00977270"/>
    <w:rsid w:val="009802DD"/>
    <w:rsid w:val="009847DB"/>
    <w:rsid w:val="0098742E"/>
    <w:rsid w:val="009926AD"/>
    <w:rsid w:val="009934C5"/>
    <w:rsid w:val="00994C0F"/>
    <w:rsid w:val="0099528A"/>
    <w:rsid w:val="009A0353"/>
    <w:rsid w:val="009A067E"/>
    <w:rsid w:val="009A1B85"/>
    <w:rsid w:val="009A5A45"/>
    <w:rsid w:val="009A6361"/>
    <w:rsid w:val="009B1BF6"/>
    <w:rsid w:val="009B22D7"/>
    <w:rsid w:val="009B2745"/>
    <w:rsid w:val="009B5ADC"/>
    <w:rsid w:val="009B72ED"/>
    <w:rsid w:val="009C20B6"/>
    <w:rsid w:val="009C53DB"/>
    <w:rsid w:val="009C6DEB"/>
    <w:rsid w:val="009D6504"/>
    <w:rsid w:val="009E12D7"/>
    <w:rsid w:val="009E661A"/>
    <w:rsid w:val="009E6A86"/>
    <w:rsid w:val="009E7437"/>
    <w:rsid w:val="009F7769"/>
    <w:rsid w:val="00A06781"/>
    <w:rsid w:val="00A071B2"/>
    <w:rsid w:val="00A074C3"/>
    <w:rsid w:val="00A11062"/>
    <w:rsid w:val="00A14E70"/>
    <w:rsid w:val="00A1509C"/>
    <w:rsid w:val="00A16F4B"/>
    <w:rsid w:val="00A20B20"/>
    <w:rsid w:val="00A21C8A"/>
    <w:rsid w:val="00A22230"/>
    <w:rsid w:val="00A249B9"/>
    <w:rsid w:val="00A30577"/>
    <w:rsid w:val="00A3200A"/>
    <w:rsid w:val="00A34260"/>
    <w:rsid w:val="00A36F16"/>
    <w:rsid w:val="00A4190A"/>
    <w:rsid w:val="00A460E6"/>
    <w:rsid w:val="00A46336"/>
    <w:rsid w:val="00A46D3C"/>
    <w:rsid w:val="00A54D0A"/>
    <w:rsid w:val="00A5522E"/>
    <w:rsid w:val="00A5581F"/>
    <w:rsid w:val="00A63268"/>
    <w:rsid w:val="00A70CFD"/>
    <w:rsid w:val="00A70F16"/>
    <w:rsid w:val="00A714E9"/>
    <w:rsid w:val="00A72A0B"/>
    <w:rsid w:val="00A74E07"/>
    <w:rsid w:val="00A80518"/>
    <w:rsid w:val="00A8125C"/>
    <w:rsid w:val="00A81E42"/>
    <w:rsid w:val="00A83BF5"/>
    <w:rsid w:val="00A864FE"/>
    <w:rsid w:val="00A86F41"/>
    <w:rsid w:val="00A87D04"/>
    <w:rsid w:val="00A9014A"/>
    <w:rsid w:val="00A94E4B"/>
    <w:rsid w:val="00A950C5"/>
    <w:rsid w:val="00A953A6"/>
    <w:rsid w:val="00A95F38"/>
    <w:rsid w:val="00A96C60"/>
    <w:rsid w:val="00AA19F9"/>
    <w:rsid w:val="00AA1D25"/>
    <w:rsid w:val="00AA31BB"/>
    <w:rsid w:val="00AA41A2"/>
    <w:rsid w:val="00AA52A9"/>
    <w:rsid w:val="00AA5AA2"/>
    <w:rsid w:val="00AA5F5C"/>
    <w:rsid w:val="00AB015A"/>
    <w:rsid w:val="00AB028F"/>
    <w:rsid w:val="00AB2B1A"/>
    <w:rsid w:val="00AB397F"/>
    <w:rsid w:val="00AB5832"/>
    <w:rsid w:val="00AC51F2"/>
    <w:rsid w:val="00AC7B48"/>
    <w:rsid w:val="00AC7DE0"/>
    <w:rsid w:val="00AD1E34"/>
    <w:rsid w:val="00AD250D"/>
    <w:rsid w:val="00AD3269"/>
    <w:rsid w:val="00AD43AC"/>
    <w:rsid w:val="00AD44CB"/>
    <w:rsid w:val="00AD62A1"/>
    <w:rsid w:val="00AD6528"/>
    <w:rsid w:val="00AE1FDB"/>
    <w:rsid w:val="00AE4599"/>
    <w:rsid w:val="00AE5066"/>
    <w:rsid w:val="00AE5E24"/>
    <w:rsid w:val="00AE61B7"/>
    <w:rsid w:val="00AE6CBA"/>
    <w:rsid w:val="00AE79AD"/>
    <w:rsid w:val="00AE7C40"/>
    <w:rsid w:val="00AF35E4"/>
    <w:rsid w:val="00AF4F1F"/>
    <w:rsid w:val="00AF50C3"/>
    <w:rsid w:val="00AF5CDE"/>
    <w:rsid w:val="00B0626C"/>
    <w:rsid w:val="00B069D7"/>
    <w:rsid w:val="00B07682"/>
    <w:rsid w:val="00B11A57"/>
    <w:rsid w:val="00B13208"/>
    <w:rsid w:val="00B171A4"/>
    <w:rsid w:val="00B17C99"/>
    <w:rsid w:val="00B211C3"/>
    <w:rsid w:val="00B2317D"/>
    <w:rsid w:val="00B23F47"/>
    <w:rsid w:val="00B244D1"/>
    <w:rsid w:val="00B24CC9"/>
    <w:rsid w:val="00B25597"/>
    <w:rsid w:val="00B25B36"/>
    <w:rsid w:val="00B267B9"/>
    <w:rsid w:val="00B2698D"/>
    <w:rsid w:val="00B302BF"/>
    <w:rsid w:val="00B32DBB"/>
    <w:rsid w:val="00B33E09"/>
    <w:rsid w:val="00B34D14"/>
    <w:rsid w:val="00B47C62"/>
    <w:rsid w:val="00B50708"/>
    <w:rsid w:val="00B50C68"/>
    <w:rsid w:val="00B51293"/>
    <w:rsid w:val="00B51B35"/>
    <w:rsid w:val="00B52B1E"/>
    <w:rsid w:val="00B55481"/>
    <w:rsid w:val="00B56C32"/>
    <w:rsid w:val="00B57ACF"/>
    <w:rsid w:val="00B60770"/>
    <w:rsid w:val="00B64400"/>
    <w:rsid w:val="00B64BB1"/>
    <w:rsid w:val="00B71F6E"/>
    <w:rsid w:val="00B73166"/>
    <w:rsid w:val="00B73573"/>
    <w:rsid w:val="00B76846"/>
    <w:rsid w:val="00B77676"/>
    <w:rsid w:val="00B820CA"/>
    <w:rsid w:val="00B8426C"/>
    <w:rsid w:val="00B87B6D"/>
    <w:rsid w:val="00B915CF"/>
    <w:rsid w:val="00B91B8D"/>
    <w:rsid w:val="00B9346C"/>
    <w:rsid w:val="00B9481A"/>
    <w:rsid w:val="00B94E90"/>
    <w:rsid w:val="00B9580D"/>
    <w:rsid w:val="00B96E07"/>
    <w:rsid w:val="00BA3134"/>
    <w:rsid w:val="00BA3A03"/>
    <w:rsid w:val="00BA4296"/>
    <w:rsid w:val="00BA4CC0"/>
    <w:rsid w:val="00BA5400"/>
    <w:rsid w:val="00BA6308"/>
    <w:rsid w:val="00BA63A7"/>
    <w:rsid w:val="00BA7FB2"/>
    <w:rsid w:val="00BB0A82"/>
    <w:rsid w:val="00BB1850"/>
    <w:rsid w:val="00BB405A"/>
    <w:rsid w:val="00BB66FA"/>
    <w:rsid w:val="00BB7930"/>
    <w:rsid w:val="00BB7C94"/>
    <w:rsid w:val="00BC0A9D"/>
    <w:rsid w:val="00BC5588"/>
    <w:rsid w:val="00BD447A"/>
    <w:rsid w:val="00BD5E24"/>
    <w:rsid w:val="00BE09EA"/>
    <w:rsid w:val="00BE1B4A"/>
    <w:rsid w:val="00BE3315"/>
    <w:rsid w:val="00BE4AE2"/>
    <w:rsid w:val="00BE707A"/>
    <w:rsid w:val="00BF01DB"/>
    <w:rsid w:val="00BF0C5D"/>
    <w:rsid w:val="00BF37BD"/>
    <w:rsid w:val="00BF40ED"/>
    <w:rsid w:val="00BF5BC2"/>
    <w:rsid w:val="00C01F3E"/>
    <w:rsid w:val="00C1133D"/>
    <w:rsid w:val="00C15032"/>
    <w:rsid w:val="00C15E18"/>
    <w:rsid w:val="00C2127F"/>
    <w:rsid w:val="00C21977"/>
    <w:rsid w:val="00C27A08"/>
    <w:rsid w:val="00C31312"/>
    <w:rsid w:val="00C31E36"/>
    <w:rsid w:val="00C3227B"/>
    <w:rsid w:val="00C326C6"/>
    <w:rsid w:val="00C35295"/>
    <w:rsid w:val="00C36ADD"/>
    <w:rsid w:val="00C36E74"/>
    <w:rsid w:val="00C401C7"/>
    <w:rsid w:val="00C40595"/>
    <w:rsid w:val="00C40F32"/>
    <w:rsid w:val="00C41621"/>
    <w:rsid w:val="00C41861"/>
    <w:rsid w:val="00C43476"/>
    <w:rsid w:val="00C449FA"/>
    <w:rsid w:val="00C472EA"/>
    <w:rsid w:val="00C50194"/>
    <w:rsid w:val="00C50AFE"/>
    <w:rsid w:val="00C52F74"/>
    <w:rsid w:val="00C5384F"/>
    <w:rsid w:val="00C55CF3"/>
    <w:rsid w:val="00C56964"/>
    <w:rsid w:val="00C627F0"/>
    <w:rsid w:val="00C656D5"/>
    <w:rsid w:val="00C67103"/>
    <w:rsid w:val="00C679B7"/>
    <w:rsid w:val="00C71BB9"/>
    <w:rsid w:val="00C74058"/>
    <w:rsid w:val="00C84199"/>
    <w:rsid w:val="00C90BBC"/>
    <w:rsid w:val="00C921B7"/>
    <w:rsid w:val="00C93F0D"/>
    <w:rsid w:val="00C93FA7"/>
    <w:rsid w:val="00C94C28"/>
    <w:rsid w:val="00C97853"/>
    <w:rsid w:val="00CA24B4"/>
    <w:rsid w:val="00CA7125"/>
    <w:rsid w:val="00CB0247"/>
    <w:rsid w:val="00CB3440"/>
    <w:rsid w:val="00CB3994"/>
    <w:rsid w:val="00CB47C7"/>
    <w:rsid w:val="00CC1692"/>
    <w:rsid w:val="00CC16B6"/>
    <w:rsid w:val="00CC1E0A"/>
    <w:rsid w:val="00CC391A"/>
    <w:rsid w:val="00CC4263"/>
    <w:rsid w:val="00CC5236"/>
    <w:rsid w:val="00CC637B"/>
    <w:rsid w:val="00CD1346"/>
    <w:rsid w:val="00CD138B"/>
    <w:rsid w:val="00CD3E31"/>
    <w:rsid w:val="00CD74A3"/>
    <w:rsid w:val="00CD76EE"/>
    <w:rsid w:val="00CE0527"/>
    <w:rsid w:val="00CE2BE6"/>
    <w:rsid w:val="00CE4665"/>
    <w:rsid w:val="00CE5B23"/>
    <w:rsid w:val="00CE5EF3"/>
    <w:rsid w:val="00CE671C"/>
    <w:rsid w:val="00CF0725"/>
    <w:rsid w:val="00CF3BF7"/>
    <w:rsid w:val="00CF5BD1"/>
    <w:rsid w:val="00CF5D42"/>
    <w:rsid w:val="00CF70AD"/>
    <w:rsid w:val="00CF7729"/>
    <w:rsid w:val="00D00059"/>
    <w:rsid w:val="00D0040A"/>
    <w:rsid w:val="00D02283"/>
    <w:rsid w:val="00D02404"/>
    <w:rsid w:val="00D052E1"/>
    <w:rsid w:val="00D072A9"/>
    <w:rsid w:val="00D101A6"/>
    <w:rsid w:val="00D107FA"/>
    <w:rsid w:val="00D108FC"/>
    <w:rsid w:val="00D12275"/>
    <w:rsid w:val="00D126EF"/>
    <w:rsid w:val="00D12766"/>
    <w:rsid w:val="00D13196"/>
    <w:rsid w:val="00D14699"/>
    <w:rsid w:val="00D14869"/>
    <w:rsid w:val="00D16E69"/>
    <w:rsid w:val="00D16EF1"/>
    <w:rsid w:val="00D16F79"/>
    <w:rsid w:val="00D17ABF"/>
    <w:rsid w:val="00D17D2C"/>
    <w:rsid w:val="00D20FF4"/>
    <w:rsid w:val="00D2417D"/>
    <w:rsid w:val="00D24C1C"/>
    <w:rsid w:val="00D24D2C"/>
    <w:rsid w:val="00D35881"/>
    <w:rsid w:val="00D36317"/>
    <w:rsid w:val="00D43F1B"/>
    <w:rsid w:val="00D4784F"/>
    <w:rsid w:val="00D519B2"/>
    <w:rsid w:val="00D5430D"/>
    <w:rsid w:val="00D54645"/>
    <w:rsid w:val="00D54BCE"/>
    <w:rsid w:val="00D62374"/>
    <w:rsid w:val="00D65367"/>
    <w:rsid w:val="00D657D7"/>
    <w:rsid w:val="00D667C2"/>
    <w:rsid w:val="00D76C6A"/>
    <w:rsid w:val="00D82DB6"/>
    <w:rsid w:val="00D83B61"/>
    <w:rsid w:val="00D84B7F"/>
    <w:rsid w:val="00D92E5E"/>
    <w:rsid w:val="00D948BC"/>
    <w:rsid w:val="00D97B62"/>
    <w:rsid w:val="00DA0E01"/>
    <w:rsid w:val="00DA34A8"/>
    <w:rsid w:val="00DA6846"/>
    <w:rsid w:val="00DA6AF4"/>
    <w:rsid w:val="00DA7DA5"/>
    <w:rsid w:val="00DB073B"/>
    <w:rsid w:val="00DB0BC2"/>
    <w:rsid w:val="00DB78F0"/>
    <w:rsid w:val="00DC0CEA"/>
    <w:rsid w:val="00DC2E43"/>
    <w:rsid w:val="00DC5426"/>
    <w:rsid w:val="00DD095C"/>
    <w:rsid w:val="00DD1020"/>
    <w:rsid w:val="00DD1330"/>
    <w:rsid w:val="00DD2805"/>
    <w:rsid w:val="00DD2BEA"/>
    <w:rsid w:val="00DE0B83"/>
    <w:rsid w:val="00DE1A81"/>
    <w:rsid w:val="00DE1C13"/>
    <w:rsid w:val="00DE4E10"/>
    <w:rsid w:val="00DE6D36"/>
    <w:rsid w:val="00DF2C9F"/>
    <w:rsid w:val="00E02ABF"/>
    <w:rsid w:val="00E04AE0"/>
    <w:rsid w:val="00E07E54"/>
    <w:rsid w:val="00E14995"/>
    <w:rsid w:val="00E179CD"/>
    <w:rsid w:val="00E23D82"/>
    <w:rsid w:val="00E23E8D"/>
    <w:rsid w:val="00E2556C"/>
    <w:rsid w:val="00E27AFF"/>
    <w:rsid w:val="00E317CE"/>
    <w:rsid w:val="00E35755"/>
    <w:rsid w:val="00E35AC3"/>
    <w:rsid w:val="00E37F98"/>
    <w:rsid w:val="00E46559"/>
    <w:rsid w:val="00E503DC"/>
    <w:rsid w:val="00E55F9E"/>
    <w:rsid w:val="00E5700C"/>
    <w:rsid w:val="00E5736A"/>
    <w:rsid w:val="00E61116"/>
    <w:rsid w:val="00E6670C"/>
    <w:rsid w:val="00E667F2"/>
    <w:rsid w:val="00E72EDB"/>
    <w:rsid w:val="00E776E8"/>
    <w:rsid w:val="00E9069A"/>
    <w:rsid w:val="00E916F3"/>
    <w:rsid w:val="00E92C1F"/>
    <w:rsid w:val="00E946E7"/>
    <w:rsid w:val="00E95D4B"/>
    <w:rsid w:val="00E961F4"/>
    <w:rsid w:val="00E9693C"/>
    <w:rsid w:val="00EA2A60"/>
    <w:rsid w:val="00EA3DAA"/>
    <w:rsid w:val="00EB199F"/>
    <w:rsid w:val="00EB1E78"/>
    <w:rsid w:val="00EB6EA4"/>
    <w:rsid w:val="00EC23F7"/>
    <w:rsid w:val="00EC48A5"/>
    <w:rsid w:val="00EC4BD8"/>
    <w:rsid w:val="00EC4FC6"/>
    <w:rsid w:val="00EC58D2"/>
    <w:rsid w:val="00EC63EB"/>
    <w:rsid w:val="00EC74EF"/>
    <w:rsid w:val="00ED412F"/>
    <w:rsid w:val="00EE0879"/>
    <w:rsid w:val="00EE30BE"/>
    <w:rsid w:val="00EE46E6"/>
    <w:rsid w:val="00EF148B"/>
    <w:rsid w:val="00EF36B2"/>
    <w:rsid w:val="00EF6727"/>
    <w:rsid w:val="00F018F4"/>
    <w:rsid w:val="00F05E72"/>
    <w:rsid w:val="00F1246B"/>
    <w:rsid w:val="00F12AF2"/>
    <w:rsid w:val="00F13273"/>
    <w:rsid w:val="00F201EC"/>
    <w:rsid w:val="00F208A9"/>
    <w:rsid w:val="00F22FE5"/>
    <w:rsid w:val="00F2552A"/>
    <w:rsid w:val="00F25EC3"/>
    <w:rsid w:val="00F30A4D"/>
    <w:rsid w:val="00F31E28"/>
    <w:rsid w:val="00F41D75"/>
    <w:rsid w:val="00F42BDA"/>
    <w:rsid w:val="00F45A52"/>
    <w:rsid w:val="00F45B3B"/>
    <w:rsid w:val="00F511E9"/>
    <w:rsid w:val="00F5139D"/>
    <w:rsid w:val="00F53ABD"/>
    <w:rsid w:val="00F55E53"/>
    <w:rsid w:val="00F5626E"/>
    <w:rsid w:val="00F566AD"/>
    <w:rsid w:val="00F613F1"/>
    <w:rsid w:val="00F63DAC"/>
    <w:rsid w:val="00F66191"/>
    <w:rsid w:val="00F66798"/>
    <w:rsid w:val="00F735E4"/>
    <w:rsid w:val="00F7454F"/>
    <w:rsid w:val="00F77988"/>
    <w:rsid w:val="00F77F48"/>
    <w:rsid w:val="00F82109"/>
    <w:rsid w:val="00F83E34"/>
    <w:rsid w:val="00F846C7"/>
    <w:rsid w:val="00F8731A"/>
    <w:rsid w:val="00F9132F"/>
    <w:rsid w:val="00F91838"/>
    <w:rsid w:val="00F929BF"/>
    <w:rsid w:val="00F96372"/>
    <w:rsid w:val="00F97C00"/>
    <w:rsid w:val="00FA7930"/>
    <w:rsid w:val="00FB2199"/>
    <w:rsid w:val="00FB30F1"/>
    <w:rsid w:val="00FB515A"/>
    <w:rsid w:val="00FB53E7"/>
    <w:rsid w:val="00FD2672"/>
    <w:rsid w:val="00FD2A8A"/>
    <w:rsid w:val="00FD4389"/>
    <w:rsid w:val="00FD78E1"/>
    <w:rsid w:val="00FE429D"/>
    <w:rsid w:val="00FE7BE7"/>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paragraph" w:customStyle="1" w:styleId="tv213">
    <w:name w:val="tv213"/>
    <w:basedOn w:val="Parasts"/>
    <w:rsid w:val="00BF0C5D"/>
    <w:pPr>
      <w:spacing w:before="100" w:beforeAutospacing="1" w:after="100" w:afterAutospacing="1"/>
      <w:jc w:val="both"/>
    </w:pPr>
    <w:rPr>
      <w:lang w:val="en-US" w:eastAsia="en-US"/>
    </w:rPr>
  </w:style>
  <w:style w:type="paragraph" w:styleId="Nosaukums">
    <w:name w:val="Title"/>
    <w:basedOn w:val="Parasts"/>
    <w:link w:val="NosaukumsRakstz"/>
    <w:qFormat/>
    <w:rsid w:val="005E4116"/>
    <w:pPr>
      <w:jc w:val="center"/>
    </w:pPr>
    <w:rPr>
      <w:rFonts w:ascii="Arial" w:hAnsi="Arial" w:cs="Arial"/>
      <w:sz w:val="28"/>
      <w:szCs w:val="28"/>
      <w:lang w:eastAsia="en-US"/>
    </w:rPr>
  </w:style>
  <w:style w:type="character" w:customStyle="1" w:styleId="NosaukumsRakstz">
    <w:name w:val="Nosaukums Rakstz."/>
    <w:basedOn w:val="Noklusjumarindkopasfonts"/>
    <w:link w:val="Nosaukums"/>
    <w:rsid w:val="005E4116"/>
    <w:rPr>
      <w:rFonts w:ascii="Arial" w:hAnsi="Arial" w:cs="Arial"/>
      <w:sz w:val="28"/>
      <w:szCs w:val="28"/>
      <w:lang w:eastAsia="en-US"/>
    </w:rPr>
  </w:style>
  <w:style w:type="paragraph" w:styleId="Pamatteksts">
    <w:name w:val="Body Text"/>
    <w:basedOn w:val="Parasts"/>
    <w:link w:val="PamattekstsRakstz"/>
    <w:rsid w:val="003A24F8"/>
    <w:pPr>
      <w:spacing w:after="120"/>
    </w:pPr>
    <w:rPr>
      <w:rFonts w:eastAsia="Calibri"/>
    </w:rPr>
  </w:style>
  <w:style w:type="character" w:customStyle="1" w:styleId="PamattekstsRakstz">
    <w:name w:val="Pamatteksts Rakstz."/>
    <w:basedOn w:val="Noklusjumarindkopasfonts"/>
    <w:link w:val="Pamatteksts"/>
    <w:rsid w:val="003A24F8"/>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paragraph" w:customStyle="1" w:styleId="tv213">
    <w:name w:val="tv213"/>
    <w:basedOn w:val="Parasts"/>
    <w:rsid w:val="00BF0C5D"/>
    <w:pPr>
      <w:spacing w:before="100" w:beforeAutospacing="1" w:after="100" w:afterAutospacing="1"/>
      <w:jc w:val="both"/>
    </w:pPr>
    <w:rPr>
      <w:lang w:val="en-US" w:eastAsia="en-US"/>
    </w:rPr>
  </w:style>
  <w:style w:type="paragraph" w:styleId="Nosaukums">
    <w:name w:val="Title"/>
    <w:basedOn w:val="Parasts"/>
    <w:link w:val="NosaukumsRakstz"/>
    <w:qFormat/>
    <w:rsid w:val="005E4116"/>
    <w:pPr>
      <w:jc w:val="center"/>
    </w:pPr>
    <w:rPr>
      <w:rFonts w:ascii="Arial" w:hAnsi="Arial" w:cs="Arial"/>
      <w:sz w:val="28"/>
      <w:szCs w:val="28"/>
      <w:lang w:eastAsia="en-US"/>
    </w:rPr>
  </w:style>
  <w:style w:type="character" w:customStyle="1" w:styleId="NosaukumsRakstz">
    <w:name w:val="Nosaukums Rakstz."/>
    <w:basedOn w:val="Noklusjumarindkopasfonts"/>
    <w:link w:val="Nosaukums"/>
    <w:rsid w:val="005E4116"/>
    <w:rPr>
      <w:rFonts w:ascii="Arial" w:hAnsi="Arial" w:cs="Arial"/>
      <w:sz w:val="28"/>
      <w:szCs w:val="28"/>
      <w:lang w:eastAsia="en-US"/>
    </w:rPr>
  </w:style>
  <w:style w:type="paragraph" w:styleId="Pamatteksts">
    <w:name w:val="Body Text"/>
    <w:basedOn w:val="Parasts"/>
    <w:link w:val="PamattekstsRakstz"/>
    <w:rsid w:val="003A24F8"/>
    <w:pPr>
      <w:spacing w:after="120"/>
    </w:pPr>
    <w:rPr>
      <w:rFonts w:eastAsia="Calibri"/>
    </w:rPr>
  </w:style>
  <w:style w:type="character" w:customStyle="1" w:styleId="PamattekstsRakstz">
    <w:name w:val="Pamatteksts Rakstz."/>
    <w:basedOn w:val="Noklusjumarindkopasfonts"/>
    <w:link w:val="Pamatteksts"/>
    <w:rsid w:val="003A24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gurds.Pastars@lr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4482-DAF5-452C-B785-F8B322C3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6684</Characters>
  <Application>Microsoft Office Word</Application>
  <DocSecurity>4</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7628</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Ģenerālprokuratūra</dc:creator>
  <dc:description>Ineta Serjogina
67044512 
Ineta.Serjogina @lrp.gov.lv</dc:description>
  <cp:lastModifiedBy>Inese Zaca</cp:lastModifiedBy>
  <cp:revision>2</cp:revision>
  <cp:lastPrinted>2012-11-22T12:27:00Z</cp:lastPrinted>
  <dcterms:created xsi:type="dcterms:W3CDTF">2013-07-03T09:47:00Z</dcterms:created>
  <dcterms:modified xsi:type="dcterms:W3CDTF">2013-07-03T09:47:00Z</dcterms:modified>
</cp:coreProperties>
</file>