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EA" w:rsidRPr="00B12ECF" w:rsidRDefault="002051EA" w:rsidP="002051EA">
      <w:pPr>
        <w:jc w:val="center"/>
        <w:rPr>
          <w:b/>
        </w:rPr>
      </w:pPr>
      <w:bookmarkStart w:id="0" w:name="OLE_LINK1"/>
      <w:bookmarkStart w:id="1" w:name="OLE_LINK2"/>
      <w:r w:rsidRPr="00B12ECF">
        <w:rPr>
          <w:b/>
        </w:rPr>
        <w:t>Ministru kabineta noteikumu projekta</w:t>
      </w:r>
    </w:p>
    <w:bookmarkEnd w:id="0"/>
    <w:bookmarkEnd w:id="1"/>
    <w:p w:rsidR="003F0CC9" w:rsidRPr="00B12ECF" w:rsidRDefault="003F0CC9" w:rsidP="003F0CC9">
      <w:pPr>
        <w:jc w:val="center"/>
        <w:rPr>
          <w:b/>
          <w:lang w:eastAsia="en-US"/>
        </w:rPr>
      </w:pPr>
      <w:r w:rsidRPr="00B12ECF">
        <w:rPr>
          <w:b/>
          <w:bCs/>
          <w:lang w:eastAsia="en-US"/>
        </w:rPr>
        <w:t>„Detektīvdarbības licencēšanas un sertifikācijas noteikumi”</w:t>
      </w:r>
    </w:p>
    <w:p w:rsidR="002051EA" w:rsidRPr="00B12ECF" w:rsidRDefault="002051EA" w:rsidP="002051EA">
      <w:pPr>
        <w:jc w:val="center"/>
        <w:rPr>
          <w:b/>
        </w:rPr>
      </w:pPr>
      <w:r w:rsidRPr="00B12ECF">
        <w:rPr>
          <w:b/>
          <w:bCs/>
        </w:rPr>
        <w:t xml:space="preserve">sākotnējās ietekmes novērtējuma ziņojums (anotācija) </w:t>
      </w:r>
    </w:p>
    <w:p w:rsidR="002051EA" w:rsidRPr="00B12ECF" w:rsidRDefault="002051EA" w:rsidP="002051EA">
      <w:pPr>
        <w:jc w:val="center"/>
        <w:rPr>
          <w:b/>
        </w:rPr>
      </w:pPr>
    </w:p>
    <w:p w:rsidR="002051EA" w:rsidRPr="00B12ECF" w:rsidRDefault="002051EA" w:rsidP="002051EA">
      <w:pPr>
        <w:jc w:val="center"/>
        <w:rPr>
          <w:b/>
        </w:rPr>
      </w:pPr>
    </w:p>
    <w:tbl>
      <w:tblPr>
        <w:tblW w:w="5155"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5"/>
        <w:gridCol w:w="1704"/>
        <w:gridCol w:w="7458"/>
      </w:tblGrid>
      <w:tr w:rsidR="002051EA" w:rsidRPr="00B12ECF" w:rsidTr="0060408F">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hideMark/>
          </w:tcPr>
          <w:p w:rsidR="002051EA" w:rsidRPr="00B12ECF" w:rsidRDefault="002051EA">
            <w:pPr>
              <w:spacing w:before="100" w:beforeAutospacing="1" w:after="100" w:afterAutospacing="1"/>
              <w:jc w:val="center"/>
              <w:rPr>
                <w:b/>
                <w:bCs/>
                <w:color w:val="000000"/>
              </w:rPr>
            </w:pPr>
            <w:r w:rsidRPr="00B12ECF">
              <w:rPr>
                <w:b/>
                <w:bCs/>
                <w:color w:val="000000"/>
              </w:rPr>
              <w:t>I. Tiesību akta projekta izstrādes nepieciešamība</w:t>
            </w:r>
          </w:p>
        </w:tc>
      </w:tr>
      <w:tr w:rsidR="002051EA" w:rsidRPr="00B12ECF" w:rsidTr="0060408F">
        <w:trPr>
          <w:tblCellSpacing w:w="15" w:type="dxa"/>
        </w:trPr>
        <w:tc>
          <w:tcPr>
            <w:tcW w:w="158"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jc w:val="both"/>
              <w:rPr>
                <w:color w:val="000000"/>
              </w:rPr>
            </w:pPr>
            <w:r w:rsidRPr="00B12ECF">
              <w:rPr>
                <w:color w:val="000000"/>
              </w:rPr>
              <w:t>1.</w:t>
            </w:r>
          </w:p>
        </w:tc>
        <w:tc>
          <w:tcPr>
            <w:tcW w:w="886"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jc w:val="both"/>
              <w:rPr>
                <w:color w:val="000000"/>
              </w:rPr>
            </w:pPr>
            <w:r w:rsidRPr="00B12ECF">
              <w:rPr>
                <w:color w:val="000000"/>
              </w:rPr>
              <w:t>Pamatojums</w:t>
            </w:r>
          </w:p>
        </w:tc>
        <w:tc>
          <w:tcPr>
            <w:tcW w:w="3893" w:type="pct"/>
            <w:tcBorders>
              <w:top w:val="outset" w:sz="6" w:space="0" w:color="000000"/>
              <w:left w:val="outset" w:sz="6" w:space="0" w:color="000000"/>
              <w:bottom w:val="outset" w:sz="6" w:space="0" w:color="000000"/>
              <w:right w:val="outset" w:sz="6" w:space="0" w:color="000000"/>
            </w:tcBorders>
            <w:hideMark/>
          </w:tcPr>
          <w:p w:rsidR="004B3D82" w:rsidRDefault="00BC7AF7" w:rsidP="0058449A">
            <w:pPr>
              <w:pStyle w:val="ListParagraph"/>
              <w:ind w:left="87"/>
              <w:jc w:val="both"/>
            </w:pPr>
            <w:r w:rsidRPr="00B12ECF">
              <w:t>Saei</w:t>
            </w:r>
            <w:r w:rsidR="004B3D82">
              <w:t>mas 2012.gada 14.jūnijā pieņemtais likums</w:t>
            </w:r>
            <w:r w:rsidR="000C585C" w:rsidRPr="00B12ECF">
              <w:t xml:space="preserve"> „</w:t>
            </w:r>
            <w:r w:rsidR="00305F8E" w:rsidRPr="00B12ECF">
              <w:t>Gro</w:t>
            </w:r>
            <w:r w:rsidR="000C585C" w:rsidRPr="00B12ECF">
              <w:t>zījumi Detektīvdarbības likumā”</w:t>
            </w:r>
            <w:r w:rsidR="00B2034F">
              <w:t xml:space="preserve"> </w:t>
            </w:r>
            <w:r w:rsidRPr="00B12ECF">
              <w:t>(Latvijas Vēst</w:t>
            </w:r>
            <w:r w:rsidR="00D0411A">
              <w:t>nesis, 2012, 104.nr.), kurš stāj</w:t>
            </w:r>
            <w:r w:rsidRPr="00B12ECF">
              <w:t>ies spē</w:t>
            </w:r>
            <w:r w:rsidR="004B3D82">
              <w:t>kā 2012.gada 1.oktobrī.</w:t>
            </w:r>
          </w:p>
          <w:p w:rsidR="00191CA3" w:rsidRDefault="000B2E01" w:rsidP="0058449A">
            <w:pPr>
              <w:pStyle w:val="ListParagraph"/>
              <w:ind w:left="87"/>
              <w:jc w:val="both"/>
            </w:pPr>
            <w:r w:rsidRPr="00B12ECF">
              <w:t>Ministru kabineta 2012.gada 12.jūnija rīkojuma</w:t>
            </w:r>
            <w:r w:rsidR="000C585C" w:rsidRPr="00B12ECF">
              <w:t xml:space="preserve"> Nr.264 „Par Pasākumu plānu „klusēšanas – piekrišanas”</w:t>
            </w:r>
            <w:r w:rsidRPr="00B12ECF">
              <w:t xml:space="preserve"> principa ieviešanai un piemērošanai atbildīgo inst</w:t>
            </w:r>
            <w:r w:rsidR="000C585C" w:rsidRPr="00B12ECF">
              <w:t>itūciju administratīvajā praksē”</w:t>
            </w:r>
            <w:r w:rsidR="0060408F" w:rsidRPr="00B12ECF">
              <w:t xml:space="preserve"> </w:t>
            </w:r>
            <w:r w:rsidR="00974645">
              <w:t>4.sadaļas</w:t>
            </w:r>
            <w:r w:rsidR="00A62146">
              <w:t xml:space="preserve"> </w:t>
            </w:r>
            <w:r w:rsidR="0060408F" w:rsidRPr="00B12ECF">
              <w:t>4.</w:t>
            </w:r>
            <w:r w:rsidR="004B3D82">
              <w:t>punkts.</w:t>
            </w:r>
          </w:p>
          <w:p w:rsidR="004B3D82" w:rsidRPr="004B3D82" w:rsidRDefault="004B3D82" w:rsidP="0058449A">
            <w:pPr>
              <w:pStyle w:val="ListParagraph"/>
              <w:ind w:left="87"/>
              <w:jc w:val="both"/>
              <w:rPr>
                <w:u w:val="single"/>
              </w:rPr>
            </w:pPr>
            <w:proofErr w:type="spellStart"/>
            <w:r w:rsidRPr="004B3D82">
              <w:rPr>
                <w:u w:val="single"/>
              </w:rPr>
              <w:t>Euro</w:t>
            </w:r>
            <w:proofErr w:type="spellEnd"/>
            <w:r w:rsidRPr="004B3D82">
              <w:rPr>
                <w:u w:val="single"/>
              </w:rPr>
              <w:t xml:space="preserve"> ieviešanas kārtības likuma 30.panta pirmā daļa </w:t>
            </w:r>
            <w:r w:rsidRPr="004B3D82">
              <w:rPr>
                <w:bCs/>
                <w:u w:val="single"/>
              </w:rPr>
              <w:t>un Ministra kabineta 2012.gada 27.jūnija rīkojums Nr.282 „Par „Koncepciju par normatīvo aktu sakārtošanu saistībā ar eiro ieviešanu Latvijā””.</w:t>
            </w:r>
          </w:p>
        </w:tc>
      </w:tr>
      <w:tr w:rsidR="002051EA" w:rsidRPr="00B12ECF" w:rsidTr="0060408F">
        <w:trPr>
          <w:tblCellSpacing w:w="15" w:type="dxa"/>
        </w:trPr>
        <w:tc>
          <w:tcPr>
            <w:tcW w:w="158"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jc w:val="both"/>
              <w:rPr>
                <w:color w:val="000000"/>
              </w:rPr>
            </w:pPr>
            <w:r w:rsidRPr="00B12ECF">
              <w:rPr>
                <w:color w:val="000000"/>
              </w:rPr>
              <w:t>2.</w:t>
            </w:r>
          </w:p>
        </w:tc>
        <w:tc>
          <w:tcPr>
            <w:tcW w:w="886"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jc w:val="both"/>
              <w:rPr>
                <w:color w:val="000000"/>
              </w:rPr>
            </w:pPr>
            <w:r w:rsidRPr="00B12ECF">
              <w:rPr>
                <w:color w:val="000000"/>
              </w:rPr>
              <w:t>Pašreizējā situācija un problēmas</w:t>
            </w:r>
          </w:p>
        </w:tc>
        <w:tc>
          <w:tcPr>
            <w:tcW w:w="3893" w:type="pct"/>
            <w:tcBorders>
              <w:top w:val="outset" w:sz="6" w:space="0" w:color="000000"/>
              <w:left w:val="outset" w:sz="6" w:space="0" w:color="000000"/>
              <w:bottom w:val="outset" w:sz="6" w:space="0" w:color="000000"/>
              <w:right w:val="outset" w:sz="6" w:space="0" w:color="000000"/>
            </w:tcBorders>
          </w:tcPr>
          <w:p w:rsidR="0025656A" w:rsidRPr="00B12ECF" w:rsidRDefault="00BA0927" w:rsidP="0025656A">
            <w:pPr>
              <w:pStyle w:val="naisf"/>
              <w:numPr>
                <w:ilvl w:val="0"/>
                <w:numId w:val="3"/>
              </w:numPr>
              <w:tabs>
                <w:tab w:val="left" w:pos="371"/>
                <w:tab w:val="left" w:pos="796"/>
              </w:tabs>
              <w:spacing w:before="0" w:after="0"/>
              <w:ind w:left="85" w:firstLine="428"/>
              <w:rPr>
                <w:sz w:val="28"/>
                <w:szCs w:val="28"/>
              </w:rPr>
            </w:pPr>
            <w:r w:rsidRPr="00B12ECF">
              <w:rPr>
                <w:sz w:val="28"/>
                <w:szCs w:val="28"/>
              </w:rPr>
              <w:t xml:space="preserve">Pašreiz ir spēkā Ministru kabineta 2010.gada 10.augusta noteikumi Nr.742 „Detektīvdarbības licencēšanas un sertifikācijas noteikumi” (turpmāk - Noteikumi), kas izdoti, pamatojoties uz </w:t>
            </w:r>
            <w:r w:rsidR="008949BF" w:rsidRPr="00B12ECF">
              <w:rPr>
                <w:sz w:val="28"/>
                <w:szCs w:val="28"/>
              </w:rPr>
              <w:t xml:space="preserve"> </w:t>
            </w:r>
            <w:r w:rsidRPr="00B12ECF">
              <w:rPr>
                <w:sz w:val="28"/>
                <w:szCs w:val="28"/>
              </w:rPr>
              <w:t>Detektīvdarbības likuma 3.panta trešajā daļā un 13.pantā paredzēto deleģējumu.</w:t>
            </w:r>
          </w:p>
          <w:p w:rsidR="0025656A" w:rsidRPr="00B12ECF" w:rsidRDefault="006F28DF" w:rsidP="0025656A">
            <w:pPr>
              <w:pStyle w:val="naisf"/>
              <w:tabs>
                <w:tab w:val="left" w:pos="371"/>
                <w:tab w:val="left" w:pos="796"/>
              </w:tabs>
              <w:spacing w:before="0" w:after="0"/>
              <w:ind w:left="87" w:firstLine="426"/>
              <w:rPr>
                <w:sz w:val="28"/>
                <w:szCs w:val="28"/>
              </w:rPr>
            </w:pPr>
            <w:r w:rsidRPr="00B12ECF">
              <w:rPr>
                <w:sz w:val="28"/>
                <w:szCs w:val="28"/>
              </w:rPr>
              <w:t>2012.gada 14.jūnijā tika izsludināts likums „Grozījumi Detek</w:t>
            </w:r>
            <w:r w:rsidR="00221879" w:rsidRPr="00B12ECF">
              <w:rPr>
                <w:sz w:val="28"/>
                <w:szCs w:val="28"/>
              </w:rPr>
              <w:t>tīvdarbības likumā” (turpmāk – L</w:t>
            </w:r>
            <w:r w:rsidRPr="00B12ECF">
              <w:rPr>
                <w:sz w:val="28"/>
                <w:szCs w:val="28"/>
              </w:rPr>
              <w:t>ikums).</w:t>
            </w:r>
          </w:p>
          <w:p w:rsidR="0025656A" w:rsidRPr="005F2AB6" w:rsidRDefault="006F28DF" w:rsidP="0025656A">
            <w:pPr>
              <w:pStyle w:val="naisf"/>
              <w:tabs>
                <w:tab w:val="left" w:pos="371"/>
                <w:tab w:val="left" w:pos="796"/>
              </w:tabs>
              <w:spacing w:before="0" w:after="0"/>
              <w:ind w:left="87" w:firstLine="426"/>
              <w:rPr>
                <w:sz w:val="28"/>
                <w:szCs w:val="28"/>
              </w:rPr>
            </w:pPr>
            <w:r w:rsidRPr="00B12ECF">
              <w:rPr>
                <w:sz w:val="28"/>
                <w:szCs w:val="28"/>
              </w:rPr>
              <w:t xml:space="preserve">Likuma 1.pants </w:t>
            </w:r>
            <w:r w:rsidR="002A0ED2" w:rsidRPr="00B12ECF">
              <w:rPr>
                <w:sz w:val="28"/>
                <w:szCs w:val="28"/>
              </w:rPr>
              <w:t>groza Detektīvdarbības likuma 3.pantā noteikto deleģējumu</w:t>
            </w:r>
            <w:r w:rsidR="00363B37" w:rsidRPr="00B12ECF">
              <w:rPr>
                <w:sz w:val="28"/>
                <w:szCs w:val="28"/>
              </w:rPr>
              <w:t xml:space="preserve"> </w:t>
            </w:r>
            <w:r w:rsidR="009C396F" w:rsidRPr="005F2AB6">
              <w:rPr>
                <w:sz w:val="28"/>
                <w:szCs w:val="28"/>
              </w:rPr>
              <w:t xml:space="preserve">(izslēgta </w:t>
            </w:r>
            <w:r w:rsidR="002A0ED2" w:rsidRPr="005F2AB6">
              <w:rPr>
                <w:sz w:val="28"/>
                <w:szCs w:val="28"/>
              </w:rPr>
              <w:t>speciālās atļaujas (licences) (turpmāk – licence) un sertifikāta detektīvdarbības veikšanai (turpmāk – sertifikāts) darbības apturēšanas kārt</w:t>
            </w:r>
            <w:r w:rsidR="009C396F" w:rsidRPr="005F2AB6">
              <w:rPr>
                <w:sz w:val="28"/>
                <w:szCs w:val="28"/>
              </w:rPr>
              <w:t>ības noteikšana)</w:t>
            </w:r>
            <w:r w:rsidR="00363B37" w:rsidRPr="005F2AB6">
              <w:rPr>
                <w:sz w:val="28"/>
                <w:szCs w:val="28"/>
              </w:rPr>
              <w:t xml:space="preserve">, </w:t>
            </w:r>
            <w:r w:rsidR="009C396F" w:rsidRPr="005F2AB6">
              <w:rPr>
                <w:sz w:val="28"/>
                <w:szCs w:val="28"/>
              </w:rPr>
              <w:t>paredzot Ministru kabinetam noteikt licences un sertifikāta, sertifikāta darbības laika pagarināšanas, licences un sertifikāta anulēšanas kārtību.</w:t>
            </w:r>
          </w:p>
          <w:p w:rsidR="0025656A" w:rsidRPr="005F2AB6" w:rsidRDefault="00E074E9" w:rsidP="008A6C5B">
            <w:pPr>
              <w:pStyle w:val="naisf"/>
              <w:tabs>
                <w:tab w:val="left" w:pos="371"/>
                <w:tab w:val="left" w:pos="796"/>
              </w:tabs>
              <w:spacing w:before="0" w:after="0"/>
              <w:ind w:left="87" w:firstLine="426"/>
              <w:rPr>
                <w:sz w:val="28"/>
                <w:szCs w:val="28"/>
              </w:rPr>
            </w:pPr>
            <w:r w:rsidRPr="005F2AB6">
              <w:rPr>
                <w:sz w:val="28"/>
                <w:szCs w:val="28"/>
              </w:rPr>
              <w:t>Likuma 2.pants izsaka jaunā redakcijā Detektīvdarbības likuma</w:t>
            </w:r>
            <w:r w:rsidR="00363B37" w:rsidRPr="005F2AB6">
              <w:rPr>
                <w:sz w:val="28"/>
                <w:szCs w:val="28"/>
              </w:rPr>
              <w:t xml:space="preserve"> </w:t>
            </w:r>
            <w:r w:rsidRPr="005F2AB6">
              <w:rPr>
                <w:sz w:val="28"/>
                <w:szCs w:val="28"/>
              </w:rPr>
              <w:t>4.pantu</w:t>
            </w:r>
            <w:r w:rsidR="00F202C4" w:rsidRPr="005F2AB6">
              <w:rPr>
                <w:sz w:val="28"/>
                <w:szCs w:val="28"/>
              </w:rPr>
              <w:t>, paredzot, ka (1) saņemt licenci un veikt detektīvdarbību ir tiesīgs individuālais komersants, personālsabiedrība vai kapitālsabiedrība, kurā attiecīgi individuālais komersants vai ikviens personālsabiedrību pārstāvēttiesīgais biedrs, vai kapitālsabiedrības valdes loceklis</w:t>
            </w:r>
            <w:r w:rsidR="00363B37" w:rsidRPr="005F2AB6">
              <w:rPr>
                <w:sz w:val="28"/>
                <w:szCs w:val="28"/>
              </w:rPr>
              <w:t xml:space="preserve"> </w:t>
            </w:r>
            <w:r w:rsidR="00F202C4" w:rsidRPr="005F2AB6">
              <w:rPr>
                <w:sz w:val="28"/>
                <w:szCs w:val="28"/>
              </w:rPr>
              <w:t>ir Eiropas Savienības dalībvalsts vai Eiropa</w:t>
            </w:r>
            <w:r w:rsidR="00F202C4" w:rsidRPr="00B12ECF">
              <w:rPr>
                <w:sz w:val="28"/>
                <w:szCs w:val="28"/>
              </w:rPr>
              <w:t>s Ekonomikas zonas valsts pilsonis vai Latvijas nepilsonis, (2) saņemt licenci un veikt detektīvdarbību nav tiesīgs individuālais komersants,</w:t>
            </w:r>
            <w:r w:rsidR="00363B37" w:rsidRPr="00B12ECF">
              <w:rPr>
                <w:sz w:val="28"/>
                <w:szCs w:val="28"/>
              </w:rPr>
              <w:t xml:space="preserve"> </w:t>
            </w:r>
            <w:r w:rsidR="00F202C4" w:rsidRPr="00B12ECF">
              <w:rPr>
                <w:sz w:val="28"/>
                <w:szCs w:val="28"/>
              </w:rPr>
              <w:t xml:space="preserve">personālsabiedrība vai kapitālsabiedrība, ja uz tās vadītāju attiecas šajā likumā minētie ierobežojumi, (3) individuālajam </w:t>
            </w:r>
            <w:r w:rsidR="00F202C4" w:rsidRPr="00B12ECF">
              <w:rPr>
                <w:sz w:val="28"/>
                <w:szCs w:val="28"/>
              </w:rPr>
              <w:lastRenderedPageBreak/>
              <w:t>komersantam, personālsabiedrībai vai kapitālsabiedrībai, kurai anulēta licence, aizliegts atkārtoti izsniegt licenci, kamēr nav pagājis gads pēc tās anulēšanas.</w:t>
            </w:r>
            <w:r w:rsidR="00E512C7" w:rsidRPr="00B12ECF">
              <w:rPr>
                <w:sz w:val="28"/>
                <w:szCs w:val="28"/>
              </w:rPr>
              <w:t xml:space="preserve"> Tādējādi </w:t>
            </w:r>
            <w:r w:rsidR="00AA0A41" w:rsidRPr="00B12ECF">
              <w:rPr>
                <w:sz w:val="28"/>
                <w:szCs w:val="28"/>
              </w:rPr>
              <w:t>jaunā Detektīvdarbības likuma 4.panta</w:t>
            </w:r>
            <w:r w:rsidR="008F10A4" w:rsidRPr="00B12ECF">
              <w:rPr>
                <w:sz w:val="28"/>
                <w:szCs w:val="28"/>
              </w:rPr>
              <w:t xml:space="preserve"> pirmās daļas</w:t>
            </w:r>
            <w:r w:rsidR="00D71171" w:rsidRPr="00B12ECF">
              <w:rPr>
                <w:sz w:val="28"/>
                <w:szCs w:val="28"/>
              </w:rPr>
              <w:t xml:space="preserve"> redakcija precizē </w:t>
            </w:r>
            <w:r w:rsidR="00DC2155" w:rsidRPr="00B12ECF">
              <w:rPr>
                <w:sz w:val="28"/>
                <w:szCs w:val="28"/>
              </w:rPr>
              <w:t xml:space="preserve">arī </w:t>
            </w:r>
            <w:r w:rsidR="00E512C7" w:rsidRPr="00B12ECF">
              <w:rPr>
                <w:sz w:val="28"/>
                <w:szCs w:val="28"/>
              </w:rPr>
              <w:t>Detektīvdarbības likuma 4.pan</w:t>
            </w:r>
            <w:r w:rsidR="004A2BA4" w:rsidRPr="00B12ECF">
              <w:rPr>
                <w:sz w:val="28"/>
                <w:szCs w:val="28"/>
              </w:rPr>
              <w:t xml:space="preserve">tā </w:t>
            </w:r>
            <w:r w:rsidR="00AA0A41" w:rsidRPr="00B12ECF">
              <w:rPr>
                <w:sz w:val="28"/>
                <w:szCs w:val="28"/>
              </w:rPr>
              <w:t xml:space="preserve">pašreiz </w:t>
            </w:r>
            <w:r w:rsidR="00E512C7" w:rsidRPr="00B12ECF">
              <w:rPr>
                <w:sz w:val="28"/>
                <w:szCs w:val="28"/>
              </w:rPr>
              <w:t>minēto terminu „</w:t>
            </w:r>
            <w:r w:rsidR="008A6C5B" w:rsidRPr="00B12ECF">
              <w:rPr>
                <w:sz w:val="28"/>
                <w:szCs w:val="28"/>
              </w:rPr>
              <w:t xml:space="preserve">individuālais komersants, personālsabiedrība un kapitālsabiedrība, kurā </w:t>
            </w:r>
            <w:r w:rsidR="00E512C7" w:rsidRPr="005F2AB6">
              <w:rPr>
                <w:sz w:val="28"/>
                <w:szCs w:val="28"/>
              </w:rPr>
              <w:t>tās vadītājs un ikviena persona, kas ieņ</w:t>
            </w:r>
            <w:r w:rsidR="008A6C5B" w:rsidRPr="005F2AB6">
              <w:rPr>
                <w:sz w:val="28"/>
                <w:szCs w:val="28"/>
              </w:rPr>
              <w:t>em amatu pārvaldes institūcijās</w:t>
            </w:r>
            <w:r w:rsidR="00E512C7" w:rsidRPr="005F2AB6">
              <w:rPr>
                <w:sz w:val="28"/>
                <w:szCs w:val="28"/>
              </w:rPr>
              <w:t>”</w:t>
            </w:r>
            <w:r w:rsidR="00D71171" w:rsidRPr="005F2AB6">
              <w:rPr>
                <w:sz w:val="28"/>
                <w:szCs w:val="28"/>
              </w:rPr>
              <w:t>, aizstājot to</w:t>
            </w:r>
            <w:r w:rsidR="008A6C5B" w:rsidRPr="005F2AB6">
              <w:rPr>
                <w:sz w:val="28"/>
                <w:szCs w:val="28"/>
              </w:rPr>
              <w:t xml:space="preserve"> ar terminu „individuālais komersants, personālsabiedrība vai kapitālsabiedrība, kurā attiecīgi individuālais komersants vai ikviens personālsabiedrību pārstāvēttiesīgais biedrs, vai kapitālsabiedrības valdes loceklis”.</w:t>
            </w:r>
          </w:p>
          <w:p w:rsidR="00A93BA1" w:rsidRPr="005F2AB6" w:rsidRDefault="00A93BA1" w:rsidP="0025656A">
            <w:pPr>
              <w:pStyle w:val="naisf"/>
              <w:tabs>
                <w:tab w:val="left" w:pos="371"/>
                <w:tab w:val="left" w:pos="796"/>
              </w:tabs>
              <w:spacing w:before="0" w:after="0"/>
              <w:ind w:left="87" w:firstLine="426"/>
              <w:rPr>
                <w:sz w:val="28"/>
                <w:szCs w:val="28"/>
              </w:rPr>
            </w:pPr>
            <w:r w:rsidRPr="00B12ECF">
              <w:rPr>
                <w:sz w:val="28"/>
                <w:szCs w:val="28"/>
              </w:rPr>
              <w:t xml:space="preserve">Likuma </w:t>
            </w:r>
            <w:r w:rsidR="00ED3233" w:rsidRPr="00B12ECF">
              <w:rPr>
                <w:sz w:val="28"/>
                <w:szCs w:val="28"/>
              </w:rPr>
              <w:t>4</w:t>
            </w:r>
            <w:r w:rsidRPr="00B12ECF">
              <w:rPr>
                <w:sz w:val="28"/>
                <w:szCs w:val="28"/>
              </w:rPr>
              <w:t>.pants izsaka jaunā redakcijā Detektīvdarbības likuma</w:t>
            </w:r>
            <w:r w:rsidR="00363B37" w:rsidRPr="00B12ECF">
              <w:rPr>
                <w:sz w:val="28"/>
                <w:szCs w:val="28"/>
              </w:rPr>
              <w:t xml:space="preserve"> </w:t>
            </w:r>
            <w:r w:rsidR="00ED3233" w:rsidRPr="00B12ECF">
              <w:rPr>
                <w:sz w:val="28"/>
                <w:szCs w:val="28"/>
              </w:rPr>
              <w:t>6</w:t>
            </w:r>
            <w:r w:rsidRPr="00B12ECF">
              <w:rPr>
                <w:sz w:val="28"/>
                <w:szCs w:val="28"/>
              </w:rPr>
              <w:t>.pantu</w:t>
            </w:r>
            <w:r w:rsidR="00ED3233" w:rsidRPr="00B12ECF">
              <w:rPr>
                <w:sz w:val="28"/>
                <w:szCs w:val="28"/>
              </w:rPr>
              <w:t>, paredzot, ka</w:t>
            </w:r>
            <w:r w:rsidR="00363B37" w:rsidRPr="00B12ECF">
              <w:rPr>
                <w:sz w:val="28"/>
                <w:szCs w:val="28"/>
              </w:rPr>
              <w:t xml:space="preserve"> </w:t>
            </w:r>
            <w:r w:rsidR="00ED3233" w:rsidRPr="00B12ECF">
              <w:rPr>
                <w:sz w:val="28"/>
                <w:szCs w:val="28"/>
              </w:rPr>
              <w:t xml:space="preserve">saņemt sertifikātu un veikt detektīvdarbību ir tiesīgs Eiropas Savienības dalībvalsts vai Eiropas Ekonomikas zonas valsts pilsonis vai Latvijas nepilsonis, kuram ir </w:t>
            </w:r>
            <w:r w:rsidR="00ED3233" w:rsidRPr="005F2AB6">
              <w:rPr>
                <w:sz w:val="28"/>
                <w:szCs w:val="28"/>
              </w:rPr>
              <w:t>augstākā izglītība tiesību zinātnēs vai kuram ir ne mazāk kā piecu gadu darba pieredze tiesībaizsardzības iestādēs</w:t>
            </w:r>
            <w:r w:rsidR="00ED3233" w:rsidRPr="00B12ECF">
              <w:rPr>
                <w:sz w:val="28"/>
                <w:szCs w:val="28"/>
              </w:rPr>
              <w:t xml:space="preserve"> (tiesa, prokuratūra, policija, izmeklēšanas iestādes, valsts drošības iestādes).</w:t>
            </w:r>
            <w:r w:rsidR="004A2BA4" w:rsidRPr="00B12ECF">
              <w:rPr>
                <w:sz w:val="28"/>
                <w:szCs w:val="28"/>
              </w:rPr>
              <w:t xml:space="preserve"> Līdz ar to Detektīvdarbības likuma </w:t>
            </w:r>
            <w:r w:rsidR="00974645" w:rsidRPr="00B12ECF">
              <w:rPr>
                <w:sz w:val="28"/>
                <w:szCs w:val="28"/>
              </w:rPr>
              <w:t xml:space="preserve">jaunā </w:t>
            </w:r>
            <w:r w:rsidR="004A2BA4" w:rsidRPr="00B12ECF">
              <w:rPr>
                <w:sz w:val="28"/>
                <w:szCs w:val="28"/>
              </w:rPr>
              <w:t>6.panta pirmās daļas redakcija precizē</w:t>
            </w:r>
            <w:r w:rsidR="00BD3020" w:rsidRPr="00B12ECF">
              <w:rPr>
                <w:sz w:val="28"/>
                <w:szCs w:val="28"/>
              </w:rPr>
              <w:t xml:space="preserve"> Detektīvdarbības likuma 6.pantā pašreiz minēto terminu </w:t>
            </w:r>
            <w:r w:rsidR="00BD3020" w:rsidRPr="005F2AB6">
              <w:rPr>
                <w:sz w:val="28"/>
                <w:szCs w:val="28"/>
              </w:rPr>
              <w:t>„augstākā juridiskā izglītība” un „praktiskā juridiskā darba pieredze tiesībaizsardzības iestādēs”, aizstājot tos attiecīgi ar terminu „augstākā izglītība tiesību zinātnēs” un „darba pieredze tiesībaizsardzības iestādēs”.</w:t>
            </w:r>
          </w:p>
          <w:p w:rsidR="009D3A42" w:rsidRPr="00B12ECF" w:rsidRDefault="006D3C49" w:rsidP="0025656A">
            <w:pPr>
              <w:pStyle w:val="naisf"/>
              <w:tabs>
                <w:tab w:val="left" w:pos="371"/>
                <w:tab w:val="left" w:pos="796"/>
              </w:tabs>
              <w:spacing w:before="0" w:after="0"/>
              <w:ind w:left="87" w:firstLine="426"/>
              <w:rPr>
                <w:sz w:val="28"/>
                <w:szCs w:val="28"/>
              </w:rPr>
            </w:pPr>
            <w:r>
              <w:rPr>
                <w:sz w:val="28"/>
                <w:szCs w:val="28"/>
              </w:rPr>
              <w:t>Līdz ar to</w:t>
            </w:r>
            <w:r w:rsidR="009D3A42" w:rsidRPr="00B12ECF">
              <w:rPr>
                <w:sz w:val="28"/>
                <w:szCs w:val="28"/>
              </w:rPr>
              <w:t xml:space="preserve"> nepieciešams </w:t>
            </w:r>
            <w:r w:rsidR="001170F1" w:rsidRPr="00B12ECF">
              <w:rPr>
                <w:sz w:val="28"/>
                <w:szCs w:val="28"/>
              </w:rPr>
              <w:t xml:space="preserve">precizēt pašreiz spēkā esošajos </w:t>
            </w:r>
            <w:r w:rsidR="00221879" w:rsidRPr="00B12ECF">
              <w:rPr>
                <w:sz w:val="28"/>
                <w:szCs w:val="28"/>
              </w:rPr>
              <w:t xml:space="preserve">Noteikumos </w:t>
            </w:r>
            <w:r w:rsidR="001170F1" w:rsidRPr="00B12ECF">
              <w:rPr>
                <w:sz w:val="28"/>
                <w:szCs w:val="28"/>
              </w:rPr>
              <w:t>ietvertās tiesību normas</w:t>
            </w:r>
            <w:r w:rsidR="00C15450" w:rsidRPr="00B12ECF">
              <w:rPr>
                <w:sz w:val="28"/>
                <w:szCs w:val="28"/>
              </w:rPr>
              <w:t>, kuras regulē  licences un sertifikāta detektīvdarbības veikšanai darbības apturēšanas kārtību</w:t>
            </w:r>
            <w:r w:rsidR="00DC2D09" w:rsidRPr="00B12ECF">
              <w:rPr>
                <w:sz w:val="28"/>
                <w:szCs w:val="28"/>
              </w:rPr>
              <w:t xml:space="preserve"> un juridisko terminoloģiju.</w:t>
            </w:r>
          </w:p>
          <w:p w:rsidR="00373593" w:rsidRPr="00B12ECF" w:rsidRDefault="00DC2D09" w:rsidP="00373593">
            <w:pPr>
              <w:pStyle w:val="naisf"/>
              <w:tabs>
                <w:tab w:val="left" w:pos="371"/>
                <w:tab w:val="left" w:pos="796"/>
              </w:tabs>
              <w:spacing w:before="0" w:after="0"/>
              <w:ind w:left="87" w:firstLine="426"/>
              <w:rPr>
                <w:bCs/>
                <w:sz w:val="28"/>
                <w:szCs w:val="28"/>
              </w:rPr>
            </w:pPr>
            <w:r w:rsidRPr="00B12ECF">
              <w:rPr>
                <w:sz w:val="28"/>
                <w:szCs w:val="28"/>
              </w:rPr>
              <w:t>2.</w:t>
            </w:r>
            <w:r w:rsidR="007C6F7A" w:rsidRPr="00B12ECF">
              <w:rPr>
                <w:sz w:val="28"/>
                <w:szCs w:val="28"/>
              </w:rPr>
              <w:t xml:space="preserve"> </w:t>
            </w:r>
            <w:r w:rsidR="005444B0" w:rsidRPr="00B12ECF">
              <w:rPr>
                <w:sz w:val="28"/>
                <w:szCs w:val="28"/>
              </w:rPr>
              <w:t>Atbilstoši Ministru kabineta 2012.gada 12.jūnija rīkojuma Nr.264 „Par Pasākumu plānu „klusēšanas – piekrišanas” principa ieviešanai un piemērošanai atbildīgo institūciju administratīvajā praksē” 4.</w:t>
            </w:r>
            <w:r w:rsidR="00974645">
              <w:rPr>
                <w:sz w:val="28"/>
                <w:szCs w:val="28"/>
              </w:rPr>
              <w:t>sadaļas</w:t>
            </w:r>
            <w:r w:rsidR="008507F7" w:rsidRPr="00B12ECF">
              <w:rPr>
                <w:sz w:val="28"/>
                <w:szCs w:val="28"/>
              </w:rPr>
              <w:t xml:space="preserve"> „Pasākumi, tiešie darbības rezultāti, atbildīgās institūcijas un nepieciešamais finansējums plānā noteiktā mērķa un rīcības virzienu sasniegšanai” tabulas 4.punktā noteiktajam</w:t>
            </w:r>
            <w:r w:rsidR="0016056E" w:rsidRPr="00B12ECF">
              <w:rPr>
                <w:sz w:val="28"/>
                <w:szCs w:val="28"/>
              </w:rPr>
              <w:t>, Iekšlietu ministrijai tika dots uzdevums izstrādāt un iesniegt noteiktā kārtībā Ministru kabinetā grozījumus Ministru Kabineta 2010.gada 10.augusta noteikumos Nr.742 „Detektīvdarbības licencēšanas un sertifikācijas noteikumi”</w:t>
            </w:r>
            <w:r w:rsidR="006A6673" w:rsidRPr="00B12ECF">
              <w:rPr>
                <w:sz w:val="28"/>
                <w:szCs w:val="28"/>
              </w:rPr>
              <w:t>, ieviešot „klusēšanas –</w:t>
            </w:r>
            <w:r w:rsidR="004A26BD" w:rsidRPr="00B12ECF">
              <w:rPr>
                <w:sz w:val="28"/>
                <w:szCs w:val="28"/>
              </w:rPr>
              <w:t xml:space="preserve"> </w:t>
            </w:r>
            <w:r w:rsidR="006A6673" w:rsidRPr="00B12ECF">
              <w:rPr>
                <w:sz w:val="28"/>
                <w:szCs w:val="28"/>
              </w:rPr>
              <w:t xml:space="preserve">piekrišanas” principu pakalpojuma darbībai </w:t>
            </w:r>
            <w:r w:rsidR="006A6673" w:rsidRPr="00B12ECF">
              <w:rPr>
                <w:b/>
                <w:sz w:val="28"/>
                <w:szCs w:val="28"/>
              </w:rPr>
              <w:t>-</w:t>
            </w:r>
            <w:r w:rsidR="006A6673" w:rsidRPr="00B12ECF">
              <w:rPr>
                <w:sz w:val="28"/>
                <w:szCs w:val="28"/>
              </w:rPr>
              <w:t xml:space="preserve"> </w:t>
            </w:r>
            <w:r w:rsidR="006A6673" w:rsidRPr="00B12ECF">
              <w:rPr>
                <w:bCs/>
                <w:sz w:val="28"/>
                <w:szCs w:val="28"/>
              </w:rPr>
              <w:t>detektīvdarbības veikšana.</w:t>
            </w:r>
          </w:p>
          <w:p w:rsidR="00D120D4" w:rsidRPr="00B12ECF" w:rsidRDefault="00373593" w:rsidP="00D120D4">
            <w:pPr>
              <w:pStyle w:val="naisf"/>
              <w:tabs>
                <w:tab w:val="left" w:pos="371"/>
                <w:tab w:val="left" w:pos="796"/>
              </w:tabs>
              <w:spacing w:before="0" w:after="0"/>
              <w:ind w:left="87" w:firstLine="426"/>
              <w:rPr>
                <w:sz w:val="28"/>
                <w:szCs w:val="28"/>
              </w:rPr>
            </w:pPr>
            <w:r w:rsidRPr="00B12ECF">
              <w:rPr>
                <w:sz w:val="28"/>
                <w:szCs w:val="28"/>
              </w:rPr>
              <w:lastRenderedPageBreak/>
              <w:t xml:space="preserve">2012.gada 15.martā tika izsludināts likums „Grozījumi </w:t>
            </w:r>
            <w:hyperlink r:id="rId9" w:tgtFrame="_blank" w:history="1">
              <w:r w:rsidRPr="00B12ECF">
                <w:rPr>
                  <w:rStyle w:val="Hyperlink"/>
                  <w:color w:val="auto"/>
                  <w:sz w:val="28"/>
                  <w:szCs w:val="28"/>
                </w:rPr>
                <w:t>Brīvas pakalpojumu sniegšanas likumā</w:t>
              </w:r>
            </w:hyperlink>
            <w:r w:rsidRPr="00B12ECF">
              <w:rPr>
                <w:sz w:val="28"/>
                <w:szCs w:val="28"/>
              </w:rPr>
              <w:t xml:space="preserve">”, kas stājās spēkā 2012.gada 18.aprīlī. </w:t>
            </w:r>
          </w:p>
          <w:p w:rsidR="00395308" w:rsidRPr="00B12ECF" w:rsidRDefault="00D120D4" w:rsidP="00D120D4">
            <w:pPr>
              <w:pStyle w:val="naisf"/>
              <w:tabs>
                <w:tab w:val="left" w:pos="371"/>
                <w:tab w:val="left" w:pos="796"/>
              </w:tabs>
              <w:spacing w:before="0" w:after="0"/>
              <w:ind w:left="87" w:firstLine="426"/>
              <w:rPr>
                <w:sz w:val="28"/>
                <w:szCs w:val="28"/>
              </w:rPr>
            </w:pPr>
            <w:r w:rsidRPr="00B12ECF">
              <w:rPr>
                <w:sz w:val="28"/>
                <w:szCs w:val="28"/>
              </w:rPr>
              <w:t>Ar minētajiem grozījumiem, papildinot</w:t>
            </w:r>
            <w:r w:rsidRPr="00B12ECF">
              <w:t xml:space="preserve"> </w:t>
            </w:r>
            <w:r w:rsidR="00373593" w:rsidRPr="00B12ECF">
              <w:rPr>
                <w:sz w:val="28"/>
                <w:szCs w:val="28"/>
              </w:rPr>
              <w:t>Brīvas pakalpojumu sniegšanas likuma 14.pant</w:t>
            </w:r>
            <w:r w:rsidRPr="00B12ECF">
              <w:rPr>
                <w:sz w:val="28"/>
                <w:szCs w:val="28"/>
              </w:rPr>
              <w:t xml:space="preserve">u ar </w:t>
            </w:r>
            <w:r w:rsidR="00901D79" w:rsidRPr="00B12ECF">
              <w:rPr>
                <w:sz w:val="28"/>
                <w:szCs w:val="28"/>
              </w:rPr>
              <w:t>sest</w:t>
            </w:r>
            <w:r w:rsidRPr="00B12ECF">
              <w:rPr>
                <w:sz w:val="28"/>
                <w:szCs w:val="28"/>
              </w:rPr>
              <w:t>o</w:t>
            </w:r>
            <w:r w:rsidR="00901D79" w:rsidRPr="00B12ECF">
              <w:rPr>
                <w:sz w:val="28"/>
                <w:szCs w:val="28"/>
              </w:rPr>
              <w:t xml:space="preserve"> daļ</w:t>
            </w:r>
            <w:r w:rsidRPr="00B12ECF">
              <w:rPr>
                <w:sz w:val="28"/>
                <w:szCs w:val="28"/>
              </w:rPr>
              <w:t>u</w:t>
            </w:r>
            <w:r w:rsidR="00901D79" w:rsidRPr="00B12ECF">
              <w:rPr>
                <w:sz w:val="28"/>
                <w:szCs w:val="28"/>
              </w:rPr>
              <w:t xml:space="preserve"> </w:t>
            </w:r>
            <w:r w:rsidRPr="00B12ECF">
              <w:rPr>
                <w:sz w:val="28"/>
                <w:szCs w:val="28"/>
              </w:rPr>
              <w:t>(</w:t>
            </w:r>
            <w:r w:rsidR="00901D79" w:rsidRPr="00B12ECF">
              <w:rPr>
                <w:sz w:val="28"/>
                <w:szCs w:val="28"/>
              </w:rPr>
              <w:t>par atļaujas izsniegšanu atbildīgā iestāde ir tiesīga piemērot noklusējumu, ja tā piemērošana nav pretrunā ar sabiedrības interesēm un ir noteikta konkrēto pakalpojumu vai pakalpojumu jomu reglamentējošā normatīvajā aktā. Uzskatāms, ka atļauja ir izsniegta ar noklusējumu, ja normatīvajā aktā noteiktajā termiņā atbildīgā iestāde nepieņem un nepaziņo savu lēmumu par atļaujas piešķiršanu vai atteikumu to piešķirt</w:t>
            </w:r>
            <w:r w:rsidRPr="00B12ECF">
              <w:rPr>
                <w:sz w:val="28"/>
                <w:szCs w:val="28"/>
              </w:rPr>
              <w:t>) tika ieviests „</w:t>
            </w:r>
            <w:r w:rsidRPr="00B12ECF">
              <w:rPr>
                <w:iCs/>
                <w:sz w:val="28"/>
                <w:szCs w:val="28"/>
              </w:rPr>
              <w:t>klusēšanas – piekrišanas</w:t>
            </w:r>
            <w:r w:rsidRPr="00B12ECF">
              <w:rPr>
                <w:sz w:val="28"/>
                <w:szCs w:val="28"/>
              </w:rPr>
              <w:t xml:space="preserve">” </w:t>
            </w:r>
            <w:r w:rsidRPr="00B12ECF">
              <w:rPr>
                <w:iCs/>
                <w:sz w:val="28"/>
                <w:szCs w:val="28"/>
              </w:rPr>
              <w:t>(„tacit approval”)</w:t>
            </w:r>
            <w:r w:rsidRPr="00B12ECF">
              <w:rPr>
                <w:sz w:val="28"/>
                <w:szCs w:val="28"/>
              </w:rPr>
              <w:t xml:space="preserve"> princips, ko paredz Eiropas Parlamenta un Padomes 2006.gada 12.decembra Direktīvas 2006/123/EK </w:t>
            </w:r>
            <w:r w:rsidRPr="00B12ECF">
              <w:rPr>
                <w:i/>
                <w:iCs/>
                <w:sz w:val="28"/>
                <w:szCs w:val="28"/>
              </w:rPr>
              <w:t>par pakalpojumiem iekšējā tirgū</w:t>
            </w:r>
            <w:r w:rsidRPr="00B12ECF">
              <w:rPr>
                <w:sz w:val="28"/>
                <w:szCs w:val="28"/>
              </w:rPr>
              <w:t xml:space="preserve"> </w:t>
            </w:r>
            <w:r w:rsidR="00FA2076" w:rsidRPr="00B12ECF">
              <w:rPr>
                <w:sz w:val="28"/>
                <w:szCs w:val="28"/>
              </w:rPr>
              <w:t xml:space="preserve">(turpmāk – </w:t>
            </w:r>
            <w:r w:rsidR="000470E2" w:rsidRPr="00B12ECF">
              <w:rPr>
                <w:sz w:val="28"/>
                <w:szCs w:val="28"/>
              </w:rPr>
              <w:t>Pakalpojuma</w:t>
            </w:r>
            <w:r w:rsidR="00FA2076" w:rsidRPr="00B12ECF">
              <w:rPr>
                <w:sz w:val="28"/>
                <w:szCs w:val="28"/>
              </w:rPr>
              <w:t xml:space="preserve"> direktīva) 13</w:t>
            </w:r>
            <w:r w:rsidRPr="00B12ECF">
              <w:rPr>
                <w:sz w:val="28"/>
                <w:szCs w:val="28"/>
              </w:rPr>
              <w:t>.panta 4.punkts.</w:t>
            </w:r>
          </w:p>
          <w:p w:rsidR="009A06CA" w:rsidRDefault="00755E1F" w:rsidP="009A06CA">
            <w:pPr>
              <w:pStyle w:val="naisf"/>
              <w:tabs>
                <w:tab w:val="left" w:pos="371"/>
                <w:tab w:val="left" w:pos="796"/>
              </w:tabs>
              <w:spacing w:before="0" w:after="0"/>
              <w:ind w:left="87" w:firstLine="426"/>
              <w:rPr>
                <w:sz w:val="28"/>
                <w:szCs w:val="28"/>
              </w:rPr>
            </w:pPr>
            <w:r w:rsidRPr="00B12ECF">
              <w:rPr>
                <w:sz w:val="28"/>
                <w:szCs w:val="28"/>
              </w:rPr>
              <w:t>Pašreiz spēkā esošie noteikumi nosaka prasības lic</w:t>
            </w:r>
            <w:r w:rsidR="00D653FF" w:rsidRPr="00B12ECF">
              <w:rPr>
                <w:sz w:val="28"/>
                <w:szCs w:val="28"/>
              </w:rPr>
              <w:t>ences un sertifikāta saņemšanai, bet ne</w:t>
            </w:r>
            <w:r w:rsidR="00E000BA" w:rsidRPr="00B12ECF">
              <w:rPr>
                <w:sz w:val="28"/>
                <w:szCs w:val="28"/>
              </w:rPr>
              <w:t>nosaka</w:t>
            </w:r>
            <w:r w:rsidR="00D653FF" w:rsidRPr="00B12ECF">
              <w:rPr>
                <w:sz w:val="28"/>
                <w:szCs w:val="28"/>
              </w:rPr>
              <w:t xml:space="preserve"> </w:t>
            </w:r>
            <w:r w:rsidR="00E000BA" w:rsidRPr="00B12ECF">
              <w:rPr>
                <w:sz w:val="28"/>
                <w:szCs w:val="28"/>
              </w:rPr>
              <w:t>„</w:t>
            </w:r>
            <w:r w:rsidR="00D653FF" w:rsidRPr="00B12ECF">
              <w:rPr>
                <w:iCs/>
                <w:sz w:val="28"/>
                <w:szCs w:val="28"/>
              </w:rPr>
              <w:t>klusēšanas</w:t>
            </w:r>
            <w:r w:rsidR="000A7DDB" w:rsidRPr="00B12ECF">
              <w:rPr>
                <w:iCs/>
                <w:sz w:val="28"/>
                <w:szCs w:val="28"/>
              </w:rPr>
              <w:t xml:space="preserve"> -</w:t>
            </w:r>
            <w:r w:rsidR="00E000BA" w:rsidRPr="00B12ECF">
              <w:rPr>
                <w:iCs/>
                <w:sz w:val="28"/>
                <w:szCs w:val="28"/>
              </w:rPr>
              <w:t xml:space="preserve"> </w:t>
            </w:r>
            <w:r w:rsidR="00D653FF" w:rsidRPr="00B12ECF">
              <w:rPr>
                <w:iCs/>
                <w:sz w:val="28"/>
                <w:szCs w:val="28"/>
              </w:rPr>
              <w:t>piekrišanas</w:t>
            </w:r>
            <w:r w:rsidR="00E000BA" w:rsidRPr="00B12ECF">
              <w:rPr>
                <w:sz w:val="28"/>
                <w:szCs w:val="28"/>
              </w:rPr>
              <w:t>”</w:t>
            </w:r>
            <w:r w:rsidR="00D653FF" w:rsidRPr="00B12ECF">
              <w:rPr>
                <w:sz w:val="28"/>
                <w:szCs w:val="28"/>
              </w:rPr>
              <w:t xml:space="preserve"> </w:t>
            </w:r>
            <w:r w:rsidR="00E000BA" w:rsidRPr="00B12ECF">
              <w:rPr>
                <w:iCs/>
                <w:sz w:val="28"/>
                <w:szCs w:val="28"/>
              </w:rPr>
              <w:t>(„tacit approval”</w:t>
            </w:r>
            <w:r w:rsidR="00D653FF" w:rsidRPr="00B12ECF">
              <w:rPr>
                <w:iCs/>
                <w:sz w:val="28"/>
                <w:szCs w:val="28"/>
              </w:rPr>
              <w:t>)</w:t>
            </w:r>
            <w:r w:rsidR="00E000BA" w:rsidRPr="00B12ECF">
              <w:rPr>
                <w:sz w:val="28"/>
                <w:szCs w:val="28"/>
              </w:rPr>
              <w:t xml:space="preserve"> principu</w:t>
            </w:r>
            <w:r w:rsidR="00D120D4" w:rsidRPr="00B12ECF">
              <w:rPr>
                <w:sz w:val="28"/>
                <w:szCs w:val="28"/>
              </w:rPr>
              <w:t>.</w:t>
            </w:r>
          </w:p>
          <w:p w:rsidR="002051EA" w:rsidRDefault="00E7219C" w:rsidP="00E7219C">
            <w:pPr>
              <w:pStyle w:val="naisf"/>
              <w:tabs>
                <w:tab w:val="left" w:pos="371"/>
                <w:tab w:val="left" w:pos="796"/>
              </w:tabs>
              <w:spacing w:before="0" w:after="0"/>
              <w:ind w:left="87" w:firstLine="426"/>
              <w:rPr>
                <w:rFonts w:eastAsia="Calibri"/>
                <w:sz w:val="28"/>
                <w:szCs w:val="28"/>
                <w:lang w:eastAsia="en-US"/>
              </w:rPr>
            </w:pPr>
            <w:r w:rsidRPr="00E7219C">
              <w:rPr>
                <w:rFonts w:eastAsia="Calibri"/>
                <w:sz w:val="28"/>
                <w:szCs w:val="28"/>
                <w:lang w:eastAsia="en-US"/>
              </w:rPr>
              <w:t xml:space="preserve">Ņemot vērā </w:t>
            </w:r>
            <w:r w:rsidR="009A06CA" w:rsidRPr="009A06CA">
              <w:rPr>
                <w:rFonts w:eastAsia="Calibri"/>
                <w:sz w:val="28"/>
                <w:szCs w:val="28"/>
                <w:lang w:eastAsia="en-US"/>
              </w:rPr>
              <w:t xml:space="preserve">minēto, </w:t>
            </w:r>
            <w:r w:rsidRPr="00E7219C">
              <w:rPr>
                <w:sz w:val="28"/>
                <w:szCs w:val="28"/>
              </w:rPr>
              <w:t>nepieciešams papildināt spēkā esošos Noteikumus, ieviešot tajos</w:t>
            </w:r>
            <w:r w:rsidRPr="00E7219C">
              <w:rPr>
                <w:rFonts w:eastAsia="Calibri"/>
                <w:sz w:val="28"/>
                <w:szCs w:val="28"/>
                <w:lang w:eastAsia="en-US"/>
              </w:rPr>
              <w:t xml:space="preserve"> </w:t>
            </w:r>
            <w:r w:rsidR="00207A31">
              <w:rPr>
                <w:rFonts w:eastAsia="Calibri"/>
                <w:sz w:val="28"/>
                <w:szCs w:val="28"/>
                <w:lang w:eastAsia="en-US"/>
              </w:rPr>
              <w:t xml:space="preserve">„klusēšanas - </w:t>
            </w:r>
            <w:r w:rsidR="009A06CA" w:rsidRPr="009A06CA">
              <w:rPr>
                <w:rFonts w:eastAsia="Calibri"/>
                <w:sz w:val="28"/>
                <w:szCs w:val="28"/>
                <w:lang w:eastAsia="en-US"/>
              </w:rPr>
              <w:t>piekrišanas” princip</w:t>
            </w:r>
            <w:r w:rsidRPr="00E7219C">
              <w:rPr>
                <w:rFonts w:eastAsia="Calibri"/>
                <w:sz w:val="28"/>
                <w:szCs w:val="28"/>
                <w:lang w:eastAsia="en-US"/>
              </w:rPr>
              <w:t>u</w:t>
            </w:r>
            <w:r w:rsidR="009A06CA" w:rsidRPr="009A06CA">
              <w:rPr>
                <w:rFonts w:eastAsia="Calibri"/>
                <w:sz w:val="28"/>
                <w:szCs w:val="28"/>
                <w:lang w:eastAsia="en-US"/>
              </w:rPr>
              <w:t xml:space="preserve"> attiecībā uz detektīvdarbības </w:t>
            </w:r>
            <w:r w:rsidRPr="00E7219C">
              <w:rPr>
                <w:rFonts w:eastAsia="Calibri"/>
                <w:sz w:val="28"/>
                <w:szCs w:val="28"/>
                <w:lang w:eastAsia="en-US"/>
              </w:rPr>
              <w:t>licences</w:t>
            </w:r>
            <w:r w:rsidR="004B3D82">
              <w:rPr>
                <w:rFonts w:eastAsia="Calibri"/>
                <w:sz w:val="28"/>
                <w:szCs w:val="28"/>
                <w:lang w:eastAsia="en-US"/>
              </w:rPr>
              <w:t xml:space="preserve"> izsniegšanu.</w:t>
            </w:r>
          </w:p>
          <w:p w:rsidR="004B3D82" w:rsidRPr="004B3D82" w:rsidRDefault="004B3D82" w:rsidP="004B3D82">
            <w:pPr>
              <w:pStyle w:val="naisf"/>
              <w:tabs>
                <w:tab w:val="left" w:pos="371"/>
                <w:tab w:val="left" w:pos="796"/>
              </w:tabs>
              <w:spacing w:before="0" w:after="0"/>
              <w:ind w:left="87" w:firstLine="426"/>
              <w:rPr>
                <w:rFonts w:eastAsia="Calibri"/>
                <w:sz w:val="28"/>
                <w:szCs w:val="28"/>
                <w:u w:val="single"/>
                <w:lang w:eastAsia="en-US"/>
              </w:rPr>
            </w:pPr>
            <w:r w:rsidRPr="004B3D82">
              <w:rPr>
                <w:sz w:val="28"/>
                <w:szCs w:val="28"/>
                <w:u w:val="single"/>
              </w:rPr>
              <w:t xml:space="preserve">Papildus, ievērojot, ka Ministru kabineta 2012.gada 27.jūnija rīkojuma Nr.282 „Par ”Koncepciju par normatīvo aktu sakārtošanu saistībā ar eiro ieviešanu Latvijā”” 1.1.2.apakšpunkts nosaka, ka normatīvos aktus, kuros minētas latos izteiktas naudas summas, ir jākonvertē uz </w:t>
            </w:r>
            <w:proofErr w:type="spellStart"/>
            <w:r w:rsidRPr="004B3D82">
              <w:rPr>
                <w:i/>
                <w:iCs/>
                <w:sz w:val="28"/>
                <w:szCs w:val="28"/>
                <w:u w:val="single"/>
              </w:rPr>
              <w:t>euro</w:t>
            </w:r>
            <w:proofErr w:type="spellEnd"/>
            <w:r w:rsidRPr="004B3D82">
              <w:rPr>
                <w:sz w:val="28"/>
                <w:szCs w:val="28"/>
                <w:u w:val="single"/>
              </w:rPr>
              <w:t xml:space="preserve"> līdz 2014.gada 1.janvārim, nepieciešams Noteikumos ietverto valsts nodevas apmēru noteikt </w:t>
            </w:r>
            <w:proofErr w:type="spellStart"/>
            <w:r w:rsidRPr="004B3D82">
              <w:rPr>
                <w:i/>
                <w:sz w:val="28"/>
                <w:szCs w:val="28"/>
                <w:u w:val="single"/>
              </w:rPr>
              <w:t>euro</w:t>
            </w:r>
            <w:proofErr w:type="spellEnd"/>
            <w:r w:rsidRPr="004B3D82">
              <w:rPr>
                <w:sz w:val="28"/>
                <w:szCs w:val="28"/>
                <w:u w:val="single"/>
              </w:rPr>
              <w:t>.</w:t>
            </w:r>
          </w:p>
        </w:tc>
      </w:tr>
      <w:tr w:rsidR="002051EA" w:rsidRPr="00B12ECF" w:rsidTr="0060408F">
        <w:trPr>
          <w:tblCellSpacing w:w="15" w:type="dxa"/>
        </w:trPr>
        <w:tc>
          <w:tcPr>
            <w:tcW w:w="158"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rsidP="009D3A42">
            <w:pPr>
              <w:spacing w:before="100" w:beforeAutospacing="1" w:after="100" w:afterAutospacing="1"/>
              <w:jc w:val="both"/>
              <w:rPr>
                <w:color w:val="000000"/>
              </w:rPr>
            </w:pPr>
            <w:r w:rsidRPr="00B12ECF">
              <w:rPr>
                <w:color w:val="000000"/>
              </w:rPr>
              <w:lastRenderedPageBreak/>
              <w:t>3.</w:t>
            </w:r>
          </w:p>
        </w:tc>
        <w:tc>
          <w:tcPr>
            <w:tcW w:w="886"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jc w:val="both"/>
              <w:rPr>
                <w:color w:val="000000"/>
              </w:rPr>
            </w:pPr>
            <w:r w:rsidRPr="00B12ECF">
              <w:rPr>
                <w:color w:val="000000"/>
              </w:rPr>
              <w:t>Saistītie politikas ietekmes novērtējumi un pētījumi</w:t>
            </w:r>
          </w:p>
        </w:tc>
        <w:tc>
          <w:tcPr>
            <w:tcW w:w="3893"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rsidP="00911F8D">
            <w:pPr>
              <w:spacing w:before="100" w:beforeAutospacing="1" w:after="100" w:afterAutospacing="1"/>
              <w:ind w:firstLine="93"/>
              <w:jc w:val="both"/>
            </w:pPr>
            <w:r w:rsidRPr="00B12ECF">
              <w:t>Projekts šo jomu neskar.</w:t>
            </w:r>
          </w:p>
        </w:tc>
      </w:tr>
      <w:tr w:rsidR="002051EA" w:rsidRPr="00B12ECF" w:rsidTr="0060408F">
        <w:trPr>
          <w:tblCellSpacing w:w="15" w:type="dxa"/>
        </w:trPr>
        <w:tc>
          <w:tcPr>
            <w:tcW w:w="158"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jc w:val="both"/>
              <w:rPr>
                <w:color w:val="000000"/>
              </w:rPr>
            </w:pPr>
            <w:r w:rsidRPr="00B12ECF">
              <w:rPr>
                <w:color w:val="000000"/>
              </w:rPr>
              <w:t>4.</w:t>
            </w:r>
          </w:p>
        </w:tc>
        <w:tc>
          <w:tcPr>
            <w:tcW w:w="886"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jc w:val="both"/>
              <w:rPr>
                <w:color w:val="000000"/>
              </w:rPr>
            </w:pPr>
            <w:r w:rsidRPr="00B12ECF">
              <w:rPr>
                <w:color w:val="000000"/>
              </w:rPr>
              <w:t>Tiesiskā regulējuma mērķis un būtība</w:t>
            </w:r>
          </w:p>
        </w:tc>
        <w:tc>
          <w:tcPr>
            <w:tcW w:w="3893" w:type="pct"/>
            <w:tcBorders>
              <w:top w:val="outset" w:sz="6" w:space="0" w:color="000000"/>
              <w:left w:val="outset" w:sz="6" w:space="0" w:color="000000"/>
              <w:bottom w:val="outset" w:sz="6" w:space="0" w:color="000000"/>
              <w:right w:val="outset" w:sz="6" w:space="0" w:color="000000"/>
            </w:tcBorders>
            <w:hideMark/>
          </w:tcPr>
          <w:p w:rsidR="00B15E42" w:rsidRPr="00B12ECF" w:rsidRDefault="00B15E42" w:rsidP="00911F8D">
            <w:pPr>
              <w:pStyle w:val="naiskr"/>
              <w:shd w:val="clear" w:color="auto" w:fill="FFFFFF"/>
              <w:spacing w:before="0" w:beforeAutospacing="0" w:after="0" w:afterAutospacing="0"/>
              <w:ind w:right="81" w:firstLine="93"/>
              <w:jc w:val="both"/>
              <w:rPr>
                <w:sz w:val="28"/>
                <w:szCs w:val="28"/>
                <w:lang w:val="lv-LV"/>
              </w:rPr>
            </w:pPr>
            <w:r w:rsidRPr="00B12ECF">
              <w:rPr>
                <w:sz w:val="28"/>
                <w:szCs w:val="28"/>
                <w:lang w:val="lv-LV"/>
              </w:rPr>
              <w:t xml:space="preserve">Noteikumu projekts </w:t>
            </w:r>
            <w:r w:rsidR="00911F8D" w:rsidRPr="00B12ECF">
              <w:rPr>
                <w:sz w:val="28"/>
                <w:szCs w:val="28"/>
                <w:lang w:val="lv-LV"/>
              </w:rPr>
              <w:t>ir izstrādāts ar mērķi</w:t>
            </w:r>
            <w:r w:rsidR="00A709B3" w:rsidRPr="00B12ECF">
              <w:rPr>
                <w:sz w:val="28"/>
                <w:szCs w:val="28"/>
                <w:lang w:val="lv-LV"/>
              </w:rPr>
              <w:t xml:space="preserve">, lai </w:t>
            </w:r>
            <w:r w:rsidR="00911F8D" w:rsidRPr="00B12ECF">
              <w:rPr>
                <w:sz w:val="28"/>
                <w:szCs w:val="28"/>
                <w:lang w:val="lv-LV"/>
              </w:rPr>
              <w:t>:</w:t>
            </w:r>
          </w:p>
          <w:p w:rsidR="00911F8D" w:rsidRPr="00B12ECF" w:rsidRDefault="00911F8D" w:rsidP="00911F8D">
            <w:pPr>
              <w:pStyle w:val="naiskr"/>
              <w:numPr>
                <w:ilvl w:val="0"/>
                <w:numId w:val="4"/>
              </w:numPr>
              <w:shd w:val="clear" w:color="auto" w:fill="FFFFFF"/>
              <w:tabs>
                <w:tab w:val="left" w:pos="801"/>
              </w:tabs>
              <w:spacing w:before="0" w:beforeAutospacing="0" w:after="0" w:afterAutospacing="0"/>
              <w:ind w:left="93" w:right="81" w:firstLine="425"/>
              <w:jc w:val="both"/>
              <w:rPr>
                <w:sz w:val="28"/>
                <w:szCs w:val="28"/>
              </w:rPr>
            </w:pPr>
            <w:proofErr w:type="spellStart"/>
            <w:r w:rsidRPr="00B12ECF">
              <w:rPr>
                <w:sz w:val="28"/>
                <w:szCs w:val="28"/>
              </w:rPr>
              <w:t>noteikt</w:t>
            </w:r>
            <w:r w:rsidR="00A709B3" w:rsidRPr="00B12ECF">
              <w:rPr>
                <w:sz w:val="28"/>
                <w:szCs w:val="28"/>
              </w:rPr>
              <w:t>u</w:t>
            </w:r>
            <w:proofErr w:type="spellEnd"/>
            <w:r w:rsidRPr="00B12ECF">
              <w:rPr>
                <w:sz w:val="28"/>
                <w:szCs w:val="28"/>
              </w:rPr>
              <w:t xml:space="preserve"> </w:t>
            </w:r>
            <w:proofErr w:type="spellStart"/>
            <w:r w:rsidRPr="00B12ECF">
              <w:rPr>
                <w:sz w:val="28"/>
                <w:szCs w:val="28"/>
              </w:rPr>
              <w:t>licences</w:t>
            </w:r>
            <w:proofErr w:type="spellEnd"/>
            <w:r w:rsidRPr="00B12ECF">
              <w:rPr>
                <w:sz w:val="28"/>
                <w:szCs w:val="28"/>
              </w:rPr>
              <w:t xml:space="preserve"> un </w:t>
            </w:r>
            <w:proofErr w:type="spellStart"/>
            <w:r w:rsidRPr="00B12ECF">
              <w:rPr>
                <w:sz w:val="28"/>
                <w:szCs w:val="28"/>
              </w:rPr>
              <w:t>sertifikāta</w:t>
            </w:r>
            <w:proofErr w:type="spellEnd"/>
            <w:r w:rsidRPr="00B12ECF">
              <w:rPr>
                <w:sz w:val="28"/>
                <w:szCs w:val="28"/>
              </w:rPr>
              <w:t xml:space="preserve"> </w:t>
            </w:r>
            <w:proofErr w:type="spellStart"/>
            <w:r w:rsidRPr="00B12ECF">
              <w:rPr>
                <w:sz w:val="28"/>
                <w:szCs w:val="28"/>
              </w:rPr>
              <w:t>izsniegšanas</w:t>
            </w:r>
            <w:proofErr w:type="spellEnd"/>
            <w:r w:rsidRPr="00B12ECF">
              <w:rPr>
                <w:sz w:val="28"/>
                <w:szCs w:val="28"/>
              </w:rPr>
              <w:t xml:space="preserve">, </w:t>
            </w:r>
            <w:proofErr w:type="spellStart"/>
            <w:r w:rsidRPr="00B12ECF">
              <w:rPr>
                <w:sz w:val="28"/>
                <w:szCs w:val="28"/>
              </w:rPr>
              <w:t>sertifikāta</w:t>
            </w:r>
            <w:proofErr w:type="spellEnd"/>
            <w:r w:rsidRPr="00B12ECF">
              <w:rPr>
                <w:sz w:val="28"/>
                <w:szCs w:val="28"/>
              </w:rPr>
              <w:t xml:space="preserve"> </w:t>
            </w:r>
            <w:proofErr w:type="spellStart"/>
            <w:r w:rsidRPr="00B12ECF">
              <w:rPr>
                <w:sz w:val="28"/>
                <w:szCs w:val="28"/>
              </w:rPr>
              <w:t>darbības</w:t>
            </w:r>
            <w:proofErr w:type="spellEnd"/>
            <w:r w:rsidRPr="00B12ECF">
              <w:rPr>
                <w:sz w:val="28"/>
                <w:szCs w:val="28"/>
              </w:rPr>
              <w:t xml:space="preserve"> </w:t>
            </w:r>
            <w:proofErr w:type="spellStart"/>
            <w:r w:rsidRPr="00B12ECF">
              <w:rPr>
                <w:sz w:val="28"/>
                <w:szCs w:val="28"/>
              </w:rPr>
              <w:t>laika</w:t>
            </w:r>
            <w:proofErr w:type="spellEnd"/>
            <w:r w:rsidRPr="00B12ECF">
              <w:rPr>
                <w:sz w:val="28"/>
                <w:szCs w:val="28"/>
              </w:rPr>
              <w:t xml:space="preserve"> </w:t>
            </w:r>
            <w:proofErr w:type="spellStart"/>
            <w:r w:rsidRPr="00B12ECF">
              <w:rPr>
                <w:sz w:val="28"/>
                <w:szCs w:val="28"/>
              </w:rPr>
              <w:t>pagarināšanas</w:t>
            </w:r>
            <w:proofErr w:type="spellEnd"/>
            <w:r w:rsidRPr="00B12ECF">
              <w:rPr>
                <w:sz w:val="28"/>
                <w:szCs w:val="28"/>
              </w:rPr>
              <w:t xml:space="preserve">, </w:t>
            </w:r>
            <w:proofErr w:type="spellStart"/>
            <w:r w:rsidRPr="00B12ECF">
              <w:rPr>
                <w:sz w:val="28"/>
                <w:szCs w:val="28"/>
              </w:rPr>
              <w:t>licences</w:t>
            </w:r>
            <w:proofErr w:type="spellEnd"/>
            <w:r w:rsidRPr="00B12ECF">
              <w:rPr>
                <w:sz w:val="28"/>
                <w:szCs w:val="28"/>
              </w:rPr>
              <w:t xml:space="preserve"> un </w:t>
            </w:r>
            <w:proofErr w:type="spellStart"/>
            <w:r w:rsidRPr="00B12ECF">
              <w:rPr>
                <w:sz w:val="28"/>
                <w:szCs w:val="28"/>
              </w:rPr>
              <w:t>sertifikāta</w:t>
            </w:r>
            <w:proofErr w:type="spellEnd"/>
            <w:r w:rsidRPr="00B12ECF">
              <w:rPr>
                <w:sz w:val="28"/>
                <w:szCs w:val="28"/>
              </w:rPr>
              <w:t xml:space="preserve"> </w:t>
            </w:r>
            <w:proofErr w:type="spellStart"/>
            <w:r w:rsidRPr="00B12ECF">
              <w:rPr>
                <w:sz w:val="28"/>
                <w:szCs w:val="28"/>
              </w:rPr>
              <w:t>anulēšanas</w:t>
            </w:r>
            <w:proofErr w:type="spellEnd"/>
            <w:r w:rsidRPr="00B12ECF">
              <w:rPr>
                <w:sz w:val="28"/>
                <w:szCs w:val="28"/>
              </w:rPr>
              <w:t xml:space="preserve"> </w:t>
            </w:r>
            <w:proofErr w:type="spellStart"/>
            <w:r w:rsidRPr="00B12ECF">
              <w:rPr>
                <w:sz w:val="28"/>
                <w:szCs w:val="28"/>
              </w:rPr>
              <w:t>kārtību</w:t>
            </w:r>
            <w:proofErr w:type="spellEnd"/>
            <w:r w:rsidRPr="00B12ECF">
              <w:rPr>
                <w:sz w:val="28"/>
                <w:szCs w:val="28"/>
              </w:rPr>
              <w:t>;</w:t>
            </w:r>
          </w:p>
          <w:p w:rsidR="00EB7F23" w:rsidRPr="00EB7F23" w:rsidRDefault="00A709B3" w:rsidP="00EB7F23">
            <w:pPr>
              <w:pStyle w:val="naiskr"/>
              <w:numPr>
                <w:ilvl w:val="0"/>
                <w:numId w:val="4"/>
              </w:numPr>
              <w:shd w:val="clear" w:color="auto" w:fill="FFFFFF"/>
              <w:tabs>
                <w:tab w:val="left" w:pos="801"/>
              </w:tabs>
              <w:spacing w:before="0" w:beforeAutospacing="0" w:after="0" w:afterAutospacing="0"/>
              <w:ind w:left="93" w:right="81" w:firstLine="425"/>
              <w:jc w:val="both"/>
              <w:rPr>
                <w:sz w:val="28"/>
                <w:szCs w:val="28"/>
                <w:lang w:val="lv-LV"/>
              </w:rPr>
            </w:pPr>
            <w:r w:rsidRPr="00B12ECF">
              <w:rPr>
                <w:sz w:val="28"/>
                <w:szCs w:val="28"/>
                <w:lang w:val="lv-LV"/>
              </w:rPr>
              <w:t xml:space="preserve">noteiktu vienotu </w:t>
            </w:r>
            <w:proofErr w:type="spellStart"/>
            <w:r w:rsidRPr="00B12ECF">
              <w:rPr>
                <w:sz w:val="28"/>
                <w:szCs w:val="28"/>
              </w:rPr>
              <w:t>juridisko</w:t>
            </w:r>
            <w:proofErr w:type="spellEnd"/>
            <w:r w:rsidRPr="00B12ECF">
              <w:rPr>
                <w:sz w:val="28"/>
                <w:szCs w:val="28"/>
              </w:rPr>
              <w:t xml:space="preserve"> </w:t>
            </w:r>
            <w:proofErr w:type="spellStart"/>
            <w:r w:rsidRPr="00B12ECF">
              <w:rPr>
                <w:sz w:val="28"/>
                <w:szCs w:val="28"/>
              </w:rPr>
              <w:t>terminoloģiju</w:t>
            </w:r>
            <w:proofErr w:type="spellEnd"/>
            <w:r w:rsidRPr="00B12ECF">
              <w:rPr>
                <w:sz w:val="28"/>
                <w:szCs w:val="28"/>
              </w:rPr>
              <w:t xml:space="preserve"> </w:t>
            </w:r>
            <w:proofErr w:type="spellStart"/>
            <w:r w:rsidRPr="00B12ECF">
              <w:rPr>
                <w:sz w:val="28"/>
                <w:szCs w:val="28"/>
              </w:rPr>
              <w:t>ar</w:t>
            </w:r>
            <w:proofErr w:type="spellEnd"/>
            <w:r w:rsidRPr="00B12ECF">
              <w:rPr>
                <w:sz w:val="28"/>
                <w:szCs w:val="28"/>
              </w:rPr>
              <w:t xml:space="preserve"> </w:t>
            </w:r>
            <w:proofErr w:type="spellStart"/>
            <w:r w:rsidRPr="00B12ECF">
              <w:rPr>
                <w:sz w:val="28"/>
                <w:szCs w:val="28"/>
              </w:rPr>
              <w:t>Saeimas</w:t>
            </w:r>
            <w:proofErr w:type="spellEnd"/>
            <w:r w:rsidRPr="00B12ECF">
              <w:rPr>
                <w:sz w:val="28"/>
                <w:szCs w:val="28"/>
              </w:rPr>
              <w:t xml:space="preserve"> 2012.gada 14.jūnijā </w:t>
            </w:r>
            <w:proofErr w:type="spellStart"/>
            <w:r w:rsidRPr="00B12ECF">
              <w:rPr>
                <w:sz w:val="28"/>
                <w:szCs w:val="28"/>
              </w:rPr>
              <w:t>pieņemto</w:t>
            </w:r>
            <w:proofErr w:type="spellEnd"/>
            <w:r w:rsidRPr="00B12ECF">
              <w:rPr>
                <w:sz w:val="28"/>
                <w:szCs w:val="28"/>
              </w:rPr>
              <w:t xml:space="preserve"> </w:t>
            </w:r>
            <w:proofErr w:type="spellStart"/>
            <w:r w:rsidRPr="00B12ECF">
              <w:rPr>
                <w:sz w:val="28"/>
                <w:szCs w:val="28"/>
              </w:rPr>
              <w:t>likumu</w:t>
            </w:r>
            <w:proofErr w:type="spellEnd"/>
            <w:r w:rsidRPr="00B12ECF">
              <w:rPr>
                <w:sz w:val="28"/>
                <w:szCs w:val="28"/>
              </w:rPr>
              <w:t xml:space="preserve"> „</w:t>
            </w:r>
            <w:proofErr w:type="spellStart"/>
            <w:r w:rsidRPr="00B12ECF">
              <w:rPr>
                <w:sz w:val="28"/>
                <w:szCs w:val="28"/>
              </w:rPr>
              <w:t>Grozījumi</w:t>
            </w:r>
            <w:proofErr w:type="spellEnd"/>
            <w:r w:rsidRPr="00B12ECF">
              <w:rPr>
                <w:sz w:val="28"/>
                <w:szCs w:val="28"/>
              </w:rPr>
              <w:t xml:space="preserve"> </w:t>
            </w:r>
            <w:proofErr w:type="spellStart"/>
            <w:r w:rsidRPr="00B12ECF">
              <w:rPr>
                <w:sz w:val="28"/>
                <w:szCs w:val="28"/>
              </w:rPr>
              <w:t>Detektīvdarbības</w:t>
            </w:r>
            <w:proofErr w:type="spellEnd"/>
            <w:r w:rsidRPr="00B12ECF">
              <w:rPr>
                <w:sz w:val="28"/>
                <w:szCs w:val="28"/>
              </w:rPr>
              <w:t xml:space="preserve"> </w:t>
            </w:r>
            <w:proofErr w:type="spellStart"/>
            <w:r w:rsidRPr="00B12ECF">
              <w:rPr>
                <w:sz w:val="28"/>
                <w:szCs w:val="28"/>
              </w:rPr>
              <w:t>likumā</w:t>
            </w:r>
            <w:proofErr w:type="spellEnd"/>
            <w:r w:rsidRPr="00B12ECF">
              <w:rPr>
                <w:sz w:val="28"/>
                <w:szCs w:val="28"/>
              </w:rPr>
              <w:t xml:space="preserve">”, </w:t>
            </w:r>
            <w:proofErr w:type="spellStart"/>
            <w:r w:rsidRPr="00B12ECF">
              <w:rPr>
                <w:sz w:val="28"/>
                <w:szCs w:val="28"/>
              </w:rPr>
              <w:t>kurš</w:t>
            </w:r>
            <w:proofErr w:type="spellEnd"/>
            <w:r w:rsidRPr="00B12ECF">
              <w:rPr>
                <w:sz w:val="28"/>
                <w:szCs w:val="28"/>
              </w:rPr>
              <w:t xml:space="preserve"> </w:t>
            </w:r>
            <w:proofErr w:type="spellStart"/>
            <w:r w:rsidR="002A2F35">
              <w:rPr>
                <w:sz w:val="28"/>
                <w:szCs w:val="28"/>
              </w:rPr>
              <w:t>stāj</w:t>
            </w:r>
            <w:r w:rsidRPr="00B12ECF">
              <w:rPr>
                <w:sz w:val="28"/>
                <w:szCs w:val="28"/>
              </w:rPr>
              <w:t>ies</w:t>
            </w:r>
            <w:proofErr w:type="spellEnd"/>
            <w:r w:rsidRPr="00B12ECF">
              <w:rPr>
                <w:sz w:val="28"/>
                <w:szCs w:val="28"/>
              </w:rPr>
              <w:t xml:space="preserve"> </w:t>
            </w:r>
            <w:proofErr w:type="spellStart"/>
            <w:r w:rsidRPr="00B12ECF">
              <w:rPr>
                <w:sz w:val="28"/>
                <w:szCs w:val="28"/>
              </w:rPr>
              <w:t>spēkā</w:t>
            </w:r>
            <w:proofErr w:type="spellEnd"/>
            <w:r w:rsidRPr="00B12ECF">
              <w:rPr>
                <w:sz w:val="28"/>
                <w:szCs w:val="28"/>
              </w:rPr>
              <w:t xml:space="preserve"> 2012.gada 1.oktobrī;</w:t>
            </w:r>
          </w:p>
          <w:p w:rsidR="00C75F65" w:rsidRDefault="00EB7F23" w:rsidP="00411F26">
            <w:pPr>
              <w:pStyle w:val="naiskr"/>
              <w:numPr>
                <w:ilvl w:val="0"/>
                <w:numId w:val="4"/>
              </w:numPr>
              <w:shd w:val="clear" w:color="auto" w:fill="FFFFFF"/>
              <w:tabs>
                <w:tab w:val="left" w:pos="801"/>
              </w:tabs>
              <w:spacing w:before="0" w:beforeAutospacing="0" w:after="0" w:afterAutospacing="0"/>
              <w:ind w:left="93" w:right="81" w:firstLine="425"/>
              <w:jc w:val="both"/>
              <w:rPr>
                <w:sz w:val="28"/>
                <w:szCs w:val="28"/>
                <w:lang w:val="lv-LV"/>
              </w:rPr>
            </w:pPr>
            <w:r w:rsidRPr="00EB7F23">
              <w:rPr>
                <w:sz w:val="28"/>
                <w:szCs w:val="28"/>
                <w:lang w:val="lv-LV"/>
              </w:rPr>
              <w:lastRenderedPageBreak/>
              <w:t>mazinātu administratīvo slogu detektīvdarbības pakalpojumu darbības uzsākšanai un attīstībai, vienkāršotu un modernizētu publisko pārvaldi</w:t>
            </w:r>
            <w:r w:rsidR="00635178">
              <w:rPr>
                <w:sz w:val="28"/>
                <w:szCs w:val="28"/>
                <w:lang w:val="lv-LV"/>
              </w:rPr>
              <w:t xml:space="preserve">, ieviešot </w:t>
            </w:r>
            <w:r w:rsidR="00635178" w:rsidRPr="00B12ECF">
              <w:rPr>
                <w:bCs/>
                <w:sz w:val="28"/>
                <w:szCs w:val="28"/>
                <w:lang w:val="lv-LV"/>
              </w:rPr>
              <w:t>„klusēšanas</w:t>
            </w:r>
            <w:r w:rsidR="00F647C7">
              <w:rPr>
                <w:bCs/>
                <w:sz w:val="28"/>
                <w:szCs w:val="28"/>
                <w:lang w:val="lv-LV"/>
              </w:rPr>
              <w:t xml:space="preserve"> </w:t>
            </w:r>
            <w:r w:rsidR="00040148">
              <w:rPr>
                <w:bCs/>
                <w:sz w:val="28"/>
                <w:szCs w:val="28"/>
                <w:lang w:val="lv-LV"/>
              </w:rPr>
              <w:t xml:space="preserve">-piekrišanas” </w:t>
            </w:r>
            <w:r w:rsidR="00635178">
              <w:rPr>
                <w:sz w:val="28"/>
                <w:szCs w:val="28"/>
                <w:lang w:val="lv-LV"/>
              </w:rPr>
              <w:t xml:space="preserve">principu. </w:t>
            </w:r>
            <w:r w:rsidR="004D5625" w:rsidRPr="00635178">
              <w:rPr>
                <w:sz w:val="28"/>
                <w:szCs w:val="28"/>
                <w:lang w:val="lv-LV"/>
              </w:rPr>
              <w:t xml:space="preserve">Lēmumu pieņemšanas procedūrā </w:t>
            </w:r>
            <w:r w:rsidR="00491E53" w:rsidRPr="00635178">
              <w:rPr>
                <w:bCs/>
                <w:sz w:val="28"/>
                <w:szCs w:val="28"/>
                <w:lang w:val="lv-LV"/>
              </w:rPr>
              <w:t>„klusēšanas</w:t>
            </w:r>
            <w:r w:rsidR="00FE0C2C">
              <w:rPr>
                <w:bCs/>
                <w:sz w:val="28"/>
                <w:szCs w:val="28"/>
                <w:lang w:val="lv-LV"/>
              </w:rPr>
              <w:t xml:space="preserve"> </w:t>
            </w:r>
            <w:r w:rsidR="00491E53" w:rsidRPr="00635178">
              <w:rPr>
                <w:bCs/>
                <w:sz w:val="28"/>
                <w:szCs w:val="28"/>
                <w:lang w:val="lv-LV"/>
              </w:rPr>
              <w:t>-</w:t>
            </w:r>
            <w:r w:rsidR="00FE0C2C">
              <w:rPr>
                <w:bCs/>
                <w:sz w:val="28"/>
                <w:szCs w:val="28"/>
                <w:lang w:val="lv-LV"/>
              </w:rPr>
              <w:t xml:space="preserve"> </w:t>
            </w:r>
            <w:r w:rsidR="00491E53" w:rsidRPr="00635178">
              <w:rPr>
                <w:bCs/>
                <w:sz w:val="28"/>
                <w:szCs w:val="28"/>
                <w:lang w:val="lv-LV"/>
              </w:rPr>
              <w:t xml:space="preserve">piekrišanas” </w:t>
            </w:r>
            <w:r w:rsidR="004D5625" w:rsidRPr="00635178">
              <w:rPr>
                <w:sz w:val="28"/>
                <w:szCs w:val="28"/>
                <w:lang w:val="lv-LV"/>
              </w:rPr>
              <w:t>princips paredz</w:t>
            </w:r>
            <w:r w:rsidR="00491E53" w:rsidRPr="00635178">
              <w:rPr>
                <w:sz w:val="28"/>
                <w:szCs w:val="28"/>
                <w:lang w:val="lv-LV"/>
              </w:rPr>
              <w:t>, ka gadījumā,</w:t>
            </w:r>
            <w:r w:rsidR="00E91D0A" w:rsidRPr="00635178">
              <w:rPr>
                <w:sz w:val="28"/>
                <w:szCs w:val="28"/>
                <w:lang w:val="lv-LV"/>
              </w:rPr>
              <w:t xml:space="preserve"> </w:t>
            </w:r>
            <w:r w:rsidR="00491E53" w:rsidRPr="00635178">
              <w:rPr>
                <w:bCs/>
                <w:sz w:val="28"/>
                <w:szCs w:val="28"/>
                <w:lang w:val="lv-LV"/>
              </w:rPr>
              <w:t xml:space="preserve">ja  </w:t>
            </w:r>
            <w:r w:rsidR="00E91D0A" w:rsidRPr="00635178">
              <w:rPr>
                <w:bCs/>
                <w:sz w:val="28"/>
                <w:szCs w:val="28"/>
                <w:lang w:val="lv-LV"/>
              </w:rPr>
              <w:t>normatīvā</w:t>
            </w:r>
            <w:r w:rsidR="00491E53" w:rsidRPr="00635178">
              <w:rPr>
                <w:bCs/>
                <w:sz w:val="28"/>
                <w:szCs w:val="28"/>
                <w:lang w:val="lv-LV"/>
              </w:rPr>
              <w:t xml:space="preserve"> akt</w:t>
            </w:r>
            <w:r w:rsidR="00E91D0A" w:rsidRPr="00635178">
              <w:rPr>
                <w:bCs/>
                <w:sz w:val="28"/>
                <w:szCs w:val="28"/>
                <w:lang w:val="lv-LV"/>
              </w:rPr>
              <w:t xml:space="preserve">a </w:t>
            </w:r>
            <w:r w:rsidR="00491E53" w:rsidRPr="00635178">
              <w:rPr>
                <w:bCs/>
                <w:sz w:val="28"/>
                <w:szCs w:val="28"/>
                <w:lang w:val="lv-LV"/>
              </w:rPr>
              <w:t>noteiktajā termiņā</w:t>
            </w:r>
            <w:r w:rsidR="00491E53" w:rsidRPr="00635178">
              <w:rPr>
                <w:b/>
                <w:bCs/>
                <w:sz w:val="28"/>
                <w:szCs w:val="28"/>
                <w:lang w:val="lv-LV"/>
              </w:rPr>
              <w:t xml:space="preserve"> </w:t>
            </w:r>
            <w:r w:rsidR="00E91D0A" w:rsidRPr="00635178">
              <w:rPr>
                <w:sz w:val="28"/>
                <w:szCs w:val="28"/>
                <w:lang w:val="lv-LV" w:eastAsia="lv-LV"/>
              </w:rPr>
              <w:t>Valsts policijas izveidotā Detektīvdarbības licencēšanas un sertifikācijas komisija nav izsniegusi individuālajam k</w:t>
            </w:r>
            <w:r w:rsidR="005C3459">
              <w:rPr>
                <w:sz w:val="28"/>
                <w:szCs w:val="28"/>
                <w:lang w:val="lv-LV" w:eastAsia="lv-LV"/>
              </w:rPr>
              <w:t>omersantam, personālsabiedrībai vai</w:t>
            </w:r>
            <w:r w:rsidR="00E91D0A" w:rsidRPr="00635178">
              <w:rPr>
                <w:sz w:val="28"/>
                <w:szCs w:val="28"/>
                <w:lang w:val="lv-LV" w:eastAsia="lv-LV"/>
              </w:rPr>
              <w:t xml:space="preserve"> kapitālsabiedrībai </w:t>
            </w:r>
            <w:r w:rsidR="00066ABB" w:rsidRPr="00635178">
              <w:rPr>
                <w:sz w:val="28"/>
                <w:szCs w:val="28"/>
                <w:lang w:val="lv-LV" w:eastAsia="lv-LV"/>
              </w:rPr>
              <w:t>licenci</w:t>
            </w:r>
            <w:r w:rsidR="00E91D0A" w:rsidRPr="00635178">
              <w:rPr>
                <w:sz w:val="28"/>
                <w:szCs w:val="28"/>
                <w:lang w:val="lv-LV" w:eastAsia="lv-LV"/>
              </w:rPr>
              <w:t xml:space="preserve">, vai pieņēmusi lēmumu </w:t>
            </w:r>
            <w:r w:rsidR="00E91D0A" w:rsidRPr="00635178">
              <w:rPr>
                <w:sz w:val="28"/>
                <w:szCs w:val="28"/>
                <w:lang w:val="lv-LV"/>
              </w:rPr>
              <w:t xml:space="preserve">par atteikumu izsniegt </w:t>
            </w:r>
            <w:r w:rsidR="00066ABB" w:rsidRPr="00635178">
              <w:rPr>
                <w:sz w:val="28"/>
                <w:szCs w:val="28"/>
                <w:lang w:val="lv-LV" w:eastAsia="lv-LV"/>
              </w:rPr>
              <w:t>licenci</w:t>
            </w:r>
            <w:r w:rsidR="00E91D0A" w:rsidRPr="00635178">
              <w:rPr>
                <w:sz w:val="28"/>
                <w:szCs w:val="28"/>
                <w:lang w:val="lv-LV" w:eastAsia="lv-LV"/>
              </w:rPr>
              <w:t xml:space="preserve">, uzskatāms, ka licence </w:t>
            </w:r>
            <w:r w:rsidR="00590297" w:rsidRPr="00635178">
              <w:rPr>
                <w:sz w:val="28"/>
                <w:szCs w:val="28"/>
                <w:lang w:val="lv-LV" w:eastAsia="lv-LV"/>
              </w:rPr>
              <w:t>i</w:t>
            </w:r>
            <w:r w:rsidR="00040148">
              <w:rPr>
                <w:sz w:val="28"/>
                <w:szCs w:val="28"/>
                <w:lang w:val="lv-LV" w:eastAsia="lv-LV"/>
              </w:rPr>
              <w:t>r izsniegta</w:t>
            </w:r>
            <w:r w:rsidR="00E91D0A" w:rsidRPr="00635178">
              <w:rPr>
                <w:sz w:val="28"/>
                <w:szCs w:val="28"/>
                <w:lang w:val="lv-LV" w:eastAsia="lv-LV"/>
              </w:rPr>
              <w:t xml:space="preserve"> un  individuālais </w:t>
            </w:r>
            <w:r w:rsidR="005C3459">
              <w:rPr>
                <w:sz w:val="28"/>
                <w:szCs w:val="28"/>
                <w:lang w:val="lv-LV" w:eastAsia="lv-LV"/>
              </w:rPr>
              <w:t xml:space="preserve">komersants, personālsabiedrība, vai </w:t>
            </w:r>
            <w:r w:rsidR="00E91D0A" w:rsidRPr="00635178">
              <w:rPr>
                <w:sz w:val="28"/>
                <w:szCs w:val="28"/>
                <w:lang w:val="lv-LV" w:eastAsia="lv-LV"/>
              </w:rPr>
              <w:t>kapitālsabiedrība ir tiesīga uzsākt  detektīvdarbības pakalpojuma sniegšanu.</w:t>
            </w:r>
            <w:r w:rsidR="006E3A92">
              <w:rPr>
                <w:sz w:val="28"/>
                <w:szCs w:val="28"/>
                <w:lang w:val="lv-LV" w:eastAsia="lv-LV"/>
              </w:rPr>
              <w:t xml:space="preserve"> </w:t>
            </w:r>
          </w:p>
          <w:p w:rsidR="00C75F65" w:rsidRDefault="00C75F65" w:rsidP="00C75F65">
            <w:pPr>
              <w:pStyle w:val="naiskr"/>
              <w:shd w:val="clear" w:color="auto" w:fill="FFFFFF"/>
              <w:tabs>
                <w:tab w:val="left" w:pos="801"/>
              </w:tabs>
              <w:spacing w:before="0" w:beforeAutospacing="0" w:after="0" w:afterAutospacing="0"/>
              <w:ind w:left="93" w:right="81" w:firstLine="425"/>
              <w:jc w:val="both"/>
              <w:rPr>
                <w:sz w:val="28"/>
                <w:szCs w:val="28"/>
                <w:lang w:val="lv-LV"/>
              </w:rPr>
            </w:pPr>
            <w:r>
              <w:rPr>
                <w:sz w:val="28"/>
                <w:szCs w:val="28"/>
                <w:lang w:val="lv-LV" w:eastAsia="lv-LV"/>
              </w:rPr>
              <w:t>I</w:t>
            </w:r>
            <w:r w:rsidRPr="00635178">
              <w:rPr>
                <w:sz w:val="28"/>
                <w:szCs w:val="28"/>
                <w:lang w:val="lv-LV" w:eastAsia="lv-LV"/>
              </w:rPr>
              <w:t xml:space="preserve">ndividuālais </w:t>
            </w:r>
            <w:r>
              <w:rPr>
                <w:sz w:val="28"/>
                <w:szCs w:val="28"/>
                <w:lang w:val="lv-LV" w:eastAsia="lv-LV"/>
              </w:rPr>
              <w:t xml:space="preserve">komersants, personālsabiedrība, vai </w:t>
            </w:r>
            <w:r w:rsidRPr="00635178">
              <w:rPr>
                <w:sz w:val="28"/>
                <w:szCs w:val="28"/>
                <w:lang w:val="lv-LV" w:eastAsia="lv-LV"/>
              </w:rPr>
              <w:t>kapitālsabiedrība</w:t>
            </w:r>
            <w:r w:rsidRPr="00411F26">
              <w:rPr>
                <w:sz w:val="28"/>
                <w:szCs w:val="28"/>
                <w:lang w:val="lv-LV"/>
              </w:rPr>
              <w:t>, kur</w:t>
            </w:r>
            <w:r>
              <w:rPr>
                <w:sz w:val="28"/>
                <w:szCs w:val="28"/>
                <w:lang w:val="lv-LV"/>
              </w:rPr>
              <w:t xml:space="preserve">ai </w:t>
            </w:r>
            <w:r w:rsidRPr="00411F26">
              <w:rPr>
                <w:sz w:val="28"/>
                <w:szCs w:val="28"/>
                <w:lang w:val="lv-LV"/>
              </w:rPr>
              <w:t>licence būs izsniegta pēc noklusējuma, nepieciešamības gadījumā licenci papīra formā vai elektroniska dokumenta veidā varēs saņemt pēc pieprasījuma.</w:t>
            </w:r>
          </w:p>
          <w:p w:rsidR="00AF5FFA" w:rsidRDefault="006E3A92" w:rsidP="00AF5FFA">
            <w:pPr>
              <w:pStyle w:val="naiskr"/>
              <w:shd w:val="clear" w:color="auto" w:fill="FFFFFF"/>
              <w:tabs>
                <w:tab w:val="left" w:pos="801"/>
              </w:tabs>
              <w:spacing w:before="0" w:beforeAutospacing="0" w:after="0" w:afterAutospacing="0"/>
              <w:ind w:left="93" w:right="81" w:firstLine="425"/>
              <w:jc w:val="both"/>
              <w:rPr>
                <w:sz w:val="28"/>
                <w:szCs w:val="28"/>
                <w:lang w:val="lv-LV" w:eastAsia="lv-LV"/>
              </w:rPr>
            </w:pPr>
            <w:r w:rsidRPr="00C75F65">
              <w:rPr>
                <w:sz w:val="28"/>
                <w:szCs w:val="28"/>
                <w:lang w:val="lv-LV" w:eastAsia="lv-LV"/>
              </w:rPr>
              <w:t xml:space="preserve">Lai </w:t>
            </w:r>
            <w:r w:rsidR="00C75F65" w:rsidRPr="00C75F65">
              <w:rPr>
                <w:sz w:val="28"/>
                <w:szCs w:val="28"/>
                <w:lang w:val="lv-LV" w:eastAsia="lv-LV"/>
              </w:rPr>
              <w:t>aizsargātu personu tiesības un likumīgās intereses</w:t>
            </w:r>
            <w:r w:rsidR="007D32CD">
              <w:rPr>
                <w:sz w:val="28"/>
                <w:szCs w:val="28"/>
                <w:lang w:val="lv-LV" w:eastAsia="lv-LV"/>
              </w:rPr>
              <w:t xml:space="preserve">, </w:t>
            </w:r>
            <w:r w:rsidR="00920043">
              <w:rPr>
                <w:sz w:val="28"/>
                <w:szCs w:val="28"/>
                <w:lang w:val="lv-LV" w:eastAsia="lv-LV"/>
              </w:rPr>
              <w:t xml:space="preserve">Valsts policija </w:t>
            </w:r>
            <w:r w:rsidR="007D32CD">
              <w:rPr>
                <w:sz w:val="28"/>
                <w:szCs w:val="28"/>
                <w:lang w:val="lv-LV" w:eastAsia="lv-LV"/>
              </w:rPr>
              <w:t xml:space="preserve">Valsts policijas mājas lapā </w:t>
            </w:r>
            <w:r w:rsidR="00920043">
              <w:rPr>
                <w:sz w:val="28"/>
                <w:szCs w:val="28"/>
                <w:lang w:val="lv-LV" w:eastAsia="lv-LV"/>
              </w:rPr>
              <w:t>ievietos</w:t>
            </w:r>
            <w:r w:rsidR="007D32CD">
              <w:rPr>
                <w:sz w:val="28"/>
                <w:szCs w:val="28"/>
                <w:lang w:val="lv-LV" w:eastAsia="lv-LV"/>
              </w:rPr>
              <w:t xml:space="preserve"> informācij</w:t>
            </w:r>
            <w:r w:rsidR="00920043">
              <w:rPr>
                <w:sz w:val="28"/>
                <w:szCs w:val="28"/>
                <w:lang w:val="lv-LV" w:eastAsia="lv-LV"/>
              </w:rPr>
              <w:t>u</w:t>
            </w:r>
            <w:r w:rsidR="007D32CD">
              <w:rPr>
                <w:sz w:val="28"/>
                <w:szCs w:val="28"/>
                <w:lang w:val="lv-LV" w:eastAsia="lv-LV"/>
              </w:rPr>
              <w:t xml:space="preserve"> par izsniegtajām</w:t>
            </w:r>
            <w:r w:rsidR="002D40D7">
              <w:rPr>
                <w:sz w:val="28"/>
                <w:szCs w:val="28"/>
                <w:lang w:val="lv-LV" w:eastAsia="lv-LV"/>
              </w:rPr>
              <w:t xml:space="preserve"> licencēm un sertifikātiem, kā arī anulētajām licencēm un sertifikātiem. Tādējādi person</w:t>
            </w:r>
            <w:r w:rsidR="00920043">
              <w:rPr>
                <w:sz w:val="28"/>
                <w:szCs w:val="28"/>
                <w:lang w:val="lv-LV" w:eastAsia="lv-LV"/>
              </w:rPr>
              <w:t>ai</w:t>
            </w:r>
            <w:r w:rsidR="002D40D7">
              <w:rPr>
                <w:sz w:val="28"/>
                <w:szCs w:val="28"/>
                <w:lang w:val="lv-LV" w:eastAsia="lv-LV"/>
              </w:rPr>
              <w:t xml:space="preserve"> būs iespējams pārliecināties par detektīvsabiedr</w:t>
            </w:r>
            <w:r w:rsidR="00920043">
              <w:rPr>
                <w:sz w:val="28"/>
                <w:szCs w:val="28"/>
                <w:lang w:val="lv-LV" w:eastAsia="lv-LV"/>
              </w:rPr>
              <w:t>ī</w:t>
            </w:r>
            <w:r w:rsidR="00B565C7">
              <w:rPr>
                <w:sz w:val="28"/>
                <w:szCs w:val="28"/>
                <w:lang w:val="lv-LV" w:eastAsia="lv-LV"/>
              </w:rPr>
              <w:t>bu un detektīvu, kurš ir tiesīg</w:t>
            </w:r>
            <w:r w:rsidR="00920043">
              <w:rPr>
                <w:sz w:val="28"/>
                <w:szCs w:val="28"/>
                <w:lang w:val="lv-LV" w:eastAsia="lv-LV"/>
              </w:rPr>
              <w:t>s veikt detektīvdarbību.</w:t>
            </w:r>
          </w:p>
          <w:p w:rsidR="00E156A5" w:rsidRPr="00E156A5" w:rsidRDefault="00E156A5" w:rsidP="00E156A5">
            <w:pPr>
              <w:ind w:firstLine="701"/>
              <w:jc w:val="both"/>
              <w:rPr>
                <w:u w:val="single"/>
              </w:rPr>
            </w:pPr>
            <w:r>
              <w:t xml:space="preserve">4. </w:t>
            </w:r>
            <w:r w:rsidRPr="00E156A5">
              <w:rPr>
                <w:u w:val="single"/>
              </w:rPr>
              <w:t xml:space="preserve">paredzētu, </w:t>
            </w:r>
            <w:r w:rsidRPr="00E156A5">
              <w:rPr>
                <w:u w:val="single"/>
              </w:rPr>
              <w:t xml:space="preserve">ka par speciālās atļaujas (licences) un sertifikāta izsniegšanu, sertifikāta derīguma termiņa pagarināšanu, atkārtotu speciālās atļaujas (licences) un sertifikāta un to dublikāta izsniegšanu maksā valsts nodevu šādā apmērā: </w:t>
            </w:r>
          </w:p>
          <w:p w:rsidR="00E156A5" w:rsidRPr="00E156A5" w:rsidRDefault="00E156A5" w:rsidP="00E156A5">
            <w:pPr>
              <w:ind w:firstLine="559"/>
              <w:jc w:val="both"/>
              <w:rPr>
                <w:u w:val="single"/>
              </w:rPr>
            </w:pPr>
            <w:r w:rsidRPr="00E156A5">
              <w:rPr>
                <w:u w:val="single"/>
              </w:rPr>
              <w:t xml:space="preserve">1. par speciālās atļaujas (licences) izsniegšanu – 284,57 </w:t>
            </w:r>
            <w:proofErr w:type="spellStart"/>
            <w:r w:rsidRPr="00E156A5">
              <w:rPr>
                <w:i/>
                <w:u w:val="single"/>
              </w:rPr>
              <w:t>euro</w:t>
            </w:r>
            <w:proofErr w:type="spellEnd"/>
            <w:r w:rsidRPr="00E156A5">
              <w:rPr>
                <w:u w:val="single"/>
              </w:rPr>
              <w:t xml:space="preserve">; </w:t>
            </w:r>
          </w:p>
          <w:p w:rsidR="00E156A5" w:rsidRPr="00E156A5" w:rsidRDefault="00E156A5" w:rsidP="00E156A5">
            <w:pPr>
              <w:ind w:firstLine="559"/>
              <w:jc w:val="both"/>
              <w:rPr>
                <w:u w:val="single"/>
              </w:rPr>
            </w:pPr>
            <w:r w:rsidRPr="00E156A5">
              <w:rPr>
                <w:u w:val="single"/>
              </w:rPr>
              <w:t xml:space="preserve">2. par sertifikāta izsniegšanu – 142,29 </w:t>
            </w:r>
            <w:proofErr w:type="spellStart"/>
            <w:r w:rsidRPr="00E156A5">
              <w:rPr>
                <w:i/>
                <w:u w:val="single"/>
              </w:rPr>
              <w:t>euro</w:t>
            </w:r>
            <w:proofErr w:type="spellEnd"/>
            <w:r w:rsidRPr="00E156A5">
              <w:rPr>
                <w:u w:val="single"/>
              </w:rPr>
              <w:t xml:space="preserve">; </w:t>
            </w:r>
          </w:p>
          <w:p w:rsidR="00E156A5" w:rsidRPr="00E156A5" w:rsidRDefault="00E156A5" w:rsidP="00E156A5">
            <w:pPr>
              <w:ind w:firstLine="559"/>
              <w:jc w:val="both"/>
              <w:rPr>
                <w:u w:val="single"/>
              </w:rPr>
            </w:pPr>
            <w:r w:rsidRPr="00E156A5">
              <w:rPr>
                <w:u w:val="single"/>
              </w:rPr>
              <w:t xml:space="preserve">3. par sertifikāta derīguma termiņa pagarināšanu – 14,23 </w:t>
            </w:r>
            <w:proofErr w:type="spellStart"/>
            <w:r w:rsidRPr="00E156A5">
              <w:rPr>
                <w:i/>
                <w:u w:val="single"/>
              </w:rPr>
              <w:t>euro</w:t>
            </w:r>
            <w:proofErr w:type="spellEnd"/>
            <w:r w:rsidRPr="00E156A5">
              <w:rPr>
                <w:u w:val="single"/>
              </w:rPr>
              <w:t xml:space="preserve">; </w:t>
            </w:r>
          </w:p>
          <w:p w:rsidR="00E156A5" w:rsidRPr="00E156A5" w:rsidRDefault="00E156A5" w:rsidP="00E156A5">
            <w:pPr>
              <w:ind w:firstLine="559"/>
              <w:jc w:val="both"/>
              <w:rPr>
                <w:u w:val="single"/>
              </w:rPr>
            </w:pPr>
            <w:r w:rsidRPr="00E156A5">
              <w:rPr>
                <w:u w:val="single"/>
              </w:rPr>
              <w:t xml:space="preserve">4. par speciālās atļaujas (licences) vai sertifikāta dublikāta izsniegšanu – 7,11 </w:t>
            </w:r>
            <w:proofErr w:type="spellStart"/>
            <w:r w:rsidRPr="00E156A5">
              <w:rPr>
                <w:i/>
                <w:u w:val="single"/>
              </w:rPr>
              <w:t>euro</w:t>
            </w:r>
            <w:proofErr w:type="spellEnd"/>
            <w:r w:rsidRPr="00E156A5">
              <w:rPr>
                <w:u w:val="single"/>
              </w:rPr>
              <w:t xml:space="preserve">; </w:t>
            </w:r>
          </w:p>
          <w:p w:rsidR="00E156A5" w:rsidRPr="00E156A5" w:rsidRDefault="00E156A5" w:rsidP="00E156A5">
            <w:pPr>
              <w:ind w:firstLine="559"/>
              <w:jc w:val="both"/>
              <w:rPr>
                <w:u w:val="single"/>
              </w:rPr>
            </w:pPr>
            <w:r w:rsidRPr="00E156A5">
              <w:rPr>
                <w:u w:val="single"/>
              </w:rPr>
              <w:t xml:space="preserve">5. par atkārtotu speciālās atļaujas (licences) vai sertifikāta izsniegšanu – 4,27 </w:t>
            </w:r>
            <w:proofErr w:type="spellStart"/>
            <w:r w:rsidRPr="00E156A5">
              <w:rPr>
                <w:i/>
                <w:u w:val="single"/>
              </w:rPr>
              <w:t>euro</w:t>
            </w:r>
            <w:proofErr w:type="spellEnd"/>
            <w:r w:rsidRPr="00E156A5">
              <w:rPr>
                <w:u w:val="single"/>
              </w:rPr>
              <w:t>.”</w:t>
            </w:r>
          </w:p>
          <w:p w:rsidR="00E156A5" w:rsidRPr="00E156A5" w:rsidRDefault="00E156A5" w:rsidP="00E156A5">
            <w:pPr>
              <w:ind w:firstLine="559"/>
              <w:jc w:val="both"/>
              <w:rPr>
                <w:u w:val="single"/>
              </w:rPr>
            </w:pPr>
            <w:r w:rsidRPr="00E156A5">
              <w:rPr>
                <w:u w:val="single"/>
              </w:rPr>
              <w:t xml:space="preserve">Grozījumi sagatavoti atbilstoši </w:t>
            </w:r>
            <w:proofErr w:type="spellStart"/>
            <w:r w:rsidRPr="00E156A5">
              <w:rPr>
                <w:i/>
                <w:u w:val="single"/>
              </w:rPr>
              <w:t>Euro</w:t>
            </w:r>
            <w:proofErr w:type="spellEnd"/>
            <w:r w:rsidRPr="00E156A5">
              <w:rPr>
                <w:u w:val="single"/>
              </w:rPr>
              <w:t xml:space="preserve"> ieviešanas kārtības likuma 6.panta otrajai daļai.</w:t>
            </w:r>
          </w:p>
          <w:p w:rsidR="00E156A5" w:rsidRPr="00E156A5" w:rsidRDefault="00E156A5" w:rsidP="00E156A5">
            <w:pPr>
              <w:pStyle w:val="naiskr"/>
              <w:shd w:val="clear" w:color="auto" w:fill="FFFFFF"/>
              <w:tabs>
                <w:tab w:val="left" w:pos="801"/>
              </w:tabs>
              <w:spacing w:before="0" w:beforeAutospacing="0" w:after="0" w:afterAutospacing="0"/>
              <w:ind w:right="81"/>
              <w:jc w:val="both"/>
              <w:rPr>
                <w:sz w:val="28"/>
                <w:szCs w:val="28"/>
                <w:u w:val="single"/>
                <w:lang w:val="lv-LV"/>
              </w:rPr>
            </w:pPr>
            <w:r w:rsidRPr="00E156A5">
              <w:rPr>
                <w:sz w:val="28"/>
                <w:szCs w:val="28"/>
                <w:u w:val="single"/>
                <w:lang w:val="lv-LV"/>
              </w:rPr>
              <w:t xml:space="preserve">    </w:t>
            </w:r>
            <w:r w:rsidRPr="00E156A5">
              <w:rPr>
                <w:sz w:val="28"/>
                <w:szCs w:val="28"/>
                <w:u w:val="single"/>
                <w:lang w:val="lv-LV"/>
              </w:rPr>
              <w:t>Aprēķins veikts, izmantojot Latvijas Bankas noteikto oficiālo kursu EUR 1 = LVL 0,702804. Aprēķina rezultātā netiek radīta ietekme uz valsts budžetu.</w:t>
            </w:r>
            <w:bookmarkStart w:id="2" w:name="_GoBack"/>
            <w:bookmarkEnd w:id="2"/>
          </w:p>
          <w:p w:rsidR="002051EA" w:rsidRPr="00B12ECF" w:rsidRDefault="00E156A5" w:rsidP="00E156A5">
            <w:pPr>
              <w:pStyle w:val="naiskr"/>
              <w:shd w:val="clear" w:color="auto" w:fill="FFFFFF"/>
              <w:tabs>
                <w:tab w:val="left" w:pos="801"/>
              </w:tabs>
              <w:spacing w:before="0" w:beforeAutospacing="0" w:after="0" w:afterAutospacing="0"/>
              <w:ind w:right="81"/>
              <w:jc w:val="both"/>
              <w:rPr>
                <w:sz w:val="28"/>
                <w:szCs w:val="28"/>
                <w:lang w:val="lv-LV"/>
              </w:rPr>
            </w:pPr>
            <w:r>
              <w:rPr>
                <w:sz w:val="28"/>
                <w:szCs w:val="28"/>
                <w:lang w:val="lv-LV" w:eastAsia="lv-LV"/>
              </w:rPr>
              <w:t xml:space="preserve">    </w:t>
            </w:r>
            <w:r w:rsidR="000D59CF" w:rsidRPr="00B12ECF">
              <w:rPr>
                <w:sz w:val="28"/>
                <w:szCs w:val="28"/>
                <w:lang w:val="lv-LV" w:eastAsia="lv-LV"/>
              </w:rPr>
              <w:t xml:space="preserve">Ņemot vērā to, ka grozījumu noteikumu projektu </w:t>
            </w:r>
            <w:r w:rsidR="000D59CF" w:rsidRPr="00B12ECF">
              <w:rPr>
                <w:sz w:val="28"/>
                <w:szCs w:val="28"/>
                <w:lang w:val="lv-LV" w:eastAsia="lv-LV"/>
              </w:rPr>
              <w:lastRenderedPageBreak/>
              <w:t xml:space="preserve">sagatavošanā, tā normu apjoms pārsniedza pusi no spēkā esošo noteikumu normu apjoma, atbilstoši </w:t>
            </w:r>
            <w:r w:rsidR="000D59CF" w:rsidRPr="00B12ECF">
              <w:rPr>
                <w:sz w:val="28"/>
                <w:szCs w:val="28"/>
                <w:lang w:val="lv-LV"/>
              </w:rPr>
              <w:t>Ministru kabineta 2009.gada 3.februāra noteikumu Nr.108 „Normatīvo aktu projektu sagatavošanas noteikumi” 66.punkta prasībām tika sagatavots jauns noteikumu projekts.</w:t>
            </w:r>
          </w:p>
        </w:tc>
      </w:tr>
      <w:tr w:rsidR="002051EA" w:rsidRPr="00B12ECF" w:rsidTr="0060408F">
        <w:trPr>
          <w:tblCellSpacing w:w="15" w:type="dxa"/>
        </w:trPr>
        <w:tc>
          <w:tcPr>
            <w:tcW w:w="158"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jc w:val="both"/>
              <w:rPr>
                <w:color w:val="000000"/>
              </w:rPr>
            </w:pPr>
            <w:r w:rsidRPr="00B12ECF">
              <w:rPr>
                <w:color w:val="000000"/>
              </w:rPr>
              <w:lastRenderedPageBreak/>
              <w:t>5.</w:t>
            </w:r>
          </w:p>
        </w:tc>
        <w:tc>
          <w:tcPr>
            <w:tcW w:w="886"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jc w:val="both"/>
              <w:rPr>
                <w:color w:val="000000"/>
              </w:rPr>
            </w:pPr>
            <w:r w:rsidRPr="00B12ECF">
              <w:rPr>
                <w:color w:val="000000"/>
              </w:rPr>
              <w:t>Projekta izstrādē iesaistītās institūcijas</w:t>
            </w:r>
          </w:p>
        </w:tc>
        <w:tc>
          <w:tcPr>
            <w:tcW w:w="3893" w:type="pct"/>
            <w:tcBorders>
              <w:top w:val="outset" w:sz="6" w:space="0" w:color="000000"/>
              <w:left w:val="outset" w:sz="6" w:space="0" w:color="000000"/>
              <w:bottom w:val="outset" w:sz="6" w:space="0" w:color="000000"/>
              <w:right w:val="outset" w:sz="6" w:space="0" w:color="000000"/>
            </w:tcBorders>
            <w:hideMark/>
          </w:tcPr>
          <w:p w:rsidR="002051EA" w:rsidRPr="00B12ECF" w:rsidRDefault="0057721E" w:rsidP="000F73A5">
            <w:pPr>
              <w:spacing w:before="100" w:beforeAutospacing="1" w:after="100" w:afterAutospacing="1"/>
              <w:jc w:val="both"/>
            </w:pPr>
            <w:r>
              <w:t xml:space="preserve"> </w:t>
            </w:r>
            <w:r w:rsidR="002051EA" w:rsidRPr="00B12ECF">
              <w:t>Iekšlietu ministrija</w:t>
            </w:r>
            <w:r w:rsidR="00EA535D" w:rsidRPr="00B12ECF">
              <w:t>, Valsts policija.</w:t>
            </w:r>
          </w:p>
        </w:tc>
      </w:tr>
      <w:tr w:rsidR="002051EA" w:rsidRPr="00B12ECF" w:rsidTr="0060408F">
        <w:trPr>
          <w:tblCellSpacing w:w="15" w:type="dxa"/>
        </w:trPr>
        <w:tc>
          <w:tcPr>
            <w:tcW w:w="158"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jc w:val="both"/>
              <w:rPr>
                <w:color w:val="000000"/>
              </w:rPr>
            </w:pPr>
            <w:r w:rsidRPr="00B12ECF">
              <w:rPr>
                <w:color w:val="000000"/>
              </w:rPr>
              <w:t>6.</w:t>
            </w:r>
          </w:p>
        </w:tc>
        <w:tc>
          <w:tcPr>
            <w:tcW w:w="886"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jc w:val="both"/>
              <w:rPr>
                <w:color w:val="000000"/>
              </w:rPr>
            </w:pPr>
            <w:r w:rsidRPr="00B12ECF">
              <w:rPr>
                <w:color w:val="000000"/>
              </w:rPr>
              <w:t>Iemesli, kādēļ netika nodrošināta sabiedrības līdzdalība</w:t>
            </w:r>
          </w:p>
        </w:tc>
        <w:tc>
          <w:tcPr>
            <w:tcW w:w="3893" w:type="pct"/>
            <w:tcBorders>
              <w:top w:val="outset" w:sz="6" w:space="0" w:color="000000"/>
              <w:left w:val="outset" w:sz="6" w:space="0" w:color="000000"/>
              <w:bottom w:val="outset" w:sz="6" w:space="0" w:color="000000"/>
              <w:right w:val="outset" w:sz="6" w:space="0" w:color="000000"/>
            </w:tcBorders>
            <w:hideMark/>
          </w:tcPr>
          <w:p w:rsidR="00395308" w:rsidRPr="00B12ECF" w:rsidRDefault="0057721E" w:rsidP="0057721E">
            <w:pPr>
              <w:spacing w:before="100" w:beforeAutospacing="1" w:after="100" w:afterAutospacing="1"/>
              <w:ind w:left="93" w:hanging="93"/>
              <w:jc w:val="both"/>
            </w:pPr>
            <w:r>
              <w:t xml:space="preserve"> </w:t>
            </w:r>
            <w:r w:rsidR="002051EA" w:rsidRPr="00B12ECF">
              <w:t>Ņemot vērā</w:t>
            </w:r>
            <w:r w:rsidR="00BB4885" w:rsidRPr="00B12ECF">
              <w:t xml:space="preserve"> to</w:t>
            </w:r>
            <w:r w:rsidR="002051EA" w:rsidRPr="00B12ECF">
              <w:t xml:space="preserve">, ka </w:t>
            </w:r>
            <w:r w:rsidR="00BB4885" w:rsidRPr="00B12ECF">
              <w:t xml:space="preserve">noteikumu </w:t>
            </w:r>
            <w:r w:rsidR="002051EA" w:rsidRPr="00B12ECF">
              <w:t xml:space="preserve">projekts </w:t>
            </w:r>
            <w:r w:rsidR="00BB4885" w:rsidRPr="00B12ECF">
              <w:t xml:space="preserve">ir izstrādāts pamatojoties </w:t>
            </w:r>
            <w:r>
              <w:t xml:space="preserve">   </w:t>
            </w:r>
            <w:r w:rsidR="00BB4885" w:rsidRPr="00B12ECF">
              <w:t>uz  Saeimas 2012.gada 14.jūnijā pieņemto likumu „Grozījumi Detektīvdarbības likumā” un, lai ieviestu tajā „klusēšanas  - piekrišanas” principu</w:t>
            </w:r>
            <w:r w:rsidR="002051EA" w:rsidRPr="00B12ECF">
              <w:t>, nemainot normatīvā akta būtību, sabiedrības līdzdalība projekta izstrādē netika nodrošināta.</w:t>
            </w:r>
            <w:r w:rsidR="00BB4885" w:rsidRPr="00B12ECF">
              <w:t xml:space="preserve"> </w:t>
            </w:r>
            <w:r w:rsidR="00EA535D" w:rsidRPr="00B12ECF">
              <w:t>Noteikumu projektā ietvertās tiesību normas sabiedrības pārstāvjiem nerada jaunus pienākumus.</w:t>
            </w:r>
          </w:p>
        </w:tc>
      </w:tr>
      <w:tr w:rsidR="002051EA" w:rsidRPr="00B12ECF" w:rsidTr="0060408F">
        <w:trPr>
          <w:tblCellSpacing w:w="15" w:type="dxa"/>
        </w:trPr>
        <w:tc>
          <w:tcPr>
            <w:tcW w:w="158"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jc w:val="both"/>
              <w:rPr>
                <w:color w:val="000000"/>
              </w:rPr>
            </w:pPr>
            <w:r w:rsidRPr="00B12ECF">
              <w:rPr>
                <w:color w:val="000000"/>
              </w:rPr>
              <w:t>7.</w:t>
            </w:r>
          </w:p>
        </w:tc>
        <w:tc>
          <w:tcPr>
            <w:tcW w:w="886"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jc w:val="both"/>
              <w:rPr>
                <w:color w:val="000000"/>
              </w:rPr>
            </w:pPr>
            <w:r w:rsidRPr="00B12ECF">
              <w:rPr>
                <w:color w:val="000000"/>
              </w:rPr>
              <w:t>Cita informācija</w:t>
            </w:r>
          </w:p>
        </w:tc>
        <w:tc>
          <w:tcPr>
            <w:tcW w:w="3893" w:type="pct"/>
            <w:tcBorders>
              <w:top w:val="outset" w:sz="6" w:space="0" w:color="000000"/>
              <w:left w:val="outset" w:sz="6" w:space="0" w:color="000000"/>
              <w:bottom w:val="outset" w:sz="6" w:space="0" w:color="000000"/>
              <w:right w:val="outset" w:sz="6" w:space="0" w:color="000000"/>
            </w:tcBorders>
            <w:hideMark/>
          </w:tcPr>
          <w:p w:rsidR="002051EA" w:rsidRPr="00B12ECF" w:rsidRDefault="005517A7">
            <w:pPr>
              <w:spacing w:before="100" w:beforeAutospacing="1" w:after="100" w:afterAutospacing="1"/>
              <w:jc w:val="both"/>
            </w:pPr>
            <w:r>
              <w:t xml:space="preserve"> </w:t>
            </w:r>
            <w:r w:rsidR="002051EA" w:rsidRPr="00B12ECF">
              <w:t>Nav</w:t>
            </w:r>
            <w:r w:rsidR="00F05AE8" w:rsidRPr="00B12ECF">
              <w:t>.</w:t>
            </w:r>
          </w:p>
        </w:tc>
      </w:tr>
    </w:tbl>
    <w:p w:rsidR="002051EA" w:rsidRPr="00B12ECF" w:rsidRDefault="002051EA" w:rsidP="002051EA">
      <w:pPr>
        <w:spacing w:before="100" w:beforeAutospacing="1" w:after="100" w:afterAutospacing="1"/>
        <w:jc w:val="both"/>
        <w:rPr>
          <w:color w:val="000000"/>
        </w:rPr>
      </w:pPr>
      <w:r w:rsidRPr="00B12ECF">
        <w:rPr>
          <w:color w:val="000000"/>
        </w:rPr>
        <w:t> </w:t>
      </w:r>
    </w:p>
    <w:tbl>
      <w:tblPr>
        <w:tblW w:w="5155"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03"/>
        <w:gridCol w:w="3092"/>
        <w:gridCol w:w="5912"/>
      </w:tblGrid>
      <w:tr w:rsidR="002051EA" w:rsidRPr="00B12ECF" w:rsidTr="00EA535D">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hideMark/>
          </w:tcPr>
          <w:p w:rsidR="002051EA" w:rsidRPr="00B12ECF" w:rsidRDefault="002051EA">
            <w:pPr>
              <w:spacing w:before="100" w:beforeAutospacing="1" w:after="100" w:afterAutospacing="1"/>
              <w:jc w:val="center"/>
              <w:rPr>
                <w:b/>
                <w:bCs/>
                <w:color w:val="000000"/>
              </w:rPr>
            </w:pPr>
            <w:r w:rsidRPr="00B12ECF">
              <w:rPr>
                <w:b/>
                <w:bCs/>
                <w:color w:val="000000"/>
              </w:rPr>
              <w:t>II. Tiesību akta projekta ietekme uz sabiedrību</w:t>
            </w:r>
          </w:p>
        </w:tc>
      </w:tr>
      <w:tr w:rsidR="002051EA" w:rsidRPr="00B12ECF" w:rsidTr="000C1436">
        <w:trPr>
          <w:tblCellSpacing w:w="15" w:type="dxa"/>
        </w:trPr>
        <w:tc>
          <w:tcPr>
            <w:tcW w:w="242"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jc w:val="both"/>
              <w:rPr>
                <w:color w:val="000000"/>
              </w:rPr>
            </w:pPr>
            <w:r w:rsidRPr="00B12ECF">
              <w:rPr>
                <w:color w:val="000000"/>
              </w:rPr>
              <w:t>1.</w:t>
            </w:r>
          </w:p>
        </w:tc>
        <w:tc>
          <w:tcPr>
            <w:tcW w:w="1621"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jc w:val="both"/>
              <w:rPr>
                <w:color w:val="000000"/>
              </w:rPr>
            </w:pPr>
            <w:r w:rsidRPr="00B12ECF">
              <w:rPr>
                <w:color w:val="000000"/>
              </w:rPr>
              <w:t>Sabiedrības mērķgrupa</w:t>
            </w:r>
          </w:p>
        </w:tc>
        <w:tc>
          <w:tcPr>
            <w:tcW w:w="3073" w:type="pct"/>
            <w:tcBorders>
              <w:top w:val="outset" w:sz="6" w:space="0" w:color="000000"/>
              <w:left w:val="outset" w:sz="6" w:space="0" w:color="000000"/>
              <w:bottom w:val="outset" w:sz="6" w:space="0" w:color="000000"/>
              <w:right w:val="outset" w:sz="6" w:space="0" w:color="000000"/>
            </w:tcBorders>
            <w:hideMark/>
          </w:tcPr>
          <w:p w:rsidR="002051EA" w:rsidRPr="00B12ECF" w:rsidRDefault="00EA535D" w:rsidP="00725AFD">
            <w:pPr>
              <w:spacing w:before="100" w:beforeAutospacing="1" w:after="100" w:afterAutospacing="1"/>
              <w:ind w:left="106"/>
              <w:jc w:val="both"/>
            </w:pPr>
            <w:r w:rsidRPr="00B12ECF">
              <w:t xml:space="preserve">Individuālie komersanti, </w:t>
            </w:r>
            <w:r w:rsidR="00173E1F">
              <w:t>personāl</w:t>
            </w:r>
            <w:r w:rsidRPr="00B12ECF">
              <w:t xml:space="preserve">sabiedrības vai </w:t>
            </w:r>
            <w:r w:rsidR="00725AFD">
              <w:t xml:space="preserve"> </w:t>
            </w:r>
            <w:r w:rsidRPr="00B12ECF">
              <w:t>kapitālsabiedrības</w:t>
            </w:r>
            <w:r w:rsidR="00634E15" w:rsidRPr="00B12ECF">
              <w:t xml:space="preserve">, kuras vēlas saņemt licenci, </w:t>
            </w:r>
            <w:r w:rsidRPr="00B12ECF">
              <w:t>fiziskās personas</w:t>
            </w:r>
            <w:r w:rsidR="00634E15" w:rsidRPr="00B12ECF">
              <w:t>, kuras vēlas saņemt sertifikātu</w:t>
            </w:r>
            <w:r w:rsidR="00A27AEC" w:rsidRPr="00B12ECF">
              <w:t xml:space="preserve">, detektīvsabiedrība un </w:t>
            </w:r>
            <w:r w:rsidR="00634E15" w:rsidRPr="00B12ECF">
              <w:t xml:space="preserve">sertificētas fiziskas personas </w:t>
            </w:r>
            <w:r w:rsidRPr="00B12ECF">
              <w:t>(detektīvi).</w:t>
            </w:r>
          </w:p>
        </w:tc>
      </w:tr>
      <w:tr w:rsidR="002051EA" w:rsidRPr="00B12ECF" w:rsidTr="000C1436">
        <w:trPr>
          <w:tblCellSpacing w:w="15" w:type="dxa"/>
        </w:trPr>
        <w:tc>
          <w:tcPr>
            <w:tcW w:w="242"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jc w:val="both"/>
              <w:rPr>
                <w:color w:val="000000"/>
              </w:rPr>
            </w:pPr>
            <w:r w:rsidRPr="00B12ECF">
              <w:rPr>
                <w:color w:val="000000"/>
              </w:rPr>
              <w:t>2.</w:t>
            </w:r>
          </w:p>
        </w:tc>
        <w:tc>
          <w:tcPr>
            <w:tcW w:w="1621"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jc w:val="both"/>
              <w:rPr>
                <w:color w:val="000000"/>
              </w:rPr>
            </w:pPr>
            <w:r w:rsidRPr="00B12ECF">
              <w:rPr>
                <w:color w:val="000000"/>
              </w:rPr>
              <w:t>Citas sabiedrības grupas (bez mērķgrupas), kuras tiesiskais regulējums arī ietekmē vai varētu ietekmēt</w:t>
            </w:r>
          </w:p>
        </w:tc>
        <w:tc>
          <w:tcPr>
            <w:tcW w:w="3073" w:type="pct"/>
            <w:tcBorders>
              <w:top w:val="outset" w:sz="6" w:space="0" w:color="000000"/>
              <w:left w:val="outset" w:sz="6" w:space="0" w:color="000000"/>
              <w:bottom w:val="outset" w:sz="6" w:space="0" w:color="000000"/>
              <w:right w:val="outset" w:sz="6" w:space="0" w:color="000000"/>
            </w:tcBorders>
            <w:hideMark/>
          </w:tcPr>
          <w:p w:rsidR="002051EA" w:rsidRPr="00B12ECF" w:rsidRDefault="00725AFD">
            <w:pPr>
              <w:spacing w:before="100" w:beforeAutospacing="1" w:after="100" w:afterAutospacing="1"/>
              <w:jc w:val="both"/>
              <w:rPr>
                <w:color w:val="000000"/>
              </w:rPr>
            </w:pPr>
            <w:r>
              <w:t xml:space="preserve"> </w:t>
            </w:r>
            <w:r w:rsidR="002051EA" w:rsidRPr="00B12ECF">
              <w:t>Projekts šo jomu neskar.</w:t>
            </w:r>
          </w:p>
        </w:tc>
      </w:tr>
      <w:tr w:rsidR="002051EA" w:rsidRPr="00B12ECF" w:rsidTr="000C1436">
        <w:trPr>
          <w:tblCellSpacing w:w="15" w:type="dxa"/>
        </w:trPr>
        <w:tc>
          <w:tcPr>
            <w:tcW w:w="242"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jc w:val="both"/>
              <w:rPr>
                <w:color w:val="000000"/>
              </w:rPr>
            </w:pPr>
            <w:r w:rsidRPr="00B12ECF">
              <w:rPr>
                <w:color w:val="000000"/>
              </w:rPr>
              <w:t>3.</w:t>
            </w:r>
          </w:p>
        </w:tc>
        <w:tc>
          <w:tcPr>
            <w:tcW w:w="1621"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jc w:val="both"/>
              <w:rPr>
                <w:color w:val="000000"/>
              </w:rPr>
            </w:pPr>
            <w:r w:rsidRPr="00B12ECF">
              <w:rPr>
                <w:color w:val="000000"/>
              </w:rPr>
              <w:t>Tiesiskā regulējuma finansiālā ietekme</w:t>
            </w:r>
          </w:p>
        </w:tc>
        <w:tc>
          <w:tcPr>
            <w:tcW w:w="3073" w:type="pct"/>
            <w:tcBorders>
              <w:top w:val="outset" w:sz="6" w:space="0" w:color="000000"/>
              <w:left w:val="outset" w:sz="6" w:space="0" w:color="000000"/>
              <w:bottom w:val="outset" w:sz="6" w:space="0" w:color="000000"/>
              <w:right w:val="outset" w:sz="6" w:space="0" w:color="000000"/>
            </w:tcBorders>
            <w:hideMark/>
          </w:tcPr>
          <w:p w:rsidR="002051EA" w:rsidRPr="00B12ECF" w:rsidRDefault="00725AFD" w:rsidP="00E81206">
            <w:pPr>
              <w:spacing w:before="100" w:beforeAutospacing="1" w:after="100" w:afterAutospacing="1"/>
              <w:jc w:val="both"/>
              <w:rPr>
                <w:color w:val="000000"/>
              </w:rPr>
            </w:pPr>
            <w:r>
              <w:t xml:space="preserve"> </w:t>
            </w:r>
            <w:r w:rsidR="00ED5F11">
              <w:t>Projekts šo jomu neskar</w:t>
            </w:r>
            <w:r w:rsidR="00E81206" w:rsidRPr="00B12ECF">
              <w:t>.</w:t>
            </w:r>
          </w:p>
        </w:tc>
      </w:tr>
      <w:tr w:rsidR="002051EA" w:rsidRPr="00B12ECF" w:rsidTr="000C1436">
        <w:trPr>
          <w:tblCellSpacing w:w="15" w:type="dxa"/>
        </w:trPr>
        <w:tc>
          <w:tcPr>
            <w:tcW w:w="242"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jc w:val="both"/>
              <w:rPr>
                <w:color w:val="000000"/>
              </w:rPr>
            </w:pPr>
            <w:r w:rsidRPr="00B12ECF">
              <w:rPr>
                <w:color w:val="000000"/>
              </w:rPr>
              <w:t>4.</w:t>
            </w:r>
          </w:p>
        </w:tc>
        <w:tc>
          <w:tcPr>
            <w:tcW w:w="1621"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jc w:val="both"/>
              <w:rPr>
                <w:color w:val="000000"/>
              </w:rPr>
            </w:pPr>
            <w:r w:rsidRPr="00B12ECF">
              <w:rPr>
                <w:color w:val="000000"/>
              </w:rPr>
              <w:t>Tiesiskā regulējuma nefinansiālā ietekme</w:t>
            </w:r>
          </w:p>
        </w:tc>
        <w:tc>
          <w:tcPr>
            <w:tcW w:w="3073" w:type="pct"/>
            <w:tcBorders>
              <w:top w:val="outset" w:sz="6" w:space="0" w:color="000000"/>
              <w:left w:val="outset" w:sz="6" w:space="0" w:color="000000"/>
              <w:bottom w:val="outset" w:sz="6" w:space="0" w:color="000000"/>
              <w:right w:val="outset" w:sz="6" w:space="0" w:color="000000"/>
            </w:tcBorders>
            <w:hideMark/>
          </w:tcPr>
          <w:p w:rsidR="002051EA" w:rsidRPr="00B12ECF" w:rsidRDefault="00725AFD">
            <w:pPr>
              <w:spacing w:before="100" w:beforeAutospacing="1" w:after="100" w:afterAutospacing="1"/>
              <w:jc w:val="both"/>
              <w:rPr>
                <w:color w:val="000000"/>
              </w:rPr>
            </w:pPr>
            <w:r>
              <w:t xml:space="preserve"> </w:t>
            </w:r>
            <w:r w:rsidR="002051EA" w:rsidRPr="00B12ECF">
              <w:t>Projekts šo jomu neskar.</w:t>
            </w:r>
          </w:p>
        </w:tc>
      </w:tr>
      <w:tr w:rsidR="002051EA" w:rsidRPr="00B12ECF" w:rsidTr="000C1436">
        <w:trPr>
          <w:tblCellSpacing w:w="15" w:type="dxa"/>
        </w:trPr>
        <w:tc>
          <w:tcPr>
            <w:tcW w:w="242"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jc w:val="both"/>
              <w:rPr>
                <w:color w:val="000000"/>
              </w:rPr>
            </w:pPr>
            <w:r w:rsidRPr="00B12ECF">
              <w:rPr>
                <w:color w:val="000000"/>
              </w:rPr>
              <w:t>5.</w:t>
            </w:r>
          </w:p>
        </w:tc>
        <w:tc>
          <w:tcPr>
            <w:tcW w:w="1621"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jc w:val="both"/>
              <w:rPr>
                <w:color w:val="000000"/>
              </w:rPr>
            </w:pPr>
            <w:r w:rsidRPr="00B12ECF">
              <w:rPr>
                <w:color w:val="000000"/>
              </w:rPr>
              <w:t>Administratīvās procedūras raksturojums</w:t>
            </w:r>
          </w:p>
        </w:tc>
        <w:tc>
          <w:tcPr>
            <w:tcW w:w="3073" w:type="pct"/>
            <w:tcBorders>
              <w:top w:val="outset" w:sz="6" w:space="0" w:color="000000"/>
              <w:left w:val="outset" w:sz="6" w:space="0" w:color="000000"/>
              <w:bottom w:val="outset" w:sz="6" w:space="0" w:color="000000"/>
              <w:right w:val="outset" w:sz="6" w:space="0" w:color="000000"/>
            </w:tcBorders>
            <w:hideMark/>
          </w:tcPr>
          <w:p w:rsidR="00E14A16" w:rsidRDefault="00725AFD" w:rsidP="004B1CE1">
            <w:pPr>
              <w:pStyle w:val="ListParagraph"/>
              <w:widowControl w:val="0"/>
              <w:tabs>
                <w:tab w:val="left" w:pos="426"/>
              </w:tabs>
              <w:autoSpaceDE w:val="0"/>
              <w:autoSpaceDN w:val="0"/>
              <w:adjustRightInd w:val="0"/>
              <w:ind w:left="0"/>
              <w:jc w:val="both"/>
            </w:pPr>
            <w:r>
              <w:t xml:space="preserve"> </w:t>
            </w:r>
            <w:r w:rsidR="00CD4640" w:rsidRPr="00B12ECF">
              <w:t>Projekts šo jomu neskar.</w:t>
            </w:r>
          </w:p>
          <w:p w:rsidR="001F5E67" w:rsidRPr="00B12ECF" w:rsidRDefault="001F5E67" w:rsidP="004B1CE1">
            <w:pPr>
              <w:pStyle w:val="ListParagraph"/>
              <w:widowControl w:val="0"/>
              <w:tabs>
                <w:tab w:val="left" w:pos="426"/>
              </w:tabs>
              <w:autoSpaceDE w:val="0"/>
              <w:autoSpaceDN w:val="0"/>
              <w:adjustRightInd w:val="0"/>
              <w:ind w:left="0"/>
              <w:jc w:val="both"/>
            </w:pPr>
          </w:p>
        </w:tc>
      </w:tr>
      <w:tr w:rsidR="002051EA" w:rsidRPr="00B12ECF" w:rsidTr="000C1436">
        <w:trPr>
          <w:tblCellSpacing w:w="15" w:type="dxa"/>
        </w:trPr>
        <w:tc>
          <w:tcPr>
            <w:tcW w:w="242"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jc w:val="both"/>
              <w:rPr>
                <w:color w:val="000000"/>
              </w:rPr>
            </w:pPr>
            <w:r w:rsidRPr="00B12ECF">
              <w:rPr>
                <w:color w:val="000000"/>
              </w:rPr>
              <w:t>6.</w:t>
            </w:r>
          </w:p>
        </w:tc>
        <w:tc>
          <w:tcPr>
            <w:tcW w:w="1621"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jc w:val="both"/>
              <w:rPr>
                <w:color w:val="000000"/>
              </w:rPr>
            </w:pPr>
            <w:r w:rsidRPr="00B12ECF">
              <w:rPr>
                <w:color w:val="000000"/>
              </w:rPr>
              <w:t xml:space="preserve">Administratīvo izmaksu </w:t>
            </w:r>
            <w:r w:rsidRPr="00B12ECF">
              <w:rPr>
                <w:color w:val="000000"/>
              </w:rPr>
              <w:lastRenderedPageBreak/>
              <w:t>monetārs novērtējums</w:t>
            </w:r>
          </w:p>
        </w:tc>
        <w:tc>
          <w:tcPr>
            <w:tcW w:w="3073" w:type="pct"/>
            <w:tcBorders>
              <w:top w:val="outset" w:sz="6" w:space="0" w:color="000000"/>
              <w:left w:val="outset" w:sz="6" w:space="0" w:color="000000"/>
              <w:bottom w:val="outset" w:sz="6" w:space="0" w:color="000000"/>
              <w:right w:val="outset" w:sz="6" w:space="0" w:color="000000"/>
            </w:tcBorders>
            <w:hideMark/>
          </w:tcPr>
          <w:p w:rsidR="002051EA" w:rsidRPr="00B12ECF" w:rsidRDefault="00725AFD">
            <w:pPr>
              <w:spacing w:before="100" w:beforeAutospacing="1" w:after="100" w:afterAutospacing="1"/>
              <w:jc w:val="both"/>
              <w:rPr>
                <w:color w:val="000000"/>
              </w:rPr>
            </w:pPr>
            <w:r>
              <w:lastRenderedPageBreak/>
              <w:t xml:space="preserve"> </w:t>
            </w:r>
            <w:r w:rsidR="002051EA" w:rsidRPr="00B12ECF">
              <w:t>Projekts šo jomu neskar.</w:t>
            </w:r>
          </w:p>
        </w:tc>
      </w:tr>
      <w:tr w:rsidR="002051EA" w:rsidRPr="00B12ECF" w:rsidTr="000C1436">
        <w:trPr>
          <w:tblCellSpacing w:w="15" w:type="dxa"/>
        </w:trPr>
        <w:tc>
          <w:tcPr>
            <w:tcW w:w="242"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jc w:val="both"/>
              <w:rPr>
                <w:color w:val="000000"/>
              </w:rPr>
            </w:pPr>
            <w:r w:rsidRPr="00B12ECF">
              <w:rPr>
                <w:color w:val="000000"/>
              </w:rPr>
              <w:lastRenderedPageBreak/>
              <w:t>7.</w:t>
            </w:r>
          </w:p>
        </w:tc>
        <w:tc>
          <w:tcPr>
            <w:tcW w:w="1621"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jc w:val="both"/>
              <w:rPr>
                <w:color w:val="000000"/>
              </w:rPr>
            </w:pPr>
            <w:r w:rsidRPr="00B12ECF">
              <w:rPr>
                <w:color w:val="000000"/>
              </w:rPr>
              <w:t>Cita informācija</w:t>
            </w:r>
          </w:p>
        </w:tc>
        <w:tc>
          <w:tcPr>
            <w:tcW w:w="3073" w:type="pct"/>
            <w:tcBorders>
              <w:top w:val="outset" w:sz="6" w:space="0" w:color="000000"/>
              <w:left w:val="outset" w:sz="6" w:space="0" w:color="000000"/>
              <w:bottom w:val="outset" w:sz="6" w:space="0" w:color="000000"/>
              <w:right w:val="outset" w:sz="6" w:space="0" w:color="000000"/>
            </w:tcBorders>
            <w:hideMark/>
          </w:tcPr>
          <w:p w:rsidR="002051EA" w:rsidRPr="00B12ECF" w:rsidRDefault="00725AFD">
            <w:pPr>
              <w:spacing w:before="100" w:beforeAutospacing="1" w:after="100" w:afterAutospacing="1"/>
              <w:jc w:val="both"/>
              <w:rPr>
                <w:color w:val="000000"/>
              </w:rPr>
            </w:pPr>
            <w:r>
              <w:rPr>
                <w:color w:val="000000"/>
              </w:rPr>
              <w:t xml:space="preserve"> </w:t>
            </w:r>
            <w:r w:rsidR="002051EA" w:rsidRPr="00B12ECF">
              <w:rPr>
                <w:color w:val="000000"/>
              </w:rPr>
              <w:t>Nav</w:t>
            </w:r>
            <w:r w:rsidR="00F05AE8" w:rsidRPr="00B12ECF">
              <w:rPr>
                <w:color w:val="000000"/>
              </w:rPr>
              <w:t>.</w:t>
            </w:r>
          </w:p>
        </w:tc>
      </w:tr>
    </w:tbl>
    <w:p w:rsidR="00AF5FFA" w:rsidRPr="00B12ECF" w:rsidRDefault="00AF5FFA" w:rsidP="00E156A5">
      <w:pPr>
        <w:tabs>
          <w:tab w:val="left" w:pos="1395"/>
        </w:tabs>
        <w:spacing w:before="100" w:beforeAutospacing="1" w:after="100" w:afterAutospacing="1"/>
        <w:jc w:val="both"/>
        <w:rPr>
          <w:i/>
          <w:color w:val="000000"/>
        </w:rPr>
      </w:pPr>
    </w:p>
    <w:tbl>
      <w:tblPr>
        <w:tblW w:w="5155"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99"/>
        <w:gridCol w:w="3004"/>
        <w:gridCol w:w="6004"/>
      </w:tblGrid>
      <w:tr w:rsidR="002051EA" w:rsidRPr="00B12ECF" w:rsidTr="005517A7">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jc w:val="center"/>
              <w:rPr>
                <w:b/>
                <w:bCs/>
                <w:color w:val="000000"/>
              </w:rPr>
            </w:pPr>
            <w:r w:rsidRPr="00B12ECF">
              <w:rPr>
                <w:color w:val="000000"/>
              </w:rPr>
              <w:t>  </w:t>
            </w:r>
            <w:r w:rsidRPr="00B12ECF">
              <w:rPr>
                <w:b/>
                <w:bCs/>
                <w:color w:val="000000"/>
              </w:rPr>
              <w:t>VII. Tiesību akta projekta izpildes nodrošināšana un tās ietekme uz institūcijām</w:t>
            </w:r>
          </w:p>
        </w:tc>
      </w:tr>
      <w:tr w:rsidR="002051EA" w:rsidRPr="00B12ECF" w:rsidTr="005517A7">
        <w:trPr>
          <w:tblCellSpacing w:w="15" w:type="dxa"/>
        </w:trPr>
        <w:tc>
          <w:tcPr>
            <w:tcW w:w="240"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rPr>
                <w:color w:val="000000"/>
              </w:rPr>
            </w:pPr>
            <w:r w:rsidRPr="00B12ECF">
              <w:rPr>
                <w:color w:val="000000"/>
              </w:rPr>
              <w:t>1.</w:t>
            </w:r>
          </w:p>
        </w:tc>
        <w:tc>
          <w:tcPr>
            <w:tcW w:w="1574"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rPr>
                <w:color w:val="000000"/>
              </w:rPr>
            </w:pPr>
            <w:r w:rsidRPr="00B12ECF">
              <w:rPr>
                <w:color w:val="000000"/>
              </w:rPr>
              <w:t>Projekta izpildē iesaistītās institūcijas</w:t>
            </w:r>
          </w:p>
        </w:tc>
        <w:tc>
          <w:tcPr>
            <w:tcW w:w="3123" w:type="pct"/>
            <w:tcBorders>
              <w:top w:val="outset" w:sz="6" w:space="0" w:color="000000"/>
              <w:left w:val="outset" w:sz="6" w:space="0" w:color="000000"/>
              <w:bottom w:val="outset" w:sz="6" w:space="0" w:color="000000"/>
              <w:right w:val="outset" w:sz="6" w:space="0" w:color="000000"/>
            </w:tcBorders>
            <w:hideMark/>
          </w:tcPr>
          <w:p w:rsidR="002051EA" w:rsidRPr="00B12ECF" w:rsidRDefault="00725AFD">
            <w:pPr>
              <w:spacing w:before="100" w:beforeAutospacing="1" w:after="100" w:afterAutospacing="1"/>
              <w:rPr>
                <w:color w:val="FF0000"/>
              </w:rPr>
            </w:pPr>
            <w:r>
              <w:t xml:space="preserve"> </w:t>
            </w:r>
            <w:r w:rsidR="00BA4AFE" w:rsidRPr="00B12ECF">
              <w:t>Valsts policija</w:t>
            </w:r>
          </w:p>
        </w:tc>
      </w:tr>
      <w:tr w:rsidR="002051EA" w:rsidRPr="00B12ECF" w:rsidTr="005517A7">
        <w:trPr>
          <w:tblCellSpacing w:w="15" w:type="dxa"/>
        </w:trPr>
        <w:tc>
          <w:tcPr>
            <w:tcW w:w="240"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rPr>
                <w:color w:val="000000"/>
              </w:rPr>
            </w:pPr>
            <w:r w:rsidRPr="00B12ECF">
              <w:rPr>
                <w:color w:val="000000"/>
              </w:rPr>
              <w:t>2.</w:t>
            </w:r>
          </w:p>
        </w:tc>
        <w:tc>
          <w:tcPr>
            <w:tcW w:w="1574"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rPr>
                <w:color w:val="000000"/>
              </w:rPr>
            </w:pPr>
            <w:r w:rsidRPr="00B12ECF">
              <w:rPr>
                <w:color w:val="000000"/>
              </w:rPr>
              <w:t>Projekta izpildes ietekme uz pārvaldes funkcijām</w:t>
            </w:r>
          </w:p>
        </w:tc>
        <w:tc>
          <w:tcPr>
            <w:tcW w:w="3123" w:type="pct"/>
            <w:tcBorders>
              <w:top w:val="outset" w:sz="6" w:space="0" w:color="000000"/>
              <w:left w:val="outset" w:sz="6" w:space="0" w:color="000000"/>
              <w:bottom w:val="outset" w:sz="6" w:space="0" w:color="000000"/>
              <w:right w:val="outset" w:sz="6" w:space="0" w:color="000000"/>
            </w:tcBorders>
            <w:hideMark/>
          </w:tcPr>
          <w:p w:rsidR="002051EA" w:rsidRPr="00B12ECF" w:rsidRDefault="005517A7" w:rsidP="005517A7">
            <w:pPr>
              <w:pStyle w:val="naisf"/>
              <w:ind w:left="56" w:hanging="56"/>
              <w:rPr>
                <w:sz w:val="28"/>
                <w:szCs w:val="28"/>
              </w:rPr>
            </w:pPr>
            <w:r>
              <w:rPr>
                <w:sz w:val="28"/>
                <w:szCs w:val="28"/>
              </w:rPr>
              <w:t xml:space="preserve"> </w:t>
            </w:r>
            <w:r w:rsidR="00E813CF" w:rsidRPr="00B12ECF">
              <w:rPr>
                <w:sz w:val="28"/>
                <w:szCs w:val="28"/>
              </w:rPr>
              <w:t xml:space="preserve">Saistībā ar projekta izpildi institūciju funkcijas </w:t>
            </w:r>
            <w:r w:rsidR="00725AFD">
              <w:rPr>
                <w:sz w:val="28"/>
                <w:szCs w:val="28"/>
              </w:rPr>
              <w:t xml:space="preserve">  </w:t>
            </w:r>
            <w:r>
              <w:rPr>
                <w:sz w:val="28"/>
                <w:szCs w:val="28"/>
              </w:rPr>
              <w:t xml:space="preserve">  </w:t>
            </w:r>
            <w:r w:rsidR="00E813CF" w:rsidRPr="00B12ECF">
              <w:rPr>
                <w:sz w:val="28"/>
                <w:szCs w:val="28"/>
              </w:rPr>
              <w:t>netiek paplašinātas vai sašaurinātas.</w:t>
            </w:r>
          </w:p>
        </w:tc>
      </w:tr>
      <w:tr w:rsidR="002051EA" w:rsidRPr="00B12ECF" w:rsidTr="005517A7">
        <w:trPr>
          <w:tblCellSpacing w:w="15" w:type="dxa"/>
        </w:trPr>
        <w:tc>
          <w:tcPr>
            <w:tcW w:w="240"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rPr>
                <w:color w:val="000000"/>
              </w:rPr>
            </w:pPr>
            <w:r w:rsidRPr="00B12ECF">
              <w:rPr>
                <w:color w:val="000000"/>
              </w:rPr>
              <w:t>3.</w:t>
            </w:r>
          </w:p>
        </w:tc>
        <w:tc>
          <w:tcPr>
            <w:tcW w:w="1574"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rPr>
                <w:color w:val="000000"/>
              </w:rPr>
            </w:pPr>
            <w:r w:rsidRPr="00B12ECF">
              <w:rPr>
                <w:color w:val="000000"/>
              </w:rPr>
              <w:t>Projekta izpildes ietekme uz pārvaldes institucionālo struktūru.</w:t>
            </w:r>
          </w:p>
          <w:p w:rsidR="002051EA" w:rsidRPr="00B12ECF" w:rsidRDefault="002051EA">
            <w:pPr>
              <w:spacing w:before="100" w:beforeAutospacing="1" w:after="100" w:afterAutospacing="1"/>
              <w:rPr>
                <w:color w:val="000000"/>
              </w:rPr>
            </w:pPr>
            <w:r w:rsidRPr="00B12ECF">
              <w:rPr>
                <w:color w:val="000000"/>
              </w:rPr>
              <w:t>Jaunu institūciju izveide</w:t>
            </w:r>
          </w:p>
        </w:tc>
        <w:tc>
          <w:tcPr>
            <w:tcW w:w="3123" w:type="pct"/>
            <w:tcBorders>
              <w:top w:val="outset" w:sz="6" w:space="0" w:color="000000"/>
              <w:left w:val="outset" w:sz="6" w:space="0" w:color="000000"/>
              <w:bottom w:val="outset" w:sz="6" w:space="0" w:color="000000"/>
              <w:right w:val="outset" w:sz="6" w:space="0" w:color="000000"/>
            </w:tcBorders>
            <w:hideMark/>
          </w:tcPr>
          <w:p w:rsidR="002051EA" w:rsidRPr="00B12ECF" w:rsidRDefault="005517A7" w:rsidP="005517A7">
            <w:pPr>
              <w:spacing w:before="100" w:beforeAutospacing="1" w:after="100" w:afterAutospacing="1"/>
              <w:ind w:left="56" w:hanging="56"/>
              <w:jc w:val="both"/>
            </w:pPr>
            <w:r>
              <w:t xml:space="preserve"> </w:t>
            </w:r>
            <w:r w:rsidR="002051EA" w:rsidRPr="00B12ECF">
              <w:t xml:space="preserve">Saistībā ar projekta izpildi nav nepieciešams veidot </w:t>
            </w:r>
            <w:r>
              <w:t xml:space="preserve">  </w:t>
            </w:r>
            <w:r w:rsidR="002051EA" w:rsidRPr="00B12ECF">
              <w:t>jaunas institūcijas.</w:t>
            </w:r>
          </w:p>
        </w:tc>
      </w:tr>
      <w:tr w:rsidR="002051EA" w:rsidRPr="00B12ECF" w:rsidTr="005517A7">
        <w:trPr>
          <w:tblCellSpacing w:w="15" w:type="dxa"/>
        </w:trPr>
        <w:tc>
          <w:tcPr>
            <w:tcW w:w="240"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rPr>
                <w:color w:val="000000"/>
              </w:rPr>
            </w:pPr>
            <w:r w:rsidRPr="00B12ECF">
              <w:rPr>
                <w:color w:val="000000"/>
              </w:rPr>
              <w:t>4.</w:t>
            </w:r>
          </w:p>
        </w:tc>
        <w:tc>
          <w:tcPr>
            <w:tcW w:w="1574"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rPr>
                <w:color w:val="000000"/>
              </w:rPr>
            </w:pPr>
            <w:r w:rsidRPr="00B12ECF">
              <w:rPr>
                <w:color w:val="000000"/>
              </w:rPr>
              <w:t>Projekta izpildes ietekme uz pārvaldes institucionālo struktūru.</w:t>
            </w:r>
          </w:p>
          <w:p w:rsidR="002051EA" w:rsidRPr="00B12ECF" w:rsidRDefault="002051EA">
            <w:pPr>
              <w:spacing w:before="100" w:beforeAutospacing="1" w:after="100" w:afterAutospacing="1"/>
              <w:rPr>
                <w:color w:val="000000"/>
              </w:rPr>
            </w:pPr>
            <w:r w:rsidRPr="00B12ECF">
              <w:rPr>
                <w:color w:val="000000"/>
              </w:rPr>
              <w:t>Esošu institūciju likvidācija</w:t>
            </w:r>
          </w:p>
        </w:tc>
        <w:tc>
          <w:tcPr>
            <w:tcW w:w="3123" w:type="pct"/>
            <w:tcBorders>
              <w:top w:val="outset" w:sz="6" w:space="0" w:color="000000"/>
              <w:left w:val="outset" w:sz="6" w:space="0" w:color="000000"/>
              <w:bottom w:val="outset" w:sz="6" w:space="0" w:color="000000"/>
              <w:right w:val="outset" w:sz="6" w:space="0" w:color="000000"/>
            </w:tcBorders>
            <w:hideMark/>
          </w:tcPr>
          <w:p w:rsidR="00BA4AFE" w:rsidRPr="00B12ECF" w:rsidRDefault="005517A7" w:rsidP="005517A7">
            <w:pPr>
              <w:spacing w:before="100" w:beforeAutospacing="1" w:after="100" w:afterAutospacing="1"/>
              <w:ind w:left="35" w:hanging="35"/>
              <w:jc w:val="both"/>
            </w:pPr>
            <w:r>
              <w:t xml:space="preserve"> </w:t>
            </w:r>
            <w:r w:rsidR="002051EA" w:rsidRPr="00B12ECF">
              <w:t xml:space="preserve">Saistībā ar projekta izpildi nav plānots mainīt esošo </w:t>
            </w:r>
            <w:r w:rsidR="00725AFD">
              <w:t xml:space="preserve"> </w:t>
            </w:r>
            <w:r>
              <w:t xml:space="preserve"> </w:t>
            </w:r>
            <w:r w:rsidR="002051EA" w:rsidRPr="00B12ECF">
              <w:t>pār</w:t>
            </w:r>
            <w:r w:rsidR="00BA4AFE" w:rsidRPr="00B12ECF">
              <w:t xml:space="preserve">valdes institucionālo struktūru un likvidēt esošo </w:t>
            </w:r>
            <w:r>
              <w:t xml:space="preserve">    </w:t>
            </w:r>
            <w:r w:rsidR="00BA4AFE" w:rsidRPr="00B12ECF">
              <w:t>institūciju.</w:t>
            </w:r>
          </w:p>
        </w:tc>
      </w:tr>
      <w:tr w:rsidR="002051EA" w:rsidRPr="00B12ECF" w:rsidTr="005517A7">
        <w:trPr>
          <w:tblCellSpacing w:w="15" w:type="dxa"/>
        </w:trPr>
        <w:tc>
          <w:tcPr>
            <w:tcW w:w="240"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rPr>
                <w:color w:val="000000"/>
              </w:rPr>
            </w:pPr>
            <w:r w:rsidRPr="00B12ECF">
              <w:rPr>
                <w:color w:val="000000"/>
              </w:rPr>
              <w:t>5.</w:t>
            </w:r>
          </w:p>
        </w:tc>
        <w:tc>
          <w:tcPr>
            <w:tcW w:w="1574"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rPr>
                <w:color w:val="000000"/>
              </w:rPr>
            </w:pPr>
            <w:r w:rsidRPr="00B12ECF">
              <w:rPr>
                <w:color w:val="000000"/>
              </w:rPr>
              <w:t>Projekta izpildes ietekme uz pārvaldes institucionālo struktūru. Esošu institūciju reorganizācija</w:t>
            </w:r>
          </w:p>
        </w:tc>
        <w:tc>
          <w:tcPr>
            <w:tcW w:w="3123" w:type="pct"/>
            <w:tcBorders>
              <w:top w:val="outset" w:sz="6" w:space="0" w:color="000000"/>
              <w:left w:val="outset" w:sz="6" w:space="0" w:color="000000"/>
              <w:bottom w:val="outset" w:sz="6" w:space="0" w:color="000000"/>
              <w:right w:val="outset" w:sz="6" w:space="0" w:color="000000"/>
            </w:tcBorders>
            <w:hideMark/>
          </w:tcPr>
          <w:p w:rsidR="002051EA" w:rsidRPr="00B12ECF" w:rsidRDefault="00725AFD" w:rsidP="005517A7">
            <w:pPr>
              <w:spacing w:before="100" w:beforeAutospacing="1" w:after="100" w:afterAutospacing="1"/>
              <w:ind w:left="56" w:hanging="56"/>
              <w:jc w:val="both"/>
            </w:pPr>
            <w:r>
              <w:t xml:space="preserve"> </w:t>
            </w:r>
            <w:r w:rsidR="002051EA" w:rsidRPr="00B12ECF">
              <w:t xml:space="preserve">Saistībā ar projekta izpildi nav plānots mainīt esošo </w:t>
            </w:r>
            <w:r>
              <w:t xml:space="preserve">  </w:t>
            </w:r>
            <w:r w:rsidR="005517A7">
              <w:t xml:space="preserve">             </w:t>
            </w:r>
            <w:r w:rsidR="002051EA" w:rsidRPr="00B12ECF">
              <w:t>pārvaldes institucionālo struktūru</w:t>
            </w:r>
            <w:r w:rsidR="00BA4AFE" w:rsidRPr="00B12ECF">
              <w:t xml:space="preserve"> un </w:t>
            </w:r>
            <w:r w:rsidR="00BA4AFE" w:rsidRPr="00173E1F">
              <w:t xml:space="preserve">reorganizēt </w:t>
            </w:r>
            <w:r>
              <w:t xml:space="preserve">  </w:t>
            </w:r>
            <w:r w:rsidR="005517A7">
              <w:t xml:space="preserve">  </w:t>
            </w:r>
            <w:r w:rsidR="00BA4AFE" w:rsidRPr="00173E1F">
              <w:t>esošo institūciju.</w:t>
            </w:r>
          </w:p>
        </w:tc>
      </w:tr>
      <w:tr w:rsidR="002051EA" w:rsidRPr="00B12ECF" w:rsidTr="005517A7">
        <w:trPr>
          <w:tblCellSpacing w:w="15" w:type="dxa"/>
        </w:trPr>
        <w:tc>
          <w:tcPr>
            <w:tcW w:w="240"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jc w:val="both"/>
              <w:rPr>
                <w:color w:val="000000"/>
              </w:rPr>
            </w:pPr>
            <w:r w:rsidRPr="00B12ECF">
              <w:rPr>
                <w:color w:val="000000"/>
              </w:rPr>
              <w:t>6.</w:t>
            </w:r>
          </w:p>
        </w:tc>
        <w:tc>
          <w:tcPr>
            <w:tcW w:w="1574" w:type="pct"/>
            <w:tcBorders>
              <w:top w:val="outset" w:sz="6" w:space="0" w:color="000000"/>
              <w:left w:val="outset" w:sz="6" w:space="0" w:color="000000"/>
              <w:bottom w:val="outset" w:sz="6" w:space="0" w:color="000000"/>
              <w:right w:val="outset" w:sz="6" w:space="0" w:color="000000"/>
            </w:tcBorders>
            <w:hideMark/>
          </w:tcPr>
          <w:p w:rsidR="002051EA" w:rsidRPr="00B12ECF" w:rsidRDefault="002051EA">
            <w:pPr>
              <w:spacing w:before="100" w:beforeAutospacing="1" w:after="100" w:afterAutospacing="1"/>
              <w:jc w:val="both"/>
              <w:rPr>
                <w:color w:val="000000"/>
              </w:rPr>
            </w:pPr>
            <w:r w:rsidRPr="00B12ECF">
              <w:rPr>
                <w:color w:val="000000"/>
              </w:rPr>
              <w:t>Cita informācija</w:t>
            </w:r>
          </w:p>
        </w:tc>
        <w:tc>
          <w:tcPr>
            <w:tcW w:w="3123" w:type="pct"/>
            <w:tcBorders>
              <w:top w:val="outset" w:sz="6" w:space="0" w:color="000000"/>
              <w:left w:val="outset" w:sz="6" w:space="0" w:color="000000"/>
              <w:bottom w:val="outset" w:sz="6" w:space="0" w:color="000000"/>
              <w:right w:val="outset" w:sz="6" w:space="0" w:color="000000"/>
            </w:tcBorders>
            <w:hideMark/>
          </w:tcPr>
          <w:p w:rsidR="002051EA" w:rsidRPr="00B12ECF" w:rsidRDefault="005517A7">
            <w:pPr>
              <w:spacing w:before="100" w:beforeAutospacing="1" w:after="100" w:afterAutospacing="1"/>
              <w:jc w:val="both"/>
              <w:rPr>
                <w:color w:val="000000"/>
              </w:rPr>
            </w:pPr>
            <w:r>
              <w:rPr>
                <w:color w:val="000000"/>
              </w:rPr>
              <w:t xml:space="preserve"> </w:t>
            </w:r>
            <w:r w:rsidR="002051EA" w:rsidRPr="00B12ECF">
              <w:rPr>
                <w:color w:val="000000"/>
              </w:rPr>
              <w:t>Nav.</w:t>
            </w:r>
          </w:p>
        </w:tc>
      </w:tr>
    </w:tbl>
    <w:p w:rsidR="002051EA" w:rsidRPr="00B12ECF" w:rsidRDefault="002051EA" w:rsidP="002051EA">
      <w:pPr>
        <w:ind w:firstLine="720"/>
        <w:rPr>
          <w:color w:val="000000"/>
        </w:rPr>
      </w:pPr>
    </w:p>
    <w:p w:rsidR="002051EA" w:rsidRPr="00B12ECF" w:rsidRDefault="002051EA" w:rsidP="002051EA">
      <w:r w:rsidRPr="00B12ECF">
        <w:rPr>
          <w:color w:val="000000"/>
        </w:rPr>
        <w:t xml:space="preserve">Anotācijas III, IV, V un VI sadaļa - </w:t>
      </w:r>
      <w:r w:rsidR="007A7FFB">
        <w:t>projekts šīs jomas</w:t>
      </w:r>
      <w:r w:rsidRPr="00B12ECF">
        <w:t xml:space="preserve"> neskar.</w:t>
      </w:r>
    </w:p>
    <w:p w:rsidR="002051EA" w:rsidRPr="00B12ECF" w:rsidRDefault="002051EA" w:rsidP="002051EA">
      <w:pPr>
        <w:ind w:firstLine="720"/>
      </w:pPr>
    </w:p>
    <w:p w:rsidR="00B12ECF" w:rsidRPr="00B12ECF" w:rsidRDefault="00B12ECF" w:rsidP="00B12ECF">
      <w:pPr>
        <w:rPr>
          <w:lang w:eastAsia="en-US"/>
        </w:rPr>
      </w:pPr>
    </w:p>
    <w:p w:rsidR="00B12ECF" w:rsidRPr="00B12ECF" w:rsidRDefault="005759B5" w:rsidP="005759B5">
      <w:pPr>
        <w:tabs>
          <w:tab w:val="left" w:pos="284"/>
        </w:tabs>
        <w:rPr>
          <w:lang w:eastAsia="en-US"/>
        </w:rPr>
      </w:pPr>
      <w:r>
        <w:rPr>
          <w:lang w:eastAsia="en-US"/>
        </w:rPr>
        <w:t>Iekšlietu ministrs</w:t>
      </w:r>
      <w:r>
        <w:rPr>
          <w:lang w:eastAsia="en-US"/>
        </w:rPr>
        <w:tab/>
      </w:r>
      <w:r>
        <w:rPr>
          <w:lang w:eastAsia="en-US"/>
        </w:rPr>
        <w:tab/>
      </w:r>
      <w:r>
        <w:rPr>
          <w:lang w:eastAsia="en-US"/>
        </w:rPr>
        <w:tab/>
      </w:r>
      <w:r>
        <w:rPr>
          <w:lang w:eastAsia="en-US"/>
        </w:rPr>
        <w:tab/>
      </w:r>
      <w:r>
        <w:rPr>
          <w:lang w:eastAsia="en-US"/>
        </w:rPr>
        <w:tab/>
      </w:r>
      <w:r>
        <w:rPr>
          <w:lang w:eastAsia="en-US"/>
        </w:rPr>
        <w:tab/>
        <w:t xml:space="preserve">          </w:t>
      </w:r>
      <w:r w:rsidR="00F55A68">
        <w:rPr>
          <w:lang w:eastAsia="en-US"/>
        </w:rPr>
        <w:t xml:space="preserve"> </w:t>
      </w:r>
      <w:r w:rsidR="00E156A5">
        <w:rPr>
          <w:lang w:eastAsia="en-US"/>
        </w:rPr>
        <w:tab/>
        <w:t xml:space="preserve">     </w:t>
      </w:r>
      <w:r w:rsidR="00B12ECF" w:rsidRPr="00B12ECF">
        <w:rPr>
          <w:lang w:eastAsia="en-US"/>
        </w:rPr>
        <w:t>R.Kozlovskis</w:t>
      </w:r>
    </w:p>
    <w:p w:rsidR="00B12ECF" w:rsidRPr="00B12ECF" w:rsidRDefault="00B12ECF" w:rsidP="00B12ECF">
      <w:pPr>
        <w:jc w:val="both"/>
        <w:rPr>
          <w:sz w:val="24"/>
          <w:szCs w:val="24"/>
          <w:lang w:eastAsia="en-US"/>
        </w:rPr>
      </w:pPr>
    </w:p>
    <w:p w:rsidR="00B12ECF" w:rsidRPr="00B12ECF" w:rsidRDefault="00B12ECF" w:rsidP="005759B5">
      <w:pPr>
        <w:ind w:right="71"/>
        <w:jc w:val="right"/>
      </w:pPr>
      <w:r w:rsidRPr="00B12ECF">
        <w:t xml:space="preserve">    </w:t>
      </w:r>
    </w:p>
    <w:p w:rsidR="002051EA" w:rsidRPr="00B12ECF" w:rsidRDefault="00E156A5" w:rsidP="00F55A68">
      <w:pPr>
        <w:pStyle w:val="BodyText"/>
        <w:spacing w:before="0"/>
        <w:ind w:right="-285"/>
        <w:jc w:val="both"/>
        <w:rPr>
          <w:sz w:val="20"/>
        </w:rPr>
      </w:pPr>
      <w:r>
        <w:rPr>
          <w:szCs w:val="28"/>
        </w:rPr>
        <w:t>Vīza: valsts sekretāres pienākumu izpildītāja</w:t>
      </w:r>
      <w:r>
        <w:rPr>
          <w:szCs w:val="28"/>
        </w:rPr>
        <w:tab/>
      </w:r>
      <w:r>
        <w:rPr>
          <w:szCs w:val="28"/>
        </w:rPr>
        <w:tab/>
      </w:r>
      <w:r>
        <w:rPr>
          <w:szCs w:val="28"/>
        </w:rPr>
        <w:tab/>
      </w:r>
      <w:r>
        <w:rPr>
          <w:szCs w:val="28"/>
        </w:rPr>
        <w:tab/>
      </w:r>
      <w:r>
        <w:rPr>
          <w:szCs w:val="28"/>
        </w:rPr>
        <w:tab/>
        <w:t xml:space="preserve">       </w:t>
      </w:r>
      <w:proofErr w:type="spellStart"/>
      <w:r>
        <w:rPr>
          <w:szCs w:val="28"/>
        </w:rPr>
        <w:t>I.Aire</w:t>
      </w:r>
      <w:proofErr w:type="spellEnd"/>
    </w:p>
    <w:p w:rsidR="00D6139A" w:rsidRDefault="00D6139A" w:rsidP="008F1E65">
      <w:pPr>
        <w:jc w:val="both"/>
        <w:rPr>
          <w:sz w:val="20"/>
          <w:szCs w:val="20"/>
        </w:rPr>
      </w:pPr>
    </w:p>
    <w:p w:rsidR="008F1E65" w:rsidRPr="00B12ECF" w:rsidRDefault="00E156A5" w:rsidP="008F1E65">
      <w:pPr>
        <w:jc w:val="both"/>
        <w:rPr>
          <w:sz w:val="20"/>
          <w:szCs w:val="20"/>
        </w:rPr>
      </w:pPr>
      <w:r>
        <w:rPr>
          <w:sz w:val="20"/>
          <w:szCs w:val="20"/>
        </w:rPr>
        <w:t>02</w:t>
      </w:r>
      <w:r w:rsidR="00AF5FFA">
        <w:rPr>
          <w:sz w:val="20"/>
          <w:szCs w:val="20"/>
        </w:rPr>
        <w:t>.08</w:t>
      </w:r>
      <w:r w:rsidR="00FA692B">
        <w:rPr>
          <w:sz w:val="20"/>
          <w:szCs w:val="20"/>
        </w:rPr>
        <w:t>.2013</w:t>
      </w:r>
      <w:r w:rsidR="00B12ECF">
        <w:rPr>
          <w:sz w:val="20"/>
          <w:szCs w:val="20"/>
        </w:rPr>
        <w:t xml:space="preserve">. </w:t>
      </w:r>
      <w:r>
        <w:rPr>
          <w:sz w:val="20"/>
          <w:szCs w:val="20"/>
        </w:rPr>
        <w:t>8:21</w:t>
      </w:r>
    </w:p>
    <w:p w:rsidR="008F1E65" w:rsidRPr="00B12ECF" w:rsidRDefault="00595534" w:rsidP="008F1E65">
      <w:pPr>
        <w:jc w:val="both"/>
        <w:rPr>
          <w:sz w:val="20"/>
          <w:szCs w:val="20"/>
        </w:rPr>
      </w:pPr>
      <w:r w:rsidRPr="00B12ECF">
        <w:rPr>
          <w:sz w:val="20"/>
          <w:szCs w:val="20"/>
        </w:rPr>
        <w:t>1</w:t>
      </w:r>
      <w:r w:rsidR="00E156A5">
        <w:rPr>
          <w:sz w:val="20"/>
          <w:szCs w:val="20"/>
        </w:rPr>
        <w:t>332</w:t>
      </w:r>
    </w:p>
    <w:p w:rsidR="00A62685" w:rsidRDefault="00C30D19" w:rsidP="00DE54D4">
      <w:pPr>
        <w:jc w:val="both"/>
        <w:rPr>
          <w:sz w:val="20"/>
          <w:szCs w:val="20"/>
        </w:rPr>
      </w:pPr>
      <w:r>
        <w:rPr>
          <w:sz w:val="20"/>
          <w:szCs w:val="20"/>
        </w:rPr>
        <w:t>Kurme</w:t>
      </w:r>
    </w:p>
    <w:p w:rsidR="00C30D19" w:rsidRPr="00DE54D4" w:rsidRDefault="00C30D19" w:rsidP="00DE54D4">
      <w:pPr>
        <w:jc w:val="both"/>
        <w:rPr>
          <w:sz w:val="20"/>
          <w:szCs w:val="20"/>
        </w:rPr>
      </w:pPr>
      <w:r>
        <w:rPr>
          <w:sz w:val="20"/>
          <w:szCs w:val="20"/>
        </w:rPr>
        <w:t>67219310, Gunta.Kurme@iem.gov.lv</w:t>
      </w:r>
    </w:p>
    <w:sectPr w:rsidR="00C30D19" w:rsidRPr="00DE54D4" w:rsidSect="002C6B04">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F19" w:rsidRDefault="00AB4F19" w:rsidP="00424E20">
      <w:r>
        <w:separator/>
      </w:r>
    </w:p>
  </w:endnote>
  <w:endnote w:type="continuationSeparator" w:id="0">
    <w:p w:rsidR="00AB4F19" w:rsidRDefault="00AB4F19" w:rsidP="0042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D19" w:rsidRDefault="00E156A5" w:rsidP="00C30D19">
    <w:pPr>
      <w:pStyle w:val="Footer"/>
      <w:jc w:val="both"/>
    </w:pPr>
    <w:r>
      <w:rPr>
        <w:sz w:val="20"/>
        <w:szCs w:val="20"/>
        <w:lang w:eastAsia="en-US"/>
      </w:rPr>
      <w:t>IEMAnot_02</w:t>
    </w:r>
    <w:r w:rsidR="00AF5FFA">
      <w:rPr>
        <w:sz w:val="20"/>
        <w:szCs w:val="20"/>
        <w:lang w:eastAsia="en-US"/>
      </w:rPr>
      <w:t>08</w:t>
    </w:r>
    <w:r w:rsidR="00C30D19">
      <w:rPr>
        <w:sz w:val="20"/>
        <w:szCs w:val="20"/>
        <w:lang w:eastAsia="en-US"/>
      </w:rPr>
      <w:t xml:space="preserve">13_detektivi.doc.; Ministru kabineta noteikumu projekta </w:t>
    </w:r>
    <w:r w:rsidR="00C30D19" w:rsidRPr="00424E20">
      <w:rPr>
        <w:bCs/>
        <w:sz w:val="20"/>
        <w:szCs w:val="20"/>
        <w:lang w:eastAsia="en-US"/>
      </w:rPr>
      <w:t>„Detektīvdarbības licencēšanas un sertifikācijas noteikumi”</w:t>
    </w:r>
    <w:r w:rsidR="00C30D19">
      <w:rPr>
        <w:bCs/>
        <w:sz w:val="20"/>
        <w:szCs w:val="20"/>
        <w:lang w:eastAsia="en-US"/>
      </w:rPr>
      <w:t xml:space="preserve"> </w:t>
    </w:r>
    <w:r w:rsidR="00C30D19" w:rsidRPr="002B5EDC">
      <w:rPr>
        <w:sz w:val="20"/>
        <w:szCs w:val="20"/>
      </w:rPr>
      <w:t xml:space="preserve">sākotnējās ietekmes novērtējuma </w:t>
    </w:r>
    <w:smartTag w:uri="schemas-tilde-lv/tildestengine" w:element="veidnes">
      <w:smartTagPr>
        <w:attr w:name="text" w:val="ziņojums"/>
        <w:attr w:name="id" w:val="-1"/>
        <w:attr w:name="baseform" w:val="ziņojum|s"/>
      </w:smartTagPr>
      <w:r w:rsidR="00C30D19" w:rsidRPr="002B5EDC">
        <w:rPr>
          <w:sz w:val="20"/>
          <w:szCs w:val="20"/>
        </w:rPr>
        <w:t>ziņojums</w:t>
      </w:r>
    </w:smartTag>
    <w:r w:rsidR="00C30D19" w:rsidRPr="002B5EDC">
      <w:rPr>
        <w:sz w:val="20"/>
        <w:szCs w:val="20"/>
      </w:rPr>
      <w:t xml:space="preserve"> (anotācija)</w:t>
    </w:r>
  </w:p>
  <w:p w:rsidR="00EA535D" w:rsidRDefault="00EA53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6B2" w:rsidRDefault="00E156A5" w:rsidP="008A26B2">
    <w:pPr>
      <w:pStyle w:val="Footer"/>
      <w:jc w:val="both"/>
    </w:pPr>
    <w:r>
      <w:rPr>
        <w:sz w:val="20"/>
        <w:szCs w:val="20"/>
        <w:lang w:eastAsia="en-US"/>
      </w:rPr>
      <w:t>IEMAnot_02</w:t>
    </w:r>
    <w:r w:rsidR="00AF5FFA">
      <w:rPr>
        <w:sz w:val="20"/>
        <w:szCs w:val="20"/>
        <w:lang w:eastAsia="en-US"/>
      </w:rPr>
      <w:t>08</w:t>
    </w:r>
    <w:r w:rsidR="00C30D19">
      <w:rPr>
        <w:sz w:val="20"/>
        <w:szCs w:val="20"/>
        <w:lang w:eastAsia="en-US"/>
      </w:rPr>
      <w:t>13_detektivi.</w:t>
    </w:r>
    <w:r w:rsidR="008A26B2">
      <w:rPr>
        <w:sz w:val="20"/>
        <w:szCs w:val="20"/>
        <w:lang w:eastAsia="en-US"/>
      </w:rPr>
      <w:t xml:space="preserve">doc.; Ministru kabineta noteikumu projekta </w:t>
    </w:r>
    <w:r w:rsidR="008A26B2" w:rsidRPr="00424E20">
      <w:rPr>
        <w:bCs/>
        <w:sz w:val="20"/>
        <w:szCs w:val="20"/>
        <w:lang w:eastAsia="en-US"/>
      </w:rPr>
      <w:t>„Detektīvdarbības licencēšanas un sertifikācijas noteikumi”</w:t>
    </w:r>
    <w:r w:rsidR="008A26B2">
      <w:rPr>
        <w:bCs/>
        <w:sz w:val="20"/>
        <w:szCs w:val="20"/>
        <w:lang w:eastAsia="en-US"/>
      </w:rPr>
      <w:t xml:space="preserve"> </w:t>
    </w:r>
    <w:r w:rsidR="008A26B2" w:rsidRPr="002B5EDC">
      <w:rPr>
        <w:sz w:val="20"/>
        <w:szCs w:val="20"/>
      </w:rPr>
      <w:t xml:space="preserve">sākotnējās ietekmes novērtējuma </w:t>
    </w:r>
    <w:smartTag w:uri="schemas-tilde-lv/tildestengine" w:element="veidnes">
      <w:smartTagPr>
        <w:attr w:name="text" w:val="ziņojums"/>
        <w:attr w:name="id" w:val="-1"/>
        <w:attr w:name="baseform" w:val="ziņojum|s"/>
      </w:smartTagPr>
      <w:r w:rsidR="008A26B2" w:rsidRPr="002B5EDC">
        <w:rPr>
          <w:sz w:val="20"/>
          <w:szCs w:val="20"/>
        </w:rPr>
        <w:t>ziņojums</w:t>
      </w:r>
    </w:smartTag>
    <w:r w:rsidR="008A26B2" w:rsidRPr="002B5EDC">
      <w:rPr>
        <w:sz w:val="20"/>
        <w:szCs w:val="20"/>
      </w:rPr>
      <w:t xml:space="preserve"> (anotācija)</w:t>
    </w:r>
  </w:p>
  <w:p w:rsidR="008A26B2" w:rsidRDefault="008A2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F19" w:rsidRDefault="00AB4F19" w:rsidP="00424E20">
      <w:r>
        <w:separator/>
      </w:r>
    </w:p>
  </w:footnote>
  <w:footnote w:type="continuationSeparator" w:id="0">
    <w:p w:rsidR="00AB4F19" w:rsidRDefault="00AB4F19" w:rsidP="00424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104719"/>
      <w:docPartObj>
        <w:docPartGallery w:val="Page Numbers (Top of Page)"/>
        <w:docPartUnique/>
      </w:docPartObj>
    </w:sdtPr>
    <w:sdtEndPr/>
    <w:sdtContent>
      <w:p w:rsidR="00EA535D" w:rsidRDefault="00191FEE">
        <w:pPr>
          <w:pStyle w:val="Header"/>
          <w:jc w:val="center"/>
        </w:pPr>
        <w:r>
          <w:fldChar w:fldCharType="begin"/>
        </w:r>
        <w:r w:rsidR="005028DA">
          <w:instrText xml:space="preserve"> PAGE   \* MERGEFORMAT </w:instrText>
        </w:r>
        <w:r>
          <w:fldChar w:fldCharType="separate"/>
        </w:r>
        <w:r w:rsidR="00E156A5">
          <w:rPr>
            <w:noProof/>
          </w:rPr>
          <w:t>6</w:t>
        </w:r>
        <w:r>
          <w:rPr>
            <w:noProof/>
          </w:rPr>
          <w:fldChar w:fldCharType="end"/>
        </w:r>
      </w:p>
    </w:sdtContent>
  </w:sdt>
  <w:p w:rsidR="00EA535D" w:rsidRDefault="00EA53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67F4"/>
    <w:multiLevelType w:val="multilevel"/>
    <w:tmpl w:val="D706BEBE"/>
    <w:lvl w:ilvl="0">
      <w:start w:val="13"/>
      <w:numFmt w:val="decimal"/>
      <w:lvlText w:val="%1."/>
      <w:lvlJc w:val="left"/>
      <w:pPr>
        <w:ind w:left="1226" w:hanging="375"/>
      </w:pPr>
      <w:rPr>
        <w:rFonts w:hint="default"/>
        <w:color w:val="auto"/>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087050CA"/>
    <w:multiLevelType w:val="multilevel"/>
    <w:tmpl w:val="47A2957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0D3F5910"/>
    <w:multiLevelType w:val="hybridMultilevel"/>
    <w:tmpl w:val="EA8CA81C"/>
    <w:lvl w:ilvl="0" w:tplc="E9BC9140">
      <w:start w:val="1"/>
      <w:numFmt w:val="decimal"/>
      <w:lvlText w:val="%1."/>
      <w:lvlJc w:val="left"/>
      <w:pPr>
        <w:ind w:left="1178" w:hanging="6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3">
    <w:nsid w:val="2CB6006D"/>
    <w:multiLevelType w:val="hybridMultilevel"/>
    <w:tmpl w:val="EF0C24D4"/>
    <w:lvl w:ilvl="0" w:tplc="A9EC406C">
      <w:start w:val="1"/>
      <w:numFmt w:val="decimal"/>
      <w:lvlText w:val="%1."/>
      <w:lvlJc w:val="left"/>
      <w:pPr>
        <w:ind w:left="720" w:hanging="360"/>
      </w:pPr>
      <w:rPr>
        <w:rFonts w:ascii="Verdana" w:hAnsi="Verdana" w:hint="default"/>
        <w:color w:val="666666"/>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DB96D6F"/>
    <w:multiLevelType w:val="hybridMultilevel"/>
    <w:tmpl w:val="6D1EA2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0A0258C"/>
    <w:multiLevelType w:val="hybridMultilevel"/>
    <w:tmpl w:val="1F7AE24C"/>
    <w:lvl w:ilvl="0" w:tplc="CB14700C">
      <w:start w:val="1"/>
      <w:numFmt w:val="decimal"/>
      <w:lvlText w:val="%1."/>
      <w:lvlJc w:val="left"/>
      <w:pPr>
        <w:ind w:left="447" w:hanging="360"/>
      </w:pPr>
      <w:rPr>
        <w:rFonts w:hint="default"/>
      </w:rPr>
    </w:lvl>
    <w:lvl w:ilvl="1" w:tplc="04260019" w:tentative="1">
      <w:start w:val="1"/>
      <w:numFmt w:val="lowerLetter"/>
      <w:lvlText w:val="%2."/>
      <w:lvlJc w:val="left"/>
      <w:pPr>
        <w:ind w:left="1167" w:hanging="360"/>
      </w:pPr>
    </w:lvl>
    <w:lvl w:ilvl="2" w:tplc="0426001B" w:tentative="1">
      <w:start w:val="1"/>
      <w:numFmt w:val="lowerRoman"/>
      <w:lvlText w:val="%3."/>
      <w:lvlJc w:val="right"/>
      <w:pPr>
        <w:ind w:left="1887" w:hanging="180"/>
      </w:pPr>
    </w:lvl>
    <w:lvl w:ilvl="3" w:tplc="0426000F" w:tentative="1">
      <w:start w:val="1"/>
      <w:numFmt w:val="decimal"/>
      <w:lvlText w:val="%4."/>
      <w:lvlJc w:val="left"/>
      <w:pPr>
        <w:ind w:left="2607" w:hanging="360"/>
      </w:pPr>
    </w:lvl>
    <w:lvl w:ilvl="4" w:tplc="04260019" w:tentative="1">
      <w:start w:val="1"/>
      <w:numFmt w:val="lowerLetter"/>
      <w:lvlText w:val="%5."/>
      <w:lvlJc w:val="left"/>
      <w:pPr>
        <w:ind w:left="3327" w:hanging="360"/>
      </w:pPr>
    </w:lvl>
    <w:lvl w:ilvl="5" w:tplc="0426001B" w:tentative="1">
      <w:start w:val="1"/>
      <w:numFmt w:val="lowerRoman"/>
      <w:lvlText w:val="%6."/>
      <w:lvlJc w:val="right"/>
      <w:pPr>
        <w:ind w:left="4047" w:hanging="180"/>
      </w:pPr>
    </w:lvl>
    <w:lvl w:ilvl="6" w:tplc="0426000F" w:tentative="1">
      <w:start w:val="1"/>
      <w:numFmt w:val="decimal"/>
      <w:lvlText w:val="%7."/>
      <w:lvlJc w:val="left"/>
      <w:pPr>
        <w:ind w:left="4767" w:hanging="360"/>
      </w:pPr>
    </w:lvl>
    <w:lvl w:ilvl="7" w:tplc="04260019" w:tentative="1">
      <w:start w:val="1"/>
      <w:numFmt w:val="lowerLetter"/>
      <w:lvlText w:val="%8."/>
      <w:lvlJc w:val="left"/>
      <w:pPr>
        <w:ind w:left="5487" w:hanging="360"/>
      </w:pPr>
    </w:lvl>
    <w:lvl w:ilvl="8" w:tplc="0426001B" w:tentative="1">
      <w:start w:val="1"/>
      <w:numFmt w:val="lowerRoman"/>
      <w:lvlText w:val="%9."/>
      <w:lvlJc w:val="right"/>
      <w:pPr>
        <w:ind w:left="6207"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EA"/>
    <w:rsid w:val="000029C3"/>
    <w:rsid w:val="000042DA"/>
    <w:rsid w:val="00032B0E"/>
    <w:rsid w:val="00040148"/>
    <w:rsid w:val="000451AC"/>
    <w:rsid w:val="000470E2"/>
    <w:rsid w:val="000505C0"/>
    <w:rsid w:val="000616CC"/>
    <w:rsid w:val="00066ABB"/>
    <w:rsid w:val="000962D0"/>
    <w:rsid w:val="000A7DDB"/>
    <w:rsid w:val="000B2D05"/>
    <w:rsid w:val="000B2E01"/>
    <w:rsid w:val="000C1436"/>
    <w:rsid w:val="000C585C"/>
    <w:rsid w:val="000D59CF"/>
    <w:rsid w:val="000D5A53"/>
    <w:rsid w:val="000F73A5"/>
    <w:rsid w:val="001170F1"/>
    <w:rsid w:val="001469FC"/>
    <w:rsid w:val="0016056E"/>
    <w:rsid w:val="00173E1F"/>
    <w:rsid w:val="00182B81"/>
    <w:rsid w:val="001848FD"/>
    <w:rsid w:val="00191CA3"/>
    <w:rsid w:val="00191FEE"/>
    <w:rsid w:val="001A0870"/>
    <w:rsid w:val="001B45D2"/>
    <w:rsid w:val="001D4E96"/>
    <w:rsid w:val="001F5E67"/>
    <w:rsid w:val="00203801"/>
    <w:rsid w:val="002051EA"/>
    <w:rsid w:val="0020610F"/>
    <w:rsid w:val="00207A31"/>
    <w:rsid w:val="00221879"/>
    <w:rsid w:val="00243200"/>
    <w:rsid w:val="00253167"/>
    <w:rsid w:val="0025656A"/>
    <w:rsid w:val="00264BD3"/>
    <w:rsid w:val="00297666"/>
    <w:rsid w:val="002A0ED2"/>
    <w:rsid w:val="002A2F35"/>
    <w:rsid w:val="002C6B04"/>
    <w:rsid w:val="002D40D7"/>
    <w:rsid w:val="00305F8E"/>
    <w:rsid w:val="003604AE"/>
    <w:rsid w:val="00363B37"/>
    <w:rsid w:val="00373593"/>
    <w:rsid w:val="003863B8"/>
    <w:rsid w:val="00395308"/>
    <w:rsid w:val="003A260D"/>
    <w:rsid w:val="003E5F2A"/>
    <w:rsid w:val="003F0CC9"/>
    <w:rsid w:val="00411F26"/>
    <w:rsid w:val="00424E20"/>
    <w:rsid w:val="00441983"/>
    <w:rsid w:val="00441FCF"/>
    <w:rsid w:val="0047705F"/>
    <w:rsid w:val="0049186F"/>
    <w:rsid w:val="00491E53"/>
    <w:rsid w:val="004A26BD"/>
    <w:rsid w:val="004A2BA4"/>
    <w:rsid w:val="004A503B"/>
    <w:rsid w:val="004B1CE1"/>
    <w:rsid w:val="004B3D82"/>
    <w:rsid w:val="004C2A8F"/>
    <w:rsid w:val="004D5625"/>
    <w:rsid w:val="005028DA"/>
    <w:rsid w:val="00530238"/>
    <w:rsid w:val="005444B0"/>
    <w:rsid w:val="005517A7"/>
    <w:rsid w:val="005759B5"/>
    <w:rsid w:val="0057721E"/>
    <w:rsid w:val="0058449A"/>
    <w:rsid w:val="00587B8B"/>
    <w:rsid w:val="00590297"/>
    <w:rsid w:val="00595534"/>
    <w:rsid w:val="00597BF4"/>
    <w:rsid w:val="005B29BD"/>
    <w:rsid w:val="005B3B1F"/>
    <w:rsid w:val="005C3459"/>
    <w:rsid w:val="005E03C1"/>
    <w:rsid w:val="005E5F8B"/>
    <w:rsid w:val="005F2AB6"/>
    <w:rsid w:val="00601980"/>
    <w:rsid w:val="0060408F"/>
    <w:rsid w:val="00634E15"/>
    <w:rsid w:val="00635178"/>
    <w:rsid w:val="0065048D"/>
    <w:rsid w:val="00653CD6"/>
    <w:rsid w:val="00682AE8"/>
    <w:rsid w:val="00693824"/>
    <w:rsid w:val="006A6673"/>
    <w:rsid w:val="006B1751"/>
    <w:rsid w:val="006B4D95"/>
    <w:rsid w:val="006D3C49"/>
    <w:rsid w:val="006E3A92"/>
    <w:rsid w:val="006F28DF"/>
    <w:rsid w:val="00725AFD"/>
    <w:rsid w:val="00737E2F"/>
    <w:rsid w:val="00755E1F"/>
    <w:rsid w:val="007613BE"/>
    <w:rsid w:val="007723DF"/>
    <w:rsid w:val="00773381"/>
    <w:rsid w:val="00780A7D"/>
    <w:rsid w:val="007A5B15"/>
    <w:rsid w:val="007A7FFB"/>
    <w:rsid w:val="007B3B11"/>
    <w:rsid w:val="007C262A"/>
    <w:rsid w:val="007C6F7A"/>
    <w:rsid w:val="007C7611"/>
    <w:rsid w:val="007D32CD"/>
    <w:rsid w:val="00825332"/>
    <w:rsid w:val="008507F7"/>
    <w:rsid w:val="0085119B"/>
    <w:rsid w:val="00856798"/>
    <w:rsid w:val="008949BF"/>
    <w:rsid w:val="008A26B2"/>
    <w:rsid w:val="008A3CAC"/>
    <w:rsid w:val="008A6C5B"/>
    <w:rsid w:val="008D0703"/>
    <w:rsid w:val="008F10A4"/>
    <w:rsid w:val="008F1E65"/>
    <w:rsid w:val="00901D79"/>
    <w:rsid w:val="00911C2B"/>
    <w:rsid w:val="00911F8D"/>
    <w:rsid w:val="00920043"/>
    <w:rsid w:val="009228B3"/>
    <w:rsid w:val="00935DD8"/>
    <w:rsid w:val="009559E0"/>
    <w:rsid w:val="00963B26"/>
    <w:rsid w:val="00974645"/>
    <w:rsid w:val="00985689"/>
    <w:rsid w:val="009A06CA"/>
    <w:rsid w:val="009B2B3A"/>
    <w:rsid w:val="009B4E74"/>
    <w:rsid w:val="009B69B2"/>
    <w:rsid w:val="009C396F"/>
    <w:rsid w:val="009C3E31"/>
    <w:rsid w:val="009D01CE"/>
    <w:rsid w:val="009D3A42"/>
    <w:rsid w:val="00A15600"/>
    <w:rsid w:val="00A27AEC"/>
    <w:rsid w:val="00A45F2F"/>
    <w:rsid w:val="00A62146"/>
    <w:rsid w:val="00A62685"/>
    <w:rsid w:val="00A709B3"/>
    <w:rsid w:val="00A7112E"/>
    <w:rsid w:val="00A93BA1"/>
    <w:rsid w:val="00A97490"/>
    <w:rsid w:val="00AA0A41"/>
    <w:rsid w:val="00AB4F19"/>
    <w:rsid w:val="00AB6EA0"/>
    <w:rsid w:val="00AB79DC"/>
    <w:rsid w:val="00AC34E5"/>
    <w:rsid w:val="00AD55FB"/>
    <w:rsid w:val="00AE18A1"/>
    <w:rsid w:val="00AE3A70"/>
    <w:rsid w:val="00AE6ABB"/>
    <w:rsid w:val="00AF5FFA"/>
    <w:rsid w:val="00B01D08"/>
    <w:rsid w:val="00B12ECF"/>
    <w:rsid w:val="00B15E42"/>
    <w:rsid w:val="00B2034F"/>
    <w:rsid w:val="00B22616"/>
    <w:rsid w:val="00B251F4"/>
    <w:rsid w:val="00B35412"/>
    <w:rsid w:val="00B5425D"/>
    <w:rsid w:val="00B565C7"/>
    <w:rsid w:val="00B63E28"/>
    <w:rsid w:val="00BA030F"/>
    <w:rsid w:val="00BA0927"/>
    <w:rsid w:val="00BA4AFE"/>
    <w:rsid w:val="00BB4885"/>
    <w:rsid w:val="00BC7AF7"/>
    <w:rsid w:val="00BD3020"/>
    <w:rsid w:val="00BE6AF7"/>
    <w:rsid w:val="00C00E1E"/>
    <w:rsid w:val="00C05968"/>
    <w:rsid w:val="00C15450"/>
    <w:rsid w:val="00C30D19"/>
    <w:rsid w:val="00C44E0C"/>
    <w:rsid w:val="00C523C5"/>
    <w:rsid w:val="00C64DB9"/>
    <w:rsid w:val="00C75731"/>
    <w:rsid w:val="00C75F65"/>
    <w:rsid w:val="00C86AC1"/>
    <w:rsid w:val="00C915F2"/>
    <w:rsid w:val="00CD4485"/>
    <w:rsid w:val="00CD4640"/>
    <w:rsid w:val="00CE15CF"/>
    <w:rsid w:val="00CF691E"/>
    <w:rsid w:val="00D02D3A"/>
    <w:rsid w:val="00D0411A"/>
    <w:rsid w:val="00D06606"/>
    <w:rsid w:val="00D120D4"/>
    <w:rsid w:val="00D3786B"/>
    <w:rsid w:val="00D6139A"/>
    <w:rsid w:val="00D653FF"/>
    <w:rsid w:val="00D65D1E"/>
    <w:rsid w:val="00D71171"/>
    <w:rsid w:val="00D93031"/>
    <w:rsid w:val="00D9665B"/>
    <w:rsid w:val="00DA723C"/>
    <w:rsid w:val="00DC2155"/>
    <w:rsid w:val="00DC2D09"/>
    <w:rsid w:val="00DE54D4"/>
    <w:rsid w:val="00DF7B98"/>
    <w:rsid w:val="00E000BA"/>
    <w:rsid w:val="00E04108"/>
    <w:rsid w:val="00E074E9"/>
    <w:rsid w:val="00E14A16"/>
    <w:rsid w:val="00E156A5"/>
    <w:rsid w:val="00E32D3F"/>
    <w:rsid w:val="00E512C7"/>
    <w:rsid w:val="00E66876"/>
    <w:rsid w:val="00E70EE6"/>
    <w:rsid w:val="00E7219C"/>
    <w:rsid w:val="00E81206"/>
    <w:rsid w:val="00E813CF"/>
    <w:rsid w:val="00E85DAF"/>
    <w:rsid w:val="00E90C98"/>
    <w:rsid w:val="00E91D0A"/>
    <w:rsid w:val="00EA312D"/>
    <w:rsid w:val="00EA535D"/>
    <w:rsid w:val="00EA53FE"/>
    <w:rsid w:val="00EA7952"/>
    <w:rsid w:val="00EB7F23"/>
    <w:rsid w:val="00ED3233"/>
    <w:rsid w:val="00ED5F11"/>
    <w:rsid w:val="00EE57B7"/>
    <w:rsid w:val="00EF7A7B"/>
    <w:rsid w:val="00F05AE8"/>
    <w:rsid w:val="00F15D37"/>
    <w:rsid w:val="00F202C4"/>
    <w:rsid w:val="00F2281F"/>
    <w:rsid w:val="00F24D39"/>
    <w:rsid w:val="00F55A68"/>
    <w:rsid w:val="00F647C7"/>
    <w:rsid w:val="00F649FF"/>
    <w:rsid w:val="00F82C4D"/>
    <w:rsid w:val="00FA2076"/>
    <w:rsid w:val="00FA3004"/>
    <w:rsid w:val="00FA692B"/>
    <w:rsid w:val="00FB1050"/>
    <w:rsid w:val="00FE0C2C"/>
    <w:rsid w:val="00FF16F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1EA"/>
    <w:pPr>
      <w:spacing w:after="0" w:line="240" w:lineRule="auto"/>
    </w:pPr>
    <w:rPr>
      <w:rFonts w:ascii="Times New Roman" w:eastAsia="Times New Roman" w:hAnsi="Times New Roman" w:cs="Times New Roman"/>
      <w:sz w:val="28"/>
      <w:szCs w:val="28"/>
      <w:lang w:eastAsia="lv-LV"/>
    </w:rPr>
  </w:style>
  <w:style w:type="paragraph" w:styleId="Heading3">
    <w:name w:val="heading 3"/>
    <w:basedOn w:val="Normal"/>
    <w:link w:val="Heading3Char"/>
    <w:uiPriority w:val="9"/>
    <w:qFormat/>
    <w:rsid w:val="00373593"/>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051EA"/>
    <w:rPr>
      <w:strike w:val="0"/>
      <w:dstrike w:val="0"/>
      <w:color w:val="40407C"/>
      <w:u w:val="none"/>
      <w:effect w:val="none"/>
    </w:rPr>
  </w:style>
  <w:style w:type="paragraph" w:styleId="BodyText">
    <w:name w:val="Body Text"/>
    <w:basedOn w:val="Normal"/>
    <w:link w:val="BodyTextChar"/>
    <w:semiHidden/>
    <w:unhideWhenUsed/>
    <w:rsid w:val="002051EA"/>
    <w:pPr>
      <w:spacing w:before="120"/>
    </w:pPr>
    <w:rPr>
      <w:szCs w:val="24"/>
    </w:rPr>
  </w:style>
  <w:style w:type="character" w:customStyle="1" w:styleId="BodyTextChar">
    <w:name w:val="Body Text Char"/>
    <w:basedOn w:val="DefaultParagraphFont"/>
    <w:link w:val="BodyText"/>
    <w:semiHidden/>
    <w:rsid w:val="002051EA"/>
    <w:rPr>
      <w:rFonts w:ascii="Times New Roman" w:eastAsia="Times New Roman" w:hAnsi="Times New Roman" w:cs="Times New Roman"/>
      <w:sz w:val="28"/>
      <w:szCs w:val="24"/>
      <w:lang w:eastAsia="lv-LV"/>
    </w:rPr>
  </w:style>
  <w:style w:type="paragraph" w:customStyle="1" w:styleId="naisf">
    <w:name w:val="naisf"/>
    <w:basedOn w:val="Normal"/>
    <w:rsid w:val="002051EA"/>
    <w:pPr>
      <w:spacing w:before="75" w:after="75"/>
      <w:ind w:firstLine="375"/>
      <w:jc w:val="both"/>
    </w:pPr>
    <w:rPr>
      <w:sz w:val="24"/>
      <w:szCs w:val="24"/>
    </w:rPr>
  </w:style>
  <w:style w:type="paragraph" w:styleId="Header">
    <w:name w:val="header"/>
    <w:basedOn w:val="Normal"/>
    <w:link w:val="HeaderChar"/>
    <w:uiPriority w:val="99"/>
    <w:unhideWhenUsed/>
    <w:rsid w:val="00424E20"/>
    <w:pPr>
      <w:tabs>
        <w:tab w:val="center" w:pos="4153"/>
        <w:tab w:val="right" w:pos="8306"/>
      </w:tabs>
    </w:pPr>
  </w:style>
  <w:style w:type="character" w:customStyle="1" w:styleId="HeaderChar">
    <w:name w:val="Header Char"/>
    <w:basedOn w:val="DefaultParagraphFont"/>
    <w:link w:val="Header"/>
    <w:uiPriority w:val="99"/>
    <w:rsid w:val="00424E20"/>
    <w:rPr>
      <w:rFonts w:ascii="Times New Roman" w:eastAsia="Times New Roman" w:hAnsi="Times New Roman" w:cs="Times New Roman"/>
      <w:sz w:val="28"/>
      <w:szCs w:val="28"/>
      <w:lang w:eastAsia="lv-LV"/>
    </w:rPr>
  </w:style>
  <w:style w:type="paragraph" w:styleId="Footer">
    <w:name w:val="footer"/>
    <w:basedOn w:val="Normal"/>
    <w:link w:val="FooterChar"/>
    <w:uiPriority w:val="99"/>
    <w:unhideWhenUsed/>
    <w:rsid w:val="00424E20"/>
    <w:pPr>
      <w:tabs>
        <w:tab w:val="center" w:pos="4153"/>
        <w:tab w:val="right" w:pos="8306"/>
      </w:tabs>
    </w:pPr>
  </w:style>
  <w:style w:type="character" w:customStyle="1" w:styleId="FooterChar">
    <w:name w:val="Footer Char"/>
    <w:basedOn w:val="DefaultParagraphFont"/>
    <w:link w:val="Footer"/>
    <w:uiPriority w:val="99"/>
    <w:rsid w:val="00424E20"/>
    <w:rPr>
      <w:rFonts w:ascii="Times New Roman" w:eastAsia="Times New Roman" w:hAnsi="Times New Roman" w:cs="Times New Roman"/>
      <w:sz w:val="28"/>
      <w:szCs w:val="28"/>
      <w:lang w:eastAsia="lv-LV"/>
    </w:rPr>
  </w:style>
  <w:style w:type="paragraph" w:styleId="BalloonText">
    <w:name w:val="Balloon Text"/>
    <w:basedOn w:val="Normal"/>
    <w:link w:val="BalloonTextChar"/>
    <w:uiPriority w:val="99"/>
    <w:semiHidden/>
    <w:unhideWhenUsed/>
    <w:rsid w:val="00424E20"/>
    <w:rPr>
      <w:rFonts w:ascii="Tahoma" w:hAnsi="Tahoma" w:cs="Tahoma"/>
      <w:sz w:val="16"/>
      <w:szCs w:val="16"/>
    </w:rPr>
  </w:style>
  <w:style w:type="character" w:customStyle="1" w:styleId="BalloonTextChar">
    <w:name w:val="Balloon Text Char"/>
    <w:basedOn w:val="DefaultParagraphFont"/>
    <w:link w:val="BalloonText"/>
    <w:uiPriority w:val="99"/>
    <w:semiHidden/>
    <w:rsid w:val="00424E20"/>
    <w:rPr>
      <w:rFonts w:ascii="Tahoma" w:eastAsia="Times New Roman" w:hAnsi="Tahoma" w:cs="Tahoma"/>
      <w:sz w:val="16"/>
      <w:szCs w:val="16"/>
      <w:lang w:eastAsia="lv-LV"/>
    </w:rPr>
  </w:style>
  <w:style w:type="paragraph" w:styleId="ListParagraph">
    <w:name w:val="List Paragraph"/>
    <w:basedOn w:val="Normal"/>
    <w:uiPriority w:val="99"/>
    <w:qFormat/>
    <w:rsid w:val="00305F8E"/>
    <w:pPr>
      <w:ind w:left="720"/>
      <w:contextualSpacing/>
    </w:pPr>
  </w:style>
  <w:style w:type="character" w:customStyle="1" w:styleId="Heading3Char">
    <w:name w:val="Heading 3 Char"/>
    <w:basedOn w:val="DefaultParagraphFont"/>
    <w:link w:val="Heading3"/>
    <w:uiPriority w:val="9"/>
    <w:rsid w:val="00373593"/>
    <w:rPr>
      <w:rFonts w:ascii="Times New Roman" w:eastAsia="Times New Roman" w:hAnsi="Times New Roman" w:cs="Times New Roman"/>
      <w:b/>
      <w:bCs/>
      <w:sz w:val="27"/>
      <w:szCs w:val="27"/>
      <w:lang w:val="en-US"/>
    </w:rPr>
  </w:style>
  <w:style w:type="paragraph" w:customStyle="1" w:styleId="naiskr">
    <w:name w:val="naiskr"/>
    <w:basedOn w:val="Normal"/>
    <w:rsid w:val="00D653FF"/>
    <w:pPr>
      <w:spacing w:before="100" w:beforeAutospacing="1" w:after="100" w:afterAutospacing="1"/>
    </w:pPr>
    <w:rPr>
      <w:sz w:val="24"/>
      <w:szCs w:val="24"/>
      <w:lang w:val="en-US" w:eastAsia="en-US"/>
    </w:rPr>
  </w:style>
  <w:style w:type="paragraph" w:customStyle="1" w:styleId="RakstzCharChar">
    <w:name w:val="Rakstz. Char Char"/>
    <w:basedOn w:val="Normal"/>
    <w:rsid w:val="00E81206"/>
    <w:pPr>
      <w:spacing w:before="40"/>
    </w:pPr>
    <w:rPr>
      <w:sz w:val="24"/>
      <w:szCs w:val="24"/>
      <w:lang w:val="pl-PL" w:eastAsia="pl-PL"/>
    </w:rPr>
  </w:style>
  <w:style w:type="paragraph" w:styleId="NormalWeb">
    <w:name w:val="Normal (Web)"/>
    <w:basedOn w:val="Normal"/>
    <w:uiPriority w:val="99"/>
    <w:unhideWhenUsed/>
    <w:rsid w:val="00EB7F23"/>
    <w:pPr>
      <w:spacing w:before="100" w:beforeAutospacing="1" w:after="100" w:afterAutospacing="1"/>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1EA"/>
    <w:pPr>
      <w:spacing w:after="0" w:line="240" w:lineRule="auto"/>
    </w:pPr>
    <w:rPr>
      <w:rFonts w:ascii="Times New Roman" w:eastAsia="Times New Roman" w:hAnsi="Times New Roman" w:cs="Times New Roman"/>
      <w:sz w:val="28"/>
      <w:szCs w:val="28"/>
      <w:lang w:eastAsia="lv-LV"/>
    </w:rPr>
  </w:style>
  <w:style w:type="paragraph" w:styleId="Heading3">
    <w:name w:val="heading 3"/>
    <w:basedOn w:val="Normal"/>
    <w:link w:val="Heading3Char"/>
    <w:uiPriority w:val="9"/>
    <w:qFormat/>
    <w:rsid w:val="00373593"/>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051EA"/>
    <w:rPr>
      <w:strike w:val="0"/>
      <w:dstrike w:val="0"/>
      <w:color w:val="40407C"/>
      <w:u w:val="none"/>
      <w:effect w:val="none"/>
    </w:rPr>
  </w:style>
  <w:style w:type="paragraph" w:styleId="BodyText">
    <w:name w:val="Body Text"/>
    <w:basedOn w:val="Normal"/>
    <w:link w:val="BodyTextChar"/>
    <w:semiHidden/>
    <w:unhideWhenUsed/>
    <w:rsid w:val="002051EA"/>
    <w:pPr>
      <w:spacing w:before="120"/>
    </w:pPr>
    <w:rPr>
      <w:szCs w:val="24"/>
    </w:rPr>
  </w:style>
  <w:style w:type="character" w:customStyle="1" w:styleId="BodyTextChar">
    <w:name w:val="Body Text Char"/>
    <w:basedOn w:val="DefaultParagraphFont"/>
    <w:link w:val="BodyText"/>
    <w:semiHidden/>
    <w:rsid w:val="002051EA"/>
    <w:rPr>
      <w:rFonts w:ascii="Times New Roman" w:eastAsia="Times New Roman" w:hAnsi="Times New Roman" w:cs="Times New Roman"/>
      <w:sz w:val="28"/>
      <w:szCs w:val="24"/>
      <w:lang w:eastAsia="lv-LV"/>
    </w:rPr>
  </w:style>
  <w:style w:type="paragraph" w:customStyle="1" w:styleId="naisf">
    <w:name w:val="naisf"/>
    <w:basedOn w:val="Normal"/>
    <w:rsid w:val="002051EA"/>
    <w:pPr>
      <w:spacing w:before="75" w:after="75"/>
      <w:ind w:firstLine="375"/>
      <w:jc w:val="both"/>
    </w:pPr>
    <w:rPr>
      <w:sz w:val="24"/>
      <w:szCs w:val="24"/>
    </w:rPr>
  </w:style>
  <w:style w:type="paragraph" w:styleId="Header">
    <w:name w:val="header"/>
    <w:basedOn w:val="Normal"/>
    <w:link w:val="HeaderChar"/>
    <w:uiPriority w:val="99"/>
    <w:unhideWhenUsed/>
    <w:rsid w:val="00424E20"/>
    <w:pPr>
      <w:tabs>
        <w:tab w:val="center" w:pos="4153"/>
        <w:tab w:val="right" w:pos="8306"/>
      </w:tabs>
    </w:pPr>
  </w:style>
  <w:style w:type="character" w:customStyle="1" w:styleId="HeaderChar">
    <w:name w:val="Header Char"/>
    <w:basedOn w:val="DefaultParagraphFont"/>
    <w:link w:val="Header"/>
    <w:uiPriority w:val="99"/>
    <w:rsid w:val="00424E20"/>
    <w:rPr>
      <w:rFonts w:ascii="Times New Roman" w:eastAsia="Times New Roman" w:hAnsi="Times New Roman" w:cs="Times New Roman"/>
      <w:sz w:val="28"/>
      <w:szCs w:val="28"/>
      <w:lang w:eastAsia="lv-LV"/>
    </w:rPr>
  </w:style>
  <w:style w:type="paragraph" w:styleId="Footer">
    <w:name w:val="footer"/>
    <w:basedOn w:val="Normal"/>
    <w:link w:val="FooterChar"/>
    <w:uiPriority w:val="99"/>
    <w:unhideWhenUsed/>
    <w:rsid w:val="00424E20"/>
    <w:pPr>
      <w:tabs>
        <w:tab w:val="center" w:pos="4153"/>
        <w:tab w:val="right" w:pos="8306"/>
      </w:tabs>
    </w:pPr>
  </w:style>
  <w:style w:type="character" w:customStyle="1" w:styleId="FooterChar">
    <w:name w:val="Footer Char"/>
    <w:basedOn w:val="DefaultParagraphFont"/>
    <w:link w:val="Footer"/>
    <w:uiPriority w:val="99"/>
    <w:rsid w:val="00424E20"/>
    <w:rPr>
      <w:rFonts w:ascii="Times New Roman" w:eastAsia="Times New Roman" w:hAnsi="Times New Roman" w:cs="Times New Roman"/>
      <w:sz w:val="28"/>
      <w:szCs w:val="28"/>
      <w:lang w:eastAsia="lv-LV"/>
    </w:rPr>
  </w:style>
  <w:style w:type="paragraph" w:styleId="BalloonText">
    <w:name w:val="Balloon Text"/>
    <w:basedOn w:val="Normal"/>
    <w:link w:val="BalloonTextChar"/>
    <w:uiPriority w:val="99"/>
    <w:semiHidden/>
    <w:unhideWhenUsed/>
    <w:rsid w:val="00424E20"/>
    <w:rPr>
      <w:rFonts w:ascii="Tahoma" w:hAnsi="Tahoma" w:cs="Tahoma"/>
      <w:sz w:val="16"/>
      <w:szCs w:val="16"/>
    </w:rPr>
  </w:style>
  <w:style w:type="character" w:customStyle="1" w:styleId="BalloonTextChar">
    <w:name w:val="Balloon Text Char"/>
    <w:basedOn w:val="DefaultParagraphFont"/>
    <w:link w:val="BalloonText"/>
    <w:uiPriority w:val="99"/>
    <w:semiHidden/>
    <w:rsid w:val="00424E20"/>
    <w:rPr>
      <w:rFonts w:ascii="Tahoma" w:eastAsia="Times New Roman" w:hAnsi="Tahoma" w:cs="Tahoma"/>
      <w:sz w:val="16"/>
      <w:szCs w:val="16"/>
      <w:lang w:eastAsia="lv-LV"/>
    </w:rPr>
  </w:style>
  <w:style w:type="paragraph" w:styleId="ListParagraph">
    <w:name w:val="List Paragraph"/>
    <w:basedOn w:val="Normal"/>
    <w:uiPriority w:val="99"/>
    <w:qFormat/>
    <w:rsid w:val="00305F8E"/>
    <w:pPr>
      <w:ind w:left="720"/>
      <w:contextualSpacing/>
    </w:pPr>
  </w:style>
  <w:style w:type="character" w:customStyle="1" w:styleId="Heading3Char">
    <w:name w:val="Heading 3 Char"/>
    <w:basedOn w:val="DefaultParagraphFont"/>
    <w:link w:val="Heading3"/>
    <w:uiPriority w:val="9"/>
    <w:rsid w:val="00373593"/>
    <w:rPr>
      <w:rFonts w:ascii="Times New Roman" w:eastAsia="Times New Roman" w:hAnsi="Times New Roman" w:cs="Times New Roman"/>
      <w:b/>
      <w:bCs/>
      <w:sz w:val="27"/>
      <w:szCs w:val="27"/>
      <w:lang w:val="en-US"/>
    </w:rPr>
  </w:style>
  <w:style w:type="paragraph" w:customStyle="1" w:styleId="naiskr">
    <w:name w:val="naiskr"/>
    <w:basedOn w:val="Normal"/>
    <w:rsid w:val="00D653FF"/>
    <w:pPr>
      <w:spacing w:before="100" w:beforeAutospacing="1" w:after="100" w:afterAutospacing="1"/>
    </w:pPr>
    <w:rPr>
      <w:sz w:val="24"/>
      <w:szCs w:val="24"/>
      <w:lang w:val="en-US" w:eastAsia="en-US"/>
    </w:rPr>
  </w:style>
  <w:style w:type="paragraph" w:customStyle="1" w:styleId="RakstzCharChar">
    <w:name w:val="Rakstz. Char Char"/>
    <w:basedOn w:val="Normal"/>
    <w:rsid w:val="00E81206"/>
    <w:pPr>
      <w:spacing w:before="40"/>
    </w:pPr>
    <w:rPr>
      <w:sz w:val="24"/>
      <w:szCs w:val="24"/>
      <w:lang w:val="pl-PL" w:eastAsia="pl-PL"/>
    </w:rPr>
  </w:style>
  <w:style w:type="paragraph" w:styleId="NormalWeb">
    <w:name w:val="Normal (Web)"/>
    <w:basedOn w:val="Normal"/>
    <w:uiPriority w:val="99"/>
    <w:unhideWhenUsed/>
    <w:rsid w:val="00EB7F23"/>
    <w:pPr>
      <w:spacing w:before="100" w:beforeAutospacing="1" w:after="100" w:afterAutospacing="1"/>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18874">
      <w:bodyDiv w:val="1"/>
      <w:marLeft w:val="0"/>
      <w:marRight w:val="0"/>
      <w:marTop w:val="0"/>
      <w:marBottom w:val="0"/>
      <w:divBdr>
        <w:top w:val="none" w:sz="0" w:space="0" w:color="auto"/>
        <w:left w:val="none" w:sz="0" w:space="0" w:color="auto"/>
        <w:bottom w:val="none" w:sz="0" w:space="0" w:color="auto"/>
        <w:right w:val="none" w:sz="0" w:space="0" w:color="auto"/>
      </w:divBdr>
    </w:div>
    <w:div w:id="526523831">
      <w:bodyDiv w:val="1"/>
      <w:marLeft w:val="0"/>
      <w:marRight w:val="0"/>
      <w:marTop w:val="0"/>
      <w:marBottom w:val="0"/>
      <w:divBdr>
        <w:top w:val="none" w:sz="0" w:space="0" w:color="auto"/>
        <w:left w:val="none" w:sz="0" w:space="0" w:color="auto"/>
        <w:bottom w:val="none" w:sz="0" w:space="0" w:color="auto"/>
        <w:right w:val="none" w:sz="0" w:space="0" w:color="auto"/>
      </w:divBdr>
    </w:div>
    <w:div w:id="659774516">
      <w:bodyDiv w:val="1"/>
      <w:marLeft w:val="0"/>
      <w:marRight w:val="0"/>
      <w:marTop w:val="0"/>
      <w:marBottom w:val="0"/>
      <w:divBdr>
        <w:top w:val="none" w:sz="0" w:space="0" w:color="auto"/>
        <w:left w:val="none" w:sz="0" w:space="0" w:color="auto"/>
        <w:bottom w:val="none" w:sz="0" w:space="0" w:color="auto"/>
        <w:right w:val="none" w:sz="0" w:space="0" w:color="auto"/>
      </w:divBdr>
    </w:div>
    <w:div w:id="877277962">
      <w:bodyDiv w:val="1"/>
      <w:marLeft w:val="0"/>
      <w:marRight w:val="0"/>
      <w:marTop w:val="0"/>
      <w:marBottom w:val="0"/>
      <w:divBdr>
        <w:top w:val="none" w:sz="0" w:space="0" w:color="auto"/>
        <w:left w:val="none" w:sz="0" w:space="0" w:color="auto"/>
        <w:bottom w:val="none" w:sz="0" w:space="0" w:color="auto"/>
        <w:right w:val="none" w:sz="0" w:space="0" w:color="auto"/>
      </w:divBdr>
    </w:div>
    <w:div w:id="1058824830">
      <w:bodyDiv w:val="1"/>
      <w:marLeft w:val="0"/>
      <w:marRight w:val="0"/>
      <w:marTop w:val="0"/>
      <w:marBottom w:val="0"/>
      <w:divBdr>
        <w:top w:val="none" w:sz="0" w:space="0" w:color="auto"/>
        <w:left w:val="none" w:sz="0" w:space="0" w:color="auto"/>
        <w:bottom w:val="none" w:sz="0" w:space="0" w:color="auto"/>
        <w:right w:val="none" w:sz="0" w:space="0" w:color="auto"/>
      </w:divBdr>
    </w:div>
    <w:div w:id="1232499729">
      <w:bodyDiv w:val="1"/>
      <w:marLeft w:val="0"/>
      <w:marRight w:val="0"/>
      <w:marTop w:val="0"/>
      <w:marBottom w:val="0"/>
      <w:divBdr>
        <w:top w:val="none" w:sz="0" w:space="0" w:color="auto"/>
        <w:left w:val="none" w:sz="0" w:space="0" w:color="auto"/>
        <w:bottom w:val="none" w:sz="0" w:space="0" w:color="auto"/>
        <w:right w:val="none" w:sz="0" w:space="0" w:color="auto"/>
      </w:divBdr>
    </w:div>
    <w:div w:id="1905143275">
      <w:bodyDiv w:val="1"/>
      <w:marLeft w:val="0"/>
      <w:marRight w:val="0"/>
      <w:marTop w:val="0"/>
      <w:marBottom w:val="0"/>
      <w:divBdr>
        <w:top w:val="none" w:sz="0" w:space="0" w:color="auto"/>
        <w:left w:val="none" w:sz="0" w:space="0" w:color="auto"/>
        <w:bottom w:val="none" w:sz="0" w:space="0" w:color="auto"/>
        <w:right w:val="none" w:sz="0" w:space="0" w:color="auto"/>
      </w:divBdr>
    </w:div>
    <w:div w:id="211998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kumi.lv/doc.php?id=20826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E2529-27DF-41F3-AED2-14706774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7441</Words>
  <Characters>4242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Detektīvdarbības licencēšanas un sertifikācijas noteikumi</vt:lpstr>
    </vt:vector>
  </TitlesOfParts>
  <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Detektīvdarbības licencēšanas un sertifikācijas noteikumi</dc:title>
  <dc:subject>Anotācija</dc:subject>
  <dc:creator>Iekšlietu ministrija</dc:creator>
  <dc:description>Tālr.67219585; e-pasts: erlens.ernstsons@iem.gov.lv</dc:description>
  <cp:lastModifiedBy>Inese Rinča</cp:lastModifiedBy>
  <cp:revision>4</cp:revision>
  <cp:lastPrinted>2013-04-15T12:20:00Z</cp:lastPrinted>
  <dcterms:created xsi:type="dcterms:W3CDTF">2013-07-31T12:21:00Z</dcterms:created>
  <dcterms:modified xsi:type="dcterms:W3CDTF">2013-08-02T05:23:00Z</dcterms:modified>
</cp:coreProperties>
</file>