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F1" w:rsidRPr="005677C6" w:rsidRDefault="004852F1" w:rsidP="004852F1">
      <w:pPr>
        <w:jc w:val="center"/>
        <w:rPr>
          <w:b/>
        </w:rPr>
      </w:pPr>
      <w:bookmarkStart w:id="0" w:name="_GoBack"/>
      <w:bookmarkEnd w:id="0"/>
      <w:r w:rsidRPr="005677C6">
        <w:rPr>
          <w:b/>
          <w:bCs/>
        </w:rPr>
        <w:t> </w:t>
      </w:r>
      <w:r w:rsidRPr="005677C6">
        <w:rPr>
          <w:b/>
        </w:rPr>
        <w:t>Likumprojekta „Par Latvijas Republikas valdības un Azerbaidžānas Republikas valdības vienošanos par sadarbību ārkārtējo situāciju novēršanas un likvidēšanas jomā”</w:t>
      </w:r>
    </w:p>
    <w:p w:rsidR="004852F1" w:rsidRPr="005677C6" w:rsidRDefault="004852F1" w:rsidP="004852F1">
      <w:pPr>
        <w:jc w:val="center"/>
        <w:rPr>
          <w:b/>
          <w:bCs/>
        </w:rPr>
      </w:pPr>
      <w:r w:rsidRPr="005677C6">
        <w:rPr>
          <w:b/>
        </w:rPr>
        <w:t xml:space="preserve"> anotācija</w:t>
      </w:r>
    </w:p>
    <w:p w:rsidR="004852F1" w:rsidRPr="005677C6" w:rsidRDefault="004852F1" w:rsidP="004852F1">
      <w:pPr>
        <w:jc w:val="center"/>
        <w:rPr>
          <w:b/>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3"/>
        <w:gridCol w:w="1887"/>
        <w:gridCol w:w="7011"/>
      </w:tblGrid>
      <w:tr w:rsidR="004852F1" w:rsidRPr="005677C6" w:rsidTr="00483174">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4852F1" w:rsidRPr="005677C6" w:rsidRDefault="004852F1" w:rsidP="00483174">
            <w:pPr>
              <w:spacing w:before="100" w:beforeAutospacing="1" w:after="100" w:afterAutospacing="1"/>
              <w:jc w:val="center"/>
              <w:rPr>
                <w:b/>
                <w:bCs/>
                <w:color w:val="000000"/>
              </w:rPr>
            </w:pPr>
            <w:r w:rsidRPr="005677C6">
              <w:rPr>
                <w:b/>
                <w:bCs/>
                <w:color w:val="000000"/>
              </w:rPr>
              <w:t>I. Tiesību akta projekta izstrādes nepieciešamība</w:t>
            </w:r>
          </w:p>
        </w:tc>
      </w:tr>
      <w:tr w:rsidR="004852F1" w:rsidRPr="005677C6" w:rsidTr="00483174">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1.</w:t>
            </w:r>
          </w:p>
        </w:tc>
        <w:tc>
          <w:tcPr>
            <w:tcW w:w="100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Pamatojums</w:t>
            </w:r>
          </w:p>
        </w:tc>
        <w:tc>
          <w:tcPr>
            <w:tcW w:w="37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pStyle w:val="BodyText"/>
              <w:jc w:val="both"/>
              <w:rPr>
                <w:lang w:val="lv-LV"/>
              </w:rPr>
            </w:pPr>
            <w:r w:rsidRPr="005677C6">
              <w:rPr>
                <w:lang w:val="lv-LV"/>
              </w:rPr>
              <w:t xml:space="preserve">Šobrīd Latvijas Republikas un Azerbaidžānas Republikas starpā nav </w:t>
            </w:r>
            <w:smartTag w:uri="schemas-tilde-lv/tildestengine" w:element="veidnes">
              <w:smartTagPr>
                <w:attr w:name="text" w:val="līguma"/>
                <w:attr w:name="id" w:val="-1"/>
                <w:attr w:name="baseform" w:val="līgum|s"/>
              </w:smartTagPr>
              <w:r w:rsidRPr="005677C6">
                <w:rPr>
                  <w:lang w:val="lv-LV"/>
                </w:rPr>
                <w:t>līguma</w:t>
              </w:r>
            </w:smartTag>
            <w:r w:rsidRPr="005677C6">
              <w:rPr>
                <w:lang w:val="lv-LV"/>
              </w:rPr>
              <w:t xml:space="preserve"> (juridiskā pamata), kas regulētu jautājumus par savstarpējās palīdzības sniegšanu ārkārtējās situācijās. Tomēr šāds regulējums ir nepieciešams, lai efektīvi sadarbojoties un sniedzot palīdzību, novērstu ārkārtējas situācijas (avārijas, </w:t>
            </w:r>
            <w:proofErr w:type="spellStart"/>
            <w:r w:rsidRPr="005677C6">
              <w:rPr>
                <w:lang w:val="lv-LV"/>
              </w:rPr>
              <w:t>tehnogēnas</w:t>
            </w:r>
            <w:proofErr w:type="spellEnd"/>
            <w:r w:rsidRPr="005677C6">
              <w:rPr>
                <w:lang w:val="lv-LV"/>
              </w:rPr>
              <w:t xml:space="preserve"> un dabas katastrofas, stihiskas un citas nelaimes), kas radušās otras valsts teritorijā, kā arī, lai veiktu dažādus preventīvus pasākumus nelaimju novēršanai. Stājoties spēkā Latvijas Republikas valdības un Azerbaidžānas Republikas vienošanai par sadarbību ārkārtējo situāciju novēršanas un  likvidēšanas jomā, tiktu radīts tiesiskais pamats minēto darbību veikšanai.</w:t>
            </w:r>
          </w:p>
          <w:p w:rsidR="004852F1" w:rsidRPr="005677C6" w:rsidRDefault="004852F1" w:rsidP="00483174">
            <w:pPr>
              <w:jc w:val="both"/>
            </w:pPr>
            <w:r w:rsidRPr="005677C6">
              <w:t xml:space="preserve">Uz šo brīdi Latvijas Republikai </w:t>
            </w:r>
            <w:smartTag w:uri="schemas-tilde-lv/tildestengine" w:element="veidnes">
              <w:smartTagPr>
                <w:attr w:name="baseform" w:val="līgum|s"/>
                <w:attr w:name="id" w:val="-1"/>
                <w:attr w:name="text" w:val="līgumi"/>
              </w:smartTagPr>
              <w:r w:rsidRPr="005677C6">
                <w:t>līgumi</w:t>
              </w:r>
            </w:smartTag>
            <w:r w:rsidRPr="005677C6">
              <w:t xml:space="preserve"> par sadarbību ārkārtējo situāciju novēršanas un likvidēšanas jomā ir parakstīti ar šādām valstīm:</w:t>
            </w:r>
          </w:p>
          <w:p w:rsidR="004852F1" w:rsidRPr="005677C6" w:rsidRDefault="004852F1" w:rsidP="00483174">
            <w:pPr>
              <w:jc w:val="both"/>
            </w:pPr>
            <w:r w:rsidRPr="005677C6">
              <w:t xml:space="preserve">1) Lietuva (stājās spēkā </w:t>
            </w:r>
            <w:smartTag w:uri="urn:schemas-microsoft-com:office:smarttags" w:element="date">
              <w:smartTagPr>
                <w:attr w:name="Day" w:val="2"/>
                <w:attr w:name="Month" w:val="1"/>
                <w:attr w:name="Year" w:val="2002"/>
              </w:smartTagPr>
              <w:smartTag w:uri="schemas-tilde-lv/tildestengine" w:element="date">
                <w:smartTagPr>
                  <w:attr w:name="Day" w:val="2"/>
                  <w:attr w:name="Month" w:val="1"/>
                  <w:attr w:name="Year" w:val="2002"/>
                </w:smartTagPr>
                <w:r w:rsidRPr="005677C6">
                  <w:t>2002.gada 2.janvārī</w:t>
                </w:r>
              </w:smartTag>
            </w:smartTag>
            <w:r w:rsidRPr="005677C6">
              <w:t>);</w:t>
            </w:r>
          </w:p>
          <w:p w:rsidR="004852F1" w:rsidRPr="005677C6" w:rsidRDefault="004852F1" w:rsidP="00483174">
            <w:pPr>
              <w:jc w:val="both"/>
            </w:pPr>
            <w:r w:rsidRPr="005677C6">
              <w:t xml:space="preserve">2) Igaunija (stājās spēkā </w:t>
            </w:r>
            <w:smartTag w:uri="urn:schemas-microsoft-com:office:smarttags" w:element="date">
              <w:smartTagPr>
                <w:attr w:name="Day" w:val="19"/>
                <w:attr w:name="Month" w:val="6"/>
                <w:attr w:name="Year" w:val="2002"/>
              </w:smartTagPr>
              <w:smartTag w:uri="schemas-tilde-lv/tildestengine" w:element="date">
                <w:smartTagPr>
                  <w:attr w:name="Day" w:val="19"/>
                  <w:attr w:name="Month" w:val="6"/>
                  <w:attr w:name="Year" w:val="2002"/>
                </w:smartTagPr>
                <w:r w:rsidRPr="005677C6">
                  <w:t>2002.gada 19.jūnijā</w:t>
                </w:r>
              </w:smartTag>
            </w:smartTag>
            <w:r w:rsidRPr="005677C6">
              <w:t>);</w:t>
            </w:r>
          </w:p>
          <w:p w:rsidR="004852F1" w:rsidRPr="005677C6" w:rsidRDefault="004852F1" w:rsidP="00483174">
            <w:pPr>
              <w:jc w:val="both"/>
            </w:pPr>
            <w:r w:rsidRPr="005677C6">
              <w:t xml:space="preserve">3) Zviedrija (stājās spēkā </w:t>
            </w:r>
            <w:smartTag w:uri="urn:schemas-microsoft-com:office:smarttags" w:element="date">
              <w:smartTagPr>
                <w:attr w:name="Day" w:val="5"/>
                <w:attr w:name="Month" w:val="1"/>
                <w:attr w:name="Year" w:val="2003"/>
              </w:smartTagPr>
              <w:smartTag w:uri="schemas-tilde-lv/tildestengine" w:element="date">
                <w:smartTagPr>
                  <w:attr w:name="Day" w:val="5"/>
                  <w:attr w:name="Month" w:val="1"/>
                  <w:attr w:name="Year" w:val="2003"/>
                </w:smartTagPr>
                <w:r w:rsidRPr="005677C6">
                  <w:t>2003.gada 5.janvārī</w:t>
                </w:r>
              </w:smartTag>
            </w:smartTag>
            <w:r w:rsidRPr="005677C6">
              <w:t>);</w:t>
            </w:r>
          </w:p>
          <w:p w:rsidR="004852F1" w:rsidRPr="005677C6" w:rsidRDefault="004852F1" w:rsidP="00483174">
            <w:pPr>
              <w:jc w:val="both"/>
            </w:pPr>
            <w:r w:rsidRPr="005677C6">
              <w:t>4) Ungārija (stājās spēkā 2004.gada 21.augustā);</w:t>
            </w:r>
          </w:p>
          <w:p w:rsidR="004852F1" w:rsidRPr="005677C6" w:rsidRDefault="004852F1" w:rsidP="00483174">
            <w:pPr>
              <w:jc w:val="both"/>
            </w:pPr>
            <w:r w:rsidRPr="005677C6">
              <w:t>5) Baltkrievija (stājās spēkā 2004.gada 1.jūnijā);</w:t>
            </w:r>
          </w:p>
          <w:p w:rsidR="004852F1" w:rsidRPr="005677C6" w:rsidRDefault="004852F1" w:rsidP="00483174">
            <w:pPr>
              <w:jc w:val="both"/>
            </w:pPr>
            <w:r w:rsidRPr="005677C6">
              <w:t>6) Ukraina (stājās spēkā 2008.gada 8.augustā);</w:t>
            </w:r>
          </w:p>
          <w:p w:rsidR="004852F1" w:rsidRPr="005677C6" w:rsidRDefault="004852F1" w:rsidP="00483174">
            <w:pPr>
              <w:jc w:val="both"/>
            </w:pPr>
            <w:r w:rsidRPr="005677C6">
              <w:t>7) Uzbekistāna (stājās spēkā 2009.gada 13.aprīlī).</w:t>
            </w:r>
          </w:p>
          <w:p w:rsidR="004852F1" w:rsidRPr="005677C6" w:rsidRDefault="004852F1" w:rsidP="00483174">
            <w:pPr>
              <w:ind w:firstLine="674"/>
              <w:jc w:val="both"/>
            </w:pPr>
            <w:r w:rsidRPr="005677C6">
              <w:t xml:space="preserve">Minēto </w:t>
            </w:r>
            <w:smartTag w:uri="schemas-tilde-lv/tildestengine" w:element="veidnes">
              <w:smartTagPr>
                <w:attr w:name="text" w:val="līgumu"/>
                <w:attr w:name="id" w:val="-1"/>
                <w:attr w:name="baseform" w:val="līgum|s"/>
              </w:smartTagPr>
              <w:r w:rsidRPr="005677C6">
                <w:t>līgumu</w:t>
              </w:r>
            </w:smartTag>
            <w:r w:rsidRPr="005677C6">
              <w:t xml:space="preserve"> ietvaros notiek starpresoru vienošanos slēgšana, kurās abu valstu kompetentās institūcijas sīkāk un detalizētāk atrunā sadarbības iespējas un mehānismus.</w:t>
            </w:r>
          </w:p>
          <w:p w:rsidR="004852F1" w:rsidRPr="005677C6" w:rsidRDefault="004852F1" w:rsidP="00483174">
            <w:pPr>
              <w:ind w:firstLine="674"/>
              <w:jc w:val="both"/>
              <w:rPr>
                <w:bCs/>
              </w:rPr>
            </w:pPr>
            <w:r w:rsidRPr="005677C6">
              <w:t>Uz šo brīdi nav neviena Latvijai saistoša divpusēja vai daudzpusēja starptautiskā līguma, uz kā pamata Latvija varētu sekmīgi realizēt sadarbību ar Azerbaidžānu ārkārtējo situāciju novēršanā un likvidēšanā.</w:t>
            </w:r>
          </w:p>
        </w:tc>
      </w:tr>
      <w:tr w:rsidR="004852F1" w:rsidRPr="005677C6" w:rsidTr="00483174">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2.</w:t>
            </w:r>
          </w:p>
        </w:tc>
        <w:tc>
          <w:tcPr>
            <w:tcW w:w="100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Pašreizējā situācija un problēmas</w:t>
            </w:r>
          </w:p>
        </w:tc>
        <w:tc>
          <w:tcPr>
            <w:tcW w:w="37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jc w:val="both"/>
            </w:pPr>
            <w:r w:rsidRPr="005677C6">
              <w:t xml:space="preserve">Tā kā ar tiesisko regulējumu nacionālajos normatīvajos </w:t>
            </w:r>
            <w:smartTag w:uri="schemas-tilde-lv/tildestengine" w:element="veidnes">
              <w:smartTagPr>
                <w:attr w:name="text" w:val="aktos"/>
                <w:attr w:name="id" w:val="-1"/>
                <w:attr w:name="baseform" w:val="akt|s"/>
              </w:smartTagPr>
              <w:r w:rsidRPr="005677C6">
                <w:t>aktos</w:t>
              </w:r>
            </w:smartTag>
            <w:r w:rsidRPr="005677C6">
              <w:t xml:space="preserve"> netiek pilnībā noregulēta starpvalstu sadarbība katastrofu gadījumos, ir nepieciešama šīs vienošanās parakstīšana.</w:t>
            </w:r>
          </w:p>
          <w:p w:rsidR="004852F1" w:rsidRPr="005677C6" w:rsidRDefault="004852F1" w:rsidP="00483174">
            <w:pPr>
              <w:jc w:val="both"/>
              <w:rPr>
                <w:b/>
                <w:u w:val="single"/>
              </w:rPr>
            </w:pPr>
            <w:r w:rsidRPr="005677C6">
              <w:t>Vienošanās mērķis ir radīt tiesisko pamatu Latvijas un Azerbaidžānas pušu sadarbībai ārkārtējo situāciju novēršanā un likvidēšanā, kā arī veicināt sadarbību starp valstīm citās jomās, lai sasniegtu minēto mērķi, tajā skaitā pusēm sadarbojoties:</w:t>
            </w:r>
          </w:p>
          <w:p w:rsidR="004852F1" w:rsidRPr="005677C6" w:rsidRDefault="004852F1" w:rsidP="00483174">
            <w:pPr>
              <w:ind w:firstLine="540"/>
              <w:jc w:val="both"/>
            </w:pPr>
            <w:r w:rsidRPr="005677C6">
              <w:t>1. zinātniski pētniecisku projektu kopīgajā plānošanā, izstrādāšanā un īstenošanā, apmaiņā ar zinātniski tehnisko literatūru un pētniecisko darbu rezultātiem ārkārtējo situāciju novēršanas un likvidēšanas jomā;</w:t>
            </w:r>
          </w:p>
          <w:p w:rsidR="004852F1" w:rsidRPr="005677C6" w:rsidRDefault="004852F1" w:rsidP="00483174">
            <w:pPr>
              <w:ind w:firstLine="540"/>
              <w:jc w:val="both"/>
            </w:pPr>
            <w:r w:rsidRPr="005677C6">
              <w:t>2. apmaiņā ar nacionālajiem normatīvajiem aktiem, kas skar šīs vienošanās izpildi;</w:t>
            </w:r>
          </w:p>
          <w:p w:rsidR="004852F1" w:rsidRPr="005677C6" w:rsidRDefault="004852F1" w:rsidP="00483174">
            <w:pPr>
              <w:ind w:firstLine="540"/>
              <w:jc w:val="both"/>
            </w:pPr>
            <w:r w:rsidRPr="005677C6">
              <w:t xml:space="preserve">3. apmaiņā ar informāciju jautājumos, kas skar ārkārtējo situāciju novēršanu un likvidēšanu, periodiskiem izdevumiem, metodisko un citu literatūru, video un foto materiāliem ārkārtējo situāciju novēršanas </w:t>
            </w:r>
            <w:r w:rsidRPr="005677C6">
              <w:lastRenderedPageBreak/>
              <w:t>un likvidēšanas jomā;</w:t>
            </w:r>
          </w:p>
          <w:p w:rsidR="004852F1" w:rsidRPr="005677C6" w:rsidRDefault="004852F1" w:rsidP="00483174">
            <w:pPr>
              <w:ind w:firstLine="540"/>
              <w:jc w:val="both"/>
            </w:pPr>
            <w:r w:rsidRPr="005677C6">
              <w:t>4. kopīgajā konferenču, semināru, darba apspriežu, mācību, treniņu un specializēto izstāžu organizēšanā ārkārtējo situāciju novēršanas un likvidēšanas jomā;</w:t>
            </w:r>
          </w:p>
          <w:p w:rsidR="004852F1" w:rsidRPr="005677C6" w:rsidRDefault="004852F1" w:rsidP="00483174">
            <w:pPr>
              <w:ind w:firstLine="540"/>
              <w:jc w:val="both"/>
            </w:pPr>
            <w:r w:rsidRPr="005677C6">
              <w:t>5. citu darbību veikšanā ārkārtējo situāciju novēršanas un likvidēšanas jomā, kas ir saskaņotas starp abu valstu kompetentajām iestādēm.</w:t>
            </w:r>
          </w:p>
          <w:p w:rsidR="004852F1" w:rsidRPr="005677C6" w:rsidRDefault="004852F1" w:rsidP="00483174">
            <w:pPr>
              <w:ind w:firstLine="504"/>
              <w:jc w:val="both"/>
              <w:rPr>
                <w:color w:val="000000"/>
              </w:rPr>
            </w:pPr>
            <w:r w:rsidRPr="005677C6">
              <w:rPr>
                <w:color w:val="000000"/>
              </w:rPr>
              <w:t>Pieņemot šo likumprojektu, problēmas, kas ir saistītas ar ārkārtējo situāciju novēršanu un likvidēšanu tiks daļēji atrisinātas, ņemot vērā to, ka Vienošanās veicinās abu Pušu sadarbības stiprināšanu šajā jomā.</w:t>
            </w:r>
          </w:p>
        </w:tc>
      </w:tr>
      <w:tr w:rsidR="004852F1" w:rsidRPr="005677C6" w:rsidTr="00483174">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lastRenderedPageBreak/>
              <w:t>3.</w:t>
            </w:r>
          </w:p>
        </w:tc>
        <w:tc>
          <w:tcPr>
            <w:tcW w:w="100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Saistītie politikas ietekmes novērtējumi un pētījumi</w:t>
            </w:r>
          </w:p>
        </w:tc>
        <w:tc>
          <w:tcPr>
            <w:tcW w:w="37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ind w:firstLine="497"/>
              <w:jc w:val="both"/>
              <w:rPr>
                <w:color w:val="000000"/>
              </w:rPr>
            </w:pPr>
            <w:r w:rsidRPr="005677C6">
              <w:t>Nav attiecināms</w:t>
            </w:r>
          </w:p>
        </w:tc>
      </w:tr>
      <w:tr w:rsidR="004852F1" w:rsidRPr="005677C6" w:rsidTr="00483174">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4.</w:t>
            </w:r>
          </w:p>
        </w:tc>
        <w:tc>
          <w:tcPr>
            <w:tcW w:w="100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Tiesiskā regulējuma mērķis un būtība</w:t>
            </w:r>
          </w:p>
        </w:tc>
        <w:tc>
          <w:tcPr>
            <w:tcW w:w="37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ind w:firstLine="674"/>
              <w:jc w:val="both"/>
              <w:rPr>
                <w:bCs/>
              </w:rPr>
            </w:pPr>
            <w:r w:rsidRPr="005677C6">
              <w:t xml:space="preserve"> </w:t>
            </w:r>
            <w:r w:rsidRPr="005677C6">
              <w:rPr>
                <w:bCs/>
              </w:rPr>
              <w:t>Vienošanās projekts paredz abu Pušu sadarbību ārkārtējo situāciju novēršanas un likvidēšanas jomā, kas ietver sevī arī savstarpējas palīdzības sniegšanu ārkārtējo situāciju likvidēšanā un dažādu katastrofu novēršanas un likvidēšanas pasākumu plānošanu un veikšanu.</w:t>
            </w:r>
          </w:p>
          <w:p w:rsidR="004852F1" w:rsidRPr="005677C6" w:rsidRDefault="004852F1" w:rsidP="00483174">
            <w:pPr>
              <w:pStyle w:val="BodyText"/>
              <w:spacing w:after="0"/>
              <w:ind w:firstLine="674"/>
              <w:jc w:val="both"/>
              <w:rPr>
                <w:lang w:val="lv-LV"/>
              </w:rPr>
            </w:pPr>
            <w:r w:rsidRPr="005677C6">
              <w:rPr>
                <w:bCs/>
                <w:lang w:val="lv-LV"/>
              </w:rPr>
              <w:t>Līdz ar to Vienošanās ļaus kompetentajām iestādēm daudz efektīvāk un ātrāk sniegt palīdzību abu Pušu valstu iedzīvotājiem katastrofu gadījumos.</w:t>
            </w:r>
          </w:p>
        </w:tc>
      </w:tr>
      <w:tr w:rsidR="004852F1" w:rsidRPr="005677C6" w:rsidTr="00483174">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5.</w:t>
            </w:r>
          </w:p>
        </w:tc>
        <w:tc>
          <w:tcPr>
            <w:tcW w:w="100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Projekta izstrādē iesaistītās institūcijas</w:t>
            </w:r>
          </w:p>
        </w:tc>
        <w:tc>
          <w:tcPr>
            <w:tcW w:w="37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ind w:firstLine="497"/>
              <w:jc w:val="both"/>
              <w:rPr>
                <w:color w:val="000000"/>
              </w:rPr>
            </w:pPr>
            <w:r w:rsidRPr="005677C6">
              <w:rPr>
                <w:color w:val="000000"/>
              </w:rPr>
              <w:t>Iekšlietu ministrija, Valsts ugunsdzēsības un glābšanas dienests</w:t>
            </w:r>
            <w:r>
              <w:rPr>
                <w:color w:val="000000"/>
              </w:rPr>
              <w:t xml:space="preserve">, </w:t>
            </w:r>
            <w:r w:rsidRPr="005677C6">
              <w:rPr>
                <w:color w:val="000000"/>
              </w:rPr>
              <w:t>Neatliekamās medicīniskās palīdzības dienests</w:t>
            </w:r>
          </w:p>
        </w:tc>
      </w:tr>
      <w:tr w:rsidR="004852F1" w:rsidRPr="005677C6" w:rsidTr="00483174">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6.</w:t>
            </w:r>
          </w:p>
        </w:tc>
        <w:tc>
          <w:tcPr>
            <w:tcW w:w="100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Iemesli, kādēļ netika nodrošināta sabiedrības līdzdalība</w:t>
            </w:r>
          </w:p>
        </w:tc>
        <w:tc>
          <w:tcPr>
            <w:tcW w:w="37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ind w:firstLine="497"/>
              <w:jc w:val="both"/>
              <w:rPr>
                <w:color w:val="000000"/>
              </w:rPr>
            </w:pPr>
            <w:r w:rsidRPr="005677C6">
              <w:rPr>
                <w:color w:val="000000"/>
              </w:rPr>
              <w:t xml:space="preserve">Ņemot vērā to, ka Vienošanās projekts paredz abu valstu kompetento iestāžu sadarbības formas </w:t>
            </w:r>
            <w:r w:rsidRPr="005677C6">
              <w:t>ārkārtējo situāciju novēršanas un likvidēšanas jomā, kā arī savstarpējo informācijas apmaiņu, sabiedrības līdzdalība vienošanās projekta izstrādē nav nepieciešama, jo tas ir Latvijas un Azerbaidžānas kompetento iestāžu jautājums.</w:t>
            </w:r>
          </w:p>
        </w:tc>
      </w:tr>
      <w:tr w:rsidR="004852F1" w:rsidRPr="005677C6" w:rsidTr="00483174">
        <w:trPr>
          <w:tblCellSpacing w:w="15" w:type="dxa"/>
        </w:trPr>
        <w:tc>
          <w:tcPr>
            <w:tcW w:w="1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7.</w:t>
            </w:r>
          </w:p>
        </w:tc>
        <w:tc>
          <w:tcPr>
            <w:tcW w:w="100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Cita informācija</w:t>
            </w:r>
          </w:p>
        </w:tc>
        <w:tc>
          <w:tcPr>
            <w:tcW w:w="37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w:t>
            </w:r>
          </w:p>
        </w:tc>
      </w:tr>
    </w:tbl>
    <w:p w:rsidR="004852F1" w:rsidRPr="005677C6" w:rsidRDefault="004852F1" w:rsidP="004852F1">
      <w:pPr>
        <w:spacing w:before="100" w:beforeAutospacing="1" w:after="100" w:afterAutospacing="1"/>
        <w:jc w:val="both"/>
        <w:rPr>
          <w:color w:val="00000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5"/>
        <w:gridCol w:w="4815"/>
        <w:gridCol w:w="3891"/>
      </w:tblGrid>
      <w:tr w:rsidR="004852F1" w:rsidRPr="005677C6" w:rsidTr="00483174">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4852F1" w:rsidRPr="005677C6" w:rsidRDefault="004852F1" w:rsidP="00483174">
            <w:pPr>
              <w:spacing w:before="100" w:beforeAutospacing="1" w:after="100" w:afterAutospacing="1"/>
              <w:jc w:val="center"/>
              <w:rPr>
                <w:b/>
                <w:bCs/>
                <w:color w:val="000000"/>
              </w:rPr>
            </w:pPr>
            <w:r w:rsidRPr="005677C6">
              <w:rPr>
                <w:b/>
                <w:bCs/>
                <w:color w:val="000000"/>
              </w:rPr>
              <w:t>II. Tiesību akta projekta ietekme uz sabiedrību</w:t>
            </w:r>
          </w:p>
        </w:tc>
      </w:tr>
      <w:tr w:rsidR="004852F1" w:rsidRPr="005677C6" w:rsidTr="00483174">
        <w:trPr>
          <w:tblCellSpacing w:w="15" w:type="dxa"/>
        </w:trPr>
        <w:tc>
          <w:tcPr>
            <w:tcW w:w="2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1.</w:t>
            </w:r>
          </w:p>
        </w:tc>
        <w:tc>
          <w:tcPr>
            <w:tcW w:w="25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Sabiedrības mērķgrupa</w:t>
            </w:r>
          </w:p>
        </w:tc>
        <w:tc>
          <w:tcPr>
            <w:tcW w:w="20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Projekts attiecas uz personām, kuras varētu ciest ārkārtējās situācijās.</w:t>
            </w:r>
          </w:p>
        </w:tc>
      </w:tr>
      <w:tr w:rsidR="004852F1" w:rsidRPr="005677C6" w:rsidTr="00483174">
        <w:trPr>
          <w:tblCellSpacing w:w="15" w:type="dxa"/>
        </w:trPr>
        <w:tc>
          <w:tcPr>
            <w:tcW w:w="2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2.</w:t>
            </w:r>
          </w:p>
        </w:tc>
        <w:tc>
          <w:tcPr>
            <w:tcW w:w="25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Citas sabiedrības grupas (bez mērķgrupas), kuras tiesiskais regulējums arī ietekmē vai varētu ietekmēt</w:t>
            </w:r>
          </w:p>
        </w:tc>
        <w:tc>
          <w:tcPr>
            <w:tcW w:w="20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 attiecināms</w:t>
            </w:r>
          </w:p>
        </w:tc>
      </w:tr>
      <w:tr w:rsidR="004852F1" w:rsidRPr="005677C6" w:rsidTr="00483174">
        <w:trPr>
          <w:tblCellSpacing w:w="15" w:type="dxa"/>
        </w:trPr>
        <w:tc>
          <w:tcPr>
            <w:tcW w:w="2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3.</w:t>
            </w:r>
          </w:p>
        </w:tc>
        <w:tc>
          <w:tcPr>
            <w:tcW w:w="25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Tiesiskā regulējuma finansiālā ietekme</w:t>
            </w:r>
          </w:p>
        </w:tc>
        <w:tc>
          <w:tcPr>
            <w:tcW w:w="20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 attiecināms</w:t>
            </w:r>
          </w:p>
        </w:tc>
      </w:tr>
      <w:tr w:rsidR="004852F1" w:rsidRPr="005677C6" w:rsidTr="00483174">
        <w:trPr>
          <w:tblCellSpacing w:w="15" w:type="dxa"/>
        </w:trPr>
        <w:tc>
          <w:tcPr>
            <w:tcW w:w="2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4.</w:t>
            </w:r>
          </w:p>
        </w:tc>
        <w:tc>
          <w:tcPr>
            <w:tcW w:w="25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Tiesiskā regulējuma nefinansiālā ietekme</w:t>
            </w:r>
          </w:p>
        </w:tc>
        <w:tc>
          <w:tcPr>
            <w:tcW w:w="20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 attiecināms</w:t>
            </w:r>
          </w:p>
        </w:tc>
      </w:tr>
      <w:tr w:rsidR="004852F1" w:rsidRPr="005677C6" w:rsidTr="00483174">
        <w:trPr>
          <w:tblCellSpacing w:w="15" w:type="dxa"/>
        </w:trPr>
        <w:tc>
          <w:tcPr>
            <w:tcW w:w="2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5.</w:t>
            </w:r>
          </w:p>
        </w:tc>
        <w:tc>
          <w:tcPr>
            <w:tcW w:w="25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Administratīvās procedūras raksturojums</w:t>
            </w:r>
          </w:p>
        </w:tc>
        <w:tc>
          <w:tcPr>
            <w:tcW w:w="20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 attiecināms</w:t>
            </w:r>
          </w:p>
        </w:tc>
      </w:tr>
      <w:tr w:rsidR="004852F1" w:rsidRPr="005677C6" w:rsidTr="00483174">
        <w:trPr>
          <w:tblCellSpacing w:w="15" w:type="dxa"/>
        </w:trPr>
        <w:tc>
          <w:tcPr>
            <w:tcW w:w="2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6.</w:t>
            </w:r>
          </w:p>
        </w:tc>
        <w:tc>
          <w:tcPr>
            <w:tcW w:w="25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Administratīvo izmaksu monetārs novērtējums</w:t>
            </w:r>
          </w:p>
        </w:tc>
        <w:tc>
          <w:tcPr>
            <w:tcW w:w="20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 attiecināms</w:t>
            </w:r>
          </w:p>
        </w:tc>
      </w:tr>
      <w:tr w:rsidR="004852F1" w:rsidRPr="005677C6" w:rsidTr="00483174">
        <w:trPr>
          <w:tblCellSpacing w:w="15" w:type="dxa"/>
        </w:trPr>
        <w:tc>
          <w:tcPr>
            <w:tcW w:w="2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7.</w:t>
            </w:r>
          </w:p>
        </w:tc>
        <w:tc>
          <w:tcPr>
            <w:tcW w:w="25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Cita informācija</w:t>
            </w:r>
          </w:p>
        </w:tc>
        <w:tc>
          <w:tcPr>
            <w:tcW w:w="2050" w:type="pct"/>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w:t>
            </w:r>
          </w:p>
        </w:tc>
      </w:tr>
    </w:tbl>
    <w:p w:rsidR="004852F1" w:rsidRPr="005677C6" w:rsidRDefault="004852F1" w:rsidP="004852F1">
      <w:pPr>
        <w:spacing w:before="100" w:beforeAutospacing="1" w:after="100" w:afterAutospacing="1"/>
        <w:jc w:val="both"/>
        <w:rPr>
          <w:color w:val="000000"/>
        </w:rPr>
      </w:pPr>
      <w:r w:rsidRPr="005677C6">
        <w:rPr>
          <w:color w:val="000000"/>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221"/>
      </w:tblGrid>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center"/>
              <w:rPr>
                <w:b/>
                <w:bCs/>
                <w:color w:val="000000"/>
              </w:rPr>
            </w:pPr>
            <w:r w:rsidRPr="005677C6">
              <w:rPr>
                <w:b/>
                <w:bCs/>
                <w:color w:val="000000"/>
              </w:rPr>
              <w:t>III. Tiesību akta projekta ietekme uz valsts budžetu un pašvaldību budžetiem</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bCs/>
                <w:color w:val="000000"/>
              </w:rPr>
            </w:pPr>
            <w:r w:rsidRPr="005677C6">
              <w:rPr>
                <w:bCs/>
                <w:color w:val="000000"/>
              </w:rPr>
              <w:t>Nav attiecināms</w:t>
            </w:r>
          </w:p>
        </w:tc>
      </w:tr>
    </w:tbl>
    <w:p w:rsidR="004852F1" w:rsidRPr="005677C6" w:rsidRDefault="004852F1" w:rsidP="004852F1">
      <w:pPr>
        <w:spacing w:before="100" w:beforeAutospacing="1" w:after="100" w:afterAutospacing="1"/>
        <w:jc w:val="both"/>
        <w:rPr>
          <w:color w:val="000000"/>
        </w:rPr>
      </w:pPr>
      <w:r w:rsidRPr="005677C6">
        <w:rPr>
          <w:color w:val="000000"/>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221"/>
      </w:tblGrid>
      <w:tr w:rsidR="004852F1" w:rsidRPr="005677C6" w:rsidTr="00483174">
        <w:trPr>
          <w:tblCellSpacing w:w="15" w:type="dxa"/>
        </w:trPr>
        <w:tc>
          <w:tcPr>
            <w:tcW w:w="0" w:type="auto"/>
            <w:tcBorders>
              <w:top w:val="single" w:sz="6" w:space="0" w:color="auto"/>
              <w:left w:val="single" w:sz="6" w:space="0" w:color="auto"/>
              <w:bottom w:val="single" w:sz="6" w:space="0" w:color="auto"/>
              <w:right w:val="single" w:sz="6" w:space="0" w:color="auto"/>
            </w:tcBorders>
          </w:tcPr>
          <w:p w:rsidR="004852F1" w:rsidRPr="005677C6" w:rsidRDefault="004852F1" w:rsidP="00483174">
            <w:pPr>
              <w:spacing w:before="100" w:beforeAutospacing="1" w:after="100" w:afterAutospacing="1"/>
              <w:jc w:val="center"/>
              <w:rPr>
                <w:b/>
                <w:bCs/>
                <w:color w:val="000000"/>
              </w:rPr>
            </w:pPr>
            <w:r w:rsidRPr="005677C6">
              <w:rPr>
                <w:b/>
                <w:bCs/>
                <w:color w:val="000000"/>
              </w:rPr>
              <w:t>IV. Tiesību akta projekta ietekme uz spēkā esošo tiesību normu sistēmu</w:t>
            </w:r>
          </w:p>
        </w:tc>
      </w:tr>
      <w:tr w:rsidR="004852F1" w:rsidRPr="005677C6" w:rsidTr="00483174">
        <w:trPr>
          <w:tblCellSpacing w:w="15" w:type="dxa"/>
        </w:trPr>
        <w:tc>
          <w:tcPr>
            <w:tcW w:w="0" w:type="auto"/>
            <w:tcBorders>
              <w:top w:val="single" w:sz="6" w:space="0" w:color="auto"/>
              <w:left w:val="single" w:sz="6" w:space="0" w:color="auto"/>
              <w:bottom w:val="outset" w:sz="6" w:space="0" w:color="000000"/>
              <w:right w:val="single" w:sz="6" w:space="0" w:color="auto"/>
            </w:tcBorders>
          </w:tcPr>
          <w:p w:rsidR="004852F1" w:rsidRPr="00AD0D54" w:rsidRDefault="004852F1" w:rsidP="00483174">
            <w:pPr>
              <w:spacing w:before="100" w:beforeAutospacing="1" w:after="100" w:afterAutospacing="1"/>
              <w:rPr>
                <w:bCs/>
                <w:color w:val="000000"/>
              </w:rPr>
            </w:pPr>
            <w:r w:rsidRPr="00AD0D54">
              <w:rPr>
                <w:bCs/>
                <w:color w:val="000000"/>
              </w:rPr>
              <w:t>Nav attiecināms</w:t>
            </w:r>
          </w:p>
        </w:tc>
      </w:tr>
    </w:tbl>
    <w:p w:rsidR="004852F1" w:rsidRPr="005677C6" w:rsidRDefault="004852F1" w:rsidP="004852F1">
      <w:pPr>
        <w:spacing w:before="100" w:beforeAutospacing="1" w:after="100" w:afterAutospacing="1"/>
        <w:jc w:val="both"/>
        <w:rPr>
          <w:color w:val="000000"/>
        </w:rPr>
      </w:pPr>
      <w:r w:rsidRPr="005677C6">
        <w:rPr>
          <w:color w:val="000000"/>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
        <w:gridCol w:w="1769"/>
        <w:gridCol w:w="7137"/>
      </w:tblGrid>
      <w:tr w:rsidR="004852F1" w:rsidRPr="000259A9" w:rsidTr="00483174">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4852F1" w:rsidRPr="000259A9" w:rsidRDefault="004852F1" w:rsidP="00483174">
            <w:pPr>
              <w:spacing w:before="100" w:beforeAutospacing="1" w:after="100" w:afterAutospacing="1"/>
              <w:jc w:val="center"/>
              <w:rPr>
                <w:b/>
                <w:bCs/>
                <w:color w:val="000000"/>
              </w:rPr>
            </w:pPr>
            <w:r w:rsidRPr="000259A9">
              <w:rPr>
                <w:b/>
                <w:bCs/>
                <w:color w:val="000000"/>
              </w:rPr>
              <w:t>V. Tiesību akta projekta atbilstība Latvijas Republikas starptautiskajām saistībām</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t>Nav attiecināms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t>Nav attiecināms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4852F1" w:rsidRPr="00E86F88" w:rsidRDefault="004852F1" w:rsidP="00483174">
            <w:pPr>
              <w:spacing w:before="100" w:beforeAutospacing="1" w:after="100" w:afterAutospacing="1"/>
              <w:jc w:val="both"/>
              <w:rPr>
                <w:color w:val="000000"/>
                <w:u w:val="single"/>
              </w:rPr>
            </w:pPr>
            <w:r w:rsidRPr="00E86F88">
              <w:rPr>
                <w:u w:val="single"/>
              </w:rPr>
              <w:t xml:space="preserve">Vienošanās projekta 4.pants paredz, ka Pušu kompetentās iestādes Vienošanās īstenošanai paredzēto pasākumu realizēšanai izveido kopīgu komisiju sadarbībai ārkārtējo situāciju novēršanas un likvidēšanas jomā. Tās sastāvu, funkcijas, uzdevumus un darba kārtību nosaka kopīgās komisijas </w:t>
            </w:r>
            <w:smartTag w:uri="schemas-tilde-lv/tildestengine" w:element="veidnes">
              <w:smartTagPr>
                <w:attr w:name="id" w:val="-1"/>
                <w:attr w:name="baseform" w:val="nolikums"/>
                <w:attr w:name="text" w:val="nolikums"/>
              </w:smartTagPr>
              <w:r w:rsidRPr="00E86F88">
                <w:rPr>
                  <w:u w:val="single"/>
                </w:rPr>
                <w:t>nolikums</w:t>
              </w:r>
            </w:smartTag>
            <w:r w:rsidRPr="00E86F88">
              <w:rPr>
                <w:u w:val="single"/>
              </w:rPr>
              <w:t>, kuru apstiprina Pušu kompetento iestāžu vadītāji.</w:t>
            </w:r>
          </w:p>
        </w:tc>
      </w:tr>
    </w:tbl>
    <w:p w:rsidR="004852F1" w:rsidRPr="000259A9" w:rsidRDefault="004852F1" w:rsidP="004852F1">
      <w:pPr>
        <w:spacing w:before="100" w:beforeAutospacing="1" w:after="100" w:afterAutospacing="1"/>
        <w:jc w:val="both"/>
        <w:rPr>
          <w:color w:val="000000"/>
        </w:rPr>
      </w:pPr>
      <w:r w:rsidRPr="000259A9">
        <w:rPr>
          <w:color w:val="000000"/>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73"/>
        <w:gridCol w:w="1648"/>
        <w:gridCol w:w="2353"/>
        <w:gridCol w:w="2447"/>
      </w:tblGrid>
      <w:tr w:rsidR="004852F1" w:rsidRPr="000259A9" w:rsidTr="00483174">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b/>
                <w:bCs/>
                <w:color w:val="000000"/>
              </w:rPr>
            </w:pPr>
            <w:r w:rsidRPr="000259A9">
              <w:rPr>
                <w:b/>
                <w:bCs/>
                <w:color w:val="000000"/>
              </w:rPr>
              <w:t>1.tabula</w:t>
            </w:r>
            <w:r w:rsidRPr="000259A9">
              <w:rPr>
                <w:b/>
                <w:bCs/>
                <w:color w:val="000000"/>
              </w:rPr>
              <w:br/>
              <w:t>Tiesību akta projekta atbilstība ES tiesību aktiem</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Attiecīgā ES tiesību akta datums, numurs un nosaukums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 xml:space="preserve">Aizpilda, ja ar projektu tiek pārņemts vai ieviests vairāk nekā viens ES tiesību </w:t>
            </w:r>
            <w:smartTag w:uri="schemas-tilde-lv/tildestengine" w:element="veidnes">
              <w:smartTagPr>
                <w:attr w:name="text" w:val="akts"/>
                <w:attr w:name="baseform" w:val="akts"/>
                <w:attr w:name="id" w:val="-1"/>
              </w:smartTagPr>
              <w:r w:rsidRPr="000259A9">
                <w:rPr>
                  <w:color w:val="000000"/>
                </w:rPr>
                <w:t>akts</w:t>
              </w:r>
            </w:smartTag>
            <w:r w:rsidRPr="000259A9">
              <w:rPr>
                <w:color w:val="000000"/>
              </w:rPr>
              <w:t xml:space="preserve"> - jānorāda tā pati informācija, kas prasīta instrukcijas 55.1.apakšpunktā un jau tikusi norādīta arī V sadaļas 1.punkta ietvaros</w:t>
            </w:r>
          </w:p>
        </w:tc>
      </w:tr>
      <w:tr w:rsidR="004852F1" w:rsidRPr="000259A9" w:rsidTr="00483174">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C</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D</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Attiecīgā ES tiesību akta panta numurs (uzskaitot katru tiesību akta</w:t>
            </w:r>
            <w:r w:rsidRPr="000259A9">
              <w:rPr>
                <w:color w:val="000000"/>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Projekta vienība, kas pārņem vai ievieš katru šīs tabulas A ailē minēto ES tiesību akta vienību</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Informācija par to, vai šīs tabulas A ailē minētās ES tiesību akta vienības tiek pārņemtas vai ieviestas pilnībā vai daļēji.</w:t>
            </w:r>
          </w:p>
          <w:p w:rsidR="004852F1" w:rsidRPr="000259A9" w:rsidRDefault="004852F1" w:rsidP="00483174">
            <w:pPr>
              <w:spacing w:before="100" w:beforeAutospacing="1" w:after="100" w:afterAutospacing="1"/>
              <w:jc w:val="both"/>
              <w:rPr>
                <w:color w:val="000000"/>
              </w:rPr>
            </w:pPr>
            <w:r w:rsidRPr="000259A9">
              <w:rPr>
                <w:color w:val="000000"/>
              </w:rPr>
              <w:t>Ja attiecīgā ES tiesību akta vienība tiek pārņemta vai ieviesta daļēji, - sniedz attiecīgu skaidrojumu, kā arī precīzi norāda, kad un kādā veidā ES tiesību akta vienība tiks pārņemta vai ieviesta pilnībā.</w:t>
            </w:r>
          </w:p>
          <w:p w:rsidR="004852F1" w:rsidRPr="000259A9" w:rsidRDefault="004852F1" w:rsidP="00483174">
            <w:pPr>
              <w:spacing w:before="100" w:beforeAutospacing="1" w:after="100" w:afterAutospacing="1"/>
              <w:jc w:val="both"/>
              <w:rPr>
                <w:color w:val="000000"/>
              </w:rPr>
            </w:pPr>
            <w:r w:rsidRPr="000259A9">
              <w:rPr>
                <w:color w:val="000000"/>
              </w:rPr>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Informācija par to, vai šīs tabulas B ailē minētās projekta vienības paredz stingrākas prasības nekā šīs tabulas A ailē minētās ES tiesību akta vienības.</w:t>
            </w:r>
          </w:p>
          <w:p w:rsidR="004852F1" w:rsidRPr="000259A9" w:rsidRDefault="004852F1" w:rsidP="00483174">
            <w:pPr>
              <w:spacing w:before="100" w:beforeAutospacing="1" w:after="100" w:afterAutospacing="1"/>
              <w:jc w:val="both"/>
              <w:rPr>
                <w:color w:val="000000"/>
              </w:rPr>
            </w:pPr>
            <w:r w:rsidRPr="000259A9">
              <w:rPr>
                <w:color w:val="000000"/>
              </w:rPr>
              <w:t xml:space="preserve">Ja projekts satur stingrākas prasības nekā attiecīgais ES tiesību </w:t>
            </w:r>
            <w:smartTag w:uri="schemas-tilde-lv/tildestengine" w:element="veidnes">
              <w:smartTagPr>
                <w:attr w:name="text" w:val="akts"/>
                <w:attr w:name="baseform" w:val="akts"/>
                <w:attr w:name="id" w:val="-1"/>
              </w:smartTagPr>
              <w:r w:rsidRPr="000259A9">
                <w:rPr>
                  <w:color w:val="000000"/>
                </w:rPr>
                <w:t>akts</w:t>
              </w:r>
            </w:smartTag>
            <w:r w:rsidRPr="000259A9">
              <w:rPr>
                <w:color w:val="000000"/>
              </w:rPr>
              <w:t>, - norāda pamatojumu un samērīgumu.</w:t>
            </w:r>
          </w:p>
          <w:p w:rsidR="004852F1" w:rsidRPr="000259A9" w:rsidRDefault="004852F1" w:rsidP="00483174">
            <w:pPr>
              <w:spacing w:before="100" w:beforeAutospacing="1" w:after="100" w:afterAutospacing="1"/>
              <w:jc w:val="both"/>
              <w:rPr>
                <w:color w:val="000000"/>
              </w:rPr>
            </w:pPr>
            <w:r w:rsidRPr="000259A9">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r w:rsidRPr="000259A9">
              <w:t> Nav attiecināms</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r w:rsidRPr="000259A9">
              <w:t> Nav attiecināms</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r w:rsidRPr="000259A9">
              <w:t> Nav attiecināms</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r w:rsidRPr="000259A9">
              <w:t> Nav attiecināms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both"/>
              <w:rPr>
                <w:color w:val="000000"/>
              </w:rPr>
            </w:pPr>
            <w:r w:rsidRPr="000259A9">
              <w:rPr>
                <w:color w:val="000000"/>
              </w:rPr>
              <w:t>Kā ir izmantota ES tiesību aktā paredzētā rīcības brīvība dalībvalstij pārņemt vai ieviest noteiktas ES tiesību akta normas.</w:t>
            </w:r>
          </w:p>
          <w:p w:rsidR="004852F1" w:rsidRPr="000259A9" w:rsidRDefault="004852F1" w:rsidP="00483174">
            <w:pPr>
              <w:spacing w:before="100" w:beforeAutospacing="1" w:after="100" w:afterAutospacing="1"/>
              <w:jc w:val="both"/>
              <w:rPr>
                <w:color w:val="000000"/>
              </w:rPr>
            </w:pPr>
            <w:r w:rsidRPr="000259A9">
              <w:rPr>
                <w:color w:val="000000"/>
              </w:rPr>
              <w:t>Kādēļ?</w:t>
            </w:r>
          </w:p>
        </w:tc>
        <w:tc>
          <w:tcPr>
            <w:tcW w:w="0" w:type="auto"/>
            <w:gridSpan w:val="3"/>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t> Nav attiecināms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both"/>
              <w:rPr>
                <w:color w:val="000000"/>
              </w:rPr>
            </w:pPr>
            <w:r w:rsidRPr="000259A9">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t> Nav attiecināms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Cita informācija</w:t>
            </w:r>
          </w:p>
        </w:tc>
        <w:tc>
          <w:tcPr>
            <w:tcW w:w="0" w:type="auto"/>
            <w:gridSpan w:val="3"/>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Nav</w:t>
            </w:r>
          </w:p>
        </w:tc>
      </w:tr>
    </w:tbl>
    <w:p w:rsidR="004852F1" w:rsidRPr="000259A9" w:rsidRDefault="004852F1" w:rsidP="004852F1">
      <w:pPr>
        <w:spacing w:before="100" w:beforeAutospacing="1" w:after="100" w:afterAutospacing="1"/>
        <w:jc w:val="both"/>
        <w:rPr>
          <w:color w:val="000000"/>
        </w:rPr>
      </w:pPr>
      <w:r w:rsidRPr="000259A9">
        <w:rPr>
          <w:color w:val="000000"/>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86"/>
        <w:gridCol w:w="2996"/>
        <w:gridCol w:w="3639"/>
      </w:tblGrid>
      <w:tr w:rsidR="004852F1" w:rsidRPr="000259A9" w:rsidTr="00483174">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b/>
                <w:bCs/>
                <w:color w:val="000000"/>
              </w:rPr>
            </w:pPr>
            <w:r w:rsidRPr="000259A9">
              <w:rPr>
                <w:b/>
                <w:bCs/>
                <w:color w:val="000000"/>
              </w:rPr>
              <w:t>2.tabula</w:t>
            </w:r>
            <w:r w:rsidRPr="000259A9">
              <w:rPr>
                <w:b/>
                <w:bCs/>
                <w:color w:val="000000"/>
              </w:rPr>
              <w:br/>
              <w:t>Ar tiesību akta projektu uzņemtās saistības, kas izriet no starptautiskajiem tiesību aktiem vai starptautiskas institūcijas vai organizācijas dokumentiem</w:t>
            </w:r>
            <w:r w:rsidRPr="000259A9">
              <w:rPr>
                <w:b/>
                <w:bCs/>
                <w:color w:val="000000"/>
              </w:rPr>
              <w:br/>
              <w:t>Pasākumi šo saistību izpildei</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both"/>
              <w:rPr>
                <w:color w:val="000000"/>
              </w:rPr>
            </w:pPr>
            <w:r w:rsidRPr="000259A9">
              <w:t> Nav attiecināms</w:t>
            </w:r>
          </w:p>
        </w:tc>
        <w:tc>
          <w:tcPr>
            <w:tcW w:w="0" w:type="auto"/>
            <w:gridSpan w:val="2"/>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t> Nav attiecināms</w:t>
            </w:r>
          </w:p>
        </w:tc>
      </w:tr>
      <w:tr w:rsidR="004852F1" w:rsidRPr="000259A9" w:rsidTr="00483174">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jc w:val="center"/>
              <w:rPr>
                <w:color w:val="000000"/>
              </w:rPr>
            </w:pPr>
            <w:r w:rsidRPr="000259A9">
              <w:rPr>
                <w:color w:val="000000"/>
              </w:rPr>
              <w:t>C</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Starptautiskās saistības (pēc būtības), kas izriet no norādītā starptautiskā dokumenta.</w:t>
            </w:r>
          </w:p>
          <w:p w:rsidR="004852F1" w:rsidRPr="000259A9" w:rsidRDefault="004852F1" w:rsidP="00483174">
            <w:pPr>
              <w:spacing w:before="100" w:beforeAutospacing="1" w:after="100" w:afterAutospacing="1"/>
              <w:jc w:val="both"/>
              <w:rPr>
                <w:color w:val="000000"/>
              </w:rPr>
            </w:pPr>
            <w:r w:rsidRPr="000259A9">
              <w:rPr>
                <w:color w:val="000000"/>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Ja pasākumi vai uzdevumi, ar ko tiks izpildītas starptautiskās saistības, tiek noteikti projektā, norāda attiecīgo projekta vienību.</w:t>
            </w:r>
          </w:p>
          <w:p w:rsidR="004852F1" w:rsidRPr="000259A9" w:rsidRDefault="004852F1" w:rsidP="00483174">
            <w:pPr>
              <w:spacing w:before="100" w:beforeAutospacing="1" w:after="100" w:afterAutospacing="1"/>
              <w:jc w:val="both"/>
              <w:rPr>
                <w:color w:val="000000"/>
              </w:rPr>
            </w:pPr>
            <w:r w:rsidRPr="000259A9">
              <w:rPr>
                <w:color w:val="000000"/>
              </w:rPr>
              <w:t>Vai arī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Informācija par to, vai starptautiskās saistības, kas minētas šīs tabulas A ailē, tiek izpildītas pilnībā vai daļēji.</w:t>
            </w:r>
          </w:p>
          <w:p w:rsidR="004852F1" w:rsidRPr="000259A9" w:rsidRDefault="004852F1" w:rsidP="00483174">
            <w:pPr>
              <w:spacing w:before="100" w:beforeAutospacing="1" w:after="100" w:afterAutospacing="1"/>
              <w:jc w:val="both"/>
              <w:rPr>
                <w:color w:val="000000"/>
              </w:rPr>
            </w:pPr>
            <w:r w:rsidRPr="000259A9">
              <w:rPr>
                <w:color w:val="000000"/>
              </w:rPr>
              <w:t>Ja attiecīgās starptautiskās saistības tiek izpildītas daļēji, sniedz attiecīgu skaidrojumu, kā arī precīzi norāda, kad un kādā veidā starptautiskās saistības tiks izpildītas pilnībā.</w:t>
            </w:r>
          </w:p>
          <w:p w:rsidR="004852F1" w:rsidRPr="000259A9" w:rsidRDefault="004852F1" w:rsidP="00483174">
            <w:pPr>
              <w:spacing w:before="100" w:beforeAutospacing="1" w:after="100" w:afterAutospacing="1"/>
              <w:jc w:val="both"/>
              <w:rPr>
                <w:color w:val="000000"/>
              </w:rPr>
            </w:pPr>
            <w:r w:rsidRPr="000259A9">
              <w:rPr>
                <w:color w:val="000000"/>
              </w:rPr>
              <w:t>Norāda institūciju, kas ir atbildīga par šo saistību izpildi pilnībā</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r w:rsidRPr="000259A9">
              <w:t> Nav attiecināms</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r w:rsidRPr="000259A9">
              <w:t> Nav attiecināms</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r w:rsidRPr="000259A9">
              <w:t> Nav attiecināms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r w:rsidRPr="000259A9">
              <w:t> </w:t>
            </w:r>
          </w:p>
        </w:tc>
      </w:tr>
    </w:tbl>
    <w:p w:rsidR="004852F1" w:rsidRPr="000259A9" w:rsidRDefault="004852F1" w:rsidP="004852F1"/>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701"/>
        <w:gridCol w:w="1520"/>
      </w:tblGrid>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852F1" w:rsidRPr="000259A9" w:rsidRDefault="004852F1" w:rsidP="00483174">
            <w:pPr>
              <w:spacing w:before="100" w:beforeAutospacing="1" w:after="100" w:afterAutospacing="1"/>
              <w:rPr>
                <w:color w:val="000000"/>
              </w:rPr>
            </w:pPr>
            <w:r w:rsidRPr="000259A9">
              <w:rPr>
                <w:color w:val="000000"/>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t> Nav attiecināms</w:t>
            </w:r>
          </w:p>
        </w:tc>
      </w:tr>
      <w:tr w:rsidR="004852F1" w:rsidRPr="000259A9"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4852F1" w:rsidRPr="000259A9" w:rsidRDefault="004852F1" w:rsidP="00483174">
            <w:pPr>
              <w:spacing w:before="100" w:beforeAutospacing="1" w:after="100" w:afterAutospacing="1"/>
              <w:jc w:val="both"/>
              <w:rPr>
                <w:color w:val="000000"/>
              </w:rPr>
            </w:pPr>
            <w:r w:rsidRPr="000259A9">
              <w:rPr>
                <w:color w:val="000000"/>
              </w:rPr>
              <w:t>Nav</w:t>
            </w:r>
          </w:p>
        </w:tc>
      </w:tr>
    </w:tbl>
    <w:p w:rsidR="004852F1" w:rsidRPr="005677C6" w:rsidRDefault="004852F1" w:rsidP="004852F1">
      <w:pPr>
        <w:spacing w:before="100" w:beforeAutospacing="1" w:after="100" w:afterAutospacing="1"/>
        <w:jc w:val="both"/>
        <w:rPr>
          <w:color w:val="00000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221"/>
      </w:tblGrid>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center"/>
              <w:rPr>
                <w:b/>
                <w:bCs/>
                <w:color w:val="000000"/>
              </w:rPr>
            </w:pPr>
            <w:r w:rsidRPr="005677C6">
              <w:rPr>
                <w:b/>
                <w:bCs/>
                <w:color w:val="000000"/>
              </w:rPr>
              <w:t>VI. Sabiedrības līdzdalība un šīs līdzdalības rezultāti</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bCs/>
                <w:color w:val="000000"/>
              </w:rPr>
            </w:pPr>
            <w:r w:rsidRPr="005677C6">
              <w:rPr>
                <w:bCs/>
                <w:color w:val="000000"/>
              </w:rPr>
              <w:t>Nav attiecināms</w:t>
            </w:r>
          </w:p>
        </w:tc>
      </w:tr>
    </w:tbl>
    <w:p w:rsidR="004852F1" w:rsidRPr="005677C6" w:rsidRDefault="004852F1" w:rsidP="004852F1">
      <w:pPr>
        <w:spacing w:before="100" w:beforeAutospacing="1" w:after="100" w:afterAutospacing="1"/>
        <w:jc w:val="both"/>
        <w:rPr>
          <w:color w:val="000000"/>
        </w:rPr>
      </w:pPr>
      <w:r w:rsidRPr="005677C6">
        <w:rPr>
          <w:color w:val="000000"/>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
        <w:gridCol w:w="3771"/>
        <w:gridCol w:w="5135"/>
      </w:tblGrid>
      <w:tr w:rsidR="004852F1" w:rsidRPr="005677C6" w:rsidTr="00483174">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center"/>
              <w:rPr>
                <w:b/>
                <w:bCs/>
                <w:color w:val="000000"/>
              </w:rPr>
            </w:pPr>
            <w:r w:rsidRPr="005677C6">
              <w:rPr>
                <w:b/>
                <w:bCs/>
                <w:color w:val="000000"/>
              </w:rPr>
              <w:t>VII. Tiesību akta projekta izpildes nodrošināšana un tās ietekme uz institūcijām</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Valsts ugunsdzēsības un glābšanas dienests, Neatliekamās medicīniskās palīdzības dienests</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Projekts nemaina iesaistīto institūciju kompetenci</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Projekta izpildes ietekme uz pārvaldes institucionālo struktūru.</w:t>
            </w:r>
          </w:p>
          <w:p w:rsidR="004852F1" w:rsidRPr="005677C6" w:rsidRDefault="004852F1" w:rsidP="00483174">
            <w:pPr>
              <w:spacing w:before="100" w:beforeAutospacing="1" w:after="100" w:afterAutospacing="1"/>
              <w:rPr>
                <w:color w:val="000000"/>
              </w:rPr>
            </w:pPr>
            <w:r w:rsidRPr="005677C6">
              <w:rPr>
                <w:color w:val="000000"/>
              </w:rPr>
              <w:t>Jaunu institūciju izveide</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Nav ietekmes.</w:t>
            </w:r>
          </w:p>
          <w:p w:rsidR="004852F1" w:rsidRPr="005677C6" w:rsidRDefault="004852F1" w:rsidP="00483174">
            <w:pPr>
              <w:spacing w:before="100" w:beforeAutospacing="1" w:after="100" w:afterAutospacing="1"/>
              <w:rPr>
                <w:color w:val="000000"/>
              </w:rPr>
            </w:pPr>
          </w:p>
          <w:p w:rsidR="004852F1" w:rsidRPr="005677C6" w:rsidRDefault="004852F1" w:rsidP="00483174">
            <w:pPr>
              <w:spacing w:before="100" w:beforeAutospacing="1" w:after="100" w:afterAutospacing="1"/>
              <w:rPr>
                <w:color w:val="000000"/>
              </w:rPr>
            </w:pPr>
            <w:r w:rsidRPr="005677C6">
              <w:rPr>
                <w:color w:val="000000"/>
              </w:rPr>
              <w:t>Jaunas institūcijas netiek paredzētas.</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4.</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Projekta izpildes ietekme uz pārvaldes institucionālo struktūru.</w:t>
            </w:r>
          </w:p>
          <w:p w:rsidR="004852F1" w:rsidRPr="005677C6" w:rsidRDefault="004852F1" w:rsidP="00483174">
            <w:pPr>
              <w:spacing w:before="100" w:beforeAutospacing="1" w:after="100" w:afterAutospacing="1"/>
              <w:rPr>
                <w:color w:val="000000"/>
              </w:rPr>
            </w:pPr>
            <w:r w:rsidRPr="005677C6">
              <w:rPr>
                <w:color w:val="000000"/>
              </w:rPr>
              <w:t>Esošu institūciju likvidācija</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Nav ietekmes.</w:t>
            </w:r>
          </w:p>
          <w:p w:rsidR="004852F1" w:rsidRPr="005677C6" w:rsidRDefault="004852F1" w:rsidP="00483174">
            <w:pPr>
              <w:spacing w:before="100" w:beforeAutospacing="1" w:after="100" w:afterAutospacing="1"/>
              <w:rPr>
                <w:color w:val="000000"/>
              </w:rPr>
            </w:pPr>
          </w:p>
          <w:p w:rsidR="004852F1" w:rsidRPr="005677C6" w:rsidRDefault="004852F1" w:rsidP="00483174">
            <w:pPr>
              <w:spacing w:before="100" w:beforeAutospacing="1" w:after="100" w:afterAutospacing="1"/>
              <w:rPr>
                <w:color w:val="000000"/>
              </w:rPr>
            </w:pPr>
            <w:r w:rsidRPr="005677C6">
              <w:rPr>
                <w:color w:val="000000"/>
              </w:rPr>
              <w:t>Institūcijas netiek likvidētas.</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5.</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Projekta izpildes ietekme uz pārvaldes institucionālo struktūru.</w:t>
            </w:r>
          </w:p>
          <w:p w:rsidR="004852F1" w:rsidRPr="005677C6" w:rsidRDefault="004852F1" w:rsidP="00483174">
            <w:pPr>
              <w:spacing w:before="100" w:beforeAutospacing="1" w:after="100" w:afterAutospacing="1"/>
              <w:rPr>
                <w:color w:val="000000"/>
              </w:rPr>
            </w:pPr>
            <w:r w:rsidRPr="005677C6">
              <w:rPr>
                <w:color w:val="000000"/>
              </w:rPr>
              <w:t>Esošu institūciju reorganizācija</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rPr>
                <w:color w:val="000000"/>
              </w:rPr>
            </w:pPr>
            <w:r w:rsidRPr="005677C6">
              <w:rPr>
                <w:color w:val="000000"/>
              </w:rPr>
              <w:t>Nav ietekmes.</w:t>
            </w:r>
          </w:p>
          <w:p w:rsidR="004852F1" w:rsidRDefault="004852F1" w:rsidP="00483174">
            <w:pPr>
              <w:spacing w:before="100" w:beforeAutospacing="1" w:after="100" w:afterAutospacing="1"/>
              <w:rPr>
                <w:color w:val="000000"/>
              </w:rPr>
            </w:pPr>
          </w:p>
          <w:p w:rsidR="004852F1" w:rsidRPr="005677C6" w:rsidRDefault="004852F1" w:rsidP="00483174">
            <w:pPr>
              <w:spacing w:before="100" w:beforeAutospacing="1" w:after="100" w:afterAutospacing="1"/>
              <w:rPr>
                <w:color w:val="000000"/>
              </w:rPr>
            </w:pPr>
            <w:r w:rsidRPr="005677C6">
              <w:rPr>
                <w:color w:val="000000"/>
              </w:rPr>
              <w:t>Institūcijas netiek reorganizētas.</w:t>
            </w:r>
          </w:p>
        </w:tc>
      </w:tr>
      <w:tr w:rsidR="004852F1" w:rsidRPr="005677C6" w:rsidTr="00483174">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6.</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4852F1" w:rsidRPr="005677C6" w:rsidRDefault="004852F1" w:rsidP="00483174">
            <w:pPr>
              <w:spacing w:before="100" w:beforeAutospacing="1" w:after="100" w:afterAutospacing="1"/>
              <w:jc w:val="both"/>
              <w:rPr>
                <w:color w:val="000000"/>
              </w:rPr>
            </w:pPr>
            <w:r w:rsidRPr="005677C6">
              <w:rPr>
                <w:color w:val="000000"/>
              </w:rPr>
              <w:t>Nav</w:t>
            </w:r>
          </w:p>
        </w:tc>
      </w:tr>
    </w:tbl>
    <w:p w:rsidR="004852F1" w:rsidRPr="005677C6" w:rsidRDefault="004852F1" w:rsidP="004852F1">
      <w:pPr>
        <w:spacing w:before="280"/>
      </w:pPr>
    </w:p>
    <w:p w:rsidR="004852F1" w:rsidRPr="005677C6" w:rsidRDefault="004852F1" w:rsidP="004852F1">
      <w:r w:rsidRPr="005677C6">
        <w:t xml:space="preserve">Iekšlietu ministre                                                                         </w:t>
      </w:r>
      <w:r>
        <w:t xml:space="preserve">                  </w:t>
      </w:r>
      <w:r w:rsidRPr="005677C6">
        <w:t xml:space="preserve">   L.Mūrniece</w:t>
      </w:r>
    </w:p>
    <w:p w:rsidR="004852F1" w:rsidRPr="005677C6" w:rsidRDefault="004852F1" w:rsidP="004852F1"/>
    <w:p w:rsidR="004852F1" w:rsidRPr="005677C6" w:rsidRDefault="004852F1" w:rsidP="004852F1"/>
    <w:p w:rsidR="004852F1" w:rsidRDefault="004852F1" w:rsidP="004852F1">
      <w:r>
        <w:t>Vīza: Valsts sekretāres</w:t>
      </w:r>
    </w:p>
    <w:p w:rsidR="004852F1" w:rsidRPr="005677C6" w:rsidRDefault="004852F1" w:rsidP="004852F1">
      <w:r>
        <w:t>pienākumu izpildītāja</w:t>
      </w:r>
      <w:r w:rsidRPr="005677C6">
        <w:t xml:space="preserve">                                                                      </w:t>
      </w:r>
      <w:r>
        <w:t xml:space="preserve">                 </w:t>
      </w:r>
      <w:proofErr w:type="spellStart"/>
      <w:r w:rsidRPr="005677C6">
        <w:t>I.</w:t>
      </w:r>
      <w:r>
        <w:t>Aire</w:t>
      </w:r>
      <w:proofErr w:type="spellEnd"/>
    </w:p>
    <w:p w:rsidR="004852F1" w:rsidRDefault="004852F1" w:rsidP="004852F1">
      <w:pPr>
        <w:rPr>
          <w:sz w:val="28"/>
          <w:szCs w:val="28"/>
        </w:rPr>
      </w:pPr>
    </w:p>
    <w:p w:rsidR="004852F1" w:rsidRDefault="004852F1" w:rsidP="004852F1">
      <w:pPr>
        <w:rPr>
          <w:sz w:val="28"/>
          <w:szCs w:val="28"/>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sz w:val="18"/>
          <w:szCs w:val="18"/>
          <w:lang w:val="en-GB"/>
        </w:rPr>
      </w:pPr>
    </w:p>
    <w:p w:rsidR="004852F1" w:rsidRDefault="004852F1" w:rsidP="004852F1">
      <w:pPr>
        <w:rPr>
          <w:lang w:val="en-GB"/>
        </w:rPr>
      </w:pPr>
    </w:p>
    <w:p w:rsidR="004852F1" w:rsidRPr="00992266" w:rsidRDefault="004852F1" w:rsidP="004852F1">
      <w:pPr>
        <w:rPr>
          <w:sz w:val="20"/>
          <w:szCs w:val="20"/>
        </w:rPr>
      </w:pPr>
    </w:p>
    <w:p w:rsidR="004852F1" w:rsidRPr="00992266" w:rsidRDefault="004852F1" w:rsidP="004852F1">
      <w:pPr>
        <w:rPr>
          <w:sz w:val="20"/>
          <w:szCs w:val="20"/>
          <w:lang w:val="de-DE"/>
        </w:rPr>
      </w:pPr>
      <w:r w:rsidRPr="00992266">
        <w:rPr>
          <w:sz w:val="20"/>
          <w:szCs w:val="20"/>
          <w:lang w:val="de-DE"/>
        </w:rPr>
        <w:t>07.01.2011. 8:31</w:t>
      </w:r>
    </w:p>
    <w:p w:rsidR="004852F1" w:rsidRPr="00992266" w:rsidRDefault="004852F1" w:rsidP="004852F1">
      <w:pPr>
        <w:rPr>
          <w:sz w:val="20"/>
          <w:szCs w:val="20"/>
          <w:lang w:val="de-DE"/>
        </w:rPr>
      </w:pPr>
      <w:r>
        <w:rPr>
          <w:sz w:val="20"/>
          <w:szCs w:val="20"/>
          <w:lang w:val="de-DE"/>
        </w:rPr>
        <w:t>1236</w:t>
      </w:r>
    </w:p>
    <w:p w:rsidR="004852F1" w:rsidRPr="00992266" w:rsidRDefault="004852F1" w:rsidP="004852F1">
      <w:pPr>
        <w:rPr>
          <w:sz w:val="20"/>
          <w:szCs w:val="20"/>
          <w:lang w:val="de-DE"/>
        </w:rPr>
      </w:pPr>
      <w:r w:rsidRPr="00992266">
        <w:rPr>
          <w:sz w:val="20"/>
          <w:szCs w:val="20"/>
          <w:lang w:val="de-DE"/>
        </w:rPr>
        <w:t>K.Stoļarova</w:t>
      </w:r>
    </w:p>
    <w:p w:rsidR="004852F1" w:rsidRPr="00992266" w:rsidRDefault="004852F1" w:rsidP="004852F1">
      <w:pPr>
        <w:rPr>
          <w:sz w:val="20"/>
          <w:szCs w:val="20"/>
          <w:lang w:val="de-DE"/>
        </w:rPr>
      </w:pPr>
      <w:r w:rsidRPr="00992266">
        <w:rPr>
          <w:sz w:val="20"/>
          <w:szCs w:val="20"/>
          <w:lang w:val="de-DE"/>
        </w:rPr>
        <w:t>67219584, karina.stolarova@iem.gov.lv</w:t>
      </w:r>
    </w:p>
    <w:p w:rsidR="004852F1" w:rsidRPr="00992266" w:rsidRDefault="004852F1" w:rsidP="004852F1">
      <w:pPr>
        <w:jc w:val="both"/>
        <w:rPr>
          <w:sz w:val="20"/>
          <w:szCs w:val="20"/>
          <w:lang w:val="de-DE"/>
        </w:rPr>
      </w:pPr>
    </w:p>
    <w:p w:rsidR="004852F1" w:rsidRPr="00992266" w:rsidRDefault="004852F1" w:rsidP="004852F1">
      <w:pPr>
        <w:rPr>
          <w:sz w:val="20"/>
          <w:szCs w:val="20"/>
          <w:lang w:val="de-DE"/>
        </w:rPr>
      </w:pPr>
    </w:p>
    <w:p w:rsidR="00D94541" w:rsidRDefault="00D94541"/>
    <w:sectPr w:rsidR="00D94541" w:rsidSect="00100635">
      <w:headerReference w:type="even" r:id="rId7"/>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D9" w:rsidRDefault="00F85DD9" w:rsidP="004852F1">
      <w:r>
        <w:separator/>
      </w:r>
    </w:p>
  </w:endnote>
  <w:endnote w:type="continuationSeparator" w:id="0">
    <w:p w:rsidR="00F85DD9" w:rsidRDefault="00F85DD9"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57" w:rsidRPr="00FE463F" w:rsidRDefault="00CC51FD" w:rsidP="00B123CF">
    <w:pPr>
      <w:jc w:val="both"/>
      <w:rPr>
        <w:sz w:val="20"/>
        <w:szCs w:val="20"/>
      </w:rPr>
    </w:pPr>
    <w:r>
      <w:rPr>
        <w:sz w:val="20"/>
        <w:szCs w:val="20"/>
      </w:rPr>
      <w:t>IEMAnot_070111_Azerb;</w:t>
    </w:r>
    <w:r w:rsidRPr="005341A0">
      <w:rPr>
        <w:sz w:val="20"/>
        <w:szCs w:val="20"/>
      </w:rPr>
      <w:t xml:space="preserve"> Likumprojekta </w:t>
    </w:r>
    <w:r>
      <w:rPr>
        <w:sz w:val="20"/>
        <w:szCs w:val="20"/>
      </w:rPr>
      <w:t>“</w:t>
    </w:r>
    <w:r w:rsidRPr="00092E09">
      <w:rPr>
        <w:sz w:val="20"/>
        <w:szCs w:val="20"/>
      </w:rPr>
      <w:t xml:space="preserve">Par Latvijas Republikas valdības un </w:t>
    </w:r>
    <w:r>
      <w:rPr>
        <w:sz w:val="20"/>
        <w:szCs w:val="20"/>
      </w:rPr>
      <w:t>Azerbaidžānas Republikas</w:t>
    </w:r>
    <w:r w:rsidRPr="00092E09">
      <w:rPr>
        <w:sz w:val="20"/>
        <w:szCs w:val="20"/>
      </w:rPr>
      <w:t xml:space="preserve"> valdības vienošanos par sadarbību ārkārtējo situāciju novēršan</w:t>
    </w:r>
    <w:r>
      <w:rPr>
        <w:sz w:val="20"/>
        <w:szCs w:val="20"/>
      </w:rPr>
      <w:t>as un</w:t>
    </w:r>
    <w:r w:rsidRPr="00092E09">
      <w:rPr>
        <w:sz w:val="20"/>
        <w:szCs w:val="20"/>
      </w:rPr>
      <w:t xml:space="preserve"> likvidēšanas jomā</w:t>
    </w:r>
    <w:r>
      <w:rPr>
        <w:sz w:val="20"/>
        <w:szCs w:val="20"/>
      </w:rPr>
      <w:t xml:space="preserve">” </w:t>
    </w:r>
    <w:r w:rsidRPr="005341A0">
      <w:rPr>
        <w:sz w:val="20"/>
        <w:szCs w:val="20"/>
      </w:rPr>
      <w:t>anotācija</w:t>
    </w:r>
  </w:p>
  <w:p w:rsidR="00674057" w:rsidRPr="00252954" w:rsidRDefault="00F85DD9" w:rsidP="00252954">
    <w:pPr>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57" w:rsidRPr="00FE463F" w:rsidRDefault="00CC51FD" w:rsidP="003F727A">
    <w:pPr>
      <w:jc w:val="both"/>
      <w:rPr>
        <w:sz w:val="20"/>
        <w:szCs w:val="20"/>
      </w:rPr>
    </w:pPr>
    <w:r>
      <w:rPr>
        <w:sz w:val="20"/>
        <w:szCs w:val="20"/>
      </w:rPr>
      <w:t>IEMAnot_070111_Azerb;</w:t>
    </w:r>
    <w:r w:rsidRPr="005341A0">
      <w:rPr>
        <w:sz w:val="20"/>
        <w:szCs w:val="20"/>
      </w:rPr>
      <w:t xml:space="preserve"> Likumprojekta </w:t>
    </w:r>
    <w:r>
      <w:rPr>
        <w:sz w:val="20"/>
        <w:szCs w:val="20"/>
      </w:rPr>
      <w:t>“</w:t>
    </w:r>
    <w:r w:rsidRPr="00092E09">
      <w:rPr>
        <w:sz w:val="20"/>
        <w:szCs w:val="20"/>
      </w:rPr>
      <w:t xml:space="preserve">Par Latvijas Republikas valdības un </w:t>
    </w:r>
    <w:r>
      <w:rPr>
        <w:sz w:val="20"/>
        <w:szCs w:val="20"/>
      </w:rPr>
      <w:t>Azerbaidžānas Republikas</w:t>
    </w:r>
    <w:r w:rsidRPr="00092E09">
      <w:rPr>
        <w:sz w:val="20"/>
        <w:szCs w:val="20"/>
      </w:rPr>
      <w:t xml:space="preserve"> valdības vienošanos par sadarbību ārkārtējo situāciju novēršan</w:t>
    </w:r>
    <w:r>
      <w:rPr>
        <w:sz w:val="20"/>
        <w:szCs w:val="20"/>
      </w:rPr>
      <w:t>as un</w:t>
    </w:r>
    <w:r w:rsidRPr="00092E09">
      <w:rPr>
        <w:sz w:val="20"/>
        <w:szCs w:val="20"/>
      </w:rPr>
      <w:t xml:space="preserve"> likvidēšanas jomā</w:t>
    </w:r>
    <w:r>
      <w:rPr>
        <w:sz w:val="20"/>
        <w:szCs w:val="20"/>
      </w:rPr>
      <w:t xml:space="preserve">” </w:t>
    </w:r>
    <w:r w:rsidRPr="005341A0">
      <w:rPr>
        <w:sz w:val="20"/>
        <w:szCs w:val="20"/>
      </w:rPr>
      <w:t>anotācija</w:t>
    </w:r>
  </w:p>
  <w:p w:rsidR="00674057" w:rsidRDefault="00F8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D9" w:rsidRDefault="00F85DD9" w:rsidP="004852F1">
      <w:r>
        <w:separator/>
      </w:r>
    </w:p>
  </w:footnote>
  <w:footnote w:type="continuationSeparator" w:id="0">
    <w:p w:rsidR="00F85DD9" w:rsidRDefault="00F85DD9" w:rsidP="0048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57" w:rsidRDefault="00CC51FD" w:rsidP="001006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057" w:rsidRDefault="00F85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57" w:rsidRDefault="00CC51FD" w:rsidP="001006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3F4">
      <w:rPr>
        <w:rStyle w:val="PageNumber"/>
        <w:noProof/>
      </w:rPr>
      <w:t>6</w:t>
    </w:r>
    <w:r>
      <w:rPr>
        <w:rStyle w:val="PageNumber"/>
      </w:rPr>
      <w:fldChar w:fldCharType="end"/>
    </w:r>
  </w:p>
  <w:p w:rsidR="00674057" w:rsidRDefault="00F85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F1"/>
    <w:rsid w:val="000C77BA"/>
    <w:rsid w:val="002E63F4"/>
    <w:rsid w:val="004852F1"/>
    <w:rsid w:val="00CC51FD"/>
    <w:rsid w:val="00D94541"/>
    <w:rsid w:val="00F85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2F1"/>
    <w:pPr>
      <w:tabs>
        <w:tab w:val="center" w:pos="4153"/>
        <w:tab w:val="right" w:pos="8306"/>
      </w:tabs>
    </w:pPr>
  </w:style>
  <w:style w:type="character" w:customStyle="1" w:styleId="HeaderChar">
    <w:name w:val="Header Char"/>
    <w:basedOn w:val="DefaultParagraphFont"/>
    <w:link w:val="Header"/>
    <w:rsid w:val="004852F1"/>
    <w:rPr>
      <w:rFonts w:ascii="Times New Roman" w:eastAsia="Times New Roman" w:hAnsi="Times New Roman" w:cs="Times New Roman"/>
      <w:sz w:val="24"/>
      <w:szCs w:val="24"/>
      <w:lang w:eastAsia="lv-LV"/>
    </w:rPr>
  </w:style>
  <w:style w:type="paragraph" w:styleId="Footer">
    <w:name w:val="footer"/>
    <w:basedOn w:val="Normal"/>
    <w:link w:val="FooterChar"/>
    <w:rsid w:val="004852F1"/>
    <w:pPr>
      <w:tabs>
        <w:tab w:val="center" w:pos="4153"/>
        <w:tab w:val="right" w:pos="8306"/>
      </w:tabs>
    </w:pPr>
  </w:style>
  <w:style w:type="character" w:customStyle="1" w:styleId="FooterChar">
    <w:name w:val="Footer Char"/>
    <w:basedOn w:val="DefaultParagraphFont"/>
    <w:link w:val="Footer"/>
    <w:rsid w:val="004852F1"/>
    <w:rPr>
      <w:rFonts w:ascii="Times New Roman" w:eastAsia="Times New Roman" w:hAnsi="Times New Roman" w:cs="Times New Roman"/>
      <w:sz w:val="24"/>
      <w:szCs w:val="24"/>
      <w:lang w:eastAsia="lv-LV"/>
    </w:rPr>
  </w:style>
  <w:style w:type="character" w:styleId="PageNumber">
    <w:name w:val="page number"/>
    <w:basedOn w:val="DefaultParagraphFont"/>
    <w:rsid w:val="004852F1"/>
  </w:style>
  <w:style w:type="paragraph" w:styleId="BodyText">
    <w:name w:val="Body Text"/>
    <w:basedOn w:val="Normal"/>
    <w:link w:val="BodyTextChar"/>
    <w:rsid w:val="004852F1"/>
    <w:pPr>
      <w:spacing w:after="120"/>
    </w:pPr>
    <w:rPr>
      <w:lang w:val="en-US" w:eastAsia="en-US"/>
    </w:rPr>
  </w:style>
  <w:style w:type="character" w:customStyle="1" w:styleId="BodyTextChar">
    <w:name w:val="Body Text Char"/>
    <w:basedOn w:val="DefaultParagraphFont"/>
    <w:link w:val="BodyText"/>
    <w:rsid w:val="004852F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2F1"/>
    <w:pPr>
      <w:tabs>
        <w:tab w:val="center" w:pos="4153"/>
        <w:tab w:val="right" w:pos="8306"/>
      </w:tabs>
    </w:pPr>
  </w:style>
  <w:style w:type="character" w:customStyle="1" w:styleId="HeaderChar">
    <w:name w:val="Header Char"/>
    <w:basedOn w:val="DefaultParagraphFont"/>
    <w:link w:val="Header"/>
    <w:rsid w:val="004852F1"/>
    <w:rPr>
      <w:rFonts w:ascii="Times New Roman" w:eastAsia="Times New Roman" w:hAnsi="Times New Roman" w:cs="Times New Roman"/>
      <w:sz w:val="24"/>
      <w:szCs w:val="24"/>
      <w:lang w:eastAsia="lv-LV"/>
    </w:rPr>
  </w:style>
  <w:style w:type="paragraph" w:styleId="Footer">
    <w:name w:val="footer"/>
    <w:basedOn w:val="Normal"/>
    <w:link w:val="FooterChar"/>
    <w:rsid w:val="004852F1"/>
    <w:pPr>
      <w:tabs>
        <w:tab w:val="center" w:pos="4153"/>
        <w:tab w:val="right" w:pos="8306"/>
      </w:tabs>
    </w:pPr>
  </w:style>
  <w:style w:type="character" w:customStyle="1" w:styleId="FooterChar">
    <w:name w:val="Footer Char"/>
    <w:basedOn w:val="DefaultParagraphFont"/>
    <w:link w:val="Footer"/>
    <w:rsid w:val="004852F1"/>
    <w:rPr>
      <w:rFonts w:ascii="Times New Roman" w:eastAsia="Times New Roman" w:hAnsi="Times New Roman" w:cs="Times New Roman"/>
      <w:sz w:val="24"/>
      <w:szCs w:val="24"/>
      <w:lang w:eastAsia="lv-LV"/>
    </w:rPr>
  </w:style>
  <w:style w:type="character" w:styleId="PageNumber">
    <w:name w:val="page number"/>
    <w:basedOn w:val="DefaultParagraphFont"/>
    <w:rsid w:val="004852F1"/>
  </w:style>
  <w:style w:type="paragraph" w:styleId="BodyText">
    <w:name w:val="Body Text"/>
    <w:basedOn w:val="Normal"/>
    <w:link w:val="BodyTextChar"/>
    <w:rsid w:val="004852F1"/>
    <w:pPr>
      <w:spacing w:after="120"/>
    </w:pPr>
    <w:rPr>
      <w:lang w:val="en-US" w:eastAsia="en-US"/>
    </w:rPr>
  </w:style>
  <w:style w:type="character" w:customStyle="1" w:styleId="BodyTextChar">
    <w:name w:val="Body Text Char"/>
    <w:basedOn w:val="DefaultParagraphFont"/>
    <w:link w:val="BodyText"/>
    <w:rsid w:val="004852F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8933</Characters>
  <Application>Microsoft Office Word</Application>
  <DocSecurity>0</DocSecurity>
  <Lines>406</Lines>
  <Paragraphs>180</Paragraphs>
  <ScaleCrop>false</ScaleCrop>
  <HeadingPairs>
    <vt:vector size="2" baseType="variant">
      <vt:variant>
        <vt:lpstr>Title</vt:lpstr>
      </vt:variant>
      <vt:variant>
        <vt:i4>1</vt:i4>
      </vt:variant>
    </vt:vector>
  </HeadingPairs>
  <TitlesOfParts>
    <vt:vector size="1" baseType="lpstr">
      <vt:lpstr>Likumprojekta “Par Latvijas Republikas valdības un Azerbaidžānas Republikas valdības vienošanos par sadarbību ārkārtējo situāciju novēršanas un likvidēšanas jomā” anotācija</vt:lpstr>
    </vt:vector>
  </TitlesOfParts>
  <Company>IEM</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valdības un Azerbaidžānas Republikas valdības vienošanos par sadarbību ārkārtējo situāciju novēršanas un likvidēšanas jomā” anotācija</dc:title>
  <dc:subject>Likumprojekta anotācija</dc:subject>
  <dc:creator>Karina Stoļarova</dc:creator>
  <dc:description>karina.stolarova@iem.gov.lv;_x000d_
67219584</dc:description>
  <cp:lastModifiedBy>Karina Stoļarova</cp:lastModifiedBy>
  <cp:revision>2</cp:revision>
  <cp:lastPrinted>2011-01-07T07:55:00Z</cp:lastPrinted>
  <dcterms:created xsi:type="dcterms:W3CDTF">2011-01-07T07:21:00Z</dcterms:created>
  <dcterms:modified xsi:type="dcterms:W3CDTF">2011-01-07T09:07:00Z</dcterms:modified>
</cp:coreProperties>
</file>