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1E" w:rsidRPr="00BA6A65" w:rsidRDefault="00CA1C1E" w:rsidP="00CA1C1E">
      <w:pPr>
        <w:ind w:right="-6"/>
        <w:jc w:val="center"/>
        <w:rPr>
          <w:b/>
        </w:rPr>
      </w:pPr>
      <w:r w:rsidRPr="00BA6A65">
        <w:rPr>
          <w:b/>
        </w:rPr>
        <w:t>Ministru kabineta noteikumu projekta</w:t>
      </w:r>
    </w:p>
    <w:p w:rsidR="00CC7956" w:rsidRPr="00BA6A65" w:rsidRDefault="003A6D87" w:rsidP="00CC7956">
      <w:pPr>
        <w:pStyle w:val="Paraststmeklis"/>
        <w:spacing w:before="0" w:beforeAutospacing="0" w:after="0" w:afterAutospacing="0"/>
        <w:jc w:val="center"/>
        <w:rPr>
          <w:b/>
          <w:bCs/>
          <w:sz w:val="24"/>
          <w:szCs w:val="24"/>
          <w:lang w:val="lv-LV" w:eastAsia="lv-LV"/>
        </w:rPr>
      </w:pPr>
      <w:r w:rsidRPr="00BA6A65">
        <w:rPr>
          <w:b/>
          <w:sz w:val="24"/>
          <w:szCs w:val="24"/>
          <w:lang w:val="lv-LV"/>
        </w:rPr>
        <w:t>„</w:t>
      </w:r>
      <w:r w:rsidR="00B95B5E" w:rsidRPr="00BA6A65">
        <w:rPr>
          <w:b/>
          <w:bCs/>
          <w:sz w:val="24"/>
          <w:szCs w:val="24"/>
          <w:lang w:val="lv-LV"/>
        </w:rPr>
        <w:t>Valsts policijas koledžas sniegto maksas pakalpojumu cenrādi</w:t>
      </w:r>
      <w:r w:rsidR="008605E0" w:rsidRPr="00BA6A65">
        <w:rPr>
          <w:b/>
          <w:bCs/>
          <w:sz w:val="24"/>
          <w:szCs w:val="24"/>
          <w:lang w:val="lv-LV"/>
        </w:rPr>
        <w:t>s</w:t>
      </w:r>
      <w:r w:rsidR="00B95B5E" w:rsidRPr="00BA6A65">
        <w:rPr>
          <w:rStyle w:val="Izteiksmgs"/>
          <w:b w:val="0"/>
          <w:color w:val="000000"/>
          <w:sz w:val="24"/>
          <w:szCs w:val="24"/>
          <w:lang w:val="lv-LV"/>
        </w:rPr>
        <w:t>”</w:t>
      </w:r>
      <w:r w:rsidRPr="00BA6A65">
        <w:rPr>
          <w:b/>
          <w:sz w:val="24"/>
          <w:szCs w:val="24"/>
          <w:lang w:val="lv-LV"/>
        </w:rPr>
        <w:t xml:space="preserve"> </w:t>
      </w:r>
      <w:r w:rsidR="00B14030" w:rsidRPr="00BA6A65">
        <w:rPr>
          <w:b/>
          <w:bCs/>
          <w:sz w:val="24"/>
          <w:szCs w:val="24"/>
          <w:lang w:val="lv-LV" w:eastAsia="lv-LV"/>
        </w:rPr>
        <w:t xml:space="preserve">sākotnējās ietekmes novērtējuma </w:t>
      </w:r>
      <w:smartTag w:uri="schemas-tilde-lv/tildestengine" w:element="veidnes">
        <w:smartTagPr>
          <w:attr w:name="id" w:val="-1"/>
          <w:attr w:name="baseform" w:val="ziņojums"/>
          <w:attr w:name="text" w:val="ziņojums"/>
        </w:smartTagPr>
        <w:r w:rsidR="00B14030" w:rsidRPr="00BA6A65">
          <w:rPr>
            <w:b/>
            <w:bCs/>
            <w:sz w:val="24"/>
            <w:szCs w:val="24"/>
            <w:lang w:val="lv-LV" w:eastAsia="lv-LV"/>
          </w:rPr>
          <w:t>ziņojums</w:t>
        </w:r>
      </w:smartTag>
      <w:r w:rsidR="00B14030" w:rsidRPr="00BA6A65">
        <w:rPr>
          <w:b/>
          <w:bCs/>
          <w:sz w:val="24"/>
          <w:szCs w:val="24"/>
          <w:lang w:val="lv-LV" w:eastAsia="lv-LV"/>
        </w:rPr>
        <w:t xml:space="preserve"> (anotācija)</w:t>
      </w:r>
    </w:p>
    <w:p w:rsidR="00FA0D03" w:rsidRPr="00BA6A65" w:rsidRDefault="00FA0D03" w:rsidP="00CC7956">
      <w:pPr>
        <w:pStyle w:val="Paraststmeklis"/>
        <w:spacing w:before="0" w:beforeAutospacing="0" w:after="0" w:afterAutospacing="0"/>
        <w:jc w:val="center"/>
        <w:rPr>
          <w:b/>
          <w:bCs/>
          <w:sz w:val="24"/>
          <w:szCs w:val="24"/>
          <w:lang w:val="lv-LV" w:eastAsia="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2649"/>
        <w:gridCol w:w="5774"/>
      </w:tblGrid>
      <w:tr w:rsidR="00FA0D03" w:rsidRPr="00BA6A65" w:rsidTr="00FA0D03">
        <w:tc>
          <w:tcPr>
            <w:tcW w:w="9468" w:type="dxa"/>
            <w:gridSpan w:val="3"/>
          </w:tcPr>
          <w:p w:rsidR="00FA0D03" w:rsidRPr="00BA6A65" w:rsidRDefault="00FA0D03" w:rsidP="00CF7413">
            <w:pPr>
              <w:jc w:val="center"/>
            </w:pPr>
            <w:r w:rsidRPr="00BA6A65">
              <w:t>I. Tiesību akta projekta izstrādes nepieciešamība</w:t>
            </w:r>
          </w:p>
        </w:tc>
      </w:tr>
      <w:tr w:rsidR="00FA0D03" w:rsidRPr="00BA6A65" w:rsidTr="00FA0D03">
        <w:tc>
          <w:tcPr>
            <w:tcW w:w="1045" w:type="dxa"/>
          </w:tcPr>
          <w:p w:rsidR="00FA0D03" w:rsidRPr="00BA6A65" w:rsidRDefault="00FA0D03" w:rsidP="00CF7413">
            <w:pPr>
              <w:jc w:val="center"/>
            </w:pPr>
            <w:r w:rsidRPr="00BA6A65">
              <w:t>1.</w:t>
            </w:r>
          </w:p>
        </w:tc>
        <w:tc>
          <w:tcPr>
            <w:tcW w:w="2649" w:type="dxa"/>
          </w:tcPr>
          <w:p w:rsidR="00FA0D03" w:rsidRPr="00BA6A65" w:rsidRDefault="00FA0D03" w:rsidP="00CF7413">
            <w:r w:rsidRPr="00BA6A65">
              <w:t>Pamatojums</w:t>
            </w:r>
          </w:p>
        </w:tc>
        <w:tc>
          <w:tcPr>
            <w:tcW w:w="5774" w:type="dxa"/>
          </w:tcPr>
          <w:p w:rsidR="003D54B1" w:rsidRPr="00A3526B" w:rsidRDefault="003D54B1" w:rsidP="003D54B1">
            <w:pPr>
              <w:ind w:firstLine="275"/>
              <w:jc w:val="both"/>
            </w:pPr>
            <w:r w:rsidRPr="00A3526B">
              <w:t>Likuma par budžetu un finanšu vadību 5.panta devītā daļa.</w:t>
            </w:r>
          </w:p>
          <w:p w:rsidR="003D54B1" w:rsidRDefault="003D54B1" w:rsidP="00830C32">
            <w:pPr>
              <w:ind w:firstLine="275"/>
              <w:jc w:val="both"/>
            </w:pPr>
            <w:r w:rsidRPr="000A1257">
              <w:t>Valsts kontrole</w:t>
            </w:r>
            <w:r>
              <w:t xml:space="preserve">s ieteikumu ieviešanas laika grafiks </w:t>
            </w:r>
            <w:r w:rsidRPr="000A1257">
              <w:t xml:space="preserve">2012.gada 21.decembra </w:t>
            </w:r>
            <w:r>
              <w:t xml:space="preserve">revīzijas lietā </w:t>
            </w:r>
            <w:r w:rsidRPr="000A1257">
              <w:t>Nr.5.1-2-10/2012 „Iekšlietu ministrijas padotības iestāžu pašu ieņēmumu likumība un valsts nodevu un naudas sodu iekasēšanas atbilstība normatīvo aktu prasībām”</w:t>
            </w:r>
            <w:r>
              <w:t xml:space="preserve">, saskaņā ar kuru, </w:t>
            </w:r>
            <w:r w:rsidRPr="000A1257">
              <w:t>Iekšlietu ministrijai un Iekšlietu ministrijas padotības iestādēm</w:t>
            </w:r>
            <w:r>
              <w:t xml:space="preserve"> jāizvērtē </w:t>
            </w:r>
            <w:r w:rsidRPr="000A1257">
              <w:t>maksas pakalpoju</w:t>
            </w:r>
            <w:r>
              <w:t>mu</w:t>
            </w:r>
            <w:r w:rsidRPr="000A1257">
              <w:t xml:space="preserve"> izcenojumu aprēķinu atbilstību normatīvajā aktā noteiktajām prasībām</w:t>
            </w:r>
            <w:r>
              <w:t>,</w:t>
            </w:r>
            <w:r w:rsidRPr="000A1257">
              <w:t xml:space="preserve"> nepieciešamības gadījumā</w:t>
            </w:r>
            <w:r>
              <w:t xml:space="preserve"> aktualizējot</w:t>
            </w:r>
            <w:r w:rsidRPr="000A1257">
              <w:t xml:space="preserve"> maksas pakalpojumu cenrāžus.</w:t>
            </w:r>
          </w:p>
          <w:p w:rsidR="003306C3" w:rsidRPr="00BA6A65" w:rsidRDefault="003306C3" w:rsidP="003306C3">
            <w:pPr>
              <w:pStyle w:val="naiskr"/>
              <w:spacing w:before="0" w:after="0"/>
              <w:ind w:firstLine="275"/>
              <w:jc w:val="both"/>
            </w:pPr>
            <w:proofErr w:type="spellStart"/>
            <w:r w:rsidRPr="00A3526B">
              <w:rPr>
                <w:i/>
              </w:rPr>
              <w:t>Euro</w:t>
            </w:r>
            <w:proofErr w:type="spellEnd"/>
            <w:r w:rsidRPr="00A3526B">
              <w:t xml:space="preserve"> ieviešanas kārtības likuma 30.panta pirmā daļa </w:t>
            </w:r>
            <w:r w:rsidRPr="00A3526B">
              <w:rPr>
                <w:bCs/>
              </w:rPr>
              <w:t>un Ministra kabineta 2012.gada 27.jūnija rīkojums Nr.282 „Par „Koncepciju par normatīvo aktu sakārtošanu saistībā ar eiro ieviešanu Latvijā””.</w:t>
            </w:r>
          </w:p>
        </w:tc>
      </w:tr>
      <w:tr w:rsidR="00FA0D03" w:rsidRPr="00BA6A65" w:rsidTr="00FA0D03">
        <w:tc>
          <w:tcPr>
            <w:tcW w:w="1045" w:type="dxa"/>
          </w:tcPr>
          <w:p w:rsidR="00FA0D03" w:rsidRPr="00BA6A65" w:rsidRDefault="00FA0D03" w:rsidP="00CF7413">
            <w:pPr>
              <w:jc w:val="center"/>
            </w:pPr>
            <w:r w:rsidRPr="00BA6A65">
              <w:t>2.</w:t>
            </w:r>
          </w:p>
        </w:tc>
        <w:tc>
          <w:tcPr>
            <w:tcW w:w="2649" w:type="dxa"/>
          </w:tcPr>
          <w:p w:rsidR="00FA0D03" w:rsidRPr="00BA6A65" w:rsidRDefault="00FA0D03" w:rsidP="00CF7413">
            <w:r w:rsidRPr="00BA6A65">
              <w:t>Pašreizējā situācija un problēmas</w:t>
            </w:r>
          </w:p>
        </w:tc>
        <w:tc>
          <w:tcPr>
            <w:tcW w:w="5774" w:type="dxa"/>
          </w:tcPr>
          <w:p w:rsidR="005969DE" w:rsidRDefault="00FA0D03" w:rsidP="00E174C0">
            <w:pPr>
              <w:jc w:val="both"/>
            </w:pPr>
            <w:r w:rsidRPr="00BA6A65">
              <w:rPr>
                <w:iCs/>
              </w:rPr>
              <w:t xml:space="preserve">  </w:t>
            </w:r>
            <w:r w:rsidR="002D0745" w:rsidRPr="00BA6A65">
              <w:rPr>
                <w:iCs/>
              </w:rPr>
              <w:t xml:space="preserve">      </w:t>
            </w:r>
            <w:r w:rsidR="002D0745" w:rsidRPr="00BA6A65">
              <w:rPr>
                <w:lang w:eastAsia="en-US"/>
              </w:rPr>
              <w:t>Ministru kabineta 2008.gada 13.oktobra noteikumi Nr.840 „Noteikumi par Valsts policijas koledžas sniegto maksas pakalpojumu cenrādi”</w:t>
            </w:r>
            <w:r w:rsidR="006C7CEA" w:rsidRPr="00BA6A65">
              <w:rPr>
                <w:lang w:eastAsia="en-US"/>
              </w:rPr>
              <w:t xml:space="preserve"> (turpmāk – noteikumi Nr.840)</w:t>
            </w:r>
            <w:r w:rsidR="002D0745" w:rsidRPr="00BA6A65">
              <w:rPr>
                <w:lang w:eastAsia="en-US"/>
              </w:rPr>
              <w:t xml:space="preserve"> nosaka Valsts policijas koledžas sniegto maksas pakalpojumu cenu latos.</w:t>
            </w:r>
            <w:r w:rsidRPr="00BA6A65">
              <w:t xml:space="preserve"> </w:t>
            </w:r>
          </w:p>
          <w:p w:rsidR="00CC439D" w:rsidRPr="00BA6A65" w:rsidRDefault="00CC439D" w:rsidP="00E174C0">
            <w:pPr>
              <w:jc w:val="both"/>
            </w:pPr>
            <w:r>
              <w:t xml:space="preserve">       Maksas pakalpojumi tiek sniegti </w:t>
            </w:r>
            <w:r w:rsidR="004D2857">
              <w:t>Valsts policijas koledžas</w:t>
            </w:r>
            <w:r w:rsidR="00EB2F00">
              <w:t xml:space="preserve"> (turpmāk – Koledža)</w:t>
            </w:r>
            <w:r w:rsidR="004D2857">
              <w:t xml:space="preserve"> kadetiem, Valsts policijas un </w:t>
            </w:r>
            <w:r w:rsidR="00EB2F00">
              <w:t>K</w:t>
            </w:r>
            <w:r w:rsidR="004D2857">
              <w:t xml:space="preserve">oledžas amatpersonām un darbiniekiem, privātpersonām, potenciālajiem </w:t>
            </w:r>
            <w:r w:rsidR="00EB2F00">
              <w:t>K</w:t>
            </w:r>
            <w:r w:rsidR="004D2857">
              <w:t>oledžas kadetiem.</w:t>
            </w:r>
          </w:p>
          <w:p w:rsidR="00BA6A65" w:rsidRDefault="00FA0D03" w:rsidP="00E174C0">
            <w:pPr>
              <w:jc w:val="both"/>
            </w:pPr>
            <w:r w:rsidRPr="00BA6A65">
              <w:t xml:space="preserve">       </w:t>
            </w:r>
            <w:r w:rsidR="00BA6A65">
              <w:t xml:space="preserve"> </w:t>
            </w:r>
            <w:r w:rsidR="005969DE" w:rsidRPr="00BA6A65">
              <w:rPr>
                <w:lang w:eastAsia="en-US"/>
              </w:rPr>
              <w:t xml:space="preserve">Plānojot turpmāko </w:t>
            </w:r>
            <w:r w:rsidR="00EB2F00">
              <w:rPr>
                <w:lang w:eastAsia="en-US"/>
              </w:rPr>
              <w:t>K</w:t>
            </w:r>
            <w:r w:rsidR="005969DE" w:rsidRPr="00BA6A65">
              <w:rPr>
                <w:lang w:eastAsia="en-US"/>
              </w:rPr>
              <w:t>oledžas</w:t>
            </w:r>
            <w:r w:rsidR="005969DE" w:rsidRPr="00BA6A65">
              <w:t xml:space="preserve"> darbību ir konstatēts, ka ir atsevišķi maksas pakalpoj</w:t>
            </w:r>
            <w:r w:rsidR="00CC439D">
              <w:t xml:space="preserve">uma veidi, kuri faktiski netiek </w:t>
            </w:r>
            <w:r w:rsidR="005969DE" w:rsidRPr="00BA6A65">
              <w:t>sniegti, jo nav pieprasījum</w:t>
            </w:r>
            <w:r w:rsidR="00BA6A65">
              <w:t>a pēc šāda veida pakalpojumiem.</w:t>
            </w:r>
          </w:p>
          <w:p w:rsidR="003306C3" w:rsidRDefault="00864880" w:rsidP="00E174C0">
            <w:pPr>
              <w:jc w:val="both"/>
            </w:pPr>
            <w:r>
              <w:rPr>
                <w:iCs/>
              </w:rPr>
              <w:t xml:space="preserve">       </w:t>
            </w:r>
            <w:r w:rsidR="00333817">
              <w:t xml:space="preserve">Valsts kontrole revīzijas ziņojumā norādīja, ka, </w:t>
            </w:r>
            <w:r w:rsidR="00333817" w:rsidRPr="00C05F60">
              <w:rPr>
                <w:rFonts w:ascii="TimesNewRomanPSMT" w:hAnsi="TimesNewRomanPSMT" w:cs="TimesNewRomanPSMT"/>
              </w:rPr>
              <w:t>veicot maksas pakalpojumu izcenojumu aprēķinus, Iekšlietu ministrijas</w:t>
            </w:r>
            <w:r w:rsidR="00333817">
              <w:rPr>
                <w:rFonts w:ascii="TimesNewRomanPSMT" w:hAnsi="TimesNewRomanPSMT" w:cs="TimesNewRomanPSMT"/>
              </w:rPr>
              <w:t xml:space="preserve"> </w:t>
            </w:r>
            <w:r w:rsidR="00333817" w:rsidRPr="00C05F60">
              <w:rPr>
                <w:rFonts w:ascii="TimesNewRomanPSMT" w:hAnsi="TimesNewRomanPSMT" w:cs="TimesNewRomanPSMT"/>
              </w:rPr>
              <w:t>padotības iestādes nav nodrošinājušas vienotu pieeju aprēķinā iekļaujamo tiešo</w:t>
            </w:r>
            <w:r w:rsidR="00333817">
              <w:rPr>
                <w:rFonts w:ascii="TimesNewRomanPSMT" w:hAnsi="TimesNewRomanPSMT" w:cs="TimesNewRomanPSMT"/>
              </w:rPr>
              <w:t xml:space="preserve"> </w:t>
            </w:r>
            <w:r w:rsidR="00333817" w:rsidRPr="00C05F60">
              <w:rPr>
                <w:rFonts w:ascii="TimesNewRomanPSMT" w:hAnsi="TimesNewRomanPSMT" w:cs="TimesNewRomanPSMT"/>
              </w:rPr>
              <w:t>un netiešo izmaksu noteikšanā, kā rezultātā maksas pakalpojumu izcenojumi</w:t>
            </w:r>
            <w:r w:rsidR="00333817">
              <w:rPr>
                <w:rFonts w:ascii="TimesNewRomanPSMT" w:hAnsi="TimesNewRomanPSMT" w:cs="TimesNewRomanPSMT"/>
              </w:rPr>
              <w:t xml:space="preserve"> </w:t>
            </w:r>
            <w:r w:rsidR="00333817" w:rsidRPr="00C05F60">
              <w:rPr>
                <w:rFonts w:ascii="TimesNewRomanPSMT" w:hAnsi="TimesNewRomanPSMT" w:cs="TimesNewRomanPSMT"/>
              </w:rPr>
              <w:t>neietver visas izmaksas, kuras roda</w:t>
            </w:r>
            <w:r w:rsidR="00333817">
              <w:rPr>
                <w:rFonts w:ascii="TimesNewRomanPSMT" w:hAnsi="TimesNewRomanPSMT" w:cs="TimesNewRomanPSMT"/>
              </w:rPr>
              <w:t xml:space="preserve">s, sniedzot maksas pakalpojumus. Līdz ar to Valsts kontrole ieteica Iekšlietu ministrijai un Iekšlietu ministrijas padotības iestādēm izvērtēt maksas pakalpojumu izcenojuma aprēķinu atbilstību </w:t>
            </w:r>
            <w:r w:rsidR="00333817">
              <w:t>Ministru kabineta 2011.gada 3.maija noteikumos Nr.333 „Kārtība, kādā plānojami un uzskaitāmi ieņēmumi no maksas pakalpojumiem un ar šo pakalpojumu sniegšanu saistītie izdevumi, kā arī maksas pakalpojumu izcenojumu noteikšanas m</w:t>
            </w:r>
            <w:r w:rsidR="00CA0C26">
              <w:t>e</w:t>
            </w:r>
            <w:r w:rsidR="00333817">
              <w:t>todika un izcenojumu apstiprināšanas kārtība”</w:t>
            </w:r>
            <w:r w:rsidR="003306C3">
              <w:t xml:space="preserve"> (turpmāk – noteikumi Nr.333)</w:t>
            </w:r>
            <w:r w:rsidR="00333817">
              <w:t xml:space="preserve"> noteiktajām </w:t>
            </w:r>
            <w:r w:rsidR="00333817">
              <w:lastRenderedPageBreak/>
              <w:t>prasībām un nepieciešamības gadījumā aktualizēt maksas pakalpojumu cenrāžus.</w:t>
            </w:r>
          </w:p>
          <w:p w:rsidR="003306C3" w:rsidRDefault="003306C3" w:rsidP="003306C3">
            <w:pPr>
              <w:pStyle w:val="TableContents"/>
              <w:snapToGrid w:val="0"/>
              <w:jc w:val="both"/>
            </w:pPr>
            <w:r>
              <w:t xml:space="preserve">     K</w:t>
            </w:r>
            <w:r w:rsidRPr="00BA6A65">
              <w:t>oledžas sniegto maksas pakalpojumu izcenojumi ir pārskatīti atbilstoši noteikumos Nr.333 noteiktajam.</w:t>
            </w:r>
          </w:p>
          <w:p w:rsidR="00864880" w:rsidRDefault="006C7CEA" w:rsidP="00E174C0">
            <w:pPr>
              <w:jc w:val="both"/>
            </w:pPr>
            <w:r w:rsidRPr="00BA6A65">
              <w:t xml:space="preserve">  </w:t>
            </w:r>
            <w:r w:rsidR="003306C3">
              <w:t xml:space="preserve"> </w:t>
            </w:r>
            <w:r w:rsidR="00864880">
              <w:t xml:space="preserve"> </w:t>
            </w:r>
            <w:r w:rsidR="00864880" w:rsidRPr="008A2D13">
              <w:rPr>
                <w:lang w:eastAsia="en-US"/>
              </w:rPr>
              <w:t>Atbilstoši Ministru kabineta 2012.gada 27.jūnija rīkojuma Nr.282 „Par ”Koncepciju par normatīvo aktu sakārtošanu saistībā ar eiro ieviešanu Latvijā”” 1.1.2.apakšpunktam - Ministru kabineta noteikumi, kas ir būtiski tiesiskās noteiktības nodrošināšanai ir jāgroza.</w:t>
            </w:r>
            <w:r w:rsidR="00864880" w:rsidRPr="00BA6A65">
              <w:t xml:space="preserve">  </w:t>
            </w:r>
            <w:r w:rsidR="003306C3">
              <w:t xml:space="preserve"> </w:t>
            </w:r>
          </w:p>
          <w:p w:rsidR="00333817" w:rsidRDefault="00864880" w:rsidP="00E174C0">
            <w:pPr>
              <w:jc w:val="both"/>
            </w:pPr>
            <w:r>
              <w:t xml:space="preserve">     </w:t>
            </w:r>
            <w:r w:rsidRPr="00BA6A65">
              <w:t xml:space="preserve">Ņemot vērā to, ka noteikumi par maksas pakalpojumiem ir jāprecizē atbilstoši Valsts kontroles norādēm, atbilstoši faktiskajai situācijai, kā arī saistībā ar </w:t>
            </w:r>
            <w:proofErr w:type="spellStart"/>
            <w:r w:rsidRPr="00BA6A65">
              <w:rPr>
                <w:i/>
              </w:rPr>
              <w:t>euro</w:t>
            </w:r>
            <w:proofErr w:type="spellEnd"/>
            <w:r w:rsidRPr="00BA6A65">
              <w:t xml:space="preserve"> ieviešanu, </w:t>
            </w:r>
            <w:r w:rsidR="00A50DE4">
              <w:t xml:space="preserve">Ministru kabineta </w:t>
            </w:r>
            <w:r w:rsidRPr="00BA6A65">
              <w:t xml:space="preserve">noteikumu projekts sagatavots, lai vienlaicīgi aktualizētu gan maksas pakalpojumus, gan pielāgotu tos </w:t>
            </w:r>
            <w:proofErr w:type="spellStart"/>
            <w:r w:rsidRPr="00BA6A65">
              <w:rPr>
                <w:i/>
              </w:rPr>
              <w:t>euro</w:t>
            </w:r>
            <w:proofErr w:type="spellEnd"/>
            <w:r w:rsidRPr="00BA6A65">
              <w:t xml:space="preserve"> ieviešanas dienai.</w:t>
            </w:r>
            <w:r>
              <w:t xml:space="preserve">     </w:t>
            </w:r>
          </w:p>
          <w:p w:rsidR="0037293F" w:rsidRPr="00BA6A65" w:rsidRDefault="00CA0C26" w:rsidP="00864880">
            <w:pPr>
              <w:jc w:val="both"/>
            </w:pPr>
            <w:r>
              <w:t xml:space="preserve">     </w:t>
            </w:r>
            <w:r w:rsidR="005969DE" w:rsidRPr="00BA6A65">
              <w:t xml:space="preserve">Līdz ar to </w:t>
            </w:r>
            <w:r w:rsidR="006C7CEA" w:rsidRPr="00BA6A65">
              <w:t>n</w:t>
            </w:r>
            <w:r w:rsidR="005969DE" w:rsidRPr="00BA6A65">
              <w:t>oteikumu</w:t>
            </w:r>
            <w:r w:rsidR="006C7CEA" w:rsidRPr="00BA6A65">
              <w:t xml:space="preserve"> Nr.840</w:t>
            </w:r>
            <w:r w:rsidR="005969DE" w:rsidRPr="00BA6A65">
              <w:t xml:space="preserve"> pašreizējais pielikums būtu jāizsaka jaunā redakcijā un jāpapildina </w:t>
            </w:r>
            <w:r w:rsidR="006C7CEA" w:rsidRPr="00BA6A65">
              <w:t>n</w:t>
            </w:r>
            <w:r w:rsidR="005969DE" w:rsidRPr="00BA6A65">
              <w:t>oteikumi</w:t>
            </w:r>
            <w:r w:rsidR="006C7CEA" w:rsidRPr="00BA6A65">
              <w:t xml:space="preserve"> Nr.840</w:t>
            </w:r>
            <w:r w:rsidR="005969DE" w:rsidRPr="00BA6A65">
              <w:t xml:space="preserve"> ar jaunu pielikumu, kurā sniegto maksas pakalpojumu izcenojumi tiktu noteikti </w:t>
            </w:r>
            <w:proofErr w:type="spellStart"/>
            <w:r w:rsidR="005969DE" w:rsidRPr="00BA6A65">
              <w:rPr>
                <w:i/>
              </w:rPr>
              <w:t>euro</w:t>
            </w:r>
            <w:proofErr w:type="spellEnd"/>
            <w:r w:rsidR="005969DE" w:rsidRPr="00BA6A65">
              <w:t xml:space="preserve">. </w:t>
            </w:r>
            <w:r w:rsidR="008A2D13" w:rsidRPr="008A2D13">
              <w:rPr>
                <w:lang w:eastAsia="en-US"/>
              </w:rPr>
              <w:t>Tā kā noteikumos Nr.840 būtu jāizdara grozījumi, kas pārsniegtu pusi no noteikumu Nr.</w:t>
            </w:r>
            <w:r w:rsidR="00097C1A">
              <w:rPr>
                <w:lang w:eastAsia="en-US"/>
              </w:rPr>
              <w:t>840</w:t>
            </w:r>
            <w:r w:rsidR="008A2D13" w:rsidRPr="008A2D13">
              <w:rPr>
                <w:lang w:eastAsia="en-US"/>
              </w:rPr>
              <w:t xml:space="preserve"> apjoma, tad saskaņā ar Ministru kabineta 2009.gada 3.februāra noteikumu Nr.108 „Normatīvo aktu projektu sagatavošanas noteikumi” 140.punktu tika izstrādāts jauns Ministru kabineta noteikumu projekts „</w:t>
            </w:r>
            <w:r w:rsidR="008A2D13" w:rsidRPr="008A2D13">
              <w:rPr>
                <w:bCs/>
              </w:rPr>
              <w:t>Valsts policijas koledžas sniegto maksas pakalpojumu cenrādis</w:t>
            </w:r>
            <w:r w:rsidR="008A2D13" w:rsidRPr="008A2D13">
              <w:rPr>
                <w:lang w:eastAsia="en-US"/>
              </w:rPr>
              <w:t>” (turpmāk – projekts).</w:t>
            </w:r>
          </w:p>
        </w:tc>
      </w:tr>
      <w:tr w:rsidR="00FA0D03" w:rsidRPr="00BA6A65" w:rsidTr="00FA0D03">
        <w:tc>
          <w:tcPr>
            <w:tcW w:w="1045" w:type="dxa"/>
          </w:tcPr>
          <w:p w:rsidR="00FA0D03" w:rsidRPr="00BA6A65" w:rsidRDefault="00FA0D03" w:rsidP="00CF7413">
            <w:pPr>
              <w:jc w:val="center"/>
            </w:pPr>
            <w:r w:rsidRPr="00BA6A65">
              <w:lastRenderedPageBreak/>
              <w:t>3.</w:t>
            </w:r>
          </w:p>
        </w:tc>
        <w:tc>
          <w:tcPr>
            <w:tcW w:w="2649" w:type="dxa"/>
          </w:tcPr>
          <w:p w:rsidR="00FA0D03" w:rsidRPr="00BA6A65" w:rsidRDefault="00FA0D03" w:rsidP="00CF7413">
            <w:r w:rsidRPr="00BA6A65">
              <w:t>Saistītie politikas ietekmes novērtējumi un pētījumi</w:t>
            </w:r>
          </w:p>
        </w:tc>
        <w:tc>
          <w:tcPr>
            <w:tcW w:w="5774" w:type="dxa"/>
          </w:tcPr>
          <w:p w:rsidR="00FA0D03" w:rsidRPr="00BA6A65" w:rsidRDefault="00FA0D03" w:rsidP="00CF7413">
            <w:r w:rsidRPr="00BA6A65">
              <w:rPr>
                <w:bCs/>
              </w:rPr>
              <w:t>Projekts šo jomu neskar.</w:t>
            </w:r>
          </w:p>
        </w:tc>
      </w:tr>
      <w:tr w:rsidR="00FA0D03" w:rsidRPr="00BA6A65" w:rsidTr="00FA0D03">
        <w:tc>
          <w:tcPr>
            <w:tcW w:w="1045" w:type="dxa"/>
          </w:tcPr>
          <w:p w:rsidR="00FA0D03" w:rsidRPr="00BA6A65" w:rsidRDefault="00FA0D03" w:rsidP="00CF7413">
            <w:pPr>
              <w:jc w:val="center"/>
            </w:pPr>
            <w:r w:rsidRPr="00BA6A65">
              <w:t>4.</w:t>
            </w:r>
          </w:p>
        </w:tc>
        <w:tc>
          <w:tcPr>
            <w:tcW w:w="2649" w:type="dxa"/>
          </w:tcPr>
          <w:p w:rsidR="00FA0D03" w:rsidRPr="00BA6A65" w:rsidRDefault="00FA0D03" w:rsidP="00CF7413">
            <w:r w:rsidRPr="00BA6A65">
              <w:t>Tiesiskā regulējuma mērķis un būtība</w:t>
            </w:r>
          </w:p>
        </w:tc>
        <w:tc>
          <w:tcPr>
            <w:tcW w:w="5774" w:type="dxa"/>
          </w:tcPr>
          <w:p w:rsidR="00864880" w:rsidRDefault="00864880" w:rsidP="00864880">
            <w:pPr>
              <w:spacing w:before="75" w:after="75"/>
              <w:ind w:firstLine="275"/>
              <w:jc w:val="both"/>
            </w:pPr>
            <w:r>
              <w:rPr>
                <w:lang w:eastAsia="en-US"/>
              </w:rPr>
              <w:t>Projekta mērķis ir noteikt tādus Koledžas maksas pakalpojumus, pēc kuriem ir pieprasījums, kā arī p</w:t>
            </w:r>
            <w:r>
              <w:t>rojekts paredz precizēt</w:t>
            </w:r>
            <w:r w:rsidRPr="00CD3607">
              <w:t xml:space="preserve"> </w:t>
            </w:r>
            <w:r>
              <w:t>Koledžas</w:t>
            </w:r>
            <w:r w:rsidRPr="00CD3607">
              <w:t xml:space="preserve"> maksas pakalpojumu cenas</w:t>
            </w:r>
            <w:r>
              <w:t>,</w:t>
            </w:r>
            <w:r w:rsidRPr="00CD3607">
              <w:t xml:space="preserve"> lai nodrošinātu izdevumu segšanu, kas saistīti ar maksas pakalpojumu sniegšanu, </w:t>
            </w:r>
            <w:r>
              <w:t xml:space="preserve">kā arī nodrošinātu Koledžas sniegto maksas pakalpojumu izcenojumu noteikšanu atbilstoši noteikumiem Nr.333. Veicot detalizētu maksas pakalpojumu aprēķinu ir ņemti vērā Valsts kontroles ieteikumi un aprēķinos ir iekļautas ne tikai tiešās pakalpojumu izmaksas, kuros arī tika iekļautas pozīcijas ņemot vērā pašreizējo situāciju, bet arī netiešās izmaksas.  Līdz ar to lielākai daļai no maksas pakalpojumu veidiem būtiski paaugstinājās izcenojumi. Vienam maksas pakalpojuma veidam – „atkārtota mācību kursa apguve”, izcenojums būtiski samazinājās, jo </w:t>
            </w:r>
            <w:r w:rsidRPr="003306C3">
              <w:t>aprēķins ir veikts, pamatojoties uz to, ka studējošais</w:t>
            </w:r>
            <w:r>
              <w:t>,</w:t>
            </w:r>
            <w:r w:rsidRPr="003306C3">
              <w:t xml:space="preserve"> apgūst</w:t>
            </w:r>
            <w:r>
              <w:t>ot</w:t>
            </w:r>
            <w:r w:rsidRPr="003306C3">
              <w:t xml:space="preserve"> studiju kursu</w:t>
            </w:r>
            <w:r>
              <w:t xml:space="preserve">, </w:t>
            </w:r>
            <w:r w:rsidRPr="003306C3">
              <w:t xml:space="preserve"> tiek pievienots citai studējošo grupai, k</w:t>
            </w:r>
            <w:r>
              <w:t>uri</w:t>
            </w:r>
            <w:r w:rsidRPr="003306C3">
              <w:t xml:space="preserve"> apgūst attiecīgo studiju kursu</w:t>
            </w:r>
            <w:r>
              <w:t xml:space="preserve">. Izcenojumu paaugstināšana nav saistīta ar </w:t>
            </w:r>
            <w:proofErr w:type="spellStart"/>
            <w:r w:rsidRPr="003306C3">
              <w:rPr>
                <w:i/>
              </w:rPr>
              <w:t>euro</w:t>
            </w:r>
            <w:proofErr w:type="spellEnd"/>
            <w:r>
              <w:t xml:space="preserve"> ieviešanu.</w:t>
            </w:r>
          </w:p>
          <w:p w:rsidR="00864880" w:rsidRDefault="00864880" w:rsidP="003306C3">
            <w:pPr>
              <w:pStyle w:val="naisc"/>
              <w:tabs>
                <w:tab w:val="left" w:pos="5662"/>
              </w:tabs>
              <w:spacing w:before="0" w:after="0"/>
              <w:jc w:val="both"/>
            </w:pPr>
            <w:r>
              <w:t xml:space="preserve">    Projekts paredz:</w:t>
            </w:r>
          </w:p>
          <w:p w:rsidR="003306C3" w:rsidRDefault="00864880" w:rsidP="003306C3">
            <w:pPr>
              <w:pStyle w:val="naisc"/>
              <w:tabs>
                <w:tab w:val="left" w:pos="5662"/>
              </w:tabs>
              <w:spacing w:before="0" w:after="0"/>
              <w:jc w:val="both"/>
            </w:pPr>
            <w:r>
              <w:lastRenderedPageBreak/>
              <w:t>1)</w:t>
            </w:r>
            <w:r w:rsidR="003306C3">
              <w:t xml:space="preserve"> </w:t>
            </w:r>
            <w:r>
              <w:t xml:space="preserve">ņemot vērā Valsts kontroles ieteikumus, aktualizēt </w:t>
            </w:r>
            <w:r w:rsidR="003306C3">
              <w:t>Koledžas sniegt</w:t>
            </w:r>
            <w:r>
              <w:t>o</w:t>
            </w:r>
            <w:r w:rsidR="003306C3">
              <w:t xml:space="preserve"> maksas pakalpojumu izcenojum</w:t>
            </w:r>
            <w:r>
              <w:t>us, veicot detalizētu maksas pakalpojumu aprēķinu;</w:t>
            </w:r>
          </w:p>
          <w:p w:rsidR="003306C3" w:rsidRPr="00BA6A65" w:rsidRDefault="003306C3" w:rsidP="003306C3">
            <w:pPr>
              <w:pStyle w:val="naisc"/>
              <w:tabs>
                <w:tab w:val="left" w:pos="5662"/>
              </w:tabs>
              <w:spacing w:before="0" w:after="0"/>
              <w:jc w:val="both"/>
            </w:pPr>
            <w:r>
              <w:t>2</w:t>
            </w:r>
            <w:r w:rsidR="00864880">
              <w:t>)</w:t>
            </w:r>
            <w:r w:rsidRPr="00BA6A65">
              <w:t xml:space="preserve"> </w:t>
            </w:r>
            <w:r w:rsidR="00864880">
              <w:t>s</w:t>
            </w:r>
            <w:r w:rsidRPr="00BA6A65">
              <w:t>vītrot pakalpojumu veid</w:t>
            </w:r>
            <w:r w:rsidR="00864880">
              <w:t>us</w:t>
            </w:r>
            <w:r w:rsidRPr="00BA6A65">
              <w:t>, kurus personas faktiski neizmanto:</w:t>
            </w:r>
          </w:p>
          <w:p w:rsidR="003306C3" w:rsidRDefault="00864880" w:rsidP="003306C3">
            <w:pPr>
              <w:pStyle w:val="tvhtml1"/>
              <w:spacing w:before="0" w:beforeAutospacing="0" w:line="240" w:lineRule="auto"/>
              <w:ind w:firstLine="417"/>
              <w:rPr>
                <w:rFonts w:ascii="Times New Roman" w:hAnsi="Times New Roman"/>
                <w:sz w:val="24"/>
                <w:szCs w:val="24"/>
              </w:rPr>
            </w:pPr>
            <w:r>
              <w:rPr>
                <w:rFonts w:ascii="Times New Roman" w:hAnsi="Times New Roman"/>
                <w:sz w:val="24"/>
                <w:szCs w:val="24"/>
              </w:rPr>
              <w:t>a)</w:t>
            </w:r>
            <w:r w:rsidR="003306C3" w:rsidRPr="00BA6A65">
              <w:rPr>
                <w:rFonts w:ascii="Times New Roman" w:hAnsi="Times New Roman"/>
                <w:sz w:val="24"/>
                <w:szCs w:val="24"/>
              </w:rPr>
              <w:t xml:space="preserve"> </w:t>
            </w:r>
            <w:r w:rsidR="003306C3">
              <w:rPr>
                <w:rFonts w:ascii="Times New Roman" w:hAnsi="Times New Roman"/>
                <w:sz w:val="24"/>
                <w:szCs w:val="24"/>
              </w:rPr>
              <w:t>studiju darba recenzēšana;</w:t>
            </w:r>
          </w:p>
          <w:p w:rsidR="003306C3" w:rsidRPr="00BA6A65" w:rsidRDefault="00864880" w:rsidP="003306C3">
            <w:pPr>
              <w:pStyle w:val="tvhtml1"/>
              <w:spacing w:before="0" w:beforeAutospacing="0" w:line="240" w:lineRule="auto"/>
              <w:ind w:firstLine="417"/>
              <w:rPr>
                <w:rFonts w:ascii="Times New Roman" w:hAnsi="Times New Roman"/>
                <w:sz w:val="24"/>
                <w:szCs w:val="24"/>
              </w:rPr>
            </w:pPr>
            <w:r>
              <w:rPr>
                <w:rFonts w:ascii="Times 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s New Roman"/>
                <w:sz w:val="24"/>
                <w:szCs w:val="24"/>
              </w:rPr>
              <w:t>kopēšana (A3 formāts);</w:t>
            </w:r>
          </w:p>
          <w:p w:rsidR="003306C3" w:rsidRDefault="00864880" w:rsidP="003306C3">
            <w:pPr>
              <w:pStyle w:val="tvhtml1"/>
              <w:spacing w:before="0" w:beforeAutospacing="0" w:line="240" w:lineRule="auto"/>
              <w:ind w:firstLine="417"/>
              <w:jc w:val="both"/>
              <w:rPr>
                <w:rFonts w:ascii="Times New Roman" w:hAnsi="Times New Roman"/>
                <w:sz w:val="24"/>
                <w:szCs w:val="24"/>
              </w:rPr>
            </w:pPr>
            <w:r>
              <w:rPr>
                <w:rFonts w:ascii="Times New Roman" w:hAnsi="Times New Roman"/>
                <w:sz w:val="24"/>
                <w:szCs w:val="24"/>
              </w:rPr>
              <w:t>c)</w:t>
            </w:r>
            <w:r w:rsidR="003306C3" w:rsidRPr="00BA6A65">
              <w:rPr>
                <w:rFonts w:ascii="Times New Roman" w:hAnsi="Times New Roman"/>
                <w:sz w:val="24"/>
                <w:szCs w:val="24"/>
              </w:rPr>
              <w:t xml:space="preserve"> ar izglītības programmu apguvi </w:t>
            </w:r>
            <w:r w:rsidR="003306C3">
              <w:rPr>
                <w:rFonts w:ascii="Times New Roman" w:hAnsi="Times New Roman"/>
                <w:sz w:val="24"/>
                <w:szCs w:val="24"/>
              </w:rPr>
              <w:t>nesaistītas izziņas izsniegšana;</w:t>
            </w:r>
          </w:p>
          <w:p w:rsidR="003306C3" w:rsidRPr="00BA6A65" w:rsidRDefault="00864880" w:rsidP="003306C3">
            <w:pPr>
              <w:pStyle w:val="tvhtml1"/>
              <w:spacing w:before="0" w:beforeAutospacing="0" w:line="240" w:lineRule="auto"/>
              <w:ind w:firstLine="417"/>
              <w:jc w:val="both"/>
              <w:rPr>
                <w:rFonts w:ascii="Times New Roman" w:hAnsi="Times New Roman"/>
                <w:sz w:val="24"/>
                <w:szCs w:val="24"/>
              </w:rPr>
            </w:pPr>
            <w:r>
              <w:rPr>
                <w:rFonts w:ascii="Times New Roman" w:hAnsi="Times New Roman"/>
                <w:sz w:val="24"/>
                <w:szCs w:val="24"/>
              </w:rPr>
              <w:t>d)</w:t>
            </w:r>
            <w:r w:rsidR="003306C3">
              <w:rPr>
                <w:rFonts w:ascii="Times New Roman" w:hAnsi="Times New Roman"/>
                <w:sz w:val="24"/>
                <w:szCs w:val="24"/>
              </w:rPr>
              <w:t xml:space="preserve"> a</w:t>
            </w:r>
            <w:r w:rsidR="003306C3" w:rsidRPr="00AC5203">
              <w:rPr>
                <w:rFonts w:ascii="Times New Roman" w:hAnsi="Times New Roman"/>
                <w:sz w:val="24"/>
                <w:szCs w:val="24"/>
              </w:rPr>
              <w:t>kadēmiskās izziņas tulkošana angļu vai krievu valodā</w:t>
            </w:r>
            <w:r w:rsidR="003306C3">
              <w:rPr>
                <w:rFonts w:ascii="Times New Roman" w:hAnsi="Times New Roman"/>
                <w:sz w:val="24"/>
                <w:szCs w:val="24"/>
              </w:rPr>
              <w:t>.</w:t>
            </w:r>
          </w:p>
          <w:p w:rsidR="003306C3" w:rsidRPr="00BA6A65" w:rsidRDefault="003306C3" w:rsidP="003306C3">
            <w:pPr>
              <w:ind w:firstLine="275"/>
              <w:jc w:val="both"/>
              <w:rPr>
                <w:bCs/>
              </w:rPr>
            </w:pPr>
            <w:r>
              <w:rPr>
                <w:bCs/>
              </w:rPr>
              <w:t>3</w:t>
            </w:r>
            <w:r w:rsidR="00864880">
              <w:rPr>
                <w:bCs/>
              </w:rPr>
              <w:t>)</w:t>
            </w:r>
            <w:r w:rsidRPr="00BA6A65">
              <w:rPr>
                <w:bCs/>
              </w:rPr>
              <w:t xml:space="preserve"> </w:t>
            </w:r>
            <w:r w:rsidR="00864880" w:rsidRPr="00BA6A65">
              <w:t xml:space="preserve">pielāgot noteikumus Nr.840 </w:t>
            </w:r>
            <w:proofErr w:type="spellStart"/>
            <w:r w:rsidR="00864880" w:rsidRPr="00BA6A65">
              <w:rPr>
                <w:i/>
              </w:rPr>
              <w:t>euro</w:t>
            </w:r>
            <w:proofErr w:type="spellEnd"/>
            <w:r w:rsidR="00864880" w:rsidRPr="00BA6A65">
              <w:t xml:space="preserve"> ieviešanai, </w:t>
            </w:r>
            <w:proofErr w:type="spellStart"/>
            <w:r w:rsidR="00864880" w:rsidRPr="00BA6A65">
              <w:t>t.i</w:t>
            </w:r>
            <w:proofErr w:type="spellEnd"/>
            <w:r w:rsidR="00864880" w:rsidRPr="00BA6A65">
              <w:t xml:space="preserve">., konvertēt Valsts policijas koledžas sniegto pakalpojumu cenas no latiem uz </w:t>
            </w:r>
            <w:proofErr w:type="spellStart"/>
            <w:r w:rsidR="00864880" w:rsidRPr="00BA6A65">
              <w:rPr>
                <w:i/>
              </w:rPr>
              <w:t>euro</w:t>
            </w:r>
            <w:proofErr w:type="spellEnd"/>
            <w:r w:rsidR="00864880" w:rsidRPr="00BA6A65">
              <w:t xml:space="preserve"> atbilstoši </w:t>
            </w:r>
            <w:proofErr w:type="spellStart"/>
            <w:r w:rsidR="00864880" w:rsidRPr="00BA6A65">
              <w:rPr>
                <w:i/>
                <w:lang w:eastAsia="en-US"/>
              </w:rPr>
              <w:t>Euro</w:t>
            </w:r>
            <w:proofErr w:type="spellEnd"/>
            <w:r w:rsidR="00864880" w:rsidRPr="00BA6A65">
              <w:t xml:space="preserve"> ieviešanas kārtības likuma 6.pantā atrunātajam principam, kas balstīts uz Eiropas Savienības Padomes noteikto valūtas maiņas kursu un matemātiskās noapaļošanas principiem</w:t>
            </w:r>
            <w:r w:rsidR="00864880">
              <w:t xml:space="preserve"> S</w:t>
            </w:r>
            <w:r w:rsidRPr="00BA6A65">
              <w:rPr>
                <w:bCs/>
              </w:rPr>
              <w:t xml:space="preserve">aistībā ar </w:t>
            </w:r>
            <w:proofErr w:type="spellStart"/>
            <w:r w:rsidRPr="00BA6A65">
              <w:rPr>
                <w:bCs/>
                <w:i/>
              </w:rPr>
              <w:t>euro</w:t>
            </w:r>
            <w:proofErr w:type="spellEnd"/>
            <w:r w:rsidRPr="00BA6A65">
              <w:rPr>
                <w:bCs/>
              </w:rPr>
              <w:t xml:space="preserve"> ieviešanu cenrādim ir paredzēti divi pielikumi, kuros paredzētas: </w:t>
            </w:r>
          </w:p>
          <w:p w:rsidR="003306C3" w:rsidRPr="00BA6A65" w:rsidRDefault="00864880" w:rsidP="003306C3">
            <w:pPr>
              <w:ind w:firstLine="417"/>
              <w:jc w:val="both"/>
              <w:rPr>
                <w:bCs/>
              </w:rPr>
            </w:pPr>
            <w:r>
              <w:rPr>
                <w:bCs/>
              </w:rPr>
              <w:t>a)</w:t>
            </w:r>
            <w:r w:rsidR="003306C3" w:rsidRPr="00BA6A65">
              <w:rPr>
                <w:bCs/>
              </w:rPr>
              <w:t xml:space="preserve"> pakalpojumu cenas latos </w:t>
            </w:r>
            <w:r w:rsidR="003306C3" w:rsidRPr="00A3526B">
              <w:rPr>
                <w:bCs/>
              </w:rPr>
              <w:t>(</w:t>
            </w:r>
            <w:r w:rsidR="003306C3" w:rsidRPr="009443B2">
              <w:t>ir spēkā līdz 2013.gada 31.decembrim</w:t>
            </w:r>
            <w:r w:rsidR="003306C3" w:rsidRPr="00A3526B">
              <w:rPr>
                <w:bCs/>
              </w:rPr>
              <w:t>)</w:t>
            </w:r>
            <w:r w:rsidR="003306C3" w:rsidRPr="00BA6A65">
              <w:rPr>
                <w:bCs/>
              </w:rPr>
              <w:t>;</w:t>
            </w:r>
          </w:p>
          <w:p w:rsidR="00EB2F00" w:rsidRPr="00BE7CA1" w:rsidRDefault="003306C3" w:rsidP="00864880">
            <w:pPr>
              <w:jc w:val="both"/>
            </w:pPr>
            <w:r>
              <w:rPr>
                <w:bCs/>
              </w:rPr>
              <w:t xml:space="preserve">       </w:t>
            </w:r>
            <w:r w:rsidR="00864880">
              <w:rPr>
                <w:bCs/>
              </w:rPr>
              <w:t>b)</w:t>
            </w:r>
            <w:r w:rsidRPr="00BA6A65">
              <w:rPr>
                <w:bCs/>
              </w:rPr>
              <w:t xml:space="preserve"> pakalpojumu cenas </w:t>
            </w:r>
            <w:proofErr w:type="spellStart"/>
            <w:r w:rsidRPr="00BA6A65">
              <w:rPr>
                <w:bCs/>
                <w:i/>
              </w:rPr>
              <w:t>euro</w:t>
            </w:r>
            <w:proofErr w:type="spellEnd"/>
            <w:r w:rsidRPr="00BA6A65">
              <w:rPr>
                <w:bCs/>
              </w:rPr>
              <w:t xml:space="preserve"> </w:t>
            </w:r>
            <w:r w:rsidRPr="00A3526B">
              <w:rPr>
                <w:bCs/>
              </w:rPr>
              <w:t>(</w:t>
            </w:r>
            <w:r w:rsidRPr="009443B2">
              <w:rPr>
                <w:bCs/>
              </w:rPr>
              <w:t>stājas spēkā 2014.gada 1.janvārī</w:t>
            </w:r>
            <w:r w:rsidRPr="00A3526B">
              <w:rPr>
                <w:bCs/>
              </w:rPr>
              <w:t>)</w:t>
            </w:r>
            <w:r w:rsidRPr="00BA6A65">
              <w:rPr>
                <w:bCs/>
              </w:rPr>
              <w:t>.</w:t>
            </w:r>
            <w:r w:rsidR="00864880">
              <w:t xml:space="preserve"> </w:t>
            </w:r>
            <w:r w:rsidR="00E83243" w:rsidRPr="00BA6A65">
              <w:rPr>
                <w:iCs/>
              </w:rPr>
              <w:t xml:space="preserve">     </w:t>
            </w:r>
            <w:r>
              <w:rPr>
                <w:lang w:eastAsia="en-US"/>
              </w:rPr>
              <w:t xml:space="preserve"> </w:t>
            </w:r>
          </w:p>
          <w:p w:rsidR="00B57B01" w:rsidRPr="00BA6A65" w:rsidRDefault="003306C3" w:rsidP="00E174C0">
            <w:pPr>
              <w:spacing w:before="75" w:after="75"/>
              <w:jc w:val="both"/>
              <w:rPr>
                <w:iCs/>
              </w:rPr>
            </w:pPr>
            <w:r>
              <w:rPr>
                <w:iCs/>
              </w:rPr>
              <w:t xml:space="preserve">     </w:t>
            </w:r>
            <w:r w:rsidR="00B57B01" w:rsidRPr="00BA6A65">
              <w:t>Aprēķins veikts, izmantojot Latvijas bankas noteikto oficiālo kursu EUR 1 = LVL 0,702804. Aprēķina rezultātā netiek radīta ietekme uz valsts budžetu.</w:t>
            </w:r>
          </w:p>
          <w:p w:rsidR="00AC340F" w:rsidRPr="00B125CA" w:rsidRDefault="00864880" w:rsidP="003306C3">
            <w:pPr>
              <w:ind w:right="25"/>
              <w:jc w:val="both"/>
            </w:pPr>
            <w:r>
              <w:rPr>
                <w:rFonts w:eastAsia="Calibri"/>
                <w:iCs/>
              </w:rPr>
              <w:t xml:space="preserve">     </w:t>
            </w:r>
            <w:r w:rsidR="0037293F" w:rsidRPr="00BA6A65">
              <w:rPr>
                <w:rFonts w:eastAsia="Calibri"/>
                <w:iCs/>
              </w:rPr>
              <w:t>T</w:t>
            </w:r>
            <w:r w:rsidR="00E174C0" w:rsidRPr="00BA6A65">
              <w:rPr>
                <w:rFonts w:eastAsia="Calibri"/>
                <w:iCs/>
              </w:rPr>
              <w:t xml:space="preserve">iesību normas </w:t>
            </w:r>
            <w:proofErr w:type="spellStart"/>
            <w:r w:rsidR="00E174C0" w:rsidRPr="00BA6A65">
              <w:rPr>
                <w:rFonts w:eastAsia="Calibri"/>
                <w:i/>
                <w:iCs/>
              </w:rPr>
              <w:t>euro</w:t>
            </w:r>
            <w:proofErr w:type="spellEnd"/>
            <w:r w:rsidR="00E174C0" w:rsidRPr="00BA6A65">
              <w:rPr>
                <w:rFonts w:eastAsia="Calibri"/>
                <w:i/>
                <w:iCs/>
              </w:rPr>
              <w:t xml:space="preserve"> </w:t>
            </w:r>
            <w:r w:rsidR="00E174C0" w:rsidRPr="00BA6A65">
              <w:rPr>
                <w:rFonts w:eastAsia="Calibri"/>
                <w:iCs/>
              </w:rPr>
              <w:t xml:space="preserve">valūtā nav personām nelabvēlīgākas par sākotnējo tiesību normu latos un </w:t>
            </w:r>
            <w:r w:rsidR="00E174C0" w:rsidRPr="00B125CA">
              <w:rPr>
                <w:rFonts w:eastAsia="Calibri"/>
                <w:iCs/>
              </w:rPr>
              <w:t>nerada vērā ņemamu negatīvu ietekmi uz valsts budžetu.</w:t>
            </w:r>
            <w:r w:rsidR="00FA0D03" w:rsidRPr="00B125CA">
              <w:t xml:space="preserve"> </w:t>
            </w:r>
          </w:p>
          <w:p w:rsidR="006A2FFB" w:rsidRPr="00BA6A65" w:rsidRDefault="00FA0D03" w:rsidP="00B125CA">
            <w:pPr>
              <w:ind w:right="25"/>
              <w:jc w:val="both"/>
              <w:rPr>
                <w:u w:val="single"/>
              </w:rPr>
            </w:pPr>
            <w:r w:rsidRPr="00B125CA">
              <w:t xml:space="preserve"> </w:t>
            </w:r>
            <w:r w:rsidR="00AC340F" w:rsidRPr="00B125CA">
              <w:t xml:space="preserve">    Izstrādājot projektu, ir precizētas atsauces uz Pievienotās vērtības</w:t>
            </w:r>
            <w:r w:rsidR="00A65627" w:rsidRPr="00B125CA">
              <w:t xml:space="preserve"> nodokļa</w:t>
            </w:r>
            <w:r w:rsidR="00AC340F" w:rsidRPr="00B125CA">
              <w:t xml:space="preserve"> likumu, kas stā</w:t>
            </w:r>
            <w:r w:rsidR="00A65627" w:rsidRPr="00B125CA">
              <w:t>jās spēkā 2013.gada 1.janvārī</w:t>
            </w:r>
            <w:r w:rsidR="00AC340F" w:rsidRPr="00B125CA">
              <w:t>, aizstājot likumu „Par pievienotās vērtības nodokli”.</w:t>
            </w:r>
          </w:p>
        </w:tc>
      </w:tr>
      <w:tr w:rsidR="00FA0D03" w:rsidRPr="00BA6A65" w:rsidTr="00FA0D03">
        <w:tc>
          <w:tcPr>
            <w:tcW w:w="1045" w:type="dxa"/>
          </w:tcPr>
          <w:p w:rsidR="00FA0D03" w:rsidRPr="00BA6A65" w:rsidRDefault="00FA0D03" w:rsidP="00CF7413">
            <w:pPr>
              <w:jc w:val="center"/>
            </w:pPr>
            <w:r w:rsidRPr="00BA6A65">
              <w:lastRenderedPageBreak/>
              <w:t>5.</w:t>
            </w:r>
          </w:p>
        </w:tc>
        <w:tc>
          <w:tcPr>
            <w:tcW w:w="2649" w:type="dxa"/>
          </w:tcPr>
          <w:p w:rsidR="00FA0D03" w:rsidRPr="00BA6A65" w:rsidRDefault="00FA0D03" w:rsidP="00CF7413">
            <w:r w:rsidRPr="00BA6A65">
              <w:t>Projekta izstrādē iesaistītās institūcijas</w:t>
            </w:r>
          </w:p>
        </w:tc>
        <w:tc>
          <w:tcPr>
            <w:tcW w:w="5774" w:type="dxa"/>
          </w:tcPr>
          <w:p w:rsidR="00FA0D03" w:rsidRPr="00BA6A65" w:rsidRDefault="00B32024" w:rsidP="00CF7413">
            <w:r>
              <w:t>Valsts policija (Valsts policijas koledža)</w:t>
            </w:r>
            <w:r w:rsidR="00FA0D03" w:rsidRPr="00BA6A65">
              <w:t>.</w:t>
            </w:r>
          </w:p>
        </w:tc>
      </w:tr>
      <w:tr w:rsidR="00FA0D03" w:rsidRPr="00BA6A65" w:rsidTr="00FA0D03">
        <w:trPr>
          <w:cantSplit/>
          <w:trHeight w:val="989"/>
        </w:trPr>
        <w:tc>
          <w:tcPr>
            <w:tcW w:w="1045" w:type="dxa"/>
          </w:tcPr>
          <w:p w:rsidR="00FA0D03" w:rsidRPr="00BA6A65" w:rsidRDefault="00FA0D03" w:rsidP="00CF7413">
            <w:pPr>
              <w:jc w:val="center"/>
            </w:pPr>
            <w:r w:rsidRPr="00BA6A65">
              <w:t>6.</w:t>
            </w:r>
          </w:p>
        </w:tc>
        <w:tc>
          <w:tcPr>
            <w:tcW w:w="2649" w:type="dxa"/>
          </w:tcPr>
          <w:p w:rsidR="00FA0D03" w:rsidRPr="00BA6A65" w:rsidRDefault="00FA0D03" w:rsidP="00CF7413">
            <w:r w:rsidRPr="00BA6A65">
              <w:t>Iemesli, kādēļ netika nodrošināta sabiedrības līdzdalība</w:t>
            </w:r>
          </w:p>
        </w:tc>
        <w:tc>
          <w:tcPr>
            <w:tcW w:w="5774" w:type="dxa"/>
          </w:tcPr>
          <w:p w:rsidR="00FA0D03" w:rsidRPr="00BA6A65" w:rsidRDefault="00E174C0" w:rsidP="001D5BA8">
            <w:pPr>
              <w:ind w:firstLine="275"/>
              <w:jc w:val="both"/>
              <w:rPr>
                <w:color w:val="000000"/>
              </w:rPr>
            </w:pPr>
            <w:r w:rsidRPr="00BA6A65">
              <w:rPr>
                <w:rFonts w:eastAsia="Calibri"/>
              </w:rPr>
              <w:t>Sabiedrības līdzdalība projekta izstrādē netika nodrošināta, jo projekts nemaina pastāvošo tiesisko regulējumu pēc būtības.</w:t>
            </w:r>
          </w:p>
        </w:tc>
      </w:tr>
      <w:tr w:rsidR="00FA0D03" w:rsidRPr="00BA6A65" w:rsidTr="00FA0D03">
        <w:tc>
          <w:tcPr>
            <w:tcW w:w="1045" w:type="dxa"/>
          </w:tcPr>
          <w:p w:rsidR="00FA0D03" w:rsidRPr="00BA6A65" w:rsidRDefault="00FA0D03" w:rsidP="0045385C">
            <w:pPr>
              <w:jc w:val="center"/>
            </w:pPr>
            <w:r w:rsidRPr="00BA6A65">
              <w:t>7.</w:t>
            </w:r>
          </w:p>
        </w:tc>
        <w:tc>
          <w:tcPr>
            <w:tcW w:w="2649" w:type="dxa"/>
          </w:tcPr>
          <w:p w:rsidR="00FA0D03" w:rsidRPr="00BA6A65" w:rsidRDefault="00FA0D03" w:rsidP="0045385C">
            <w:pPr>
              <w:jc w:val="center"/>
            </w:pPr>
            <w:r w:rsidRPr="00BA6A65">
              <w:t>Cita informācija</w:t>
            </w:r>
          </w:p>
        </w:tc>
        <w:tc>
          <w:tcPr>
            <w:tcW w:w="5774" w:type="dxa"/>
          </w:tcPr>
          <w:p w:rsidR="004A1045" w:rsidRPr="004A1045" w:rsidRDefault="004A1045" w:rsidP="004A1045">
            <w:pPr>
              <w:jc w:val="both"/>
              <w:rPr>
                <w:lang w:eastAsia="en-US"/>
              </w:rPr>
            </w:pPr>
            <w:r>
              <w:rPr>
                <w:lang w:eastAsia="en-US"/>
              </w:rPr>
              <w:t xml:space="preserve">     </w:t>
            </w:r>
            <w:r w:rsidRPr="004A1045">
              <w:rPr>
                <w:lang w:eastAsia="en-US"/>
              </w:rPr>
              <w:t xml:space="preserve">Lai vienlaicīgi nodrošinātu gan maksas pakalpojumu aktualizāciju, gan normatīvā akta pielāgošanu saistībā ar </w:t>
            </w:r>
            <w:proofErr w:type="spellStart"/>
            <w:r w:rsidRPr="004A1045">
              <w:rPr>
                <w:i/>
                <w:lang w:eastAsia="en-US"/>
              </w:rPr>
              <w:t>euro</w:t>
            </w:r>
            <w:proofErr w:type="spellEnd"/>
            <w:r w:rsidRPr="004A1045">
              <w:rPr>
                <w:lang w:eastAsia="en-US"/>
              </w:rPr>
              <w:t xml:space="preserve"> ieviešanu, projekts tiks virzīts pēc saskaņošanas tālāk tikai tad, kad Eiropas Savienības Padomē tiks pieņemts lēmums par izņēmuma statusa atcelšanu Latvijas Republikai saskaņā ar Līguma par Eiropas Savienības darbību 140.panta 2.punktu.</w:t>
            </w:r>
          </w:p>
          <w:p w:rsidR="004A1045" w:rsidRPr="004A1045" w:rsidRDefault="004A1045" w:rsidP="004A1045">
            <w:pPr>
              <w:jc w:val="both"/>
              <w:rPr>
                <w:lang w:eastAsia="en-US"/>
              </w:rPr>
            </w:pPr>
            <w:r>
              <w:rPr>
                <w:lang w:eastAsia="en-US"/>
              </w:rPr>
              <w:t xml:space="preserve">     </w:t>
            </w:r>
            <w:r w:rsidRPr="004A1045">
              <w:rPr>
                <w:lang w:eastAsia="en-US"/>
              </w:rPr>
              <w:t xml:space="preserve">Saskaņā ar </w:t>
            </w:r>
            <w:proofErr w:type="spellStart"/>
            <w:r w:rsidRPr="004A1045">
              <w:rPr>
                <w:i/>
                <w:lang w:eastAsia="en-US"/>
              </w:rPr>
              <w:t>Euro</w:t>
            </w:r>
            <w:proofErr w:type="spellEnd"/>
            <w:r w:rsidRPr="004A1045">
              <w:rPr>
                <w:lang w:eastAsia="en-US"/>
              </w:rPr>
              <w:t xml:space="preserve"> ieviešanas kārtības likuma 13.panta pirmo daļu preču un pakalpojumu cenu paralēlās atspoguļošanas periods sākas trīs mēnešus pirms </w:t>
            </w:r>
            <w:proofErr w:type="spellStart"/>
            <w:r w:rsidRPr="004A1045">
              <w:rPr>
                <w:i/>
                <w:lang w:eastAsia="en-US"/>
              </w:rPr>
              <w:t>euro</w:t>
            </w:r>
            <w:proofErr w:type="spellEnd"/>
            <w:r w:rsidRPr="004A1045">
              <w:rPr>
                <w:lang w:eastAsia="en-US"/>
              </w:rPr>
              <w:t xml:space="preserve"> ieviešanas dienas, tādēļ šim projektam ir jābūt izskatītam Ministru kabinetā un publicētam oficiālajā izdevumā </w:t>
            </w:r>
            <w:r w:rsidRPr="004A1045">
              <w:rPr>
                <w:lang w:eastAsia="en-US"/>
              </w:rPr>
              <w:lastRenderedPageBreak/>
              <w:t>„Latvijas Vēstnesis” līdz 2013.gada 1.oktobrim.</w:t>
            </w:r>
          </w:p>
          <w:p w:rsidR="004967F3" w:rsidRPr="00BA6A65" w:rsidRDefault="004A1045" w:rsidP="004A1045">
            <w:pPr>
              <w:ind w:firstLine="275"/>
              <w:jc w:val="both"/>
            </w:pPr>
            <w:r w:rsidRPr="004A1045">
              <w:rPr>
                <w:lang w:eastAsia="en-US"/>
              </w:rPr>
              <w:t>Savukārt, saskaņā ar Valsts kontroles revīzijas ziņojuma „Iekšlietu ministrijas padotības iestāžu pašu ieņēmumu likumība un valsts nodevu un naudas sodu iekasēšanas atbilstība normatīvo aktu prasībām” (Nr.5.1-2-10/2012) laika grafiku ir noteikts, ka Iekšlietu ministrijai un Iekšlietu ministrijas padotības iestādēm līdz 2013.gada 1.jūlijam ir jāizvērtē maksas pakalpojuma aprēķini atbilstoši normatīvajos aktos noteiktajām prasībām un nepieciešamības gadījumā jāaktualizē maksas pakalpojuma cenrāži.</w:t>
            </w:r>
          </w:p>
        </w:tc>
      </w:tr>
    </w:tbl>
    <w:p w:rsidR="00690581" w:rsidRDefault="00690581" w:rsidP="0045385C">
      <w:pPr>
        <w:spacing w:line="276" w:lineRule="auto"/>
        <w:rPr>
          <w:iCs/>
          <w:sz w:val="28"/>
          <w:szCs w:val="28"/>
        </w:rPr>
      </w:pPr>
    </w:p>
    <w:tbl>
      <w:tblPr>
        <w:tblpPr w:leftFromText="181" w:rightFromText="181"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800"/>
        <w:gridCol w:w="5018"/>
      </w:tblGrid>
      <w:tr w:rsidR="0045385C" w:rsidRPr="0045385C" w:rsidTr="00D5389E">
        <w:tc>
          <w:tcPr>
            <w:tcW w:w="9458" w:type="dxa"/>
            <w:gridSpan w:val="3"/>
          </w:tcPr>
          <w:p w:rsidR="0045385C" w:rsidRPr="0045385C" w:rsidRDefault="0045385C" w:rsidP="0045385C">
            <w:pPr>
              <w:jc w:val="center"/>
              <w:rPr>
                <w:b/>
              </w:rPr>
            </w:pPr>
          </w:p>
          <w:p w:rsidR="0045385C" w:rsidRPr="0045385C" w:rsidRDefault="0045385C" w:rsidP="0045385C">
            <w:pPr>
              <w:jc w:val="center"/>
              <w:rPr>
                <w:b/>
              </w:rPr>
            </w:pPr>
            <w:r w:rsidRPr="0045385C">
              <w:rPr>
                <w:b/>
              </w:rPr>
              <w:t>II. Tiesību akta projekta ietekme uz sabiedrību</w:t>
            </w:r>
          </w:p>
          <w:p w:rsidR="0045385C" w:rsidRPr="0045385C" w:rsidRDefault="0045385C" w:rsidP="0045385C">
            <w:pPr>
              <w:jc w:val="center"/>
              <w:rPr>
                <w:b/>
              </w:rPr>
            </w:pPr>
          </w:p>
        </w:tc>
      </w:tr>
      <w:tr w:rsidR="0045385C" w:rsidRPr="0045385C" w:rsidTr="00D5389E">
        <w:tc>
          <w:tcPr>
            <w:tcW w:w="640" w:type="dxa"/>
            <w:vAlign w:val="center"/>
          </w:tcPr>
          <w:p w:rsidR="0045385C" w:rsidRPr="0045385C" w:rsidRDefault="0045385C" w:rsidP="0045385C">
            <w:pPr>
              <w:ind w:left="113"/>
            </w:pPr>
            <w:r w:rsidRPr="0045385C">
              <w:t>1.</w:t>
            </w:r>
          </w:p>
        </w:tc>
        <w:tc>
          <w:tcPr>
            <w:tcW w:w="3800" w:type="dxa"/>
            <w:vAlign w:val="center"/>
          </w:tcPr>
          <w:p w:rsidR="0045385C" w:rsidRPr="0045385C" w:rsidRDefault="0045385C" w:rsidP="0045385C">
            <w:r w:rsidRPr="0045385C">
              <w:t xml:space="preserve">Sabiedrības </w:t>
            </w:r>
            <w:proofErr w:type="spellStart"/>
            <w:r w:rsidRPr="0045385C">
              <w:t>mērķgrupa</w:t>
            </w:r>
            <w:proofErr w:type="spellEnd"/>
          </w:p>
        </w:tc>
        <w:tc>
          <w:tcPr>
            <w:tcW w:w="5018" w:type="dxa"/>
            <w:shd w:val="clear" w:color="auto" w:fill="auto"/>
          </w:tcPr>
          <w:p w:rsidR="0045385C" w:rsidRPr="0045385C" w:rsidRDefault="0045385C" w:rsidP="00DD2F19">
            <w:pPr>
              <w:spacing w:before="100" w:beforeAutospacing="1" w:after="100" w:afterAutospacing="1"/>
              <w:ind w:left="60"/>
              <w:jc w:val="both"/>
            </w:pPr>
            <w:r w:rsidRPr="0045385C">
              <w:t xml:space="preserve">Privātpersonas, kuras </w:t>
            </w:r>
            <w:r w:rsidR="00B32024">
              <w:t>saņems</w:t>
            </w:r>
            <w:r w:rsidRPr="0045385C">
              <w:t xml:space="preserve"> </w:t>
            </w:r>
            <w:r w:rsidR="00DD2F19">
              <w:t>K</w:t>
            </w:r>
            <w:r>
              <w:t>oledžas</w:t>
            </w:r>
            <w:r w:rsidRPr="0045385C">
              <w:t xml:space="preserve"> sniegtos maksas pakalpojumus.</w:t>
            </w:r>
          </w:p>
        </w:tc>
      </w:tr>
      <w:tr w:rsidR="0045385C" w:rsidRPr="0045385C" w:rsidTr="00D5389E">
        <w:tc>
          <w:tcPr>
            <w:tcW w:w="640" w:type="dxa"/>
            <w:vAlign w:val="center"/>
          </w:tcPr>
          <w:p w:rsidR="0045385C" w:rsidRPr="0045385C" w:rsidRDefault="0045385C" w:rsidP="0045385C">
            <w:pPr>
              <w:ind w:left="113"/>
            </w:pPr>
            <w:r w:rsidRPr="0045385C">
              <w:t>2.</w:t>
            </w:r>
          </w:p>
        </w:tc>
        <w:tc>
          <w:tcPr>
            <w:tcW w:w="3800" w:type="dxa"/>
            <w:vAlign w:val="center"/>
          </w:tcPr>
          <w:p w:rsidR="0045385C" w:rsidRPr="0045385C" w:rsidRDefault="0045385C" w:rsidP="0045385C">
            <w:r w:rsidRPr="0045385C">
              <w:t xml:space="preserve">Citas sabiedrības grupas (bez </w:t>
            </w:r>
            <w:proofErr w:type="spellStart"/>
            <w:r w:rsidRPr="0045385C">
              <w:t>mērķgrupas</w:t>
            </w:r>
            <w:proofErr w:type="spellEnd"/>
            <w:r w:rsidRPr="0045385C">
              <w:t>), kuras tiesiskais regulējums arī ietekmē vai varētu ietekmēt</w:t>
            </w:r>
          </w:p>
        </w:tc>
        <w:tc>
          <w:tcPr>
            <w:tcW w:w="5018" w:type="dxa"/>
            <w:shd w:val="clear" w:color="auto" w:fill="auto"/>
          </w:tcPr>
          <w:p w:rsidR="0045385C" w:rsidRPr="0045385C" w:rsidRDefault="0045385C" w:rsidP="004F7526">
            <w:pPr>
              <w:ind w:right="127"/>
              <w:jc w:val="both"/>
            </w:pPr>
            <w:r w:rsidRPr="0045385C">
              <w:t>Projekts šo jomu neskar.</w:t>
            </w:r>
          </w:p>
          <w:p w:rsidR="0045385C" w:rsidRPr="0045385C" w:rsidRDefault="0045385C" w:rsidP="0045385C"/>
        </w:tc>
      </w:tr>
      <w:tr w:rsidR="0045385C" w:rsidRPr="0045385C" w:rsidTr="00D5389E">
        <w:tc>
          <w:tcPr>
            <w:tcW w:w="640" w:type="dxa"/>
            <w:vAlign w:val="center"/>
          </w:tcPr>
          <w:p w:rsidR="0045385C" w:rsidRPr="0045385C" w:rsidRDefault="0045385C" w:rsidP="0045385C">
            <w:pPr>
              <w:ind w:left="113"/>
            </w:pPr>
            <w:r w:rsidRPr="0045385C">
              <w:t>3.</w:t>
            </w:r>
          </w:p>
        </w:tc>
        <w:tc>
          <w:tcPr>
            <w:tcW w:w="3800" w:type="dxa"/>
            <w:vAlign w:val="center"/>
          </w:tcPr>
          <w:p w:rsidR="0045385C" w:rsidRPr="0045385C" w:rsidRDefault="0045385C" w:rsidP="0045385C">
            <w:r w:rsidRPr="0045385C">
              <w:t>Tiesiskā regulējuma finansiālā ietekme</w:t>
            </w:r>
          </w:p>
        </w:tc>
        <w:tc>
          <w:tcPr>
            <w:tcW w:w="5018" w:type="dxa"/>
            <w:shd w:val="clear" w:color="auto" w:fill="auto"/>
          </w:tcPr>
          <w:p w:rsidR="0045385C" w:rsidRPr="0045385C" w:rsidRDefault="00B32024" w:rsidP="00DD2F19">
            <w:pPr>
              <w:jc w:val="both"/>
            </w:pPr>
            <w:r>
              <w:t xml:space="preserve">Lai nodrošinātu </w:t>
            </w:r>
            <w:r w:rsidR="00DD2F19">
              <w:t>K</w:t>
            </w:r>
            <w:r>
              <w:t xml:space="preserve">oledžas sniegto maksas pakalpojumu izcenojumu atbilstību noteikumiem Nr.333, </w:t>
            </w:r>
            <w:r>
              <w:rPr>
                <w:rFonts w:ascii="TimesNewRomanPSMT" w:hAnsi="TimesNewRomanPSMT" w:cs="TimesNewRomanPSMT"/>
              </w:rPr>
              <w:t xml:space="preserve">maksas pakalpojumu izcenojumos </w:t>
            </w:r>
            <w:r w:rsidRPr="00C05F60">
              <w:rPr>
                <w:rFonts w:ascii="TimesNewRomanPSMT" w:hAnsi="TimesNewRomanPSMT" w:cs="TimesNewRomanPSMT"/>
              </w:rPr>
              <w:t>ietver</w:t>
            </w:r>
            <w:r>
              <w:rPr>
                <w:rFonts w:ascii="TimesNewRomanPSMT" w:hAnsi="TimesNewRomanPSMT" w:cs="TimesNewRomanPSMT"/>
              </w:rPr>
              <w:t>ot</w:t>
            </w:r>
            <w:r w:rsidRPr="00C05F60">
              <w:rPr>
                <w:rFonts w:ascii="TimesNewRomanPSMT" w:hAnsi="TimesNewRomanPSMT" w:cs="TimesNewRomanPSMT"/>
              </w:rPr>
              <w:t xml:space="preserve"> visas izmaksas, kuras roda</w:t>
            </w:r>
            <w:r>
              <w:rPr>
                <w:rFonts w:ascii="TimesNewRomanPSMT" w:hAnsi="TimesNewRomanPSMT" w:cs="TimesNewRomanPSMT"/>
              </w:rPr>
              <w:t xml:space="preserve">s, sniedzot maksas pakalpojumus, </w:t>
            </w:r>
            <w:r w:rsidR="00DD2F19">
              <w:rPr>
                <w:rFonts w:ascii="TimesNewRomanPSMT" w:hAnsi="TimesNewRomanPSMT" w:cs="TimesNewRomanPSMT"/>
              </w:rPr>
              <w:t>K</w:t>
            </w:r>
            <w:r w:rsidR="006965A9">
              <w:rPr>
                <w:rFonts w:ascii="TimesNewRomanPSMT" w:hAnsi="TimesNewRomanPSMT" w:cs="TimesNewRomanPSMT"/>
              </w:rPr>
              <w:t>oledžas</w:t>
            </w:r>
            <w:r>
              <w:rPr>
                <w:rFonts w:ascii="TimesNewRomanPSMT" w:hAnsi="TimesNewRomanPSMT" w:cs="TimesNewRomanPSMT"/>
              </w:rPr>
              <w:t xml:space="preserve"> maksas pakalpojumu </w:t>
            </w:r>
            <w:r w:rsidRPr="003316B1">
              <w:rPr>
                <w:rFonts w:ascii="TimesNewRomanPSMT" w:hAnsi="TimesNewRomanPSMT" w:cs="TimesNewRomanPSMT"/>
              </w:rPr>
              <w:t xml:space="preserve">cenas </w:t>
            </w:r>
            <w:r>
              <w:rPr>
                <w:rFonts w:ascii="TimesNewRomanPSMT" w:hAnsi="TimesNewRomanPSMT" w:cs="TimesNewRomanPSMT"/>
              </w:rPr>
              <w:t xml:space="preserve">noteiktajiem pakalpojumiem </w:t>
            </w:r>
            <w:r w:rsidRPr="003316B1">
              <w:rPr>
                <w:rFonts w:ascii="TimesNewRomanPSMT" w:hAnsi="TimesNewRomanPSMT" w:cs="TimesNewRomanPSMT"/>
              </w:rPr>
              <w:t xml:space="preserve">tiek </w:t>
            </w:r>
            <w:r>
              <w:rPr>
                <w:rFonts w:ascii="TimesNewRomanPSMT" w:hAnsi="TimesNewRomanPSMT" w:cs="TimesNewRomanPSMT"/>
              </w:rPr>
              <w:t xml:space="preserve">attiecīgi </w:t>
            </w:r>
            <w:r w:rsidRPr="003316B1">
              <w:rPr>
                <w:rFonts w:ascii="TimesNewRomanPSMT" w:hAnsi="TimesNewRomanPSMT" w:cs="TimesNewRomanPSMT"/>
              </w:rPr>
              <w:t>palielinātas</w:t>
            </w:r>
            <w:r>
              <w:rPr>
                <w:rFonts w:ascii="TimesNewRomanPSMT" w:hAnsi="TimesNewRomanPSMT" w:cs="TimesNewRomanPSMT"/>
              </w:rPr>
              <w:t xml:space="preserve"> vai samazinātas.</w:t>
            </w:r>
          </w:p>
        </w:tc>
      </w:tr>
      <w:tr w:rsidR="0045385C" w:rsidRPr="0045385C" w:rsidTr="00D5389E">
        <w:tc>
          <w:tcPr>
            <w:tcW w:w="640" w:type="dxa"/>
            <w:vAlign w:val="center"/>
          </w:tcPr>
          <w:p w:rsidR="0045385C" w:rsidRPr="0045385C" w:rsidRDefault="0045385C" w:rsidP="0045385C">
            <w:pPr>
              <w:ind w:left="113"/>
            </w:pPr>
            <w:r w:rsidRPr="0045385C">
              <w:t xml:space="preserve">4. </w:t>
            </w:r>
          </w:p>
        </w:tc>
        <w:tc>
          <w:tcPr>
            <w:tcW w:w="3800" w:type="dxa"/>
            <w:vAlign w:val="center"/>
          </w:tcPr>
          <w:p w:rsidR="0045385C" w:rsidRPr="0045385C" w:rsidRDefault="0045385C" w:rsidP="0045385C">
            <w:r w:rsidRPr="0045385C">
              <w:t>Tiesiskā regulējuma nefinansiālā ietekme</w:t>
            </w:r>
          </w:p>
        </w:tc>
        <w:tc>
          <w:tcPr>
            <w:tcW w:w="5018" w:type="dxa"/>
            <w:shd w:val="clear" w:color="auto" w:fill="auto"/>
          </w:tcPr>
          <w:p w:rsidR="0045385C" w:rsidRPr="0045385C" w:rsidRDefault="0045385C" w:rsidP="0045385C">
            <w:pPr>
              <w:ind w:right="127"/>
              <w:jc w:val="both"/>
            </w:pPr>
            <w:r w:rsidRPr="0045385C">
              <w:t>Projekts šo jomu neskar.</w:t>
            </w:r>
          </w:p>
        </w:tc>
      </w:tr>
      <w:tr w:rsidR="0045385C" w:rsidRPr="0045385C" w:rsidTr="00D5389E">
        <w:trPr>
          <w:cantSplit/>
        </w:trPr>
        <w:tc>
          <w:tcPr>
            <w:tcW w:w="640" w:type="dxa"/>
            <w:vAlign w:val="center"/>
          </w:tcPr>
          <w:p w:rsidR="0045385C" w:rsidRPr="0045385C" w:rsidRDefault="0045385C" w:rsidP="0045385C">
            <w:pPr>
              <w:ind w:left="113"/>
            </w:pPr>
            <w:r w:rsidRPr="0045385C">
              <w:t>5.</w:t>
            </w:r>
          </w:p>
        </w:tc>
        <w:tc>
          <w:tcPr>
            <w:tcW w:w="3800" w:type="dxa"/>
          </w:tcPr>
          <w:p w:rsidR="0045385C" w:rsidRPr="0045385C" w:rsidRDefault="0045385C" w:rsidP="0045385C">
            <w:r w:rsidRPr="0045385C">
              <w:t>Administratīvās procedūras raksturojums</w:t>
            </w:r>
          </w:p>
        </w:tc>
        <w:tc>
          <w:tcPr>
            <w:tcW w:w="5018" w:type="dxa"/>
            <w:shd w:val="clear" w:color="auto" w:fill="auto"/>
          </w:tcPr>
          <w:p w:rsidR="0045385C" w:rsidRPr="0045385C" w:rsidRDefault="0045385C" w:rsidP="0045385C">
            <w:r w:rsidRPr="0045385C">
              <w:t>Projekts šo jomu neskar.</w:t>
            </w:r>
          </w:p>
        </w:tc>
      </w:tr>
      <w:tr w:rsidR="0045385C" w:rsidRPr="0045385C" w:rsidTr="00D5389E">
        <w:tc>
          <w:tcPr>
            <w:tcW w:w="640" w:type="dxa"/>
          </w:tcPr>
          <w:p w:rsidR="0045385C" w:rsidRPr="0045385C" w:rsidRDefault="0045385C" w:rsidP="0045385C">
            <w:pPr>
              <w:ind w:left="113"/>
            </w:pPr>
            <w:r w:rsidRPr="0045385C">
              <w:t>6.</w:t>
            </w:r>
          </w:p>
        </w:tc>
        <w:tc>
          <w:tcPr>
            <w:tcW w:w="3800" w:type="dxa"/>
          </w:tcPr>
          <w:p w:rsidR="0045385C" w:rsidRPr="0045385C" w:rsidRDefault="0045385C" w:rsidP="0045385C">
            <w:r w:rsidRPr="0045385C">
              <w:t>Administratīvo izmaksu monetārs novērtējums</w:t>
            </w:r>
          </w:p>
        </w:tc>
        <w:tc>
          <w:tcPr>
            <w:tcW w:w="5018" w:type="dxa"/>
            <w:shd w:val="clear" w:color="auto" w:fill="auto"/>
          </w:tcPr>
          <w:p w:rsidR="0045385C" w:rsidRPr="0045385C" w:rsidRDefault="0045385C" w:rsidP="0045385C">
            <w:r w:rsidRPr="0045385C">
              <w:t>Projekts šo jomu neskar.</w:t>
            </w:r>
          </w:p>
        </w:tc>
      </w:tr>
      <w:tr w:rsidR="0045385C" w:rsidRPr="0045385C" w:rsidTr="00D5389E">
        <w:tc>
          <w:tcPr>
            <w:tcW w:w="640" w:type="dxa"/>
          </w:tcPr>
          <w:p w:rsidR="0045385C" w:rsidRPr="0045385C" w:rsidRDefault="0045385C" w:rsidP="0045385C">
            <w:pPr>
              <w:ind w:left="113"/>
            </w:pPr>
            <w:r w:rsidRPr="0045385C">
              <w:t>7.</w:t>
            </w:r>
          </w:p>
        </w:tc>
        <w:tc>
          <w:tcPr>
            <w:tcW w:w="3800" w:type="dxa"/>
          </w:tcPr>
          <w:p w:rsidR="0045385C" w:rsidRPr="0045385C" w:rsidRDefault="0045385C" w:rsidP="0045385C">
            <w:r w:rsidRPr="0045385C">
              <w:t>Cita informācija</w:t>
            </w:r>
          </w:p>
        </w:tc>
        <w:tc>
          <w:tcPr>
            <w:tcW w:w="5018" w:type="dxa"/>
            <w:shd w:val="clear" w:color="auto" w:fill="auto"/>
          </w:tcPr>
          <w:p w:rsidR="0045385C" w:rsidRPr="0045385C" w:rsidRDefault="0045385C" w:rsidP="0045385C">
            <w:r w:rsidRPr="0045385C">
              <w:t>Nav.</w:t>
            </w:r>
          </w:p>
        </w:tc>
      </w:tr>
    </w:tbl>
    <w:p w:rsidR="0045385C" w:rsidRDefault="0045385C" w:rsidP="0045385C">
      <w:pPr>
        <w:spacing w:line="276" w:lineRule="auto"/>
        <w:rPr>
          <w:iCs/>
          <w:sz w:val="28"/>
          <w:szCs w:val="28"/>
        </w:rPr>
      </w:pPr>
    </w:p>
    <w:tbl>
      <w:tblPr>
        <w:tblW w:w="9503" w:type="dxa"/>
        <w:tblInd w:w="-34" w:type="dxa"/>
        <w:tblLayout w:type="fixed"/>
        <w:tblLook w:val="0000" w:firstRow="0" w:lastRow="0" w:firstColumn="0" w:lastColumn="0" w:noHBand="0" w:noVBand="0"/>
      </w:tblPr>
      <w:tblGrid>
        <w:gridCol w:w="2344"/>
        <w:gridCol w:w="1195"/>
        <w:gridCol w:w="1418"/>
        <w:gridCol w:w="1417"/>
        <w:gridCol w:w="1276"/>
        <w:gridCol w:w="1853"/>
      </w:tblGrid>
      <w:tr w:rsidR="00EA337C" w:rsidRPr="00EA337C" w:rsidTr="00EA337C">
        <w:tc>
          <w:tcPr>
            <w:tcW w:w="9503" w:type="dxa"/>
            <w:gridSpan w:val="6"/>
            <w:tcBorders>
              <w:top w:val="single" w:sz="4" w:space="0" w:color="000000"/>
              <w:left w:val="single" w:sz="4" w:space="0" w:color="000000"/>
              <w:bottom w:val="single" w:sz="4" w:space="0" w:color="000000"/>
              <w:right w:val="single" w:sz="4" w:space="0" w:color="000000"/>
            </w:tcBorders>
            <w:shd w:val="clear" w:color="auto" w:fill="auto"/>
          </w:tcPr>
          <w:p w:rsidR="00EA337C" w:rsidRPr="00EA337C" w:rsidRDefault="00EA337C" w:rsidP="00EA337C">
            <w:pPr>
              <w:suppressAutoHyphens/>
              <w:jc w:val="center"/>
              <w:rPr>
                <w:lang w:eastAsia="ar-SA"/>
              </w:rPr>
            </w:pPr>
            <w:r w:rsidRPr="00EA337C">
              <w:rPr>
                <w:b/>
                <w:lang w:eastAsia="ar-SA"/>
              </w:rPr>
              <w:t>III. Tiesību akta projekta ietekme uz valsts budžetu un pašvaldību budžetiem</w:t>
            </w:r>
          </w:p>
        </w:tc>
      </w:tr>
      <w:tr w:rsidR="00EA337C" w:rsidRPr="00EA337C" w:rsidTr="00EA337C">
        <w:tc>
          <w:tcPr>
            <w:tcW w:w="2344" w:type="dxa"/>
            <w:vMerge w:val="restart"/>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t>Rādītāji</w:t>
            </w:r>
          </w:p>
        </w:tc>
        <w:tc>
          <w:tcPr>
            <w:tcW w:w="2613" w:type="dxa"/>
            <w:gridSpan w:val="2"/>
            <w:vMerge w:val="restart"/>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2013.gads</w:t>
            </w:r>
          </w:p>
        </w:tc>
        <w:tc>
          <w:tcPr>
            <w:tcW w:w="4546" w:type="dxa"/>
            <w:gridSpan w:val="3"/>
            <w:tcBorders>
              <w:top w:val="single" w:sz="4" w:space="0" w:color="000000"/>
              <w:left w:val="single" w:sz="4" w:space="0" w:color="000000"/>
              <w:bottom w:val="single" w:sz="4" w:space="0" w:color="000000"/>
              <w:right w:val="single" w:sz="4" w:space="0" w:color="000000"/>
            </w:tcBorders>
            <w:shd w:val="clear" w:color="auto" w:fill="auto"/>
          </w:tcPr>
          <w:p w:rsidR="00EA337C" w:rsidRPr="00EA337C" w:rsidRDefault="00EA337C" w:rsidP="00EA337C">
            <w:pPr>
              <w:suppressAutoHyphens/>
              <w:jc w:val="center"/>
              <w:rPr>
                <w:sz w:val="22"/>
                <w:szCs w:val="22"/>
                <w:lang w:eastAsia="ar-SA"/>
              </w:rPr>
            </w:pPr>
            <w:r w:rsidRPr="00EA337C">
              <w:rPr>
                <w:lang w:eastAsia="ar-SA"/>
              </w:rPr>
              <w:t>Turpmākie trīs gadi (</w:t>
            </w:r>
            <w:proofErr w:type="spellStart"/>
            <w:r w:rsidRPr="00EA337C">
              <w:rPr>
                <w:lang w:eastAsia="ar-SA"/>
              </w:rPr>
              <w:t>tūkst</w:t>
            </w:r>
            <w:proofErr w:type="spellEnd"/>
            <w:r w:rsidRPr="00EA337C">
              <w:rPr>
                <w:lang w:eastAsia="ar-SA"/>
              </w:rPr>
              <w:t>. latu)</w:t>
            </w:r>
          </w:p>
        </w:tc>
      </w:tr>
      <w:tr w:rsidR="00EA337C" w:rsidRPr="00EA337C" w:rsidTr="00EA337C">
        <w:tc>
          <w:tcPr>
            <w:tcW w:w="2344" w:type="dxa"/>
            <w:vMerge/>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snapToGrid w:val="0"/>
              <w:rPr>
                <w:sz w:val="22"/>
                <w:szCs w:val="22"/>
                <w:lang w:eastAsia="ar-SA"/>
              </w:rPr>
            </w:pPr>
          </w:p>
        </w:tc>
        <w:tc>
          <w:tcPr>
            <w:tcW w:w="2613" w:type="dxa"/>
            <w:gridSpan w:val="2"/>
            <w:vMerge/>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snapToGrid w:val="0"/>
              <w:rPr>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t>2014.gads</w:t>
            </w:r>
          </w:p>
        </w:tc>
        <w:tc>
          <w:tcPr>
            <w:tcW w:w="1276"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2015.gads</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C" w:rsidRPr="00EA337C" w:rsidRDefault="00EA337C" w:rsidP="00EA337C">
            <w:pPr>
              <w:suppressAutoHyphens/>
              <w:jc w:val="center"/>
              <w:rPr>
                <w:sz w:val="22"/>
                <w:szCs w:val="22"/>
                <w:lang w:eastAsia="ar-SA"/>
              </w:rPr>
            </w:pPr>
            <w:r w:rsidRPr="00EA337C">
              <w:rPr>
                <w:lang w:eastAsia="ar-SA"/>
              </w:rPr>
              <w:t>2016.gads</w:t>
            </w:r>
          </w:p>
        </w:tc>
      </w:tr>
      <w:tr w:rsidR="00EA337C" w:rsidRPr="00EA337C" w:rsidTr="00EA337C">
        <w:tc>
          <w:tcPr>
            <w:tcW w:w="2344" w:type="dxa"/>
            <w:vMerge/>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snapToGrid w:val="0"/>
              <w:rPr>
                <w:sz w:val="22"/>
                <w:szCs w:val="22"/>
                <w:lang w:eastAsia="ar-SA"/>
              </w:rPr>
            </w:pPr>
          </w:p>
        </w:tc>
        <w:tc>
          <w:tcPr>
            <w:tcW w:w="1195"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sz w:val="22"/>
                <w:szCs w:val="22"/>
                <w:lang w:eastAsia="ar-SA"/>
              </w:rPr>
            </w:pPr>
            <w:r w:rsidRPr="00EA337C">
              <w:rPr>
                <w:sz w:val="22"/>
                <w:szCs w:val="22"/>
                <w:lang w:eastAsia="ar-SA"/>
              </w:rPr>
              <w:t>Saskaņā ar valsts budžetu kārtējam gadam</w:t>
            </w:r>
          </w:p>
        </w:tc>
        <w:tc>
          <w:tcPr>
            <w:tcW w:w="1418"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sz w:val="22"/>
                <w:szCs w:val="22"/>
                <w:lang w:eastAsia="ar-SA"/>
              </w:rPr>
            </w:pPr>
            <w:r w:rsidRPr="00EA337C">
              <w:rPr>
                <w:sz w:val="22"/>
                <w:szCs w:val="22"/>
                <w:lang w:eastAsia="ar-SA"/>
              </w:rPr>
              <w:t>Izmaiņas kārtējā gadā, salīdzinot ar budžetu kārtējam gadam</w:t>
            </w:r>
          </w:p>
        </w:tc>
        <w:tc>
          <w:tcPr>
            <w:tcW w:w="1417"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sz w:val="22"/>
                <w:szCs w:val="22"/>
                <w:lang w:eastAsia="ar-SA"/>
              </w:rPr>
            </w:pPr>
            <w:r w:rsidRPr="00EA337C">
              <w:rPr>
                <w:sz w:val="22"/>
                <w:szCs w:val="22"/>
                <w:lang w:eastAsia="ar-SA"/>
              </w:rPr>
              <w:t>Izmaiņas, salīdzinot ar kārtējo (2013.) gadu</w:t>
            </w:r>
          </w:p>
        </w:tc>
        <w:tc>
          <w:tcPr>
            <w:tcW w:w="1276"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sz w:val="22"/>
                <w:szCs w:val="22"/>
                <w:lang w:eastAsia="ar-SA"/>
              </w:rPr>
            </w:pPr>
            <w:r w:rsidRPr="00EA337C">
              <w:rPr>
                <w:sz w:val="22"/>
                <w:szCs w:val="22"/>
                <w:lang w:eastAsia="ar-SA"/>
              </w:rPr>
              <w:t>Izmaiņas, salīdzinot ar kārtējo (2013.) gadu</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sz w:val="22"/>
                <w:szCs w:val="22"/>
                <w:lang w:eastAsia="ar-SA"/>
              </w:rPr>
              <w:t>Izmaiņas, salīdzinot ar kārtējo (2013.) gadu</w:t>
            </w:r>
          </w:p>
        </w:tc>
      </w:tr>
      <w:tr w:rsidR="00EA337C" w:rsidRPr="00EA337C" w:rsidTr="00EA337C">
        <w:trPr>
          <w:trHeight w:val="397"/>
        </w:trPr>
        <w:tc>
          <w:tcPr>
            <w:tcW w:w="2344"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1</w:t>
            </w:r>
          </w:p>
        </w:tc>
        <w:tc>
          <w:tcPr>
            <w:tcW w:w="1195"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2</w:t>
            </w:r>
          </w:p>
        </w:tc>
        <w:tc>
          <w:tcPr>
            <w:tcW w:w="1418"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C" w:rsidRPr="00EA337C" w:rsidRDefault="00EA337C" w:rsidP="00EA337C">
            <w:pPr>
              <w:suppressAutoHyphens/>
              <w:jc w:val="center"/>
              <w:rPr>
                <w:lang w:eastAsia="ar-SA"/>
              </w:rPr>
            </w:pPr>
            <w:r w:rsidRPr="00EA337C">
              <w:rPr>
                <w:lang w:eastAsia="ar-SA"/>
              </w:rPr>
              <w:t>6</w:t>
            </w:r>
          </w:p>
        </w:tc>
      </w:tr>
      <w:tr w:rsidR="00FD372F" w:rsidRPr="00EA337C" w:rsidTr="00EA337C">
        <w:trPr>
          <w:trHeight w:val="389"/>
        </w:trPr>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rPr>
                <w:lang w:eastAsia="ar-SA"/>
              </w:rPr>
            </w:pPr>
            <w:r w:rsidRPr="00EA337C">
              <w:rPr>
                <w:lang w:eastAsia="ar-SA"/>
              </w:rPr>
              <w:t> 1. Budžeta ieņēmumi:</w:t>
            </w:r>
          </w:p>
        </w:tc>
        <w:tc>
          <w:tcPr>
            <w:tcW w:w="1195"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8.2</w:t>
            </w:r>
          </w:p>
        </w:tc>
        <w:tc>
          <w:tcPr>
            <w:tcW w:w="1418"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0.8</w:t>
            </w:r>
          </w:p>
        </w:tc>
        <w:tc>
          <w:tcPr>
            <w:tcW w:w="1417"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276"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72F" w:rsidRDefault="00FD372F" w:rsidP="00654653">
            <w:pPr>
              <w:jc w:val="center"/>
            </w:pPr>
            <w:r>
              <w:t>1.5</w:t>
            </w:r>
          </w:p>
        </w:tc>
      </w:tr>
      <w:tr w:rsidR="00FD372F" w:rsidRPr="00EA337C" w:rsidTr="00EA337C">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rPr>
                <w:lang w:eastAsia="ar-SA"/>
              </w:rPr>
            </w:pPr>
            <w:r w:rsidRPr="00EA337C">
              <w:rPr>
                <w:lang w:eastAsia="ar-SA"/>
              </w:rPr>
              <w:t xml:space="preserve"> 1.1. valsts pamatbudžets, tai </w:t>
            </w:r>
            <w:r w:rsidRPr="00EA337C">
              <w:rPr>
                <w:lang w:eastAsia="ar-SA"/>
              </w:rPr>
              <w:lastRenderedPageBreak/>
              <w:t>skaitā ieņēmumi no maksas pakalpojumiem un citi pašu ieņēmumi</w:t>
            </w:r>
          </w:p>
        </w:tc>
        <w:tc>
          <w:tcPr>
            <w:tcW w:w="1195" w:type="dxa"/>
            <w:tcBorders>
              <w:top w:val="single" w:sz="4" w:space="0" w:color="000000"/>
              <w:left w:val="single" w:sz="4" w:space="0" w:color="000000"/>
              <w:bottom w:val="single" w:sz="4" w:space="0" w:color="000000"/>
            </w:tcBorders>
            <w:shd w:val="clear" w:color="auto" w:fill="auto"/>
          </w:tcPr>
          <w:p w:rsidR="00FD372F" w:rsidRPr="00256628" w:rsidRDefault="00FD372F" w:rsidP="00654653">
            <w:pPr>
              <w:pStyle w:val="TableContents"/>
              <w:snapToGrid w:val="0"/>
              <w:jc w:val="center"/>
            </w:pPr>
          </w:p>
          <w:p w:rsidR="00FD372F" w:rsidRPr="00256628" w:rsidRDefault="00FD372F" w:rsidP="00654653">
            <w:pPr>
              <w:pStyle w:val="TableContents"/>
              <w:snapToGrid w:val="0"/>
              <w:jc w:val="center"/>
            </w:pPr>
          </w:p>
          <w:p w:rsidR="00FD372F" w:rsidRPr="00256628" w:rsidRDefault="00FD372F" w:rsidP="00654653">
            <w:pPr>
              <w:pStyle w:val="TableContents"/>
              <w:snapToGrid w:val="0"/>
              <w:jc w:val="center"/>
            </w:pPr>
            <w:r>
              <w:lastRenderedPageBreak/>
              <w:t>8.2</w:t>
            </w:r>
          </w:p>
        </w:tc>
        <w:tc>
          <w:tcPr>
            <w:tcW w:w="1418"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lastRenderedPageBreak/>
              <w:t>0.8</w:t>
            </w:r>
          </w:p>
        </w:tc>
        <w:tc>
          <w:tcPr>
            <w:tcW w:w="1417"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276"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72F" w:rsidRDefault="00FD372F" w:rsidP="00654653">
            <w:pPr>
              <w:jc w:val="center"/>
            </w:pPr>
            <w:r>
              <w:t>1.5</w:t>
            </w:r>
          </w:p>
        </w:tc>
      </w:tr>
      <w:tr w:rsidR="00FD372F" w:rsidRPr="00EA337C" w:rsidTr="00EA337C">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rPr>
                <w:lang w:eastAsia="ar-SA"/>
              </w:rPr>
            </w:pPr>
            <w:r w:rsidRPr="00EA337C">
              <w:rPr>
                <w:lang w:eastAsia="ar-SA"/>
              </w:rPr>
              <w:lastRenderedPageBreak/>
              <w:t> 1.2. valsts speciālais budžets</w:t>
            </w:r>
          </w:p>
        </w:tc>
        <w:tc>
          <w:tcPr>
            <w:tcW w:w="1195"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276"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D372F" w:rsidRDefault="00FD372F" w:rsidP="00654653">
            <w:pPr>
              <w:pStyle w:val="TableContents"/>
              <w:snapToGrid w:val="0"/>
              <w:jc w:val="center"/>
            </w:pPr>
            <w:r>
              <w:t>0</w:t>
            </w:r>
          </w:p>
        </w:tc>
      </w:tr>
      <w:tr w:rsidR="00FD372F" w:rsidRPr="00EA337C" w:rsidTr="00EA337C">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rPr>
                <w:lang w:eastAsia="ar-SA"/>
              </w:rPr>
            </w:pPr>
            <w:r w:rsidRPr="00EA337C">
              <w:rPr>
                <w:lang w:eastAsia="ar-SA"/>
              </w:rPr>
              <w:t> 1.3. pašvaldību budžets</w:t>
            </w:r>
          </w:p>
        </w:tc>
        <w:tc>
          <w:tcPr>
            <w:tcW w:w="1195"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276" w:type="dxa"/>
            <w:tcBorders>
              <w:top w:val="single" w:sz="4" w:space="0" w:color="000000"/>
              <w:left w:val="single" w:sz="4" w:space="0" w:color="000000"/>
              <w:bottom w:val="single" w:sz="4" w:space="0" w:color="000000"/>
            </w:tcBorders>
            <w:shd w:val="clear" w:color="auto" w:fill="auto"/>
          </w:tcPr>
          <w:p w:rsidR="00FD372F" w:rsidRDefault="00FD372F" w:rsidP="00654653">
            <w:pPr>
              <w:pStyle w:val="TableContents"/>
              <w:snapToGrid w:val="0"/>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D372F" w:rsidRDefault="00FD372F" w:rsidP="00654653">
            <w:pPr>
              <w:pStyle w:val="TableContents"/>
              <w:snapToGrid w:val="0"/>
              <w:jc w:val="center"/>
            </w:pPr>
            <w:r>
              <w:t>0</w:t>
            </w:r>
          </w:p>
        </w:tc>
      </w:tr>
      <w:tr w:rsidR="00FD372F" w:rsidRPr="00EA337C" w:rsidTr="00EA337C">
        <w:trPr>
          <w:trHeight w:val="345"/>
        </w:trPr>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jc w:val="both"/>
              <w:rPr>
                <w:lang w:eastAsia="ar-SA"/>
              </w:rPr>
            </w:pPr>
            <w:r w:rsidRPr="00EA337C">
              <w:rPr>
                <w:lang w:eastAsia="ar-SA"/>
              </w:rPr>
              <w:t> 2. Budžeta izdevumi:</w:t>
            </w:r>
          </w:p>
        </w:tc>
        <w:tc>
          <w:tcPr>
            <w:tcW w:w="1195"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8.2</w:t>
            </w:r>
          </w:p>
        </w:tc>
        <w:tc>
          <w:tcPr>
            <w:tcW w:w="1418"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0.8</w:t>
            </w:r>
          </w:p>
        </w:tc>
        <w:tc>
          <w:tcPr>
            <w:tcW w:w="1417"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276"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72F" w:rsidRDefault="00FD372F" w:rsidP="00654653">
            <w:pPr>
              <w:jc w:val="center"/>
            </w:pPr>
            <w:r>
              <w:t>1.5</w:t>
            </w:r>
          </w:p>
        </w:tc>
      </w:tr>
      <w:tr w:rsidR="00FD372F" w:rsidRPr="00EA337C" w:rsidTr="00EA337C">
        <w:tc>
          <w:tcPr>
            <w:tcW w:w="2344" w:type="dxa"/>
            <w:tcBorders>
              <w:top w:val="single" w:sz="4" w:space="0" w:color="000000"/>
              <w:left w:val="single" w:sz="4" w:space="0" w:color="000000"/>
              <w:bottom w:val="single" w:sz="4" w:space="0" w:color="000000"/>
            </w:tcBorders>
            <w:shd w:val="clear" w:color="auto" w:fill="auto"/>
          </w:tcPr>
          <w:p w:rsidR="00FD372F" w:rsidRPr="00EA337C" w:rsidRDefault="00FD372F" w:rsidP="00EA337C">
            <w:pPr>
              <w:suppressAutoHyphens/>
              <w:rPr>
                <w:lang w:eastAsia="ar-SA"/>
              </w:rPr>
            </w:pPr>
            <w:r w:rsidRPr="00EA337C">
              <w:rPr>
                <w:lang w:eastAsia="ar-SA"/>
              </w:rPr>
              <w:t> 2.1. valsts pamatbudžets</w:t>
            </w:r>
          </w:p>
        </w:tc>
        <w:tc>
          <w:tcPr>
            <w:tcW w:w="1195"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8.2</w:t>
            </w:r>
          </w:p>
        </w:tc>
        <w:tc>
          <w:tcPr>
            <w:tcW w:w="1418" w:type="dxa"/>
            <w:tcBorders>
              <w:top w:val="single" w:sz="4" w:space="0" w:color="000000"/>
              <w:left w:val="single" w:sz="4" w:space="0" w:color="000000"/>
              <w:bottom w:val="single" w:sz="4" w:space="0" w:color="000000"/>
            </w:tcBorders>
            <w:shd w:val="clear" w:color="auto" w:fill="auto"/>
            <w:vAlign w:val="center"/>
          </w:tcPr>
          <w:p w:rsidR="00FD372F" w:rsidRPr="00256628" w:rsidRDefault="00FD372F" w:rsidP="00654653">
            <w:pPr>
              <w:pStyle w:val="TableContents"/>
              <w:snapToGrid w:val="0"/>
              <w:jc w:val="center"/>
            </w:pPr>
            <w:r>
              <w:t>0.8</w:t>
            </w:r>
          </w:p>
        </w:tc>
        <w:tc>
          <w:tcPr>
            <w:tcW w:w="1417"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276" w:type="dxa"/>
            <w:tcBorders>
              <w:top w:val="single" w:sz="4" w:space="0" w:color="000000"/>
              <w:left w:val="single" w:sz="4" w:space="0" w:color="000000"/>
              <w:bottom w:val="single" w:sz="4" w:space="0" w:color="000000"/>
            </w:tcBorders>
            <w:shd w:val="clear" w:color="auto" w:fill="auto"/>
            <w:vAlign w:val="center"/>
          </w:tcPr>
          <w:p w:rsidR="00FD372F" w:rsidRDefault="00FD372F" w:rsidP="00654653">
            <w:pPr>
              <w:jc w:val="center"/>
            </w:pPr>
            <w:r>
              <w:t>1.5</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72F" w:rsidRDefault="00FD372F" w:rsidP="00654653">
            <w:pPr>
              <w:jc w:val="center"/>
            </w:pPr>
            <w:r>
              <w:t>1.5</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2.2. valsts speciālais 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pStyle w:val="TableContents"/>
              <w:snapToGrid w:val="0"/>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2.3. pašvaldību 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pStyle w:val="TableContents"/>
              <w:snapToGrid w:val="0"/>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pStyle w:val="TableContents"/>
              <w:snapToGrid w:val="0"/>
              <w:jc w:val="center"/>
            </w:pPr>
            <w:r>
              <w:t>0</w:t>
            </w:r>
          </w:p>
        </w:tc>
      </w:tr>
      <w:tr w:rsidR="00526A32" w:rsidRPr="00EA337C" w:rsidTr="00EA337C">
        <w:trPr>
          <w:trHeight w:val="430"/>
        </w:trPr>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3. Finansiālā ietekme:</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3.1. valsts pamatbudžets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rPr>
          <w:trHeight w:val="417"/>
        </w:trPr>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3.2. speciālais 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3.3. pašvaldību budžets</w:t>
            </w:r>
          </w:p>
        </w:tc>
        <w:tc>
          <w:tcPr>
            <w:tcW w:w="1195"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p>
        </w:tc>
        <w:tc>
          <w:tcPr>
            <w:tcW w:w="1418"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A32" w:rsidRDefault="00526A32" w:rsidP="00A35E8D">
            <w:pPr>
              <w:snapToGrid w:val="0"/>
              <w:jc w:val="center"/>
            </w:pP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4. Finanšu līdzekļi papildu izde</w:t>
            </w:r>
            <w:r w:rsidRPr="00EA337C">
              <w:rPr>
                <w:lang w:eastAsia="ar-SA"/>
              </w:rPr>
              <w:softHyphen/>
              <w:t>vumu finansēšanai (kompensējošu izdevumu samazinājumu norāda ar "+" zīmi)</w:t>
            </w:r>
          </w:p>
        </w:tc>
        <w:tc>
          <w:tcPr>
            <w:tcW w:w="1195"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jc w:val="center"/>
            </w:pPr>
            <w:r>
              <w:t>X</w:t>
            </w:r>
          </w:p>
        </w:tc>
        <w:tc>
          <w:tcPr>
            <w:tcW w:w="1418"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r>
              <w:t>0</w:t>
            </w:r>
          </w:p>
          <w:p w:rsidR="00526A32" w:rsidRDefault="00526A32" w:rsidP="00A35E8D">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r>
              <w:t>0</w:t>
            </w:r>
          </w:p>
          <w:p w:rsidR="00526A32" w:rsidRDefault="00526A32" w:rsidP="00A35E8D">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526A32" w:rsidRDefault="00526A32" w:rsidP="00A35E8D">
            <w:pPr>
              <w:snapToGrid w:val="0"/>
              <w:jc w:val="center"/>
            </w:pPr>
            <w:r>
              <w:t>0</w:t>
            </w:r>
          </w:p>
          <w:p w:rsidR="00526A32" w:rsidRDefault="00526A32" w:rsidP="00A35E8D">
            <w:pPr>
              <w:jc w:val="cente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A32" w:rsidRDefault="00526A32" w:rsidP="00A35E8D">
            <w:pPr>
              <w:snapToGrid w:val="0"/>
              <w:jc w:val="center"/>
            </w:pPr>
            <w:r>
              <w:t>0</w:t>
            </w:r>
          </w:p>
          <w:p w:rsidR="00526A32" w:rsidRDefault="00526A32" w:rsidP="00A35E8D">
            <w:pPr>
              <w:jc w:val="center"/>
            </w:pP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5. Precizēta finansiālā ietekme:</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X</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5.1. valsts pamatbudžets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5.2. speciālais 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526A32" w:rsidRPr="00EA337C" w:rsidTr="00EA337C">
        <w:tc>
          <w:tcPr>
            <w:tcW w:w="2344" w:type="dxa"/>
            <w:tcBorders>
              <w:top w:val="single" w:sz="4" w:space="0" w:color="000000"/>
              <w:left w:val="single" w:sz="4" w:space="0" w:color="000000"/>
              <w:bottom w:val="single" w:sz="4" w:space="0" w:color="000000"/>
            </w:tcBorders>
            <w:shd w:val="clear" w:color="auto" w:fill="auto"/>
          </w:tcPr>
          <w:p w:rsidR="00526A32" w:rsidRPr="00EA337C" w:rsidRDefault="00526A32" w:rsidP="00EA337C">
            <w:pPr>
              <w:suppressAutoHyphens/>
              <w:rPr>
                <w:lang w:eastAsia="ar-SA"/>
              </w:rPr>
            </w:pPr>
            <w:r w:rsidRPr="00EA337C">
              <w:rPr>
                <w:lang w:eastAsia="ar-SA"/>
              </w:rPr>
              <w:t> 5.3. pašvaldību budžets</w:t>
            </w:r>
          </w:p>
        </w:tc>
        <w:tc>
          <w:tcPr>
            <w:tcW w:w="1195"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8"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417"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276" w:type="dxa"/>
            <w:tcBorders>
              <w:top w:val="single" w:sz="4" w:space="0" w:color="000000"/>
              <w:left w:val="single" w:sz="4" w:space="0" w:color="000000"/>
              <w:bottom w:val="single" w:sz="4" w:space="0" w:color="000000"/>
            </w:tcBorders>
            <w:shd w:val="clear" w:color="auto" w:fill="auto"/>
          </w:tcPr>
          <w:p w:rsidR="00526A32" w:rsidRDefault="00526A32" w:rsidP="00A35E8D">
            <w:pPr>
              <w:jc w:val="center"/>
            </w:pPr>
            <w:r>
              <w:t>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526A32" w:rsidRDefault="00526A32" w:rsidP="00A35E8D">
            <w:pPr>
              <w:jc w:val="center"/>
            </w:pPr>
            <w:r>
              <w:t>0</w:t>
            </w:r>
          </w:p>
        </w:tc>
      </w:tr>
      <w:tr w:rsidR="00EA337C" w:rsidRPr="00EA337C" w:rsidTr="00EA337C">
        <w:trPr>
          <w:trHeight w:val="1973"/>
        </w:trPr>
        <w:tc>
          <w:tcPr>
            <w:tcW w:w="2344" w:type="dxa"/>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t>6. Detalizēts ieņēmumu un izdevu</w:t>
            </w:r>
            <w:r w:rsidRPr="00EA337C">
              <w:rPr>
                <w:lang w:eastAsia="ar-SA"/>
              </w:rPr>
              <w:softHyphen/>
              <w:t>mu aprēķins (ja nepieciešams, detalizētu ieņēmumu un izdevumu aprēķinu var pievienot anotācijas pielikumā):</w:t>
            </w:r>
          </w:p>
        </w:tc>
        <w:tc>
          <w:tcPr>
            <w:tcW w:w="715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FD372F" w:rsidRPr="00526A32" w:rsidRDefault="00425903" w:rsidP="00FD372F">
            <w:pPr>
              <w:ind w:firstLine="100"/>
              <w:jc w:val="both"/>
              <w:rPr>
                <w:color w:val="000000"/>
              </w:rPr>
            </w:pPr>
            <w:r>
              <w:rPr>
                <w:color w:val="000000"/>
              </w:rPr>
              <w:t xml:space="preserve">  </w:t>
            </w:r>
            <w:r w:rsidR="00FD372F">
              <w:rPr>
                <w:color w:val="000000"/>
              </w:rPr>
              <w:t>K</w:t>
            </w:r>
            <w:r w:rsidR="00FD372F" w:rsidRPr="00526A32">
              <w:rPr>
                <w:color w:val="000000"/>
              </w:rPr>
              <w:t xml:space="preserve">oledža, saskaņā ar 2013.gada budžetu, 2013.gadā plāno ieņēmumus no maksas pakalpojumiem, kuri tiek sniegti saskaņā ar noteikumiem Nr.840, Ls 8 175 apmērā. </w:t>
            </w:r>
          </w:p>
          <w:p w:rsidR="00FD372F" w:rsidRPr="00526A32" w:rsidRDefault="00FD372F" w:rsidP="00FD372F">
            <w:pPr>
              <w:ind w:firstLine="242"/>
              <w:jc w:val="both"/>
              <w:rPr>
                <w:color w:val="000000"/>
              </w:rPr>
            </w:pPr>
            <w:r w:rsidRPr="00526A32">
              <w:rPr>
                <w:color w:val="000000"/>
              </w:rPr>
              <w:t xml:space="preserve">Saskaņā ar plānotajiem grozījumiem noteikumos ieņēmumi no maksas pakalpojumiem tiek plānoti Ls 9 </w:t>
            </w:r>
            <w:r>
              <w:rPr>
                <w:color w:val="000000"/>
              </w:rPr>
              <w:t>649</w:t>
            </w:r>
            <w:r w:rsidRPr="00526A32">
              <w:rPr>
                <w:color w:val="000000"/>
              </w:rPr>
              <w:t xml:space="preserve"> apmērā. Maksas pakalpojumu cenas aprēķinātas, ņemot vērā faktiskās pakalpojumu sniegšanas izmaksas.</w:t>
            </w:r>
          </w:p>
          <w:p w:rsidR="00FD372F" w:rsidRPr="00526A32" w:rsidRDefault="00FD372F" w:rsidP="00FD372F">
            <w:pPr>
              <w:suppressAutoHyphens/>
              <w:ind w:firstLine="242"/>
              <w:jc w:val="both"/>
              <w:rPr>
                <w:lang w:eastAsia="ar-SA"/>
              </w:rPr>
            </w:pPr>
            <w:r w:rsidRPr="00526A32">
              <w:rPr>
                <w:color w:val="000000"/>
              </w:rPr>
              <w:t>Ieņēmumu no maksas pakalpojumiem pieaugums tiek plānots Ls 1</w:t>
            </w:r>
            <w:r>
              <w:rPr>
                <w:color w:val="000000"/>
              </w:rPr>
              <w:t>474</w:t>
            </w:r>
            <w:r w:rsidRPr="00526A32">
              <w:rPr>
                <w:color w:val="000000"/>
              </w:rPr>
              <w:t xml:space="preserve"> un tiks izlietots, lai nodrošinātu </w:t>
            </w:r>
            <w:r>
              <w:rPr>
                <w:color w:val="000000"/>
              </w:rPr>
              <w:t>K</w:t>
            </w:r>
            <w:r w:rsidRPr="00526A32">
              <w:rPr>
                <w:color w:val="000000"/>
              </w:rPr>
              <w:t xml:space="preserve">oledžas izdevumu, kas saistīti ar maksas pakalpojumu sniegšanu segšanu. Ieņēmumu pieaugums 2013.gadā, pieņemot, ka cenrādis tiks apstiprināts līdz šā </w:t>
            </w:r>
            <w:r w:rsidRPr="00526A32">
              <w:rPr>
                <w:color w:val="000000"/>
              </w:rPr>
              <w:lastRenderedPageBreak/>
              <w:t>gada augustam, tiek plānots Ls  838 apmērā.</w:t>
            </w:r>
          </w:p>
          <w:p w:rsidR="00EA337C" w:rsidRPr="00EA337C" w:rsidRDefault="00FD372F" w:rsidP="00FD372F">
            <w:pPr>
              <w:suppressAutoHyphens/>
              <w:jc w:val="both"/>
              <w:rPr>
                <w:lang w:eastAsia="ar-SA"/>
              </w:rPr>
            </w:pPr>
            <w:r>
              <w:rPr>
                <w:lang w:eastAsia="ar-SA"/>
              </w:rPr>
              <w:t xml:space="preserve">     </w:t>
            </w:r>
            <w:r w:rsidRPr="00EA337C">
              <w:rPr>
                <w:lang w:eastAsia="ar-SA"/>
              </w:rPr>
              <w:t>Detalizēts aprēķins sniegts projekta sākotnējās ietekmes novērtējuma ziņojuma (anotācijas) 1.pielikumā.</w:t>
            </w:r>
          </w:p>
        </w:tc>
      </w:tr>
      <w:tr w:rsidR="00EA337C" w:rsidRPr="00EA337C" w:rsidTr="00EA337C">
        <w:trPr>
          <w:trHeight w:val="519"/>
        </w:trPr>
        <w:tc>
          <w:tcPr>
            <w:tcW w:w="2344" w:type="dxa"/>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t>6.1. detalizēts ieņēmumu aprēķins</w:t>
            </w:r>
          </w:p>
        </w:tc>
        <w:tc>
          <w:tcPr>
            <w:tcW w:w="715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337C" w:rsidRPr="00EA337C" w:rsidRDefault="00EA337C" w:rsidP="00EA337C">
            <w:pPr>
              <w:suppressAutoHyphens/>
              <w:snapToGrid w:val="0"/>
              <w:jc w:val="center"/>
              <w:rPr>
                <w:lang w:eastAsia="ar-SA"/>
              </w:rPr>
            </w:pPr>
          </w:p>
        </w:tc>
      </w:tr>
      <w:tr w:rsidR="00EA337C" w:rsidRPr="00EA337C" w:rsidTr="00EA337C">
        <w:trPr>
          <w:trHeight w:val="604"/>
        </w:trPr>
        <w:tc>
          <w:tcPr>
            <w:tcW w:w="2344" w:type="dxa"/>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lastRenderedPageBreak/>
              <w:t>6.2. detalizēts izdevumu aprēķins</w:t>
            </w:r>
          </w:p>
        </w:tc>
        <w:tc>
          <w:tcPr>
            <w:tcW w:w="7159"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337C" w:rsidRPr="00EA337C" w:rsidRDefault="00EA337C" w:rsidP="00EA337C">
            <w:pPr>
              <w:suppressAutoHyphens/>
              <w:snapToGrid w:val="0"/>
              <w:jc w:val="center"/>
              <w:rPr>
                <w:lang w:eastAsia="ar-SA"/>
              </w:rPr>
            </w:pPr>
          </w:p>
        </w:tc>
      </w:tr>
      <w:tr w:rsidR="00EA337C" w:rsidRPr="00EA337C" w:rsidTr="00EA337C">
        <w:tc>
          <w:tcPr>
            <w:tcW w:w="2344" w:type="dxa"/>
            <w:tcBorders>
              <w:top w:val="single" w:sz="4" w:space="0" w:color="000000"/>
              <w:left w:val="single" w:sz="4" w:space="0" w:color="000000"/>
              <w:bottom w:val="single" w:sz="4" w:space="0" w:color="000000"/>
            </w:tcBorders>
            <w:shd w:val="clear" w:color="auto" w:fill="auto"/>
          </w:tcPr>
          <w:p w:rsidR="00EA337C" w:rsidRPr="00EA337C" w:rsidRDefault="00EA337C" w:rsidP="00EA337C">
            <w:pPr>
              <w:suppressAutoHyphens/>
              <w:rPr>
                <w:lang w:eastAsia="ar-SA"/>
              </w:rPr>
            </w:pPr>
            <w:r w:rsidRPr="00EA337C">
              <w:rPr>
                <w:lang w:eastAsia="ar-SA"/>
              </w:rPr>
              <w:lastRenderedPageBreak/>
              <w:t> 7. Cita informācija.</w:t>
            </w:r>
          </w:p>
        </w:tc>
        <w:tc>
          <w:tcPr>
            <w:tcW w:w="71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337C" w:rsidRDefault="00DD2F19" w:rsidP="004A1045">
            <w:pPr>
              <w:suppressAutoHyphens/>
              <w:jc w:val="both"/>
              <w:rPr>
                <w:lang w:eastAsia="ar-SA"/>
              </w:rPr>
            </w:pPr>
            <w:r>
              <w:rPr>
                <w:lang w:eastAsia="ar-SA"/>
              </w:rPr>
              <w:t xml:space="preserve">    </w:t>
            </w:r>
            <w:r w:rsidR="00EA337C" w:rsidRPr="00EA337C">
              <w:rPr>
                <w:lang w:eastAsia="ar-SA"/>
              </w:rPr>
              <w:t xml:space="preserve">Ieņēmumi no </w:t>
            </w:r>
            <w:r w:rsidR="00425903">
              <w:rPr>
                <w:lang w:eastAsia="ar-SA"/>
              </w:rPr>
              <w:t>K</w:t>
            </w:r>
            <w:r w:rsidR="00EA337C" w:rsidRPr="00EA337C">
              <w:rPr>
                <w:lang w:eastAsia="ar-SA"/>
              </w:rPr>
              <w:t xml:space="preserve">oledžas maksas pakalpojumiem tiks </w:t>
            </w:r>
            <w:r w:rsidR="004A1045">
              <w:rPr>
                <w:lang w:eastAsia="ar-SA"/>
              </w:rPr>
              <w:t>plānoti</w:t>
            </w:r>
            <w:r w:rsidR="00EA337C" w:rsidRPr="00EA337C">
              <w:rPr>
                <w:lang w:eastAsia="ar-SA"/>
              </w:rPr>
              <w:t xml:space="preserve"> budžeta programmā 06.00.00 „Valsts policijas darbība” un izlietoti izdevumu, kas saistīti ar </w:t>
            </w:r>
            <w:r w:rsidR="004A1045">
              <w:rPr>
                <w:lang w:eastAsia="ar-SA"/>
              </w:rPr>
              <w:t>K</w:t>
            </w:r>
            <w:r w:rsidR="00EA337C" w:rsidRPr="00EA337C">
              <w:rPr>
                <w:lang w:eastAsia="ar-SA"/>
              </w:rPr>
              <w:t>oledžas maksas pakalpojumu sniegšanu, segšanai.</w:t>
            </w:r>
          </w:p>
          <w:p w:rsidR="004A1045" w:rsidRPr="00EA337C" w:rsidRDefault="00DD2F19" w:rsidP="004A1045">
            <w:pPr>
              <w:suppressAutoHyphens/>
              <w:jc w:val="both"/>
              <w:rPr>
                <w:vanish/>
                <w:lang w:eastAsia="ar-SA"/>
              </w:rPr>
            </w:pPr>
            <w:r>
              <w:rPr>
                <w:lang w:eastAsia="ar-SA"/>
              </w:rPr>
              <w:t xml:space="preserve">    </w:t>
            </w:r>
            <w:r w:rsidR="004A1045">
              <w:rPr>
                <w:lang w:eastAsia="ar-SA"/>
              </w:rPr>
              <w:t xml:space="preserve">Aizstājot projekta pielikumā latus ar </w:t>
            </w:r>
            <w:proofErr w:type="spellStart"/>
            <w:r w:rsidR="004A1045" w:rsidRPr="004A1045">
              <w:rPr>
                <w:i/>
                <w:lang w:eastAsia="ar-SA"/>
              </w:rPr>
              <w:t>euro</w:t>
            </w:r>
            <w:proofErr w:type="spellEnd"/>
            <w:r w:rsidR="004A1045">
              <w:rPr>
                <w:lang w:eastAsia="ar-SA"/>
              </w:rPr>
              <w:t xml:space="preserve"> atbilstoši </w:t>
            </w:r>
            <w:proofErr w:type="spellStart"/>
            <w:r w:rsidR="004A1045" w:rsidRPr="004A1045">
              <w:rPr>
                <w:i/>
                <w:lang w:eastAsia="ar-SA"/>
              </w:rPr>
              <w:t>Euro</w:t>
            </w:r>
            <w:proofErr w:type="spellEnd"/>
            <w:r w:rsidR="004A1045">
              <w:rPr>
                <w:lang w:eastAsia="ar-SA"/>
              </w:rPr>
              <w:t xml:space="preserve"> ieviešanas kārtības likuma 6.pantā norādītajiem principiem, finansiālā ietekme uz valsts budžeta ieņēmumiem un izdevumiem netiek plānota.</w:t>
            </w:r>
          </w:p>
        </w:tc>
      </w:tr>
    </w:tbl>
    <w:p w:rsidR="00EA337C" w:rsidRDefault="00EA337C" w:rsidP="0045385C">
      <w:pPr>
        <w:spacing w:line="276" w:lineRule="auto"/>
        <w:rPr>
          <w:iCs/>
          <w:sz w:val="28"/>
          <w:szCs w:val="28"/>
        </w:rPr>
      </w:pPr>
    </w:p>
    <w:p w:rsidR="00FA0D03" w:rsidRPr="00BA6A65" w:rsidRDefault="00FA0D03" w:rsidP="00FA0D03">
      <w:pPr>
        <w:spacing w:after="200" w:line="276" w:lineRule="auto"/>
      </w:pPr>
      <w:r w:rsidRPr="00BA6A65">
        <w:t>Anotācijas IV, V, VI un VII sadaļa –</w:t>
      </w:r>
      <w:r w:rsidR="0045385C" w:rsidRPr="00BA6A65">
        <w:t xml:space="preserve"> </w:t>
      </w:r>
      <w:r w:rsidRPr="00BA6A65">
        <w:t xml:space="preserve">projekts šīs jomas neskar. </w:t>
      </w:r>
    </w:p>
    <w:p w:rsidR="00FA0D03" w:rsidRPr="00BA6A65" w:rsidRDefault="00FA0D03" w:rsidP="00FA0D03">
      <w:pPr>
        <w:rPr>
          <w:vanish/>
        </w:rPr>
      </w:pPr>
    </w:p>
    <w:p w:rsidR="00FA0D03" w:rsidRPr="00BA6A65" w:rsidRDefault="00FA0D03" w:rsidP="00FA0D03">
      <w:pPr>
        <w:jc w:val="both"/>
        <w:rPr>
          <w:lang w:val="de-DE"/>
        </w:rPr>
      </w:pPr>
    </w:p>
    <w:p w:rsidR="00FA0D03" w:rsidRPr="00BA6A65" w:rsidRDefault="00FA0D03" w:rsidP="00FA0D03">
      <w:pPr>
        <w:ind w:firstLine="720"/>
        <w:jc w:val="both"/>
        <w:rPr>
          <w:lang w:val="de-DE"/>
        </w:rPr>
      </w:pPr>
      <w:proofErr w:type="spellStart"/>
      <w:r w:rsidRPr="00BA6A65">
        <w:rPr>
          <w:lang w:val="de-DE"/>
        </w:rPr>
        <w:t>Iekšlietu</w:t>
      </w:r>
      <w:proofErr w:type="spellEnd"/>
      <w:r w:rsidRPr="00BA6A65">
        <w:rPr>
          <w:lang w:val="de-DE"/>
        </w:rPr>
        <w:t xml:space="preserve"> </w:t>
      </w:r>
      <w:proofErr w:type="spellStart"/>
      <w:r w:rsidRPr="00BA6A65">
        <w:rPr>
          <w:lang w:val="de-DE"/>
        </w:rPr>
        <w:t>ministrs</w:t>
      </w:r>
      <w:proofErr w:type="spellEnd"/>
      <w:r w:rsidRPr="00BA6A65">
        <w:rPr>
          <w:lang w:val="de-DE"/>
        </w:rPr>
        <w:tab/>
      </w:r>
      <w:r w:rsidRPr="00BA6A65">
        <w:rPr>
          <w:lang w:val="de-DE"/>
        </w:rPr>
        <w:tab/>
      </w:r>
      <w:r w:rsidRPr="00BA6A65">
        <w:rPr>
          <w:lang w:val="de-DE"/>
        </w:rPr>
        <w:tab/>
      </w:r>
      <w:r w:rsidRPr="00BA6A65">
        <w:rPr>
          <w:lang w:val="de-DE"/>
        </w:rPr>
        <w:tab/>
      </w:r>
      <w:r w:rsidRPr="00BA6A65">
        <w:rPr>
          <w:lang w:val="de-DE"/>
        </w:rPr>
        <w:tab/>
        <w:t xml:space="preserve">R. </w:t>
      </w:r>
      <w:proofErr w:type="spellStart"/>
      <w:r w:rsidRPr="00BA6A65">
        <w:rPr>
          <w:lang w:val="de-DE"/>
        </w:rPr>
        <w:t>Kozlovskis</w:t>
      </w:r>
      <w:proofErr w:type="spellEnd"/>
    </w:p>
    <w:p w:rsidR="00FA0D03" w:rsidRPr="00BA6A65" w:rsidRDefault="00FA0D03" w:rsidP="00FA0D03">
      <w:pPr>
        <w:pStyle w:val="naisf"/>
      </w:pPr>
      <w:r w:rsidRPr="00BA6A65">
        <w:tab/>
      </w:r>
    </w:p>
    <w:p w:rsidR="00FA0D03" w:rsidRPr="00BA6A65" w:rsidRDefault="00FA0D03" w:rsidP="00FA0D03">
      <w:pPr>
        <w:pStyle w:val="naisf"/>
        <w:ind w:left="720" w:firstLine="0"/>
      </w:pPr>
      <w:r w:rsidRPr="00BA6A65">
        <w:t>Vīza: valsts sekretāre</w:t>
      </w:r>
      <w:r w:rsidRPr="00BA6A65">
        <w:tab/>
      </w:r>
      <w:r w:rsidRPr="00BA6A65">
        <w:tab/>
      </w:r>
      <w:r w:rsidRPr="00BA6A65">
        <w:tab/>
      </w:r>
      <w:r w:rsidRPr="00BA6A65">
        <w:tab/>
      </w:r>
      <w:r w:rsidR="00BA6A65">
        <w:t xml:space="preserve">      </w:t>
      </w:r>
      <w:r w:rsidRPr="00BA6A65">
        <w:t>I.Pētersone-</w:t>
      </w:r>
      <w:proofErr w:type="spellStart"/>
      <w:r w:rsidRPr="00BA6A65">
        <w:t>Godmane</w:t>
      </w:r>
      <w:proofErr w:type="spellEnd"/>
    </w:p>
    <w:p w:rsidR="00FA0D03" w:rsidRPr="004C08DF" w:rsidRDefault="00FA0D03" w:rsidP="00FA0D03">
      <w:pPr>
        <w:rPr>
          <w:sz w:val="28"/>
          <w:szCs w:val="28"/>
        </w:rPr>
      </w:pPr>
    </w:p>
    <w:p w:rsidR="00FA0D03" w:rsidRPr="004C08DF" w:rsidRDefault="00FA0D03" w:rsidP="00FA0D03">
      <w:pPr>
        <w:rPr>
          <w:sz w:val="28"/>
          <w:szCs w:val="28"/>
        </w:rPr>
      </w:pPr>
    </w:p>
    <w:p w:rsidR="00690581" w:rsidRDefault="00690581" w:rsidP="00FA0D03">
      <w:pPr>
        <w:rPr>
          <w:sz w:val="20"/>
          <w:szCs w:val="20"/>
        </w:rPr>
      </w:pPr>
    </w:p>
    <w:p w:rsidR="00690581" w:rsidRDefault="00690581" w:rsidP="00FA0D03">
      <w:pPr>
        <w:rPr>
          <w:sz w:val="20"/>
          <w:szCs w:val="20"/>
        </w:rPr>
      </w:pPr>
    </w:p>
    <w:p w:rsidR="00B95B5E" w:rsidRPr="00C37CB2" w:rsidRDefault="004A1045" w:rsidP="00B95B5E">
      <w:pPr>
        <w:suppressAutoHyphens/>
        <w:rPr>
          <w:bCs/>
          <w:spacing w:val="-1"/>
          <w:sz w:val="20"/>
          <w:szCs w:val="20"/>
          <w:lang w:eastAsia="ar-SA"/>
        </w:rPr>
      </w:pPr>
      <w:bookmarkStart w:id="0" w:name="_GoBack"/>
      <w:bookmarkEnd w:id="0"/>
      <w:r w:rsidRPr="00C37CB2">
        <w:rPr>
          <w:bCs/>
          <w:spacing w:val="-1"/>
          <w:sz w:val="20"/>
          <w:szCs w:val="20"/>
          <w:lang w:eastAsia="ar-SA"/>
        </w:rPr>
        <w:t>1</w:t>
      </w:r>
      <w:r w:rsidR="00F46664" w:rsidRPr="00C37CB2">
        <w:rPr>
          <w:bCs/>
          <w:spacing w:val="-1"/>
          <w:sz w:val="20"/>
          <w:szCs w:val="20"/>
          <w:lang w:eastAsia="ar-SA"/>
        </w:rPr>
        <w:t>3</w:t>
      </w:r>
      <w:r w:rsidR="00963B52" w:rsidRPr="00C37CB2">
        <w:rPr>
          <w:bCs/>
          <w:spacing w:val="-1"/>
          <w:sz w:val="20"/>
          <w:szCs w:val="20"/>
          <w:lang w:eastAsia="ar-SA"/>
        </w:rPr>
        <w:t>.0</w:t>
      </w:r>
      <w:r w:rsidR="00F46664" w:rsidRPr="00C37CB2">
        <w:rPr>
          <w:bCs/>
          <w:spacing w:val="-1"/>
          <w:sz w:val="20"/>
          <w:szCs w:val="20"/>
          <w:lang w:eastAsia="ar-SA"/>
        </w:rPr>
        <w:t>8</w:t>
      </w:r>
      <w:r w:rsidR="00B95B5E" w:rsidRPr="00C37CB2">
        <w:rPr>
          <w:bCs/>
          <w:spacing w:val="-1"/>
          <w:sz w:val="20"/>
          <w:szCs w:val="20"/>
          <w:lang w:eastAsia="ar-SA"/>
        </w:rPr>
        <w:t>.201</w:t>
      </w:r>
      <w:r w:rsidR="00E174C0" w:rsidRPr="00C37CB2">
        <w:rPr>
          <w:bCs/>
          <w:spacing w:val="-1"/>
          <w:sz w:val="20"/>
          <w:szCs w:val="20"/>
          <w:lang w:eastAsia="ar-SA"/>
        </w:rPr>
        <w:t>3</w:t>
      </w:r>
      <w:r w:rsidR="00CC2CB0" w:rsidRPr="00C37CB2">
        <w:rPr>
          <w:bCs/>
          <w:spacing w:val="-1"/>
          <w:sz w:val="20"/>
          <w:szCs w:val="20"/>
          <w:lang w:eastAsia="ar-SA"/>
        </w:rPr>
        <w:t>. 14:</w:t>
      </w:r>
      <w:r w:rsidR="00C37CB2" w:rsidRPr="00C37CB2">
        <w:rPr>
          <w:bCs/>
          <w:spacing w:val="-1"/>
          <w:sz w:val="20"/>
          <w:szCs w:val="20"/>
          <w:lang w:eastAsia="ar-SA"/>
        </w:rPr>
        <w:t>56</w:t>
      </w:r>
    </w:p>
    <w:p w:rsidR="00B95B5E" w:rsidRPr="00C37CB2" w:rsidRDefault="00B95B5E" w:rsidP="00B95B5E">
      <w:pPr>
        <w:suppressAutoHyphens/>
        <w:jc w:val="both"/>
        <w:rPr>
          <w:sz w:val="20"/>
          <w:szCs w:val="20"/>
          <w:lang w:eastAsia="ar-SA"/>
        </w:rPr>
      </w:pPr>
      <w:r w:rsidRPr="00C37CB2">
        <w:rPr>
          <w:sz w:val="20"/>
          <w:szCs w:val="20"/>
          <w:lang w:eastAsia="ar-SA"/>
        </w:rPr>
        <w:fldChar w:fldCharType="begin"/>
      </w:r>
      <w:r w:rsidRPr="00C37CB2">
        <w:rPr>
          <w:sz w:val="20"/>
          <w:szCs w:val="20"/>
          <w:lang w:eastAsia="ar-SA"/>
        </w:rPr>
        <w:instrText xml:space="preserve"> NUMWORDS   \* MERGEFORMAT </w:instrText>
      </w:r>
      <w:r w:rsidRPr="00C37CB2">
        <w:rPr>
          <w:sz w:val="20"/>
          <w:szCs w:val="20"/>
          <w:lang w:eastAsia="ar-SA"/>
        </w:rPr>
        <w:fldChar w:fldCharType="separate"/>
      </w:r>
      <w:r w:rsidR="00E71AA9" w:rsidRPr="00C37CB2">
        <w:rPr>
          <w:noProof/>
          <w:sz w:val="20"/>
          <w:szCs w:val="20"/>
          <w:lang w:eastAsia="ar-SA"/>
        </w:rPr>
        <w:t>14</w:t>
      </w:r>
      <w:r w:rsidR="00CC2CB0" w:rsidRPr="00C37CB2">
        <w:rPr>
          <w:noProof/>
          <w:sz w:val="20"/>
          <w:szCs w:val="20"/>
          <w:lang w:eastAsia="ar-SA"/>
        </w:rPr>
        <w:t>63</w:t>
      </w:r>
      <w:r w:rsidRPr="00C37CB2">
        <w:rPr>
          <w:sz w:val="20"/>
          <w:szCs w:val="20"/>
          <w:lang w:eastAsia="ar-SA"/>
        </w:rPr>
        <w:fldChar w:fldCharType="end"/>
      </w:r>
    </w:p>
    <w:p w:rsidR="00B95B5E" w:rsidRPr="00C37CB2" w:rsidRDefault="00B95B5E" w:rsidP="00B95B5E">
      <w:pPr>
        <w:suppressAutoHyphens/>
        <w:rPr>
          <w:sz w:val="20"/>
          <w:szCs w:val="20"/>
          <w:lang w:eastAsia="ar-SA"/>
        </w:rPr>
      </w:pPr>
      <w:r w:rsidRPr="00C37CB2">
        <w:rPr>
          <w:sz w:val="20"/>
          <w:szCs w:val="20"/>
          <w:lang w:eastAsia="ar-SA"/>
        </w:rPr>
        <w:t xml:space="preserve">I.Dzelme </w:t>
      </w:r>
      <w:r w:rsidRPr="00C37CB2">
        <w:rPr>
          <w:bCs/>
          <w:spacing w:val="-1"/>
          <w:sz w:val="20"/>
          <w:szCs w:val="20"/>
          <w:lang w:eastAsia="ar-SA"/>
        </w:rPr>
        <w:t>67219634</w:t>
      </w:r>
    </w:p>
    <w:p w:rsidR="00B95B5E" w:rsidRPr="00B95B5E" w:rsidRDefault="00B95B5E" w:rsidP="00B95B5E">
      <w:pPr>
        <w:suppressAutoHyphens/>
        <w:rPr>
          <w:bCs/>
          <w:spacing w:val="-1"/>
          <w:sz w:val="20"/>
          <w:szCs w:val="20"/>
          <w:lang w:eastAsia="ar-SA"/>
        </w:rPr>
      </w:pPr>
      <w:r w:rsidRPr="00C37CB2">
        <w:rPr>
          <w:bCs/>
          <w:spacing w:val="-1"/>
          <w:sz w:val="20"/>
          <w:szCs w:val="20"/>
          <w:lang w:eastAsia="ar-SA"/>
        </w:rPr>
        <w:t xml:space="preserve">e-pasts: </w:t>
      </w:r>
      <w:hyperlink r:id="rId8" w:history="1">
        <w:r w:rsidRPr="00C37CB2">
          <w:rPr>
            <w:color w:val="0000FF"/>
            <w:sz w:val="20"/>
            <w:szCs w:val="20"/>
            <w:lang w:eastAsia="ar-SA"/>
          </w:rPr>
          <w:t>inita.dzelme@vp.gov.lv</w:t>
        </w:r>
      </w:hyperlink>
    </w:p>
    <w:p w:rsidR="00122D00" w:rsidRDefault="00122D00" w:rsidP="00B95B5E">
      <w:pPr>
        <w:rPr>
          <w:iCs/>
          <w:sz w:val="26"/>
          <w:szCs w:val="26"/>
        </w:rPr>
      </w:pPr>
    </w:p>
    <w:sectPr w:rsidR="00122D00" w:rsidSect="006A284D">
      <w:headerReference w:type="even" r:id="rId9"/>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95" w:rsidRDefault="008D0595">
      <w:r>
        <w:separator/>
      </w:r>
    </w:p>
  </w:endnote>
  <w:endnote w:type="continuationSeparator" w:id="0">
    <w:p w:rsidR="008D0595" w:rsidRDefault="008D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5" w:rsidRPr="00E17ED9" w:rsidRDefault="00EB6E75" w:rsidP="00E17ED9">
    <w:pPr>
      <w:ind w:right="-6"/>
      <w:jc w:val="both"/>
      <w:rPr>
        <w:sz w:val="20"/>
        <w:szCs w:val="20"/>
      </w:rPr>
    </w:pPr>
    <w:r w:rsidRPr="00E45999">
      <w:rPr>
        <w:sz w:val="20"/>
        <w:szCs w:val="20"/>
      </w:rPr>
      <w:t>IEMAnot_</w:t>
    </w:r>
    <w:r w:rsidR="004A1045" w:rsidRPr="00E45999">
      <w:rPr>
        <w:sz w:val="20"/>
        <w:szCs w:val="20"/>
      </w:rPr>
      <w:t>1</w:t>
    </w:r>
    <w:r w:rsidR="00E45999" w:rsidRPr="00E45999">
      <w:rPr>
        <w:sz w:val="20"/>
        <w:szCs w:val="20"/>
      </w:rPr>
      <w:t>308</w:t>
    </w:r>
    <w:r w:rsidRPr="00E45999">
      <w:rPr>
        <w:sz w:val="20"/>
        <w:szCs w:val="20"/>
      </w:rPr>
      <w:t>13_</w:t>
    </w:r>
    <w:r w:rsidR="00516D25" w:rsidRPr="00E45999">
      <w:rPr>
        <w:sz w:val="20"/>
        <w:szCs w:val="20"/>
      </w:rPr>
      <w:t>euro</w:t>
    </w:r>
    <w:r w:rsidR="00516D25">
      <w:rPr>
        <w:sz w:val="20"/>
        <w:szCs w:val="20"/>
      </w:rPr>
      <w:t>.mak</w:t>
    </w:r>
    <w:r w:rsidR="00A2472A">
      <w:rPr>
        <w:sz w:val="20"/>
        <w:szCs w:val="20"/>
      </w:rPr>
      <w:t>s</w:t>
    </w:r>
    <w:r w:rsidR="00516D25">
      <w:rPr>
        <w:sz w:val="20"/>
        <w:szCs w:val="20"/>
      </w:rPr>
      <w:t>as.pak.</w:t>
    </w:r>
    <w:r w:rsidRPr="00E17ED9">
      <w:rPr>
        <w:sz w:val="20"/>
        <w:szCs w:val="20"/>
      </w:rPr>
      <w:t xml:space="preserve">; Ministru kabineta noteikumu </w:t>
    </w:r>
    <w:r w:rsidRPr="00E14437">
      <w:rPr>
        <w:sz w:val="20"/>
        <w:szCs w:val="20"/>
      </w:rPr>
      <w:t>projekta „</w:t>
    </w:r>
    <w:r w:rsidR="00B95B5E" w:rsidRPr="00B95B5E">
      <w:rPr>
        <w:bCs/>
        <w:sz w:val="20"/>
        <w:szCs w:val="20"/>
      </w:rPr>
      <w:t>Valsts policijas koledžas sniegto maksas pakalpojumu cenrādi</w:t>
    </w:r>
    <w:r w:rsidR="008605E0">
      <w:rPr>
        <w:bCs/>
        <w:sz w:val="20"/>
        <w:szCs w:val="20"/>
      </w:rPr>
      <w:t>s</w:t>
    </w:r>
    <w:r w:rsidR="00B95B5E" w:rsidRPr="00B95B5E">
      <w:rPr>
        <w:rStyle w:val="Izteiksmgs"/>
        <w:b w:val="0"/>
        <w:color w:val="000000"/>
        <w:sz w:val="20"/>
        <w:szCs w:val="20"/>
      </w:rPr>
      <w:t>”</w:t>
    </w:r>
    <w:r w:rsidRPr="00E17ED9">
      <w:rPr>
        <w:sz w:val="20"/>
        <w:szCs w:val="20"/>
      </w:rPr>
      <w:t xml:space="preserve"> </w:t>
    </w:r>
    <w:r w:rsidRPr="00E17ED9">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E17ED9">
        <w:rPr>
          <w:bCs/>
          <w:sz w:val="20"/>
          <w:szCs w:val="20"/>
        </w:rPr>
        <w:t>ziņojums</w:t>
      </w:r>
    </w:smartTag>
    <w:r w:rsidRPr="00E17ED9">
      <w:rPr>
        <w:bCs/>
        <w:sz w:val="20"/>
        <w:szCs w:val="20"/>
      </w:rPr>
      <w:t xml:space="preserve"> (anotācija)</w:t>
    </w:r>
  </w:p>
  <w:p w:rsidR="00EB6E75" w:rsidRPr="00E17ED9" w:rsidRDefault="00EB6E75" w:rsidP="00E17E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5" w:rsidRPr="00E17ED9" w:rsidRDefault="00EB6E75" w:rsidP="00E17ED9">
    <w:pPr>
      <w:ind w:right="-6"/>
      <w:jc w:val="both"/>
      <w:rPr>
        <w:sz w:val="20"/>
        <w:szCs w:val="20"/>
      </w:rPr>
    </w:pPr>
    <w:r w:rsidRPr="00E45999">
      <w:rPr>
        <w:sz w:val="20"/>
        <w:szCs w:val="20"/>
      </w:rPr>
      <w:t>I</w:t>
    </w:r>
    <w:r w:rsidR="00516D25" w:rsidRPr="00E45999">
      <w:rPr>
        <w:sz w:val="20"/>
        <w:szCs w:val="20"/>
      </w:rPr>
      <w:t>EMAnot_</w:t>
    </w:r>
    <w:r w:rsidR="004A1045" w:rsidRPr="00E45999">
      <w:rPr>
        <w:sz w:val="20"/>
        <w:szCs w:val="20"/>
      </w:rPr>
      <w:t>1</w:t>
    </w:r>
    <w:r w:rsidR="00E45999" w:rsidRPr="00E45999">
      <w:rPr>
        <w:sz w:val="20"/>
        <w:szCs w:val="20"/>
      </w:rPr>
      <w:t>308</w:t>
    </w:r>
    <w:r w:rsidRPr="00E45999">
      <w:rPr>
        <w:sz w:val="20"/>
        <w:szCs w:val="20"/>
      </w:rPr>
      <w:t>13_</w:t>
    </w:r>
    <w:r>
      <w:rPr>
        <w:sz w:val="20"/>
        <w:szCs w:val="20"/>
      </w:rPr>
      <w:t>euro</w:t>
    </w:r>
    <w:r w:rsidR="00E12603">
      <w:rPr>
        <w:sz w:val="20"/>
        <w:szCs w:val="20"/>
      </w:rPr>
      <w:t>.mak</w:t>
    </w:r>
    <w:r w:rsidR="00A2472A">
      <w:rPr>
        <w:sz w:val="20"/>
        <w:szCs w:val="20"/>
      </w:rPr>
      <w:t>s</w:t>
    </w:r>
    <w:r w:rsidR="00E12603">
      <w:rPr>
        <w:sz w:val="20"/>
        <w:szCs w:val="20"/>
      </w:rPr>
      <w:t>as.pak.</w:t>
    </w:r>
    <w:r w:rsidRPr="00E17ED9">
      <w:rPr>
        <w:sz w:val="20"/>
        <w:szCs w:val="20"/>
      </w:rPr>
      <w:t xml:space="preserve">; Ministru kabineta noteikumu projekta </w:t>
    </w:r>
    <w:r w:rsidRPr="00E14437">
      <w:rPr>
        <w:sz w:val="20"/>
        <w:szCs w:val="20"/>
      </w:rPr>
      <w:t>„</w:t>
    </w:r>
    <w:r w:rsidR="00B95B5E" w:rsidRPr="00B95B5E">
      <w:rPr>
        <w:bCs/>
        <w:sz w:val="20"/>
        <w:szCs w:val="20"/>
      </w:rPr>
      <w:t>Valsts policijas koledžas sniegto maksas pakalpojumu cenrādi</w:t>
    </w:r>
    <w:r w:rsidR="008605E0">
      <w:rPr>
        <w:bCs/>
        <w:sz w:val="20"/>
        <w:szCs w:val="20"/>
      </w:rPr>
      <w:t>s</w:t>
    </w:r>
    <w:r w:rsidR="00B95B5E" w:rsidRPr="00B95B5E">
      <w:rPr>
        <w:rStyle w:val="Izteiksmgs"/>
        <w:b w:val="0"/>
        <w:color w:val="000000"/>
        <w:sz w:val="20"/>
        <w:szCs w:val="20"/>
      </w:rPr>
      <w:t>”</w:t>
    </w:r>
    <w:r w:rsidRPr="00E17ED9">
      <w:rPr>
        <w:sz w:val="20"/>
        <w:szCs w:val="20"/>
      </w:rPr>
      <w:t xml:space="preserve"> </w:t>
    </w:r>
    <w:r w:rsidRPr="00E17ED9">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E17ED9">
        <w:rPr>
          <w:bCs/>
          <w:sz w:val="20"/>
          <w:szCs w:val="20"/>
        </w:rPr>
        <w:t>ziņojums</w:t>
      </w:r>
    </w:smartTag>
    <w:r w:rsidRPr="00E17ED9">
      <w:rPr>
        <w:bCs/>
        <w:sz w:val="20"/>
        <w:szCs w:val="20"/>
      </w:rPr>
      <w:t xml:space="preserve"> (anotācija)</w:t>
    </w:r>
  </w:p>
  <w:p w:rsidR="00EB6E75" w:rsidRPr="00E17ED9" w:rsidRDefault="00EB6E75" w:rsidP="00E17ED9">
    <w:pPr>
      <w:widowControl w:val="0"/>
      <w:autoSpaceDE w:val="0"/>
      <w:autoSpaceDN w:val="0"/>
      <w:adjustRightInd w:val="0"/>
      <w:jc w:val="both"/>
      <w:rPr>
        <w:bCs/>
        <w:sz w:val="20"/>
        <w:szCs w:val="20"/>
      </w:rPr>
    </w:pPr>
  </w:p>
  <w:p w:rsidR="00EB6E75" w:rsidRPr="00A3357D" w:rsidRDefault="00EB6E75">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95" w:rsidRDefault="008D0595">
      <w:r>
        <w:separator/>
      </w:r>
    </w:p>
  </w:footnote>
  <w:footnote w:type="continuationSeparator" w:id="0">
    <w:p w:rsidR="008D0595" w:rsidRDefault="008D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5" w:rsidRDefault="00EB6E75" w:rsidP="00B140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B6E75" w:rsidRDefault="00EB6E7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E75" w:rsidRDefault="00EB6E75" w:rsidP="00B140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37CB2">
      <w:rPr>
        <w:rStyle w:val="Lappusesnumurs"/>
        <w:noProof/>
      </w:rPr>
      <w:t>6</w:t>
    </w:r>
    <w:r>
      <w:rPr>
        <w:rStyle w:val="Lappusesnumurs"/>
      </w:rPr>
      <w:fldChar w:fldCharType="end"/>
    </w:r>
  </w:p>
  <w:p w:rsidR="00EB6E75" w:rsidRDefault="00EB6E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16D"/>
    <w:multiLevelType w:val="multilevel"/>
    <w:tmpl w:val="ED80C886"/>
    <w:styleLink w:val="Style2"/>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AE867CA"/>
    <w:multiLevelType w:val="hybridMultilevel"/>
    <w:tmpl w:val="72B4C43C"/>
    <w:lvl w:ilvl="0" w:tplc="0B4A6AE2">
      <w:start w:val="1"/>
      <w:numFmt w:val="decimal"/>
      <w:lvlText w:val="%1)"/>
      <w:lvlJc w:val="left"/>
      <w:pPr>
        <w:tabs>
          <w:tab w:val="num" w:pos="1080"/>
        </w:tabs>
        <w:ind w:left="1080" w:hanging="360"/>
      </w:pPr>
    </w:lvl>
    <w:lvl w:ilvl="1" w:tplc="B9EE6022">
      <w:start w:val="1"/>
      <w:numFmt w:val="decimal"/>
      <w:lvlText w:val="%2."/>
      <w:lvlJc w:val="left"/>
      <w:pPr>
        <w:tabs>
          <w:tab w:val="num" w:pos="2235"/>
        </w:tabs>
        <w:ind w:left="2235" w:hanging="795"/>
      </w:pPr>
      <w:rPr>
        <w:strike w:val="0"/>
        <w:dstrike w:val="0"/>
        <w:color w:val="auto"/>
        <w:u w:val="none"/>
        <w:effect w:val="none"/>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3E826CB"/>
    <w:multiLevelType w:val="multilevel"/>
    <w:tmpl w:val="011A9C34"/>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32C20422"/>
    <w:multiLevelType w:val="hybridMultilevel"/>
    <w:tmpl w:val="DBE8EC38"/>
    <w:lvl w:ilvl="0" w:tplc="D53E2280">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4">
    <w:nsid w:val="52AD72E2"/>
    <w:multiLevelType w:val="hybridMultilevel"/>
    <w:tmpl w:val="7E90F65C"/>
    <w:lvl w:ilvl="0" w:tplc="3070975E">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30"/>
    <w:rsid w:val="00007191"/>
    <w:rsid w:val="00032918"/>
    <w:rsid w:val="00032D77"/>
    <w:rsid w:val="00035E74"/>
    <w:rsid w:val="00080852"/>
    <w:rsid w:val="00083345"/>
    <w:rsid w:val="00084F61"/>
    <w:rsid w:val="000902B2"/>
    <w:rsid w:val="00095D60"/>
    <w:rsid w:val="00097C1A"/>
    <w:rsid w:val="000B229F"/>
    <w:rsid w:val="000B579F"/>
    <w:rsid w:val="000C2E4A"/>
    <w:rsid w:val="00100D4F"/>
    <w:rsid w:val="00101951"/>
    <w:rsid w:val="0012063E"/>
    <w:rsid w:val="0012172F"/>
    <w:rsid w:val="00122B81"/>
    <w:rsid w:val="00122D00"/>
    <w:rsid w:val="001404FB"/>
    <w:rsid w:val="00146105"/>
    <w:rsid w:val="001621FB"/>
    <w:rsid w:val="00165A42"/>
    <w:rsid w:val="00174873"/>
    <w:rsid w:val="001769B9"/>
    <w:rsid w:val="00194A3F"/>
    <w:rsid w:val="001A19CE"/>
    <w:rsid w:val="001A2EF5"/>
    <w:rsid w:val="001A533F"/>
    <w:rsid w:val="001A564A"/>
    <w:rsid w:val="001A5656"/>
    <w:rsid w:val="001D5BA8"/>
    <w:rsid w:val="001F4905"/>
    <w:rsid w:val="00226155"/>
    <w:rsid w:val="00230180"/>
    <w:rsid w:val="00234BF6"/>
    <w:rsid w:val="00244C90"/>
    <w:rsid w:val="00251E75"/>
    <w:rsid w:val="0025330F"/>
    <w:rsid w:val="00255CF5"/>
    <w:rsid w:val="00272A03"/>
    <w:rsid w:val="002801CC"/>
    <w:rsid w:val="00284D12"/>
    <w:rsid w:val="002903B6"/>
    <w:rsid w:val="002A5BB9"/>
    <w:rsid w:val="002B23E7"/>
    <w:rsid w:val="002B503E"/>
    <w:rsid w:val="002C0159"/>
    <w:rsid w:val="002C1CD7"/>
    <w:rsid w:val="002C2C6F"/>
    <w:rsid w:val="002C5588"/>
    <w:rsid w:val="002D00FA"/>
    <w:rsid w:val="002D0745"/>
    <w:rsid w:val="002D38AD"/>
    <w:rsid w:val="002E05F8"/>
    <w:rsid w:val="002E1ECD"/>
    <w:rsid w:val="0030555D"/>
    <w:rsid w:val="00305FF9"/>
    <w:rsid w:val="0031283A"/>
    <w:rsid w:val="00314DF5"/>
    <w:rsid w:val="003253C0"/>
    <w:rsid w:val="003306C3"/>
    <w:rsid w:val="00333817"/>
    <w:rsid w:val="00333C93"/>
    <w:rsid w:val="00336ACD"/>
    <w:rsid w:val="0034665E"/>
    <w:rsid w:val="00356E84"/>
    <w:rsid w:val="003643B9"/>
    <w:rsid w:val="00367712"/>
    <w:rsid w:val="00367C03"/>
    <w:rsid w:val="0037293F"/>
    <w:rsid w:val="0037589B"/>
    <w:rsid w:val="00375E40"/>
    <w:rsid w:val="00380D4B"/>
    <w:rsid w:val="00381497"/>
    <w:rsid w:val="003815CE"/>
    <w:rsid w:val="00382BAB"/>
    <w:rsid w:val="00383CD2"/>
    <w:rsid w:val="00396D7B"/>
    <w:rsid w:val="003A1C23"/>
    <w:rsid w:val="003A6D87"/>
    <w:rsid w:val="003B0208"/>
    <w:rsid w:val="003B312E"/>
    <w:rsid w:val="003B3F32"/>
    <w:rsid w:val="003D2888"/>
    <w:rsid w:val="003D47FF"/>
    <w:rsid w:val="003D54B1"/>
    <w:rsid w:val="003D5FB3"/>
    <w:rsid w:val="003D61FA"/>
    <w:rsid w:val="003E4B14"/>
    <w:rsid w:val="00405B9B"/>
    <w:rsid w:val="00410093"/>
    <w:rsid w:val="0041099A"/>
    <w:rsid w:val="00417EC2"/>
    <w:rsid w:val="00425903"/>
    <w:rsid w:val="00432FF8"/>
    <w:rsid w:val="00435C90"/>
    <w:rsid w:val="00437453"/>
    <w:rsid w:val="00447F24"/>
    <w:rsid w:val="004529F9"/>
    <w:rsid w:val="0045385C"/>
    <w:rsid w:val="00453B53"/>
    <w:rsid w:val="0045604D"/>
    <w:rsid w:val="00457B39"/>
    <w:rsid w:val="004675D4"/>
    <w:rsid w:val="004710A9"/>
    <w:rsid w:val="0048079D"/>
    <w:rsid w:val="004967F3"/>
    <w:rsid w:val="004A1045"/>
    <w:rsid w:val="004A699E"/>
    <w:rsid w:val="004C08DF"/>
    <w:rsid w:val="004C0BC2"/>
    <w:rsid w:val="004C1401"/>
    <w:rsid w:val="004C51E4"/>
    <w:rsid w:val="004D2857"/>
    <w:rsid w:val="004F3FAA"/>
    <w:rsid w:val="004F7526"/>
    <w:rsid w:val="005016F4"/>
    <w:rsid w:val="005077D4"/>
    <w:rsid w:val="005079FA"/>
    <w:rsid w:val="005110FE"/>
    <w:rsid w:val="00515470"/>
    <w:rsid w:val="00515763"/>
    <w:rsid w:val="00516D25"/>
    <w:rsid w:val="005214D3"/>
    <w:rsid w:val="00526A32"/>
    <w:rsid w:val="00536D1B"/>
    <w:rsid w:val="00541303"/>
    <w:rsid w:val="0054595C"/>
    <w:rsid w:val="00550FA2"/>
    <w:rsid w:val="00552D63"/>
    <w:rsid w:val="0057223F"/>
    <w:rsid w:val="005735FC"/>
    <w:rsid w:val="0057747F"/>
    <w:rsid w:val="005818C0"/>
    <w:rsid w:val="00582140"/>
    <w:rsid w:val="00582D27"/>
    <w:rsid w:val="00586988"/>
    <w:rsid w:val="005969DE"/>
    <w:rsid w:val="005A6A28"/>
    <w:rsid w:val="005B3503"/>
    <w:rsid w:val="005B3660"/>
    <w:rsid w:val="005B4759"/>
    <w:rsid w:val="005B5106"/>
    <w:rsid w:val="005B7A38"/>
    <w:rsid w:val="005C3E5F"/>
    <w:rsid w:val="005D086F"/>
    <w:rsid w:val="006258C5"/>
    <w:rsid w:val="00630CE7"/>
    <w:rsid w:val="006336FA"/>
    <w:rsid w:val="00645311"/>
    <w:rsid w:val="00650977"/>
    <w:rsid w:val="00652CF8"/>
    <w:rsid w:val="006540E7"/>
    <w:rsid w:val="00654A2C"/>
    <w:rsid w:val="00655BB0"/>
    <w:rsid w:val="006723E9"/>
    <w:rsid w:val="00690581"/>
    <w:rsid w:val="00696434"/>
    <w:rsid w:val="006965A9"/>
    <w:rsid w:val="006A284D"/>
    <w:rsid w:val="006A2DF3"/>
    <w:rsid w:val="006A2FFB"/>
    <w:rsid w:val="006A35DC"/>
    <w:rsid w:val="006A408B"/>
    <w:rsid w:val="006C7CEA"/>
    <w:rsid w:val="006D092B"/>
    <w:rsid w:val="006E1B70"/>
    <w:rsid w:val="006E43ED"/>
    <w:rsid w:val="006F78E8"/>
    <w:rsid w:val="00710C45"/>
    <w:rsid w:val="00726D12"/>
    <w:rsid w:val="00732CBE"/>
    <w:rsid w:val="0074193B"/>
    <w:rsid w:val="00743B76"/>
    <w:rsid w:val="00746139"/>
    <w:rsid w:val="007461AF"/>
    <w:rsid w:val="00747171"/>
    <w:rsid w:val="00750471"/>
    <w:rsid w:val="00750CE4"/>
    <w:rsid w:val="00765514"/>
    <w:rsid w:val="00766DC8"/>
    <w:rsid w:val="007846B3"/>
    <w:rsid w:val="0079057B"/>
    <w:rsid w:val="007A25B0"/>
    <w:rsid w:val="007A7628"/>
    <w:rsid w:val="007C74E9"/>
    <w:rsid w:val="007F1B4E"/>
    <w:rsid w:val="007F3E31"/>
    <w:rsid w:val="007F72F3"/>
    <w:rsid w:val="00813FFF"/>
    <w:rsid w:val="008168D7"/>
    <w:rsid w:val="008301BF"/>
    <w:rsid w:val="00830510"/>
    <w:rsid w:val="00830C32"/>
    <w:rsid w:val="0083637A"/>
    <w:rsid w:val="00851365"/>
    <w:rsid w:val="008605E0"/>
    <w:rsid w:val="00864880"/>
    <w:rsid w:val="008651ED"/>
    <w:rsid w:val="00867A3F"/>
    <w:rsid w:val="00870720"/>
    <w:rsid w:val="00873F8F"/>
    <w:rsid w:val="00875CF6"/>
    <w:rsid w:val="00890F90"/>
    <w:rsid w:val="008966FE"/>
    <w:rsid w:val="008A16B2"/>
    <w:rsid w:val="008A2D13"/>
    <w:rsid w:val="008A69DF"/>
    <w:rsid w:val="008B6E0B"/>
    <w:rsid w:val="008D0595"/>
    <w:rsid w:val="008D0F0C"/>
    <w:rsid w:val="008E1F9E"/>
    <w:rsid w:val="008F0649"/>
    <w:rsid w:val="008F255B"/>
    <w:rsid w:val="008F3E10"/>
    <w:rsid w:val="00906136"/>
    <w:rsid w:val="009138E0"/>
    <w:rsid w:val="00923800"/>
    <w:rsid w:val="009248C6"/>
    <w:rsid w:val="009250C9"/>
    <w:rsid w:val="00927AFD"/>
    <w:rsid w:val="00927DCE"/>
    <w:rsid w:val="00940D44"/>
    <w:rsid w:val="00956401"/>
    <w:rsid w:val="00957AF8"/>
    <w:rsid w:val="00960C8B"/>
    <w:rsid w:val="00963B52"/>
    <w:rsid w:val="00975250"/>
    <w:rsid w:val="0098012E"/>
    <w:rsid w:val="009818B3"/>
    <w:rsid w:val="009868F3"/>
    <w:rsid w:val="00993833"/>
    <w:rsid w:val="00994B05"/>
    <w:rsid w:val="0099517C"/>
    <w:rsid w:val="009A3A0D"/>
    <w:rsid w:val="009C61E5"/>
    <w:rsid w:val="009E1B04"/>
    <w:rsid w:val="009E2EE7"/>
    <w:rsid w:val="009E45D3"/>
    <w:rsid w:val="009F0317"/>
    <w:rsid w:val="00A07C63"/>
    <w:rsid w:val="00A2018B"/>
    <w:rsid w:val="00A2472A"/>
    <w:rsid w:val="00A32B4C"/>
    <w:rsid w:val="00A3357D"/>
    <w:rsid w:val="00A3367D"/>
    <w:rsid w:val="00A4549E"/>
    <w:rsid w:val="00A475B2"/>
    <w:rsid w:val="00A5068F"/>
    <w:rsid w:val="00A50DE4"/>
    <w:rsid w:val="00A54AB4"/>
    <w:rsid w:val="00A61AD6"/>
    <w:rsid w:val="00A641F4"/>
    <w:rsid w:val="00A64862"/>
    <w:rsid w:val="00A65583"/>
    <w:rsid w:val="00A65627"/>
    <w:rsid w:val="00A77A9F"/>
    <w:rsid w:val="00A809FE"/>
    <w:rsid w:val="00A83B90"/>
    <w:rsid w:val="00A84E3A"/>
    <w:rsid w:val="00A92FC1"/>
    <w:rsid w:val="00A97632"/>
    <w:rsid w:val="00AB07EE"/>
    <w:rsid w:val="00AC2354"/>
    <w:rsid w:val="00AC266F"/>
    <w:rsid w:val="00AC340F"/>
    <w:rsid w:val="00AC5203"/>
    <w:rsid w:val="00AD63D9"/>
    <w:rsid w:val="00AE540C"/>
    <w:rsid w:val="00B02E4D"/>
    <w:rsid w:val="00B104E5"/>
    <w:rsid w:val="00B1091B"/>
    <w:rsid w:val="00B125CA"/>
    <w:rsid w:val="00B14030"/>
    <w:rsid w:val="00B15271"/>
    <w:rsid w:val="00B22680"/>
    <w:rsid w:val="00B24BEE"/>
    <w:rsid w:val="00B26DDE"/>
    <w:rsid w:val="00B273FC"/>
    <w:rsid w:val="00B32024"/>
    <w:rsid w:val="00B44BED"/>
    <w:rsid w:val="00B568C5"/>
    <w:rsid w:val="00B57B01"/>
    <w:rsid w:val="00B62BF7"/>
    <w:rsid w:val="00B6706E"/>
    <w:rsid w:val="00B903E5"/>
    <w:rsid w:val="00B95B5E"/>
    <w:rsid w:val="00B9643B"/>
    <w:rsid w:val="00BA6A65"/>
    <w:rsid w:val="00BC2C71"/>
    <w:rsid w:val="00BC4920"/>
    <w:rsid w:val="00BC7895"/>
    <w:rsid w:val="00BD0073"/>
    <w:rsid w:val="00BD2DAE"/>
    <w:rsid w:val="00BE7CA1"/>
    <w:rsid w:val="00BF5639"/>
    <w:rsid w:val="00BF582A"/>
    <w:rsid w:val="00C06926"/>
    <w:rsid w:val="00C0760E"/>
    <w:rsid w:val="00C15183"/>
    <w:rsid w:val="00C216EC"/>
    <w:rsid w:val="00C278AB"/>
    <w:rsid w:val="00C27AF2"/>
    <w:rsid w:val="00C33113"/>
    <w:rsid w:val="00C373F6"/>
    <w:rsid w:val="00C37CB2"/>
    <w:rsid w:val="00C50F45"/>
    <w:rsid w:val="00C540C4"/>
    <w:rsid w:val="00C54A51"/>
    <w:rsid w:val="00C56BE0"/>
    <w:rsid w:val="00C61D63"/>
    <w:rsid w:val="00C6375A"/>
    <w:rsid w:val="00C7636F"/>
    <w:rsid w:val="00C93DA9"/>
    <w:rsid w:val="00C96186"/>
    <w:rsid w:val="00CA0C26"/>
    <w:rsid w:val="00CA1C1E"/>
    <w:rsid w:val="00CB2158"/>
    <w:rsid w:val="00CC2CB0"/>
    <w:rsid w:val="00CC439D"/>
    <w:rsid w:val="00CC7956"/>
    <w:rsid w:val="00CE1901"/>
    <w:rsid w:val="00CE2707"/>
    <w:rsid w:val="00CE48B4"/>
    <w:rsid w:val="00CF6192"/>
    <w:rsid w:val="00CF6561"/>
    <w:rsid w:val="00CF7413"/>
    <w:rsid w:val="00D020B7"/>
    <w:rsid w:val="00D07164"/>
    <w:rsid w:val="00D1761E"/>
    <w:rsid w:val="00D25CF9"/>
    <w:rsid w:val="00D33B15"/>
    <w:rsid w:val="00D41E19"/>
    <w:rsid w:val="00D5389E"/>
    <w:rsid w:val="00D65E9E"/>
    <w:rsid w:val="00D65EE6"/>
    <w:rsid w:val="00D67F05"/>
    <w:rsid w:val="00D7564D"/>
    <w:rsid w:val="00DA7812"/>
    <w:rsid w:val="00DC32E0"/>
    <w:rsid w:val="00DD2F19"/>
    <w:rsid w:val="00DE036E"/>
    <w:rsid w:val="00DF14D2"/>
    <w:rsid w:val="00E12603"/>
    <w:rsid w:val="00E14437"/>
    <w:rsid w:val="00E174C0"/>
    <w:rsid w:val="00E17ED9"/>
    <w:rsid w:val="00E22C20"/>
    <w:rsid w:val="00E25508"/>
    <w:rsid w:val="00E26BCF"/>
    <w:rsid w:val="00E43C14"/>
    <w:rsid w:val="00E45999"/>
    <w:rsid w:val="00E71AA9"/>
    <w:rsid w:val="00E73290"/>
    <w:rsid w:val="00E800FE"/>
    <w:rsid w:val="00E83243"/>
    <w:rsid w:val="00E83FF1"/>
    <w:rsid w:val="00E85BCD"/>
    <w:rsid w:val="00E90126"/>
    <w:rsid w:val="00E93CBA"/>
    <w:rsid w:val="00E95478"/>
    <w:rsid w:val="00E95578"/>
    <w:rsid w:val="00EA337C"/>
    <w:rsid w:val="00EB172E"/>
    <w:rsid w:val="00EB2F00"/>
    <w:rsid w:val="00EB469F"/>
    <w:rsid w:val="00EB6E75"/>
    <w:rsid w:val="00EB7DB1"/>
    <w:rsid w:val="00EC33EB"/>
    <w:rsid w:val="00ED2BA3"/>
    <w:rsid w:val="00ED550C"/>
    <w:rsid w:val="00EE34BC"/>
    <w:rsid w:val="00EF5581"/>
    <w:rsid w:val="00EF792F"/>
    <w:rsid w:val="00F066FF"/>
    <w:rsid w:val="00F30041"/>
    <w:rsid w:val="00F37DEE"/>
    <w:rsid w:val="00F44242"/>
    <w:rsid w:val="00F4551B"/>
    <w:rsid w:val="00F46664"/>
    <w:rsid w:val="00F50608"/>
    <w:rsid w:val="00F53CA1"/>
    <w:rsid w:val="00F6068F"/>
    <w:rsid w:val="00F73666"/>
    <w:rsid w:val="00F75C16"/>
    <w:rsid w:val="00F84908"/>
    <w:rsid w:val="00F91316"/>
    <w:rsid w:val="00F923DA"/>
    <w:rsid w:val="00FA0D03"/>
    <w:rsid w:val="00FA2037"/>
    <w:rsid w:val="00FA2DBD"/>
    <w:rsid w:val="00FD372F"/>
    <w:rsid w:val="00FE42E9"/>
    <w:rsid w:val="00FE4673"/>
    <w:rsid w:val="00FF13FD"/>
    <w:rsid w:val="00FF3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14030"/>
    <w:rPr>
      <w:sz w:val="24"/>
      <w:szCs w:val="24"/>
    </w:rPr>
  </w:style>
  <w:style w:type="paragraph" w:styleId="Virsraksts1">
    <w:name w:val="heading 1"/>
    <w:basedOn w:val="Parasts"/>
    <w:next w:val="Parasts"/>
    <w:link w:val="Virsraksts1Rakstz"/>
    <w:qFormat/>
    <w:rsid w:val="00C0760E"/>
    <w:pPr>
      <w:keepNext/>
      <w:keepLines/>
      <w:spacing w:before="480" w:line="276" w:lineRule="auto"/>
      <w:outlineLvl w:val="0"/>
    </w:pPr>
    <w:rPr>
      <w:rFonts w:ascii="Cambria" w:eastAsia="Calibri" w:hAnsi="Cambria"/>
      <w:b/>
      <w:bCs/>
      <w:color w:val="365F91"/>
      <w:sz w:val="28"/>
      <w:szCs w:val="28"/>
    </w:rPr>
  </w:style>
  <w:style w:type="paragraph" w:styleId="Virsraksts2">
    <w:name w:val="heading 2"/>
    <w:basedOn w:val="Parasts"/>
    <w:next w:val="Parasts"/>
    <w:link w:val="Virsraksts2Rakstz"/>
    <w:qFormat/>
    <w:rsid w:val="00C0760E"/>
    <w:pPr>
      <w:keepNext/>
      <w:keepLines/>
      <w:spacing w:before="200" w:line="276" w:lineRule="auto"/>
      <w:outlineLvl w:val="1"/>
    </w:pPr>
    <w:rPr>
      <w:rFonts w:ascii="Cambria" w:eastAsia="Calibri" w:hAnsi="Cambria"/>
      <w:b/>
      <w:bCs/>
      <w:color w:val="4F81BD"/>
      <w:sz w:val="26"/>
      <w:szCs w:val="26"/>
    </w:rPr>
  </w:style>
  <w:style w:type="paragraph" w:styleId="Virsraksts3">
    <w:name w:val="heading 3"/>
    <w:basedOn w:val="Parasts"/>
    <w:next w:val="Parasts"/>
    <w:link w:val="Virsraksts3Rakstz"/>
    <w:qFormat/>
    <w:rsid w:val="00C0760E"/>
    <w:pPr>
      <w:keepNext/>
      <w:spacing w:before="240" w:after="60" w:line="276" w:lineRule="auto"/>
      <w:outlineLvl w:val="2"/>
    </w:pPr>
    <w:rPr>
      <w:rFonts w:ascii="Cambria" w:eastAsia="Calibri" w:hAnsi="Cambria"/>
      <w:b/>
      <w:bCs/>
      <w:sz w:val="26"/>
      <w:szCs w:val="26"/>
      <w:lang w:eastAsia="en-US"/>
    </w:rPr>
  </w:style>
  <w:style w:type="paragraph" w:styleId="Virsraksts4">
    <w:name w:val="heading 4"/>
    <w:basedOn w:val="Parasts"/>
    <w:next w:val="Parasts"/>
    <w:link w:val="Virsraksts4Rakstz"/>
    <w:qFormat/>
    <w:rsid w:val="00C0760E"/>
    <w:pPr>
      <w:keepNext/>
      <w:spacing w:before="240" w:after="60" w:line="276" w:lineRule="auto"/>
      <w:outlineLvl w:val="3"/>
    </w:pPr>
    <w:rPr>
      <w:rFonts w:ascii="Calibri" w:eastAsia="Calibri" w:hAnsi="Calibri"/>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4030"/>
    <w:rPr>
      <w:color w:val="0000FF"/>
      <w:u w:val="single"/>
    </w:rPr>
  </w:style>
  <w:style w:type="character" w:styleId="Izmantotahipersaite">
    <w:name w:val="FollowedHyperlink"/>
    <w:rsid w:val="00B14030"/>
    <w:rPr>
      <w:color w:val="800080"/>
      <w:u w:val="single"/>
    </w:rPr>
  </w:style>
  <w:style w:type="paragraph" w:styleId="Paraststmeklis">
    <w:name w:val="Normal (Web)"/>
    <w:basedOn w:val="Parasts"/>
    <w:rsid w:val="00B14030"/>
    <w:pPr>
      <w:spacing w:before="100" w:beforeAutospacing="1" w:after="100" w:afterAutospacing="1"/>
    </w:pPr>
    <w:rPr>
      <w:sz w:val="28"/>
      <w:szCs w:val="20"/>
      <w:lang w:val="en-GB" w:eastAsia="en-US"/>
    </w:rPr>
  </w:style>
  <w:style w:type="paragraph" w:styleId="Galvene">
    <w:name w:val="header"/>
    <w:basedOn w:val="Parasts"/>
    <w:link w:val="GalveneRakstz"/>
    <w:rsid w:val="00B14030"/>
    <w:pPr>
      <w:tabs>
        <w:tab w:val="center" w:pos="4153"/>
        <w:tab w:val="right" w:pos="8306"/>
      </w:tabs>
    </w:pPr>
  </w:style>
  <w:style w:type="character" w:customStyle="1" w:styleId="KjeneRakstz">
    <w:name w:val="Kājene Rakstz."/>
    <w:link w:val="Kjene"/>
    <w:semiHidden/>
    <w:locked/>
    <w:rsid w:val="00B14030"/>
    <w:rPr>
      <w:sz w:val="24"/>
      <w:szCs w:val="24"/>
      <w:lang w:val="lv-LV" w:eastAsia="lv-LV" w:bidi="ar-SA"/>
    </w:rPr>
  </w:style>
  <w:style w:type="paragraph" w:styleId="Kjene">
    <w:name w:val="footer"/>
    <w:basedOn w:val="Parasts"/>
    <w:link w:val="KjeneRakstz"/>
    <w:rsid w:val="00B14030"/>
    <w:pPr>
      <w:tabs>
        <w:tab w:val="center" w:pos="4153"/>
        <w:tab w:val="right" w:pos="8306"/>
      </w:tabs>
    </w:pPr>
  </w:style>
  <w:style w:type="paragraph" w:customStyle="1" w:styleId="naisf">
    <w:name w:val="naisf"/>
    <w:basedOn w:val="Parasts"/>
    <w:rsid w:val="00B14030"/>
    <w:pPr>
      <w:spacing w:before="75" w:after="75"/>
      <w:ind w:firstLine="375"/>
      <w:jc w:val="both"/>
    </w:pPr>
  </w:style>
  <w:style w:type="paragraph" w:customStyle="1" w:styleId="naisnod">
    <w:name w:val="naisnod"/>
    <w:basedOn w:val="Parasts"/>
    <w:rsid w:val="00B14030"/>
    <w:pPr>
      <w:spacing w:before="150" w:after="150"/>
      <w:jc w:val="center"/>
    </w:pPr>
    <w:rPr>
      <w:b/>
      <w:bCs/>
    </w:rPr>
  </w:style>
  <w:style w:type="paragraph" w:customStyle="1" w:styleId="naislab">
    <w:name w:val="naislab"/>
    <w:basedOn w:val="Parasts"/>
    <w:rsid w:val="00B14030"/>
    <w:pPr>
      <w:spacing w:before="75" w:after="75"/>
      <w:jc w:val="right"/>
    </w:pPr>
  </w:style>
  <w:style w:type="paragraph" w:customStyle="1" w:styleId="naiskr">
    <w:name w:val="naiskr"/>
    <w:basedOn w:val="Parasts"/>
    <w:rsid w:val="00B14030"/>
    <w:pPr>
      <w:spacing w:before="75" w:after="75"/>
    </w:pPr>
  </w:style>
  <w:style w:type="character" w:customStyle="1" w:styleId="longtext1">
    <w:name w:val="long_text1"/>
    <w:rsid w:val="00B14030"/>
    <w:rPr>
      <w:sz w:val="20"/>
      <w:szCs w:val="20"/>
    </w:rPr>
  </w:style>
  <w:style w:type="character" w:styleId="Izteiksmgs">
    <w:name w:val="Strong"/>
    <w:qFormat/>
    <w:rsid w:val="00B14030"/>
    <w:rPr>
      <w:b/>
      <w:bCs/>
    </w:rPr>
  </w:style>
  <w:style w:type="character" w:styleId="Izclums">
    <w:name w:val="Emphasis"/>
    <w:qFormat/>
    <w:rsid w:val="00B14030"/>
    <w:rPr>
      <w:i/>
      <w:iCs/>
    </w:rPr>
  </w:style>
  <w:style w:type="character" w:styleId="Lappusesnumurs">
    <w:name w:val="page number"/>
    <w:basedOn w:val="Noklusjumarindkopasfonts"/>
    <w:rsid w:val="00B14030"/>
  </w:style>
  <w:style w:type="paragraph" w:customStyle="1" w:styleId="naisc">
    <w:name w:val="naisc"/>
    <w:basedOn w:val="Parasts"/>
    <w:rsid w:val="006A2DF3"/>
    <w:pPr>
      <w:spacing w:before="75" w:after="75"/>
      <w:jc w:val="center"/>
    </w:pPr>
  </w:style>
  <w:style w:type="character" w:styleId="Komentraatsauce">
    <w:name w:val="annotation reference"/>
    <w:semiHidden/>
    <w:rsid w:val="00C0760E"/>
    <w:rPr>
      <w:sz w:val="16"/>
    </w:rPr>
  </w:style>
  <w:style w:type="paragraph" w:styleId="Komentrateksts">
    <w:name w:val="annotation text"/>
    <w:basedOn w:val="Parasts"/>
    <w:link w:val="KomentratekstsRakstz"/>
    <w:semiHidden/>
    <w:rsid w:val="00C0760E"/>
    <w:pPr>
      <w:spacing w:after="200"/>
    </w:pPr>
    <w:rPr>
      <w:rFonts w:ascii="Calibri" w:hAnsi="Calibri"/>
      <w:sz w:val="20"/>
      <w:szCs w:val="20"/>
    </w:rPr>
  </w:style>
  <w:style w:type="character" w:customStyle="1" w:styleId="KomentratekstsRakstz">
    <w:name w:val="Komentāra teksts Rakstz."/>
    <w:link w:val="Komentrateksts"/>
    <w:semiHidden/>
    <w:locked/>
    <w:rsid w:val="00C0760E"/>
    <w:rPr>
      <w:rFonts w:ascii="Calibri" w:hAnsi="Calibri"/>
      <w:lang w:val="lv-LV" w:eastAsia="lv-LV" w:bidi="ar-SA"/>
    </w:rPr>
  </w:style>
  <w:style w:type="paragraph" w:styleId="Komentratma">
    <w:name w:val="annotation subject"/>
    <w:basedOn w:val="Komentrateksts"/>
    <w:next w:val="Komentrateksts"/>
    <w:link w:val="KomentratmaRakstz"/>
    <w:semiHidden/>
    <w:rsid w:val="00C0760E"/>
    <w:rPr>
      <w:b/>
      <w:bCs/>
    </w:rPr>
  </w:style>
  <w:style w:type="character" w:customStyle="1" w:styleId="KomentratmaRakstz">
    <w:name w:val="Komentāra tēma Rakstz."/>
    <w:link w:val="Komentratma"/>
    <w:semiHidden/>
    <w:locked/>
    <w:rsid w:val="00C0760E"/>
    <w:rPr>
      <w:rFonts w:ascii="Calibri" w:hAnsi="Calibri"/>
      <w:b/>
      <w:bCs/>
      <w:lang w:val="lv-LV" w:eastAsia="lv-LV" w:bidi="ar-SA"/>
    </w:rPr>
  </w:style>
  <w:style w:type="paragraph" w:styleId="Balonteksts">
    <w:name w:val="Balloon Text"/>
    <w:basedOn w:val="Parasts"/>
    <w:link w:val="BalontekstsRakstz"/>
    <w:semiHidden/>
    <w:rsid w:val="00C0760E"/>
    <w:rPr>
      <w:rFonts w:ascii="Tahoma" w:hAnsi="Tahoma"/>
      <w:sz w:val="16"/>
      <w:szCs w:val="16"/>
    </w:rPr>
  </w:style>
  <w:style w:type="character" w:customStyle="1" w:styleId="BalontekstsRakstz">
    <w:name w:val="Balonteksts Rakstz."/>
    <w:link w:val="Balonteksts"/>
    <w:semiHidden/>
    <w:locked/>
    <w:rsid w:val="00C0760E"/>
    <w:rPr>
      <w:rFonts w:ascii="Tahoma" w:hAnsi="Tahoma"/>
      <w:sz w:val="16"/>
      <w:szCs w:val="16"/>
      <w:lang w:val="lv-LV" w:eastAsia="lv-LV" w:bidi="ar-SA"/>
    </w:rPr>
  </w:style>
  <w:style w:type="character" w:customStyle="1" w:styleId="Virsraksts1Rakstz">
    <w:name w:val="Virsraksts 1 Rakstz."/>
    <w:link w:val="Virsraksts1"/>
    <w:locked/>
    <w:rsid w:val="00C0760E"/>
    <w:rPr>
      <w:rFonts w:ascii="Cambria" w:eastAsia="Calibri" w:hAnsi="Cambria"/>
      <w:b/>
      <w:bCs/>
      <w:color w:val="365F91"/>
      <w:sz w:val="28"/>
      <w:szCs w:val="28"/>
      <w:lang w:val="lv-LV" w:eastAsia="lv-LV" w:bidi="ar-SA"/>
    </w:rPr>
  </w:style>
  <w:style w:type="character" w:customStyle="1" w:styleId="Virsraksts2Rakstz">
    <w:name w:val="Virsraksts 2 Rakstz."/>
    <w:link w:val="Virsraksts2"/>
    <w:locked/>
    <w:rsid w:val="00C0760E"/>
    <w:rPr>
      <w:rFonts w:ascii="Cambria" w:eastAsia="Calibri" w:hAnsi="Cambria"/>
      <w:b/>
      <w:bCs/>
      <w:color w:val="4F81BD"/>
      <w:sz w:val="26"/>
      <w:szCs w:val="26"/>
      <w:lang w:val="lv-LV" w:eastAsia="lv-LV" w:bidi="ar-SA"/>
    </w:rPr>
  </w:style>
  <w:style w:type="paragraph" w:customStyle="1" w:styleId="Sarakstarindkopa1">
    <w:name w:val="Saraksta rindkopa1"/>
    <w:basedOn w:val="Parasts"/>
    <w:rsid w:val="00C0760E"/>
    <w:pPr>
      <w:spacing w:after="200" w:line="276" w:lineRule="auto"/>
      <w:ind w:left="720"/>
      <w:contextualSpacing/>
    </w:pPr>
    <w:rPr>
      <w:rFonts w:ascii="Calibri" w:hAnsi="Calibri"/>
      <w:sz w:val="22"/>
      <w:szCs w:val="22"/>
      <w:lang w:eastAsia="en-US"/>
    </w:rPr>
  </w:style>
  <w:style w:type="character" w:customStyle="1" w:styleId="GalveneRakstz">
    <w:name w:val="Galvene Rakstz."/>
    <w:link w:val="Galvene"/>
    <w:locked/>
    <w:rsid w:val="00C0760E"/>
    <w:rPr>
      <w:sz w:val="24"/>
      <w:szCs w:val="24"/>
      <w:lang w:val="lv-LV" w:eastAsia="lv-LV" w:bidi="ar-SA"/>
    </w:rPr>
  </w:style>
  <w:style w:type="character" w:customStyle="1" w:styleId="FooterChar">
    <w:name w:val="Footer Char"/>
    <w:locked/>
    <w:rsid w:val="00C0760E"/>
    <w:rPr>
      <w:rFonts w:cs="Times New Roman"/>
    </w:rPr>
  </w:style>
  <w:style w:type="paragraph" w:styleId="Vresteksts">
    <w:name w:val="footnote text"/>
    <w:basedOn w:val="Parasts"/>
    <w:link w:val="VrestekstsRakstz"/>
    <w:semiHidden/>
    <w:rsid w:val="00C0760E"/>
    <w:pPr>
      <w:spacing w:after="200" w:line="276" w:lineRule="auto"/>
    </w:pPr>
    <w:rPr>
      <w:rFonts w:ascii="Calibri" w:hAnsi="Calibri"/>
      <w:sz w:val="20"/>
      <w:szCs w:val="20"/>
      <w:lang w:eastAsia="en-US"/>
    </w:rPr>
  </w:style>
  <w:style w:type="character" w:customStyle="1" w:styleId="VrestekstsRakstz">
    <w:name w:val="Vēres teksts Rakstz."/>
    <w:link w:val="Vresteksts"/>
    <w:semiHidden/>
    <w:locked/>
    <w:rsid w:val="00C0760E"/>
    <w:rPr>
      <w:rFonts w:ascii="Calibri" w:hAnsi="Calibri"/>
      <w:lang w:val="lv-LV" w:eastAsia="en-US" w:bidi="ar-SA"/>
    </w:rPr>
  </w:style>
  <w:style w:type="character" w:styleId="Vresatsauce">
    <w:name w:val="footnote reference"/>
    <w:semiHidden/>
    <w:rsid w:val="00C0760E"/>
    <w:rPr>
      <w:vertAlign w:val="superscript"/>
    </w:rPr>
  </w:style>
  <w:style w:type="character" w:customStyle="1" w:styleId="Virsraksts3Rakstz">
    <w:name w:val="Virsraksts 3 Rakstz."/>
    <w:link w:val="Virsraksts3"/>
    <w:locked/>
    <w:rsid w:val="00C0760E"/>
    <w:rPr>
      <w:rFonts w:ascii="Cambria" w:eastAsia="Calibri" w:hAnsi="Cambria"/>
      <w:b/>
      <w:bCs/>
      <w:sz w:val="26"/>
      <w:szCs w:val="26"/>
      <w:lang w:val="lv-LV" w:eastAsia="en-US" w:bidi="ar-SA"/>
    </w:rPr>
  </w:style>
  <w:style w:type="character" w:customStyle="1" w:styleId="Virsraksts4Rakstz">
    <w:name w:val="Virsraksts 4 Rakstz."/>
    <w:link w:val="Virsraksts4"/>
    <w:semiHidden/>
    <w:locked/>
    <w:rsid w:val="00C0760E"/>
    <w:rPr>
      <w:rFonts w:ascii="Calibri" w:eastAsia="Calibri" w:hAnsi="Calibri"/>
      <w:b/>
      <w:bCs/>
      <w:sz w:val="28"/>
      <w:szCs w:val="28"/>
      <w:lang w:val="lv-LV" w:eastAsia="en-US" w:bidi="ar-SA"/>
    </w:rPr>
  </w:style>
  <w:style w:type="table" w:styleId="Reatabula">
    <w:name w:val="Table Grid"/>
    <w:basedOn w:val="Parastatabula"/>
    <w:rsid w:val="00C0760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skatjums1">
    <w:name w:val="Pārskatījums1"/>
    <w:hidden/>
    <w:semiHidden/>
    <w:rsid w:val="00C0760E"/>
    <w:rPr>
      <w:rFonts w:ascii="Calibri" w:hAnsi="Calibri"/>
      <w:sz w:val="22"/>
      <w:szCs w:val="22"/>
      <w:lang w:eastAsia="en-US"/>
    </w:rPr>
  </w:style>
  <w:style w:type="numbering" w:customStyle="1" w:styleId="Style2">
    <w:name w:val="Style2"/>
    <w:rsid w:val="00C0760E"/>
    <w:pPr>
      <w:numPr>
        <w:numId w:val="2"/>
      </w:numPr>
    </w:pPr>
  </w:style>
  <w:style w:type="numbering" w:customStyle="1" w:styleId="Style1">
    <w:name w:val="Style1"/>
    <w:rsid w:val="00C0760E"/>
    <w:pPr>
      <w:numPr>
        <w:numId w:val="1"/>
      </w:numPr>
    </w:pPr>
  </w:style>
  <w:style w:type="paragraph" w:customStyle="1" w:styleId="RakstzRakstzRakstzCharCharCharCharCharCharChar">
    <w:name w:val="Rakstz. Rakstz. Rakstz. Char Char Char Char Char Char Char"/>
    <w:basedOn w:val="Parasts"/>
    <w:rsid w:val="00F4551B"/>
    <w:pPr>
      <w:spacing w:before="40"/>
    </w:pPr>
    <w:rPr>
      <w:lang w:val="pl-PL" w:eastAsia="pl-PL"/>
    </w:rPr>
  </w:style>
  <w:style w:type="paragraph" w:customStyle="1" w:styleId="tv20787921">
    <w:name w:val="tv207_87_921"/>
    <w:basedOn w:val="Parasts"/>
    <w:rsid w:val="00035E74"/>
    <w:pPr>
      <w:spacing w:after="567" w:line="360" w:lineRule="auto"/>
      <w:jc w:val="center"/>
    </w:pPr>
    <w:rPr>
      <w:rFonts w:ascii="Verdana" w:hAnsi="Verdana"/>
      <w:b/>
      <w:bCs/>
      <w:sz w:val="28"/>
      <w:szCs w:val="28"/>
    </w:rPr>
  </w:style>
  <w:style w:type="character" w:customStyle="1" w:styleId="FontStyle16">
    <w:name w:val="Font Style16"/>
    <w:rsid w:val="005969DE"/>
    <w:rPr>
      <w:rFonts w:ascii="Times New Roman" w:eastAsia="Times New Roman" w:hAnsi="Times New Roman" w:cs="Times New Roman"/>
      <w:sz w:val="26"/>
      <w:szCs w:val="26"/>
    </w:rPr>
  </w:style>
  <w:style w:type="paragraph" w:customStyle="1" w:styleId="TableContents">
    <w:name w:val="Table Contents"/>
    <w:basedOn w:val="Parasts"/>
    <w:rsid w:val="005969DE"/>
    <w:pPr>
      <w:widowControl w:val="0"/>
      <w:suppressLineNumbers/>
      <w:suppressAutoHyphens/>
    </w:pPr>
    <w:rPr>
      <w:rFonts w:eastAsia="Lucida Sans Unicode"/>
      <w:kern w:val="1"/>
      <w:lang w:eastAsia="ar-SA"/>
    </w:rPr>
  </w:style>
  <w:style w:type="paragraph" w:customStyle="1" w:styleId="tvhtml1">
    <w:name w:val="tv_html1"/>
    <w:basedOn w:val="Parasts"/>
    <w:rsid w:val="00B568C5"/>
    <w:pPr>
      <w:spacing w:before="100" w:beforeAutospacing="1" w:line="360" w:lineRule="auto"/>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14030"/>
    <w:rPr>
      <w:sz w:val="24"/>
      <w:szCs w:val="24"/>
    </w:rPr>
  </w:style>
  <w:style w:type="paragraph" w:styleId="Virsraksts1">
    <w:name w:val="heading 1"/>
    <w:basedOn w:val="Parasts"/>
    <w:next w:val="Parasts"/>
    <w:link w:val="Virsraksts1Rakstz"/>
    <w:qFormat/>
    <w:rsid w:val="00C0760E"/>
    <w:pPr>
      <w:keepNext/>
      <w:keepLines/>
      <w:spacing w:before="480" w:line="276" w:lineRule="auto"/>
      <w:outlineLvl w:val="0"/>
    </w:pPr>
    <w:rPr>
      <w:rFonts w:ascii="Cambria" w:eastAsia="Calibri" w:hAnsi="Cambria"/>
      <w:b/>
      <w:bCs/>
      <w:color w:val="365F91"/>
      <w:sz w:val="28"/>
      <w:szCs w:val="28"/>
    </w:rPr>
  </w:style>
  <w:style w:type="paragraph" w:styleId="Virsraksts2">
    <w:name w:val="heading 2"/>
    <w:basedOn w:val="Parasts"/>
    <w:next w:val="Parasts"/>
    <w:link w:val="Virsraksts2Rakstz"/>
    <w:qFormat/>
    <w:rsid w:val="00C0760E"/>
    <w:pPr>
      <w:keepNext/>
      <w:keepLines/>
      <w:spacing w:before="200" w:line="276" w:lineRule="auto"/>
      <w:outlineLvl w:val="1"/>
    </w:pPr>
    <w:rPr>
      <w:rFonts w:ascii="Cambria" w:eastAsia="Calibri" w:hAnsi="Cambria"/>
      <w:b/>
      <w:bCs/>
      <w:color w:val="4F81BD"/>
      <w:sz w:val="26"/>
      <w:szCs w:val="26"/>
    </w:rPr>
  </w:style>
  <w:style w:type="paragraph" w:styleId="Virsraksts3">
    <w:name w:val="heading 3"/>
    <w:basedOn w:val="Parasts"/>
    <w:next w:val="Parasts"/>
    <w:link w:val="Virsraksts3Rakstz"/>
    <w:qFormat/>
    <w:rsid w:val="00C0760E"/>
    <w:pPr>
      <w:keepNext/>
      <w:spacing w:before="240" w:after="60" w:line="276" w:lineRule="auto"/>
      <w:outlineLvl w:val="2"/>
    </w:pPr>
    <w:rPr>
      <w:rFonts w:ascii="Cambria" w:eastAsia="Calibri" w:hAnsi="Cambria"/>
      <w:b/>
      <w:bCs/>
      <w:sz w:val="26"/>
      <w:szCs w:val="26"/>
      <w:lang w:eastAsia="en-US"/>
    </w:rPr>
  </w:style>
  <w:style w:type="paragraph" w:styleId="Virsraksts4">
    <w:name w:val="heading 4"/>
    <w:basedOn w:val="Parasts"/>
    <w:next w:val="Parasts"/>
    <w:link w:val="Virsraksts4Rakstz"/>
    <w:qFormat/>
    <w:rsid w:val="00C0760E"/>
    <w:pPr>
      <w:keepNext/>
      <w:spacing w:before="240" w:after="60" w:line="276" w:lineRule="auto"/>
      <w:outlineLvl w:val="3"/>
    </w:pPr>
    <w:rPr>
      <w:rFonts w:ascii="Calibri" w:eastAsia="Calibri" w:hAnsi="Calibri"/>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4030"/>
    <w:rPr>
      <w:color w:val="0000FF"/>
      <w:u w:val="single"/>
    </w:rPr>
  </w:style>
  <w:style w:type="character" w:styleId="Izmantotahipersaite">
    <w:name w:val="FollowedHyperlink"/>
    <w:rsid w:val="00B14030"/>
    <w:rPr>
      <w:color w:val="800080"/>
      <w:u w:val="single"/>
    </w:rPr>
  </w:style>
  <w:style w:type="paragraph" w:styleId="Paraststmeklis">
    <w:name w:val="Normal (Web)"/>
    <w:basedOn w:val="Parasts"/>
    <w:rsid w:val="00B14030"/>
    <w:pPr>
      <w:spacing w:before="100" w:beforeAutospacing="1" w:after="100" w:afterAutospacing="1"/>
    </w:pPr>
    <w:rPr>
      <w:sz w:val="28"/>
      <w:szCs w:val="20"/>
      <w:lang w:val="en-GB" w:eastAsia="en-US"/>
    </w:rPr>
  </w:style>
  <w:style w:type="paragraph" w:styleId="Galvene">
    <w:name w:val="header"/>
    <w:basedOn w:val="Parasts"/>
    <w:link w:val="GalveneRakstz"/>
    <w:rsid w:val="00B14030"/>
    <w:pPr>
      <w:tabs>
        <w:tab w:val="center" w:pos="4153"/>
        <w:tab w:val="right" w:pos="8306"/>
      </w:tabs>
    </w:pPr>
  </w:style>
  <w:style w:type="character" w:customStyle="1" w:styleId="KjeneRakstz">
    <w:name w:val="Kājene Rakstz."/>
    <w:link w:val="Kjene"/>
    <w:semiHidden/>
    <w:locked/>
    <w:rsid w:val="00B14030"/>
    <w:rPr>
      <w:sz w:val="24"/>
      <w:szCs w:val="24"/>
      <w:lang w:val="lv-LV" w:eastAsia="lv-LV" w:bidi="ar-SA"/>
    </w:rPr>
  </w:style>
  <w:style w:type="paragraph" w:styleId="Kjene">
    <w:name w:val="footer"/>
    <w:basedOn w:val="Parasts"/>
    <w:link w:val="KjeneRakstz"/>
    <w:rsid w:val="00B14030"/>
    <w:pPr>
      <w:tabs>
        <w:tab w:val="center" w:pos="4153"/>
        <w:tab w:val="right" w:pos="8306"/>
      </w:tabs>
    </w:pPr>
  </w:style>
  <w:style w:type="paragraph" w:customStyle="1" w:styleId="naisf">
    <w:name w:val="naisf"/>
    <w:basedOn w:val="Parasts"/>
    <w:rsid w:val="00B14030"/>
    <w:pPr>
      <w:spacing w:before="75" w:after="75"/>
      <w:ind w:firstLine="375"/>
      <w:jc w:val="both"/>
    </w:pPr>
  </w:style>
  <w:style w:type="paragraph" w:customStyle="1" w:styleId="naisnod">
    <w:name w:val="naisnod"/>
    <w:basedOn w:val="Parasts"/>
    <w:rsid w:val="00B14030"/>
    <w:pPr>
      <w:spacing w:before="150" w:after="150"/>
      <w:jc w:val="center"/>
    </w:pPr>
    <w:rPr>
      <w:b/>
      <w:bCs/>
    </w:rPr>
  </w:style>
  <w:style w:type="paragraph" w:customStyle="1" w:styleId="naislab">
    <w:name w:val="naislab"/>
    <w:basedOn w:val="Parasts"/>
    <w:rsid w:val="00B14030"/>
    <w:pPr>
      <w:spacing w:before="75" w:after="75"/>
      <w:jc w:val="right"/>
    </w:pPr>
  </w:style>
  <w:style w:type="paragraph" w:customStyle="1" w:styleId="naiskr">
    <w:name w:val="naiskr"/>
    <w:basedOn w:val="Parasts"/>
    <w:rsid w:val="00B14030"/>
    <w:pPr>
      <w:spacing w:before="75" w:after="75"/>
    </w:pPr>
  </w:style>
  <w:style w:type="character" w:customStyle="1" w:styleId="longtext1">
    <w:name w:val="long_text1"/>
    <w:rsid w:val="00B14030"/>
    <w:rPr>
      <w:sz w:val="20"/>
      <w:szCs w:val="20"/>
    </w:rPr>
  </w:style>
  <w:style w:type="character" w:styleId="Izteiksmgs">
    <w:name w:val="Strong"/>
    <w:qFormat/>
    <w:rsid w:val="00B14030"/>
    <w:rPr>
      <w:b/>
      <w:bCs/>
    </w:rPr>
  </w:style>
  <w:style w:type="character" w:styleId="Izclums">
    <w:name w:val="Emphasis"/>
    <w:qFormat/>
    <w:rsid w:val="00B14030"/>
    <w:rPr>
      <w:i/>
      <w:iCs/>
    </w:rPr>
  </w:style>
  <w:style w:type="character" w:styleId="Lappusesnumurs">
    <w:name w:val="page number"/>
    <w:basedOn w:val="Noklusjumarindkopasfonts"/>
    <w:rsid w:val="00B14030"/>
  </w:style>
  <w:style w:type="paragraph" w:customStyle="1" w:styleId="naisc">
    <w:name w:val="naisc"/>
    <w:basedOn w:val="Parasts"/>
    <w:rsid w:val="006A2DF3"/>
    <w:pPr>
      <w:spacing w:before="75" w:after="75"/>
      <w:jc w:val="center"/>
    </w:pPr>
  </w:style>
  <w:style w:type="character" w:styleId="Komentraatsauce">
    <w:name w:val="annotation reference"/>
    <w:semiHidden/>
    <w:rsid w:val="00C0760E"/>
    <w:rPr>
      <w:sz w:val="16"/>
    </w:rPr>
  </w:style>
  <w:style w:type="paragraph" w:styleId="Komentrateksts">
    <w:name w:val="annotation text"/>
    <w:basedOn w:val="Parasts"/>
    <w:link w:val="KomentratekstsRakstz"/>
    <w:semiHidden/>
    <w:rsid w:val="00C0760E"/>
    <w:pPr>
      <w:spacing w:after="200"/>
    </w:pPr>
    <w:rPr>
      <w:rFonts w:ascii="Calibri" w:hAnsi="Calibri"/>
      <w:sz w:val="20"/>
      <w:szCs w:val="20"/>
    </w:rPr>
  </w:style>
  <w:style w:type="character" w:customStyle="1" w:styleId="KomentratekstsRakstz">
    <w:name w:val="Komentāra teksts Rakstz."/>
    <w:link w:val="Komentrateksts"/>
    <w:semiHidden/>
    <w:locked/>
    <w:rsid w:val="00C0760E"/>
    <w:rPr>
      <w:rFonts w:ascii="Calibri" w:hAnsi="Calibri"/>
      <w:lang w:val="lv-LV" w:eastAsia="lv-LV" w:bidi="ar-SA"/>
    </w:rPr>
  </w:style>
  <w:style w:type="paragraph" w:styleId="Komentratma">
    <w:name w:val="annotation subject"/>
    <w:basedOn w:val="Komentrateksts"/>
    <w:next w:val="Komentrateksts"/>
    <w:link w:val="KomentratmaRakstz"/>
    <w:semiHidden/>
    <w:rsid w:val="00C0760E"/>
    <w:rPr>
      <w:b/>
      <w:bCs/>
    </w:rPr>
  </w:style>
  <w:style w:type="character" w:customStyle="1" w:styleId="KomentratmaRakstz">
    <w:name w:val="Komentāra tēma Rakstz."/>
    <w:link w:val="Komentratma"/>
    <w:semiHidden/>
    <w:locked/>
    <w:rsid w:val="00C0760E"/>
    <w:rPr>
      <w:rFonts w:ascii="Calibri" w:hAnsi="Calibri"/>
      <w:b/>
      <w:bCs/>
      <w:lang w:val="lv-LV" w:eastAsia="lv-LV" w:bidi="ar-SA"/>
    </w:rPr>
  </w:style>
  <w:style w:type="paragraph" w:styleId="Balonteksts">
    <w:name w:val="Balloon Text"/>
    <w:basedOn w:val="Parasts"/>
    <w:link w:val="BalontekstsRakstz"/>
    <w:semiHidden/>
    <w:rsid w:val="00C0760E"/>
    <w:rPr>
      <w:rFonts w:ascii="Tahoma" w:hAnsi="Tahoma"/>
      <w:sz w:val="16"/>
      <w:szCs w:val="16"/>
    </w:rPr>
  </w:style>
  <w:style w:type="character" w:customStyle="1" w:styleId="BalontekstsRakstz">
    <w:name w:val="Balonteksts Rakstz."/>
    <w:link w:val="Balonteksts"/>
    <w:semiHidden/>
    <w:locked/>
    <w:rsid w:val="00C0760E"/>
    <w:rPr>
      <w:rFonts w:ascii="Tahoma" w:hAnsi="Tahoma"/>
      <w:sz w:val="16"/>
      <w:szCs w:val="16"/>
      <w:lang w:val="lv-LV" w:eastAsia="lv-LV" w:bidi="ar-SA"/>
    </w:rPr>
  </w:style>
  <w:style w:type="character" w:customStyle="1" w:styleId="Virsraksts1Rakstz">
    <w:name w:val="Virsraksts 1 Rakstz."/>
    <w:link w:val="Virsraksts1"/>
    <w:locked/>
    <w:rsid w:val="00C0760E"/>
    <w:rPr>
      <w:rFonts w:ascii="Cambria" w:eastAsia="Calibri" w:hAnsi="Cambria"/>
      <w:b/>
      <w:bCs/>
      <w:color w:val="365F91"/>
      <w:sz w:val="28"/>
      <w:szCs w:val="28"/>
      <w:lang w:val="lv-LV" w:eastAsia="lv-LV" w:bidi="ar-SA"/>
    </w:rPr>
  </w:style>
  <w:style w:type="character" w:customStyle="1" w:styleId="Virsraksts2Rakstz">
    <w:name w:val="Virsraksts 2 Rakstz."/>
    <w:link w:val="Virsraksts2"/>
    <w:locked/>
    <w:rsid w:val="00C0760E"/>
    <w:rPr>
      <w:rFonts w:ascii="Cambria" w:eastAsia="Calibri" w:hAnsi="Cambria"/>
      <w:b/>
      <w:bCs/>
      <w:color w:val="4F81BD"/>
      <w:sz w:val="26"/>
      <w:szCs w:val="26"/>
      <w:lang w:val="lv-LV" w:eastAsia="lv-LV" w:bidi="ar-SA"/>
    </w:rPr>
  </w:style>
  <w:style w:type="paragraph" w:customStyle="1" w:styleId="Sarakstarindkopa1">
    <w:name w:val="Saraksta rindkopa1"/>
    <w:basedOn w:val="Parasts"/>
    <w:rsid w:val="00C0760E"/>
    <w:pPr>
      <w:spacing w:after="200" w:line="276" w:lineRule="auto"/>
      <w:ind w:left="720"/>
      <w:contextualSpacing/>
    </w:pPr>
    <w:rPr>
      <w:rFonts w:ascii="Calibri" w:hAnsi="Calibri"/>
      <w:sz w:val="22"/>
      <w:szCs w:val="22"/>
      <w:lang w:eastAsia="en-US"/>
    </w:rPr>
  </w:style>
  <w:style w:type="character" w:customStyle="1" w:styleId="GalveneRakstz">
    <w:name w:val="Galvene Rakstz."/>
    <w:link w:val="Galvene"/>
    <w:locked/>
    <w:rsid w:val="00C0760E"/>
    <w:rPr>
      <w:sz w:val="24"/>
      <w:szCs w:val="24"/>
      <w:lang w:val="lv-LV" w:eastAsia="lv-LV" w:bidi="ar-SA"/>
    </w:rPr>
  </w:style>
  <w:style w:type="character" w:customStyle="1" w:styleId="FooterChar">
    <w:name w:val="Footer Char"/>
    <w:locked/>
    <w:rsid w:val="00C0760E"/>
    <w:rPr>
      <w:rFonts w:cs="Times New Roman"/>
    </w:rPr>
  </w:style>
  <w:style w:type="paragraph" w:styleId="Vresteksts">
    <w:name w:val="footnote text"/>
    <w:basedOn w:val="Parasts"/>
    <w:link w:val="VrestekstsRakstz"/>
    <w:semiHidden/>
    <w:rsid w:val="00C0760E"/>
    <w:pPr>
      <w:spacing w:after="200" w:line="276" w:lineRule="auto"/>
    </w:pPr>
    <w:rPr>
      <w:rFonts w:ascii="Calibri" w:hAnsi="Calibri"/>
      <w:sz w:val="20"/>
      <w:szCs w:val="20"/>
      <w:lang w:eastAsia="en-US"/>
    </w:rPr>
  </w:style>
  <w:style w:type="character" w:customStyle="1" w:styleId="VrestekstsRakstz">
    <w:name w:val="Vēres teksts Rakstz."/>
    <w:link w:val="Vresteksts"/>
    <w:semiHidden/>
    <w:locked/>
    <w:rsid w:val="00C0760E"/>
    <w:rPr>
      <w:rFonts w:ascii="Calibri" w:hAnsi="Calibri"/>
      <w:lang w:val="lv-LV" w:eastAsia="en-US" w:bidi="ar-SA"/>
    </w:rPr>
  </w:style>
  <w:style w:type="character" w:styleId="Vresatsauce">
    <w:name w:val="footnote reference"/>
    <w:semiHidden/>
    <w:rsid w:val="00C0760E"/>
    <w:rPr>
      <w:vertAlign w:val="superscript"/>
    </w:rPr>
  </w:style>
  <w:style w:type="character" w:customStyle="1" w:styleId="Virsraksts3Rakstz">
    <w:name w:val="Virsraksts 3 Rakstz."/>
    <w:link w:val="Virsraksts3"/>
    <w:locked/>
    <w:rsid w:val="00C0760E"/>
    <w:rPr>
      <w:rFonts w:ascii="Cambria" w:eastAsia="Calibri" w:hAnsi="Cambria"/>
      <w:b/>
      <w:bCs/>
      <w:sz w:val="26"/>
      <w:szCs w:val="26"/>
      <w:lang w:val="lv-LV" w:eastAsia="en-US" w:bidi="ar-SA"/>
    </w:rPr>
  </w:style>
  <w:style w:type="character" w:customStyle="1" w:styleId="Virsraksts4Rakstz">
    <w:name w:val="Virsraksts 4 Rakstz."/>
    <w:link w:val="Virsraksts4"/>
    <w:semiHidden/>
    <w:locked/>
    <w:rsid w:val="00C0760E"/>
    <w:rPr>
      <w:rFonts w:ascii="Calibri" w:eastAsia="Calibri" w:hAnsi="Calibri"/>
      <w:b/>
      <w:bCs/>
      <w:sz w:val="28"/>
      <w:szCs w:val="28"/>
      <w:lang w:val="lv-LV" w:eastAsia="en-US" w:bidi="ar-SA"/>
    </w:rPr>
  </w:style>
  <w:style w:type="table" w:styleId="Reatabula">
    <w:name w:val="Table Grid"/>
    <w:basedOn w:val="Parastatabula"/>
    <w:rsid w:val="00C0760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skatjums1">
    <w:name w:val="Pārskatījums1"/>
    <w:hidden/>
    <w:semiHidden/>
    <w:rsid w:val="00C0760E"/>
    <w:rPr>
      <w:rFonts w:ascii="Calibri" w:hAnsi="Calibri"/>
      <w:sz w:val="22"/>
      <w:szCs w:val="22"/>
      <w:lang w:eastAsia="en-US"/>
    </w:rPr>
  </w:style>
  <w:style w:type="numbering" w:customStyle="1" w:styleId="Style2">
    <w:name w:val="Style2"/>
    <w:rsid w:val="00C0760E"/>
    <w:pPr>
      <w:numPr>
        <w:numId w:val="2"/>
      </w:numPr>
    </w:pPr>
  </w:style>
  <w:style w:type="numbering" w:customStyle="1" w:styleId="Style1">
    <w:name w:val="Style1"/>
    <w:rsid w:val="00C0760E"/>
    <w:pPr>
      <w:numPr>
        <w:numId w:val="1"/>
      </w:numPr>
    </w:pPr>
  </w:style>
  <w:style w:type="paragraph" w:customStyle="1" w:styleId="RakstzRakstzRakstzCharCharCharCharCharCharChar">
    <w:name w:val="Rakstz. Rakstz. Rakstz. Char Char Char Char Char Char Char"/>
    <w:basedOn w:val="Parasts"/>
    <w:rsid w:val="00F4551B"/>
    <w:pPr>
      <w:spacing w:before="40"/>
    </w:pPr>
    <w:rPr>
      <w:lang w:val="pl-PL" w:eastAsia="pl-PL"/>
    </w:rPr>
  </w:style>
  <w:style w:type="paragraph" w:customStyle="1" w:styleId="tv20787921">
    <w:name w:val="tv207_87_921"/>
    <w:basedOn w:val="Parasts"/>
    <w:rsid w:val="00035E74"/>
    <w:pPr>
      <w:spacing w:after="567" w:line="360" w:lineRule="auto"/>
      <w:jc w:val="center"/>
    </w:pPr>
    <w:rPr>
      <w:rFonts w:ascii="Verdana" w:hAnsi="Verdana"/>
      <w:b/>
      <w:bCs/>
      <w:sz w:val="28"/>
      <w:szCs w:val="28"/>
    </w:rPr>
  </w:style>
  <w:style w:type="character" w:customStyle="1" w:styleId="FontStyle16">
    <w:name w:val="Font Style16"/>
    <w:rsid w:val="005969DE"/>
    <w:rPr>
      <w:rFonts w:ascii="Times New Roman" w:eastAsia="Times New Roman" w:hAnsi="Times New Roman" w:cs="Times New Roman"/>
      <w:sz w:val="26"/>
      <w:szCs w:val="26"/>
    </w:rPr>
  </w:style>
  <w:style w:type="paragraph" w:customStyle="1" w:styleId="TableContents">
    <w:name w:val="Table Contents"/>
    <w:basedOn w:val="Parasts"/>
    <w:rsid w:val="005969DE"/>
    <w:pPr>
      <w:widowControl w:val="0"/>
      <w:suppressLineNumbers/>
      <w:suppressAutoHyphens/>
    </w:pPr>
    <w:rPr>
      <w:rFonts w:eastAsia="Lucida Sans Unicode"/>
      <w:kern w:val="1"/>
      <w:lang w:eastAsia="ar-SA"/>
    </w:rPr>
  </w:style>
  <w:style w:type="paragraph" w:customStyle="1" w:styleId="tvhtml1">
    <w:name w:val="tv_html1"/>
    <w:basedOn w:val="Parasts"/>
    <w:rsid w:val="00B568C5"/>
    <w:pPr>
      <w:spacing w:before="100" w:beforeAutospacing="1" w:line="360" w:lineRule="auto"/>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dzelme@vp.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7443</Words>
  <Characters>4243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projekta„Valsts policijas koledžas sniegto maksas pakalpojumu cenrādis” sākotnējās ietekmes novērtējuma ziņojums (anotācija)</vt:lpstr>
      <vt:lpstr>Grozījums Ministru kabineta 2009.gada 17.jūnija noteikumos Nr. 542 „Kārtībā, kādā robežsargu aizturēta persona tiek ievietota un turēta pagaifu turēšanas telpā, un šādu telpu iekārtošanas un aprīkošanas prasības” </vt:lpstr>
    </vt:vector>
  </TitlesOfParts>
  <Manager>IeM</Manager>
  <Company>VRS</Company>
  <LinksUpToDate>false</LinksUpToDate>
  <CharactersWithSpaces>11663</CharactersWithSpaces>
  <SharedDoc>false</SharedDoc>
  <HLinks>
    <vt:vector size="6" baseType="variant">
      <vt:variant>
        <vt:i4>2228244</vt:i4>
      </vt:variant>
      <vt:variant>
        <vt:i4>3</vt:i4>
      </vt:variant>
      <vt:variant>
        <vt:i4>0</vt:i4>
      </vt:variant>
      <vt:variant>
        <vt:i4>5</vt:i4>
      </vt:variant>
      <vt:variant>
        <vt:lpwstr>mailto:inita.dzelme@vp.gov.lv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projekta„Valsts policijas koledžas sniegto maksas pakalpojumu cenrādis” sākotnējās ietekmes novērtējuma ziņojums (anotācija)</dc:title>
  <dc:subject>Valsts policijas koledža</dc:subject>
  <dc:creator>Inita Dzelme</dc:creator>
  <cp:keywords/>
  <dc:description>67219634, inita.dzelme@vp.gov.lv</dc:description>
  <cp:lastModifiedBy>Jana Titova</cp:lastModifiedBy>
  <cp:revision>16</cp:revision>
  <cp:lastPrinted>2010-11-29T06:16:00Z</cp:lastPrinted>
  <dcterms:created xsi:type="dcterms:W3CDTF">2013-08-12T10:29:00Z</dcterms:created>
  <dcterms:modified xsi:type="dcterms:W3CDTF">2013-08-13T11:56:00Z</dcterms:modified>
</cp:coreProperties>
</file>