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EE5" w:rsidRPr="00852042" w:rsidRDefault="00E25EE5" w:rsidP="00E25EE5">
      <w:pPr>
        <w:pStyle w:val="naislab"/>
        <w:jc w:val="center"/>
        <w:outlineLvl w:val="0"/>
        <w:rPr>
          <w:b/>
        </w:rPr>
      </w:pPr>
      <w:r>
        <w:rPr>
          <w:b/>
        </w:rPr>
        <w:t>Ministru kabineta noteikumu projekta „</w:t>
      </w:r>
      <w:r w:rsidR="00ED4605">
        <w:rPr>
          <w:b/>
        </w:rPr>
        <w:t>Grozījum</w:t>
      </w:r>
      <w:r w:rsidR="005340BC">
        <w:rPr>
          <w:b/>
        </w:rPr>
        <w:t>s</w:t>
      </w:r>
      <w:r w:rsidR="00ED4605">
        <w:rPr>
          <w:b/>
        </w:rPr>
        <w:t xml:space="preserve"> Ministru kabineta 2004.gada 8.jūnija noteikumos Nr.526 „Iekšlietu ministrijas Informācijas centra nolikums”</w:t>
      </w:r>
      <w:r>
        <w:rPr>
          <w:b/>
        </w:rPr>
        <w:t>”</w:t>
      </w:r>
      <w:r w:rsidRPr="00852042">
        <w:rPr>
          <w:b/>
        </w:rPr>
        <w:t xml:space="preserve"> sākotnējā</w:t>
      </w:r>
      <w:r>
        <w:rPr>
          <w:b/>
        </w:rPr>
        <w:t>s</w:t>
      </w:r>
      <w:r w:rsidRPr="00852042">
        <w:rPr>
          <w:b/>
        </w:rPr>
        <w:t xml:space="preserve"> ietekmes novērtējuma ziņojums (anotācija)</w:t>
      </w:r>
    </w:p>
    <w:tbl>
      <w:tblPr>
        <w:tblpPr w:leftFromText="180" w:rightFromText="180" w:vertAnchor="text" w:horzAnchor="margin" w:tblpXSpec="center" w:tblpY="149"/>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721"/>
        <w:gridCol w:w="5811"/>
      </w:tblGrid>
      <w:tr w:rsidR="00E25EE5" w:rsidTr="0004107D">
        <w:trPr>
          <w:tblCellSpacing w:w="0" w:type="dxa"/>
        </w:trPr>
        <w:tc>
          <w:tcPr>
            <w:tcW w:w="9082" w:type="dxa"/>
            <w:gridSpan w:val="3"/>
            <w:vAlign w:val="center"/>
          </w:tcPr>
          <w:p w:rsidR="00E25EE5" w:rsidRDefault="00E25EE5" w:rsidP="0004107D">
            <w:pPr>
              <w:pStyle w:val="naisnod"/>
            </w:pPr>
            <w:r>
              <w:t> I Tiesību akta projekta izstrādes nepieciešamība</w:t>
            </w:r>
          </w:p>
        </w:tc>
      </w:tr>
      <w:tr w:rsidR="00E25EE5" w:rsidRPr="00150AB6" w:rsidTr="0004107D">
        <w:trPr>
          <w:trHeight w:val="630"/>
          <w:tblCellSpacing w:w="0" w:type="dxa"/>
        </w:trPr>
        <w:tc>
          <w:tcPr>
            <w:tcW w:w="550" w:type="dxa"/>
            <w:vAlign w:val="center"/>
          </w:tcPr>
          <w:p w:rsidR="00E25EE5" w:rsidRPr="00C40595" w:rsidRDefault="00E25EE5" w:rsidP="0004107D">
            <w:pPr>
              <w:pStyle w:val="naiskr"/>
              <w:ind w:left="180" w:hanging="180"/>
              <w:jc w:val="center"/>
            </w:pPr>
            <w:r w:rsidRPr="00C40595">
              <w:rPr>
                <w:sz w:val="22"/>
                <w:szCs w:val="22"/>
              </w:rPr>
              <w:t>1.</w:t>
            </w:r>
          </w:p>
        </w:tc>
        <w:tc>
          <w:tcPr>
            <w:tcW w:w="2721" w:type="dxa"/>
            <w:vAlign w:val="center"/>
          </w:tcPr>
          <w:p w:rsidR="00E25EE5" w:rsidRPr="00C40595" w:rsidRDefault="00E25EE5" w:rsidP="0004107D">
            <w:pPr>
              <w:pStyle w:val="naiskr"/>
              <w:ind w:left="180" w:hanging="10"/>
            </w:pPr>
            <w:r>
              <w:rPr>
                <w:sz w:val="22"/>
                <w:szCs w:val="22"/>
              </w:rPr>
              <w:t>Pamatojums</w:t>
            </w:r>
          </w:p>
        </w:tc>
        <w:tc>
          <w:tcPr>
            <w:tcW w:w="5811" w:type="dxa"/>
            <w:vAlign w:val="center"/>
          </w:tcPr>
          <w:p w:rsidR="00051F54" w:rsidRPr="00051F54" w:rsidRDefault="00A23EE5" w:rsidP="00051F54">
            <w:pPr>
              <w:pStyle w:val="naiskr"/>
              <w:ind w:hanging="5"/>
              <w:jc w:val="both"/>
            </w:pPr>
            <w:r>
              <w:rPr>
                <w:sz w:val="22"/>
                <w:szCs w:val="22"/>
              </w:rPr>
              <w:t>Iekšlietu ministrijas iniciatīva.</w:t>
            </w:r>
            <w:r w:rsidR="00ED4605">
              <w:rPr>
                <w:sz w:val="22"/>
                <w:szCs w:val="22"/>
              </w:rPr>
              <w:t xml:space="preserve"> </w:t>
            </w:r>
          </w:p>
        </w:tc>
      </w:tr>
      <w:tr w:rsidR="00E25EE5" w:rsidRPr="00150AB6" w:rsidTr="0004107D">
        <w:trPr>
          <w:trHeight w:val="706"/>
          <w:tblCellSpacing w:w="0" w:type="dxa"/>
        </w:trPr>
        <w:tc>
          <w:tcPr>
            <w:tcW w:w="550" w:type="dxa"/>
            <w:vAlign w:val="center"/>
          </w:tcPr>
          <w:p w:rsidR="00E25EE5" w:rsidRPr="00C40595" w:rsidRDefault="00E25EE5" w:rsidP="0004107D">
            <w:pPr>
              <w:pStyle w:val="naiskr"/>
              <w:jc w:val="center"/>
            </w:pPr>
            <w:r w:rsidRPr="00C40595">
              <w:rPr>
                <w:sz w:val="22"/>
                <w:szCs w:val="22"/>
              </w:rPr>
              <w:t>2.</w:t>
            </w:r>
          </w:p>
        </w:tc>
        <w:tc>
          <w:tcPr>
            <w:tcW w:w="2721" w:type="dxa"/>
            <w:vAlign w:val="center"/>
          </w:tcPr>
          <w:p w:rsidR="00E25EE5" w:rsidRPr="00D6141D" w:rsidRDefault="00E25EE5" w:rsidP="0004107D">
            <w:pPr>
              <w:pStyle w:val="naiskr"/>
              <w:tabs>
                <w:tab w:val="left" w:pos="170"/>
              </w:tabs>
              <w:ind w:left="170" w:right="-151"/>
            </w:pPr>
            <w:r w:rsidRPr="00D6141D">
              <w:rPr>
                <w:sz w:val="22"/>
                <w:szCs w:val="22"/>
              </w:rPr>
              <w:t>Pašreizējā situācija un problēmas</w:t>
            </w:r>
          </w:p>
        </w:tc>
        <w:tc>
          <w:tcPr>
            <w:tcW w:w="5811" w:type="dxa"/>
            <w:vAlign w:val="center"/>
          </w:tcPr>
          <w:p w:rsidR="00051F54" w:rsidRDefault="00E25EE5" w:rsidP="0004107D">
            <w:pPr>
              <w:pStyle w:val="naiskr"/>
              <w:ind w:right="131"/>
              <w:jc w:val="both"/>
            </w:pPr>
            <w:r w:rsidRPr="00D6141D">
              <w:rPr>
                <w:iCs/>
                <w:sz w:val="22"/>
                <w:szCs w:val="22"/>
              </w:rPr>
              <w:t xml:space="preserve">Ministru kabineta noteikumu projekts (turpmāk – noteikumu projekts) paredz </w:t>
            </w:r>
            <w:r w:rsidR="00C70F0B">
              <w:rPr>
                <w:iCs/>
                <w:sz w:val="22"/>
                <w:szCs w:val="22"/>
              </w:rPr>
              <w:t>paplašināt</w:t>
            </w:r>
            <w:r w:rsidRPr="00D6141D">
              <w:rPr>
                <w:iCs/>
                <w:sz w:val="22"/>
                <w:szCs w:val="22"/>
              </w:rPr>
              <w:t xml:space="preserve"> Iekšlietu ministrijas Informācijas centra (turpmāk – Centrs) </w:t>
            </w:r>
            <w:r w:rsidR="00C70F0B">
              <w:rPr>
                <w:iCs/>
                <w:sz w:val="22"/>
                <w:szCs w:val="22"/>
              </w:rPr>
              <w:t>uzdevumu</w:t>
            </w:r>
            <w:r w:rsidR="00A23EE5">
              <w:rPr>
                <w:iCs/>
                <w:sz w:val="22"/>
                <w:szCs w:val="22"/>
              </w:rPr>
              <w:t>s</w:t>
            </w:r>
            <w:r w:rsidRPr="00D6141D">
              <w:rPr>
                <w:iCs/>
                <w:sz w:val="22"/>
                <w:szCs w:val="22"/>
              </w:rPr>
              <w:t>.</w:t>
            </w:r>
            <w:r w:rsidR="00051F54">
              <w:rPr>
                <w:sz w:val="22"/>
                <w:szCs w:val="22"/>
              </w:rPr>
              <w:t xml:space="preserve"> </w:t>
            </w:r>
          </w:p>
          <w:p w:rsidR="00B83347" w:rsidRDefault="00B83347" w:rsidP="0004107D">
            <w:pPr>
              <w:pStyle w:val="naiskr"/>
              <w:ind w:right="131"/>
              <w:jc w:val="both"/>
            </w:pPr>
            <w:r>
              <w:rPr>
                <w:sz w:val="22"/>
                <w:szCs w:val="22"/>
              </w:rPr>
              <w:t>Saskaņā ar Ministru kabineta 2004.gada 8.jūnija noteikumu Nr.526 „Iekšlietu ministrijas Informā</w:t>
            </w:r>
            <w:r w:rsidR="00A23EE5">
              <w:rPr>
                <w:sz w:val="22"/>
                <w:szCs w:val="22"/>
              </w:rPr>
              <w:t>cijas centra nolikums” 2.punktu</w:t>
            </w:r>
            <w:r>
              <w:rPr>
                <w:sz w:val="22"/>
                <w:szCs w:val="22"/>
              </w:rPr>
              <w:t xml:space="preserve"> Centra darbības mērķis ir veici</w:t>
            </w:r>
            <w:r w:rsidR="00581756">
              <w:rPr>
                <w:sz w:val="22"/>
                <w:szCs w:val="22"/>
              </w:rPr>
              <w:t>nāt noziedzības novēršanu un ap</w:t>
            </w:r>
            <w:r>
              <w:rPr>
                <w:sz w:val="22"/>
                <w:szCs w:val="22"/>
              </w:rPr>
              <w:t xml:space="preserve">karošanu, sabiedriskās kārtības un drošības aizsardzību, izmantojot informācijas apstrādes un analīzes līdzekļus, kā arī nodrošināt Iekšlietu ministriju un tās padotībā esošās iestādes ar Eiropas Savienības prasībām atbilstošām operatīvo radiosakaru un privāto elektronisko sakaru tīklu sistēmām. </w:t>
            </w:r>
          </w:p>
          <w:p w:rsidR="00092245" w:rsidRPr="007577DB" w:rsidRDefault="00A23EE5" w:rsidP="007577DB">
            <w:pPr>
              <w:pStyle w:val="naiskr"/>
              <w:ind w:right="131"/>
              <w:jc w:val="both"/>
            </w:pPr>
            <w:r>
              <w:rPr>
                <w:sz w:val="22"/>
                <w:szCs w:val="22"/>
              </w:rPr>
              <w:t>Š</w:t>
            </w:r>
            <w:r w:rsidR="00F0509E">
              <w:rPr>
                <w:sz w:val="22"/>
                <w:szCs w:val="22"/>
              </w:rPr>
              <w:t xml:space="preserve">obrīd </w:t>
            </w:r>
            <w:r w:rsidR="00F0509E" w:rsidRPr="00D6141D">
              <w:rPr>
                <w:sz w:val="22"/>
                <w:szCs w:val="22"/>
              </w:rPr>
              <w:t>Iekšlietu ministrijas radiosakaru sistēmas infrastruktūru, atbilsto</w:t>
            </w:r>
            <w:r w:rsidR="00F0509E">
              <w:rPr>
                <w:sz w:val="22"/>
                <w:szCs w:val="22"/>
              </w:rPr>
              <w:t xml:space="preserve">ši normatīvajos aktos noteikto </w:t>
            </w:r>
            <w:r w:rsidR="00F0509E" w:rsidRPr="00D6141D">
              <w:rPr>
                <w:sz w:val="22"/>
                <w:szCs w:val="22"/>
              </w:rPr>
              <w:t xml:space="preserve">deleģēto funkciju izpildes nodrošināšanai, izmanto ne tikai Iekšlietu ministrija un tās </w:t>
            </w:r>
            <w:r w:rsidR="00F0509E">
              <w:rPr>
                <w:sz w:val="22"/>
                <w:szCs w:val="22"/>
              </w:rPr>
              <w:t>padotībā</w:t>
            </w:r>
            <w:r>
              <w:rPr>
                <w:sz w:val="22"/>
                <w:szCs w:val="22"/>
              </w:rPr>
              <w:t xml:space="preserve"> esošā</w:t>
            </w:r>
            <w:r w:rsidR="00F0509E" w:rsidRPr="00D6141D">
              <w:rPr>
                <w:sz w:val="22"/>
                <w:szCs w:val="22"/>
              </w:rPr>
              <w:t xml:space="preserve">s iestādes, bet arī citas valsts un pašvaldību iestādes - Aizsardzības ministrija un tās </w:t>
            </w:r>
            <w:r>
              <w:rPr>
                <w:sz w:val="22"/>
                <w:szCs w:val="22"/>
              </w:rPr>
              <w:t>padotībā esošā</w:t>
            </w:r>
            <w:r w:rsidR="00F0509E" w:rsidRPr="00D6141D">
              <w:rPr>
                <w:sz w:val="22"/>
                <w:szCs w:val="22"/>
              </w:rPr>
              <w:t>s iestādes, Neatliekamās medicīniskās palīdzības dienests, S</w:t>
            </w:r>
            <w:r>
              <w:rPr>
                <w:sz w:val="22"/>
                <w:szCs w:val="22"/>
              </w:rPr>
              <w:t>atversmes aizsardzības birojs, pašvaldības</w:t>
            </w:r>
            <w:r w:rsidR="00F0509E" w:rsidRPr="00D6141D">
              <w:rPr>
                <w:sz w:val="22"/>
                <w:szCs w:val="22"/>
              </w:rPr>
              <w:t xml:space="preserve"> policija, Latvijas Banka, Ieslodzījum</w:t>
            </w:r>
            <w:r w:rsidR="00F0509E">
              <w:rPr>
                <w:sz w:val="22"/>
                <w:szCs w:val="22"/>
              </w:rPr>
              <w:t>a</w:t>
            </w:r>
            <w:r w:rsidR="007577DB">
              <w:rPr>
                <w:sz w:val="22"/>
                <w:szCs w:val="22"/>
              </w:rPr>
              <w:t xml:space="preserve"> vietu pārvalde un citi</w:t>
            </w:r>
            <w:r w:rsidR="00F0509E">
              <w:rPr>
                <w:sz w:val="22"/>
                <w:szCs w:val="22"/>
              </w:rPr>
              <w:t>.</w:t>
            </w:r>
          </w:p>
          <w:p w:rsidR="00092245" w:rsidRDefault="00B83347" w:rsidP="00F0509E">
            <w:pPr>
              <w:pStyle w:val="naiskr"/>
              <w:ind w:right="131"/>
              <w:jc w:val="both"/>
            </w:pPr>
            <w:r>
              <w:rPr>
                <w:sz w:val="22"/>
                <w:szCs w:val="22"/>
              </w:rPr>
              <w:t xml:space="preserve">Saskaņā ar Elektronisko sakaru likuma 14.panta trešo daļu privātais elektroniskais sakaru tīkls ir tāds elektronisko sakaru tīkls, kas tiek izveidots un ekspluatēts tikai tā īpašnieka vajadzību apmierināšanai. </w:t>
            </w:r>
            <w:r w:rsidR="00092245">
              <w:rPr>
                <w:sz w:val="22"/>
                <w:szCs w:val="22"/>
              </w:rPr>
              <w:t>Citos gadījumos, izņemot privāto elektronisko sakaru tīkla īpašnieka vajadzību apmierināšanu, atbilstoši Elektronisko sakaru likuma 25.panta otrajai daļai, privātā elektronisko sakaru tīkla izmantošana ir aizliegta.</w:t>
            </w:r>
          </w:p>
          <w:p w:rsidR="00716785" w:rsidRPr="00716785" w:rsidRDefault="00716785" w:rsidP="00092245">
            <w:pPr>
              <w:pStyle w:val="naiskr"/>
              <w:ind w:right="131"/>
              <w:jc w:val="both"/>
            </w:pPr>
            <w:r>
              <w:rPr>
                <w:sz w:val="22"/>
                <w:szCs w:val="22"/>
              </w:rPr>
              <w:t>Centrs šobrīd</w:t>
            </w:r>
            <w:r w:rsidR="00A23EE5">
              <w:rPr>
                <w:sz w:val="22"/>
                <w:szCs w:val="22"/>
              </w:rPr>
              <w:t xml:space="preserve"> uztur un nodrošina nepārtrauktu</w:t>
            </w:r>
            <w:r>
              <w:rPr>
                <w:sz w:val="22"/>
                <w:szCs w:val="22"/>
              </w:rPr>
              <w:t xml:space="preserve"> darbību Iekšlietu ministrijas radiosakaru sistēmai, kuras pamatlietotāji ir </w:t>
            </w:r>
            <w:r w:rsidRPr="00D6141D">
              <w:rPr>
                <w:sz w:val="22"/>
                <w:szCs w:val="22"/>
              </w:rPr>
              <w:t>Latvijas operatīvie dienesti (Valsts policija, Valsts ugunsdzēsības un glābšanas dienests, Neatliekamās medicīniskās palīdzības dienests)</w:t>
            </w:r>
            <w:r>
              <w:rPr>
                <w:sz w:val="22"/>
                <w:szCs w:val="22"/>
              </w:rPr>
              <w:t>, taču tiem ir nepieciešamība</w:t>
            </w:r>
            <w:r w:rsidRPr="00D6141D">
              <w:rPr>
                <w:sz w:val="22"/>
                <w:szCs w:val="22"/>
              </w:rPr>
              <w:t xml:space="preserve"> sadarbo</w:t>
            </w:r>
            <w:r>
              <w:rPr>
                <w:sz w:val="22"/>
                <w:szCs w:val="22"/>
              </w:rPr>
              <w:t>ties</w:t>
            </w:r>
            <w:r w:rsidRPr="00D6141D">
              <w:rPr>
                <w:sz w:val="22"/>
                <w:szCs w:val="22"/>
              </w:rPr>
              <w:t xml:space="preserve"> </w:t>
            </w:r>
            <w:r>
              <w:rPr>
                <w:sz w:val="22"/>
                <w:szCs w:val="22"/>
              </w:rPr>
              <w:t>valsts drošības un sabiedriskās kārtības apdraudējuma un</w:t>
            </w:r>
            <w:r w:rsidRPr="00D6141D">
              <w:rPr>
                <w:sz w:val="22"/>
                <w:szCs w:val="22"/>
              </w:rPr>
              <w:t xml:space="preserve"> ārkārtas </w:t>
            </w:r>
            <w:r>
              <w:rPr>
                <w:sz w:val="22"/>
                <w:szCs w:val="22"/>
              </w:rPr>
              <w:t>gadījumos arī</w:t>
            </w:r>
            <w:r w:rsidRPr="00D6141D">
              <w:rPr>
                <w:sz w:val="22"/>
                <w:szCs w:val="22"/>
              </w:rPr>
              <w:t xml:space="preserve"> ar privāt</w:t>
            </w:r>
            <w:r w:rsidR="00A23EE5">
              <w:rPr>
                <w:sz w:val="22"/>
                <w:szCs w:val="22"/>
              </w:rPr>
              <w:t>o tiesību subjektiem (</w:t>
            </w:r>
            <w:r>
              <w:rPr>
                <w:sz w:val="22"/>
                <w:szCs w:val="22"/>
              </w:rPr>
              <w:t>k</w:t>
            </w:r>
            <w:r w:rsidR="00A23EE5">
              <w:rPr>
                <w:sz w:val="22"/>
                <w:szCs w:val="22"/>
              </w:rPr>
              <w:t>ritiskās infrastruktūras objektiem)</w:t>
            </w:r>
            <w:r>
              <w:rPr>
                <w:sz w:val="22"/>
                <w:szCs w:val="22"/>
              </w:rPr>
              <w:t xml:space="preserve"> </w:t>
            </w:r>
            <w:r w:rsidRPr="00D6141D">
              <w:rPr>
                <w:sz w:val="22"/>
                <w:szCs w:val="22"/>
              </w:rPr>
              <w:t xml:space="preserve">(piemēram, </w:t>
            </w:r>
            <w:r w:rsidR="007D5388">
              <w:rPr>
                <w:sz w:val="22"/>
                <w:szCs w:val="22"/>
              </w:rPr>
              <w:t xml:space="preserve">VAS </w:t>
            </w:r>
            <w:r w:rsidRPr="00D6141D">
              <w:rPr>
                <w:sz w:val="22"/>
                <w:szCs w:val="22"/>
              </w:rPr>
              <w:t xml:space="preserve">starptautisko lidostu „Rīga”, </w:t>
            </w:r>
            <w:r w:rsidR="00BF14FD">
              <w:rPr>
                <w:sz w:val="22"/>
                <w:szCs w:val="22"/>
              </w:rPr>
              <w:t>AS</w:t>
            </w:r>
            <w:r w:rsidRPr="00D6141D">
              <w:rPr>
                <w:sz w:val="22"/>
                <w:szCs w:val="22"/>
              </w:rPr>
              <w:t xml:space="preserve"> „Latvijas Gāze”</w:t>
            </w:r>
            <w:r w:rsidR="007D5388">
              <w:rPr>
                <w:sz w:val="22"/>
                <w:szCs w:val="22"/>
              </w:rPr>
              <w:t xml:space="preserve">, VAS </w:t>
            </w:r>
            <w:r w:rsidR="00BF14FD">
              <w:rPr>
                <w:sz w:val="22"/>
                <w:szCs w:val="22"/>
              </w:rPr>
              <w:t>„</w:t>
            </w:r>
            <w:r w:rsidR="007D5388">
              <w:rPr>
                <w:sz w:val="22"/>
                <w:szCs w:val="22"/>
              </w:rPr>
              <w:t>Latvenergo</w:t>
            </w:r>
            <w:r w:rsidR="00BF14FD">
              <w:rPr>
                <w:sz w:val="22"/>
                <w:szCs w:val="22"/>
              </w:rPr>
              <w:t>”</w:t>
            </w:r>
            <w:r w:rsidR="007D5388">
              <w:rPr>
                <w:sz w:val="22"/>
                <w:szCs w:val="22"/>
              </w:rPr>
              <w:t xml:space="preserve">, VAS </w:t>
            </w:r>
            <w:r w:rsidR="00BF14FD">
              <w:rPr>
                <w:sz w:val="22"/>
                <w:szCs w:val="22"/>
              </w:rPr>
              <w:t>„Latvijas dzelzceļš”</w:t>
            </w:r>
            <w:r w:rsidR="007D5388">
              <w:rPr>
                <w:sz w:val="22"/>
                <w:szCs w:val="22"/>
              </w:rPr>
              <w:t xml:space="preserve"> u.c.</w:t>
            </w:r>
            <w:r w:rsidRPr="00D6141D">
              <w:rPr>
                <w:sz w:val="22"/>
                <w:szCs w:val="22"/>
              </w:rPr>
              <w:t xml:space="preserve">), lai nodrošinātu </w:t>
            </w:r>
            <w:r>
              <w:rPr>
                <w:sz w:val="22"/>
                <w:szCs w:val="22"/>
              </w:rPr>
              <w:t>sabiedriskās kārtības un drošības</w:t>
            </w:r>
            <w:r w:rsidRPr="00D6141D">
              <w:rPr>
                <w:sz w:val="22"/>
                <w:szCs w:val="22"/>
              </w:rPr>
              <w:t xml:space="preserve"> un ārkārtas situāciju risināšanu</w:t>
            </w:r>
            <w:r w:rsidR="007D171E">
              <w:rPr>
                <w:sz w:val="22"/>
                <w:szCs w:val="22"/>
              </w:rPr>
              <w:t xml:space="preserve"> kritiskās infrastruktūras objektos</w:t>
            </w:r>
            <w:r w:rsidRPr="00D6141D">
              <w:rPr>
                <w:sz w:val="22"/>
                <w:szCs w:val="22"/>
              </w:rPr>
              <w:t xml:space="preserve">. </w:t>
            </w:r>
          </w:p>
          <w:p w:rsidR="00716785" w:rsidRPr="00D6141D" w:rsidRDefault="00716785" w:rsidP="00716785">
            <w:pPr>
              <w:pStyle w:val="naiskr"/>
              <w:ind w:right="131"/>
              <w:jc w:val="both"/>
            </w:pPr>
            <w:r w:rsidRPr="00D6141D">
              <w:rPr>
                <w:sz w:val="22"/>
                <w:szCs w:val="22"/>
              </w:rPr>
              <w:t xml:space="preserve">Lai nodrošinātu pilnvērtīgu un operatīvu privātpersonu sadarbību </w:t>
            </w:r>
            <w:r w:rsidR="007D171E">
              <w:rPr>
                <w:sz w:val="22"/>
                <w:szCs w:val="22"/>
              </w:rPr>
              <w:t xml:space="preserve">kritiskās infrastruktūras objektos </w:t>
            </w:r>
            <w:r w:rsidRPr="00D6141D">
              <w:rPr>
                <w:sz w:val="22"/>
                <w:szCs w:val="22"/>
              </w:rPr>
              <w:t xml:space="preserve">ar Iekšlietu ministrijas radiosakaru sistēmas lietotājiem, ir nepieciešams izmantot vienotu radiosakaru infrastruktūru. Vienas infrastruktūras izmantošana nodrošinās operatīvajiem </w:t>
            </w:r>
            <w:r w:rsidRPr="00D6141D">
              <w:rPr>
                <w:sz w:val="22"/>
                <w:szCs w:val="22"/>
              </w:rPr>
              <w:lastRenderedPageBreak/>
              <w:t>dienestiem iespēju</w:t>
            </w:r>
            <w:r>
              <w:rPr>
                <w:sz w:val="22"/>
                <w:szCs w:val="22"/>
              </w:rPr>
              <w:t xml:space="preserve"> valsts drošības, sabiedriskās kārtības apdraudējuma un</w:t>
            </w:r>
            <w:r w:rsidRPr="00D6141D">
              <w:rPr>
                <w:sz w:val="22"/>
                <w:szCs w:val="22"/>
              </w:rPr>
              <w:t xml:space="preserve"> ārkārtas situācij</w:t>
            </w:r>
            <w:r>
              <w:rPr>
                <w:sz w:val="22"/>
                <w:szCs w:val="22"/>
              </w:rPr>
              <w:t>as gadījumos,</w:t>
            </w:r>
            <w:r w:rsidRPr="00D6141D">
              <w:rPr>
                <w:sz w:val="22"/>
                <w:szCs w:val="22"/>
              </w:rPr>
              <w:t xml:space="preserve"> savstarpēji sazināties un s</w:t>
            </w:r>
            <w:r>
              <w:rPr>
                <w:sz w:val="22"/>
                <w:szCs w:val="22"/>
              </w:rPr>
              <w:t xml:space="preserve">adarboties, lai nodrošinātu </w:t>
            </w:r>
            <w:r w:rsidRPr="00D6141D">
              <w:rPr>
                <w:sz w:val="22"/>
                <w:szCs w:val="22"/>
              </w:rPr>
              <w:t>funkciju veikšanu</w:t>
            </w:r>
            <w:r>
              <w:rPr>
                <w:sz w:val="22"/>
                <w:szCs w:val="22"/>
              </w:rPr>
              <w:t xml:space="preserve"> un</w:t>
            </w:r>
            <w:r w:rsidRPr="00D6141D">
              <w:rPr>
                <w:sz w:val="22"/>
                <w:szCs w:val="22"/>
              </w:rPr>
              <w:t xml:space="preserve"> ārkārtas situāciju novēršanu</w:t>
            </w:r>
            <w:r w:rsidR="007D171E">
              <w:rPr>
                <w:sz w:val="22"/>
                <w:szCs w:val="22"/>
              </w:rPr>
              <w:t xml:space="preserve"> kritiskās infrastruktūras objektos</w:t>
            </w:r>
            <w:r w:rsidRPr="00D6141D">
              <w:rPr>
                <w:sz w:val="22"/>
                <w:szCs w:val="22"/>
              </w:rPr>
              <w:t>.</w:t>
            </w:r>
          </w:p>
          <w:p w:rsidR="00092245" w:rsidRDefault="00716785" w:rsidP="00F0509E">
            <w:pPr>
              <w:pStyle w:val="naiskr"/>
              <w:ind w:right="131"/>
              <w:jc w:val="both"/>
            </w:pPr>
            <w:r>
              <w:rPr>
                <w:sz w:val="22"/>
                <w:szCs w:val="22"/>
              </w:rPr>
              <w:t xml:space="preserve">Ņemot vērā to, ka Iekšlietu ministrijas radiosakaru sistēmas lietošana ir </w:t>
            </w:r>
            <w:r w:rsidR="00BC19D0">
              <w:rPr>
                <w:sz w:val="22"/>
                <w:szCs w:val="22"/>
              </w:rPr>
              <w:t>nozīmīga</w:t>
            </w:r>
            <w:r>
              <w:rPr>
                <w:sz w:val="22"/>
                <w:szCs w:val="22"/>
              </w:rPr>
              <w:t xml:space="preserve"> sadarbības starp kritiskās infrastruktūras objektu pārvaldniekiem</w:t>
            </w:r>
            <w:r w:rsidR="001633A5">
              <w:rPr>
                <w:sz w:val="22"/>
                <w:szCs w:val="22"/>
              </w:rPr>
              <w:t xml:space="preserve"> un Latvijas operatīvajiem dienestiem</w:t>
            </w:r>
            <w:r>
              <w:rPr>
                <w:sz w:val="22"/>
                <w:szCs w:val="22"/>
              </w:rPr>
              <w:t xml:space="preserve"> nodrošināšanai, p</w:t>
            </w:r>
            <w:r w:rsidR="00092245" w:rsidRPr="00FB47D6">
              <w:rPr>
                <w:sz w:val="22"/>
                <w:szCs w:val="22"/>
              </w:rPr>
              <w:t>amatojoties uz Nacionālā drošības likumā noteiktajiem mērķiem un uzdevumiem, un likuma 13.pantā noteikto Iekšlietu ministrijas kompetenci</w:t>
            </w:r>
            <w:r w:rsidR="007D171E">
              <w:rPr>
                <w:sz w:val="22"/>
                <w:szCs w:val="22"/>
              </w:rPr>
              <w:t xml:space="preserve"> kritiskās infrastruktūras drošības pasākumu plānošanā un īstenošanā</w:t>
            </w:r>
            <w:r w:rsidR="00092245" w:rsidRPr="00FB47D6">
              <w:rPr>
                <w:sz w:val="22"/>
                <w:szCs w:val="22"/>
              </w:rPr>
              <w:t xml:space="preserve">, kā arī pamatojoties uz Nacionālā drošības likuma </w:t>
            </w:r>
            <w:r w:rsidR="00092245" w:rsidRPr="00FB47D6">
              <w:rPr>
                <w:bCs/>
                <w:sz w:val="22"/>
                <w:szCs w:val="22"/>
              </w:rPr>
              <w:t>22.</w:t>
            </w:r>
            <w:r w:rsidR="00092245" w:rsidRPr="00FB47D6">
              <w:rPr>
                <w:bCs/>
                <w:sz w:val="22"/>
                <w:szCs w:val="22"/>
                <w:vertAlign w:val="superscript"/>
              </w:rPr>
              <w:t>2</w:t>
            </w:r>
            <w:r w:rsidR="00092245" w:rsidRPr="00FB47D6">
              <w:rPr>
                <w:bCs/>
                <w:sz w:val="22"/>
                <w:szCs w:val="22"/>
              </w:rPr>
              <w:t xml:space="preserve"> panta </w:t>
            </w:r>
            <w:r w:rsidR="00092245" w:rsidRPr="00FB47D6">
              <w:rPr>
                <w:sz w:val="22"/>
                <w:szCs w:val="22"/>
              </w:rPr>
              <w:t xml:space="preserve">pirmo </w:t>
            </w:r>
            <w:r>
              <w:rPr>
                <w:sz w:val="22"/>
                <w:szCs w:val="22"/>
              </w:rPr>
              <w:t>daļu</w:t>
            </w:r>
            <w:r w:rsidR="00092245" w:rsidRPr="00FB47D6">
              <w:rPr>
                <w:sz w:val="22"/>
                <w:szCs w:val="22"/>
              </w:rPr>
              <w:t>, Ministru kabineta 2010.gada 1.jūnija noteikumiem Nr.496 „</w:t>
            </w:r>
            <w:r w:rsidR="00092245" w:rsidRPr="00FB47D6">
              <w:rPr>
                <w:bCs/>
                <w:sz w:val="22"/>
                <w:szCs w:val="22"/>
              </w:rPr>
              <w:t>Kritiskās infrastruktūras, tajā skaitā Eiropas kritiskās infrastruktūras, apzināšanas un drošības pasākumu plānošanas un īstenošanas kārtība</w:t>
            </w:r>
            <w:r w:rsidR="00092245" w:rsidRPr="00FB47D6">
              <w:rPr>
                <w:sz w:val="22"/>
                <w:szCs w:val="22"/>
              </w:rPr>
              <w:t xml:space="preserve">” </w:t>
            </w:r>
            <w:r w:rsidR="00092245" w:rsidRPr="00FB47D6">
              <w:rPr>
                <w:bCs/>
                <w:sz w:val="22"/>
                <w:szCs w:val="22"/>
              </w:rPr>
              <w:t xml:space="preserve">III. nodaļas „Kritiskās infrastruktūras un Eiropas kritiskās infrastruktūras apzināšana” </w:t>
            </w:r>
            <w:r w:rsidR="00092245" w:rsidRPr="00FB47D6">
              <w:rPr>
                <w:sz w:val="22"/>
                <w:szCs w:val="22"/>
              </w:rPr>
              <w:t>kritēriji</w:t>
            </w:r>
            <w:r w:rsidR="00092245">
              <w:rPr>
                <w:sz w:val="22"/>
                <w:szCs w:val="22"/>
              </w:rPr>
              <w:t>em</w:t>
            </w:r>
            <w:r w:rsidR="00BC19D0">
              <w:rPr>
                <w:sz w:val="22"/>
                <w:szCs w:val="22"/>
              </w:rPr>
              <w:t>. Kritiskās infrastruktūras objekta pārvaldniekiem</w:t>
            </w:r>
            <w:r w:rsidR="00092245" w:rsidRPr="00FB47D6">
              <w:rPr>
                <w:sz w:val="22"/>
                <w:szCs w:val="22"/>
                <w:lang w:eastAsia="en-US"/>
              </w:rPr>
              <w:t xml:space="preserve">, kuri izmantos savas radiosakaru sistēmas (piemēram, </w:t>
            </w:r>
            <w:r w:rsidR="00092245">
              <w:rPr>
                <w:sz w:val="22"/>
                <w:szCs w:val="22"/>
                <w:lang w:eastAsia="en-US"/>
              </w:rPr>
              <w:t xml:space="preserve">akciju sabiedrība </w:t>
            </w:r>
            <w:r w:rsidR="00092245" w:rsidRPr="00FB47D6">
              <w:rPr>
                <w:sz w:val="22"/>
                <w:szCs w:val="22"/>
                <w:lang w:eastAsia="en-US"/>
              </w:rPr>
              <w:t xml:space="preserve">„Latvijas gāze”, </w:t>
            </w:r>
            <w:r w:rsidR="007D5388">
              <w:rPr>
                <w:sz w:val="22"/>
                <w:szCs w:val="22"/>
                <w:lang w:eastAsia="en-US"/>
              </w:rPr>
              <w:t xml:space="preserve">valsts </w:t>
            </w:r>
            <w:r w:rsidR="00092245">
              <w:rPr>
                <w:sz w:val="22"/>
                <w:szCs w:val="22"/>
                <w:lang w:eastAsia="en-US"/>
              </w:rPr>
              <w:t xml:space="preserve">akciju sabiedrība </w:t>
            </w:r>
            <w:r w:rsidR="00092245" w:rsidRPr="00FB47D6">
              <w:rPr>
                <w:sz w:val="22"/>
                <w:szCs w:val="22"/>
                <w:lang w:eastAsia="en-US"/>
              </w:rPr>
              <w:t xml:space="preserve">„Latvenergo”, u.c.), tiks nodrošināta iespēja pieslēgties </w:t>
            </w:r>
            <w:r w:rsidR="00A23EE5">
              <w:rPr>
                <w:sz w:val="22"/>
                <w:szCs w:val="22"/>
                <w:lang w:eastAsia="en-US"/>
              </w:rPr>
              <w:t>I</w:t>
            </w:r>
            <w:r>
              <w:rPr>
                <w:sz w:val="22"/>
                <w:szCs w:val="22"/>
                <w:lang w:eastAsia="en-US"/>
              </w:rPr>
              <w:t>ekšlietu ministrijas</w:t>
            </w:r>
            <w:r w:rsidR="00092245">
              <w:rPr>
                <w:sz w:val="22"/>
                <w:szCs w:val="22"/>
                <w:lang w:eastAsia="en-US"/>
              </w:rPr>
              <w:t xml:space="preserve"> radiosakaru sistēmai</w:t>
            </w:r>
            <w:r w:rsidR="00092245" w:rsidRPr="00FB47D6">
              <w:rPr>
                <w:sz w:val="22"/>
                <w:szCs w:val="22"/>
                <w:lang w:eastAsia="en-US"/>
              </w:rPr>
              <w:t>, ja attiecīg</w:t>
            </w:r>
            <w:r>
              <w:rPr>
                <w:sz w:val="22"/>
                <w:szCs w:val="22"/>
                <w:lang w:eastAsia="en-US"/>
              </w:rPr>
              <w:t xml:space="preserve">ās privātpersonas </w:t>
            </w:r>
            <w:r w:rsidR="00092245" w:rsidRPr="00FB47D6">
              <w:rPr>
                <w:sz w:val="22"/>
                <w:szCs w:val="22"/>
                <w:lang w:eastAsia="en-US"/>
              </w:rPr>
              <w:t xml:space="preserve">vai iestādes par saviem finanšu līdzekļiem iegādāsies radiostacijas vai infrastruktūras iekārtas (teritoriālās bāzes stacijas), kas būs savietojamas ar </w:t>
            </w:r>
            <w:r>
              <w:rPr>
                <w:sz w:val="22"/>
                <w:szCs w:val="22"/>
                <w:lang w:eastAsia="en-US"/>
              </w:rPr>
              <w:t>Iekšlietu ministrijas radio</w:t>
            </w:r>
            <w:r w:rsidR="00092245">
              <w:rPr>
                <w:sz w:val="22"/>
                <w:szCs w:val="22"/>
                <w:lang w:eastAsia="en-US"/>
              </w:rPr>
              <w:t>sakaru sistēmu</w:t>
            </w:r>
            <w:r w:rsidR="00092245" w:rsidRPr="00FB47D6">
              <w:rPr>
                <w:sz w:val="22"/>
                <w:szCs w:val="22"/>
                <w:lang w:eastAsia="en-US"/>
              </w:rPr>
              <w:t>.</w:t>
            </w:r>
          </w:p>
          <w:p w:rsidR="00092245" w:rsidRPr="00716785" w:rsidRDefault="00092245" w:rsidP="00F0509E">
            <w:pPr>
              <w:pStyle w:val="naiskr"/>
              <w:ind w:right="131"/>
              <w:jc w:val="both"/>
              <w:rPr>
                <w:iCs/>
              </w:rPr>
            </w:pPr>
            <w:r>
              <w:rPr>
                <w:sz w:val="22"/>
                <w:szCs w:val="22"/>
              </w:rPr>
              <w:t xml:space="preserve">Ar Ministru kabineta 2012.gada 5.februāra rīkojumu Nr.39 „Par darbības programmas „Infrastruktūra un pakalpojumi” papildinājuma 3.2.2.pasākuma „IKT infrastruktūra un pakalpojumi” 3.2.2.1.aktivitātes „Publisko pārvaldes elektronisko pakalpojumu un informācijas sistēmu attīstība” 3.2.2.1.1.apakšaktiviātes „Informācijas sistēmu un elektronisko pakalpojumu attīstība” projekta „Iekšlietu ministrijas radiosakaru sistēmas modernizācija” radiosakaru sistēmas darbības koncepcijas aprakstu”, ir pausts Ministru kabineta atbalsts arī turpmākai </w:t>
            </w:r>
            <w:r w:rsidR="00BC19D0">
              <w:rPr>
                <w:sz w:val="22"/>
                <w:szCs w:val="22"/>
              </w:rPr>
              <w:t xml:space="preserve">minētajai </w:t>
            </w:r>
            <w:r>
              <w:rPr>
                <w:sz w:val="22"/>
                <w:szCs w:val="22"/>
              </w:rPr>
              <w:t>sadarbībai starp Iekšlietu ministrijas radiosakaru sistēmu un kritiskās infrastruktūras objektu pārvaldniekiem.</w:t>
            </w:r>
          </w:p>
          <w:p w:rsidR="00E25EE5" w:rsidRPr="007F1D7C" w:rsidRDefault="00092245" w:rsidP="00A23EE5">
            <w:pPr>
              <w:pStyle w:val="naiskr"/>
              <w:ind w:right="131"/>
              <w:jc w:val="both"/>
            </w:pPr>
            <w:r>
              <w:rPr>
                <w:sz w:val="22"/>
                <w:szCs w:val="22"/>
              </w:rPr>
              <w:t>Taču</w:t>
            </w:r>
            <w:r w:rsidR="00A23EE5">
              <w:rPr>
                <w:sz w:val="22"/>
                <w:szCs w:val="22"/>
              </w:rPr>
              <w:t xml:space="preserve">, </w:t>
            </w:r>
            <w:r>
              <w:rPr>
                <w:sz w:val="22"/>
                <w:szCs w:val="22"/>
              </w:rPr>
              <w:t>l</w:t>
            </w:r>
            <w:r w:rsidR="00B83347">
              <w:rPr>
                <w:sz w:val="22"/>
                <w:szCs w:val="22"/>
              </w:rPr>
              <w:t xml:space="preserve">ai </w:t>
            </w:r>
            <w:r w:rsidR="00716785">
              <w:rPr>
                <w:sz w:val="22"/>
                <w:szCs w:val="22"/>
              </w:rPr>
              <w:t xml:space="preserve">turpmāk nodrošinātu </w:t>
            </w:r>
            <w:r w:rsidR="00B83347">
              <w:rPr>
                <w:sz w:val="22"/>
                <w:szCs w:val="22"/>
              </w:rPr>
              <w:t>Iekšlietu ministrijas padotībā esošo operatīvo dienestu sadarbīb</w:t>
            </w:r>
            <w:r>
              <w:rPr>
                <w:sz w:val="22"/>
                <w:szCs w:val="22"/>
              </w:rPr>
              <w:t>u,</w:t>
            </w:r>
            <w:r w:rsidR="00581756">
              <w:rPr>
                <w:sz w:val="22"/>
                <w:szCs w:val="22"/>
              </w:rPr>
              <w:t xml:space="preserve"> </w:t>
            </w:r>
            <w:r>
              <w:rPr>
                <w:sz w:val="22"/>
                <w:szCs w:val="22"/>
              </w:rPr>
              <w:t>st</w:t>
            </w:r>
            <w:r w:rsidR="00581756">
              <w:rPr>
                <w:sz w:val="22"/>
                <w:szCs w:val="22"/>
              </w:rPr>
              <w:t>ar</w:t>
            </w:r>
            <w:r>
              <w:rPr>
                <w:sz w:val="22"/>
                <w:szCs w:val="22"/>
              </w:rPr>
              <w:t>p</w:t>
            </w:r>
            <w:r w:rsidR="00581756">
              <w:rPr>
                <w:sz w:val="22"/>
                <w:szCs w:val="22"/>
              </w:rPr>
              <w:t xml:space="preserve"> </w:t>
            </w:r>
            <w:r w:rsidR="00716785">
              <w:rPr>
                <w:sz w:val="22"/>
                <w:szCs w:val="22"/>
              </w:rPr>
              <w:t xml:space="preserve">Iekšlietu ministriju un tās padotībā esošajām iestādēm, </w:t>
            </w:r>
            <w:r w:rsidR="00581756">
              <w:rPr>
                <w:sz w:val="22"/>
                <w:szCs w:val="22"/>
              </w:rPr>
              <w:t>cit</w:t>
            </w:r>
            <w:r>
              <w:rPr>
                <w:sz w:val="22"/>
                <w:szCs w:val="22"/>
              </w:rPr>
              <w:t>u</w:t>
            </w:r>
            <w:r w:rsidR="00581756">
              <w:rPr>
                <w:sz w:val="22"/>
                <w:szCs w:val="22"/>
              </w:rPr>
              <w:t xml:space="preserve"> min</w:t>
            </w:r>
            <w:r w:rsidR="00B83347">
              <w:rPr>
                <w:sz w:val="22"/>
                <w:szCs w:val="22"/>
              </w:rPr>
              <w:t>i</w:t>
            </w:r>
            <w:r w:rsidR="00581756">
              <w:rPr>
                <w:sz w:val="22"/>
                <w:szCs w:val="22"/>
              </w:rPr>
              <w:t>s</w:t>
            </w:r>
            <w:r w:rsidR="00B83347">
              <w:rPr>
                <w:sz w:val="22"/>
                <w:szCs w:val="22"/>
              </w:rPr>
              <w:t>triju padotībā esošajām iestādēm un kritiskās infrastruktūras objekt</w:t>
            </w:r>
            <w:r w:rsidR="00A23EE5">
              <w:rPr>
                <w:sz w:val="22"/>
                <w:szCs w:val="22"/>
              </w:rPr>
              <w:t>iem</w:t>
            </w:r>
            <w:r w:rsidR="00B83347">
              <w:rPr>
                <w:sz w:val="22"/>
                <w:szCs w:val="22"/>
              </w:rPr>
              <w:t xml:space="preserve">, </w:t>
            </w:r>
            <w:r>
              <w:rPr>
                <w:sz w:val="22"/>
                <w:szCs w:val="22"/>
              </w:rPr>
              <w:t>ir nepieciešams</w:t>
            </w:r>
            <w:r w:rsidR="00716785">
              <w:rPr>
                <w:sz w:val="22"/>
                <w:szCs w:val="22"/>
              </w:rPr>
              <w:t xml:space="preserve"> izdarīt grozījumus Ministru kabineta 2004.gada 8.jūnija noteikum</w:t>
            </w:r>
            <w:r w:rsidR="00BC19D0">
              <w:rPr>
                <w:sz w:val="22"/>
                <w:szCs w:val="22"/>
              </w:rPr>
              <w:t>u</w:t>
            </w:r>
            <w:r w:rsidR="00816022">
              <w:rPr>
                <w:sz w:val="22"/>
                <w:szCs w:val="22"/>
              </w:rPr>
              <w:t>s</w:t>
            </w:r>
            <w:r w:rsidR="00716785">
              <w:rPr>
                <w:sz w:val="22"/>
                <w:szCs w:val="22"/>
              </w:rPr>
              <w:t xml:space="preserve"> Nr.526 „Iekšlietu ministrijas Informācijas centra nolikums”,</w:t>
            </w:r>
            <w:r w:rsidR="00816022">
              <w:rPr>
                <w:sz w:val="22"/>
                <w:szCs w:val="22"/>
              </w:rPr>
              <w:t xml:space="preserve"> paplašinot Centra </w:t>
            </w:r>
            <w:r w:rsidR="00A23EE5">
              <w:rPr>
                <w:sz w:val="22"/>
                <w:szCs w:val="22"/>
              </w:rPr>
              <w:t>uzdevumus</w:t>
            </w:r>
            <w:r w:rsidR="007467C7">
              <w:rPr>
                <w:sz w:val="22"/>
                <w:szCs w:val="22"/>
              </w:rPr>
              <w:t xml:space="preserve">. </w:t>
            </w:r>
            <w:r w:rsidR="00816022">
              <w:rPr>
                <w:sz w:val="22"/>
                <w:szCs w:val="22"/>
              </w:rPr>
              <w:t xml:space="preserve"> </w:t>
            </w:r>
          </w:p>
        </w:tc>
      </w:tr>
      <w:tr w:rsidR="00E25EE5" w:rsidRPr="00150AB6" w:rsidTr="0004107D">
        <w:trPr>
          <w:trHeight w:val="1071"/>
          <w:tblCellSpacing w:w="0" w:type="dxa"/>
        </w:trPr>
        <w:tc>
          <w:tcPr>
            <w:tcW w:w="550" w:type="dxa"/>
            <w:vAlign w:val="center"/>
          </w:tcPr>
          <w:p w:rsidR="00E25EE5" w:rsidRPr="00C40595" w:rsidRDefault="00E25EE5" w:rsidP="0004107D">
            <w:pPr>
              <w:pStyle w:val="naiskr"/>
              <w:jc w:val="center"/>
            </w:pPr>
            <w:r w:rsidRPr="00C40595">
              <w:rPr>
                <w:sz w:val="22"/>
                <w:szCs w:val="22"/>
              </w:rPr>
              <w:lastRenderedPageBreak/>
              <w:t>3.</w:t>
            </w:r>
          </w:p>
        </w:tc>
        <w:tc>
          <w:tcPr>
            <w:tcW w:w="2721" w:type="dxa"/>
            <w:vAlign w:val="center"/>
          </w:tcPr>
          <w:p w:rsidR="00E25EE5" w:rsidRPr="00D6141D" w:rsidRDefault="00E25EE5" w:rsidP="0004107D">
            <w:pPr>
              <w:pStyle w:val="naiskr"/>
              <w:ind w:left="170" w:right="-151"/>
            </w:pPr>
            <w:r w:rsidRPr="00D6141D">
              <w:rPr>
                <w:sz w:val="22"/>
                <w:szCs w:val="22"/>
              </w:rPr>
              <w:t>Saistītie politikas ietekmes novērtējumi un pētījumi</w:t>
            </w:r>
          </w:p>
        </w:tc>
        <w:tc>
          <w:tcPr>
            <w:tcW w:w="5811" w:type="dxa"/>
            <w:vAlign w:val="center"/>
          </w:tcPr>
          <w:p w:rsidR="00E25EE5" w:rsidRPr="00D6141D" w:rsidRDefault="00E25EE5" w:rsidP="0004107D">
            <w:pPr>
              <w:pStyle w:val="naiskr"/>
              <w:ind w:right="-151"/>
              <w:jc w:val="both"/>
            </w:pPr>
            <w:r w:rsidRPr="00D6141D">
              <w:rPr>
                <w:iCs/>
                <w:sz w:val="22"/>
                <w:szCs w:val="22"/>
              </w:rPr>
              <w:t xml:space="preserve"> </w:t>
            </w:r>
            <w:r>
              <w:rPr>
                <w:iCs/>
                <w:sz w:val="22"/>
                <w:szCs w:val="22"/>
              </w:rPr>
              <w:t>Projekts šo jomu neskar.</w:t>
            </w:r>
          </w:p>
          <w:p w:rsidR="00E25EE5" w:rsidRPr="00D6141D" w:rsidRDefault="00E25EE5" w:rsidP="0004107D">
            <w:pPr>
              <w:pStyle w:val="FootnoteText"/>
              <w:ind w:right="-151"/>
              <w:rPr>
                <w:sz w:val="22"/>
                <w:szCs w:val="22"/>
              </w:rPr>
            </w:pPr>
          </w:p>
        </w:tc>
      </w:tr>
      <w:tr w:rsidR="00E25EE5" w:rsidRPr="00150AB6" w:rsidTr="0004107D">
        <w:trPr>
          <w:trHeight w:val="725"/>
          <w:tblCellSpacing w:w="0" w:type="dxa"/>
        </w:trPr>
        <w:tc>
          <w:tcPr>
            <w:tcW w:w="550" w:type="dxa"/>
            <w:vAlign w:val="center"/>
          </w:tcPr>
          <w:p w:rsidR="00E25EE5" w:rsidRPr="00C40595" w:rsidRDefault="00E25EE5" w:rsidP="0004107D">
            <w:pPr>
              <w:pStyle w:val="naiskr"/>
              <w:jc w:val="center"/>
            </w:pPr>
            <w:r w:rsidRPr="00C40595">
              <w:rPr>
                <w:sz w:val="22"/>
                <w:szCs w:val="22"/>
              </w:rPr>
              <w:t>4.</w:t>
            </w:r>
          </w:p>
        </w:tc>
        <w:tc>
          <w:tcPr>
            <w:tcW w:w="2721" w:type="dxa"/>
            <w:vAlign w:val="center"/>
          </w:tcPr>
          <w:p w:rsidR="00E25EE5" w:rsidRPr="00D6141D" w:rsidRDefault="00E25EE5" w:rsidP="0004107D">
            <w:pPr>
              <w:pStyle w:val="naiskr"/>
              <w:ind w:left="170" w:right="-151"/>
            </w:pPr>
          </w:p>
          <w:p w:rsidR="00E25EE5" w:rsidRPr="00D6141D" w:rsidRDefault="00E25EE5" w:rsidP="0004107D">
            <w:pPr>
              <w:pStyle w:val="naiskr"/>
              <w:ind w:left="170" w:right="-151"/>
            </w:pPr>
            <w:r w:rsidRPr="00D6141D">
              <w:rPr>
                <w:sz w:val="22"/>
                <w:szCs w:val="22"/>
              </w:rPr>
              <w:t>Tiesiskā regulējuma mērķis un būtība</w:t>
            </w:r>
          </w:p>
          <w:p w:rsidR="00E25EE5" w:rsidRPr="00D6141D" w:rsidRDefault="00E25EE5" w:rsidP="0004107D">
            <w:pPr>
              <w:pStyle w:val="naiskr"/>
              <w:ind w:right="-151"/>
            </w:pPr>
          </w:p>
        </w:tc>
        <w:tc>
          <w:tcPr>
            <w:tcW w:w="5811" w:type="dxa"/>
            <w:vAlign w:val="center"/>
          </w:tcPr>
          <w:p w:rsidR="00A23EE5" w:rsidRPr="00207901" w:rsidRDefault="009A436D" w:rsidP="00A23EE5">
            <w:pPr>
              <w:pStyle w:val="naisnod"/>
              <w:spacing w:before="0" w:after="0"/>
              <w:jc w:val="both"/>
              <w:rPr>
                <w:b w:val="0"/>
              </w:rPr>
            </w:pPr>
            <w:r w:rsidRPr="00207901">
              <w:rPr>
                <w:b w:val="0"/>
                <w:sz w:val="22"/>
                <w:szCs w:val="22"/>
              </w:rPr>
              <w:t>Noteikumu projekts paredz paplašināt Centra darbības uzdevumu</w:t>
            </w:r>
            <w:r w:rsidR="00A23EE5" w:rsidRPr="00207901">
              <w:rPr>
                <w:b w:val="0"/>
                <w:sz w:val="22"/>
                <w:szCs w:val="22"/>
              </w:rPr>
              <w:t>s, papildinot to ar jaunu uzdevumu - nodrošināt iespēju valsts un pašvaldības iestādēm, kā arī kritiskās infrastruktūras objektiem izmantot ministrijas radiosakaru sistēmu valsts drošības un sabiedriskās drošības un kārtības apdraudējuma un ārkārtas situāciju novēršanai”.</w:t>
            </w:r>
          </w:p>
          <w:p w:rsidR="0004107D" w:rsidRPr="009A436D" w:rsidRDefault="0004107D" w:rsidP="00A23EE5">
            <w:pPr>
              <w:pStyle w:val="naiskr"/>
              <w:ind w:right="131"/>
              <w:jc w:val="both"/>
            </w:pPr>
          </w:p>
        </w:tc>
      </w:tr>
      <w:tr w:rsidR="00E25EE5" w:rsidRPr="00DE1C48" w:rsidTr="0004107D">
        <w:trPr>
          <w:trHeight w:val="476"/>
          <w:tblCellSpacing w:w="0" w:type="dxa"/>
        </w:trPr>
        <w:tc>
          <w:tcPr>
            <w:tcW w:w="550" w:type="dxa"/>
            <w:vAlign w:val="center"/>
          </w:tcPr>
          <w:p w:rsidR="00E25EE5" w:rsidRPr="00C40595" w:rsidRDefault="00E25EE5" w:rsidP="0004107D">
            <w:pPr>
              <w:pStyle w:val="naiskr"/>
              <w:jc w:val="center"/>
            </w:pPr>
            <w:r w:rsidRPr="00C40595">
              <w:rPr>
                <w:sz w:val="22"/>
                <w:szCs w:val="22"/>
              </w:rPr>
              <w:lastRenderedPageBreak/>
              <w:t>5.</w:t>
            </w:r>
          </w:p>
        </w:tc>
        <w:tc>
          <w:tcPr>
            <w:tcW w:w="2721" w:type="dxa"/>
            <w:vAlign w:val="center"/>
          </w:tcPr>
          <w:p w:rsidR="00E25EE5" w:rsidRPr="00E776E8" w:rsidRDefault="00E25EE5" w:rsidP="0004107D">
            <w:pPr>
              <w:pStyle w:val="naiskr"/>
              <w:ind w:left="170"/>
            </w:pPr>
            <w:r w:rsidRPr="00E776E8">
              <w:rPr>
                <w:sz w:val="22"/>
                <w:szCs w:val="22"/>
              </w:rPr>
              <w:t xml:space="preserve">Projekta izstrādē iesaistītās institūcijas </w:t>
            </w:r>
          </w:p>
        </w:tc>
        <w:tc>
          <w:tcPr>
            <w:tcW w:w="5811" w:type="dxa"/>
            <w:vAlign w:val="center"/>
          </w:tcPr>
          <w:p w:rsidR="00E25EE5" w:rsidRPr="00D643D6" w:rsidRDefault="00E25EE5" w:rsidP="0004107D">
            <w:pPr>
              <w:pStyle w:val="naiskr"/>
            </w:pPr>
            <w:r>
              <w:rPr>
                <w:iCs/>
                <w:sz w:val="22"/>
                <w:szCs w:val="22"/>
              </w:rPr>
              <w:t>Iekšlietu ministrijas Informācijas centrs.</w:t>
            </w:r>
          </w:p>
        </w:tc>
      </w:tr>
      <w:tr w:rsidR="00E25EE5" w:rsidRPr="00006166" w:rsidTr="0004107D">
        <w:trPr>
          <w:trHeight w:val="1615"/>
          <w:tblCellSpacing w:w="0" w:type="dxa"/>
        </w:trPr>
        <w:tc>
          <w:tcPr>
            <w:tcW w:w="550" w:type="dxa"/>
            <w:vAlign w:val="center"/>
          </w:tcPr>
          <w:p w:rsidR="00E25EE5" w:rsidRPr="00C40595" w:rsidRDefault="00E25EE5" w:rsidP="0004107D">
            <w:pPr>
              <w:pStyle w:val="naiskr"/>
              <w:jc w:val="center"/>
            </w:pPr>
            <w:r w:rsidRPr="00C40595">
              <w:rPr>
                <w:sz w:val="22"/>
                <w:szCs w:val="22"/>
              </w:rPr>
              <w:t>6.</w:t>
            </w:r>
          </w:p>
        </w:tc>
        <w:tc>
          <w:tcPr>
            <w:tcW w:w="2721" w:type="dxa"/>
            <w:vAlign w:val="center"/>
          </w:tcPr>
          <w:p w:rsidR="00E25EE5" w:rsidRPr="00E776E8" w:rsidRDefault="00E25EE5" w:rsidP="0004107D">
            <w:pPr>
              <w:pStyle w:val="naiskr"/>
              <w:ind w:left="170"/>
              <w:rPr>
                <w:i/>
                <w:highlight w:val="yellow"/>
              </w:rPr>
            </w:pPr>
            <w:r w:rsidRPr="00E776E8">
              <w:rPr>
                <w:sz w:val="22"/>
                <w:szCs w:val="22"/>
              </w:rPr>
              <w:t>Iemesli, kādēļ netika nodrošināta sabiedrības līdzdalība</w:t>
            </w:r>
          </w:p>
        </w:tc>
        <w:tc>
          <w:tcPr>
            <w:tcW w:w="5811" w:type="dxa"/>
            <w:vAlign w:val="center"/>
          </w:tcPr>
          <w:p w:rsidR="00960BE4" w:rsidRPr="00C70F0B" w:rsidRDefault="00C70F0B" w:rsidP="009A436D">
            <w:pPr>
              <w:pStyle w:val="naiskr"/>
              <w:jc w:val="both"/>
              <w:rPr>
                <w:iCs/>
              </w:rPr>
            </w:pPr>
            <w:r w:rsidRPr="00C70F0B">
              <w:rPr>
                <w:sz w:val="22"/>
                <w:szCs w:val="22"/>
              </w:rPr>
              <w:t xml:space="preserve">Sabiedrības līdzdalība netika nodrošināta, jo </w:t>
            </w:r>
            <w:r>
              <w:rPr>
                <w:sz w:val="22"/>
                <w:szCs w:val="22"/>
              </w:rPr>
              <w:t xml:space="preserve">noteikumu </w:t>
            </w:r>
            <w:r w:rsidRPr="00C70F0B">
              <w:rPr>
                <w:sz w:val="22"/>
                <w:szCs w:val="22"/>
              </w:rPr>
              <w:t>projekts skar</w:t>
            </w:r>
            <w:r>
              <w:rPr>
                <w:sz w:val="22"/>
                <w:szCs w:val="22"/>
              </w:rPr>
              <w:t xml:space="preserve"> kompetences </w:t>
            </w:r>
            <w:r w:rsidRPr="00C70F0B">
              <w:rPr>
                <w:sz w:val="22"/>
                <w:szCs w:val="22"/>
              </w:rPr>
              <w:t xml:space="preserve">uzdevumu pārdali </w:t>
            </w:r>
            <w:r w:rsidR="009A436D">
              <w:rPr>
                <w:sz w:val="22"/>
                <w:szCs w:val="22"/>
              </w:rPr>
              <w:t>valsts pārvaldes ietvaros</w:t>
            </w:r>
            <w:r w:rsidRPr="00C70F0B">
              <w:rPr>
                <w:sz w:val="22"/>
                <w:szCs w:val="22"/>
              </w:rPr>
              <w:t>. Projektam nav tiešas ietekmes uz sabiedrību.</w:t>
            </w:r>
          </w:p>
        </w:tc>
      </w:tr>
      <w:tr w:rsidR="00E25EE5" w:rsidRPr="00261CAD" w:rsidTr="0004107D">
        <w:trPr>
          <w:tblCellSpacing w:w="0" w:type="dxa"/>
        </w:trPr>
        <w:tc>
          <w:tcPr>
            <w:tcW w:w="550" w:type="dxa"/>
            <w:vAlign w:val="center"/>
          </w:tcPr>
          <w:p w:rsidR="00E25EE5" w:rsidRPr="00C40595" w:rsidRDefault="00E25EE5" w:rsidP="0004107D">
            <w:pPr>
              <w:pStyle w:val="naiskr"/>
              <w:jc w:val="center"/>
            </w:pPr>
            <w:r w:rsidRPr="00C40595">
              <w:rPr>
                <w:sz w:val="22"/>
                <w:szCs w:val="22"/>
              </w:rPr>
              <w:t>7.</w:t>
            </w:r>
          </w:p>
        </w:tc>
        <w:tc>
          <w:tcPr>
            <w:tcW w:w="2721" w:type="dxa"/>
            <w:vAlign w:val="center"/>
          </w:tcPr>
          <w:p w:rsidR="00E25EE5" w:rsidRPr="00C40595" w:rsidRDefault="00E25EE5" w:rsidP="0004107D">
            <w:pPr>
              <w:pStyle w:val="naiskr"/>
              <w:ind w:left="170"/>
            </w:pPr>
            <w:r w:rsidRPr="00C40595">
              <w:rPr>
                <w:sz w:val="22"/>
                <w:szCs w:val="22"/>
              </w:rPr>
              <w:t>Cita informācija</w:t>
            </w:r>
          </w:p>
        </w:tc>
        <w:tc>
          <w:tcPr>
            <w:tcW w:w="5811" w:type="dxa"/>
            <w:vAlign w:val="center"/>
          </w:tcPr>
          <w:p w:rsidR="00E25EE5" w:rsidRPr="00D643D6" w:rsidRDefault="00C70F0B" w:rsidP="003B7A47">
            <w:pPr>
              <w:pStyle w:val="naiskr"/>
              <w:jc w:val="both"/>
            </w:pPr>
            <w:r>
              <w:t>Nav.</w:t>
            </w:r>
          </w:p>
        </w:tc>
      </w:tr>
    </w:tbl>
    <w:p w:rsidR="00E25EE5" w:rsidRDefault="00E25EE5" w:rsidP="00E25EE5">
      <w:pPr>
        <w:pStyle w:val="naisf"/>
        <w:ind w:firstLine="0"/>
      </w:pPr>
    </w:p>
    <w:tbl>
      <w:tblPr>
        <w:tblpPr w:leftFromText="180" w:rightFromText="180" w:vertAnchor="text" w:horzAnchor="margin" w:tblpXSpec="center" w:tblpY="-221"/>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146"/>
        <w:gridCol w:w="5386"/>
      </w:tblGrid>
      <w:tr w:rsidR="00E25EE5" w:rsidRPr="00F77BDF" w:rsidTr="0004107D">
        <w:trPr>
          <w:tblCellSpacing w:w="0" w:type="dxa"/>
        </w:trPr>
        <w:tc>
          <w:tcPr>
            <w:tcW w:w="9082" w:type="dxa"/>
            <w:gridSpan w:val="3"/>
            <w:vAlign w:val="center"/>
          </w:tcPr>
          <w:p w:rsidR="00E25EE5" w:rsidRPr="00F77BDF" w:rsidRDefault="00E25EE5" w:rsidP="0004107D">
            <w:pPr>
              <w:pStyle w:val="naisnod"/>
            </w:pPr>
            <w:r w:rsidRPr="00F77BDF">
              <w:t>II Tiesību akta projekta ietekme uz sabiedrību</w:t>
            </w:r>
          </w:p>
        </w:tc>
      </w:tr>
      <w:tr w:rsidR="00E25EE5" w:rsidRPr="004107B8" w:rsidTr="0004107D">
        <w:trPr>
          <w:trHeight w:val="467"/>
          <w:tblCellSpacing w:w="0" w:type="dxa"/>
        </w:trPr>
        <w:tc>
          <w:tcPr>
            <w:tcW w:w="550" w:type="dxa"/>
            <w:vAlign w:val="center"/>
          </w:tcPr>
          <w:p w:rsidR="00E25EE5" w:rsidRPr="004107B8" w:rsidRDefault="00E25EE5" w:rsidP="0004107D">
            <w:pPr>
              <w:pStyle w:val="naiskr"/>
              <w:spacing w:before="0" w:after="0"/>
              <w:ind w:left="180" w:hanging="180"/>
              <w:jc w:val="center"/>
            </w:pPr>
            <w:r w:rsidRPr="004107B8">
              <w:rPr>
                <w:sz w:val="22"/>
                <w:szCs w:val="22"/>
              </w:rPr>
              <w:t>1.</w:t>
            </w:r>
          </w:p>
        </w:tc>
        <w:tc>
          <w:tcPr>
            <w:tcW w:w="3146" w:type="dxa"/>
            <w:vAlign w:val="center"/>
          </w:tcPr>
          <w:p w:rsidR="00E25EE5" w:rsidRPr="00E776E8" w:rsidRDefault="00E25EE5" w:rsidP="0004107D">
            <w:pPr>
              <w:pStyle w:val="naiskr"/>
              <w:spacing w:before="0" w:after="0"/>
              <w:ind w:left="170"/>
            </w:pPr>
            <w:r w:rsidRPr="00E776E8">
              <w:rPr>
                <w:sz w:val="22"/>
                <w:szCs w:val="22"/>
              </w:rPr>
              <w:t>Sabiedrības mērķgrupa</w:t>
            </w:r>
          </w:p>
        </w:tc>
        <w:tc>
          <w:tcPr>
            <w:tcW w:w="5386" w:type="dxa"/>
            <w:vAlign w:val="center"/>
          </w:tcPr>
          <w:p w:rsidR="00E25EE5" w:rsidRPr="00DA7195" w:rsidRDefault="00E25EE5" w:rsidP="003972D2">
            <w:pPr>
              <w:pStyle w:val="naiskr"/>
              <w:spacing w:before="0" w:after="0"/>
              <w:jc w:val="both"/>
              <w:rPr>
                <w:iCs/>
              </w:rPr>
            </w:pPr>
            <w:r>
              <w:rPr>
                <w:iCs/>
                <w:sz w:val="22"/>
                <w:szCs w:val="22"/>
              </w:rPr>
              <w:t xml:space="preserve">Noteikumu projektā definētos </w:t>
            </w:r>
            <w:r w:rsidR="008D7214">
              <w:rPr>
                <w:iCs/>
                <w:sz w:val="22"/>
                <w:szCs w:val="22"/>
              </w:rPr>
              <w:t>pakalpojumus var sniegt Iekšlietu ministrijas padotībā esošajām iestādēm</w:t>
            </w:r>
            <w:r w:rsidR="003972D2">
              <w:rPr>
                <w:iCs/>
                <w:sz w:val="22"/>
                <w:szCs w:val="22"/>
              </w:rPr>
              <w:t xml:space="preserve"> un citu ministriju padotībā esošajām iestādēm</w:t>
            </w:r>
            <w:r w:rsidR="008D7214">
              <w:rPr>
                <w:iCs/>
                <w:sz w:val="22"/>
                <w:szCs w:val="22"/>
              </w:rPr>
              <w:t xml:space="preserve"> un kritiskās infrastruktūras objektu p</w:t>
            </w:r>
            <w:r w:rsidR="003972D2">
              <w:rPr>
                <w:iCs/>
                <w:sz w:val="22"/>
                <w:szCs w:val="22"/>
              </w:rPr>
              <w:t>ārvaldniekiem, lai nodrošinātu sadarbību kritiskās infrastruktūras objektos starp operatīvajiem dienestiem.</w:t>
            </w:r>
          </w:p>
        </w:tc>
      </w:tr>
      <w:tr w:rsidR="00E25EE5" w:rsidRPr="004107B8" w:rsidTr="0004107D">
        <w:trPr>
          <w:trHeight w:val="523"/>
          <w:tblCellSpacing w:w="0" w:type="dxa"/>
        </w:trPr>
        <w:tc>
          <w:tcPr>
            <w:tcW w:w="550" w:type="dxa"/>
            <w:vAlign w:val="center"/>
          </w:tcPr>
          <w:p w:rsidR="00E25EE5" w:rsidRPr="004107B8" w:rsidRDefault="00E25EE5" w:rsidP="0004107D">
            <w:pPr>
              <w:pStyle w:val="naiskr"/>
              <w:jc w:val="center"/>
            </w:pPr>
            <w:r w:rsidRPr="004107B8">
              <w:rPr>
                <w:sz w:val="22"/>
                <w:szCs w:val="22"/>
              </w:rPr>
              <w:t>2.</w:t>
            </w:r>
          </w:p>
        </w:tc>
        <w:tc>
          <w:tcPr>
            <w:tcW w:w="3146" w:type="dxa"/>
            <w:vAlign w:val="center"/>
          </w:tcPr>
          <w:p w:rsidR="00E25EE5" w:rsidRPr="00E776E8" w:rsidRDefault="00E25EE5" w:rsidP="0004107D">
            <w:pPr>
              <w:pStyle w:val="naiskr"/>
              <w:ind w:left="170"/>
            </w:pPr>
            <w:r w:rsidRPr="00E776E8">
              <w:rPr>
                <w:sz w:val="22"/>
                <w:szCs w:val="22"/>
              </w:rPr>
              <w:t>Citas sabiedrības grupas (bez mērķgrupas), kuras tiesiskais regulējums arī ietekmē vai varētu ietekmēt</w:t>
            </w:r>
          </w:p>
        </w:tc>
        <w:tc>
          <w:tcPr>
            <w:tcW w:w="5386" w:type="dxa"/>
            <w:vAlign w:val="center"/>
          </w:tcPr>
          <w:p w:rsidR="00E25EE5" w:rsidRPr="002F47D4" w:rsidRDefault="00E25EE5" w:rsidP="0004107D">
            <w:pPr>
              <w:pStyle w:val="naiskr"/>
            </w:pPr>
            <w:r>
              <w:rPr>
                <w:sz w:val="22"/>
                <w:szCs w:val="22"/>
              </w:rPr>
              <w:t>Nav</w:t>
            </w:r>
          </w:p>
        </w:tc>
      </w:tr>
      <w:tr w:rsidR="00E25EE5" w:rsidRPr="004107B8" w:rsidTr="0004107D">
        <w:trPr>
          <w:trHeight w:val="517"/>
          <w:tblCellSpacing w:w="0" w:type="dxa"/>
        </w:trPr>
        <w:tc>
          <w:tcPr>
            <w:tcW w:w="550" w:type="dxa"/>
            <w:vAlign w:val="center"/>
          </w:tcPr>
          <w:p w:rsidR="00E25EE5" w:rsidRPr="004107B8" w:rsidRDefault="00E25EE5" w:rsidP="0004107D">
            <w:pPr>
              <w:pStyle w:val="naiskr"/>
              <w:jc w:val="center"/>
            </w:pPr>
            <w:r w:rsidRPr="004107B8">
              <w:rPr>
                <w:sz w:val="22"/>
                <w:szCs w:val="22"/>
              </w:rPr>
              <w:t>3.</w:t>
            </w:r>
          </w:p>
        </w:tc>
        <w:tc>
          <w:tcPr>
            <w:tcW w:w="3146" w:type="dxa"/>
            <w:vAlign w:val="center"/>
          </w:tcPr>
          <w:p w:rsidR="00E25EE5" w:rsidRPr="00E776E8" w:rsidRDefault="00E25EE5" w:rsidP="0004107D">
            <w:pPr>
              <w:pStyle w:val="naiskr"/>
              <w:ind w:left="170"/>
            </w:pPr>
            <w:r w:rsidRPr="00E776E8">
              <w:rPr>
                <w:sz w:val="22"/>
                <w:szCs w:val="22"/>
              </w:rPr>
              <w:t xml:space="preserve">Tiesiskā regulējuma finansiālā ietekme </w:t>
            </w:r>
          </w:p>
        </w:tc>
        <w:tc>
          <w:tcPr>
            <w:tcW w:w="5386" w:type="dxa"/>
            <w:vAlign w:val="center"/>
          </w:tcPr>
          <w:p w:rsidR="00E25EE5" w:rsidRPr="002F47D4" w:rsidRDefault="00E25EE5" w:rsidP="00A23EE5">
            <w:pPr>
              <w:pStyle w:val="naiskr"/>
              <w:jc w:val="both"/>
            </w:pPr>
            <w:r w:rsidRPr="002F47D4">
              <w:rPr>
                <w:iCs/>
                <w:sz w:val="22"/>
                <w:szCs w:val="22"/>
              </w:rPr>
              <w:t xml:space="preserve">Noteikumu projekts neparedz ietekmi </w:t>
            </w:r>
            <w:r>
              <w:rPr>
                <w:iCs/>
                <w:sz w:val="22"/>
                <w:szCs w:val="22"/>
              </w:rPr>
              <w:t xml:space="preserve">uz </w:t>
            </w:r>
            <w:r w:rsidR="0030697E">
              <w:rPr>
                <w:iCs/>
                <w:sz w:val="22"/>
                <w:szCs w:val="22"/>
              </w:rPr>
              <w:t xml:space="preserve">tiešajām un </w:t>
            </w:r>
            <w:r>
              <w:rPr>
                <w:iCs/>
                <w:sz w:val="22"/>
                <w:szCs w:val="22"/>
              </w:rPr>
              <w:t xml:space="preserve">netiešajām finansiālajām izmaksām un </w:t>
            </w:r>
            <w:r w:rsidRPr="002F47D4">
              <w:rPr>
                <w:iCs/>
                <w:sz w:val="22"/>
                <w:szCs w:val="22"/>
              </w:rPr>
              <w:t>uz ienākumiem</w:t>
            </w:r>
            <w:r>
              <w:rPr>
                <w:iCs/>
                <w:sz w:val="22"/>
                <w:szCs w:val="22"/>
              </w:rPr>
              <w:t xml:space="preserve"> noteikumu projektā paredzētajai sabiedrības mērķgrupai.</w:t>
            </w:r>
          </w:p>
        </w:tc>
      </w:tr>
      <w:tr w:rsidR="00E25EE5" w:rsidRPr="004107B8" w:rsidTr="0004107D">
        <w:trPr>
          <w:trHeight w:val="517"/>
          <w:tblCellSpacing w:w="0" w:type="dxa"/>
        </w:trPr>
        <w:tc>
          <w:tcPr>
            <w:tcW w:w="550" w:type="dxa"/>
            <w:vAlign w:val="center"/>
          </w:tcPr>
          <w:p w:rsidR="00E25EE5" w:rsidRPr="00825CAB" w:rsidRDefault="00E25EE5" w:rsidP="0004107D">
            <w:pPr>
              <w:pStyle w:val="naiskr"/>
              <w:jc w:val="center"/>
            </w:pPr>
            <w:r w:rsidRPr="00825CAB">
              <w:rPr>
                <w:sz w:val="22"/>
                <w:szCs w:val="22"/>
              </w:rPr>
              <w:t>4.</w:t>
            </w:r>
          </w:p>
        </w:tc>
        <w:tc>
          <w:tcPr>
            <w:tcW w:w="3146" w:type="dxa"/>
            <w:vAlign w:val="center"/>
          </w:tcPr>
          <w:p w:rsidR="00E25EE5" w:rsidRPr="00E776E8" w:rsidRDefault="00E25EE5" w:rsidP="0004107D">
            <w:pPr>
              <w:pStyle w:val="naiskr"/>
              <w:ind w:left="170"/>
            </w:pPr>
            <w:r w:rsidRPr="00E776E8">
              <w:rPr>
                <w:sz w:val="22"/>
                <w:szCs w:val="22"/>
              </w:rPr>
              <w:t>Tiesiskā regulējuma nefinansiālā ietekme</w:t>
            </w:r>
          </w:p>
        </w:tc>
        <w:tc>
          <w:tcPr>
            <w:tcW w:w="5386" w:type="dxa"/>
            <w:vAlign w:val="center"/>
          </w:tcPr>
          <w:p w:rsidR="00E25EE5" w:rsidRPr="00663306" w:rsidRDefault="00E25EE5" w:rsidP="0004107D">
            <w:pPr>
              <w:pStyle w:val="naiskr"/>
            </w:pPr>
            <w:r>
              <w:rPr>
                <w:iCs/>
                <w:sz w:val="22"/>
                <w:szCs w:val="22"/>
              </w:rPr>
              <w:t>Projekts šo jomu neskar.</w:t>
            </w:r>
          </w:p>
        </w:tc>
      </w:tr>
      <w:tr w:rsidR="00E25EE5" w:rsidRPr="004107B8" w:rsidTr="0004107D">
        <w:trPr>
          <w:trHeight w:val="1731"/>
          <w:tblCellSpacing w:w="0" w:type="dxa"/>
        </w:trPr>
        <w:tc>
          <w:tcPr>
            <w:tcW w:w="550" w:type="dxa"/>
            <w:vAlign w:val="center"/>
          </w:tcPr>
          <w:p w:rsidR="00E25EE5" w:rsidRPr="00825CAB" w:rsidRDefault="00E25EE5" w:rsidP="0004107D">
            <w:pPr>
              <w:pStyle w:val="naiskr"/>
              <w:jc w:val="center"/>
            </w:pPr>
            <w:r w:rsidRPr="00825CAB">
              <w:rPr>
                <w:sz w:val="22"/>
                <w:szCs w:val="22"/>
              </w:rPr>
              <w:t>5.</w:t>
            </w:r>
          </w:p>
        </w:tc>
        <w:tc>
          <w:tcPr>
            <w:tcW w:w="3146" w:type="dxa"/>
            <w:vAlign w:val="center"/>
          </w:tcPr>
          <w:p w:rsidR="00E25EE5" w:rsidRPr="00E776E8" w:rsidRDefault="00E25EE5" w:rsidP="0004107D">
            <w:pPr>
              <w:pStyle w:val="naiskr"/>
              <w:ind w:left="170"/>
            </w:pPr>
            <w:r w:rsidRPr="00E776E8">
              <w:rPr>
                <w:sz w:val="22"/>
                <w:szCs w:val="22"/>
              </w:rPr>
              <w:t>Administratīvās procedūras raksturojums</w:t>
            </w:r>
          </w:p>
        </w:tc>
        <w:tc>
          <w:tcPr>
            <w:tcW w:w="5386" w:type="dxa"/>
            <w:vAlign w:val="center"/>
          </w:tcPr>
          <w:p w:rsidR="00E25EE5" w:rsidRPr="00663306" w:rsidRDefault="00E25EE5" w:rsidP="0004107D">
            <w:pPr>
              <w:pStyle w:val="naiskr"/>
            </w:pPr>
            <w:r>
              <w:rPr>
                <w:iCs/>
                <w:sz w:val="22"/>
                <w:szCs w:val="22"/>
              </w:rPr>
              <w:t>Projekts šo jomu neskar.</w:t>
            </w:r>
          </w:p>
          <w:p w:rsidR="00E25EE5" w:rsidRPr="00E776E8" w:rsidRDefault="00E25EE5" w:rsidP="0004107D">
            <w:pPr>
              <w:pStyle w:val="naiskr"/>
              <w:rPr>
                <w:i/>
              </w:rPr>
            </w:pPr>
          </w:p>
        </w:tc>
      </w:tr>
      <w:tr w:rsidR="00E25EE5" w:rsidRPr="004107B8" w:rsidTr="0004107D">
        <w:trPr>
          <w:trHeight w:val="709"/>
          <w:tblCellSpacing w:w="0" w:type="dxa"/>
        </w:trPr>
        <w:tc>
          <w:tcPr>
            <w:tcW w:w="550" w:type="dxa"/>
            <w:vAlign w:val="center"/>
          </w:tcPr>
          <w:p w:rsidR="00E25EE5" w:rsidRPr="00825CAB" w:rsidRDefault="00E25EE5" w:rsidP="0004107D">
            <w:pPr>
              <w:pStyle w:val="naiskr"/>
              <w:jc w:val="center"/>
            </w:pPr>
            <w:r w:rsidRPr="00825CAB">
              <w:rPr>
                <w:sz w:val="22"/>
                <w:szCs w:val="22"/>
              </w:rPr>
              <w:t>6.</w:t>
            </w:r>
          </w:p>
        </w:tc>
        <w:tc>
          <w:tcPr>
            <w:tcW w:w="3146" w:type="dxa"/>
            <w:vAlign w:val="center"/>
          </w:tcPr>
          <w:p w:rsidR="00E25EE5" w:rsidRPr="004472D9" w:rsidRDefault="00E25EE5" w:rsidP="0004107D">
            <w:pPr>
              <w:pStyle w:val="naiskr"/>
              <w:ind w:left="170"/>
            </w:pPr>
            <w:r w:rsidRPr="004472D9">
              <w:rPr>
                <w:sz w:val="22"/>
                <w:szCs w:val="22"/>
              </w:rPr>
              <w:t>Administratīvo izmaksu monetārs novērtējums</w:t>
            </w:r>
          </w:p>
        </w:tc>
        <w:tc>
          <w:tcPr>
            <w:tcW w:w="5386" w:type="dxa"/>
            <w:vAlign w:val="center"/>
          </w:tcPr>
          <w:p w:rsidR="00E25EE5" w:rsidRPr="004472D9" w:rsidRDefault="00E25EE5" w:rsidP="0004107D">
            <w:pPr>
              <w:pStyle w:val="naiskr"/>
            </w:pPr>
            <w:r w:rsidRPr="004472D9">
              <w:rPr>
                <w:iCs/>
                <w:sz w:val="22"/>
                <w:szCs w:val="22"/>
              </w:rPr>
              <w:t xml:space="preserve">Projekts šo jomu neskar. </w:t>
            </w:r>
          </w:p>
        </w:tc>
      </w:tr>
      <w:tr w:rsidR="00E25EE5" w:rsidRPr="004107B8" w:rsidTr="0004107D">
        <w:trPr>
          <w:tblCellSpacing w:w="0" w:type="dxa"/>
        </w:trPr>
        <w:tc>
          <w:tcPr>
            <w:tcW w:w="550" w:type="dxa"/>
            <w:vAlign w:val="center"/>
          </w:tcPr>
          <w:p w:rsidR="00E25EE5" w:rsidRPr="00C94F0B" w:rsidRDefault="00E25EE5" w:rsidP="0004107D">
            <w:pPr>
              <w:pStyle w:val="naiskr"/>
              <w:jc w:val="center"/>
            </w:pPr>
            <w:r w:rsidRPr="00C94F0B">
              <w:rPr>
                <w:sz w:val="22"/>
                <w:szCs w:val="22"/>
              </w:rPr>
              <w:t>7.</w:t>
            </w:r>
          </w:p>
        </w:tc>
        <w:tc>
          <w:tcPr>
            <w:tcW w:w="3146" w:type="dxa"/>
            <w:vAlign w:val="center"/>
          </w:tcPr>
          <w:p w:rsidR="00E25EE5" w:rsidRPr="00E776E8" w:rsidRDefault="00E25EE5" w:rsidP="0004107D">
            <w:pPr>
              <w:pStyle w:val="naiskr"/>
              <w:ind w:left="170"/>
            </w:pPr>
            <w:r w:rsidRPr="00E776E8">
              <w:rPr>
                <w:sz w:val="22"/>
                <w:szCs w:val="22"/>
              </w:rPr>
              <w:t>Cita informācija.</w:t>
            </w:r>
          </w:p>
        </w:tc>
        <w:tc>
          <w:tcPr>
            <w:tcW w:w="5386" w:type="dxa"/>
            <w:vAlign w:val="center"/>
          </w:tcPr>
          <w:p w:rsidR="00E25EE5" w:rsidRPr="00E776E8" w:rsidRDefault="00E25EE5" w:rsidP="0004107D">
            <w:pPr>
              <w:pStyle w:val="naiskr"/>
              <w:rPr>
                <w:i/>
              </w:rPr>
            </w:pPr>
            <w:r w:rsidRPr="00E776E8">
              <w:rPr>
                <w:i/>
                <w:sz w:val="22"/>
                <w:szCs w:val="22"/>
              </w:rPr>
              <w:t xml:space="preserve"> </w:t>
            </w:r>
            <w:r>
              <w:rPr>
                <w:sz w:val="22"/>
                <w:szCs w:val="22"/>
              </w:rPr>
              <w:t>Nav</w:t>
            </w:r>
          </w:p>
        </w:tc>
      </w:tr>
    </w:tbl>
    <w:p w:rsidR="00E25EE5" w:rsidRDefault="00E25EE5" w:rsidP="00E25EE5">
      <w:pPr>
        <w:pStyle w:val="naisf"/>
        <w:ind w:firstLine="0"/>
      </w:pPr>
    </w:p>
    <w:tbl>
      <w:tblPr>
        <w:tblpPr w:leftFromText="180" w:rightFromText="180" w:vertAnchor="text" w:horzAnchor="margin" w:tblpXSpec="center" w:tblpY="-221"/>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146"/>
        <w:gridCol w:w="5386"/>
      </w:tblGrid>
      <w:tr w:rsidR="008A19B3" w:rsidRPr="00F77BDF" w:rsidTr="00311B59">
        <w:trPr>
          <w:tblCellSpacing w:w="0" w:type="dxa"/>
        </w:trPr>
        <w:tc>
          <w:tcPr>
            <w:tcW w:w="9082" w:type="dxa"/>
            <w:gridSpan w:val="3"/>
            <w:vAlign w:val="center"/>
          </w:tcPr>
          <w:p w:rsidR="008A19B3" w:rsidRPr="00F77BDF" w:rsidRDefault="008A19B3" w:rsidP="008A19B3">
            <w:pPr>
              <w:pStyle w:val="naisnod"/>
            </w:pPr>
            <w:r w:rsidRPr="00F77BDF">
              <w:lastRenderedPageBreak/>
              <w:t>I</w:t>
            </w:r>
            <w:r>
              <w:t>V</w:t>
            </w:r>
            <w:r w:rsidRPr="00F77BDF">
              <w:t xml:space="preserve"> Tiesību akta projekta ietekme uz s</w:t>
            </w:r>
            <w:r>
              <w:t>pēkā esošo tiesību normu sistēmu</w:t>
            </w:r>
          </w:p>
        </w:tc>
      </w:tr>
      <w:tr w:rsidR="008A19B3" w:rsidRPr="004107B8" w:rsidTr="00311B59">
        <w:trPr>
          <w:trHeight w:val="467"/>
          <w:tblCellSpacing w:w="0" w:type="dxa"/>
        </w:trPr>
        <w:tc>
          <w:tcPr>
            <w:tcW w:w="550" w:type="dxa"/>
            <w:vAlign w:val="center"/>
          </w:tcPr>
          <w:p w:rsidR="008A19B3" w:rsidRPr="004107B8" w:rsidRDefault="008A19B3" w:rsidP="00311B59">
            <w:pPr>
              <w:pStyle w:val="naiskr"/>
              <w:spacing w:before="0" w:after="0"/>
              <w:ind w:left="180" w:hanging="180"/>
              <w:jc w:val="center"/>
            </w:pPr>
            <w:r w:rsidRPr="004107B8">
              <w:rPr>
                <w:sz w:val="22"/>
                <w:szCs w:val="22"/>
              </w:rPr>
              <w:t>1.</w:t>
            </w:r>
          </w:p>
        </w:tc>
        <w:tc>
          <w:tcPr>
            <w:tcW w:w="3146" w:type="dxa"/>
            <w:vAlign w:val="center"/>
          </w:tcPr>
          <w:p w:rsidR="008A19B3" w:rsidRPr="00E776E8" w:rsidRDefault="008A19B3" w:rsidP="00311B59">
            <w:pPr>
              <w:pStyle w:val="naiskr"/>
              <w:spacing w:before="0" w:after="0"/>
              <w:ind w:left="170"/>
            </w:pPr>
            <w:r>
              <w:rPr>
                <w:sz w:val="22"/>
                <w:szCs w:val="22"/>
              </w:rPr>
              <w:t>Nepieciešamie saistītie tiesību aktu projekti</w:t>
            </w:r>
          </w:p>
        </w:tc>
        <w:tc>
          <w:tcPr>
            <w:tcW w:w="5386" w:type="dxa"/>
            <w:vAlign w:val="center"/>
          </w:tcPr>
          <w:p w:rsidR="00E60824" w:rsidRDefault="0025079A" w:rsidP="0038007C">
            <w:pPr>
              <w:pStyle w:val="naiskr"/>
              <w:spacing w:before="0" w:after="0"/>
              <w:jc w:val="both"/>
            </w:pPr>
            <w:r w:rsidRPr="0025079A">
              <w:rPr>
                <w:sz w:val="22"/>
                <w:szCs w:val="22"/>
              </w:rPr>
              <w:t>Grozījumi Ministru kabineta 2010. gada 28. decembra noteikumos Nr. 1200 „Noteikumi par Iekšlietu ministrijas sniegto maksas pakalpojumu cenrādi” ir nepieciešami, lai izslēgtu iespēju kritiskās infrastruktūras objektiem bez maksas lietot Iekšlietu ministrijas radiosakaru sistēmu.</w:t>
            </w:r>
          </w:p>
          <w:p w:rsidR="00823284" w:rsidRPr="00D02CF6" w:rsidRDefault="001A6B72" w:rsidP="00505FBA">
            <w:pPr>
              <w:pStyle w:val="naiskr"/>
              <w:spacing w:before="0" w:after="0"/>
              <w:jc w:val="both"/>
            </w:pPr>
            <w:r w:rsidRPr="00D02CF6">
              <w:rPr>
                <w:sz w:val="22"/>
                <w:szCs w:val="22"/>
              </w:rPr>
              <w:t>C</w:t>
            </w:r>
            <w:r w:rsidR="00823284" w:rsidRPr="00D02CF6">
              <w:rPr>
                <w:sz w:val="22"/>
                <w:szCs w:val="22"/>
              </w:rPr>
              <w:t>entram jānodrošina patstāvīga iespēja, izmantojot Iekšlietu ministrijas radiosakaru sistēmu, valsts pārvaldes iestādēm valsts drošības, sabiedriskās kārtības apdraudējuma un ārkārtas situācijās risināšanā</w:t>
            </w:r>
            <w:r w:rsidRPr="00D02CF6">
              <w:rPr>
                <w:sz w:val="22"/>
                <w:szCs w:val="22"/>
              </w:rPr>
              <w:t>,</w:t>
            </w:r>
            <w:r w:rsidR="00823284" w:rsidRPr="00D02CF6">
              <w:rPr>
                <w:sz w:val="22"/>
                <w:szCs w:val="22"/>
              </w:rPr>
              <w:t xml:space="preserve"> sadarboties </w:t>
            </w:r>
            <w:r w:rsidR="000471BA" w:rsidRPr="00D02CF6">
              <w:rPr>
                <w:sz w:val="22"/>
                <w:szCs w:val="22"/>
              </w:rPr>
              <w:t xml:space="preserve">ar </w:t>
            </w:r>
            <w:r w:rsidR="00823284" w:rsidRPr="00D02CF6">
              <w:rPr>
                <w:sz w:val="22"/>
                <w:szCs w:val="22"/>
              </w:rPr>
              <w:t xml:space="preserve">kritiskās infrastruktūras objektu pārvaldniekiem, neatkarīgi no apstākļa, ka nav iespējams prognozēt, kad iestāsies minētā vajadzība un apstākļi. </w:t>
            </w:r>
          </w:p>
          <w:p w:rsidR="003113CA" w:rsidRDefault="00505FBA" w:rsidP="00505FBA">
            <w:pPr>
              <w:pStyle w:val="naiskr"/>
              <w:spacing w:before="0" w:after="0"/>
              <w:jc w:val="both"/>
            </w:pPr>
            <w:r w:rsidRPr="00D02CF6">
              <w:rPr>
                <w:sz w:val="22"/>
                <w:szCs w:val="22"/>
              </w:rPr>
              <w:t>Lai kritiskas infrastruktūras objektu pārvaldnieki spētu ātri un koordinēti sadarboties ar valsts pārvaldes iestādēm</w:t>
            </w:r>
            <w:r w:rsidR="00823284" w:rsidRPr="00D02CF6">
              <w:rPr>
                <w:sz w:val="22"/>
                <w:szCs w:val="22"/>
              </w:rPr>
              <w:t>,</w:t>
            </w:r>
            <w:r w:rsidRPr="00D02CF6">
              <w:rPr>
                <w:sz w:val="22"/>
                <w:szCs w:val="22"/>
              </w:rPr>
              <w:t xml:space="preserve"> </w:t>
            </w:r>
            <w:r w:rsidR="00823284" w:rsidRPr="00D02CF6">
              <w:rPr>
                <w:sz w:val="22"/>
                <w:szCs w:val="22"/>
              </w:rPr>
              <w:t xml:space="preserve">iestājoties </w:t>
            </w:r>
            <w:r w:rsidRPr="00D02CF6">
              <w:rPr>
                <w:sz w:val="22"/>
                <w:szCs w:val="22"/>
              </w:rPr>
              <w:t>valsts drošības apdraudējuma un ārkārtas situācij</w:t>
            </w:r>
            <w:r w:rsidR="00823284" w:rsidRPr="00D02CF6">
              <w:rPr>
                <w:sz w:val="22"/>
                <w:szCs w:val="22"/>
              </w:rPr>
              <w:t>as apstākļiem</w:t>
            </w:r>
            <w:r w:rsidRPr="00D02CF6">
              <w:rPr>
                <w:sz w:val="22"/>
                <w:szCs w:val="22"/>
              </w:rPr>
              <w:t xml:space="preserve">, tad </w:t>
            </w:r>
            <w:r w:rsidR="00823284" w:rsidRPr="00D02CF6">
              <w:rPr>
                <w:sz w:val="22"/>
                <w:szCs w:val="22"/>
              </w:rPr>
              <w:t xml:space="preserve">tehniski </w:t>
            </w:r>
            <w:r w:rsidRPr="00D02CF6">
              <w:rPr>
                <w:sz w:val="22"/>
                <w:szCs w:val="22"/>
              </w:rPr>
              <w:t>saikne starp minētajiem subjektiem ir jāuztur patstāvīgi (24 stundas x 7 dienas</w:t>
            </w:r>
            <w:r w:rsidR="00823284" w:rsidRPr="00D02CF6">
              <w:rPr>
                <w:sz w:val="22"/>
                <w:szCs w:val="22"/>
              </w:rPr>
              <w:t xml:space="preserve"> nedēļā</w:t>
            </w:r>
            <w:r w:rsidRPr="00D02CF6">
              <w:rPr>
                <w:sz w:val="22"/>
                <w:szCs w:val="22"/>
              </w:rPr>
              <w:t>).</w:t>
            </w:r>
            <w:r w:rsidR="00823284" w:rsidRPr="00D02CF6">
              <w:rPr>
                <w:sz w:val="22"/>
                <w:szCs w:val="22"/>
              </w:rPr>
              <w:t xml:space="preserve"> Taču šādas saites patstāvīga uzturēšana, ārpus valsts drošības, sabiedriskās kārtības apdraudējuma un ārkārtas situācijām, rada situāciju, ka radiosakaru sistēmas uzturēšana un lietošana tiek segta no valsts budžeta līdzekļiem, bet to izmanto privāto tiesību subjekti, kas ir pretrunā ar Publiskas personas finanšu līdzekļu un mantas izšķērdēšanas novēršanas likuma 5.panta pirmo daļu.</w:t>
            </w:r>
          </w:p>
          <w:p w:rsidR="009C04EF" w:rsidRPr="003113CA" w:rsidRDefault="003113CA" w:rsidP="00B51A76">
            <w:pPr>
              <w:pStyle w:val="naiskr"/>
              <w:spacing w:before="0" w:after="0"/>
              <w:jc w:val="both"/>
              <w:rPr>
                <w:color w:val="FF0000"/>
              </w:rPr>
            </w:pPr>
            <w:r w:rsidRPr="003113CA">
              <w:rPr>
                <w:color w:val="FF0000"/>
                <w:sz w:val="22"/>
                <w:szCs w:val="22"/>
              </w:rPr>
              <w:t xml:space="preserve">Līdz ar to kritiskās infrastruktūras objektu pārvaldnieki </w:t>
            </w:r>
            <w:r>
              <w:rPr>
                <w:color w:val="FF0000"/>
                <w:sz w:val="22"/>
                <w:szCs w:val="22"/>
              </w:rPr>
              <w:t>segs</w:t>
            </w:r>
            <w:r w:rsidRPr="003113CA">
              <w:rPr>
                <w:color w:val="FF0000"/>
                <w:sz w:val="22"/>
                <w:szCs w:val="22"/>
              </w:rPr>
              <w:t xml:space="preserve"> </w:t>
            </w:r>
            <w:r w:rsidR="00E90694">
              <w:rPr>
                <w:color w:val="FF0000"/>
                <w:sz w:val="22"/>
                <w:szCs w:val="22"/>
              </w:rPr>
              <w:t xml:space="preserve">to </w:t>
            </w:r>
            <w:r w:rsidRPr="003113CA">
              <w:rPr>
                <w:color w:val="FF0000"/>
                <w:sz w:val="22"/>
                <w:szCs w:val="22"/>
              </w:rPr>
              <w:t xml:space="preserve">daļu </w:t>
            </w:r>
            <w:r w:rsidR="00B51A76">
              <w:rPr>
                <w:color w:val="FF0000"/>
                <w:sz w:val="22"/>
                <w:szCs w:val="22"/>
              </w:rPr>
              <w:t xml:space="preserve">Iekšlietu ministrijas </w:t>
            </w:r>
            <w:r w:rsidRPr="003113CA">
              <w:rPr>
                <w:color w:val="FF0000"/>
                <w:sz w:val="22"/>
                <w:szCs w:val="22"/>
              </w:rPr>
              <w:t>radiosakaru sistēmas uzturēšanas izmaksu</w:t>
            </w:r>
            <w:r>
              <w:rPr>
                <w:color w:val="FF0000"/>
                <w:sz w:val="22"/>
                <w:szCs w:val="22"/>
              </w:rPr>
              <w:t xml:space="preserve">, kuras saistītas ar </w:t>
            </w:r>
            <w:r w:rsidR="00B51A76">
              <w:rPr>
                <w:color w:val="FF0000"/>
                <w:sz w:val="22"/>
                <w:szCs w:val="22"/>
              </w:rPr>
              <w:t xml:space="preserve">Iekšlietu ministrijas </w:t>
            </w:r>
            <w:r w:rsidR="00E90694">
              <w:rPr>
                <w:color w:val="FF0000"/>
                <w:sz w:val="22"/>
                <w:szCs w:val="22"/>
              </w:rPr>
              <w:t>radiosakaru sistēm</w:t>
            </w:r>
            <w:r w:rsidR="00B51A76">
              <w:rPr>
                <w:color w:val="FF0000"/>
                <w:sz w:val="22"/>
                <w:szCs w:val="22"/>
              </w:rPr>
              <w:t>a</w:t>
            </w:r>
            <w:r w:rsidR="00E90694">
              <w:rPr>
                <w:color w:val="FF0000"/>
                <w:sz w:val="22"/>
                <w:szCs w:val="22"/>
              </w:rPr>
              <w:t xml:space="preserve">s </w:t>
            </w:r>
            <w:r w:rsidR="00B51A76">
              <w:rPr>
                <w:color w:val="FF0000"/>
                <w:sz w:val="22"/>
                <w:szCs w:val="22"/>
              </w:rPr>
              <w:t>uzturēšanu</w:t>
            </w:r>
            <w:r w:rsidR="00E90694">
              <w:rPr>
                <w:color w:val="FF0000"/>
                <w:sz w:val="22"/>
                <w:szCs w:val="22"/>
              </w:rPr>
              <w:t xml:space="preserve"> ārpus valsts deleģētās pārvaldes funkcijas realizācijas</w:t>
            </w:r>
            <w:r>
              <w:rPr>
                <w:color w:val="FF0000"/>
                <w:sz w:val="22"/>
                <w:szCs w:val="22"/>
              </w:rPr>
              <w:t xml:space="preserve">. </w:t>
            </w:r>
            <w:r w:rsidRPr="003113CA">
              <w:rPr>
                <w:color w:val="FF0000"/>
                <w:sz w:val="22"/>
                <w:szCs w:val="22"/>
              </w:rPr>
              <w:t>Pārējie Iekšlietu ministrijas radiosakaru sistēmas uzturēšanas izdevumi nemainīgi tiks segti ar finansējumu no valsts budžeta.</w:t>
            </w:r>
            <w:r w:rsidR="00823284" w:rsidRPr="003113CA">
              <w:rPr>
                <w:color w:val="FF0000"/>
                <w:sz w:val="22"/>
                <w:szCs w:val="22"/>
              </w:rPr>
              <w:t xml:space="preserve">  </w:t>
            </w:r>
          </w:p>
        </w:tc>
      </w:tr>
      <w:tr w:rsidR="008A19B3" w:rsidRPr="004107B8" w:rsidTr="00311B59">
        <w:trPr>
          <w:tblCellSpacing w:w="0" w:type="dxa"/>
        </w:trPr>
        <w:tc>
          <w:tcPr>
            <w:tcW w:w="550" w:type="dxa"/>
            <w:vAlign w:val="center"/>
          </w:tcPr>
          <w:p w:rsidR="008A19B3" w:rsidRPr="00C94F0B" w:rsidRDefault="008A19B3" w:rsidP="00311B59">
            <w:pPr>
              <w:pStyle w:val="naiskr"/>
              <w:jc w:val="center"/>
            </w:pPr>
            <w:r>
              <w:rPr>
                <w:sz w:val="22"/>
                <w:szCs w:val="22"/>
              </w:rPr>
              <w:t>2</w:t>
            </w:r>
            <w:r w:rsidRPr="00C94F0B">
              <w:rPr>
                <w:sz w:val="22"/>
                <w:szCs w:val="22"/>
              </w:rPr>
              <w:t>.</w:t>
            </w:r>
          </w:p>
        </w:tc>
        <w:tc>
          <w:tcPr>
            <w:tcW w:w="3146" w:type="dxa"/>
            <w:vAlign w:val="center"/>
          </w:tcPr>
          <w:p w:rsidR="008A19B3" w:rsidRPr="00E776E8" w:rsidRDefault="008A19B3" w:rsidP="00311B59">
            <w:pPr>
              <w:pStyle w:val="naiskr"/>
              <w:ind w:left="170"/>
            </w:pPr>
            <w:r w:rsidRPr="00E776E8">
              <w:rPr>
                <w:sz w:val="22"/>
                <w:szCs w:val="22"/>
              </w:rPr>
              <w:t>Cita informācija.</w:t>
            </w:r>
          </w:p>
        </w:tc>
        <w:tc>
          <w:tcPr>
            <w:tcW w:w="5386" w:type="dxa"/>
            <w:vAlign w:val="center"/>
          </w:tcPr>
          <w:p w:rsidR="008A19B3" w:rsidRPr="00A23EE5" w:rsidRDefault="00A23EE5" w:rsidP="00A23EE5">
            <w:pPr>
              <w:pStyle w:val="naiskr"/>
              <w:jc w:val="both"/>
            </w:pPr>
            <w:r>
              <w:t>Nav</w:t>
            </w:r>
          </w:p>
        </w:tc>
      </w:tr>
    </w:tbl>
    <w:p w:rsidR="00E25EE5" w:rsidRDefault="00E25EE5" w:rsidP="00E25EE5">
      <w:pPr>
        <w:pStyle w:val="naisf"/>
        <w:ind w:firstLine="0"/>
      </w:pPr>
    </w:p>
    <w:tbl>
      <w:tblPr>
        <w:tblpPr w:leftFromText="180" w:rightFromText="180" w:vertAnchor="text" w:horzAnchor="margin" w:tblpXSpec="center" w:tblpY="-98"/>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422"/>
        <w:gridCol w:w="4110"/>
      </w:tblGrid>
      <w:tr w:rsidR="00E25EE5" w:rsidRPr="00277929" w:rsidTr="0004107D">
        <w:trPr>
          <w:tblCellSpacing w:w="0" w:type="dxa"/>
        </w:trPr>
        <w:tc>
          <w:tcPr>
            <w:tcW w:w="9082" w:type="dxa"/>
            <w:gridSpan w:val="3"/>
            <w:vAlign w:val="center"/>
          </w:tcPr>
          <w:p w:rsidR="00E25EE5" w:rsidRPr="002F78C8" w:rsidRDefault="00E25EE5" w:rsidP="0004107D">
            <w:pPr>
              <w:pStyle w:val="naisnod"/>
            </w:pPr>
            <w:r w:rsidRPr="002F78C8">
              <w:lastRenderedPageBreak/>
              <w:t>VII Tiesību akta projekta izpildes nodrošināšana un tās ietekme uz institūcijām</w:t>
            </w:r>
          </w:p>
        </w:tc>
      </w:tr>
      <w:tr w:rsidR="00E25EE5" w:rsidRPr="00C40595" w:rsidTr="0004107D">
        <w:trPr>
          <w:trHeight w:val="834"/>
          <w:tblCellSpacing w:w="0" w:type="dxa"/>
        </w:trPr>
        <w:tc>
          <w:tcPr>
            <w:tcW w:w="550" w:type="dxa"/>
            <w:vAlign w:val="center"/>
          </w:tcPr>
          <w:p w:rsidR="00E25EE5" w:rsidRPr="00241A6C" w:rsidRDefault="00E25EE5" w:rsidP="0004107D">
            <w:pPr>
              <w:pStyle w:val="naisnod"/>
              <w:ind w:left="180" w:hanging="180"/>
              <w:rPr>
                <w:b w:val="0"/>
              </w:rPr>
            </w:pPr>
            <w:r w:rsidRPr="00241A6C">
              <w:rPr>
                <w:b w:val="0"/>
                <w:sz w:val="22"/>
                <w:szCs w:val="22"/>
              </w:rPr>
              <w:t>1.</w:t>
            </w:r>
          </w:p>
        </w:tc>
        <w:tc>
          <w:tcPr>
            <w:tcW w:w="4422" w:type="dxa"/>
            <w:vAlign w:val="center"/>
          </w:tcPr>
          <w:p w:rsidR="00E25EE5" w:rsidRPr="00E776E8" w:rsidRDefault="00E25EE5" w:rsidP="0004107D">
            <w:pPr>
              <w:pStyle w:val="naisf"/>
              <w:ind w:left="170" w:firstLine="0"/>
              <w:jc w:val="left"/>
            </w:pPr>
            <w:r w:rsidRPr="00E776E8">
              <w:rPr>
                <w:sz w:val="22"/>
                <w:szCs w:val="22"/>
              </w:rPr>
              <w:t xml:space="preserve">Projekta izpildē iesaistītās institūcijas </w:t>
            </w:r>
          </w:p>
        </w:tc>
        <w:tc>
          <w:tcPr>
            <w:tcW w:w="4110" w:type="dxa"/>
            <w:vAlign w:val="center"/>
          </w:tcPr>
          <w:p w:rsidR="00E25EE5" w:rsidRPr="00C247FB" w:rsidRDefault="00E25EE5" w:rsidP="0004107D">
            <w:pPr>
              <w:pStyle w:val="naisnod"/>
              <w:jc w:val="left"/>
              <w:rPr>
                <w:b w:val="0"/>
              </w:rPr>
            </w:pPr>
            <w:r w:rsidRPr="00E776E8">
              <w:rPr>
                <w:b w:val="0"/>
                <w:i/>
                <w:iCs/>
                <w:sz w:val="22"/>
                <w:szCs w:val="22"/>
              </w:rPr>
              <w:t xml:space="preserve"> </w:t>
            </w:r>
            <w:r>
              <w:rPr>
                <w:b w:val="0"/>
                <w:iCs/>
                <w:sz w:val="22"/>
                <w:szCs w:val="22"/>
              </w:rPr>
              <w:t>Iekšlietu ministrijas Informācijas centrs.</w:t>
            </w:r>
          </w:p>
        </w:tc>
      </w:tr>
      <w:tr w:rsidR="00E25EE5" w:rsidRPr="00C40595" w:rsidTr="0004107D">
        <w:trPr>
          <w:trHeight w:val="879"/>
          <w:tblCellSpacing w:w="0" w:type="dxa"/>
        </w:trPr>
        <w:tc>
          <w:tcPr>
            <w:tcW w:w="550" w:type="dxa"/>
            <w:vAlign w:val="center"/>
          </w:tcPr>
          <w:p w:rsidR="00E25EE5" w:rsidRPr="00241A6C" w:rsidRDefault="00E25EE5" w:rsidP="0004107D">
            <w:pPr>
              <w:pStyle w:val="naisnod"/>
              <w:rPr>
                <w:b w:val="0"/>
              </w:rPr>
            </w:pPr>
            <w:r w:rsidRPr="00241A6C">
              <w:rPr>
                <w:b w:val="0"/>
                <w:sz w:val="22"/>
                <w:szCs w:val="22"/>
              </w:rPr>
              <w:t>2.</w:t>
            </w:r>
          </w:p>
        </w:tc>
        <w:tc>
          <w:tcPr>
            <w:tcW w:w="4422" w:type="dxa"/>
            <w:vAlign w:val="center"/>
          </w:tcPr>
          <w:p w:rsidR="00E25EE5" w:rsidRPr="00E776E8" w:rsidRDefault="00E25EE5" w:rsidP="0004107D">
            <w:pPr>
              <w:pStyle w:val="naisf"/>
              <w:ind w:left="170" w:firstLine="0"/>
              <w:jc w:val="left"/>
            </w:pPr>
            <w:r w:rsidRPr="00E776E8">
              <w:rPr>
                <w:sz w:val="22"/>
                <w:szCs w:val="22"/>
              </w:rPr>
              <w:t xml:space="preserve">Projekta izpildes ietekme uz pārvaldes funkcijām </w:t>
            </w:r>
          </w:p>
        </w:tc>
        <w:tc>
          <w:tcPr>
            <w:tcW w:w="4110" w:type="dxa"/>
            <w:vAlign w:val="center"/>
          </w:tcPr>
          <w:p w:rsidR="00E25EE5" w:rsidRPr="00C247FB" w:rsidRDefault="00C70F0B" w:rsidP="0004107D">
            <w:pPr>
              <w:pStyle w:val="naisnod"/>
              <w:jc w:val="left"/>
              <w:rPr>
                <w:b w:val="0"/>
              </w:rPr>
            </w:pPr>
            <w:r>
              <w:rPr>
                <w:b w:val="0"/>
                <w:sz w:val="22"/>
                <w:szCs w:val="22"/>
              </w:rPr>
              <w:t>Tiek paplašināti Iekšlietu ministrijas Informācijas centra uzdevumi.</w:t>
            </w:r>
            <w:r w:rsidR="00E25EE5">
              <w:rPr>
                <w:b w:val="0"/>
                <w:sz w:val="22"/>
                <w:szCs w:val="22"/>
              </w:rPr>
              <w:t xml:space="preserve"> </w:t>
            </w:r>
          </w:p>
        </w:tc>
      </w:tr>
      <w:tr w:rsidR="00E25EE5" w:rsidRPr="00C40595" w:rsidTr="0004107D">
        <w:trPr>
          <w:trHeight w:val="725"/>
          <w:tblCellSpacing w:w="0" w:type="dxa"/>
        </w:trPr>
        <w:tc>
          <w:tcPr>
            <w:tcW w:w="550" w:type="dxa"/>
            <w:vAlign w:val="center"/>
          </w:tcPr>
          <w:p w:rsidR="00E25EE5" w:rsidRPr="00241A6C" w:rsidRDefault="00E25EE5" w:rsidP="0004107D">
            <w:pPr>
              <w:pStyle w:val="naisnod"/>
              <w:rPr>
                <w:b w:val="0"/>
              </w:rPr>
            </w:pPr>
            <w:r w:rsidRPr="00241A6C">
              <w:rPr>
                <w:b w:val="0"/>
                <w:sz w:val="22"/>
                <w:szCs w:val="22"/>
              </w:rPr>
              <w:t>3.</w:t>
            </w:r>
          </w:p>
        </w:tc>
        <w:tc>
          <w:tcPr>
            <w:tcW w:w="4422" w:type="dxa"/>
            <w:vAlign w:val="center"/>
          </w:tcPr>
          <w:p w:rsidR="00E25EE5" w:rsidRPr="00E776E8" w:rsidRDefault="00E25EE5" w:rsidP="0004107D">
            <w:pPr>
              <w:pStyle w:val="naisf"/>
              <w:ind w:left="170" w:firstLine="0"/>
              <w:jc w:val="left"/>
            </w:pPr>
            <w:r w:rsidRPr="00E776E8">
              <w:rPr>
                <w:sz w:val="22"/>
                <w:szCs w:val="22"/>
              </w:rPr>
              <w:t>Projekta izpildes ietekme uz pārvaldes institucionālo struktūru.</w:t>
            </w:r>
          </w:p>
          <w:p w:rsidR="00E25EE5" w:rsidRPr="00E776E8" w:rsidRDefault="00E25EE5" w:rsidP="0004107D">
            <w:pPr>
              <w:pStyle w:val="naisf"/>
              <w:ind w:left="350" w:hanging="180"/>
              <w:jc w:val="left"/>
            </w:pPr>
            <w:r w:rsidRPr="00E776E8">
              <w:rPr>
                <w:sz w:val="22"/>
                <w:szCs w:val="22"/>
              </w:rPr>
              <w:t>Jaunu institūciju izveide.</w:t>
            </w:r>
          </w:p>
        </w:tc>
        <w:tc>
          <w:tcPr>
            <w:tcW w:w="4110" w:type="dxa"/>
            <w:vAlign w:val="center"/>
          </w:tcPr>
          <w:p w:rsidR="00E25EE5" w:rsidRPr="00C247FB" w:rsidRDefault="00E25EE5" w:rsidP="0004107D">
            <w:pPr>
              <w:pStyle w:val="naisnod"/>
              <w:jc w:val="left"/>
              <w:rPr>
                <w:b w:val="0"/>
              </w:rPr>
            </w:pPr>
            <w:r>
              <w:rPr>
                <w:b w:val="0"/>
                <w:sz w:val="22"/>
                <w:szCs w:val="22"/>
              </w:rPr>
              <w:t>Netiks izveidotas jaunas institūcijas.</w:t>
            </w:r>
          </w:p>
        </w:tc>
      </w:tr>
      <w:tr w:rsidR="00E25EE5" w:rsidRPr="00C40595" w:rsidTr="0004107D">
        <w:trPr>
          <w:trHeight w:val="1738"/>
          <w:tblCellSpacing w:w="0" w:type="dxa"/>
        </w:trPr>
        <w:tc>
          <w:tcPr>
            <w:tcW w:w="550" w:type="dxa"/>
            <w:vAlign w:val="center"/>
          </w:tcPr>
          <w:p w:rsidR="00E25EE5" w:rsidRPr="00241A6C" w:rsidRDefault="00E25EE5" w:rsidP="0004107D">
            <w:pPr>
              <w:pStyle w:val="naisnod"/>
              <w:rPr>
                <w:b w:val="0"/>
              </w:rPr>
            </w:pPr>
            <w:r w:rsidRPr="00241A6C">
              <w:rPr>
                <w:b w:val="0"/>
                <w:sz w:val="22"/>
                <w:szCs w:val="22"/>
              </w:rPr>
              <w:t>4.</w:t>
            </w:r>
          </w:p>
        </w:tc>
        <w:tc>
          <w:tcPr>
            <w:tcW w:w="4422" w:type="dxa"/>
            <w:vAlign w:val="center"/>
          </w:tcPr>
          <w:p w:rsidR="00E25EE5" w:rsidRPr="00E776E8" w:rsidRDefault="00E25EE5" w:rsidP="0004107D">
            <w:pPr>
              <w:pStyle w:val="naisf"/>
              <w:ind w:left="170" w:firstLine="0"/>
              <w:jc w:val="left"/>
            </w:pPr>
            <w:r w:rsidRPr="00E776E8">
              <w:rPr>
                <w:sz w:val="22"/>
                <w:szCs w:val="22"/>
              </w:rPr>
              <w:t>Projekta izpildes ietekme uz pārvaldes institucionālo struktūru.</w:t>
            </w:r>
          </w:p>
          <w:p w:rsidR="00E25EE5" w:rsidRPr="00E776E8" w:rsidRDefault="00E25EE5" w:rsidP="0004107D">
            <w:pPr>
              <w:pStyle w:val="naisf"/>
              <w:ind w:left="350" w:hanging="180"/>
              <w:jc w:val="left"/>
            </w:pPr>
            <w:r w:rsidRPr="00E776E8">
              <w:rPr>
                <w:sz w:val="22"/>
                <w:szCs w:val="22"/>
              </w:rPr>
              <w:t>Esošu institūciju likvidācija.</w:t>
            </w:r>
          </w:p>
        </w:tc>
        <w:tc>
          <w:tcPr>
            <w:tcW w:w="4110" w:type="dxa"/>
            <w:vAlign w:val="center"/>
          </w:tcPr>
          <w:p w:rsidR="00E25EE5" w:rsidRPr="00C247FB" w:rsidRDefault="00E25EE5" w:rsidP="0004107D">
            <w:pPr>
              <w:pStyle w:val="naisnod"/>
              <w:jc w:val="left"/>
              <w:rPr>
                <w:b w:val="0"/>
              </w:rPr>
            </w:pPr>
            <w:r>
              <w:rPr>
                <w:b w:val="0"/>
                <w:sz w:val="22"/>
                <w:szCs w:val="22"/>
              </w:rPr>
              <w:t>Netiks likvidētas institūcijas.</w:t>
            </w:r>
          </w:p>
        </w:tc>
      </w:tr>
      <w:tr w:rsidR="00E25EE5" w:rsidRPr="00C40595" w:rsidTr="0004107D">
        <w:trPr>
          <w:trHeight w:val="2299"/>
          <w:tblCellSpacing w:w="0" w:type="dxa"/>
        </w:trPr>
        <w:tc>
          <w:tcPr>
            <w:tcW w:w="550" w:type="dxa"/>
            <w:vAlign w:val="center"/>
          </w:tcPr>
          <w:p w:rsidR="00E25EE5" w:rsidRPr="00241A6C" w:rsidRDefault="00E25EE5" w:rsidP="0004107D">
            <w:pPr>
              <w:pStyle w:val="naisnod"/>
              <w:rPr>
                <w:b w:val="0"/>
              </w:rPr>
            </w:pPr>
            <w:r w:rsidRPr="00241A6C">
              <w:rPr>
                <w:b w:val="0"/>
                <w:sz w:val="22"/>
                <w:szCs w:val="22"/>
              </w:rPr>
              <w:t>5.</w:t>
            </w:r>
          </w:p>
        </w:tc>
        <w:tc>
          <w:tcPr>
            <w:tcW w:w="4422" w:type="dxa"/>
            <w:vAlign w:val="center"/>
          </w:tcPr>
          <w:p w:rsidR="00E25EE5" w:rsidRPr="00E776E8" w:rsidRDefault="00E25EE5" w:rsidP="0004107D">
            <w:pPr>
              <w:pStyle w:val="naisf"/>
              <w:ind w:left="170" w:firstLine="0"/>
              <w:jc w:val="left"/>
            </w:pPr>
            <w:r w:rsidRPr="00E776E8">
              <w:rPr>
                <w:sz w:val="22"/>
                <w:szCs w:val="22"/>
              </w:rPr>
              <w:t>Projekta izpildes ietekme uz pārvaldes institucionālo struktūru.</w:t>
            </w:r>
          </w:p>
          <w:p w:rsidR="00E25EE5" w:rsidRPr="00E776E8" w:rsidRDefault="00E25EE5" w:rsidP="0004107D">
            <w:pPr>
              <w:pStyle w:val="naisf"/>
              <w:ind w:left="350" w:hanging="180"/>
              <w:jc w:val="left"/>
            </w:pPr>
            <w:r w:rsidRPr="00E776E8">
              <w:rPr>
                <w:sz w:val="22"/>
                <w:szCs w:val="22"/>
              </w:rPr>
              <w:t>Esošu institūciju reorganizācija</w:t>
            </w:r>
            <w:r>
              <w:rPr>
                <w:sz w:val="22"/>
                <w:szCs w:val="22"/>
              </w:rPr>
              <w:t>.</w:t>
            </w:r>
          </w:p>
        </w:tc>
        <w:tc>
          <w:tcPr>
            <w:tcW w:w="4110" w:type="dxa"/>
            <w:vAlign w:val="center"/>
          </w:tcPr>
          <w:p w:rsidR="00E25EE5" w:rsidRPr="00C247FB" w:rsidRDefault="00E25EE5" w:rsidP="0004107D">
            <w:pPr>
              <w:pStyle w:val="naisnod"/>
              <w:jc w:val="left"/>
              <w:rPr>
                <w:b w:val="0"/>
              </w:rPr>
            </w:pPr>
            <w:r>
              <w:rPr>
                <w:b w:val="0"/>
                <w:sz w:val="22"/>
                <w:szCs w:val="22"/>
              </w:rPr>
              <w:t>Nenotiks esošo institūciju reorganizācija.</w:t>
            </w:r>
          </w:p>
        </w:tc>
      </w:tr>
      <w:tr w:rsidR="00E25EE5" w:rsidRPr="00A950C5" w:rsidTr="0004107D">
        <w:trPr>
          <w:trHeight w:val="476"/>
          <w:tblCellSpacing w:w="0" w:type="dxa"/>
        </w:trPr>
        <w:tc>
          <w:tcPr>
            <w:tcW w:w="550" w:type="dxa"/>
            <w:vAlign w:val="center"/>
          </w:tcPr>
          <w:p w:rsidR="00E25EE5" w:rsidRPr="00241A6C" w:rsidRDefault="00E25EE5" w:rsidP="0004107D">
            <w:pPr>
              <w:pStyle w:val="naiskr"/>
              <w:jc w:val="center"/>
            </w:pPr>
            <w:r w:rsidRPr="00241A6C">
              <w:rPr>
                <w:sz w:val="22"/>
                <w:szCs w:val="22"/>
              </w:rPr>
              <w:t>7.</w:t>
            </w:r>
          </w:p>
        </w:tc>
        <w:tc>
          <w:tcPr>
            <w:tcW w:w="4422" w:type="dxa"/>
            <w:vAlign w:val="center"/>
          </w:tcPr>
          <w:p w:rsidR="00E25EE5" w:rsidRPr="00E776E8" w:rsidRDefault="00E25EE5" w:rsidP="0004107D">
            <w:pPr>
              <w:pStyle w:val="naiskr"/>
              <w:ind w:left="170"/>
            </w:pPr>
            <w:r w:rsidRPr="00E776E8">
              <w:rPr>
                <w:sz w:val="22"/>
                <w:szCs w:val="22"/>
              </w:rPr>
              <w:t>Cita informācija.</w:t>
            </w:r>
          </w:p>
        </w:tc>
        <w:tc>
          <w:tcPr>
            <w:tcW w:w="4110" w:type="dxa"/>
            <w:vAlign w:val="center"/>
          </w:tcPr>
          <w:p w:rsidR="00E25EE5" w:rsidRPr="00C247FB" w:rsidRDefault="00E25EE5" w:rsidP="0004107D">
            <w:pPr>
              <w:pStyle w:val="naiskr"/>
            </w:pPr>
            <w:r>
              <w:rPr>
                <w:sz w:val="22"/>
                <w:szCs w:val="22"/>
              </w:rPr>
              <w:t>Nav</w:t>
            </w:r>
          </w:p>
        </w:tc>
      </w:tr>
    </w:tbl>
    <w:p w:rsidR="00D476FE" w:rsidRDefault="00D476FE" w:rsidP="00E4668A">
      <w:pPr>
        <w:pStyle w:val="naisf"/>
        <w:tabs>
          <w:tab w:val="left" w:pos="5760"/>
        </w:tabs>
        <w:ind w:firstLine="0"/>
        <w:rPr>
          <w:sz w:val="28"/>
          <w:szCs w:val="28"/>
        </w:rPr>
      </w:pPr>
    </w:p>
    <w:p w:rsidR="00E25EE5" w:rsidRDefault="00E25EE5" w:rsidP="00E4668A">
      <w:pPr>
        <w:pStyle w:val="naisf"/>
        <w:tabs>
          <w:tab w:val="left" w:pos="5760"/>
        </w:tabs>
        <w:ind w:firstLine="0"/>
        <w:rPr>
          <w:sz w:val="28"/>
          <w:szCs w:val="28"/>
        </w:rPr>
      </w:pPr>
      <w:r>
        <w:rPr>
          <w:sz w:val="28"/>
          <w:szCs w:val="28"/>
        </w:rPr>
        <w:t xml:space="preserve">Anotācijas </w:t>
      </w:r>
      <w:r w:rsidR="00051F54">
        <w:rPr>
          <w:sz w:val="28"/>
          <w:szCs w:val="28"/>
        </w:rPr>
        <w:t xml:space="preserve">III, </w:t>
      </w:r>
      <w:r>
        <w:rPr>
          <w:sz w:val="28"/>
          <w:szCs w:val="28"/>
        </w:rPr>
        <w:t>V un VI sadaļa – projekts šo jomu neskar.</w:t>
      </w:r>
    </w:p>
    <w:p w:rsidR="00D476FE" w:rsidRDefault="00D476FE" w:rsidP="00E4668A">
      <w:pPr>
        <w:pStyle w:val="naisf"/>
        <w:tabs>
          <w:tab w:val="left" w:pos="5760"/>
        </w:tabs>
        <w:ind w:firstLine="0"/>
        <w:rPr>
          <w:sz w:val="28"/>
          <w:szCs w:val="28"/>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2835"/>
      </w:tblGrid>
      <w:tr w:rsidR="00051F54" w:rsidTr="00E4668A">
        <w:trPr>
          <w:trHeight w:val="602"/>
        </w:trPr>
        <w:tc>
          <w:tcPr>
            <w:tcW w:w="6345" w:type="dxa"/>
          </w:tcPr>
          <w:p w:rsidR="00051F54" w:rsidRDefault="00051F54" w:rsidP="00E25EE5">
            <w:pPr>
              <w:pStyle w:val="NormalWeb"/>
              <w:spacing w:before="238" w:after="0"/>
              <w:ind w:right="-51"/>
              <w:rPr>
                <w:sz w:val="28"/>
                <w:szCs w:val="28"/>
                <w:lang w:val="lv-LV"/>
              </w:rPr>
            </w:pPr>
            <w:r>
              <w:rPr>
                <w:sz w:val="28"/>
                <w:szCs w:val="28"/>
                <w:lang w:val="lv-LV"/>
              </w:rPr>
              <w:t>Iekšlietu ministrs</w:t>
            </w:r>
          </w:p>
        </w:tc>
        <w:tc>
          <w:tcPr>
            <w:tcW w:w="2835" w:type="dxa"/>
          </w:tcPr>
          <w:p w:rsidR="00051F54" w:rsidRDefault="00051F54" w:rsidP="00E25EE5">
            <w:pPr>
              <w:pStyle w:val="NormalWeb"/>
              <w:spacing w:before="238" w:after="0"/>
              <w:ind w:right="-51"/>
              <w:rPr>
                <w:sz w:val="28"/>
                <w:szCs w:val="28"/>
                <w:lang w:val="lv-LV"/>
              </w:rPr>
            </w:pPr>
            <w:proofErr w:type="spellStart"/>
            <w:r>
              <w:rPr>
                <w:sz w:val="28"/>
                <w:szCs w:val="28"/>
                <w:lang w:val="lv-LV"/>
              </w:rPr>
              <w:t>R.Kozlovskis</w:t>
            </w:r>
            <w:proofErr w:type="spellEnd"/>
          </w:p>
          <w:p w:rsidR="00D476FE" w:rsidRDefault="00D476FE" w:rsidP="00E25EE5">
            <w:pPr>
              <w:pStyle w:val="NormalWeb"/>
              <w:spacing w:before="238" w:after="0"/>
              <w:ind w:right="-51"/>
              <w:rPr>
                <w:sz w:val="28"/>
                <w:szCs w:val="28"/>
                <w:lang w:val="lv-LV"/>
              </w:rPr>
            </w:pPr>
          </w:p>
        </w:tc>
      </w:tr>
      <w:tr w:rsidR="00051F54" w:rsidTr="00E4668A">
        <w:trPr>
          <w:trHeight w:val="550"/>
        </w:trPr>
        <w:tc>
          <w:tcPr>
            <w:tcW w:w="6345" w:type="dxa"/>
          </w:tcPr>
          <w:p w:rsidR="00051F54" w:rsidRDefault="00051F54" w:rsidP="00E25EE5">
            <w:pPr>
              <w:pStyle w:val="NormalWeb"/>
              <w:spacing w:before="238" w:after="0"/>
              <w:ind w:right="-51"/>
              <w:rPr>
                <w:sz w:val="28"/>
                <w:szCs w:val="28"/>
                <w:lang w:val="lv-LV"/>
              </w:rPr>
            </w:pPr>
            <w:r>
              <w:rPr>
                <w:sz w:val="28"/>
                <w:szCs w:val="28"/>
                <w:lang w:val="lv-LV"/>
              </w:rPr>
              <w:t>Vīza: valsts sekretāre</w:t>
            </w:r>
          </w:p>
        </w:tc>
        <w:tc>
          <w:tcPr>
            <w:tcW w:w="2835" w:type="dxa"/>
          </w:tcPr>
          <w:p w:rsidR="00051F54" w:rsidRDefault="00051F54" w:rsidP="00E25EE5">
            <w:pPr>
              <w:pStyle w:val="NormalWeb"/>
              <w:spacing w:before="238" w:after="0"/>
              <w:ind w:right="-51"/>
              <w:rPr>
                <w:sz w:val="28"/>
                <w:szCs w:val="28"/>
                <w:lang w:val="lv-LV"/>
              </w:rPr>
            </w:pPr>
            <w:r>
              <w:rPr>
                <w:sz w:val="28"/>
                <w:szCs w:val="28"/>
                <w:lang w:val="lv-LV"/>
              </w:rPr>
              <w:t>I.Pētersone - Godmane</w:t>
            </w:r>
          </w:p>
        </w:tc>
      </w:tr>
    </w:tbl>
    <w:p w:rsidR="00042609" w:rsidRDefault="00042609"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D409A0" w:rsidRDefault="00D409A0" w:rsidP="00E25EE5">
      <w:pPr>
        <w:jc w:val="both"/>
        <w:rPr>
          <w:sz w:val="16"/>
          <w:szCs w:val="16"/>
        </w:rPr>
      </w:pPr>
    </w:p>
    <w:p w:rsidR="00E25EE5" w:rsidRPr="00E4668A" w:rsidRDefault="0025079A" w:rsidP="00E25EE5">
      <w:pPr>
        <w:jc w:val="both"/>
        <w:rPr>
          <w:sz w:val="16"/>
          <w:szCs w:val="16"/>
        </w:rPr>
      </w:pPr>
      <w:r w:rsidRPr="00E4668A">
        <w:rPr>
          <w:sz w:val="16"/>
          <w:szCs w:val="16"/>
        </w:rPr>
        <w:t>2013.07</w:t>
      </w:r>
      <w:r w:rsidR="00F23BBF" w:rsidRPr="00E4668A">
        <w:rPr>
          <w:sz w:val="16"/>
          <w:szCs w:val="16"/>
        </w:rPr>
        <w:t>.</w:t>
      </w:r>
      <w:r w:rsidR="005340BC">
        <w:rPr>
          <w:sz w:val="16"/>
          <w:szCs w:val="16"/>
        </w:rPr>
        <w:t>15</w:t>
      </w:r>
      <w:r w:rsidR="0011603B" w:rsidRPr="00E4668A">
        <w:rPr>
          <w:sz w:val="16"/>
          <w:szCs w:val="16"/>
        </w:rPr>
        <w:t xml:space="preserve">. </w:t>
      </w:r>
      <w:r w:rsidR="005340BC">
        <w:rPr>
          <w:sz w:val="16"/>
          <w:szCs w:val="16"/>
        </w:rPr>
        <w:t>10:32</w:t>
      </w:r>
    </w:p>
    <w:p w:rsidR="00E25EE5" w:rsidRPr="00E4668A" w:rsidRDefault="00B51A76" w:rsidP="00E25EE5">
      <w:pPr>
        <w:jc w:val="both"/>
        <w:rPr>
          <w:sz w:val="16"/>
          <w:szCs w:val="16"/>
        </w:rPr>
      </w:pPr>
      <w:bookmarkStart w:id="0" w:name="_GoBack"/>
      <w:bookmarkEnd w:id="0"/>
      <w:r>
        <w:rPr>
          <w:sz w:val="16"/>
          <w:szCs w:val="16"/>
        </w:rPr>
        <w:t>1140</w:t>
      </w:r>
    </w:p>
    <w:p w:rsidR="00E25EE5" w:rsidRPr="00E4668A" w:rsidRDefault="00E25EE5" w:rsidP="00E25EE5">
      <w:pPr>
        <w:widowControl w:val="0"/>
        <w:outlineLvl w:val="0"/>
        <w:rPr>
          <w:sz w:val="16"/>
          <w:szCs w:val="16"/>
        </w:rPr>
      </w:pPr>
      <w:r w:rsidRPr="00E4668A">
        <w:rPr>
          <w:sz w:val="16"/>
          <w:szCs w:val="16"/>
        </w:rPr>
        <w:t>Iekšlietu ministrijas</w:t>
      </w:r>
    </w:p>
    <w:p w:rsidR="00E25EE5" w:rsidRPr="00E4668A" w:rsidRDefault="00E25EE5" w:rsidP="00E25EE5">
      <w:pPr>
        <w:widowControl w:val="0"/>
        <w:outlineLvl w:val="0"/>
        <w:rPr>
          <w:sz w:val="16"/>
          <w:szCs w:val="16"/>
        </w:rPr>
      </w:pPr>
      <w:r w:rsidRPr="00E4668A">
        <w:rPr>
          <w:sz w:val="16"/>
          <w:szCs w:val="16"/>
        </w:rPr>
        <w:t>Informācijas centra juriste</w:t>
      </w:r>
    </w:p>
    <w:p w:rsidR="00E25EE5" w:rsidRPr="00E4668A" w:rsidRDefault="00E25EE5" w:rsidP="00E25EE5">
      <w:pPr>
        <w:widowControl w:val="0"/>
        <w:outlineLvl w:val="0"/>
        <w:rPr>
          <w:sz w:val="16"/>
          <w:szCs w:val="16"/>
        </w:rPr>
      </w:pPr>
      <w:r w:rsidRPr="00E4668A">
        <w:rPr>
          <w:sz w:val="16"/>
          <w:szCs w:val="16"/>
        </w:rPr>
        <w:t>S.Koritko, 67208742</w:t>
      </w:r>
    </w:p>
    <w:p w:rsidR="00221787" w:rsidRPr="00E4668A" w:rsidRDefault="00351639" w:rsidP="009B2A67">
      <w:pPr>
        <w:widowControl w:val="0"/>
        <w:outlineLvl w:val="0"/>
        <w:rPr>
          <w:sz w:val="16"/>
          <w:szCs w:val="16"/>
        </w:rPr>
      </w:pPr>
      <w:hyperlink r:id="rId8" w:history="1">
        <w:r w:rsidR="00E25EE5" w:rsidRPr="00E4668A">
          <w:rPr>
            <w:rStyle w:val="Hyperlink"/>
            <w:sz w:val="16"/>
            <w:szCs w:val="16"/>
          </w:rPr>
          <w:t>Signe.Koritko@ic.iem.gov.lv</w:t>
        </w:r>
      </w:hyperlink>
    </w:p>
    <w:sectPr w:rsidR="00221787" w:rsidRPr="00E4668A" w:rsidSect="0004107D">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26B" w:rsidRDefault="00E6426B" w:rsidP="003310FF">
      <w:r>
        <w:separator/>
      </w:r>
    </w:p>
  </w:endnote>
  <w:endnote w:type="continuationSeparator" w:id="0">
    <w:p w:rsidR="00E6426B" w:rsidRDefault="00E6426B" w:rsidP="00331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47" w:rsidRPr="00A31929" w:rsidRDefault="00A31929" w:rsidP="00A31929">
    <w:pPr>
      <w:pStyle w:val="naisnod"/>
      <w:spacing w:before="0" w:after="0"/>
      <w:jc w:val="both"/>
      <w:rPr>
        <w:b w:val="0"/>
        <w:sz w:val="20"/>
      </w:rPr>
    </w:pPr>
    <w:r>
      <w:rPr>
        <w:b w:val="0"/>
        <w:sz w:val="20"/>
      </w:rPr>
      <w:t>IEMAnot_</w:t>
    </w:r>
    <w:r w:rsidR="005340BC">
      <w:rPr>
        <w:b w:val="0"/>
        <w:sz w:val="20"/>
      </w:rPr>
      <w:t>15</w:t>
    </w:r>
    <w:r w:rsidR="00B80E34">
      <w:rPr>
        <w:b w:val="0"/>
        <w:sz w:val="20"/>
      </w:rPr>
      <w:t>07</w:t>
    </w:r>
    <w:r>
      <w:rPr>
        <w:b w:val="0"/>
        <w:sz w:val="20"/>
      </w:rPr>
      <w:t>13</w:t>
    </w:r>
    <w:r w:rsidRPr="00FB5B12">
      <w:rPr>
        <w:b w:val="0"/>
        <w:sz w:val="20"/>
      </w:rPr>
      <w:t>_</w:t>
    </w:r>
    <w:r w:rsidR="0030697E">
      <w:rPr>
        <w:b w:val="0"/>
        <w:sz w:val="20"/>
      </w:rPr>
      <w:t>MK526</w:t>
    </w:r>
    <w:r w:rsidRPr="00FB5B12">
      <w:rPr>
        <w:b w:val="0"/>
        <w:sz w:val="20"/>
      </w:rPr>
      <w:t>.doc; Mini</w:t>
    </w:r>
    <w:r>
      <w:rPr>
        <w:b w:val="0"/>
        <w:sz w:val="20"/>
      </w:rPr>
      <w:t>stru kabineta noteikumu projekta</w:t>
    </w:r>
    <w:r w:rsidRPr="00FB5B12">
      <w:rPr>
        <w:b w:val="0"/>
        <w:sz w:val="20"/>
      </w:rPr>
      <w:t xml:space="preserve"> „</w:t>
    </w:r>
    <w:r>
      <w:rPr>
        <w:b w:val="0"/>
        <w:sz w:val="20"/>
      </w:rPr>
      <w:t>Grozījum</w:t>
    </w:r>
    <w:r w:rsidR="005340BC">
      <w:rPr>
        <w:b w:val="0"/>
        <w:sz w:val="20"/>
      </w:rPr>
      <w:t>s</w:t>
    </w:r>
    <w:r>
      <w:rPr>
        <w:b w:val="0"/>
        <w:sz w:val="20"/>
      </w:rPr>
      <w:t xml:space="preserve"> Ministru kabineta 2004.gada 8.jūnija noteikumos Nr.526 „Iekšlietu ministrijas Informācijas centra nolikums”” sākotnējās ietekmes novērtējuma </w:t>
    </w:r>
    <w:smartTag w:uri="schemas-tilde-lv/tildestengine" w:element="veidnes">
      <w:smartTagPr>
        <w:attr w:name="id" w:val="-1"/>
        <w:attr w:name="baseform" w:val="ziņojums"/>
        <w:attr w:name="text" w:val="ziņojums"/>
      </w:smartTagPr>
      <w:r>
        <w:rPr>
          <w:b w:val="0"/>
          <w:sz w:val="20"/>
        </w:rPr>
        <w:t>ziņojums</w:t>
      </w:r>
    </w:smartTag>
    <w:r>
      <w:rPr>
        <w:b w:val="0"/>
        <w:sz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47" w:rsidRPr="00FB5B12" w:rsidRDefault="00810539" w:rsidP="0004107D">
    <w:pPr>
      <w:pStyle w:val="naisnod"/>
      <w:spacing w:before="0" w:after="0"/>
      <w:jc w:val="both"/>
      <w:rPr>
        <w:b w:val="0"/>
        <w:sz w:val="20"/>
      </w:rPr>
    </w:pPr>
    <w:r>
      <w:rPr>
        <w:b w:val="0"/>
        <w:sz w:val="20"/>
      </w:rPr>
      <w:t>IEMAnot_</w:t>
    </w:r>
    <w:r w:rsidR="005340BC">
      <w:rPr>
        <w:b w:val="0"/>
        <w:sz w:val="20"/>
      </w:rPr>
      <w:t>15</w:t>
    </w:r>
    <w:r w:rsidR="00B80E34">
      <w:rPr>
        <w:b w:val="0"/>
        <w:sz w:val="20"/>
      </w:rPr>
      <w:t>07</w:t>
    </w:r>
    <w:r w:rsidR="00B83347">
      <w:rPr>
        <w:b w:val="0"/>
        <w:sz w:val="20"/>
      </w:rPr>
      <w:t>13</w:t>
    </w:r>
    <w:r w:rsidR="00B83347" w:rsidRPr="00FB5B12">
      <w:rPr>
        <w:b w:val="0"/>
        <w:sz w:val="20"/>
      </w:rPr>
      <w:t>_</w:t>
    </w:r>
    <w:r w:rsidR="0030697E">
      <w:rPr>
        <w:b w:val="0"/>
        <w:sz w:val="20"/>
      </w:rPr>
      <w:t>MK526</w:t>
    </w:r>
    <w:r w:rsidR="00B83347" w:rsidRPr="00FB5B12">
      <w:rPr>
        <w:b w:val="0"/>
        <w:sz w:val="20"/>
      </w:rPr>
      <w:t>.doc; Mini</w:t>
    </w:r>
    <w:r w:rsidR="00B83347">
      <w:rPr>
        <w:b w:val="0"/>
        <w:sz w:val="20"/>
      </w:rPr>
      <w:t>stru kabineta noteikumu projekta</w:t>
    </w:r>
    <w:r w:rsidR="00B83347" w:rsidRPr="00FB5B12">
      <w:rPr>
        <w:b w:val="0"/>
        <w:sz w:val="20"/>
      </w:rPr>
      <w:t xml:space="preserve"> „</w:t>
    </w:r>
    <w:r w:rsidR="00A31929">
      <w:rPr>
        <w:b w:val="0"/>
        <w:sz w:val="20"/>
      </w:rPr>
      <w:t>Grozījum</w:t>
    </w:r>
    <w:r w:rsidR="005340BC">
      <w:rPr>
        <w:b w:val="0"/>
        <w:sz w:val="20"/>
      </w:rPr>
      <w:t>s</w:t>
    </w:r>
    <w:r w:rsidR="00A31929">
      <w:rPr>
        <w:b w:val="0"/>
        <w:sz w:val="20"/>
      </w:rPr>
      <w:t xml:space="preserve"> M</w:t>
    </w:r>
    <w:r w:rsidR="00B83347">
      <w:rPr>
        <w:b w:val="0"/>
        <w:sz w:val="20"/>
      </w:rPr>
      <w:t>i</w:t>
    </w:r>
    <w:r w:rsidR="00A31929">
      <w:rPr>
        <w:b w:val="0"/>
        <w:sz w:val="20"/>
      </w:rPr>
      <w:t>nistru kabineta 2004.gada 8.jūnija noteikumos Nr.526 „Iekšlietu ministrijas Informācijas centra nolikums”</w:t>
    </w:r>
    <w:r w:rsidR="00B83347">
      <w:rPr>
        <w:b w:val="0"/>
        <w:sz w:val="20"/>
      </w:rPr>
      <w:t xml:space="preserve">” sākotnējās ietekmes novērtējuma </w:t>
    </w:r>
    <w:smartTag w:uri="schemas-tilde-lv/tildestengine" w:element="veidnes">
      <w:smartTagPr>
        <w:attr w:name="id" w:val="-1"/>
        <w:attr w:name="baseform" w:val="ziņojums"/>
        <w:attr w:name="text" w:val="ziņojums"/>
      </w:smartTagPr>
      <w:r w:rsidR="00B83347">
        <w:rPr>
          <w:b w:val="0"/>
          <w:sz w:val="20"/>
        </w:rPr>
        <w:t>ziņojums</w:t>
      </w:r>
    </w:smartTag>
    <w:r w:rsidR="00B83347">
      <w:rPr>
        <w:b w:val="0"/>
        <w:sz w:val="20"/>
      </w:rPr>
      <w:t xml:space="preserve"> (anotācija)</w:t>
    </w:r>
  </w:p>
  <w:p w:rsidR="00B83347" w:rsidRDefault="00B83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26B" w:rsidRDefault="00E6426B" w:rsidP="003310FF">
      <w:r>
        <w:separator/>
      </w:r>
    </w:p>
  </w:footnote>
  <w:footnote w:type="continuationSeparator" w:id="0">
    <w:p w:rsidR="00E6426B" w:rsidRDefault="00E6426B" w:rsidP="003310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47" w:rsidRDefault="00351639" w:rsidP="0004107D">
    <w:pPr>
      <w:pStyle w:val="Header"/>
      <w:framePr w:wrap="around" w:vAnchor="text" w:hAnchor="margin" w:xAlign="center" w:y="1"/>
      <w:rPr>
        <w:rStyle w:val="PageNumber"/>
      </w:rPr>
    </w:pPr>
    <w:r>
      <w:rPr>
        <w:rStyle w:val="PageNumber"/>
      </w:rPr>
      <w:fldChar w:fldCharType="begin"/>
    </w:r>
    <w:r w:rsidR="00B83347">
      <w:rPr>
        <w:rStyle w:val="PageNumber"/>
      </w:rPr>
      <w:instrText xml:space="preserve">PAGE  </w:instrText>
    </w:r>
    <w:r>
      <w:rPr>
        <w:rStyle w:val="PageNumber"/>
      </w:rPr>
      <w:fldChar w:fldCharType="end"/>
    </w:r>
  </w:p>
  <w:p w:rsidR="00B83347" w:rsidRDefault="00B833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47" w:rsidRPr="00DB073B" w:rsidRDefault="00351639" w:rsidP="0004107D">
    <w:pPr>
      <w:pStyle w:val="Header"/>
      <w:framePr w:wrap="around" w:vAnchor="text" w:hAnchor="margin" w:xAlign="center" w:y="1"/>
      <w:rPr>
        <w:rStyle w:val="PageNumber"/>
        <w:sz w:val="20"/>
        <w:szCs w:val="20"/>
      </w:rPr>
    </w:pPr>
    <w:r w:rsidRPr="00DB073B">
      <w:rPr>
        <w:rStyle w:val="PageNumber"/>
        <w:sz w:val="20"/>
        <w:szCs w:val="20"/>
      </w:rPr>
      <w:fldChar w:fldCharType="begin"/>
    </w:r>
    <w:r w:rsidR="00B83347" w:rsidRPr="00DB073B">
      <w:rPr>
        <w:rStyle w:val="PageNumber"/>
        <w:sz w:val="20"/>
        <w:szCs w:val="20"/>
      </w:rPr>
      <w:instrText xml:space="preserve">PAGE  </w:instrText>
    </w:r>
    <w:r w:rsidRPr="00DB073B">
      <w:rPr>
        <w:rStyle w:val="PageNumber"/>
        <w:sz w:val="20"/>
        <w:szCs w:val="20"/>
      </w:rPr>
      <w:fldChar w:fldCharType="separate"/>
    </w:r>
    <w:r w:rsidR="005340BC">
      <w:rPr>
        <w:rStyle w:val="PageNumber"/>
        <w:noProof/>
        <w:sz w:val="20"/>
        <w:szCs w:val="20"/>
      </w:rPr>
      <w:t>5</w:t>
    </w:r>
    <w:r w:rsidRPr="00DB073B">
      <w:rPr>
        <w:rStyle w:val="PageNumber"/>
        <w:sz w:val="20"/>
        <w:szCs w:val="20"/>
      </w:rPr>
      <w:fldChar w:fldCharType="end"/>
    </w:r>
  </w:p>
  <w:p w:rsidR="00B83347" w:rsidRDefault="00B833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352D0"/>
    <w:multiLevelType w:val="hybridMultilevel"/>
    <w:tmpl w:val="E3FE2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C1A38F6"/>
    <w:multiLevelType w:val="multilevel"/>
    <w:tmpl w:val="98CAEE0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7BE24E49"/>
    <w:multiLevelType w:val="hybridMultilevel"/>
    <w:tmpl w:val="C09E0400"/>
    <w:lvl w:ilvl="0" w:tplc="0658B6DC">
      <w:start w:val="1"/>
      <w:numFmt w:val="decimal"/>
      <w:lvlText w:val="%1)"/>
      <w:lvlJc w:val="left"/>
      <w:pPr>
        <w:ind w:left="720" w:hanging="360"/>
      </w:pPr>
      <w:rPr>
        <w:rFonts w:hint="default"/>
        <w:color w:val="2A2A2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25EE5"/>
    <w:rsid w:val="00005EF3"/>
    <w:rsid w:val="00017712"/>
    <w:rsid w:val="00020EE4"/>
    <w:rsid w:val="0004107D"/>
    <w:rsid w:val="00042609"/>
    <w:rsid w:val="000471BA"/>
    <w:rsid w:val="00051F54"/>
    <w:rsid w:val="00076651"/>
    <w:rsid w:val="00082C7F"/>
    <w:rsid w:val="00092245"/>
    <w:rsid w:val="00095E60"/>
    <w:rsid w:val="000B2FD8"/>
    <w:rsid w:val="001060A3"/>
    <w:rsid w:val="00111EBA"/>
    <w:rsid w:val="0011603B"/>
    <w:rsid w:val="00132E32"/>
    <w:rsid w:val="001603E2"/>
    <w:rsid w:val="001633A5"/>
    <w:rsid w:val="001A6B72"/>
    <w:rsid w:val="001C1832"/>
    <w:rsid w:val="001D149C"/>
    <w:rsid w:val="00207901"/>
    <w:rsid w:val="00217C34"/>
    <w:rsid w:val="00221787"/>
    <w:rsid w:val="0025079A"/>
    <w:rsid w:val="00277F7A"/>
    <w:rsid w:val="00297697"/>
    <w:rsid w:val="002B2186"/>
    <w:rsid w:val="002C32E8"/>
    <w:rsid w:val="002F4F78"/>
    <w:rsid w:val="0030697E"/>
    <w:rsid w:val="003113CA"/>
    <w:rsid w:val="0032052C"/>
    <w:rsid w:val="003310FF"/>
    <w:rsid w:val="00333061"/>
    <w:rsid w:val="00341809"/>
    <w:rsid w:val="00346EE4"/>
    <w:rsid w:val="00351639"/>
    <w:rsid w:val="0035692E"/>
    <w:rsid w:val="00361207"/>
    <w:rsid w:val="0037151D"/>
    <w:rsid w:val="0038007C"/>
    <w:rsid w:val="00393691"/>
    <w:rsid w:val="003972D2"/>
    <w:rsid w:val="003B7A47"/>
    <w:rsid w:val="003D0E93"/>
    <w:rsid w:val="003F153F"/>
    <w:rsid w:val="0040034C"/>
    <w:rsid w:val="00402356"/>
    <w:rsid w:val="00431E12"/>
    <w:rsid w:val="00472617"/>
    <w:rsid w:val="004735E1"/>
    <w:rsid w:val="004955AC"/>
    <w:rsid w:val="004E4E89"/>
    <w:rsid w:val="00501D11"/>
    <w:rsid w:val="00505FBA"/>
    <w:rsid w:val="005340BC"/>
    <w:rsid w:val="0054189F"/>
    <w:rsid w:val="00541A30"/>
    <w:rsid w:val="00571BEE"/>
    <w:rsid w:val="00581756"/>
    <w:rsid w:val="0058726C"/>
    <w:rsid w:val="005904F1"/>
    <w:rsid w:val="00594C88"/>
    <w:rsid w:val="00596877"/>
    <w:rsid w:val="005B04B0"/>
    <w:rsid w:val="005C22BD"/>
    <w:rsid w:val="005D52C6"/>
    <w:rsid w:val="005D7987"/>
    <w:rsid w:val="005E2BBB"/>
    <w:rsid w:val="00622F57"/>
    <w:rsid w:val="0063331D"/>
    <w:rsid w:val="00643CF8"/>
    <w:rsid w:val="00646B82"/>
    <w:rsid w:val="00654C7A"/>
    <w:rsid w:val="006A4530"/>
    <w:rsid w:val="006F7BBD"/>
    <w:rsid w:val="007047DA"/>
    <w:rsid w:val="007067A9"/>
    <w:rsid w:val="00716785"/>
    <w:rsid w:val="00740EDB"/>
    <w:rsid w:val="007467C7"/>
    <w:rsid w:val="00747720"/>
    <w:rsid w:val="007577DB"/>
    <w:rsid w:val="00766F3B"/>
    <w:rsid w:val="0077335F"/>
    <w:rsid w:val="00781EBE"/>
    <w:rsid w:val="007924A8"/>
    <w:rsid w:val="007A1EEB"/>
    <w:rsid w:val="007D171E"/>
    <w:rsid w:val="007D28B4"/>
    <w:rsid w:val="007D5388"/>
    <w:rsid w:val="007D6094"/>
    <w:rsid w:val="007F1D7C"/>
    <w:rsid w:val="0080672D"/>
    <w:rsid w:val="00810539"/>
    <w:rsid w:val="00816022"/>
    <w:rsid w:val="00823284"/>
    <w:rsid w:val="008461B3"/>
    <w:rsid w:val="008710EF"/>
    <w:rsid w:val="0088688D"/>
    <w:rsid w:val="0088707F"/>
    <w:rsid w:val="00887116"/>
    <w:rsid w:val="008A19B3"/>
    <w:rsid w:val="008D68D2"/>
    <w:rsid w:val="008D7214"/>
    <w:rsid w:val="008E2C05"/>
    <w:rsid w:val="008F4DED"/>
    <w:rsid w:val="00913B45"/>
    <w:rsid w:val="009204EB"/>
    <w:rsid w:val="00924D5B"/>
    <w:rsid w:val="00931611"/>
    <w:rsid w:val="00960BE4"/>
    <w:rsid w:val="009775B6"/>
    <w:rsid w:val="00985328"/>
    <w:rsid w:val="009A436D"/>
    <w:rsid w:val="009A4558"/>
    <w:rsid w:val="009B2A67"/>
    <w:rsid w:val="009C04EF"/>
    <w:rsid w:val="00A05D04"/>
    <w:rsid w:val="00A2399B"/>
    <w:rsid w:val="00A23EE5"/>
    <w:rsid w:val="00A31929"/>
    <w:rsid w:val="00A521F0"/>
    <w:rsid w:val="00A561CA"/>
    <w:rsid w:val="00A64062"/>
    <w:rsid w:val="00A7095B"/>
    <w:rsid w:val="00A71820"/>
    <w:rsid w:val="00A91097"/>
    <w:rsid w:val="00B27988"/>
    <w:rsid w:val="00B46356"/>
    <w:rsid w:val="00B51A76"/>
    <w:rsid w:val="00B52E0F"/>
    <w:rsid w:val="00B80E34"/>
    <w:rsid w:val="00B83347"/>
    <w:rsid w:val="00B83E92"/>
    <w:rsid w:val="00BA38B2"/>
    <w:rsid w:val="00BB5063"/>
    <w:rsid w:val="00BC19D0"/>
    <w:rsid w:val="00BC4132"/>
    <w:rsid w:val="00BC6428"/>
    <w:rsid w:val="00BE791C"/>
    <w:rsid w:val="00BF14FD"/>
    <w:rsid w:val="00C06455"/>
    <w:rsid w:val="00C228F8"/>
    <w:rsid w:val="00C233F0"/>
    <w:rsid w:val="00C354E5"/>
    <w:rsid w:val="00C4190A"/>
    <w:rsid w:val="00C656A7"/>
    <w:rsid w:val="00C70F0B"/>
    <w:rsid w:val="00CD0FCD"/>
    <w:rsid w:val="00D02CF6"/>
    <w:rsid w:val="00D07DFA"/>
    <w:rsid w:val="00D30ECF"/>
    <w:rsid w:val="00D409A0"/>
    <w:rsid w:val="00D46DDA"/>
    <w:rsid w:val="00D476FE"/>
    <w:rsid w:val="00D573D6"/>
    <w:rsid w:val="00D77710"/>
    <w:rsid w:val="00DA2C67"/>
    <w:rsid w:val="00DB1FB8"/>
    <w:rsid w:val="00DC6FC7"/>
    <w:rsid w:val="00DF08DB"/>
    <w:rsid w:val="00E25EE5"/>
    <w:rsid w:val="00E37864"/>
    <w:rsid w:val="00E4668A"/>
    <w:rsid w:val="00E5124B"/>
    <w:rsid w:val="00E54892"/>
    <w:rsid w:val="00E60824"/>
    <w:rsid w:val="00E6297D"/>
    <w:rsid w:val="00E63E32"/>
    <w:rsid w:val="00E6426B"/>
    <w:rsid w:val="00E67981"/>
    <w:rsid w:val="00E765CF"/>
    <w:rsid w:val="00E84554"/>
    <w:rsid w:val="00E90694"/>
    <w:rsid w:val="00EA5FB7"/>
    <w:rsid w:val="00EC48CC"/>
    <w:rsid w:val="00ED3773"/>
    <w:rsid w:val="00ED4605"/>
    <w:rsid w:val="00EE4D11"/>
    <w:rsid w:val="00EE792C"/>
    <w:rsid w:val="00EF0313"/>
    <w:rsid w:val="00F0509E"/>
    <w:rsid w:val="00F23BBF"/>
    <w:rsid w:val="00F44851"/>
    <w:rsid w:val="00F50460"/>
    <w:rsid w:val="00F73432"/>
    <w:rsid w:val="00F77E52"/>
    <w:rsid w:val="00F95054"/>
    <w:rsid w:val="00FA38FE"/>
    <w:rsid w:val="00FE2876"/>
    <w:rsid w:val="00FF54C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E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51F54"/>
    <w:pPr>
      <w:spacing w:before="100" w:beforeAutospacing="1" w:after="100" w:afterAutospacing="1"/>
      <w:jc w:val="center"/>
      <w:outlineLvl w:val="2"/>
    </w:pPr>
    <w:rPr>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5EE5"/>
    <w:pPr>
      <w:tabs>
        <w:tab w:val="center" w:pos="4153"/>
        <w:tab w:val="right" w:pos="8306"/>
      </w:tabs>
    </w:pPr>
  </w:style>
  <w:style w:type="character" w:customStyle="1" w:styleId="HeaderChar">
    <w:name w:val="Header Char"/>
    <w:basedOn w:val="DefaultParagraphFont"/>
    <w:link w:val="Header"/>
    <w:rsid w:val="00E25EE5"/>
    <w:rPr>
      <w:rFonts w:ascii="Times New Roman" w:eastAsia="Times New Roman" w:hAnsi="Times New Roman" w:cs="Times New Roman"/>
      <w:sz w:val="24"/>
      <w:szCs w:val="24"/>
      <w:lang w:eastAsia="lv-LV"/>
    </w:rPr>
  </w:style>
  <w:style w:type="character" w:styleId="PageNumber">
    <w:name w:val="page number"/>
    <w:basedOn w:val="DefaultParagraphFont"/>
    <w:rsid w:val="00E25EE5"/>
  </w:style>
  <w:style w:type="paragraph" w:customStyle="1" w:styleId="naisf">
    <w:name w:val="naisf"/>
    <w:basedOn w:val="Normal"/>
    <w:rsid w:val="00E25EE5"/>
    <w:pPr>
      <w:spacing w:before="75" w:after="75"/>
      <w:ind w:firstLine="375"/>
      <w:jc w:val="both"/>
    </w:pPr>
  </w:style>
  <w:style w:type="paragraph" w:customStyle="1" w:styleId="naisnod">
    <w:name w:val="naisnod"/>
    <w:basedOn w:val="Normal"/>
    <w:rsid w:val="00E25EE5"/>
    <w:pPr>
      <w:spacing w:before="150" w:after="150"/>
      <w:jc w:val="center"/>
    </w:pPr>
    <w:rPr>
      <w:b/>
      <w:bCs/>
    </w:rPr>
  </w:style>
  <w:style w:type="paragraph" w:customStyle="1" w:styleId="naislab">
    <w:name w:val="naislab"/>
    <w:basedOn w:val="Normal"/>
    <w:rsid w:val="00E25EE5"/>
    <w:pPr>
      <w:spacing w:before="75" w:after="75"/>
      <w:jc w:val="right"/>
    </w:pPr>
  </w:style>
  <w:style w:type="paragraph" w:customStyle="1" w:styleId="naiskr">
    <w:name w:val="naiskr"/>
    <w:basedOn w:val="Normal"/>
    <w:rsid w:val="00E25EE5"/>
    <w:pPr>
      <w:spacing w:before="75" w:after="75"/>
    </w:pPr>
  </w:style>
  <w:style w:type="paragraph" w:customStyle="1" w:styleId="naisc">
    <w:name w:val="naisc"/>
    <w:basedOn w:val="Normal"/>
    <w:rsid w:val="00E25EE5"/>
    <w:pPr>
      <w:spacing w:before="75" w:after="75"/>
      <w:jc w:val="center"/>
    </w:pPr>
  </w:style>
  <w:style w:type="paragraph" w:styleId="FootnoteText">
    <w:name w:val="footnote text"/>
    <w:basedOn w:val="Normal"/>
    <w:link w:val="FootnoteTextChar"/>
    <w:semiHidden/>
    <w:rsid w:val="00E25EE5"/>
    <w:rPr>
      <w:sz w:val="20"/>
      <w:szCs w:val="20"/>
    </w:rPr>
  </w:style>
  <w:style w:type="character" w:customStyle="1" w:styleId="FootnoteTextChar">
    <w:name w:val="Footnote Text Char"/>
    <w:basedOn w:val="DefaultParagraphFont"/>
    <w:link w:val="FootnoteText"/>
    <w:semiHidden/>
    <w:rsid w:val="00E25EE5"/>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E25EE5"/>
    <w:pPr>
      <w:tabs>
        <w:tab w:val="center" w:pos="4153"/>
        <w:tab w:val="right" w:pos="8306"/>
      </w:tabs>
    </w:pPr>
  </w:style>
  <w:style w:type="character" w:customStyle="1" w:styleId="FooterChar">
    <w:name w:val="Footer Char"/>
    <w:basedOn w:val="DefaultParagraphFont"/>
    <w:link w:val="Footer"/>
    <w:uiPriority w:val="99"/>
    <w:rsid w:val="00E25EE5"/>
    <w:rPr>
      <w:rFonts w:ascii="Times New Roman" w:eastAsia="Times New Roman" w:hAnsi="Times New Roman" w:cs="Times New Roman"/>
      <w:sz w:val="24"/>
      <w:szCs w:val="24"/>
      <w:lang w:eastAsia="lv-LV"/>
    </w:rPr>
  </w:style>
  <w:style w:type="character" w:styleId="Hyperlink">
    <w:name w:val="Hyperlink"/>
    <w:basedOn w:val="DefaultParagraphFont"/>
    <w:rsid w:val="00E25EE5"/>
    <w:rPr>
      <w:color w:val="0000FF"/>
      <w:u w:val="single"/>
    </w:rPr>
  </w:style>
  <w:style w:type="paragraph" w:styleId="NormalWeb">
    <w:name w:val="Normal (Web)"/>
    <w:basedOn w:val="Normal"/>
    <w:rsid w:val="00E25EE5"/>
    <w:pPr>
      <w:spacing w:before="100" w:after="100"/>
    </w:pPr>
    <w:rPr>
      <w:szCs w:val="20"/>
      <w:lang w:val="en-US"/>
    </w:rPr>
  </w:style>
  <w:style w:type="paragraph" w:customStyle="1" w:styleId="tv213">
    <w:name w:val="tv213"/>
    <w:basedOn w:val="Normal"/>
    <w:uiPriority w:val="99"/>
    <w:rsid w:val="00571BEE"/>
    <w:pPr>
      <w:spacing w:before="100" w:beforeAutospacing="1" w:after="100" w:afterAutospacing="1"/>
    </w:pPr>
  </w:style>
  <w:style w:type="character" w:styleId="CommentReference">
    <w:name w:val="annotation reference"/>
    <w:basedOn w:val="DefaultParagraphFont"/>
    <w:uiPriority w:val="99"/>
    <w:semiHidden/>
    <w:unhideWhenUsed/>
    <w:rsid w:val="00ED4605"/>
    <w:rPr>
      <w:sz w:val="16"/>
      <w:szCs w:val="16"/>
    </w:rPr>
  </w:style>
  <w:style w:type="paragraph" w:styleId="CommentText">
    <w:name w:val="annotation text"/>
    <w:basedOn w:val="Normal"/>
    <w:link w:val="CommentTextChar"/>
    <w:uiPriority w:val="99"/>
    <w:semiHidden/>
    <w:unhideWhenUsed/>
    <w:rsid w:val="00ED4605"/>
    <w:rPr>
      <w:sz w:val="20"/>
      <w:szCs w:val="20"/>
    </w:rPr>
  </w:style>
  <w:style w:type="character" w:customStyle="1" w:styleId="CommentTextChar">
    <w:name w:val="Comment Text Char"/>
    <w:basedOn w:val="DefaultParagraphFont"/>
    <w:link w:val="CommentText"/>
    <w:uiPriority w:val="99"/>
    <w:semiHidden/>
    <w:rsid w:val="00ED4605"/>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ED4605"/>
    <w:rPr>
      <w:rFonts w:ascii="Tahoma" w:hAnsi="Tahoma" w:cs="Tahoma"/>
      <w:sz w:val="16"/>
      <w:szCs w:val="16"/>
    </w:rPr>
  </w:style>
  <w:style w:type="character" w:customStyle="1" w:styleId="BalloonTextChar">
    <w:name w:val="Balloon Text Char"/>
    <w:basedOn w:val="DefaultParagraphFont"/>
    <w:link w:val="BalloonText"/>
    <w:uiPriority w:val="99"/>
    <w:semiHidden/>
    <w:rsid w:val="00ED4605"/>
    <w:rPr>
      <w:rFonts w:ascii="Tahoma" w:eastAsia="Times New Roman" w:hAnsi="Tahoma" w:cs="Tahoma"/>
      <w:sz w:val="16"/>
      <w:szCs w:val="16"/>
      <w:lang w:eastAsia="lv-LV"/>
    </w:rPr>
  </w:style>
  <w:style w:type="table" w:styleId="TableGrid">
    <w:name w:val="Table Grid"/>
    <w:basedOn w:val="TableNormal"/>
    <w:uiPriority w:val="59"/>
    <w:rsid w:val="0005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51F54"/>
    <w:rPr>
      <w:rFonts w:ascii="Times New Roman" w:eastAsia="Times New Roman" w:hAnsi="Times New Roman" w:cs="Times New Roman"/>
      <w:b/>
      <w:bCs/>
      <w:color w:val="414142"/>
      <w:sz w:val="35"/>
      <w:szCs w:val="35"/>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E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51F54"/>
    <w:pPr>
      <w:spacing w:before="100" w:beforeAutospacing="1" w:after="100" w:afterAutospacing="1"/>
      <w:jc w:val="center"/>
      <w:outlineLvl w:val="2"/>
    </w:pPr>
    <w:rPr>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5EE5"/>
    <w:pPr>
      <w:tabs>
        <w:tab w:val="center" w:pos="4153"/>
        <w:tab w:val="right" w:pos="8306"/>
      </w:tabs>
    </w:pPr>
  </w:style>
  <w:style w:type="character" w:customStyle="1" w:styleId="HeaderChar">
    <w:name w:val="Header Char"/>
    <w:basedOn w:val="DefaultParagraphFont"/>
    <w:link w:val="Header"/>
    <w:rsid w:val="00E25EE5"/>
    <w:rPr>
      <w:rFonts w:ascii="Times New Roman" w:eastAsia="Times New Roman" w:hAnsi="Times New Roman" w:cs="Times New Roman"/>
      <w:sz w:val="24"/>
      <w:szCs w:val="24"/>
      <w:lang w:eastAsia="lv-LV"/>
    </w:rPr>
  </w:style>
  <w:style w:type="character" w:styleId="PageNumber">
    <w:name w:val="page number"/>
    <w:basedOn w:val="DefaultParagraphFont"/>
    <w:rsid w:val="00E25EE5"/>
  </w:style>
  <w:style w:type="paragraph" w:customStyle="1" w:styleId="naisf">
    <w:name w:val="naisf"/>
    <w:basedOn w:val="Normal"/>
    <w:rsid w:val="00E25EE5"/>
    <w:pPr>
      <w:spacing w:before="75" w:after="75"/>
      <w:ind w:firstLine="375"/>
      <w:jc w:val="both"/>
    </w:pPr>
  </w:style>
  <w:style w:type="paragraph" w:customStyle="1" w:styleId="naisnod">
    <w:name w:val="naisnod"/>
    <w:basedOn w:val="Normal"/>
    <w:rsid w:val="00E25EE5"/>
    <w:pPr>
      <w:spacing w:before="150" w:after="150"/>
      <w:jc w:val="center"/>
    </w:pPr>
    <w:rPr>
      <w:b/>
      <w:bCs/>
    </w:rPr>
  </w:style>
  <w:style w:type="paragraph" w:customStyle="1" w:styleId="naislab">
    <w:name w:val="naislab"/>
    <w:basedOn w:val="Normal"/>
    <w:rsid w:val="00E25EE5"/>
    <w:pPr>
      <w:spacing w:before="75" w:after="75"/>
      <w:jc w:val="right"/>
    </w:pPr>
  </w:style>
  <w:style w:type="paragraph" w:customStyle="1" w:styleId="naiskr">
    <w:name w:val="naiskr"/>
    <w:basedOn w:val="Normal"/>
    <w:rsid w:val="00E25EE5"/>
    <w:pPr>
      <w:spacing w:before="75" w:after="75"/>
    </w:pPr>
  </w:style>
  <w:style w:type="paragraph" w:customStyle="1" w:styleId="naisc">
    <w:name w:val="naisc"/>
    <w:basedOn w:val="Normal"/>
    <w:rsid w:val="00E25EE5"/>
    <w:pPr>
      <w:spacing w:before="75" w:after="75"/>
      <w:jc w:val="center"/>
    </w:pPr>
  </w:style>
  <w:style w:type="paragraph" w:styleId="FootnoteText">
    <w:name w:val="footnote text"/>
    <w:basedOn w:val="Normal"/>
    <w:link w:val="FootnoteTextChar"/>
    <w:semiHidden/>
    <w:rsid w:val="00E25EE5"/>
    <w:rPr>
      <w:sz w:val="20"/>
      <w:szCs w:val="20"/>
    </w:rPr>
  </w:style>
  <w:style w:type="character" w:customStyle="1" w:styleId="FootnoteTextChar">
    <w:name w:val="Footnote Text Char"/>
    <w:basedOn w:val="DefaultParagraphFont"/>
    <w:link w:val="FootnoteText"/>
    <w:semiHidden/>
    <w:rsid w:val="00E25EE5"/>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E25EE5"/>
    <w:pPr>
      <w:tabs>
        <w:tab w:val="center" w:pos="4153"/>
        <w:tab w:val="right" w:pos="8306"/>
      </w:tabs>
    </w:pPr>
  </w:style>
  <w:style w:type="character" w:customStyle="1" w:styleId="FooterChar">
    <w:name w:val="Footer Char"/>
    <w:basedOn w:val="DefaultParagraphFont"/>
    <w:link w:val="Footer"/>
    <w:uiPriority w:val="99"/>
    <w:rsid w:val="00E25EE5"/>
    <w:rPr>
      <w:rFonts w:ascii="Times New Roman" w:eastAsia="Times New Roman" w:hAnsi="Times New Roman" w:cs="Times New Roman"/>
      <w:sz w:val="24"/>
      <w:szCs w:val="24"/>
      <w:lang w:eastAsia="lv-LV"/>
    </w:rPr>
  </w:style>
  <w:style w:type="character" w:styleId="Hyperlink">
    <w:name w:val="Hyperlink"/>
    <w:basedOn w:val="DefaultParagraphFont"/>
    <w:rsid w:val="00E25EE5"/>
    <w:rPr>
      <w:color w:val="0000FF"/>
      <w:u w:val="single"/>
    </w:rPr>
  </w:style>
  <w:style w:type="paragraph" w:styleId="NormalWeb">
    <w:name w:val="Normal (Web)"/>
    <w:basedOn w:val="Normal"/>
    <w:rsid w:val="00E25EE5"/>
    <w:pPr>
      <w:spacing w:before="100" w:after="100"/>
    </w:pPr>
    <w:rPr>
      <w:szCs w:val="20"/>
      <w:lang w:val="en-US"/>
    </w:rPr>
  </w:style>
  <w:style w:type="paragraph" w:customStyle="1" w:styleId="tv213">
    <w:name w:val="tv213"/>
    <w:basedOn w:val="Normal"/>
    <w:uiPriority w:val="99"/>
    <w:rsid w:val="00571BEE"/>
    <w:pPr>
      <w:spacing w:before="100" w:beforeAutospacing="1" w:after="100" w:afterAutospacing="1"/>
    </w:pPr>
  </w:style>
  <w:style w:type="character" w:styleId="CommentReference">
    <w:name w:val="annotation reference"/>
    <w:basedOn w:val="DefaultParagraphFont"/>
    <w:uiPriority w:val="99"/>
    <w:semiHidden/>
    <w:unhideWhenUsed/>
    <w:rsid w:val="00ED4605"/>
    <w:rPr>
      <w:sz w:val="16"/>
      <w:szCs w:val="16"/>
    </w:rPr>
  </w:style>
  <w:style w:type="paragraph" w:styleId="CommentText">
    <w:name w:val="annotation text"/>
    <w:basedOn w:val="Normal"/>
    <w:link w:val="CommentTextChar"/>
    <w:uiPriority w:val="99"/>
    <w:semiHidden/>
    <w:unhideWhenUsed/>
    <w:rsid w:val="00ED4605"/>
    <w:rPr>
      <w:sz w:val="20"/>
      <w:szCs w:val="20"/>
    </w:rPr>
  </w:style>
  <w:style w:type="character" w:customStyle="1" w:styleId="CommentTextChar">
    <w:name w:val="Comment Text Char"/>
    <w:basedOn w:val="DefaultParagraphFont"/>
    <w:link w:val="CommentText"/>
    <w:uiPriority w:val="99"/>
    <w:semiHidden/>
    <w:rsid w:val="00ED4605"/>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ED4605"/>
    <w:rPr>
      <w:rFonts w:ascii="Tahoma" w:hAnsi="Tahoma" w:cs="Tahoma"/>
      <w:sz w:val="16"/>
      <w:szCs w:val="16"/>
    </w:rPr>
  </w:style>
  <w:style w:type="character" w:customStyle="1" w:styleId="BalloonTextChar">
    <w:name w:val="Balloon Text Char"/>
    <w:basedOn w:val="DefaultParagraphFont"/>
    <w:link w:val="BalloonText"/>
    <w:uiPriority w:val="99"/>
    <w:semiHidden/>
    <w:rsid w:val="00ED4605"/>
    <w:rPr>
      <w:rFonts w:ascii="Tahoma" w:eastAsia="Times New Roman" w:hAnsi="Tahoma" w:cs="Tahoma"/>
      <w:sz w:val="16"/>
      <w:szCs w:val="16"/>
      <w:lang w:eastAsia="lv-LV"/>
    </w:rPr>
  </w:style>
  <w:style w:type="table" w:styleId="TableGrid">
    <w:name w:val="Table Grid"/>
    <w:basedOn w:val="TableNormal"/>
    <w:uiPriority w:val="59"/>
    <w:rsid w:val="00051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51F54"/>
    <w:rPr>
      <w:rFonts w:ascii="Times New Roman" w:eastAsia="Times New Roman" w:hAnsi="Times New Roman" w:cs="Times New Roman"/>
      <w:b/>
      <w:bCs/>
      <w:color w:val="414142"/>
      <w:sz w:val="35"/>
      <w:szCs w:val="35"/>
      <w:lang w:eastAsia="lv-LV"/>
    </w:rPr>
  </w:style>
</w:styles>
</file>

<file path=word/webSettings.xml><?xml version="1.0" encoding="utf-8"?>
<w:webSettings xmlns:r="http://schemas.openxmlformats.org/officeDocument/2006/relationships" xmlns:w="http://schemas.openxmlformats.org/wordprocessingml/2006/main">
  <w:divs>
    <w:div w:id="233050119">
      <w:bodyDiv w:val="1"/>
      <w:marLeft w:val="0"/>
      <w:marRight w:val="0"/>
      <w:marTop w:val="0"/>
      <w:marBottom w:val="0"/>
      <w:divBdr>
        <w:top w:val="none" w:sz="0" w:space="0" w:color="auto"/>
        <w:left w:val="none" w:sz="0" w:space="0" w:color="auto"/>
        <w:bottom w:val="none" w:sz="0" w:space="0" w:color="auto"/>
        <w:right w:val="none" w:sz="0" w:space="0" w:color="auto"/>
      </w:divBdr>
      <w:divsChild>
        <w:div w:id="397170518">
          <w:marLeft w:val="0"/>
          <w:marRight w:val="0"/>
          <w:marTop w:val="0"/>
          <w:marBottom w:val="0"/>
          <w:divBdr>
            <w:top w:val="none" w:sz="0" w:space="0" w:color="auto"/>
            <w:left w:val="none" w:sz="0" w:space="0" w:color="auto"/>
            <w:bottom w:val="none" w:sz="0" w:space="0" w:color="auto"/>
            <w:right w:val="none" w:sz="0" w:space="0" w:color="auto"/>
          </w:divBdr>
          <w:divsChild>
            <w:div w:id="1357464228">
              <w:marLeft w:val="0"/>
              <w:marRight w:val="0"/>
              <w:marTop w:val="0"/>
              <w:marBottom w:val="0"/>
              <w:divBdr>
                <w:top w:val="none" w:sz="0" w:space="0" w:color="auto"/>
                <w:left w:val="none" w:sz="0" w:space="0" w:color="auto"/>
                <w:bottom w:val="none" w:sz="0" w:space="0" w:color="auto"/>
                <w:right w:val="none" w:sz="0" w:space="0" w:color="auto"/>
              </w:divBdr>
              <w:divsChild>
                <w:div w:id="791483699">
                  <w:marLeft w:val="0"/>
                  <w:marRight w:val="0"/>
                  <w:marTop w:val="0"/>
                  <w:marBottom w:val="0"/>
                  <w:divBdr>
                    <w:top w:val="none" w:sz="0" w:space="0" w:color="auto"/>
                    <w:left w:val="none" w:sz="0" w:space="0" w:color="auto"/>
                    <w:bottom w:val="none" w:sz="0" w:space="0" w:color="auto"/>
                    <w:right w:val="none" w:sz="0" w:space="0" w:color="auto"/>
                  </w:divBdr>
                  <w:divsChild>
                    <w:div w:id="1422992845">
                      <w:marLeft w:val="0"/>
                      <w:marRight w:val="0"/>
                      <w:marTop w:val="0"/>
                      <w:marBottom w:val="0"/>
                      <w:divBdr>
                        <w:top w:val="none" w:sz="0" w:space="0" w:color="auto"/>
                        <w:left w:val="none" w:sz="0" w:space="0" w:color="auto"/>
                        <w:bottom w:val="none" w:sz="0" w:space="0" w:color="auto"/>
                        <w:right w:val="none" w:sz="0" w:space="0" w:color="auto"/>
                      </w:divBdr>
                      <w:divsChild>
                        <w:div w:id="657995522">
                          <w:marLeft w:val="0"/>
                          <w:marRight w:val="0"/>
                          <w:marTop w:val="0"/>
                          <w:marBottom w:val="0"/>
                          <w:divBdr>
                            <w:top w:val="none" w:sz="0" w:space="0" w:color="auto"/>
                            <w:left w:val="none" w:sz="0" w:space="0" w:color="auto"/>
                            <w:bottom w:val="none" w:sz="0" w:space="0" w:color="auto"/>
                            <w:right w:val="none" w:sz="0" w:space="0" w:color="auto"/>
                          </w:divBdr>
                          <w:divsChild>
                            <w:div w:id="3253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Koritko@ic.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A8683-8913-42BD-A622-62AA9E26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6445</Words>
  <Characters>3675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signe.koritko</dc:creator>
  <cp:lastModifiedBy>signe.koritko</cp:lastModifiedBy>
  <cp:revision>25</cp:revision>
  <cp:lastPrinted>2013-07-03T06:15:00Z</cp:lastPrinted>
  <dcterms:created xsi:type="dcterms:W3CDTF">2013-06-10T15:33:00Z</dcterms:created>
  <dcterms:modified xsi:type="dcterms:W3CDTF">2013-07-15T07:32:00Z</dcterms:modified>
</cp:coreProperties>
</file>