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ED" w:rsidRDefault="00167EED" w:rsidP="00167EED">
      <w:pPr>
        <w:pStyle w:val="naislab"/>
        <w:spacing w:before="0" w:after="0"/>
        <w:jc w:val="center"/>
        <w:outlineLvl w:val="0"/>
        <w:rPr>
          <w:b/>
          <w:sz w:val="28"/>
          <w:szCs w:val="28"/>
        </w:rPr>
      </w:pPr>
      <w:r w:rsidRPr="0059579E">
        <w:rPr>
          <w:b/>
          <w:sz w:val="28"/>
          <w:szCs w:val="28"/>
        </w:rPr>
        <w:t xml:space="preserve">Ministru kabineta </w:t>
      </w:r>
      <w:r>
        <w:rPr>
          <w:b/>
          <w:sz w:val="28"/>
          <w:szCs w:val="28"/>
        </w:rPr>
        <w:t>noteikumu</w:t>
      </w:r>
      <w:r w:rsidRPr="0059579E">
        <w:rPr>
          <w:b/>
          <w:sz w:val="28"/>
          <w:szCs w:val="28"/>
        </w:rPr>
        <w:t xml:space="preserve"> projekta „</w:t>
      </w:r>
      <w:r w:rsidR="00395C81" w:rsidRPr="00DC7E40">
        <w:rPr>
          <w:b/>
          <w:sz w:val="28"/>
        </w:rPr>
        <w:t>Grozījum</w:t>
      </w:r>
      <w:r w:rsidR="00395C81">
        <w:rPr>
          <w:b/>
          <w:sz w:val="28"/>
        </w:rPr>
        <w:t>s</w:t>
      </w:r>
      <w:r w:rsidR="00395C81" w:rsidRPr="00DC7E40">
        <w:rPr>
          <w:b/>
          <w:sz w:val="28"/>
        </w:rPr>
        <w:t xml:space="preserve"> Min</w:t>
      </w:r>
      <w:r w:rsidR="00395C81">
        <w:rPr>
          <w:b/>
          <w:sz w:val="28"/>
        </w:rPr>
        <w:t>istru kabineta 2012</w:t>
      </w:r>
      <w:r w:rsidR="00395C81" w:rsidRPr="00DC7E40">
        <w:rPr>
          <w:b/>
          <w:sz w:val="28"/>
        </w:rPr>
        <w:t xml:space="preserve">.gada </w:t>
      </w:r>
      <w:r w:rsidR="00395C81">
        <w:rPr>
          <w:b/>
          <w:sz w:val="28"/>
        </w:rPr>
        <w:t>21.februāra</w:t>
      </w:r>
      <w:r w:rsidR="00395C81" w:rsidRPr="00DC7E40">
        <w:rPr>
          <w:b/>
          <w:sz w:val="28"/>
        </w:rPr>
        <w:t xml:space="preserve"> noteikumos Nr.</w:t>
      </w:r>
      <w:r w:rsidR="00395C81">
        <w:rPr>
          <w:b/>
          <w:sz w:val="28"/>
        </w:rPr>
        <w:t>133 „Noteikumi par valsts nodevu par personu apliecinošu dokumentu izsniegšanu</w:t>
      </w:r>
      <w:r>
        <w:rPr>
          <w:b/>
          <w:bCs/>
          <w:sz w:val="28"/>
          <w:szCs w:val="28"/>
        </w:rPr>
        <w:t>”</w:t>
      </w:r>
      <w:r w:rsidRPr="0059579E">
        <w:rPr>
          <w:b/>
          <w:sz w:val="28"/>
          <w:szCs w:val="28"/>
        </w:rPr>
        <w:t xml:space="preserve">” sākotnējās ietekmes novērtējuma </w:t>
      </w:r>
      <w:smartTag w:uri="schemas-tilde-lv/tildestengine" w:element="veidnes">
        <w:smartTagPr>
          <w:attr w:name="id" w:val="-1"/>
          <w:attr w:name="baseform" w:val="ziņojums"/>
          <w:attr w:name="text" w:val="ziņojums"/>
        </w:smartTagPr>
        <w:r w:rsidRPr="0059579E">
          <w:rPr>
            <w:b/>
            <w:sz w:val="28"/>
            <w:szCs w:val="28"/>
          </w:rPr>
          <w:t>ziņojums</w:t>
        </w:r>
      </w:smartTag>
      <w:r w:rsidRPr="0059579E">
        <w:rPr>
          <w:b/>
          <w:sz w:val="28"/>
          <w:szCs w:val="28"/>
        </w:rPr>
        <w:t xml:space="preserve"> (anotācija)</w:t>
      </w:r>
    </w:p>
    <w:p w:rsidR="00167EED" w:rsidRPr="0059579E" w:rsidRDefault="00167EED" w:rsidP="00167EED">
      <w:pPr>
        <w:pStyle w:val="naislab"/>
        <w:spacing w:before="0" w:after="0"/>
        <w:jc w:val="center"/>
        <w:outlineLvl w:val="0"/>
        <w:rPr>
          <w:b/>
          <w:sz w:val="28"/>
          <w:szCs w:val="28"/>
        </w:rPr>
      </w:pPr>
    </w:p>
    <w:tbl>
      <w:tblPr>
        <w:tblW w:w="5356"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32"/>
        <w:gridCol w:w="1864"/>
        <w:gridCol w:w="7385"/>
      </w:tblGrid>
      <w:tr w:rsidR="00167EED" w:rsidRPr="000C5996" w:rsidTr="003B066C">
        <w:tc>
          <w:tcPr>
            <w:tcW w:w="5000" w:type="pct"/>
            <w:gridSpan w:val="3"/>
            <w:tcBorders>
              <w:top w:val="single" w:sz="6" w:space="0" w:color="auto"/>
              <w:left w:val="single" w:sz="6" w:space="0" w:color="auto"/>
              <w:bottom w:val="outset" w:sz="6" w:space="0" w:color="000000"/>
              <w:right w:val="single" w:sz="6" w:space="0" w:color="auto"/>
            </w:tcBorders>
            <w:vAlign w:val="center"/>
          </w:tcPr>
          <w:p w:rsidR="00167EED" w:rsidRPr="000C5996" w:rsidRDefault="00167EED" w:rsidP="003B066C">
            <w:pPr>
              <w:spacing w:before="100" w:beforeAutospacing="1" w:after="100" w:afterAutospacing="1"/>
              <w:jc w:val="center"/>
              <w:rPr>
                <w:b/>
                <w:bCs/>
                <w:sz w:val="24"/>
              </w:rPr>
            </w:pPr>
            <w:r w:rsidRPr="000C5996">
              <w:rPr>
                <w:b/>
                <w:bCs/>
                <w:sz w:val="24"/>
              </w:rPr>
              <w:t>I. Tiesību akta projekta izstrādes nepieciešamība</w:t>
            </w:r>
          </w:p>
        </w:tc>
      </w:tr>
      <w:tr w:rsidR="00167EED" w:rsidRPr="000C5996" w:rsidTr="003B066C">
        <w:tc>
          <w:tcPr>
            <w:tcW w:w="272" w:type="pct"/>
            <w:tcBorders>
              <w:top w:val="outset" w:sz="6" w:space="0" w:color="000000"/>
              <w:left w:val="outset" w:sz="6" w:space="0" w:color="000000"/>
              <w:bottom w:val="outset" w:sz="6" w:space="0" w:color="000000"/>
              <w:right w:val="outset" w:sz="6" w:space="0" w:color="000000"/>
            </w:tcBorders>
          </w:tcPr>
          <w:p w:rsidR="00167EED" w:rsidRPr="000C5996" w:rsidRDefault="00167EED" w:rsidP="003B066C">
            <w:pPr>
              <w:spacing w:before="100" w:beforeAutospacing="1" w:after="100" w:afterAutospacing="1"/>
              <w:rPr>
                <w:sz w:val="24"/>
              </w:rPr>
            </w:pPr>
            <w:r w:rsidRPr="000C5996">
              <w:rPr>
                <w:sz w:val="24"/>
              </w:rPr>
              <w:t>1.</w:t>
            </w:r>
          </w:p>
        </w:tc>
        <w:tc>
          <w:tcPr>
            <w:tcW w:w="953" w:type="pct"/>
            <w:tcBorders>
              <w:top w:val="outset" w:sz="6" w:space="0" w:color="000000"/>
              <w:left w:val="outset" w:sz="6" w:space="0" w:color="000000"/>
              <w:bottom w:val="outset" w:sz="6" w:space="0" w:color="000000"/>
              <w:right w:val="outset" w:sz="6" w:space="0" w:color="000000"/>
            </w:tcBorders>
          </w:tcPr>
          <w:p w:rsidR="00167EED" w:rsidRPr="000C5996" w:rsidRDefault="00167EED" w:rsidP="003B066C">
            <w:pPr>
              <w:spacing w:before="100" w:beforeAutospacing="1" w:after="100" w:afterAutospacing="1"/>
              <w:rPr>
                <w:sz w:val="24"/>
              </w:rPr>
            </w:pPr>
            <w:r w:rsidRPr="000C5996">
              <w:rPr>
                <w:sz w:val="24"/>
              </w:rPr>
              <w:t>Pamatojums</w:t>
            </w:r>
          </w:p>
        </w:tc>
        <w:tc>
          <w:tcPr>
            <w:tcW w:w="3775" w:type="pct"/>
            <w:tcBorders>
              <w:top w:val="outset" w:sz="6" w:space="0" w:color="000000"/>
              <w:left w:val="outset" w:sz="6" w:space="0" w:color="000000"/>
              <w:bottom w:val="outset" w:sz="6" w:space="0" w:color="000000"/>
              <w:right w:val="outset" w:sz="6" w:space="0" w:color="000000"/>
            </w:tcBorders>
          </w:tcPr>
          <w:p w:rsidR="00167EED" w:rsidRPr="00315797" w:rsidRDefault="00395C81" w:rsidP="003B066C">
            <w:pPr>
              <w:pStyle w:val="BodyText2"/>
              <w:jc w:val="both"/>
              <w:rPr>
                <w:b w:val="0"/>
                <w:bCs/>
                <w:sz w:val="24"/>
                <w:szCs w:val="24"/>
              </w:rPr>
            </w:pPr>
            <w:r>
              <w:rPr>
                <w:b w:val="0"/>
                <w:bCs/>
                <w:sz w:val="24"/>
                <w:szCs w:val="24"/>
              </w:rPr>
              <w:t>Iekšlietu ministrijas iniciatīva.</w:t>
            </w:r>
          </w:p>
        </w:tc>
      </w:tr>
      <w:tr w:rsidR="00167EED" w:rsidRPr="000C5996" w:rsidTr="003B066C">
        <w:tc>
          <w:tcPr>
            <w:tcW w:w="272" w:type="pct"/>
            <w:tcBorders>
              <w:top w:val="outset" w:sz="6" w:space="0" w:color="000000"/>
              <w:left w:val="outset" w:sz="6" w:space="0" w:color="000000"/>
              <w:bottom w:val="outset" w:sz="6" w:space="0" w:color="000000"/>
              <w:right w:val="outset" w:sz="6" w:space="0" w:color="000000"/>
            </w:tcBorders>
          </w:tcPr>
          <w:p w:rsidR="00167EED" w:rsidRPr="000C5996" w:rsidRDefault="00167EED" w:rsidP="003B066C">
            <w:pPr>
              <w:spacing w:before="100" w:beforeAutospacing="1" w:after="100" w:afterAutospacing="1"/>
              <w:rPr>
                <w:sz w:val="24"/>
              </w:rPr>
            </w:pPr>
            <w:r w:rsidRPr="000C5996">
              <w:rPr>
                <w:sz w:val="24"/>
              </w:rPr>
              <w:t>2.</w:t>
            </w:r>
          </w:p>
        </w:tc>
        <w:tc>
          <w:tcPr>
            <w:tcW w:w="953" w:type="pct"/>
            <w:tcBorders>
              <w:top w:val="outset" w:sz="6" w:space="0" w:color="000000"/>
              <w:left w:val="outset" w:sz="6" w:space="0" w:color="000000"/>
              <w:bottom w:val="outset" w:sz="6" w:space="0" w:color="000000"/>
              <w:right w:val="outset" w:sz="6" w:space="0" w:color="000000"/>
            </w:tcBorders>
          </w:tcPr>
          <w:p w:rsidR="00167EED" w:rsidRPr="00DA30D2" w:rsidRDefault="00167EED" w:rsidP="003B066C">
            <w:pPr>
              <w:spacing w:before="100" w:beforeAutospacing="1" w:after="100" w:afterAutospacing="1"/>
              <w:rPr>
                <w:sz w:val="24"/>
              </w:rPr>
            </w:pPr>
            <w:r w:rsidRPr="00DA30D2">
              <w:rPr>
                <w:sz w:val="24"/>
              </w:rPr>
              <w:t>Pašreizējā situācija un problēmas</w:t>
            </w:r>
          </w:p>
        </w:tc>
        <w:tc>
          <w:tcPr>
            <w:tcW w:w="3775" w:type="pct"/>
            <w:tcBorders>
              <w:top w:val="outset" w:sz="6" w:space="0" w:color="000000"/>
              <w:left w:val="outset" w:sz="6" w:space="0" w:color="000000"/>
              <w:bottom w:val="outset" w:sz="6" w:space="0" w:color="000000"/>
              <w:right w:val="outset" w:sz="6" w:space="0" w:color="000000"/>
            </w:tcBorders>
          </w:tcPr>
          <w:p w:rsidR="003138CC" w:rsidRDefault="003138CC" w:rsidP="003B066C">
            <w:pPr>
              <w:jc w:val="both"/>
              <w:rPr>
                <w:iCs/>
                <w:sz w:val="24"/>
              </w:rPr>
            </w:pPr>
            <w:r>
              <w:rPr>
                <w:iCs/>
                <w:sz w:val="24"/>
              </w:rPr>
              <w:t>Saeimas Valsts pārvaldes un pašvaldību komisija</w:t>
            </w:r>
            <w:r w:rsidR="007B687C">
              <w:rPr>
                <w:iCs/>
                <w:sz w:val="24"/>
              </w:rPr>
              <w:t>,</w:t>
            </w:r>
            <w:r>
              <w:rPr>
                <w:iCs/>
                <w:sz w:val="24"/>
              </w:rPr>
              <w:t xml:space="preserve"> izskatot grozījumus Saeimas vēlēšanu likumā, konstatēja, ka uzskatāms, ka Latvijas pilsoņi, kuri </w:t>
            </w:r>
            <w:r>
              <w:rPr>
                <w:sz w:val="24"/>
              </w:rPr>
              <w:t>laika posmā no 2012.gada 1.aprīļa līdz 2012.gada 12.jūnijam noformēja tikai personas apliecības</w:t>
            </w:r>
            <w:r w:rsidR="007B687C">
              <w:rPr>
                <w:sz w:val="24"/>
              </w:rPr>
              <w:t>,</w:t>
            </w:r>
            <w:r>
              <w:rPr>
                <w:iCs/>
                <w:sz w:val="24"/>
              </w:rPr>
              <w:t xml:space="preserve"> paļāvušās</w:t>
            </w:r>
            <w:r w:rsidR="007B687C">
              <w:rPr>
                <w:iCs/>
                <w:sz w:val="24"/>
              </w:rPr>
              <w:t>, ka ar personas apliecībām varēs piedalīties Saeimas vēlēšanās,</w:t>
            </w:r>
            <w:r>
              <w:rPr>
                <w:iCs/>
                <w:sz w:val="24"/>
              </w:rPr>
              <w:t xml:space="preserve"> un šāda paļāvība aizsargājam</w:t>
            </w:r>
            <w:r w:rsidR="00CF3CF1">
              <w:rPr>
                <w:iCs/>
                <w:sz w:val="24"/>
              </w:rPr>
              <w:t>a</w:t>
            </w:r>
            <w:r w:rsidR="007B687C">
              <w:rPr>
                <w:iCs/>
                <w:sz w:val="24"/>
              </w:rPr>
              <w:t>,</w:t>
            </w:r>
            <w:r>
              <w:rPr>
                <w:iCs/>
                <w:sz w:val="24"/>
              </w:rPr>
              <w:t xml:space="preserve"> un ir nepieciešams risinājums, lai neliegtu šīm personām vēlēt. Kā piemērotākais risinājums tika atbalstīts, ka Pilsonības un migrācijas lietu pārvalde</w:t>
            </w:r>
            <w:r w:rsidR="00CF3CF1">
              <w:rPr>
                <w:iCs/>
                <w:sz w:val="24"/>
              </w:rPr>
              <w:t xml:space="preserve"> minētajiem pilsoņiem </w:t>
            </w:r>
            <w:r>
              <w:rPr>
                <w:iCs/>
                <w:sz w:val="24"/>
              </w:rPr>
              <w:t xml:space="preserve">izsniedz </w:t>
            </w:r>
            <w:r w:rsidR="00F96515">
              <w:rPr>
                <w:iCs/>
                <w:sz w:val="24"/>
              </w:rPr>
              <w:t>pases bez valsts nodevas samaksas</w:t>
            </w:r>
            <w:r>
              <w:rPr>
                <w:iCs/>
                <w:sz w:val="24"/>
              </w:rPr>
              <w:t>.</w:t>
            </w:r>
          </w:p>
          <w:p w:rsidR="00167EED" w:rsidRDefault="003B066C" w:rsidP="003B066C">
            <w:pPr>
              <w:jc w:val="both"/>
              <w:rPr>
                <w:sz w:val="24"/>
              </w:rPr>
            </w:pPr>
            <w:r>
              <w:rPr>
                <w:iCs/>
                <w:sz w:val="24"/>
              </w:rPr>
              <w:t xml:space="preserve">2014.gada 4.oktobrī notiks </w:t>
            </w:r>
            <w:r w:rsidR="00815ADA">
              <w:rPr>
                <w:iCs/>
                <w:sz w:val="24"/>
              </w:rPr>
              <w:t>12.</w:t>
            </w:r>
            <w:r>
              <w:rPr>
                <w:iCs/>
                <w:sz w:val="24"/>
              </w:rPr>
              <w:t>Saeimas vēlēšanas, kurās saskaņā ar Saeimas vēlēšanu likuma</w:t>
            </w:r>
            <w:r w:rsidR="00815ADA">
              <w:rPr>
                <w:iCs/>
                <w:sz w:val="24"/>
              </w:rPr>
              <w:t xml:space="preserve"> (spēkā no 1995.gada 7.jūnija)</w:t>
            </w:r>
            <w:r>
              <w:rPr>
                <w:iCs/>
                <w:sz w:val="24"/>
              </w:rPr>
              <w:t xml:space="preserve"> 20.panta pirmo daļu </w:t>
            </w:r>
            <w:r>
              <w:rPr>
                <w:sz w:val="24"/>
              </w:rPr>
              <w:t>v</w:t>
            </w:r>
            <w:r w:rsidRPr="003B066C">
              <w:rPr>
                <w:sz w:val="24"/>
              </w:rPr>
              <w:t>ēlētāja personu apliecinošs dokuments ir Latvijas pilsoņa pase.</w:t>
            </w:r>
            <w:r w:rsidR="000A14D3">
              <w:rPr>
                <w:sz w:val="24"/>
              </w:rPr>
              <w:t xml:space="preserve"> Līdz ar</w:t>
            </w:r>
            <w:r>
              <w:rPr>
                <w:sz w:val="24"/>
              </w:rPr>
              <w:t xml:space="preserve"> to Saeimas vēlēšanās var piedalīties Latvijas pilsoņi, kuru rīcībā ir derīga pase.</w:t>
            </w:r>
          </w:p>
          <w:p w:rsidR="009D0223" w:rsidRPr="009C0F4D" w:rsidRDefault="009D0223" w:rsidP="003B066C">
            <w:pPr>
              <w:jc w:val="both"/>
              <w:rPr>
                <w:sz w:val="24"/>
              </w:rPr>
            </w:pPr>
            <w:r>
              <w:rPr>
                <w:sz w:val="24"/>
              </w:rPr>
              <w:t>Jauns Personu apliecinošu dokumentu likums stājās spēkā 2012.gada 15.februārī</w:t>
            </w:r>
            <w:r w:rsidR="00BF3C8E">
              <w:rPr>
                <w:sz w:val="24"/>
              </w:rPr>
              <w:t>, nosakot, ka Latvijā ir šādi personu apliecinoši dokumenti: pase un personas apliecība</w:t>
            </w:r>
            <w:r w:rsidR="00BD30A9">
              <w:rPr>
                <w:sz w:val="24"/>
              </w:rPr>
              <w:t xml:space="preserve"> un ka p</w:t>
            </w:r>
            <w:r w:rsidR="00BD30A9" w:rsidRPr="00BD30A9">
              <w:rPr>
                <w:sz w:val="24"/>
              </w:rPr>
              <w:t>ersonas apliecība vai Latvijas pilsoņa vai nepilsoņa pase ir obligāts personu apliecinošs dokuments attiecīgi Latvijas pilsonim vai nepilsonim, kurš sasniedzis 15 gadu vecumu.</w:t>
            </w:r>
            <w:r w:rsidR="00DC289C">
              <w:rPr>
                <w:sz w:val="24"/>
              </w:rPr>
              <w:t xml:space="preserve"> </w:t>
            </w:r>
            <w:r w:rsidR="00DC289C" w:rsidRPr="009C0F4D">
              <w:rPr>
                <w:sz w:val="24"/>
              </w:rPr>
              <w:t>No 2013.gada 15.februāra līdz 2012.gada 31.martam personām</w:t>
            </w:r>
            <w:r w:rsidR="00102C19" w:rsidRPr="009C0F4D">
              <w:rPr>
                <w:sz w:val="24"/>
              </w:rPr>
              <w:t xml:space="preserve"> netika izsniegtas personas apliecības un personām</w:t>
            </w:r>
            <w:r w:rsidR="00DC289C" w:rsidRPr="009C0F4D">
              <w:rPr>
                <w:sz w:val="24"/>
              </w:rPr>
              <w:t xml:space="preserve"> nevarēja rasties tiesiskā paļāvība par personas apliecību izsniegšanu, jo </w:t>
            </w:r>
            <w:r w:rsidR="0003429F" w:rsidRPr="009C0F4D">
              <w:rPr>
                <w:sz w:val="24"/>
              </w:rPr>
              <w:t>p</w:t>
            </w:r>
            <w:r w:rsidR="00BF3C8E" w:rsidRPr="009C0F4D">
              <w:rPr>
                <w:sz w:val="24"/>
              </w:rPr>
              <w:t>ersonas apliecības s</w:t>
            </w:r>
            <w:r w:rsidR="0003429F" w:rsidRPr="009C0F4D">
              <w:rPr>
                <w:sz w:val="24"/>
              </w:rPr>
              <w:t>āka izsniegt 2012.gada 1.aprīlī, kad stājās spēkā Ministru kabineta 2012.gada 21.februāra noteikumi Nr.134 „Personu apliecinošu dokumentu noteikumi”, kas no</w:t>
            </w:r>
            <w:r w:rsidR="0033451C" w:rsidRPr="009C0F4D">
              <w:rPr>
                <w:sz w:val="24"/>
              </w:rPr>
              <w:t>teica</w:t>
            </w:r>
            <w:r w:rsidR="0003429F" w:rsidRPr="009C0F4D">
              <w:rPr>
                <w:sz w:val="24"/>
              </w:rPr>
              <w:t xml:space="preserve"> personas apliecību paraugus, saturu, izsniegšanas kārtību un nosacījumus, kā arī derīguma termiņus.</w:t>
            </w:r>
          </w:p>
          <w:p w:rsidR="003138CC" w:rsidRDefault="00130AD1" w:rsidP="003B066C">
            <w:pPr>
              <w:jc w:val="both"/>
              <w:rPr>
                <w:sz w:val="24"/>
              </w:rPr>
            </w:pPr>
            <w:r>
              <w:rPr>
                <w:sz w:val="24"/>
              </w:rPr>
              <w:t>Ievērojot to, ka uz Saeimas vēlēšanu likuma pieņemšanas brīdi Latvijā bija tikai pase kā personu apliecinošs dokuments, Latvijas pilsoņiem līdz ar jauna personu apliecinoša dokumenta (personas apliecības) izsniegšanas brīdi varēja rasties paļāvība, ka ar person</w:t>
            </w:r>
            <w:r w:rsidR="00CF3CF1">
              <w:rPr>
                <w:sz w:val="24"/>
              </w:rPr>
              <w:t>as</w:t>
            </w:r>
            <w:r>
              <w:rPr>
                <w:sz w:val="24"/>
              </w:rPr>
              <w:t xml:space="preserve"> apliecību arī varēs piedalīties Saeimas vēlēšanās</w:t>
            </w:r>
            <w:r w:rsidR="003138CC">
              <w:rPr>
                <w:sz w:val="24"/>
              </w:rPr>
              <w:t>, jo arī personas apliecība ir personu apliecinošs dokuments.</w:t>
            </w:r>
            <w:r>
              <w:rPr>
                <w:sz w:val="24"/>
              </w:rPr>
              <w:t xml:space="preserve"> </w:t>
            </w:r>
          </w:p>
          <w:p w:rsidR="003B066C" w:rsidRDefault="00BD30A9" w:rsidP="003B066C">
            <w:pPr>
              <w:jc w:val="both"/>
              <w:rPr>
                <w:sz w:val="24"/>
              </w:rPr>
            </w:pPr>
            <w:r>
              <w:rPr>
                <w:iCs/>
                <w:sz w:val="24"/>
              </w:rPr>
              <w:t xml:space="preserve">Ievērojot to, ka likumdevējs pieņēma grozījumus Personu apliecinošu dokumentu likumā, kas stājās spēkā </w:t>
            </w:r>
            <w:r w:rsidR="003B066C">
              <w:rPr>
                <w:iCs/>
                <w:sz w:val="24"/>
              </w:rPr>
              <w:t xml:space="preserve">2012.gada 13.jūnijā </w:t>
            </w:r>
            <w:r>
              <w:rPr>
                <w:iCs/>
                <w:sz w:val="24"/>
              </w:rPr>
              <w:t>paredzot</w:t>
            </w:r>
            <w:r w:rsidR="003B066C">
              <w:rPr>
                <w:iCs/>
                <w:sz w:val="24"/>
              </w:rPr>
              <w:t>, ka l</w:t>
            </w:r>
            <w:r w:rsidR="003B066C" w:rsidRPr="003B066C">
              <w:rPr>
                <w:sz w:val="24"/>
              </w:rPr>
              <w:t>īdz elektroniskas vēlētāju reģistrācijas ieviešanai Saeimas vēlēšanās, tautas nobalsošanā un parakstu vākšanā likumprojektu vai Satversmes grozījumu projektu ierosināšanai Latvijas pilsoņa pase ir obligāts dokumen</w:t>
            </w:r>
            <w:r>
              <w:rPr>
                <w:sz w:val="24"/>
              </w:rPr>
              <w:t xml:space="preserve">ts vēlēšanu tiesību īstenošanai, secināms, ka likumdevējs tādējādi vēlējies novērst Latvijas pilsoņu paļāvību, ka ar personas apliecībām varēs piedalīties Saeimas vēlēšanās. </w:t>
            </w:r>
          </w:p>
          <w:p w:rsidR="00CF3CF1" w:rsidRPr="00CF3CF1" w:rsidRDefault="00CF3CF1" w:rsidP="003B066C">
            <w:pPr>
              <w:jc w:val="both"/>
              <w:rPr>
                <w:sz w:val="24"/>
              </w:rPr>
            </w:pPr>
            <w:r>
              <w:rPr>
                <w:sz w:val="24"/>
              </w:rPr>
              <w:t>Tiesību n</w:t>
            </w:r>
            <w:r w:rsidRPr="00CF3CF1">
              <w:rPr>
                <w:sz w:val="24"/>
              </w:rPr>
              <w:t xml:space="preserve">orma, ka </w:t>
            </w:r>
            <w:r>
              <w:rPr>
                <w:sz w:val="24"/>
              </w:rPr>
              <w:t>l</w:t>
            </w:r>
            <w:r w:rsidR="00AD3477" w:rsidRPr="00AD3477">
              <w:rPr>
                <w:sz w:val="24"/>
              </w:rPr>
              <w:t>īdz elektroniskas vēlētāju reģistrācijas ieviešanai Latvijas pilsoņa pase ir obligāti nepieciešamais dokuments vēlēšanu tiesību īstenošanai</w:t>
            </w:r>
            <w:r>
              <w:rPr>
                <w:sz w:val="24"/>
              </w:rPr>
              <w:t>, tika iekļauta arī Ministru kabineta 2012.gada 21.februāra noteikumos Nr.134 „Personu apliecinošu dokumentu noteikumi”, kas stājās spēkā 2012.gada 1.aprīlī.</w:t>
            </w:r>
          </w:p>
          <w:p w:rsidR="003B066C" w:rsidRDefault="003B066C" w:rsidP="003B066C">
            <w:pPr>
              <w:jc w:val="both"/>
              <w:rPr>
                <w:sz w:val="24"/>
              </w:rPr>
            </w:pPr>
            <w:r>
              <w:rPr>
                <w:sz w:val="24"/>
              </w:rPr>
              <w:lastRenderedPageBreak/>
              <w:t xml:space="preserve">Laika posmā no 2012.gada 1.aprīļa līdz 2012.gada 12.jūnijam </w:t>
            </w:r>
            <w:r w:rsidR="003F1D6B">
              <w:rPr>
                <w:sz w:val="24"/>
              </w:rPr>
              <w:t xml:space="preserve">1084 </w:t>
            </w:r>
            <w:r>
              <w:rPr>
                <w:sz w:val="24"/>
              </w:rPr>
              <w:t>Latvijas pilsoņi noformēja</w:t>
            </w:r>
            <w:r w:rsidR="00714319">
              <w:rPr>
                <w:sz w:val="24"/>
              </w:rPr>
              <w:t xml:space="preserve"> tikai</w:t>
            </w:r>
            <w:r>
              <w:rPr>
                <w:sz w:val="24"/>
              </w:rPr>
              <w:t xml:space="preserve"> personas apliecības</w:t>
            </w:r>
            <w:r w:rsidR="003138CC">
              <w:rPr>
                <w:sz w:val="24"/>
              </w:rPr>
              <w:t>, vienlaikus nenoformējot pasi un šīm personām 2014.gada 4.oktobr</w:t>
            </w:r>
            <w:r w:rsidR="003F1D6B">
              <w:rPr>
                <w:sz w:val="24"/>
              </w:rPr>
              <w:t>ī</w:t>
            </w:r>
            <w:r w:rsidR="003138CC">
              <w:rPr>
                <w:sz w:val="24"/>
              </w:rPr>
              <w:t xml:space="preserve"> būs beidzies pase</w:t>
            </w:r>
            <w:r w:rsidR="003F1D6B">
              <w:rPr>
                <w:sz w:val="24"/>
              </w:rPr>
              <w:t>s</w:t>
            </w:r>
            <w:r w:rsidR="003138CC">
              <w:rPr>
                <w:sz w:val="24"/>
              </w:rPr>
              <w:t xml:space="preserve"> derīguma termiņš.</w:t>
            </w:r>
            <w:r w:rsidR="007D59FD">
              <w:rPr>
                <w:sz w:val="24"/>
              </w:rPr>
              <w:t xml:space="preserve"> </w:t>
            </w:r>
          </w:p>
          <w:p w:rsidR="00050CE8" w:rsidRDefault="00714319" w:rsidP="00050CE8">
            <w:pPr>
              <w:jc w:val="both"/>
              <w:rPr>
                <w:iCs/>
                <w:sz w:val="24"/>
              </w:rPr>
            </w:pPr>
            <w:r>
              <w:rPr>
                <w:sz w:val="24"/>
              </w:rPr>
              <w:t>Ievērojot minēto,</w:t>
            </w:r>
            <w:r w:rsidR="00BD30A9">
              <w:rPr>
                <w:sz w:val="24"/>
              </w:rPr>
              <w:t xml:space="preserve"> </w:t>
            </w:r>
            <w:r w:rsidR="00CF3CF1">
              <w:rPr>
                <w:sz w:val="24"/>
              </w:rPr>
              <w:t xml:space="preserve">1084 </w:t>
            </w:r>
            <w:r>
              <w:rPr>
                <w:sz w:val="24"/>
              </w:rPr>
              <w:t xml:space="preserve">personas, kuras līdz grozījumu Personas apliecinošu dokumentu likumā spēkā stāšanās brīdim, </w:t>
            </w:r>
            <w:r w:rsidR="00BD30A9">
              <w:rPr>
                <w:sz w:val="24"/>
              </w:rPr>
              <w:t>bija paļāvušās, ka varēs piedalīties Saeimas vēlēšanās ar personas apliecību</w:t>
            </w:r>
            <w:r>
              <w:rPr>
                <w:sz w:val="24"/>
              </w:rPr>
              <w:t xml:space="preserve">, </w:t>
            </w:r>
            <w:r w:rsidR="00BD30A9">
              <w:rPr>
                <w:sz w:val="24"/>
              </w:rPr>
              <w:t>atsakoties noformēt vienlaicīgi arī pasi vai arī uz personas apliecības noformēšanas brīdi pase vēl bija derīga</w:t>
            </w:r>
            <w:r>
              <w:rPr>
                <w:sz w:val="24"/>
              </w:rPr>
              <w:t xml:space="preserve">, </w:t>
            </w:r>
            <w:r w:rsidR="00CF3CF1">
              <w:rPr>
                <w:sz w:val="24"/>
              </w:rPr>
              <w:t>bet tās derīguma termi</w:t>
            </w:r>
            <w:r w:rsidR="007D2374">
              <w:rPr>
                <w:sz w:val="24"/>
              </w:rPr>
              <w:t>ņ</w:t>
            </w:r>
            <w:r w:rsidR="00CF3CF1">
              <w:rPr>
                <w:sz w:val="24"/>
              </w:rPr>
              <w:t xml:space="preserve">š beigsies līdz 2014.gada 3.oktobrim, </w:t>
            </w:r>
            <w:r>
              <w:rPr>
                <w:sz w:val="24"/>
              </w:rPr>
              <w:t xml:space="preserve">nevarēs piedalīties </w:t>
            </w:r>
            <w:r w:rsidR="00BD30A9">
              <w:rPr>
                <w:iCs/>
                <w:sz w:val="24"/>
              </w:rPr>
              <w:t>12.</w:t>
            </w:r>
            <w:r w:rsidR="00C26754">
              <w:rPr>
                <w:iCs/>
                <w:sz w:val="24"/>
              </w:rPr>
              <w:t>Saeimas vēlēšanās.</w:t>
            </w:r>
            <w:r w:rsidR="00050CE8">
              <w:rPr>
                <w:iCs/>
                <w:sz w:val="24"/>
              </w:rPr>
              <w:t xml:space="preserve"> </w:t>
            </w:r>
          </w:p>
          <w:p w:rsidR="00050CE8" w:rsidRPr="00B05140" w:rsidRDefault="00050CE8" w:rsidP="00050CE8">
            <w:pPr>
              <w:jc w:val="both"/>
              <w:rPr>
                <w:iCs/>
                <w:sz w:val="24"/>
              </w:rPr>
            </w:pPr>
            <w:r>
              <w:rPr>
                <w:iCs/>
                <w:sz w:val="24"/>
              </w:rPr>
              <w:t>Lai nodrošinātu iespēju šīm personām piedalīties 12.Saeimas vēlēšanās</w:t>
            </w:r>
            <w:r w:rsidRPr="00B05140">
              <w:rPr>
                <w:iCs/>
                <w:sz w:val="24"/>
              </w:rPr>
              <w:t xml:space="preserve"> </w:t>
            </w:r>
            <w:r>
              <w:rPr>
                <w:iCs/>
                <w:sz w:val="24"/>
              </w:rPr>
              <w:t xml:space="preserve">2014.gadā </w:t>
            </w:r>
            <w:r w:rsidRPr="00B05140">
              <w:rPr>
                <w:iCs/>
                <w:sz w:val="24"/>
              </w:rPr>
              <w:t>valsts budžetā nebūs ieņēmumu par 1084 pasu izsniegšanu aptuveni 19 403 latu (27 60</w:t>
            </w:r>
            <w:r>
              <w:rPr>
                <w:iCs/>
                <w:sz w:val="24"/>
              </w:rPr>
              <w:t>8</w:t>
            </w:r>
            <w:r w:rsidRPr="00B05140">
              <w:rPr>
                <w:iCs/>
                <w:sz w:val="24"/>
              </w:rPr>
              <w:t xml:space="preserve"> </w:t>
            </w:r>
            <w:proofErr w:type="spellStart"/>
            <w:r w:rsidRPr="00B05140">
              <w:rPr>
                <w:i/>
                <w:iCs/>
                <w:sz w:val="24"/>
              </w:rPr>
              <w:t>euro</w:t>
            </w:r>
            <w:proofErr w:type="spellEnd"/>
            <w:r w:rsidRPr="00B05140">
              <w:rPr>
                <w:iCs/>
                <w:sz w:val="24"/>
              </w:rPr>
              <w:t>) apmērā</w:t>
            </w:r>
            <w:r w:rsidR="008850B7">
              <w:rPr>
                <w:iCs/>
                <w:sz w:val="24"/>
              </w:rPr>
              <w:t xml:space="preserve">. Minēto ieņēmumu neiekasēšana neradīs ietekmi uz budžetu, ņemot vērā likuma „Par valsts budžetu 2014.gadam” 2.pielikumā plānotos ieņēmumus no valsts nodevas par pasu izsniegšanu apjomu (8,9 milj. </w:t>
            </w:r>
            <w:proofErr w:type="spellStart"/>
            <w:r w:rsidR="008850B7">
              <w:rPr>
                <w:i/>
                <w:iCs/>
                <w:sz w:val="24"/>
              </w:rPr>
              <w:t>euro</w:t>
            </w:r>
            <w:proofErr w:type="spellEnd"/>
            <w:r w:rsidR="008850B7">
              <w:rPr>
                <w:iCs/>
                <w:sz w:val="24"/>
              </w:rPr>
              <w:t xml:space="preserve"> apmērā)</w:t>
            </w:r>
            <w:r w:rsidRPr="00B05140">
              <w:rPr>
                <w:iCs/>
                <w:sz w:val="24"/>
              </w:rPr>
              <w:t>.</w:t>
            </w:r>
          </w:p>
          <w:p w:rsidR="00B05140" w:rsidRPr="006869C4" w:rsidRDefault="00050CE8" w:rsidP="00050CE8">
            <w:pPr>
              <w:jc w:val="both"/>
              <w:rPr>
                <w:iCs/>
                <w:sz w:val="24"/>
              </w:rPr>
            </w:pPr>
            <w:r w:rsidRPr="00B05140">
              <w:rPr>
                <w:iCs/>
                <w:sz w:val="24"/>
              </w:rPr>
              <w:t>Tiešās izmaksas ir 8 72</w:t>
            </w:r>
            <w:r>
              <w:rPr>
                <w:iCs/>
                <w:sz w:val="24"/>
              </w:rPr>
              <w:t>6</w:t>
            </w:r>
            <w:r w:rsidRPr="00B05140">
              <w:rPr>
                <w:iCs/>
                <w:sz w:val="24"/>
              </w:rPr>
              <w:t xml:space="preserve"> latu (12 41</w:t>
            </w:r>
            <w:r>
              <w:rPr>
                <w:iCs/>
                <w:sz w:val="24"/>
              </w:rPr>
              <w:t>6</w:t>
            </w:r>
            <w:r w:rsidRPr="00B05140">
              <w:rPr>
                <w:iCs/>
                <w:sz w:val="24"/>
              </w:rPr>
              <w:t xml:space="preserve"> </w:t>
            </w:r>
            <w:proofErr w:type="spellStart"/>
            <w:r w:rsidRPr="00B05140">
              <w:rPr>
                <w:i/>
                <w:iCs/>
                <w:sz w:val="24"/>
              </w:rPr>
              <w:t>euro</w:t>
            </w:r>
            <w:proofErr w:type="spellEnd"/>
            <w:r w:rsidRPr="00B05140">
              <w:rPr>
                <w:iCs/>
                <w:sz w:val="24"/>
              </w:rPr>
              <w:t>) (Ls</w:t>
            </w:r>
            <w:r>
              <w:rPr>
                <w:iCs/>
                <w:sz w:val="24"/>
              </w:rPr>
              <w:t xml:space="preserve"> 8,05</w:t>
            </w:r>
            <w:r w:rsidRPr="00B05140">
              <w:rPr>
                <w:iCs/>
                <w:sz w:val="24"/>
              </w:rPr>
              <w:t xml:space="preserve"> (</w:t>
            </w:r>
            <w:r>
              <w:rPr>
                <w:iCs/>
                <w:sz w:val="24"/>
              </w:rPr>
              <w:t>11,45</w:t>
            </w:r>
            <w:r w:rsidRPr="00B05140">
              <w:rPr>
                <w:iCs/>
                <w:sz w:val="24"/>
              </w:rPr>
              <w:t xml:space="preserve"> </w:t>
            </w:r>
            <w:proofErr w:type="spellStart"/>
            <w:r w:rsidRPr="00B05140">
              <w:rPr>
                <w:i/>
                <w:iCs/>
                <w:sz w:val="24"/>
              </w:rPr>
              <w:t>euro</w:t>
            </w:r>
            <w:proofErr w:type="spellEnd"/>
            <w:r w:rsidRPr="00B05140">
              <w:rPr>
                <w:iCs/>
                <w:sz w:val="24"/>
              </w:rPr>
              <w:t xml:space="preserve">) (pases grāmatiņas cena) x 1084 </w:t>
            </w:r>
            <w:r>
              <w:rPr>
                <w:iCs/>
                <w:sz w:val="24"/>
              </w:rPr>
              <w:t>(</w:t>
            </w:r>
            <w:r w:rsidRPr="00B05140">
              <w:rPr>
                <w:iCs/>
                <w:sz w:val="24"/>
              </w:rPr>
              <w:t>personu skaits</w:t>
            </w:r>
            <w:r>
              <w:rPr>
                <w:iCs/>
                <w:sz w:val="24"/>
              </w:rPr>
              <w:t>)</w:t>
            </w:r>
            <w:r w:rsidRPr="00B05140">
              <w:rPr>
                <w:iCs/>
                <w:sz w:val="24"/>
              </w:rPr>
              <w:t>).</w:t>
            </w:r>
            <w:r w:rsidR="008850B7">
              <w:rPr>
                <w:iCs/>
                <w:sz w:val="24"/>
              </w:rPr>
              <w:t xml:space="preserve"> Minētās izmaksas tiks segtas Iekšlietu ministrijai (Pilsonības un migrācijas lietu pārvaldei) piešķirto līdzekļu ietvaros.</w:t>
            </w:r>
          </w:p>
        </w:tc>
      </w:tr>
      <w:tr w:rsidR="00167EED" w:rsidRPr="000C5996" w:rsidTr="003B066C">
        <w:tc>
          <w:tcPr>
            <w:tcW w:w="272" w:type="pct"/>
            <w:tcBorders>
              <w:top w:val="outset" w:sz="6" w:space="0" w:color="000000"/>
              <w:left w:val="outset" w:sz="6" w:space="0" w:color="000000"/>
              <w:bottom w:val="outset" w:sz="6" w:space="0" w:color="000000"/>
              <w:right w:val="outset" w:sz="6" w:space="0" w:color="000000"/>
            </w:tcBorders>
          </w:tcPr>
          <w:p w:rsidR="00167EED" w:rsidRPr="000C5996" w:rsidRDefault="00167EED" w:rsidP="003B066C">
            <w:pPr>
              <w:spacing w:before="100" w:beforeAutospacing="1" w:after="100" w:afterAutospacing="1"/>
              <w:rPr>
                <w:sz w:val="24"/>
              </w:rPr>
            </w:pPr>
            <w:r w:rsidRPr="000C5996">
              <w:rPr>
                <w:sz w:val="24"/>
              </w:rPr>
              <w:lastRenderedPageBreak/>
              <w:t>3.</w:t>
            </w:r>
          </w:p>
        </w:tc>
        <w:tc>
          <w:tcPr>
            <w:tcW w:w="953" w:type="pct"/>
            <w:tcBorders>
              <w:top w:val="outset" w:sz="6" w:space="0" w:color="000000"/>
              <w:left w:val="outset" w:sz="6" w:space="0" w:color="000000"/>
              <w:bottom w:val="outset" w:sz="6" w:space="0" w:color="000000"/>
              <w:right w:val="outset" w:sz="6" w:space="0" w:color="000000"/>
            </w:tcBorders>
          </w:tcPr>
          <w:p w:rsidR="00167EED" w:rsidRPr="000C5996" w:rsidRDefault="00167EED" w:rsidP="003B066C">
            <w:pPr>
              <w:spacing w:before="100" w:beforeAutospacing="1" w:after="100" w:afterAutospacing="1"/>
              <w:rPr>
                <w:sz w:val="24"/>
              </w:rPr>
            </w:pPr>
            <w:r w:rsidRPr="000C5996">
              <w:rPr>
                <w:sz w:val="24"/>
              </w:rPr>
              <w:t>Saistītie politikas ietekmes novērtējumi un pētījumi</w:t>
            </w:r>
          </w:p>
        </w:tc>
        <w:tc>
          <w:tcPr>
            <w:tcW w:w="3775" w:type="pct"/>
            <w:tcBorders>
              <w:top w:val="outset" w:sz="6" w:space="0" w:color="000000"/>
              <w:left w:val="outset" w:sz="6" w:space="0" w:color="000000"/>
              <w:bottom w:val="outset" w:sz="6" w:space="0" w:color="000000"/>
              <w:right w:val="outset" w:sz="6" w:space="0" w:color="000000"/>
            </w:tcBorders>
            <w:vAlign w:val="center"/>
          </w:tcPr>
          <w:p w:rsidR="00167EED" w:rsidRPr="000C5996" w:rsidRDefault="00167EED" w:rsidP="003B066C">
            <w:pPr>
              <w:spacing w:before="100" w:beforeAutospacing="1" w:after="100" w:afterAutospacing="1"/>
              <w:rPr>
                <w:sz w:val="24"/>
              </w:rPr>
            </w:pPr>
            <w:r>
              <w:rPr>
                <w:sz w:val="24"/>
              </w:rPr>
              <w:t>Projekts šo jomu neskar.</w:t>
            </w:r>
          </w:p>
        </w:tc>
      </w:tr>
      <w:tr w:rsidR="00167EED" w:rsidRPr="000C5996" w:rsidTr="003B066C">
        <w:tc>
          <w:tcPr>
            <w:tcW w:w="272" w:type="pct"/>
            <w:tcBorders>
              <w:top w:val="outset" w:sz="6" w:space="0" w:color="000000"/>
              <w:left w:val="outset" w:sz="6" w:space="0" w:color="000000"/>
              <w:bottom w:val="outset" w:sz="6" w:space="0" w:color="000000"/>
              <w:right w:val="outset" w:sz="6" w:space="0" w:color="000000"/>
            </w:tcBorders>
          </w:tcPr>
          <w:p w:rsidR="00167EED" w:rsidRPr="000C5996" w:rsidRDefault="00167EED" w:rsidP="003B066C">
            <w:pPr>
              <w:spacing w:before="100" w:beforeAutospacing="1" w:after="100" w:afterAutospacing="1"/>
              <w:rPr>
                <w:sz w:val="24"/>
              </w:rPr>
            </w:pPr>
            <w:r w:rsidRPr="000C5996">
              <w:rPr>
                <w:sz w:val="24"/>
              </w:rPr>
              <w:t>4.</w:t>
            </w:r>
          </w:p>
        </w:tc>
        <w:tc>
          <w:tcPr>
            <w:tcW w:w="953" w:type="pct"/>
            <w:tcBorders>
              <w:top w:val="outset" w:sz="6" w:space="0" w:color="000000"/>
              <w:left w:val="outset" w:sz="6" w:space="0" w:color="000000"/>
              <w:bottom w:val="outset" w:sz="6" w:space="0" w:color="000000"/>
              <w:right w:val="outset" w:sz="6" w:space="0" w:color="000000"/>
            </w:tcBorders>
          </w:tcPr>
          <w:p w:rsidR="00167EED" w:rsidRPr="000C5996" w:rsidRDefault="00167EED" w:rsidP="003B066C">
            <w:pPr>
              <w:spacing w:before="100" w:beforeAutospacing="1" w:after="100" w:afterAutospacing="1"/>
              <w:rPr>
                <w:sz w:val="24"/>
              </w:rPr>
            </w:pPr>
            <w:r w:rsidRPr="000C5996">
              <w:rPr>
                <w:sz w:val="24"/>
              </w:rPr>
              <w:t>Tiesiskā regulējuma mērķis un būtība</w:t>
            </w:r>
          </w:p>
        </w:tc>
        <w:tc>
          <w:tcPr>
            <w:tcW w:w="3775" w:type="pct"/>
            <w:tcBorders>
              <w:top w:val="outset" w:sz="6" w:space="0" w:color="000000"/>
              <w:left w:val="outset" w:sz="6" w:space="0" w:color="000000"/>
              <w:bottom w:val="outset" w:sz="6" w:space="0" w:color="000000"/>
              <w:right w:val="outset" w:sz="6" w:space="0" w:color="000000"/>
            </w:tcBorders>
          </w:tcPr>
          <w:p w:rsidR="00167EED" w:rsidRDefault="00714319" w:rsidP="00714319">
            <w:pPr>
              <w:jc w:val="both"/>
              <w:rPr>
                <w:sz w:val="24"/>
              </w:rPr>
            </w:pPr>
            <w:r>
              <w:rPr>
                <w:iCs/>
                <w:sz w:val="24"/>
              </w:rPr>
              <w:t>Lai nodrošināt</w:t>
            </w:r>
            <w:r w:rsidR="008A6301">
              <w:rPr>
                <w:iCs/>
                <w:sz w:val="24"/>
              </w:rPr>
              <w:t>u</w:t>
            </w:r>
            <w:r>
              <w:rPr>
                <w:iCs/>
                <w:sz w:val="24"/>
              </w:rPr>
              <w:t xml:space="preserve"> </w:t>
            </w:r>
            <w:r w:rsidR="00560DB4">
              <w:rPr>
                <w:iCs/>
                <w:sz w:val="24"/>
              </w:rPr>
              <w:t xml:space="preserve">iespēju piedalīties 12.Saeimas vēlēšanās, </w:t>
            </w:r>
            <w:r w:rsidR="00FE242A">
              <w:rPr>
                <w:iCs/>
                <w:sz w:val="24"/>
              </w:rPr>
              <w:t>kas notiks 2014.gada 4.oktobrī,</w:t>
            </w:r>
            <w:r>
              <w:rPr>
                <w:iCs/>
                <w:sz w:val="24"/>
              </w:rPr>
              <w:t xml:space="preserve"> person</w:t>
            </w:r>
            <w:r w:rsidR="00560DB4">
              <w:rPr>
                <w:iCs/>
                <w:sz w:val="24"/>
              </w:rPr>
              <w:t>ām</w:t>
            </w:r>
            <w:r>
              <w:rPr>
                <w:iCs/>
                <w:sz w:val="24"/>
              </w:rPr>
              <w:t>, kuras normatīvā regulējuma</w:t>
            </w:r>
            <w:r w:rsidR="00CF3CF1">
              <w:rPr>
                <w:iCs/>
                <w:sz w:val="24"/>
              </w:rPr>
              <w:t xml:space="preserve"> likuma līmenī</w:t>
            </w:r>
            <w:proofErr w:type="gramStart"/>
            <w:r w:rsidR="00CF3CF1">
              <w:rPr>
                <w:iCs/>
                <w:sz w:val="24"/>
              </w:rPr>
              <w:t xml:space="preserve"> </w:t>
            </w:r>
            <w:r>
              <w:rPr>
                <w:iCs/>
                <w:sz w:val="24"/>
              </w:rPr>
              <w:t xml:space="preserve"> </w:t>
            </w:r>
            <w:proofErr w:type="gramEnd"/>
            <w:r>
              <w:rPr>
                <w:iCs/>
                <w:sz w:val="24"/>
              </w:rPr>
              <w:t xml:space="preserve">neesamības dēļ nav zinājušas, ka Saeimas vēlēšanās varēs piedalīties tikai tās personas, kuru rīcībā būs derīga Latvijas pilsoņa pase, noteikumu projektā </w:t>
            </w:r>
            <w:r w:rsidRPr="00714319">
              <w:rPr>
                <w:sz w:val="24"/>
              </w:rPr>
              <w:t>„Grozījums Ministru kabineta 2012.gada 21.februāra noteikumos Nr.133 „Noteikumi par valsts nodevu par personu apliecinošu dokumentu izsniegšanu</w:t>
            </w:r>
            <w:r w:rsidRPr="00714319">
              <w:rPr>
                <w:bCs/>
                <w:sz w:val="24"/>
              </w:rPr>
              <w:t>”</w:t>
            </w:r>
            <w:r w:rsidRPr="00714319">
              <w:rPr>
                <w:sz w:val="24"/>
              </w:rPr>
              <w:t>”</w:t>
            </w:r>
            <w:r>
              <w:rPr>
                <w:sz w:val="24"/>
              </w:rPr>
              <w:t xml:space="preserve"> tiek paredzēts, ka minētās personas tiks atbrīvotas no valsts nodevas par pases izsniegšanu samaksas, ja:</w:t>
            </w:r>
          </w:p>
          <w:p w:rsidR="00714319" w:rsidRPr="00714319" w:rsidRDefault="00714319" w:rsidP="00714319">
            <w:pPr>
              <w:pStyle w:val="ListParagraph"/>
              <w:ind w:left="0"/>
              <w:jc w:val="both"/>
              <w:rPr>
                <w:lang w:eastAsia="en-US"/>
              </w:rPr>
            </w:pPr>
            <w:r>
              <w:rPr>
                <w:lang w:eastAsia="en-US"/>
              </w:rPr>
              <w:t xml:space="preserve">- </w:t>
            </w:r>
            <w:r w:rsidRPr="00714319">
              <w:rPr>
                <w:lang w:eastAsia="en-US"/>
              </w:rPr>
              <w:t>iesniegums pases izsniegšan</w:t>
            </w:r>
            <w:r w:rsidR="00815ADA">
              <w:rPr>
                <w:lang w:eastAsia="en-US"/>
              </w:rPr>
              <w:t>ai</w:t>
            </w:r>
            <w:r w:rsidRPr="00714319">
              <w:rPr>
                <w:lang w:eastAsia="en-US"/>
              </w:rPr>
              <w:t xml:space="preserve"> </w:t>
            </w:r>
            <w:r w:rsidR="00815ADA">
              <w:rPr>
                <w:lang w:eastAsia="en-US"/>
              </w:rPr>
              <w:t>Pilsonības un migrācijas lietu pārvaldē</w:t>
            </w:r>
            <w:r w:rsidRPr="00714319">
              <w:rPr>
                <w:lang w:eastAsia="en-US"/>
              </w:rPr>
              <w:t xml:space="preserve"> iesniegts</w:t>
            </w:r>
            <w:r w:rsidR="00815ADA">
              <w:rPr>
                <w:lang w:eastAsia="en-US"/>
              </w:rPr>
              <w:t xml:space="preserve"> no 2014.gada 1</w:t>
            </w:r>
            <w:r w:rsidR="00FF7549">
              <w:rPr>
                <w:lang w:eastAsia="en-US"/>
              </w:rPr>
              <w:t>7</w:t>
            </w:r>
            <w:r w:rsidR="00815ADA">
              <w:rPr>
                <w:lang w:eastAsia="en-US"/>
              </w:rPr>
              <w:t>.</w:t>
            </w:r>
            <w:r w:rsidR="00E42294">
              <w:rPr>
                <w:lang w:eastAsia="en-US"/>
              </w:rPr>
              <w:t>februāra</w:t>
            </w:r>
            <w:r w:rsidRPr="00714319">
              <w:rPr>
                <w:lang w:eastAsia="en-US"/>
              </w:rPr>
              <w:t xml:space="preserve"> līdz 2014.gada 1.oktobrim</w:t>
            </w:r>
            <w:r w:rsidR="000A14D3">
              <w:rPr>
                <w:lang w:eastAsia="en-US"/>
              </w:rPr>
              <w:t xml:space="preserve"> (šāds termiņš noteikts, lai Pilsonības un migrācijas lietu pārvalde varētu paspēt izgatavot steidzamo pasi un izsniegt to personai līdz 3.oktobrim)</w:t>
            </w:r>
            <w:r w:rsidRPr="00714319">
              <w:rPr>
                <w:lang w:eastAsia="en-US"/>
              </w:rPr>
              <w:t>;</w:t>
            </w:r>
          </w:p>
          <w:p w:rsidR="00C26754" w:rsidRPr="000C1948" w:rsidRDefault="00714319" w:rsidP="00D600C9">
            <w:pPr>
              <w:pStyle w:val="ListParagraph"/>
              <w:ind w:left="0"/>
              <w:jc w:val="both"/>
              <w:rPr>
                <w:lang w:eastAsia="en-US"/>
              </w:rPr>
            </w:pPr>
            <w:r>
              <w:rPr>
                <w:lang w:eastAsia="en-US"/>
              </w:rPr>
              <w:t xml:space="preserve">- </w:t>
            </w:r>
            <w:r w:rsidRPr="00714319">
              <w:rPr>
                <w:lang w:eastAsia="en-US"/>
              </w:rPr>
              <w:t>iesniegums pases izsniegšan</w:t>
            </w:r>
            <w:r w:rsidR="00815ADA">
              <w:rPr>
                <w:lang w:eastAsia="en-US"/>
              </w:rPr>
              <w:t>ai</w:t>
            </w:r>
            <w:r w:rsidRPr="00714319">
              <w:rPr>
                <w:lang w:eastAsia="en-US"/>
              </w:rPr>
              <w:t xml:space="preserve"> </w:t>
            </w:r>
            <w:r w:rsidR="00912FFE">
              <w:rPr>
                <w:lang w:eastAsia="en-US"/>
              </w:rPr>
              <w:t>Latvijas diplomātiskajā vai konsulārajā pārstāvniecībā ārvalstīs</w:t>
            </w:r>
            <w:r w:rsidR="00912FFE" w:rsidRPr="00714319">
              <w:rPr>
                <w:lang w:eastAsia="en-US"/>
              </w:rPr>
              <w:t xml:space="preserve"> </w:t>
            </w:r>
            <w:r w:rsidRPr="00714319">
              <w:rPr>
                <w:lang w:eastAsia="en-US"/>
              </w:rPr>
              <w:t>iesniegts</w:t>
            </w:r>
            <w:r w:rsidR="00815ADA">
              <w:rPr>
                <w:lang w:eastAsia="en-US"/>
              </w:rPr>
              <w:t xml:space="preserve"> no 2014.gada 1</w:t>
            </w:r>
            <w:r w:rsidR="00FF7549">
              <w:rPr>
                <w:lang w:eastAsia="en-US"/>
              </w:rPr>
              <w:t>7</w:t>
            </w:r>
            <w:r w:rsidR="00815ADA">
              <w:rPr>
                <w:lang w:eastAsia="en-US"/>
              </w:rPr>
              <w:t>.</w:t>
            </w:r>
            <w:r w:rsidR="00D600C9">
              <w:rPr>
                <w:lang w:eastAsia="en-US"/>
              </w:rPr>
              <w:t>februāra</w:t>
            </w:r>
            <w:r w:rsidRPr="00714319">
              <w:rPr>
                <w:lang w:eastAsia="en-US"/>
              </w:rPr>
              <w:t xml:space="preserve"> līdz 2014.gada 22.septembrim</w:t>
            </w:r>
            <w:r w:rsidR="000A14D3">
              <w:rPr>
                <w:lang w:eastAsia="en-US"/>
              </w:rPr>
              <w:t xml:space="preserve"> (šāds termiņš noteikts, lai Pilsonības un migrācijas lietu pārvalde varētu paspēt izgatavot steidzamo pasi un nodot diplomātiskajam pastam nosūtīšanai izsniegšanai personai Latvijas diplomātiskajā vai konsulārajā pārstāvniecībā ārvalstīs)</w:t>
            </w:r>
            <w:r w:rsidRPr="00714319">
              <w:rPr>
                <w:lang w:eastAsia="en-US"/>
              </w:rPr>
              <w:t>.</w:t>
            </w:r>
            <w:bookmarkStart w:id="0" w:name="_GoBack"/>
            <w:bookmarkEnd w:id="0"/>
          </w:p>
        </w:tc>
      </w:tr>
      <w:tr w:rsidR="00167EED" w:rsidRPr="000C5996" w:rsidTr="003B066C">
        <w:tc>
          <w:tcPr>
            <w:tcW w:w="272" w:type="pct"/>
            <w:tcBorders>
              <w:top w:val="outset" w:sz="6" w:space="0" w:color="000000"/>
              <w:left w:val="outset" w:sz="6" w:space="0" w:color="000000"/>
              <w:bottom w:val="outset" w:sz="6" w:space="0" w:color="000000"/>
              <w:right w:val="outset" w:sz="6" w:space="0" w:color="000000"/>
            </w:tcBorders>
          </w:tcPr>
          <w:p w:rsidR="00167EED" w:rsidRPr="000C5996" w:rsidRDefault="00167EED" w:rsidP="003B066C">
            <w:pPr>
              <w:spacing w:before="100" w:beforeAutospacing="1" w:after="100" w:afterAutospacing="1"/>
              <w:rPr>
                <w:sz w:val="24"/>
              </w:rPr>
            </w:pPr>
            <w:r w:rsidRPr="000C5996">
              <w:rPr>
                <w:sz w:val="24"/>
              </w:rPr>
              <w:t>5.</w:t>
            </w:r>
          </w:p>
        </w:tc>
        <w:tc>
          <w:tcPr>
            <w:tcW w:w="953" w:type="pct"/>
            <w:tcBorders>
              <w:top w:val="outset" w:sz="6" w:space="0" w:color="000000"/>
              <w:left w:val="outset" w:sz="6" w:space="0" w:color="000000"/>
              <w:bottom w:val="outset" w:sz="6" w:space="0" w:color="000000"/>
              <w:right w:val="outset" w:sz="6" w:space="0" w:color="000000"/>
            </w:tcBorders>
          </w:tcPr>
          <w:p w:rsidR="00167EED" w:rsidRPr="000C5996" w:rsidRDefault="00167EED" w:rsidP="003B066C">
            <w:pPr>
              <w:spacing w:before="100" w:beforeAutospacing="1" w:after="100" w:afterAutospacing="1"/>
              <w:rPr>
                <w:sz w:val="24"/>
              </w:rPr>
            </w:pPr>
            <w:r w:rsidRPr="000C5996">
              <w:rPr>
                <w:sz w:val="24"/>
              </w:rPr>
              <w:t>Projekta izstrādē iesaistītās institūcijas</w:t>
            </w:r>
          </w:p>
        </w:tc>
        <w:tc>
          <w:tcPr>
            <w:tcW w:w="3775" w:type="pct"/>
            <w:tcBorders>
              <w:top w:val="outset" w:sz="6" w:space="0" w:color="000000"/>
              <w:left w:val="outset" w:sz="6" w:space="0" w:color="000000"/>
              <w:bottom w:val="outset" w:sz="6" w:space="0" w:color="000000"/>
              <w:right w:val="outset" w:sz="6" w:space="0" w:color="000000"/>
            </w:tcBorders>
            <w:vAlign w:val="center"/>
          </w:tcPr>
          <w:p w:rsidR="00167EED" w:rsidRPr="000C5996" w:rsidRDefault="00167EED" w:rsidP="003B066C">
            <w:pPr>
              <w:spacing w:before="100" w:beforeAutospacing="1" w:after="100" w:afterAutospacing="1"/>
              <w:rPr>
                <w:sz w:val="24"/>
              </w:rPr>
            </w:pPr>
            <w:r>
              <w:rPr>
                <w:sz w:val="24"/>
              </w:rPr>
              <w:t>Pilsonības un migrācijas lietu pārvalde.</w:t>
            </w:r>
          </w:p>
        </w:tc>
      </w:tr>
      <w:tr w:rsidR="00167EED" w:rsidRPr="000C5996" w:rsidTr="003B066C">
        <w:tc>
          <w:tcPr>
            <w:tcW w:w="272" w:type="pct"/>
            <w:tcBorders>
              <w:top w:val="outset" w:sz="6" w:space="0" w:color="000000"/>
              <w:left w:val="outset" w:sz="6" w:space="0" w:color="000000"/>
              <w:bottom w:val="outset" w:sz="6" w:space="0" w:color="000000"/>
              <w:right w:val="outset" w:sz="6" w:space="0" w:color="000000"/>
            </w:tcBorders>
          </w:tcPr>
          <w:p w:rsidR="00167EED" w:rsidRPr="000C5996" w:rsidRDefault="00167EED" w:rsidP="003B066C">
            <w:pPr>
              <w:spacing w:before="100" w:beforeAutospacing="1" w:after="100" w:afterAutospacing="1"/>
              <w:rPr>
                <w:sz w:val="24"/>
              </w:rPr>
            </w:pPr>
            <w:r w:rsidRPr="000C5996">
              <w:rPr>
                <w:sz w:val="24"/>
              </w:rPr>
              <w:t>6.</w:t>
            </w:r>
          </w:p>
        </w:tc>
        <w:tc>
          <w:tcPr>
            <w:tcW w:w="953" w:type="pct"/>
            <w:tcBorders>
              <w:top w:val="outset" w:sz="6" w:space="0" w:color="000000"/>
              <w:left w:val="outset" w:sz="6" w:space="0" w:color="000000"/>
              <w:bottom w:val="outset" w:sz="6" w:space="0" w:color="000000"/>
              <w:right w:val="outset" w:sz="6" w:space="0" w:color="000000"/>
            </w:tcBorders>
          </w:tcPr>
          <w:p w:rsidR="00167EED" w:rsidRPr="000C5996" w:rsidRDefault="00167EED" w:rsidP="003B066C">
            <w:pPr>
              <w:spacing w:before="100" w:beforeAutospacing="1" w:after="100" w:afterAutospacing="1"/>
              <w:rPr>
                <w:sz w:val="24"/>
              </w:rPr>
            </w:pPr>
            <w:r w:rsidRPr="000C5996">
              <w:rPr>
                <w:sz w:val="24"/>
              </w:rPr>
              <w:t>Iemesli, kādēļ netika nodrošināta sabiedrības līdzdalība</w:t>
            </w:r>
          </w:p>
        </w:tc>
        <w:tc>
          <w:tcPr>
            <w:tcW w:w="3775" w:type="pct"/>
            <w:tcBorders>
              <w:top w:val="outset" w:sz="6" w:space="0" w:color="000000"/>
              <w:left w:val="outset" w:sz="6" w:space="0" w:color="000000"/>
              <w:bottom w:val="outset" w:sz="6" w:space="0" w:color="000000"/>
              <w:right w:val="outset" w:sz="6" w:space="0" w:color="000000"/>
            </w:tcBorders>
          </w:tcPr>
          <w:p w:rsidR="00167EED" w:rsidRPr="000C5996" w:rsidRDefault="00167EED" w:rsidP="003B066C">
            <w:pPr>
              <w:spacing w:before="100" w:beforeAutospacing="1" w:after="100" w:afterAutospacing="1"/>
              <w:jc w:val="both"/>
              <w:rPr>
                <w:sz w:val="24"/>
              </w:rPr>
            </w:pPr>
            <w:r>
              <w:rPr>
                <w:sz w:val="24"/>
              </w:rPr>
              <w:t>Projekts šo jomu neskar.</w:t>
            </w:r>
          </w:p>
        </w:tc>
      </w:tr>
      <w:tr w:rsidR="00167EED" w:rsidRPr="000C5996" w:rsidTr="003B066C">
        <w:tc>
          <w:tcPr>
            <w:tcW w:w="272" w:type="pct"/>
            <w:tcBorders>
              <w:top w:val="outset" w:sz="6" w:space="0" w:color="000000"/>
              <w:left w:val="outset" w:sz="6" w:space="0" w:color="000000"/>
              <w:bottom w:val="outset" w:sz="6" w:space="0" w:color="000000"/>
              <w:right w:val="outset" w:sz="6" w:space="0" w:color="000000"/>
            </w:tcBorders>
          </w:tcPr>
          <w:p w:rsidR="00167EED" w:rsidRPr="000C5996" w:rsidRDefault="00167EED" w:rsidP="003B066C">
            <w:pPr>
              <w:spacing w:before="100" w:beforeAutospacing="1" w:after="100" w:afterAutospacing="1"/>
              <w:rPr>
                <w:sz w:val="24"/>
              </w:rPr>
            </w:pPr>
            <w:r w:rsidRPr="000C5996">
              <w:rPr>
                <w:sz w:val="24"/>
              </w:rPr>
              <w:t>7.</w:t>
            </w:r>
          </w:p>
        </w:tc>
        <w:tc>
          <w:tcPr>
            <w:tcW w:w="953" w:type="pct"/>
            <w:tcBorders>
              <w:top w:val="outset" w:sz="6" w:space="0" w:color="000000"/>
              <w:left w:val="outset" w:sz="6" w:space="0" w:color="000000"/>
              <w:bottom w:val="outset" w:sz="6" w:space="0" w:color="000000"/>
              <w:right w:val="outset" w:sz="6" w:space="0" w:color="000000"/>
            </w:tcBorders>
          </w:tcPr>
          <w:p w:rsidR="00167EED" w:rsidRPr="000C5996" w:rsidRDefault="00167EED" w:rsidP="003B066C">
            <w:pPr>
              <w:spacing w:before="100" w:beforeAutospacing="1" w:after="100" w:afterAutospacing="1"/>
              <w:rPr>
                <w:sz w:val="24"/>
              </w:rPr>
            </w:pPr>
            <w:r w:rsidRPr="000C5996">
              <w:rPr>
                <w:sz w:val="24"/>
              </w:rPr>
              <w:t>Cita informācija</w:t>
            </w:r>
          </w:p>
        </w:tc>
        <w:tc>
          <w:tcPr>
            <w:tcW w:w="3775" w:type="pct"/>
            <w:tcBorders>
              <w:top w:val="outset" w:sz="6" w:space="0" w:color="000000"/>
              <w:left w:val="outset" w:sz="6" w:space="0" w:color="000000"/>
              <w:bottom w:val="outset" w:sz="6" w:space="0" w:color="000000"/>
              <w:right w:val="outset" w:sz="6" w:space="0" w:color="000000"/>
            </w:tcBorders>
          </w:tcPr>
          <w:p w:rsidR="00167EED" w:rsidRPr="000C5996" w:rsidRDefault="00167EED" w:rsidP="003B066C">
            <w:pPr>
              <w:spacing w:before="100" w:beforeAutospacing="1" w:after="100" w:afterAutospacing="1"/>
              <w:rPr>
                <w:sz w:val="24"/>
              </w:rPr>
            </w:pPr>
            <w:r w:rsidRPr="000C5996">
              <w:rPr>
                <w:sz w:val="24"/>
              </w:rPr>
              <w:t>Nav.</w:t>
            </w:r>
          </w:p>
        </w:tc>
      </w:tr>
    </w:tbl>
    <w:tbl>
      <w:tblPr>
        <w:tblpPr w:leftFromText="180" w:rightFromText="180" w:vertAnchor="text" w:horzAnchor="margin" w:tblpXSpec="center" w:tblpY="149"/>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4810"/>
        <w:gridCol w:w="4791"/>
      </w:tblGrid>
      <w:tr w:rsidR="00714319" w:rsidRPr="00BE0280" w:rsidTr="00714319">
        <w:tc>
          <w:tcPr>
            <w:tcW w:w="10032" w:type="dxa"/>
            <w:gridSpan w:val="3"/>
            <w:vAlign w:val="center"/>
          </w:tcPr>
          <w:p w:rsidR="00714319" w:rsidRPr="000C1948" w:rsidRDefault="00714319" w:rsidP="00714319">
            <w:pPr>
              <w:pStyle w:val="naisnod"/>
              <w:spacing w:before="0" w:after="0"/>
              <w:jc w:val="center"/>
              <w:rPr>
                <w:b/>
              </w:rPr>
            </w:pPr>
            <w:r w:rsidRPr="000C1948">
              <w:rPr>
                <w:b/>
              </w:rPr>
              <w:t>II. Tiesību akta projekta ietekme uz sabiedrību</w:t>
            </w:r>
          </w:p>
        </w:tc>
      </w:tr>
      <w:tr w:rsidR="00714319" w:rsidRPr="00BE0280" w:rsidTr="00714319">
        <w:trPr>
          <w:trHeight w:val="467"/>
        </w:trPr>
        <w:tc>
          <w:tcPr>
            <w:tcW w:w="431" w:type="dxa"/>
          </w:tcPr>
          <w:p w:rsidR="00714319" w:rsidRPr="00BE0280" w:rsidRDefault="00714319" w:rsidP="00714319">
            <w:pPr>
              <w:pStyle w:val="naiskr"/>
              <w:spacing w:before="0" w:after="0"/>
            </w:pPr>
            <w:r w:rsidRPr="00BE0280">
              <w:lastRenderedPageBreak/>
              <w:t>1.</w:t>
            </w:r>
          </w:p>
        </w:tc>
        <w:tc>
          <w:tcPr>
            <w:tcW w:w="4810" w:type="dxa"/>
          </w:tcPr>
          <w:p w:rsidR="00714319" w:rsidRPr="00BE0280" w:rsidRDefault="00714319" w:rsidP="00714319">
            <w:pPr>
              <w:pStyle w:val="naiskr"/>
              <w:spacing w:before="0" w:after="0"/>
            </w:pPr>
            <w:r w:rsidRPr="00BE0280">
              <w:t>Sabiedrības mērķgrupa</w:t>
            </w:r>
          </w:p>
        </w:tc>
        <w:tc>
          <w:tcPr>
            <w:tcW w:w="4791" w:type="dxa"/>
          </w:tcPr>
          <w:p w:rsidR="00714319" w:rsidRPr="00BE0280" w:rsidRDefault="00714319" w:rsidP="00560DB4">
            <w:pPr>
              <w:pStyle w:val="naiskr"/>
              <w:ind w:right="114" w:hanging="57"/>
              <w:jc w:val="both"/>
            </w:pPr>
            <w:r w:rsidRPr="00BE0280">
              <w:rPr>
                <w:iCs/>
              </w:rPr>
              <w:t> </w:t>
            </w:r>
            <w:r>
              <w:rPr>
                <w:iCs/>
              </w:rPr>
              <w:t>M</w:t>
            </w:r>
            <w:r>
              <w:t xml:space="preserve">ērķgrupas lielums </w:t>
            </w:r>
            <w:r w:rsidR="00560DB4">
              <w:t>1084</w:t>
            </w:r>
            <w:r w:rsidR="007D2374">
              <w:t xml:space="preserve"> </w:t>
            </w:r>
            <w:r>
              <w:t>personas.</w:t>
            </w:r>
          </w:p>
        </w:tc>
      </w:tr>
      <w:tr w:rsidR="00714319" w:rsidRPr="00BE0280" w:rsidTr="00714319">
        <w:trPr>
          <w:trHeight w:val="523"/>
        </w:trPr>
        <w:tc>
          <w:tcPr>
            <w:tcW w:w="431" w:type="dxa"/>
          </w:tcPr>
          <w:p w:rsidR="00714319" w:rsidRPr="00BE0280" w:rsidRDefault="00714319" w:rsidP="00714319">
            <w:pPr>
              <w:pStyle w:val="naiskr"/>
              <w:spacing w:before="0" w:after="0"/>
            </w:pPr>
            <w:r w:rsidRPr="00BE0280">
              <w:t>2.</w:t>
            </w:r>
          </w:p>
        </w:tc>
        <w:tc>
          <w:tcPr>
            <w:tcW w:w="4810" w:type="dxa"/>
          </w:tcPr>
          <w:p w:rsidR="00714319" w:rsidRPr="00BE0280" w:rsidRDefault="00714319" w:rsidP="00714319">
            <w:pPr>
              <w:pStyle w:val="naiskr"/>
              <w:spacing w:before="0" w:after="0"/>
            </w:pPr>
            <w:r w:rsidRPr="00BE0280">
              <w:t>Citas sabiedrības grupas (bez mērķgrupas), kuras tiesiskais regulējums arī ietekmē vai varētu ietekmēt</w:t>
            </w:r>
          </w:p>
        </w:tc>
        <w:tc>
          <w:tcPr>
            <w:tcW w:w="4791" w:type="dxa"/>
          </w:tcPr>
          <w:p w:rsidR="00714319" w:rsidRPr="00BE0280" w:rsidRDefault="00714319" w:rsidP="00714319">
            <w:pPr>
              <w:pStyle w:val="naiskr"/>
              <w:ind w:right="114"/>
              <w:jc w:val="both"/>
            </w:pPr>
            <w:r w:rsidRPr="00BE0280">
              <w:t>Projekts šo jomu neskar.</w:t>
            </w:r>
          </w:p>
        </w:tc>
      </w:tr>
      <w:tr w:rsidR="00714319" w:rsidRPr="00BE0280" w:rsidTr="00714319">
        <w:trPr>
          <w:trHeight w:val="517"/>
        </w:trPr>
        <w:tc>
          <w:tcPr>
            <w:tcW w:w="431" w:type="dxa"/>
          </w:tcPr>
          <w:p w:rsidR="00714319" w:rsidRPr="00BE0280" w:rsidRDefault="00714319" w:rsidP="00714319">
            <w:pPr>
              <w:pStyle w:val="naiskr"/>
              <w:spacing w:before="0" w:after="0"/>
            </w:pPr>
            <w:r w:rsidRPr="00BE0280">
              <w:t>3.</w:t>
            </w:r>
          </w:p>
        </w:tc>
        <w:tc>
          <w:tcPr>
            <w:tcW w:w="4810" w:type="dxa"/>
          </w:tcPr>
          <w:p w:rsidR="00714319" w:rsidRPr="00BE0280" w:rsidRDefault="00714319" w:rsidP="00714319">
            <w:pPr>
              <w:pStyle w:val="naiskr"/>
              <w:spacing w:before="0" w:after="0"/>
            </w:pPr>
            <w:r w:rsidRPr="00BE0280">
              <w:t>Tiesiskā regulējuma finansiālā ietekme</w:t>
            </w:r>
          </w:p>
        </w:tc>
        <w:tc>
          <w:tcPr>
            <w:tcW w:w="4791" w:type="dxa"/>
          </w:tcPr>
          <w:p w:rsidR="00F96515" w:rsidRPr="00E36225" w:rsidRDefault="0058626E" w:rsidP="00120720">
            <w:pPr>
              <w:pStyle w:val="naiskr"/>
              <w:jc w:val="both"/>
              <w:rPr>
                <w:bCs/>
              </w:rPr>
            </w:pPr>
            <w:r>
              <w:t xml:space="preserve">Mērķgrupai nebūs jāmaksā valsts nodeva par pases izsniegšanu, kas saskaņā ar </w:t>
            </w:r>
            <w:r w:rsidRPr="00714319">
              <w:t>Ministru kabineta</w:t>
            </w:r>
            <w:r>
              <w:t xml:space="preserve"> 2012.gada 21.februāra noteikumu</w:t>
            </w:r>
            <w:r w:rsidRPr="00714319">
              <w:t xml:space="preserve"> Nr.133 „Noteikumi par valsts nodevu par personu apliecinošu dokumentu izsniegšanu</w:t>
            </w:r>
            <w:r w:rsidRPr="00714319">
              <w:rPr>
                <w:bCs/>
              </w:rPr>
              <w:t>”</w:t>
            </w:r>
            <w:r>
              <w:rPr>
                <w:bCs/>
              </w:rPr>
              <w:t xml:space="preserve"> 3.punktu ir 20 latu</w:t>
            </w:r>
            <w:r w:rsidR="007E596E">
              <w:rPr>
                <w:bCs/>
              </w:rPr>
              <w:t xml:space="preserve"> (no 2014.gada 1.janvāra 28,46 </w:t>
            </w:r>
            <w:proofErr w:type="spellStart"/>
            <w:r w:rsidR="007E596E">
              <w:rPr>
                <w:bCs/>
                <w:i/>
              </w:rPr>
              <w:t>euro</w:t>
            </w:r>
            <w:proofErr w:type="spellEnd"/>
            <w:r w:rsidR="007E596E">
              <w:rPr>
                <w:bCs/>
              </w:rPr>
              <w:t>), ja pasi izsniedz 10 darb</w:t>
            </w:r>
            <w:r>
              <w:rPr>
                <w:bCs/>
              </w:rPr>
              <w:t>dienu laikā</w:t>
            </w:r>
            <w:r w:rsidR="00120720">
              <w:rPr>
                <w:bCs/>
              </w:rPr>
              <w:t xml:space="preserve"> </w:t>
            </w:r>
            <w:r w:rsidR="009D0223">
              <w:rPr>
                <w:bCs/>
              </w:rPr>
              <w:t>un nav piemēroti kādi atvieglojumi</w:t>
            </w:r>
            <w:r>
              <w:rPr>
                <w:bCs/>
              </w:rPr>
              <w:t>, vai 40 latu</w:t>
            </w:r>
            <w:r w:rsidR="007E596E">
              <w:rPr>
                <w:bCs/>
              </w:rPr>
              <w:t xml:space="preserve"> (no 2014.gada 1.janvāra 56,91 </w:t>
            </w:r>
            <w:proofErr w:type="spellStart"/>
            <w:r w:rsidR="007E596E">
              <w:rPr>
                <w:bCs/>
                <w:i/>
              </w:rPr>
              <w:t>euro</w:t>
            </w:r>
            <w:proofErr w:type="spellEnd"/>
            <w:r w:rsidR="007E596E">
              <w:rPr>
                <w:bCs/>
              </w:rPr>
              <w:t>)</w:t>
            </w:r>
            <w:r>
              <w:rPr>
                <w:bCs/>
              </w:rPr>
              <w:t>, ja pasi izsniedz divu darbdienu laikā</w:t>
            </w:r>
            <w:r w:rsidR="00815ADA">
              <w:rPr>
                <w:bCs/>
              </w:rPr>
              <w:t xml:space="preserve"> un nav piemēroti kādi atvieglojumi.</w:t>
            </w:r>
          </w:p>
        </w:tc>
      </w:tr>
      <w:tr w:rsidR="00714319" w:rsidRPr="00BE0280" w:rsidTr="00714319">
        <w:trPr>
          <w:trHeight w:val="517"/>
        </w:trPr>
        <w:tc>
          <w:tcPr>
            <w:tcW w:w="431" w:type="dxa"/>
          </w:tcPr>
          <w:p w:rsidR="00714319" w:rsidRPr="00BE0280" w:rsidRDefault="00714319" w:rsidP="00714319">
            <w:pPr>
              <w:pStyle w:val="naiskr"/>
              <w:spacing w:before="0" w:after="0"/>
            </w:pPr>
            <w:r w:rsidRPr="00BE0280">
              <w:t>4.</w:t>
            </w:r>
          </w:p>
        </w:tc>
        <w:tc>
          <w:tcPr>
            <w:tcW w:w="4810" w:type="dxa"/>
          </w:tcPr>
          <w:p w:rsidR="00714319" w:rsidRPr="00BE0280" w:rsidRDefault="00714319" w:rsidP="00714319">
            <w:pPr>
              <w:pStyle w:val="naiskr"/>
              <w:spacing w:before="0" w:after="0"/>
            </w:pPr>
            <w:r w:rsidRPr="00BE0280">
              <w:t>Tiesiskā regulējuma nefinansiālā ietekme</w:t>
            </w:r>
          </w:p>
        </w:tc>
        <w:tc>
          <w:tcPr>
            <w:tcW w:w="4791" w:type="dxa"/>
          </w:tcPr>
          <w:p w:rsidR="00714319" w:rsidRPr="00BE0280" w:rsidRDefault="00714319" w:rsidP="00714319">
            <w:pPr>
              <w:pStyle w:val="naiskr"/>
              <w:jc w:val="both"/>
            </w:pPr>
            <w:r w:rsidRPr="00BE0280">
              <w:t>Projekts šo jomu neskar.</w:t>
            </w:r>
          </w:p>
        </w:tc>
      </w:tr>
      <w:tr w:rsidR="00714319" w:rsidRPr="00BE0280" w:rsidTr="00714319">
        <w:trPr>
          <w:trHeight w:val="531"/>
        </w:trPr>
        <w:tc>
          <w:tcPr>
            <w:tcW w:w="431" w:type="dxa"/>
          </w:tcPr>
          <w:p w:rsidR="00714319" w:rsidRPr="00BE0280" w:rsidRDefault="00714319" w:rsidP="00714319">
            <w:pPr>
              <w:pStyle w:val="naiskr"/>
              <w:spacing w:before="0" w:after="0"/>
            </w:pPr>
            <w:r w:rsidRPr="00BE0280">
              <w:t>5.</w:t>
            </w:r>
          </w:p>
        </w:tc>
        <w:tc>
          <w:tcPr>
            <w:tcW w:w="4810" w:type="dxa"/>
          </w:tcPr>
          <w:p w:rsidR="00714319" w:rsidRPr="00BE0280" w:rsidRDefault="00714319" w:rsidP="00714319">
            <w:pPr>
              <w:pStyle w:val="naiskr"/>
              <w:spacing w:before="0" w:after="0"/>
            </w:pPr>
            <w:r w:rsidRPr="00BE0280">
              <w:t>Administratīvās procedūras raksturojums</w:t>
            </w:r>
          </w:p>
        </w:tc>
        <w:tc>
          <w:tcPr>
            <w:tcW w:w="4791" w:type="dxa"/>
          </w:tcPr>
          <w:p w:rsidR="00714319" w:rsidRPr="00BE0280" w:rsidRDefault="00714319" w:rsidP="00714319">
            <w:pPr>
              <w:pStyle w:val="naiskr"/>
              <w:spacing w:before="0" w:after="0"/>
              <w:ind w:right="114"/>
              <w:jc w:val="both"/>
            </w:pPr>
            <w:r w:rsidRPr="00BE0280">
              <w:t>Projekts šo jomu neskar.</w:t>
            </w:r>
          </w:p>
        </w:tc>
      </w:tr>
      <w:tr w:rsidR="00714319" w:rsidRPr="00BE0280" w:rsidTr="00714319">
        <w:trPr>
          <w:trHeight w:val="357"/>
        </w:trPr>
        <w:tc>
          <w:tcPr>
            <w:tcW w:w="431" w:type="dxa"/>
          </w:tcPr>
          <w:p w:rsidR="00714319" w:rsidRPr="00BE0280" w:rsidRDefault="00714319" w:rsidP="00714319">
            <w:pPr>
              <w:pStyle w:val="naiskr"/>
              <w:spacing w:before="0" w:after="0"/>
            </w:pPr>
            <w:r w:rsidRPr="00BE0280">
              <w:t>6.</w:t>
            </w:r>
          </w:p>
        </w:tc>
        <w:tc>
          <w:tcPr>
            <w:tcW w:w="4810" w:type="dxa"/>
          </w:tcPr>
          <w:p w:rsidR="00714319" w:rsidRPr="00BE0280" w:rsidRDefault="00714319" w:rsidP="00714319">
            <w:pPr>
              <w:pStyle w:val="naiskr"/>
              <w:spacing w:before="0" w:after="0"/>
            </w:pPr>
            <w:r w:rsidRPr="00BE0280">
              <w:t>Administratīvo izmaksu monetārs novērtējums</w:t>
            </w:r>
          </w:p>
        </w:tc>
        <w:tc>
          <w:tcPr>
            <w:tcW w:w="4791" w:type="dxa"/>
          </w:tcPr>
          <w:p w:rsidR="00714319" w:rsidRPr="00BE0280" w:rsidRDefault="00714319" w:rsidP="00714319">
            <w:pPr>
              <w:pStyle w:val="naiskr"/>
              <w:spacing w:before="0" w:after="0"/>
            </w:pPr>
            <w:r w:rsidRPr="00BE0280">
              <w:t>Projekts šo jomu neskar.</w:t>
            </w:r>
          </w:p>
        </w:tc>
      </w:tr>
      <w:tr w:rsidR="00714319" w:rsidRPr="00BE0280" w:rsidTr="00714319">
        <w:trPr>
          <w:trHeight w:val="357"/>
        </w:trPr>
        <w:tc>
          <w:tcPr>
            <w:tcW w:w="431" w:type="dxa"/>
          </w:tcPr>
          <w:p w:rsidR="00714319" w:rsidRPr="00BE0280" w:rsidRDefault="00714319" w:rsidP="00714319">
            <w:pPr>
              <w:pStyle w:val="naiskr"/>
              <w:spacing w:before="0" w:after="0"/>
            </w:pPr>
            <w:r w:rsidRPr="00BE0280">
              <w:t>7.</w:t>
            </w:r>
          </w:p>
        </w:tc>
        <w:tc>
          <w:tcPr>
            <w:tcW w:w="4810" w:type="dxa"/>
          </w:tcPr>
          <w:p w:rsidR="00714319" w:rsidRPr="00BE0280" w:rsidRDefault="00714319" w:rsidP="00714319">
            <w:pPr>
              <w:pStyle w:val="naiskr"/>
              <w:spacing w:before="0" w:after="0"/>
            </w:pPr>
            <w:r w:rsidRPr="00BE0280">
              <w:t>Cita informācija</w:t>
            </w:r>
          </w:p>
        </w:tc>
        <w:tc>
          <w:tcPr>
            <w:tcW w:w="4791" w:type="dxa"/>
          </w:tcPr>
          <w:p w:rsidR="00714319" w:rsidRPr="00BE0280" w:rsidRDefault="00714319" w:rsidP="00714319">
            <w:pPr>
              <w:pStyle w:val="naiskr"/>
              <w:spacing w:before="0" w:after="0"/>
            </w:pPr>
            <w:r w:rsidRPr="00BE0280">
              <w:t>Nav.</w:t>
            </w:r>
          </w:p>
        </w:tc>
      </w:tr>
    </w:tbl>
    <w:p w:rsidR="00B05140" w:rsidRPr="00B71F74" w:rsidRDefault="00B05140" w:rsidP="00167EED">
      <w:pPr>
        <w:rPr>
          <w:sz w:val="12"/>
          <w:szCs w:val="12"/>
        </w:rPr>
      </w:pPr>
    </w:p>
    <w:tbl>
      <w:tblPr>
        <w:tblpPr w:leftFromText="180" w:rightFromText="180" w:vertAnchor="text" w:horzAnchor="margin" w:tblpXSpec="center" w:tblpY="18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2992"/>
        <w:gridCol w:w="6506"/>
      </w:tblGrid>
      <w:tr w:rsidR="00714319" w:rsidRPr="00BE0280" w:rsidTr="00714319">
        <w:tc>
          <w:tcPr>
            <w:tcW w:w="10065" w:type="dxa"/>
            <w:gridSpan w:val="3"/>
          </w:tcPr>
          <w:p w:rsidR="00714319" w:rsidRPr="00DC30EE" w:rsidRDefault="00714319" w:rsidP="00714319">
            <w:pPr>
              <w:pStyle w:val="naisnod"/>
              <w:spacing w:before="0" w:after="0"/>
              <w:ind w:left="57" w:right="57"/>
              <w:jc w:val="center"/>
              <w:rPr>
                <w:b/>
              </w:rPr>
            </w:pPr>
            <w:r w:rsidRPr="00DC30EE">
              <w:rPr>
                <w:b/>
              </w:rPr>
              <w:t>VI. Sabiedrības līdzdalība un šīs līdzdalības rezultāti</w:t>
            </w:r>
          </w:p>
        </w:tc>
      </w:tr>
      <w:tr w:rsidR="00714319" w:rsidRPr="00BE0280" w:rsidTr="00714319">
        <w:trPr>
          <w:trHeight w:val="96"/>
        </w:trPr>
        <w:tc>
          <w:tcPr>
            <w:tcW w:w="567" w:type="dxa"/>
          </w:tcPr>
          <w:p w:rsidR="00714319" w:rsidRPr="00BE0280" w:rsidRDefault="00714319" w:rsidP="00714319">
            <w:pPr>
              <w:pStyle w:val="naiskr"/>
              <w:spacing w:before="0" w:after="0"/>
              <w:ind w:left="57" w:right="57"/>
              <w:jc w:val="center"/>
            </w:pPr>
            <w:r w:rsidRPr="00BE0280">
              <w:t>1.</w:t>
            </w:r>
          </w:p>
        </w:tc>
        <w:tc>
          <w:tcPr>
            <w:tcW w:w="2992" w:type="dxa"/>
          </w:tcPr>
          <w:p w:rsidR="00714319" w:rsidRPr="00DC30EE" w:rsidRDefault="00714319" w:rsidP="00714319">
            <w:pPr>
              <w:pStyle w:val="naiskr"/>
              <w:spacing w:before="0" w:after="0"/>
              <w:ind w:left="7" w:right="57"/>
            </w:pPr>
            <w:r w:rsidRPr="00DC30EE">
              <w:t>Sabiedrības informēšana par projekta izstrādes uzsākšanu</w:t>
            </w:r>
          </w:p>
        </w:tc>
        <w:tc>
          <w:tcPr>
            <w:tcW w:w="6506" w:type="dxa"/>
          </w:tcPr>
          <w:p w:rsidR="00714319" w:rsidRPr="00DC30EE" w:rsidRDefault="00714319" w:rsidP="00714319">
            <w:pPr>
              <w:jc w:val="both"/>
              <w:rPr>
                <w:sz w:val="24"/>
              </w:rPr>
            </w:pPr>
            <w:r>
              <w:rPr>
                <w:sz w:val="24"/>
              </w:rPr>
              <w:t>Noteikumu projekts pirms izsludināšanas Valsts sekretāru sanāksmē</w:t>
            </w:r>
            <w:r w:rsidRPr="00DC30EE">
              <w:rPr>
                <w:sz w:val="24"/>
              </w:rPr>
              <w:t xml:space="preserve"> publicēts Pilsonības un migrācijas lietu pārvaldes mājas lapā</w:t>
            </w:r>
            <w:r>
              <w:rPr>
                <w:sz w:val="24"/>
              </w:rPr>
              <w:t xml:space="preserve"> un Iekšlietu ministrijas mājas lapā</w:t>
            </w:r>
            <w:r w:rsidRPr="00DC30EE">
              <w:rPr>
                <w:sz w:val="24"/>
              </w:rPr>
              <w:t xml:space="preserve">. </w:t>
            </w:r>
          </w:p>
        </w:tc>
      </w:tr>
      <w:tr w:rsidR="00714319" w:rsidRPr="00BE0280" w:rsidTr="00714319">
        <w:trPr>
          <w:trHeight w:val="96"/>
        </w:trPr>
        <w:tc>
          <w:tcPr>
            <w:tcW w:w="567" w:type="dxa"/>
          </w:tcPr>
          <w:p w:rsidR="00714319" w:rsidRPr="00BE0280" w:rsidRDefault="00714319" w:rsidP="00714319">
            <w:pPr>
              <w:pStyle w:val="naiskr"/>
              <w:spacing w:before="0" w:after="0"/>
              <w:ind w:left="57" w:right="57"/>
              <w:jc w:val="center"/>
            </w:pPr>
            <w:r w:rsidRPr="00BE0280">
              <w:t>2.</w:t>
            </w:r>
          </w:p>
        </w:tc>
        <w:tc>
          <w:tcPr>
            <w:tcW w:w="2992" w:type="dxa"/>
          </w:tcPr>
          <w:p w:rsidR="00714319" w:rsidRPr="00DC30EE" w:rsidRDefault="00714319" w:rsidP="00714319">
            <w:pPr>
              <w:pStyle w:val="naiskr"/>
              <w:spacing w:before="0" w:after="0"/>
              <w:ind w:left="7" w:right="57"/>
            </w:pPr>
            <w:r w:rsidRPr="00DC30EE">
              <w:t>Sabiedrības līdzdalība projekta izstrādē</w:t>
            </w:r>
          </w:p>
        </w:tc>
        <w:tc>
          <w:tcPr>
            <w:tcW w:w="6506" w:type="dxa"/>
          </w:tcPr>
          <w:p w:rsidR="00714319" w:rsidRPr="00DC30EE" w:rsidRDefault="00714319" w:rsidP="00714319">
            <w:pPr>
              <w:spacing w:before="100" w:beforeAutospacing="1" w:after="100" w:afterAutospacing="1"/>
              <w:rPr>
                <w:sz w:val="24"/>
              </w:rPr>
            </w:pPr>
            <w:r>
              <w:rPr>
                <w:sz w:val="24"/>
              </w:rPr>
              <w:t>Iebildumi par projektu netika saņemti.</w:t>
            </w:r>
          </w:p>
        </w:tc>
      </w:tr>
      <w:tr w:rsidR="00714319" w:rsidRPr="00BE0280" w:rsidTr="00714319">
        <w:trPr>
          <w:trHeight w:val="96"/>
        </w:trPr>
        <w:tc>
          <w:tcPr>
            <w:tcW w:w="567" w:type="dxa"/>
          </w:tcPr>
          <w:p w:rsidR="00714319" w:rsidRPr="00BE0280" w:rsidRDefault="00714319" w:rsidP="00714319">
            <w:pPr>
              <w:pStyle w:val="naiskr"/>
              <w:spacing w:before="0" w:after="0"/>
              <w:ind w:left="57" w:right="57"/>
              <w:jc w:val="center"/>
            </w:pPr>
            <w:r w:rsidRPr="00BE0280">
              <w:t>3.</w:t>
            </w:r>
          </w:p>
        </w:tc>
        <w:tc>
          <w:tcPr>
            <w:tcW w:w="2992" w:type="dxa"/>
          </w:tcPr>
          <w:p w:rsidR="00714319" w:rsidRPr="00DC30EE" w:rsidRDefault="00714319" w:rsidP="00714319">
            <w:pPr>
              <w:spacing w:before="100" w:beforeAutospacing="1" w:after="100" w:afterAutospacing="1"/>
              <w:rPr>
                <w:sz w:val="24"/>
              </w:rPr>
            </w:pPr>
            <w:r w:rsidRPr="00DC30EE">
              <w:rPr>
                <w:sz w:val="24"/>
              </w:rPr>
              <w:t>Sabiedrības līdzdalības rezultāti</w:t>
            </w:r>
          </w:p>
        </w:tc>
        <w:tc>
          <w:tcPr>
            <w:tcW w:w="6506" w:type="dxa"/>
          </w:tcPr>
          <w:p w:rsidR="00714319" w:rsidRPr="00DC30EE" w:rsidRDefault="00714319" w:rsidP="00714319">
            <w:pPr>
              <w:spacing w:before="100" w:beforeAutospacing="1" w:after="100" w:afterAutospacing="1"/>
              <w:rPr>
                <w:sz w:val="24"/>
              </w:rPr>
            </w:pPr>
            <w:r w:rsidRPr="00DC30EE">
              <w:rPr>
                <w:sz w:val="24"/>
              </w:rPr>
              <w:t>Projekts šo jomu neskar.</w:t>
            </w:r>
          </w:p>
        </w:tc>
      </w:tr>
      <w:tr w:rsidR="00714319" w:rsidRPr="00BE0280" w:rsidTr="00714319">
        <w:trPr>
          <w:trHeight w:val="96"/>
        </w:trPr>
        <w:tc>
          <w:tcPr>
            <w:tcW w:w="567" w:type="dxa"/>
          </w:tcPr>
          <w:p w:rsidR="00714319" w:rsidRPr="00BE0280" w:rsidRDefault="00714319" w:rsidP="00714319">
            <w:pPr>
              <w:pStyle w:val="naiskr"/>
              <w:spacing w:before="0" w:after="0"/>
              <w:ind w:left="57" w:right="57"/>
              <w:jc w:val="center"/>
            </w:pPr>
            <w:r w:rsidRPr="00BE0280">
              <w:t>4.</w:t>
            </w:r>
          </w:p>
        </w:tc>
        <w:tc>
          <w:tcPr>
            <w:tcW w:w="2992" w:type="dxa"/>
          </w:tcPr>
          <w:p w:rsidR="00714319" w:rsidRPr="00DC30EE" w:rsidRDefault="00714319" w:rsidP="00714319">
            <w:pPr>
              <w:spacing w:before="100" w:beforeAutospacing="1" w:after="100" w:afterAutospacing="1"/>
              <w:rPr>
                <w:sz w:val="24"/>
              </w:rPr>
            </w:pPr>
            <w:r w:rsidRPr="00DC30EE">
              <w:rPr>
                <w:sz w:val="24"/>
              </w:rPr>
              <w:t>Saeimas un ekspertu līdzdalība</w:t>
            </w:r>
          </w:p>
        </w:tc>
        <w:tc>
          <w:tcPr>
            <w:tcW w:w="6506" w:type="dxa"/>
          </w:tcPr>
          <w:p w:rsidR="00714319" w:rsidRPr="00DC30EE" w:rsidRDefault="00714319" w:rsidP="00714319">
            <w:pPr>
              <w:spacing w:before="100" w:beforeAutospacing="1" w:after="100" w:afterAutospacing="1"/>
              <w:ind w:right="147"/>
              <w:jc w:val="both"/>
              <w:rPr>
                <w:sz w:val="24"/>
              </w:rPr>
            </w:pPr>
            <w:r w:rsidRPr="00DC30EE">
              <w:rPr>
                <w:sz w:val="24"/>
              </w:rPr>
              <w:t>Projekts šo jomu neskar.</w:t>
            </w:r>
          </w:p>
        </w:tc>
      </w:tr>
      <w:tr w:rsidR="00714319" w:rsidRPr="00BE0280" w:rsidTr="00714319">
        <w:trPr>
          <w:trHeight w:val="96"/>
        </w:trPr>
        <w:tc>
          <w:tcPr>
            <w:tcW w:w="567" w:type="dxa"/>
          </w:tcPr>
          <w:p w:rsidR="00714319" w:rsidRPr="00BE0280" w:rsidRDefault="00714319" w:rsidP="00714319">
            <w:pPr>
              <w:pStyle w:val="naiskr"/>
              <w:spacing w:before="0" w:after="0"/>
              <w:ind w:left="57" w:right="57"/>
              <w:jc w:val="center"/>
            </w:pPr>
            <w:r w:rsidRPr="00BE0280">
              <w:t>5.</w:t>
            </w:r>
          </w:p>
        </w:tc>
        <w:tc>
          <w:tcPr>
            <w:tcW w:w="2992" w:type="dxa"/>
          </w:tcPr>
          <w:p w:rsidR="00714319" w:rsidRPr="00DC30EE" w:rsidRDefault="00714319" w:rsidP="00714319">
            <w:pPr>
              <w:spacing w:before="100" w:beforeAutospacing="1" w:after="100" w:afterAutospacing="1"/>
              <w:rPr>
                <w:sz w:val="24"/>
              </w:rPr>
            </w:pPr>
            <w:r w:rsidRPr="00DC30EE">
              <w:rPr>
                <w:sz w:val="24"/>
              </w:rPr>
              <w:t>Cita informācija</w:t>
            </w:r>
          </w:p>
        </w:tc>
        <w:tc>
          <w:tcPr>
            <w:tcW w:w="6506" w:type="dxa"/>
          </w:tcPr>
          <w:p w:rsidR="00714319" w:rsidRPr="00DC30EE" w:rsidRDefault="00714319" w:rsidP="00714319">
            <w:pPr>
              <w:spacing w:before="100" w:beforeAutospacing="1" w:after="100" w:afterAutospacing="1"/>
              <w:rPr>
                <w:sz w:val="24"/>
              </w:rPr>
            </w:pPr>
            <w:r w:rsidRPr="00DC30EE">
              <w:rPr>
                <w:sz w:val="24"/>
              </w:rPr>
              <w:t>Nav.</w:t>
            </w:r>
          </w:p>
        </w:tc>
      </w:tr>
    </w:tbl>
    <w:p w:rsidR="00167EED" w:rsidRPr="00B71F74" w:rsidRDefault="00167EED" w:rsidP="00167EED">
      <w:pPr>
        <w:rPr>
          <w:sz w:val="20"/>
          <w:szCs w:val="20"/>
        </w:rPr>
      </w:pPr>
    </w:p>
    <w:tbl>
      <w:tblPr>
        <w:tblpPr w:leftFromText="180" w:rightFromText="180" w:vertAnchor="text" w:horzAnchor="margin" w:tblpX="-396" w:tblpY="178"/>
        <w:tblW w:w="552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56"/>
        <w:gridCol w:w="4535"/>
        <w:gridCol w:w="5104"/>
      </w:tblGrid>
      <w:tr w:rsidR="0058626E" w:rsidRPr="00A45AD4" w:rsidTr="0058626E">
        <w:tc>
          <w:tcPr>
            <w:tcW w:w="5000" w:type="pct"/>
            <w:gridSpan w:val="3"/>
            <w:tcBorders>
              <w:top w:val="outset" w:sz="6" w:space="0" w:color="000000"/>
              <w:left w:val="outset" w:sz="6" w:space="0" w:color="000000"/>
              <w:bottom w:val="outset" w:sz="6" w:space="0" w:color="000000"/>
              <w:right w:val="outset" w:sz="6" w:space="0" w:color="000000"/>
            </w:tcBorders>
          </w:tcPr>
          <w:p w:rsidR="0058626E" w:rsidRPr="00A45AD4" w:rsidRDefault="0058626E" w:rsidP="0058626E">
            <w:pPr>
              <w:spacing w:before="100" w:beforeAutospacing="1" w:after="100" w:afterAutospacing="1"/>
              <w:jc w:val="center"/>
              <w:rPr>
                <w:b/>
                <w:bCs/>
                <w:sz w:val="24"/>
              </w:rPr>
            </w:pPr>
            <w:r w:rsidRPr="00A45AD4">
              <w:rPr>
                <w:b/>
                <w:bCs/>
                <w:sz w:val="24"/>
              </w:rPr>
              <w:t>VII. Tiesību akta projekta izpildes nodrošināšana un tās ietekme uz institūcijām</w:t>
            </w:r>
          </w:p>
        </w:tc>
      </w:tr>
      <w:tr w:rsidR="0058626E" w:rsidRPr="00A45AD4" w:rsidTr="0058626E">
        <w:tc>
          <w:tcPr>
            <w:tcW w:w="226" w:type="pct"/>
            <w:tcBorders>
              <w:top w:val="outset" w:sz="6" w:space="0" w:color="000000"/>
              <w:left w:val="outset" w:sz="6" w:space="0" w:color="000000"/>
              <w:bottom w:val="outset" w:sz="6" w:space="0" w:color="000000"/>
              <w:right w:val="outset" w:sz="6" w:space="0" w:color="000000"/>
            </w:tcBorders>
          </w:tcPr>
          <w:p w:rsidR="0058626E" w:rsidRPr="00E5718A" w:rsidRDefault="0058626E" w:rsidP="0058626E">
            <w:pPr>
              <w:spacing w:before="100" w:beforeAutospacing="1" w:after="100" w:afterAutospacing="1"/>
              <w:rPr>
                <w:sz w:val="24"/>
              </w:rPr>
            </w:pPr>
            <w:r w:rsidRPr="00E5718A">
              <w:rPr>
                <w:sz w:val="24"/>
              </w:rPr>
              <w:t>1.</w:t>
            </w:r>
          </w:p>
        </w:tc>
        <w:tc>
          <w:tcPr>
            <w:tcW w:w="2246" w:type="pct"/>
            <w:tcBorders>
              <w:top w:val="outset" w:sz="6" w:space="0" w:color="000000"/>
              <w:left w:val="outset" w:sz="6" w:space="0" w:color="000000"/>
              <w:bottom w:val="outset" w:sz="6" w:space="0" w:color="000000"/>
              <w:right w:val="outset" w:sz="6" w:space="0" w:color="000000"/>
            </w:tcBorders>
          </w:tcPr>
          <w:p w:rsidR="0058626E" w:rsidRPr="00E5718A" w:rsidRDefault="0058626E" w:rsidP="0058626E">
            <w:pPr>
              <w:spacing w:before="100" w:beforeAutospacing="1" w:after="100" w:afterAutospacing="1"/>
              <w:rPr>
                <w:sz w:val="24"/>
              </w:rPr>
            </w:pPr>
            <w:r w:rsidRPr="00E5718A">
              <w:rPr>
                <w:sz w:val="24"/>
              </w:rPr>
              <w:t>Projekta izpildē iesaistītās institūcijas</w:t>
            </w:r>
          </w:p>
        </w:tc>
        <w:tc>
          <w:tcPr>
            <w:tcW w:w="2527" w:type="pct"/>
            <w:tcBorders>
              <w:top w:val="outset" w:sz="6" w:space="0" w:color="000000"/>
              <w:left w:val="outset" w:sz="6" w:space="0" w:color="000000"/>
              <w:bottom w:val="outset" w:sz="6" w:space="0" w:color="000000"/>
              <w:right w:val="outset" w:sz="6" w:space="0" w:color="000000"/>
            </w:tcBorders>
          </w:tcPr>
          <w:p w:rsidR="0058626E" w:rsidRPr="00E5718A" w:rsidRDefault="0058626E" w:rsidP="0058626E">
            <w:pPr>
              <w:spacing w:before="100" w:beforeAutospacing="1" w:after="100" w:afterAutospacing="1"/>
              <w:rPr>
                <w:sz w:val="24"/>
              </w:rPr>
            </w:pPr>
            <w:r>
              <w:rPr>
                <w:sz w:val="24"/>
              </w:rPr>
              <w:t xml:space="preserve">Pilsonības un migrācijas lietu pārvalde </w:t>
            </w:r>
          </w:p>
        </w:tc>
      </w:tr>
      <w:tr w:rsidR="0058626E" w:rsidRPr="00A45AD4" w:rsidTr="0058626E">
        <w:tc>
          <w:tcPr>
            <w:tcW w:w="226" w:type="pct"/>
            <w:tcBorders>
              <w:top w:val="outset" w:sz="6" w:space="0" w:color="000000"/>
              <w:left w:val="outset" w:sz="6" w:space="0" w:color="000000"/>
              <w:bottom w:val="outset" w:sz="6" w:space="0" w:color="000000"/>
              <w:right w:val="outset" w:sz="6" w:space="0" w:color="000000"/>
            </w:tcBorders>
          </w:tcPr>
          <w:p w:rsidR="0058626E" w:rsidRPr="00E5718A" w:rsidRDefault="0058626E" w:rsidP="0058626E">
            <w:pPr>
              <w:spacing w:before="100" w:beforeAutospacing="1" w:after="100" w:afterAutospacing="1"/>
              <w:rPr>
                <w:sz w:val="24"/>
              </w:rPr>
            </w:pPr>
            <w:r w:rsidRPr="00E5718A">
              <w:rPr>
                <w:sz w:val="24"/>
              </w:rPr>
              <w:t>2.</w:t>
            </w:r>
          </w:p>
        </w:tc>
        <w:tc>
          <w:tcPr>
            <w:tcW w:w="2246" w:type="pct"/>
            <w:tcBorders>
              <w:top w:val="outset" w:sz="6" w:space="0" w:color="000000"/>
              <w:left w:val="outset" w:sz="6" w:space="0" w:color="000000"/>
              <w:bottom w:val="outset" w:sz="6" w:space="0" w:color="000000"/>
              <w:right w:val="outset" w:sz="6" w:space="0" w:color="000000"/>
            </w:tcBorders>
          </w:tcPr>
          <w:p w:rsidR="0058626E" w:rsidRPr="00E5718A" w:rsidRDefault="0058626E" w:rsidP="0058626E">
            <w:pPr>
              <w:spacing w:before="100" w:beforeAutospacing="1" w:after="100" w:afterAutospacing="1"/>
              <w:rPr>
                <w:sz w:val="24"/>
              </w:rPr>
            </w:pPr>
            <w:r w:rsidRPr="00E5718A">
              <w:rPr>
                <w:sz w:val="24"/>
              </w:rPr>
              <w:t>Projekta izpildes ietekme uz pārvaldes funkcijām</w:t>
            </w:r>
          </w:p>
        </w:tc>
        <w:tc>
          <w:tcPr>
            <w:tcW w:w="2527" w:type="pct"/>
            <w:tcBorders>
              <w:top w:val="outset" w:sz="6" w:space="0" w:color="000000"/>
              <w:left w:val="outset" w:sz="6" w:space="0" w:color="000000"/>
              <w:bottom w:val="outset" w:sz="6" w:space="0" w:color="000000"/>
              <w:right w:val="outset" w:sz="6" w:space="0" w:color="000000"/>
            </w:tcBorders>
          </w:tcPr>
          <w:p w:rsidR="0058626E" w:rsidRPr="00E5718A" w:rsidRDefault="0058626E" w:rsidP="0058626E">
            <w:pPr>
              <w:spacing w:before="100" w:beforeAutospacing="1" w:after="100" w:afterAutospacing="1"/>
              <w:rPr>
                <w:sz w:val="24"/>
              </w:rPr>
            </w:pPr>
            <w:r w:rsidRPr="00E5718A">
              <w:rPr>
                <w:sz w:val="24"/>
              </w:rPr>
              <w:t>Projekts pārvaldes funkcijas neietekmē.</w:t>
            </w:r>
          </w:p>
        </w:tc>
      </w:tr>
      <w:tr w:rsidR="0058626E" w:rsidRPr="00A45AD4" w:rsidTr="0058626E">
        <w:tc>
          <w:tcPr>
            <w:tcW w:w="226" w:type="pct"/>
            <w:tcBorders>
              <w:top w:val="outset" w:sz="6" w:space="0" w:color="000000"/>
              <w:left w:val="outset" w:sz="6" w:space="0" w:color="000000"/>
              <w:bottom w:val="outset" w:sz="6" w:space="0" w:color="000000"/>
              <w:right w:val="outset" w:sz="6" w:space="0" w:color="000000"/>
            </w:tcBorders>
          </w:tcPr>
          <w:p w:rsidR="0058626E" w:rsidRPr="00E5718A" w:rsidRDefault="0058626E" w:rsidP="0058626E">
            <w:pPr>
              <w:spacing w:before="100" w:beforeAutospacing="1" w:after="100" w:afterAutospacing="1"/>
              <w:rPr>
                <w:sz w:val="24"/>
              </w:rPr>
            </w:pPr>
            <w:r w:rsidRPr="00E5718A">
              <w:rPr>
                <w:sz w:val="24"/>
              </w:rPr>
              <w:t>3.</w:t>
            </w:r>
          </w:p>
        </w:tc>
        <w:tc>
          <w:tcPr>
            <w:tcW w:w="2246" w:type="pct"/>
            <w:tcBorders>
              <w:top w:val="outset" w:sz="6" w:space="0" w:color="000000"/>
              <w:left w:val="outset" w:sz="6" w:space="0" w:color="000000"/>
              <w:bottom w:val="outset" w:sz="6" w:space="0" w:color="000000"/>
              <w:right w:val="outset" w:sz="6" w:space="0" w:color="000000"/>
            </w:tcBorders>
          </w:tcPr>
          <w:p w:rsidR="0058626E" w:rsidRPr="00E5718A" w:rsidRDefault="0058626E" w:rsidP="0058626E">
            <w:pPr>
              <w:spacing w:before="100" w:beforeAutospacing="1" w:after="100" w:afterAutospacing="1"/>
              <w:rPr>
                <w:sz w:val="24"/>
              </w:rPr>
            </w:pPr>
            <w:r w:rsidRPr="00E5718A">
              <w:rPr>
                <w:sz w:val="24"/>
              </w:rPr>
              <w:t>Projekta izpildes ietekme uz pārvaldes institucionālo struktūru.</w:t>
            </w:r>
            <w:r>
              <w:rPr>
                <w:sz w:val="24"/>
              </w:rPr>
              <w:t xml:space="preserve"> </w:t>
            </w:r>
            <w:r w:rsidRPr="00E5718A">
              <w:rPr>
                <w:sz w:val="24"/>
              </w:rPr>
              <w:t>Jaunu institūciju izveide</w:t>
            </w:r>
          </w:p>
        </w:tc>
        <w:tc>
          <w:tcPr>
            <w:tcW w:w="2527" w:type="pct"/>
            <w:tcBorders>
              <w:top w:val="outset" w:sz="6" w:space="0" w:color="000000"/>
              <w:left w:val="outset" w:sz="6" w:space="0" w:color="000000"/>
              <w:bottom w:val="outset" w:sz="6" w:space="0" w:color="000000"/>
              <w:right w:val="outset" w:sz="6" w:space="0" w:color="000000"/>
            </w:tcBorders>
            <w:vAlign w:val="center"/>
          </w:tcPr>
          <w:p w:rsidR="0058626E" w:rsidRPr="00E5718A" w:rsidRDefault="0058626E" w:rsidP="0058626E">
            <w:pPr>
              <w:spacing w:before="100" w:beforeAutospacing="1" w:after="100" w:afterAutospacing="1"/>
              <w:rPr>
                <w:sz w:val="24"/>
              </w:rPr>
            </w:pPr>
            <w:r>
              <w:rPr>
                <w:iCs/>
                <w:sz w:val="24"/>
              </w:rPr>
              <w:t>Jaunas institūcijas netiek izveidotas.</w:t>
            </w:r>
          </w:p>
        </w:tc>
      </w:tr>
      <w:tr w:rsidR="0058626E" w:rsidRPr="00A45AD4" w:rsidTr="0058626E">
        <w:tc>
          <w:tcPr>
            <w:tcW w:w="226" w:type="pct"/>
            <w:tcBorders>
              <w:top w:val="outset" w:sz="6" w:space="0" w:color="000000"/>
              <w:left w:val="outset" w:sz="6" w:space="0" w:color="000000"/>
              <w:bottom w:val="outset" w:sz="6" w:space="0" w:color="000000"/>
              <w:right w:val="outset" w:sz="6" w:space="0" w:color="000000"/>
            </w:tcBorders>
          </w:tcPr>
          <w:p w:rsidR="0058626E" w:rsidRPr="00E5718A" w:rsidRDefault="0058626E" w:rsidP="0058626E">
            <w:pPr>
              <w:spacing w:before="100" w:beforeAutospacing="1" w:after="100" w:afterAutospacing="1"/>
              <w:rPr>
                <w:sz w:val="24"/>
              </w:rPr>
            </w:pPr>
            <w:r w:rsidRPr="00E5718A">
              <w:rPr>
                <w:sz w:val="24"/>
              </w:rPr>
              <w:t>4.</w:t>
            </w:r>
          </w:p>
        </w:tc>
        <w:tc>
          <w:tcPr>
            <w:tcW w:w="2246" w:type="pct"/>
            <w:tcBorders>
              <w:top w:val="outset" w:sz="6" w:space="0" w:color="000000"/>
              <w:left w:val="outset" w:sz="6" w:space="0" w:color="000000"/>
              <w:bottom w:val="outset" w:sz="6" w:space="0" w:color="000000"/>
              <w:right w:val="outset" w:sz="6" w:space="0" w:color="000000"/>
            </w:tcBorders>
          </w:tcPr>
          <w:p w:rsidR="0058626E" w:rsidRPr="00E5718A" w:rsidRDefault="0058626E" w:rsidP="0058626E">
            <w:pPr>
              <w:spacing w:before="100" w:beforeAutospacing="1" w:after="100" w:afterAutospacing="1"/>
              <w:rPr>
                <w:sz w:val="24"/>
              </w:rPr>
            </w:pPr>
            <w:r w:rsidRPr="00E5718A">
              <w:rPr>
                <w:sz w:val="24"/>
              </w:rPr>
              <w:t>Projekta izpildes ietekme uz pārvaldes institucionālo struktūru.</w:t>
            </w:r>
            <w:r>
              <w:rPr>
                <w:sz w:val="24"/>
              </w:rPr>
              <w:t xml:space="preserve"> </w:t>
            </w:r>
            <w:r w:rsidRPr="00E5718A">
              <w:rPr>
                <w:sz w:val="24"/>
              </w:rPr>
              <w:t>Esošu institūciju likvidācija</w:t>
            </w:r>
          </w:p>
        </w:tc>
        <w:tc>
          <w:tcPr>
            <w:tcW w:w="2527" w:type="pct"/>
            <w:tcBorders>
              <w:top w:val="outset" w:sz="6" w:space="0" w:color="000000"/>
              <w:left w:val="outset" w:sz="6" w:space="0" w:color="000000"/>
              <w:bottom w:val="outset" w:sz="6" w:space="0" w:color="000000"/>
              <w:right w:val="outset" w:sz="6" w:space="0" w:color="000000"/>
            </w:tcBorders>
            <w:vAlign w:val="center"/>
          </w:tcPr>
          <w:p w:rsidR="0058626E" w:rsidRPr="00E5718A" w:rsidRDefault="0058626E" w:rsidP="0058626E">
            <w:pPr>
              <w:spacing w:before="100" w:beforeAutospacing="1" w:after="100" w:afterAutospacing="1"/>
              <w:rPr>
                <w:sz w:val="24"/>
              </w:rPr>
            </w:pPr>
            <w:r>
              <w:rPr>
                <w:sz w:val="24"/>
              </w:rPr>
              <w:t>Esošās institūcijas netiek likvidētas.</w:t>
            </w:r>
          </w:p>
        </w:tc>
      </w:tr>
      <w:tr w:rsidR="0058626E" w:rsidRPr="00A45AD4" w:rsidTr="0058626E">
        <w:tc>
          <w:tcPr>
            <w:tcW w:w="226" w:type="pct"/>
            <w:tcBorders>
              <w:top w:val="outset" w:sz="6" w:space="0" w:color="000000"/>
              <w:left w:val="outset" w:sz="6" w:space="0" w:color="000000"/>
              <w:bottom w:val="outset" w:sz="6" w:space="0" w:color="000000"/>
              <w:right w:val="outset" w:sz="6" w:space="0" w:color="000000"/>
            </w:tcBorders>
          </w:tcPr>
          <w:p w:rsidR="0058626E" w:rsidRPr="00E5718A" w:rsidRDefault="0058626E" w:rsidP="0058626E">
            <w:pPr>
              <w:spacing w:before="100" w:beforeAutospacing="1" w:after="100" w:afterAutospacing="1"/>
              <w:rPr>
                <w:sz w:val="24"/>
              </w:rPr>
            </w:pPr>
            <w:r w:rsidRPr="00E5718A">
              <w:rPr>
                <w:sz w:val="24"/>
              </w:rPr>
              <w:t>5.</w:t>
            </w:r>
          </w:p>
        </w:tc>
        <w:tc>
          <w:tcPr>
            <w:tcW w:w="2246" w:type="pct"/>
            <w:tcBorders>
              <w:top w:val="outset" w:sz="6" w:space="0" w:color="000000"/>
              <w:left w:val="outset" w:sz="6" w:space="0" w:color="000000"/>
              <w:bottom w:val="outset" w:sz="6" w:space="0" w:color="000000"/>
              <w:right w:val="outset" w:sz="6" w:space="0" w:color="000000"/>
            </w:tcBorders>
          </w:tcPr>
          <w:p w:rsidR="0058626E" w:rsidRPr="00E5718A" w:rsidRDefault="0058626E" w:rsidP="0058626E">
            <w:pPr>
              <w:spacing w:before="100" w:beforeAutospacing="1" w:after="100" w:afterAutospacing="1"/>
              <w:rPr>
                <w:sz w:val="24"/>
              </w:rPr>
            </w:pPr>
            <w:r w:rsidRPr="00E5718A">
              <w:rPr>
                <w:sz w:val="24"/>
              </w:rPr>
              <w:t>Projekta izpildes ietekme uz pārvaldes institucionālo struktūru.</w:t>
            </w:r>
            <w:r>
              <w:rPr>
                <w:sz w:val="24"/>
              </w:rPr>
              <w:t xml:space="preserve"> </w:t>
            </w:r>
            <w:r w:rsidRPr="00E5718A">
              <w:rPr>
                <w:sz w:val="24"/>
              </w:rPr>
              <w:t>Esošu institūciju reorganizācija</w:t>
            </w:r>
          </w:p>
        </w:tc>
        <w:tc>
          <w:tcPr>
            <w:tcW w:w="2527" w:type="pct"/>
            <w:tcBorders>
              <w:top w:val="outset" w:sz="6" w:space="0" w:color="000000"/>
              <w:left w:val="outset" w:sz="6" w:space="0" w:color="000000"/>
              <w:bottom w:val="outset" w:sz="6" w:space="0" w:color="000000"/>
              <w:right w:val="outset" w:sz="6" w:space="0" w:color="000000"/>
            </w:tcBorders>
            <w:vAlign w:val="center"/>
          </w:tcPr>
          <w:p w:rsidR="0058626E" w:rsidRPr="00E5718A" w:rsidRDefault="0058626E" w:rsidP="0058626E">
            <w:pPr>
              <w:spacing w:before="100" w:beforeAutospacing="1" w:after="100" w:afterAutospacing="1"/>
              <w:rPr>
                <w:sz w:val="24"/>
              </w:rPr>
            </w:pPr>
            <w:r>
              <w:rPr>
                <w:iCs/>
                <w:sz w:val="24"/>
              </w:rPr>
              <w:t>Esošās institūcijas netiek reorganizētas.</w:t>
            </w:r>
          </w:p>
        </w:tc>
      </w:tr>
      <w:tr w:rsidR="0058626E" w:rsidRPr="00A45AD4" w:rsidTr="0058626E">
        <w:tc>
          <w:tcPr>
            <w:tcW w:w="226" w:type="pct"/>
            <w:tcBorders>
              <w:top w:val="outset" w:sz="6" w:space="0" w:color="000000"/>
              <w:left w:val="outset" w:sz="6" w:space="0" w:color="000000"/>
              <w:bottom w:val="outset" w:sz="6" w:space="0" w:color="000000"/>
              <w:right w:val="outset" w:sz="6" w:space="0" w:color="000000"/>
            </w:tcBorders>
          </w:tcPr>
          <w:p w:rsidR="0058626E" w:rsidRPr="00E5718A" w:rsidRDefault="0058626E" w:rsidP="0058626E">
            <w:pPr>
              <w:spacing w:before="100" w:beforeAutospacing="1" w:after="100" w:afterAutospacing="1"/>
              <w:rPr>
                <w:sz w:val="24"/>
              </w:rPr>
            </w:pPr>
            <w:r w:rsidRPr="00E5718A">
              <w:rPr>
                <w:sz w:val="24"/>
              </w:rPr>
              <w:t>6.</w:t>
            </w:r>
          </w:p>
        </w:tc>
        <w:tc>
          <w:tcPr>
            <w:tcW w:w="2246" w:type="pct"/>
            <w:tcBorders>
              <w:top w:val="outset" w:sz="6" w:space="0" w:color="000000"/>
              <w:left w:val="outset" w:sz="6" w:space="0" w:color="000000"/>
              <w:bottom w:val="outset" w:sz="6" w:space="0" w:color="000000"/>
              <w:right w:val="outset" w:sz="6" w:space="0" w:color="000000"/>
            </w:tcBorders>
          </w:tcPr>
          <w:p w:rsidR="0058626E" w:rsidRPr="00E5718A" w:rsidRDefault="0058626E" w:rsidP="0058626E">
            <w:pPr>
              <w:spacing w:before="100" w:beforeAutospacing="1" w:after="100" w:afterAutospacing="1"/>
              <w:rPr>
                <w:sz w:val="24"/>
              </w:rPr>
            </w:pPr>
            <w:r w:rsidRPr="00E5718A">
              <w:rPr>
                <w:sz w:val="24"/>
              </w:rPr>
              <w:t>Cita informācija</w:t>
            </w:r>
          </w:p>
        </w:tc>
        <w:tc>
          <w:tcPr>
            <w:tcW w:w="2527" w:type="pct"/>
            <w:tcBorders>
              <w:top w:val="outset" w:sz="6" w:space="0" w:color="000000"/>
              <w:left w:val="outset" w:sz="6" w:space="0" w:color="000000"/>
              <w:bottom w:val="outset" w:sz="6" w:space="0" w:color="000000"/>
              <w:right w:val="outset" w:sz="6" w:space="0" w:color="000000"/>
            </w:tcBorders>
          </w:tcPr>
          <w:p w:rsidR="0058626E" w:rsidRPr="00E5718A" w:rsidRDefault="0058626E" w:rsidP="0058626E">
            <w:pPr>
              <w:spacing w:before="100" w:beforeAutospacing="1" w:after="100" w:afterAutospacing="1"/>
              <w:rPr>
                <w:sz w:val="24"/>
              </w:rPr>
            </w:pPr>
            <w:r w:rsidRPr="00E5718A">
              <w:rPr>
                <w:sz w:val="24"/>
              </w:rPr>
              <w:t>Nav.</w:t>
            </w:r>
          </w:p>
        </w:tc>
      </w:tr>
    </w:tbl>
    <w:p w:rsidR="00167EED" w:rsidRPr="005170C9" w:rsidRDefault="00167EED" w:rsidP="00167EED">
      <w:pPr>
        <w:pStyle w:val="naisf"/>
        <w:spacing w:before="120" w:after="120"/>
      </w:pPr>
      <w:r w:rsidRPr="005170C9">
        <w:lastRenderedPageBreak/>
        <w:t>Anotācijas</w:t>
      </w:r>
      <w:r>
        <w:t xml:space="preserve"> III, IV un</w:t>
      </w:r>
      <w:r w:rsidRPr="005170C9">
        <w:t xml:space="preserve"> </w:t>
      </w:r>
      <w:r>
        <w:t>V</w:t>
      </w:r>
      <w:r w:rsidRPr="005170C9">
        <w:t xml:space="preserve"> sadaļa - </w:t>
      </w:r>
      <w:r>
        <w:t>projekts šo jomu neskar</w:t>
      </w:r>
      <w:r w:rsidRPr="005170C9">
        <w:t>.</w:t>
      </w:r>
    </w:p>
    <w:p w:rsidR="00FC2C67" w:rsidRDefault="00FC2C67" w:rsidP="00167EED">
      <w:pPr>
        <w:tabs>
          <w:tab w:val="left" w:pos="6521"/>
        </w:tabs>
        <w:jc w:val="both"/>
        <w:rPr>
          <w:color w:val="000000"/>
          <w:szCs w:val="28"/>
        </w:rPr>
      </w:pPr>
    </w:p>
    <w:p w:rsidR="00FC2C67" w:rsidRDefault="00FC2C67" w:rsidP="00167EED">
      <w:pPr>
        <w:tabs>
          <w:tab w:val="left" w:pos="6521"/>
        </w:tabs>
        <w:jc w:val="both"/>
        <w:rPr>
          <w:color w:val="000000"/>
          <w:szCs w:val="28"/>
        </w:rPr>
      </w:pPr>
    </w:p>
    <w:p w:rsidR="00167EED" w:rsidRPr="00A96473" w:rsidRDefault="00167EED" w:rsidP="00167EED">
      <w:pPr>
        <w:tabs>
          <w:tab w:val="left" w:pos="6521"/>
        </w:tabs>
        <w:jc w:val="both"/>
        <w:rPr>
          <w:color w:val="000000"/>
          <w:szCs w:val="28"/>
        </w:rPr>
      </w:pPr>
      <w:r w:rsidRPr="00A96473">
        <w:rPr>
          <w:color w:val="000000"/>
          <w:szCs w:val="28"/>
        </w:rPr>
        <w:t>Iekšlietu ministr</w:t>
      </w:r>
      <w:r>
        <w:rPr>
          <w:color w:val="000000"/>
          <w:szCs w:val="28"/>
        </w:rPr>
        <w:t>s</w:t>
      </w:r>
      <w:r w:rsidRPr="00A96473">
        <w:rPr>
          <w:color w:val="000000"/>
          <w:szCs w:val="28"/>
        </w:rPr>
        <w:tab/>
      </w:r>
      <w:r>
        <w:rPr>
          <w:color w:val="000000"/>
          <w:szCs w:val="28"/>
        </w:rPr>
        <w:t>R.Kozlovskis</w:t>
      </w:r>
    </w:p>
    <w:p w:rsidR="007B687C" w:rsidRDefault="007B687C" w:rsidP="00167EED">
      <w:pPr>
        <w:pStyle w:val="naisf"/>
        <w:ind w:firstLine="0"/>
        <w:rPr>
          <w:sz w:val="28"/>
          <w:szCs w:val="28"/>
        </w:rPr>
      </w:pPr>
    </w:p>
    <w:p w:rsidR="00FC2C67" w:rsidRDefault="00FC2C67" w:rsidP="00167EED">
      <w:pPr>
        <w:pStyle w:val="naisf"/>
        <w:ind w:firstLine="0"/>
        <w:rPr>
          <w:sz w:val="28"/>
          <w:szCs w:val="28"/>
        </w:rPr>
      </w:pPr>
    </w:p>
    <w:p w:rsidR="00167EED" w:rsidRDefault="00167EED" w:rsidP="00167EED">
      <w:pPr>
        <w:pStyle w:val="naisf"/>
        <w:ind w:firstLine="0"/>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t>I. Pētersone - Godmane</w:t>
      </w:r>
    </w:p>
    <w:p w:rsidR="00EC71FD" w:rsidRDefault="00EC71FD" w:rsidP="00815ADA">
      <w:pPr>
        <w:pStyle w:val="HTMLPreformatted"/>
        <w:jc w:val="both"/>
        <w:rPr>
          <w:rFonts w:ascii="Times New Roman" w:hAnsi="Times New Roman" w:cs="Times New Roman"/>
          <w:lang w:val="de-DE" w:eastAsia="en-US"/>
        </w:rPr>
      </w:pPr>
    </w:p>
    <w:p w:rsidR="00EC71FD" w:rsidRDefault="00EC71FD" w:rsidP="00815ADA">
      <w:pPr>
        <w:pStyle w:val="HTMLPreformatted"/>
        <w:jc w:val="both"/>
        <w:rPr>
          <w:rFonts w:ascii="Times New Roman" w:hAnsi="Times New Roman" w:cs="Times New Roman"/>
          <w:lang w:val="de-DE" w:eastAsia="en-US"/>
        </w:rPr>
      </w:pPr>
    </w:p>
    <w:p w:rsidR="00EC71FD" w:rsidRDefault="00EC71FD" w:rsidP="00815ADA">
      <w:pPr>
        <w:pStyle w:val="HTMLPreformatted"/>
        <w:jc w:val="both"/>
        <w:rPr>
          <w:rFonts w:ascii="Times New Roman" w:hAnsi="Times New Roman" w:cs="Times New Roman"/>
          <w:lang w:val="de-DE" w:eastAsia="en-US"/>
        </w:rPr>
      </w:pPr>
    </w:p>
    <w:p w:rsidR="00EC71FD" w:rsidRDefault="00EC71FD" w:rsidP="00815ADA">
      <w:pPr>
        <w:pStyle w:val="HTMLPreformatted"/>
        <w:jc w:val="both"/>
        <w:rPr>
          <w:rFonts w:ascii="Times New Roman" w:hAnsi="Times New Roman" w:cs="Times New Roman"/>
          <w:lang w:val="de-DE" w:eastAsia="en-US"/>
        </w:rPr>
      </w:pPr>
    </w:p>
    <w:p w:rsidR="00EC71FD" w:rsidRDefault="00EC71FD" w:rsidP="00815ADA">
      <w:pPr>
        <w:pStyle w:val="HTMLPreformatted"/>
        <w:jc w:val="both"/>
        <w:rPr>
          <w:rFonts w:ascii="Times New Roman" w:hAnsi="Times New Roman" w:cs="Times New Roman"/>
          <w:lang w:val="de-DE" w:eastAsia="en-US"/>
        </w:rPr>
      </w:pPr>
    </w:p>
    <w:p w:rsidR="00EC71FD" w:rsidRDefault="00EC71FD" w:rsidP="00815ADA">
      <w:pPr>
        <w:pStyle w:val="HTMLPreformatted"/>
        <w:jc w:val="both"/>
        <w:rPr>
          <w:rFonts w:ascii="Times New Roman" w:hAnsi="Times New Roman" w:cs="Times New Roman"/>
          <w:lang w:val="de-DE" w:eastAsia="en-US"/>
        </w:rPr>
      </w:pPr>
    </w:p>
    <w:p w:rsidR="00EC71FD" w:rsidRDefault="00EC71FD" w:rsidP="00815ADA">
      <w:pPr>
        <w:pStyle w:val="HTMLPreformatted"/>
        <w:jc w:val="both"/>
        <w:rPr>
          <w:rFonts w:ascii="Times New Roman" w:hAnsi="Times New Roman" w:cs="Times New Roman"/>
          <w:lang w:val="de-DE" w:eastAsia="en-US"/>
        </w:rPr>
      </w:pPr>
    </w:p>
    <w:p w:rsidR="00EC71FD" w:rsidRDefault="00EC71FD" w:rsidP="00815ADA">
      <w:pPr>
        <w:pStyle w:val="HTMLPreformatted"/>
        <w:jc w:val="both"/>
        <w:rPr>
          <w:rFonts w:ascii="Times New Roman" w:hAnsi="Times New Roman" w:cs="Times New Roman"/>
          <w:lang w:val="de-DE" w:eastAsia="en-US"/>
        </w:rPr>
      </w:pPr>
    </w:p>
    <w:p w:rsidR="00815ADA" w:rsidRPr="00586218" w:rsidRDefault="00FF7549" w:rsidP="00815ADA">
      <w:pPr>
        <w:pStyle w:val="HTMLPreformatted"/>
        <w:jc w:val="both"/>
        <w:rPr>
          <w:rFonts w:ascii="Times New Roman" w:hAnsi="Times New Roman" w:cs="Times New Roman"/>
          <w:lang w:eastAsia="en-US"/>
        </w:rPr>
      </w:pPr>
      <w:r>
        <w:rPr>
          <w:rFonts w:ascii="Times New Roman" w:hAnsi="Times New Roman" w:cs="Times New Roman"/>
          <w:lang w:val="de-DE" w:eastAsia="en-US"/>
        </w:rPr>
        <w:t>16.01.2014</w:t>
      </w:r>
      <w:r w:rsidR="00815ADA" w:rsidRPr="00586218">
        <w:rPr>
          <w:rFonts w:ascii="Times New Roman" w:hAnsi="Times New Roman" w:cs="Times New Roman"/>
          <w:lang w:val="de-DE" w:eastAsia="en-US"/>
        </w:rPr>
        <w:t xml:space="preserve">. </w:t>
      </w:r>
      <w:r>
        <w:rPr>
          <w:rFonts w:ascii="Times New Roman" w:hAnsi="Times New Roman" w:cs="Times New Roman"/>
          <w:lang w:val="de-DE" w:eastAsia="en-US"/>
        </w:rPr>
        <w:t>09:45</w:t>
      </w:r>
    </w:p>
    <w:p w:rsidR="00815ADA" w:rsidRDefault="003766EC" w:rsidP="00815ADA">
      <w:pPr>
        <w:pStyle w:val="HTMLPreformatted"/>
        <w:jc w:val="both"/>
        <w:rPr>
          <w:rFonts w:ascii="Times New Roman" w:hAnsi="Times New Roman" w:cs="Times New Roman"/>
          <w:lang w:val="de-DE" w:eastAsia="en-US"/>
        </w:rPr>
      </w:pPr>
      <w:r>
        <w:rPr>
          <w:rFonts w:ascii="Times New Roman" w:hAnsi="Times New Roman" w:cs="Times New Roman"/>
          <w:lang w:val="de-DE" w:eastAsia="en-US"/>
        </w:rPr>
        <w:t>1 0</w:t>
      </w:r>
      <w:r w:rsidR="0033451C">
        <w:rPr>
          <w:rFonts w:ascii="Times New Roman" w:hAnsi="Times New Roman" w:cs="Times New Roman"/>
          <w:lang w:val="de-DE" w:eastAsia="en-US"/>
        </w:rPr>
        <w:t>62</w:t>
      </w:r>
    </w:p>
    <w:p w:rsidR="00815ADA" w:rsidRDefault="00925557" w:rsidP="00815ADA">
      <w:pPr>
        <w:pStyle w:val="HTMLPreformatted"/>
        <w:jc w:val="both"/>
        <w:rPr>
          <w:rFonts w:ascii="Times New Roman" w:hAnsi="Times New Roman" w:cs="Times New Roman"/>
          <w:lang w:val="de-DE" w:eastAsia="en-US"/>
        </w:rPr>
      </w:pPr>
      <w:r>
        <w:rPr>
          <w:rFonts w:ascii="Times New Roman" w:hAnsi="Times New Roman" w:cs="Times New Roman"/>
          <w:lang w:val="de-DE" w:eastAsia="en-US"/>
        </w:rPr>
        <w:t>Citskovskis</w:t>
      </w:r>
      <w:r w:rsidR="00815ADA">
        <w:rPr>
          <w:rFonts w:ascii="Times New Roman" w:hAnsi="Times New Roman" w:cs="Times New Roman"/>
          <w:lang w:val="de-DE" w:eastAsia="en-US"/>
        </w:rPr>
        <w:t>, 672</w:t>
      </w:r>
      <w:r>
        <w:rPr>
          <w:rFonts w:ascii="Times New Roman" w:hAnsi="Times New Roman" w:cs="Times New Roman"/>
          <w:lang w:val="de-DE" w:eastAsia="en-US"/>
        </w:rPr>
        <w:t>19583</w:t>
      </w:r>
    </w:p>
    <w:p w:rsidR="00167EED" w:rsidRPr="00815ADA" w:rsidRDefault="00925557" w:rsidP="00815ADA">
      <w:pPr>
        <w:pStyle w:val="HTMLPreformatted"/>
        <w:jc w:val="both"/>
        <w:rPr>
          <w:rFonts w:ascii="Times New Roman" w:hAnsi="Times New Roman" w:cs="Times New Roman"/>
          <w:lang w:val="de-DE" w:eastAsia="en-US"/>
        </w:rPr>
      </w:pPr>
      <w:r>
        <w:rPr>
          <w:rFonts w:ascii="Times New Roman" w:hAnsi="Times New Roman" w:cs="Times New Roman"/>
          <w:lang w:val="de-DE" w:eastAsia="en-US"/>
        </w:rPr>
        <w:t>janis.citskovskis</w:t>
      </w:r>
      <w:r w:rsidR="00815ADA">
        <w:rPr>
          <w:rFonts w:ascii="Times New Roman" w:hAnsi="Times New Roman" w:cs="Times New Roman"/>
          <w:lang w:val="de-DE" w:eastAsia="en-US"/>
        </w:rPr>
        <w:t>@pmlp.gov.lv</w:t>
      </w:r>
    </w:p>
    <w:sectPr w:rsidR="00167EED" w:rsidRPr="00815ADA" w:rsidSect="003855B9">
      <w:headerReference w:type="even" r:id="rId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A7EA3" w15:done="0"/>
  <w15:commentEx w15:paraId="6B292567" w15:done="0"/>
  <w15:commentEx w15:paraId="248CD9B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89C" w:rsidRDefault="00DC289C" w:rsidP="00B64E19">
      <w:r>
        <w:separator/>
      </w:r>
    </w:p>
  </w:endnote>
  <w:endnote w:type="continuationSeparator" w:id="0">
    <w:p w:rsidR="00DC289C" w:rsidRDefault="00DC289C" w:rsidP="00B64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9C" w:rsidRPr="00395C81" w:rsidRDefault="00DC289C" w:rsidP="00395C81">
    <w:pPr>
      <w:jc w:val="both"/>
      <w:rPr>
        <w:sz w:val="20"/>
        <w:szCs w:val="20"/>
      </w:rPr>
    </w:pPr>
    <w:r>
      <w:rPr>
        <w:sz w:val="20"/>
        <w:szCs w:val="20"/>
      </w:rPr>
      <w:t>IEMAnot_</w:t>
    </w:r>
    <w:r w:rsidR="00FF7549">
      <w:rPr>
        <w:sz w:val="20"/>
        <w:szCs w:val="20"/>
      </w:rPr>
      <w:t>160114</w:t>
    </w:r>
    <w:r>
      <w:rPr>
        <w:sz w:val="20"/>
        <w:szCs w:val="20"/>
      </w:rPr>
      <w:t>_PAD_nodevas</w:t>
    </w:r>
    <w:r w:rsidRPr="00D06967">
      <w:rPr>
        <w:sz w:val="20"/>
        <w:szCs w:val="20"/>
      </w:rPr>
      <w:t xml:space="preserve">; </w:t>
    </w:r>
    <w:r w:rsidRPr="00395C81">
      <w:rPr>
        <w:sz w:val="20"/>
        <w:szCs w:val="20"/>
      </w:rPr>
      <w:t>Ministru kabineta noteikumu projekta „Grozījums Ministru kabineta 2012.gada 21.februāra noteikumos Nr.133 „Noteikumi par valsts nodevu par personu apliecinošu dokumentu izsniegšanu</w:t>
    </w:r>
    <w:r w:rsidRPr="00395C81">
      <w:rPr>
        <w:bCs/>
        <w:sz w:val="20"/>
        <w:szCs w:val="20"/>
      </w:rPr>
      <w:t>”</w:t>
    </w:r>
    <w:r w:rsidRPr="00395C81">
      <w:rPr>
        <w:sz w:val="20"/>
        <w:szCs w:val="20"/>
      </w:rPr>
      <w:t xml:space="preserve">” sākotnējās ietekmes novērtējuma </w:t>
    </w:r>
    <w:smartTag w:uri="schemas-tilde-lv/tildestengine" w:element="veidnes">
      <w:smartTagPr>
        <w:attr w:name="id" w:val="-1"/>
        <w:attr w:name="baseform" w:val="ziņojums"/>
        <w:attr w:name="text" w:val="ziņojums"/>
      </w:smartTagPr>
      <w:r w:rsidRPr="00395C81">
        <w:rPr>
          <w:sz w:val="20"/>
          <w:szCs w:val="20"/>
        </w:rPr>
        <w:t>ziņojums</w:t>
      </w:r>
    </w:smartTag>
    <w:r w:rsidRPr="00395C81">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9C" w:rsidRPr="00395C81" w:rsidRDefault="00DC289C" w:rsidP="003B066C">
    <w:pPr>
      <w:jc w:val="both"/>
      <w:rPr>
        <w:sz w:val="20"/>
        <w:szCs w:val="20"/>
      </w:rPr>
    </w:pPr>
    <w:r>
      <w:rPr>
        <w:sz w:val="20"/>
        <w:szCs w:val="20"/>
      </w:rPr>
      <w:t>IEMAnot_</w:t>
    </w:r>
    <w:r w:rsidR="00FF7549">
      <w:rPr>
        <w:sz w:val="20"/>
        <w:szCs w:val="20"/>
      </w:rPr>
      <w:t>160114</w:t>
    </w:r>
    <w:r>
      <w:rPr>
        <w:sz w:val="20"/>
        <w:szCs w:val="20"/>
      </w:rPr>
      <w:t>_PAD_nodevas</w:t>
    </w:r>
    <w:r w:rsidRPr="00D06967">
      <w:rPr>
        <w:sz w:val="20"/>
        <w:szCs w:val="20"/>
      </w:rPr>
      <w:t xml:space="preserve">; </w:t>
    </w:r>
    <w:r w:rsidRPr="00395C81">
      <w:rPr>
        <w:sz w:val="20"/>
        <w:szCs w:val="20"/>
      </w:rPr>
      <w:t>Ministru kabineta noteikumu projekta „Grozījums Ministru kabineta 2012.gada 21.februāra noteikumos Nr.133 „Noteikumi par valsts nodevu par personu apliecinošu dokumentu izsniegšanu</w:t>
    </w:r>
    <w:r w:rsidRPr="00395C81">
      <w:rPr>
        <w:bCs/>
        <w:sz w:val="20"/>
        <w:szCs w:val="20"/>
      </w:rPr>
      <w:t>”</w:t>
    </w:r>
    <w:r w:rsidRPr="00395C81">
      <w:rPr>
        <w:sz w:val="20"/>
        <w:szCs w:val="20"/>
      </w:rPr>
      <w:t xml:space="preserve">” sākotnējās ietekmes novērtējuma </w:t>
    </w:r>
    <w:smartTag w:uri="schemas-tilde-lv/tildestengine" w:element="veidnes">
      <w:smartTagPr>
        <w:attr w:name="id" w:val="-1"/>
        <w:attr w:name="baseform" w:val="ziņojums"/>
        <w:attr w:name="text" w:val="ziņojums"/>
      </w:smartTagPr>
      <w:r w:rsidRPr="00395C81">
        <w:rPr>
          <w:sz w:val="20"/>
          <w:szCs w:val="20"/>
        </w:rPr>
        <w:t>ziņojums</w:t>
      </w:r>
    </w:smartTag>
    <w:r w:rsidRPr="00395C81">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89C" w:rsidRDefault="00DC289C" w:rsidP="00B64E19">
      <w:r>
        <w:separator/>
      </w:r>
    </w:p>
  </w:footnote>
  <w:footnote w:type="continuationSeparator" w:id="0">
    <w:p w:rsidR="00DC289C" w:rsidRDefault="00DC289C" w:rsidP="00B64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9C" w:rsidRDefault="00E65862" w:rsidP="003B066C">
    <w:pPr>
      <w:pStyle w:val="Header"/>
      <w:framePr w:wrap="around" w:vAnchor="text" w:hAnchor="margin" w:xAlign="center" w:y="1"/>
      <w:rPr>
        <w:rStyle w:val="PageNumber"/>
      </w:rPr>
    </w:pPr>
    <w:r>
      <w:rPr>
        <w:rStyle w:val="PageNumber"/>
      </w:rPr>
      <w:fldChar w:fldCharType="begin"/>
    </w:r>
    <w:r w:rsidR="00DC289C">
      <w:rPr>
        <w:rStyle w:val="PageNumber"/>
      </w:rPr>
      <w:instrText xml:space="preserve">PAGE  </w:instrText>
    </w:r>
    <w:r>
      <w:rPr>
        <w:rStyle w:val="PageNumber"/>
      </w:rPr>
      <w:fldChar w:fldCharType="end"/>
    </w:r>
  </w:p>
  <w:p w:rsidR="00DC289C" w:rsidRDefault="00DC28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9C" w:rsidRDefault="00E65862" w:rsidP="003B066C">
    <w:pPr>
      <w:pStyle w:val="Header"/>
      <w:framePr w:wrap="around" w:vAnchor="text" w:hAnchor="margin" w:xAlign="center" w:y="1"/>
      <w:rPr>
        <w:rStyle w:val="PageNumber"/>
      </w:rPr>
    </w:pPr>
    <w:r>
      <w:rPr>
        <w:rStyle w:val="PageNumber"/>
      </w:rPr>
      <w:fldChar w:fldCharType="begin"/>
    </w:r>
    <w:r w:rsidR="00DC289C">
      <w:rPr>
        <w:rStyle w:val="PageNumber"/>
      </w:rPr>
      <w:instrText xml:space="preserve">PAGE  </w:instrText>
    </w:r>
    <w:r>
      <w:rPr>
        <w:rStyle w:val="PageNumber"/>
      </w:rPr>
      <w:fldChar w:fldCharType="separate"/>
    </w:r>
    <w:r w:rsidR="00FF7549">
      <w:rPr>
        <w:rStyle w:val="PageNumber"/>
        <w:noProof/>
      </w:rPr>
      <w:t>4</w:t>
    </w:r>
    <w:r>
      <w:rPr>
        <w:rStyle w:val="PageNumber"/>
      </w:rPr>
      <w:fldChar w:fldCharType="end"/>
    </w:r>
  </w:p>
  <w:p w:rsidR="00DC289C" w:rsidRDefault="00DC289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uss Treiguts">
    <w15:presenceInfo w15:providerId="AD" w15:userId="S-1-5-21-415379670-1977813626-1501529867-17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mirrorMargin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167EED"/>
    <w:rsid w:val="0003429F"/>
    <w:rsid w:val="00050CE8"/>
    <w:rsid w:val="000A14D3"/>
    <w:rsid w:val="000C1FA7"/>
    <w:rsid w:val="00102C19"/>
    <w:rsid w:val="00120720"/>
    <w:rsid w:val="00130AD1"/>
    <w:rsid w:val="00167EED"/>
    <w:rsid w:val="002246B5"/>
    <w:rsid w:val="00292805"/>
    <w:rsid w:val="002A4204"/>
    <w:rsid w:val="003138CC"/>
    <w:rsid w:val="0033451C"/>
    <w:rsid w:val="003766EC"/>
    <w:rsid w:val="003855B9"/>
    <w:rsid w:val="00395C81"/>
    <w:rsid w:val="003B066C"/>
    <w:rsid w:val="003B2D12"/>
    <w:rsid w:val="003F1D6B"/>
    <w:rsid w:val="00480397"/>
    <w:rsid w:val="00496B1D"/>
    <w:rsid w:val="004B6716"/>
    <w:rsid w:val="00560DB4"/>
    <w:rsid w:val="0058626E"/>
    <w:rsid w:val="005A3D29"/>
    <w:rsid w:val="007067E3"/>
    <w:rsid w:val="00714319"/>
    <w:rsid w:val="0078727F"/>
    <w:rsid w:val="007B687C"/>
    <w:rsid w:val="007D2374"/>
    <w:rsid w:val="007D59FD"/>
    <w:rsid w:val="007E596E"/>
    <w:rsid w:val="00810880"/>
    <w:rsid w:val="00815ADA"/>
    <w:rsid w:val="008850B7"/>
    <w:rsid w:val="008A6301"/>
    <w:rsid w:val="008E08B4"/>
    <w:rsid w:val="008F3036"/>
    <w:rsid w:val="00912FFE"/>
    <w:rsid w:val="00925557"/>
    <w:rsid w:val="009C0F4D"/>
    <w:rsid w:val="009D0223"/>
    <w:rsid w:val="009E170B"/>
    <w:rsid w:val="00AD3477"/>
    <w:rsid w:val="00AD7608"/>
    <w:rsid w:val="00B05140"/>
    <w:rsid w:val="00B62AF8"/>
    <w:rsid w:val="00B64E19"/>
    <w:rsid w:val="00B71F74"/>
    <w:rsid w:val="00BD30A9"/>
    <w:rsid w:val="00BF3C8E"/>
    <w:rsid w:val="00C131A9"/>
    <w:rsid w:val="00C26754"/>
    <w:rsid w:val="00C440E7"/>
    <w:rsid w:val="00C4429F"/>
    <w:rsid w:val="00C5445D"/>
    <w:rsid w:val="00C91B93"/>
    <w:rsid w:val="00CF3CF1"/>
    <w:rsid w:val="00D13CB5"/>
    <w:rsid w:val="00D46C52"/>
    <w:rsid w:val="00D600C9"/>
    <w:rsid w:val="00DC289C"/>
    <w:rsid w:val="00E36225"/>
    <w:rsid w:val="00E41F4F"/>
    <w:rsid w:val="00E42294"/>
    <w:rsid w:val="00E64044"/>
    <w:rsid w:val="00E65862"/>
    <w:rsid w:val="00E669BD"/>
    <w:rsid w:val="00EC714E"/>
    <w:rsid w:val="00EC71FD"/>
    <w:rsid w:val="00F30950"/>
    <w:rsid w:val="00F44C2C"/>
    <w:rsid w:val="00F62F31"/>
    <w:rsid w:val="00F96515"/>
    <w:rsid w:val="00FC2C67"/>
    <w:rsid w:val="00FE242A"/>
    <w:rsid w:val="00FF75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ED"/>
    <w:pPr>
      <w:spacing w:after="0" w:line="240" w:lineRule="auto"/>
    </w:pPr>
    <w:rPr>
      <w:rFonts w:ascii="Times New Roman" w:eastAsia="Times New Roman" w:hAnsi="Times New Roman" w:cs="Times New Roman"/>
      <w:sz w:val="28"/>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67EED"/>
    <w:pPr>
      <w:spacing w:before="75" w:after="75"/>
      <w:ind w:firstLine="375"/>
      <w:jc w:val="both"/>
    </w:pPr>
    <w:rPr>
      <w:sz w:val="24"/>
    </w:rPr>
  </w:style>
  <w:style w:type="paragraph" w:styleId="Header">
    <w:name w:val="header"/>
    <w:basedOn w:val="Normal"/>
    <w:link w:val="HeaderChar"/>
    <w:rsid w:val="00167EED"/>
    <w:pPr>
      <w:tabs>
        <w:tab w:val="center" w:pos="4153"/>
        <w:tab w:val="right" w:pos="8306"/>
      </w:tabs>
    </w:pPr>
  </w:style>
  <w:style w:type="character" w:customStyle="1" w:styleId="HeaderChar">
    <w:name w:val="Header Char"/>
    <w:basedOn w:val="DefaultParagraphFont"/>
    <w:link w:val="Header"/>
    <w:rsid w:val="00167EED"/>
    <w:rPr>
      <w:rFonts w:ascii="Times New Roman" w:eastAsia="Times New Roman" w:hAnsi="Times New Roman" w:cs="Times New Roman"/>
      <w:sz w:val="28"/>
      <w:szCs w:val="24"/>
      <w:lang w:eastAsia="lv-LV"/>
    </w:rPr>
  </w:style>
  <w:style w:type="character" w:styleId="PageNumber">
    <w:name w:val="page number"/>
    <w:basedOn w:val="DefaultParagraphFont"/>
    <w:rsid w:val="00167EED"/>
  </w:style>
  <w:style w:type="paragraph" w:styleId="BodyText2">
    <w:name w:val="Body Text 2"/>
    <w:basedOn w:val="Normal"/>
    <w:link w:val="BodyText2Char"/>
    <w:rsid w:val="00167EED"/>
    <w:pPr>
      <w:jc w:val="center"/>
    </w:pPr>
    <w:rPr>
      <w:b/>
      <w:szCs w:val="20"/>
      <w:lang w:eastAsia="en-US"/>
    </w:rPr>
  </w:style>
  <w:style w:type="character" w:customStyle="1" w:styleId="BodyText2Char">
    <w:name w:val="Body Text 2 Char"/>
    <w:basedOn w:val="DefaultParagraphFont"/>
    <w:link w:val="BodyText2"/>
    <w:rsid w:val="00167EED"/>
    <w:rPr>
      <w:rFonts w:ascii="Times New Roman" w:eastAsia="Times New Roman" w:hAnsi="Times New Roman" w:cs="Times New Roman"/>
      <w:b/>
      <w:sz w:val="28"/>
      <w:szCs w:val="20"/>
    </w:rPr>
  </w:style>
  <w:style w:type="paragraph" w:customStyle="1" w:styleId="naisnod">
    <w:name w:val="naisnod"/>
    <w:basedOn w:val="Normal"/>
    <w:rsid w:val="00167EED"/>
    <w:pPr>
      <w:spacing w:before="100" w:beforeAutospacing="1" w:after="100" w:afterAutospacing="1"/>
    </w:pPr>
    <w:rPr>
      <w:sz w:val="24"/>
    </w:rPr>
  </w:style>
  <w:style w:type="paragraph" w:customStyle="1" w:styleId="naislab">
    <w:name w:val="naislab"/>
    <w:basedOn w:val="Normal"/>
    <w:rsid w:val="00167EED"/>
    <w:pPr>
      <w:spacing w:before="75" w:after="75"/>
      <w:jc w:val="right"/>
    </w:pPr>
    <w:rPr>
      <w:sz w:val="24"/>
    </w:rPr>
  </w:style>
  <w:style w:type="paragraph" w:styleId="HTMLPreformatted">
    <w:name w:val="HTML Preformatted"/>
    <w:basedOn w:val="Normal"/>
    <w:link w:val="HTMLPreformattedChar"/>
    <w:rsid w:val="0016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67EED"/>
    <w:rPr>
      <w:rFonts w:ascii="Courier New" w:eastAsia="Times New Roman" w:hAnsi="Courier New" w:cs="Courier New"/>
      <w:sz w:val="20"/>
      <w:szCs w:val="20"/>
      <w:lang w:eastAsia="lv-LV"/>
    </w:rPr>
  </w:style>
  <w:style w:type="paragraph" w:customStyle="1" w:styleId="naiskr">
    <w:name w:val="naiskr"/>
    <w:basedOn w:val="Normal"/>
    <w:rsid w:val="00167EED"/>
    <w:pPr>
      <w:spacing w:before="75" w:after="75"/>
    </w:pPr>
    <w:rPr>
      <w:sz w:val="24"/>
    </w:rPr>
  </w:style>
  <w:style w:type="paragraph" w:styleId="Footer">
    <w:name w:val="footer"/>
    <w:basedOn w:val="Normal"/>
    <w:link w:val="FooterChar"/>
    <w:uiPriority w:val="99"/>
    <w:semiHidden/>
    <w:unhideWhenUsed/>
    <w:rsid w:val="00395C81"/>
    <w:pPr>
      <w:tabs>
        <w:tab w:val="center" w:pos="4153"/>
        <w:tab w:val="right" w:pos="8306"/>
      </w:tabs>
    </w:pPr>
  </w:style>
  <w:style w:type="character" w:customStyle="1" w:styleId="FooterChar">
    <w:name w:val="Footer Char"/>
    <w:basedOn w:val="DefaultParagraphFont"/>
    <w:link w:val="Footer"/>
    <w:uiPriority w:val="99"/>
    <w:semiHidden/>
    <w:rsid w:val="00395C81"/>
    <w:rPr>
      <w:rFonts w:ascii="Times New Roman" w:eastAsia="Times New Roman" w:hAnsi="Times New Roman" w:cs="Times New Roman"/>
      <w:sz w:val="28"/>
      <w:szCs w:val="24"/>
      <w:lang w:eastAsia="lv-LV"/>
    </w:rPr>
  </w:style>
  <w:style w:type="paragraph" w:styleId="ListParagraph">
    <w:name w:val="List Paragraph"/>
    <w:basedOn w:val="Normal"/>
    <w:uiPriority w:val="34"/>
    <w:qFormat/>
    <w:rsid w:val="00714319"/>
    <w:pPr>
      <w:suppressAutoHyphens/>
      <w:ind w:left="720"/>
      <w:contextualSpacing/>
    </w:pPr>
    <w:rPr>
      <w:sz w:val="24"/>
      <w:lang w:eastAsia="ar-SA"/>
    </w:rPr>
  </w:style>
  <w:style w:type="character" w:styleId="CommentReference">
    <w:name w:val="annotation reference"/>
    <w:basedOn w:val="DefaultParagraphFont"/>
    <w:uiPriority w:val="99"/>
    <w:semiHidden/>
    <w:unhideWhenUsed/>
    <w:rsid w:val="00130AD1"/>
    <w:rPr>
      <w:sz w:val="16"/>
      <w:szCs w:val="16"/>
    </w:rPr>
  </w:style>
  <w:style w:type="paragraph" w:styleId="CommentText">
    <w:name w:val="annotation text"/>
    <w:basedOn w:val="Normal"/>
    <w:link w:val="CommentTextChar"/>
    <w:uiPriority w:val="99"/>
    <w:semiHidden/>
    <w:unhideWhenUsed/>
    <w:rsid w:val="00130AD1"/>
    <w:rPr>
      <w:sz w:val="20"/>
      <w:szCs w:val="20"/>
    </w:rPr>
  </w:style>
  <w:style w:type="character" w:customStyle="1" w:styleId="CommentTextChar">
    <w:name w:val="Comment Text Char"/>
    <w:basedOn w:val="DefaultParagraphFont"/>
    <w:link w:val="CommentText"/>
    <w:uiPriority w:val="99"/>
    <w:semiHidden/>
    <w:rsid w:val="00130AD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30AD1"/>
    <w:rPr>
      <w:b/>
      <w:bCs/>
    </w:rPr>
  </w:style>
  <w:style w:type="character" w:customStyle="1" w:styleId="CommentSubjectChar">
    <w:name w:val="Comment Subject Char"/>
    <w:basedOn w:val="CommentTextChar"/>
    <w:link w:val="CommentSubject"/>
    <w:uiPriority w:val="99"/>
    <w:semiHidden/>
    <w:rsid w:val="00130AD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30AD1"/>
    <w:rPr>
      <w:rFonts w:ascii="Tahoma" w:hAnsi="Tahoma" w:cs="Tahoma"/>
      <w:sz w:val="16"/>
      <w:szCs w:val="16"/>
    </w:rPr>
  </w:style>
  <w:style w:type="character" w:customStyle="1" w:styleId="BalloonTextChar">
    <w:name w:val="Balloon Text Char"/>
    <w:basedOn w:val="DefaultParagraphFont"/>
    <w:link w:val="BalloonText"/>
    <w:uiPriority w:val="99"/>
    <w:semiHidden/>
    <w:rsid w:val="00130AD1"/>
    <w:rPr>
      <w:rFonts w:ascii="Tahoma" w:eastAsia="Times New Roman" w:hAnsi="Tahoma" w:cs="Tahoma"/>
      <w:sz w:val="16"/>
      <w:szCs w:val="16"/>
      <w:lang w:eastAsia="lv-LV"/>
    </w:rPr>
  </w:style>
  <w:style w:type="paragraph" w:styleId="NormalWeb">
    <w:name w:val="Normal (Web)"/>
    <w:basedOn w:val="Normal"/>
    <w:unhideWhenUsed/>
    <w:rsid w:val="009E170B"/>
    <w:pPr>
      <w:spacing w:before="100" w:beforeAutospacing="1" w:after="100" w:afterAutospacing="1"/>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7ABC-97A8-44EE-AEE4-F7887407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5424</Words>
  <Characters>3092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pmlp</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17</cp:revision>
  <cp:lastPrinted>2013-11-04T09:12:00Z</cp:lastPrinted>
  <dcterms:created xsi:type="dcterms:W3CDTF">2013-11-22T11:21:00Z</dcterms:created>
  <dcterms:modified xsi:type="dcterms:W3CDTF">2014-01-16T07:45:00Z</dcterms:modified>
</cp:coreProperties>
</file>