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6" w:rsidRPr="00AB2A5C" w:rsidRDefault="00616AA6" w:rsidP="00616AA6">
      <w:pPr>
        <w:jc w:val="center"/>
        <w:rPr>
          <w:b/>
          <w:color w:val="000000"/>
          <w:sz w:val="28"/>
          <w:szCs w:val="28"/>
        </w:rPr>
      </w:pPr>
      <w:r w:rsidRPr="00BA5E65">
        <w:rPr>
          <w:b/>
          <w:sz w:val="28"/>
          <w:szCs w:val="28"/>
        </w:rPr>
        <w:t>Ministru kabineta noteikumu projekta „Grozījum</w:t>
      </w:r>
      <w:r>
        <w:rPr>
          <w:b/>
          <w:sz w:val="28"/>
          <w:szCs w:val="28"/>
        </w:rPr>
        <w:t>i</w:t>
      </w:r>
      <w:r w:rsidRPr="00BA5E65">
        <w:rPr>
          <w:b/>
          <w:color w:val="000000"/>
          <w:sz w:val="28"/>
          <w:szCs w:val="28"/>
        </w:rPr>
        <w:t xml:space="preserve"> Ministru kabineta </w:t>
      </w:r>
      <w:r w:rsidRPr="00BA5E65">
        <w:rPr>
          <w:b/>
          <w:sz w:val="28"/>
          <w:szCs w:val="28"/>
        </w:rPr>
        <w:t xml:space="preserve">2010.gada </w:t>
      </w:r>
      <w:r>
        <w:rPr>
          <w:b/>
          <w:sz w:val="28"/>
          <w:szCs w:val="28"/>
        </w:rPr>
        <w:t>29.jūnija</w:t>
      </w:r>
      <w:r w:rsidRPr="00BA5E65">
        <w:rPr>
          <w:b/>
          <w:sz w:val="28"/>
          <w:szCs w:val="28"/>
        </w:rPr>
        <w:t xml:space="preserve"> </w:t>
      </w:r>
      <w:r w:rsidRPr="00AB2A5C">
        <w:rPr>
          <w:b/>
          <w:color w:val="000000"/>
          <w:sz w:val="28"/>
          <w:szCs w:val="28"/>
        </w:rPr>
        <w:t>noteikumos Nr.</w:t>
      </w:r>
      <w:r>
        <w:rPr>
          <w:b/>
          <w:color w:val="000000"/>
          <w:sz w:val="28"/>
          <w:szCs w:val="28"/>
        </w:rPr>
        <w:t>600</w:t>
      </w:r>
      <w:r w:rsidRPr="00AB2A5C">
        <w:rPr>
          <w:b/>
          <w:bCs/>
          <w:sz w:val="28"/>
          <w:szCs w:val="28"/>
        </w:rPr>
        <w:t xml:space="preserve"> „</w:t>
      </w:r>
      <w:r>
        <w:rPr>
          <w:b/>
          <w:sz w:val="28"/>
          <w:szCs w:val="28"/>
        </w:rPr>
        <w:t>Kremācijas noteikumi</w:t>
      </w:r>
      <w:r w:rsidRPr="00AB2A5C">
        <w:rPr>
          <w:b/>
          <w:sz w:val="28"/>
          <w:szCs w:val="28"/>
        </w:rPr>
        <w:t>”</w:t>
      </w:r>
    </w:p>
    <w:p w:rsidR="00616AA6" w:rsidRPr="00AB2A5C" w:rsidRDefault="00616AA6" w:rsidP="00616AA6">
      <w:pPr>
        <w:jc w:val="center"/>
        <w:rPr>
          <w:b/>
          <w:color w:val="000000"/>
          <w:sz w:val="28"/>
          <w:szCs w:val="28"/>
        </w:rPr>
      </w:pPr>
      <w:r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B2A5C">
          <w:rPr>
            <w:b/>
            <w:sz w:val="28"/>
            <w:szCs w:val="28"/>
          </w:rPr>
          <w:t>ziņojums</w:t>
        </w:r>
      </w:smartTag>
    </w:p>
    <w:p w:rsidR="00616AA6" w:rsidRPr="00AB2A5C" w:rsidRDefault="00616AA6" w:rsidP="00616AA6">
      <w:pPr>
        <w:pStyle w:val="Footer"/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>(anotācija)</w:t>
      </w:r>
    </w:p>
    <w:p w:rsidR="00616AA6" w:rsidRPr="00BA5E65" w:rsidRDefault="00616AA6" w:rsidP="00616AA6">
      <w:pPr>
        <w:pStyle w:val="Footer"/>
        <w:jc w:val="center"/>
        <w:rPr>
          <w:b/>
          <w:sz w:val="28"/>
          <w:szCs w:val="28"/>
        </w:rPr>
      </w:pPr>
    </w:p>
    <w:p w:rsidR="00616AA6" w:rsidRPr="00BA5E65" w:rsidRDefault="00616AA6" w:rsidP="00616AA6">
      <w:pPr>
        <w:pStyle w:val="BodyText"/>
        <w:rPr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649"/>
        <w:gridCol w:w="5367"/>
      </w:tblGrid>
      <w:tr w:rsidR="00616AA6" w:rsidRPr="00BA5E65" w:rsidTr="006F255D">
        <w:tc>
          <w:tcPr>
            <w:tcW w:w="9061" w:type="dxa"/>
            <w:gridSpan w:val="3"/>
          </w:tcPr>
          <w:p w:rsidR="00616AA6" w:rsidRPr="00BA5E65" w:rsidRDefault="00616AA6" w:rsidP="006F255D">
            <w:pPr>
              <w:pStyle w:val="BodyText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5367" w:type="dxa"/>
          </w:tcPr>
          <w:p w:rsidR="00616AA6" w:rsidRPr="00BA5E65" w:rsidRDefault="005651F4" w:rsidP="006F255D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ieviešanas kārtības likuma 30.panta pirmā daļa </w:t>
            </w:r>
            <w:r w:rsidRPr="00892383">
              <w:rPr>
                <w:bCs/>
                <w:sz w:val="28"/>
                <w:szCs w:val="28"/>
              </w:rPr>
              <w:t>un Ministra kabineta 2012.gada 27.jūnija rīkojums Nr.282 „Par „Koncepciju par normatīvo aktu sakārtošanu saistībā ar eiro ieviešanu Latvijā””.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367" w:type="dxa"/>
          </w:tcPr>
          <w:p w:rsidR="00616AA6" w:rsidRPr="005651F4" w:rsidRDefault="005651F4" w:rsidP="00B9098B">
            <w:pPr>
              <w:pStyle w:val="tv213"/>
              <w:ind w:firstLine="701"/>
              <w:jc w:val="both"/>
              <w:rPr>
                <w:sz w:val="28"/>
                <w:szCs w:val="28"/>
              </w:rPr>
            </w:pPr>
            <w:r w:rsidRPr="005651F4">
              <w:rPr>
                <w:sz w:val="28"/>
                <w:szCs w:val="28"/>
              </w:rPr>
              <w:t>Ministru kabineta 2010.gada 29.jūnija noteikumu Nr.600 „Kremācijas noteikumi”</w:t>
            </w:r>
            <w:r>
              <w:rPr>
                <w:sz w:val="28"/>
                <w:szCs w:val="28"/>
              </w:rPr>
              <w:t xml:space="preserve"> (turpmāk – noteikumi Nr.600)</w:t>
            </w:r>
            <w:r w:rsidRPr="00565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21. un 22.punkts </w:t>
            </w:r>
            <w:r w:rsidRPr="005651F4">
              <w:rPr>
                <w:sz w:val="28"/>
                <w:szCs w:val="28"/>
              </w:rPr>
              <w:t>paredz valsts nodevas apmēru latos par speciālās atļaujas (licences) izsniegšanu un par speciālās atļaujas (licences) dublikāta vai atkārtotas speciālās atļaujas licences izsniegšanu.</w:t>
            </w:r>
            <w:r>
              <w:rPr>
                <w:sz w:val="28"/>
                <w:szCs w:val="28"/>
              </w:rPr>
              <w:t xml:space="preserve"> </w:t>
            </w:r>
            <w:r w:rsidR="00B55E0D">
              <w:rPr>
                <w:sz w:val="28"/>
                <w:szCs w:val="28"/>
              </w:rPr>
              <w:t xml:space="preserve">Ņemot vērā to, ka, </w:t>
            </w:r>
            <w:r w:rsidR="00B55E0D" w:rsidRPr="00892383">
              <w:rPr>
                <w:sz w:val="28"/>
                <w:szCs w:val="28"/>
              </w:rPr>
              <w:t>atbilstoši Ministru kabineta 2012.gada 27.jūnija rīkojuma Nr.282 „Par ”Koncepciju par normatīvo aktu sakārtošanu saistībā ar eiro ieviešanu Latvijā”” 1.1.2.apakšpunktam</w:t>
            </w:r>
            <w:r w:rsidR="00B55E0D">
              <w:rPr>
                <w:sz w:val="28"/>
                <w:szCs w:val="28"/>
              </w:rPr>
              <w:t xml:space="preserve"> </w:t>
            </w:r>
            <w:r w:rsidR="00B55E0D" w:rsidRPr="00892383">
              <w:rPr>
                <w:sz w:val="28"/>
                <w:szCs w:val="28"/>
              </w:rPr>
              <w:t>normatīvos aktus, kuros minētas</w:t>
            </w:r>
            <w:r w:rsidR="00B55E0D">
              <w:rPr>
                <w:sz w:val="28"/>
                <w:szCs w:val="28"/>
              </w:rPr>
              <w:t xml:space="preserve"> latos izteiktas naudas summas, ir </w:t>
            </w:r>
            <w:r w:rsidR="00B55E0D" w:rsidRPr="00892383">
              <w:rPr>
                <w:sz w:val="28"/>
                <w:szCs w:val="28"/>
              </w:rPr>
              <w:t xml:space="preserve">jākonvertē uz </w:t>
            </w:r>
            <w:proofErr w:type="spellStart"/>
            <w:r w:rsidR="00B55E0D" w:rsidRPr="00892383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="00B55E0D" w:rsidRPr="00892383">
              <w:rPr>
                <w:sz w:val="28"/>
                <w:szCs w:val="28"/>
              </w:rPr>
              <w:t xml:space="preserve"> līdz 2014.gada 1.janvārim</w:t>
            </w:r>
            <w:r w:rsidR="00B55E0D">
              <w:rPr>
                <w:sz w:val="28"/>
                <w:szCs w:val="28"/>
              </w:rPr>
              <w:t xml:space="preserve">, līdz ar to </w:t>
            </w:r>
            <w:r>
              <w:rPr>
                <w:sz w:val="28"/>
                <w:szCs w:val="28"/>
              </w:rPr>
              <w:t xml:space="preserve">nepieciešams noteikumu Nr.600 21. un 22.punktā </w:t>
            </w:r>
            <w:r w:rsidR="00292255">
              <w:rPr>
                <w:sz w:val="28"/>
                <w:szCs w:val="28"/>
              </w:rPr>
              <w:t xml:space="preserve">valsts nodevas apmēru noteikt </w:t>
            </w:r>
            <w:proofErr w:type="spellStart"/>
            <w:r w:rsidR="00292255" w:rsidRPr="00292255">
              <w:rPr>
                <w:i/>
                <w:sz w:val="28"/>
                <w:szCs w:val="28"/>
              </w:rPr>
              <w:t>eu</w:t>
            </w:r>
            <w:r w:rsidRPr="00292255">
              <w:rPr>
                <w:i/>
                <w:sz w:val="28"/>
                <w:szCs w:val="28"/>
              </w:rPr>
              <w:t>ro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367" w:type="dxa"/>
          </w:tcPr>
          <w:p w:rsidR="00616AA6" w:rsidRPr="00BA5E65" w:rsidRDefault="00616AA6" w:rsidP="005651F4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367" w:type="dxa"/>
          </w:tcPr>
          <w:p w:rsidR="00616AA6" w:rsidRDefault="005651F4" w:rsidP="005651F4">
            <w:pPr>
              <w:ind w:firstLine="559"/>
              <w:jc w:val="both"/>
              <w:rPr>
                <w:sz w:val="28"/>
                <w:szCs w:val="28"/>
              </w:rPr>
            </w:pPr>
            <w:r w:rsidRPr="005651F4">
              <w:rPr>
                <w:sz w:val="28"/>
                <w:szCs w:val="28"/>
              </w:rPr>
              <w:t xml:space="preserve">Projekts paredz, ka par speciālās atļaujas (licences) izsniegšanu maksājama valsts nodeva 113,83 </w:t>
            </w:r>
            <w:proofErr w:type="spellStart"/>
            <w:r w:rsidRPr="005651F4">
              <w:rPr>
                <w:i/>
                <w:sz w:val="28"/>
                <w:szCs w:val="28"/>
              </w:rPr>
              <w:t>euro</w:t>
            </w:r>
            <w:proofErr w:type="spellEnd"/>
            <w:r w:rsidRPr="005651F4">
              <w:rPr>
                <w:sz w:val="28"/>
                <w:szCs w:val="28"/>
              </w:rPr>
              <w:t xml:space="preserve"> apmērā, bet par speciālās atļaujas (licences) dublikāta vai atkārtotas speciālās atļaujas licences izsniegšanu maksājama valsts nodeva 14,23 </w:t>
            </w:r>
            <w:proofErr w:type="spellStart"/>
            <w:r w:rsidRPr="005651F4">
              <w:rPr>
                <w:i/>
                <w:sz w:val="28"/>
                <w:szCs w:val="28"/>
              </w:rPr>
              <w:t>euro</w:t>
            </w:r>
            <w:proofErr w:type="spellEnd"/>
            <w:r w:rsidRPr="005651F4">
              <w:rPr>
                <w:sz w:val="28"/>
                <w:szCs w:val="28"/>
              </w:rPr>
              <w:t xml:space="preserve"> apmērā.</w:t>
            </w:r>
          </w:p>
          <w:p w:rsidR="005651F4" w:rsidRDefault="005651F4" w:rsidP="005651F4">
            <w:pPr>
              <w:ind w:firstLine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Grozījumi sagatavoti atbilstoši </w:t>
            </w:r>
            <w:proofErr w:type="spellStart"/>
            <w:r w:rsidRPr="005651F4">
              <w:rPr>
                <w:i/>
                <w:sz w:val="28"/>
                <w:szCs w:val="28"/>
              </w:rPr>
              <w:t>Euro</w:t>
            </w:r>
            <w:proofErr w:type="spellEnd"/>
            <w:r w:rsidRPr="005651F4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ieviešanas kārtības likuma 6.panta otrajai daļai.</w:t>
            </w:r>
          </w:p>
          <w:p w:rsidR="0081660F" w:rsidRPr="005651F4" w:rsidRDefault="0081660F" w:rsidP="005651F4">
            <w:pPr>
              <w:ind w:firstLine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Aprēķins veikts, izmantojot Latvijas Bankas noteikto oficiālo kursu EUR 1 = LVL 0,702804. Aprēķina rezultātā netiek radīta ietekme uz valsts budžetu.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367" w:type="dxa"/>
          </w:tcPr>
          <w:p w:rsidR="00616AA6" w:rsidRPr="00BA5E65" w:rsidRDefault="00B9098B" w:rsidP="006F255D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616AA6" w:rsidRPr="00BA5E65" w:rsidTr="006F255D">
        <w:trPr>
          <w:cantSplit/>
          <w:trHeight w:val="989"/>
        </w:trPr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367" w:type="dxa"/>
          </w:tcPr>
          <w:p w:rsidR="00616AA6" w:rsidRPr="00223221" w:rsidRDefault="00223221" w:rsidP="00223221">
            <w:pPr>
              <w:pStyle w:val="FootnoteText"/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0BE">
              <w:rPr>
                <w:rFonts w:ascii="Times New Roman" w:hAnsi="Times New Roman"/>
                <w:sz w:val="28"/>
                <w:szCs w:val="28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616AA6" w:rsidRPr="00BA5E65" w:rsidTr="006F255D">
        <w:tc>
          <w:tcPr>
            <w:tcW w:w="1045" w:type="dxa"/>
          </w:tcPr>
          <w:p w:rsidR="00616AA6" w:rsidRPr="00BA5E65" w:rsidRDefault="00616AA6" w:rsidP="006F255D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2649" w:type="dxa"/>
          </w:tcPr>
          <w:p w:rsidR="00616AA6" w:rsidRPr="00BA5E65" w:rsidRDefault="00616AA6" w:rsidP="006F255D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5367" w:type="dxa"/>
          </w:tcPr>
          <w:p w:rsidR="00616AA6" w:rsidRPr="008E1F10" w:rsidRDefault="00DE4536" w:rsidP="00373977">
            <w:pPr>
              <w:tabs>
                <w:tab w:val="left" w:pos="5279"/>
              </w:tabs>
              <w:ind w:left="34" w:right="31" w:firstLine="3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CE36C0" w:rsidRDefault="00CE36C0">
      <w:pPr>
        <w:spacing w:after="200" w:line="276" w:lineRule="auto"/>
        <w:rPr>
          <w:sz w:val="28"/>
          <w:szCs w:val="28"/>
          <w:lang w:eastAsia="lv-LV"/>
        </w:rPr>
      </w:pPr>
    </w:p>
    <w:p w:rsidR="00616AA6" w:rsidRPr="00BA5E65" w:rsidRDefault="00616AA6" w:rsidP="00616AA6">
      <w:pPr>
        <w:rPr>
          <w:sz w:val="28"/>
          <w:szCs w:val="28"/>
          <w:lang w:eastAsia="lv-LV"/>
        </w:rPr>
      </w:pPr>
      <w:r w:rsidRPr="00BA5E65">
        <w:rPr>
          <w:sz w:val="28"/>
          <w:szCs w:val="28"/>
          <w:lang w:eastAsia="lv-LV"/>
        </w:rPr>
        <w:t>Anotācijas</w:t>
      </w:r>
      <w:r>
        <w:rPr>
          <w:sz w:val="28"/>
          <w:szCs w:val="28"/>
          <w:lang w:eastAsia="lv-LV"/>
        </w:rPr>
        <w:t xml:space="preserve"> II, </w:t>
      </w:r>
      <w:r w:rsidRPr="00BA5E65">
        <w:rPr>
          <w:sz w:val="28"/>
          <w:szCs w:val="28"/>
          <w:lang w:eastAsia="lv-LV"/>
        </w:rPr>
        <w:t>III, IV, V</w:t>
      </w:r>
      <w:r>
        <w:rPr>
          <w:sz w:val="28"/>
          <w:szCs w:val="28"/>
          <w:lang w:eastAsia="lv-LV"/>
        </w:rPr>
        <w:t xml:space="preserve">, </w:t>
      </w:r>
      <w:r w:rsidRPr="00BA5E65">
        <w:rPr>
          <w:sz w:val="28"/>
          <w:szCs w:val="28"/>
          <w:lang w:eastAsia="lv-LV"/>
        </w:rPr>
        <w:t>VI</w:t>
      </w:r>
      <w:r>
        <w:rPr>
          <w:sz w:val="28"/>
          <w:szCs w:val="28"/>
          <w:lang w:eastAsia="lv-LV"/>
        </w:rPr>
        <w:t xml:space="preserve"> un VII</w:t>
      </w:r>
      <w:r w:rsidRPr="00BA5E65">
        <w:rPr>
          <w:sz w:val="28"/>
          <w:szCs w:val="28"/>
          <w:lang w:eastAsia="lv-LV"/>
        </w:rPr>
        <w:t xml:space="preserve"> sadaļa –projekts šīs jomas neskar. </w:t>
      </w:r>
    </w:p>
    <w:p w:rsidR="00616AA6" w:rsidRPr="00BA5E65" w:rsidRDefault="00616AA6" w:rsidP="00616AA6">
      <w:pPr>
        <w:rPr>
          <w:vanish/>
          <w:sz w:val="28"/>
          <w:szCs w:val="28"/>
          <w:lang w:eastAsia="lv-LV"/>
        </w:rPr>
      </w:pPr>
    </w:p>
    <w:p w:rsidR="00616AA6" w:rsidRPr="00BA5E65" w:rsidRDefault="00616AA6" w:rsidP="00616AA6">
      <w:pPr>
        <w:rPr>
          <w:sz w:val="28"/>
          <w:szCs w:val="28"/>
        </w:rPr>
      </w:pPr>
    </w:p>
    <w:p w:rsidR="00616AA6" w:rsidRPr="00BA5E65" w:rsidRDefault="00616AA6" w:rsidP="00616AA6">
      <w:pPr>
        <w:ind w:firstLine="720"/>
        <w:jc w:val="both"/>
        <w:rPr>
          <w:sz w:val="28"/>
          <w:szCs w:val="28"/>
          <w:lang w:val="de-DE"/>
        </w:rPr>
      </w:pPr>
      <w:r w:rsidRPr="00BA5E65">
        <w:rPr>
          <w:sz w:val="28"/>
          <w:szCs w:val="28"/>
          <w:lang w:val="de-DE"/>
        </w:rPr>
        <w:t>Iekšlietu ministrs</w:t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</w:r>
      <w:r w:rsidRPr="00BA5E65">
        <w:rPr>
          <w:sz w:val="28"/>
          <w:szCs w:val="28"/>
          <w:lang w:val="de-DE"/>
        </w:rPr>
        <w:tab/>
        <w:t>R. Kozlovskis</w:t>
      </w:r>
    </w:p>
    <w:p w:rsidR="00616AA6" w:rsidRPr="00BA5E65" w:rsidRDefault="00616AA6" w:rsidP="00616AA6">
      <w:pPr>
        <w:pStyle w:val="naisf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616AA6" w:rsidRPr="00BA5E65" w:rsidRDefault="00616AA6" w:rsidP="00616AA6">
      <w:pPr>
        <w:pStyle w:val="naisf"/>
        <w:ind w:left="720" w:firstLine="0"/>
        <w:rPr>
          <w:sz w:val="28"/>
          <w:szCs w:val="28"/>
        </w:rPr>
      </w:pPr>
      <w:r w:rsidRPr="00BA5E65">
        <w:rPr>
          <w:sz w:val="28"/>
          <w:szCs w:val="28"/>
        </w:rPr>
        <w:t>Vīza: valsts sekretāre</w:t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</w:r>
      <w:r w:rsidRPr="00BA5E65">
        <w:rPr>
          <w:sz w:val="28"/>
          <w:szCs w:val="28"/>
        </w:rPr>
        <w:tab/>
        <w:t>I.Pētersone-Godmane</w:t>
      </w: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Pr="00BA5E65" w:rsidRDefault="00616AA6" w:rsidP="00616AA6">
      <w:pPr>
        <w:rPr>
          <w:color w:val="000000"/>
          <w:sz w:val="28"/>
          <w:szCs w:val="28"/>
        </w:rPr>
      </w:pPr>
    </w:p>
    <w:p w:rsidR="00616AA6" w:rsidRDefault="00616AA6" w:rsidP="00616AA6">
      <w:pPr>
        <w:rPr>
          <w:color w:val="000000"/>
          <w:sz w:val="28"/>
          <w:szCs w:val="28"/>
        </w:rPr>
      </w:pPr>
    </w:p>
    <w:p w:rsidR="005651F4" w:rsidRDefault="005651F4" w:rsidP="005651F4">
      <w:pPr>
        <w:rPr>
          <w:color w:val="000000"/>
          <w:sz w:val="20"/>
          <w:szCs w:val="20"/>
        </w:rPr>
      </w:pPr>
    </w:p>
    <w:p w:rsidR="001D349F" w:rsidRDefault="001D349F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C5623D" w:rsidRDefault="00C5623D" w:rsidP="005651F4">
      <w:pPr>
        <w:rPr>
          <w:color w:val="000000"/>
          <w:sz w:val="20"/>
          <w:szCs w:val="20"/>
        </w:rPr>
      </w:pPr>
    </w:p>
    <w:p w:rsidR="005651F4" w:rsidRPr="00A73F74" w:rsidRDefault="00DE4536" w:rsidP="005651F4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16</w:t>
      </w:r>
      <w:r w:rsidR="005651F4" w:rsidRPr="00A73F74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7</w:t>
      </w:r>
      <w:r w:rsidR="005651F4" w:rsidRPr="00A73F74">
        <w:rPr>
          <w:color w:val="000000"/>
          <w:sz w:val="20"/>
          <w:szCs w:val="20"/>
        </w:rPr>
        <w:t xml:space="preserve">.2013. </w:t>
      </w:r>
      <w:r>
        <w:rPr>
          <w:color w:val="000000"/>
          <w:sz w:val="20"/>
          <w:szCs w:val="20"/>
        </w:rPr>
        <w:t>12</w:t>
      </w:r>
      <w:r w:rsidR="005651F4" w:rsidRPr="00A73F7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19</w:t>
      </w:r>
    </w:p>
    <w:p w:rsidR="005651F4" w:rsidRPr="00A73F74" w:rsidRDefault="00DE4536" w:rsidP="005651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286</w:t>
      </w:r>
    </w:p>
    <w:p w:rsidR="005651F4" w:rsidRPr="00A73F74" w:rsidRDefault="005651F4" w:rsidP="005651F4">
      <w:pPr>
        <w:rPr>
          <w:color w:val="000000"/>
          <w:sz w:val="20"/>
          <w:szCs w:val="20"/>
        </w:rPr>
      </w:pPr>
      <w:r w:rsidRPr="00A73F74">
        <w:rPr>
          <w:color w:val="000000"/>
          <w:sz w:val="20"/>
          <w:szCs w:val="20"/>
        </w:rPr>
        <w:t>D. Radzeviča</w:t>
      </w:r>
    </w:p>
    <w:p w:rsidR="005651F4" w:rsidRPr="00A73F74" w:rsidRDefault="005651F4" w:rsidP="005651F4">
      <w:pPr>
        <w:rPr>
          <w:color w:val="000000"/>
          <w:sz w:val="20"/>
          <w:szCs w:val="20"/>
        </w:rPr>
      </w:pPr>
      <w:r w:rsidRPr="00A73F74">
        <w:rPr>
          <w:color w:val="000000"/>
          <w:sz w:val="20"/>
          <w:szCs w:val="20"/>
        </w:rPr>
        <w:t>67219418, dace.radzevica@iem.gov.lv</w:t>
      </w:r>
    </w:p>
    <w:p w:rsidR="005651F4" w:rsidRPr="00A73F74" w:rsidRDefault="005651F4" w:rsidP="005651F4">
      <w:pPr>
        <w:rPr>
          <w:iCs/>
          <w:sz w:val="20"/>
          <w:szCs w:val="20"/>
        </w:rPr>
      </w:pPr>
      <w:r w:rsidRPr="00A73F74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16AA6" w:rsidRDefault="00616AA6" w:rsidP="00616AA6">
      <w:pPr>
        <w:rPr>
          <w:color w:val="000000"/>
          <w:sz w:val="20"/>
          <w:szCs w:val="20"/>
        </w:rPr>
      </w:pPr>
    </w:p>
    <w:sectPr w:rsidR="00616AA6" w:rsidSect="00361E9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87" w:rsidRDefault="00397687" w:rsidP="00616AA6">
      <w:r>
        <w:separator/>
      </w:r>
    </w:p>
  </w:endnote>
  <w:endnote w:type="continuationSeparator" w:id="0">
    <w:p w:rsidR="00397687" w:rsidRDefault="00397687" w:rsidP="006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A6" w:rsidRPr="00CE3A3B" w:rsidRDefault="00616AA6" w:rsidP="00616AA6">
    <w:pPr>
      <w:jc w:val="both"/>
      <w:rPr>
        <w:color w:val="000000"/>
        <w:sz w:val="20"/>
        <w:szCs w:val="20"/>
      </w:rPr>
    </w:pPr>
    <w:r w:rsidRPr="00A301A8">
      <w:rPr>
        <w:sz w:val="20"/>
        <w:szCs w:val="20"/>
      </w:rPr>
      <w:t>IEM</w:t>
    </w:r>
    <w:r>
      <w:rPr>
        <w:sz w:val="20"/>
        <w:szCs w:val="20"/>
      </w:rPr>
      <w:t>Anot</w:t>
    </w:r>
    <w:r w:rsidRPr="00A301A8">
      <w:rPr>
        <w:sz w:val="20"/>
        <w:szCs w:val="20"/>
      </w:rPr>
      <w:t>_</w:t>
    </w:r>
    <w:r w:rsidR="00DE4536">
      <w:rPr>
        <w:sz w:val="20"/>
        <w:szCs w:val="20"/>
      </w:rPr>
      <w:t>1607</w:t>
    </w:r>
    <w:r w:rsidRPr="00A301A8">
      <w:rPr>
        <w:sz w:val="20"/>
        <w:szCs w:val="20"/>
      </w:rPr>
      <w:t>2013</w:t>
    </w:r>
    <w:r>
      <w:rPr>
        <w:sz w:val="20"/>
      </w:rPr>
      <w:t>.doc</w:t>
    </w:r>
    <w:r w:rsidRPr="00A301A8">
      <w:rPr>
        <w:sz w:val="20"/>
        <w:szCs w:val="20"/>
      </w:rPr>
      <w:t xml:space="preserve">; Ministru kabineta noteikumu projekts </w:t>
    </w:r>
    <w:r>
      <w:rPr>
        <w:sz w:val="20"/>
      </w:rPr>
      <w:t>„</w:t>
    </w:r>
    <w:r>
      <w:rPr>
        <w:sz w:val="20"/>
        <w:szCs w:val="20"/>
      </w:rPr>
      <w:t>Grozījumi</w:t>
    </w:r>
    <w:r w:rsidRPr="00A301A8">
      <w:rPr>
        <w:color w:val="000000"/>
        <w:sz w:val="20"/>
        <w:szCs w:val="20"/>
      </w:rPr>
      <w:t xml:space="preserve"> Ministru kabineta </w:t>
    </w:r>
    <w:r w:rsidRPr="00A301A8">
      <w:rPr>
        <w:sz w:val="20"/>
        <w:szCs w:val="20"/>
      </w:rPr>
      <w:t xml:space="preserve">2010.gada </w:t>
    </w:r>
    <w:r>
      <w:rPr>
        <w:sz w:val="20"/>
        <w:szCs w:val="20"/>
      </w:rPr>
      <w:t>29</w:t>
    </w:r>
    <w:r w:rsidRPr="00A301A8">
      <w:rPr>
        <w:sz w:val="20"/>
        <w:szCs w:val="20"/>
      </w:rPr>
      <w:t xml:space="preserve">.jūnija </w:t>
    </w:r>
    <w:r w:rsidRPr="00A301A8">
      <w:rPr>
        <w:color w:val="000000"/>
        <w:sz w:val="20"/>
        <w:szCs w:val="20"/>
      </w:rPr>
      <w:t>noteikumos Nr.</w:t>
    </w:r>
    <w:r>
      <w:rPr>
        <w:color w:val="000000"/>
        <w:sz w:val="20"/>
        <w:szCs w:val="20"/>
      </w:rPr>
      <w:t>600</w:t>
    </w:r>
    <w:r w:rsidRPr="00A301A8">
      <w:rPr>
        <w:bCs/>
        <w:sz w:val="20"/>
        <w:szCs w:val="20"/>
      </w:rPr>
      <w:t xml:space="preserve"> „</w:t>
    </w:r>
    <w:r>
      <w:rPr>
        <w:sz w:val="20"/>
        <w:szCs w:val="20"/>
      </w:rPr>
      <w:t xml:space="preserve">Kremācijas </w:t>
    </w:r>
    <w:proofErr w:type="spellStart"/>
    <w:r>
      <w:rPr>
        <w:sz w:val="20"/>
        <w:szCs w:val="20"/>
      </w:rPr>
      <w:t>noteikumi</w:t>
    </w:r>
    <w:r w:rsidRPr="00A301A8">
      <w:rPr>
        <w:sz w:val="20"/>
        <w:szCs w:val="20"/>
      </w:rPr>
      <w:t>”</w:t>
    </w:r>
    <w:r>
      <w:rPr>
        <w:sz w:val="20"/>
      </w:rPr>
      <w:t>”</w:t>
    </w:r>
    <w:r w:rsidRPr="00F42004">
      <w:rPr>
        <w:sz w:val="20"/>
        <w:szCs w:val="20"/>
      </w:rPr>
      <w:t>sākotnējās</w:t>
    </w:r>
    <w:proofErr w:type="spellEnd"/>
    <w:r w:rsidRPr="00F42004">
      <w:rPr>
        <w:sz w:val="20"/>
        <w:szCs w:val="20"/>
      </w:rPr>
      <w:t xml:space="preserve">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F42004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  <w:p w:rsidR="00616AA6" w:rsidRPr="00F42004" w:rsidRDefault="00616AA6" w:rsidP="00616AA6">
    <w:pPr>
      <w:pStyle w:val="Footer"/>
      <w:jc w:val="both"/>
      <w:rPr>
        <w:sz w:val="20"/>
        <w:szCs w:val="20"/>
      </w:rPr>
    </w:pPr>
  </w:p>
  <w:p w:rsidR="006811D5" w:rsidRPr="00361E9B" w:rsidRDefault="00397687" w:rsidP="006811D5">
    <w:pPr>
      <w:pStyle w:val="Footer"/>
    </w:pPr>
  </w:p>
  <w:p w:rsidR="00476475" w:rsidRPr="006811D5" w:rsidRDefault="00397687" w:rsidP="00681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D5" w:rsidRPr="00CE3A3B" w:rsidRDefault="005B2CE7" w:rsidP="006811D5">
    <w:pPr>
      <w:jc w:val="both"/>
      <w:rPr>
        <w:color w:val="000000"/>
        <w:sz w:val="20"/>
        <w:szCs w:val="20"/>
      </w:rPr>
    </w:pPr>
    <w:r w:rsidRPr="00A301A8">
      <w:rPr>
        <w:sz w:val="20"/>
        <w:szCs w:val="20"/>
      </w:rPr>
      <w:t>IEM</w:t>
    </w:r>
    <w:r>
      <w:rPr>
        <w:sz w:val="20"/>
        <w:szCs w:val="20"/>
      </w:rPr>
      <w:t>Anot</w:t>
    </w:r>
    <w:r w:rsidRPr="00A301A8">
      <w:rPr>
        <w:sz w:val="20"/>
        <w:szCs w:val="20"/>
      </w:rPr>
      <w:t>_</w:t>
    </w:r>
    <w:r w:rsidR="00DE4536">
      <w:rPr>
        <w:sz w:val="20"/>
        <w:szCs w:val="20"/>
      </w:rPr>
      <w:t>1607</w:t>
    </w:r>
    <w:r w:rsidRPr="00A301A8">
      <w:rPr>
        <w:sz w:val="20"/>
        <w:szCs w:val="20"/>
      </w:rPr>
      <w:t>2013</w:t>
    </w:r>
    <w:r>
      <w:rPr>
        <w:sz w:val="20"/>
      </w:rPr>
      <w:t>.doc</w:t>
    </w:r>
    <w:r w:rsidRPr="00A301A8">
      <w:rPr>
        <w:sz w:val="20"/>
        <w:szCs w:val="20"/>
      </w:rPr>
      <w:t xml:space="preserve">; Ministru kabineta noteikumu projekts </w:t>
    </w:r>
    <w:r>
      <w:rPr>
        <w:sz w:val="20"/>
      </w:rPr>
      <w:t>„</w:t>
    </w:r>
    <w:r w:rsidR="00616AA6">
      <w:rPr>
        <w:sz w:val="20"/>
        <w:szCs w:val="20"/>
      </w:rPr>
      <w:t>Grozījumi</w:t>
    </w:r>
    <w:r w:rsidRPr="00A301A8">
      <w:rPr>
        <w:color w:val="000000"/>
        <w:sz w:val="20"/>
        <w:szCs w:val="20"/>
      </w:rPr>
      <w:t xml:space="preserve"> Ministru kabineta </w:t>
    </w:r>
    <w:r w:rsidRPr="00A301A8">
      <w:rPr>
        <w:sz w:val="20"/>
        <w:szCs w:val="20"/>
      </w:rPr>
      <w:t xml:space="preserve">2010.gada </w:t>
    </w:r>
    <w:r w:rsidR="00616AA6">
      <w:rPr>
        <w:sz w:val="20"/>
        <w:szCs w:val="20"/>
      </w:rPr>
      <w:t>29</w:t>
    </w:r>
    <w:r w:rsidRPr="00A301A8">
      <w:rPr>
        <w:sz w:val="20"/>
        <w:szCs w:val="20"/>
      </w:rPr>
      <w:t xml:space="preserve">.jūnija </w:t>
    </w:r>
    <w:r w:rsidRPr="00A301A8">
      <w:rPr>
        <w:color w:val="000000"/>
        <w:sz w:val="20"/>
        <w:szCs w:val="20"/>
      </w:rPr>
      <w:t>noteikumos Nr.</w:t>
    </w:r>
    <w:r w:rsidR="00616AA6">
      <w:rPr>
        <w:color w:val="000000"/>
        <w:sz w:val="20"/>
        <w:szCs w:val="20"/>
      </w:rPr>
      <w:t>600</w:t>
    </w:r>
    <w:r w:rsidRPr="00A301A8">
      <w:rPr>
        <w:bCs/>
        <w:sz w:val="20"/>
        <w:szCs w:val="20"/>
      </w:rPr>
      <w:t xml:space="preserve"> „</w:t>
    </w:r>
    <w:r w:rsidR="00616AA6">
      <w:rPr>
        <w:sz w:val="20"/>
        <w:szCs w:val="20"/>
      </w:rPr>
      <w:t>Kremācijas noteikumi</w:t>
    </w:r>
    <w:r w:rsidRPr="00A301A8">
      <w:rPr>
        <w:sz w:val="20"/>
        <w:szCs w:val="20"/>
      </w:rPr>
      <w:t>”</w:t>
    </w:r>
    <w:r>
      <w:rPr>
        <w:sz w:val="20"/>
      </w:rPr>
      <w:t>”</w:t>
    </w:r>
    <w:r w:rsidR="00CE36C0">
      <w:rPr>
        <w:sz w:val="20"/>
      </w:rPr>
      <w:t xml:space="preserve"> </w:t>
    </w:r>
    <w:r w:rsidRPr="00F42004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F42004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  <w:p w:rsidR="006811D5" w:rsidRPr="00F42004" w:rsidRDefault="00397687" w:rsidP="006811D5">
    <w:pPr>
      <w:pStyle w:val="Footer"/>
      <w:jc w:val="both"/>
      <w:rPr>
        <w:sz w:val="20"/>
        <w:szCs w:val="20"/>
      </w:rPr>
    </w:pPr>
  </w:p>
  <w:p w:rsidR="006811D5" w:rsidRPr="00361E9B" w:rsidRDefault="00397687" w:rsidP="006811D5">
    <w:pPr>
      <w:pStyle w:val="Footer"/>
    </w:pPr>
  </w:p>
  <w:p w:rsidR="00476475" w:rsidRPr="00361E9B" w:rsidRDefault="00397687" w:rsidP="0036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87" w:rsidRDefault="00397687" w:rsidP="00616AA6">
      <w:r>
        <w:separator/>
      </w:r>
    </w:p>
  </w:footnote>
  <w:footnote w:type="continuationSeparator" w:id="0">
    <w:p w:rsidR="00397687" w:rsidRDefault="00397687" w:rsidP="0061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75" w:rsidRDefault="005B2CE7" w:rsidP="006840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475" w:rsidRDefault="00397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75" w:rsidRDefault="005B2CE7" w:rsidP="006840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23D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475" w:rsidRDefault="00397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6"/>
    <w:rsid w:val="0002334F"/>
    <w:rsid w:val="001A3BE8"/>
    <w:rsid w:val="001D349F"/>
    <w:rsid w:val="00223221"/>
    <w:rsid w:val="00292255"/>
    <w:rsid w:val="002927B3"/>
    <w:rsid w:val="0030631D"/>
    <w:rsid w:val="00373977"/>
    <w:rsid w:val="00397687"/>
    <w:rsid w:val="004F5861"/>
    <w:rsid w:val="005571C9"/>
    <w:rsid w:val="005651F4"/>
    <w:rsid w:val="005B2CE7"/>
    <w:rsid w:val="00616AA6"/>
    <w:rsid w:val="0081660F"/>
    <w:rsid w:val="008E1F10"/>
    <w:rsid w:val="00963119"/>
    <w:rsid w:val="009D63E2"/>
    <w:rsid w:val="00B55E0D"/>
    <w:rsid w:val="00B9098B"/>
    <w:rsid w:val="00C5623D"/>
    <w:rsid w:val="00C657C0"/>
    <w:rsid w:val="00C82AE8"/>
    <w:rsid w:val="00CD54B5"/>
    <w:rsid w:val="00CE36C0"/>
    <w:rsid w:val="00D22685"/>
    <w:rsid w:val="00DE4536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16AA6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AA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rsid w:val="00616AA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16AA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616AA6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616A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rsid w:val="00616A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16AA6"/>
  </w:style>
  <w:style w:type="paragraph" w:customStyle="1" w:styleId="tv213">
    <w:name w:val="tv213"/>
    <w:basedOn w:val="Normal"/>
    <w:rsid w:val="005651F4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nhideWhenUsed/>
    <w:rsid w:val="0022322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322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16AA6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AA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rsid w:val="00616AA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16AA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616AA6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616A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16AA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rsid w:val="00616A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16AA6"/>
  </w:style>
  <w:style w:type="paragraph" w:customStyle="1" w:styleId="tv213">
    <w:name w:val="tv213"/>
    <w:basedOn w:val="Normal"/>
    <w:rsid w:val="005651F4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nhideWhenUsed/>
    <w:rsid w:val="0022322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322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2003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14</cp:revision>
  <cp:lastPrinted>2013-07-16T09:19:00Z</cp:lastPrinted>
  <dcterms:created xsi:type="dcterms:W3CDTF">2013-03-15T13:58:00Z</dcterms:created>
  <dcterms:modified xsi:type="dcterms:W3CDTF">2013-07-16T09:44:00Z</dcterms:modified>
</cp:coreProperties>
</file>