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48" w:rsidRPr="00BC79FF" w:rsidRDefault="00DA5648" w:rsidP="00BC79FF">
      <w:pPr>
        <w:jc w:val="center"/>
        <w:rPr>
          <w:b/>
          <w:sz w:val="28"/>
          <w:szCs w:val="28"/>
          <w:lang w:eastAsia="en-US"/>
        </w:rPr>
      </w:pPr>
      <w:r>
        <w:rPr>
          <w:b/>
          <w:sz w:val="28"/>
          <w:szCs w:val="28"/>
        </w:rPr>
        <w:t>Ministru kabineta noteikumu „</w:t>
      </w:r>
      <w:r w:rsidRPr="00D06AD1">
        <w:rPr>
          <w:b/>
          <w:sz w:val="28"/>
          <w:szCs w:val="28"/>
          <w:lang w:eastAsia="en-US"/>
        </w:rPr>
        <w:t>Grozījumi Ministru kabineta 2010.gada 13.aprīļa noteikumos Nr.348 „Vispārīgās programmas „Solidaritāte un migrācijas plūsmu pārvaldība” ietvaros izveidotā Eiropas Ārējo robežu fonda, Eiropas Atgriešanās fonda un Eiropas Bēgļu fonda projektu atlases un tehniskās palīdzības aktivitātes īstenošanas kārtība”</w:t>
      </w:r>
      <w:r>
        <w:rPr>
          <w:b/>
          <w:sz w:val="28"/>
          <w:szCs w:val="28"/>
          <w:lang w:val="lv-LV" w:eastAsia="en-US"/>
        </w:rPr>
        <w:t xml:space="preserve"> </w:t>
      </w:r>
      <w:r>
        <w:rPr>
          <w:b/>
          <w:sz w:val="28"/>
          <w:szCs w:val="28"/>
          <w:lang w:val="lv-LV"/>
        </w:rPr>
        <w:t>p</w:t>
      </w:r>
      <w:r>
        <w:rPr>
          <w:b/>
          <w:sz w:val="28"/>
          <w:szCs w:val="28"/>
        </w:rPr>
        <w:t>rojekt</w:t>
      </w:r>
      <w:r>
        <w:rPr>
          <w:b/>
          <w:sz w:val="28"/>
          <w:szCs w:val="28"/>
          <w:lang w:val="lv-LV"/>
        </w:rPr>
        <w:t xml:space="preserve">a </w:t>
      </w:r>
      <w:r w:rsidRPr="00BC79FF">
        <w:rPr>
          <w:b/>
          <w:sz w:val="28"/>
          <w:szCs w:val="28"/>
          <w:lang w:val="lv-LV"/>
        </w:rPr>
        <w:t>sākotnējās ietekmes novērtējuma ziņojums (anotācija)</w:t>
      </w:r>
    </w:p>
    <w:p w:rsidR="00DA5648" w:rsidRPr="00BC5A14" w:rsidRDefault="00DA5648" w:rsidP="00BC79FF">
      <w:pPr>
        <w:pStyle w:val="naisc"/>
        <w:rPr>
          <w:lang w:val="lv-LV"/>
        </w:rPr>
      </w:pPr>
      <w:r w:rsidRPr="00BC5A14">
        <w:rPr>
          <w:lang w:val="lv-LV"/>
        </w:rPr>
        <w:t> </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8"/>
        <w:gridCol w:w="2977"/>
        <w:gridCol w:w="6251"/>
      </w:tblGrid>
      <w:tr w:rsidR="00DA5648" w:rsidRPr="009E7874" w:rsidTr="00E06DCC">
        <w:trPr>
          <w:tblCellSpacing w:w="0" w:type="dxa"/>
        </w:trPr>
        <w:tc>
          <w:tcPr>
            <w:tcW w:w="9796" w:type="dxa"/>
            <w:gridSpan w:val="3"/>
            <w:tcBorders>
              <w:top w:val="outset" w:sz="6" w:space="0" w:color="auto"/>
              <w:bottom w:val="outset" w:sz="6" w:space="0" w:color="auto"/>
            </w:tcBorders>
            <w:vAlign w:val="center"/>
          </w:tcPr>
          <w:p w:rsidR="00DA5648" w:rsidRPr="00BC5A14" w:rsidRDefault="00DA5648" w:rsidP="0045005C">
            <w:pPr>
              <w:pStyle w:val="naisc"/>
              <w:rPr>
                <w:lang w:val="lv-LV"/>
              </w:rPr>
            </w:pPr>
            <w:r w:rsidRPr="00BC5A14">
              <w:rPr>
                <w:b/>
                <w:bCs/>
                <w:lang w:val="lv-LV"/>
              </w:rPr>
              <w:t> I. Tiesību akta projekta izstrādes nepieciešamība</w:t>
            </w:r>
          </w:p>
        </w:tc>
      </w:tr>
      <w:tr w:rsidR="00DA5648" w:rsidRPr="00BC5A14" w:rsidTr="00E06DCC">
        <w:trPr>
          <w:trHeight w:val="630"/>
          <w:tblCellSpacing w:w="0" w:type="dxa"/>
        </w:trPr>
        <w:tc>
          <w:tcPr>
            <w:tcW w:w="568" w:type="dxa"/>
            <w:tcBorders>
              <w:top w:val="outset" w:sz="6" w:space="0" w:color="auto"/>
              <w:bottom w:val="outset" w:sz="6" w:space="0" w:color="auto"/>
              <w:right w:val="outset" w:sz="6" w:space="0" w:color="auto"/>
            </w:tcBorders>
          </w:tcPr>
          <w:p w:rsidR="00DA5648" w:rsidRPr="00BC5A14" w:rsidRDefault="00DA5648" w:rsidP="0045005C">
            <w:pPr>
              <w:pStyle w:val="naiskr"/>
              <w:rPr>
                <w:lang w:val="lv-LV"/>
              </w:rPr>
            </w:pPr>
            <w:r w:rsidRPr="00BC5A14">
              <w:rPr>
                <w:lang w:val="lv-LV"/>
              </w:rPr>
              <w:t> 1.</w:t>
            </w:r>
          </w:p>
        </w:tc>
        <w:tc>
          <w:tcPr>
            <w:tcW w:w="2977" w:type="dxa"/>
            <w:tcBorders>
              <w:top w:val="outset" w:sz="6" w:space="0" w:color="auto"/>
              <w:left w:val="outset" w:sz="6" w:space="0" w:color="auto"/>
              <w:bottom w:val="outset" w:sz="6" w:space="0" w:color="auto"/>
              <w:right w:val="outset" w:sz="6" w:space="0" w:color="auto"/>
            </w:tcBorders>
          </w:tcPr>
          <w:p w:rsidR="00DA5648" w:rsidRPr="00BC5A14" w:rsidRDefault="00DA5648" w:rsidP="0045005C">
            <w:pPr>
              <w:pStyle w:val="naislab"/>
              <w:jc w:val="left"/>
              <w:rPr>
                <w:lang w:val="lv-LV"/>
              </w:rPr>
            </w:pPr>
            <w:r w:rsidRPr="00BC5A14">
              <w:rPr>
                <w:lang w:val="lv-LV"/>
              </w:rPr>
              <w:t> Pamatojums</w:t>
            </w:r>
          </w:p>
        </w:tc>
        <w:tc>
          <w:tcPr>
            <w:tcW w:w="6251" w:type="dxa"/>
            <w:tcBorders>
              <w:top w:val="outset" w:sz="6" w:space="0" w:color="auto"/>
              <w:left w:val="outset" w:sz="6" w:space="0" w:color="auto"/>
              <w:bottom w:val="outset" w:sz="6" w:space="0" w:color="auto"/>
            </w:tcBorders>
          </w:tcPr>
          <w:p w:rsidR="00DA5648" w:rsidRPr="00DE5362" w:rsidRDefault="00DA5648" w:rsidP="0045005C">
            <w:pPr>
              <w:pStyle w:val="naiskr"/>
              <w:rPr>
                <w:lang w:val="lv-LV"/>
              </w:rPr>
            </w:pPr>
            <w:r w:rsidRPr="00DE5362">
              <w:t>Projekts šo jomu neskar</w:t>
            </w:r>
            <w:r w:rsidRPr="00DE5362">
              <w:rPr>
                <w:lang w:val="lv-LV"/>
              </w:rPr>
              <w:t xml:space="preserve"> </w:t>
            </w:r>
          </w:p>
        </w:tc>
      </w:tr>
      <w:tr w:rsidR="00DA5648" w:rsidRPr="009E7874" w:rsidTr="00E06DCC">
        <w:trPr>
          <w:trHeight w:val="472"/>
          <w:tblCellSpacing w:w="0" w:type="dxa"/>
        </w:trPr>
        <w:tc>
          <w:tcPr>
            <w:tcW w:w="568" w:type="dxa"/>
            <w:tcBorders>
              <w:top w:val="outset" w:sz="6" w:space="0" w:color="auto"/>
              <w:bottom w:val="outset" w:sz="6" w:space="0" w:color="auto"/>
              <w:right w:val="outset" w:sz="6" w:space="0" w:color="auto"/>
            </w:tcBorders>
          </w:tcPr>
          <w:p w:rsidR="00DA5648" w:rsidRPr="00BC5A14" w:rsidRDefault="00DA5648" w:rsidP="0045005C">
            <w:pPr>
              <w:pStyle w:val="naiskr"/>
              <w:rPr>
                <w:lang w:val="lv-LV"/>
              </w:rPr>
            </w:pPr>
            <w:r w:rsidRPr="00BC5A14">
              <w:rPr>
                <w:lang w:val="lv-LV"/>
              </w:rPr>
              <w:t> 2.</w:t>
            </w:r>
          </w:p>
        </w:tc>
        <w:tc>
          <w:tcPr>
            <w:tcW w:w="2977" w:type="dxa"/>
            <w:tcBorders>
              <w:top w:val="outset" w:sz="6" w:space="0" w:color="auto"/>
              <w:left w:val="outset" w:sz="6" w:space="0" w:color="auto"/>
              <w:bottom w:val="outset" w:sz="6" w:space="0" w:color="auto"/>
              <w:right w:val="outset" w:sz="6" w:space="0" w:color="auto"/>
            </w:tcBorders>
          </w:tcPr>
          <w:p w:rsidR="00DA5648" w:rsidRPr="00BC5A14" w:rsidRDefault="00DA5648" w:rsidP="0045005C">
            <w:pPr>
              <w:pStyle w:val="naiskr"/>
              <w:rPr>
                <w:lang w:val="lv-LV"/>
              </w:rPr>
            </w:pPr>
            <w:r w:rsidRPr="00BC5A14">
              <w:rPr>
                <w:lang w:val="lv-LV"/>
              </w:rPr>
              <w:t> Pašreizējā situācija un problēmas</w:t>
            </w:r>
          </w:p>
        </w:tc>
        <w:tc>
          <w:tcPr>
            <w:tcW w:w="6251" w:type="dxa"/>
            <w:tcBorders>
              <w:top w:val="outset" w:sz="6" w:space="0" w:color="auto"/>
              <w:left w:val="outset" w:sz="6" w:space="0" w:color="auto"/>
              <w:bottom w:val="outset" w:sz="6" w:space="0" w:color="auto"/>
            </w:tcBorders>
          </w:tcPr>
          <w:p w:rsidR="00E06DCC" w:rsidRDefault="00E06DCC" w:rsidP="00E06DCC">
            <w:pPr>
              <w:ind w:left="118" w:right="141"/>
              <w:jc w:val="both"/>
              <w:rPr>
                <w:lang w:val="lv-LV" w:eastAsia="en-US"/>
              </w:rPr>
            </w:pPr>
            <w:r>
              <w:rPr>
                <w:lang w:val="lv-LV"/>
              </w:rPr>
              <w:t xml:space="preserve">Eiropas Komisija ir veikusi grozījumus Eiropas Ārējo robežu fonda, Eiropas Atgriešanās fonda un Eiropas Bēgļu fonda īstenošanas noteikumos attiecībā uz attiecināmo izmaksu nosacījumiem, kas būtiski atšķiras no </w:t>
            </w:r>
            <w:r w:rsidRPr="00BC79FF">
              <w:rPr>
                <w:lang w:val="lv-LV" w:eastAsia="en-US"/>
              </w:rPr>
              <w:t>Ministru kabineta 2010.gada 13.aprīļa noteikumos Nr.348 „Vispārīgās programmas „Solidaritāte un migrācijas plūsmu pārvaldība” ietvaros izveidotā Eiropas Ārējo robežu fonda, Eiropas Atgriešanās fonda un Eiropas Bēgļu fonda projektu atlases un tehniskās palīdzības aktivitātes īstenošanas kārtība”</w:t>
            </w:r>
            <w:r>
              <w:rPr>
                <w:lang w:val="lv-LV" w:eastAsia="en-US"/>
              </w:rPr>
              <w:t xml:space="preserve"> (turpmāk – MK 2010.gada 13.aprīļa noteikumi</w:t>
            </w:r>
            <w:r w:rsidRPr="00BC79FF">
              <w:rPr>
                <w:lang w:val="lv-LV" w:eastAsia="en-US"/>
              </w:rPr>
              <w:t xml:space="preserve"> Nr.348</w:t>
            </w:r>
            <w:r>
              <w:rPr>
                <w:lang w:val="lv-LV" w:eastAsia="en-US"/>
              </w:rPr>
              <w:t>) iekļautajiem nosacījumiem. Kā arī</w:t>
            </w:r>
            <w:r w:rsidRPr="006770CE">
              <w:rPr>
                <w:lang w:val="lv-LV" w:eastAsia="en-US"/>
              </w:rPr>
              <w:t xml:space="preserve"> </w:t>
            </w:r>
            <w:r>
              <w:rPr>
                <w:lang w:val="lv-LV" w:eastAsia="en-US"/>
              </w:rPr>
              <w:t xml:space="preserve">Iekšlietu ministrija kā </w:t>
            </w:r>
            <w:r w:rsidRPr="00BC79FF">
              <w:rPr>
                <w:lang w:val="lv-LV" w:eastAsia="en-US"/>
              </w:rPr>
              <w:t xml:space="preserve">Vispārīgās programmas „Solidaritāte un migrācijas plūsmu pārvaldība” </w:t>
            </w:r>
            <w:r>
              <w:rPr>
                <w:lang w:val="lv-LV" w:eastAsia="en-US"/>
              </w:rPr>
              <w:t xml:space="preserve">Eiropas Ārējo robežu fonda, Eiropas Atgriešanās fonda un Eiropas Bēgļu fonda </w:t>
            </w:r>
            <w:r w:rsidRPr="00BC79FF">
              <w:rPr>
                <w:lang w:val="lv-LV" w:eastAsia="en-US"/>
              </w:rPr>
              <w:t>vadošā iestāde</w:t>
            </w:r>
            <w:r>
              <w:rPr>
                <w:lang w:val="lv-LV" w:eastAsia="en-US"/>
              </w:rPr>
              <w:t>, izvērtējot 2009.gada fondu projektu konkursa organizēšanu un fonda projektu iesniegumu vērtēšanas norisi, ir optimizējusi atklāta konkursa un ierobežotas atlases fonda projekt</w:t>
            </w:r>
            <w:r w:rsidR="006C1A95">
              <w:rPr>
                <w:lang w:val="lv-LV" w:eastAsia="en-US"/>
              </w:rPr>
              <w:t>u</w:t>
            </w:r>
            <w:r>
              <w:rPr>
                <w:lang w:val="lv-LV" w:eastAsia="en-US"/>
              </w:rPr>
              <w:t xml:space="preserve"> iesniegumu vērtēšanas procesu:</w:t>
            </w:r>
          </w:p>
          <w:p w:rsidR="00E06DCC" w:rsidRDefault="00E06DCC" w:rsidP="00E06DCC">
            <w:pPr>
              <w:pStyle w:val="ListParagraph"/>
              <w:numPr>
                <w:ilvl w:val="0"/>
                <w:numId w:val="4"/>
              </w:numPr>
              <w:ind w:right="141"/>
              <w:jc w:val="both"/>
              <w:rPr>
                <w:lang w:val="lv-LV" w:eastAsia="en-US"/>
              </w:rPr>
            </w:pPr>
            <w:r>
              <w:rPr>
                <w:lang w:val="lv-LV" w:eastAsia="en-US"/>
              </w:rPr>
              <w:t>attiecībā uz ierobežotas atlases fonda projektu iesniegumu izvērtēšanu;</w:t>
            </w:r>
          </w:p>
          <w:p w:rsidR="00E06DCC" w:rsidRDefault="00E06DCC" w:rsidP="00E06DCC">
            <w:pPr>
              <w:pStyle w:val="ListParagraph"/>
              <w:numPr>
                <w:ilvl w:val="0"/>
                <w:numId w:val="4"/>
              </w:numPr>
              <w:ind w:right="141"/>
              <w:jc w:val="both"/>
              <w:rPr>
                <w:lang w:val="lv-LV" w:eastAsia="en-US"/>
              </w:rPr>
            </w:pPr>
            <w:r>
              <w:rPr>
                <w:lang w:val="lv-LV" w:eastAsia="en-US"/>
              </w:rPr>
              <w:t>attiecībā uz atklāta konkursa fonda projekt</w:t>
            </w:r>
            <w:r w:rsidR="006C1A95">
              <w:rPr>
                <w:lang w:val="lv-LV" w:eastAsia="en-US"/>
              </w:rPr>
              <w:t>u</w:t>
            </w:r>
            <w:r>
              <w:rPr>
                <w:lang w:val="lv-LV" w:eastAsia="en-US"/>
              </w:rPr>
              <w:t xml:space="preserve"> iesniegum</w:t>
            </w:r>
            <w:r w:rsidR="006C1A95">
              <w:rPr>
                <w:lang w:val="lv-LV" w:eastAsia="en-US"/>
              </w:rPr>
              <w:t>u</w:t>
            </w:r>
            <w:r>
              <w:rPr>
                <w:lang w:val="lv-LV" w:eastAsia="en-US"/>
              </w:rPr>
              <w:t xml:space="preserve"> rezerves sarakstā iekļauto fonda projektu iesniegumu atkārtotu izvērtēšanu, tā nav lietderīga un nepieciešama, jo fonda projekt</w:t>
            </w:r>
            <w:r w:rsidR="006C1A95">
              <w:rPr>
                <w:lang w:val="lv-LV" w:eastAsia="en-US"/>
              </w:rPr>
              <w:t>u</w:t>
            </w:r>
            <w:r>
              <w:rPr>
                <w:lang w:val="lv-LV" w:eastAsia="en-US"/>
              </w:rPr>
              <w:t xml:space="preserve"> iesniegumu izvērtēšanas rezultātu secība nemainās;</w:t>
            </w:r>
          </w:p>
          <w:p w:rsidR="00E06DCC" w:rsidRPr="00AA53D1" w:rsidRDefault="00E06DCC" w:rsidP="00E06DCC">
            <w:pPr>
              <w:pStyle w:val="ListParagraph"/>
              <w:numPr>
                <w:ilvl w:val="0"/>
                <w:numId w:val="4"/>
              </w:numPr>
              <w:ind w:right="141"/>
              <w:jc w:val="both"/>
              <w:rPr>
                <w:lang w:val="lv-LV" w:eastAsia="en-US"/>
              </w:rPr>
            </w:pPr>
            <w:r>
              <w:rPr>
                <w:lang w:val="lv-LV" w:eastAsia="en-US"/>
              </w:rPr>
              <w:t>nav nepieciešamas informēt fonda projekt</w:t>
            </w:r>
            <w:r w:rsidR="006C1A95">
              <w:rPr>
                <w:lang w:val="lv-LV" w:eastAsia="en-US"/>
              </w:rPr>
              <w:t>a</w:t>
            </w:r>
            <w:r>
              <w:rPr>
                <w:lang w:val="lv-LV" w:eastAsia="en-US"/>
              </w:rPr>
              <w:t xml:space="preserve"> iesniedzēju par fonda projekta iesnieguma iekļaušanu rezerves saraktā, jo tas neapstiprina ne fonda projekta iesnieguma apstiprināšanu, ne noraidīšanu. Līdz ar to, pēc visu </w:t>
            </w:r>
            <w:proofErr w:type="spellStart"/>
            <w:r>
              <w:rPr>
                <w:lang w:val="lv-LV" w:eastAsia="en-US"/>
              </w:rPr>
              <w:t>granta</w:t>
            </w:r>
            <w:proofErr w:type="spellEnd"/>
            <w:r>
              <w:rPr>
                <w:lang w:val="lv-LV" w:eastAsia="en-US"/>
              </w:rPr>
              <w:t xml:space="preserve"> līgumu noslēgšanas, fonda projekta iesniedzējs tiek informēts par attiecīga fonda projekta iesnieguma apstiprināšanu vai noraidīšanu.</w:t>
            </w:r>
          </w:p>
          <w:p w:rsidR="00212718" w:rsidRPr="00E06DCC" w:rsidRDefault="006C1A95" w:rsidP="006C1A95">
            <w:pPr>
              <w:ind w:left="118" w:right="141"/>
              <w:jc w:val="both"/>
              <w:rPr>
                <w:lang w:val="lv-LV" w:eastAsia="en-US"/>
              </w:rPr>
            </w:pPr>
            <w:r>
              <w:rPr>
                <w:lang w:val="lv-LV"/>
              </w:rPr>
              <w:t>Tādēļ l</w:t>
            </w:r>
            <w:r w:rsidR="00E06DCC">
              <w:rPr>
                <w:lang w:val="lv-LV"/>
              </w:rPr>
              <w:t xml:space="preserve">ai Iekšlietu ministrija </w:t>
            </w:r>
            <w:r w:rsidR="00E06DCC" w:rsidRPr="00BC79FF">
              <w:rPr>
                <w:lang w:val="lv-LV" w:eastAsia="en-US"/>
              </w:rPr>
              <w:t xml:space="preserve">varētu izsludināt 2010.gada </w:t>
            </w:r>
            <w:r>
              <w:rPr>
                <w:lang w:val="lv-LV" w:eastAsia="en-US"/>
              </w:rPr>
              <w:t xml:space="preserve">fondu </w:t>
            </w:r>
            <w:r w:rsidR="00E06DCC" w:rsidRPr="00BC79FF">
              <w:rPr>
                <w:lang w:val="lv-LV" w:eastAsia="en-US"/>
              </w:rPr>
              <w:t>projektu konkursu</w:t>
            </w:r>
            <w:r w:rsidR="00E06DCC">
              <w:rPr>
                <w:lang w:val="lv-LV" w:eastAsia="en-US"/>
              </w:rPr>
              <w:t xml:space="preserve">, </w:t>
            </w:r>
            <w:r w:rsidR="00E06DCC">
              <w:rPr>
                <w:lang w:val="lv-LV"/>
              </w:rPr>
              <w:t xml:space="preserve">ir nepieciešams veikt grozījumus </w:t>
            </w:r>
            <w:r w:rsidR="00E06DCC">
              <w:rPr>
                <w:lang w:val="lv-LV" w:eastAsia="en-US"/>
              </w:rPr>
              <w:t>MK</w:t>
            </w:r>
            <w:r w:rsidR="00E06DCC" w:rsidRPr="00BC79FF">
              <w:rPr>
                <w:lang w:val="lv-LV" w:eastAsia="en-US"/>
              </w:rPr>
              <w:t xml:space="preserve"> 2010.gada 13.aprīļa noteikumos Nr.348</w:t>
            </w:r>
            <w:r w:rsidR="00E06DCC">
              <w:rPr>
                <w:lang w:val="lv-LV" w:eastAsia="en-US"/>
              </w:rPr>
              <w:t>.</w:t>
            </w:r>
            <w:r w:rsidR="00E06DCC" w:rsidRPr="00BC79FF">
              <w:rPr>
                <w:lang w:val="lv-LV" w:eastAsia="en-US"/>
              </w:rPr>
              <w:t xml:space="preserve"> </w:t>
            </w:r>
          </w:p>
        </w:tc>
      </w:tr>
      <w:tr w:rsidR="00DA5648" w:rsidRPr="00BC5A14" w:rsidTr="00E06DCC">
        <w:trPr>
          <w:trHeight w:val="702"/>
          <w:tblCellSpacing w:w="0" w:type="dxa"/>
        </w:trPr>
        <w:tc>
          <w:tcPr>
            <w:tcW w:w="568" w:type="dxa"/>
            <w:tcBorders>
              <w:top w:val="outset" w:sz="6" w:space="0" w:color="auto"/>
              <w:bottom w:val="outset" w:sz="6" w:space="0" w:color="auto"/>
              <w:right w:val="outset" w:sz="6" w:space="0" w:color="auto"/>
            </w:tcBorders>
          </w:tcPr>
          <w:p w:rsidR="00DA5648" w:rsidRPr="00BC5A14" w:rsidRDefault="00DA5648" w:rsidP="0045005C">
            <w:pPr>
              <w:pStyle w:val="naiskr"/>
              <w:rPr>
                <w:lang w:val="lv-LV"/>
              </w:rPr>
            </w:pPr>
            <w:r w:rsidRPr="00BC5A14">
              <w:rPr>
                <w:lang w:val="lv-LV"/>
              </w:rPr>
              <w:t> 3.</w:t>
            </w:r>
          </w:p>
        </w:tc>
        <w:tc>
          <w:tcPr>
            <w:tcW w:w="2977" w:type="dxa"/>
            <w:tcBorders>
              <w:top w:val="outset" w:sz="6" w:space="0" w:color="auto"/>
              <w:left w:val="outset" w:sz="6" w:space="0" w:color="auto"/>
              <w:bottom w:val="outset" w:sz="6" w:space="0" w:color="auto"/>
              <w:right w:val="outset" w:sz="6" w:space="0" w:color="auto"/>
            </w:tcBorders>
          </w:tcPr>
          <w:p w:rsidR="00DA5648" w:rsidRPr="00BC5A14" w:rsidRDefault="00DA5648" w:rsidP="0045005C">
            <w:pPr>
              <w:pStyle w:val="naiskr"/>
              <w:rPr>
                <w:lang w:val="lv-LV"/>
              </w:rPr>
            </w:pPr>
            <w:r w:rsidRPr="00BC5A14">
              <w:rPr>
                <w:lang w:val="lv-LV"/>
              </w:rPr>
              <w:t> Saistītie politikas ietekmes novērtējumi un pētījumi</w:t>
            </w:r>
          </w:p>
        </w:tc>
        <w:tc>
          <w:tcPr>
            <w:tcW w:w="6251" w:type="dxa"/>
            <w:tcBorders>
              <w:top w:val="outset" w:sz="6" w:space="0" w:color="auto"/>
              <w:left w:val="outset" w:sz="6" w:space="0" w:color="auto"/>
              <w:bottom w:val="outset" w:sz="6" w:space="0" w:color="auto"/>
            </w:tcBorders>
          </w:tcPr>
          <w:p w:rsidR="00DA5648" w:rsidRPr="00DE5362" w:rsidRDefault="00DA5648" w:rsidP="002E0721">
            <w:pPr>
              <w:pStyle w:val="naiskr"/>
              <w:ind w:left="124" w:right="141"/>
              <w:rPr>
                <w:lang w:val="lv-LV"/>
              </w:rPr>
            </w:pPr>
            <w:r w:rsidRPr="00DE5362">
              <w:t>Projekts šo jomu neskar</w:t>
            </w:r>
          </w:p>
        </w:tc>
      </w:tr>
      <w:tr w:rsidR="00DA5648" w:rsidRPr="009E7874" w:rsidTr="00E06DCC">
        <w:trPr>
          <w:trHeight w:val="384"/>
          <w:tblCellSpacing w:w="0" w:type="dxa"/>
        </w:trPr>
        <w:tc>
          <w:tcPr>
            <w:tcW w:w="568" w:type="dxa"/>
            <w:tcBorders>
              <w:top w:val="outset" w:sz="6" w:space="0" w:color="auto"/>
              <w:bottom w:val="outset" w:sz="6" w:space="0" w:color="auto"/>
              <w:right w:val="outset" w:sz="6" w:space="0" w:color="auto"/>
            </w:tcBorders>
          </w:tcPr>
          <w:p w:rsidR="00DA5648" w:rsidRPr="00BC5A14" w:rsidRDefault="00DA5648" w:rsidP="0045005C">
            <w:pPr>
              <w:pStyle w:val="naiskr"/>
              <w:rPr>
                <w:lang w:val="lv-LV"/>
              </w:rPr>
            </w:pPr>
            <w:r w:rsidRPr="00BC5A14">
              <w:rPr>
                <w:lang w:val="lv-LV"/>
              </w:rPr>
              <w:lastRenderedPageBreak/>
              <w:t> 4.</w:t>
            </w:r>
          </w:p>
        </w:tc>
        <w:tc>
          <w:tcPr>
            <w:tcW w:w="2977" w:type="dxa"/>
            <w:tcBorders>
              <w:top w:val="outset" w:sz="6" w:space="0" w:color="auto"/>
              <w:left w:val="outset" w:sz="6" w:space="0" w:color="auto"/>
              <w:bottom w:val="outset" w:sz="6" w:space="0" w:color="auto"/>
              <w:right w:val="outset" w:sz="6" w:space="0" w:color="auto"/>
            </w:tcBorders>
          </w:tcPr>
          <w:p w:rsidR="00DA5648" w:rsidRPr="00BC5A14" w:rsidRDefault="00DA5648" w:rsidP="0045005C">
            <w:pPr>
              <w:pStyle w:val="naiskr"/>
              <w:rPr>
                <w:lang w:val="lv-LV"/>
              </w:rPr>
            </w:pPr>
            <w:r w:rsidRPr="00BC5A14">
              <w:rPr>
                <w:lang w:val="lv-LV"/>
              </w:rPr>
              <w:t> Tiesiskā regulējuma mērķis un būtība</w:t>
            </w:r>
          </w:p>
        </w:tc>
        <w:tc>
          <w:tcPr>
            <w:tcW w:w="6251" w:type="dxa"/>
            <w:tcBorders>
              <w:top w:val="outset" w:sz="6" w:space="0" w:color="auto"/>
              <w:left w:val="outset" w:sz="6" w:space="0" w:color="auto"/>
              <w:bottom w:val="outset" w:sz="6" w:space="0" w:color="auto"/>
            </w:tcBorders>
          </w:tcPr>
          <w:p w:rsidR="00DA5648" w:rsidRPr="00BC5A14" w:rsidRDefault="00DA5648" w:rsidP="009A4251">
            <w:pPr>
              <w:pStyle w:val="naiskr"/>
              <w:ind w:left="124" w:right="141"/>
              <w:jc w:val="both"/>
              <w:rPr>
                <w:lang w:val="lv-LV"/>
              </w:rPr>
            </w:pPr>
            <w:r w:rsidRPr="00BC5A14">
              <w:rPr>
                <w:lang w:val="lv-LV"/>
              </w:rPr>
              <w:t xml:space="preserve"> Noteikumu projekts precizēs Ministru kabineta </w:t>
            </w:r>
            <w:r w:rsidRPr="00BC79FF">
              <w:rPr>
                <w:lang w:val="lv-LV" w:eastAsia="en-US"/>
              </w:rPr>
              <w:t>2010.gada 13.aprīļa noteikumos Nr.348 „Vispārīgās programmas „Solidaritāte un migrācijas plūsmu pārvaldība” ietvaros izveidotā Eiropas Ārējo robežu fonda, Eiropas Atgriešanās fonda un Eiropas Bēgļu fonda projektu atlases un tehniskās palīdzības aktivitātes īstenošanas kārtība”</w:t>
            </w:r>
            <w:r w:rsidRPr="00BC5A14">
              <w:rPr>
                <w:lang w:val="lv-LV"/>
              </w:rPr>
              <w:t xml:space="preserve"> </w:t>
            </w:r>
            <w:r>
              <w:rPr>
                <w:lang w:val="lv-LV"/>
              </w:rPr>
              <w:t xml:space="preserve">noteiktos nosacījumus projekta iesniedzējam, projekta budžeta veidlapu un atklāta konkursa un ierobežotas atlases vērtēšanas </w:t>
            </w:r>
            <w:r w:rsidR="009A4251">
              <w:rPr>
                <w:lang w:val="lv-LV"/>
              </w:rPr>
              <w:t>kārtību</w:t>
            </w:r>
          </w:p>
        </w:tc>
      </w:tr>
      <w:tr w:rsidR="00DA5648" w:rsidRPr="00BC5A14" w:rsidTr="00E06DCC">
        <w:trPr>
          <w:trHeight w:val="476"/>
          <w:tblCellSpacing w:w="0" w:type="dxa"/>
        </w:trPr>
        <w:tc>
          <w:tcPr>
            <w:tcW w:w="568" w:type="dxa"/>
            <w:tcBorders>
              <w:top w:val="outset" w:sz="6" w:space="0" w:color="auto"/>
              <w:bottom w:val="outset" w:sz="6" w:space="0" w:color="auto"/>
              <w:right w:val="outset" w:sz="6" w:space="0" w:color="auto"/>
            </w:tcBorders>
          </w:tcPr>
          <w:p w:rsidR="00DA5648" w:rsidRPr="00BC5A14" w:rsidRDefault="00DA5648" w:rsidP="0045005C">
            <w:pPr>
              <w:pStyle w:val="naiskr"/>
              <w:rPr>
                <w:lang w:val="lv-LV"/>
              </w:rPr>
            </w:pPr>
            <w:r w:rsidRPr="00BC5A14">
              <w:rPr>
                <w:lang w:val="lv-LV"/>
              </w:rPr>
              <w:t> 5.</w:t>
            </w:r>
          </w:p>
        </w:tc>
        <w:tc>
          <w:tcPr>
            <w:tcW w:w="2977" w:type="dxa"/>
            <w:tcBorders>
              <w:top w:val="outset" w:sz="6" w:space="0" w:color="auto"/>
              <w:left w:val="outset" w:sz="6" w:space="0" w:color="auto"/>
              <w:bottom w:val="outset" w:sz="6" w:space="0" w:color="auto"/>
              <w:right w:val="outset" w:sz="6" w:space="0" w:color="auto"/>
            </w:tcBorders>
          </w:tcPr>
          <w:p w:rsidR="00DA5648" w:rsidRPr="00BC5A14" w:rsidRDefault="00DA5648" w:rsidP="0045005C">
            <w:pPr>
              <w:pStyle w:val="naiskr"/>
              <w:rPr>
                <w:lang w:val="lv-LV"/>
              </w:rPr>
            </w:pPr>
            <w:r w:rsidRPr="00BC5A14">
              <w:rPr>
                <w:lang w:val="lv-LV"/>
              </w:rPr>
              <w:t> Projekta izstrādē iesaistītās institūcijas</w:t>
            </w:r>
          </w:p>
        </w:tc>
        <w:tc>
          <w:tcPr>
            <w:tcW w:w="6251" w:type="dxa"/>
            <w:tcBorders>
              <w:top w:val="outset" w:sz="6" w:space="0" w:color="auto"/>
              <w:left w:val="outset" w:sz="6" w:space="0" w:color="auto"/>
              <w:bottom w:val="outset" w:sz="6" w:space="0" w:color="auto"/>
            </w:tcBorders>
          </w:tcPr>
          <w:p w:rsidR="00DA5648" w:rsidRPr="00BC5A14" w:rsidRDefault="00DA5648" w:rsidP="00BC79FF">
            <w:pPr>
              <w:pStyle w:val="naiskr"/>
              <w:rPr>
                <w:lang w:val="lv-LV"/>
              </w:rPr>
            </w:pPr>
            <w:r w:rsidRPr="00BC5A14">
              <w:rPr>
                <w:lang w:val="lv-LV"/>
              </w:rPr>
              <w:t> </w:t>
            </w:r>
            <w:r>
              <w:rPr>
                <w:lang w:val="lv-LV"/>
              </w:rPr>
              <w:t>Iekšlietu ministrija</w:t>
            </w:r>
          </w:p>
        </w:tc>
      </w:tr>
      <w:tr w:rsidR="00DA5648" w:rsidRPr="009E7874" w:rsidTr="00E06DCC">
        <w:trPr>
          <w:trHeight w:val="703"/>
          <w:tblCellSpacing w:w="0" w:type="dxa"/>
        </w:trPr>
        <w:tc>
          <w:tcPr>
            <w:tcW w:w="568" w:type="dxa"/>
            <w:tcBorders>
              <w:top w:val="outset" w:sz="6" w:space="0" w:color="auto"/>
              <w:bottom w:val="outset" w:sz="6" w:space="0" w:color="auto"/>
              <w:right w:val="outset" w:sz="6" w:space="0" w:color="auto"/>
            </w:tcBorders>
          </w:tcPr>
          <w:p w:rsidR="00DA5648" w:rsidRPr="00BC5A14" w:rsidRDefault="00DA5648" w:rsidP="0045005C">
            <w:pPr>
              <w:pStyle w:val="naiskr"/>
              <w:rPr>
                <w:lang w:val="lv-LV"/>
              </w:rPr>
            </w:pPr>
            <w:r w:rsidRPr="00BC5A14">
              <w:rPr>
                <w:lang w:val="lv-LV"/>
              </w:rPr>
              <w:t> 6.</w:t>
            </w:r>
          </w:p>
        </w:tc>
        <w:tc>
          <w:tcPr>
            <w:tcW w:w="2977" w:type="dxa"/>
            <w:tcBorders>
              <w:top w:val="outset" w:sz="6" w:space="0" w:color="auto"/>
              <w:left w:val="outset" w:sz="6" w:space="0" w:color="auto"/>
              <w:bottom w:val="outset" w:sz="6" w:space="0" w:color="auto"/>
              <w:right w:val="outset" w:sz="6" w:space="0" w:color="auto"/>
            </w:tcBorders>
          </w:tcPr>
          <w:p w:rsidR="00DA5648" w:rsidRPr="00BC5A14" w:rsidRDefault="00DA5648" w:rsidP="0045005C">
            <w:pPr>
              <w:pStyle w:val="naiskr"/>
              <w:rPr>
                <w:lang w:val="lv-LV"/>
              </w:rPr>
            </w:pPr>
            <w:r w:rsidRPr="00BC5A14">
              <w:rPr>
                <w:lang w:val="lv-LV"/>
              </w:rPr>
              <w:t> Iemesli, kādēļ netika nodrošināta sabiedrības līdzdalība</w:t>
            </w:r>
          </w:p>
        </w:tc>
        <w:tc>
          <w:tcPr>
            <w:tcW w:w="6251" w:type="dxa"/>
            <w:tcBorders>
              <w:top w:val="outset" w:sz="6" w:space="0" w:color="auto"/>
              <w:left w:val="outset" w:sz="6" w:space="0" w:color="auto"/>
              <w:bottom w:val="outset" w:sz="6" w:space="0" w:color="auto"/>
            </w:tcBorders>
          </w:tcPr>
          <w:p w:rsidR="00DA5648" w:rsidRPr="00BC5A14" w:rsidRDefault="00DA5648" w:rsidP="002E0721">
            <w:pPr>
              <w:pStyle w:val="naiskr"/>
              <w:ind w:left="124" w:right="141"/>
              <w:jc w:val="both"/>
              <w:rPr>
                <w:lang w:val="lv-LV"/>
              </w:rPr>
            </w:pPr>
            <w:r w:rsidRPr="00BC5A14">
              <w:rPr>
                <w:lang w:val="lv-LV"/>
              </w:rPr>
              <w:t>Noteikumu projekta tapšanā sabiedrība netika iesaistīta, jo not</w:t>
            </w:r>
            <w:r w:rsidR="005F14F1">
              <w:rPr>
                <w:lang w:val="lv-LV"/>
              </w:rPr>
              <w:t>e</w:t>
            </w:r>
            <w:r w:rsidRPr="00BC5A14">
              <w:rPr>
                <w:lang w:val="lv-LV"/>
              </w:rPr>
              <w:t xml:space="preserve">ikumu projekts precizēs Ministru kabineta </w:t>
            </w:r>
            <w:r w:rsidRPr="00BC79FF">
              <w:rPr>
                <w:lang w:val="lv-LV" w:eastAsia="en-US"/>
              </w:rPr>
              <w:t>2010.gada 13.aprīļa noteikumos Nr.348 „Vispārīgās programmas „Solidaritāte un migrācijas plūsmu pārvaldība” ietvaros izveidotā Eiropas Ārējo robežu fonda, Eiropas Atgriešanās fonda un Eiropas Bēgļu fonda projektu atlases un tehniskās palīdzības aktivitātes īstenošanas kārtība”</w:t>
            </w:r>
            <w:r w:rsidRPr="00BC5A14">
              <w:rPr>
                <w:lang w:val="lv-LV"/>
              </w:rPr>
              <w:t xml:space="preserve"> atbilstoši </w:t>
            </w:r>
            <w:r>
              <w:rPr>
                <w:lang w:val="lv-LV"/>
              </w:rPr>
              <w:t>Eiropas Komisijas nosacījumiem</w:t>
            </w:r>
          </w:p>
        </w:tc>
      </w:tr>
      <w:tr w:rsidR="00DA5648" w:rsidRPr="00BC5A14" w:rsidTr="00E06DCC">
        <w:trPr>
          <w:tblCellSpacing w:w="0" w:type="dxa"/>
        </w:trPr>
        <w:tc>
          <w:tcPr>
            <w:tcW w:w="568" w:type="dxa"/>
            <w:tcBorders>
              <w:top w:val="outset" w:sz="6" w:space="0" w:color="auto"/>
              <w:bottom w:val="outset" w:sz="6" w:space="0" w:color="auto"/>
              <w:right w:val="outset" w:sz="6" w:space="0" w:color="auto"/>
            </w:tcBorders>
          </w:tcPr>
          <w:p w:rsidR="00DA5648" w:rsidRPr="00BC5A14" w:rsidRDefault="00DA5648" w:rsidP="0045005C">
            <w:pPr>
              <w:pStyle w:val="naiskr"/>
              <w:rPr>
                <w:lang w:val="lv-LV"/>
              </w:rPr>
            </w:pPr>
            <w:r w:rsidRPr="00BC5A14">
              <w:rPr>
                <w:lang w:val="lv-LV"/>
              </w:rPr>
              <w:t> 7.</w:t>
            </w:r>
          </w:p>
        </w:tc>
        <w:tc>
          <w:tcPr>
            <w:tcW w:w="2977" w:type="dxa"/>
            <w:tcBorders>
              <w:top w:val="outset" w:sz="6" w:space="0" w:color="auto"/>
              <w:left w:val="outset" w:sz="6" w:space="0" w:color="auto"/>
              <w:bottom w:val="outset" w:sz="6" w:space="0" w:color="auto"/>
              <w:right w:val="outset" w:sz="6" w:space="0" w:color="auto"/>
            </w:tcBorders>
          </w:tcPr>
          <w:p w:rsidR="00DA5648" w:rsidRPr="00BC5A14" w:rsidRDefault="00DA5648" w:rsidP="0045005C">
            <w:pPr>
              <w:pStyle w:val="naiskr"/>
              <w:rPr>
                <w:lang w:val="lv-LV"/>
              </w:rPr>
            </w:pPr>
            <w:r w:rsidRPr="00BC5A14">
              <w:rPr>
                <w:lang w:val="lv-LV"/>
              </w:rPr>
              <w:t> Cita informācija</w:t>
            </w:r>
          </w:p>
        </w:tc>
        <w:tc>
          <w:tcPr>
            <w:tcW w:w="6251" w:type="dxa"/>
            <w:tcBorders>
              <w:top w:val="outset" w:sz="6" w:space="0" w:color="auto"/>
              <w:left w:val="outset" w:sz="6" w:space="0" w:color="auto"/>
              <w:bottom w:val="outset" w:sz="6" w:space="0" w:color="auto"/>
            </w:tcBorders>
          </w:tcPr>
          <w:p w:rsidR="00DA5648" w:rsidRDefault="00DA5648" w:rsidP="0045005C">
            <w:pPr>
              <w:jc w:val="both"/>
              <w:rPr>
                <w:lang w:val="lv-LV"/>
              </w:rPr>
            </w:pPr>
            <w:r w:rsidRPr="00BC5A14">
              <w:rPr>
                <w:lang w:val="lv-LV"/>
              </w:rPr>
              <w:t> </w:t>
            </w:r>
            <w:r>
              <w:rPr>
                <w:lang w:val="lv-LV"/>
              </w:rPr>
              <w:t>Nav</w:t>
            </w:r>
          </w:p>
          <w:p w:rsidR="00DA5648" w:rsidRPr="00BC5A14" w:rsidRDefault="00DA5648" w:rsidP="0045005C">
            <w:pPr>
              <w:pStyle w:val="naiskr"/>
              <w:rPr>
                <w:lang w:val="lv-LV"/>
              </w:rPr>
            </w:pPr>
          </w:p>
        </w:tc>
      </w:tr>
    </w:tbl>
    <w:p w:rsidR="00E06DCC" w:rsidRDefault="00E06DCC" w:rsidP="00E06DCC">
      <w:pPr>
        <w:pStyle w:val="naisf"/>
        <w:ind w:firstLine="0"/>
        <w:rPr>
          <w:lang w:val="lv-LV"/>
        </w:rPr>
      </w:pPr>
    </w:p>
    <w:tbl>
      <w:tblPr>
        <w:tblW w:w="0" w:type="auto"/>
        <w:tblCellSpacing w:w="20" w:type="dxa"/>
        <w:tblInd w:w="-268"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Look w:val="04A0" w:firstRow="1" w:lastRow="0" w:firstColumn="1" w:lastColumn="0" w:noHBand="0" w:noVBand="1"/>
      </w:tblPr>
      <w:tblGrid>
        <w:gridCol w:w="568"/>
        <w:gridCol w:w="2835"/>
        <w:gridCol w:w="6379"/>
      </w:tblGrid>
      <w:tr w:rsidR="00E26EA4" w:rsidRPr="009E7874" w:rsidTr="00E06DCC">
        <w:trPr>
          <w:tblCellSpacing w:w="20" w:type="dxa"/>
        </w:trPr>
        <w:tc>
          <w:tcPr>
            <w:tcW w:w="9702" w:type="dxa"/>
            <w:gridSpan w:val="3"/>
            <w:shd w:val="clear" w:color="auto" w:fill="auto"/>
          </w:tcPr>
          <w:p w:rsidR="00E26EA4" w:rsidRPr="00840750" w:rsidRDefault="00E26EA4" w:rsidP="00840750">
            <w:pPr>
              <w:pStyle w:val="naisf"/>
              <w:ind w:firstLine="0"/>
              <w:jc w:val="center"/>
              <w:rPr>
                <w:lang w:val="lv-LV"/>
              </w:rPr>
            </w:pPr>
            <w:r w:rsidRPr="00840750">
              <w:rPr>
                <w:b/>
                <w:bCs/>
                <w:lang w:val="lv-LV"/>
              </w:rPr>
              <w:t>V. Tiesību akta projekta atbilstība Latvijas Republikas starptautiskajām saistībām</w:t>
            </w:r>
          </w:p>
        </w:tc>
      </w:tr>
      <w:tr w:rsidR="00840750" w:rsidRPr="009E7874" w:rsidTr="00E06DCC">
        <w:trPr>
          <w:tblCellSpacing w:w="20" w:type="dxa"/>
        </w:trPr>
        <w:tc>
          <w:tcPr>
            <w:tcW w:w="508" w:type="dxa"/>
            <w:shd w:val="clear" w:color="auto" w:fill="auto"/>
          </w:tcPr>
          <w:p w:rsidR="00E26EA4" w:rsidRPr="00840750" w:rsidRDefault="00E26EA4" w:rsidP="00840750">
            <w:pPr>
              <w:pStyle w:val="naisf"/>
              <w:ind w:firstLine="0"/>
              <w:rPr>
                <w:lang w:val="lv-LV"/>
              </w:rPr>
            </w:pPr>
            <w:r w:rsidRPr="00840750">
              <w:rPr>
                <w:lang w:val="lv-LV"/>
              </w:rPr>
              <w:t>1.</w:t>
            </w:r>
          </w:p>
        </w:tc>
        <w:tc>
          <w:tcPr>
            <w:tcW w:w="2795" w:type="dxa"/>
            <w:shd w:val="clear" w:color="auto" w:fill="auto"/>
          </w:tcPr>
          <w:p w:rsidR="00E26EA4" w:rsidRPr="00840750" w:rsidRDefault="00E26EA4" w:rsidP="00840750">
            <w:pPr>
              <w:pStyle w:val="naisf"/>
              <w:ind w:firstLine="0"/>
              <w:rPr>
                <w:lang w:val="lv-LV"/>
              </w:rPr>
            </w:pPr>
            <w:r>
              <w:t>Saistības pret Eiropas Savienību</w:t>
            </w:r>
          </w:p>
        </w:tc>
        <w:tc>
          <w:tcPr>
            <w:tcW w:w="6319" w:type="dxa"/>
            <w:shd w:val="clear" w:color="auto" w:fill="auto"/>
          </w:tcPr>
          <w:p w:rsidR="009A58F7" w:rsidRDefault="009A58F7" w:rsidP="009A58F7">
            <w:pPr>
              <w:numPr>
                <w:ilvl w:val="1"/>
                <w:numId w:val="1"/>
              </w:numPr>
              <w:tabs>
                <w:tab w:val="left" w:pos="429"/>
              </w:tabs>
              <w:autoSpaceDE w:val="0"/>
              <w:autoSpaceDN w:val="0"/>
              <w:adjustRightInd w:val="0"/>
              <w:ind w:left="4" w:hanging="4"/>
              <w:jc w:val="both"/>
              <w:rPr>
                <w:rFonts w:ascii="TimesNewRoman,Bold" w:eastAsia="Calibri" w:hAnsi="TimesNewRoman,Bold" w:cs="TimesNewRoman,Bold"/>
                <w:bCs/>
                <w:lang w:val="lv-LV" w:eastAsia="lv-LV"/>
              </w:rPr>
            </w:pPr>
            <w:r w:rsidRPr="009A58F7">
              <w:rPr>
                <w:b/>
                <w:lang w:val="lv-LV"/>
              </w:rPr>
              <w:t>EK 02.03.2011. lēmums C(2011) 1259</w:t>
            </w:r>
            <w:r>
              <w:rPr>
                <w:lang w:val="lv-LV"/>
              </w:rPr>
              <w:t xml:space="preserve"> „</w:t>
            </w:r>
            <w:r>
              <w:rPr>
                <w:rFonts w:ascii="TimesNewRoman,Bold" w:eastAsia="Calibri" w:hAnsi="TimesNewRoman,Bold" w:cs="TimesNewRoman,Bold"/>
                <w:bCs/>
                <w:lang w:val="lv-LV" w:eastAsia="lv-LV"/>
              </w:rPr>
              <w:t>A</w:t>
            </w:r>
            <w:r w:rsidRPr="009A58F7">
              <w:rPr>
                <w:rFonts w:ascii="TimesNewRoman,Bold" w:eastAsia="Calibri" w:hAnsi="TimesNewRoman,Bold" w:cs="TimesNewRoman,Bold"/>
                <w:bCs/>
                <w:lang w:val="lv-LV" w:eastAsia="lv-LV"/>
              </w:rPr>
              <w:t>r ko groza Lēmumu 2008/458/EK, kas nosaka kārtību, kādā īstenojams Eiropas</w:t>
            </w:r>
            <w:r>
              <w:rPr>
                <w:rFonts w:ascii="TimesNewRoman,Bold" w:eastAsia="Calibri" w:hAnsi="TimesNewRoman,Bold" w:cs="TimesNewRoman,Bold"/>
                <w:bCs/>
                <w:lang w:val="lv-LV" w:eastAsia="lv-LV"/>
              </w:rPr>
              <w:t xml:space="preserve"> </w:t>
            </w:r>
            <w:r w:rsidRPr="009A58F7">
              <w:rPr>
                <w:rFonts w:ascii="TimesNewRoman,Bold" w:eastAsia="Calibri" w:hAnsi="TimesNewRoman,Bold" w:cs="TimesNewRoman,Bold"/>
                <w:bCs/>
                <w:lang w:val="lv-LV" w:eastAsia="lv-LV"/>
              </w:rPr>
              <w:t xml:space="preserve">Parlamenta un Padomes Lēmums Nr. 575/2007/EK, ar kuru izveido </w:t>
            </w:r>
            <w:r w:rsidRPr="009A58F7">
              <w:rPr>
                <w:rFonts w:ascii="TimesNewRoman,Bold" w:eastAsia="Calibri" w:hAnsi="TimesNewRoman,Bold" w:cs="TimesNewRoman,Bold"/>
                <w:b/>
                <w:bCs/>
                <w:lang w:val="lv-LV" w:eastAsia="lv-LV"/>
              </w:rPr>
              <w:t>Eiropas Atgriešanās fondu</w:t>
            </w:r>
            <w:r w:rsidRPr="009A58F7">
              <w:rPr>
                <w:rFonts w:ascii="TimesNewRoman,Bold" w:eastAsia="Calibri" w:hAnsi="TimesNewRoman,Bold" w:cs="TimesNewRoman,Bold"/>
                <w:bCs/>
                <w:lang w:val="lv-LV" w:eastAsia="lv-LV"/>
              </w:rPr>
              <w:t xml:space="preserve"> laika posmam no 2008. līdz 2013. gadam kā daļu no vispārīgā</w:t>
            </w:r>
            <w:r>
              <w:rPr>
                <w:rFonts w:ascii="TimesNewRoman,Bold" w:eastAsia="Calibri" w:hAnsi="TimesNewRoman,Bold" w:cs="TimesNewRoman,Bold"/>
                <w:bCs/>
                <w:lang w:val="lv-LV" w:eastAsia="lv-LV"/>
              </w:rPr>
              <w:t xml:space="preserve">s programmas </w:t>
            </w:r>
            <w:r w:rsidRPr="009A58F7">
              <w:rPr>
                <w:rFonts w:ascii="TimesNewRoman,Bold" w:eastAsia="Calibri" w:hAnsi="TimesNewRoman,Bold" w:cs="TimesNewRoman,Bold"/>
                <w:bCs/>
                <w:lang w:val="lv-LV" w:eastAsia="lv-LV"/>
              </w:rPr>
              <w:t>„Solidaritāte un migrācijas plūsmu pārvaldība”, attiecībā uz dalībvalstu pārvaldī</w:t>
            </w:r>
            <w:r>
              <w:rPr>
                <w:rFonts w:ascii="TimesNewRoman,Bold" w:eastAsia="Calibri" w:hAnsi="TimesNewRoman,Bold" w:cs="TimesNewRoman,Bold"/>
                <w:bCs/>
                <w:lang w:val="lv-LV" w:eastAsia="lv-LV"/>
              </w:rPr>
              <w:t xml:space="preserve">bas un </w:t>
            </w:r>
            <w:r w:rsidRPr="009A58F7">
              <w:rPr>
                <w:rFonts w:ascii="TimesNewRoman,Bold" w:eastAsia="Calibri" w:hAnsi="TimesNewRoman,Bold" w:cs="TimesNewRoman,Bold"/>
                <w:bCs/>
                <w:lang w:val="lv-LV" w:eastAsia="lv-LV"/>
              </w:rPr>
              <w:t>kontroles sistēmām, administratīvās un finanšu pārvaldī</w:t>
            </w:r>
            <w:r>
              <w:rPr>
                <w:rFonts w:ascii="TimesNewRoman,Bold" w:eastAsia="Calibri" w:hAnsi="TimesNewRoman,Bold" w:cs="TimesNewRoman,Bold"/>
                <w:bCs/>
                <w:lang w:val="lv-LV" w:eastAsia="lv-LV"/>
              </w:rPr>
              <w:t xml:space="preserve">bas noteikumiem un Fonda </w:t>
            </w:r>
            <w:r w:rsidRPr="009A58F7">
              <w:rPr>
                <w:rFonts w:ascii="TimesNewRoman,Bold" w:eastAsia="Calibri" w:hAnsi="TimesNewRoman,Bold" w:cs="TimesNewRoman,Bold"/>
                <w:bCs/>
                <w:lang w:val="lv-LV" w:eastAsia="lv-LV"/>
              </w:rPr>
              <w:t>līdzfinansēto projektu izdevumu atbilstību</w:t>
            </w:r>
            <w:r>
              <w:rPr>
                <w:rFonts w:ascii="TimesNewRoman,Bold" w:eastAsia="Calibri" w:hAnsi="TimesNewRoman,Bold" w:cs="TimesNewRoman,Bold"/>
                <w:bCs/>
                <w:lang w:val="lv-LV" w:eastAsia="lv-LV"/>
              </w:rPr>
              <w:t>;</w:t>
            </w:r>
          </w:p>
          <w:p w:rsidR="009A58F7" w:rsidRPr="009A58F7" w:rsidRDefault="009A58F7" w:rsidP="009A58F7">
            <w:pPr>
              <w:numPr>
                <w:ilvl w:val="1"/>
                <w:numId w:val="1"/>
              </w:numPr>
              <w:tabs>
                <w:tab w:val="left" w:pos="429"/>
              </w:tabs>
              <w:autoSpaceDE w:val="0"/>
              <w:autoSpaceDN w:val="0"/>
              <w:adjustRightInd w:val="0"/>
              <w:ind w:left="4" w:hanging="4"/>
              <w:jc w:val="both"/>
              <w:rPr>
                <w:rFonts w:ascii="TimesNewRoman,Bold" w:eastAsia="Calibri" w:hAnsi="TimesNewRoman,Bold" w:cs="TimesNewRoman,Bold"/>
                <w:bCs/>
                <w:lang w:val="lv-LV" w:eastAsia="lv-LV"/>
              </w:rPr>
            </w:pPr>
            <w:r w:rsidRPr="009A58F7">
              <w:rPr>
                <w:b/>
                <w:lang w:val="lv-LV"/>
              </w:rPr>
              <w:t xml:space="preserve">EK 02.03.2011. lēmums C(2011) 1260 </w:t>
            </w:r>
            <w:r w:rsidRPr="009A58F7">
              <w:rPr>
                <w:lang w:val="lv-LV"/>
              </w:rPr>
              <w:t>„</w:t>
            </w:r>
            <w:r w:rsidRPr="009A58F7">
              <w:rPr>
                <w:rFonts w:ascii="TimesNewRoman,Bold" w:eastAsia="Calibri" w:hAnsi="TimesNewRoman,Bold" w:cs="TimesNewRoman,Bold"/>
                <w:bCs/>
                <w:lang w:val="lv-LV" w:eastAsia="lv-LV"/>
              </w:rPr>
              <w:t>ar ko groza Lēmumu 2008/456/EK, kas nosaka kārtību, kādā īstenojams Eiropas</w:t>
            </w:r>
            <w:r>
              <w:rPr>
                <w:rFonts w:ascii="TimesNewRoman,Bold" w:eastAsia="Calibri" w:hAnsi="TimesNewRoman,Bold" w:cs="TimesNewRoman,Bold"/>
                <w:bCs/>
                <w:lang w:val="lv-LV" w:eastAsia="lv-LV"/>
              </w:rPr>
              <w:t xml:space="preserve"> </w:t>
            </w:r>
            <w:r w:rsidRPr="009A58F7">
              <w:rPr>
                <w:rFonts w:ascii="TimesNewRoman,Bold" w:eastAsia="Calibri" w:hAnsi="TimesNewRoman,Bold" w:cs="TimesNewRoman,Bold"/>
                <w:bCs/>
                <w:lang w:val="lv-LV" w:eastAsia="lv-LV"/>
              </w:rPr>
              <w:t>Parlamenta un Padomes Lēmums Nr. 574/2007/EK, ar ko laikposmam no 2007. Gada</w:t>
            </w:r>
            <w:r>
              <w:rPr>
                <w:rFonts w:ascii="TimesNewRoman,Bold" w:eastAsia="Calibri" w:hAnsi="TimesNewRoman,Bold" w:cs="TimesNewRoman,Bold"/>
                <w:bCs/>
                <w:lang w:val="lv-LV" w:eastAsia="lv-LV"/>
              </w:rPr>
              <w:t xml:space="preserve"> </w:t>
            </w:r>
            <w:r w:rsidRPr="009A58F7">
              <w:rPr>
                <w:rFonts w:ascii="TimesNewRoman,Bold" w:eastAsia="Calibri" w:hAnsi="TimesNewRoman,Bold" w:cs="TimesNewRoman,Bold"/>
                <w:bCs/>
                <w:lang w:val="lv-LV" w:eastAsia="lv-LV"/>
              </w:rPr>
              <w:t xml:space="preserve">līdz 2013. gadam izveido </w:t>
            </w:r>
            <w:r w:rsidRPr="009A58F7">
              <w:rPr>
                <w:rFonts w:ascii="TimesNewRoman,Bold" w:eastAsia="Calibri" w:hAnsi="TimesNewRoman,Bold" w:cs="TimesNewRoman,Bold"/>
                <w:b/>
                <w:bCs/>
                <w:lang w:val="lv-LV" w:eastAsia="lv-LV"/>
              </w:rPr>
              <w:t>Eiropas Ārējo robežu fondu</w:t>
            </w:r>
            <w:r w:rsidRPr="009A58F7">
              <w:rPr>
                <w:rFonts w:ascii="TimesNewRoman,Bold" w:eastAsia="Calibri" w:hAnsi="TimesNewRoman,Bold" w:cs="TimesNewRoman,Bold"/>
                <w:bCs/>
                <w:lang w:val="lv-LV" w:eastAsia="lv-LV"/>
              </w:rPr>
              <w:t xml:space="preserve"> kā daļu no vispārīgās programmas</w:t>
            </w:r>
            <w:r>
              <w:rPr>
                <w:rFonts w:ascii="TimesNewRoman,Bold" w:eastAsia="Calibri" w:hAnsi="TimesNewRoman,Bold" w:cs="TimesNewRoman,Bold"/>
                <w:bCs/>
                <w:lang w:val="lv-LV" w:eastAsia="lv-LV"/>
              </w:rPr>
              <w:t xml:space="preserve"> </w:t>
            </w:r>
            <w:r w:rsidRPr="009A58F7">
              <w:rPr>
                <w:rFonts w:ascii="TimesNewRoman,Bold" w:eastAsia="Calibri" w:hAnsi="TimesNewRoman,Bold" w:cs="TimesNewRoman,Bold"/>
                <w:bCs/>
                <w:lang w:val="lv-LV" w:eastAsia="lv-LV"/>
              </w:rPr>
              <w:t>„Solidaritāte un migrācijas plūsmu pārvaldība”, attiecībā uz dalībvalstu pārvaldības un</w:t>
            </w:r>
          </w:p>
          <w:p w:rsidR="009A58F7" w:rsidRDefault="009A58F7" w:rsidP="009A58F7">
            <w:pPr>
              <w:autoSpaceDE w:val="0"/>
              <w:autoSpaceDN w:val="0"/>
              <w:adjustRightInd w:val="0"/>
              <w:jc w:val="both"/>
              <w:rPr>
                <w:rFonts w:ascii="TimesNewRoman,Bold" w:eastAsia="Calibri" w:hAnsi="TimesNewRoman,Bold" w:cs="TimesNewRoman,Bold"/>
                <w:bCs/>
                <w:lang w:val="lv-LV" w:eastAsia="lv-LV"/>
              </w:rPr>
            </w:pPr>
            <w:r w:rsidRPr="009A58F7">
              <w:rPr>
                <w:rFonts w:ascii="TimesNewRoman,Bold" w:eastAsia="Calibri" w:hAnsi="TimesNewRoman,Bold" w:cs="TimesNewRoman,Bold"/>
                <w:bCs/>
                <w:lang w:val="lv-LV" w:eastAsia="lv-LV"/>
              </w:rPr>
              <w:t>kontroles sistēmām, administratīvās un finanš</w:t>
            </w:r>
            <w:r>
              <w:rPr>
                <w:rFonts w:ascii="TimesNewRoman,Bold" w:eastAsia="Calibri" w:hAnsi="TimesNewRoman,Bold" w:cs="TimesNewRoman,Bold"/>
                <w:bCs/>
                <w:lang w:val="lv-LV" w:eastAsia="lv-LV"/>
              </w:rPr>
              <w:t xml:space="preserve">u </w:t>
            </w:r>
            <w:r w:rsidRPr="009A58F7">
              <w:rPr>
                <w:rFonts w:ascii="TimesNewRoman,Bold" w:eastAsia="Calibri" w:hAnsi="TimesNewRoman,Bold" w:cs="TimesNewRoman,Bold"/>
                <w:bCs/>
                <w:lang w:val="lv-LV" w:eastAsia="lv-LV"/>
              </w:rPr>
              <w:t>pārvaldī</w:t>
            </w:r>
            <w:r>
              <w:rPr>
                <w:rFonts w:ascii="TimesNewRoman,Bold" w:eastAsia="Calibri" w:hAnsi="TimesNewRoman,Bold" w:cs="TimesNewRoman,Bold"/>
                <w:bCs/>
                <w:lang w:val="lv-LV" w:eastAsia="lv-LV"/>
              </w:rPr>
              <w:t xml:space="preserve">bas noteikumiem un Fonda </w:t>
            </w:r>
            <w:r w:rsidRPr="009A58F7">
              <w:rPr>
                <w:rFonts w:ascii="TimesNewRoman,Bold" w:eastAsia="Calibri" w:hAnsi="TimesNewRoman,Bold" w:cs="TimesNewRoman,Bold"/>
                <w:bCs/>
                <w:lang w:val="lv-LV" w:eastAsia="lv-LV"/>
              </w:rPr>
              <w:t>līdzfinansē</w:t>
            </w:r>
            <w:r>
              <w:rPr>
                <w:rFonts w:ascii="TimesNewRoman,Bold" w:eastAsia="Calibri" w:hAnsi="TimesNewRoman,Bold" w:cs="TimesNewRoman,Bold"/>
                <w:bCs/>
                <w:lang w:val="lv-LV" w:eastAsia="lv-LV"/>
              </w:rPr>
              <w:t xml:space="preserve">to </w:t>
            </w:r>
            <w:r w:rsidRPr="009A58F7">
              <w:rPr>
                <w:rFonts w:ascii="TimesNewRoman,Bold" w:eastAsia="Calibri" w:hAnsi="TimesNewRoman,Bold" w:cs="TimesNewRoman,Bold"/>
                <w:bCs/>
                <w:lang w:val="lv-LV" w:eastAsia="lv-LV"/>
              </w:rPr>
              <w:t>projektu izdevumu atbilstību</w:t>
            </w:r>
            <w:r>
              <w:rPr>
                <w:rFonts w:ascii="TimesNewRoman,Bold" w:eastAsia="Calibri" w:hAnsi="TimesNewRoman,Bold" w:cs="TimesNewRoman,Bold"/>
                <w:bCs/>
                <w:lang w:val="lv-LV" w:eastAsia="lv-LV"/>
              </w:rPr>
              <w:t>”;</w:t>
            </w:r>
          </w:p>
          <w:p w:rsidR="009A58F7" w:rsidRPr="00FC16B9" w:rsidRDefault="009A58F7" w:rsidP="00775155">
            <w:pPr>
              <w:numPr>
                <w:ilvl w:val="1"/>
                <w:numId w:val="1"/>
              </w:numPr>
              <w:tabs>
                <w:tab w:val="left" w:pos="429"/>
              </w:tabs>
              <w:ind w:left="0" w:firstLine="0"/>
              <w:jc w:val="both"/>
              <w:rPr>
                <w:rFonts w:ascii="TimesNewRoman,Bold" w:eastAsia="Calibri" w:hAnsi="TimesNewRoman,Bold" w:cs="TimesNewRoman,Bold"/>
                <w:bCs/>
                <w:lang w:val="lv-LV" w:eastAsia="lv-LV"/>
              </w:rPr>
            </w:pPr>
            <w:r w:rsidRPr="009A58F7">
              <w:rPr>
                <w:rFonts w:ascii="TimesNewRoman,Bold" w:eastAsia="Calibri" w:hAnsi="TimesNewRoman,Bold" w:cs="TimesNewRoman,Bold"/>
                <w:b/>
                <w:bCs/>
                <w:lang w:val="lv-LV" w:eastAsia="lv-LV"/>
              </w:rPr>
              <w:t>EK 03.03.2011. lēmums C(2011) 1290</w:t>
            </w:r>
            <w:r>
              <w:rPr>
                <w:rFonts w:ascii="TimesNewRoman,Bold" w:eastAsia="Calibri" w:hAnsi="TimesNewRoman,Bold" w:cs="TimesNewRoman,Bold"/>
                <w:bCs/>
                <w:lang w:val="lv-LV" w:eastAsia="lv-LV"/>
              </w:rPr>
              <w:t xml:space="preserve"> „</w:t>
            </w:r>
            <w:r w:rsidRPr="009A58F7">
              <w:rPr>
                <w:rFonts w:ascii="TimesNewRoman,Bold" w:eastAsia="Calibri" w:hAnsi="TimesNewRoman,Bold" w:cs="TimesNewRoman,Bold"/>
                <w:bCs/>
                <w:lang w:val="lv-LV" w:eastAsia="lv-LV"/>
              </w:rPr>
              <w:t>ar ko groza Lēmumu 2008/22/EK, kas nosaka kārtī</w:t>
            </w:r>
            <w:r>
              <w:rPr>
                <w:rFonts w:ascii="TimesNewRoman,Bold" w:eastAsia="Calibri" w:hAnsi="TimesNewRoman,Bold" w:cs="TimesNewRoman,Bold"/>
                <w:bCs/>
                <w:lang w:val="lv-LV" w:eastAsia="lv-LV"/>
              </w:rPr>
              <w:t xml:space="preserve">bu, </w:t>
            </w:r>
            <w:r w:rsidRPr="009A58F7">
              <w:rPr>
                <w:rFonts w:ascii="TimesNewRoman,Bold" w:eastAsia="Calibri" w:hAnsi="TimesNewRoman,Bold" w:cs="TimesNewRoman,Bold"/>
                <w:bCs/>
                <w:lang w:val="lv-LV" w:eastAsia="lv-LV"/>
              </w:rPr>
              <w:t>kādā īstenojams Eiropas</w:t>
            </w:r>
            <w:r>
              <w:rPr>
                <w:rFonts w:ascii="TimesNewRoman,Bold" w:eastAsia="Calibri" w:hAnsi="TimesNewRoman,Bold" w:cs="TimesNewRoman,Bold"/>
                <w:bCs/>
                <w:lang w:val="lv-LV" w:eastAsia="lv-LV"/>
              </w:rPr>
              <w:t xml:space="preserve"> </w:t>
            </w:r>
            <w:r w:rsidRPr="009A58F7">
              <w:rPr>
                <w:rFonts w:ascii="TimesNewRoman,Bold" w:eastAsia="Calibri" w:hAnsi="TimesNewRoman,Bold" w:cs="TimesNewRoman,Bold"/>
                <w:bCs/>
                <w:lang w:val="lv-LV" w:eastAsia="lv-LV"/>
              </w:rPr>
              <w:t xml:space="preserve">Parlamenta un Padomes Lēmums Nr. 573/2007/EK, ar </w:t>
            </w:r>
            <w:r w:rsidRPr="009A58F7">
              <w:rPr>
                <w:rFonts w:ascii="TimesNewRoman,Bold" w:eastAsia="Calibri" w:hAnsi="TimesNewRoman,Bold" w:cs="TimesNewRoman,Bold"/>
                <w:bCs/>
                <w:lang w:val="lv-LV" w:eastAsia="lv-LV"/>
              </w:rPr>
              <w:lastRenderedPageBreak/>
              <w:t xml:space="preserve">kuru izveido </w:t>
            </w:r>
            <w:r w:rsidRPr="009A58F7">
              <w:rPr>
                <w:rFonts w:ascii="TimesNewRoman,Bold" w:eastAsia="Calibri" w:hAnsi="TimesNewRoman,Bold" w:cs="TimesNewRoman,Bold"/>
                <w:b/>
                <w:bCs/>
                <w:lang w:val="lv-LV" w:eastAsia="lv-LV"/>
              </w:rPr>
              <w:t>Eiropas Bēgļu fondu</w:t>
            </w:r>
            <w:r w:rsidRPr="009A58F7">
              <w:rPr>
                <w:rFonts w:ascii="TimesNewRoman,Bold" w:eastAsia="Calibri" w:hAnsi="TimesNewRoman,Bold" w:cs="TimesNewRoman,Bold"/>
                <w:bCs/>
                <w:lang w:val="lv-LV" w:eastAsia="lv-LV"/>
              </w:rPr>
              <w:t xml:space="preserve"> laika posmam no 2008. līdz 2013. gadam kā daļu no vispārīgā</w:t>
            </w:r>
            <w:r>
              <w:rPr>
                <w:rFonts w:ascii="TimesNewRoman,Bold" w:eastAsia="Calibri" w:hAnsi="TimesNewRoman,Bold" w:cs="TimesNewRoman,Bold"/>
                <w:bCs/>
                <w:lang w:val="lv-LV" w:eastAsia="lv-LV"/>
              </w:rPr>
              <w:t xml:space="preserve">s programmas </w:t>
            </w:r>
            <w:r w:rsidRPr="009A58F7">
              <w:rPr>
                <w:rFonts w:ascii="TimesNewRoman,Bold" w:eastAsia="Calibri" w:hAnsi="TimesNewRoman,Bold" w:cs="TimesNewRoman,Bold"/>
                <w:bCs/>
                <w:lang w:val="lv-LV" w:eastAsia="lv-LV"/>
              </w:rPr>
              <w:t>„Solidaritāte un migrācijas plūsmu pārvaldība”, attiecībā uz dalībvalstu pārvaldī</w:t>
            </w:r>
            <w:r>
              <w:rPr>
                <w:rFonts w:ascii="TimesNewRoman,Bold" w:eastAsia="Calibri" w:hAnsi="TimesNewRoman,Bold" w:cs="TimesNewRoman,Bold"/>
                <w:bCs/>
                <w:lang w:val="lv-LV" w:eastAsia="lv-LV"/>
              </w:rPr>
              <w:t xml:space="preserve">bas un </w:t>
            </w:r>
            <w:r w:rsidRPr="009A58F7">
              <w:rPr>
                <w:rFonts w:ascii="TimesNewRoman,Bold" w:eastAsia="Calibri" w:hAnsi="TimesNewRoman,Bold" w:cs="TimesNewRoman,Bold"/>
                <w:bCs/>
                <w:lang w:val="lv-LV" w:eastAsia="lv-LV"/>
              </w:rPr>
              <w:t>kontroles sistēmām, administratīvās un finanšu pārvaldī</w:t>
            </w:r>
            <w:r>
              <w:rPr>
                <w:rFonts w:ascii="TimesNewRoman,Bold" w:eastAsia="Calibri" w:hAnsi="TimesNewRoman,Bold" w:cs="TimesNewRoman,Bold"/>
                <w:bCs/>
                <w:lang w:val="lv-LV" w:eastAsia="lv-LV"/>
              </w:rPr>
              <w:t xml:space="preserve">bas noteikumiem un Fonda </w:t>
            </w:r>
            <w:r w:rsidRPr="009A58F7">
              <w:rPr>
                <w:rFonts w:ascii="TimesNewRoman,Bold" w:eastAsia="Calibri" w:hAnsi="TimesNewRoman,Bold" w:cs="TimesNewRoman,Bold"/>
                <w:bCs/>
                <w:lang w:val="lv-LV" w:eastAsia="lv-LV"/>
              </w:rPr>
              <w:t>līdzfinansēto projektu izdevumu atbilstī</w:t>
            </w:r>
            <w:r>
              <w:rPr>
                <w:rFonts w:ascii="TimesNewRoman,Bold" w:eastAsia="Calibri" w:hAnsi="TimesNewRoman,Bold" w:cs="TimesNewRoman,Bold"/>
                <w:bCs/>
                <w:lang w:val="lv-LV" w:eastAsia="lv-LV"/>
              </w:rPr>
              <w:t>bu”</w:t>
            </w:r>
            <w:r w:rsidR="00775155">
              <w:rPr>
                <w:lang w:val="lv-LV"/>
              </w:rPr>
              <w:t>.</w:t>
            </w:r>
          </w:p>
        </w:tc>
      </w:tr>
      <w:tr w:rsidR="00840750" w:rsidRPr="009A58F7" w:rsidTr="00E06DCC">
        <w:trPr>
          <w:tblCellSpacing w:w="20" w:type="dxa"/>
        </w:trPr>
        <w:tc>
          <w:tcPr>
            <w:tcW w:w="508" w:type="dxa"/>
            <w:shd w:val="clear" w:color="auto" w:fill="auto"/>
          </w:tcPr>
          <w:p w:rsidR="00E26EA4" w:rsidRPr="00840750" w:rsidRDefault="00E26EA4" w:rsidP="00840750">
            <w:pPr>
              <w:pStyle w:val="naisf"/>
              <w:ind w:firstLine="0"/>
              <w:rPr>
                <w:lang w:val="lv-LV"/>
              </w:rPr>
            </w:pPr>
            <w:r w:rsidRPr="00840750">
              <w:rPr>
                <w:lang w:val="lv-LV"/>
              </w:rPr>
              <w:lastRenderedPageBreak/>
              <w:t>2.</w:t>
            </w:r>
          </w:p>
        </w:tc>
        <w:tc>
          <w:tcPr>
            <w:tcW w:w="2795" w:type="dxa"/>
            <w:shd w:val="clear" w:color="auto" w:fill="auto"/>
          </w:tcPr>
          <w:p w:rsidR="00E26EA4" w:rsidRPr="00840750" w:rsidRDefault="00E26EA4" w:rsidP="00840750">
            <w:pPr>
              <w:pStyle w:val="naisf"/>
              <w:ind w:firstLine="0"/>
              <w:rPr>
                <w:lang w:val="lv-LV"/>
              </w:rPr>
            </w:pPr>
            <w:r w:rsidRPr="009A58F7">
              <w:rPr>
                <w:lang w:val="lv-LV"/>
              </w:rPr>
              <w:t>Citas starptautiskās saistības</w:t>
            </w:r>
          </w:p>
        </w:tc>
        <w:tc>
          <w:tcPr>
            <w:tcW w:w="6319" w:type="dxa"/>
            <w:shd w:val="clear" w:color="auto" w:fill="auto"/>
          </w:tcPr>
          <w:p w:rsidR="00E26EA4" w:rsidRPr="00840750" w:rsidRDefault="00E26EA4" w:rsidP="00840750">
            <w:pPr>
              <w:pStyle w:val="naisf"/>
              <w:ind w:firstLine="0"/>
              <w:rPr>
                <w:lang w:val="lv-LV"/>
              </w:rPr>
            </w:pPr>
          </w:p>
        </w:tc>
      </w:tr>
      <w:tr w:rsidR="00840750" w:rsidRPr="009A58F7" w:rsidTr="00E06DCC">
        <w:trPr>
          <w:tblCellSpacing w:w="20" w:type="dxa"/>
        </w:trPr>
        <w:tc>
          <w:tcPr>
            <w:tcW w:w="508" w:type="dxa"/>
            <w:shd w:val="clear" w:color="auto" w:fill="auto"/>
          </w:tcPr>
          <w:p w:rsidR="00E26EA4" w:rsidRPr="00840750" w:rsidRDefault="00E26EA4" w:rsidP="00840750">
            <w:pPr>
              <w:pStyle w:val="naisf"/>
              <w:ind w:firstLine="0"/>
              <w:rPr>
                <w:lang w:val="lv-LV"/>
              </w:rPr>
            </w:pPr>
            <w:r w:rsidRPr="00840750">
              <w:rPr>
                <w:lang w:val="lv-LV"/>
              </w:rPr>
              <w:t>3.</w:t>
            </w:r>
          </w:p>
        </w:tc>
        <w:tc>
          <w:tcPr>
            <w:tcW w:w="2795" w:type="dxa"/>
            <w:shd w:val="clear" w:color="auto" w:fill="auto"/>
          </w:tcPr>
          <w:p w:rsidR="00E26EA4" w:rsidRPr="00840750" w:rsidRDefault="00E26EA4" w:rsidP="00840750">
            <w:pPr>
              <w:pStyle w:val="naisf"/>
              <w:ind w:firstLine="0"/>
              <w:rPr>
                <w:lang w:val="lv-LV"/>
              </w:rPr>
            </w:pPr>
            <w:r w:rsidRPr="009A58F7">
              <w:rPr>
                <w:lang w:val="lv-LV"/>
              </w:rPr>
              <w:t>Cita informācija</w:t>
            </w:r>
          </w:p>
        </w:tc>
        <w:tc>
          <w:tcPr>
            <w:tcW w:w="6319" w:type="dxa"/>
            <w:shd w:val="clear" w:color="auto" w:fill="auto"/>
          </w:tcPr>
          <w:p w:rsidR="00E26EA4" w:rsidRPr="00840750" w:rsidRDefault="00E26EA4" w:rsidP="00840750">
            <w:pPr>
              <w:pStyle w:val="naisf"/>
              <w:ind w:firstLine="0"/>
              <w:rPr>
                <w:lang w:val="lv-LV"/>
              </w:rPr>
            </w:pPr>
          </w:p>
        </w:tc>
      </w:tr>
    </w:tbl>
    <w:p w:rsidR="00E26EA4" w:rsidRDefault="00E26EA4" w:rsidP="00137F64">
      <w:pPr>
        <w:pStyle w:val="naisf"/>
        <w:rPr>
          <w:lang w:val="lv-LV"/>
        </w:rPr>
      </w:pPr>
    </w:p>
    <w:tbl>
      <w:tblPr>
        <w:tblW w:w="9960" w:type="dxa"/>
        <w:tblCellSpacing w:w="20" w:type="dxa"/>
        <w:tblInd w:w="-268"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Look w:val="04A0" w:firstRow="1" w:lastRow="0" w:firstColumn="1" w:lastColumn="0" w:noHBand="0" w:noVBand="1"/>
      </w:tblPr>
      <w:tblGrid>
        <w:gridCol w:w="3120"/>
        <w:gridCol w:w="2409"/>
        <w:gridCol w:w="2261"/>
        <w:gridCol w:w="2170"/>
      </w:tblGrid>
      <w:tr w:rsidR="00E26EA4" w:rsidRPr="009E7874" w:rsidTr="00B74DC8">
        <w:trPr>
          <w:tblCellSpacing w:w="20" w:type="dxa"/>
        </w:trPr>
        <w:tc>
          <w:tcPr>
            <w:tcW w:w="9880" w:type="dxa"/>
            <w:gridSpan w:val="4"/>
            <w:shd w:val="clear" w:color="auto" w:fill="auto"/>
          </w:tcPr>
          <w:p w:rsidR="00E26EA4" w:rsidRPr="00840750" w:rsidRDefault="00E26EA4" w:rsidP="00840750">
            <w:pPr>
              <w:pStyle w:val="naisf"/>
              <w:ind w:firstLine="0"/>
              <w:jc w:val="center"/>
              <w:rPr>
                <w:lang w:val="lv-LV"/>
              </w:rPr>
            </w:pPr>
            <w:r w:rsidRPr="00840750">
              <w:rPr>
                <w:b/>
                <w:bCs/>
                <w:lang w:val="lv-LV"/>
              </w:rPr>
              <w:t>1.tabula</w:t>
            </w:r>
            <w:r w:rsidRPr="00840750">
              <w:rPr>
                <w:b/>
                <w:bCs/>
                <w:lang w:val="lv-LV"/>
              </w:rPr>
              <w:br/>
              <w:t>Tiesību akta projekta atbilstība ES tiesību aktiem</w:t>
            </w:r>
          </w:p>
        </w:tc>
      </w:tr>
      <w:tr w:rsidR="00E26EA4" w:rsidRPr="009E7874" w:rsidTr="00B74DC8">
        <w:trPr>
          <w:tblCellSpacing w:w="20" w:type="dxa"/>
        </w:trPr>
        <w:tc>
          <w:tcPr>
            <w:tcW w:w="3060" w:type="dxa"/>
            <w:shd w:val="clear" w:color="auto" w:fill="auto"/>
          </w:tcPr>
          <w:p w:rsidR="00E26EA4" w:rsidRPr="00840750" w:rsidRDefault="00E26EA4" w:rsidP="00840750">
            <w:pPr>
              <w:pStyle w:val="naisf"/>
              <w:ind w:firstLine="0"/>
              <w:rPr>
                <w:lang w:val="lv-LV"/>
              </w:rPr>
            </w:pPr>
            <w:r w:rsidRPr="00840750">
              <w:rPr>
                <w:lang w:val="lv-LV"/>
              </w:rPr>
              <w:t xml:space="preserve">Attiecīgā </w:t>
            </w:r>
            <w:proofErr w:type="spellStart"/>
            <w:r w:rsidRPr="00840750">
              <w:rPr>
                <w:lang w:val="lv-LV"/>
              </w:rPr>
              <w:t>ES tiesību</w:t>
            </w:r>
            <w:proofErr w:type="spellEnd"/>
            <w:r w:rsidRPr="00840750">
              <w:rPr>
                <w:lang w:val="lv-LV"/>
              </w:rPr>
              <w:t xml:space="preserve"> akta datums, numurs un nosaukums</w:t>
            </w:r>
          </w:p>
        </w:tc>
        <w:tc>
          <w:tcPr>
            <w:tcW w:w="6780" w:type="dxa"/>
            <w:gridSpan w:val="3"/>
            <w:shd w:val="clear" w:color="auto" w:fill="auto"/>
          </w:tcPr>
          <w:p w:rsidR="00775155" w:rsidRPr="00775155" w:rsidRDefault="00775155" w:rsidP="00775155">
            <w:pPr>
              <w:pStyle w:val="naisf"/>
              <w:tabs>
                <w:tab w:val="left" w:pos="416"/>
              </w:tabs>
              <w:ind w:firstLine="0"/>
              <w:rPr>
                <w:lang w:val="lv-LV"/>
              </w:rPr>
            </w:pPr>
            <w:r w:rsidRPr="00775155">
              <w:rPr>
                <w:lang w:val="lv-LV"/>
              </w:rPr>
              <w:t>1.1.</w:t>
            </w:r>
            <w:r w:rsidRPr="00775155">
              <w:rPr>
                <w:lang w:val="lv-LV"/>
              </w:rPr>
              <w:tab/>
              <w:t xml:space="preserve">EK 02.03.2011. lēmums C(2011) 1259 „Ar ko groza Lēmumu 2008/458/EK, kas nosaka kārtību, kādā īstenojams Eiropas Parlamenta un Padomes Lēmums Nr. 575/2007/EK, ar kuru izveido Eiropas Atgriešanās fondu laika posmam no 2008. līdz 2013. gadam kā daļu no vispārīgās programmas „Solidaritāte un migrācijas plūsmu pārvaldība”, attiecībā uz dalībvalstu pārvaldības un kontroles sistēmām, administratīvās un finanšu pārvaldības noteikumiem un Fonda līdzfinansēto projektu izdevumu atbilstību (turpmāk </w:t>
            </w:r>
            <w:r>
              <w:rPr>
                <w:lang w:val="lv-LV"/>
              </w:rPr>
              <w:t>–</w:t>
            </w:r>
            <w:r w:rsidRPr="00775155">
              <w:rPr>
                <w:lang w:val="lv-LV"/>
              </w:rPr>
              <w:t xml:space="preserve"> </w:t>
            </w:r>
            <w:r>
              <w:rPr>
                <w:lang w:val="lv-LV"/>
              </w:rPr>
              <w:t xml:space="preserve">EK </w:t>
            </w:r>
            <w:r w:rsidRPr="00775155">
              <w:rPr>
                <w:lang w:val="lv-LV"/>
              </w:rPr>
              <w:t>lēmums C(2011) 1259);</w:t>
            </w:r>
          </w:p>
          <w:p w:rsidR="00775155" w:rsidRPr="00775155" w:rsidRDefault="00775155" w:rsidP="00775155">
            <w:pPr>
              <w:pStyle w:val="naisf"/>
              <w:tabs>
                <w:tab w:val="left" w:pos="416"/>
              </w:tabs>
              <w:ind w:firstLine="0"/>
              <w:rPr>
                <w:lang w:val="lv-LV"/>
              </w:rPr>
            </w:pPr>
            <w:r w:rsidRPr="00775155">
              <w:rPr>
                <w:lang w:val="lv-LV"/>
              </w:rPr>
              <w:t>1.2.</w:t>
            </w:r>
            <w:r w:rsidRPr="00775155">
              <w:rPr>
                <w:lang w:val="lv-LV"/>
              </w:rPr>
              <w:tab/>
              <w:t>EK 02.03.2011. lēmums C(2011) 1260 „ar ko groza Lēmumu 2008/456/EK, kas nosaka kārtību, kādā īstenojams Eiropas Parlamenta un Padomes Lēmums Nr. 574/2007/EK, ar ko laikposmam no 2007. Gada līdz 2013. gadam izveido Eiropas Ārējo robežu fondu kā daļu no vispārīgās programmas „Solidaritāte un migrācijas plūsmu pārvaldība”, attiecībā uz dalībvalstu pārvaldības u</w:t>
            </w:r>
            <w:r>
              <w:rPr>
                <w:lang w:val="lv-LV"/>
              </w:rPr>
              <w:t xml:space="preserve">n </w:t>
            </w:r>
            <w:r w:rsidRPr="00775155">
              <w:rPr>
                <w:lang w:val="lv-LV"/>
              </w:rPr>
              <w:t xml:space="preserve">kontroles sistēmām, administratīvās un finanšu pārvaldības noteikumiem un Fonda līdzfinansēto projektu izdevumu atbilstību” (turpmāk </w:t>
            </w:r>
            <w:r>
              <w:rPr>
                <w:lang w:val="lv-LV"/>
              </w:rPr>
              <w:t>–</w:t>
            </w:r>
            <w:r w:rsidRPr="00775155">
              <w:rPr>
                <w:lang w:val="lv-LV"/>
              </w:rPr>
              <w:t xml:space="preserve"> EK</w:t>
            </w:r>
            <w:r>
              <w:rPr>
                <w:lang w:val="lv-LV"/>
              </w:rPr>
              <w:t xml:space="preserve"> </w:t>
            </w:r>
            <w:r w:rsidR="00212718">
              <w:rPr>
                <w:lang w:val="lv-LV"/>
              </w:rPr>
              <w:t>lēmums C(2011) 1260);</w:t>
            </w:r>
          </w:p>
          <w:p w:rsidR="00E26EA4" w:rsidRPr="00840750" w:rsidRDefault="00775155" w:rsidP="00775155">
            <w:pPr>
              <w:pStyle w:val="naisf"/>
              <w:tabs>
                <w:tab w:val="left" w:pos="416"/>
              </w:tabs>
              <w:ind w:firstLine="0"/>
              <w:rPr>
                <w:lang w:val="lv-LV"/>
              </w:rPr>
            </w:pPr>
            <w:r w:rsidRPr="00775155">
              <w:rPr>
                <w:lang w:val="lv-LV"/>
              </w:rPr>
              <w:t>1.3.</w:t>
            </w:r>
            <w:r w:rsidRPr="00775155">
              <w:rPr>
                <w:lang w:val="lv-LV"/>
              </w:rPr>
              <w:tab/>
              <w:t>EK 03.03.2011. lēmums C(2011) 1290 „ar ko groza Lēmumu 2008/22/EK, kas nosaka kārtību, kādā īstenojams Eiropas Parlamenta un Padomes Lēmums Nr. 573/2007/EK, ar kuru izveido Eiropas Bēgļu fondu laika posmam no 2008. līdz 2013. gadam kā daļu no vispārīgās programmas „Solidaritāte un migrācijas plūsmu pārvaldība”, attiecībā uz dalībvalstu pārvaldības un kontroles sistēmām, administratīvās un finanšu pārvaldības noteikumiem un Fonda līdzfinansēto projektu izdevumu atbilstību” (turpmāk - EK lēmums C(2011) 1290).</w:t>
            </w:r>
          </w:p>
        </w:tc>
      </w:tr>
      <w:tr w:rsidR="00840750" w:rsidRPr="00840750" w:rsidTr="00B74DC8">
        <w:trPr>
          <w:tblCellSpacing w:w="20" w:type="dxa"/>
        </w:trPr>
        <w:tc>
          <w:tcPr>
            <w:tcW w:w="3060" w:type="dxa"/>
            <w:shd w:val="clear" w:color="auto" w:fill="auto"/>
          </w:tcPr>
          <w:p w:rsidR="00E26EA4" w:rsidRPr="00840750" w:rsidRDefault="00E26EA4" w:rsidP="00840750">
            <w:pPr>
              <w:pStyle w:val="naisf"/>
              <w:ind w:firstLine="0"/>
              <w:rPr>
                <w:lang w:val="lv-LV"/>
              </w:rPr>
            </w:pPr>
            <w:r w:rsidRPr="00840750">
              <w:rPr>
                <w:lang w:val="lv-LV"/>
              </w:rPr>
              <w:t>A</w:t>
            </w:r>
          </w:p>
        </w:tc>
        <w:tc>
          <w:tcPr>
            <w:tcW w:w="2369" w:type="dxa"/>
            <w:shd w:val="clear" w:color="auto" w:fill="auto"/>
          </w:tcPr>
          <w:p w:rsidR="00E26EA4" w:rsidRPr="00840750" w:rsidRDefault="00E26EA4" w:rsidP="00840750">
            <w:pPr>
              <w:pStyle w:val="naisf"/>
              <w:ind w:firstLine="0"/>
              <w:rPr>
                <w:lang w:val="lv-LV"/>
              </w:rPr>
            </w:pPr>
            <w:r w:rsidRPr="00840750">
              <w:rPr>
                <w:lang w:val="lv-LV"/>
              </w:rPr>
              <w:t>B</w:t>
            </w:r>
          </w:p>
        </w:tc>
        <w:tc>
          <w:tcPr>
            <w:tcW w:w="2221" w:type="dxa"/>
            <w:shd w:val="clear" w:color="auto" w:fill="auto"/>
          </w:tcPr>
          <w:p w:rsidR="00E26EA4" w:rsidRPr="00840750" w:rsidRDefault="00E26EA4" w:rsidP="00840750">
            <w:pPr>
              <w:pStyle w:val="naisf"/>
              <w:ind w:firstLine="0"/>
              <w:rPr>
                <w:lang w:val="lv-LV"/>
              </w:rPr>
            </w:pPr>
            <w:r w:rsidRPr="00840750">
              <w:rPr>
                <w:lang w:val="lv-LV"/>
              </w:rPr>
              <w:t>C</w:t>
            </w:r>
          </w:p>
        </w:tc>
        <w:tc>
          <w:tcPr>
            <w:tcW w:w="2110" w:type="dxa"/>
            <w:shd w:val="clear" w:color="auto" w:fill="auto"/>
          </w:tcPr>
          <w:p w:rsidR="00E26EA4" w:rsidRPr="00840750" w:rsidRDefault="00E26EA4" w:rsidP="00840750">
            <w:pPr>
              <w:pStyle w:val="naisf"/>
              <w:ind w:firstLine="0"/>
              <w:rPr>
                <w:lang w:val="lv-LV"/>
              </w:rPr>
            </w:pPr>
            <w:r w:rsidRPr="00840750">
              <w:rPr>
                <w:lang w:val="lv-LV"/>
              </w:rPr>
              <w:t>D</w:t>
            </w:r>
          </w:p>
        </w:tc>
      </w:tr>
      <w:tr w:rsidR="00840750" w:rsidRPr="009E7874" w:rsidTr="00B74DC8">
        <w:trPr>
          <w:tblCellSpacing w:w="20" w:type="dxa"/>
        </w:trPr>
        <w:tc>
          <w:tcPr>
            <w:tcW w:w="3060" w:type="dxa"/>
            <w:shd w:val="clear" w:color="auto" w:fill="auto"/>
          </w:tcPr>
          <w:p w:rsidR="00E26EA4" w:rsidRPr="00D67A9C" w:rsidRDefault="00E26EA4" w:rsidP="00840750">
            <w:pPr>
              <w:pStyle w:val="naisf"/>
              <w:ind w:firstLine="0"/>
              <w:rPr>
                <w:lang w:val="lv-LV"/>
              </w:rPr>
            </w:pPr>
            <w:r w:rsidRPr="00D67A9C">
              <w:rPr>
                <w:lang w:val="lv-LV"/>
              </w:rPr>
              <w:t xml:space="preserve">Attiecīgā </w:t>
            </w:r>
            <w:proofErr w:type="spellStart"/>
            <w:r w:rsidRPr="00D67A9C">
              <w:rPr>
                <w:lang w:val="lv-LV"/>
              </w:rPr>
              <w:t>ES tiesību</w:t>
            </w:r>
            <w:proofErr w:type="spellEnd"/>
            <w:r w:rsidRPr="00D67A9C">
              <w:rPr>
                <w:lang w:val="lv-LV"/>
              </w:rPr>
              <w:t xml:space="preserve"> akta panta numurs (uzskaitot katru tiesību akta vienību – pantu, daļu, punktu, </w:t>
            </w:r>
            <w:r w:rsidRPr="00D67A9C">
              <w:rPr>
                <w:lang w:val="lv-LV"/>
              </w:rPr>
              <w:lastRenderedPageBreak/>
              <w:t>apakšpunktu)</w:t>
            </w:r>
          </w:p>
          <w:p w:rsidR="003324FC" w:rsidRPr="00840750" w:rsidRDefault="003324FC" w:rsidP="00840750">
            <w:pPr>
              <w:pStyle w:val="naisf"/>
              <w:ind w:firstLine="0"/>
              <w:rPr>
                <w:lang w:val="lv-LV"/>
              </w:rPr>
            </w:pPr>
          </w:p>
        </w:tc>
        <w:tc>
          <w:tcPr>
            <w:tcW w:w="2369" w:type="dxa"/>
            <w:shd w:val="clear" w:color="auto" w:fill="auto"/>
          </w:tcPr>
          <w:p w:rsidR="00E26EA4" w:rsidRPr="00D67A9C" w:rsidRDefault="00E26EA4" w:rsidP="00840750">
            <w:pPr>
              <w:pStyle w:val="naisf"/>
              <w:ind w:firstLine="0"/>
              <w:rPr>
                <w:lang w:val="lv-LV"/>
              </w:rPr>
            </w:pPr>
            <w:r w:rsidRPr="00D67A9C">
              <w:rPr>
                <w:lang w:val="lv-LV"/>
              </w:rPr>
              <w:lastRenderedPageBreak/>
              <w:t xml:space="preserve">Projekta vienība, kas pārņem vai ievieš katru šīs tabulas A ailē minēto ES tiesību </w:t>
            </w:r>
            <w:r w:rsidRPr="00D67A9C">
              <w:rPr>
                <w:lang w:val="lv-LV"/>
              </w:rPr>
              <w:lastRenderedPageBreak/>
              <w:t>akta vienību, vai tiesību akts, kur attiecīgā ES tiesību akta vienība pārņemta vai ieviesta</w:t>
            </w:r>
          </w:p>
          <w:p w:rsidR="003324FC" w:rsidRDefault="003324FC" w:rsidP="00840750">
            <w:pPr>
              <w:pStyle w:val="naisf"/>
              <w:ind w:firstLine="0"/>
              <w:rPr>
                <w:lang w:val="lv-LV"/>
              </w:rPr>
            </w:pPr>
          </w:p>
          <w:p w:rsidR="003324FC" w:rsidRPr="00840750" w:rsidRDefault="003324FC" w:rsidP="00840750">
            <w:pPr>
              <w:pStyle w:val="naisf"/>
              <w:ind w:firstLine="0"/>
              <w:rPr>
                <w:lang w:val="lv-LV"/>
              </w:rPr>
            </w:pPr>
          </w:p>
        </w:tc>
        <w:tc>
          <w:tcPr>
            <w:tcW w:w="2221" w:type="dxa"/>
            <w:shd w:val="clear" w:color="auto" w:fill="auto"/>
          </w:tcPr>
          <w:p w:rsidR="00E26EA4" w:rsidRPr="00D67A9C" w:rsidRDefault="00E26EA4" w:rsidP="00E26EA4">
            <w:pPr>
              <w:rPr>
                <w:lang w:val="lv-LV" w:eastAsia="lv-LV"/>
              </w:rPr>
            </w:pPr>
            <w:r w:rsidRPr="00D67A9C">
              <w:rPr>
                <w:lang w:val="lv-LV" w:eastAsia="lv-LV"/>
              </w:rPr>
              <w:lastRenderedPageBreak/>
              <w:t xml:space="preserve">Informācija par to, vai šīs tabulas </w:t>
            </w:r>
            <w:proofErr w:type="spellStart"/>
            <w:r w:rsidRPr="00D67A9C">
              <w:rPr>
                <w:lang w:val="lv-LV" w:eastAsia="lv-LV"/>
              </w:rPr>
              <w:t>A ailē</w:t>
            </w:r>
            <w:proofErr w:type="spellEnd"/>
            <w:r w:rsidRPr="00D67A9C">
              <w:rPr>
                <w:lang w:val="lv-LV" w:eastAsia="lv-LV"/>
              </w:rPr>
              <w:t xml:space="preserve"> minētās </w:t>
            </w:r>
            <w:proofErr w:type="spellStart"/>
            <w:r w:rsidRPr="00D67A9C">
              <w:rPr>
                <w:lang w:val="lv-LV" w:eastAsia="lv-LV"/>
              </w:rPr>
              <w:t>ES tiesību</w:t>
            </w:r>
            <w:proofErr w:type="spellEnd"/>
            <w:r w:rsidRPr="00D67A9C">
              <w:rPr>
                <w:lang w:val="lv-LV" w:eastAsia="lv-LV"/>
              </w:rPr>
              <w:t xml:space="preserve"> akta </w:t>
            </w:r>
            <w:r w:rsidRPr="00D67A9C">
              <w:rPr>
                <w:lang w:val="lv-LV" w:eastAsia="lv-LV"/>
              </w:rPr>
              <w:lastRenderedPageBreak/>
              <w:t xml:space="preserve">vienības tiek pārņemtas vai ieviestas pilnībā vai daļēji. </w:t>
            </w:r>
          </w:p>
          <w:p w:rsidR="00E26EA4" w:rsidRPr="00D67A9C" w:rsidRDefault="00E26EA4" w:rsidP="00840750">
            <w:pPr>
              <w:spacing w:before="100" w:beforeAutospacing="1" w:after="100" w:afterAutospacing="1"/>
              <w:rPr>
                <w:lang w:val="lv-LV" w:eastAsia="lv-LV"/>
              </w:rPr>
            </w:pPr>
            <w:r w:rsidRPr="00D67A9C">
              <w:rPr>
                <w:lang w:val="lv-LV" w:eastAsia="lv-LV"/>
              </w:rPr>
              <w:t>Ja attiecīgā ES tiesību akta vienība tiek pārņemta vai ieviesta daļēji, sniedz attiecīgu skaidrojumu, kā arī precīzi norāda, kad un kādā veidā ES tiesību akta vienība tiks pārņemta vai ieviesta pilnībā.</w:t>
            </w:r>
          </w:p>
          <w:p w:rsidR="00E26EA4" w:rsidRPr="00D67A9C" w:rsidRDefault="00E26EA4" w:rsidP="00840750">
            <w:pPr>
              <w:spacing w:before="100" w:beforeAutospacing="1" w:after="100" w:afterAutospacing="1"/>
              <w:rPr>
                <w:lang w:val="lv-LV" w:eastAsia="lv-LV"/>
              </w:rPr>
            </w:pPr>
            <w:r w:rsidRPr="00D67A9C">
              <w:rPr>
                <w:lang w:val="lv-LV" w:eastAsia="lv-LV"/>
              </w:rPr>
              <w:t>Norāda institūciju, kas ir atbildīga par šo saistību izpildi pilnībā</w:t>
            </w:r>
          </w:p>
          <w:p w:rsidR="003324FC" w:rsidRPr="003324FC" w:rsidRDefault="003324FC" w:rsidP="00840750">
            <w:pPr>
              <w:spacing w:before="100" w:beforeAutospacing="1" w:after="100" w:afterAutospacing="1"/>
              <w:rPr>
                <w:lang w:val="lv-LV" w:eastAsia="lv-LV"/>
              </w:rPr>
            </w:pPr>
          </w:p>
        </w:tc>
        <w:tc>
          <w:tcPr>
            <w:tcW w:w="2110" w:type="dxa"/>
            <w:shd w:val="clear" w:color="auto" w:fill="auto"/>
          </w:tcPr>
          <w:p w:rsidR="009A4251" w:rsidRDefault="00E26EA4" w:rsidP="009A4251">
            <w:pPr>
              <w:rPr>
                <w:lang w:val="lv-LV" w:eastAsia="lv-LV"/>
              </w:rPr>
            </w:pPr>
            <w:r w:rsidRPr="00E26EA4">
              <w:rPr>
                <w:lang w:val="lv-LV" w:eastAsia="lv-LV"/>
              </w:rPr>
              <w:lastRenderedPageBreak/>
              <w:t xml:space="preserve">Informācija par to, vai šīs tabulas </w:t>
            </w:r>
            <w:proofErr w:type="spellStart"/>
            <w:r w:rsidRPr="00E26EA4">
              <w:rPr>
                <w:lang w:val="lv-LV" w:eastAsia="lv-LV"/>
              </w:rPr>
              <w:t>B ailē</w:t>
            </w:r>
            <w:proofErr w:type="spellEnd"/>
            <w:r w:rsidRPr="00E26EA4">
              <w:rPr>
                <w:lang w:val="lv-LV" w:eastAsia="lv-LV"/>
              </w:rPr>
              <w:t xml:space="preserve"> minētās projekta vienības </w:t>
            </w:r>
            <w:r w:rsidRPr="00E26EA4">
              <w:rPr>
                <w:lang w:val="lv-LV" w:eastAsia="lv-LV"/>
              </w:rPr>
              <w:lastRenderedPageBreak/>
              <w:t xml:space="preserve">paredz stingrākas prasības nekā šīs tabulas A ailē minētās </w:t>
            </w:r>
            <w:proofErr w:type="spellStart"/>
            <w:r w:rsidRPr="00E26EA4">
              <w:rPr>
                <w:lang w:val="lv-LV" w:eastAsia="lv-LV"/>
              </w:rPr>
              <w:t>ES tiesību</w:t>
            </w:r>
            <w:proofErr w:type="spellEnd"/>
            <w:r w:rsidRPr="00E26EA4">
              <w:rPr>
                <w:lang w:val="lv-LV" w:eastAsia="lv-LV"/>
              </w:rPr>
              <w:t xml:space="preserve"> akta vienības. </w:t>
            </w:r>
          </w:p>
          <w:p w:rsidR="009A4251" w:rsidRDefault="00E26EA4" w:rsidP="009A4251">
            <w:pPr>
              <w:rPr>
                <w:lang w:val="lv-LV" w:eastAsia="lv-LV"/>
              </w:rPr>
            </w:pPr>
            <w:r w:rsidRPr="00E26EA4">
              <w:rPr>
                <w:lang w:val="lv-LV" w:eastAsia="lv-LV"/>
              </w:rPr>
              <w:t xml:space="preserve">Ja projekts satur stingrākas prasības nekā attiecīgais ES tiesību </w:t>
            </w:r>
            <w:proofErr w:type="spellStart"/>
            <w:r w:rsidRPr="00E26EA4">
              <w:rPr>
                <w:lang w:val="lv-LV" w:eastAsia="lv-LV"/>
              </w:rPr>
              <w:t>akts, norāda</w:t>
            </w:r>
            <w:proofErr w:type="spellEnd"/>
            <w:r w:rsidRPr="00E26EA4">
              <w:rPr>
                <w:lang w:val="lv-LV" w:eastAsia="lv-LV"/>
              </w:rPr>
              <w:t xml:space="preserve"> pamatojumu un samērīgumu.</w:t>
            </w:r>
          </w:p>
          <w:p w:rsidR="00E26EA4" w:rsidRPr="00840750" w:rsidRDefault="00E26EA4" w:rsidP="009A4251">
            <w:pPr>
              <w:rPr>
                <w:lang w:val="lv-LV" w:eastAsia="lv-LV"/>
              </w:rPr>
            </w:pPr>
            <w:r w:rsidRPr="00E26EA4">
              <w:rPr>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40750" w:rsidRPr="00775155" w:rsidTr="00B74DC8">
        <w:trPr>
          <w:tblCellSpacing w:w="20" w:type="dxa"/>
        </w:trPr>
        <w:tc>
          <w:tcPr>
            <w:tcW w:w="3060" w:type="dxa"/>
            <w:shd w:val="clear" w:color="auto" w:fill="auto"/>
          </w:tcPr>
          <w:p w:rsidR="00B74DC8" w:rsidRDefault="00D67A9C" w:rsidP="00AA3E89">
            <w:pPr>
              <w:pStyle w:val="naisf"/>
              <w:ind w:firstLine="0"/>
              <w:rPr>
                <w:lang w:val="lv-LV"/>
              </w:rPr>
            </w:pPr>
            <w:r>
              <w:rPr>
                <w:lang w:val="lv-LV"/>
              </w:rPr>
              <w:lastRenderedPageBreak/>
              <w:t xml:space="preserve">EK </w:t>
            </w:r>
            <w:r w:rsidRPr="00775155">
              <w:rPr>
                <w:lang w:val="lv-LV"/>
              </w:rPr>
              <w:t>lēmums C(2011) 1259</w:t>
            </w:r>
            <w:r>
              <w:rPr>
                <w:lang w:val="lv-LV"/>
              </w:rPr>
              <w:t xml:space="preserve">, </w:t>
            </w:r>
            <w:r w:rsidRPr="00775155">
              <w:rPr>
                <w:lang w:val="lv-LV"/>
              </w:rPr>
              <w:t>EK</w:t>
            </w:r>
            <w:r>
              <w:rPr>
                <w:lang w:val="lv-LV"/>
              </w:rPr>
              <w:t xml:space="preserve"> </w:t>
            </w:r>
            <w:r w:rsidRPr="00775155">
              <w:rPr>
                <w:lang w:val="lv-LV"/>
              </w:rPr>
              <w:t>lēmums C(2011) 1260</w:t>
            </w:r>
            <w:r>
              <w:rPr>
                <w:lang w:val="lv-LV"/>
              </w:rPr>
              <w:t xml:space="preserve"> un </w:t>
            </w:r>
            <w:r w:rsidRPr="00775155">
              <w:rPr>
                <w:lang w:val="lv-LV"/>
              </w:rPr>
              <w:t>EK lēmums C(2011) 1290</w:t>
            </w:r>
            <w:r>
              <w:rPr>
                <w:lang w:val="lv-LV"/>
              </w:rPr>
              <w:t xml:space="preserve"> </w:t>
            </w:r>
          </w:p>
          <w:p w:rsidR="00E26EA4" w:rsidRPr="00840750" w:rsidRDefault="00D67A9C" w:rsidP="00AA3E89">
            <w:pPr>
              <w:pStyle w:val="naisf"/>
              <w:ind w:firstLine="0"/>
              <w:rPr>
                <w:lang w:val="lv-LV"/>
              </w:rPr>
            </w:pPr>
            <w:r>
              <w:rPr>
                <w:lang w:val="lv-LV"/>
              </w:rPr>
              <w:t>11.pielikuma II.2.punkta 2.un 3.</w:t>
            </w:r>
            <w:r w:rsidR="00AA3E89">
              <w:rPr>
                <w:lang w:val="lv-LV"/>
              </w:rPr>
              <w:t>daļa</w:t>
            </w:r>
          </w:p>
        </w:tc>
        <w:tc>
          <w:tcPr>
            <w:tcW w:w="2369" w:type="dxa"/>
            <w:shd w:val="clear" w:color="auto" w:fill="auto"/>
          </w:tcPr>
          <w:p w:rsidR="00E26EA4" w:rsidRPr="00840750" w:rsidRDefault="00D84C48" w:rsidP="00AA3E89">
            <w:pPr>
              <w:pStyle w:val="naisf"/>
              <w:ind w:firstLine="0"/>
              <w:rPr>
                <w:lang w:val="lv-LV"/>
              </w:rPr>
            </w:pPr>
            <w:r>
              <w:rPr>
                <w:lang w:val="lv-LV"/>
              </w:rPr>
              <w:t>7., 9</w:t>
            </w:r>
            <w:r w:rsidR="00AA3E89">
              <w:rPr>
                <w:lang w:val="lv-LV"/>
              </w:rPr>
              <w:t>.</w:t>
            </w:r>
            <w:r>
              <w:rPr>
                <w:lang w:val="lv-LV"/>
              </w:rPr>
              <w:t xml:space="preserve"> un 37</w:t>
            </w:r>
            <w:r w:rsidR="00D67A9C">
              <w:rPr>
                <w:lang w:val="lv-LV"/>
              </w:rPr>
              <w:t>.punkts</w:t>
            </w:r>
          </w:p>
        </w:tc>
        <w:tc>
          <w:tcPr>
            <w:tcW w:w="2221" w:type="dxa"/>
            <w:shd w:val="clear" w:color="auto" w:fill="auto"/>
          </w:tcPr>
          <w:p w:rsidR="00D67A9C" w:rsidRPr="00D67A9C" w:rsidRDefault="00D67A9C" w:rsidP="00D67A9C">
            <w:pPr>
              <w:rPr>
                <w:lang w:val="lv-LV" w:eastAsia="lv-LV"/>
              </w:rPr>
            </w:pPr>
            <w:r w:rsidRPr="00D67A9C">
              <w:rPr>
                <w:lang w:val="lv-LV" w:eastAsia="lv-LV"/>
              </w:rPr>
              <w:t>Pārņemta pilnībā.</w:t>
            </w:r>
          </w:p>
          <w:p w:rsidR="00E26EA4" w:rsidRPr="00840750" w:rsidRDefault="00D67A9C" w:rsidP="00840750">
            <w:pPr>
              <w:pStyle w:val="naisf"/>
              <w:ind w:firstLine="0"/>
              <w:rPr>
                <w:lang w:val="lv-LV"/>
              </w:rPr>
            </w:pPr>
            <w:r>
              <w:rPr>
                <w:lang w:val="lv-LV" w:eastAsia="lv-LV"/>
              </w:rPr>
              <w:t>Iekšlietu ministrija</w:t>
            </w:r>
          </w:p>
        </w:tc>
        <w:tc>
          <w:tcPr>
            <w:tcW w:w="2110" w:type="dxa"/>
            <w:shd w:val="clear" w:color="auto" w:fill="auto"/>
          </w:tcPr>
          <w:p w:rsidR="00E26EA4" w:rsidRPr="00840750" w:rsidRDefault="00212718" w:rsidP="00840750">
            <w:pPr>
              <w:pStyle w:val="naisf"/>
              <w:ind w:firstLine="0"/>
              <w:rPr>
                <w:lang w:val="lv-LV"/>
              </w:rPr>
            </w:pPr>
            <w:r>
              <w:rPr>
                <w:lang w:val="lv-LV"/>
              </w:rPr>
              <w:t>Stingrākas prasības netiek piemērotas</w:t>
            </w:r>
          </w:p>
        </w:tc>
      </w:tr>
      <w:tr w:rsidR="00D67A9C" w:rsidRPr="00D84C48" w:rsidTr="00B74DC8">
        <w:trPr>
          <w:tblCellSpacing w:w="20" w:type="dxa"/>
        </w:trPr>
        <w:tc>
          <w:tcPr>
            <w:tcW w:w="3060" w:type="dxa"/>
            <w:shd w:val="clear" w:color="auto" w:fill="auto"/>
          </w:tcPr>
          <w:p w:rsidR="00D67A9C" w:rsidRPr="00D67A9C" w:rsidRDefault="00D67A9C" w:rsidP="00840750">
            <w:pPr>
              <w:pStyle w:val="naisf"/>
              <w:ind w:firstLine="0"/>
              <w:rPr>
                <w:i/>
                <w:lang w:val="lv-LV"/>
              </w:rPr>
            </w:pPr>
            <w:r>
              <w:rPr>
                <w:lang w:val="lv-LV"/>
              </w:rPr>
              <w:t xml:space="preserve">EK </w:t>
            </w:r>
            <w:r w:rsidRPr="00775155">
              <w:rPr>
                <w:lang w:val="lv-LV"/>
              </w:rPr>
              <w:t>lēmums C(2011) 1259</w:t>
            </w:r>
            <w:r>
              <w:rPr>
                <w:lang w:val="lv-LV"/>
              </w:rPr>
              <w:t xml:space="preserve">, </w:t>
            </w:r>
            <w:r w:rsidRPr="00775155">
              <w:rPr>
                <w:lang w:val="lv-LV"/>
              </w:rPr>
              <w:t>EK</w:t>
            </w:r>
            <w:r>
              <w:rPr>
                <w:lang w:val="lv-LV"/>
              </w:rPr>
              <w:t xml:space="preserve"> </w:t>
            </w:r>
            <w:r w:rsidRPr="00775155">
              <w:rPr>
                <w:lang w:val="lv-LV"/>
              </w:rPr>
              <w:t>lēmums C(2011) 1260</w:t>
            </w:r>
            <w:r>
              <w:rPr>
                <w:lang w:val="lv-LV"/>
              </w:rPr>
              <w:t xml:space="preserve"> un </w:t>
            </w:r>
            <w:r w:rsidRPr="00775155">
              <w:rPr>
                <w:lang w:val="lv-LV"/>
              </w:rPr>
              <w:t>EK lēmums C(2011) 1290</w:t>
            </w:r>
            <w:r>
              <w:rPr>
                <w:lang w:val="lv-LV"/>
              </w:rPr>
              <w:t xml:space="preserve"> 11.pielikuma I.2.punkts</w:t>
            </w:r>
          </w:p>
        </w:tc>
        <w:tc>
          <w:tcPr>
            <w:tcW w:w="2369" w:type="dxa"/>
            <w:shd w:val="clear" w:color="auto" w:fill="auto"/>
          </w:tcPr>
          <w:p w:rsidR="00D67A9C" w:rsidRPr="00D67A9C" w:rsidRDefault="00D84C48" w:rsidP="00AA3E89">
            <w:pPr>
              <w:pStyle w:val="naisf"/>
              <w:ind w:firstLine="0"/>
              <w:rPr>
                <w:lang w:val="lv-LV"/>
              </w:rPr>
            </w:pPr>
            <w:r>
              <w:rPr>
                <w:lang w:val="lv-LV"/>
              </w:rPr>
              <w:t>35</w:t>
            </w:r>
            <w:r w:rsidR="00D67A9C">
              <w:rPr>
                <w:lang w:val="lv-LV"/>
              </w:rPr>
              <w:t>.</w:t>
            </w:r>
            <w:r w:rsidR="00AA3E89">
              <w:rPr>
                <w:lang w:val="lv-LV"/>
              </w:rPr>
              <w:t xml:space="preserve">, </w:t>
            </w:r>
            <w:r>
              <w:rPr>
                <w:lang w:val="lv-LV"/>
              </w:rPr>
              <w:t>38</w:t>
            </w:r>
            <w:r w:rsidR="00D67A9C">
              <w:rPr>
                <w:lang w:val="lv-LV"/>
              </w:rPr>
              <w:t>.</w:t>
            </w:r>
            <w:r>
              <w:rPr>
                <w:lang w:val="lv-LV"/>
              </w:rPr>
              <w:t xml:space="preserve"> un 39</w:t>
            </w:r>
            <w:r w:rsidR="00AA3E89">
              <w:rPr>
                <w:lang w:val="lv-LV"/>
              </w:rPr>
              <w:t>.</w:t>
            </w:r>
            <w:r w:rsidR="00D67A9C">
              <w:rPr>
                <w:lang w:val="lv-LV"/>
              </w:rPr>
              <w:t>punkts</w:t>
            </w:r>
          </w:p>
        </w:tc>
        <w:tc>
          <w:tcPr>
            <w:tcW w:w="2221" w:type="dxa"/>
            <w:shd w:val="clear" w:color="auto" w:fill="auto"/>
          </w:tcPr>
          <w:p w:rsidR="00D67A9C" w:rsidRPr="00D67A9C" w:rsidRDefault="00D67A9C" w:rsidP="00D67A9C">
            <w:pPr>
              <w:rPr>
                <w:lang w:val="lv-LV" w:eastAsia="lv-LV"/>
              </w:rPr>
            </w:pPr>
            <w:r w:rsidRPr="00D67A9C">
              <w:rPr>
                <w:lang w:val="lv-LV" w:eastAsia="lv-LV"/>
              </w:rPr>
              <w:t>Pārņemta pilnībā.</w:t>
            </w:r>
          </w:p>
          <w:p w:rsidR="00D67A9C" w:rsidRPr="00D67A9C" w:rsidRDefault="00D67A9C" w:rsidP="00D67A9C">
            <w:pPr>
              <w:rPr>
                <w:i/>
                <w:lang w:val="lv-LV" w:eastAsia="lv-LV"/>
              </w:rPr>
            </w:pPr>
            <w:r>
              <w:rPr>
                <w:lang w:val="lv-LV" w:eastAsia="lv-LV"/>
              </w:rPr>
              <w:t>Iekšlietu ministrija</w:t>
            </w:r>
          </w:p>
        </w:tc>
        <w:tc>
          <w:tcPr>
            <w:tcW w:w="2110" w:type="dxa"/>
            <w:shd w:val="clear" w:color="auto" w:fill="auto"/>
          </w:tcPr>
          <w:p w:rsidR="00D67A9C" w:rsidRPr="00AA3E89" w:rsidRDefault="00AA3E89" w:rsidP="00E26EA4">
            <w:pPr>
              <w:rPr>
                <w:lang w:val="lv-LV" w:eastAsia="lv-LV"/>
              </w:rPr>
            </w:pPr>
            <w:r>
              <w:rPr>
                <w:lang w:val="lv-LV" w:eastAsia="lv-LV"/>
              </w:rPr>
              <w:t>Neparedz stingrākas prasības</w:t>
            </w:r>
          </w:p>
        </w:tc>
      </w:tr>
      <w:tr w:rsidR="00AA3E89" w:rsidRPr="00775155" w:rsidTr="00B74DC8">
        <w:trPr>
          <w:tblCellSpacing w:w="20" w:type="dxa"/>
        </w:trPr>
        <w:tc>
          <w:tcPr>
            <w:tcW w:w="3060" w:type="dxa"/>
            <w:shd w:val="clear" w:color="auto" w:fill="auto"/>
          </w:tcPr>
          <w:p w:rsidR="00AA3E89" w:rsidRPr="00AA3E89" w:rsidRDefault="00AA3E89" w:rsidP="00840750">
            <w:pPr>
              <w:pStyle w:val="naisf"/>
              <w:ind w:firstLine="0"/>
              <w:rPr>
                <w:lang w:val="lv-LV"/>
              </w:rPr>
            </w:pPr>
            <w:r>
              <w:rPr>
                <w:lang w:val="lv-LV"/>
              </w:rPr>
              <w:t xml:space="preserve">EK </w:t>
            </w:r>
            <w:r w:rsidRPr="00775155">
              <w:rPr>
                <w:lang w:val="lv-LV"/>
              </w:rPr>
              <w:t>lēmums C(2011) 1259</w:t>
            </w:r>
            <w:r>
              <w:rPr>
                <w:lang w:val="lv-LV"/>
              </w:rPr>
              <w:t xml:space="preserve">, </w:t>
            </w:r>
            <w:r w:rsidRPr="00775155">
              <w:rPr>
                <w:lang w:val="lv-LV"/>
              </w:rPr>
              <w:t>EK</w:t>
            </w:r>
            <w:r>
              <w:rPr>
                <w:lang w:val="lv-LV"/>
              </w:rPr>
              <w:t xml:space="preserve"> </w:t>
            </w:r>
            <w:r w:rsidRPr="00775155">
              <w:rPr>
                <w:lang w:val="lv-LV"/>
              </w:rPr>
              <w:t>lēmums C(2011) 1260</w:t>
            </w:r>
            <w:r>
              <w:rPr>
                <w:lang w:val="lv-LV"/>
              </w:rPr>
              <w:t xml:space="preserve"> un </w:t>
            </w:r>
            <w:r w:rsidRPr="00775155">
              <w:rPr>
                <w:lang w:val="lv-LV"/>
              </w:rPr>
              <w:t>EK lēmums C(2011) 1290</w:t>
            </w:r>
            <w:r>
              <w:rPr>
                <w:lang w:val="lv-LV"/>
              </w:rPr>
              <w:t xml:space="preserve"> 11.pielikuma II.1.3.3.apakšpunkta 3.daļa</w:t>
            </w:r>
          </w:p>
        </w:tc>
        <w:tc>
          <w:tcPr>
            <w:tcW w:w="2369" w:type="dxa"/>
            <w:shd w:val="clear" w:color="auto" w:fill="auto"/>
          </w:tcPr>
          <w:p w:rsidR="00AA3E89" w:rsidRPr="00AA3E89" w:rsidRDefault="00D84C48" w:rsidP="00840750">
            <w:pPr>
              <w:pStyle w:val="naisf"/>
              <w:ind w:firstLine="0"/>
              <w:rPr>
                <w:lang w:val="lv-LV"/>
              </w:rPr>
            </w:pPr>
            <w:r>
              <w:rPr>
                <w:lang w:val="lv-LV"/>
              </w:rPr>
              <w:t>36</w:t>
            </w:r>
            <w:r w:rsidR="00AA3E89">
              <w:rPr>
                <w:lang w:val="lv-LV"/>
              </w:rPr>
              <w:t>.punkts</w:t>
            </w:r>
          </w:p>
        </w:tc>
        <w:tc>
          <w:tcPr>
            <w:tcW w:w="2221" w:type="dxa"/>
            <w:shd w:val="clear" w:color="auto" w:fill="auto"/>
          </w:tcPr>
          <w:p w:rsidR="00AA3E89" w:rsidRPr="00D67A9C" w:rsidRDefault="00AA3E89" w:rsidP="00007078">
            <w:pPr>
              <w:rPr>
                <w:lang w:val="lv-LV" w:eastAsia="lv-LV"/>
              </w:rPr>
            </w:pPr>
            <w:r w:rsidRPr="00D67A9C">
              <w:rPr>
                <w:lang w:val="lv-LV" w:eastAsia="lv-LV"/>
              </w:rPr>
              <w:t>Pārņemta pilnībā.</w:t>
            </w:r>
          </w:p>
          <w:p w:rsidR="00AA3E89" w:rsidRPr="00D67A9C" w:rsidRDefault="00AA3E89" w:rsidP="00007078">
            <w:pPr>
              <w:rPr>
                <w:i/>
                <w:lang w:val="lv-LV" w:eastAsia="lv-LV"/>
              </w:rPr>
            </w:pPr>
            <w:r>
              <w:rPr>
                <w:lang w:val="lv-LV" w:eastAsia="lv-LV"/>
              </w:rPr>
              <w:t>Iekšlietu ministrija</w:t>
            </w:r>
          </w:p>
        </w:tc>
        <w:tc>
          <w:tcPr>
            <w:tcW w:w="2110" w:type="dxa"/>
            <w:shd w:val="clear" w:color="auto" w:fill="auto"/>
          </w:tcPr>
          <w:p w:rsidR="00AA3E89" w:rsidRPr="00AA3E89" w:rsidRDefault="00AA3E89" w:rsidP="00007078">
            <w:pPr>
              <w:rPr>
                <w:lang w:val="lv-LV" w:eastAsia="lv-LV"/>
              </w:rPr>
            </w:pPr>
            <w:r>
              <w:rPr>
                <w:lang w:val="lv-LV" w:eastAsia="lv-LV"/>
              </w:rPr>
              <w:t>Neparedz stingrākas prasības</w:t>
            </w:r>
          </w:p>
        </w:tc>
      </w:tr>
      <w:tr w:rsidR="00AA3E89" w:rsidRPr="009E7874" w:rsidTr="00B74DC8">
        <w:trPr>
          <w:tblCellSpacing w:w="20" w:type="dxa"/>
        </w:trPr>
        <w:tc>
          <w:tcPr>
            <w:tcW w:w="3060" w:type="dxa"/>
            <w:shd w:val="clear" w:color="auto" w:fill="auto"/>
          </w:tcPr>
          <w:p w:rsidR="00AA3E89" w:rsidRPr="00840750" w:rsidRDefault="00AA3E89" w:rsidP="00B74DC8">
            <w:pPr>
              <w:rPr>
                <w:lang w:val="lv-LV" w:eastAsia="lv-LV"/>
              </w:rPr>
            </w:pPr>
            <w:r w:rsidRPr="00E26EA4">
              <w:rPr>
                <w:lang w:val="lv-LV" w:eastAsia="lv-LV"/>
              </w:rPr>
              <w:t>Kā ir izmantota ES tiesību aktā paredzētā rīcības brīvība dalībvalstij pārņemt vai ieviest noteiktas ES tiesību akta normas? Kādēļ?</w:t>
            </w:r>
          </w:p>
        </w:tc>
        <w:tc>
          <w:tcPr>
            <w:tcW w:w="6780" w:type="dxa"/>
            <w:gridSpan w:val="3"/>
            <w:shd w:val="clear" w:color="auto" w:fill="auto"/>
          </w:tcPr>
          <w:p w:rsidR="00AA3E89" w:rsidRPr="00840750" w:rsidRDefault="00212718" w:rsidP="00212718">
            <w:pPr>
              <w:pStyle w:val="naisf"/>
              <w:ind w:firstLine="0"/>
              <w:rPr>
                <w:lang w:val="lv-LV"/>
              </w:rPr>
            </w:pPr>
            <w:r>
              <w:rPr>
                <w:lang w:val="lv-LV"/>
              </w:rPr>
              <w:t>ES tiesību aktos noteiktās prasības dalībvalstīm ir jāievēro, taču tie paredz tiesību brīvību uz attiecīgajām prasībām, nosakot stingrākas prasības.</w:t>
            </w:r>
          </w:p>
        </w:tc>
      </w:tr>
      <w:tr w:rsidR="00AA3E89" w:rsidRPr="00775155" w:rsidTr="00B74DC8">
        <w:trPr>
          <w:tblCellSpacing w:w="20" w:type="dxa"/>
        </w:trPr>
        <w:tc>
          <w:tcPr>
            <w:tcW w:w="3060" w:type="dxa"/>
            <w:shd w:val="clear" w:color="auto" w:fill="auto"/>
          </w:tcPr>
          <w:p w:rsidR="00AA3E89" w:rsidRPr="00840750" w:rsidRDefault="00AA3E89" w:rsidP="00840750">
            <w:pPr>
              <w:pStyle w:val="naisf"/>
              <w:ind w:firstLine="0"/>
              <w:rPr>
                <w:lang w:val="lv-LV"/>
              </w:rPr>
            </w:pPr>
            <w:r w:rsidRPr="00840750">
              <w:rPr>
                <w:lang w:val="lv-LV"/>
              </w:rPr>
              <w:t xml:space="preserve">Saistības sniegt paziņojumu </w:t>
            </w:r>
            <w:proofErr w:type="spellStart"/>
            <w:r w:rsidRPr="00840750">
              <w:rPr>
                <w:lang w:val="lv-LV"/>
              </w:rPr>
              <w:lastRenderedPageBreak/>
              <w:t>ES institūcijām</w:t>
            </w:r>
            <w:proofErr w:type="spellEnd"/>
            <w:r w:rsidRPr="00840750">
              <w:rPr>
                <w:lang w:val="lv-LV"/>
              </w:rPr>
              <w:t xml:space="preserve"> un ES dalībvalstīm atbilstoši normatīvajiem aktiem, kas regulē informācijas sniegšanu par tehnisko noteikumu, valsts atbalsta piešķiršanas un finanšu noteikumu (attiecībā uz monetāro politiku) projektiem</w:t>
            </w:r>
          </w:p>
        </w:tc>
        <w:tc>
          <w:tcPr>
            <w:tcW w:w="6780" w:type="dxa"/>
            <w:gridSpan w:val="3"/>
            <w:shd w:val="clear" w:color="auto" w:fill="auto"/>
          </w:tcPr>
          <w:p w:rsidR="00AA3E89" w:rsidRPr="00840750" w:rsidRDefault="00212718" w:rsidP="00840750">
            <w:pPr>
              <w:pStyle w:val="naisf"/>
              <w:ind w:firstLine="0"/>
              <w:rPr>
                <w:lang w:val="lv-LV"/>
              </w:rPr>
            </w:pPr>
            <w:r>
              <w:rPr>
                <w:lang w:val="lv-LV"/>
              </w:rPr>
              <w:lastRenderedPageBreak/>
              <w:t>Nav attiecināms</w:t>
            </w:r>
          </w:p>
        </w:tc>
      </w:tr>
      <w:tr w:rsidR="00AA3E89" w:rsidRPr="00840750" w:rsidTr="00B74DC8">
        <w:trPr>
          <w:tblCellSpacing w:w="20" w:type="dxa"/>
        </w:trPr>
        <w:tc>
          <w:tcPr>
            <w:tcW w:w="3060" w:type="dxa"/>
            <w:shd w:val="clear" w:color="auto" w:fill="auto"/>
          </w:tcPr>
          <w:p w:rsidR="00AA3E89" w:rsidRPr="00840750" w:rsidRDefault="00AA3E89" w:rsidP="00840750">
            <w:pPr>
              <w:pStyle w:val="naisf"/>
              <w:ind w:firstLine="0"/>
              <w:rPr>
                <w:lang w:val="lv-LV"/>
              </w:rPr>
            </w:pPr>
            <w:r>
              <w:lastRenderedPageBreak/>
              <w:t>Cita informācija</w:t>
            </w:r>
          </w:p>
        </w:tc>
        <w:tc>
          <w:tcPr>
            <w:tcW w:w="6780" w:type="dxa"/>
            <w:gridSpan w:val="3"/>
            <w:shd w:val="clear" w:color="auto" w:fill="auto"/>
          </w:tcPr>
          <w:p w:rsidR="00AA3E89" w:rsidRPr="00840750" w:rsidRDefault="00212718" w:rsidP="00840750">
            <w:pPr>
              <w:spacing w:before="100" w:beforeAutospacing="1" w:after="100" w:afterAutospacing="1"/>
              <w:rPr>
                <w:lang w:val="lv-LV" w:eastAsia="lv-LV"/>
              </w:rPr>
            </w:pPr>
            <w:r>
              <w:rPr>
                <w:lang w:val="lv-LV" w:eastAsia="lv-LV"/>
              </w:rPr>
              <w:t>Nav.</w:t>
            </w:r>
          </w:p>
        </w:tc>
      </w:tr>
    </w:tbl>
    <w:p w:rsidR="00DA5648" w:rsidRPr="00DE5362" w:rsidRDefault="00DA5648" w:rsidP="00E06DCC">
      <w:pPr>
        <w:pStyle w:val="naisf"/>
        <w:ind w:firstLine="0"/>
        <w:rPr>
          <w:lang w:val="lv-LV"/>
        </w:rPr>
      </w:pPr>
      <w:r w:rsidRPr="002B6F5F">
        <w:rPr>
          <w:lang w:val="lv-LV"/>
        </w:rPr>
        <w:t xml:space="preserve">Anotācijas II, III, IV, VI un VII sadaļa – </w:t>
      </w:r>
      <w:r w:rsidRPr="00DE5362">
        <w:rPr>
          <w:lang w:val="lv-LV"/>
        </w:rPr>
        <w:t>projekts šo jomu neskar</w:t>
      </w:r>
    </w:p>
    <w:p w:rsidR="00DA5648" w:rsidRDefault="00DA5648" w:rsidP="00BC79FF">
      <w:pPr>
        <w:tabs>
          <w:tab w:val="left" w:pos="7485"/>
        </w:tabs>
        <w:spacing w:after="120"/>
        <w:ind w:firstLine="709"/>
        <w:rPr>
          <w:lang w:val="lv-LV"/>
        </w:rPr>
      </w:pPr>
    </w:p>
    <w:p w:rsidR="00E06DCC" w:rsidRPr="002B6F5F" w:rsidRDefault="00E06DCC" w:rsidP="00BC79FF">
      <w:pPr>
        <w:tabs>
          <w:tab w:val="left" w:pos="7485"/>
        </w:tabs>
        <w:spacing w:after="120"/>
        <w:ind w:firstLine="709"/>
        <w:rPr>
          <w:lang w:val="lv-LV"/>
        </w:rPr>
      </w:pPr>
    </w:p>
    <w:p w:rsidR="00DA5648" w:rsidRPr="00772715" w:rsidRDefault="00DA5648" w:rsidP="00BC79FF">
      <w:pPr>
        <w:ind w:firstLine="396"/>
        <w:jc w:val="both"/>
        <w:rPr>
          <w:sz w:val="28"/>
          <w:szCs w:val="28"/>
          <w:lang w:val="lv-LV"/>
        </w:rPr>
      </w:pPr>
      <w:r w:rsidRPr="00772715">
        <w:rPr>
          <w:sz w:val="28"/>
          <w:szCs w:val="28"/>
          <w:lang w:val="lv-LV"/>
        </w:rPr>
        <w:t xml:space="preserve">Iekšlietu ministre </w:t>
      </w:r>
      <w:r w:rsidRPr="00772715">
        <w:rPr>
          <w:sz w:val="28"/>
          <w:szCs w:val="28"/>
          <w:lang w:val="lv-LV"/>
        </w:rPr>
        <w:tab/>
      </w:r>
      <w:r w:rsidRPr="00772715">
        <w:rPr>
          <w:sz w:val="28"/>
          <w:szCs w:val="28"/>
          <w:lang w:val="lv-LV"/>
        </w:rPr>
        <w:tab/>
      </w:r>
      <w:r w:rsidRPr="00772715">
        <w:rPr>
          <w:sz w:val="28"/>
          <w:szCs w:val="28"/>
          <w:lang w:val="lv-LV"/>
        </w:rPr>
        <w:tab/>
      </w:r>
      <w:r w:rsidRPr="00772715">
        <w:rPr>
          <w:sz w:val="28"/>
          <w:szCs w:val="28"/>
          <w:lang w:val="lv-LV"/>
        </w:rPr>
        <w:tab/>
      </w:r>
      <w:r w:rsidRPr="00772715">
        <w:rPr>
          <w:sz w:val="28"/>
          <w:szCs w:val="28"/>
          <w:lang w:val="lv-LV"/>
        </w:rPr>
        <w:tab/>
      </w:r>
      <w:r w:rsidRPr="00772715">
        <w:rPr>
          <w:sz w:val="28"/>
          <w:szCs w:val="28"/>
          <w:lang w:val="lv-LV"/>
        </w:rPr>
        <w:tab/>
      </w:r>
      <w:r w:rsidRPr="00772715">
        <w:rPr>
          <w:sz w:val="28"/>
          <w:szCs w:val="28"/>
          <w:lang w:val="lv-LV"/>
        </w:rPr>
        <w:tab/>
        <w:t>L.Mūrniece</w:t>
      </w:r>
    </w:p>
    <w:p w:rsidR="00DA5648" w:rsidRDefault="00DA5648" w:rsidP="00BC79FF">
      <w:pPr>
        <w:jc w:val="both"/>
        <w:rPr>
          <w:sz w:val="28"/>
          <w:szCs w:val="28"/>
          <w:lang w:val="lv-LV"/>
        </w:rPr>
      </w:pPr>
    </w:p>
    <w:p w:rsidR="00E06DCC" w:rsidRPr="00772715" w:rsidRDefault="00E06DCC" w:rsidP="00BC79FF">
      <w:pPr>
        <w:jc w:val="both"/>
        <w:rPr>
          <w:sz w:val="28"/>
          <w:szCs w:val="28"/>
          <w:lang w:val="lv-LV"/>
        </w:rPr>
      </w:pPr>
    </w:p>
    <w:p w:rsidR="00DA5648" w:rsidRPr="00772715" w:rsidRDefault="00E06DCC" w:rsidP="00E06DCC">
      <w:pPr>
        <w:ind w:firstLine="396"/>
        <w:jc w:val="both"/>
        <w:rPr>
          <w:sz w:val="28"/>
          <w:szCs w:val="28"/>
          <w:lang w:val="lv-LV"/>
        </w:rPr>
      </w:pPr>
      <w:r>
        <w:rPr>
          <w:sz w:val="28"/>
          <w:szCs w:val="28"/>
          <w:lang w:val="lv-LV"/>
        </w:rPr>
        <w:t xml:space="preserve">Vīza: </w:t>
      </w:r>
      <w:proofErr w:type="spellStart"/>
      <w:r>
        <w:rPr>
          <w:sz w:val="28"/>
          <w:szCs w:val="28"/>
          <w:lang w:val="lv-LV"/>
        </w:rPr>
        <w:t>valstes</w:t>
      </w:r>
      <w:proofErr w:type="spellEnd"/>
      <w:r w:rsidR="00DA5648" w:rsidRPr="00772715">
        <w:rPr>
          <w:sz w:val="28"/>
          <w:szCs w:val="28"/>
          <w:lang w:val="lv-LV"/>
        </w:rPr>
        <w:t xml:space="preserve"> sekretāre</w:t>
      </w:r>
      <w:r>
        <w:rPr>
          <w:sz w:val="28"/>
          <w:szCs w:val="28"/>
          <w:lang w:val="lv-LV"/>
        </w:rPr>
        <w:t xml:space="preserve">s </w:t>
      </w:r>
      <w:proofErr w:type="spellStart"/>
      <w:r>
        <w:rPr>
          <w:sz w:val="28"/>
          <w:szCs w:val="28"/>
          <w:lang w:val="lv-LV"/>
        </w:rPr>
        <w:t>p.i</w:t>
      </w:r>
      <w:proofErr w:type="spellEnd"/>
      <w:r>
        <w:rPr>
          <w:sz w:val="28"/>
          <w:szCs w:val="28"/>
          <w:lang w:val="lv-LV"/>
        </w:rPr>
        <w:t>.</w:t>
      </w:r>
      <w:r w:rsidR="00DA5648" w:rsidRPr="00772715">
        <w:rPr>
          <w:sz w:val="28"/>
          <w:szCs w:val="28"/>
          <w:lang w:val="lv-LV"/>
        </w:rPr>
        <w:tab/>
      </w:r>
      <w:r w:rsidR="00DA5648" w:rsidRPr="00772715">
        <w:rPr>
          <w:sz w:val="28"/>
          <w:szCs w:val="28"/>
          <w:lang w:val="lv-LV"/>
        </w:rPr>
        <w:tab/>
      </w:r>
      <w:r w:rsidR="00DA5648" w:rsidRPr="00AA2582">
        <w:rPr>
          <w:sz w:val="28"/>
          <w:szCs w:val="28"/>
          <w:u w:val="single"/>
          <w:lang w:val="lv-LV"/>
        </w:rPr>
        <w:tab/>
      </w:r>
      <w:r w:rsidR="00DA5648" w:rsidRPr="00AA2582">
        <w:rPr>
          <w:sz w:val="28"/>
          <w:szCs w:val="28"/>
          <w:u w:val="single"/>
          <w:lang w:val="lv-LV"/>
        </w:rPr>
        <w:tab/>
      </w:r>
      <w:r w:rsidR="00DA5648" w:rsidRPr="00AA2582">
        <w:rPr>
          <w:sz w:val="28"/>
          <w:szCs w:val="28"/>
          <w:u w:val="single"/>
          <w:lang w:val="lv-LV"/>
        </w:rPr>
        <w:tab/>
      </w:r>
      <w:proofErr w:type="gramStart"/>
      <w:r>
        <w:rPr>
          <w:sz w:val="28"/>
          <w:szCs w:val="28"/>
          <w:u w:val="single"/>
          <w:lang w:val="lv-LV"/>
        </w:rPr>
        <w:t xml:space="preserve">          </w:t>
      </w:r>
      <w:proofErr w:type="spellStart"/>
      <w:proofErr w:type="gramEnd"/>
      <w:r w:rsidR="00DA5648" w:rsidRPr="00772715">
        <w:rPr>
          <w:sz w:val="28"/>
          <w:szCs w:val="28"/>
          <w:lang w:val="lv-LV"/>
        </w:rPr>
        <w:t>I.</w:t>
      </w:r>
      <w:r>
        <w:rPr>
          <w:sz w:val="28"/>
          <w:szCs w:val="28"/>
          <w:lang w:val="lv-LV"/>
        </w:rPr>
        <w:t>Aire</w:t>
      </w:r>
      <w:proofErr w:type="spellEnd"/>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bookmarkStart w:id="0" w:name="_GoBack"/>
      <w:bookmarkEnd w:id="0"/>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E06DCC" w:rsidRDefault="00E06DCC" w:rsidP="00137F64">
      <w:pPr>
        <w:tabs>
          <w:tab w:val="left" w:pos="5529"/>
        </w:tabs>
        <w:jc w:val="both"/>
        <w:rPr>
          <w:lang w:val="lv-LV"/>
        </w:rPr>
      </w:pPr>
    </w:p>
    <w:p w:rsidR="00DA5648" w:rsidRPr="00137F64" w:rsidRDefault="00DA5648" w:rsidP="00137F64">
      <w:pPr>
        <w:tabs>
          <w:tab w:val="left" w:pos="5529"/>
        </w:tabs>
        <w:jc w:val="both"/>
        <w:rPr>
          <w:sz w:val="20"/>
          <w:szCs w:val="20"/>
          <w:lang w:val="lv-LV" w:eastAsia="en-US"/>
        </w:rPr>
      </w:pPr>
      <w:r w:rsidRPr="00137F64">
        <w:rPr>
          <w:sz w:val="20"/>
          <w:szCs w:val="20"/>
          <w:lang w:val="lv-LV" w:eastAsia="en-US"/>
        </w:rPr>
        <w:fldChar w:fldCharType="begin"/>
      </w:r>
      <w:r w:rsidRPr="00137F64">
        <w:rPr>
          <w:sz w:val="20"/>
          <w:szCs w:val="20"/>
          <w:lang w:val="lv-LV" w:eastAsia="en-US"/>
        </w:rPr>
        <w:instrText xml:space="preserve"> TIME  \@ "dd.MM.yyyy. H:mm"  \* MERGEFORMAT </w:instrText>
      </w:r>
      <w:r w:rsidRPr="00137F64">
        <w:rPr>
          <w:sz w:val="20"/>
          <w:szCs w:val="20"/>
          <w:lang w:val="lv-LV" w:eastAsia="en-US"/>
        </w:rPr>
        <w:fldChar w:fldCharType="separate"/>
      </w:r>
      <w:r w:rsidR="00E833CF">
        <w:rPr>
          <w:noProof/>
          <w:sz w:val="20"/>
          <w:szCs w:val="20"/>
          <w:lang w:val="lv-LV" w:eastAsia="en-US"/>
        </w:rPr>
        <w:t>17.03.2011. 9:52</w:t>
      </w:r>
      <w:r w:rsidRPr="00137F64">
        <w:rPr>
          <w:sz w:val="20"/>
          <w:szCs w:val="20"/>
          <w:lang w:val="lv-LV" w:eastAsia="en-US"/>
        </w:rPr>
        <w:fldChar w:fldCharType="end"/>
      </w:r>
    </w:p>
    <w:p w:rsidR="00DA5648" w:rsidRPr="00137F64" w:rsidRDefault="00CA2156" w:rsidP="00137F64">
      <w:pPr>
        <w:tabs>
          <w:tab w:val="left" w:pos="5529"/>
        </w:tabs>
        <w:jc w:val="both"/>
        <w:rPr>
          <w:sz w:val="20"/>
          <w:szCs w:val="20"/>
          <w:lang w:val="lv-LV" w:eastAsia="en-US"/>
        </w:rPr>
      </w:pPr>
      <w:r>
        <w:fldChar w:fldCharType="begin"/>
      </w:r>
      <w:r w:rsidRPr="00DE5362">
        <w:rPr>
          <w:lang w:val="en-US"/>
        </w:rPr>
        <w:instrText xml:space="preserve"> NUMWORDS  \* Arabic  \* MERGEFORMAT </w:instrText>
      </w:r>
      <w:r>
        <w:fldChar w:fldCharType="separate"/>
      </w:r>
      <w:r w:rsidR="006C1A95" w:rsidRPr="006C1A95">
        <w:rPr>
          <w:noProof/>
          <w:sz w:val="20"/>
          <w:szCs w:val="20"/>
          <w:lang w:val="lv-LV" w:eastAsia="en-US"/>
        </w:rPr>
        <w:t>1203</w:t>
      </w:r>
      <w:r>
        <w:rPr>
          <w:noProof/>
          <w:sz w:val="20"/>
          <w:szCs w:val="20"/>
          <w:lang w:val="lv-LV" w:eastAsia="en-US"/>
        </w:rPr>
        <w:fldChar w:fldCharType="end"/>
      </w:r>
    </w:p>
    <w:p w:rsidR="00DA5648" w:rsidRPr="00137F64" w:rsidRDefault="00DA5648" w:rsidP="00137F64">
      <w:pPr>
        <w:tabs>
          <w:tab w:val="left" w:pos="5529"/>
        </w:tabs>
        <w:jc w:val="both"/>
        <w:rPr>
          <w:sz w:val="20"/>
          <w:szCs w:val="20"/>
          <w:lang w:val="lv-LV" w:eastAsia="en-US"/>
        </w:rPr>
      </w:pPr>
      <w:r w:rsidRPr="00137F64">
        <w:rPr>
          <w:sz w:val="20"/>
          <w:szCs w:val="20"/>
          <w:lang w:val="lv-LV" w:eastAsia="en-US"/>
        </w:rPr>
        <w:t>B.Balode, 67219357</w:t>
      </w:r>
    </w:p>
    <w:p w:rsidR="00DA5648" w:rsidRPr="00137F64" w:rsidRDefault="00DE5362" w:rsidP="00137F64">
      <w:pPr>
        <w:tabs>
          <w:tab w:val="left" w:pos="5529"/>
        </w:tabs>
        <w:jc w:val="both"/>
        <w:rPr>
          <w:sz w:val="20"/>
          <w:szCs w:val="20"/>
          <w:lang w:val="lv-LV" w:eastAsia="en-US"/>
        </w:rPr>
      </w:pPr>
      <w:r w:rsidRPr="00DE5362">
        <w:rPr>
          <w:color w:val="0000FF"/>
          <w:sz w:val="20"/>
          <w:szCs w:val="20"/>
          <w:u w:val="single"/>
          <w:lang w:val="lv-LV" w:eastAsia="en-US"/>
        </w:rPr>
        <w:t>Baiba.Balode@iem.gov.lv</w:t>
      </w:r>
    </w:p>
    <w:p w:rsidR="00DA5648" w:rsidRPr="00BC5A14" w:rsidRDefault="00DA5648" w:rsidP="00BC79FF">
      <w:pPr>
        <w:rPr>
          <w:lang w:val="lv-LV"/>
        </w:rPr>
      </w:pPr>
    </w:p>
    <w:p w:rsidR="00DA5648" w:rsidRPr="00BC79FF" w:rsidRDefault="00DA5648">
      <w:pPr>
        <w:rPr>
          <w:lang w:val="lv-LV"/>
        </w:rPr>
      </w:pPr>
    </w:p>
    <w:sectPr w:rsidR="00DA5648" w:rsidRPr="00BC79FF" w:rsidSect="00CF2CB0">
      <w:headerReference w:type="default" r:id="rId8"/>
      <w:footerReference w:type="default" r:id="rId9"/>
      <w:footerReference w:type="first" r:id="rId10"/>
      <w:pgSz w:w="11906" w:h="16838"/>
      <w:pgMar w:top="1134" w:right="850" w:bottom="1134" w:left="1701"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4D" w:rsidRDefault="000B114D" w:rsidP="00BC79FF">
      <w:r>
        <w:separator/>
      </w:r>
    </w:p>
  </w:endnote>
  <w:endnote w:type="continuationSeparator" w:id="0">
    <w:p w:rsidR="000B114D" w:rsidRDefault="000B114D" w:rsidP="00BC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48" w:rsidRPr="00AA2582" w:rsidRDefault="00DA5648" w:rsidP="00BC79FF">
    <w:pPr>
      <w:jc w:val="both"/>
      <w:rPr>
        <w:sz w:val="20"/>
        <w:szCs w:val="20"/>
        <w:lang w:val="lv-LV" w:eastAsia="en-US"/>
      </w:rPr>
    </w:pPr>
    <w:r w:rsidRPr="00AA2582">
      <w:rPr>
        <w:sz w:val="20"/>
        <w:szCs w:val="20"/>
        <w:lang w:val="lv-LV" w:eastAsia="en-US"/>
      </w:rPr>
      <w:t>IEM</w:t>
    </w:r>
    <w:r>
      <w:rPr>
        <w:sz w:val="20"/>
        <w:szCs w:val="20"/>
        <w:lang w:val="lv-LV" w:eastAsia="en-US"/>
      </w:rPr>
      <w:t>Anot</w:t>
    </w:r>
    <w:r w:rsidR="00D54AA7">
      <w:rPr>
        <w:sz w:val="20"/>
        <w:szCs w:val="20"/>
        <w:lang w:val="lv-LV" w:eastAsia="en-US"/>
      </w:rPr>
      <w:t>_1</w:t>
    </w:r>
    <w:r w:rsidR="00E06DCC">
      <w:rPr>
        <w:sz w:val="20"/>
        <w:szCs w:val="20"/>
        <w:lang w:val="lv-LV" w:eastAsia="en-US"/>
      </w:rPr>
      <w:t>7</w:t>
    </w:r>
    <w:r w:rsidR="00D54AA7">
      <w:rPr>
        <w:sz w:val="20"/>
        <w:szCs w:val="20"/>
        <w:lang w:val="lv-LV" w:eastAsia="en-US"/>
      </w:rPr>
      <w:t>03</w:t>
    </w:r>
    <w:r w:rsidRPr="00AA2582">
      <w:rPr>
        <w:sz w:val="20"/>
        <w:szCs w:val="20"/>
        <w:lang w:val="lv-LV" w:eastAsia="en-US"/>
      </w:rPr>
      <w:t>11</w:t>
    </w:r>
    <w:r w:rsidR="00090574">
      <w:rPr>
        <w:sz w:val="20"/>
        <w:szCs w:val="20"/>
        <w:lang w:val="lv-LV" w:eastAsia="en-US"/>
      </w:rPr>
      <w:t>.doc</w:t>
    </w:r>
    <w:r w:rsidRPr="00DE5362">
      <w:rPr>
        <w:sz w:val="20"/>
        <w:szCs w:val="20"/>
        <w:lang w:val="lv-LV" w:eastAsia="en-US"/>
      </w:rPr>
      <w:t xml:space="preserve">, </w:t>
    </w:r>
    <w:r w:rsidRPr="00DE5362">
      <w:rPr>
        <w:sz w:val="20"/>
        <w:szCs w:val="20"/>
      </w:rPr>
      <w:t>Ministru kabineta noteikumu „</w:t>
    </w:r>
    <w:r w:rsidRPr="00DE5362">
      <w:rPr>
        <w:sz w:val="20"/>
        <w:szCs w:val="20"/>
        <w:lang w:eastAsia="en-US"/>
      </w:rPr>
      <w:t>Grozījumi Ministru kabineta 2010.gada 13.aprīļa noteikumos Nr.348 „Vispārīgās programmas „Solidaritāte un migrācijas plūsmu pārvaldība” ietvaros izveidotā Eiropas Ārējo robežu fonda, Eiropas Atgriešanās fonda un Eiropas Bēgļu fonda projektu atlases un tehniskās palīdzības aktivitātes īstenošanas kārtība”</w:t>
    </w:r>
    <w:r w:rsidRPr="00DE5362">
      <w:rPr>
        <w:sz w:val="20"/>
        <w:szCs w:val="20"/>
        <w:lang w:val="lv-LV" w:eastAsia="en-US"/>
      </w:rPr>
      <w:t xml:space="preserve"> </w:t>
    </w:r>
    <w:r w:rsidRPr="00DE5362">
      <w:rPr>
        <w:sz w:val="20"/>
        <w:szCs w:val="20"/>
        <w:lang w:val="lv-LV"/>
      </w:rPr>
      <w:t>p</w:t>
    </w:r>
    <w:r w:rsidRPr="00DE5362">
      <w:rPr>
        <w:sz w:val="20"/>
        <w:szCs w:val="20"/>
      </w:rPr>
      <w:t>rojekt</w:t>
    </w:r>
    <w:r w:rsidRPr="00DE5362">
      <w:rPr>
        <w:sz w:val="20"/>
        <w:szCs w:val="20"/>
        <w:lang w:val="lv-LV"/>
      </w:rPr>
      <w: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B0" w:rsidRPr="00CF2CB0" w:rsidRDefault="00CF2CB0" w:rsidP="00CF2CB0">
    <w:pPr>
      <w:jc w:val="both"/>
      <w:rPr>
        <w:sz w:val="20"/>
        <w:szCs w:val="20"/>
        <w:lang w:val="lv-LV" w:eastAsia="en-US"/>
      </w:rPr>
    </w:pPr>
    <w:r w:rsidRPr="00AA2582">
      <w:rPr>
        <w:sz w:val="20"/>
        <w:szCs w:val="20"/>
        <w:lang w:val="lv-LV" w:eastAsia="en-US"/>
      </w:rPr>
      <w:t>IEM</w:t>
    </w:r>
    <w:r>
      <w:rPr>
        <w:sz w:val="20"/>
        <w:szCs w:val="20"/>
        <w:lang w:val="lv-LV" w:eastAsia="en-US"/>
      </w:rPr>
      <w:t>Anot</w:t>
    </w:r>
    <w:r w:rsidR="00E06DCC">
      <w:rPr>
        <w:sz w:val="20"/>
        <w:szCs w:val="20"/>
        <w:lang w:val="lv-LV" w:eastAsia="en-US"/>
      </w:rPr>
      <w:t>_17</w:t>
    </w:r>
    <w:r w:rsidR="00D54AA7">
      <w:rPr>
        <w:sz w:val="20"/>
        <w:szCs w:val="20"/>
        <w:lang w:val="lv-LV" w:eastAsia="en-US"/>
      </w:rPr>
      <w:t>03</w:t>
    </w:r>
    <w:r w:rsidRPr="00AA2582">
      <w:rPr>
        <w:sz w:val="20"/>
        <w:szCs w:val="20"/>
        <w:lang w:val="lv-LV" w:eastAsia="en-US"/>
      </w:rPr>
      <w:t>11</w:t>
    </w:r>
    <w:r w:rsidR="00090574">
      <w:rPr>
        <w:sz w:val="20"/>
        <w:szCs w:val="20"/>
        <w:lang w:val="lv-LV" w:eastAsia="en-US"/>
      </w:rPr>
      <w:t>.doc</w:t>
    </w:r>
    <w:r w:rsidRPr="00DE5362">
      <w:rPr>
        <w:sz w:val="20"/>
        <w:szCs w:val="20"/>
        <w:lang w:val="lv-LV" w:eastAsia="en-US"/>
      </w:rPr>
      <w:t xml:space="preserve">, </w:t>
    </w:r>
    <w:r w:rsidRPr="00DE5362">
      <w:rPr>
        <w:sz w:val="20"/>
        <w:szCs w:val="20"/>
      </w:rPr>
      <w:t>Ministru kabineta noteikumu „</w:t>
    </w:r>
    <w:r w:rsidRPr="00DE5362">
      <w:rPr>
        <w:sz w:val="20"/>
        <w:szCs w:val="20"/>
        <w:lang w:eastAsia="en-US"/>
      </w:rPr>
      <w:t>Grozījumi Ministru kabineta 2010.gada 13.aprīļa noteikumos Nr.348 „Vispārīgās programmas „Solidaritāte un migrācijas plūsmu pārvaldība” ietvaros izveidotā Eiropas Ārējo robežu fonda, Eiropas Atgriešanās fonda un Eiropas Bēgļu fonda projektu atlases un tehniskās palīdzības aktivitātes īstenošanas kārtība”</w:t>
    </w:r>
    <w:r w:rsidRPr="00DE5362">
      <w:rPr>
        <w:sz w:val="20"/>
        <w:szCs w:val="20"/>
        <w:lang w:val="lv-LV" w:eastAsia="en-US"/>
      </w:rPr>
      <w:t xml:space="preserve"> </w:t>
    </w:r>
    <w:r w:rsidRPr="00DE5362">
      <w:rPr>
        <w:sz w:val="20"/>
        <w:szCs w:val="20"/>
        <w:lang w:val="lv-LV"/>
      </w:rPr>
      <w:t>p</w:t>
    </w:r>
    <w:r w:rsidRPr="00DE5362">
      <w:rPr>
        <w:sz w:val="20"/>
        <w:szCs w:val="20"/>
      </w:rPr>
      <w:t>rojekt</w:t>
    </w:r>
    <w:r w:rsidRPr="00DE5362">
      <w:rPr>
        <w:sz w:val="20"/>
        <w:szCs w:val="20"/>
        <w:lang w:val="lv-LV"/>
      </w:rPr>
      <w: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4D" w:rsidRDefault="000B114D" w:rsidP="00BC79FF">
      <w:r>
        <w:separator/>
      </w:r>
    </w:p>
  </w:footnote>
  <w:footnote w:type="continuationSeparator" w:id="0">
    <w:p w:rsidR="000B114D" w:rsidRDefault="000B114D" w:rsidP="00BC7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B0" w:rsidRDefault="00CF2CB0">
    <w:pPr>
      <w:pStyle w:val="Header"/>
      <w:jc w:val="center"/>
    </w:pPr>
    <w:r>
      <w:fldChar w:fldCharType="begin"/>
    </w:r>
    <w:r>
      <w:instrText xml:space="preserve"> PAGE   \* MERGEFORMAT </w:instrText>
    </w:r>
    <w:r>
      <w:fldChar w:fldCharType="separate"/>
    </w:r>
    <w:r w:rsidR="00E833CF">
      <w:rPr>
        <w:noProof/>
      </w:rPr>
      <w:t>3</w:t>
    </w:r>
    <w:r>
      <w:rPr>
        <w:noProof/>
      </w:rPr>
      <w:fldChar w:fldCharType="end"/>
    </w:r>
  </w:p>
  <w:p w:rsidR="00CF2CB0" w:rsidRDefault="00CF2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0F8"/>
    <w:multiLevelType w:val="multilevel"/>
    <w:tmpl w:val="2BAA9A8E"/>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720" w:hanging="72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080" w:hanging="1080"/>
      </w:pPr>
      <w:rPr>
        <w:rFonts w:ascii="Times New Roman" w:eastAsia="Times New Roman" w:hAnsi="Times New Roman" w:cs="Times New Roman" w:hint="default"/>
        <w:b/>
      </w:rPr>
    </w:lvl>
    <w:lvl w:ilvl="6">
      <w:start w:val="1"/>
      <w:numFmt w:val="decimal"/>
      <w:lvlText w:val="%1.%2.%3.%4.%5.%6.%7."/>
      <w:lvlJc w:val="left"/>
      <w:pPr>
        <w:ind w:left="1440" w:hanging="1440"/>
      </w:pPr>
      <w:rPr>
        <w:rFonts w:ascii="Times New Roman" w:eastAsia="Times New Roman" w:hAnsi="Times New Roman" w:cs="Times New Roman" w:hint="default"/>
        <w:b/>
      </w:rPr>
    </w:lvl>
    <w:lvl w:ilvl="7">
      <w:start w:val="1"/>
      <w:numFmt w:val="decimal"/>
      <w:lvlText w:val="%1.%2.%3.%4.%5.%6.%7.%8."/>
      <w:lvlJc w:val="left"/>
      <w:pPr>
        <w:ind w:left="1440" w:hanging="1440"/>
      </w:pPr>
      <w:rPr>
        <w:rFonts w:ascii="Times New Roman" w:eastAsia="Times New Roman" w:hAnsi="Times New Roman" w:cs="Times New Roman" w:hint="default"/>
        <w:b/>
      </w:rPr>
    </w:lvl>
    <w:lvl w:ilvl="8">
      <w:start w:val="1"/>
      <w:numFmt w:val="decimal"/>
      <w:lvlText w:val="%1.%2.%3.%4.%5.%6.%7.%8.%9."/>
      <w:lvlJc w:val="left"/>
      <w:pPr>
        <w:ind w:left="1800" w:hanging="1800"/>
      </w:pPr>
      <w:rPr>
        <w:rFonts w:ascii="Times New Roman" w:eastAsia="Times New Roman" w:hAnsi="Times New Roman" w:cs="Times New Roman" w:hint="default"/>
        <w:b/>
      </w:rPr>
    </w:lvl>
  </w:abstractNum>
  <w:abstractNum w:abstractNumId="1">
    <w:nsid w:val="294B6E8C"/>
    <w:multiLevelType w:val="multilevel"/>
    <w:tmpl w:val="2BAA9A8E"/>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720" w:hanging="72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080" w:hanging="1080"/>
      </w:pPr>
      <w:rPr>
        <w:rFonts w:ascii="Times New Roman" w:eastAsia="Times New Roman" w:hAnsi="Times New Roman" w:cs="Times New Roman" w:hint="default"/>
        <w:b/>
      </w:rPr>
    </w:lvl>
    <w:lvl w:ilvl="6">
      <w:start w:val="1"/>
      <w:numFmt w:val="decimal"/>
      <w:lvlText w:val="%1.%2.%3.%4.%5.%6.%7."/>
      <w:lvlJc w:val="left"/>
      <w:pPr>
        <w:ind w:left="1440" w:hanging="1440"/>
      </w:pPr>
      <w:rPr>
        <w:rFonts w:ascii="Times New Roman" w:eastAsia="Times New Roman" w:hAnsi="Times New Roman" w:cs="Times New Roman" w:hint="default"/>
        <w:b/>
      </w:rPr>
    </w:lvl>
    <w:lvl w:ilvl="7">
      <w:start w:val="1"/>
      <w:numFmt w:val="decimal"/>
      <w:lvlText w:val="%1.%2.%3.%4.%5.%6.%7.%8."/>
      <w:lvlJc w:val="left"/>
      <w:pPr>
        <w:ind w:left="1440" w:hanging="1440"/>
      </w:pPr>
      <w:rPr>
        <w:rFonts w:ascii="Times New Roman" w:eastAsia="Times New Roman" w:hAnsi="Times New Roman" w:cs="Times New Roman" w:hint="default"/>
        <w:b/>
      </w:rPr>
    </w:lvl>
    <w:lvl w:ilvl="8">
      <w:start w:val="1"/>
      <w:numFmt w:val="decimal"/>
      <w:lvlText w:val="%1.%2.%3.%4.%5.%6.%7.%8.%9."/>
      <w:lvlJc w:val="left"/>
      <w:pPr>
        <w:ind w:left="1800" w:hanging="1800"/>
      </w:pPr>
      <w:rPr>
        <w:rFonts w:ascii="Times New Roman" w:eastAsia="Times New Roman" w:hAnsi="Times New Roman" w:cs="Times New Roman" w:hint="default"/>
        <w:b/>
      </w:rPr>
    </w:lvl>
  </w:abstractNum>
  <w:abstractNum w:abstractNumId="2">
    <w:nsid w:val="53581A2E"/>
    <w:multiLevelType w:val="hybridMultilevel"/>
    <w:tmpl w:val="499C4EC0"/>
    <w:lvl w:ilvl="0" w:tplc="75A4B3F4">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3">
    <w:nsid w:val="6C8D3E36"/>
    <w:multiLevelType w:val="hybridMultilevel"/>
    <w:tmpl w:val="15D4B912"/>
    <w:lvl w:ilvl="0" w:tplc="8D768942">
      <w:start w:val="1"/>
      <w:numFmt w:val="decimal"/>
      <w:lvlText w:val="%1)"/>
      <w:lvlJc w:val="left"/>
      <w:pPr>
        <w:ind w:left="478" w:hanging="360"/>
      </w:pPr>
      <w:rPr>
        <w:rFonts w:ascii="Times New Roman" w:eastAsia="Times New Roman" w:hAnsi="Times New Roman" w:cs="Times New Roman"/>
        <w:sz w:val="24"/>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9FF"/>
    <w:rsid w:val="00000371"/>
    <w:rsid w:val="00060F94"/>
    <w:rsid w:val="00087E3B"/>
    <w:rsid w:val="00090574"/>
    <w:rsid w:val="000B114D"/>
    <w:rsid w:val="00137F64"/>
    <w:rsid w:val="00193CC3"/>
    <w:rsid w:val="001B31EC"/>
    <w:rsid w:val="00212718"/>
    <w:rsid w:val="00256C33"/>
    <w:rsid w:val="0026587F"/>
    <w:rsid w:val="002B6F5F"/>
    <w:rsid w:val="002E0721"/>
    <w:rsid w:val="003324FC"/>
    <w:rsid w:val="004458AD"/>
    <w:rsid w:val="0045005C"/>
    <w:rsid w:val="00467FEC"/>
    <w:rsid w:val="004C0415"/>
    <w:rsid w:val="00581D41"/>
    <w:rsid w:val="00581EB7"/>
    <w:rsid w:val="005F14F1"/>
    <w:rsid w:val="006B49C1"/>
    <w:rsid w:val="006C1A95"/>
    <w:rsid w:val="00702C93"/>
    <w:rsid w:val="00715EC8"/>
    <w:rsid w:val="0073319F"/>
    <w:rsid w:val="00772715"/>
    <w:rsid w:val="00775155"/>
    <w:rsid w:val="00784959"/>
    <w:rsid w:val="007D72A7"/>
    <w:rsid w:val="00840750"/>
    <w:rsid w:val="008E1FEE"/>
    <w:rsid w:val="00926C47"/>
    <w:rsid w:val="009A4251"/>
    <w:rsid w:val="009A58F7"/>
    <w:rsid w:val="009E7874"/>
    <w:rsid w:val="00A60FFD"/>
    <w:rsid w:val="00AA2582"/>
    <w:rsid w:val="00AA3E89"/>
    <w:rsid w:val="00B14DE9"/>
    <w:rsid w:val="00B74DC8"/>
    <w:rsid w:val="00BC5A14"/>
    <w:rsid w:val="00BC79FF"/>
    <w:rsid w:val="00BD5C67"/>
    <w:rsid w:val="00BE29F4"/>
    <w:rsid w:val="00C04F01"/>
    <w:rsid w:val="00C4336F"/>
    <w:rsid w:val="00CA2156"/>
    <w:rsid w:val="00CE5487"/>
    <w:rsid w:val="00CF2CB0"/>
    <w:rsid w:val="00D06AD1"/>
    <w:rsid w:val="00D54AA7"/>
    <w:rsid w:val="00D67A9C"/>
    <w:rsid w:val="00D84C48"/>
    <w:rsid w:val="00DA5648"/>
    <w:rsid w:val="00DE27F1"/>
    <w:rsid w:val="00DE2B1D"/>
    <w:rsid w:val="00DE5362"/>
    <w:rsid w:val="00DE5BD7"/>
    <w:rsid w:val="00E06DCC"/>
    <w:rsid w:val="00E06F3A"/>
    <w:rsid w:val="00E076E7"/>
    <w:rsid w:val="00E23BBB"/>
    <w:rsid w:val="00E26EA4"/>
    <w:rsid w:val="00E833CF"/>
    <w:rsid w:val="00E9191F"/>
    <w:rsid w:val="00ED7BF4"/>
    <w:rsid w:val="00EF6282"/>
    <w:rsid w:val="00F34AF5"/>
    <w:rsid w:val="00F57B41"/>
    <w:rsid w:val="00FC16B9"/>
    <w:rsid w:val="00FC7913"/>
    <w:rsid w:val="00FF1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FF"/>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BC79FF"/>
    <w:pPr>
      <w:spacing w:before="79" w:after="79"/>
      <w:jc w:val="right"/>
    </w:pPr>
  </w:style>
  <w:style w:type="paragraph" w:customStyle="1" w:styleId="naisnod">
    <w:name w:val="naisnod"/>
    <w:basedOn w:val="Normal"/>
    <w:uiPriority w:val="99"/>
    <w:rsid w:val="00BC79FF"/>
    <w:pPr>
      <w:spacing w:before="158" w:after="158"/>
      <w:jc w:val="center"/>
    </w:pPr>
    <w:rPr>
      <w:b/>
      <w:bCs/>
    </w:rPr>
  </w:style>
  <w:style w:type="paragraph" w:customStyle="1" w:styleId="naisf">
    <w:name w:val="naisf"/>
    <w:basedOn w:val="Normal"/>
    <w:uiPriority w:val="99"/>
    <w:rsid w:val="00BC79FF"/>
    <w:pPr>
      <w:spacing w:before="79" w:after="79"/>
      <w:ind w:firstLine="396"/>
      <w:jc w:val="both"/>
    </w:pPr>
  </w:style>
  <w:style w:type="paragraph" w:customStyle="1" w:styleId="naisc">
    <w:name w:val="naisc"/>
    <w:basedOn w:val="Normal"/>
    <w:uiPriority w:val="99"/>
    <w:rsid w:val="00BC79FF"/>
    <w:pPr>
      <w:spacing w:before="79" w:after="79"/>
      <w:jc w:val="center"/>
    </w:pPr>
  </w:style>
  <w:style w:type="paragraph" w:customStyle="1" w:styleId="naiskr">
    <w:name w:val="naiskr"/>
    <w:basedOn w:val="Normal"/>
    <w:uiPriority w:val="99"/>
    <w:rsid w:val="00BC79FF"/>
    <w:pPr>
      <w:spacing w:before="79" w:after="79"/>
    </w:pPr>
  </w:style>
  <w:style w:type="paragraph" w:customStyle="1" w:styleId="Char1CharCharChar">
    <w:name w:val="Char1 Char Char Char"/>
    <w:basedOn w:val="Normal"/>
    <w:uiPriority w:val="99"/>
    <w:rsid w:val="00BC79FF"/>
    <w:pPr>
      <w:spacing w:before="40"/>
    </w:pPr>
    <w:rPr>
      <w:lang w:val="pl-PL" w:eastAsia="pl-PL"/>
    </w:rPr>
  </w:style>
  <w:style w:type="paragraph" w:styleId="Footer">
    <w:name w:val="footer"/>
    <w:basedOn w:val="Normal"/>
    <w:link w:val="FooterChar"/>
    <w:uiPriority w:val="99"/>
    <w:rsid w:val="00BC79FF"/>
    <w:pPr>
      <w:tabs>
        <w:tab w:val="center" w:pos="4153"/>
        <w:tab w:val="right" w:pos="8306"/>
      </w:tabs>
    </w:pPr>
  </w:style>
  <w:style w:type="character" w:customStyle="1" w:styleId="FooterChar">
    <w:name w:val="Footer Char"/>
    <w:link w:val="Footer"/>
    <w:uiPriority w:val="99"/>
    <w:locked/>
    <w:rsid w:val="00BC79FF"/>
    <w:rPr>
      <w:rFonts w:ascii="Times New Roman" w:hAnsi="Times New Roman" w:cs="Times New Roman"/>
      <w:sz w:val="24"/>
      <w:szCs w:val="24"/>
      <w:lang w:val="ru-RU" w:eastAsia="ru-RU"/>
    </w:rPr>
  </w:style>
  <w:style w:type="paragraph" w:styleId="Header">
    <w:name w:val="header"/>
    <w:basedOn w:val="Normal"/>
    <w:link w:val="HeaderChar"/>
    <w:uiPriority w:val="99"/>
    <w:rsid w:val="00BC79FF"/>
    <w:pPr>
      <w:tabs>
        <w:tab w:val="center" w:pos="4153"/>
        <w:tab w:val="right" w:pos="8306"/>
      </w:tabs>
    </w:pPr>
  </w:style>
  <w:style w:type="character" w:customStyle="1" w:styleId="HeaderChar">
    <w:name w:val="Header Char"/>
    <w:link w:val="Header"/>
    <w:uiPriority w:val="99"/>
    <w:locked/>
    <w:rsid w:val="00BC79FF"/>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772715"/>
    <w:rPr>
      <w:rFonts w:ascii="Tahoma" w:hAnsi="Tahoma" w:cs="Tahoma"/>
      <w:sz w:val="16"/>
      <w:szCs w:val="16"/>
    </w:rPr>
  </w:style>
  <w:style w:type="character" w:customStyle="1" w:styleId="BalloonTextChar">
    <w:name w:val="Balloon Text Char"/>
    <w:link w:val="BalloonText"/>
    <w:uiPriority w:val="99"/>
    <w:semiHidden/>
    <w:locked/>
    <w:rsid w:val="00DE5BD7"/>
    <w:rPr>
      <w:rFonts w:ascii="Times New Roman" w:hAnsi="Times New Roman" w:cs="Times New Roman"/>
      <w:sz w:val="2"/>
      <w:lang w:val="ru-RU" w:eastAsia="ru-RU"/>
    </w:rPr>
  </w:style>
  <w:style w:type="character" w:styleId="Hyperlink">
    <w:name w:val="Hyperlink"/>
    <w:uiPriority w:val="99"/>
    <w:unhideWhenUsed/>
    <w:rsid w:val="00DE5362"/>
    <w:rPr>
      <w:color w:val="0000FF"/>
      <w:u w:val="single"/>
    </w:rPr>
  </w:style>
  <w:style w:type="table" w:styleId="TableGrid">
    <w:name w:val="Table Grid"/>
    <w:basedOn w:val="TableNormal"/>
    <w:locked/>
    <w:rsid w:val="00E26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6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07075">
      <w:bodyDiv w:val="1"/>
      <w:marLeft w:val="0"/>
      <w:marRight w:val="0"/>
      <w:marTop w:val="0"/>
      <w:marBottom w:val="0"/>
      <w:divBdr>
        <w:top w:val="none" w:sz="0" w:space="0" w:color="auto"/>
        <w:left w:val="none" w:sz="0" w:space="0" w:color="auto"/>
        <w:bottom w:val="none" w:sz="0" w:space="0" w:color="auto"/>
        <w:right w:val="none" w:sz="0" w:space="0" w:color="auto"/>
      </w:divBdr>
    </w:div>
    <w:div w:id="575283306">
      <w:bodyDiv w:val="1"/>
      <w:marLeft w:val="0"/>
      <w:marRight w:val="0"/>
      <w:marTop w:val="0"/>
      <w:marBottom w:val="0"/>
      <w:divBdr>
        <w:top w:val="none" w:sz="0" w:space="0" w:color="auto"/>
        <w:left w:val="none" w:sz="0" w:space="0" w:color="auto"/>
        <w:bottom w:val="none" w:sz="0" w:space="0" w:color="auto"/>
        <w:right w:val="none" w:sz="0" w:space="0" w:color="auto"/>
      </w:divBdr>
    </w:div>
    <w:div w:id="1347712438">
      <w:bodyDiv w:val="1"/>
      <w:marLeft w:val="0"/>
      <w:marRight w:val="0"/>
      <w:marTop w:val="0"/>
      <w:marBottom w:val="0"/>
      <w:divBdr>
        <w:top w:val="none" w:sz="0" w:space="0" w:color="auto"/>
        <w:left w:val="none" w:sz="0" w:space="0" w:color="auto"/>
        <w:bottom w:val="none" w:sz="0" w:space="0" w:color="auto"/>
        <w:right w:val="none" w:sz="0" w:space="0" w:color="auto"/>
      </w:divBdr>
    </w:div>
    <w:div w:id="1786582065">
      <w:bodyDiv w:val="1"/>
      <w:marLeft w:val="0"/>
      <w:marRight w:val="0"/>
      <w:marTop w:val="0"/>
      <w:marBottom w:val="0"/>
      <w:divBdr>
        <w:top w:val="none" w:sz="0" w:space="0" w:color="auto"/>
        <w:left w:val="none" w:sz="0" w:space="0" w:color="auto"/>
        <w:bottom w:val="none" w:sz="0" w:space="0" w:color="auto"/>
        <w:right w:val="none" w:sz="0" w:space="0" w:color="auto"/>
      </w:divBdr>
    </w:div>
    <w:div w:id="1880432911">
      <w:bodyDiv w:val="1"/>
      <w:marLeft w:val="0"/>
      <w:marRight w:val="0"/>
      <w:marTop w:val="0"/>
      <w:marBottom w:val="0"/>
      <w:divBdr>
        <w:top w:val="none" w:sz="0" w:space="0" w:color="auto"/>
        <w:left w:val="none" w:sz="0" w:space="0" w:color="auto"/>
        <w:bottom w:val="none" w:sz="0" w:space="0" w:color="auto"/>
        <w:right w:val="none" w:sz="0" w:space="0" w:color="auto"/>
      </w:divBdr>
    </w:div>
    <w:div w:id="19473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5</Pages>
  <Words>1131</Words>
  <Characters>8375</Characters>
  <Application>Microsoft Office Word</Application>
  <DocSecurity>0</DocSecurity>
  <Lines>335</Lines>
  <Paragraphs>77</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bbalode</dc:creator>
  <cp:keywords/>
  <dc:description/>
  <cp:lastModifiedBy>bbalode</cp:lastModifiedBy>
  <cp:revision>32</cp:revision>
  <cp:lastPrinted>2011-03-17T07:52:00Z</cp:lastPrinted>
  <dcterms:created xsi:type="dcterms:W3CDTF">2011-01-28T09:43:00Z</dcterms:created>
  <dcterms:modified xsi:type="dcterms:W3CDTF">2011-03-17T07:53:00Z</dcterms:modified>
</cp:coreProperties>
</file>