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F7" w:rsidRPr="00C45AF7" w:rsidRDefault="00C45AF7" w:rsidP="00C45AF7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45AF7">
        <w:rPr>
          <w:b/>
          <w:sz w:val="28"/>
          <w:szCs w:val="28"/>
        </w:rPr>
        <w:t>Ministru kabineta noteikumu projekt</w:t>
      </w:r>
      <w:r w:rsidR="00DD5CFA">
        <w:rPr>
          <w:b/>
          <w:sz w:val="28"/>
          <w:szCs w:val="28"/>
        </w:rPr>
        <w:t>a</w:t>
      </w:r>
      <w:r w:rsidRPr="00C45AF7">
        <w:rPr>
          <w:b/>
          <w:sz w:val="28"/>
          <w:szCs w:val="28"/>
        </w:rPr>
        <w:t xml:space="preserve"> „</w:t>
      </w:r>
      <w:r w:rsidR="00AE078B">
        <w:rPr>
          <w:b/>
          <w:sz w:val="28"/>
          <w:szCs w:val="28"/>
        </w:rPr>
        <w:t xml:space="preserve">Noteikumi par </w:t>
      </w:r>
      <w:r w:rsidR="003B1D7B">
        <w:rPr>
          <w:b/>
          <w:bCs/>
          <w:sz w:val="28"/>
          <w:szCs w:val="28"/>
        </w:rPr>
        <w:t>Iedzīvotāju reģistrā iekļau</w:t>
      </w:r>
      <w:r>
        <w:rPr>
          <w:b/>
          <w:bCs/>
          <w:sz w:val="28"/>
          <w:szCs w:val="28"/>
        </w:rPr>
        <w:t>jamo ziņu apjom</w:t>
      </w:r>
      <w:r w:rsidR="00AE078B">
        <w:rPr>
          <w:b/>
          <w:bCs/>
          <w:sz w:val="28"/>
          <w:szCs w:val="28"/>
        </w:rPr>
        <w:t>u</w:t>
      </w:r>
      <w:r w:rsidRPr="00C45AF7">
        <w:rPr>
          <w:b/>
          <w:bCs/>
          <w:sz w:val="28"/>
          <w:szCs w:val="28"/>
        </w:rPr>
        <w:t>”</w:t>
      </w:r>
      <w:r w:rsidRPr="00C45AF7">
        <w:rPr>
          <w:b/>
          <w:sz w:val="28"/>
          <w:szCs w:val="28"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C45AF7">
          <w:rPr>
            <w:b/>
            <w:sz w:val="28"/>
            <w:szCs w:val="28"/>
          </w:rPr>
          <w:t>ziņojums</w:t>
        </w:r>
      </w:smartTag>
      <w:r w:rsidRPr="00C45AF7">
        <w:rPr>
          <w:b/>
          <w:sz w:val="28"/>
          <w:szCs w:val="28"/>
        </w:rPr>
        <w:t xml:space="preserve"> (anotācija)</w:t>
      </w:r>
    </w:p>
    <w:p w:rsidR="00C45AF7" w:rsidRPr="00BE0280" w:rsidRDefault="00C45AF7" w:rsidP="00C45AF7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pPr w:leftFromText="180" w:rightFromText="180" w:vertAnchor="text" w:horzAnchor="margin" w:tblpXSpec="center" w:tblpY="149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74"/>
        <w:gridCol w:w="5812"/>
      </w:tblGrid>
      <w:tr w:rsidR="00C45AF7" w:rsidRPr="00BE0280" w:rsidTr="00B54FD6">
        <w:tc>
          <w:tcPr>
            <w:tcW w:w="8936" w:type="dxa"/>
            <w:gridSpan w:val="3"/>
            <w:vAlign w:val="center"/>
          </w:tcPr>
          <w:p w:rsidR="00C45AF7" w:rsidRPr="00BE0280" w:rsidRDefault="00C45AF7" w:rsidP="00B54FD6">
            <w:pPr>
              <w:pStyle w:val="naisnod"/>
              <w:spacing w:before="0" w:after="0"/>
            </w:pPr>
            <w:r w:rsidRPr="00BE0280">
              <w:t>I. Tiesību akta projekta izstrādes nepieciešamība</w:t>
            </w:r>
          </w:p>
        </w:tc>
      </w:tr>
      <w:tr w:rsidR="00C45AF7" w:rsidRPr="00BE0280" w:rsidTr="00B54FD6">
        <w:trPr>
          <w:trHeight w:val="630"/>
        </w:trPr>
        <w:tc>
          <w:tcPr>
            <w:tcW w:w="550" w:type="dxa"/>
          </w:tcPr>
          <w:p w:rsidR="00C45AF7" w:rsidRPr="00BE0280" w:rsidRDefault="00C45AF7" w:rsidP="00B54FD6">
            <w:pPr>
              <w:pStyle w:val="naiskr"/>
              <w:spacing w:before="0" w:after="0"/>
              <w:jc w:val="both"/>
            </w:pPr>
            <w:r w:rsidRPr="00BE0280">
              <w:t>1.</w:t>
            </w:r>
          </w:p>
        </w:tc>
        <w:tc>
          <w:tcPr>
            <w:tcW w:w="2574" w:type="dxa"/>
          </w:tcPr>
          <w:p w:rsidR="00C45AF7" w:rsidRPr="00BE0280" w:rsidRDefault="00C45AF7" w:rsidP="00B54FD6">
            <w:pPr>
              <w:pStyle w:val="naiskr"/>
              <w:spacing w:before="0" w:after="0"/>
              <w:ind w:hanging="10"/>
              <w:jc w:val="both"/>
            </w:pPr>
            <w:r w:rsidRPr="00BE0280">
              <w:t>Pamatojums</w:t>
            </w:r>
          </w:p>
        </w:tc>
        <w:tc>
          <w:tcPr>
            <w:tcW w:w="5812" w:type="dxa"/>
          </w:tcPr>
          <w:p w:rsidR="00C45AF7" w:rsidRPr="00BE0280" w:rsidRDefault="00C95BFC" w:rsidP="00C45AF7">
            <w:pPr>
              <w:pStyle w:val="naiskr"/>
              <w:ind w:hanging="5"/>
              <w:jc w:val="both"/>
            </w:pPr>
            <w:r>
              <w:t>Ministru prezidenta 2013.gada 4.jūnija rezolūcija Nr.12/2013-JUR-121</w:t>
            </w:r>
            <w:r w:rsidR="00C45AF7">
              <w:t>.</w:t>
            </w:r>
          </w:p>
        </w:tc>
      </w:tr>
      <w:tr w:rsidR="00C45AF7" w:rsidRPr="00BE0280" w:rsidTr="00B54FD6">
        <w:trPr>
          <w:trHeight w:val="472"/>
        </w:trPr>
        <w:tc>
          <w:tcPr>
            <w:tcW w:w="550" w:type="dxa"/>
          </w:tcPr>
          <w:p w:rsidR="00C45AF7" w:rsidRPr="00BE0280" w:rsidRDefault="00C45AF7" w:rsidP="00B54FD6">
            <w:pPr>
              <w:pStyle w:val="naiskr"/>
              <w:spacing w:before="0" w:after="0"/>
              <w:jc w:val="both"/>
            </w:pPr>
            <w:r w:rsidRPr="00BE0280">
              <w:t>2.</w:t>
            </w:r>
          </w:p>
        </w:tc>
        <w:tc>
          <w:tcPr>
            <w:tcW w:w="2574" w:type="dxa"/>
          </w:tcPr>
          <w:p w:rsidR="00C45AF7" w:rsidRPr="00BE0280" w:rsidRDefault="00C45AF7" w:rsidP="00B54FD6">
            <w:pPr>
              <w:pStyle w:val="naiskr"/>
              <w:tabs>
                <w:tab w:val="left" w:pos="170"/>
              </w:tabs>
              <w:spacing w:before="0" w:after="0"/>
              <w:jc w:val="both"/>
            </w:pPr>
            <w:r w:rsidRPr="00BE0280">
              <w:t>Pašreizējā situācija un problēmas</w:t>
            </w:r>
          </w:p>
        </w:tc>
        <w:tc>
          <w:tcPr>
            <w:tcW w:w="5812" w:type="dxa"/>
          </w:tcPr>
          <w:p w:rsidR="006A0EC4" w:rsidRDefault="00C95BFC" w:rsidP="006A0EC4">
            <w:pPr>
              <w:pStyle w:val="naiskr"/>
              <w:spacing w:before="0" w:after="0"/>
              <w:jc w:val="both"/>
            </w:pPr>
            <w:r>
              <w:t>Ar likumu „Grozījumi Iedzīvotāju reģistra likumā”, kas stājās spēkā 2013.gada 1</w:t>
            </w:r>
            <w:r w:rsidR="00D33C93">
              <w:t>1</w:t>
            </w:r>
            <w:r>
              <w:t xml:space="preserve">.jūnijā, </w:t>
            </w:r>
            <w:r w:rsidR="003B1D7B">
              <w:t xml:space="preserve">Iedzīvotāju </w:t>
            </w:r>
            <w:r w:rsidR="00D33C93">
              <w:t>reģistra likuma 10.panta pirmā</w:t>
            </w:r>
            <w:r w:rsidR="003B1D7B">
              <w:t xml:space="preserve"> daļ</w:t>
            </w:r>
            <w:r w:rsidR="00D33C93">
              <w:t>a tika izteikta jaunā redakcijā, kas</w:t>
            </w:r>
            <w:r>
              <w:t xml:space="preserve"> </w:t>
            </w:r>
            <w:r w:rsidR="00D33C93">
              <w:t>neparedz</w:t>
            </w:r>
            <w:r w:rsidR="003B1D7B">
              <w:t xml:space="preserve"> detalizēt</w:t>
            </w:r>
            <w:r w:rsidR="00D33C93">
              <w:t>u Iedzīvotāju reģistrā</w:t>
            </w:r>
            <w:r w:rsidR="003B1D7B">
              <w:t xml:space="preserve"> iekļaujamo ziņu </w:t>
            </w:r>
            <w:r w:rsidR="00D33C93">
              <w:t>uzskaitījumu.</w:t>
            </w:r>
            <w:r w:rsidR="003B1D7B">
              <w:t xml:space="preserve"> </w:t>
            </w:r>
          </w:p>
          <w:p w:rsidR="003B1D7B" w:rsidRPr="00E203F3" w:rsidRDefault="00C95BFC" w:rsidP="00E203F3">
            <w:pPr>
              <w:pStyle w:val="naiskr"/>
              <w:spacing w:before="0" w:after="0"/>
              <w:jc w:val="both"/>
            </w:pPr>
            <w:r>
              <w:t xml:space="preserve">Ar minēto likumu Iedzīvotāju reģistra likums tika papildināts ar jaunu normu, kas paredz, ka </w:t>
            </w:r>
            <w:r w:rsidR="00E203F3">
              <w:t>Ministru kabinets nosaka Iedzīvotāju reģistrā iekļaujamo ziņu apjomu (10.panta 1.</w:t>
            </w:r>
            <w:r w:rsidR="00E203F3" w:rsidRPr="00E203F3">
              <w:rPr>
                <w:vertAlign w:val="superscript"/>
              </w:rPr>
              <w:t>1</w:t>
            </w:r>
            <w:r w:rsidR="00E203F3">
              <w:t>daļa).</w:t>
            </w:r>
          </w:p>
        </w:tc>
      </w:tr>
      <w:tr w:rsidR="00C45AF7" w:rsidRPr="00BE0280" w:rsidTr="00B54FD6">
        <w:trPr>
          <w:trHeight w:val="1071"/>
        </w:trPr>
        <w:tc>
          <w:tcPr>
            <w:tcW w:w="550" w:type="dxa"/>
          </w:tcPr>
          <w:p w:rsidR="00C45AF7" w:rsidRPr="00BE0280" w:rsidRDefault="00C45AF7" w:rsidP="00B54FD6">
            <w:pPr>
              <w:pStyle w:val="naiskr"/>
              <w:spacing w:before="0" w:after="0"/>
              <w:jc w:val="both"/>
            </w:pPr>
            <w:r w:rsidRPr="00BE0280">
              <w:t>3.</w:t>
            </w:r>
          </w:p>
        </w:tc>
        <w:tc>
          <w:tcPr>
            <w:tcW w:w="2574" w:type="dxa"/>
          </w:tcPr>
          <w:p w:rsidR="00C45AF7" w:rsidRPr="00BE0280" w:rsidRDefault="00C45AF7" w:rsidP="00B54FD6">
            <w:pPr>
              <w:pStyle w:val="naiskr"/>
              <w:spacing w:before="0" w:after="0"/>
              <w:jc w:val="both"/>
            </w:pPr>
            <w:r w:rsidRPr="00BE0280">
              <w:t>Saistītie politikas ietekmes novērtējumi un pētījumi</w:t>
            </w:r>
          </w:p>
        </w:tc>
        <w:tc>
          <w:tcPr>
            <w:tcW w:w="5812" w:type="dxa"/>
          </w:tcPr>
          <w:p w:rsidR="00C45AF7" w:rsidRPr="00BE0280" w:rsidRDefault="00C45AF7" w:rsidP="00B54FD6">
            <w:pPr>
              <w:pStyle w:val="FootnoteText"/>
              <w:jc w:val="both"/>
              <w:rPr>
                <w:sz w:val="24"/>
                <w:szCs w:val="24"/>
              </w:rPr>
            </w:pPr>
            <w:r w:rsidRPr="00BE0280">
              <w:rPr>
                <w:sz w:val="24"/>
                <w:szCs w:val="24"/>
              </w:rPr>
              <w:t>Projekts šo jomu neskar.</w:t>
            </w:r>
          </w:p>
          <w:p w:rsidR="00C45AF7" w:rsidRPr="00BE0280" w:rsidRDefault="00C45AF7" w:rsidP="00B54FD6">
            <w:pPr>
              <w:pStyle w:val="FootnoteText"/>
              <w:jc w:val="both"/>
              <w:rPr>
                <w:sz w:val="24"/>
                <w:szCs w:val="24"/>
              </w:rPr>
            </w:pPr>
          </w:p>
          <w:p w:rsidR="00C45AF7" w:rsidRPr="00BE0280" w:rsidRDefault="00C45AF7" w:rsidP="00B54FD6">
            <w:pPr>
              <w:pStyle w:val="FootnoteText"/>
              <w:jc w:val="both"/>
              <w:rPr>
                <w:sz w:val="24"/>
                <w:szCs w:val="24"/>
              </w:rPr>
            </w:pPr>
          </w:p>
        </w:tc>
      </w:tr>
      <w:tr w:rsidR="00C45AF7" w:rsidRPr="00BE0280" w:rsidTr="00B54FD6">
        <w:trPr>
          <w:trHeight w:val="384"/>
        </w:trPr>
        <w:tc>
          <w:tcPr>
            <w:tcW w:w="550" w:type="dxa"/>
          </w:tcPr>
          <w:p w:rsidR="00C45AF7" w:rsidRPr="00BE0280" w:rsidRDefault="00C45AF7" w:rsidP="00B54FD6">
            <w:pPr>
              <w:pStyle w:val="naiskr"/>
              <w:spacing w:before="0" w:after="0"/>
              <w:jc w:val="both"/>
            </w:pPr>
            <w:r w:rsidRPr="00BE0280">
              <w:t>4.</w:t>
            </w:r>
          </w:p>
        </w:tc>
        <w:tc>
          <w:tcPr>
            <w:tcW w:w="2574" w:type="dxa"/>
          </w:tcPr>
          <w:p w:rsidR="00C45AF7" w:rsidRPr="00BE0280" w:rsidRDefault="00C45AF7" w:rsidP="00B54FD6">
            <w:pPr>
              <w:pStyle w:val="naiskr"/>
              <w:spacing w:before="0" w:after="0"/>
              <w:jc w:val="both"/>
            </w:pPr>
            <w:r w:rsidRPr="00BE0280">
              <w:t>Tiesiskā regulējuma mērķis un būtība</w:t>
            </w:r>
          </w:p>
        </w:tc>
        <w:tc>
          <w:tcPr>
            <w:tcW w:w="5812" w:type="dxa"/>
          </w:tcPr>
          <w:p w:rsidR="00DA068C" w:rsidRPr="00BE0280" w:rsidRDefault="00E203F3" w:rsidP="00E203F3">
            <w:pPr>
              <w:pStyle w:val="naiskr"/>
              <w:jc w:val="both"/>
            </w:pPr>
            <w:r>
              <w:t>Izstrādāt Ministru kabineta noteikumus atbilstoši Iedzīvotāju reģistra likuma</w:t>
            </w:r>
            <w:r w:rsidR="00F6578A" w:rsidRPr="00F6578A">
              <w:t xml:space="preserve"> 10.pantu 1.</w:t>
            </w:r>
            <w:r w:rsidR="00F6578A" w:rsidRPr="00F6578A">
              <w:rPr>
                <w:vertAlign w:val="superscript"/>
              </w:rPr>
              <w:t>1</w:t>
            </w:r>
            <w:r>
              <w:t>daļā noteiktajam deleģējumam.</w:t>
            </w:r>
            <w:r w:rsidR="00F6578A" w:rsidRPr="00F6578A">
              <w:t xml:space="preserve"> </w:t>
            </w:r>
          </w:p>
        </w:tc>
      </w:tr>
      <w:tr w:rsidR="00C45AF7" w:rsidRPr="00BE0280" w:rsidTr="00B54FD6">
        <w:trPr>
          <w:trHeight w:val="476"/>
        </w:trPr>
        <w:tc>
          <w:tcPr>
            <w:tcW w:w="550" w:type="dxa"/>
          </w:tcPr>
          <w:p w:rsidR="00C45AF7" w:rsidRPr="00BE0280" w:rsidRDefault="00C45AF7" w:rsidP="00B54FD6">
            <w:pPr>
              <w:pStyle w:val="naiskr"/>
              <w:spacing w:before="0" w:after="0"/>
              <w:jc w:val="both"/>
            </w:pPr>
            <w:r w:rsidRPr="00BE0280">
              <w:t>5.</w:t>
            </w:r>
          </w:p>
        </w:tc>
        <w:tc>
          <w:tcPr>
            <w:tcW w:w="2574" w:type="dxa"/>
          </w:tcPr>
          <w:p w:rsidR="00C45AF7" w:rsidRPr="00BE0280" w:rsidRDefault="00C45AF7" w:rsidP="00B54FD6">
            <w:pPr>
              <w:pStyle w:val="naiskr"/>
              <w:spacing w:before="0" w:after="0"/>
              <w:jc w:val="both"/>
            </w:pPr>
            <w:r w:rsidRPr="00BE0280">
              <w:t>Projekta izstrādē iesaistītās institūcijas</w:t>
            </w:r>
          </w:p>
        </w:tc>
        <w:tc>
          <w:tcPr>
            <w:tcW w:w="5812" w:type="dxa"/>
          </w:tcPr>
          <w:p w:rsidR="00C45AF7" w:rsidRPr="00BE0280" w:rsidRDefault="00C45AF7" w:rsidP="00C45AF7">
            <w:pPr>
              <w:pStyle w:val="naiskr"/>
              <w:spacing w:before="0" w:after="0"/>
              <w:jc w:val="both"/>
            </w:pPr>
            <w:r w:rsidRPr="00BE0280">
              <w:rPr>
                <w:iCs/>
              </w:rPr>
              <w:t>Pilsonības un migrācijas lietu pārvalde</w:t>
            </w:r>
            <w:r>
              <w:rPr>
                <w:iCs/>
              </w:rPr>
              <w:t>.</w:t>
            </w:r>
          </w:p>
        </w:tc>
      </w:tr>
      <w:tr w:rsidR="00C45AF7" w:rsidRPr="00BE0280" w:rsidTr="00B54FD6">
        <w:trPr>
          <w:trHeight w:val="938"/>
        </w:trPr>
        <w:tc>
          <w:tcPr>
            <w:tcW w:w="550" w:type="dxa"/>
          </w:tcPr>
          <w:p w:rsidR="00C45AF7" w:rsidRPr="00BE0280" w:rsidRDefault="00C45AF7" w:rsidP="00B54FD6">
            <w:pPr>
              <w:pStyle w:val="naiskr"/>
              <w:spacing w:before="0" w:after="0"/>
              <w:jc w:val="both"/>
            </w:pPr>
            <w:r w:rsidRPr="00BE0280">
              <w:t>6.</w:t>
            </w:r>
          </w:p>
        </w:tc>
        <w:tc>
          <w:tcPr>
            <w:tcW w:w="2574" w:type="dxa"/>
          </w:tcPr>
          <w:p w:rsidR="00C45AF7" w:rsidRPr="00BE0280" w:rsidRDefault="00C45AF7" w:rsidP="00B54FD6">
            <w:pPr>
              <w:pStyle w:val="naiskr"/>
              <w:spacing w:before="0" w:after="0"/>
              <w:jc w:val="both"/>
              <w:rPr>
                <w:i/>
                <w:highlight w:val="yellow"/>
              </w:rPr>
            </w:pPr>
            <w:r w:rsidRPr="00BE0280">
              <w:t>Iemesli, kādēļ netika nodrošināta sabiedrības līdzdalība</w:t>
            </w:r>
          </w:p>
        </w:tc>
        <w:tc>
          <w:tcPr>
            <w:tcW w:w="5812" w:type="dxa"/>
          </w:tcPr>
          <w:p w:rsidR="00C45AF7" w:rsidRPr="00C45AF7" w:rsidRDefault="00F6578A" w:rsidP="00F6578A">
            <w:pPr>
              <w:pStyle w:val="FootnoteText"/>
              <w:jc w:val="both"/>
              <w:rPr>
                <w:color w:val="FF0000"/>
                <w:sz w:val="24"/>
                <w:szCs w:val="24"/>
              </w:rPr>
            </w:pPr>
            <w:r w:rsidRPr="00F6578A">
              <w:rPr>
                <w:sz w:val="24"/>
                <w:szCs w:val="24"/>
              </w:rPr>
              <w:t xml:space="preserve">Projekts </w:t>
            </w:r>
            <w:r>
              <w:rPr>
                <w:sz w:val="24"/>
                <w:szCs w:val="24"/>
              </w:rPr>
              <w:t>ir</w:t>
            </w:r>
            <w:r w:rsidRPr="00F6578A">
              <w:rPr>
                <w:sz w:val="24"/>
                <w:szCs w:val="24"/>
              </w:rPr>
              <w:t xml:space="preserve"> tehnisks tiesību normas precizējums</w:t>
            </w:r>
            <w:r w:rsidR="001263F1">
              <w:rPr>
                <w:sz w:val="24"/>
                <w:szCs w:val="24"/>
              </w:rPr>
              <w:t>, jo tiek saglabāts līdz šim I</w:t>
            </w:r>
            <w:r>
              <w:rPr>
                <w:sz w:val="24"/>
                <w:szCs w:val="24"/>
              </w:rPr>
              <w:t>edzīvotāju reģistrā iekļauto ziņu apjoms, kas turpmāk tiks detalizēti norādīts Ministru kabineta noteikumos, nevis likumā,</w:t>
            </w:r>
            <w:r>
              <w:rPr>
                <w:sz w:val="24"/>
              </w:rPr>
              <w:t xml:space="preserve"> un tādēļ tiešā veidā neietekmē sabiedrības intereses.</w:t>
            </w:r>
          </w:p>
        </w:tc>
      </w:tr>
      <w:tr w:rsidR="00C45AF7" w:rsidRPr="00BE0280" w:rsidTr="00B54FD6">
        <w:tc>
          <w:tcPr>
            <w:tcW w:w="550" w:type="dxa"/>
          </w:tcPr>
          <w:p w:rsidR="00C45AF7" w:rsidRPr="00BE0280" w:rsidRDefault="00C45AF7" w:rsidP="00B54FD6">
            <w:pPr>
              <w:pStyle w:val="naiskr"/>
              <w:spacing w:before="0" w:after="0"/>
              <w:jc w:val="both"/>
            </w:pPr>
            <w:r w:rsidRPr="00BE0280">
              <w:t>7.</w:t>
            </w:r>
          </w:p>
        </w:tc>
        <w:tc>
          <w:tcPr>
            <w:tcW w:w="2574" w:type="dxa"/>
          </w:tcPr>
          <w:p w:rsidR="00C45AF7" w:rsidRPr="00BE0280" w:rsidRDefault="00C45AF7" w:rsidP="00B54FD6">
            <w:pPr>
              <w:pStyle w:val="naiskr"/>
              <w:spacing w:before="0" w:after="0"/>
              <w:jc w:val="both"/>
            </w:pPr>
            <w:r w:rsidRPr="00BE0280">
              <w:t>Cita informācija</w:t>
            </w:r>
          </w:p>
        </w:tc>
        <w:tc>
          <w:tcPr>
            <w:tcW w:w="5812" w:type="dxa"/>
          </w:tcPr>
          <w:p w:rsidR="00C45AF7" w:rsidRPr="00BE0280" w:rsidRDefault="00DA068C" w:rsidP="00E203F3">
            <w:pPr>
              <w:pStyle w:val="HTMLPreformatted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Tā kā finansējums izmaiņām e-pakalpojumā „Mani dati Iedzīvotāju reģistrā” portālā 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www.latvija.lv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netika paredzēts, virzot </w:t>
            </w:r>
            <w:r w:rsidRPr="00DA068C">
              <w:rPr>
                <w:rFonts w:ascii="Times New Roman" w:hAnsi="Times New Roman" w:cs="Times New Roman"/>
                <w:sz w:val="24"/>
                <w:szCs w:val="24"/>
              </w:rPr>
              <w:t>likumprojektu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„Grozījumi Iedzīvotāju reģistra likumā”, tad e-pakalpojuma pielāgošanu un atbilstību ar likumu apstiprinātajām izmaiņām </w:t>
            </w:r>
            <w:r w:rsidRPr="00DA068C">
              <w:rPr>
                <w:rFonts w:ascii="Times New Roman" w:hAnsi="Times New Roman" w:cs="Times New Roman"/>
                <w:sz w:val="24"/>
                <w:szCs w:val="24"/>
              </w:rPr>
              <w:t>Pilsonības un migrācijas lietu pārvalde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veiks pakāpeniski, pieejamā finansējuma ietvaros, līdz 2014.gada 1.jūlijam.</w:t>
            </w:r>
          </w:p>
        </w:tc>
      </w:tr>
    </w:tbl>
    <w:p w:rsidR="00C45AF7" w:rsidRPr="00BE0280" w:rsidRDefault="00C45AF7" w:rsidP="00C45AF7">
      <w:pPr>
        <w:pStyle w:val="naisf"/>
        <w:spacing w:before="0" w:after="0"/>
        <w:ind w:firstLine="0"/>
      </w:pPr>
    </w:p>
    <w:tbl>
      <w:tblPr>
        <w:tblpPr w:leftFromText="180" w:rightFromText="180" w:vertAnchor="text" w:horzAnchor="margin" w:tblpXSpec="center" w:tblpY="149"/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4395"/>
        <w:gridCol w:w="4541"/>
      </w:tblGrid>
      <w:tr w:rsidR="00C45AF7" w:rsidRPr="00BE0280" w:rsidTr="006A0EC4">
        <w:tc>
          <w:tcPr>
            <w:tcW w:w="9219" w:type="dxa"/>
            <w:gridSpan w:val="3"/>
            <w:vAlign w:val="center"/>
          </w:tcPr>
          <w:p w:rsidR="00C45AF7" w:rsidRPr="00BE0280" w:rsidRDefault="00C45AF7" w:rsidP="00B54FD6">
            <w:pPr>
              <w:pStyle w:val="naisnod"/>
              <w:spacing w:before="0" w:after="0"/>
            </w:pPr>
            <w:r w:rsidRPr="00BE0280">
              <w:t>II. Tiesību akta projekta ietekme uz sabiedrību</w:t>
            </w:r>
          </w:p>
        </w:tc>
      </w:tr>
      <w:tr w:rsidR="00C45AF7" w:rsidRPr="00BE0280" w:rsidTr="006A0EC4">
        <w:trPr>
          <w:trHeight w:val="467"/>
        </w:trPr>
        <w:tc>
          <w:tcPr>
            <w:tcW w:w="283" w:type="dxa"/>
          </w:tcPr>
          <w:p w:rsidR="00C45AF7" w:rsidRPr="00BE0280" w:rsidRDefault="00C45AF7" w:rsidP="00B54FD6">
            <w:pPr>
              <w:pStyle w:val="naiskr"/>
              <w:spacing w:before="0" w:after="0"/>
            </w:pPr>
            <w:r w:rsidRPr="00BE0280">
              <w:t>1.</w:t>
            </w:r>
          </w:p>
        </w:tc>
        <w:tc>
          <w:tcPr>
            <w:tcW w:w="4395" w:type="dxa"/>
          </w:tcPr>
          <w:p w:rsidR="00C45AF7" w:rsidRPr="00BE0280" w:rsidRDefault="00C45AF7" w:rsidP="00B54FD6">
            <w:pPr>
              <w:pStyle w:val="naiskr"/>
              <w:spacing w:before="0" w:after="0"/>
            </w:pPr>
            <w:r w:rsidRPr="00BE0280">
              <w:t>Sabiedrības mērķgrupa</w:t>
            </w:r>
          </w:p>
        </w:tc>
        <w:tc>
          <w:tcPr>
            <w:tcW w:w="4541" w:type="dxa"/>
          </w:tcPr>
          <w:p w:rsidR="00C45AF7" w:rsidRPr="00BE0280" w:rsidRDefault="00C45AF7" w:rsidP="00B54FD6">
            <w:pPr>
              <w:pStyle w:val="naiskr"/>
              <w:ind w:hanging="57"/>
              <w:jc w:val="both"/>
            </w:pPr>
            <w:r w:rsidRPr="00BE0280">
              <w:rPr>
                <w:iCs/>
              </w:rPr>
              <w:t> </w:t>
            </w:r>
            <w:r>
              <w:t>Likump</w:t>
            </w:r>
            <w:r w:rsidRPr="006A24ED">
              <w:t xml:space="preserve">rojekts </w:t>
            </w:r>
            <w:r>
              <w:t xml:space="preserve">var skart gandrīz visas personas, par kurām iekļautas ziņas Iedzīvotāju reģistrā. Mērķgrupas aptuvenais skaitliskais lielums ir 2 286 672. </w:t>
            </w:r>
          </w:p>
        </w:tc>
      </w:tr>
      <w:tr w:rsidR="00C45AF7" w:rsidRPr="00BE0280" w:rsidTr="006A0EC4">
        <w:trPr>
          <w:trHeight w:val="523"/>
        </w:trPr>
        <w:tc>
          <w:tcPr>
            <w:tcW w:w="283" w:type="dxa"/>
          </w:tcPr>
          <w:p w:rsidR="00C45AF7" w:rsidRPr="00BE0280" w:rsidRDefault="00C45AF7" w:rsidP="00B54FD6">
            <w:pPr>
              <w:pStyle w:val="naiskr"/>
              <w:spacing w:before="0" w:after="0"/>
            </w:pPr>
            <w:r w:rsidRPr="00BE0280">
              <w:t>2.</w:t>
            </w:r>
          </w:p>
        </w:tc>
        <w:tc>
          <w:tcPr>
            <w:tcW w:w="4395" w:type="dxa"/>
          </w:tcPr>
          <w:p w:rsidR="00C45AF7" w:rsidRPr="00BE0280" w:rsidRDefault="00C45AF7" w:rsidP="00B54FD6">
            <w:pPr>
              <w:pStyle w:val="naiskr"/>
              <w:spacing w:before="0" w:after="0"/>
            </w:pPr>
            <w:r w:rsidRPr="00BE0280">
              <w:t>Citas sabiedrības grupas (bez mērķgrupas), kuras tiesiskais regulējums arī ietekmē vai varētu ietekmēt</w:t>
            </w:r>
          </w:p>
        </w:tc>
        <w:tc>
          <w:tcPr>
            <w:tcW w:w="4541" w:type="dxa"/>
          </w:tcPr>
          <w:p w:rsidR="00C45AF7" w:rsidRPr="00BE0280" w:rsidRDefault="00C45AF7" w:rsidP="00B54FD6">
            <w:pPr>
              <w:pStyle w:val="naiskr"/>
              <w:jc w:val="both"/>
            </w:pPr>
            <w:r>
              <w:rPr>
                <w:iCs/>
              </w:rPr>
              <w:t>Projekts šo jomu neskar.</w:t>
            </w:r>
          </w:p>
        </w:tc>
      </w:tr>
      <w:tr w:rsidR="00C45AF7" w:rsidRPr="00BE0280" w:rsidTr="006A0EC4">
        <w:trPr>
          <w:trHeight w:val="517"/>
        </w:trPr>
        <w:tc>
          <w:tcPr>
            <w:tcW w:w="283" w:type="dxa"/>
          </w:tcPr>
          <w:p w:rsidR="00C45AF7" w:rsidRPr="00BE0280" w:rsidRDefault="00C45AF7" w:rsidP="00B54FD6">
            <w:pPr>
              <w:pStyle w:val="naiskr"/>
              <w:spacing w:before="0" w:after="0"/>
            </w:pPr>
            <w:r w:rsidRPr="00BE0280">
              <w:t>3.</w:t>
            </w:r>
          </w:p>
        </w:tc>
        <w:tc>
          <w:tcPr>
            <w:tcW w:w="4395" w:type="dxa"/>
          </w:tcPr>
          <w:p w:rsidR="00C45AF7" w:rsidRPr="00BE0280" w:rsidRDefault="00C45AF7" w:rsidP="00B54FD6">
            <w:pPr>
              <w:pStyle w:val="naiskr"/>
              <w:spacing w:before="0" w:after="0"/>
            </w:pPr>
            <w:r w:rsidRPr="00BE0280">
              <w:t>Tiesiskā regulējuma finansiālā ietekme</w:t>
            </w:r>
          </w:p>
        </w:tc>
        <w:tc>
          <w:tcPr>
            <w:tcW w:w="4541" w:type="dxa"/>
          </w:tcPr>
          <w:p w:rsidR="00C45AF7" w:rsidRPr="00BE0280" w:rsidRDefault="00C45AF7" w:rsidP="00B54FD6">
            <w:pPr>
              <w:pStyle w:val="naiskr"/>
              <w:jc w:val="both"/>
            </w:pPr>
            <w:r w:rsidRPr="00BE0280">
              <w:t>Projekts šo jomu neskar.</w:t>
            </w:r>
          </w:p>
        </w:tc>
      </w:tr>
      <w:tr w:rsidR="00C45AF7" w:rsidRPr="00BE0280" w:rsidTr="006A0EC4">
        <w:trPr>
          <w:trHeight w:val="517"/>
        </w:trPr>
        <w:tc>
          <w:tcPr>
            <w:tcW w:w="283" w:type="dxa"/>
          </w:tcPr>
          <w:p w:rsidR="00C45AF7" w:rsidRPr="00BE0280" w:rsidRDefault="00C45AF7" w:rsidP="00B54FD6">
            <w:pPr>
              <w:pStyle w:val="naiskr"/>
              <w:spacing w:before="0" w:after="0"/>
            </w:pPr>
            <w:r w:rsidRPr="00BE0280">
              <w:lastRenderedPageBreak/>
              <w:t>4.</w:t>
            </w:r>
          </w:p>
        </w:tc>
        <w:tc>
          <w:tcPr>
            <w:tcW w:w="4395" w:type="dxa"/>
          </w:tcPr>
          <w:p w:rsidR="00C45AF7" w:rsidRPr="00BE0280" w:rsidRDefault="00C45AF7" w:rsidP="00B54FD6">
            <w:pPr>
              <w:pStyle w:val="naiskr"/>
              <w:spacing w:before="0" w:after="0"/>
            </w:pPr>
            <w:r w:rsidRPr="00BE0280">
              <w:t>Tiesiskā regulējuma nefinansiālā ietekme</w:t>
            </w:r>
          </w:p>
        </w:tc>
        <w:tc>
          <w:tcPr>
            <w:tcW w:w="4541" w:type="dxa"/>
          </w:tcPr>
          <w:p w:rsidR="00C45AF7" w:rsidRPr="00BE0280" w:rsidRDefault="00C45AF7" w:rsidP="00B54FD6">
            <w:pPr>
              <w:pStyle w:val="naiskr"/>
              <w:jc w:val="both"/>
            </w:pPr>
            <w:r w:rsidRPr="00BE0280">
              <w:t>Projekts šo jomu neskar.</w:t>
            </w:r>
          </w:p>
        </w:tc>
      </w:tr>
      <w:tr w:rsidR="00C45AF7" w:rsidRPr="00BE0280" w:rsidTr="006A0EC4">
        <w:trPr>
          <w:trHeight w:val="531"/>
        </w:trPr>
        <w:tc>
          <w:tcPr>
            <w:tcW w:w="283" w:type="dxa"/>
          </w:tcPr>
          <w:p w:rsidR="00C45AF7" w:rsidRPr="00BE0280" w:rsidRDefault="00C45AF7" w:rsidP="00B54FD6">
            <w:pPr>
              <w:pStyle w:val="naiskr"/>
              <w:spacing w:before="0" w:after="0"/>
            </w:pPr>
            <w:r w:rsidRPr="00BE0280">
              <w:t>5.</w:t>
            </w:r>
          </w:p>
        </w:tc>
        <w:tc>
          <w:tcPr>
            <w:tcW w:w="4395" w:type="dxa"/>
          </w:tcPr>
          <w:p w:rsidR="00C45AF7" w:rsidRPr="00BE0280" w:rsidRDefault="00C45AF7" w:rsidP="00B54FD6">
            <w:pPr>
              <w:pStyle w:val="naiskr"/>
              <w:spacing w:before="0" w:after="0"/>
            </w:pPr>
            <w:r w:rsidRPr="00BE0280">
              <w:t>Administratīvās procedūras raksturojums</w:t>
            </w:r>
          </w:p>
        </w:tc>
        <w:tc>
          <w:tcPr>
            <w:tcW w:w="4541" w:type="dxa"/>
          </w:tcPr>
          <w:p w:rsidR="00C45AF7" w:rsidRPr="00BE0280" w:rsidRDefault="00C45AF7" w:rsidP="00F6578A">
            <w:pPr>
              <w:pStyle w:val="naiskr"/>
              <w:spacing w:before="0" w:after="0"/>
              <w:jc w:val="both"/>
            </w:pPr>
            <w:r>
              <w:t>Netiks mainīta esošā ziņu iekļaušanas</w:t>
            </w:r>
            <w:r w:rsidR="00F6578A">
              <w:t xml:space="preserve">  Iedzīvotāju reģistrā </w:t>
            </w:r>
            <w:r>
              <w:t xml:space="preserve"> kārtība</w:t>
            </w:r>
            <w:r w:rsidR="00F6578A">
              <w:t>, kā arī apjoms.</w:t>
            </w:r>
          </w:p>
        </w:tc>
      </w:tr>
      <w:tr w:rsidR="00C45AF7" w:rsidRPr="00BE0280" w:rsidTr="006A0EC4">
        <w:trPr>
          <w:trHeight w:val="357"/>
        </w:trPr>
        <w:tc>
          <w:tcPr>
            <w:tcW w:w="283" w:type="dxa"/>
          </w:tcPr>
          <w:p w:rsidR="00C45AF7" w:rsidRPr="00BE0280" w:rsidRDefault="00C45AF7" w:rsidP="00B54FD6">
            <w:pPr>
              <w:pStyle w:val="naiskr"/>
              <w:spacing w:before="0" w:after="0"/>
            </w:pPr>
            <w:r w:rsidRPr="00BE0280">
              <w:t>6.</w:t>
            </w:r>
          </w:p>
        </w:tc>
        <w:tc>
          <w:tcPr>
            <w:tcW w:w="4395" w:type="dxa"/>
          </w:tcPr>
          <w:p w:rsidR="00C45AF7" w:rsidRPr="00BE0280" w:rsidRDefault="00C45AF7" w:rsidP="00B54FD6">
            <w:pPr>
              <w:pStyle w:val="naiskr"/>
              <w:spacing w:before="0" w:after="0"/>
            </w:pPr>
            <w:r w:rsidRPr="00BE0280">
              <w:t>Administratīvo izmaksu monetārs novērtējums</w:t>
            </w:r>
          </w:p>
        </w:tc>
        <w:tc>
          <w:tcPr>
            <w:tcW w:w="4541" w:type="dxa"/>
          </w:tcPr>
          <w:p w:rsidR="00C45AF7" w:rsidRPr="00BE0280" w:rsidRDefault="00C45AF7" w:rsidP="00B54FD6">
            <w:pPr>
              <w:pStyle w:val="naiskr"/>
              <w:spacing w:before="0" w:after="0"/>
            </w:pPr>
            <w:r w:rsidRPr="00BE0280">
              <w:t>Projekts šo jomu neskar.</w:t>
            </w:r>
          </w:p>
        </w:tc>
      </w:tr>
      <w:tr w:rsidR="00C45AF7" w:rsidRPr="00BE0280" w:rsidTr="006A0EC4">
        <w:trPr>
          <w:trHeight w:val="357"/>
        </w:trPr>
        <w:tc>
          <w:tcPr>
            <w:tcW w:w="283" w:type="dxa"/>
          </w:tcPr>
          <w:p w:rsidR="00C45AF7" w:rsidRPr="00BE0280" w:rsidRDefault="00C45AF7" w:rsidP="00B54FD6">
            <w:pPr>
              <w:pStyle w:val="naiskr"/>
              <w:spacing w:before="0" w:after="0"/>
            </w:pPr>
            <w:r w:rsidRPr="00BE0280">
              <w:t>7.</w:t>
            </w:r>
          </w:p>
        </w:tc>
        <w:tc>
          <w:tcPr>
            <w:tcW w:w="4395" w:type="dxa"/>
          </w:tcPr>
          <w:p w:rsidR="00C45AF7" w:rsidRPr="00BE0280" w:rsidRDefault="00C45AF7" w:rsidP="00B54FD6">
            <w:pPr>
              <w:pStyle w:val="naiskr"/>
              <w:spacing w:before="0" w:after="0"/>
            </w:pPr>
            <w:r w:rsidRPr="00BE0280">
              <w:t>Cita informācija</w:t>
            </w:r>
          </w:p>
        </w:tc>
        <w:tc>
          <w:tcPr>
            <w:tcW w:w="4541" w:type="dxa"/>
          </w:tcPr>
          <w:p w:rsidR="00C45AF7" w:rsidRPr="00BE0280" w:rsidRDefault="00C45AF7" w:rsidP="00B54FD6">
            <w:pPr>
              <w:pStyle w:val="naiskr"/>
              <w:spacing w:before="0" w:after="0"/>
            </w:pPr>
            <w:r w:rsidRPr="00BE0280">
              <w:t>Nav.</w:t>
            </w:r>
          </w:p>
        </w:tc>
      </w:tr>
    </w:tbl>
    <w:p w:rsidR="00C45AF7" w:rsidRPr="00BE0280" w:rsidRDefault="00C45AF7" w:rsidP="00C45AF7">
      <w:pPr>
        <w:pStyle w:val="naisf"/>
        <w:spacing w:before="0" w:after="0"/>
      </w:pPr>
    </w:p>
    <w:p w:rsidR="00C45AF7" w:rsidRPr="002A65FF" w:rsidRDefault="00C45AF7" w:rsidP="00C45AF7">
      <w:pPr>
        <w:pStyle w:val="naiskr"/>
        <w:tabs>
          <w:tab w:val="left" w:pos="2628"/>
        </w:tabs>
        <w:spacing w:before="0" w:after="0"/>
        <w:rPr>
          <w:i/>
        </w:rPr>
      </w:pP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395"/>
        <w:gridCol w:w="4819"/>
      </w:tblGrid>
      <w:tr w:rsidR="00C45AF7" w:rsidRPr="00BE0280" w:rsidTr="006A0EC4"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:rsidR="00C45AF7" w:rsidRPr="00BE0280" w:rsidRDefault="00C45AF7" w:rsidP="00B54FD6">
            <w:pPr>
              <w:pStyle w:val="naisnod"/>
              <w:spacing w:before="0" w:after="0"/>
              <w:ind w:left="57" w:right="57"/>
            </w:pPr>
            <w:r w:rsidRPr="00BE0280">
              <w:t>VII. Tiesību akta projekta izpildes nodrošināšana un tās ietekme uz institūcijām</w:t>
            </w:r>
          </w:p>
        </w:tc>
      </w:tr>
      <w:tr w:rsidR="00C45AF7" w:rsidRPr="00BE0280" w:rsidTr="006A0EC4">
        <w:trPr>
          <w:trHeight w:val="427"/>
        </w:trPr>
        <w:tc>
          <w:tcPr>
            <w:tcW w:w="426" w:type="dxa"/>
          </w:tcPr>
          <w:p w:rsidR="00C45AF7" w:rsidRPr="00BE0280" w:rsidRDefault="00C45AF7" w:rsidP="00B54FD6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E0280">
              <w:rPr>
                <w:b w:val="0"/>
              </w:rPr>
              <w:t>1.</w:t>
            </w:r>
          </w:p>
        </w:tc>
        <w:tc>
          <w:tcPr>
            <w:tcW w:w="4395" w:type="dxa"/>
          </w:tcPr>
          <w:p w:rsidR="00C45AF7" w:rsidRPr="00BE0280" w:rsidRDefault="00C45AF7" w:rsidP="00B54FD6">
            <w:pPr>
              <w:pStyle w:val="naisf"/>
              <w:spacing w:before="0" w:after="0"/>
              <w:ind w:left="57" w:right="57" w:firstLine="0"/>
              <w:jc w:val="left"/>
            </w:pPr>
            <w:r w:rsidRPr="00BE0280">
              <w:t xml:space="preserve">Projekta izpildē iesaistītās institūcijas </w:t>
            </w:r>
          </w:p>
        </w:tc>
        <w:tc>
          <w:tcPr>
            <w:tcW w:w="4819" w:type="dxa"/>
          </w:tcPr>
          <w:p w:rsidR="00C45AF7" w:rsidRPr="00BE0280" w:rsidRDefault="00C45AF7" w:rsidP="00C45AF7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>
              <w:rPr>
                <w:b w:val="0"/>
              </w:rPr>
              <w:t>P</w:t>
            </w:r>
            <w:r w:rsidRPr="00BE0280">
              <w:rPr>
                <w:b w:val="0"/>
              </w:rPr>
              <w:t>rojekta izpildi nodrošinās Pilsonības un migrācijas lietu pārvalde.</w:t>
            </w:r>
          </w:p>
        </w:tc>
      </w:tr>
      <w:tr w:rsidR="00C45AF7" w:rsidRPr="00BE0280" w:rsidTr="006A0EC4">
        <w:trPr>
          <w:trHeight w:val="463"/>
        </w:trPr>
        <w:tc>
          <w:tcPr>
            <w:tcW w:w="426" w:type="dxa"/>
          </w:tcPr>
          <w:p w:rsidR="00C45AF7" w:rsidRPr="00BE0280" w:rsidRDefault="00C45AF7" w:rsidP="00B54FD6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E0280">
              <w:rPr>
                <w:b w:val="0"/>
              </w:rPr>
              <w:t>2.</w:t>
            </w:r>
          </w:p>
        </w:tc>
        <w:tc>
          <w:tcPr>
            <w:tcW w:w="4395" w:type="dxa"/>
          </w:tcPr>
          <w:p w:rsidR="00C45AF7" w:rsidRPr="00BE0280" w:rsidRDefault="00C45AF7" w:rsidP="00B54FD6">
            <w:pPr>
              <w:pStyle w:val="naisf"/>
              <w:spacing w:before="0" w:after="0"/>
              <w:ind w:left="57" w:right="57" w:firstLine="0"/>
              <w:jc w:val="left"/>
            </w:pPr>
            <w:r w:rsidRPr="00BE0280">
              <w:t xml:space="preserve">Projekta izpildes ietekme uz pārvaldes funkcijām </w:t>
            </w:r>
          </w:p>
        </w:tc>
        <w:tc>
          <w:tcPr>
            <w:tcW w:w="4819" w:type="dxa"/>
          </w:tcPr>
          <w:p w:rsidR="00C45AF7" w:rsidRPr="00BE0280" w:rsidRDefault="00C45AF7" w:rsidP="00B54FD6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F434AF">
              <w:rPr>
                <w:b w:val="0"/>
                <w:iCs/>
              </w:rPr>
              <w:t xml:space="preserve">Saistībā ar projekta izpildi </w:t>
            </w:r>
            <w:r w:rsidRPr="00F434AF">
              <w:rPr>
                <w:b w:val="0"/>
              </w:rPr>
              <w:t>funkcijas</w:t>
            </w:r>
            <w:r w:rsidRPr="00BE0280">
              <w:rPr>
                <w:b w:val="0"/>
              </w:rPr>
              <w:t xml:space="preserve"> netiek paplašinātas vai sašaurinātas.</w:t>
            </w:r>
            <w:r>
              <w:rPr>
                <w:b w:val="0"/>
              </w:rPr>
              <w:t xml:space="preserve"> </w:t>
            </w:r>
          </w:p>
        </w:tc>
      </w:tr>
      <w:tr w:rsidR="00C45AF7" w:rsidRPr="00BE0280" w:rsidTr="006A0EC4">
        <w:trPr>
          <w:trHeight w:val="725"/>
        </w:trPr>
        <w:tc>
          <w:tcPr>
            <w:tcW w:w="426" w:type="dxa"/>
          </w:tcPr>
          <w:p w:rsidR="00C45AF7" w:rsidRPr="00BE0280" w:rsidRDefault="00C45AF7" w:rsidP="00B54FD6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E0280">
              <w:rPr>
                <w:b w:val="0"/>
              </w:rPr>
              <w:t>3.</w:t>
            </w:r>
          </w:p>
        </w:tc>
        <w:tc>
          <w:tcPr>
            <w:tcW w:w="4395" w:type="dxa"/>
          </w:tcPr>
          <w:p w:rsidR="00C45AF7" w:rsidRPr="00BE0280" w:rsidRDefault="00C45AF7" w:rsidP="00B54FD6">
            <w:pPr>
              <w:pStyle w:val="naisf"/>
              <w:spacing w:before="0" w:after="0"/>
              <w:ind w:left="57" w:right="57" w:firstLine="0"/>
              <w:jc w:val="left"/>
            </w:pPr>
            <w:r w:rsidRPr="00BE0280">
              <w:t>Projekta izpildes ietekme uz pārvaldes institucionālo struktūru.</w:t>
            </w:r>
          </w:p>
          <w:p w:rsidR="00C45AF7" w:rsidRPr="00BE0280" w:rsidRDefault="00C45AF7" w:rsidP="00B54FD6">
            <w:pPr>
              <w:pStyle w:val="naisf"/>
              <w:spacing w:before="0" w:after="0"/>
              <w:ind w:left="57" w:right="57" w:firstLine="0"/>
              <w:jc w:val="left"/>
            </w:pPr>
            <w:r w:rsidRPr="00BE0280">
              <w:t>Jaunu institūciju izveide</w:t>
            </w:r>
          </w:p>
        </w:tc>
        <w:tc>
          <w:tcPr>
            <w:tcW w:w="4819" w:type="dxa"/>
          </w:tcPr>
          <w:p w:rsidR="00C45AF7" w:rsidRPr="00BE0280" w:rsidRDefault="00C45AF7" w:rsidP="00B54FD6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BE0280">
              <w:rPr>
                <w:b w:val="0"/>
                <w:iCs/>
              </w:rPr>
              <w:t>Saistībā ar projekta izpildi nav nepieciešams veidot jaunas institūcijas.</w:t>
            </w:r>
          </w:p>
        </w:tc>
      </w:tr>
      <w:tr w:rsidR="00C45AF7" w:rsidRPr="00BE0280" w:rsidTr="006A0EC4">
        <w:trPr>
          <w:trHeight w:val="780"/>
        </w:trPr>
        <w:tc>
          <w:tcPr>
            <w:tcW w:w="426" w:type="dxa"/>
          </w:tcPr>
          <w:p w:rsidR="00C45AF7" w:rsidRPr="00BE0280" w:rsidRDefault="00C45AF7" w:rsidP="00B54FD6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E0280">
              <w:rPr>
                <w:b w:val="0"/>
              </w:rPr>
              <w:t>4.</w:t>
            </w:r>
          </w:p>
        </w:tc>
        <w:tc>
          <w:tcPr>
            <w:tcW w:w="4395" w:type="dxa"/>
          </w:tcPr>
          <w:p w:rsidR="00C45AF7" w:rsidRPr="00BE0280" w:rsidRDefault="00C45AF7" w:rsidP="00B54FD6">
            <w:pPr>
              <w:pStyle w:val="naisf"/>
              <w:spacing w:before="0" w:after="0"/>
              <w:ind w:left="57" w:right="57" w:firstLine="0"/>
              <w:jc w:val="left"/>
            </w:pPr>
            <w:r w:rsidRPr="00BE0280">
              <w:t>Projekta izpildes ietekme uz pārvaldes institucionālo struktūru.</w:t>
            </w:r>
          </w:p>
          <w:p w:rsidR="00C45AF7" w:rsidRPr="00BE0280" w:rsidRDefault="00C45AF7" w:rsidP="00B54FD6">
            <w:pPr>
              <w:pStyle w:val="naisf"/>
              <w:spacing w:before="0" w:after="0"/>
              <w:ind w:left="57" w:right="57" w:firstLine="0"/>
              <w:jc w:val="left"/>
            </w:pPr>
            <w:r w:rsidRPr="00BE0280">
              <w:t>Esošu institūciju likvidācija</w:t>
            </w:r>
          </w:p>
        </w:tc>
        <w:tc>
          <w:tcPr>
            <w:tcW w:w="4819" w:type="dxa"/>
          </w:tcPr>
          <w:p w:rsidR="00C45AF7" w:rsidRPr="00BE0280" w:rsidRDefault="00C45AF7" w:rsidP="00B54FD6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BE0280">
              <w:rPr>
                <w:b w:val="0"/>
                <w:iCs/>
              </w:rPr>
              <w:t xml:space="preserve">Saistībā ar </w:t>
            </w:r>
            <w:r>
              <w:rPr>
                <w:b w:val="0"/>
                <w:iCs/>
              </w:rPr>
              <w:t>p</w:t>
            </w:r>
            <w:r w:rsidRPr="00BE0280">
              <w:rPr>
                <w:b w:val="0"/>
                <w:iCs/>
              </w:rPr>
              <w:t>rojekta izpildi nav nepieciešams veikt esošo institūciju likvidāciju.</w:t>
            </w:r>
          </w:p>
        </w:tc>
      </w:tr>
      <w:tr w:rsidR="00C45AF7" w:rsidRPr="00BE0280" w:rsidTr="006A0EC4">
        <w:trPr>
          <w:trHeight w:val="703"/>
        </w:trPr>
        <w:tc>
          <w:tcPr>
            <w:tcW w:w="426" w:type="dxa"/>
          </w:tcPr>
          <w:p w:rsidR="00C45AF7" w:rsidRPr="00BE0280" w:rsidRDefault="00C45AF7" w:rsidP="00B54FD6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BE0280">
              <w:rPr>
                <w:b w:val="0"/>
              </w:rPr>
              <w:t>5.</w:t>
            </w:r>
          </w:p>
        </w:tc>
        <w:tc>
          <w:tcPr>
            <w:tcW w:w="4395" w:type="dxa"/>
          </w:tcPr>
          <w:p w:rsidR="00C45AF7" w:rsidRPr="00BE0280" w:rsidRDefault="00C45AF7" w:rsidP="00B54FD6">
            <w:pPr>
              <w:pStyle w:val="naisf"/>
              <w:spacing w:before="0" w:after="0"/>
              <w:ind w:left="57" w:right="57" w:firstLine="0"/>
              <w:jc w:val="left"/>
            </w:pPr>
            <w:r w:rsidRPr="00BE0280">
              <w:t>Projekta izpildes ietekme uz pārvaldes institucionālo struktūru.</w:t>
            </w:r>
          </w:p>
          <w:p w:rsidR="00C45AF7" w:rsidRPr="00BE0280" w:rsidRDefault="00C45AF7" w:rsidP="00B54FD6">
            <w:pPr>
              <w:pStyle w:val="naisf"/>
              <w:spacing w:before="0" w:after="0"/>
              <w:ind w:left="57" w:right="57" w:firstLine="0"/>
              <w:jc w:val="left"/>
            </w:pPr>
            <w:r w:rsidRPr="00BE0280">
              <w:t>Esošu institūciju reorganizācija</w:t>
            </w:r>
          </w:p>
        </w:tc>
        <w:tc>
          <w:tcPr>
            <w:tcW w:w="4819" w:type="dxa"/>
          </w:tcPr>
          <w:p w:rsidR="00C45AF7" w:rsidRPr="00BE0280" w:rsidRDefault="00C45AF7" w:rsidP="00B54FD6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BE0280">
              <w:rPr>
                <w:b w:val="0"/>
                <w:iCs/>
              </w:rPr>
              <w:t>Saistībā ar projekta izpildi nav nepieciešams veikt esošo institūciju reorganizāciju.</w:t>
            </w:r>
          </w:p>
        </w:tc>
      </w:tr>
      <w:tr w:rsidR="00C45AF7" w:rsidRPr="00BE0280" w:rsidTr="006A0EC4">
        <w:trPr>
          <w:trHeight w:val="476"/>
        </w:trPr>
        <w:tc>
          <w:tcPr>
            <w:tcW w:w="426" w:type="dxa"/>
          </w:tcPr>
          <w:p w:rsidR="00C45AF7" w:rsidRPr="00BE0280" w:rsidRDefault="00C45AF7" w:rsidP="00B54FD6">
            <w:pPr>
              <w:pStyle w:val="naiskr"/>
              <w:spacing w:before="0" w:after="0"/>
              <w:ind w:left="57" w:right="57"/>
            </w:pPr>
            <w:r w:rsidRPr="00BE0280">
              <w:t>6.</w:t>
            </w:r>
          </w:p>
        </w:tc>
        <w:tc>
          <w:tcPr>
            <w:tcW w:w="4395" w:type="dxa"/>
          </w:tcPr>
          <w:p w:rsidR="00C45AF7" w:rsidRPr="00BE0280" w:rsidRDefault="00C45AF7" w:rsidP="00B54FD6">
            <w:pPr>
              <w:pStyle w:val="naiskr"/>
              <w:spacing w:before="0" w:after="0"/>
              <w:ind w:left="57" w:right="57"/>
            </w:pPr>
            <w:r w:rsidRPr="00BE0280">
              <w:t>Cita informācija</w:t>
            </w:r>
          </w:p>
        </w:tc>
        <w:tc>
          <w:tcPr>
            <w:tcW w:w="4819" w:type="dxa"/>
          </w:tcPr>
          <w:p w:rsidR="00C45AF7" w:rsidRPr="00BE0280" w:rsidRDefault="00C45AF7" w:rsidP="00B54FD6">
            <w:pPr>
              <w:pStyle w:val="naiskr"/>
              <w:spacing w:before="0" w:after="0"/>
              <w:ind w:left="57" w:right="57"/>
            </w:pPr>
            <w:r w:rsidRPr="00BE0280">
              <w:t>Nav.</w:t>
            </w:r>
          </w:p>
        </w:tc>
      </w:tr>
    </w:tbl>
    <w:p w:rsidR="00C45AF7" w:rsidRPr="00BE0280" w:rsidRDefault="00C45AF7" w:rsidP="00C45AF7">
      <w:pPr>
        <w:pStyle w:val="naisf"/>
        <w:tabs>
          <w:tab w:val="left" w:pos="5760"/>
        </w:tabs>
        <w:spacing w:before="0" w:after="0"/>
        <w:ind w:firstLine="720"/>
      </w:pPr>
    </w:p>
    <w:p w:rsidR="00C45AF7" w:rsidRPr="005170C9" w:rsidRDefault="00C45AF7" w:rsidP="00C45AF7">
      <w:pPr>
        <w:pStyle w:val="naisf"/>
        <w:spacing w:before="120" w:after="120"/>
      </w:pPr>
      <w:r w:rsidRPr="005170C9">
        <w:t xml:space="preserve">Anotācijas </w:t>
      </w:r>
      <w:r>
        <w:t>III, IV</w:t>
      </w:r>
      <w:r w:rsidR="00F6578A">
        <w:t>, V</w:t>
      </w:r>
      <w:r>
        <w:t xml:space="preserve"> un</w:t>
      </w:r>
      <w:r w:rsidRPr="005170C9">
        <w:t xml:space="preserve"> V</w:t>
      </w:r>
      <w:r w:rsidR="00F6578A">
        <w:t>I</w:t>
      </w:r>
      <w:r w:rsidRPr="005170C9">
        <w:t xml:space="preserve"> sadaļa - </w:t>
      </w:r>
      <w:r>
        <w:t>projekts šīs jomas neskar</w:t>
      </w:r>
      <w:r w:rsidRPr="005170C9">
        <w:t>.</w:t>
      </w:r>
    </w:p>
    <w:p w:rsidR="00C45AF7" w:rsidRDefault="00C45AF7" w:rsidP="00C45AF7"/>
    <w:p w:rsidR="00C45AF7" w:rsidRDefault="00C45AF7" w:rsidP="00C45AF7"/>
    <w:p w:rsidR="00C45AF7" w:rsidRPr="00BE0280" w:rsidRDefault="00C45AF7" w:rsidP="00C45AF7"/>
    <w:p w:rsidR="00C45AF7" w:rsidRPr="00BE0280" w:rsidRDefault="00C45AF7" w:rsidP="00C45AF7">
      <w:r w:rsidRPr="00BE0280">
        <w:t>Iekšlietu ministrs</w:t>
      </w:r>
      <w:r w:rsidRPr="00BE0280">
        <w:tab/>
      </w:r>
      <w:r w:rsidRPr="00BE0280">
        <w:tab/>
      </w:r>
      <w:r w:rsidRPr="00BE0280">
        <w:tab/>
      </w:r>
      <w:r w:rsidRPr="00BE0280">
        <w:tab/>
      </w:r>
      <w:r w:rsidRPr="00BE0280">
        <w:tab/>
      </w:r>
      <w:r w:rsidRPr="00BE0280">
        <w:tab/>
      </w:r>
      <w:r w:rsidRPr="00BE0280">
        <w:tab/>
        <w:t>R.Kozlovskis</w:t>
      </w:r>
      <w:r w:rsidRPr="00BE0280">
        <w:tab/>
      </w:r>
      <w:r w:rsidRPr="00BE0280">
        <w:tab/>
      </w:r>
      <w:r w:rsidRPr="00BE0280">
        <w:tab/>
      </w:r>
      <w:r w:rsidRPr="00BE0280">
        <w:tab/>
      </w:r>
    </w:p>
    <w:p w:rsidR="00C45AF7" w:rsidRDefault="00C45AF7" w:rsidP="00C45AF7"/>
    <w:p w:rsidR="00C45AF7" w:rsidRDefault="00C45AF7" w:rsidP="00C45AF7"/>
    <w:p w:rsidR="00C45AF7" w:rsidRPr="00BE0280" w:rsidRDefault="00C45AF7" w:rsidP="00C45AF7"/>
    <w:p w:rsidR="00C45AF7" w:rsidRPr="00BE0280" w:rsidRDefault="00C45AF7" w:rsidP="00C45AF7">
      <w:r w:rsidRPr="00BE0280">
        <w:t>Vīza: Valsts sekretāre</w:t>
      </w:r>
      <w:r w:rsidRPr="00BE0280">
        <w:tab/>
      </w:r>
      <w:r w:rsidRPr="00BE0280">
        <w:tab/>
      </w:r>
      <w:r w:rsidRPr="00BE0280">
        <w:tab/>
      </w:r>
      <w:r w:rsidRPr="00BE0280">
        <w:tab/>
      </w:r>
      <w:r w:rsidRPr="00BE0280">
        <w:tab/>
      </w:r>
      <w:r w:rsidRPr="00BE0280">
        <w:tab/>
        <w:t>I. Pētersone-Godmane</w:t>
      </w:r>
    </w:p>
    <w:p w:rsidR="00C45AF7" w:rsidRPr="00BE0280" w:rsidRDefault="00C45AF7" w:rsidP="00C45AF7"/>
    <w:p w:rsidR="00C45AF7" w:rsidRDefault="00C45AF7" w:rsidP="00C45AF7"/>
    <w:p w:rsidR="00C45AF7" w:rsidRDefault="00C45AF7" w:rsidP="00C45AF7"/>
    <w:p w:rsidR="00C45AF7" w:rsidRDefault="00C45AF7" w:rsidP="00C45AF7"/>
    <w:p w:rsidR="00C45AF7" w:rsidRDefault="00C45AF7" w:rsidP="00C45AF7"/>
    <w:p w:rsidR="00C45AF7" w:rsidRDefault="00C45AF7" w:rsidP="00C45AF7"/>
    <w:p w:rsidR="00C45AF7" w:rsidRPr="00BE0280" w:rsidRDefault="00C45AF7" w:rsidP="00C45AF7"/>
    <w:p w:rsidR="00C45AF7" w:rsidRPr="009A517D" w:rsidRDefault="00EE13FF" w:rsidP="00C45AF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E203F3">
        <w:rPr>
          <w:sz w:val="20"/>
          <w:szCs w:val="20"/>
        </w:rPr>
        <w:t>9</w:t>
      </w:r>
      <w:r>
        <w:rPr>
          <w:sz w:val="20"/>
          <w:szCs w:val="20"/>
        </w:rPr>
        <w:t>.06.2013.</w:t>
      </w:r>
      <w:r w:rsidR="002B6110">
        <w:rPr>
          <w:sz w:val="20"/>
          <w:szCs w:val="20"/>
        </w:rPr>
        <w:t xml:space="preserve"> </w:t>
      </w:r>
      <w:r w:rsidR="00D33C93">
        <w:rPr>
          <w:sz w:val="20"/>
          <w:szCs w:val="20"/>
        </w:rPr>
        <w:t>13:</w:t>
      </w:r>
      <w:r w:rsidR="00AE078B">
        <w:rPr>
          <w:sz w:val="20"/>
          <w:szCs w:val="20"/>
        </w:rPr>
        <w:t>2</w:t>
      </w:r>
      <w:r w:rsidR="00755631">
        <w:rPr>
          <w:sz w:val="20"/>
          <w:szCs w:val="20"/>
        </w:rPr>
        <w:t>8</w:t>
      </w:r>
    </w:p>
    <w:p w:rsidR="00C45AF7" w:rsidRPr="009A517D" w:rsidRDefault="00E203F3" w:rsidP="00C45AF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D33C93">
        <w:rPr>
          <w:sz w:val="20"/>
          <w:szCs w:val="20"/>
        </w:rPr>
        <w:t>3</w:t>
      </w:r>
      <w:r w:rsidR="00AE078B">
        <w:rPr>
          <w:sz w:val="20"/>
          <w:szCs w:val="20"/>
        </w:rPr>
        <w:t>7</w:t>
      </w:r>
    </w:p>
    <w:p w:rsidR="00C45AF7" w:rsidRPr="009A517D" w:rsidRDefault="00C45AF7" w:rsidP="00C45AF7">
      <w:pPr>
        <w:rPr>
          <w:sz w:val="20"/>
          <w:szCs w:val="20"/>
        </w:rPr>
      </w:pPr>
      <w:r w:rsidRPr="009A517D">
        <w:rPr>
          <w:sz w:val="20"/>
          <w:szCs w:val="20"/>
        </w:rPr>
        <w:t>Stone, 67219425</w:t>
      </w:r>
    </w:p>
    <w:p w:rsidR="00C45AF7" w:rsidRPr="009A517D" w:rsidRDefault="00E22C9E" w:rsidP="00C45AF7">
      <w:pPr>
        <w:rPr>
          <w:sz w:val="20"/>
          <w:szCs w:val="20"/>
        </w:rPr>
      </w:pPr>
      <w:hyperlink r:id="rId8" w:history="1">
        <w:r w:rsidR="00C45AF7" w:rsidRPr="009A517D">
          <w:rPr>
            <w:rStyle w:val="Hyperlink"/>
            <w:sz w:val="20"/>
            <w:szCs w:val="20"/>
          </w:rPr>
          <w:t>kristine.stone@pmlp.gov.lv</w:t>
        </w:r>
      </w:hyperlink>
    </w:p>
    <w:p w:rsidR="00D65526" w:rsidRDefault="00D65526"/>
    <w:sectPr w:rsidR="00D65526" w:rsidSect="002F597F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C9E" w:rsidRDefault="00E22C9E" w:rsidP="00C45AF7">
      <w:r>
        <w:separator/>
      </w:r>
    </w:p>
  </w:endnote>
  <w:endnote w:type="continuationSeparator" w:id="0">
    <w:p w:rsidR="00E22C9E" w:rsidRDefault="00E22C9E" w:rsidP="00C4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FC" w:rsidRDefault="00AE078B" w:rsidP="00AE078B">
    <w:pPr>
      <w:pStyle w:val="Footer"/>
      <w:jc w:val="both"/>
    </w:pPr>
    <w:r>
      <w:rPr>
        <w:sz w:val="20"/>
        <w:szCs w:val="20"/>
      </w:rPr>
      <w:t>IEMAnot_190613_apjoms</w:t>
    </w:r>
    <w:r w:rsidRPr="00D06967">
      <w:rPr>
        <w:sz w:val="20"/>
        <w:szCs w:val="20"/>
      </w:rPr>
      <w:t xml:space="preserve">; </w:t>
    </w:r>
    <w:r w:rsidRPr="000D7096">
      <w:rPr>
        <w:sz w:val="20"/>
        <w:szCs w:val="20"/>
      </w:rPr>
      <w:t xml:space="preserve">Ministru kabineta </w:t>
    </w:r>
    <w:r>
      <w:rPr>
        <w:sz w:val="20"/>
        <w:szCs w:val="20"/>
      </w:rPr>
      <w:t>noteikumu</w:t>
    </w:r>
    <w:r w:rsidRPr="000D7096">
      <w:rPr>
        <w:sz w:val="20"/>
        <w:szCs w:val="20"/>
      </w:rPr>
      <w:t xml:space="preserve"> projekt</w:t>
    </w:r>
    <w:r>
      <w:rPr>
        <w:sz w:val="20"/>
        <w:szCs w:val="20"/>
      </w:rPr>
      <w:t>a</w:t>
    </w:r>
    <w:r w:rsidRPr="000D7096">
      <w:rPr>
        <w:sz w:val="20"/>
        <w:szCs w:val="20"/>
      </w:rPr>
      <w:t xml:space="preserve"> „</w:t>
    </w:r>
    <w:r>
      <w:rPr>
        <w:sz w:val="20"/>
        <w:szCs w:val="20"/>
      </w:rPr>
      <w:t xml:space="preserve">Noteikumi par </w:t>
    </w:r>
    <w:r>
      <w:rPr>
        <w:bCs/>
        <w:sz w:val="20"/>
        <w:szCs w:val="20"/>
      </w:rPr>
      <w:t>Iedzīvotāju reģistrā iekļaujamo ziņu apjomu”</w:t>
    </w:r>
    <w:r w:rsidRPr="00D06967">
      <w:rPr>
        <w:sz w:val="20"/>
        <w:szCs w:val="20"/>
      </w:rPr>
      <w:t xml:space="preserve"> </w:t>
    </w:r>
    <w:r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>
        <w:rPr>
          <w:sz w:val="20"/>
          <w:szCs w:val="20"/>
        </w:rPr>
        <w:t>ziņojums</w:t>
      </w:r>
    </w:smartTag>
    <w:r>
      <w:rPr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FC" w:rsidRPr="00B46E04" w:rsidRDefault="00C95BFC" w:rsidP="00AE078B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IEMAnot_1</w:t>
    </w:r>
    <w:r w:rsidR="00E203F3">
      <w:rPr>
        <w:sz w:val="20"/>
        <w:szCs w:val="20"/>
      </w:rPr>
      <w:t>9</w:t>
    </w:r>
    <w:r>
      <w:rPr>
        <w:sz w:val="20"/>
        <w:szCs w:val="20"/>
      </w:rPr>
      <w:t>0613_apjoms</w:t>
    </w:r>
    <w:r w:rsidRPr="00D06967">
      <w:rPr>
        <w:sz w:val="20"/>
        <w:szCs w:val="20"/>
      </w:rPr>
      <w:t xml:space="preserve">; </w:t>
    </w:r>
    <w:r w:rsidRPr="000D7096">
      <w:rPr>
        <w:sz w:val="20"/>
        <w:szCs w:val="20"/>
      </w:rPr>
      <w:t xml:space="preserve">Ministru kabineta </w:t>
    </w:r>
    <w:r>
      <w:rPr>
        <w:sz w:val="20"/>
        <w:szCs w:val="20"/>
      </w:rPr>
      <w:t>noteikumu</w:t>
    </w:r>
    <w:r w:rsidRPr="000D7096">
      <w:rPr>
        <w:sz w:val="20"/>
        <w:szCs w:val="20"/>
      </w:rPr>
      <w:t xml:space="preserve"> projekt</w:t>
    </w:r>
    <w:r w:rsidR="00AE078B">
      <w:rPr>
        <w:sz w:val="20"/>
        <w:szCs w:val="20"/>
      </w:rPr>
      <w:t>a</w:t>
    </w:r>
    <w:r w:rsidRPr="000D7096">
      <w:rPr>
        <w:sz w:val="20"/>
        <w:szCs w:val="20"/>
      </w:rPr>
      <w:t xml:space="preserve"> „</w:t>
    </w:r>
    <w:r w:rsidR="00AE078B">
      <w:rPr>
        <w:sz w:val="20"/>
        <w:szCs w:val="20"/>
      </w:rPr>
      <w:t xml:space="preserve">Noteikumi par </w:t>
    </w:r>
    <w:r>
      <w:rPr>
        <w:bCs/>
        <w:sz w:val="20"/>
        <w:szCs w:val="20"/>
      </w:rPr>
      <w:t>Iedzīvotāju reģistrā iekļaujamo ziņu apjom</w:t>
    </w:r>
    <w:r w:rsidR="00AE078B">
      <w:rPr>
        <w:bCs/>
        <w:sz w:val="20"/>
        <w:szCs w:val="20"/>
      </w:rPr>
      <w:t>u</w:t>
    </w:r>
    <w:r>
      <w:rPr>
        <w:bCs/>
        <w:sz w:val="20"/>
        <w:szCs w:val="20"/>
      </w:rPr>
      <w:t>”</w:t>
    </w:r>
    <w:r w:rsidRPr="00D06967">
      <w:rPr>
        <w:sz w:val="20"/>
        <w:szCs w:val="20"/>
      </w:rPr>
      <w:t xml:space="preserve"> </w:t>
    </w:r>
    <w:r>
      <w:rPr>
        <w:sz w:val="20"/>
        <w:szCs w:val="20"/>
      </w:rPr>
      <w:t xml:space="preserve">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>
        <w:rPr>
          <w:sz w:val="20"/>
          <w:szCs w:val="20"/>
        </w:rPr>
        <w:t>ziņojums</w:t>
      </w:r>
    </w:smartTag>
    <w:r>
      <w:rPr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C9E" w:rsidRDefault="00E22C9E" w:rsidP="00C45AF7">
      <w:r>
        <w:separator/>
      </w:r>
    </w:p>
  </w:footnote>
  <w:footnote w:type="continuationSeparator" w:id="0">
    <w:p w:rsidR="00E22C9E" w:rsidRDefault="00E22C9E" w:rsidP="00C45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FC" w:rsidRDefault="00C95BFC" w:rsidP="00B54F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5BFC" w:rsidRDefault="00C95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FC" w:rsidRDefault="00C95BFC" w:rsidP="00B54F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44F">
      <w:rPr>
        <w:rStyle w:val="PageNumber"/>
        <w:noProof/>
      </w:rPr>
      <w:t>2</w:t>
    </w:r>
    <w:r>
      <w:rPr>
        <w:rStyle w:val="PageNumber"/>
      </w:rPr>
      <w:fldChar w:fldCharType="end"/>
    </w:r>
  </w:p>
  <w:p w:rsidR="00C95BFC" w:rsidRDefault="00C95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AF7"/>
    <w:rsid w:val="000450D0"/>
    <w:rsid w:val="00045CAE"/>
    <w:rsid w:val="001263F1"/>
    <w:rsid w:val="00284898"/>
    <w:rsid w:val="002A339C"/>
    <w:rsid w:val="002B6110"/>
    <w:rsid w:val="002F597F"/>
    <w:rsid w:val="003B1D7B"/>
    <w:rsid w:val="004A762F"/>
    <w:rsid w:val="005510E2"/>
    <w:rsid w:val="00597E57"/>
    <w:rsid w:val="005E444F"/>
    <w:rsid w:val="00614284"/>
    <w:rsid w:val="006A0EC4"/>
    <w:rsid w:val="00755631"/>
    <w:rsid w:val="00932177"/>
    <w:rsid w:val="009A1C2D"/>
    <w:rsid w:val="009C1207"/>
    <w:rsid w:val="00A92525"/>
    <w:rsid w:val="00AC2025"/>
    <w:rsid w:val="00AE078B"/>
    <w:rsid w:val="00B54FD6"/>
    <w:rsid w:val="00C45AF7"/>
    <w:rsid w:val="00C95BFC"/>
    <w:rsid w:val="00D33C93"/>
    <w:rsid w:val="00D65526"/>
    <w:rsid w:val="00D660F2"/>
    <w:rsid w:val="00DA068C"/>
    <w:rsid w:val="00DD5CFA"/>
    <w:rsid w:val="00E203F3"/>
    <w:rsid w:val="00E22C9E"/>
    <w:rsid w:val="00E9319D"/>
    <w:rsid w:val="00EE13FF"/>
    <w:rsid w:val="00F6578A"/>
    <w:rsid w:val="00FB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A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5AF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C45AF7"/>
  </w:style>
  <w:style w:type="paragraph" w:customStyle="1" w:styleId="naisf">
    <w:name w:val="naisf"/>
    <w:basedOn w:val="Normal"/>
    <w:rsid w:val="00C45AF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C45AF7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C45AF7"/>
    <w:pPr>
      <w:spacing w:before="75" w:after="75"/>
      <w:jc w:val="right"/>
    </w:pPr>
  </w:style>
  <w:style w:type="paragraph" w:customStyle="1" w:styleId="naiskr">
    <w:name w:val="naiskr"/>
    <w:basedOn w:val="Normal"/>
    <w:rsid w:val="00C45AF7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C45A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5AF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rsid w:val="00C45A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45AF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C45AF7"/>
    <w:rPr>
      <w:color w:val="0000FF"/>
      <w:u w:val="single"/>
    </w:rPr>
  </w:style>
  <w:style w:type="paragraph" w:customStyle="1" w:styleId="tv213tvp">
    <w:name w:val="tv213 tvp"/>
    <w:basedOn w:val="Normal"/>
    <w:rsid w:val="00F6578A"/>
    <w:pPr>
      <w:spacing w:before="100" w:beforeAutospacing="1" w:after="100" w:afterAutospacing="1"/>
    </w:pPr>
  </w:style>
  <w:style w:type="paragraph" w:customStyle="1" w:styleId="tv213limenis2">
    <w:name w:val="tv213 limenis2"/>
    <w:basedOn w:val="Normal"/>
    <w:rsid w:val="00F6578A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F6578A"/>
  </w:style>
  <w:style w:type="paragraph" w:styleId="HTMLPreformatted">
    <w:name w:val="HTML Preformatted"/>
    <w:basedOn w:val="Normal"/>
    <w:link w:val="HTMLPreformattedChar"/>
    <w:uiPriority w:val="99"/>
    <w:unhideWhenUsed/>
    <w:rsid w:val="00DA0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68C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93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stone@pmlp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tvija.l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437</Words>
  <Characters>3149</Characters>
  <Application>Microsoft Office Word</Application>
  <DocSecurity>0</DocSecurity>
  <Lines>141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pmlp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Biruta Pedane</cp:lastModifiedBy>
  <cp:revision>9</cp:revision>
  <cp:lastPrinted>2013-06-19T10:28:00Z</cp:lastPrinted>
  <dcterms:created xsi:type="dcterms:W3CDTF">2013-06-19T08:48:00Z</dcterms:created>
  <dcterms:modified xsi:type="dcterms:W3CDTF">2013-06-21T10:51:00Z</dcterms:modified>
</cp:coreProperties>
</file>