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3D" w:rsidRPr="00C36483" w:rsidRDefault="00CD0A3D" w:rsidP="00CD0A3D">
      <w:pPr>
        <w:ind w:firstLine="0"/>
        <w:jc w:val="center"/>
        <w:rPr>
          <w:sz w:val="28"/>
          <w:szCs w:val="28"/>
        </w:rPr>
      </w:pPr>
      <w:r w:rsidRPr="00C36483">
        <w:rPr>
          <w:b/>
          <w:sz w:val="28"/>
          <w:szCs w:val="28"/>
        </w:rPr>
        <w:t xml:space="preserve">Ministru kabineta </w:t>
      </w:r>
      <w:r w:rsidR="0002605C">
        <w:rPr>
          <w:b/>
          <w:sz w:val="28"/>
          <w:szCs w:val="28"/>
        </w:rPr>
        <w:t>rīkojuma</w:t>
      </w:r>
      <w:r w:rsidRPr="00C36483">
        <w:rPr>
          <w:b/>
          <w:sz w:val="28"/>
          <w:szCs w:val="28"/>
        </w:rPr>
        <w:t xml:space="preserve"> projekta „</w:t>
      </w:r>
      <w:r w:rsidR="0002605C">
        <w:rPr>
          <w:b/>
          <w:sz w:val="28"/>
        </w:rPr>
        <w:t xml:space="preserve">Par </w:t>
      </w:r>
      <w:r w:rsidR="00FA047A">
        <w:rPr>
          <w:b/>
          <w:sz w:val="28"/>
        </w:rPr>
        <w:t>f</w:t>
      </w:r>
      <w:r w:rsidR="006536AB">
        <w:rPr>
          <w:b/>
          <w:sz w:val="28"/>
        </w:rPr>
        <w:t xml:space="preserve">inanšu līdzekļu piešķiršanu no </w:t>
      </w:r>
      <w:r w:rsidR="0002605C">
        <w:rPr>
          <w:b/>
          <w:sz w:val="28"/>
        </w:rPr>
        <w:t>valsts budžeta programmas „Līdzekļi neparedzētiem gadījumiem”</w:t>
      </w:r>
      <w:r w:rsidR="00E90377" w:rsidRPr="00C36483">
        <w:rPr>
          <w:b/>
          <w:sz w:val="28"/>
          <w:szCs w:val="28"/>
        </w:rPr>
        <w:t>”</w:t>
      </w:r>
      <w:r w:rsidR="006536AB">
        <w:rPr>
          <w:b/>
          <w:sz w:val="28"/>
          <w:szCs w:val="28"/>
        </w:rPr>
        <w:t xml:space="preserve"> </w:t>
      </w:r>
      <w:r w:rsidRPr="00C36483">
        <w:rPr>
          <w:b/>
          <w:sz w:val="28"/>
          <w:szCs w:val="28"/>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CD0A3D" w:rsidRPr="00C36483" w:rsidTr="00AD7D95">
        <w:tc>
          <w:tcPr>
            <w:tcW w:w="9725" w:type="dxa"/>
            <w:gridSpan w:val="3"/>
            <w:vAlign w:val="center"/>
          </w:tcPr>
          <w:p w:rsidR="00CD0A3D" w:rsidRPr="00C36483" w:rsidRDefault="00CD0A3D" w:rsidP="00AD7D95">
            <w:pPr>
              <w:pStyle w:val="naisnod"/>
              <w:spacing w:before="0" w:after="0"/>
              <w:rPr>
                <w:sz w:val="28"/>
                <w:szCs w:val="28"/>
              </w:rPr>
            </w:pPr>
            <w:r w:rsidRPr="00C36483">
              <w:rPr>
                <w:sz w:val="28"/>
                <w:szCs w:val="28"/>
              </w:rPr>
              <w:t>I. Tiesību akta projekta izstrādes nepieciešamība</w:t>
            </w:r>
          </w:p>
        </w:tc>
      </w:tr>
      <w:tr w:rsidR="00CD0A3D" w:rsidRPr="00C36483" w:rsidTr="00344087">
        <w:trPr>
          <w:trHeight w:val="630"/>
        </w:trPr>
        <w:tc>
          <w:tcPr>
            <w:tcW w:w="550" w:type="dxa"/>
          </w:tcPr>
          <w:p w:rsidR="00CD0A3D" w:rsidRPr="00C36483" w:rsidRDefault="00CD0A3D" w:rsidP="00AD7D95">
            <w:pPr>
              <w:pStyle w:val="naiskr"/>
              <w:spacing w:before="0" w:after="0"/>
              <w:rPr>
                <w:sz w:val="28"/>
                <w:szCs w:val="28"/>
              </w:rPr>
            </w:pPr>
            <w:r w:rsidRPr="00C36483">
              <w:rPr>
                <w:sz w:val="28"/>
                <w:szCs w:val="28"/>
              </w:rPr>
              <w:t>1.</w:t>
            </w:r>
          </w:p>
        </w:tc>
        <w:tc>
          <w:tcPr>
            <w:tcW w:w="2149" w:type="dxa"/>
          </w:tcPr>
          <w:p w:rsidR="00CD0A3D" w:rsidRPr="00C36483" w:rsidRDefault="00CD0A3D" w:rsidP="00AD7D95">
            <w:pPr>
              <w:pStyle w:val="naiskr"/>
              <w:spacing w:before="0" w:after="0"/>
              <w:ind w:hanging="10"/>
              <w:rPr>
                <w:sz w:val="28"/>
                <w:szCs w:val="28"/>
              </w:rPr>
            </w:pPr>
            <w:r w:rsidRPr="00C36483">
              <w:rPr>
                <w:sz w:val="28"/>
                <w:szCs w:val="28"/>
              </w:rPr>
              <w:t>Pamatojums</w:t>
            </w:r>
          </w:p>
        </w:tc>
        <w:tc>
          <w:tcPr>
            <w:tcW w:w="7026" w:type="dxa"/>
          </w:tcPr>
          <w:p w:rsidR="00CD0A3D" w:rsidRDefault="006536AB" w:rsidP="00AB23E4">
            <w:pPr>
              <w:pStyle w:val="naiskr"/>
              <w:spacing w:before="0" w:after="0"/>
              <w:ind w:firstLine="385"/>
              <w:jc w:val="both"/>
              <w:rPr>
                <w:sz w:val="28"/>
              </w:rPr>
            </w:pPr>
            <w:r>
              <w:rPr>
                <w:sz w:val="28"/>
                <w:szCs w:val="28"/>
              </w:rPr>
              <w:t>1)</w:t>
            </w:r>
            <w:r w:rsidR="00AB23E4">
              <w:rPr>
                <w:sz w:val="28"/>
                <w:szCs w:val="28"/>
              </w:rPr>
              <w:t xml:space="preserve"> </w:t>
            </w:r>
            <w:r w:rsidR="0002605C">
              <w:rPr>
                <w:sz w:val="28"/>
                <w:szCs w:val="28"/>
              </w:rPr>
              <w:t xml:space="preserve">Rēzeknes tiesas 2010.gada </w:t>
            </w:r>
            <w:r w:rsidR="0002605C">
              <w:rPr>
                <w:sz w:val="28"/>
              </w:rPr>
              <w:t xml:space="preserve">15.novembra spriedums lietā Nr.11840004607, Latgales apgabaltiesas Krimināllietu tiesas kolēģijas 2011.gada 28.septembra spriedums lietā Nr.11840004607, </w:t>
            </w:r>
            <w:r w:rsidR="00AB23E4">
              <w:rPr>
                <w:sz w:val="28"/>
              </w:rPr>
              <w:t xml:space="preserve">Latvijas Republikas </w:t>
            </w:r>
            <w:r w:rsidR="0002605C">
              <w:rPr>
                <w:sz w:val="28"/>
              </w:rPr>
              <w:t xml:space="preserve">Augstākās tiesas </w:t>
            </w:r>
            <w:r w:rsidR="00AB23E4">
              <w:rPr>
                <w:sz w:val="28"/>
              </w:rPr>
              <w:t>Senāta Krimināllietu departamenta senatores 2012.gada 31.janvāra lēmums lietā Nr.11840004607;</w:t>
            </w:r>
          </w:p>
          <w:p w:rsidR="00AB23E4" w:rsidRDefault="006536AB" w:rsidP="00AB23E4">
            <w:pPr>
              <w:pStyle w:val="naiskr"/>
              <w:spacing w:before="0" w:after="0"/>
              <w:ind w:firstLine="385"/>
              <w:jc w:val="both"/>
              <w:rPr>
                <w:sz w:val="28"/>
              </w:rPr>
            </w:pPr>
            <w:r>
              <w:rPr>
                <w:sz w:val="28"/>
              </w:rPr>
              <w:t>2)</w:t>
            </w:r>
            <w:r w:rsidR="00AB23E4">
              <w:rPr>
                <w:sz w:val="28"/>
              </w:rPr>
              <w:t xml:space="preserve"> Ministru kabineta 2011.gada 27.decembra noteikumu Nr.1025 „</w:t>
            </w:r>
            <w:r w:rsidR="00AB23E4">
              <w:t xml:space="preserve"> </w:t>
            </w:r>
            <w:r w:rsidR="00AB23E4" w:rsidRPr="00AB23E4">
              <w:rPr>
                <w:sz w:val="28"/>
              </w:rPr>
              <w:t>Noteikumi par rīcību ar lietiskajiem pierādījumiem un arestēto mantu</w:t>
            </w:r>
            <w:r w:rsidR="00AB23E4">
              <w:rPr>
                <w:sz w:val="28"/>
              </w:rPr>
              <w:t>”</w:t>
            </w:r>
            <w:r w:rsidR="00333ED0">
              <w:rPr>
                <w:sz w:val="28"/>
              </w:rPr>
              <w:t xml:space="preserve"> (turpmāk – noteikumi Nr.1025)</w:t>
            </w:r>
            <w:r w:rsidR="00AB23E4">
              <w:rPr>
                <w:sz w:val="28"/>
              </w:rPr>
              <w:t xml:space="preserve"> 37. un 39.punkts;</w:t>
            </w:r>
          </w:p>
          <w:p w:rsidR="00AB23E4" w:rsidRPr="00C36483" w:rsidRDefault="006536AB" w:rsidP="00C26C17">
            <w:pPr>
              <w:pStyle w:val="naiskr"/>
              <w:spacing w:before="0" w:after="0"/>
              <w:ind w:firstLine="385"/>
              <w:jc w:val="both"/>
              <w:rPr>
                <w:sz w:val="28"/>
                <w:szCs w:val="28"/>
              </w:rPr>
            </w:pPr>
            <w:r>
              <w:rPr>
                <w:sz w:val="28"/>
                <w:szCs w:val="28"/>
              </w:rPr>
              <w:t>3)</w:t>
            </w:r>
            <w:r w:rsidR="00C26C17">
              <w:rPr>
                <w:sz w:val="28"/>
                <w:szCs w:val="28"/>
              </w:rPr>
              <w:t xml:space="preserve"> </w:t>
            </w:r>
            <w:r w:rsidR="00C26C17" w:rsidRPr="00C26C17">
              <w:rPr>
                <w:sz w:val="28"/>
                <w:szCs w:val="28"/>
              </w:rPr>
              <w:t xml:space="preserve">Ministru kabineta 2009.gada 22.decembra noteikumu Nr.1644 „Kārtība, kādā pieprasa un izlieto budžeta programmas </w:t>
            </w:r>
            <w:r w:rsidR="00C26C17">
              <w:rPr>
                <w:sz w:val="28"/>
                <w:szCs w:val="28"/>
              </w:rPr>
              <w:t>„</w:t>
            </w:r>
            <w:r w:rsidR="00C26C17" w:rsidRPr="00C26C17">
              <w:rPr>
                <w:sz w:val="28"/>
                <w:szCs w:val="28"/>
              </w:rPr>
              <w:t>Līdzekļi neparedzētiem gadījumiem</w:t>
            </w:r>
            <w:r w:rsidR="00C26C17">
              <w:rPr>
                <w:sz w:val="28"/>
                <w:szCs w:val="28"/>
              </w:rPr>
              <w:t>”</w:t>
            </w:r>
            <w:r w:rsidR="00C26C17" w:rsidRPr="00C26C17">
              <w:rPr>
                <w:sz w:val="28"/>
                <w:szCs w:val="28"/>
              </w:rPr>
              <w:t xml:space="preserve"> līdzekļus” 3.</w:t>
            </w:r>
            <w:r w:rsidR="00C26C17">
              <w:rPr>
                <w:sz w:val="28"/>
                <w:szCs w:val="28"/>
              </w:rPr>
              <w:t xml:space="preserve"> un 5.</w:t>
            </w:r>
            <w:r w:rsidR="00C26C17" w:rsidRPr="00C26C17">
              <w:rPr>
                <w:sz w:val="28"/>
                <w:szCs w:val="28"/>
              </w:rPr>
              <w:t>punkt</w:t>
            </w:r>
            <w:r w:rsidR="00C26C17">
              <w:rPr>
                <w:sz w:val="28"/>
                <w:szCs w:val="28"/>
              </w:rPr>
              <w:t>s.</w:t>
            </w:r>
          </w:p>
        </w:tc>
      </w:tr>
      <w:tr w:rsidR="00CD0A3D" w:rsidRPr="00C36483" w:rsidTr="00344087">
        <w:trPr>
          <w:trHeight w:val="472"/>
        </w:trPr>
        <w:tc>
          <w:tcPr>
            <w:tcW w:w="550" w:type="dxa"/>
          </w:tcPr>
          <w:p w:rsidR="00CD0A3D" w:rsidRPr="00C36483" w:rsidRDefault="00CD0A3D" w:rsidP="00AD7D95">
            <w:pPr>
              <w:pStyle w:val="naiskr"/>
              <w:spacing w:before="0" w:after="0"/>
              <w:rPr>
                <w:sz w:val="28"/>
                <w:szCs w:val="28"/>
              </w:rPr>
            </w:pPr>
            <w:r w:rsidRPr="00C36483">
              <w:rPr>
                <w:sz w:val="28"/>
                <w:szCs w:val="28"/>
              </w:rPr>
              <w:t>2.</w:t>
            </w:r>
          </w:p>
        </w:tc>
        <w:tc>
          <w:tcPr>
            <w:tcW w:w="2149" w:type="dxa"/>
          </w:tcPr>
          <w:p w:rsidR="00CD0A3D" w:rsidRPr="00C36483" w:rsidRDefault="00CD0A3D" w:rsidP="00AD7D95">
            <w:pPr>
              <w:pStyle w:val="naiskr"/>
              <w:tabs>
                <w:tab w:val="left" w:pos="170"/>
              </w:tabs>
              <w:spacing w:before="0" w:after="0"/>
              <w:rPr>
                <w:sz w:val="28"/>
                <w:szCs w:val="28"/>
              </w:rPr>
            </w:pPr>
            <w:r w:rsidRPr="00C36483">
              <w:rPr>
                <w:sz w:val="28"/>
                <w:szCs w:val="28"/>
              </w:rPr>
              <w:t>Pašreizējā situācija un problēmas</w:t>
            </w:r>
          </w:p>
        </w:tc>
        <w:tc>
          <w:tcPr>
            <w:tcW w:w="7026" w:type="dxa"/>
          </w:tcPr>
          <w:p w:rsidR="00BF7CC8" w:rsidRDefault="00BF7CC8" w:rsidP="0026011F">
            <w:pPr>
              <w:pStyle w:val="naiskr"/>
              <w:spacing w:before="0" w:after="0"/>
              <w:ind w:firstLine="385"/>
              <w:jc w:val="both"/>
              <w:rPr>
                <w:sz w:val="28"/>
              </w:rPr>
            </w:pPr>
            <w:r>
              <w:rPr>
                <w:sz w:val="28"/>
              </w:rPr>
              <w:t>2008.gadā a/s „BDO Invest Rīga” organizēja izsoli ar augšupejošu soli valsts aģentūras „Materiālās rezerves” glabāšanā esošajiem kriminālprocesā Nr.11840004607 izņemtajiem lietiskajiem pierādījumiem. Izsole 2008.gada 11.augustā atzīta par nenotikušu, jo neviens dalībnieks izsolei nebija reģistrējies.</w:t>
            </w:r>
          </w:p>
          <w:p w:rsidR="00B6006A" w:rsidRPr="00BE0AFD" w:rsidRDefault="00BF7CC8" w:rsidP="0026011F">
            <w:pPr>
              <w:pStyle w:val="naiskr"/>
              <w:spacing w:before="0" w:after="0"/>
              <w:ind w:firstLine="385"/>
              <w:jc w:val="both"/>
              <w:rPr>
                <w:sz w:val="28"/>
              </w:rPr>
            </w:pPr>
            <w:r>
              <w:rPr>
                <w:sz w:val="28"/>
              </w:rPr>
              <w:t>2008.gada 22.oktobrī a/s „BDO Invest Rīga” rīkoja atk</w:t>
            </w:r>
            <w:r w:rsidR="00172EA6">
              <w:rPr>
                <w:sz w:val="28"/>
              </w:rPr>
              <w:t xml:space="preserve">ārtotu izsoli minētajiem lietiskajiem pierādījumiem ar lejupejošu soli, </w:t>
            </w:r>
            <w:r w:rsidR="00B6006A">
              <w:rPr>
                <w:sz w:val="28"/>
                <w:szCs w:val="28"/>
              </w:rPr>
              <w:t xml:space="preserve"> </w:t>
            </w:r>
            <w:r w:rsidR="00B6006A" w:rsidRPr="00BE0AFD">
              <w:rPr>
                <w:sz w:val="28"/>
                <w:szCs w:val="28"/>
              </w:rPr>
              <w:t xml:space="preserve">kuras rezultātā </w:t>
            </w:r>
            <w:r w:rsidR="00F71A05" w:rsidRPr="00BE0AFD">
              <w:rPr>
                <w:sz w:val="28"/>
                <w:szCs w:val="28"/>
              </w:rPr>
              <w:t xml:space="preserve"> komersanti</w:t>
            </w:r>
            <w:r w:rsidR="00A6467C" w:rsidRPr="00BE0AFD">
              <w:rPr>
                <w:sz w:val="28"/>
                <w:szCs w:val="28"/>
              </w:rPr>
              <w:t>, kuri</w:t>
            </w:r>
            <w:r w:rsidR="00A367DA" w:rsidRPr="00BE0AFD">
              <w:rPr>
                <w:sz w:val="28"/>
                <w:szCs w:val="28"/>
              </w:rPr>
              <w:t xml:space="preserve"> pieteicās un nosolīja</w:t>
            </w:r>
            <w:r w:rsidR="00F71A05" w:rsidRPr="00BE0AFD">
              <w:rPr>
                <w:sz w:val="28"/>
                <w:szCs w:val="28"/>
              </w:rPr>
              <w:t xml:space="preserve"> </w:t>
            </w:r>
            <w:r w:rsidR="00A367DA" w:rsidRPr="00BE0AFD">
              <w:rPr>
                <w:sz w:val="28"/>
                <w:szCs w:val="28"/>
              </w:rPr>
              <w:t>lietiskos pierādījumus,</w:t>
            </w:r>
            <w:r w:rsidR="00B6006A" w:rsidRPr="00BE0AFD">
              <w:rPr>
                <w:sz w:val="28"/>
                <w:szCs w:val="28"/>
              </w:rPr>
              <w:t xml:space="preserve"> atteicās segt  lietiskajiem pierādījumiem (akcīzes precēm) piemērojamos nodokļus, sakarā ar ko  minētā izsole tika atzīta par izbeigtu bez rezultātiem.</w:t>
            </w:r>
          </w:p>
          <w:p w:rsidR="0026011F" w:rsidRDefault="00B6006A" w:rsidP="0026011F">
            <w:pPr>
              <w:pStyle w:val="naiskr"/>
              <w:spacing w:before="0" w:after="0"/>
              <w:ind w:firstLine="385"/>
              <w:jc w:val="both"/>
              <w:rPr>
                <w:sz w:val="28"/>
              </w:rPr>
            </w:pPr>
            <w:r>
              <w:rPr>
                <w:sz w:val="28"/>
                <w:szCs w:val="28"/>
              </w:rPr>
              <w:t>2009.gada 23.janvārī un 2009.gada 6.maijā</w:t>
            </w:r>
            <w:r w:rsidR="00BE0AFD">
              <w:rPr>
                <w:sz w:val="28"/>
                <w:szCs w:val="28"/>
              </w:rPr>
              <w:t xml:space="preserve"> </w:t>
            </w:r>
            <w:r w:rsidR="00BE0AFD">
              <w:rPr>
                <w:sz w:val="28"/>
              </w:rPr>
              <w:t xml:space="preserve"> a/s </w:t>
            </w:r>
            <w:r>
              <w:rPr>
                <w:sz w:val="28"/>
                <w:szCs w:val="28"/>
              </w:rPr>
              <w:t xml:space="preserve"> </w:t>
            </w:r>
            <w:r>
              <w:rPr>
                <w:sz w:val="28"/>
              </w:rPr>
              <w:t xml:space="preserve">„BDO Invest Rīga” </w:t>
            </w:r>
            <w:r>
              <w:rPr>
                <w:sz w:val="28"/>
                <w:szCs w:val="28"/>
              </w:rPr>
              <w:t xml:space="preserve"> atkārtoti rīkoja izsoles</w:t>
            </w:r>
            <w:r w:rsidR="00BE0AFD">
              <w:rPr>
                <w:sz w:val="28"/>
                <w:szCs w:val="28"/>
              </w:rPr>
              <w:t>,</w:t>
            </w:r>
            <w:r>
              <w:rPr>
                <w:sz w:val="28"/>
              </w:rPr>
              <w:t xml:space="preserve"> </w:t>
            </w:r>
            <w:r w:rsidR="00D91722">
              <w:rPr>
                <w:sz w:val="28"/>
              </w:rPr>
              <w:t>kuru</w:t>
            </w:r>
            <w:r w:rsidR="00172EA6">
              <w:rPr>
                <w:sz w:val="28"/>
              </w:rPr>
              <w:t xml:space="preserve"> rezultātā</w:t>
            </w:r>
            <w:r w:rsidR="0026011F">
              <w:rPr>
                <w:sz w:val="28"/>
              </w:rPr>
              <w:t xml:space="preserve"> </w:t>
            </w:r>
            <w:r w:rsidR="00DE678A">
              <w:rPr>
                <w:sz w:val="28"/>
              </w:rPr>
              <w:t xml:space="preserve">valsts </w:t>
            </w:r>
            <w:r w:rsidR="0026011F">
              <w:rPr>
                <w:sz w:val="28"/>
              </w:rPr>
              <w:t xml:space="preserve">aģentūra  </w:t>
            </w:r>
            <w:r w:rsidR="00DE678A">
              <w:rPr>
                <w:sz w:val="28"/>
              </w:rPr>
              <w:t xml:space="preserve">„Materiālās rezerves” </w:t>
            </w:r>
            <w:r w:rsidR="00263B72">
              <w:rPr>
                <w:sz w:val="28"/>
              </w:rPr>
              <w:t xml:space="preserve">2009.gada 30.janvārī un 12.maijā </w:t>
            </w:r>
            <w:r w:rsidR="00172EA6">
              <w:rPr>
                <w:sz w:val="28"/>
              </w:rPr>
              <w:t xml:space="preserve">noslēdza divus līgumus ar komersantiem par </w:t>
            </w:r>
            <w:r w:rsidR="0026011F">
              <w:rPr>
                <w:sz w:val="28"/>
              </w:rPr>
              <w:t>kriminālprocesā Nr.11840004607 izņemto lietisko pierādījumu</w:t>
            </w:r>
            <w:r w:rsidR="00B83048">
              <w:rPr>
                <w:sz w:val="28"/>
              </w:rPr>
              <w:t xml:space="preserve"> – 1 11</w:t>
            </w:r>
            <w:r w:rsidR="00172EA6">
              <w:rPr>
                <w:sz w:val="28"/>
              </w:rPr>
              <w:t>9 916,12 kg (1 485 044,12 litri</w:t>
            </w:r>
            <w:r w:rsidR="00B83048">
              <w:rPr>
                <w:sz w:val="28"/>
              </w:rPr>
              <w:t>) nedenaturēta etilspirta (spirtu saturoš</w:t>
            </w:r>
            <w:r w:rsidR="00172EA6">
              <w:rPr>
                <w:sz w:val="28"/>
              </w:rPr>
              <w:t>a</w:t>
            </w:r>
            <w:r w:rsidR="00B83048">
              <w:rPr>
                <w:sz w:val="28"/>
              </w:rPr>
              <w:t xml:space="preserve"> nepārtikas denaturēt</w:t>
            </w:r>
            <w:r w:rsidR="00172EA6">
              <w:rPr>
                <w:sz w:val="28"/>
              </w:rPr>
              <w:t>a</w:t>
            </w:r>
            <w:r w:rsidR="00B83048">
              <w:rPr>
                <w:sz w:val="28"/>
              </w:rPr>
              <w:t xml:space="preserve"> produkcij</w:t>
            </w:r>
            <w:r w:rsidR="00172EA6">
              <w:rPr>
                <w:sz w:val="28"/>
              </w:rPr>
              <w:t>a</w:t>
            </w:r>
            <w:r w:rsidR="00B83048">
              <w:rPr>
                <w:sz w:val="28"/>
              </w:rPr>
              <w:t xml:space="preserve"> – daudzfunkcionāl</w:t>
            </w:r>
            <w:r w:rsidR="00172EA6">
              <w:rPr>
                <w:sz w:val="28"/>
              </w:rPr>
              <w:t>s</w:t>
            </w:r>
            <w:r w:rsidR="00B83048">
              <w:rPr>
                <w:sz w:val="28"/>
              </w:rPr>
              <w:t xml:space="preserve"> līdzek</w:t>
            </w:r>
            <w:r w:rsidR="00AD7D95">
              <w:rPr>
                <w:sz w:val="28"/>
              </w:rPr>
              <w:t>li</w:t>
            </w:r>
            <w:r w:rsidR="00172EA6">
              <w:rPr>
                <w:sz w:val="28"/>
              </w:rPr>
              <w:t>s</w:t>
            </w:r>
            <w:r w:rsidR="00B83048">
              <w:rPr>
                <w:sz w:val="28"/>
              </w:rPr>
              <w:t xml:space="preserve"> „Maksima” un automobiļu kopšanas līdzek</w:t>
            </w:r>
            <w:r w:rsidR="00AD7D95">
              <w:rPr>
                <w:sz w:val="28"/>
              </w:rPr>
              <w:t>li</w:t>
            </w:r>
            <w:r w:rsidR="00172EA6">
              <w:rPr>
                <w:sz w:val="28"/>
              </w:rPr>
              <w:t>s</w:t>
            </w:r>
            <w:r w:rsidR="00B83048">
              <w:rPr>
                <w:sz w:val="28"/>
              </w:rPr>
              <w:t xml:space="preserve"> „Ļdinka”)</w:t>
            </w:r>
            <w:r w:rsidR="0037470D">
              <w:rPr>
                <w:sz w:val="28"/>
              </w:rPr>
              <w:t xml:space="preserve"> (turpmāk – nedenaturēts etilspirts)</w:t>
            </w:r>
            <w:r w:rsidR="00172EA6">
              <w:rPr>
                <w:sz w:val="28"/>
              </w:rPr>
              <w:t xml:space="preserve"> realizāciju.</w:t>
            </w:r>
            <w:r w:rsidR="0026011F">
              <w:rPr>
                <w:sz w:val="28"/>
              </w:rPr>
              <w:t xml:space="preserve"> </w:t>
            </w:r>
            <w:r w:rsidR="00CE1EBA">
              <w:rPr>
                <w:sz w:val="28"/>
              </w:rPr>
              <w:t xml:space="preserve"> Valsts aģentūras  „Materiālās rezerves” </w:t>
            </w:r>
            <w:r w:rsidR="0026011F">
              <w:rPr>
                <w:sz w:val="28"/>
              </w:rPr>
              <w:t xml:space="preserve">deponēto līdzekļu kontā </w:t>
            </w:r>
            <w:r w:rsidR="0042516E">
              <w:rPr>
                <w:sz w:val="28"/>
              </w:rPr>
              <w:t xml:space="preserve">saskaņā ar izsoles rezultātiem </w:t>
            </w:r>
            <w:r w:rsidR="0026011F">
              <w:rPr>
                <w:sz w:val="28"/>
              </w:rPr>
              <w:t>tika ieskaitīti 86 93</w:t>
            </w:r>
            <w:r w:rsidR="00F22173">
              <w:rPr>
                <w:sz w:val="28"/>
              </w:rPr>
              <w:t>6</w:t>
            </w:r>
            <w:r w:rsidR="0026011F">
              <w:rPr>
                <w:sz w:val="28"/>
              </w:rPr>
              <w:t>,</w:t>
            </w:r>
            <w:r w:rsidR="00F22173">
              <w:rPr>
                <w:sz w:val="28"/>
              </w:rPr>
              <w:t>65</w:t>
            </w:r>
            <w:r w:rsidR="002825AE">
              <w:rPr>
                <w:sz w:val="28"/>
              </w:rPr>
              <w:t xml:space="preserve"> lati</w:t>
            </w:r>
            <w:r w:rsidR="0026011F">
              <w:rPr>
                <w:sz w:val="28"/>
              </w:rPr>
              <w:t>.</w:t>
            </w:r>
          </w:p>
          <w:p w:rsidR="00C26C17" w:rsidRPr="00C26C17" w:rsidRDefault="00C26C17" w:rsidP="00C26C17">
            <w:pPr>
              <w:pStyle w:val="naiskr"/>
              <w:spacing w:before="0" w:after="0"/>
              <w:ind w:firstLine="385"/>
              <w:jc w:val="both"/>
              <w:rPr>
                <w:sz w:val="28"/>
              </w:rPr>
            </w:pPr>
            <w:r w:rsidRPr="00C26C17">
              <w:rPr>
                <w:sz w:val="28"/>
              </w:rPr>
              <w:t>Rēzeknes tiesa 2010.gada 15.novembrī taisīja spriedumu</w:t>
            </w:r>
            <w:r>
              <w:rPr>
                <w:sz w:val="28"/>
              </w:rPr>
              <w:t xml:space="preserve"> </w:t>
            </w:r>
            <w:r>
              <w:rPr>
                <w:sz w:val="28"/>
              </w:rPr>
              <w:lastRenderedPageBreak/>
              <w:t>lietā Nr.11840004607</w:t>
            </w:r>
            <w:r w:rsidRPr="00C26C17">
              <w:rPr>
                <w:sz w:val="28"/>
              </w:rPr>
              <w:t>, ar kuru nosprieda atlīdzināt Itālijas komersantam „Nobitech S.R.L. Unipersonale” tai piederošā izņemtā un realizētā lietiskā pierādījuma – nedenaturēta etilspirta vērtību, kāda pastāv atlīdzināšanas brīdī.</w:t>
            </w:r>
          </w:p>
          <w:p w:rsidR="00C26C17" w:rsidRPr="00C26C17" w:rsidRDefault="00C26C17" w:rsidP="00C26C17">
            <w:pPr>
              <w:pStyle w:val="naiskr"/>
              <w:spacing w:before="0" w:after="0"/>
              <w:ind w:firstLine="385"/>
              <w:jc w:val="both"/>
              <w:rPr>
                <w:sz w:val="28"/>
              </w:rPr>
            </w:pPr>
            <w:r w:rsidRPr="00C26C17">
              <w:rPr>
                <w:sz w:val="28"/>
              </w:rPr>
              <w:t>Augstākās tiesas Senāta Krimināllietu departamenta senatore ar 2012.gada 31.janvāra lēmumu atteica pārbaudīt Latgales apgabaltiesas Krimināllietu tiesas kolēģijas 2011.gada 28.septembra spriedumu,</w:t>
            </w:r>
            <w:r w:rsidR="00EA2CC8">
              <w:rPr>
                <w:sz w:val="28"/>
              </w:rPr>
              <w:t xml:space="preserve"> ar kuru atstāts negrozīts Rēzeknes tiesas 2010.gada 15.novembra spriedums,</w:t>
            </w:r>
            <w:r w:rsidRPr="00C26C17">
              <w:rPr>
                <w:sz w:val="28"/>
              </w:rPr>
              <w:t xml:space="preserve"> līdz ar to saskaņā ar Kriminālprocesa likuma 632.panta otro daļu</w:t>
            </w:r>
            <w:r>
              <w:rPr>
                <w:sz w:val="28"/>
              </w:rPr>
              <w:t xml:space="preserve"> Rēzeknes tiesas 2010.gada 15.novembra spriedums</w:t>
            </w:r>
            <w:r w:rsidRPr="00C26C17">
              <w:rPr>
                <w:sz w:val="28"/>
              </w:rPr>
              <w:t xml:space="preserve"> stājās spēkā 2012.gada 31.janvārī</w:t>
            </w:r>
            <w:r>
              <w:rPr>
                <w:sz w:val="28"/>
              </w:rPr>
              <w:t>.</w:t>
            </w:r>
          </w:p>
          <w:p w:rsidR="00964CA6" w:rsidRDefault="00964CA6" w:rsidP="00C26C17">
            <w:pPr>
              <w:pStyle w:val="naiskr"/>
              <w:spacing w:before="0" w:after="0"/>
              <w:ind w:firstLine="385"/>
              <w:jc w:val="both"/>
              <w:rPr>
                <w:sz w:val="28"/>
              </w:rPr>
            </w:pPr>
            <w:r>
              <w:rPr>
                <w:sz w:val="28"/>
              </w:rPr>
              <w:t>Igaunijas k</w:t>
            </w:r>
            <w:r w:rsidR="006D0F82">
              <w:rPr>
                <w:sz w:val="28"/>
              </w:rPr>
              <w:t>omersanta</w:t>
            </w:r>
            <w:r>
              <w:rPr>
                <w:sz w:val="28"/>
              </w:rPr>
              <w:t xml:space="preserve"> OÜ „Bioetüül” </w:t>
            </w:r>
            <w:r w:rsidR="006D0F82">
              <w:rPr>
                <w:sz w:val="28"/>
              </w:rPr>
              <w:t>pārstāvis Jans Vahers (</w:t>
            </w:r>
            <w:r w:rsidR="006D0F82">
              <w:rPr>
                <w:i/>
                <w:sz w:val="28"/>
              </w:rPr>
              <w:t xml:space="preserve">Jaan </w:t>
            </w:r>
            <w:r w:rsidR="006D0F82" w:rsidRPr="006D0F82">
              <w:rPr>
                <w:i/>
                <w:sz w:val="28"/>
              </w:rPr>
              <w:t>Vaher</w:t>
            </w:r>
            <w:r w:rsidR="006D0F82">
              <w:rPr>
                <w:sz w:val="28"/>
              </w:rPr>
              <w:t xml:space="preserve">) </w:t>
            </w:r>
            <w:r w:rsidRPr="006D0F82">
              <w:rPr>
                <w:sz w:val="28"/>
              </w:rPr>
              <w:t>2012</w:t>
            </w:r>
            <w:r>
              <w:rPr>
                <w:sz w:val="28"/>
              </w:rPr>
              <w:t>.gada 22.martā vērsās</w:t>
            </w:r>
            <w:r w:rsidR="00CE1EBA">
              <w:rPr>
                <w:sz w:val="28"/>
              </w:rPr>
              <w:t xml:space="preserve"> Nodrošinājuma valsts</w:t>
            </w:r>
            <w:r>
              <w:rPr>
                <w:sz w:val="28"/>
              </w:rPr>
              <w:t xml:space="preserve"> aģentūrā </w:t>
            </w:r>
            <w:r w:rsidR="00CE1EBA">
              <w:rPr>
                <w:sz w:val="28"/>
              </w:rPr>
              <w:t xml:space="preserve">(turpmāk – aģentūra) </w:t>
            </w:r>
            <w:r>
              <w:rPr>
                <w:sz w:val="28"/>
              </w:rPr>
              <w:t xml:space="preserve">ar iesniegumu par lietisko pierādījumu vērtības atlīdzināšanu, kuram pievienots Itālijas komersanta </w:t>
            </w:r>
            <w:r w:rsidRPr="005C1BDA">
              <w:rPr>
                <w:sz w:val="28"/>
              </w:rPr>
              <w:t>„Nobitech S.R.L. Unipersonale”</w:t>
            </w:r>
            <w:r>
              <w:rPr>
                <w:sz w:val="28"/>
              </w:rPr>
              <w:t xml:space="preserve"> un Igaunijas komersanta OÜ „Bioetüül” 2011.gada 8.jūnija cesijas līgums, ar kuru </w:t>
            </w:r>
            <w:r w:rsidRPr="005C1BDA">
              <w:rPr>
                <w:sz w:val="28"/>
              </w:rPr>
              <w:t>cedents (Itālijas komersants</w:t>
            </w:r>
            <w:r>
              <w:rPr>
                <w:sz w:val="28"/>
              </w:rPr>
              <w:t xml:space="preserve"> </w:t>
            </w:r>
            <w:r w:rsidRPr="005C1BDA">
              <w:rPr>
                <w:sz w:val="28"/>
              </w:rPr>
              <w:t xml:space="preserve">„Nobitech S.R.L. Unipersonale”) ir </w:t>
            </w:r>
            <w:r w:rsidR="006536AB">
              <w:rPr>
                <w:sz w:val="28"/>
              </w:rPr>
              <w:t>pārdevis</w:t>
            </w:r>
            <w:r w:rsidRPr="005C1BDA">
              <w:rPr>
                <w:sz w:val="28"/>
              </w:rPr>
              <w:t xml:space="preserve"> tiesības un saistības, kas saistītas ar kriminālprocesu</w:t>
            </w:r>
            <w:r>
              <w:rPr>
                <w:sz w:val="28"/>
              </w:rPr>
              <w:t xml:space="preserve"> Nr.11840004607</w:t>
            </w:r>
            <w:r w:rsidRPr="005C1BDA">
              <w:rPr>
                <w:sz w:val="28"/>
              </w:rPr>
              <w:t>, cesionāram (Igaunijas komersantam</w:t>
            </w:r>
            <w:r>
              <w:rPr>
                <w:sz w:val="28"/>
              </w:rPr>
              <w:t xml:space="preserve"> OÜ „Bioetüül”</w:t>
            </w:r>
            <w:r w:rsidRPr="005C1BDA">
              <w:rPr>
                <w:sz w:val="28"/>
              </w:rPr>
              <w:t>)</w:t>
            </w:r>
            <w:r w:rsidR="006D0F82">
              <w:rPr>
                <w:sz w:val="28"/>
              </w:rPr>
              <w:t>.</w:t>
            </w:r>
          </w:p>
          <w:p w:rsidR="006D0F82" w:rsidRDefault="006D0F82" w:rsidP="006D0F82">
            <w:pPr>
              <w:pStyle w:val="naiskr"/>
              <w:spacing w:before="0" w:after="0"/>
              <w:ind w:firstLine="385"/>
              <w:jc w:val="both"/>
              <w:rPr>
                <w:sz w:val="28"/>
              </w:rPr>
            </w:pPr>
            <w:r>
              <w:rPr>
                <w:sz w:val="28"/>
              </w:rPr>
              <w:t xml:space="preserve">Igaunijas komersants OÜ „Bioetüül”, atbildot uz aģentūras lūgumu, ir iesniedzis </w:t>
            </w:r>
            <w:r w:rsidRPr="005C1BDA">
              <w:rPr>
                <w:sz w:val="28"/>
              </w:rPr>
              <w:t>Itālijas komersant</w:t>
            </w:r>
            <w:r>
              <w:rPr>
                <w:sz w:val="28"/>
              </w:rPr>
              <w:t xml:space="preserve">a </w:t>
            </w:r>
            <w:r w:rsidRPr="005C1BDA">
              <w:rPr>
                <w:sz w:val="28"/>
              </w:rPr>
              <w:t>„Nobitech S.R.L. Unipersonale”</w:t>
            </w:r>
            <w:r>
              <w:rPr>
                <w:sz w:val="28"/>
              </w:rPr>
              <w:t xml:space="preserve"> prokūrista Jana Vahera (</w:t>
            </w:r>
            <w:r>
              <w:rPr>
                <w:i/>
                <w:sz w:val="28"/>
              </w:rPr>
              <w:t>Jaan Vaher</w:t>
            </w:r>
            <w:r>
              <w:rPr>
                <w:sz w:val="28"/>
              </w:rPr>
              <w:t xml:space="preserve">) apliecinājumu, ka cesijas līgums ir spēkā un ka </w:t>
            </w:r>
            <w:r w:rsidRPr="005C1BDA">
              <w:rPr>
                <w:sz w:val="28"/>
              </w:rPr>
              <w:t>Itālijas komersant</w:t>
            </w:r>
            <w:r>
              <w:rPr>
                <w:sz w:val="28"/>
              </w:rPr>
              <w:t xml:space="preserve">s </w:t>
            </w:r>
            <w:r w:rsidRPr="005C1BDA">
              <w:rPr>
                <w:sz w:val="28"/>
              </w:rPr>
              <w:t>„Nobitech S.R.L. Unipersonale”</w:t>
            </w:r>
            <w:r>
              <w:rPr>
                <w:sz w:val="28"/>
              </w:rPr>
              <w:t xml:space="preserve"> piekrīt nedenaturētā etilspirta vērtības atlīdzināšanai (finanšu līdzekļu pārskaitīšanai) Igaunijas komersantam OÜ „Bioetüül”.</w:t>
            </w:r>
          </w:p>
          <w:p w:rsidR="00A93183" w:rsidRDefault="00A93183" w:rsidP="00A93183">
            <w:pPr>
              <w:pStyle w:val="naiskr"/>
              <w:spacing w:before="0" w:after="0"/>
              <w:ind w:firstLine="385"/>
              <w:jc w:val="both"/>
              <w:rPr>
                <w:sz w:val="28"/>
              </w:rPr>
            </w:pPr>
            <w:r>
              <w:rPr>
                <w:sz w:val="28"/>
              </w:rPr>
              <w:t xml:space="preserve">Aģentūra vērsās pie Itālijas </w:t>
            </w:r>
            <w:r w:rsidRPr="005C1BDA">
              <w:rPr>
                <w:sz w:val="28"/>
              </w:rPr>
              <w:t xml:space="preserve"> komersant</w:t>
            </w:r>
            <w:r>
              <w:rPr>
                <w:sz w:val="28"/>
              </w:rPr>
              <w:t xml:space="preserve">a </w:t>
            </w:r>
            <w:r w:rsidRPr="005C1BDA">
              <w:rPr>
                <w:sz w:val="28"/>
              </w:rPr>
              <w:t>„Nobitech S.R.L. Unipersonale”</w:t>
            </w:r>
            <w:r>
              <w:rPr>
                <w:sz w:val="28"/>
              </w:rPr>
              <w:t xml:space="preserve"> ar lūgumu sniegt apliecinājumu tam, ka tad, kad aģentūra finanšu līdzekļus pārskaitīs Igaunijas komersantam OÜ „Bioetüül”,  Itālijas </w:t>
            </w:r>
            <w:r w:rsidRPr="005C1BDA">
              <w:rPr>
                <w:sz w:val="28"/>
              </w:rPr>
              <w:t xml:space="preserve"> komersant</w:t>
            </w:r>
            <w:r>
              <w:rPr>
                <w:sz w:val="28"/>
              </w:rPr>
              <w:t xml:space="preserve">s </w:t>
            </w:r>
            <w:r w:rsidRPr="005C1BDA">
              <w:rPr>
                <w:sz w:val="28"/>
              </w:rPr>
              <w:t>„Nobitech S.R.L. Unipersonale”</w:t>
            </w:r>
            <w:r>
              <w:rPr>
                <w:sz w:val="28"/>
              </w:rPr>
              <w:t xml:space="preserve"> uzskatīs Rēzeknes tiesas 2010.gada 15.novembra spriedumu par izpildītu, taču atbilde no Itālijas </w:t>
            </w:r>
            <w:r w:rsidRPr="005C1BDA">
              <w:rPr>
                <w:sz w:val="28"/>
              </w:rPr>
              <w:t xml:space="preserve"> komersant</w:t>
            </w:r>
            <w:r>
              <w:rPr>
                <w:sz w:val="28"/>
              </w:rPr>
              <w:t xml:space="preserve">a </w:t>
            </w:r>
            <w:r w:rsidRPr="005C1BDA">
              <w:rPr>
                <w:sz w:val="28"/>
              </w:rPr>
              <w:t>„Nobitech S.R.L. Unipersonale”</w:t>
            </w:r>
            <w:r>
              <w:rPr>
                <w:sz w:val="28"/>
              </w:rPr>
              <w:t xml:space="preserve"> līdz šim brīdim nav saņemta.</w:t>
            </w:r>
          </w:p>
          <w:p w:rsidR="006D0F82" w:rsidRDefault="002E37D6" w:rsidP="00C26C17">
            <w:pPr>
              <w:pStyle w:val="naiskr"/>
              <w:spacing w:before="0" w:after="0"/>
              <w:ind w:firstLine="385"/>
              <w:jc w:val="both"/>
              <w:rPr>
                <w:sz w:val="28"/>
              </w:rPr>
            </w:pPr>
            <w:r>
              <w:rPr>
                <w:sz w:val="28"/>
              </w:rPr>
              <w:t>Aģentūra</w:t>
            </w:r>
            <w:r w:rsidR="00855922">
              <w:rPr>
                <w:sz w:val="28"/>
              </w:rPr>
              <w:t>, pamatojoties uz Kriminālprocesa likuma 650.pantu, lūdza</w:t>
            </w:r>
            <w:r>
              <w:rPr>
                <w:sz w:val="28"/>
              </w:rPr>
              <w:t xml:space="preserve"> Rēzeknes tiesai sniegt skaidrojumu, vai, pamatojoties uz minēto cesijas līgumu, aģentūra var finanšu līdzekļus pārskaitīt Igaunijas komersantam OÜ „Bioetüül”, nevis spriedumā norādītajam </w:t>
            </w:r>
            <w:r w:rsidRPr="005C1BDA">
              <w:rPr>
                <w:sz w:val="28"/>
              </w:rPr>
              <w:t>Itālijas komersant</w:t>
            </w:r>
            <w:r>
              <w:rPr>
                <w:sz w:val="28"/>
              </w:rPr>
              <w:t xml:space="preserve">am </w:t>
            </w:r>
            <w:r w:rsidRPr="005C1BDA">
              <w:rPr>
                <w:sz w:val="28"/>
              </w:rPr>
              <w:t>„Nobitech S.R.L. Unipersonale”</w:t>
            </w:r>
            <w:r w:rsidR="006D0F82">
              <w:rPr>
                <w:sz w:val="28"/>
              </w:rPr>
              <w:t>.</w:t>
            </w:r>
            <w:r w:rsidR="00855922">
              <w:rPr>
                <w:sz w:val="28"/>
              </w:rPr>
              <w:t xml:space="preserve"> R</w:t>
            </w:r>
            <w:r w:rsidR="00A93183">
              <w:rPr>
                <w:sz w:val="28"/>
              </w:rPr>
              <w:t xml:space="preserve">ēzeknes tiesa ar 2012.gada 14.septembra vēstuli atteicās izvērtēt aģentūras lūgumu </w:t>
            </w:r>
            <w:r w:rsidR="00A93183">
              <w:rPr>
                <w:sz w:val="28"/>
              </w:rPr>
              <w:lastRenderedPageBreak/>
              <w:t xml:space="preserve">saskaņā ar Kriminālprocesa likuma 650.pantu, sniedzot atbildi, </w:t>
            </w:r>
            <w:r w:rsidR="00855922">
              <w:rPr>
                <w:sz w:val="28"/>
              </w:rPr>
              <w:t>ka</w:t>
            </w:r>
            <w:r w:rsidR="00D939FE">
              <w:rPr>
                <w:sz w:val="28"/>
              </w:rPr>
              <w:t xml:space="preserve">, ja starp komersantiem pastāv tiesiski noslēgts līgums, ar kuru viens darījuma partneris piešķir otram tiesības veikt noteiktas darbības, tad otrs ir tiesīgs izmantot viņam piešķirtās tiesības, tostarp pirmā darījuma partnera vietā saņemt lietisko pierādījumu vērtības atlīdzību. </w:t>
            </w:r>
            <w:r w:rsidR="00A93183">
              <w:rPr>
                <w:sz w:val="28"/>
              </w:rPr>
              <w:t xml:space="preserve">Papildus Rēzeknes tiesa norādīja, ja darījums starp komersantiem ir noslēgts tiesiski, tad, pārskaitot finanšu līdzekļus Igaunijas komersantam  OÜ „Bioetüül”, Rēzeknes tiesas 2010.gada 15.novembra spriedums daļā par lietisko pierādījumu vērtības atlīdzināšanu Itālijas komersantam </w:t>
            </w:r>
            <w:r w:rsidR="00A93183" w:rsidRPr="005C1BDA">
              <w:rPr>
                <w:sz w:val="28"/>
              </w:rPr>
              <w:t>„Nobitech S.R.L. Unipersonale”</w:t>
            </w:r>
            <w:r w:rsidR="00A93183">
              <w:rPr>
                <w:sz w:val="28"/>
              </w:rPr>
              <w:t xml:space="preserve"> varētu tikt izpildīts.</w:t>
            </w:r>
          </w:p>
          <w:p w:rsidR="001C6003" w:rsidRDefault="001C6003" w:rsidP="00C26C17">
            <w:pPr>
              <w:pStyle w:val="naiskr"/>
              <w:spacing w:before="0" w:after="0"/>
              <w:ind w:firstLine="385"/>
              <w:jc w:val="both"/>
              <w:rPr>
                <w:sz w:val="28"/>
              </w:rPr>
            </w:pPr>
            <w:r>
              <w:rPr>
                <w:sz w:val="28"/>
              </w:rPr>
              <w:t xml:space="preserve">Aģentūra ir saņēmusi informāciju no Itālijas komercreģistra iestādes par to, ka  Itālijas komersanta </w:t>
            </w:r>
            <w:r w:rsidRPr="005C1BDA">
              <w:rPr>
                <w:sz w:val="28"/>
              </w:rPr>
              <w:t>„Nobitech S.R.L. Unipersonale”</w:t>
            </w:r>
            <w:r w:rsidR="004F0F19">
              <w:rPr>
                <w:sz w:val="28"/>
              </w:rPr>
              <w:t xml:space="preserve"> </w:t>
            </w:r>
            <w:r w:rsidR="00707274">
              <w:rPr>
                <w:sz w:val="28"/>
              </w:rPr>
              <w:t xml:space="preserve">2007.gada 3.jūlijā </w:t>
            </w:r>
            <w:r>
              <w:rPr>
                <w:sz w:val="28"/>
              </w:rPr>
              <w:t xml:space="preserve">Janam Vaheram izdotā </w:t>
            </w:r>
            <w:r w:rsidR="004F0F19">
              <w:rPr>
                <w:sz w:val="28"/>
              </w:rPr>
              <w:t>prokūra</w:t>
            </w:r>
            <w:r w:rsidR="00707274">
              <w:rPr>
                <w:sz w:val="28"/>
              </w:rPr>
              <w:t xml:space="preserve"> ir reģistrēta un</w:t>
            </w:r>
            <w:r w:rsidR="004F0F19">
              <w:rPr>
                <w:sz w:val="28"/>
              </w:rPr>
              <w:t xml:space="preserve"> nav atsaukta.</w:t>
            </w:r>
          </w:p>
          <w:p w:rsidR="00AD7D95" w:rsidRPr="002E37D6" w:rsidRDefault="00AD7D95" w:rsidP="00C26C17">
            <w:pPr>
              <w:pStyle w:val="naiskr"/>
              <w:spacing w:before="0" w:after="0"/>
              <w:ind w:firstLine="385"/>
              <w:jc w:val="both"/>
              <w:rPr>
                <w:sz w:val="28"/>
              </w:rPr>
            </w:pPr>
            <w:r>
              <w:rPr>
                <w:sz w:val="28"/>
              </w:rPr>
              <w:t>Ievērojot minēto,</w:t>
            </w:r>
            <w:r w:rsidR="00A93183">
              <w:rPr>
                <w:sz w:val="28"/>
              </w:rPr>
              <w:t xml:space="preserve"> </w:t>
            </w:r>
            <w:r w:rsidR="00BC084B">
              <w:rPr>
                <w:sz w:val="28"/>
              </w:rPr>
              <w:t>aģentūra ir veikusi visas iespējamās darbības cesijas līguma tiesiskuma noskaidrošanai, līdz ar to</w:t>
            </w:r>
            <w:r>
              <w:rPr>
                <w:sz w:val="28"/>
              </w:rPr>
              <w:t>, pamatojoties uz Igaunijas komersanta OÜ „Bioetüül” pārstāvja Jana Vahera (</w:t>
            </w:r>
            <w:r>
              <w:rPr>
                <w:i/>
                <w:sz w:val="28"/>
              </w:rPr>
              <w:t xml:space="preserve">Jaan </w:t>
            </w:r>
            <w:r w:rsidRPr="006D0F82">
              <w:rPr>
                <w:i/>
                <w:sz w:val="28"/>
              </w:rPr>
              <w:t>Vaher</w:t>
            </w:r>
            <w:r>
              <w:rPr>
                <w:sz w:val="28"/>
              </w:rPr>
              <w:t xml:space="preserve">) 2012.gada 22.marta iesniegumu un Itālijas komersanta </w:t>
            </w:r>
            <w:r w:rsidRPr="005C1BDA">
              <w:rPr>
                <w:sz w:val="28"/>
              </w:rPr>
              <w:t>„Nobitech S.R.L. Unipersonale”</w:t>
            </w:r>
            <w:r>
              <w:rPr>
                <w:sz w:val="28"/>
              </w:rPr>
              <w:t xml:space="preserve"> un Igaunijas komersanta OÜ „Bioetüül” 2011.gada 8.jūnija cesijas līgumu, nepieciešams realizētā nedenaturētā etilspirta vērtību atlīdzināt Igaunijas komersantam OÜ „Bioetüül”</w:t>
            </w:r>
            <w:r w:rsidR="006536AB">
              <w:rPr>
                <w:sz w:val="28"/>
              </w:rPr>
              <w:t xml:space="preserve">, nevis lietiskā pierādījuma īpašniekam Itālijas komersantam </w:t>
            </w:r>
            <w:r w:rsidR="006536AB" w:rsidRPr="005C1BDA">
              <w:rPr>
                <w:sz w:val="28"/>
              </w:rPr>
              <w:t>„Nobitech S.R.L. Unipersonale”</w:t>
            </w:r>
            <w:r>
              <w:rPr>
                <w:sz w:val="28"/>
              </w:rPr>
              <w:t>.</w:t>
            </w:r>
          </w:p>
          <w:p w:rsidR="00C26C17" w:rsidRDefault="00333ED0" w:rsidP="00C26C17">
            <w:pPr>
              <w:pStyle w:val="naiskr"/>
              <w:spacing w:before="0" w:after="0"/>
              <w:ind w:firstLine="385"/>
              <w:jc w:val="both"/>
              <w:rPr>
                <w:sz w:val="28"/>
              </w:rPr>
            </w:pPr>
            <w:r>
              <w:rPr>
                <w:sz w:val="28"/>
              </w:rPr>
              <w:t>Noteikumu</w:t>
            </w:r>
            <w:r w:rsidR="004D6715">
              <w:rPr>
                <w:sz w:val="28"/>
              </w:rPr>
              <w:t xml:space="preserve"> Nr.1025 37.punkts noteic, j</w:t>
            </w:r>
            <w:r w:rsidR="004D6715" w:rsidRPr="004D6715">
              <w:rPr>
                <w:sz w:val="28"/>
              </w:rPr>
              <w:t>a lietiskais pierādījums ir realizēts, aģentūra</w:t>
            </w:r>
            <w:r w:rsidR="004D6715">
              <w:rPr>
                <w:sz w:val="28"/>
              </w:rPr>
              <w:t xml:space="preserve"> </w:t>
            </w:r>
            <w:r w:rsidR="004D6715" w:rsidRPr="004D6715">
              <w:rPr>
                <w:sz w:val="28"/>
              </w:rPr>
              <w:t xml:space="preserve">atlīdzina tā īpašniekam vai likumīgajam valdītājam no deponēto līdzekļu konta lietiskā pierādījuma vērtību, kāda pastāv atlīdzināšanas dienā, </w:t>
            </w:r>
            <w:r w:rsidR="004D6715">
              <w:rPr>
                <w:sz w:val="28"/>
              </w:rPr>
              <w:t>[..]</w:t>
            </w:r>
            <w:r w:rsidR="004D6715" w:rsidRPr="004D6715">
              <w:rPr>
                <w:sz w:val="28"/>
              </w:rPr>
              <w:t xml:space="preserve"> ņemot vērā lietisko pierādījumu, arestētās mantas vai mantas, kurai atcelts arests, aprakstes un novērtējuma aktā norādīto novērtējumu (neatskaita izdevumus, kas saistīti ar lietiskā pierādījuma uzglabāšanu un realizāciju)</w:t>
            </w:r>
            <w:r w:rsidR="004D6715">
              <w:rPr>
                <w:sz w:val="28"/>
              </w:rPr>
              <w:t>.</w:t>
            </w:r>
          </w:p>
          <w:p w:rsidR="004D6715" w:rsidRDefault="004D6715" w:rsidP="00C26C17">
            <w:pPr>
              <w:pStyle w:val="naiskr"/>
              <w:spacing w:before="0" w:after="0"/>
              <w:ind w:firstLine="385"/>
              <w:jc w:val="both"/>
              <w:rPr>
                <w:sz w:val="28"/>
              </w:rPr>
            </w:pPr>
            <w:r>
              <w:rPr>
                <w:sz w:val="28"/>
              </w:rPr>
              <w:t xml:space="preserve">Noteikumu Nr.1025 39.punkts noteic, </w:t>
            </w:r>
            <w:r>
              <w:t xml:space="preserve"> </w:t>
            </w:r>
            <w:r>
              <w:rPr>
                <w:sz w:val="28"/>
              </w:rPr>
              <w:t>j</w:t>
            </w:r>
            <w:r w:rsidRPr="004D6715">
              <w:rPr>
                <w:sz w:val="28"/>
              </w:rPr>
              <w:t>a deponēto līdzekļu kontā līdzekļi lietiskā pierādījuma vērtības atlīdzināšanai nav pietiekami, lietiskā pierādījuma vērtību tā īpašniekam vai likumīgajam valdītājam atlīdzina no valsts budžeta līdzekļiem neparedzētiem gadījumiem</w:t>
            </w:r>
            <w:r w:rsidR="0026011F">
              <w:rPr>
                <w:sz w:val="28"/>
              </w:rPr>
              <w:t>.</w:t>
            </w:r>
          </w:p>
          <w:p w:rsidR="00C26C17" w:rsidRDefault="00BD5BF8" w:rsidP="00C26C17">
            <w:pPr>
              <w:pStyle w:val="naiskr"/>
              <w:spacing w:before="0" w:after="0"/>
              <w:ind w:firstLine="385"/>
              <w:jc w:val="both"/>
              <w:rPr>
                <w:sz w:val="28"/>
              </w:rPr>
            </w:pPr>
            <w:r>
              <w:rPr>
                <w:sz w:val="28"/>
              </w:rPr>
              <w:t xml:space="preserve">IK „Automehs” </w:t>
            </w:r>
            <w:r w:rsidR="0037470D">
              <w:rPr>
                <w:sz w:val="28"/>
              </w:rPr>
              <w:t xml:space="preserve">2012.gada 17.maija novērtēšanas aktā Nr.KL-985 secināts, ka iespējamā nedenaturētā etilspirta tirgus vērtība, kas aprēķināta, neņemot vērā ar pirkšanu vai pārdošanu saistītos izdevumus un jebkādus varbūtējos </w:t>
            </w:r>
            <w:r w:rsidR="0037470D">
              <w:rPr>
                <w:sz w:val="28"/>
              </w:rPr>
              <w:lastRenderedPageBreak/>
              <w:t>nodokļus, uz 2012.gada 31.janvāri varētu būt aptuveni 297 000</w:t>
            </w:r>
            <w:r w:rsidR="00785A71">
              <w:rPr>
                <w:sz w:val="28"/>
              </w:rPr>
              <w:t>,00</w:t>
            </w:r>
            <w:r w:rsidR="002825AE">
              <w:rPr>
                <w:sz w:val="28"/>
              </w:rPr>
              <w:t xml:space="preserve"> latu</w:t>
            </w:r>
            <w:r w:rsidR="0037470D">
              <w:rPr>
                <w:sz w:val="28"/>
              </w:rPr>
              <w:t>.</w:t>
            </w:r>
          </w:p>
          <w:p w:rsidR="00EC4387" w:rsidRPr="00E11CAE" w:rsidRDefault="00EC4387" w:rsidP="00C26C17">
            <w:pPr>
              <w:pStyle w:val="naiskr"/>
              <w:spacing w:before="0" w:after="0"/>
              <w:ind w:firstLine="385"/>
              <w:jc w:val="both"/>
              <w:rPr>
                <w:sz w:val="28"/>
              </w:rPr>
            </w:pPr>
            <w:r w:rsidRPr="00E11CAE">
              <w:rPr>
                <w:sz w:val="28"/>
              </w:rPr>
              <w:t>IK „Automehs” 2012.gada 17.maija novērtēšanas akts</w:t>
            </w:r>
            <w:r w:rsidR="00E5713A" w:rsidRPr="00E11CAE">
              <w:rPr>
                <w:sz w:val="28"/>
              </w:rPr>
              <w:t xml:space="preserve"> ir nosūtīts  komersantam OÜ „Bioetüül”</w:t>
            </w:r>
            <w:r w:rsidR="009071E7" w:rsidRPr="00E11CAE">
              <w:rPr>
                <w:sz w:val="28"/>
              </w:rPr>
              <w:t>,</w:t>
            </w:r>
            <w:r w:rsidR="00AF68A5" w:rsidRPr="00E11CAE">
              <w:rPr>
                <w:sz w:val="28"/>
              </w:rPr>
              <w:t xml:space="preserve"> </w:t>
            </w:r>
            <w:r w:rsidR="0046195C" w:rsidRPr="00E11CAE">
              <w:rPr>
                <w:sz w:val="28"/>
              </w:rPr>
              <w:t xml:space="preserve">kurš nepiekrīt </w:t>
            </w:r>
            <w:r w:rsidR="00AF68A5" w:rsidRPr="00E11CAE">
              <w:rPr>
                <w:sz w:val="28"/>
              </w:rPr>
              <w:t xml:space="preserve">lietisko pierādījumu </w:t>
            </w:r>
            <w:r w:rsidR="0046195C" w:rsidRPr="00E11CAE">
              <w:rPr>
                <w:sz w:val="28"/>
              </w:rPr>
              <w:t xml:space="preserve">noteiktajai </w:t>
            </w:r>
            <w:r w:rsidR="00AF68A5" w:rsidRPr="00E11CAE">
              <w:rPr>
                <w:sz w:val="28"/>
              </w:rPr>
              <w:t>vērtīb</w:t>
            </w:r>
            <w:r w:rsidR="0046195C" w:rsidRPr="00E11CAE">
              <w:rPr>
                <w:sz w:val="28"/>
              </w:rPr>
              <w:t xml:space="preserve">ai. </w:t>
            </w:r>
            <w:r w:rsidR="008D6D6A" w:rsidRPr="00E11CAE">
              <w:rPr>
                <w:sz w:val="28"/>
              </w:rPr>
              <w:t>Ievērojot</w:t>
            </w:r>
            <w:r w:rsidR="0046195C" w:rsidRPr="00E11CAE">
              <w:rPr>
                <w:sz w:val="28"/>
              </w:rPr>
              <w:t xml:space="preserve"> to, </w:t>
            </w:r>
            <w:r w:rsidR="009071E7" w:rsidRPr="00E11CAE">
              <w:rPr>
                <w:sz w:val="28"/>
                <w:szCs w:val="28"/>
              </w:rPr>
              <w:t>ka</w:t>
            </w:r>
            <w:r w:rsidR="007446F5" w:rsidRPr="00E11CAE">
              <w:rPr>
                <w:sz w:val="28"/>
                <w:szCs w:val="28"/>
              </w:rPr>
              <w:t xml:space="preserve"> saskaņā ar Noteikumu</w:t>
            </w:r>
            <w:r w:rsidR="00A87413" w:rsidRPr="00E11CAE">
              <w:rPr>
                <w:sz w:val="28"/>
                <w:szCs w:val="28"/>
              </w:rPr>
              <w:t xml:space="preserve"> 42.punktu lietisko pierādījumu novērtēšanu veic sertificēts vērtētājs un to, ka</w:t>
            </w:r>
            <w:r w:rsidR="009071E7" w:rsidRPr="00E11CAE">
              <w:rPr>
                <w:sz w:val="28"/>
                <w:szCs w:val="28"/>
              </w:rPr>
              <w:t xml:space="preserve"> normatīvie akti neparedz novērtētā lietiskā pierādījuma vērtību saskaņot ar lietiskā pierādījuma īpašnieku vai saņemt īpašnieka akceptu,</w:t>
            </w:r>
            <w:r w:rsidR="009071E7" w:rsidRPr="00E11CAE">
              <w:rPr>
                <w:sz w:val="28"/>
              </w:rPr>
              <w:t xml:space="preserve"> komersant</w:t>
            </w:r>
            <w:r w:rsidR="00A87413" w:rsidRPr="00E11CAE">
              <w:rPr>
                <w:sz w:val="28"/>
              </w:rPr>
              <w:t>am atlīdzināma  IK „Automehs” 2012.gada 17.maija novērtēšanas aktā</w:t>
            </w:r>
            <w:r w:rsidR="002E58CF">
              <w:rPr>
                <w:sz w:val="28"/>
              </w:rPr>
              <w:t xml:space="preserve">  Nr.KL-985 </w:t>
            </w:r>
            <w:r w:rsidR="00A87413" w:rsidRPr="00E11CAE">
              <w:rPr>
                <w:sz w:val="28"/>
              </w:rPr>
              <w:t xml:space="preserve">noteiktā lietisko pierādījumu vērtība. </w:t>
            </w:r>
          </w:p>
          <w:p w:rsidR="00696EE6" w:rsidRPr="00C26C17" w:rsidRDefault="0037470D" w:rsidP="00C97FDC">
            <w:pPr>
              <w:pStyle w:val="naiskr"/>
              <w:spacing w:before="0" w:after="0"/>
              <w:ind w:firstLine="385"/>
              <w:jc w:val="both"/>
              <w:rPr>
                <w:sz w:val="28"/>
              </w:rPr>
            </w:pPr>
            <w:r>
              <w:rPr>
                <w:sz w:val="28"/>
              </w:rPr>
              <w:t xml:space="preserve">Ņemot vērā, ka pēc nedenaturētā etilspirta realizācijas </w:t>
            </w:r>
            <w:r w:rsidR="00686D72">
              <w:rPr>
                <w:sz w:val="28"/>
              </w:rPr>
              <w:t xml:space="preserve">2009.gadā </w:t>
            </w:r>
            <w:r>
              <w:rPr>
                <w:sz w:val="28"/>
              </w:rPr>
              <w:t>aģentūras deponēto līdzekļu kontā ir ieskaitīti  86 93</w:t>
            </w:r>
            <w:r w:rsidR="00F22173">
              <w:rPr>
                <w:sz w:val="28"/>
              </w:rPr>
              <w:t>6</w:t>
            </w:r>
            <w:r>
              <w:rPr>
                <w:sz w:val="28"/>
              </w:rPr>
              <w:t>,</w:t>
            </w:r>
            <w:r w:rsidR="00F22173">
              <w:rPr>
                <w:sz w:val="28"/>
              </w:rPr>
              <w:t>65</w:t>
            </w:r>
            <w:r w:rsidR="002825AE">
              <w:rPr>
                <w:sz w:val="28"/>
              </w:rPr>
              <w:t xml:space="preserve"> lati</w:t>
            </w:r>
            <w:r>
              <w:rPr>
                <w:sz w:val="28"/>
              </w:rPr>
              <w:t xml:space="preserve">, savukārt nedenaturētā etilspirta vērtība </w:t>
            </w:r>
            <w:r w:rsidR="00785A71">
              <w:rPr>
                <w:sz w:val="28"/>
              </w:rPr>
              <w:t>atlīdzināšanas dienā – 2012.gada 31.janvārī – bija  297 000,00</w:t>
            </w:r>
            <w:r w:rsidR="002825AE">
              <w:rPr>
                <w:sz w:val="28"/>
              </w:rPr>
              <w:t xml:space="preserve"> latu</w:t>
            </w:r>
            <w:r w:rsidR="00785A71">
              <w:rPr>
                <w:sz w:val="28"/>
              </w:rPr>
              <w:t>, līdzekļi lietiskā pierādījuma vērtības atlīdzināšanai aģentūras deponēto līdzekļu kontā nav pietiekami. Līdz ar to saskaņā ar noteikumu Nr.1025 39.punktu, lai izpildītu Rēzeknes tiesas 2010.gada 15.novembra spriedumu, aģentūrai no valsts budžeta</w:t>
            </w:r>
            <w:r w:rsidR="00686D72">
              <w:rPr>
                <w:sz w:val="28"/>
              </w:rPr>
              <w:t xml:space="preserve"> līdzekļiem neparedzētiem gadījumiem</w:t>
            </w:r>
            <w:r w:rsidR="00785A71">
              <w:rPr>
                <w:sz w:val="28"/>
              </w:rPr>
              <w:t xml:space="preserve"> ir nepieciešams piešķirt finanšu līdzekļus 210 </w:t>
            </w:r>
            <w:r w:rsidR="00C97FDC">
              <w:rPr>
                <w:sz w:val="28"/>
              </w:rPr>
              <w:t>064</w:t>
            </w:r>
            <w:r w:rsidR="00785A71">
              <w:rPr>
                <w:sz w:val="28"/>
              </w:rPr>
              <w:t xml:space="preserve"> </w:t>
            </w:r>
            <w:r w:rsidR="002825AE">
              <w:rPr>
                <w:sz w:val="28"/>
              </w:rPr>
              <w:t xml:space="preserve">latu </w:t>
            </w:r>
            <w:r w:rsidR="00785A71">
              <w:rPr>
                <w:sz w:val="28"/>
              </w:rPr>
              <w:t>(LVL 297 000,00 -  LVL </w:t>
            </w:r>
            <w:r w:rsidR="00C97FDC">
              <w:rPr>
                <w:sz w:val="28"/>
              </w:rPr>
              <w:t>86 936</w:t>
            </w:r>
            <w:r w:rsidR="00785A71">
              <w:rPr>
                <w:sz w:val="28"/>
              </w:rPr>
              <w:t>) apmērā.</w:t>
            </w:r>
          </w:p>
        </w:tc>
      </w:tr>
      <w:tr w:rsidR="00CD0A3D" w:rsidRPr="00C36483" w:rsidTr="00344087">
        <w:trPr>
          <w:trHeight w:val="520"/>
        </w:trPr>
        <w:tc>
          <w:tcPr>
            <w:tcW w:w="550" w:type="dxa"/>
          </w:tcPr>
          <w:p w:rsidR="00CD0A3D" w:rsidRPr="00C36483" w:rsidRDefault="00CD0A3D" w:rsidP="00AD7D95">
            <w:pPr>
              <w:pStyle w:val="naiskr"/>
              <w:spacing w:before="0" w:after="0"/>
              <w:rPr>
                <w:sz w:val="28"/>
                <w:szCs w:val="28"/>
              </w:rPr>
            </w:pPr>
            <w:r w:rsidRPr="00C36483">
              <w:rPr>
                <w:sz w:val="28"/>
                <w:szCs w:val="28"/>
              </w:rPr>
              <w:lastRenderedPageBreak/>
              <w:t>3.</w:t>
            </w:r>
          </w:p>
        </w:tc>
        <w:tc>
          <w:tcPr>
            <w:tcW w:w="2149" w:type="dxa"/>
          </w:tcPr>
          <w:p w:rsidR="00CD0A3D" w:rsidRPr="00C36483" w:rsidRDefault="00CD0A3D" w:rsidP="00AD7D95">
            <w:pPr>
              <w:pStyle w:val="naiskr"/>
              <w:spacing w:before="0" w:after="0"/>
              <w:rPr>
                <w:sz w:val="28"/>
                <w:szCs w:val="28"/>
              </w:rPr>
            </w:pPr>
            <w:r w:rsidRPr="00C36483">
              <w:rPr>
                <w:sz w:val="28"/>
                <w:szCs w:val="28"/>
              </w:rPr>
              <w:t>Saistītie politikas ietekmes novērtējumi un pētījumi</w:t>
            </w:r>
          </w:p>
        </w:tc>
        <w:tc>
          <w:tcPr>
            <w:tcW w:w="7026" w:type="dxa"/>
          </w:tcPr>
          <w:p w:rsidR="00CD0A3D" w:rsidRPr="00C36483" w:rsidRDefault="00352BCE" w:rsidP="001F0D24">
            <w:pPr>
              <w:pStyle w:val="naiskr"/>
              <w:spacing w:before="0" w:after="0"/>
              <w:ind w:firstLine="385"/>
              <w:jc w:val="both"/>
              <w:rPr>
                <w:sz w:val="28"/>
                <w:szCs w:val="28"/>
              </w:rPr>
            </w:pPr>
            <w:r w:rsidRPr="00C36483">
              <w:rPr>
                <w:sz w:val="28"/>
                <w:szCs w:val="28"/>
              </w:rPr>
              <w:t>Projekts šo jomu neskar</w:t>
            </w:r>
            <w:r w:rsidR="0000336E" w:rsidRPr="00C36483">
              <w:rPr>
                <w:sz w:val="28"/>
                <w:szCs w:val="28"/>
              </w:rPr>
              <w:t>.</w:t>
            </w:r>
          </w:p>
        </w:tc>
      </w:tr>
      <w:tr w:rsidR="00CD0A3D" w:rsidRPr="00C36483" w:rsidTr="00344087">
        <w:trPr>
          <w:trHeight w:val="384"/>
        </w:trPr>
        <w:tc>
          <w:tcPr>
            <w:tcW w:w="550" w:type="dxa"/>
          </w:tcPr>
          <w:p w:rsidR="00CD0A3D" w:rsidRPr="00C36483" w:rsidRDefault="00CD0A3D" w:rsidP="00AD7D95">
            <w:pPr>
              <w:pStyle w:val="naiskr"/>
              <w:spacing w:before="0" w:after="0"/>
              <w:rPr>
                <w:sz w:val="28"/>
                <w:szCs w:val="28"/>
              </w:rPr>
            </w:pPr>
            <w:r w:rsidRPr="00C36483">
              <w:rPr>
                <w:sz w:val="28"/>
                <w:szCs w:val="28"/>
              </w:rPr>
              <w:t>4.</w:t>
            </w:r>
          </w:p>
        </w:tc>
        <w:tc>
          <w:tcPr>
            <w:tcW w:w="2149" w:type="dxa"/>
          </w:tcPr>
          <w:p w:rsidR="00CD0A3D" w:rsidRPr="00C36483" w:rsidRDefault="00CD0A3D" w:rsidP="00AD7D95">
            <w:pPr>
              <w:pStyle w:val="naiskr"/>
              <w:spacing w:before="0" w:after="0"/>
              <w:rPr>
                <w:sz w:val="28"/>
                <w:szCs w:val="28"/>
              </w:rPr>
            </w:pPr>
            <w:r w:rsidRPr="00C36483">
              <w:rPr>
                <w:sz w:val="28"/>
                <w:szCs w:val="28"/>
              </w:rPr>
              <w:t>Tiesiskā regulējuma mērķis un būtība</w:t>
            </w:r>
          </w:p>
        </w:tc>
        <w:tc>
          <w:tcPr>
            <w:tcW w:w="7026" w:type="dxa"/>
          </w:tcPr>
          <w:p w:rsidR="00810132" w:rsidRDefault="00686D72" w:rsidP="00686D72">
            <w:pPr>
              <w:pStyle w:val="naiskr"/>
              <w:spacing w:before="0" w:after="0"/>
              <w:ind w:firstLine="385"/>
              <w:jc w:val="both"/>
              <w:rPr>
                <w:iCs/>
                <w:sz w:val="28"/>
                <w:szCs w:val="28"/>
              </w:rPr>
            </w:pPr>
            <w:r>
              <w:rPr>
                <w:iCs/>
                <w:sz w:val="28"/>
                <w:szCs w:val="28"/>
              </w:rPr>
              <w:t xml:space="preserve">Projekta mērķis ir izpildīt Rēzeknes tiesas 2010.gada 15.novembra spriedumu un atlīdzināt realizētā lietiskā pierādījuma vērtību, kāda tā bija atlīdzināšanas dienā, kas saskaņā ar noteikumu Nr.1025 41.punktu ir </w:t>
            </w:r>
            <w:r w:rsidRPr="00686D72">
              <w:rPr>
                <w:iCs/>
                <w:sz w:val="28"/>
                <w:szCs w:val="28"/>
              </w:rPr>
              <w:t>dien</w:t>
            </w:r>
            <w:r>
              <w:rPr>
                <w:iCs/>
                <w:sz w:val="28"/>
                <w:szCs w:val="28"/>
              </w:rPr>
              <w:t>a</w:t>
            </w:r>
            <w:r w:rsidRPr="00686D72">
              <w:rPr>
                <w:iCs/>
                <w:sz w:val="28"/>
                <w:szCs w:val="28"/>
              </w:rPr>
              <w:t>, kad procesa virzītāja nolēmums par lietiskā pierādījuma vērtības atlīdzināšanu tā īpašniekam vai likumīgajam valdītājam ir stājies spēkā</w:t>
            </w:r>
            <w:r>
              <w:rPr>
                <w:iCs/>
                <w:sz w:val="28"/>
                <w:szCs w:val="28"/>
              </w:rPr>
              <w:t>, kas konkrētajā gadījumā ir 2012.gada 31.janvāris.</w:t>
            </w:r>
          </w:p>
          <w:p w:rsidR="00347FDC" w:rsidRPr="00C36483" w:rsidRDefault="00810132" w:rsidP="00C97FDC">
            <w:pPr>
              <w:pStyle w:val="naiskr"/>
              <w:spacing w:before="0" w:after="0"/>
              <w:ind w:firstLine="385"/>
              <w:jc w:val="both"/>
              <w:rPr>
                <w:iCs/>
                <w:sz w:val="28"/>
                <w:szCs w:val="28"/>
              </w:rPr>
            </w:pPr>
            <w:r>
              <w:rPr>
                <w:iCs/>
                <w:sz w:val="28"/>
                <w:szCs w:val="28"/>
              </w:rPr>
              <w:t xml:space="preserve">Projekts paredz </w:t>
            </w:r>
            <w:r w:rsidRPr="00810132">
              <w:rPr>
                <w:iCs/>
                <w:sz w:val="28"/>
                <w:szCs w:val="28"/>
              </w:rPr>
              <w:t xml:space="preserve">piešķirt finanšu līdzekļus no valsts budžeta programmas 02.00.00 „Līdzekļi neparedzētiem gadījumiem” </w:t>
            </w:r>
            <w:r>
              <w:rPr>
                <w:sz w:val="28"/>
              </w:rPr>
              <w:t xml:space="preserve"> </w:t>
            </w:r>
            <w:r w:rsidR="00F22173">
              <w:rPr>
                <w:sz w:val="28"/>
              </w:rPr>
              <w:t>210 </w:t>
            </w:r>
            <w:r w:rsidR="00C97FDC">
              <w:rPr>
                <w:sz w:val="28"/>
              </w:rPr>
              <w:t>064</w:t>
            </w:r>
            <w:r w:rsidR="00F22173">
              <w:rPr>
                <w:sz w:val="28"/>
              </w:rPr>
              <w:t xml:space="preserve"> </w:t>
            </w:r>
            <w:r w:rsidR="002825AE">
              <w:rPr>
                <w:sz w:val="28"/>
              </w:rPr>
              <w:t xml:space="preserve">latu </w:t>
            </w:r>
            <w:r>
              <w:rPr>
                <w:iCs/>
                <w:sz w:val="28"/>
                <w:szCs w:val="28"/>
              </w:rPr>
              <w:t>apmērā</w:t>
            </w:r>
            <w:r w:rsidRPr="00810132">
              <w:rPr>
                <w:iCs/>
                <w:sz w:val="28"/>
                <w:szCs w:val="28"/>
              </w:rPr>
              <w:t>.</w:t>
            </w:r>
            <w:r>
              <w:rPr>
                <w:iCs/>
                <w:sz w:val="28"/>
                <w:szCs w:val="28"/>
              </w:rPr>
              <w:t xml:space="preserve"> Atlikusī lietisko pierādījumu vērtības daļa – </w:t>
            </w:r>
            <w:r>
              <w:rPr>
                <w:sz w:val="28"/>
              </w:rPr>
              <w:t xml:space="preserve"> </w:t>
            </w:r>
            <w:r w:rsidR="00F22173">
              <w:rPr>
                <w:sz w:val="28"/>
              </w:rPr>
              <w:t xml:space="preserve">86 936 </w:t>
            </w:r>
            <w:r w:rsidR="002825AE">
              <w:rPr>
                <w:sz w:val="28"/>
              </w:rPr>
              <w:t xml:space="preserve">lati </w:t>
            </w:r>
            <w:r>
              <w:rPr>
                <w:sz w:val="28"/>
              </w:rPr>
              <w:t>– tiks segta no</w:t>
            </w:r>
            <w:r w:rsidR="006536AB">
              <w:rPr>
                <w:sz w:val="28"/>
              </w:rPr>
              <w:t xml:space="preserve"> aģentūras</w:t>
            </w:r>
            <w:r>
              <w:rPr>
                <w:sz w:val="28"/>
              </w:rPr>
              <w:t xml:space="preserve"> deponēto līdzekļu kontā esošajiem līdzekļiem</w:t>
            </w:r>
            <w:r w:rsidR="00F22173">
              <w:rPr>
                <w:sz w:val="28"/>
              </w:rPr>
              <w:t>, kas iegūti, realizējot lietiskos pierādījumus – nedenaturēto etilspirtu</w:t>
            </w:r>
            <w:r>
              <w:rPr>
                <w:sz w:val="28"/>
              </w:rPr>
              <w:t>.</w:t>
            </w:r>
          </w:p>
        </w:tc>
      </w:tr>
      <w:tr w:rsidR="00CD0A3D" w:rsidRPr="00C36483" w:rsidTr="00344087">
        <w:trPr>
          <w:trHeight w:val="476"/>
        </w:trPr>
        <w:tc>
          <w:tcPr>
            <w:tcW w:w="550" w:type="dxa"/>
          </w:tcPr>
          <w:p w:rsidR="00CD0A3D" w:rsidRPr="00C36483" w:rsidRDefault="00CD0A3D" w:rsidP="00AD7D95">
            <w:pPr>
              <w:pStyle w:val="naiskr"/>
              <w:spacing w:before="0" w:after="0"/>
              <w:rPr>
                <w:sz w:val="28"/>
                <w:szCs w:val="28"/>
              </w:rPr>
            </w:pPr>
            <w:r w:rsidRPr="00C36483">
              <w:rPr>
                <w:sz w:val="28"/>
                <w:szCs w:val="28"/>
              </w:rPr>
              <w:t>5.</w:t>
            </w:r>
          </w:p>
        </w:tc>
        <w:tc>
          <w:tcPr>
            <w:tcW w:w="2149" w:type="dxa"/>
          </w:tcPr>
          <w:p w:rsidR="00CD0A3D" w:rsidRPr="00C36483" w:rsidRDefault="00CD0A3D" w:rsidP="00AD7D95">
            <w:pPr>
              <w:pStyle w:val="naiskr"/>
              <w:spacing w:before="0" w:after="0"/>
              <w:rPr>
                <w:sz w:val="28"/>
                <w:szCs w:val="28"/>
              </w:rPr>
            </w:pPr>
            <w:r w:rsidRPr="00C36483">
              <w:rPr>
                <w:sz w:val="28"/>
                <w:szCs w:val="28"/>
              </w:rPr>
              <w:t>Projekta izstrādē iesaistītās institūcijas</w:t>
            </w:r>
          </w:p>
        </w:tc>
        <w:tc>
          <w:tcPr>
            <w:tcW w:w="7026" w:type="dxa"/>
          </w:tcPr>
          <w:p w:rsidR="00CD0A3D" w:rsidRPr="00C36483" w:rsidRDefault="00DD6091" w:rsidP="00DD6091">
            <w:pPr>
              <w:pStyle w:val="naiskr"/>
              <w:spacing w:before="0" w:after="0"/>
              <w:ind w:firstLine="385"/>
              <w:jc w:val="both"/>
              <w:rPr>
                <w:sz w:val="28"/>
                <w:szCs w:val="28"/>
              </w:rPr>
            </w:pPr>
            <w:r w:rsidRPr="00C36483">
              <w:rPr>
                <w:iCs/>
                <w:sz w:val="28"/>
                <w:szCs w:val="28"/>
              </w:rPr>
              <w:t>Nodrošinājuma valsts a</w:t>
            </w:r>
            <w:r w:rsidR="000228B0" w:rsidRPr="00C36483">
              <w:rPr>
                <w:iCs/>
                <w:sz w:val="28"/>
                <w:szCs w:val="28"/>
              </w:rPr>
              <w:t xml:space="preserve">ģentūra un </w:t>
            </w:r>
            <w:r w:rsidR="00DE3CDF" w:rsidRPr="00C36483">
              <w:rPr>
                <w:iCs/>
                <w:sz w:val="28"/>
                <w:szCs w:val="28"/>
              </w:rPr>
              <w:t>Iekšlietu ministrija.</w:t>
            </w:r>
          </w:p>
        </w:tc>
      </w:tr>
      <w:tr w:rsidR="00CD0A3D" w:rsidRPr="00C36483" w:rsidTr="00344087">
        <w:trPr>
          <w:trHeight w:val="1340"/>
        </w:trPr>
        <w:tc>
          <w:tcPr>
            <w:tcW w:w="550" w:type="dxa"/>
          </w:tcPr>
          <w:p w:rsidR="00CD0A3D" w:rsidRPr="00C36483" w:rsidRDefault="00CD0A3D" w:rsidP="00AD7D95">
            <w:pPr>
              <w:pStyle w:val="naiskr"/>
              <w:spacing w:before="0" w:after="0"/>
              <w:rPr>
                <w:sz w:val="28"/>
                <w:szCs w:val="28"/>
              </w:rPr>
            </w:pPr>
            <w:r w:rsidRPr="00C36483">
              <w:rPr>
                <w:sz w:val="28"/>
                <w:szCs w:val="28"/>
              </w:rPr>
              <w:lastRenderedPageBreak/>
              <w:t>6.</w:t>
            </w:r>
          </w:p>
        </w:tc>
        <w:tc>
          <w:tcPr>
            <w:tcW w:w="2149" w:type="dxa"/>
          </w:tcPr>
          <w:p w:rsidR="00CD0A3D" w:rsidRPr="00C36483" w:rsidRDefault="00CD0A3D" w:rsidP="00AD7D95">
            <w:pPr>
              <w:pStyle w:val="naiskr"/>
              <w:spacing w:before="0" w:after="0"/>
              <w:rPr>
                <w:i/>
                <w:sz w:val="28"/>
                <w:szCs w:val="28"/>
                <w:highlight w:val="yellow"/>
              </w:rPr>
            </w:pPr>
            <w:r w:rsidRPr="00C36483">
              <w:rPr>
                <w:sz w:val="28"/>
                <w:szCs w:val="28"/>
              </w:rPr>
              <w:t>Iemesli, kādēļ netika nodrošināta sabiedrības līdzdalība</w:t>
            </w:r>
          </w:p>
        </w:tc>
        <w:tc>
          <w:tcPr>
            <w:tcW w:w="7026" w:type="dxa"/>
          </w:tcPr>
          <w:p w:rsidR="00CD0A3D" w:rsidRPr="00C36483" w:rsidRDefault="00673223" w:rsidP="001F0D24">
            <w:pPr>
              <w:pStyle w:val="naiskr"/>
              <w:spacing w:before="0" w:after="0"/>
              <w:ind w:firstLine="385"/>
              <w:jc w:val="both"/>
              <w:rPr>
                <w:iCs/>
                <w:sz w:val="28"/>
                <w:szCs w:val="28"/>
              </w:rPr>
            </w:pPr>
            <w:r w:rsidRPr="00C36483">
              <w:rPr>
                <w:iCs/>
                <w:sz w:val="28"/>
                <w:szCs w:val="28"/>
              </w:rPr>
              <w:t xml:space="preserve">Sabiedrības līdzdalība projekta izstrādē nebija </w:t>
            </w:r>
            <w:r w:rsidRPr="00C36483">
              <w:rPr>
                <w:sz w:val="28"/>
                <w:szCs w:val="28"/>
              </w:rPr>
              <w:t>nepieciešama</w:t>
            </w:r>
            <w:r w:rsidR="007E58A0" w:rsidRPr="00C36483">
              <w:rPr>
                <w:iCs/>
                <w:sz w:val="28"/>
                <w:szCs w:val="28"/>
              </w:rPr>
              <w:t>, jo projekts tiešā veidā sabiedrību neietekmē.</w:t>
            </w:r>
          </w:p>
        </w:tc>
      </w:tr>
      <w:tr w:rsidR="00CD0A3D" w:rsidRPr="00C36483" w:rsidTr="00344087">
        <w:trPr>
          <w:trHeight w:val="304"/>
        </w:trPr>
        <w:tc>
          <w:tcPr>
            <w:tcW w:w="550" w:type="dxa"/>
          </w:tcPr>
          <w:p w:rsidR="00CD0A3D" w:rsidRPr="00C36483" w:rsidRDefault="00CD0A3D" w:rsidP="00AD7D95">
            <w:pPr>
              <w:pStyle w:val="naiskr"/>
              <w:spacing w:before="0" w:after="0"/>
              <w:rPr>
                <w:sz w:val="28"/>
                <w:szCs w:val="28"/>
              </w:rPr>
            </w:pPr>
            <w:r w:rsidRPr="00C36483">
              <w:rPr>
                <w:sz w:val="28"/>
                <w:szCs w:val="28"/>
              </w:rPr>
              <w:t>7.</w:t>
            </w:r>
          </w:p>
        </w:tc>
        <w:tc>
          <w:tcPr>
            <w:tcW w:w="2149" w:type="dxa"/>
          </w:tcPr>
          <w:p w:rsidR="00CD0A3D" w:rsidRPr="00C36483" w:rsidRDefault="00CD0A3D" w:rsidP="00AD7D95">
            <w:pPr>
              <w:pStyle w:val="naiskr"/>
              <w:spacing w:before="0" w:after="0"/>
              <w:rPr>
                <w:sz w:val="28"/>
                <w:szCs w:val="28"/>
              </w:rPr>
            </w:pPr>
            <w:r w:rsidRPr="00C36483">
              <w:rPr>
                <w:sz w:val="28"/>
                <w:szCs w:val="28"/>
              </w:rPr>
              <w:t>Cita informācija</w:t>
            </w:r>
          </w:p>
        </w:tc>
        <w:tc>
          <w:tcPr>
            <w:tcW w:w="7026" w:type="dxa"/>
          </w:tcPr>
          <w:p w:rsidR="00CD0A3D" w:rsidRPr="00C36483" w:rsidRDefault="00673223" w:rsidP="00AD7D95">
            <w:pPr>
              <w:pStyle w:val="naiskr"/>
              <w:spacing w:before="0" w:after="0"/>
              <w:rPr>
                <w:sz w:val="28"/>
                <w:szCs w:val="28"/>
              </w:rPr>
            </w:pPr>
            <w:r w:rsidRPr="00C36483">
              <w:rPr>
                <w:sz w:val="28"/>
                <w:szCs w:val="28"/>
              </w:rPr>
              <w:t>Nav.</w:t>
            </w:r>
          </w:p>
        </w:tc>
      </w:tr>
    </w:tbl>
    <w:p w:rsidR="00CD0A3D" w:rsidRPr="00C36483" w:rsidRDefault="00CD0A3D" w:rsidP="00CD0A3D">
      <w:pPr>
        <w:ind w:firstLine="0"/>
        <w:jc w:val="center"/>
        <w:rPr>
          <w:sz w:val="28"/>
          <w:szCs w:val="28"/>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06"/>
      </w:tblGrid>
      <w:tr w:rsidR="00C06506" w:rsidRPr="00C36483" w:rsidTr="00EA2CC8">
        <w:trPr>
          <w:trHeight w:val="187"/>
          <w:jc w:val="center"/>
        </w:trPr>
        <w:tc>
          <w:tcPr>
            <w:tcW w:w="10124" w:type="dxa"/>
            <w:gridSpan w:val="6"/>
          </w:tcPr>
          <w:p w:rsidR="00C06506" w:rsidRPr="00C36483" w:rsidRDefault="00C06506" w:rsidP="00AD7D95">
            <w:pPr>
              <w:pStyle w:val="naisnod"/>
              <w:spacing w:before="0" w:after="0"/>
              <w:rPr>
                <w:i/>
                <w:sz w:val="28"/>
                <w:szCs w:val="28"/>
              </w:rPr>
            </w:pPr>
            <w:r w:rsidRPr="00C36483">
              <w:rPr>
                <w:sz w:val="28"/>
                <w:szCs w:val="28"/>
              </w:rPr>
              <w:br w:type="page"/>
              <w:t>III. Tiesību akta projekta ietekme uz valsts budžetu un pašvaldību budžetiem</w:t>
            </w:r>
          </w:p>
        </w:tc>
      </w:tr>
      <w:tr w:rsidR="00C06506" w:rsidRPr="00C36483" w:rsidTr="00AD7D95">
        <w:trPr>
          <w:jc w:val="center"/>
        </w:trPr>
        <w:tc>
          <w:tcPr>
            <w:tcW w:w="3324" w:type="dxa"/>
            <w:vMerge w:val="restart"/>
            <w:vAlign w:val="center"/>
          </w:tcPr>
          <w:p w:rsidR="00C06506" w:rsidRPr="00C36483" w:rsidRDefault="00C06506" w:rsidP="00AD7D95">
            <w:pPr>
              <w:pStyle w:val="naisf"/>
              <w:spacing w:before="0" w:after="0"/>
              <w:ind w:firstLine="0"/>
              <w:jc w:val="center"/>
              <w:rPr>
                <w:b/>
                <w:sz w:val="28"/>
                <w:szCs w:val="28"/>
              </w:rPr>
            </w:pPr>
            <w:r w:rsidRPr="00C36483">
              <w:rPr>
                <w:b/>
                <w:sz w:val="28"/>
                <w:szCs w:val="28"/>
              </w:rPr>
              <w:t>Rādītāji</w:t>
            </w:r>
          </w:p>
        </w:tc>
        <w:tc>
          <w:tcPr>
            <w:tcW w:w="2685" w:type="dxa"/>
            <w:gridSpan w:val="2"/>
            <w:vMerge w:val="restart"/>
            <w:vAlign w:val="center"/>
          </w:tcPr>
          <w:p w:rsidR="00C06506" w:rsidRPr="00C36483" w:rsidRDefault="009D13AB" w:rsidP="00D13DEF">
            <w:pPr>
              <w:pStyle w:val="naisf"/>
              <w:spacing w:before="0" w:after="0"/>
              <w:ind w:firstLine="0"/>
              <w:jc w:val="center"/>
              <w:rPr>
                <w:b/>
                <w:sz w:val="28"/>
                <w:szCs w:val="28"/>
              </w:rPr>
            </w:pPr>
            <w:r w:rsidRPr="00C36483">
              <w:rPr>
                <w:b/>
                <w:sz w:val="28"/>
                <w:szCs w:val="28"/>
              </w:rPr>
              <w:t>201</w:t>
            </w:r>
            <w:r w:rsidR="00D13DEF">
              <w:rPr>
                <w:b/>
                <w:sz w:val="28"/>
                <w:szCs w:val="28"/>
              </w:rPr>
              <w:t>3</w:t>
            </w:r>
            <w:r w:rsidRPr="00C36483">
              <w:rPr>
                <w:b/>
                <w:sz w:val="28"/>
                <w:szCs w:val="28"/>
              </w:rPr>
              <w:t>.</w:t>
            </w:r>
            <w:r w:rsidR="00C06506" w:rsidRPr="00C36483">
              <w:rPr>
                <w:b/>
                <w:sz w:val="28"/>
                <w:szCs w:val="28"/>
              </w:rPr>
              <w:t>gads</w:t>
            </w:r>
          </w:p>
        </w:tc>
        <w:tc>
          <w:tcPr>
            <w:tcW w:w="4115" w:type="dxa"/>
            <w:gridSpan w:val="3"/>
            <w:vAlign w:val="center"/>
          </w:tcPr>
          <w:p w:rsidR="00C06506" w:rsidRPr="00C36483" w:rsidRDefault="00C06506" w:rsidP="00AD7D95">
            <w:pPr>
              <w:pStyle w:val="naisf"/>
              <w:spacing w:before="0" w:after="0"/>
              <w:ind w:firstLine="0"/>
              <w:jc w:val="center"/>
              <w:rPr>
                <w:b/>
                <w:i/>
                <w:sz w:val="28"/>
                <w:szCs w:val="28"/>
              </w:rPr>
            </w:pPr>
            <w:r w:rsidRPr="00C36483">
              <w:rPr>
                <w:sz w:val="28"/>
                <w:szCs w:val="28"/>
              </w:rPr>
              <w:t>Turpmākie trīs gadi (tūkst</w:t>
            </w:r>
            <w:smartTag w:uri="schemas-tilde-lv/tildestengine" w:element="currency2">
              <w:smartTagPr>
                <w:attr w:name="currency_id" w:val="48"/>
                <w:attr w:name="currency_key" w:val="LVL"/>
                <w:attr w:name="currency_value" w:val="."/>
                <w:attr w:name="currency_text" w:val="latu"/>
              </w:smartTagPr>
              <w:r w:rsidRPr="00C36483">
                <w:rPr>
                  <w:sz w:val="28"/>
                  <w:szCs w:val="28"/>
                </w:rPr>
                <w:t>. latu</w:t>
              </w:r>
            </w:smartTag>
            <w:r w:rsidRPr="00C36483">
              <w:rPr>
                <w:sz w:val="28"/>
                <w:szCs w:val="28"/>
              </w:rPr>
              <w:t>)</w:t>
            </w:r>
          </w:p>
        </w:tc>
      </w:tr>
      <w:tr w:rsidR="00C06506" w:rsidRPr="00C36483" w:rsidTr="00AD7D95">
        <w:trPr>
          <w:jc w:val="center"/>
        </w:trPr>
        <w:tc>
          <w:tcPr>
            <w:tcW w:w="3324" w:type="dxa"/>
            <w:vMerge/>
            <w:vAlign w:val="center"/>
          </w:tcPr>
          <w:p w:rsidR="00C06506" w:rsidRPr="00C36483" w:rsidRDefault="00C06506" w:rsidP="00AD7D95">
            <w:pPr>
              <w:pStyle w:val="naisf"/>
              <w:spacing w:before="0" w:after="0"/>
              <w:ind w:firstLine="0"/>
              <w:jc w:val="center"/>
              <w:rPr>
                <w:b/>
                <w:i/>
                <w:sz w:val="28"/>
                <w:szCs w:val="28"/>
              </w:rPr>
            </w:pPr>
          </w:p>
        </w:tc>
        <w:tc>
          <w:tcPr>
            <w:tcW w:w="2685" w:type="dxa"/>
            <w:gridSpan w:val="2"/>
            <w:vMerge/>
            <w:vAlign w:val="center"/>
          </w:tcPr>
          <w:p w:rsidR="00C06506" w:rsidRPr="00C36483" w:rsidRDefault="00C06506" w:rsidP="00AD7D95">
            <w:pPr>
              <w:pStyle w:val="naisf"/>
              <w:spacing w:before="0" w:after="0"/>
              <w:ind w:firstLine="0"/>
              <w:jc w:val="center"/>
              <w:rPr>
                <w:b/>
                <w:i/>
                <w:sz w:val="28"/>
                <w:szCs w:val="28"/>
              </w:rPr>
            </w:pPr>
          </w:p>
        </w:tc>
        <w:tc>
          <w:tcPr>
            <w:tcW w:w="1354" w:type="dxa"/>
            <w:vAlign w:val="center"/>
          </w:tcPr>
          <w:p w:rsidR="00C06506" w:rsidRPr="00C36483" w:rsidRDefault="009D13AB" w:rsidP="00D13DEF">
            <w:pPr>
              <w:pStyle w:val="naisf"/>
              <w:spacing w:before="0" w:after="0"/>
              <w:ind w:firstLine="0"/>
              <w:jc w:val="center"/>
              <w:rPr>
                <w:b/>
                <w:i/>
                <w:sz w:val="28"/>
                <w:szCs w:val="28"/>
              </w:rPr>
            </w:pPr>
            <w:r w:rsidRPr="00C36483">
              <w:rPr>
                <w:b/>
                <w:bCs/>
                <w:sz w:val="28"/>
                <w:szCs w:val="28"/>
              </w:rPr>
              <w:t>201</w:t>
            </w:r>
            <w:r w:rsidR="00D13DEF">
              <w:rPr>
                <w:b/>
                <w:bCs/>
                <w:sz w:val="28"/>
                <w:szCs w:val="28"/>
              </w:rPr>
              <w:t>4</w:t>
            </w:r>
            <w:r w:rsidR="007317D1" w:rsidRPr="00C36483">
              <w:rPr>
                <w:b/>
                <w:bCs/>
                <w:sz w:val="28"/>
                <w:szCs w:val="28"/>
              </w:rPr>
              <w:t>.</w:t>
            </w:r>
          </w:p>
        </w:tc>
        <w:tc>
          <w:tcPr>
            <w:tcW w:w="1355" w:type="dxa"/>
            <w:vAlign w:val="center"/>
          </w:tcPr>
          <w:p w:rsidR="00C06506" w:rsidRPr="00C36483" w:rsidRDefault="009D13AB" w:rsidP="00D13DEF">
            <w:pPr>
              <w:pStyle w:val="naisf"/>
              <w:spacing w:before="0" w:after="0"/>
              <w:ind w:firstLine="0"/>
              <w:jc w:val="center"/>
              <w:rPr>
                <w:b/>
                <w:i/>
                <w:sz w:val="28"/>
                <w:szCs w:val="28"/>
              </w:rPr>
            </w:pPr>
            <w:r w:rsidRPr="00C36483">
              <w:rPr>
                <w:b/>
                <w:bCs/>
                <w:sz w:val="28"/>
                <w:szCs w:val="28"/>
              </w:rPr>
              <w:t>201</w:t>
            </w:r>
            <w:r w:rsidR="00D13DEF">
              <w:rPr>
                <w:b/>
                <w:bCs/>
                <w:sz w:val="28"/>
                <w:szCs w:val="28"/>
              </w:rPr>
              <w:t>5</w:t>
            </w:r>
            <w:r w:rsidR="007317D1" w:rsidRPr="00C36483">
              <w:rPr>
                <w:b/>
                <w:bCs/>
                <w:sz w:val="28"/>
                <w:szCs w:val="28"/>
              </w:rPr>
              <w:t>.</w:t>
            </w:r>
          </w:p>
        </w:tc>
        <w:tc>
          <w:tcPr>
            <w:tcW w:w="1406" w:type="dxa"/>
            <w:vAlign w:val="center"/>
          </w:tcPr>
          <w:p w:rsidR="00C06506" w:rsidRPr="00C36483" w:rsidRDefault="009D13AB" w:rsidP="00D13DEF">
            <w:pPr>
              <w:pStyle w:val="naisf"/>
              <w:spacing w:before="0" w:after="0"/>
              <w:ind w:firstLine="0"/>
              <w:jc w:val="center"/>
              <w:rPr>
                <w:b/>
                <w:i/>
                <w:sz w:val="28"/>
                <w:szCs w:val="28"/>
              </w:rPr>
            </w:pPr>
            <w:r w:rsidRPr="00C36483">
              <w:rPr>
                <w:b/>
                <w:bCs/>
                <w:sz w:val="28"/>
                <w:szCs w:val="28"/>
              </w:rPr>
              <w:t>201</w:t>
            </w:r>
            <w:r w:rsidR="00D13DEF">
              <w:rPr>
                <w:b/>
                <w:bCs/>
                <w:sz w:val="28"/>
                <w:szCs w:val="28"/>
              </w:rPr>
              <w:t>6</w:t>
            </w:r>
            <w:r w:rsidR="007317D1" w:rsidRPr="00C36483">
              <w:rPr>
                <w:b/>
                <w:bCs/>
                <w:sz w:val="28"/>
                <w:szCs w:val="28"/>
              </w:rPr>
              <w:t>.</w:t>
            </w:r>
          </w:p>
        </w:tc>
      </w:tr>
      <w:tr w:rsidR="00C06506" w:rsidRPr="00C36483" w:rsidTr="00AD7D95">
        <w:trPr>
          <w:jc w:val="center"/>
        </w:trPr>
        <w:tc>
          <w:tcPr>
            <w:tcW w:w="3324" w:type="dxa"/>
            <w:vMerge/>
            <w:vAlign w:val="center"/>
          </w:tcPr>
          <w:p w:rsidR="00C06506" w:rsidRPr="00C36483" w:rsidRDefault="00C06506" w:rsidP="00AD7D95">
            <w:pPr>
              <w:pStyle w:val="naisf"/>
              <w:spacing w:before="0" w:after="0"/>
              <w:ind w:firstLine="0"/>
              <w:jc w:val="center"/>
              <w:rPr>
                <w:b/>
                <w:i/>
                <w:sz w:val="28"/>
                <w:szCs w:val="28"/>
              </w:rPr>
            </w:pPr>
          </w:p>
        </w:tc>
        <w:tc>
          <w:tcPr>
            <w:tcW w:w="1331" w:type="dxa"/>
            <w:vAlign w:val="center"/>
          </w:tcPr>
          <w:p w:rsidR="00C06506" w:rsidRPr="00C36483" w:rsidRDefault="00C06506" w:rsidP="00AD7D95">
            <w:pPr>
              <w:pStyle w:val="naisf"/>
              <w:spacing w:before="0" w:after="0"/>
              <w:ind w:firstLine="0"/>
              <w:jc w:val="center"/>
              <w:rPr>
                <w:b/>
                <w:i/>
                <w:sz w:val="28"/>
                <w:szCs w:val="28"/>
              </w:rPr>
            </w:pPr>
            <w:r w:rsidRPr="00C36483">
              <w:rPr>
                <w:sz w:val="28"/>
                <w:szCs w:val="28"/>
              </w:rPr>
              <w:t>Saskaņā ar valsts budžetu kārtējam gadam</w:t>
            </w:r>
          </w:p>
        </w:tc>
        <w:tc>
          <w:tcPr>
            <w:tcW w:w="1354" w:type="dxa"/>
            <w:vAlign w:val="center"/>
          </w:tcPr>
          <w:p w:rsidR="00C06506" w:rsidRPr="00C36483" w:rsidRDefault="00C06506" w:rsidP="00AD7D95">
            <w:pPr>
              <w:pStyle w:val="naisf"/>
              <w:spacing w:before="0" w:after="0"/>
              <w:ind w:firstLine="0"/>
              <w:jc w:val="center"/>
              <w:rPr>
                <w:b/>
                <w:i/>
                <w:sz w:val="28"/>
                <w:szCs w:val="28"/>
              </w:rPr>
            </w:pPr>
            <w:r w:rsidRPr="00C36483">
              <w:rPr>
                <w:sz w:val="28"/>
                <w:szCs w:val="28"/>
              </w:rPr>
              <w:t>Izmaiņas kārtējā gadā, salīdzinot ar budžetu kārtējam gadam</w:t>
            </w:r>
          </w:p>
        </w:tc>
        <w:tc>
          <w:tcPr>
            <w:tcW w:w="1354" w:type="dxa"/>
            <w:vAlign w:val="center"/>
          </w:tcPr>
          <w:p w:rsidR="00C06506" w:rsidRPr="00C36483" w:rsidRDefault="00C06506" w:rsidP="00AD7D95">
            <w:pPr>
              <w:pStyle w:val="naisf"/>
              <w:spacing w:before="0" w:after="0"/>
              <w:ind w:firstLine="0"/>
              <w:jc w:val="center"/>
              <w:rPr>
                <w:b/>
                <w:i/>
                <w:sz w:val="28"/>
                <w:szCs w:val="28"/>
              </w:rPr>
            </w:pPr>
            <w:r w:rsidRPr="00C36483">
              <w:rPr>
                <w:sz w:val="28"/>
                <w:szCs w:val="28"/>
              </w:rPr>
              <w:t>Izmaiņas, salīdzinot ar kārtējo (n) gadu</w:t>
            </w:r>
          </w:p>
        </w:tc>
        <w:tc>
          <w:tcPr>
            <w:tcW w:w="1355" w:type="dxa"/>
            <w:vAlign w:val="center"/>
          </w:tcPr>
          <w:p w:rsidR="00C06506" w:rsidRPr="00C36483" w:rsidRDefault="00C06506" w:rsidP="00AD7D95">
            <w:pPr>
              <w:pStyle w:val="naisf"/>
              <w:spacing w:before="0" w:after="0"/>
              <w:ind w:firstLine="0"/>
              <w:jc w:val="center"/>
              <w:rPr>
                <w:b/>
                <w:i/>
                <w:sz w:val="28"/>
                <w:szCs w:val="28"/>
              </w:rPr>
            </w:pPr>
            <w:r w:rsidRPr="00C36483">
              <w:rPr>
                <w:sz w:val="28"/>
                <w:szCs w:val="28"/>
              </w:rPr>
              <w:t>Izmaiņas, salīdzinot ar kārtējo (n) gadu</w:t>
            </w:r>
          </w:p>
        </w:tc>
        <w:tc>
          <w:tcPr>
            <w:tcW w:w="1406" w:type="dxa"/>
            <w:vAlign w:val="center"/>
          </w:tcPr>
          <w:p w:rsidR="00C06506" w:rsidRPr="00C36483" w:rsidRDefault="00C06506" w:rsidP="00AD7D95">
            <w:pPr>
              <w:pStyle w:val="naisf"/>
              <w:spacing w:before="0" w:after="0"/>
              <w:ind w:firstLine="0"/>
              <w:jc w:val="center"/>
              <w:rPr>
                <w:b/>
                <w:i/>
                <w:sz w:val="28"/>
                <w:szCs w:val="28"/>
              </w:rPr>
            </w:pPr>
            <w:r w:rsidRPr="00C36483">
              <w:rPr>
                <w:sz w:val="28"/>
                <w:szCs w:val="28"/>
              </w:rPr>
              <w:t>Izmaiņas, salīdzinot ar kārtējo (n) gadu</w:t>
            </w:r>
          </w:p>
        </w:tc>
      </w:tr>
      <w:tr w:rsidR="00C06506" w:rsidRPr="00C36483" w:rsidTr="00AD7D95">
        <w:trPr>
          <w:jc w:val="center"/>
        </w:trPr>
        <w:tc>
          <w:tcPr>
            <w:tcW w:w="3324" w:type="dxa"/>
            <w:vAlign w:val="center"/>
          </w:tcPr>
          <w:p w:rsidR="00C06506" w:rsidRPr="00C36483" w:rsidRDefault="00C06506" w:rsidP="00AD7D95">
            <w:pPr>
              <w:pStyle w:val="naisf"/>
              <w:spacing w:before="0" w:after="0"/>
              <w:ind w:firstLine="0"/>
              <w:jc w:val="center"/>
              <w:rPr>
                <w:bCs/>
                <w:sz w:val="28"/>
                <w:szCs w:val="28"/>
              </w:rPr>
            </w:pPr>
            <w:r w:rsidRPr="00C36483">
              <w:rPr>
                <w:bCs/>
                <w:sz w:val="28"/>
                <w:szCs w:val="28"/>
              </w:rPr>
              <w:t>1</w:t>
            </w:r>
          </w:p>
        </w:tc>
        <w:tc>
          <w:tcPr>
            <w:tcW w:w="1331" w:type="dxa"/>
            <w:vAlign w:val="center"/>
          </w:tcPr>
          <w:p w:rsidR="00C06506" w:rsidRPr="00C36483" w:rsidRDefault="00C06506" w:rsidP="00AD7D95">
            <w:pPr>
              <w:pStyle w:val="naisf"/>
              <w:spacing w:before="0" w:after="0"/>
              <w:ind w:firstLine="0"/>
              <w:jc w:val="center"/>
              <w:rPr>
                <w:bCs/>
                <w:sz w:val="28"/>
                <w:szCs w:val="28"/>
              </w:rPr>
            </w:pPr>
            <w:r w:rsidRPr="00C36483">
              <w:rPr>
                <w:bCs/>
                <w:sz w:val="28"/>
                <w:szCs w:val="28"/>
              </w:rPr>
              <w:t>2</w:t>
            </w:r>
          </w:p>
        </w:tc>
        <w:tc>
          <w:tcPr>
            <w:tcW w:w="1354" w:type="dxa"/>
            <w:vAlign w:val="center"/>
          </w:tcPr>
          <w:p w:rsidR="00C06506" w:rsidRPr="00C36483" w:rsidRDefault="00C06506" w:rsidP="00AD7D95">
            <w:pPr>
              <w:pStyle w:val="naisf"/>
              <w:spacing w:before="0" w:after="0"/>
              <w:ind w:firstLine="0"/>
              <w:jc w:val="center"/>
              <w:rPr>
                <w:bCs/>
                <w:sz w:val="28"/>
                <w:szCs w:val="28"/>
              </w:rPr>
            </w:pPr>
            <w:r w:rsidRPr="00C36483">
              <w:rPr>
                <w:bCs/>
                <w:sz w:val="28"/>
                <w:szCs w:val="28"/>
              </w:rPr>
              <w:t>3</w:t>
            </w:r>
          </w:p>
        </w:tc>
        <w:tc>
          <w:tcPr>
            <w:tcW w:w="1354" w:type="dxa"/>
            <w:vAlign w:val="center"/>
          </w:tcPr>
          <w:p w:rsidR="00C06506" w:rsidRPr="00C36483" w:rsidRDefault="00C06506" w:rsidP="00AD7D95">
            <w:pPr>
              <w:pStyle w:val="naisf"/>
              <w:spacing w:before="0" w:after="0"/>
              <w:ind w:firstLine="0"/>
              <w:jc w:val="center"/>
              <w:rPr>
                <w:bCs/>
                <w:sz w:val="28"/>
                <w:szCs w:val="28"/>
              </w:rPr>
            </w:pPr>
            <w:r w:rsidRPr="00C36483">
              <w:rPr>
                <w:bCs/>
                <w:sz w:val="28"/>
                <w:szCs w:val="28"/>
              </w:rPr>
              <w:t>4</w:t>
            </w:r>
          </w:p>
        </w:tc>
        <w:tc>
          <w:tcPr>
            <w:tcW w:w="1355" w:type="dxa"/>
            <w:vAlign w:val="center"/>
          </w:tcPr>
          <w:p w:rsidR="00C06506" w:rsidRPr="00C36483" w:rsidRDefault="00C06506" w:rsidP="00AD7D95">
            <w:pPr>
              <w:pStyle w:val="naisf"/>
              <w:spacing w:before="0" w:after="0"/>
              <w:ind w:firstLine="0"/>
              <w:jc w:val="center"/>
              <w:rPr>
                <w:bCs/>
                <w:sz w:val="28"/>
                <w:szCs w:val="28"/>
              </w:rPr>
            </w:pPr>
            <w:r w:rsidRPr="00C36483">
              <w:rPr>
                <w:bCs/>
                <w:sz w:val="28"/>
                <w:szCs w:val="28"/>
              </w:rPr>
              <w:t>5</w:t>
            </w:r>
          </w:p>
        </w:tc>
        <w:tc>
          <w:tcPr>
            <w:tcW w:w="1406" w:type="dxa"/>
            <w:vAlign w:val="center"/>
          </w:tcPr>
          <w:p w:rsidR="00C06506" w:rsidRPr="00C36483" w:rsidRDefault="00C06506" w:rsidP="00AD7D95">
            <w:pPr>
              <w:pStyle w:val="naisf"/>
              <w:spacing w:before="0" w:after="0"/>
              <w:ind w:firstLine="0"/>
              <w:jc w:val="center"/>
              <w:rPr>
                <w:bCs/>
                <w:sz w:val="28"/>
                <w:szCs w:val="28"/>
              </w:rPr>
            </w:pPr>
            <w:r w:rsidRPr="00C36483">
              <w:rPr>
                <w:bCs/>
                <w:sz w:val="28"/>
                <w:szCs w:val="28"/>
              </w:rPr>
              <w:t>6</w:t>
            </w:r>
          </w:p>
        </w:tc>
      </w:tr>
      <w:tr w:rsidR="00E519C9" w:rsidRPr="00C36483" w:rsidTr="00414510">
        <w:trPr>
          <w:jc w:val="center"/>
        </w:trPr>
        <w:tc>
          <w:tcPr>
            <w:tcW w:w="3324" w:type="dxa"/>
          </w:tcPr>
          <w:p w:rsidR="00E519C9" w:rsidRPr="00C36483" w:rsidRDefault="00E519C9" w:rsidP="00AD7D95">
            <w:pPr>
              <w:pStyle w:val="naisf"/>
              <w:spacing w:before="0" w:after="0"/>
              <w:ind w:firstLine="0"/>
              <w:rPr>
                <w:i/>
                <w:sz w:val="28"/>
                <w:szCs w:val="28"/>
              </w:rPr>
            </w:pPr>
            <w:r w:rsidRPr="00C36483">
              <w:rPr>
                <w:sz w:val="28"/>
                <w:szCs w:val="28"/>
              </w:rPr>
              <w:t>1. Budžeta ieņēmumi:</w:t>
            </w:r>
          </w:p>
        </w:tc>
        <w:tc>
          <w:tcPr>
            <w:tcW w:w="1331" w:type="dxa"/>
            <w:vAlign w:val="center"/>
          </w:tcPr>
          <w:p w:rsidR="00E519C9" w:rsidRDefault="00E519C9">
            <w:pPr>
              <w:pStyle w:val="naisc"/>
              <w:jc w:val="center"/>
              <w:rPr>
                <w:sz w:val="28"/>
                <w:szCs w:val="28"/>
              </w:rPr>
            </w:pPr>
          </w:p>
        </w:tc>
        <w:tc>
          <w:tcPr>
            <w:tcW w:w="1354" w:type="dxa"/>
            <w:vAlign w:val="center"/>
          </w:tcPr>
          <w:p w:rsidR="00E519C9" w:rsidRDefault="00F775C8">
            <w:pPr>
              <w:pStyle w:val="naisc"/>
              <w:jc w:val="center"/>
              <w:rPr>
                <w:sz w:val="28"/>
                <w:szCs w:val="28"/>
              </w:rPr>
            </w:pPr>
            <w:r>
              <w:rPr>
                <w:sz w:val="28"/>
                <w:szCs w:val="28"/>
              </w:rPr>
              <w:t>0</w:t>
            </w:r>
          </w:p>
        </w:tc>
        <w:tc>
          <w:tcPr>
            <w:tcW w:w="1354" w:type="dxa"/>
            <w:vAlign w:val="center"/>
          </w:tcPr>
          <w:p w:rsidR="00E519C9" w:rsidRPr="00C36483" w:rsidRDefault="00E519C9" w:rsidP="00414510">
            <w:pPr>
              <w:pStyle w:val="naisf"/>
              <w:ind w:firstLine="0"/>
              <w:jc w:val="center"/>
              <w:rPr>
                <w:sz w:val="28"/>
                <w:szCs w:val="28"/>
              </w:rPr>
            </w:pPr>
          </w:p>
        </w:tc>
        <w:tc>
          <w:tcPr>
            <w:tcW w:w="1355" w:type="dxa"/>
            <w:vAlign w:val="center"/>
          </w:tcPr>
          <w:p w:rsidR="00E519C9" w:rsidRPr="00C36483" w:rsidRDefault="00E519C9" w:rsidP="00414510">
            <w:pPr>
              <w:pStyle w:val="naisf"/>
              <w:ind w:firstLine="0"/>
              <w:jc w:val="center"/>
              <w:rPr>
                <w:sz w:val="28"/>
                <w:szCs w:val="28"/>
              </w:rPr>
            </w:pPr>
          </w:p>
        </w:tc>
        <w:tc>
          <w:tcPr>
            <w:tcW w:w="1406" w:type="dxa"/>
            <w:vAlign w:val="center"/>
          </w:tcPr>
          <w:p w:rsidR="00E519C9" w:rsidRPr="00C36483" w:rsidRDefault="00E519C9" w:rsidP="00414510">
            <w:pPr>
              <w:pStyle w:val="naisf"/>
              <w:ind w:firstLine="0"/>
              <w:jc w:val="center"/>
              <w:rPr>
                <w:sz w:val="28"/>
                <w:szCs w:val="28"/>
              </w:rPr>
            </w:pPr>
          </w:p>
        </w:tc>
      </w:tr>
      <w:tr w:rsidR="00E519C9" w:rsidRPr="00C36483" w:rsidTr="00414510">
        <w:trPr>
          <w:jc w:val="center"/>
        </w:trPr>
        <w:tc>
          <w:tcPr>
            <w:tcW w:w="3324" w:type="dxa"/>
          </w:tcPr>
          <w:p w:rsidR="00E519C9" w:rsidRPr="00C36483" w:rsidRDefault="00E519C9" w:rsidP="00AD7D95">
            <w:pPr>
              <w:pStyle w:val="naisf"/>
              <w:spacing w:before="0" w:after="0"/>
              <w:ind w:firstLine="0"/>
              <w:rPr>
                <w:i/>
                <w:sz w:val="28"/>
                <w:szCs w:val="28"/>
              </w:rPr>
            </w:pPr>
            <w:r w:rsidRPr="00C36483">
              <w:rPr>
                <w:sz w:val="28"/>
                <w:szCs w:val="28"/>
              </w:rPr>
              <w:t>1.1. valsts pamatbudžets, tai skaitā ieņēmumi no maksas pakalpojumiem un citi pašu ieņēmumi</w:t>
            </w:r>
          </w:p>
        </w:tc>
        <w:tc>
          <w:tcPr>
            <w:tcW w:w="1331" w:type="dxa"/>
            <w:vAlign w:val="center"/>
          </w:tcPr>
          <w:p w:rsidR="00E519C9" w:rsidRDefault="00E519C9">
            <w:pPr>
              <w:pStyle w:val="naisc"/>
              <w:jc w:val="center"/>
              <w:rPr>
                <w:sz w:val="28"/>
                <w:szCs w:val="28"/>
              </w:rPr>
            </w:pPr>
          </w:p>
        </w:tc>
        <w:tc>
          <w:tcPr>
            <w:tcW w:w="1354" w:type="dxa"/>
            <w:vAlign w:val="center"/>
          </w:tcPr>
          <w:p w:rsidR="00E519C9" w:rsidRDefault="00F775C8">
            <w:pPr>
              <w:pStyle w:val="naisc"/>
              <w:jc w:val="center"/>
              <w:rPr>
                <w:sz w:val="28"/>
                <w:szCs w:val="28"/>
              </w:rPr>
            </w:pPr>
            <w:r>
              <w:rPr>
                <w:sz w:val="28"/>
                <w:szCs w:val="28"/>
              </w:rPr>
              <w:t>0</w:t>
            </w:r>
          </w:p>
        </w:tc>
        <w:tc>
          <w:tcPr>
            <w:tcW w:w="1354" w:type="dxa"/>
            <w:vAlign w:val="center"/>
          </w:tcPr>
          <w:p w:rsidR="00E519C9" w:rsidRPr="00C36483" w:rsidRDefault="00E519C9" w:rsidP="00414510">
            <w:pPr>
              <w:pStyle w:val="naisc"/>
              <w:jc w:val="center"/>
              <w:rPr>
                <w:sz w:val="28"/>
                <w:szCs w:val="28"/>
              </w:rPr>
            </w:pPr>
          </w:p>
        </w:tc>
        <w:tc>
          <w:tcPr>
            <w:tcW w:w="1355" w:type="dxa"/>
            <w:vAlign w:val="center"/>
          </w:tcPr>
          <w:p w:rsidR="00E519C9" w:rsidRPr="00C36483" w:rsidRDefault="00E519C9" w:rsidP="00414510">
            <w:pPr>
              <w:pStyle w:val="naisc"/>
              <w:jc w:val="center"/>
              <w:rPr>
                <w:sz w:val="28"/>
                <w:szCs w:val="28"/>
              </w:rPr>
            </w:pPr>
          </w:p>
        </w:tc>
        <w:tc>
          <w:tcPr>
            <w:tcW w:w="1406" w:type="dxa"/>
            <w:vAlign w:val="center"/>
          </w:tcPr>
          <w:p w:rsidR="00E519C9" w:rsidRPr="00C36483" w:rsidRDefault="00E519C9" w:rsidP="00414510">
            <w:pPr>
              <w:pStyle w:val="naisc"/>
              <w:jc w:val="center"/>
              <w:rPr>
                <w:sz w:val="28"/>
                <w:szCs w:val="28"/>
              </w:rPr>
            </w:pPr>
          </w:p>
        </w:tc>
      </w:tr>
      <w:tr w:rsidR="00D17609" w:rsidRPr="00C36483" w:rsidTr="00414510">
        <w:trPr>
          <w:jc w:val="center"/>
        </w:trPr>
        <w:tc>
          <w:tcPr>
            <w:tcW w:w="3324" w:type="dxa"/>
          </w:tcPr>
          <w:p w:rsidR="00D17609" w:rsidRPr="00C36483" w:rsidRDefault="00D17609" w:rsidP="00AD7D95">
            <w:pPr>
              <w:pStyle w:val="naisf"/>
              <w:spacing w:before="0" w:after="0"/>
              <w:ind w:firstLine="0"/>
              <w:rPr>
                <w:i/>
                <w:sz w:val="28"/>
                <w:szCs w:val="28"/>
              </w:rPr>
            </w:pPr>
            <w:r w:rsidRPr="00C36483">
              <w:rPr>
                <w:sz w:val="28"/>
                <w:szCs w:val="28"/>
              </w:rPr>
              <w:t>1.2. valsts speciālais budžets</w:t>
            </w:r>
          </w:p>
        </w:tc>
        <w:tc>
          <w:tcPr>
            <w:tcW w:w="1331" w:type="dxa"/>
            <w:vAlign w:val="center"/>
          </w:tcPr>
          <w:p w:rsidR="00D17609" w:rsidRPr="00C36483" w:rsidRDefault="00D17609" w:rsidP="00414510">
            <w:pPr>
              <w:pStyle w:val="naisc"/>
              <w:jc w:val="center"/>
              <w:rPr>
                <w:sz w:val="28"/>
                <w:szCs w:val="28"/>
              </w:rPr>
            </w:pPr>
          </w:p>
        </w:tc>
        <w:tc>
          <w:tcPr>
            <w:tcW w:w="1354" w:type="dxa"/>
            <w:vAlign w:val="center"/>
          </w:tcPr>
          <w:p w:rsidR="00D17609" w:rsidRPr="00C36483" w:rsidRDefault="00D17609" w:rsidP="00414510">
            <w:pPr>
              <w:pStyle w:val="naisc"/>
              <w:jc w:val="center"/>
              <w:rPr>
                <w:sz w:val="28"/>
                <w:szCs w:val="28"/>
              </w:rPr>
            </w:pPr>
          </w:p>
        </w:tc>
        <w:tc>
          <w:tcPr>
            <w:tcW w:w="1354" w:type="dxa"/>
            <w:vAlign w:val="center"/>
          </w:tcPr>
          <w:p w:rsidR="00D17609" w:rsidRPr="00C36483" w:rsidRDefault="00D17609" w:rsidP="00414510">
            <w:pPr>
              <w:pStyle w:val="naisf"/>
              <w:ind w:firstLine="0"/>
              <w:jc w:val="center"/>
              <w:rPr>
                <w:sz w:val="28"/>
                <w:szCs w:val="28"/>
              </w:rPr>
            </w:pPr>
          </w:p>
        </w:tc>
        <w:tc>
          <w:tcPr>
            <w:tcW w:w="1355" w:type="dxa"/>
            <w:vAlign w:val="center"/>
          </w:tcPr>
          <w:p w:rsidR="00D17609" w:rsidRPr="00C36483" w:rsidRDefault="00D17609" w:rsidP="00414510">
            <w:pPr>
              <w:pStyle w:val="naisf"/>
              <w:ind w:firstLine="0"/>
              <w:jc w:val="center"/>
              <w:rPr>
                <w:sz w:val="28"/>
                <w:szCs w:val="28"/>
              </w:rPr>
            </w:pPr>
          </w:p>
        </w:tc>
        <w:tc>
          <w:tcPr>
            <w:tcW w:w="1406" w:type="dxa"/>
            <w:vAlign w:val="center"/>
          </w:tcPr>
          <w:p w:rsidR="00D17609" w:rsidRPr="00C36483" w:rsidRDefault="00D17609" w:rsidP="00414510">
            <w:pPr>
              <w:pStyle w:val="naisf"/>
              <w:ind w:firstLine="0"/>
              <w:jc w:val="center"/>
              <w:rPr>
                <w:sz w:val="28"/>
                <w:szCs w:val="28"/>
              </w:rPr>
            </w:pPr>
          </w:p>
        </w:tc>
      </w:tr>
      <w:tr w:rsidR="00D17609" w:rsidRPr="00C36483" w:rsidTr="00414510">
        <w:trPr>
          <w:jc w:val="center"/>
        </w:trPr>
        <w:tc>
          <w:tcPr>
            <w:tcW w:w="3324" w:type="dxa"/>
          </w:tcPr>
          <w:p w:rsidR="00D17609" w:rsidRPr="00C36483" w:rsidRDefault="00D17609" w:rsidP="00AD7D95">
            <w:pPr>
              <w:pStyle w:val="naisf"/>
              <w:spacing w:before="0" w:after="0"/>
              <w:ind w:firstLine="0"/>
              <w:rPr>
                <w:i/>
                <w:sz w:val="28"/>
                <w:szCs w:val="28"/>
              </w:rPr>
            </w:pPr>
            <w:r w:rsidRPr="00C36483">
              <w:rPr>
                <w:sz w:val="28"/>
                <w:szCs w:val="28"/>
              </w:rPr>
              <w:t>1.3. pašvaldību budžets</w:t>
            </w:r>
          </w:p>
        </w:tc>
        <w:tc>
          <w:tcPr>
            <w:tcW w:w="1331" w:type="dxa"/>
            <w:vAlign w:val="center"/>
          </w:tcPr>
          <w:p w:rsidR="00D17609" w:rsidRPr="00C36483" w:rsidRDefault="00D17609" w:rsidP="00414510">
            <w:pPr>
              <w:pStyle w:val="naisc"/>
              <w:jc w:val="center"/>
              <w:rPr>
                <w:sz w:val="28"/>
                <w:szCs w:val="28"/>
              </w:rPr>
            </w:pPr>
          </w:p>
        </w:tc>
        <w:tc>
          <w:tcPr>
            <w:tcW w:w="1354" w:type="dxa"/>
            <w:vAlign w:val="center"/>
          </w:tcPr>
          <w:p w:rsidR="00D17609" w:rsidRPr="00C36483" w:rsidRDefault="00D17609" w:rsidP="00414510">
            <w:pPr>
              <w:pStyle w:val="naisc"/>
              <w:jc w:val="center"/>
              <w:rPr>
                <w:sz w:val="28"/>
                <w:szCs w:val="28"/>
              </w:rPr>
            </w:pPr>
          </w:p>
        </w:tc>
        <w:tc>
          <w:tcPr>
            <w:tcW w:w="1354" w:type="dxa"/>
            <w:vAlign w:val="center"/>
          </w:tcPr>
          <w:p w:rsidR="00D17609" w:rsidRPr="00C36483" w:rsidRDefault="00D17609" w:rsidP="00414510">
            <w:pPr>
              <w:pStyle w:val="naisf"/>
              <w:ind w:firstLine="0"/>
              <w:jc w:val="center"/>
              <w:rPr>
                <w:sz w:val="28"/>
                <w:szCs w:val="28"/>
              </w:rPr>
            </w:pPr>
          </w:p>
        </w:tc>
        <w:tc>
          <w:tcPr>
            <w:tcW w:w="1355" w:type="dxa"/>
            <w:vAlign w:val="center"/>
          </w:tcPr>
          <w:p w:rsidR="00D17609" w:rsidRPr="00C36483" w:rsidRDefault="00D17609" w:rsidP="00414510">
            <w:pPr>
              <w:pStyle w:val="naisf"/>
              <w:ind w:firstLine="0"/>
              <w:jc w:val="center"/>
              <w:rPr>
                <w:sz w:val="28"/>
                <w:szCs w:val="28"/>
              </w:rPr>
            </w:pPr>
          </w:p>
        </w:tc>
        <w:tc>
          <w:tcPr>
            <w:tcW w:w="1406" w:type="dxa"/>
            <w:vAlign w:val="center"/>
          </w:tcPr>
          <w:p w:rsidR="00D17609" w:rsidRPr="00C36483" w:rsidRDefault="00D17609" w:rsidP="00414510">
            <w:pPr>
              <w:pStyle w:val="naisf"/>
              <w:ind w:firstLine="0"/>
              <w:jc w:val="center"/>
              <w:rPr>
                <w:sz w:val="28"/>
                <w:szCs w:val="28"/>
              </w:rPr>
            </w:pPr>
          </w:p>
        </w:tc>
      </w:tr>
      <w:tr w:rsidR="00E519C9" w:rsidRPr="00C36483" w:rsidTr="00213A1D">
        <w:trPr>
          <w:jc w:val="center"/>
        </w:trPr>
        <w:tc>
          <w:tcPr>
            <w:tcW w:w="3324" w:type="dxa"/>
          </w:tcPr>
          <w:p w:rsidR="00E519C9" w:rsidRPr="00C36483" w:rsidRDefault="00E519C9" w:rsidP="00E519C9">
            <w:pPr>
              <w:ind w:firstLine="0"/>
              <w:rPr>
                <w:sz w:val="28"/>
                <w:szCs w:val="28"/>
              </w:rPr>
            </w:pPr>
            <w:r w:rsidRPr="00C36483">
              <w:rPr>
                <w:sz w:val="28"/>
                <w:szCs w:val="28"/>
              </w:rPr>
              <w:t>2. Budžeta izdevumi:</w:t>
            </w:r>
          </w:p>
        </w:tc>
        <w:tc>
          <w:tcPr>
            <w:tcW w:w="1331" w:type="dxa"/>
            <w:shd w:val="clear" w:color="auto" w:fill="auto"/>
            <w:vAlign w:val="center"/>
          </w:tcPr>
          <w:p w:rsidR="00E519C9" w:rsidRDefault="00E519C9">
            <w:pPr>
              <w:pStyle w:val="naisc"/>
              <w:jc w:val="center"/>
              <w:rPr>
                <w:sz w:val="28"/>
                <w:szCs w:val="28"/>
              </w:rPr>
            </w:pPr>
          </w:p>
        </w:tc>
        <w:tc>
          <w:tcPr>
            <w:tcW w:w="1354" w:type="dxa"/>
            <w:shd w:val="clear" w:color="auto" w:fill="auto"/>
            <w:vAlign w:val="center"/>
          </w:tcPr>
          <w:p w:rsidR="00E519C9" w:rsidRDefault="00E519C9">
            <w:pPr>
              <w:pStyle w:val="naisc"/>
              <w:jc w:val="center"/>
              <w:rPr>
                <w:sz w:val="28"/>
                <w:szCs w:val="28"/>
              </w:rPr>
            </w:pPr>
            <w:r>
              <w:rPr>
                <w:sz w:val="28"/>
                <w:szCs w:val="28"/>
              </w:rPr>
              <w:t>+210,1</w:t>
            </w:r>
          </w:p>
        </w:tc>
        <w:tc>
          <w:tcPr>
            <w:tcW w:w="1354" w:type="dxa"/>
            <w:shd w:val="clear" w:color="auto" w:fill="auto"/>
            <w:vAlign w:val="center"/>
          </w:tcPr>
          <w:p w:rsidR="00E519C9" w:rsidRPr="00C36483" w:rsidRDefault="00E519C9" w:rsidP="00AD7D95">
            <w:pPr>
              <w:pStyle w:val="naisf"/>
              <w:ind w:firstLine="0"/>
              <w:jc w:val="center"/>
              <w:rPr>
                <w:sz w:val="28"/>
                <w:szCs w:val="28"/>
              </w:rPr>
            </w:pPr>
          </w:p>
        </w:tc>
        <w:tc>
          <w:tcPr>
            <w:tcW w:w="1355" w:type="dxa"/>
            <w:shd w:val="clear" w:color="auto" w:fill="auto"/>
            <w:vAlign w:val="center"/>
          </w:tcPr>
          <w:p w:rsidR="00E519C9" w:rsidRPr="00C36483" w:rsidRDefault="00E519C9" w:rsidP="00AD7D95">
            <w:pPr>
              <w:pStyle w:val="naisf"/>
              <w:ind w:firstLine="0"/>
              <w:jc w:val="center"/>
              <w:rPr>
                <w:sz w:val="28"/>
                <w:szCs w:val="28"/>
              </w:rPr>
            </w:pPr>
          </w:p>
        </w:tc>
        <w:tc>
          <w:tcPr>
            <w:tcW w:w="1406" w:type="dxa"/>
            <w:shd w:val="clear" w:color="auto" w:fill="auto"/>
            <w:vAlign w:val="center"/>
          </w:tcPr>
          <w:p w:rsidR="00E519C9" w:rsidRPr="00C36483" w:rsidRDefault="00E519C9" w:rsidP="00AD7D95">
            <w:pPr>
              <w:pStyle w:val="naisf"/>
              <w:ind w:firstLine="0"/>
              <w:jc w:val="center"/>
              <w:rPr>
                <w:sz w:val="28"/>
                <w:szCs w:val="28"/>
              </w:rPr>
            </w:pPr>
          </w:p>
        </w:tc>
      </w:tr>
      <w:tr w:rsidR="00E519C9" w:rsidRPr="00C36483" w:rsidTr="00213A1D">
        <w:trPr>
          <w:jc w:val="center"/>
        </w:trPr>
        <w:tc>
          <w:tcPr>
            <w:tcW w:w="3324" w:type="dxa"/>
          </w:tcPr>
          <w:p w:rsidR="00E519C9" w:rsidRPr="00C36483" w:rsidRDefault="00E519C9" w:rsidP="00E519C9">
            <w:pPr>
              <w:ind w:firstLine="0"/>
              <w:rPr>
                <w:sz w:val="28"/>
                <w:szCs w:val="28"/>
              </w:rPr>
            </w:pPr>
            <w:r w:rsidRPr="00C36483">
              <w:rPr>
                <w:sz w:val="28"/>
                <w:szCs w:val="28"/>
              </w:rPr>
              <w:t>2.1. valsts pamatbudžets</w:t>
            </w:r>
          </w:p>
        </w:tc>
        <w:tc>
          <w:tcPr>
            <w:tcW w:w="1331" w:type="dxa"/>
            <w:shd w:val="clear" w:color="auto" w:fill="auto"/>
            <w:vAlign w:val="center"/>
          </w:tcPr>
          <w:p w:rsidR="00E519C9" w:rsidRDefault="00E519C9">
            <w:pPr>
              <w:pStyle w:val="naisc"/>
              <w:jc w:val="center"/>
              <w:rPr>
                <w:sz w:val="28"/>
                <w:szCs w:val="28"/>
              </w:rPr>
            </w:pPr>
          </w:p>
        </w:tc>
        <w:tc>
          <w:tcPr>
            <w:tcW w:w="1354" w:type="dxa"/>
            <w:shd w:val="clear" w:color="auto" w:fill="auto"/>
            <w:vAlign w:val="center"/>
          </w:tcPr>
          <w:p w:rsidR="00E519C9" w:rsidRDefault="00E519C9">
            <w:pPr>
              <w:pStyle w:val="naisc"/>
              <w:jc w:val="center"/>
              <w:rPr>
                <w:sz w:val="28"/>
                <w:szCs w:val="28"/>
              </w:rPr>
            </w:pPr>
            <w:r>
              <w:rPr>
                <w:sz w:val="28"/>
                <w:szCs w:val="28"/>
              </w:rPr>
              <w:t>+210,1</w:t>
            </w:r>
          </w:p>
        </w:tc>
        <w:tc>
          <w:tcPr>
            <w:tcW w:w="1354" w:type="dxa"/>
            <w:shd w:val="clear" w:color="auto" w:fill="auto"/>
            <w:vAlign w:val="center"/>
          </w:tcPr>
          <w:p w:rsidR="00E519C9" w:rsidRPr="00C36483" w:rsidRDefault="00E519C9" w:rsidP="00AD7D95">
            <w:pPr>
              <w:pStyle w:val="naisf"/>
              <w:ind w:firstLine="0"/>
              <w:jc w:val="center"/>
              <w:rPr>
                <w:sz w:val="28"/>
                <w:szCs w:val="28"/>
              </w:rPr>
            </w:pPr>
          </w:p>
        </w:tc>
        <w:tc>
          <w:tcPr>
            <w:tcW w:w="1355" w:type="dxa"/>
            <w:shd w:val="clear" w:color="auto" w:fill="auto"/>
            <w:vAlign w:val="center"/>
          </w:tcPr>
          <w:p w:rsidR="00E519C9" w:rsidRPr="00C36483" w:rsidRDefault="00E519C9" w:rsidP="00AD7D95">
            <w:pPr>
              <w:pStyle w:val="naisf"/>
              <w:ind w:firstLine="0"/>
              <w:jc w:val="center"/>
              <w:rPr>
                <w:sz w:val="28"/>
                <w:szCs w:val="28"/>
              </w:rPr>
            </w:pPr>
          </w:p>
        </w:tc>
        <w:tc>
          <w:tcPr>
            <w:tcW w:w="1406" w:type="dxa"/>
            <w:shd w:val="clear" w:color="auto" w:fill="auto"/>
            <w:vAlign w:val="center"/>
          </w:tcPr>
          <w:p w:rsidR="00E519C9" w:rsidRPr="00C36483" w:rsidRDefault="00E519C9" w:rsidP="00AD7D95">
            <w:pPr>
              <w:pStyle w:val="naisf"/>
              <w:ind w:firstLine="0"/>
              <w:jc w:val="center"/>
              <w:rPr>
                <w:sz w:val="28"/>
                <w:szCs w:val="28"/>
              </w:rPr>
            </w:pPr>
          </w:p>
        </w:tc>
      </w:tr>
      <w:tr w:rsidR="00213A1D" w:rsidRPr="00C36483" w:rsidTr="00213A1D">
        <w:trPr>
          <w:jc w:val="center"/>
        </w:trPr>
        <w:tc>
          <w:tcPr>
            <w:tcW w:w="3324" w:type="dxa"/>
          </w:tcPr>
          <w:p w:rsidR="00213A1D" w:rsidRPr="00C36483" w:rsidRDefault="00213A1D" w:rsidP="00E519C9">
            <w:pPr>
              <w:ind w:firstLine="0"/>
              <w:rPr>
                <w:sz w:val="28"/>
                <w:szCs w:val="28"/>
              </w:rPr>
            </w:pPr>
            <w:r w:rsidRPr="00C36483">
              <w:rPr>
                <w:sz w:val="28"/>
                <w:szCs w:val="28"/>
              </w:rPr>
              <w:t>2.2. valsts speciālais budžets</w:t>
            </w:r>
          </w:p>
        </w:tc>
        <w:tc>
          <w:tcPr>
            <w:tcW w:w="1331" w:type="dxa"/>
            <w:shd w:val="clear" w:color="auto" w:fill="auto"/>
            <w:vAlign w:val="center"/>
          </w:tcPr>
          <w:p w:rsidR="00213A1D" w:rsidRPr="00C36483" w:rsidRDefault="00213A1D" w:rsidP="00AD7D95">
            <w:pPr>
              <w:pStyle w:val="naisc"/>
              <w:jc w:val="center"/>
              <w:rPr>
                <w:sz w:val="28"/>
                <w:szCs w:val="28"/>
              </w:rPr>
            </w:pPr>
          </w:p>
        </w:tc>
        <w:tc>
          <w:tcPr>
            <w:tcW w:w="1354" w:type="dxa"/>
            <w:shd w:val="clear" w:color="auto" w:fill="auto"/>
            <w:vAlign w:val="center"/>
          </w:tcPr>
          <w:p w:rsidR="00213A1D" w:rsidRPr="00C36483" w:rsidRDefault="00213A1D" w:rsidP="00AD7D95">
            <w:pPr>
              <w:pStyle w:val="naisf"/>
              <w:ind w:firstLine="0"/>
              <w:jc w:val="center"/>
              <w:rPr>
                <w:sz w:val="28"/>
                <w:szCs w:val="28"/>
              </w:rPr>
            </w:pPr>
          </w:p>
        </w:tc>
        <w:tc>
          <w:tcPr>
            <w:tcW w:w="1354" w:type="dxa"/>
            <w:shd w:val="clear" w:color="auto" w:fill="auto"/>
            <w:vAlign w:val="center"/>
          </w:tcPr>
          <w:p w:rsidR="00213A1D" w:rsidRPr="00C36483" w:rsidRDefault="00213A1D" w:rsidP="00AD7D95">
            <w:pPr>
              <w:pStyle w:val="naisf"/>
              <w:ind w:firstLine="0"/>
              <w:jc w:val="center"/>
              <w:rPr>
                <w:sz w:val="28"/>
                <w:szCs w:val="28"/>
              </w:rPr>
            </w:pPr>
          </w:p>
        </w:tc>
        <w:tc>
          <w:tcPr>
            <w:tcW w:w="1355" w:type="dxa"/>
            <w:shd w:val="clear" w:color="auto" w:fill="auto"/>
            <w:vAlign w:val="center"/>
          </w:tcPr>
          <w:p w:rsidR="00213A1D" w:rsidRPr="00C36483" w:rsidRDefault="00213A1D" w:rsidP="00AD7D95">
            <w:pPr>
              <w:pStyle w:val="naisf"/>
              <w:ind w:firstLine="0"/>
              <w:jc w:val="center"/>
              <w:rPr>
                <w:sz w:val="28"/>
                <w:szCs w:val="28"/>
              </w:rPr>
            </w:pPr>
          </w:p>
        </w:tc>
        <w:tc>
          <w:tcPr>
            <w:tcW w:w="1406" w:type="dxa"/>
            <w:shd w:val="clear" w:color="auto" w:fill="auto"/>
            <w:vAlign w:val="center"/>
          </w:tcPr>
          <w:p w:rsidR="00213A1D" w:rsidRPr="00C36483" w:rsidRDefault="00213A1D" w:rsidP="00AD7D95">
            <w:pPr>
              <w:pStyle w:val="naisf"/>
              <w:ind w:firstLine="0"/>
              <w:jc w:val="center"/>
              <w:rPr>
                <w:sz w:val="28"/>
                <w:szCs w:val="28"/>
              </w:rPr>
            </w:pPr>
          </w:p>
        </w:tc>
      </w:tr>
      <w:tr w:rsidR="00213A1D" w:rsidRPr="00C36483" w:rsidTr="00213A1D">
        <w:trPr>
          <w:jc w:val="center"/>
        </w:trPr>
        <w:tc>
          <w:tcPr>
            <w:tcW w:w="3324" w:type="dxa"/>
          </w:tcPr>
          <w:p w:rsidR="00213A1D" w:rsidRPr="00C36483" w:rsidRDefault="00213A1D" w:rsidP="00E519C9">
            <w:pPr>
              <w:ind w:firstLine="0"/>
              <w:rPr>
                <w:sz w:val="28"/>
                <w:szCs w:val="28"/>
              </w:rPr>
            </w:pPr>
            <w:r w:rsidRPr="00C36483">
              <w:rPr>
                <w:sz w:val="28"/>
                <w:szCs w:val="28"/>
              </w:rPr>
              <w:t xml:space="preserve">2.3. pašvaldību budžets </w:t>
            </w:r>
          </w:p>
        </w:tc>
        <w:tc>
          <w:tcPr>
            <w:tcW w:w="1331" w:type="dxa"/>
            <w:shd w:val="clear" w:color="auto" w:fill="auto"/>
            <w:vAlign w:val="center"/>
          </w:tcPr>
          <w:p w:rsidR="00213A1D" w:rsidRPr="00C36483" w:rsidRDefault="00213A1D" w:rsidP="00AD7D95">
            <w:pPr>
              <w:pStyle w:val="naisc"/>
              <w:jc w:val="center"/>
              <w:rPr>
                <w:sz w:val="28"/>
                <w:szCs w:val="28"/>
              </w:rPr>
            </w:pPr>
          </w:p>
        </w:tc>
        <w:tc>
          <w:tcPr>
            <w:tcW w:w="1354" w:type="dxa"/>
            <w:shd w:val="clear" w:color="auto" w:fill="auto"/>
            <w:vAlign w:val="center"/>
          </w:tcPr>
          <w:p w:rsidR="00213A1D" w:rsidRPr="00C36483" w:rsidRDefault="00213A1D" w:rsidP="00AD7D95">
            <w:pPr>
              <w:pStyle w:val="naisf"/>
              <w:ind w:firstLine="0"/>
              <w:jc w:val="center"/>
              <w:rPr>
                <w:sz w:val="28"/>
                <w:szCs w:val="28"/>
              </w:rPr>
            </w:pPr>
          </w:p>
        </w:tc>
        <w:tc>
          <w:tcPr>
            <w:tcW w:w="1354" w:type="dxa"/>
            <w:shd w:val="clear" w:color="auto" w:fill="auto"/>
            <w:vAlign w:val="center"/>
          </w:tcPr>
          <w:p w:rsidR="00213A1D" w:rsidRPr="00C36483" w:rsidRDefault="00213A1D" w:rsidP="00AD7D95">
            <w:pPr>
              <w:pStyle w:val="naisf"/>
              <w:ind w:firstLine="0"/>
              <w:jc w:val="center"/>
              <w:rPr>
                <w:sz w:val="28"/>
                <w:szCs w:val="28"/>
              </w:rPr>
            </w:pPr>
          </w:p>
        </w:tc>
        <w:tc>
          <w:tcPr>
            <w:tcW w:w="1355" w:type="dxa"/>
            <w:shd w:val="clear" w:color="auto" w:fill="auto"/>
            <w:vAlign w:val="center"/>
          </w:tcPr>
          <w:p w:rsidR="00213A1D" w:rsidRPr="00C36483" w:rsidRDefault="00213A1D" w:rsidP="00AD7D95">
            <w:pPr>
              <w:pStyle w:val="naisf"/>
              <w:ind w:firstLine="0"/>
              <w:jc w:val="center"/>
              <w:rPr>
                <w:sz w:val="28"/>
                <w:szCs w:val="28"/>
              </w:rPr>
            </w:pPr>
          </w:p>
        </w:tc>
        <w:tc>
          <w:tcPr>
            <w:tcW w:w="1406" w:type="dxa"/>
            <w:shd w:val="clear" w:color="auto" w:fill="auto"/>
            <w:vAlign w:val="center"/>
          </w:tcPr>
          <w:p w:rsidR="00213A1D" w:rsidRPr="00C36483" w:rsidRDefault="00213A1D" w:rsidP="00AD7D95">
            <w:pPr>
              <w:pStyle w:val="naisf"/>
              <w:ind w:firstLine="0"/>
              <w:jc w:val="center"/>
              <w:rPr>
                <w:sz w:val="28"/>
                <w:szCs w:val="28"/>
              </w:rPr>
            </w:pPr>
          </w:p>
        </w:tc>
      </w:tr>
      <w:tr w:rsidR="00213A1D" w:rsidRPr="00C36483" w:rsidTr="00213A1D">
        <w:trPr>
          <w:jc w:val="center"/>
        </w:trPr>
        <w:tc>
          <w:tcPr>
            <w:tcW w:w="3324" w:type="dxa"/>
          </w:tcPr>
          <w:p w:rsidR="00213A1D" w:rsidRPr="00C36483" w:rsidRDefault="00213A1D" w:rsidP="00E519C9">
            <w:pPr>
              <w:ind w:firstLine="0"/>
              <w:rPr>
                <w:sz w:val="28"/>
                <w:szCs w:val="28"/>
              </w:rPr>
            </w:pPr>
            <w:r w:rsidRPr="00C36483">
              <w:rPr>
                <w:sz w:val="28"/>
                <w:szCs w:val="28"/>
              </w:rPr>
              <w:t>3. Finansiālā ietekme:</w:t>
            </w:r>
          </w:p>
        </w:tc>
        <w:tc>
          <w:tcPr>
            <w:tcW w:w="1331" w:type="dxa"/>
            <w:shd w:val="clear" w:color="auto" w:fill="auto"/>
            <w:vAlign w:val="center"/>
          </w:tcPr>
          <w:p w:rsidR="00213A1D" w:rsidRPr="00C36483" w:rsidRDefault="00213A1D" w:rsidP="00AD7D95">
            <w:pPr>
              <w:pStyle w:val="naisc"/>
              <w:jc w:val="center"/>
              <w:rPr>
                <w:sz w:val="28"/>
                <w:szCs w:val="28"/>
              </w:rPr>
            </w:pPr>
          </w:p>
        </w:tc>
        <w:tc>
          <w:tcPr>
            <w:tcW w:w="1354" w:type="dxa"/>
            <w:shd w:val="clear" w:color="auto" w:fill="auto"/>
            <w:vAlign w:val="center"/>
          </w:tcPr>
          <w:p w:rsidR="00213A1D" w:rsidRPr="00C36483" w:rsidRDefault="00F775C8" w:rsidP="00AD7D95">
            <w:pPr>
              <w:pStyle w:val="naisc"/>
              <w:jc w:val="center"/>
              <w:rPr>
                <w:sz w:val="28"/>
                <w:szCs w:val="28"/>
              </w:rPr>
            </w:pPr>
            <w:r>
              <w:rPr>
                <w:sz w:val="28"/>
                <w:szCs w:val="28"/>
              </w:rPr>
              <w:t>-210,1</w:t>
            </w:r>
          </w:p>
        </w:tc>
        <w:tc>
          <w:tcPr>
            <w:tcW w:w="1354" w:type="dxa"/>
            <w:shd w:val="clear" w:color="auto" w:fill="auto"/>
            <w:vAlign w:val="center"/>
          </w:tcPr>
          <w:p w:rsidR="00213A1D" w:rsidRPr="00C36483" w:rsidRDefault="00213A1D" w:rsidP="00AD7D95">
            <w:pPr>
              <w:pStyle w:val="naisf"/>
              <w:ind w:firstLine="0"/>
              <w:jc w:val="center"/>
              <w:rPr>
                <w:sz w:val="28"/>
                <w:szCs w:val="28"/>
              </w:rPr>
            </w:pPr>
          </w:p>
        </w:tc>
        <w:tc>
          <w:tcPr>
            <w:tcW w:w="1355" w:type="dxa"/>
            <w:shd w:val="clear" w:color="auto" w:fill="auto"/>
            <w:vAlign w:val="center"/>
          </w:tcPr>
          <w:p w:rsidR="00213A1D" w:rsidRPr="00C36483" w:rsidRDefault="00213A1D" w:rsidP="00AD7D95">
            <w:pPr>
              <w:pStyle w:val="naisf"/>
              <w:ind w:firstLine="0"/>
              <w:jc w:val="center"/>
              <w:rPr>
                <w:sz w:val="28"/>
                <w:szCs w:val="28"/>
              </w:rPr>
            </w:pPr>
          </w:p>
        </w:tc>
        <w:tc>
          <w:tcPr>
            <w:tcW w:w="1406" w:type="dxa"/>
            <w:shd w:val="clear" w:color="auto" w:fill="auto"/>
            <w:vAlign w:val="center"/>
          </w:tcPr>
          <w:p w:rsidR="00213A1D" w:rsidRPr="00C36483" w:rsidRDefault="00213A1D" w:rsidP="00AD7D95">
            <w:pPr>
              <w:pStyle w:val="naisf"/>
              <w:ind w:firstLine="0"/>
              <w:jc w:val="center"/>
              <w:rPr>
                <w:sz w:val="28"/>
                <w:szCs w:val="28"/>
              </w:rPr>
            </w:pPr>
          </w:p>
        </w:tc>
      </w:tr>
      <w:tr w:rsidR="00213A1D" w:rsidRPr="00C36483" w:rsidTr="00213A1D">
        <w:trPr>
          <w:jc w:val="center"/>
        </w:trPr>
        <w:tc>
          <w:tcPr>
            <w:tcW w:w="3324" w:type="dxa"/>
          </w:tcPr>
          <w:p w:rsidR="00213A1D" w:rsidRPr="00C36483" w:rsidRDefault="00213A1D" w:rsidP="00E519C9">
            <w:pPr>
              <w:ind w:firstLine="0"/>
              <w:rPr>
                <w:sz w:val="28"/>
                <w:szCs w:val="28"/>
              </w:rPr>
            </w:pPr>
            <w:r w:rsidRPr="00C36483">
              <w:rPr>
                <w:sz w:val="28"/>
                <w:szCs w:val="28"/>
              </w:rPr>
              <w:t>3.1. valsts pamatbudžets</w:t>
            </w:r>
          </w:p>
        </w:tc>
        <w:tc>
          <w:tcPr>
            <w:tcW w:w="1331" w:type="dxa"/>
            <w:shd w:val="clear" w:color="auto" w:fill="auto"/>
            <w:vAlign w:val="center"/>
          </w:tcPr>
          <w:p w:rsidR="00213A1D" w:rsidRPr="00C36483" w:rsidRDefault="00213A1D" w:rsidP="00AD7D95">
            <w:pPr>
              <w:pStyle w:val="naisc"/>
              <w:jc w:val="center"/>
              <w:rPr>
                <w:sz w:val="28"/>
                <w:szCs w:val="28"/>
              </w:rPr>
            </w:pPr>
          </w:p>
        </w:tc>
        <w:tc>
          <w:tcPr>
            <w:tcW w:w="1354" w:type="dxa"/>
            <w:shd w:val="clear" w:color="auto" w:fill="auto"/>
            <w:vAlign w:val="center"/>
          </w:tcPr>
          <w:p w:rsidR="00213A1D" w:rsidRPr="00C36483" w:rsidRDefault="00F775C8" w:rsidP="00AD7D95">
            <w:pPr>
              <w:pStyle w:val="naisc"/>
              <w:jc w:val="center"/>
              <w:rPr>
                <w:sz w:val="28"/>
                <w:szCs w:val="28"/>
              </w:rPr>
            </w:pPr>
            <w:r>
              <w:rPr>
                <w:sz w:val="28"/>
                <w:szCs w:val="28"/>
              </w:rPr>
              <w:t>-210,1</w:t>
            </w:r>
          </w:p>
        </w:tc>
        <w:tc>
          <w:tcPr>
            <w:tcW w:w="1354" w:type="dxa"/>
            <w:shd w:val="clear" w:color="auto" w:fill="auto"/>
            <w:vAlign w:val="center"/>
          </w:tcPr>
          <w:p w:rsidR="00213A1D" w:rsidRPr="00C36483" w:rsidRDefault="00213A1D" w:rsidP="00AD7D95">
            <w:pPr>
              <w:pStyle w:val="naisf"/>
              <w:ind w:firstLine="0"/>
              <w:jc w:val="center"/>
              <w:rPr>
                <w:sz w:val="28"/>
                <w:szCs w:val="28"/>
              </w:rPr>
            </w:pPr>
          </w:p>
        </w:tc>
        <w:tc>
          <w:tcPr>
            <w:tcW w:w="1355" w:type="dxa"/>
            <w:shd w:val="clear" w:color="auto" w:fill="auto"/>
            <w:vAlign w:val="center"/>
          </w:tcPr>
          <w:p w:rsidR="00213A1D" w:rsidRPr="00C36483" w:rsidRDefault="00213A1D" w:rsidP="00AD7D95">
            <w:pPr>
              <w:pStyle w:val="naisf"/>
              <w:ind w:firstLine="0"/>
              <w:jc w:val="center"/>
              <w:rPr>
                <w:sz w:val="28"/>
                <w:szCs w:val="28"/>
              </w:rPr>
            </w:pPr>
          </w:p>
        </w:tc>
        <w:tc>
          <w:tcPr>
            <w:tcW w:w="1406" w:type="dxa"/>
            <w:shd w:val="clear" w:color="auto" w:fill="auto"/>
            <w:vAlign w:val="center"/>
          </w:tcPr>
          <w:p w:rsidR="00213A1D" w:rsidRPr="00C36483" w:rsidRDefault="00213A1D" w:rsidP="00AD7D95">
            <w:pPr>
              <w:pStyle w:val="naisf"/>
              <w:ind w:firstLine="0"/>
              <w:jc w:val="center"/>
              <w:rPr>
                <w:sz w:val="28"/>
                <w:szCs w:val="28"/>
              </w:rPr>
            </w:pPr>
          </w:p>
        </w:tc>
      </w:tr>
      <w:tr w:rsidR="00213A1D" w:rsidRPr="00C36483" w:rsidTr="00213A1D">
        <w:trPr>
          <w:jc w:val="center"/>
        </w:trPr>
        <w:tc>
          <w:tcPr>
            <w:tcW w:w="3324" w:type="dxa"/>
          </w:tcPr>
          <w:p w:rsidR="00213A1D" w:rsidRPr="00C36483" w:rsidRDefault="00213A1D" w:rsidP="00E519C9">
            <w:pPr>
              <w:ind w:firstLine="0"/>
              <w:rPr>
                <w:sz w:val="28"/>
                <w:szCs w:val="28"/>
              </w:rPr>
            </w:pPr>
            <w:r w:rsidRPr="00C36483">
              <w:rPr>
                <w:sz w:val="28"/>
                <w:szCs w:val="28"/>
              </w:rPr>
              <w:t>3.2. speciālais budžets</w:t>
            </w:r>
          </w:p>
        </w:tc>
        <w:tc>
          <w:tcPr>
            <w:tcW w:w="1331" w:type="dxa"/>
            <w:shd w:val="clear" w:color="auto" w:fill="auto"/>
            <w:vAlign w:val="center"/>
          </w:tcPr>
          <w:p w:rsidR="00213A1D" w:rsidRPr="00C36483" w:rsidRDefault="00213A1D" w:rsidP="00AD7D95">
            <w:pPr>
              <w:pStyle w:val="naisc"/>
              <w:jc w:val="center"/>
              <w:rPr>
                <w:sz w:val="28"/>
                <w:szCs w:val="28"/>
              </w:rPr>
            </w:pPr>
          </w:p>
        </w:tc>
        <w:tc>
          <w:tcPr>
            <w:tcW w:w="1354" w:type="dxa"/>
            <w:shd w:val="clear" w:color="auto" w:fill="auto"/>
            <w:vAlign w:val="center"/>
          </w:tcPr>
          <w:p w:rsidR="00213A1D" w:rsidRPr="00C36483" w:rsidRDefault="00213A1D" w:rsidP="00AD7D95">
            <w:pPr>
              <w:pStyle w:val="naisc"/>
              <w:jc w:val="center"/>
              <w:rPr>
                <w:sz w:val="28"/>
                <w:szCs w:val="28"/>
              </w:rPr>
            </w:pPr>
          </w:p>
        </w:tc>
        <w:tc>
          <w:tcPr>
            <w:tcW w:w="1354" w:type="dxa"/>
            <w:shd w:val="clear" w:color="auto" w:fill="auto"/>
            <w:vAlign w:val="center"/>
          </w:tcPr>
          <w:p w:rsidR="00213A1D" w:rsidRPr="00C36483" w:rsidRDefault="00213A1D" w:rsidP="00AD7D95">
            <w:pPr>
              <w:pStyle w:val="naisf"/>
              <w:ind w:firstLine="0"/>
              <w:jc w:val="center"/>
              <w:rPr>
                <w:sz w:val="28"/>
                <w:szCs w:val="28"/>
              </w:rPr>
            </w:pPr>
          </w:p>
        </w:tc>
        <w:tc>
          <w:tcPr>
            <w:tcW w:w="1355" w:type="dxa"/>
            <w:shd w:val="clear" w:color="auto" w:fill="auto"/>
            <w:vAlign w:val="center"/>
          </w:tcPr>
          <w:p w:rsidR="00213A1D" w:rsidRPr="00C36483" w:rsidRDefault="00213A1D" w:rsidP="00AD7D95">
            <w:pPr>
              <w:pStyle w:val="naisf"/>
              <w:ind w:firstLine="0"/>
              <w:jc w:val="center"/>
              <w:rPr>
                <w:sz w:val="28"/>
                <w:szCs w:val="28"/>
              </w:rPr>
            </w:pPr>
          </w:p>
        </w:tc>
        <w:tc>
          <w:tcPr>
            <w:tcW w:w="1406" w:type="dxa"/>
            <w:shd w:val="clear" w:color="auto" w:fill="auto"/>
            <w:vAlign w:val="center"/>
          </w:tcPr>
          <w:p w:rsidR="00213A1D" w:rsidRPr="00C36483" w:rsidRDefault="00213A1D" w:rsidP="00AD7D95">
            <w:pPr>
              <w:pStyle w:val="naisf"/>
              <w:ind w:firstLine="0"/>
              <w:jc w:val="center"/>
              <w:rPr>
                <w:sz w:val="28"/>
                <w:szCs w:val="28"/>
              </w:rPr>
            </w:pPr>
          </w:p>
        </w:tc>
      </w:tr>
      <w:tr w:rsidR="00213A1D" w:rsidRPr="00C36483" w:rsidTr="00213A1D">
        <w:trPr>
          <w:jc w:val="center"/>
        </w:trPr>
        <w:tc>
          <w:tcPr>
            <w:tcW w:w="3324" w:type="dxa"/>
          </w:tcPr>
          <w:p w:rsidR="00213A1D" w:rsidRPr="00C36483" w:rsidRDefault="00213A1D" w:rsidP="00E519C9">
            <w:pPr>
              <w:ind w:firstLine="0"/>
              <w:rPr>
                <w:sz w:val="28"/>
                <w:szCs w:val="28"/>
              </w:rPr>
            </w:pPr>
            <w:r w:rsidRPr="00C36483">
              <w:rPr>
                <w:sz w:val="28"/>
                <w:szCs w:val="28"/>
              </w:rPr>
              <w:t xml:space="preserve">3.3. pašvaldību budžets </w:t>
            </w:r>
          </w:p>
        </w:tc>
        <w:tc>
          <w:tcPr>
            <w:tcW w:w="1331" w:type="dxa"/>
            <w:shd w:val="clear" w:color="auto" w:fill="auto"/>
            <w:vAlign w:val="center"/>
          </w:tcPr>
          <w:p w:rsidR="00213A1D" w:rsidRPr="00C36483" w:rsidRDefault="00213A1D" w:rsidP="00AD7D95">
            <w:pPr>
              <w:pStyle w:val="naisc"/>
              <w:jc w:val="center"/>
              <w:rPr>
                <w:sz w:val="28"/>
                <w:szCs w:val="28"/>
              </w:rPr>
            </w:pPr>
          </w:p>
        </w:tc>
        <w:tc>
          <w:tcPr>
            <w:tcW w:w="1354" w:type="dxa"/>
            <w:shd w:val="clear" w:color="auto" w:fill="auto"/>
            <w:vAlign w:val="center"/>
          </w:tcPr>
          <w:p w:rsidR="00213A1D" w:rsidRPr="00C36483" w:rsidRDefault="00213A1D" w:rsidP="00AD7D95">
            <w:pPr>
              <w:pStyle w:val="naisc"/>
              <w:jc w:val="center"/>
              <w:rPr>
                <w:sz w:val="28"/>
                <w:szCs w:val="28"/>
              </w:rPr>
            </w:pPr>
          </w:p>
        </w:tc>
        <w:tc>
          <w:tcPr>
            <w:tcW w:w="1354" w:type="dxa"/>
            <w:shd w:val="clear" w:color="auto" w:fill="auto"/>
            <w:vAlign w:val="center"/>
          </w:tcPr>
          <w:p w:rsidR="00213A1D" w:rsidRPr="00C36483" w:rsidRDefault="00213A1D" w:rsidP="00AD7D95">
            <w:pPr>
              <w:pStyle w:val="naisf"/>
              <w:ind w:firstLine="0"/>
              <w:jc w:val="center"/>
              <w:rPr>
                <w:sz w:val="28"/>
                <w:szCs w:val="28"/>
              </w:rPr>
            </w:pPr>
          </w:p>
        </w:tc>
        <w:tc>
          <w:tcPr>
            <w:tcW w:w="1355" w:type="dxa"/>
            <w:shd w:val="clear" w:color="auto" w:fill="auto"/>
            <w:vAlign w:val="center"/>
          </w:tcPr>
          <w:p w:rsidR="00213A1D" w:rsidRPr="00C36483" w:rsidRDefault="00213A1D" w:rsidP="00AD7D95">
            <w:pPr>
              <w:pStyle w:val="naisf"/>
              <w:ind w:firstLine="0"/>
              <w:jc w:val="center"/>
              <w:rPr>
                <w:sz w:val="28"/>
                <w:szCs w:val="28"/>
              </w:rPr>
            </w:pPr>
          </w:p>
        </w:tc>
        <w:tc>
          <w:tcPr>
            <w:tcW w:w="1406" w:type="dxa"/>
            <w:shd w:val="clear" w:color="auto" w:fill="auto"/>
            <w:vAlign w:val="center"/>
          </w:tcPr>
          <w:p w:rsidR="00213A1D" w:rsidRPr="00C36483" w:rsidRDefault="00213A1D" w:rsidP="00AD7D95">
            <w:pPr>
              <w:pStyle w:val="naisf"/>
              <w:ind w:firstLine="0"/>
              <w:jc w:val="center"/>
              <w:rPr>
                <w:sz w:val="28"/>
                <w:szCs w:val="28"/>
              </w:rPr>
            </w:pPr>
          </w:p>
        </w:tc>
      </w:tr>
      <w:tr w:rsidR="00213A1D" w:rsidRPr="00C36483" w:rsidTr="00213A1D">
        <w:trPr>
          <w:trHeight w:val="1932"/>
          <w:jc w:val="center"/>
        </w:trPr>
        <w:tc>
          <w:tcPr>
            <w:tcW w:w="3324" w:type="dxa"/>
          </w:tcPr>
          <w:p w:rsidR="00213A1D" w:rsidRPr="00C36483" w:rsidRDefault="00213A1D" w:rsidP="00E519C9">
            <w:pPr>
              <w:ind w:firstLine="0"/>
              <w:rPr>
                <w:sz w:val="28"/>
                <w:szCs w:val="28"/>
              </w:rPr>
            </w:pPr>
            <w:r w:rsidRPr="00C36483">
              <w:rPr>
                <w:sz w:val="28"/>
                <w:szCs w:val="28"/>
              </w:rPr>
              <w:lastRenderedPageBreak/>
              <w:t>4. Finanšu līdzekļi papildu izde</w:t>
            </w:r>
            <w:r w:rsidRPr="00C36483">
              <w:rPr>
                <w:sz w:val="28"/>
                <w:szCs w:val="28"/>
              </w:rPr>
              <w:softHyphen/>
              <w:t>vumu finansēšanai (kompensējošu izdevumu samazinājumu norāda ar "+" zīmi)</w:t>
            </w:r>
          </w:p>
        </w:tc>
        <w:tc>
          <w:tcPr>
            <w:tcW w:w="1331" w:type="dxa"/>
            <w:shd w:val="clear" w:color="auto" w:fill="auto"/>
            <w:vAlign w:val="center"/>
          </w:tcPr>
          <w:p w:rsidR="00213A1D" w:rsidRPr="00C36483" w:rsidRDefault="00213A1D" w:rsidP="00AD7D95">
            <w:pPr>
              <w:pStyle w:val="naisc"/>
              <w:jc w:val="center"/>
              <w:rPr>
                <w:sz w:val="28"/>
                <w:szCs w:val="28"/>
              </w:rPr>
            </w:pPr>
          </w:p>
        </w:tc>
        <w:tc>
          <w:tcPr>
            <w:tcW w:w="1354" w:type="dxa"/>
            <w:shd w:val="clear" w:color="auto" w:fill="auto"/>
            <w:vAlign w:val="center"/>
          </w:tcPr>
          <w:p w:rsidR="00213A1D" w:rsidRPr="00C36483" w:rsidRDefault="00F775C8" w:rsidP="00AD7D95">
            <w:pPr>
              <w:pStyle w:val="naisc"/>
              <w:jc w:val="center"/>
              <w:rPr>
                <w:sz w:val="28"/>
                <w:szCs w:val="28"/>
              </w:rPr>
            </w:pPr>
            <w:r>
              <w:rPr>
                <w:sz w:val="28"/>
                <w:szCs w:val="28"/>
              </w:rPr>
              <w:t>+210,1</w:t>
            </w:r>
          </w:p>
        </w:tc>
        <w:tc>
          <w:tcPr>
            <w:tcW w:w="1354" w:type="dxa"/>
            <w:shd w:val="clear" w:color="auto" w:fill="auto"/>
            <w:vAlign w:val="center"/>
          </w:tcPr>
          <w:p w:rsidR="00213A1D" w:rsidRPr="00C36483" w:rsidRDefault="00213A1D" w:rsidP="00AD7D95">
            <w:pPr>
              <w:pStyle w:val="naisf"/>
              <w:ind w:firstLine="0"/>
              <w:jc w:val="center"/>
              <w:rPr>
                <w:sz w:val="28"/>
                <w:szCs w:val="28"/>
              </w:rPr>
            </w:pPr>
          </w:p>
        </w:tc>
        <w:tc>
          <w:tcPr>
            <w:tcW w:w="1355" w:type="dxa"/>
            <w:shd w:val="clear" w:color="auto" w:fill="auto"/>
            <w:vAlign w:val="center"/>
          </w:tcPr>
          <w:p w:rsidR="00213A1D" w:rsidRPr="00C36483" w:rsidRDefault="00213A1D" w:rsidP="00AD7D95">
            <w:pPr>
              <w:pStyle w:val="naisf"/>
              <w:ind w:firstLine="0"/>
              <w:jc w:val="center"/>
              <w:rPr>
                <w:sz w:val="28"/>
                <w:szCs w:val="28"/>
              </w:rPr>
            </w:pPr>
          </w:p>
        </w:tc>
        <w:tc>
          <w:tcPr>
            <w:tcW w:w="1406" w:type="dxa"/>
            <w:shd w:val="clear" w:color="auto" w:fill="auto"/>
            <w:vAlign w:val="center"/>
          </w:tcPr>
          <w:p w:rsidR="00213A1D" w:rsidRPr="00C36483" w:rsidRDefault="00213A1D" w:rsidP="00AD7D95">
            <w:pPr>
              <w:pStyle w:val="naisf"/>
              <w:ind w:firstLine="0"/>
              <w:jc w:val="center"/>
              <w:rPr>
                <w:sz w:val="28"/>
                <w:szCs w:val="28"/>
              </w:rPr>
            </w:pPr>
          </w:p>
        </w:tc>
      </w:tr>
      <w:tr w:rsidR="00213A1D" w:rsidRPr="00C36483" w:rsidTr="00414510">
        <w:trPr>
          <w:jc w:val="center"/>
        </w:trPr>
        <w:tc>
          <w:tcPr>
            <w:tcW w:w="3324" w:type="dxa"/>
          </w:tcPr>
          <w:p w:rsidR="00213A1D" w:rsidRPr="00C36483" w:rsidRDefault="00213A1D" w:rsidP="00E519C9">
            <w:pPr>
              <w:ind w:firstLine="0"/>
              <w:rPr>
                <w:sz w:val="28"/>
                <w:szCs w:val="28"/>
              </w:rPr>
            </w:pPr>
            <w:r w:rsidRPr="00C36483">
              <w:rPr>
                <w:sz w:val="28"/>
                <w:szCs w:val="28"/>
              </w:rPr>
              <w:t>5. Precizēta finansiālā ietekme:</w:t>
            </w:r>
          </w:p>
        </w:tc>
        <w:tc>
          <w:tcPr>
            <w:tcW w:w="1331" w:type="dxa"/>
            <w:vMerge w:val="restart"/>
            <w:vAlign w:val="center"/>
          </w:tcPr>
          <w:p w:rsidR="00213A1D" w:rsidRPr="00C36483" w:rsidRDefault="00213A1D" w:rsidP="00414510">
            <w:pPr>
              <w:ind w:firstLine="0"/>
              <w:jc w:val="center"/>
              <w:rPr>
                <w:sz w:val="28"/>
                <w:szCs w:val="28"/>
              </w:rPr>
            </w:pPr>
          </w:p>
        </w:tc>
        <w:tc>
          <w:tcPr>
            <w:tcW w:w="1354" w:type="dxa"/>
            <w:vAlign w:val="center"/>
          </w:tcPr>
          <w:p w:rsidR="00213A1D" w:rsidRPr="00C36483" w:rsidRDefault="00F775C8" w:rsidP="00414510">
            <w:pPr>
              <w:pStyle w:val="naisc"/>
              <w:jc w:val="center"/>
              <w:rPr>
                <w:sz w:val="28"/>
                <w:szCs w:val="28"/>
              </w:rPr>
            </w:pPr>
            <w:r>
              <w:rPr>
                <w:sz w:val="28"/>
                <w:szCs w:val="28"/>
              </w:rPr>
              <w:t>0</w:t>
            </w:r>
          </w:p>
        </w:tc>
        <w:tc>
          <w:tcPr>
            <w:tcW w:w="1354" w:type="dxa"/>
            <w:vAlign w:val="center"/>
          </w:tcPr>
          <w:p w:rsidR="00213A1D" w:rsidRPr="00C36483" w:rsidRDefault="00213A1D" w:rsidP="00414510">
            <w:pPr>
              <w:pStyle w:val="naisc"/>
              <w:jc w:val="center"/>
              <w:rPr>
                <w:sz w:val="28"/>
                <w:szCs w:val="28"/>
              </w:rPr>
            </w:pPr>
          </w:p>
        </w:tc>
        <w:tc>
          <w:tcPr>
            <w:tcW w:w="1355" w:type="dxa"/>
            <w:vAlign w:val="center"/>
          </w:tcPr>
          <w:p w:rsidR="00213A1D" w:rsidRPr="00C36483" w:rsidRDefault="00213A1D" w:rsidP="00414510">
            <w:pPr>
              <w:pStyle w:val="naisc"/>
              <w:jc w:val="center"/>
              <w:rPr>
                <w:sz w:val="28"/>
                <w:szCs w:val="28"/>
              </w:rPr>
            </w:pPr>
          </w:p>
        </w:tc>
        <w:tc>
          <w:tcPr>
            <w:tcW w:w="1406" w:type="dxa"/>
            <w:vAlign w:val="center"/>
          </w:tcPr>
          <w:p w:rsidR="00213A1D" w:rsidRPr="00C36483" w:rsidRDefault="00213A1D" w:rsidP="00414510">
            <w:pPr>
              <w:pStyle w:val="naiskr"/>
              <w:jc w:val="center"/>
              <w:rPr>
                <w:sz w:val="28"/>
                <w:szCs w:val="28"/>
              </w:rPr>
            </w:pPr>
          </w:p>
        </w:tc>
      </w:tr>
      <w:tr w:rsidR="00213A1D" w:rsidRPr="00C36483" w:rsidTr="00414510">
        <w:trPr>
          <w:jc w:val="center"/>
        </w:trPr>
        <w:tc>
          <w:tcPr>
            <w:tcW w:w="3324" w:type="dxa"/>
          </w:tcPr>
          <w:p w:rsidR="00213A1D" w:rsidRPr="00C36483" w:rsidRDefault="00213A1D" w:rsidP="00E519C9">
            <w:pPr>
              <w:ind w:firstLine="0"/>
              <w:rPr>
                <w:sz w:val="28"/>
                <w:szCs w:val="28"/>
              </w:rPr>
            </w:pPr>
            <w:r w:rsidRPr="00C36483">
              <w:rPr>
                <w:sz w:val="28"/>
                <w:szCs w:val="28"/>
              </w:rPr>
              <w:t>5.1. valsts pamatbudžets</w:t>
            </w:r>
          </w:p>
        </w:tc>
        <w:tc>
          <w:tcPr>
            <w:tcW w:w="1331" w:type="dxa"/>
            <w:vMerge/>
            <w:vAlign w:val="center"/>
          </w:tcPr>
          <w:p w:rsidR="00213A1D" w:rsidRPr="00C36483" w:rsidRDefault="00213A1D" w:rsidP="00414510">
            <w:pPr>
              <w:pStyle w:val="naisf"/>
              <w:spacing w:before="0" w:after="0"/>
              <w:ind w:firstLine="0"/>
              <w:jc w:val="center"/>
              <w:rPr>
                <w:i/>
                <w:sz w:val="28"/>
                <w:szCs w:val="28"/>
              </w:rPr>
            </w:pPr>
          </w:p>
        </w:tc>
        <w:tc>
          <w:tcPr>
            <w:tcW w:w="1354" w:type="dxa"/>
            <w:vAlign w:val="center"/>
          </w:tcPr>
          <w:p w:rsidR="00213A1D" w:rsidRPr="00F775C8" w:rsidRDefault="00F775C8" w:rsidP="00414510">
            <w:pPr>
              <w:pStyle w:val="naisf"/>
              <w:spacing w:before="0" w:after="0"/>
              <w:ind w:firstLine="0"/>
              <w:jc w:val="center"/>
              <w:rPr>
                <w:sz w:val="28"/>
                <w:szCs w:val="28"/>
              </w:rPr>
            </w:pPr>
            <w:r w:rsidRPr="00F775C8">
              <w:rPr>
                <w:sz w:val="28"/>
                <w:szCs w:val="28"/>
              </w:rPr>
              <w:t>0</w:t>
            </w:r>
          </w:p>
        </w:tc>
        <w:tc>
          <w:tcPr>
            <w:tcW w:w="1354" w:type="dxa"/>
            <w:vAlign w:val="center"/>
          </w:tcPr>
          <w:p w:rsidR="00213A1D" w:rsidRPr="00C36483" w:rsidRDefault="00213A1D" w:rsidP="00414510">
            <w:pPr>
              <w:pStyle w:val="naisf"/>
              <w:spacing w:before="0" w:after="0"/>
              <w:ind w:firstLine="0"/>
              <w:jc w:val="center"/>
              <w:rPr>
                <w:b/>
                <w:i/>
                <w:sz w:val="28"/>
                <w:szCs w:val="28"/>
              </w:rPr>
            </w:pPr>
          </w:p>
        </w:tc>
        <w:tc>
          <w:tcPr>
            <w:tcW w:w="1355" w:type="dxa"/>
            <w:vAlign w:val="center"/>
          </w:tcPr>
          <w:p w:rsidR="00213A1D" w:rsidRPr="00C36483" w:rsidRDefault="00213A1D" w:rsidP="00414510">
            <w:pPr>
              <w:pStyle w:val="naisf"/>
              <w:spacing w:before="0" w:after="0"/>
              <w:ind w:firstLine="0"/>
              <w:jc w:val="center"/>
              <w:rPr>
                <w:b/>
                <w:i/>
                <w:sz w:val="28"/>
                <w:szCs w:val="28"/>
              </w:rPr>
            </w:pPr>
          </w:p>
        </w:tc>
        <w:tc>
          <w:tcPr>
            <w:tcW w:w="1406" w:type="dxa"/>
            <w:vAlign w:val="center"/>
          </w:tcPr>
          <w:p w:rsidR="00213A1D" w:rsidRPr="00C36483" w:rsidRDefault="00213A1D" w:rsidP="00414510">
            <w:pPr>
              <w:pStyle w:val="naisf"/>
              <w:spacing w:before="0" w:after="0"/>
              <w:ind w:firstLine="0"/>
              <w:jc w:val="center"/>
              <w:rPr>
                <w:b/>
                <w:i/>
                <w:sz w:val="28"/>
                <w:szCs w:val="28"/>
              </w:rPr>
            </w:pPr>
          </w:p>
        </w:tc>
      </w:tr>
      <w:tr w:rsidR="00213A1D" w:rsidRPr="00C36483" w:rsidTr="00414510">
        <w:trPr>
          <w:jc w:val="center"/>
        </w:trPr>
        <w:tc>
          <w:tcPr>
            <w:tcW w:w="3324" w:type="dxa"/>
          </w:tcPr>
          <w:p w:rsidR="00213A1D" w:rsidRPr="00C36483" w:rsidRDefault="00213A1D" w:rsidP="00E519C9">
            <w:pPr>
              <w:ind w:firstLine="0"/>
              <w:rPr>
                <w:sz w:val="28"/>
                <w:szCs w:val="28"/>
              </w:rPr>
            </w:pPr>
            <w:r w:rsidRPr="00C36483">
              <w:rPr>
                <w:sz w:val="28"/>
                <w:szCs w:val="28"/>
              </w:rPr>
              <w:t>5.2. speciālais budžets</w:t>
            </w:r>
          </w:p>
        </w:tc>
        <w:tc>
          <w:tcPr>
            <w:tcW w:w="1331" w:type="dxa"/>
            <w:vMerge/>
            <w:vAlign w:val="center"/>
          </w:tcPr>
          <w:p w:rsidR="00213A1D" w:rsidRPr="00C36483" w:rsidRDefault="00213A1D" w:rsidP="00414510">
            <w:pPr>
              <w:pStyle w:val="naisf"/>
              <w:spacing w:before="0" w:after="0"/>
              <w:ind w:firstLine="0"/>
              <w:jc w:val="center"/>
              <w:rPr>
                <w:i/>
                <w:sz w:val="28"/>
                <w:szCs w:val="28"/>
              </w:rPr>
            </w:pPr>
          </w:p>
        </w:tc>
        <w:tc>
          <w:tcPr>
            <w:tcW w:w="1354" w:type="dxa"/>
            <w:vAlign w:val="center"/>
          </w:tcPr>
          <w:p w:rsidR="00213A1D" w:rsidRPr="00C36483" w:rsidRDefault="00213A1D" w:rsidP="00414510">
            <w:pPr>
              <w:pStyle w:val="naisf"/>
              <w:spacing w:before="0" w:after="0"/>
              <w:ind w:firstLine="0"/>
              <w:jc w:val="center"/>
              <w:rPr>
                <w:b/>
                <w:i/>
                <w:sz w:val="28"/>
                <w:szCs w:val="28"/>
              </w:rPr>
            </w:pPr>
          </w:p>
        </w:tc>
        <w:tc>
          <w:tcPr>
            <w:tcW w:w="1354" w:type="dxa"/>
            <w:vAlign w:val="center"/>
          </w:tcPr>
          <w:p w:rsidR="00213A1D" w:rsidRPr="00C36483" w:rsidRDefault="00213A1D" w:rsidP="00414510">
            <w:pPr>
              <w:pStyle w:val="naisf"/>
              <w:spacing w:before="0" w:after="0"/>
              <w:ind w:firstLine="0"/>
              <w:jc w:val="center"/>
              <w:rPr>
                <w:b/>
                <w:i/>
                <w:sz w:val="28"/>
                <w:szCs w:val="28"/>
              </w:rPr>
            </w:pPr>
          </w:p>
        </w:tc>
        <w:tc>
          <w:tcPr>
            <w:tcW w:w="1355" w:type="dxa"/>
            <w:vAlign w:val="center"/>
          </w:tcPr>
          <w:p w:rsidR="00213A1D" w:rsidRPr="00C36483" w:rsidRDefault="00213A1D" w:rsidP="00414510">
            <w:pPr>
              <w:pStyle w:val="naisf"/>
              <w:spacing w:before="0" w:after="0"/>
              <w:ind w:firstLine="0"/>
              <w:jc w:val="center"/>
              <w:rPr>
                <w:b/>
                <w:i/>
                <w:sz w:val="28"/>
                <w:szCs w:val="28"/>
              </w:rPr>
            </w:pPr>
          </w:p>
        </w:tc>
        <w:tc>
          <w:tcPr>
            <w:tcW w:w="1406" w:type="dxa"/>
            <w:vAlign w:val="center"/>
          </w:tcPr>
          <w:p w:rsidR="00213A1D" w:rsidRPr="00C36483" w:rsidRDefault="00213A1D" w:rsidP="00414510">
            <w:pPr>
              <w:pStyle w:val="naisf"/>
              <w:spacing w:before="0" w:after="0"/>
              <w:ind w:firstLine="0"/>
              <w:jc w:val="center"/>
              <w:rPr>
                <w:b/>
                <w:i/>
                <w:sz w:val="28"/>
                <w:szCs w:val="28"/>
              </w:rPr>
            </w:pPr>
          </w:p>
        </w:tc>
      </w:tr>
      <w:tr w:rsidR="00213A1D" w:rsidRPr="00C36483" w:rsidTr="00414510">
        <w:trPr>
          <w:jc w:val="center"/>
        </w:trPr>
        <w:tc>
          <w:tcPr>
            <w:tcW w:w="3324" w:type="dxa"/>
          </w:tcPr>
          <w:p w:rsidR="00213A1D" w:rsidRPr="00C36483" w:rsidRDefault="00213A1D" w:rsidP="00E519C9">
            <w:pPr>
              <w:ind w:firstLine="0"/>
              <w:rPr>
                <w:sz w:val="28"/>
                <w:szCs w:val="28"/>
              </w:rPr>
            </w:pPr>
            <w:r w:rsidRPr="00C36483">
              <w:rPr>
                <w:sz w:val="28"/>
                <w:szCs w:val="28"/>
              </w:rPr>
              <w:t xml:space="preserve">5.3. pašvaldību budžets </w:t>
            </w:r>
          </w:p>
        </w:tc>
        <w:tc>
          <w:tcPr>
            <w:tcW w:w="1331" w:type="dxa"/>
            <w:vMerge/>
            <w:vAlign w:val="center"/>
          </w:tcPr>
          <w:p w:rsidR="00213A1D" w:rsidRPr="00C36483" w:rsidRDefault="00213A1D" w:rsidP="00414510">
            <w:pPr>
              <w:pStyle w:val="naisf"/>
              <w:spacing w:before="0" w:after="0"/>
              <w:ind w:firstLine="0"/>
              <w:jc w:val="center"/>
              <w:rPr>
                <w:i/>
                <w:sz w:val="28"/>
                <w:szCs w:val="28"/>
              </w:rPr>
            </w:pPr>
          </w:p>
        </w:tc>
        <w:tc>
          <w:tcPr>
            <w:tcW w:w="1354" w:type="dxa"/>
            <w:vAlign w:val="center"/>
          </w:tcPr>
          <w:p w:rsidR="00213A1D" w:rsidRPr="00C36483" w:rsidRDefault="00213A1D" w:rsidP="00414510">
            <w:pPr>
              <w:pStyle w:val="naisf"/>
              <w:spacing w:before="0" w:after="0"/>
              <w:ind w:firstLine="0"/>
              <w:jc w:val="center"/>
              <w:rPr>
                <w:b/>
                <w:i/>
                <w:sz w:val="28"/>
                <w:szCs w:val="28"/>
              </w:rPr>
            </w:pPr>
          </w:p>
        </w:tc>
        <w:tc>
          <w:tcPr>
            <w:tcW w:w="1354" w:type="dxa"/>
            <w:vAlign w:val="center"/>
          </w:tcPr>
          <w:p w:rsidR="00213A1D" w:rsidRPr="00C36483" w:rsidRDefault="00213A1D" w:rsidP="00414510">
            <w:pPr>
              <w:pStyle w:val="naisf"/>
              <w:spacing w:before="0" w:after="0"/>
              <w:ind w:firstLine="0"/>
              <w:jc w:val="center"/>
              <w:rPr>
                <w:b/>
                <w:i/>
                <w:sz w:val="28"/>
                <w:szCs w:val="28"/>
              </w:rPr>
            </w:pPr>
          </w:p>
        </w:tc>
        <w:tc>
          <w:tcPr>
            <w:tcW w:w="1355" w:type="dxa"/>
            <w:vAlign w:val="center"/>
          </w:tcPr>
          <w:p w:rsidR="00213A1D" w:rsidRPr="00C36483" w:rsidRDefault="00213A1D" w:rsidP="00414510">
            <w:pPr>
              <w:pStyle w:val="naisf"/>
              <w:spacing w:before="0" w:after="0"/>
              <w:ind w:firstLine="0"/>
              <w:jc w:val="center"/>
              <w:rPr>
                <w:b/>
                <w:i/>
                <w:sz w:val="28"/>
                <w:szCs w:val="28"/>
              </w:rPr>
            </w:pPr>
          </w:p>
        </w:tc>
        <w:tc>
          <w:tcPr>
            <w:tcW w:w="1406" w:type="dxa"/>
            <w:vAlign w:val="center"/>
          </w:tcPr>
          <w:p w:rsidR="00213A1D" w:rsidRPr="00C36483" w:rsidRDefault="00213A1D" w:rsidP="00414510">
            <w:pPr>
              <w:pStyle w:val="naisf"/>
              <w:spacing w:before="0" w:after="0"/>
              <w:ind w:firstLine="0"/>
              <w:jc w:val="center"/>
              <w:rPr>
                <w:b/>
                <w:i/>
                <w:sz w:val="28"/>
                <w:szCs w:val="28"/>
              </w:rPr>
            </w:pPr>
          </w:p>
        </w:tc>
      </w:tr>
      <w:tr w:rsidR="00213A1D" w:rsidRPr="00C36483" w:rsidTr="00AD7D95">
        <w:trPr>
          <w:jc w:val="center"/>
        </w:trPr>
        <w:tc>
          <w:tcPr>
            <w:tcW w:w="3324" w:type="dxa"/>
          </w:tcPr>
          <w:p w:rsidR="00213A1D" w:rsidRPr="00C36483" w:rsidRDefault="00213A1D" w:rsidP="00E519C9">
            <w:pPr>
              <w:ind w:firstLine="0"/>
              <w:rPr>
                <w:sz w:val="28"/>
                <w:szCs w:val="28"/>
              </w:rPr>
            </w:pPr>
            <w:r w:rsidRPr="00C36483">
              <w:rPr>
                <w:sz w:val="28"/>
                <w:szCs w:val="28"/>
              </w:rPr>
              <w:t>6. Detalizēts ieņēmumu un izdevu</w:t>
            </w:r>
            <w:r w:rsidRPr="00C36483">
              <w:rPr>
                <w:sz w:val="28"/>
                <w:szCs w:val="28"/>
              </w:rPr>
              <w:softHyphen/>
              <w:t>mu aprēķins (ja nepieciešams, detalizētu ieņēmumu un izdevumu aprēķinu var pievienot anotācijas pielikumā):</w:t>
            </w:r>
          </w:p>
        </w:tc>
        <w:tc>
          <w:tcPr>
            <w:tcW w:w="6800" w:type="dxa"/>
            <w:gridSpan w:val="5"/>
            <w:vMerge w:val="restart"/>
            <w:vAlign w:val="center"/>
          </w:tcPr>
          <w:p w:rsidR="00E519C9" w:rsidRDefault="00E519C9" w:rsidP="00E519C9">
            <w:pPr>
              <w:pStyle w:val="naiskr"/>
              <w:spacing w:before="0" w:after="0"/>
              <w:ind w:firstLine="385"/>
              <w:jc w:val="both"/>
              <w:rPr>
                <w:sz w:val="28"/>
              </w:rPr>
            </w:pPr>
            <w:r>
              <w:rPr>
                <w:sz w:val="28"/>
              </w:rPr>
              <w:t>Nedenaturētā etilspirta realizācijas izsoles rezultātā 2009.gadā aģentūras deponēto līdzekļu kontā ir ieskaitīti  86 936,65</w:t>
            </w:r>
            <w:r w:rsidR="002825AE">
              <w:rPr>
                <w:sz w:val="28"/>
              </w:rPr>
              <w:t xml:space="preserve"> lati</w:t>
            </w:r>
            <w:r>
              <w:rPr>
                <w:sz w:val="28"/>
              </w:rPr>
              <w:t>, nedenaturētā etilspirta vērtība atlīdzināšanas dienā – 2012.gada 31.janvārī – bija  297 000,00</w:t>
            </w:r>
            <w:r w:rsidR="002825AE">
              <w:rPr>
                <w:sz w:val="28"/>
              </w:rPr>
              <w:t xml:space="preserve"> latu</w:t>
            </w:r>
            <w:r>
              <w:rPr>
                <w:sz w:val="28"/>
              </w:rPr>
              <w:t>. Līdzekļi lietiskā pierādījuma vērtības atlīdzināšanai aģentūras deponēto līdzekļu kontā nav pietiekami. Līdz ar to saskaņā ar noteikumu Nr.1025 39.punktu, lai izpildītu Rēzeknes tiesas 2010.gada 15.novembra spriedumu, aģentūrai no valsts budžeta līdzekļiem neparedzētiem gadījumiem ir nepieciešams piešķirt papildu finanšu līdzekļus 210 </w:t>
            </w:r>
            <w:r w:rsidR="00C97FDC">
              <w:rPr>
                <w:sz w:val="28"/>
              </w:rPr>
              <w:t>064</w:t>
            </w:r>
            <w:r>
              <w:rPr>
                <w:sz w:val="28"/>
              </w:rPr>
              <w:t xml:space="preserve"> </w:t>
            </w:r>
            <w:r w:rsidR="002825AE">
              <w:rPr>
                <w:sz w:val="28"/>
              </w:rPr>
              <w:t xml:space="preserve">latu </w:t>
            </w:r>
            <w:r w:rsidR="00C97FDC">
              <w:rPr>
                <w:sz w:val="28"/>
              </w:rPr>
              <w:t>(LVL 297 000,00 -  LVL 86 936</w:t>
            </w:r>
            <w:r>
              <w:rPr>
                <w:sz w:val="28"/>
              </w:rPr>
              <w:t>) apmērā.</w:t>
            </w:r>
          </w:p>
          <w:p w:rsidR="00213A1D" w:rsidRPr="00C36483" w:rsidRDefault="00213A1D" w:rsidP="00E519C9">
            <w:pPr>
              <w:pStyle w:val="naiskr"/>
              <w:spacing w:before="0" w:after="0"/>
              <w:rPr>
                <w:iCs/>
                <w:sz w:val="28"/>
                <w:szCs w:val="28"/>
              </w:rPr>
            </w:pPr>
          </w:p>
        </w:tc>
      </w:tr>
      <w:tr w:rsidR="00213A1D" w:rsidRPr="00C36483" w:rsidTr="00AD7D95">
        <w:trPr>
          <w:jc w:val="center"/>
        </w:trPr>
        <w:tc>
          <w:tcPr>
            <w:tcW w:w="3324" w:type="dxa"/>
          </w:tcPr>
          <w:p w:rsidR="00213A1D" w:rsidRPr="00C36483" w:rsidRDefault="00213A1D" w:rsidP="00E519C9">
            <w:pPr>
              <w:ind w:firstLine="0"/>
              <w:rPr>
                <w:sz w:val="28"/>
                <w:szCs w:val="28"/>
              </w:rPr>
            </w:pPr>
            <w:r w:rsidRPr="00C36483">
              <w:rPr>
                <w:sz w:val="28"/>
                <w:szCs w:val="28"/>
              </w:rPr>
              <w:t>6.1. detalizēts ieņēmumu aprēķins</w:t>
            </w:r>
          </w:p>
        </w:tc>
        <w:tc>
          <w:tcPr>
            <w:tcW w:w="6800" w:type="dxa"/>
            <w:gridSpan w:val="5"/>
            <w:vMerge/>
          </w:tcPr>
          <w:p w:rsidR="00213A1D" w:rsidRPr="00C36483" w:rsidRDefault="00213A1D" w:rsidP="00AD7D95">
            <w:pPr>
              <w:pStyle w:val="naisf"/>
              <w:spacing w:before="0" w:after="0"/>
              <w:ind w:firstLine="0"/>
              <w:rPr>
                <w:b/>
                <w:i/>
                <w:sz w:val="28"/>
                <w:szCs w:val="28"/>
              </w:rPr>
            </w:pPr>
          </w:p>
        </w:tc>
      </w:tr>
      <w:tr w:rsidR="00213A1D" w:rsidRPr="00C36483" w:rsidTr="00AD7D95">
        <w:trPr>
          <w:jc w:val="center"/>
        </w:trPr>
        <w:tc>
          <w:tcPr>
            <w:tcW w:w="3324" w:type="dxa"/>
          </w:tcPr>
          <w:p w:rsidR="00213A1D" w:rsidRPr="00C36483" w:rsidRDefault="00213A1D" w:rsidP="00E519C9">
            <w:pPr>
              <w:ind w:firstLine="0"/>
              <w:rPr>
                <w:sz w:val="28"/>
                <w:szCs w:val="28"/>
              </w:rPr>
            </w:pPr>
            <w:r w:rsidRPr="00C36483">
              <w:rPr>
                <w:sz w:val="28"/>
                <w:szCs w:val="28"/>
              </w:rPr>
              <w:t>6.2. detalizēts izdevumu aprēķins</w:t>
            </w:r>
          </w:p>
        </w:tc>
        <w:tc>
          <w:tcPr>
            <w:tcW w:w="6800" w:type="dxa"/>
            <w:gridSpan w:val="5"/>
            <w:vMerge/>
          </w:tcPr>
          <w:p w:rsidR="00213A1D" w:rsidRPr="00C36483" w:rsidRDefault="00213A1D" w:rsidP="00AD7D95">
            <w:pPr>
              <w:pStyle w:val="naisf"/>
              <w:spacing w:before="0" w:after="0"/>
              <w:ind w:firstLine="0"/>
              <w:rPr>
                <w:b/>
                <w:i/>
                <w:sz w:val="28"/>
                <w:szCs w:val="28"/>
              </w:rPr>
            </w:pPr>
          </w:p>
        </w:tc>
      </w:tr>
      <w:tr w:rsidR="00213A1D" w:rsidRPr="00C36483" w:rsidTr="00AD7D95">
        <w:trPr>
          <w:jc w:val="center"/>
        </w:trPr>
        <w:tc>
          <w:tcPr>
            <w:tcW w:w="3324" w:type="dxa"/>
          </w:tcPr>
          <w:p w:rsidR="00213A1D" w:rsidRPr="00C36483" w:rsidRDefault="00213A1D" w:rsidP="00E519C9">
            <w:pPr>
              <w:ind w:firstLine="0"/>
              <w:rPr>
                <w:sz w:val="28"/>
                <w:szCs w:val="28"/>
              </w:rPr>
            </w:pPr>
            <w:r w:rsidRPr="00C36483">
              <w:rPr>
                <w:sz w:val="28"/>
                <w:szCs w:val="28"/>
              </w:rPr>
              <w:t>7. Cita informācija</w:t>
            </w:r>
          </w:p>
        </w:tc>
        <w:tc>
          <w:tcPr>
            <w:tcW w:w="6800" w:type="dxa"/>
            <w:gridSpan w:val="5"/>
          </w:tcPr>
          <w:p w:rsidR="00213A1D" w:rsidRPr="00C36483" w:rsidRDefault="00213A1D" w:rsidP="00AD7D95">
            <w:pPr>
              <w:pStyle w:val="naisf"/>
              <w:tabs>
                <w:tab w:val="left" w:pos="4644"/>
              </w:tabs>
              <w:spacing w:before="0" w:after="0"/>
              <w:ind w:firstLine="0"/>
              <w:rPr>
                <w:sz w:val="28"/>
                <w:szCs w:val="28"/>
              </w:rPr>
            </w:pPr>
            <w:r w:rsidRPr="00C36483">
              <w:rPr>
                <w:sz w:val="28"/>
                <w:szCs w:val="28"/>
              </w:rPr>
              <w:t>Nav.</w:t>
            </w:r>
          </w:p>
        </w:tc>
      </w:tr>
    </w:tbl>
    <w:p w:rsidR="00C06506" w:rsidRPr="00C36483" w:rsidRDefault="00C06506" w:rsidP="00CD0A3D">
      <w:pPr>
        <w:ind w:firstLine="0"/>
        <w:jc w:val="center"/>
        <w:rPr>
          <w:sz w:val="28"/>
          <w:szCs w:val="28"/>
        </w:rPr>
      </w:pPr>
    </w:p>
    <w:p w:rsidR="00BB7E06" w:rsidRPr="00C36483" w:rsidRDefault="00BB7E06" w:rsidP="00CD0A3D">
      <w:pPr>
        <w:ind w:firstLine="0"/>
        <w:jc w:val="center"/>
        <w:rPr>
          <w:sz w:val="28"/>
          <w:szCs w:val="28"/>
        </w:rPr>
      </w:pPr>
    </w:p>
    <w:p w:rsidR="000228B0" w:rsidRPr="00C36483" w:rsidRDefault="000228B0" w:rsidP="00CD0A3D">
      <w:pPr>
        <w:ind w:firstLine="0"/>
        <w:jc w:val="center"/>
        <w:rPr>
          <w:sz w:val="28"/>
          <w:szCs w:val="28"/>
        </w:rPr>
      </w:pPr>
    </w:p>
    <w:p w:rsidR="002E54A6" w:rsidRPr="00C36483" w:rsidRDefault="002E54A6" w:rsidP="002E54A6">
      <w:pPr>
        <w:ind w:firstLine="0"/>
        <w:jc w:val="left"/>
        <w:rPr>
          <w:sz w:val="28"/>
          <w:szCs w:val="28"/>
        </w:rPr>
      </w:pPr>
      <w:r w:rsidRPr="00C36483">
        <w:rPr>
          <w:sz w:val="28"/>
          <w:szCs w:val="28"/>
        </w:rPr>
        <w:t xml:space="preserve">Anotācijas II, </w:t>
      </w:r>
      <w:r w:rsidR="00CE4F35">
        <w:rPr>
          <w:sz w:val="28"/>
          <w:szCs w:val="28"/>
        </w:rPr>
        <w:t>I</w:t>
      </w:r>
      <w:r w:rsidRPr="00C36483">
        <w:rPr>
          <w:sz w:val="28"/>
          <w:szCs w:val="28"/>
        </w:rPr>
        <w:t xml:space="preserve">V </w:t>
      </w:r>
      <w:r w:rsidR="00CE4F35">
        <w:rPr>
          <w:sz w:val="28"/>
          <w:szCs w:val="28"/>
        </w:rPr>
        <w:t xml:space="preserve">– </w:t>
      </w:r>
      <w:r w:rsidRPr="00C36483">
        <w:rPr>
          <w:sz w:val="28"/>
          <w:szCs w:val="28"/>
        </w:rPr>
        <w:t>V</w:t>
      </w:r>
      <w:r w:rsidR="00CE4F35">
        <w:rPr>
          <w:sz w:val="28"/>
          <w:szCs w:val="28"/>
        </w:rPr>
        <w:t>I</w:t>
      </w:r>
      <w:r w:rsidRPr="00C36483">
        <w:rPr>
          <w:sz w:val="28"/>
          <w:szCs w:val="28"/>
        </w:rPr>
        <w:t>I sadaļa – projekts šīs jomas neskar.</w:t>
      </w:r>
    </w:p>
    <w:p w:rsidR="002E54A6" w:rsidRPr="00C36483" w:rsidRDefault="002E54A6" w:rsidP="002E54A6">
      <w:pPr>
        <w:ind w:firstLine="0"/>
        <w:jc w:val="left"/>
        <w:rPr>
          <w:sz w:val="28"/>
          <w:szCs w:val="28"/>
        </w:rPr>
      </w:pPr>
    </w:p>
    <w:p w:rsidR="00994F80" w:rsidRDefault="00994F80" w:rsidP="00763770">
      <w:pPr>
        <w:pStyle w:val="naisf"/>
        <w:tabs>
          <w:tab w:val="left" w:pos="6663"/>
        </w:tabs>
        <w:spacing w:before="0" w:after="0"/>
        <w:ind w:firstLine="0"/>
        <w:rPr>
          <w:sz w:val="28"/>
          <w:szCs w:val="28"/>
        </w:rPr>
      </w:pPr>
    </w:p>
    <w:p w:rsidR="002E54A6" w:rsidRPr="00C36483" w:rsidRDefault="002E54A6" w:rsidP="00763770">
      <w:pPr>
        <w:pStyle w:val="naisf"/>
        <w:tabs>
          <w:tab w:val="left" w:pos="6663"/>
        </w:tabs>
        <w:spacing w:before="0" w:after="0"/>
        <w:ind w:firstLine="0"/>
        <w:rPr>
          <w:sz w:val="28"/>
          <w:szCs w:val="28"/>
        </w:rPr>
      </w:pPr>
      <w:r w:rsidRPr="00C36483">
        <w:rPr>
          <w:sz w:val="28"/>
          <w:szCs w:val="28"/>
        </w:rPr>
        <w:t>Iekšlietu ministrs</w:t>
      </w:r>
      <w:r w:rsidRPr="00C36483">
        <w:rPr>
          <w:sz w:val="28"/>
          <w:szCs w:val="28"/>
        </w:rPr>
        <w:tab/>
        <w:t>R.Kozlovskis</w:t>
      </w:r>
    </w:p>
    <w:p w:rsidR="002E54A6" w:rsidRDefault="002E54A6" w:rsidP="002E54A6">
      <w:pPr>
        <w:pStyle w:val="naisf"/>
        <w:tabs>
          <w:tab w:val="left" w:pos="6804"/>
        </w:tabs>
        <w:spacing w:before="0" w:after="0"/>
        <w:ind w:firstLine="720"/>
        <w:rPr>
          <w:sz w:val="28"/>
          <w:szCs w:val="28"/>
        </w:rPr>
      </w:pPr>
    </w:p>
    <w:p w:rsidR="00C36483" w:rsidRDefault="00C36483" w:rsidP="002E54A6">
      <w:pPr>
        <w:pStyle w:val="naisf"/>
        <w:tabs>
          <w:tab w:val="left" w:pos="6804"/>
        </w:tabs>
        <w:spacing w:before="0" w:after="0"/>
        <w:ind w:firstLine="720"/>
        <w:rPr>
          <w:sz w:val="28"/>
          <w:szCs w:val="28"/>
        </w:rPr>
      </w:pPr>
    </w:p>
    <w:p w:rsidR="00C36483" w:rsidRPr="00C36483" w:rsidRDefault="00C36483" w:rsidP="002E54A6">
      <w:pPr>
        <w:pStyle w:val="naisf"/>
        <w:tabs>
          <w:tab w:val="left" w:pos="6804"/>
        </w:tabs>
        <w:spacing w:before="0" w:after="0"/>
        <w:ind w:firstLine="720"/>
        <w:rPr>
          <w:sz w:val="28"/>
          <w:szCs w:val="28"/>
        </w:rPr>
      </w:pPr>
    </w:p>
    <w:p w:rsidR="002700D3" w:rsidRPr="00C36483" w:rsidRDefault="002E54A6" w:rsidP="00763770">
      <w:pPr>
        <w:pStyle w:val="naisf"/>
        <w:tabs>
          <w:tab w:val="right" w:pos="9071"/>
        </w:tabs>
        <w:spacing w:before="0" w:after="0"/>
        <w:ind w:firstLine="0"/>
        <w:rPr>
          <w:sz w:val="28"/>
          <w:szCs w:val="28"/>
        </w:rPr>
      </w:pPr>
      <w:r w:rsidRPr="00C36483">
        <w:rPr>
          <w:sz w:val="28"/>
          <w:szCs w:val="28"/>
        </w:rPr>
        <w:t>Vīz</w:t>
      </w:r>
      <w:r w:rsidR="00763770" w:rsidRPr="00C36483">
        <w:rPr>
          <w:sz w:val="28"/>
          <w:szCs w:val="28"/>
        </w:rPr>
        <w:t>a: valsts sekretāre</w:t>
      </w:r>
      <w:r w:rsidR="00763770" w:rsidRPr="00C36483">
        <w:rPr>
          <w:sz w:val="28"/>
          <w:szCs w:val="28"/>
        </w:rPr>
        <w:tab/>
      </w:r>
      <w:r w:rsidR="00FD4E37" w:rsidRPr="00C36483">
        <w:rPr>
          <w:sz w:val="28"/>
          <w:szCs w:val="28"/>
        </w:rPr>
        <w:t>I.Pētersone</w:t>
      </w:r>
      <w:r w:rsidR="00763770" w:rsidRPr="00C36483">
        <w:rPr>
          <w:sz w:val="28"/>
          <w:szCs w:val="28"/>
        </w:rPr>
        <w:t>-</w:t>
      </w:r>
      <w:r w:rsidRPr="00C36483">
        <w:rPr>
          <w:sz w:val="28"/>
          <w:szCs w:val="28"/>
        </w:rPr>
        <w:t>Godmane</w:t>
      </w:r>
    </w:p>
    <w:p w:rsidR="00FD4E37" w:rsidRPr="00C36483" w:rsidRDefault="00FD4E37" w:rsidP="00FD4E37">
      <w:pPr>
        <w:pStyle w:val="naisf"/>
        <w:tabs>
          <w:tab w:val="left" w:pos="6804"/>
        </w:tabs>
        <w:spacing w:before="0" w:after="0"/>
        <w:ind w:firstLine="0"/>
        <w:rPr>
          <w:sz w:val="28"/>
          <w:szCs w:val="28"/>
        </w:rPr>
      </w:pPr>
    </w:p>
    <w:p w:rsidR="001840AC" w:rsidRDefault="001840AC" w:rsidP="00FD4E37">
      <w:pPr>
        <w:pStyle w:val="naisf"/>
        <w:tabs>
          <w:tab w:val="left" w:pos="1991"/>
        </w:tabs>
        <w:spacing w:before="0" w:after="0"/>
        <w:ind w:firstLine="0"/>
        <w:rPr>
          <w:sz w:val="20"/>
          <w:szCs w:val="20"/>
        </w:rPr>
      </w:pPr>
    </w:p>
    <w:p w:rsidR="001840AC" w:rsidRDefault="001840AC" w:rsidP="00FD4E37">
      <w:pPr>
        <w:pStyle w:val="naisf"/>
        <w:tabs>
          <w:tab w:val="left" w:pos="1991"/>
        </w:tabs>
        <w:spacing w:before="0" w:after="0"/>
        <w:ind w:firstLine="0"/>
        <w:rPr>
          <w:sz w:val="20"/>
          <w:szCs w:val="20"/>
        </w:rPr>
      </w:pPr>
    </w:p>
    <w:p w:rsidR="001840AC" w:rsidRDefault="001840AC" w:rsidP="00FD4E37">
      <w:pPr>
        <w:pStyle w:val="naisf"/>
        <w:tabs>
          <w:tab w:val="left" w:pos="1991"/>
        </w:tabs>
        <w:spacing w:before="0" w:after="0"/>
        <w:ind w:firstLine="0"/>
        <w:rPr>
          <w:sz w:val="20"/>
          <w:szCs w:val="20"/>
        </w:rPr>
      </w:pPr>
    </w:p>
    <w:p w:rsidR="001840AC" w:rsidRDefault="001840AC" w:rsidP="00FD4E37">
      <w:pPr>
        <w:pStyle w:val="naisf"/>
        <w:tabs>
          <w:tab w:val="left" w:pos="1991"/>
        </w:tabs>
        <w:spacing w:before="0" w:after="0"/>
        <w:ind w:firstLine="0"/>
        <w:rPr>
          <w:sz w:val="20"/>
          <w:szCs w:val="20"/>
        </w:rPr>
      </w:pPr>
    </w:p>
    <w:p w:rsidR="00CE4F35" w:rsidRDefault="00C54D8F" w:rsidP="00FD4E37">
      <w:pPr>
        <w:pStyle w:val="naisf"/>
        <w:tabs>
          <w:tab w:val="left" w:pos="1991"/>
        </w:tabs>
        <w:spacing w:before="0" w:after="0"/>
        <w:ind w:firstLine="0"/>
        <w:rPr>
          <w:sz w:val="20"/>
          <w:szCs w:val="20"/>
        </w:rPr>
      </w:pPr>
      <w:r>
        <w:rPr>
          <w:sz w:val="20"/>
          <w:szCs w:val="20"/>
        </w:rPr>
        <w:t xml:space="preserve">27.03.2013.  </w:t>
      </w:r>
      <w:bookmarkStart w:id="0" w:name="_GoBack"/>
      <w:bookmarkEnd w:id="0"/>
      <w:r w:rsidR="00045895">
        <w:rPr>
          <w:sz w:val="20"/>
          <w:szCs w:val="20"/>
        </w:rPr>
        <w:t>14</w:t>
      </w:r>
      <w:r w:rsidR="005A32E9">
        <w:rPr>
          <w:sz w:val="20"/>
          <w:szCs w:val="20"/>
        </w:rPr>
        <w:t>:</w:t>
      </w:r>
      <w:r w:rsidR="00045895">
        <w:rPr>
          <w:sz w:val="20"/>
          <w:szCs w:val="20"/>
        </w:rPr>
        <w:t>32</w:t>
      </w:r>
    </w:p>
    <w:p w:rsidR="00FD4E37" w:rsidRPr="00C36483" w:rsidRDefault="006864AE" w:rsidP="00FD4E37">
      <w:pPr>
        <w:pStyle w:val="naisf"/>
        <w:tabs>
          <w:tab w:val="left" w:pos="1991"/>
        </w:tabs>
        <w:spacing w:before="0" w:after="0"/>
        <w:ind w:firstLine="0"/>
        <w:rPr>
          <w:sz w:val="20"/>
          <w:szCs w:val="20"/>
        </w:rPr>
      </w:pPr>
      <w:r w:rsidRPr="00C36483">
        <w:rPr>
          <w:sz w:val="20"/>
          <w:szCs w:val="20"/>
        </w:rPr>
        <w:fldChar w:fldCharType="begin"/>
      </w:r>
      <w:r w:rsidRPr="00C36483">
        <w:rPr>
          <w:sz w:val="20"/>
          <w:szCs w:val="20"/>
        </w:rPr>
        <w:instrText xml:space="preserve"> NUMWORDS   \* MERGEFORMAT </w:instrText>
      </w:r>
      <w:r w:rsidRPr="00C36483">
        <w:rPr>
          <w:sz w:val="20"/>
          <w:szCs w:val="20"/>
        </w:rPr>
        <w:fldChar w:fldCharType="separate"/>
      </w:r>
      <w:r w:rsidR="000D202A">
        <w:rPr>
          <w:noProof/>
          <w:sz w:val="20"/>
          <w:szCs w:val="20"/>
        </w:rPr>
        <w:t>1387</w:t>
      </w:r>
      <w:r w:rsidRPr="00C36483">
        <w:rPr>
          <w:sz w:val="20"/>
          <w:szCs w:val="20"/>
        </w:rPr>
        <w:fldChar w:fldCharType="end"/>
      </w:r>
      <w:r w:rsidR="00FD4E37" w:rsidRPr="00C36483">
        <w:rPr>
          <w:sz w:val="20"/>
          <w:szCs w:val="20"/>
        </w:rPr>
        <w:tab/>
      </w:r>
    </w:p>
    <w:p w:rsidR="000B74CD" w:rsidRPr="00163C8C" w:rsidRDefault="000B74CD" w:rsidP="000B74CD">
      <w:pPr>
        <w:ind w:firstLine="0"/>
        <w:rPr>
          <w:color w:val="000000"/>
          <w:szCs w:val="24"/>
        </w:rPr>
      </w:pPr>
      <w:r>
        <w:rPr>
          <w:color w:val="000000"/>
          <w:szCs w:val="24"/>
        </w:rPr>
        <w:t>Mālijs</w:t>
      </w:r>
    </w:p>
    <w:p w:rsidR="000B74CD" w:rsidRPr="00163C8C" w:rsidRDefault="000B74CD" w:rsidP="000B74CD">
      <w:pPr>
        <w:ind w:firstLine="0"/>
        <w:rPr>
          <w:color w:val="000000"/>
          <w:szCs w:val="24"/>
        </w:rPr>
      </w:pPr>
      <w:r w:rsidRPr="00163C8C">
        <w:rPr>
          <w:color w:val="000000"/>
          <w:szCs w:val="24"/>
        </w:rPr>
        <w:t>67829</w:t>
      </w:r>
      <w:r>
        <w:rPr>
          <w:color w:val="000000"/>
          <w:szCs w:val="24"/>
        </w:rPr>
        <w:t>048</w:t>
      </w:r>
    </w:p>
    <w:p w:rsidR="000B74CD" w:rsidRDefault="009261FE" w:rsidP="000B74CD">
      <w:pPr>
        <w:ind w:firstLine="0"/>
        <w:rPr>
          <w:rStyle w:val="Hyperlink"/>
        </w:rPr>
      </w:pPr>
      <w:hyperlink r:id="rId9" w:history="1">
        <w:r w:rsidR="000B74CD" w:rsidRPr="00F17E21">
          <w:rPr>
            <w:rStyle w:val="Hyperlink"/>
          </w:rPr>
          <w:t>Raivis.Malijs@agentura.iem.gov.lv</w:t>
        </w:r>
      </w:hyperlink>
    </w:p>
    <w:sectPr w:rsidR="000B74CD" w:rsidSect="00EA2CC8">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FE" w:rsidRDefault="009261FE" w:rsidP="00780EAE">
      <w:r>
        <w:separator/>
      </w:r>
    </w:p>
  </w:endnote>
  <w:endnote w:type="continuationSeparator" w:id="0">
    <w:p w:rsidR="009261FE" w:rsidRDefault="009261FE" w:rsidP="0078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95" w:rsidRPr="00FA047A" w:rsidRDefault="00AD7D95" w:rsidP="00FD4E37">
    <w:pPr>
      <w:pStyle w:val="Footer"/>
      <w:ind w:firstLine="0"/>
      <w:rPr>
        <w:lang w:val="en-US"/>
      </w:rPr>
    </w:pPr>
    <w:r w:rsidRPr="00994F80">
      <w:rPr>
        <w:lang w:val="en-US"/>
      </w:rPr>
      <w:fldChar w:fldCharType="begin"/>
    </w:r>
    <w:r w:rsidRPr="00994F80">
      <w:rPr>
        <w:lang w:val="en-US"/>
      </w:rPr>
      <w:instrText xml:space="preserve"> FILENAME   \* MERGEFORMAT </w:instrText>
    </w:r>
    <w:r w:rsidRPr="00994F80">
      <w:rPr>
        <w:lang w:val="en-US"/>
      </w:rPr>
      <w:fldChar w:fldCharType="separate"/>
    </w:r>
    <w:r w:rsidR="00EA239A">
      <w:rPr>
        <w:noProof/>
        <w:lang w:val="en-US"/>
      </w:rPr>
      <w:t>IEMAnot_270313_Bioetuul</w:t>
    </w:r>
    <w:r w:rsidRPr="00994F80">
      <w:fldChar w:fldCharType="end"/>
    </w:r>
    <w:r w:rsidRPr="00994F80">
      <w:rPr>
        <w:lang w:val="en-US"/>
      </w:rPr>
      <w:t xml:space="preserve">; </w:t>
    </w:r>
    <w:r w:rsidR="00FA047A">
      <w:rPr>
        <w:lang w:val="en-US"/>
      </w:rPr>
      <w:fldChar w:fldCharType="begin"/>
    </w:r>
    <w:r w:rsidR="00FA047A">
      <w:rPr>
        <w:lang w:val="en-US"/>
      </w:rPr>
      <w:instrText xml:space="preserve"> TITLE   \* MERGEFORMAT </w:instrText>
    </w:r>
    <w:r w:rsidR="00FA047A">
      <w:rPr>
        <w:lang w:val="en-US"/>
      </w:rPr>
      <w:fldChar w:fldCharType="separate"/>
    </w:r>
    <w:proofErr w:type="spellStart"/>
    <w:r w:rsidR="00EA239A">
      <w:rPr>
        <w:lang w:val="en-US"/>
      </w:rPr>
      <w:t>Ministru</w:t>
    </w:r>
    <w:proofErr w:type="spellEnd"/>
    <w:r w:rsidR="00EA239A">
      <w:rPr>
        <w:lang w:val="en-US"/>
      </w:rPr>
      <w:t xml:space="preserve"> </w:t>
    </w:r>
    <w:proofErr w:type="spellStart"/>
    <w:r w:rsidR="00EA239A">
      <w:rPr>
        <w:lang w:val="en-US"/>
      </w:rPr>
      <w:t>kabineta</w:t>
    </w:r>
    <w:proofErr w:type="spellEnd"/>
    <w:r w:rsidR="00EA239A">
      <w:rPr>
        <w:lang w:val="en-US"/>
      </w:rPr>
      <w:t xml:space="preserve"> </w:t>
    </w:r>
    <w:proofErr w:type="spellStart"/>
    <w:r w:rsidR="00EA239A">
      <w:rPr>
        <w:lang w:val="en-US"/>
      </w:rPr>
      <w:t>rīkojuma</w:t>
    </w:r>
    <w:proofErr w:type="spellEnd"/>
    <w:r w:rsidR="00EA239A">
      <w:rPr>
        <w:lang w:val="en-US"/>
      </w:rPr>
      <w:t xml:space="preserve"> </w:t>
    </w:r>
    <w:proofErr w:type="spellStart"/>
    <w:r w:rsidR="00EA239A">
      <w:rPr>
        <w:lang w:val="en-US"/>
      </w:rPr>
      <w:t>projekta</w:t>
    </w:r>
    <w:proofErr w:type="spellEnd"/>
    <w:r w:rsidR="00EA239A">
      <w:rPr>
        <w:lang w:val="en-US"/>
      </w:rPr>
      <w:t xml:space="preserve"> „Par </w:t>
    </w:r>
    <w:proofErr w:type="spellStart"/>
    <w:r w:rsidR="00EA239A">
      <w:rPr>
        <w:lang w:val="en-US"/>
      </w:rPr>
      <w:t>finanšu</w:t>
    </w:r>
    <w:proofErr w:type="spellEnd"/>
    <w:r w:rsidR="00EA239A">
      <w:rPr>
        <w:lang w:val="en-US"/>
      </w:rPr>
      <w:t xml:space="preserve"> </w:t>
    </w:r>
    <w:proofErr w:type="spellStart"/>
    <w:r w:rsidR="00EA239A">
      <w:rPr>
        <w:lang w:val="en-US"/>
      </w:rPr>
      <w:t>līdzekļu</w:t>
    </w:r>
    <w:proofErr w:type="spellEnd"/>
    <w:r w:rsidR="00EA239A">
      <w:rPr>
        <w:lang w:val="en-US"/>
      </w:rPr>
      <w:t xml:space="preserve"> </w:t>
    </w:r>
    <w:proofErr w:type="spellStart"/>
    <w:r w:rsidR="00EA239A">
      <w:rPr>
        <w:lang w:val="en-US"/>
      </w:rPr>
      <w:t>piešķiršanu</w:t>
    </w:r>
    <w:proofErr w:type="spellEnd"/>
    <w:r w:rsidR="00EA239A">
      <w:rPr>
        <w:lang w:val="en-US"/>
      </w:rPr>
      <w:t xml:space="preserve"> no </w:t>
    </w:r>
    <w:proofErr w:type="spellStart"/>
    <w:r w:rsidR="00EA239A">
      <w:rPr>
        <w:lang w:val="en-US"/>
      </w:rPr>
      <w:t>valsts</w:t>
    </w:r>
    <w:proofErr w:type="spellEnd"/>
    <w:r w:rsidR="00EA239A">
      <w:rPr>
        <w:lang w:val="en-US"/>
      </w:rPr>
      <w:t xml:space="preserve"> </w:t>
    </w:r>
    <w:proofErr w:type="spellStart"/>
    <w:r w:rsidR="00EA239A">
      <w:rPr>
        <w:lang w:val="en-US"/>
      </w:rPr>
      <w:t>budžeta</w:t>
    </w:r>
    <w:proofErr w:type="spellEnd"/>
    <w:r w:rsidR="00EA239A">
      <w:rPr>
        <w:lang w:val="en-US"/>
      </w:rPr>
      <w:t xml:space="preserve"> </w:t>
    </w:r>
    <w:proofErr w:type="spellStart"/>
    <w:r w:rsidR="00EA239A">
      <w:rPr>
        <w:lang w:val="en-US"/>
      </w:rPr>
      <w:t>programmas</w:t>
    </w:r>
    <w:proofErr w:type="spellEnd"/>
    <w:r w:rsidR="00EA239A">
      <w:rPr>
        <w:lang w:val="en-US"/>
      </w:rPr>
      <w:t xml:space="preserve"> „</w:t>
    </w:r>
    <w:proofErr w:type="spellStart"/>
    <w:r w:rsidR="00EA239A">
      <w:rPr>
        <w:lang w:val="en-US"/>
      </w:rPr>
      <w:t>Līdzekļi</w:t>
    </w:r>
    <w:proofErr w:type="spellEnd"/>
    <w:r w:rsidR="00EA239A">
      <w:rPr>
        <w:lang w:val="en-US"/>
      </w:rPr>
      <w:t xml:space="preserve"> </w:t>
    </w:r>
    <w:proofErr w:type="spellStart"/>
    <w:r w:rsidR="00EA239A">
      <w:rPr>
        <w:lang w:val="en-US"/>
      </w:rPr>
      <w:t>neparedzētiem</w:t>
    </w:r>
    <w:proofErr w:type="spellEnd"/>
    <w:r w:rsidR="00EA239A">
      <w:rPr>
        <w:lang w:val="en-US"/>
      </w:rPr>
      <w:t xml:space="preserve"> </w:t>
    </w:r>
    <w:proofErr w:type="spellStart"/>
    <w:r w:rsidR="00EA239A">
      <w:rPr>
        <w:lang w:val="en-US"/>
      </w:rPr>
      <w:t>gadījumiem</w:t>
    </w:r>
    <w:proofErr w:type="spellEnd"/>
    <w:r w:rsidR="00EA239A">
      <w:rPr>
        <w:lang w:val="en-US"/>
      </w:rPr>
      <w:t>””</w:t>
    </w:r>
    <w:r w:rsidR="00FA047A">
      <w:rPr>
        <w:lang w:val="en-US"/>
      </w:rPr>
      <w:fldChar w:fldCharType="end"/>
    </w:r>
  </w:p>
  <w:p w:rsidR="00AD7D95" w:rsidRPr="00994F80" w:rsidRDefault="00AD7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95" w:rsidRPr="00994F80" w:rsidRDefault="00AD7D95" w:rsidP="00FD4E37">
    <w:pPr>
      <w:pStyle w:val="Footer"/>
      <w:ind w:firstLine="0"/>
      <w:rPr>
        <w:lang w:val="en-US"/>
      </w:rPr>
    </w:pPr>
    <w:r w:rsidRPr="00994F80">
      <w:rPr>
        <w:lang w:val="en-US"/>
      </w:rPr>
      <w:fldChar w:fldCharType="begin"/>
    </w:r>
    <w:r w:rsidRPr="00994F80">
      <w:rPr>
        <w:lang w:val="en-US"/>
      </w:rPr>
      <w:instrText xml:space="preserve"> FILENAME   \* MERGEFORMAT </w:instrText>
    </w:r>
    <w:r w:rsidRPr="00994F80">
      <w:rPr>
        <w:lang w:val="en-US"/>
      </w:rPr>
      <w:fldChar w:fldCharType="separate"/>
    </w:r>
    <w:r w:rsidR="00EA239A">
      <w:rPr>
        <w:noProof/>
        <w:lang w:val="en-US"/>
      </w:rPr>
      <w:t>IEMAnot_270313_Bioetuul</w:t>
    </w:r>
    <w:r w:rsidRPr="00994F80">
      <w:fldChar w:fldCharType="end"/>
    </w:r>
    <w:r w:rsidRPr="00994F80">
      <w:rPr>
        <w:lang w:val="en-US"/>
      </w:rPr>
      <w:t xml:space="preserve">; </w:t>
    </w:r>
    <w:r w:rsidR="006536AB">
      <w:rPr>
        <w:lang w:val="en-US"/>
      </w:rPr>
      <w:fldChar w:fldCharType="begin"/>
    </w:r>
    <w:r w:rsidR="006536AB">
      <w:rPr>
        <w:lang w:val="en-US"/>
      </w:rPr>
      <w:instrText xml:space="preserve"> TITLE   \* MERGEFORMAT </w:instrText>
    </w:r>
    <w:r w:rsidR="006536AB">
      <w:rPr>
        <w:lang w:val="en-US"/>
      </w:rPr>
      <w:fldChar w:fldCharType="separate"/>
    </w:r>
    <w:proofErr w:type="spellStart"/>
    <w:r w:rsidR="00EA239A">
      <w:rPr>
        <w:lang w:val="en-US"/>
      </w:rPr>
      <w:t>Ministru</w:t>
    </w:r>
    <w:proofErr w:type="spellEnd"/>
    <w:r w:rsidR="00EA239A">
      <w:rPr>
        <w:lang w:val="en-US"/>
      </w:rPr>
      <w:t xml:space="preserve"> </w:t>
    </w:r>
    <w:proofErr w:type="spellStart"/>
    <w:r w:rsidR="00EA239A">
      <w:rPr>
        <w:lang w:val="en-US"/>
      </w:rPr>
      <w:t>kabineta</w:t>
    </w:r>
    <w:proofErr w:type="spellEnd"/>
    <w:r w:rsidR="00EA239A">
      <w:rPr>
        <w:lang w:val="en-US"/>
      </w:rPr>
      <w:t xml:space="preserve"> </w:t>
    </w:r>
    <w:proofErr w:type="spellStart"/>
    <w:r w:rsidR="00EA239A">
      <w:rPr>
        <w:lang w:val="en-US"/>
      </w:rPr>
      <w:t>rīkojuma</w:t>
    </w:r>
    <w:proofErr w:type="spellEnd"/>
    <w:r w:rsidR="00EA239A">
      <w:rPr>
        <w:lang w:val="en-US"/>
      </w:rPr>
      <w:t xml:space="preserve"> </w:t>
    </w:r>
    <w:proofErr w:type="spellStart"/>
    <w:r w:rsidR="00EA239A">
      <w:rPr>
        <w:lang w:val="en-US"/>
      </w:rPr>
      <w:t>projekta</w:t>
    </w:r>
    <w:proofErr w:type="spellEnd"/>
    <w:r w:rsidR="00EA239A">
      <w:rPr>
        <w:lang w:val="en-US"/>
      </w:rPr>
      <w:t xml:space="preserve"> „Par </w:t>
    </w:r>
    <w:proofErr w:type="spellStart"/>
    <w:r w:rsidR="00EA239A">
      <w:rPr>
        <w:lang w:val="en-US"/>
      </w:rPr>
      <w:t>finanšu</w:t>
    </w:r>
    <w:proofErr w:type="spellEnd"/>
    <w:r w:rsidR="00EA239A">
      <w:rPr>
        <w:lang w:val="en-US"/>
      </w:rPr>
      <w:t xml:space="preserve"> </w:t>
    </w:r>
    <w:proofErr w:type="spellStart"/>
    <w:r w:rsidR="00EA239A">
      <w:rPr>
        <w:lang w:val="en-US"/>
      </w:rPr>
      <w:t>līdzekļu</w:t>
    </w:r>
    <w:proofErr w:type="spellEnd"/>
    <w:r w:rsidR="00EA239A">
      <w:rPr>
        <w:lang w:val="en-US"/>
      </w:rPr>
      <w:t xml:space="preserve"> </w:t>
    </w:r>
    <w:proofErr w:type="spellStart"/>
    <w:r w:rsidR="00EA239A">
      <w:rPr>
        <w:lang w:val="en-US"/>
      </w:rPr>
      <w:t>piešķiršanu</w:t>
    </w:r>
    <w:proofErr w:type="spellEnd"/>
    <w:r w:rsidR="00EA239A">
      <w:rPr>
        <w:lang w:val="en-US"/>
      </w:rPr>
      <w:t xml:space="preserve"> no </w:t>
    </w:r>
    <w:proofErr w:type="spellStart"/>
    <w:r w:rsidR="00EA239A">
      <w:rPr>
        <w:lang w:val="en-US"/>
      </w:rPr>
      <w:t>valsts</w:t>
    </w:r>
    <w:proofErr w:type="spellEnd"/>
    <w:r w:rsidR="00EA239A">
      <w:rPr>
        <w:lang w:val="en-US"/>
      </w:rPr>
      <w:t xml:space="preserve"> </w:t>
    </w:r>
    <w:proofErr w:type="spellStart"/>
    <w:r w:rsidR="00EA239A">
      <w:rPr>
        <w:lang w:val="en-US"/>
      </w:rPr>
      <w:t>budžeta</w:t>
    </w:r>
    <w:proofErr w:type="spellEnd"/>
    <w:r w:rsidR="00EA239A">
      <w:rPr>
        <w:lang w:val="en-US"/>
      </w:rPr>
      <w:t xml:space="preserve"> </w:t>
    </w:r>
    <w:proofErr w:type="spellStart"/>
    <w:r w:rsidR="00EA239A">
      <w:rPr>
        <w:lang w:val="en-US"/>
      </w:rPr>
      <w:t>programmas</w:t>
    </w:r>
    <w:proofErr w:type="spellEnd"/>
    <w:r w:rsidR="00EA239A">
      <w:rPr>
        <w:lang w:val="en-US"/>
      </w:rPr>
      <w:t xml:space="preserve"> „</w:t>
    </w:r>
    <w:proofErr w:type="spellStart"/>
    <w:r w:rsidR="00EA239A">
      <w:rPr>
        <w:lang w:val="en-US"/>
      </w:rPr>
      <w:t>Līdzekļi</w:t>
    </w:r>
    <w:proofErr w:type="spellEnd"/>
    <w:r w:rsidR="00EA239A">
      <w:rPr>
        <w:lang w:val="en-US"/>
      </w:rPr>
      <w:t xml:space="preserve"> </w:t>
    </w:r>
    <w:proofErr w:type="spellStart"/>
    <w:r w:rsidR="00EA239A">
      <w:rPr>
        <w:lang w:val="en-US"/>
      </w:rPr>
      <w:t>neparedzētiem</w:t>
    </w:r>
    <w:proofErr w:type="spellEnd"/>
    <w:r w:rsidR="00EA239A">
      <w:rPr>
        <w:lang w:val="en-US"/>
      </w:rPr>
      <w:t xml:space="preserve"> </w:t>
    </w:r>
    <w:proofErr w:type="spellStart"/>
    <w:r w:rsidR="00EA239A">
      <w:rPr>
        <w:lang w:val="en-US"/>
      </w:rPr>
      <w:t>gadījumiem</w:t>
    </w:r>
    <w:proofErr w:type="spellEnd"/>
    <w:r w:rsidR="00EA239A">
      <w:rPr>
        <w:lang w:val="en-US"/>
      </w:rPr>
      <w:t>””</w:t>
    </w:r>
    <w:r w:rsidR="006536AB">
      <w:rPr>
        <w:lang w:val="en-US"/>
      </w:rPr>
      <w:fldChar w:fldCharType="end"/>
    </w:r>
  </w:p>
  <w:p w:rsidR="00AD7D95" w:rsidRPr="00994F80" w:rsidRDefault="00AD7D95">
    <w:pPr>
      <w:pStyle w:val="Footer"/>
    </w:pPr>
  </w:p>
  <w:p w:rsidR="00AD7D95" w:rsidRPr="00994F80" w:rsidRDefault="00AD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FE" w:rsidRDefault="009261FE" w:rsidP="00780EAE">
      <w:r>
        <w:separator/>
      </w:r>
    </w:p>
  </w:footnote>
  <w:footnote w:type="continuationSeparator" w:id="0">
    <w:p w:rsidR="009261FE" w:rsidRDefault="009261FE" w:rsidP="0078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02569"/>
      <w:docPartObj>
        <w:docPartGallery w:val="Page Numbers (Top of Page)"/>
        <w:docPartUnique/>
      </w:docPartObj>
    </w:sdtPr>
    <w:sdtEndPr>
      <w:rPr>
        <w:noProof/>
      </w:rPr>
    </w:sdtEndPr>
    <w:sdtContent>
      <w:p w:rsidR="00AD7D95" w:rsidRDefault="00AD7D95" w:rsidP="00780EAE">
        <w:pPr>
          <w:pStyle w:val="Header"/>
          <w:ind w:firstLine="0"/>
          <w:jc w:val="center"/>
        </w:pPr>
        <w:r>
          <w:fldChar w:fldCharType="begin"/>
        </w:r>
        <w:r>
          <w:instrText xml:space="preserve"> PAGE   \* MERGEFORMAT </w:instrText>
        </w:r>
        <w:r>
          <w:fldChar w:fldCharType="separate"/>
        </w:r>
        <w:r w:rsidR="00C54D8F">
          <w:rPr>
            <w:noProof/>
          </w:rPr>
          <w:t>6</w:t>
        </w:r>
        <w:r>
          <w:rPr>
            <w:noProof/>
          </w:rPr>
          <w:fldChar w:fldCharType="end"/>
        </w:r>
      </w:p>
    </w:sdtContent>
  </w:sdt>
  <w:p w:rsidR="00AD7D95" w:rsidRDefault="00AD7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10D7"/>
    <w:multiLevelType w:val="hybridMultilevel"/>
    <w:tmpl w:val="C07C08A0"/>
    <w:lvl w:ilvl="0" w:tplc="F0F69BB8">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3D"/>
    <w:rsid w:val="0000336E"/>
    <w:rsid w:val="00003B9F"/>
    <w:rsid w:val="00012954"/>
    <w:rsid w:val="00021E8A"/>
    <w:rsid w:val="000228B0"/>
    <w:rsid w:val="0002605C"/>
    <w:rsid w:val="0003419A"/>
    <w:rsid w:val="00045895"/>
    <w:rsid w:val="00070BFC"/>
    <w:rsid w:val="0007646E"/>
    <w:rsid w:val="000827D1"/>
    <w:rsid w:val="00095405"/>
    <w:rsid w:val="000A2239"/>
    <w:rsid w:val="000B5E48"/>
    <w:rsid w:val="000B74CD"/>
    <w:rsid w:val="000C1284"/>
    <w:rsid w:val="000C1776"/>
    <w:rsid w:val="000C6D44"/>
    <w:rsid w:val="000D202A"/>
    <w:rsid w:val="000F002E"/>
    <w:rsid w:val="00125497"/>
    <w:rsid w:val="0013207A"/>
    <w:rsid w:val="00132860"/>
    <w:rsid w:val="00137E46"/>
    <w:rsid w:val="00143E8D"/>
    <w:rsid w:val="0014719F"/>
    <w:rsid w:val="00160BD9"/>
    <w:rsid w:val="0016100C"/>
    <w:rsid w:val="00172EA6"/>
    <w:rsid w:val="00181032"/>
    <w:rsid w:val="001840AC"/>
    <w:rsid w:val="001A6068"/>
    <w:rsid w:val="001C6003"/>
    <w:rsid w:val="001C6303"/>
    <w:rsid w:val="001D2D5C"/>
    <w:rsid w:val="001E25AC"/>
    <w:rsid w:val="001E438D"/>
    <w:rsid w:val="001F0D24"/>
    <w:rsid w:val="00213A1D"/>
    <w:rsid w:val="00217996"/>
    <w:rsid w:val="002249B6"/>
    <w:rsid w:val="0026011F"/>
    <w:rsid w:val="0026278D"/>
    <w:rsid w:val="00263B72"/>
    <w:rsid w:val="002657BA"/>
    <w:rsid w:val="00267302"/>
    <w:rsid w:val="002700D3"/>
    <w:rsid w:val="002825AE"/>
    <w:rsid w:val="002A05AD"/>
    <w:rsid w:val="002A7BED"/>
    <w:rsid w:val="002B7EC9"/>
    <w:rsid w:val="002C14D4"/>
    <w:rsid w:val="002C5551"/>
    <w:rsid w:val="002E37D6"/>
    <w:rsid w:val="002E54A6"/>
    <w:rsid w:val="002E58CF"/>
    <w:rsid w:val="00304A48"/>
    <w:rsid w:val="00305166"/>
    <w:rsid w:val="00326D39"/>
    <w:rsid w:val="00327839"/>
    <w:rsid w:val="00333ED0"/>
    <w:rsid w:val="00336F96"/>
    <w:rsid w:val="00344087"/>
    <w:rsid w:val="00347FDC"/>
    <w:rsid w:val="00352BCE"/>
    <w:rsid w:val="0037470D"/>
    <w:rsid w:val="0038142B"/>
    <w:rsid w:val="003A07E0"/>
    <w:rsid w:val="003A17E8"/>
    <w:rsid w:val="003A180E"/>
    <w:rsid w:val="003A62E2"/>
    <w:rsid w:val="003E7A9A"/>
    <w:rsid w:val="003F5C39"/>
    <w:rsid w:val="00412143"/>
    <w:rsid w:val="0041445F"/>
    <w:rsid w:val="00414510"/>
    <w:rsid w:val="0042516E"/>
    <w:rsid w:val="0043235D"/>
    <w:rsid w:val="004613FB"/>
    <w:rsid w:val="0046195C"/>
    <w:rsid w:val="004677C4"/>
    <w:rsid w:val="00494E38"/>
    <w:rsid w:val="004962C4"/>
    <w:rsid w:val="004B0DB3"/>
    <w:rsid w:val="004B6110"/>
    <w:rsid w:val="004D287F"/>
    <w:rsid w:val="004D4851"/>
    <w:rsid w:val="004D6715"/>
    <w:rsid w:val="004F0F19"/>
    <w:rsid w:val="004F41C9"/>
    <w:rsid w:val="00500825"/>
    <w:rsid w:val="00503A3D"/>
    <w:rsid w:val="005049CF"/>
    <w:rsid w:val="00523A46"/>
    <w:rsid w:val="005272D9"/>
    <w:rsid w:val="00553AF3"/>
    <w:rsid w:val="0056401D"/>
    <w:rsid w:val="005917A3"/>
    <w:rsid w:val="005A32E9"/>
    <w:rsid w:val="005A5B62"/>
    <w:rsid w:val="005B619A"/>
    <w:rsid w:val="005C1BDA"/>
    <w:rsid w:val="005C60AF"/>
    <w:rsid w:val="005C6B67"/>
    <w:rsid w:val="005C7F33"/>
    <w:rsid w:val="005E64A2"/>
    <w:rsid w:val="006048CE"/>
    <w:rsid w:val="00605AAD"/>
    <w:rsid w:val="006167E0"/>
    <w:rsid w:val="00645EE6"/>
    <w:rsid w:val="006536AB"/>
    <w:rsid w:val="00673223"/>
    <w:rsid w:val="0067686D"/>
    <w:rsid w:val="006858E0"/>
    <w:rsid w:val="006864AE"/>
    <w:rsid w:val="00686D72"/>
    <w:rsid w:val="00696EE6"/>
    <w:rsid w:val="006A596F"/>
    <w:rsid w:val="006B723D"/>
    <w:rsid w:val="006C5091"/>
    <w:rsid w:val="006D0F82"/>
    <w:rsid w:val="006E4786"/>
    <w:rsid w:val="00707274"/>
    <w:rsid w:val="00726C46"/>
    <w:rsid w:val="0072766D"/>
    <w:rsid w:val="007317D1"/>
    <w:rsid w:val="00736563"/>
    <w:rsid w:val="00743BE1"/>
    <w:rsid w:val="007446F5"/>
    <w:rsid w:val="00746B32"/>
    <w:rsid w:val="00751CC9"/>
    <w:rsid w:val="00755F8D"/>
    <w:rsid w:val="00763770"/>
    <w:rsid w:val="00763982"/>
    <w:rsid w:val="00765F4E"/>
    <w:rsid w:val="00772AE7"/>
    <w:rsid w:val="00780EAE"/>
    <w:rsid w:val="00785A71"/>
    <w:rsid w:val="00785B07"/>
    <w:rsid w:val="00797847"/>
    <w:rsid w:val="007B3B23"/>
    <w:rsid w:val="007B5289"/>
    <w:rsid w:val="007C216D"/>
    <w:rsid w:val="007C3A51"/>
    <w:rsid w:val="007D2119"/>
    <w:rsid w:val="007D37EE"/>
    <w:rsid w:val="007D5E46"/>
    <w:rsid w:val="007D7E7D"/>
    <w:rsid w:val="007E58A0"/>
    <w:rsid w:val="00810132"/>
    <w:rsid w:val="00824893"/>
    <w:rsid w:val="008408F5"/>
    <w:rsid w:val="00855922"/>
    <w:rsid w:val="00856951"/>
    <w:rsid w:val="00876EF6"/>
    <w:rsid w:val="00890188"/>
    <w:rsid w:val="008918E0"/>
    <w:rsid w:val="008A740C"/>
    <w:rsid w:val="008C686E"/>
    <w:rsid w:val="008D6D6A"/>
    <w:rsid w:val="00906F25"/>
    <w:rsid w:val="009071E7"/>
    <w:rsid w:val="00912544"/>
    <w:rsid w:val="009261FE"/>
    <w:rsid w:val="00945642"/>
    <w:rsid w:val="00945DC1"/>
    <w:rsid w:val="00964CA6"/>
    <w:rsid w:val="0096570A"/>
    <w:rsid w:val="00977C6C"/>
    <w:rsid w:val="00994F80"/>
    <w:rsid w:val="009C7883"/>
    <w:rsid w:val="009D13AB"/>
    <w:rsid w:val="009D6A06"/>
    <w:rsid w:val="009E4240"/>
    <w:rsid w:val="009E5DC1"/>
    <w:rsid w:val="00A00D3D"/>
    <w:rsid w:val="00A02A40"/>
    <w:rsid w:val="00A2283C"/>
    <w:rsid w:val="00A23AFE"/>
    <w:rsid w:val="00A35ACB"/>
    <w:rsid w:val="00A367DA"/>
    <w:rsid w:val="00A36FCC"/>
    <w:rsid w:val="00A4520B"/>
    <w:rsid w:val="00A6467C"/>
    <w:rsid w:val="00A83BC1"/>
    <w:rsid w:val="00A87413"/>
    <w:rsid w:val="00A93183"/>
    <w:rsid w:val="00A94D6B"/>
    <w:rsid w:val="00AB23E4"/>
    <w:rsid w:val="00AB2FEC"/>
    <w:rsid w:val="00AB4CE1"/>
    <w:rsid w:val="00AC2EDF"/>
    <w:rsid w:val="00AC6708"/>
    <w:rsid w:val="00AD5EC9"/>
    <w:rsid w:val="00AD7D95"/>
    <w:rsid w:val="00AE65D0"/>
    <w:rsid w:val="00AF10DF"/>
    <w:rsid w:val="00AF68A5"/>
    <w:rsid w:val="00B00F70"/>
    <w:rsid w:val="00B06D5D"/>
    <w:rsid w:val="00B21A75"/>
    <w:rsid w:val="00B26900"/>
    <w:rsid w:val="00B31C65"/>
    <w:rsid w:val="00B5391D"/>
    <w:rsid w:val="00B6006A"/>
    <w:rsid w:val="00B648C6"/>
    <w:rsid w:val="00B83048"/>
    <w:rsid w:val="00B83CAE"/>
    <w:rsid w:val="00B871AE"/>
    <w:rsid w:val="00B8760D"/>
    <w:rsid w:val="00B96127"/>
    <w:rsid w:val="00BA2B2D"/>
    <w:rsid w:val="00BB0160"/>
    <w:rsid w:val="00BB17CD"/>
    <w:rsid w:val="00BB6031"/>
    <w:rsid w:val="00BB72F1"/>
    <w:rsid w:val="00BB7E06"/>
    <w:rsid w:val="00BC084B"/>
    <w:rsid w:val="00BC2C9E"/>
    <w:rsid w:val="00BD5BF8"/>
    <w:rsid w:val="00BE0AFD"/>
    <w:rsid w:val="00BE589E"/>
    <w:rsid w:val="00BE6583"/>
    <w:rsid w:val="00BF01C4"/>
    <w:rsid w:val="00BF3AC9"/>
    <w:rsid w:val="00BF4C99"/>
    <w:rsid w:val="00BF701E"/>
    <w:rsid w:val="00BF7CC8"/>
    <w:rsid w:val="00C06506"/>
    <w:rsid w:val="00C26C17"/>
    <w:rsid w:val="00C31B7C"/>
    <w:rsid w:val="00C36483"/>
    <w:rsid w:val="00C46A85"/>
    <w:rsid w:val="00C54D8F"/>
    <w:rsid w:val="00C655DE"/>
    <w:rsid w:val="00C80A3B"/>
    <w:rsid w:val="00C83624"/>
    <w:rsid w:val="00C87497"/>
    <w:rsid w:val="00C97FDC"/>
    <w:rsid w:val="00CB1734"/>
    <w:rsid w:val="00CB42E4"/>
    <w:rsid w:val="00CB79C6"/>
    <w:rsid w:val="00CD0A3D"/>
    <w:rsid w:val="00CE0E36"/>
    <w:rsid w:val="00CE1EBA"/>
    <w:rsid w:val="00CE4F35"/>
    <w:rsid w:val="00CF3700"/>
    <w:rsid w:val="00D04B86"/>
    <w:rsid w:val="00D10049"/>
    <w:rsid w:val="00D13DEF"/>
    <w:rsid w:val="00D17609"/>
    <w:rsid w:val="00D2568E"/>
    <w:rsid w:val="00D3615D"/>
    <w:rsid w:val="00D438BB"/>
    <w:rsid w:val="00D46953"/>
    <w:rsid w:val="00D50CB5"/>
    <w:rsid w:val="00D53E63"/>
    <w:rsid w:val="00D55A4B"/>
    <w:rsid w:val="00D568CE"/>
    <w:rsid w:val="00D902B1"/>
    <w:rsid w:val="00D910A1"/>
    <w:rsid w:val="00D91722"/>
    <w:rsid w:val="00D939FE"/>
    <w:rsid w:val="00D971A2"/>
    <w:rsid w:val="00DD03FC"/>
    <w:rsid w:val="00DD0B36"/>
    <w:rsid w:val="00DD5336"/>
    <w:rsid w:val="00DD6091"/>
    <w:rsid w:val="00DE3CDF"/>
    <w:rsid w:val="00DE678A"/>
    <w:rsid w:val="00E06702"/>
    <w:rsid w:val="00E11CAE"/>
    <w:rsid w:val="00E13DAA"/>
    <w:rsid w:val="00E25645"/>
    <w:rsid w:val="00E47392"/>
    <w:rsid w:val="00E519C9"/>
    <w:rsid w:val="00E5713A"/>
    <w:rsid w:val="00E640A4"/>
    <w:rsid w:val="00E65582"/>
    <w:rsid w:val="00E8465D"/>
    <w:rsid w:val="00E85FCB"/>
    <w:rsid w:val="00E90377"/>
    <w:rsid w:val="00E96610"/>
    <w:rsid w:val="00E971DA"/>
    <w:rsid w:val="00EA239A"/>
    <w:rsid w:val="00EA2CC8"/>
    <w:rsid w:val="00EA4494"/>
    <w:rsid w:val="00EA762A"/>
    <w:rsid w:val="00EB17FA"/>
    <w:rsid w:val="00EC4387"/>
    <w:rsid w:val="00EC4966"/>
    <w:rsid w:val="00EE4FB5"/>
    <w:rsid w:val="00EF1E02"/>
    <w:rsid w:val="00F003CC"/>
    <w:rsid w:val="00F03714"/>
    <w:rsid w:val="00F22173"/>
    <w:rsid w:val="00F506C3"/>
    <w:rsid w:val="00F54725"/>
    <w:rsid w:val="00F626D6"/>
    <w:rsid w:val="00F64175"/>
    <w:rsid w:val="00F71A05"/>
    <w:rsid w:val="00F775C8"/>
    <w:rsid w:val="00FA047A"/>
    <w:rsid w:val="00FB159C"/>
    <w:rsid w:val="00FC1AAA"/>
    <w:rsid w:val="00FC4AF7"/>
    <w:rsid w:val="00FD1AA0"/>
    <w:rsid w:val="00FD1BA2"/>
    <w:rsid w:val="00FD442D"/>
    <w:rsid w:val="00FD4E37"/>
    <w:rsid w:val="00FF28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D0A3D"/>
    <w:pPr>
      <w:spacing w:before="150" w:after="150"/>
      <w:ind w:firstLine="0"/>
      <w:jc w:val="center"/>
    </w:pPr>
    <w:rPr>
      <w:rFonts w:eastAsia="Times New Roman"/>
      <w:b/>
      <w:bCs/>
      <w:sz w:val="24"/>
      <w:szCs w:val="24"/>
    </w:rPr>
  </w:style>
  <w:style w:type="paragraph" w:customStyle="1" w:styleId="naiskr">
    <w:name w:val="naiskr"/>
    <w:basedOn w:val="Normal"/>
    <w:uiPriority w:val="99"/>
    <w:rsid w:val="00CD0A3D"/>
    <w:pPr>
      <w:spacing w:before="75" w:after="75"/>
      <w:ind w:firstLine="0"/>
      <w:jc w:val="left"/>
    </w:pPr>
    <w:rPr>
      <w:rFonts w:eastAsia="Times New Roman"/>
      <w:sz w:val="24"/>
      <w:szCs w:val="24"/>
    </w:rPr>
  </w:style>
  <w:style w:type="paragraph" w:styleId="FootnoteText">
    <w:name w:val="footnote text"/>
    <w:basedOn w:val="Normal"/>
    <w:link w:val="FootnoteTextChar"/>
    <w:semiHidden/>
    <w:rsid w:val="00CD0A3D"/>
    <w:pPr>
      <w:ind w:firstLine="0"/>
      <w:jc w:val="left"/>
    </w:pPr>
    <w:rPr>
      <w:rFonts w:eastAsia="Times New Roman"/>
    </w:rPr>
  </w:style>
  <w:style w:type="character" w:customStyle="1" w:styleId="FootnoteTextChar">
    <w:name w:val="Footnote Text Char"/>
    <w:basedOn w:val="DefaultParagraphFont"/>
    <w:link w:val="FootnoteText"/>
    <w:semiHidden/>
    <w:rsid w:val="00CD0A3D"/>
    <w:rPr>
      <w:rFonts w:eastAsia="Times New Roman"/>
      <w:sz w:val="20"/>
      <w:lang w:eastAsia="lv-LV"/>
    </w:rPr>
  </w:style>
  <w:style w:type="paragraph" w:customStyle="1" w:styleId="naisf">
    <w:name w:val="naisf"/>
    <w:basedOn w:val="Normal"/>
    <w:rsid w:val="00C31B7C"/>
    <w:pPr>
      <w:spacing w:before="75" w:after="75"/>
      <w:ind w:firstLine="375"/>
    </w:pPr>
    <w:rPr>
      <w:rFonts w:eastAsia="Times New Roman"/>
      <w:sz w:val="24"/>
      <w:szCs w:val="24"/>
    </w:rPr>
  </w:style>
  <w:style w:type="paragraph" w:styleId="Header">
    <w:name w:val="header"/>
    <w:basedOn w:val="Normal"/>
    <w:link w:val="HeaderChar"/>
    <w:uiPriority w:val="99"/>
    <w:unhideWhenUsed/>
    <w:rsid w:val="00780EAE"/>
    <w:pPr>
      <w:tabs>
        <w:tab w:val="center" w:pos="4153"/>
        <w:tab w:val="right" w:pos="8306"/>
      </w:tabs>
    </w:pPr>
  </w:style>
  <w:style w:type="character" w:customStyle="1" w:styleId="HeaderChar">
    <w:name w:val="Header Char"/>
    <w:basedOn w:val="DefaultParagraphFont"/>
    <w:link w:val="Header"/>
    <w:uiPriority w:val="99"/>
    <w:rsid w:val="00780EAE"/>
    <w:rPr>
      <w:sz w:val="20"/>
      <w:lang w:eastAsia="lv-LV"/>
    </w:rPr>
  </w:style>
  <w:style w:type="paragraph" w:styleId="Footer">
    <w:name w:val="footer"/>
    <w:basedOn w:val="Normal"/>
    <w:link w:val="FooterChar"/>
    <w:uiPriority w:val="99"/>
    <w:unhideWhenUsed/>
    <w:rsid w:val="00780EAE"/>
    <w:pPr>
      <w:tabs>
        <w:tab w:val="center" w:pos="4153"/>
        <w:tab w:val="right" w:pos="8306"/>
      </w:tabs>
    </w:pPr>
  </w:style>
  <w:style w:type="character" w:customStyle="1" w:styleId="FooterChar">
    <w:name w:val="Footer Char"/>
    <w:basedOn w:val="DefaultParagraphFont"/>
    <w:link w:val="Footer"/>
    <w:uiPriority w:val="99"/>
    <w:rsid w:val="00780EAE"/>
    <w:rPr>
      <w:sz w:val="20"/>
      <w:lang w:eastAsia="lv-LV"/>
    </w:rPr>
  </w:style>
  <w:style w:type="character" w:styleId="Hyperlink">
    <w:name w:val="Hyperlink"/>
    <w:basedOn w:val="DefaultParagraphFont"/>
    <w:uiPriority w:val="99"/>
    <w:unhideWhenUsed/>
    <w:rsid w:val="002700D3"/>
    <w:rPr>
      <w:color w:val="0000FF" w:themeColor="hyperlink"/>
      <w:u w:val="single"/>
    </w:rPr>
  </w:style>
  <w:style w:type="paragraph" w:styleId="BalloonText">
    <w:name w:val="Balloon Text"/>
    <w:basedOn w:val="Normal"/>
    <w:link w:val="BalloonTextChar"/>
    <w:uiPriority w:val="99"/>
    <w:semiHidden/>
    <w:unhideWhenUsed/>
    <w:rsid w:val="00FD4E37"/>
    <w:rPr>
      <w:rFonts w:ascii="Tahoma" w:hAnsi="Tahoma" w:cs="Tahoma"/>
      <w:sz w:val="16"/>
      <w:szCs w:val="16"/>
    </w:rPr>
  </w:style>
  <w:style w:type="character" w:customStyle="1" w:styleId="BalloonTextChar">
    <w:name w:val="Balloon Text Char"/>
    <w:basedOn w:val="DefaultParagraphFont"/>
    <w:link w:val="BalloonText"/>
    <w:uiPriority w:val="99"/>
    <w:semiHidden/>
    <w:rsid w:val="00FD4E37"/>
    <w:rPr>
      <w:rFonts w:ascii="Tahoma" w:hAnsi="Tahoma" w:cs="Tahoma"/>
      <w:sz w:val="16"/>
      <w:szCs w:val="16"/>
      <w:lang w:eastAsia="lv-LV"/>
    </w:rPr>
  </w:style>
  <w:style w:type="paragraph" w:styleId="BodyTextIndent">
    <w:name w:val="Body Text Indent"/>
    <w:basedOn w:val="Normal"/>
    <w:link w:val="BodyTextIndentChar"/>
    <w:rsid w:val="00D17609"/>
    <w:pPr>
      <w:spacing w:after="120"/>
      <w:ind w:left="283"/>
    </w:pPr>
    <w:rPr>
      <w:rFonts w:eastAsia="Times New Roman"/>
      <w:sz w:val="28"/>
      <w:szCs w:val="24"/>
      <w:lang w:eastAsia="en-US"/>
    </w:rPr>
  </w:style>
  <w:style w:type="character" w:customStyle="1" w:styleId="BodyTextIndentChar">
    <w:name w:val="Body Text Indent Char"/>
    <w:basedOn w:val="DefaultParagraphFont"/>
    <w:link w:val="BodyTextIndent"/>
    <w:rsid w:val="00D17609"/>
    <w:rPr>
      <w:rFonts w:eastAsia="Times New Roman"/>
      <w:sz w:val="28"/>
      <w:szCs w:val="24"/>
    </w:rPr>
  </w:style>
  <w:style w:type="paragraph" w:customStyle="1" w:styleId="naisc">
    <w:name w:val="naisc"/>
    <w:basedOn w:val="Normal"/>
    <w:uiPriority w:val="99"/>
    <w:rsid w:val="00D17609"/>
    <w:pPr>
      <w:spacing w:before="100" w:beforeAutospacing="1" w:after="100" w:afterAutospacing="1"/>
      <w:ind w:firstLine="0"/>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D0A3D"/>
    <w:pPr>
      <w:spacing w:before="150" w:after="150"/>
      <w:ind w:firstLine="0"/>
      <w:jc w:val="center"/>
    </w:pPr>
    <w:rPr>
      <w:rFonts w:eastAsia="Times New Roman"/>
      <w:b/>
      <w:bCs/>
      <w:sz w:val="24"/>
      <w:szCs w:val="24"/>
    </w:rPr>
  </w:style>
  <w:style w:type="paragraph" w:customStyle="1" w:styleId="naiskr">
    <w:name w:val="naiskr"/>
    <w:basedOn w:val="Normal"/>
    <w:uiPriority w:val="99"/>
    <w:rsid w:val="00CD0A3D"/>
    <w:pPr>
      <w:spacing w:before="75" w:after="75"/>
      <w:ind w:firstLine="0"/>
      <w:jc w:val="left"/>
    </w:pPr>
    <w:rPr>
      <w:rFonts w:eastAsia="Times New Roman"/>
      <w:sz w:val="24"/>
      <w:szCs w:val="24"/>
    </w:rPr>
  </w:style>
  <w:style w:type="paragraph" w:styleId="FootnoteText">
    <w:name w:val="footnote text"/>
    <w:basedOn w:val="Normal"/>
    <w:link w:val="FootnoteTextChar"/>
    <w:semiHidden/>
    <w:rsid w:val="00CD0A3D"/>
    <w:pPr>
      <w:ind w:firstLine="0"/>
      <w:jc w:val="left"/>
    </w:pPr>
    <w:rPr>
      <w:rFonts w:eastAsia="Times New Roman"/>
    </w:rPr>
  </w:style>
  <w:style w:type="character" w:customStyle="1" w:styleId="FootnoteTextChar">
    <w:name w:val="Footnote Text Char"/>
    <w:basedOn w:val="DefaultParagraphFont"/>
    <w:link w:val="FootnoteText"/>
    <w:semiHidden/>
    <w:rsid w:val="00CD0A3D"/>
    <w:rPr>
      <w:rFonts w:eastAsia="Times New Roman"/>
      <w:sz w:val="20"/>
      <w:lang w:eastAsia="lv-LV"/>
    </w:rPr>
  </w:style>
  <w:style w:type="paragraph" w:customStyle="1" w:styleId="naisf">
    <w:name w:val="naisf"/>
    <w:basedOn w:val="Normal"/>
    <w:rsid w:val="00C31B7C"/>
    <w:pPr>
      <w:spacing w:before="75" w:after="75"/>
      <w:ind w:firstLine="375"/>
    </w:pPr>
    <w:rPr>
      <w:rFonts w:eastAsia="Times New Roman"/>
      <w:sz w:val="24"/>
      <w:szCs w:val="24"/>
    </w:rPr>
  </w:style>
  <w:style w:type="paragraph" w:styleId="Header">
    <w:name w:val="header"/>
    <w:basedOn w:val="Normal"/>
    <w:link w:val="HeaderChar"/>
    <w:uiPriority w:val="99"/>
    <w:unhideWhenUsed/>
    <w:rsid w:val="00780EAE"/>
    <w:pPr>
      <w:tabs>
        <w:tab w:val="center" w:pos="4153"/>
        <w:tab w:val="right" w:pos="8306"/>
      </w:tabs>
    </w:pPr>
  </w:style>
  <w:style w:type="character" w:customStyle="1" w:styleId="HeaderChar">
    <w:name w:val="Header Char"/>
    <w:basedOn w:val="DefaultParagraphFont"/>
    <w:link w:val="Header"/>
    <w:uiPriority w:val="99"/>
    <w:rsid w:val="00780EAE"/>
    <w:rPr>
      <w:sz w:val="20"/>
      <w:lang w:eastAsia="lv-LV"/>
    </w:rPr>
  </w:style>
  <w:style w:type="paragraph" w:styleId="Footer">
    <w:name w:val="footer"/>
    <w:basedOn w:val="Normal"/>
    <w:link w:val="FooterChar"/>
    <w:uiPriority w:val="99"/>
    <w:unhideWhenUsed/>
    <w:rsid w:val="00780EAE"/>
    <w:pPr>
      <w:tabs>
        <w:tab w:val="center" w:pos="4153"/>
        <w:tab w:val="right" w:pos="8306"/>
      </w:tabs>
    </w:pPr>
  </w:style>
  <w:style w:type="character" w:customStyle="1" w:styleId="FooterChar">
    <w:name w:val="Footer Char"/>
    <w:basedOn w:val="DefaultParagraphFont"/>
    <w:link w:val="Footer"/>
    <w:uiPriority w:val="99"/>
    <w:rsid w:val="00780EAE"/>
    <w:rPr>
      <w:sz w:val="20"/>
      <w:lang w:eastAsia="lv-LV"/>
    </w:rPr>
  </w:style>
  <w:style w:type="character" w:styleId="Hyperlink">
    <w:name w:val="Hyperlink"/>
    <w:basedOn w:val="DefaultParagraphFont"/>
    <w:uiPriority w:val="99"/>
    <w:unhideWhenUsed/>
    <w:rsid w:val="002700D3"/>
    <w:rPr>
      <w:color w:val="0000FF" w:themeColor="hyperlink"/>
      <w:u w:val="single"/>
    </w:rPr>
  </w:style>
  <w:style w:type="paragraph" w:styleId="BalloonText">
    <w:name w:val="Balloon Text"/>
    <w:basedOn w:val="Normal"/>
    <w:link w:val="BalloonTextChar"/>
    <w:uiPriority w:val="99"/>
    <w:semiHidden/>
    <w:unhideWhenUsed/>
    <w:rsid w:val="00FD4E37"/>
    <w:rPr>
      <w:rFonts w:ascii="Tahoma" w:hAnsi="Tahoma" w:cs="Tahoma"/>
      <w:sz w:val="16"/>
      <w:szCs w:val="16"/>
    </w:rPr>
  </w:style>
  <w:style w:type="character" w:customStyle="1" w:styleId="BalloonTextChar">
    <w:name w:val="Balloon Text Char"/>
    <w:basedOn w:val="DefaultParagraphFont"/>
    <w:link w:val="BalloonText"/>
    <w:uiPriority w:val="99"/>
    <w:semiHidden/>
    <w:rsid w:val="00FD4E37"/>
    <w:rPr>
      <w:rFonts w:ascii="Tahoma" w:hAnsi="Tahoma" w:cs="Tahoma"/>
      <w:sz w:val="16"/>
      <w:szCs w:val="16"/>
      <w:lang w:eastAsia="lv-LV"/>
    </w:rPr>
  </w:style>
  <w:style w:type="paragraph" w:styleId="BodyTextIndent">
    <w:name w:val="Body Text Indent"/>
    <w:basedOn w:val="Normal"/>
    <w:link w:val="BodyTextIndentChar"/>
    <w:rsid w:val="00D17609"/>
    <w:pPr>
      <w:spacing w:after="120"/>
      <w:ind w:left="283"/>
    </w:pPr>
    <w:rPr>
      <w:rFonts w:eastAsia="Times New Roman"/>
      <w:sz w:val="28"/>
      <w:szCs w:val="24"/>
      <w:lang w:eastAsia="en-US"/>
    </w:rPr>
  </w:style>
  <w:style w:type="character" w:customStyle="1" w:styleId="BodyTextIndentChar">
    <w:name w:val="Body Text Indent Char"/>
    <w:basedOn w:val="DefaultParagraphFont"/>
    <w:link w:val="BodyTextIndent"/>
    <w:rsid w:val="00D17609"/>
    <w:rPr>
      <w:rFonts w:eastAsia="Times New Roman"/>
      <w:sz w:val="28"/>
      <w:szCs w:val="24"/>
    </w:rPr>
  </w:style>
  <w:style w:type="paragraph" w:customStyle="1" w:styleId="naisc">
    <w:name w:val="naisc"/>
    <w:basedOn w:val="Normal"/>
    <w:uiPriority w:val="99"/>
    <w:rsid w:val="00D17609"/>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8763">
      <w:bodyDiv w:val="1"/>
      <w:marLeft w:val="0"/>
      <w:marRight w:val="0"/>
      <w:marTop w:val="0"/>
      <w:marBottom w:val="0"/>
      <w:divBdr>
        <w:top w:val="none" w:sz="0" w:space="0" w:color="auto"/>
        <w:left w:val="none" w:sz="0" w:space="0" w:color="auto"/>
        <w:bottom w:val="none" w:sz="0" w:space="0" w:color="auto"/>
        <w:right w:val="none" w:sz="0" w:space="0" w:color="auto"/>
      </w:divBdr>
    </w:div>
    <w:div w:id="620890067">
      <w:bodyDiv w:val="1"/>
      <w:marLeft w:val="0"/>
      <w:marRight w:val="0"/>
      <w:marTop w:val="0"/>
      <w:marBottom w:val="0"/>
      <w:divBdr>
        <w:top w:val="none" w:sz="0" w:space="0" w:color="auto"/>
        <w:left w:val="none" w:sz="0" w:space="0" w:color="auto"/>
        <w:bottom w:val="none" w:sz="0" w:space="0" w:color="auto"/>
        <w:right w:val="none" w:sz="0" w:space="0" w:color="auto"/>
      </w:divBdr>
    </w:div>
    <w:div w:id="1053888083">
      <w:bodyDiv w:val="1"/>
      <w:marLeft w:val="0"/>
      <w:marRight w:val="0"/>
      <w:marTop w:val="0"/>
      <w:marBottom w:val="0"/>
      <w:divBdr>
        <w:top w:val="none" w:sz="0" w:space="0" w:color="auto"/>
        <w:left w:val="none" w:sz="0" w:space="0" w:color="auto"/>
        <w:bottom w:val="none" w:sz="0" w:space="0" w:color="auto"/>
        <w:right w:val="none" w:sz="0" w:space="0" w:color="auto"/>
      </w:divBdr>
    </w:div>
    <w:div w:id="19771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ivis.Malijs@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BC06-8647-4CF1-8321-6F78F5C2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1387</Words>
  <Characters>10142</Characters>
  <Application>Microsoft Office Word</Application>
  <DocSecurity>0</DocSecurity>
  <Lines>401</Lines>
  <Paragraphs>99</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vt:lpstr>
    </vt:vector>
  </TitlesOfParts>
  <Manager>Iekšlietu ministrija</Manager>
  <Company>Nodrošinājuma valsts aģentūra</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dc:title>
  <dc:subject>sākotnējās ietekmes novērtējuma ziņojums (anotācija)</dc:subject>
  <dc:creator>Raivis Mālijs</dc:creator>
  <dc:description>tālr.: 67829048_x000d_
Raivis.Malijs@agentura.iem.gov.lv</dc:description>
  <cp:lastModifiedBy>Biruta Pedane</cp:lastModifiedBy>
  <cp:revision>56</cp:revision>
  <cp:lastPrinted>2013-03-27T12:32:00Z</cp:lastPrinted>
  <dcterms:created xsi:type="dcterms:W3CDTF">2013-02-19T13:48:00Z</dcterms:created>
  <dcterms:modified xsi:type="dcterms:W3CDTF">2013-04-16T11:14:00Z</dcterms:modified>
</cp:coreProperties>
</file>