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CD" w:rsidRPr="000F5FAA" w:rsidRDefault="00773DCD" w:rsidP="00773DCD">
      <w:pPr>
        <w:jc w:val="center"/>
        <w:rPr>
          <w:b/>
          <w:sz w:val="28"/>
          <w:szCs w:val="28"/>
        </w:rPr>
      </w:pPr>
      <w:r w:rsidRPr="000F5FAA">
        <w:rPr>
          <w:b/>
          <w:sz w:val="28"/>
          <w:szCs w:val="28"/>
        </w:rPr>
        <w:t>Ministru kabineta rīkojuma projekta „</w:t>
      </w:r>
      <w:r>
        <w:rPr>
          <w:b/>
          <w:sz w:val="28"/>
          <w:szCs w:val="28"/>
        </w:rPr>
        <w:t>Par grozījumiem Valsts civilās aizsardzības plānā</w:t>
      </w:r>
      <w:r w:rsidRPr="000F5FAA">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0F5FAA">
          <w:rPr>
            <w:b/>
            <w:sz w:val="28"/>
            <w:szCs w:val="28"/>
          </w:rPr>
          <w:t>ziņojums</w:t>
        </w:r>
      </w:smartTag>
      <w:r w:rsidRPr="000F5FAA">
        <w:rPr>
          <w:b/>
          <w:sz w:val="28"/>
          <w:szCs w:val="28"/>
        </w:rPr>
        <w:t xml:space="preserve"> (anotācija)</w:t>
      </w:r>
    </w:p>
    <w:p w:rsidR="00773DCD" w:rsidRPr="0005329F" w:rsidRDefault="00773DCD" w:rsidP="00773DCD">
      <w:pPr>
        <w:pStyle w:val="naislab"/>
        <w:spacing w:before="0" w:after="0"/>
        <w:jc w:val="center"/>
        <w:outlineLvl w:val="0"/>
        <w:rPr>
          <w:b/>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37"/>
        <w:gridCol w:w="6638"/>
      </w:tblGrid>
      <w:tr w:rsidR="00773DCD" w:rsidRPr="00D279A9" w:rsidTr="00F45713">
        <w:trPr>
          <w:jc w:val="center"/>
        </w:trPr>
        <w:tc>
          <w:tcPr>
            <w:tcW w:w="9725" w:type="dxa"/>
            <w:gridSpan w:val="3"/>
            <w:vAlign w:val="center"/>
          </w:tcPr>
          <w:p w:rsidR="00773DCD" w:rsidRPr="00D279A9" w:rsidRDefault="00773DCD" w:rsidP="00F45713">
            <w:pPr>
              <w:pStyle w:val="naisnod"/>
              <w:spacing w:before="0" w:after="0"/>
              <w:rPr>
                <w:sz w:val="26"/>
                <w:szCs w:val="26"/>
              </w:rPr>
            </w:pPr>
            <w:r w:rsidRPr="00D279A9">
              <w:rPr>
                <w:sz w:val="26"/>
                <w:szCs w:val="26"/>
              </w:rPr>
              <w:t>I. Tiesību akta projekta izstrādes nepieciešamība</w:t>
            </w:r>
          </w:p>
        </w:tc>
      </w:tr>
      <w:tr w:rsidR="00773DCD" w:rsidRPr="00D279A9" w:rsidTr="00F45713">
        <w:trPr>
          <w:trHeight w:val="630"/>
          <w:jc w:val="center"/>
        </w:trPr>
        <w:tc>
          <w:tcPr>
            <w:tcW w:w="550" w:type="dxa"/>
          </w:tcPr>
          <w:p w:rsidR="00773DCD" w:rsidRPr="00D279A9" w:rsidRDefault="00773DCD" w:rsidP="00F45713">
            <w:pPr>
              <w:pStyle w:val="naiskr"/>
              <w:spacing w:before="0" w:after="0"/>
              <w:rPr>
                <w:sz w:val="26"/>
                <w:szCs w:val="26"/>
              </w:rPr>
            </w:pPr>
            <w:r w:rsidRPr="00D279A9">
              <w:rPr>
                <w:sz w:val="26"/>
                <w:szCs w:val="26"/>
              </w:rPr>
              <w:t>1.</w:t>
            </w:r>
          </w:p>
        </w:tc>
        <w:tc>
          <w:tcPr>
            <w:tcW w:w="2537" w:type="dxa"/>
          </w:tcPr>
          <w:p w:rsidR="00773DCD" w:rsidRPr="00D279A9" w:rsidRDefault="00773DCD" w:rsidP="00F45713">
            <w:pPr>
              <w:pStyle w:val="naiskr"/>
              <w:spacing w:before="0" w:after="0"/>
              <w:ind w:hanging="10"/>
              <w:rPr>
                <w:sz w:val="26"/>
                <w:szCs w:val="26"/>
              </w:rPr>
            </w:pPr>
            <w:r w:rsidRPr="00D279A9">
              <w:rPr>
                <w:sz w:val="26"/>
                <w:szCs w:val="26"/>
              </w:rPr>
              <w:t>Pamatojums</w:t>
            </w:r>
          </w:p>
        </w:tc>
        <w:tc>
          <w:tcPr>
            <w:tcW w:w="6638" w:type="dxa"/>
          </w:tcPr>
          <w:p w:rsidR="00773DCD" w:rsidRPr="00D279A9" w:rsidRDefault="00773DCD" w:rsidP="00F45713">
            <w:pPr>
              <w:pStyle w:val="naiskr"/>
              <w:spacing w:before="0" w:after="0"/>
              <w:ind w:firstLine="382"/>
              <w:jc w:val="both"/>
              <w:rPr>
                <w:sz w:val="26"/>
                <w:szCs w:val="26"/>
              </w:rPr>
            </w:pPr>
            <w:r w:rsidRPr="00D279A9">
              <w:rPr>
                <w:sz w:val="26"/>
                <w:szCs w:val="26"/>
              </w:rPr>
              <w:t>Ministru kabineta 2011.gada 9.augusta rīkojuma Nr.369 „Par Valsts civilās aizsardzības plānu” 4.punkts.</w:t>
            </w:r>
          </w:p>
          <w:p w:rsidR="00773DCD" w:rsidRPr="00D279A9" w:rsidRDefault="00773DCD" w:rsidP="00F45713">
            <w:pPr>
              <w:pStyle w:val="naiskr"/>
              <w:spacing w:before="0" w:after="0"/>
              <w:ind w:hanging="5"/>
              <w:rPr>
                <w:sz w:val="26"/>
                <w:szCs w:val="26"/>
              </w:rPr>
            </w:pPr>
          </w:p>
        </w:tc>
      </w:tr>
      <w:tr w:rsidR="00773DCD" w:rsidRPr="00D279A9" w:rsidTr="00F45713">
        <w:trPr>
          <w:trHeight w:val="472"/>
          <w:jc w:val="center"/>
        </w:trPr>
        <w:tc>
          <w:tcPr>
            <w:tcW w:w="550" w:type="dxa"/>
          </w:tcPr>
          <w:p w:rsidR="00773DCD" w:rsidRPr="00D279A9" w:rsidRDefault="00773DCD" w:rsidP="00F45713">
            <w:pPr>
              <w:pStyle w:val="naiskr"/>
              <w:spacing w:before="0" w:after="0"/>
              <w:rPr>
                <w:sz w:val="26"/>
                <w:szCs w:val="26"/>
              </w:rPr>
            </w:pPr>
            <w:r w:rsidRPr="00D279A9">
              <w:rPr>
                <w:sz w:val="26"/>
                <w:szCs w:val="26"/>
              </w:rPr>
              <w:t>2.</w:t>
            </w:r>
          </w:p>
        </w:tc>
        <w:tc>
          <w:tcPr>
            <w:tcW w:w="2537" w:type="dxa"/>
          </w:tcPr>
          <w:p w:rsidR="00773DCD" w:rsidRPr="00D279A9" w:rsidRDefault="00773DCD" w:rsidP="00F45713">
            <w:pPr>
              <w:pStyle w:val="naiskr"/>
              <w:tabs>
                <w:tab w:val="left" w:pos="170"/>
              </w:tabs>
              <w:spacing w:before="0" w:after="0"/>
              <w:rPr>
                <w:sz w:val="26"/>
                <w:szCs w:val="26"/>
              </w:rPr>
            </w:pPr>
            <w:r w:rsidRPr="00D279A9">
              <w:rPr>
                <w:sz w:val="26"/>
                <w:szCs w:val="26"/>
              </w:rPr>
              <w:t>Pašreizējā situācija un problēmas</w:t>
            </w:r>
          </w:p>
        </w:tc>
        <w:tc>
          <w:tcPr>
            <w:tcW w:w="6638" w:type="dxa"/>
          </w:tcPr>
          <w:p w:rsidR="00773DCD" w:rsidRPr="00D279A9" w:rsidRDefault="00773DCD" w:rsidP="00F45713">
            <w:pPr>
              <w:pStyle w:val="naiskr"/>
              <w:spacing w:before="0" w:after="0"/>
              <w:ind w:firstLine="420"/>
              <w:jc w:val="both"/>
              <w:rPr>
                <w:sz w:val="26"/>
                <w:szCs w:val="26"/>
              </w:rPr>
            </w:pPr>
            <w:r w:rsidRPr="00D279A9">
              <w:rPr>
                <w:sz w:val="26"/>
                <w:szCs w:val="26"/>
              </w:rPr>
              <w:t xml:space="preserve">Ņemot vērā Civilās aizsardzības likuma 8.panta pirmās daļas 1.punktā noteikto, ministrijas katru gadu līdz 20.janvārim iesniedz Iekšlietu ministrijā priekšlikumus, lai precizētu Valsts civilās aizsardzības plānu (turpmāk - Plāns), līdz ar ko, nepieciešams aktualizēt pašreiz spēkā esošo Plāna redakciju. </w:t>
            </w:r>
          </w:p>
        </w:tc>
      </w:tr>
      <w:tr w:rsidR="00773DCD" w:rsidRPr="00D279A9" w:rsidTr="00F45713">
        <w:trPr>
          <w:trHeight w:val="750"/>
          <w:jc w:val="center"/>
        </w:trPr>
        <w:tc>
          <w:tcPr>
            <w:tcW w:w="550" w:type="dxa"/>
          </w:tcPr>
          <w:p w:rsidR="00773DCD" w:rsidRPr="00D279A9" w:rsidRDefault="00773DCD" w:rsidP="00F45713">
            <w:pPr>
              <w:pStyle w:val="naiskr"/>
              <w:spacing w:before="0" w:after="0"/>
              <w:rPr>
                <w:sz w:val="26"/>
                <w:szCs w:val="26"/>
              </w:rPr>
            </w:pPr>
            <w:r w:rsidRPr="00D279A9">
              <w:rPr>
                <w:sz w:val="26"/>
                <w:szCs w:val="26"/>
              </w:rPr>
              <w:t>3.</w:t>
            </w:r>
          </w:p>
        </w:tc>
        <w:tc>
          <w:tcPr>
            <w:tcW w:w="2537" w:type="dxa"/>
          </w:tcPr>
          <w:p w:rsidR="00773DCD" w:rsidRPr="00D279A9" w:rsidRDefault="00773DCD" w:rsidP="00F45713">
            <w:pPr>
              <w:pStyle w:val="naiskr"/>
              <w:spacing w:before="0" w:after="0"/>
              <w:rPr>
                <w:sz w:val="26"/>
                <w:szCs w:val="26"/>
              </w:rPr>
            </w:pPr>
            <w:r w:rsidRPr="00D279A9">
              <w:rPr>
                <w:sz w:val="26"/>
                <w:szCs w:val="26"/>
              </w:rPr>
              <w:t>Saistītie politikas ietekmes novērtējumi un pētījumi</w:t>
            </w:r>
          </w:p>
        </w:tc>
        <w:tc>
          <w:tcPr>
            <w:tcW w:w="6638" w:type="dxa"/>
          </w:tcPr>
          <w:p w:rsidR="00773DCD" w:rsidRPr="00D279A9" w:rsidRDefault="00773DCD" w:rsidP="00F45713">
            <w:pPr>
              <w:pStyle w:val="FootnoteText"/>
              <w:ind w:firstLine="382"/>
              <w:rPr>
                <w:sz w:val="26"/>
                <w:szCs w:val="26"/>
              </w:rPr>
            </w:pPr>
            <w:r w:rsidRPr="00D279A9">
              <w:rPr>
                <w:sz w:val="26"/>
                <w:szCs w:val="26"/>
              </w:rPr>
              <w:t>Projekts šo jomu neskar.</w:t>
            </w:r>
          </w:p>
          <w:p w:rsidR="00773DCD" w:rsidRPr="00D279A9" w:rsidRDefault="00773DCD" w:rsidP="00F45713">
            <w:pPr>
              <w:tabs>
                <w:tab w:val="left" w:pos="914"/>
              </w:tabs>
              <w:rPr>
                <w:sz w:val="26"/>
                <w:szCs w:val="26"/>
              </w:rPr>
            </w:pPr>
          </w:p>
        </w:tc>
      </w:tr>
      <w:tr w:rsidR="00773DCD" w:rsidRPr="00D279A9" w:rsidTr="00F45713">
        <w:trPr>
          <w:trHeight w:val="384"/>
          <w:jc w:val="center"/>
        </w:trPr>
        <w:tc>
          <w:tcPr>
            <w:tcW w:w="550" w:type="dxa"/>
          </w:tcPr>
          <w:p w:rsidR="00773DCD" w:rsidRPr="00D279A9" w:rsidRDefault="00773DCD" w:rsidP="00F45713">
            <w:pPr>
              <w:pStyle w:val="naiskr"/>
              <w:spacing w:before="0" w:after="0"/>
              <w:rPr>
                <w:sz w:val="26"/>
                <w:szCs w:val="26"/>
              </w:rPr>
            </w:pPr>
            <w:r w:rsidRPr="00D279A9">
              <w:rPr>
                <w:sz w:val="26"/>
                <w:szCs w:val="26"/>
              </w:rPr>
              <w:t>4.</w:t>
            </w:r>
          </w:p>
        </w:tc>
        <w:tc>
          <w:tcPr>
            <w:tcW w:w="2537" w:type="dxa"/>
          </w:tcPr>
          <w:p w:rsidR="00773DCD" w:rsidRPr="00D279A9" w:rsidRDefault="00773DCD" w:rsidP="00F45713">
            <w:pPr>
              <w:jc w:val="both"/>
              <w:rPr>
                <w:sz w:val="26"/>
                <w:szCs w:val="26"/>
              </w:rPr>
            </w:pPr>
            <w:r w:rsidRPr="00D279A9">
              <w:rPr>
                <w:sz w:val="26"/>
                <w:szCs w:val="26"/>
              </w:rPr>
              <w:t>Tiesiskā regulējuma mērķis un būtība</w:t>
            </w:r>
          </w:p>
        </w:tc>
        <w:tc>
          <w:tcPr>
            <w:tcW w:w="6638" w:type="dxa"/>
          </w:tcPr>
          <w:p w:rsidR="00773DCD" w:rsidRPr="00D279A9" w:rsidRDefault="00773DCD" w:rsidP="00F45713">
            <w:pPr>
              <w:ind w:firstLine="420"/>
              <w:jc w:val="both"/>
              <w:rPr>
                <w:sz w:val="26"/>
                <w:szCs w:val="26"/>
              </w:rPr>
            </w:pPr>
            <w:r w:rsidRPr="00D279A9">
              <w:rPr>
                <w:bCs/>
                <w:sz w:val="26"/>
                <w:szCs w:val="26"/>
              </w:rPr>
              <w:t xml:space="preserve">Ministru kabineta rīkojuma projekta </w:t>
            </w:r>
            <w:r w:rsidRPr="00D279A9">
              <w:rPr>
                <w:sz w:val="26"/>
                <w:szCs w:val="26"/>
              </w:rPr>
              <w:t xml:space="preserve">„Par grozījumiem Valsts civilās aizsardzības plānā” </w:t>
            </w:r>
            <w:r w:rsidRPr="00D279A9">
              <w:rPr>
                <w:bCs/>
                <w:sz w:val="26"/>
                <w:szCs w:val="26"/>
              </w:rPr>
              <w:t xml:space="preserve">(turpmāk – Projekts) </w:t>
            </w:r>
            <w:r w:rsidRPr="00D279A9">
              <w:rPr>
                <w:sz w:val="26"/>
                <w:szCs w:val="26"/>
              </w:rPr>
              <w:t>mērķis ir aktualizēt Plāna redakciju, ņemot vērā ministriju sniegtos priekšlikumus.</w:t>
            </w:r>
          </w:p>
          <w:p w:rsidR="00773DCD" w:rsidRPr="00D279A9" w:rsidRDefault="00773DCD" w:rsidP="00F45713">
            <w:pPr>
              <w:pStyle w:val="naislab"/>
              <w:spacing w:before="0" w:after="0"/>
              <w:ind w:firstLine="420"/>
              <w:jc w:val="both"/>
              <w:outlineLvl w:val="0"/>
              <w:rPr>
                <w:sz w:val="26"/>
                <w:szCs w:val="26"/>
              </w:rPr>
            </w:pPr>
            <w:r w:rsidRPr="00D279A9">
              <w:rPr>
                <w:sz w:val="26"/>
                <w:szCs w:val="26"/>
              </w:rPr>
              <w:t>Projekts paredz:</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 xml:space="preserve">veikt tehniskos grozījumus plāna saturā, ievadā un kopsavilkumā; </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precizēt Plāna II nodaļas 8.2.apakšpunktā terminu par reģionāla mēroga katastrofu, ņemot vērā 2009.gada 1.jūlija grozījumus Civilās aizsardzības likumā;</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papildināt Plāna II nodaļas 11.punktu ar informāciju par jaunu infrastruktūru – Pļaviņu HES rezerves pārgāznes izbūve, lai mazinātu plūdu risku draudus Daugavas baseinā un to rezultātā iespējamos neatgriezeniskos zaudējumus, kas varētu tikt nodarīti cilvēkiem, apkārtējai videi un infrastruktūrai un, lai nodrošinātu nepieciešamos pretplūdu pasākumus katastrofu gadījumos, ņemot vērā Ekonomikas ministrijas priekšlikumu;</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izteikt Plāna 2.pielikumu jaunā redakcijā, tajā svītrojot SIA „Baltijas energosistēmu dispečeru centrs” un AS „Latvenergo” Centrālais dispečeru dienests, jo tie tika likvidēti 2006.gada beigās;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izslēgt no Plāna 3.pielikuma divus paaugstinātas bīstamības objektus, kuri izstrādā drošības pārskatus, kā arī trīs objektus, kuri izstrādā rūpniecisko avāriju novēršanas programmu, jo ņemot vērā normatīvajos aktos noteiktos kritērijus tie nav pieskaitāmi pie paaugstinātas bīstamības objektiem. Pamatojoties uz šiem grozījumiem, tiek precizēta 13.pielikuma karte uz kuras ir attēloti paaugstinātas bīstamības objekti, kuri izstrādā drošības programmu vai rūpnieciskās avārijas novēršanas programmu, kā arī 14.pielikums, kurā ir uzskaitīti minētie objekti;</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 xml:space="preserve">veikt tehniskos grozījumus Plāna 3., 8., 25. un 26.pielikumā, ņemot vērā Ministru kabineta 2012.gada </w:t>
            </w:r>
            <w:r w:rsidRPr="00D279A9">
              <w:rPr>
                <w:sz w:val="26"/>
                <w:szCs w:val="26"/>
              </w:rPr>
              <w:lastRenderedPageBreak/>
              <w:t>21.februāra rīkojumu Nr.101 „Par Slimību profilakses un kontroles centra izveidošanu un Veselības ministrijas un Zemkopības ministrijas padotībā esošo valsts pārvaldes iestāžu reorganizāciju” aizstājot iestādes nosaukumu „valsts aģentūra „Latvijas Infektoloģijas centrs”” ar Veselības ministrijas norādītajām institūcijām;</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veikt tehniskos grozījumus Plāna 6., 15., 19. un 20.pielikumā, ailē izpildītāji aizstājot Labklājības ministriju ar tās padotībā esošajām iestādēm, ņemot vērā Labklājības ministrijas priekšlikumus;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svītrot  Plāna 15.pielikuma 2.punkta tabulas 9.punktā  uzdevumu par bīstamās vielas identificēšanu ar ekspresanalīzes metodēm, jo ņemot vērā atbildīgo institūciju rīcībā esošo aprīkojumu, ekspresanalīzes bīstamās vielas identificēšanai nav iespējams veikt. Bīstamās vielas identificēšanai varēs veikt tikai laboratoriskās analīzes;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izteikt Plāna 16.pielikumu jaunā redakcijā, tajā aktualizējot informāciju par atomelektrostaciju kopējo elektrisko jaudu, reaktoru skaitu, kā arī atomelektrostaciju skaitu, ņemot vērā Vides aizsardzības un reģionālās attīstības ministrijas priekšlikumus;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precizēt Plāna 18.pielikuma ietvertajā tabulā norādītos radioaktivitātes lielumus, ņemot vērā Vides aizsardzības un reģionālās attīstības ministrijas priekšlikumus;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papildināt Plāna 24.pielikuma 1.punkta tabulas 1.punkta par energoapgādes drošības palielināšanu aili „Izpildītāji” ar vārdiem ” akāciju sabiedrība „Augstsprieguma tīkls” un akciju sabiedrība „Latvijas gāze””, ņemot vērā Ekonomikas ministrijas priekšlikumu;</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 xml:space="preserve"> precizēt Plāna 25.pielikuma 1.punkta tabulas 2. un 4.punktu, ņemot vērā Veselības ministrijas priekšlikumus;</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 xml:space="preserve"> papildināt Plāna 30.pielikuma tabulas  vienpadsmitās rindas četrpadsmito kolonnu ar burtu „A”, nosakot, ka elektrotīklu bojājumu gadījumā Vides aizsardzības un reģionālās attīstības ministrija pildīs atbalstošās institūcijas funkcijas, ņemto vērā Ekonomikas ministrijas priekšlikumu;</w:t>
            </w:r>
          </w:p>
          <w:p w:rsidR="00773DCD" w:rsidRPr="00D279A9" w:rsidRDefault="00773DCD" w:rsidP="00773DCD">
            <w:pPr>
              <w:numPr>
                <w:ilvl w:val="0"/>
                <w:numId w:val="1"/>
              </w:numPr>
              <w:tabs>
                <w:tab w:val="clear" w:pos="1185"/>
                <w:tab w:val="num" w:pos="742"/>
              </w:tabs>
              <w:ind w:left="22" w:firstLine="360"/>
              <w:jc w:val="both"/>
              <w:rPr>
                <w:sz w:val="26"/>
                <w:szCs w:val="26"/>
              </w:rPr>
            </w:pPr>
            <w:r w:rsidRPr="00D279A9">
              <w:rPr>
                <w:sz w:val="26"/>
                <w:szCs w:val="26"/>
              </w:rPr>
              <w:t xml:space="preserve"> svītrot Plāna 30.pielikuma tabulas septītās rindas četrpadsmitajā kolonnā burtu „A”, nosakot, ka Kultūras ministrijai nebūs jāveic atbalsta funkcijas elektrotīklu bojājumu gadījumā.</w:t>
            </w:r>
          </w:p>
          <w:p w:rsidR="00773DCD" w:rsidRPr="00D279A9" w:rsidRDefault="00773DCD" w:rsidP="00F45713">
            <w:pPr>
              <w:pStyle w:val="naislab"/>
              <w:spacing w:before="0" w:after="0"/>
              <w:ind w:firstLine="420"/>
              <w:jc w:val="both"/>
              <w:outlineLvl w:val="0"/>
              <w:rPr>
                <w:bCs/>
                <w:sz w:val="26"/>
                <w:szCs w:val="26"/>
              </w:rPr>
            </w:pPr>
            <w:r w:rsidRPr="00D279A9">
              <w:rPr>
                <w:bCs/>
                <w:sz w:val="26"/>
                <w:szCs w:val="26"/>
              </w:rPr>
              <w:t>Noteikumu grozījumi pilnībā atrisinās anotācijas 2. punktā minētās problēmas.</w:t>
            </w:r>
          </w:p>
          <w:p w:rsidR="00773DCD" w:rsidRPr="00D279A9" w:rsidRDefault="00773DCD" w:rsidP="00F45713">
            <w:pPr>
              <w:pStyle w:val="naislab"/>
              <w:spacing w:before="0" w:after="0"/>
              <w:ind w:firstLine="420"/>
              <w:jc w:val="both"/>
              <w:outlineLvl w:val="0"/>
              <w:rPr>
                <w:sz w:val="26"/>
                <w:szCs w:val="26"/>
              </w:rPr>
            </w:pPr>
          </w:p>
        </w:tc>
      </w:tr>
      <w:tr w:rsidR="00773DCD" w:rsidRPr="00D279A9" w:rsidTr="00F45713">
        <w:trPr>
          <w:trHeight w:val="476"/>
          <w:jc w:val="center"/>
        </w:trPr>
        <w:tc>
          <w:tcPr>
            <w:tcW w:w="550" w:type="dxa"/>
          </w:tcPr>
          <w:p w:rsidR="00773DCD" w:rsidRPr="00D279A9" w:rsidRDefault="00773DCD" w:rsidP="00F45713">
            <w:pPr>
              <w:pStyle w:val="naiskr"/>
              <w:spacing w:before="0" w:after="0"/>
              <w:rPr>
                <w:sz w:val="26"/>
                <w:szCs w:val="26"/>
              </w:rPr>
            </w:pPr>
            <w:r w:rsidRPr="00D279A9">
              <w:rPr>
                <w:sz w:val="26"/>
                <w:szCs w:val="26"/>
              </w:rPr>
              <w:lastRenderedPageBreak/>
              <w:t>5.</w:t>
            </w:r>
          </w:p>
        </w:tc>
        <w:tc>
          <w:tcPr>
            <w:tcW w:w="2537" w:type="dxa"/>
          </w:tcPr>
          <w:p w:rsidR="00773DCD" w:rsidRPr="00D279A9" w:rsidRDefault="00773DCD" w:rsidP="00F45713">
            <w:pPr>
              <w:pStyle w:val="naiskr"/>
              <w:spacing w:before="0" w:after="0"/>
              <w:rPr>
                <w:sz w:val="26"/>
                <w:szCs w:val="26"/>
              </w:rPr>
            </w:pPr>
            <w:r w:rsidRPr="00D279A9">
              <w:rPr>
                <w:sz w:val="26"/>
                <w:szCs w:val="26"/>
              </w:rPr>
              <w:t>Projekta izstrādē iesaistītās institūcijas</w:t>
            </w:r>
          </w:p>
        </w:tc>
        <w:tc>
          <w:tcPr>
            <w:tcW w:w="6638" w:type="dxa"/>
          </w:tcPr>
          <w:p w:rsidR="00773DCD" w:rsidRPr="00D279A9" w:rsidRDefault="00773DCD" w:rsidP="00F45713">
            <w:pPr>
              <w:pStyle w:val="naiskr"/>
              <w:spacing w:before="0" w:after="0"/>
              <w:ind w:firstLine="382"/>
              <w:rPr>
                <w:sz w:val="26"/>
                <w:szCs w:val="26"/>
              </w:rPr>
            </w:pPr>
            <w:r w:rsidRPr="00D279A9">
              <w:rPr>
                <w:iCs/>
                <w:sz w:val="26"/>
                <w:szCs w:val="26"/>
              </w:rPr>
              <w:t>Projekts šo jomu neskar.</w:t>
            </w:r>
          </w:p>
        </w:tc>
      </w:tr>
      <w:tr w:rsidR="00773DCD" w:rsidRPr="00D279A9" w:rsidTr="00F45713">
        <w:trPr>
          <w:trHeight w:val="1340"/>
          <w:jc w:val="center"/>
        </w:trPr>
        <w:tc>
          <w:tcPr>
            <w:tcW w:w="550" w:type="dxa"/>
          </w:tcPr>
          <w:p w:rsidR="00773DCD" w:rsidRPr="00D279A9" w:rsidRDefault="00773DCD" w:rsidP="00F45713">
            <w:pPr>
              <w:pStyle w:val="naiskr"/>
              <w:spacing w:before="0" w:after="0"/>
              <w:rPr>
                <w:sz w:val="26"/>
                <w:szCs w:val="26"/>
              </w:rPr>
            </w:pPr>
            <w:r w:rsidRPr="00D279A9">
              <w:rPr>
                <w:sz w:val="26"/>
                <w:szCs w:val="26"/>
              </w:rPr>
              <w:lastRenderedPageBreak/>
              <w:t>6.</w:t>
            </w:r>
          </w:p>
        </w:tc>
        <w:tc>
          <w:tcPr>
            <w:tcW w:w="2537" w:type="dxa"/>
          </w:tcPr>
          <w:p w:rsidR="00773DCD" w:rsidRPr="00D279A9" w:rsidRDefault="00773DCD" w:rsidP="00F45713">
            <w:pPr>
              <w:pStyle w:val="naiskr"/>
              <w:spacing w:before="0" w:after="0"/>
              <w:rPr>
                <w:i/>
                <w:sz w:val="26"/>
                <w:szCs w:val="26"/>
                <w:highlight w:val="yellow"/>
              </w:rPr>
            </w:pPr>
            <w:r w:rsidRPr="00D279A9">
              <w:rPr>
                <w:sz w:val="26"/>
                <w:szCs w:val="26"/>
              </w:rPr>
              <w:t>Iemesli, kādēļ netika nodrošināta sabiedrības līdzdalība</w:t>
            </w:r>
          </w:p>
        </w:tc>
        <w:tc>
          <w:tcPr>
            <w:tcW w:w="6638" w:type="dxa"/>
          </w:tcPr>
          <w:p w:rsidR="00773DCD" w:rsidRPr="00D279A9" w:rsidRDefault="00773DCD" w:rsidP="00F45713">
            <w:pPr>
              <w:pStyle w:val="FootnoteText"/>
              <w:ind w:firstLine="382"/>
              <w:jc w:val="both"/>
              <w:rPr>
                <w:sz w:val="26"/>
                <w:szCs w:val="26"/>
              </w:rPr>
            </w:pPr>
            <w:r w:rsidRPr="00D279A9">
              <w:rPr>
                <w:sz w:val="26"/>
                <w:szCs w:val="26"/>
              </w:rPr>
              <w:t>Projekta izstrādes procesā netika iesaistīti sabiedrības pārstāvji, jo Plāns tiek precizēts saskaņā ar Civilās aizsardzības likuma 8.panta pirmās daļas 1.punktu, pamatojoties uz ministriju iesniegtajiem priekšlikumiem.</w:t>
            </w:r>
          </w:p>
          <w:p w:rsidR="00773DCD" w:rsidRPr="00D279A9" w:rsidRDefault="00773DCD" w:rsidP="00F45713">
            <w:pPr>
              <w:tabs>
                <w:tab w:val="left" w:pos="2955"/>
              </w:tabs>
              <w:rPr>
                <w:sz w:val="26"/>
                <w:szCs w:val="26"/>
              </w:rPr>
            </w:pPr>
            <w:r w:rsidRPr="00D279A9">
              <w:rPr>
                <w:sz w:val="26"/>
                <w:szCs w:val="26"/>
              </w:rPr>
              <w:tab/>
            </w:r>
          </w:p>
        </w:tc>
      </w:tr>
      <w:tr w:rsidR="00773DCD" w:rsidRPr="00D279A9" w:rsidTr="00F45713">
        <w:trPr>
          <w:jc w:val="center"/>
        </w:trPr>
        <w:tc>
          <w:tcPr>
            <w:tcW w:w="550" w:type="dxa"/>
          </w:tcPr>
          <w:p w:rsidR="00773DCD" w:rsidRPr="00D279A9" w:rsidRDefault="00773DCD" w:rsidP="00F45713">
            <w:pPr>
              <w:jc w:val="both"/>
              <w:rPr>
                <w:sz w:val="26"/>
                <w:szCs w:val="26"/>
              </w:rPr>
            </w:pPr>
            <w:r w:rsidRPr="00D279A9">
              <w:rPr>
                <w:sz w:val="26"/>
                <w:szCs w:val="26"/>
              </w:rPr>
              <w:t>7.</w:t>
            </w:r>
          </w:p>
        </w:tc>
        <w:tc>
          <w:tcPr>
            <w:tcW w:w="2537" w:type="dxa"/>
          </w:tcPr>
          <w:p w:rsidR="00773DCD" w:rsidRPr="00D279A9" w:rsidRDefault="00773DCD" w:rsidP="00F45713">
            <w:pPr>
              <w:jc w:val="both"/>
              <w:rPr>
                <w:sz w:val="26"/>
                <w:szCs w:val="26"/>
              </w:rPr>
            </w:pPr>
            <w:r w:rsidRPr="00D279A9">
              <w:rPr>
                <w:sz w:val="26"/>
                <w:szCs w:val="26"/>
              </w:rPr>
              <w:t>Cita informācija</w:t>
            </w:r>
          </w:p>
        </w:tc>
        <w:tc>
          <w:tcPr>
            <w:tcW w:w="6638" w:type="dxa"/>
          </w:tcPr>
          <w:p w:rsidR="00773DCD" w:rsidRPr="00D279A9" w:rsidRDefault="00773DCD" w:rsidP="00F45713">
            <w:pPr>
              <w:ind w:firstLine="382"/>
              <w:jc w:val="both"/>
              <w:rPr>
                <w:sz w:val="26"/>
                <w:szCs w:val="26"/>
              </w:rPr>
            </w:pPr>
            <w:r w:rsidRPr="00D279A9">
              <w:rPr>
                <w:sz w:val="26"/>
                <w:szCs w:val="26"/>
              </w:rPr>
              <w:t>Pēdējie priekšlikumi no ministrijām tika saņemti 2012.gada 10.aprīlī.</w:t>
            </w:r>
          </w:p>
          <w:p w:rsidR="00773DCD" w:rsidRPr="00D279A9" w:rsidRDefault="00773DCD" w:rsidP="00F45713">
            <w:pPr>
              <w:jc w:val="both"/>
              <w:rPr>
                <w:sz w:val="26"/>
                <w:szCs w:val="26"/>
              </w:rPr>
            </w:pPr>
          </w:p>
        </w:tc>
      </w:tr>
      <w:tr w:rsidR="00773DCD" w:rsidRPr="00D279A9" w:rsidTr="00F45713">
        <w:trPr>
          <w:jc w:val="center"/>
        </w:trPr>
        <w:tc>
          <w:tcPr>
            <w:tcW w:w="9725" w:type="dxa"/>
            <w:gridSpan w:val="3"/>
          </w:tcPr>
          <w:p w:rsidR="00773DCD" w:rsidRPr="00D279A9" w:rsidRDefault="00773DCD" w:rsidP="00F45713">
            <w:pPr>
              <w:spacing w:before="100" w:beforeAutospacing="1" w:after="100" w:afterAutospacing="1"/>
              <w:jc w:val="center"/>
              <w:rPr>
                <w:sz w:val="26"/>
                <w:szCs w:val="26"/>
              </w:rPr>
            </w:pPr>
            <w:r w:rsidRPr="00D279A9">
              <w:rPr>
                <w:b/>
                <w:bCs/>
                <w:sz w:val="26"/>
                <w:szCs w:val="26"/>
              </w:rPr>
              <w:t>IV. Tiesību akta projekta ietekme uz spēkā esošo tiesību normu sistēmu</w:t>
            </w:r>
          </w:p>
        </w:tc>
      </w:tr>
      <w:tr w:rsidR="00773DCD" w:rsidRPr="00D279A9" w:rsidTr="00F45713">
        <w:trPr>
          <w:jc w:val="center"/>
        </w:trPr>
        <w:tc>
          <w:tcPr>
            <w:tcW w:w="550" w:type="dxa"/>
          </w:tcPr>
          <w:p w:rsidR="00773DCD" w:rsidRPr="00D279A9" w:rsidRDefault="00773DCD" w:rsidP="00F45713">
            <w:pPr>
              <w:jc w:val="both"/>
              <w:rPr>
                <w:sz w:val="26"/>
                <w:szCs w:val="26"/>
              </w:rPr>
            </w:pPr>
            <w:r w:rsidRPr="00D279A9">
              <w:rPr>
                <w:sz w:val="26"/>
                <w:szCs w:val="26"/>
              </w:rPr>
              <w:t>1.</w:t>
            </w:r>
          </w:p>
        </w:tc>
        <w:tc>
          <w:tcPr>
            <w:tcW w:w="2537" w:type="dxa"/>
          </w:tcPr>
          <w:p w:rsidR="00773DCD" w:rsidRPr="00D279A9" w:rsidRDefault="00773DCD" w:rsidP="00F45713">
            <w:pPr>
              <w:jc w:val="both"/>
              <w:rPr>
                <w:sz w:val="26"/>
                <w:szCs w:val="26"/>
              </w:rPr>
            </w:pPr>
            <w:r w:rsidRPr="00D279A9">
              <w:rPr>
                <w:sz w:val="26"/>
                <w:szCs w:val="26"/>
              </w:rPr>
              <w:t>Nepieciešamie saistītie tiesību aktu projekti</w:t>
            </w:r>
          </w:p>
        </w:tc>
        <w:tc>
          <w:tcPr>
            <w:tcW w:w="6638" w:type="dxa"/>
          </w:tcPr>
          <w:p w:rsidR="00773DCD" w:rsidRPr="00D279A9" w:rsidRDefault="00773DCD" w:rsidP="00F45713">
            <w:pPr>
              <w:ind w:firstLine="382"/>
              <w:jc w:val="both"/>
              <w:rPr>
                <w:sz w:val="26"/>
                <w:szCs w:val="26"/>
              </w:rPr>
            </w:pPr>
            <w:r w:rsidRPr="00D279A9">
              <w:rPr>
                <w:sz w:val="26"/>
                <w:szCs w:val="26"/>
              </w:rPr>
              <w:t xml:space="preserve">Ministru kabineta rīkojuma projekts „Par grozījumiem Valsts civilās aizsardzības plānā”. Izsludināts 2012.gada 7.jūnija Valsts sekretāru sanāksmē, prot.Nr.23, 11§. Par minētā tiesību akta izstrādi atbildīgā institūcija ir Iekšlietu ministrija. </w:t>
            </w:r>
          </w:p>
        </w:tc>
      </w:tr>
      <w:tr w:rsidR="00773DCD" w:rsidRPr="00D279A9" w:rsidTr="00F45713">
        <w:trPr>
          <w:jc w:val="center"/>
        </w:trPr>
        <w:tc>
          <w:tcPr>
            <w:tcW w:w="550" w:type="dxa"/>
          </w:tcPr>
          <w:p w:rsidR="00773DCD" w:rsidRPr="00D279A9" w:rsidRDefault="00773DCD" w:rsidP="00F45713">
            <w:pPr>
              <w:jc w:val="both"/>
              <w:rPr>
                <w:sz w:val="26"/>
                <w:szCs w:val="26"/>
              </w:rPr>
            </w:pPr>
            <w:r w:rsidRPr="00D279A9">
              <w:rPr>
                <w:sz w:val="26"/>
                <w:szCs w:val="26"/>
              </w:rPr>
              <w:t>2.</w:t>
            </w:r>
          </w:p>
        </w:tc>
        <w:tc>
          <w:tcPr>
            <w:tcW w:w="2537" w:type="dxa"/>
          </w:tcPr>
          <w:p w:rsidR="00773DCD" w:rsidRPr="00D279A9" w:rsidRDefault="00773DCD" w:rsidP="00F45713">
            <w:pPr>
              <w:jc w:val="both"/>
              <w:rPr>
                <w:sz w:val="26"/>
                <w:szCs w:val="26"/>
              </w:rPr>
            </w:pPr>
            <w:r w:rsidRPr="00D279A9">
              <w:rPr>
                <w:sz w:val="26"/>
                <w:szCs w:val="26"/>
              </w:rPr>
              <w:t>Cita informācija</w:t>
            </w:r>
          </w:p>
        </w:tc>
        <w:tc>
          <w:tcPr>
            <w:tcW w:w="6638" w:type="dxa"/>
          </w:tcPr>
          <w:p w:rsidR="00773DCD" w:rsidRPr="00D279A9" w:rsidRDefault="00773DCD" w:rsidP="00F45713">
            <w:pPr>
              <w:ind w:firstLine="382"/>
              <w:jc w:val="both"/>
              <w:rPr>
                <w:sz w:val="26"/>
                <w:szCs w:val="26"/>
              </w:rPr>
            </w:pPr>
            <w:r w:rsidRPr="00D279A9">
              <w:rPr>
                <w:sz w:val="26"/>
                <w:szCs w:val="26"/>
              </w:rPr>
              <w:t>Nav.</w:t>
            </w:r>
          </w:p>
          <w:p w:rsidR="00773DCD" w:rsidRPr="00D279A9" w:rsidRDefault="00773DCD" w:rsidP="00F45713">
            <w:pPr>
              <w:ind w:firstLine="382"/>
              <w:jc w:val="both"/>
              <w:rPr>
                <w:sz w:val="26"/>
                <w:szCs w:val="26"/>
              </w:rPr>
            </w:pPr>
          </w:p>
        </w:tc>
      </w:tr>
    </w:tbl>
    <w:p w:rsidR="00773DCD" w:rsidRPr="00894636" w:rsidRDefault="00773DCD" w:rsidP="00773DCD">
      <w:pPr>
        <w:pStyle w:val="naisf"/>
        <w:spacing w:before="0" w:after="0"/>
        <w:ind w:firstLine="0"/>
        <w:rPr>
          <w:sz w:val="28"/>
          <w:szCs w:val="28"/>
        </w:rPr>
      </w:pPr>
    </w:p>
    <w:p w:rsidR="00773DCD" w:rsidRPr="00A74379" w:rsidRDefault="00773DCD" w:rsidP="00773DCD">
      <w:pPr>
        <w:pStyle w:val="naisf"/>
        <w:spacing w:before="0" w:after="0"/>
        <w:ind w:firstLine="0"/>
      </w:pPr>
      <w:r w:rsidRPr="00A74379">
        <w:rPr>
          <w:color w:val="000000"/>
        </w:rPr>
        <w:t xml:space="preserve">Anotācijas II., III.,V., VI. un VII. sadaļa – </w:t>
      </w:r>
      <w:r w:rsidRPr="00A74379">
        <w:rPr>
          <w:iCs/>
        </w:rPr>
        <w:t>projekts šīs jomas neskar.</w:t>
      </w:r>
    </w:p>
    <w:p w:rsidR="00773DCD" w:rsidRPr="00AF6F30" w:rsidRDefault="00773DCD" w:rsidP="00773DCD">
      <w:pPr>
        <w:pStyle w:val="naisf"/>
        <w:spacing w:before="0" w:after="0"/>
        <w:ind w:firstLine="0"/>
        <w:rPr>
          <w:sz w:val="16"/>
          <w:szCs w:val="16"/>
        </w:rPr>
      </w:pPr>
    </w:p>
    <w:p w:rsidR="00773DCD" w:rsidRDefault="00773DCD" w:rsidP="00773DCD">
      <w:pPr>
        <w:pStyle w:val="Header"/>
        <w:tabs>
          <w:tab w:val="clear" w:pos="8306"/>
          <w:tab w:val="center" w:pos="-142"/>
          <w:tab w:val="right" w:pos="7230"/>
          <w:tab w:val="right" w:pos="7740"/>
        </w:tabs>
        <w:jc w:val="both"/>
      </w:pPr>
    </w:p>
    <w:p w:rsidR="00773DCD" w:rsidRDefault="00773DCD" w:rsidP="00773DCD">
      <w:pPr>
        <w:pStyle w:val="naisf"/>
        <w:spacing w:before="0" w:after="0"/>
        <w:ind w:firstLine="0"/>
      </w:pPr>
    </w:p>
    <w:p w:rsidR="00773DCD" w:rsidRDefault="00773DCD" w:rsidP="00773DCD">
      <w:pPr>
        <w:pStyle w:val="naisf"/>
        <w:spacing w:before="0" w:after="0"/>
        <w:ind w:firstLine="0"/>
      </w:pPr>
    </w:p>
    <w:p w:rsidR="00773DCD" w:rsidRDefault="00773DCD" w:rsidP="00773DCD">
      <w:pPr>
        <w:pStyle w:val="naisf"/>
        <w:spacing w:before="0" w:after="0"/>
        <w:ind w:firstLine="0"/>
      </w:pPr>
    </w:p>
    <w:p w:rsidR="00773DCD" w:rsidRDefault="00773DCD" w:rsidP="00773DCD">
      <w:pPr>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773DCD" w:rsidRDefault="00773DCD" w:rsidP="00773DCD">
      <w:pPr>
        <w:tabs>
          <w:tab w:val="center" w:pos="-142"/>
          <w:tab w:val="left" w:pos="7088"/>
        </w:tabs>
        <w:rPr>
          <w:sz w:val="28"/>
          <w:szCs w:val="28"/>
        </w:rPr>
      </w:pPr>
    </w:p>
    <w:p w:rsidR="00773DCD" w:rsidRPr="00037D08" w:rsidRDefault="00773DCD" w:rsidP="00773DCD">
      <w:pPr>
        <w:tabs>
          <w:tab w:val="center" w:pos="-142"/>
          <w:tab w:val="left" w:pos="7088"/>
        </w:tabs>
        <w:rPr>
          <w:sz w:val="28"/>
          <w:szCs w:val="28"/>
        </w:rPr>
      </w:pPr>
    </w:p>
    <w:p w:rsidR="00773DCD" w:rsidRDefault="00773DCD" w:rsidP="00773DCD">
      <w:pPr>
        <w:jc w:val="both"/>
        <w:rPr>
          <w:sz w:val="28"/>
          <w:szCs w:val="28"/>
        </w:rPr>
      </w:pPr>
      <w:r w:rsidRPr="00037D08">
        <w:rPr>
          <w:sz w:val="28"/>
          <w:szCs w:val="28"/>
        </w:rPr>
        <w:t xml:space="preserve">Vīza: </w:t>
      </w:r>
    </w:p>
    <w:p w:rsidR="00773DCD" w:rsidRPr="00037D08" w:rsidRDefault="00773DCD" w:rsidP="00773DCD">
      <w:pPr>
        <w:jc w:val="both"/>
        <w:rPr>
          <w:sz w:val="28"/>
          <w:szCs w:val="28"/>
        </w:rPr>
      </w:pPr>
      <w:r w:rsidRPr="00037D08">
        <w:rPr>
          <w:sz w:val="28"/>
          <w:szCs w:val="28"/>
        </w:rPr>
        <w:t>valsts sekretār</w:t>
      </w:r>
      <w:r>
        <w:rPr>
          <w:sz w:val="28"/>
          <w:szCs w:val="28"/>
        </w:rPr>
        <w:t>e</w:t>
      </w:r>
      <w:r w:rsidRPr="00037D0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7D08">
        <w:rPr>
          <w:sz w:val="28"/>
          <w:szCs w:val="28"/>
        </w:rPr>
        <w:t>I.Pētersone</w:t>
      </w:r>
      <w:r>
        <w:rPr>
          <w:sz w:val="28"/>
          <w:szCs w:val="28"/>
        </w:rPr>
        <w:t xml:space="preserve"> - Godmane</w:t>
      </w: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Default="00773DCD" w:rsidP="00773DCD">
      <w:pPr>
        <w:tabs>
          <w:tab w:val="center" w:pos="-142"/>
          <w:tab w:val="left" w:pos="7088"/>
        </w:tabs>
      </w:pPr>
    </w:p>
    <w:p w:rsidR="00773DCD" w:rsidRPr="004D6818" w:rsidRDefault="00773DCD" w:rsidP="00773DCD">
      <w:pPr>
        <w:tabs>
          <w:tab w:val="center" w:pos="-142"/>
          <w:tab w:val="left" w:pos="3720"/>
        </w:tabs>
        <w:rPr>
          <w:sz w:val="20"/>
          <w:szCs w:val="20"/>
        </w:rPr>
      </w:pPr>
      <w:r>
        <w:rPr>
          <w:color w:val="000000"/>
          <w:sz w:val="20"/>
          <w:szCs w:val="20"/>
        </w:rPr>
        <w:t>27.07.2012</w:t>
      </w:r>
      <w:r w:rsidRPr="004D6818">
        <w:rPr>
          <w:color w:val="000000"/>
          <w:sz w:val="20"/>
          <w:szCs w:val="20"/>
        </w:rPr>
        <w:t xml:space="preserve">. </w:t>
      </w:r>
      <w:r>
        <w:rPr>
          <w:color w:val="000000"/>
          <w:sz w:val="20"/>
          <w:szCs w:val="20"/>
        </w:rPr>
        <w:t>15:06</w:t>
      </w:r>
      <w:r>
        <w:rPr>
          <w:color w:val="000000"/>
          <w:sz w:val="20"/>
          <w:szCs w:val="20"/>
        </w:rPr>
        <w:tab/>
      </w:r>
    </w:p>
    <w:p w:rsidR="00773DCD" w:rsidRPr="004D6818" w:rsidRDefault="00773DCD" w:rsidP="00773DCD">
      <w:pPr>
        <w:tabs>
          <w:tab w:val="center" w:pos="-142"/>
          <w:tab w:val="left" w:pos="7088"/>
        </w:tabs>
        <w:rPr>
          <w:sz w:val="20"/>
          <w:szCs w:val="20"/>
        </w:rPr>
      </w:pPr>
      <w:r>
        <w:rPr>
          <w:color w:val="000000"/>
          <w:sz w:val="20"/>
          <w:szCs w:val="20"/>
        </w:rPr>
        <w:t>686</w:t>
      </w:r>
    </w:p>
    <w:p w:rsidR="00773DCD" w:rsidRPr="004D6818" w:rsidRDefault="00773DCD" w:rsidP="00773DCD">
      <w:pPr>
        <w:tabs>
          <w:tab w:val="center" w:pos="-142"/>
          <w:tab w:val="left" w:pos="7088"/>
        </w:tabs>
        <w:rPr>
          <w:sz w:val="20"/>
          <w:szCs w:val="20"/>
        </w:rPr>
      </w:pPr>
      <w:r>
        <w:rPr>
          <w:sz w:val="20"/>
          <w:szCs w:val="20"/>
        </w:rPr>
        <w:t>M.Baltmanis</w:t>
      </w:r>
    </w:p>
    <w:p w:rsidR="00773DCD" w:rsidRPr="00E35606" w:rsidRDefault="00773DCD" w:rsidP="00773DCD">
      <w:pPr>
        <w:tabs>
          <w:tab w:val="center" w:pos="-142"/>
          <w:tab w:val="left" w:pos="7088"/>
        </w:tabs>
        <w:rPr>
          <w:sz w:val="20"/>
          <w:szCs w:val="20"/>
        </w:rPr>
      </w:pPr>
      <w:r w:rsidRPr="00E35606">
        <w:rPr>
          <w:sz w:val="20"/>
          <w:szCs w:val="20"/>
        </w:rPr>
        <w:t>6707581</w:t>
      </w:r>
      <w:r>
        <w:rPr>
          <w:sz w:val="20"/>
          <w:szCs w:val="20"/>
        </w:rPr>
        <w:t>8</w:t>
      </w:r>
      <w:r w:rsidRPr="00E35606">
        <w:rPr>
          <w:sz w:val="20"/>
          <w:szCs w:val="20"/>
        </w:rPr>
        <w:t xml:space="preserve">, </w:t>
      </w:r>
      <w:hyperlink r:id="rId6" w:history="1">
        <w:r w:rsidRPr="00E35606">
          <w:rPr>
            <w:rStyle w:val="Hyperlink"/>
            <w:sz w:val="20"/>
            <w:szCs w:val="20"/>
          </w:rPr>
          <w:t>martins.baltmanis@vugd.gov.lv</w:t>
        </w:r>
      </w:hyperlink>
    </w:p>
    <w:p w:rsidR="00903FC2" w:rsidRDefault="00903FC2">
      <w:bookmarkStart w:id="0" w:name="_GoBack"/>
      <w:bookmarkEnd w:id="0"/>
    </w:p>
    <w:sectPr w:rsidR="00903FC2" w:rsidSect="00C31E36">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A" w:rsidRPr="004F3E67" w:rsidRDefault="00773DCD" w:rsidP="004F3E67">
    <w:pPr>
      <w:jc w:val="both"/>
      <w:rPr>
        <w:sz w:val="20"/>
        <w:szCs w:val="20"/>
      </w:rPr>
    </w:pPr>
    <w:r w:rsidRPr="004F3E67">
      <w:rPr>
        <w:sz w:val="20"/>
        <w:szCs w:val="20"/>
      </w:rPr>
      <w:t>IeMAnot_</w:t>
    </w:r>
    <w:r>
      <w:rPr>
        <w:sz w:val="20"/>
        <w:szCs w:val="20"/>
      </w:rPr>
      <w:t>2707</w:t>
    </w:r>
    <w:r w:rsidRPr="004F3E67">
      <w:rPr>
        <w:sz w:val="20"/>
        <w:szCs w:val="20"/>
      </w:rPr>
      <w:t xml:space="preserve">12; Sākotnējās ietekmes novērtējuma </w:t>
    </w:r>
    <w:smartTag w:uri="schemas-tilde-lv/tildestengine" w:element="veidnes">
      <w:smartTagPr>
        <w:attr w:name="id" w:val="-1"/>
        <w:attr w:name="baseform" w:val="ziņojums"/>
        <w:attr w:name="text" w:val="ziņojums"/>
      </w:smartTagPr>
      <w:r w:rsidRPr="004F3E67">
        <w:rPr>
          <w:sz w:val="20"/>
          <w:szCs w:val="20"/>
        </w:rPr>
        <w:t>ziņojums</w:t>
      </w:r>
    </w:smartTag>
    <w:r w:rsidRPr="004F3E67">
      <w:rPr>
        <w:sz w:val="20"/>
        <w:szCs w:val="20"/>
      </w:rPr>
      <w:t xml:space="preserve"> (anotācija) par „Ministru kabineta rīkojuma projektu „Par grozījumiem Valsts civilās aizsardzības plānā””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A" w:rsidRPr="000F5FAA" w:rsidRDefault="00773DCD" w:rsidP="000F5FAA">
    <w:pPr>
      <w:jc w:val="both"/>
      <w:rPr>
        <w:sz w:val="20"/>
        <w:szCs w:val="20"/>
      </w:rPr>
    </w:pPr>
    <w:r w:rsidRPr="000F5FAA">
      <w:rPr>
        <w:sz w:val="20"/>
        <w:szCs w:val="20"/>
      </w:rPr>
      <w:t>IeMAnot_</w:t>
    </w:r>
    <w:r>
      <w:rPr>
        <w:sz w:val="20"/>
        <w:szCs w:val="20"/>
      </w:rPr>
      <w:t>2707</w:t>
    </w:r>
    <w:r w:rsidRPr="000F5FAA">
      <w:rPr>
        <w:sz w:val="20"/>
        <w:szCs w:val="20"/>
      </w:rPr>
      <w:t xml:space="preserve">12; </w:t>
    </w:r>
    <w:r w:rsidRPr="000F5FAA">
      <w:rPr>
        <w:sz w:val="20"/>
        <w:szCs w:val="20"/>
      </w:rPr>
      <w:t xml:space="preserve">Sākotnējās ietekmes novērtējuma </w:t>
    </w:r>
    <w:smartTag w:uri="schemas-tilde-lv/tildestengine" w:element="veidnes">
      <w:smartTagPr>
        <w:attr w:name="id" w:val="-1"/>
        <w:attr w:name="baseform" w:val="ziņojums"/>
        <w:attr w:name="text" w:val="ziņojums"/>
      </w:smartTagPr>
      <w:r w:rsidRPr="000F5FAA">
        <w:rPr>
          <w:sz w:val="20"/>
          <w:szCs w:val="20"/>
        </w:rPr>
        <w:t>ziņojums</w:t>
      </w:r>
    </w:smartTag>
    <w:r w:rsidRPr="000F5FAA">
      <w:rPr>
        <w:sz w:val="20"/>
        <w:szCs w:val="20"/>
      </w:rPr>
      <w:t xml:space="preserve"> (anotācija) par „Ministru kabineta rīkojuma projektu „</w:t>
    </w:r>
    <w:r>
      <w:rPr>
        <w:sz w:val="20"/>
        <w:szCs w:val="20"/>
      </w:rPr>
      <w:t>Par g</w:t>
    </w:r>
    <w:r w:rsidRPr="000F5FAA">
      <w:rPr>
        <w:sz w:val="20"/>
        <w:szCs w:val="20"/>
      </w:rPr>
      <w:t>rozījumi</w:t>
    </w:r>
    <w:r>
      <w:rPr>
        <w:sz w:val="20"/>
        <w:szCs w:val="20"/>
      </w:rPr>
      <w:t>em</w:t>
    </w:r>
    <w:r w:rsidRPr="000F5FAA">
      <w:rPr>
        <w:sz w:val="20"/>
        <w:szCs w:val="20"/>
      </w:rPr>
      <w:t xml:space="preserve"> Valsts civilās aizsardzības plān</w:t>
    </w:r>
    <w:r>
      <w:rPr>
        <w:sz w:val="20"/>
        <w:szCs w:val="20"/>
      </w:rPr>
      <w:t>ā</w:t>
    </w:r>
    <w:r w:rsidRPr="000F5FAA">
      <w:rPr>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A" w:rsidRDefault="00773DC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D3A" w:rsidRDefault="00773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A" w:rsidRDefault="00773DC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0D3A" w:rsidRDefault="00773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A00"/>
    <w:multiLevelType w:val="hybridMultilevel"/>
    <w:tmpl w:val="360CB1EE"/>
    <w:lvl w:ilvl="0" w:tplc="11543CEC">
      <w:start w:val="1"/>
      <w:numFmt w:val="decimal"/>
      <w:lvlText w:val="%1)"/>
      <w:lvlJc w:val="left"/>
      <w:pPr>
        <w:tabs>
          <w:tab w:val="num" w:pos="1185"/>
        </w:tabs>
        <w:ind w:left="1185" w:hanging="76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CD"/>
    <w:rsid w:val="00773DCD"/>
    <w:rsid w:val="00903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DCD"/>
    <w:pPr>
      <w:tabs>
        <w:tab w:val="center" w:pos="4153"/>
        <w:tab w:val="right" w:pos="8306"/>
      </w:tabs>
    </w:pPr>
  </w:style>
  <w:style w:type="character" w:customStyle="1" w:styleId="HeaderChar">
    <w:name w:val="Header Char"/>
    <w:basedOn w:val="DefaultParagraphFont"/>
    <w:link w:val="Header"/>
    <w:uiPriority w:val="99"/>
    <w:rsid w:val="00773DC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773DCD"/>
    <w:rPr>
      <w:rFonts w:cs="Times New Roman"/>
    </w:rPr>
  </w:style>
  <w:style w:type="paragraph" w:customStyle="1" w:styleId="naisf">
    <w:name w:val="naisf"/>
    <w:basedOn w:val="Normal"/>
    <w:uiPriority w:val="99"/>
    <w:rsid w:val="00773DCD"/>
    <w:pPr>
      <w:spacing w:before="75" w:after="75"/>
      <w:ind w:firstLine="375"/>
      <w:jc w:val="both"/>
    </w:pPr>
  </w:style>
  <w:style w:type="paragraph" w:customStyle="1" w:styleId="naisnod">
    <w:name w:val="naisnod"/>
    <w:basedOn w:val="Normal"/>
    <w:uiPriority w:val="99"/>
    <w:rsid w:val="00773DCD"/>
    <w:pPr>
      <w:spacing w:before="150" w:after="150"/>
      <w:jc w:val="center"/>
    </w:pPr>
    <w:rPr>
      <w:b/>
      <w:bCs/>
    </w:rPr>
  </w:style>
  <w:style w:type="paragraph" w:customStyle="1" w:styleId="naislab">
    <w:name w:val="naislab"/>
    <w:basedOn w:val="Normal"/>
    <w:uiPriority w:val="99"/>
    <w:rsid w:val="00773DCD"/>
    <w:pPr>
      <w:spacing w:before="75" w:after="75"/>
      <w:jc w:val="right"/>
    </w:pPr>
  </w:style>
  <w:style w:type="paragraph" w:customStyle="1" w:styleId="naiskr">
    <w:name w:val="naiskr"/>
    <w:basedOn w:val="Normal"/>
    <w:uiPriority w:val="99"/>
    <w:rsid w:val="00773DCD"/>
    <w:pPr>
      <w:spacing w:before="75" w:after="75"/>
    </w:pPr>
  </w:style>
  <w:style w:type="paragraph" w:styleId="FootnoteText">
    <w:name w:val="footnote text"/>
    <w:basedOn w:val="Normal"/>
    <w:link w:val="FootnoteTextChar"/>
    <w:uiPriority w:val="99"/>
    <w:semiHidden/>
    <w:rsid w:val="00773DCD"/>
    <w:rPr>
      <w:sz w:val="20"/>
      <w:szCs w:val="20"/>
    </w:rPr>
  </w:style>
  <w:style w:type="character" w:customStyle="1" w:styleId="FootnoteTextChar">
    <w:name w:val="Footnote Text Char"/>
    <w:basedOn w:val="DefaultParagraphFont"/>
    <w:link w:val="FootnoteText"/>
    <w:uiPriority w:val="99"/>
    <w:semiHidden/>
    <w:rsid w:val="00773DCD"/>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773DC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DCD"/>
    <w:pPr>
      <w:tabs>
        <w:tab w:val="center" w:pos="4153"/>
        <w:tab w:val="right" w:pos="8306"/>
      </w:tabs>
    </w:pPr>
  </w:style>
  <w:style w:type="character" w:customStyle="1" w:styleId="HeaderChar">
    <w:name w:val="Header Char"/>
    <w:basedOn w:val="DefaultParagraphFont"/>
    <w:link w:val="Header"/>
    <w:uiPriority w:val="99"/>
    <w:rsid w:val="00773DC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773DCD"/>
    <w:rPr>
      <w:rFonts w:cs="Times New Roman"/>
    </w:rPr>
  </w:style>
  <w:style w:type="paragraph" w:customStyle="1" w:styleId="naisf">
    <w:name w:val="naisf"/>
    <w:basedOn w:val="Normal"/>
    <w:uiPriority w:val="99"/>
    <w:rsid w:val="00773DCD"/>
    <w:pPr>
      <w:spacing w:before="75" w:after="75"/>
      <w:ind w:firstLine="375"/>
      <w:jc w:val="both"/>
    </w:pPr>
  </w:style>
  <w:style w:type="paragraph" w:customStyle="1" w:styleId="naisnod">
    <w:name w:val="naisnod"/>
    <w:basedOn w:val="Normal"/>
    <w:uiPriority w:val="99"/>
    <w:rsid w:val="00773DCD"/>
    <w:pPr>
      <w:spacing w:before="150" w:after="150"/>
      <w:jc w:val="center"/>
    </w:pPr>
    <w:rPr>
      <w:b/>
      <w:bCs/>
    </w:rPr>
  </w:style>
  <w:style w:type="paragraph" w:customStyle="1" w:styleId="naislab">
    <w:name w:val="naislab"/>
    <w:basedOn w:val="Normal"/>
    <w:uiPriority w:val="99"/>
    <w:rsid w:val="00773DCD"/>
    <w:pPr>
      <w:spacing w:before="75" w:after="75"/>
      <w:jc w:val="right"/>
    </w:pPr>
  </w:style>
  <w:style w:type="paragraph" w:customStyle="1" w:styleId="naiskr">
    <w:name w:val="naiskr"/>
    <w:basedOn w:val="Normal"/>
    <w:uiPriority w:val="99"/>
    <w:rsid w:val="00773DCD"/>
    <w:pPr>
      <w:spacing w:before="75" w:after="75"/>
    </w:pPr>
  </w:style>
  <w:style w:type="paragraph" w:styleId="FootnoteText">
    <w:name w:val="footnote text"/>
    <w:basedOn w:val="Normal"/>
    <w:link w:val="FootnoteTextChar"/>
    <w:uiPriority w:val="99"/>
    <w:semiHidden/>
    <w:rsid w:val="00773DCD"/>
    <w:rPr>
      <w:sz w:val="20"/>
      <w:szCs w:val="20"/>
    </w:rPr>
  </w:style>
  <w:style w:type="character" w:customStyle="1" w:styleId="FootnoteTextChar">
    <w:name w:val="Footnote Text Char"/>
    <w:basedOn w:val="DefaultParagraphFont"/>
    <w:link w:val="FootnoteText"/>
    <w:uiPriority w:val="99"/>
    <w:semiHidden/>
    <w:rsid w:val="00773DCD"/>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773D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baltmanis@vugd.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3712</Words>
  <Characters>2116</Characters>
  <Application>Microsoft Office Word</Application>
  <DocSecurity>0</DocSecurity>
  <Lines>17</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Pedane</dc:creator>
  <cp:keywords/>
  <dc:description/>
  <cp:lastModifiedBy>Biruta Pedane</cp:lastModifiedBy>
  <cp:revision>1</cp:revision>
  <dcterms:created xsi:type="dcterms:W3CDTF">2012-08-08T11:40:00Z</dcterms:created>
  <dcterms:modified xsi:type="dcterms:W3CDTF">2012-08-08T11:41:00Z</dcterms:modified>
</cp:coreProperties>
</file>