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FAA" w:rsidRPr="007C076F" w:rsidRDefault="00352FAA" w:rsidP="00352FAA">
      <w:pPr>
        <w:ind w:firstLine="720"/>
        <w:jc w:val="center"/>
        <w:rPr>
          <w:b/>
          <w:sz w:val="28"/>
          <w:szCs w:val="28"/>
        </w:rPr>
      </w:pPr>
      <w:r w:rsidRPr="007C076F">
        <w:rPr>
          <w:b/>
          <w:sz w:val="28"/>
          <w:szCs w:val="28"/>
        </w:rPr>
        <w:t>Ministru kabineta noteikumu "Grozījumi Ministru kabineta 2004.gada 26.oktobra noteikumos Nr.887 "Valsts noslēpuma objektu saraksts"" sākotnējās ietekmes novērtējuma ziņojums (anotācija)</w:t>
      </w:r>
    </w:p>
    <w:p w:rsidR="00352FAA" w:rsidRPr="006A249E" w:rsidRDefault="00352FAA" w:rsidP="00462AFD">
      <w:pPr>
        <w:ind w:firstLine="720"/>
        <w:jc w:val="center"/>
        <w:rPr>
          <w:szCs w:val="28"/>
        </w:rPr>
      </w:pPr>
    </w:p>
    <w:p w:rsidR="00C1516E" w:rsidRPr="002B1218" w:rsidRDefault="00C1516E" w:rsidP="00BC0098">
      <w:pPr>
        <w:jc w:val="cente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71"/>
        <w:gridCol w:w="1812"/>
        <w:gridCol w:w="6797"/>
      </w:tblGrid>
      <w:tr w:rsidR="005C67D1" w:rsidRPr="002B1218">
        <w:tc>
          <w:tcPr>
            <w:tcW w:w="0" w:type="auto"/>
            <w:gridSpan w:val="3"/>
            <w:tcBorders>
              <w:top w:val="single" w:sz="6" w:space="0" w:color="auto"/>
              <w:left w:val="single" w:sz="6" w:space="0" w:color="auto"/>
              <w:bottom w:val="outset" w:sz="6" w:space="0" w:color="000000"/>
              <w:right w:val="single" w:sz="6" w:space="0" w:color="auto"/>
            </w:tcBorders>
            <w:vAlign w:val="center"/>
          </w:tcPr>
          <w:p w:rsidR="00614AD0" w:rsidRPr="007C076F" w:rsidRDefault="005C67D1" w:rsidP="005C67D1">
            <w:pPr>
              <w:spacing w:before="100" w:beforeAutospacing="1" w:after="100" w:afterAutospacing="1"/>
              <w:jc w:val="center"/>
              <w:rPr>
                <w:b/>
                <w:bCs/>
                <w:sz w:val="28"/>
                <w:szCs w:val="28"/>
              </w:rPr>
            </w:pPr>
            <w:r w:rsidRPr="007C076F">
              <w:rPr>
                <w:b/>
                <w:bCs/>
                <w:sz w:val="28"/>
                <w:szCs w:val="28"/>
              </w:rPr>
              <w:t>I. Tiesību akta projekta izstrādes nepieciešamība</w:t>
            </w:r>
          </w:p>
        </w:tc>
      </w:tr>
      <w:tr w:rsidR="005C67D1" w:rsidRPr="002B1218">
        <w:tc>
          <w:tcPr>
            <w:tcW w:w="150" w:type="pct"/>
            <w:tcBorders>
              <w:top w:val="outset" w:sz="6" w:space="0" w:color="000000"/>
              <w:left w:val="outset" w:sz="6" w:space="0" w:color="000000"/>
              <w:bottom w:val="outset" w:sz="6" w:space="0" w:color="000000"/>
              <w:right w:val="outset" w:sz="6" w:space="0" w:color="000000"/>
            </w:tcBorders>
          </w:tcPr>
          <w:p w:rsidR="00614AD0" w:rsidRPr="007C076F" w:rsidRDefault="005C67D1" w:rsidP="005C67D1">
            <w:pPr>
              <w:spacing w:before="100" w:beforeAutospacing="1" w:after="100" w:afterAutospacing="1"/>
              <w:rPr>
                <w:sz w:val="28"/>
                <w:szCs w:val="28"/>
              </w:rPr>
            </w:pPr>
            <w:r w:rsidRPr="007C076F">
              <w:rPr>
                <w:sz w:val="28"/>
                <w:szCs w:val="28"/>
              </w:rPr>
              <w:t>1.</w:t>
            </w:r>
          </w:p>
        </w:tc>
        <w:tc>
          <w:tcPr>
            <w:tcW w:w="1000" w:type="pct"/>
            <w:tcBorders>
              <w:top w:val="outset" w:sz="6" w:space="0" w:color="000000"/>
              <w:left w:val="outset" w:sz="6" w:space="0" w:color="000000"/>
              <w:bottom w:val="outset" w:sz="6" w:space="0" w:color="000000"/>
              <w:right w:val="outset" w:sz="6" w:space="0" w:color="000000"/>
            </w:tcBorders>
          </w:tcPr>
          <w:p w:rsidR="00614AD0" w:rsidRPr="007C076F" w:rsidRDefault="005C67D1" w:rsidP="005C67D1">
            <w:pPr>
              <w:spacing w:before="100" w:beforeAutospacing="1" w:after="100" w:afterAutospacing="1"/>
              <w:rPr>
                <w:sz w:val="28"/>
                <w:szCs w:val="28"/>
              </w:rPr>
            </w:pPr>
            <w:r w:rsidRPr="007C076F">
              <w:rPr>
                <w:sz w:val="28"/>
                <w:szCs w:val="28"/>
              </w:rPr>
              <w:t>Pamatojums</w:t>
            </w:r>
          </w:p>
        </w:tc>
        <w:tc>
          <w:tcPr>
            <w:tcW w:w="3750" w:type="pct"/>
            <w:tcBorders>
              <w:top w:val="outset" w:sz="6" w:space="0" w:color="000000"/>
              <w:left w:val="outset" w:sz="6" w:space="0" w:color="000000"/>
              <w:bottom w:val="outset" w:sz="6" w:space="0" w:color="000000"/>
              <w:right w:val="outset" w:sz="6" w:space="0" w:color="000000"/>
            </w:tcBorders>
          </w:tcPr>
          <w:p w:rsidR="00352FAA" w:rsidRPr="007C076F" w:rsidRDefault="00C202B3" w:rsidP="00885175">
            <w:pPr>
              <w:tabs>
                <w:tab w:val="left" w:pos="6521"/>
              </w:tabs>
              <w:jc w:val="both"/>
              <w:rPr>
                <w:sz w:val="28"/>
                <w:szCs w:val="28"/>
              </w:rPr>
            </w:pPr>
            <w:r w:rsidRPr="007C076F">
              <w:rPr>
                <w:sz w:val="28"/>
                <w:szCs w:val="28"/>
              </w:rPr>
              <w:t xml:space="preserve">Ievērojot likuma "Par valsts noslēpumu" 4.panta pirmajā daļā noteikto, kā arī ņemot vērā Nacionālās drošības likuma 10.panta pirmās daļas 3.punktu Iekšlietu ministrija ir izstrādājusi Ministru kabineta noteikumu projektu "Grozījumi Ministru kabineta 2004.gada 26.oktobra noteikumos Nr.887 "Valsts noslēpuma objektu saraksts"" (turpmāk - projekts). </w:t>
            </w:r>
          </w:p>
        </w:tc>
      </w:tr>
      <w:tr w:rsidR="005C67D1" w:rsidRPr="002B1218">
        <w:tc>
          <w:tcPr>
            <w:tcW w:w="150" w:type="pct"/>
            <w:tcBorders>
              <w:top w:val="outset" w:sz="6" w:space="0" w:color="000000"/>
              <w:left w:val="outset" w:sz="6" w:space="0" w:color="000000"/>
              <w:bottom w:val="outset" w:sz="6" w:space="0" w:color="000000"/>
              <w:right w:val="outset" w:sz="6" w:space="0" w:color="000000"/>
            </w:tcBorders>
          </w:tcPr>
          <w:p w:rsidR="00614AD0" w:rsidRPr="007C076F" w:rsidRDefault="005C67D1" w:rsidP="005C67D1">
            <w:pPr>
              <w:spacing w:before="100" w:beforeAutospacing="1" w:after="100" w:afterAutospacing="1"/>
              <w:rPr>
                <w:sz w:val="28"/>
                <w:szCs w:val="28"/>
              </w:rPr>
            </w:pPr>
            <w:r w:rsidRPr="007C076F">
              <w:rPr>
                <w:sz w:val="28"/>
                <w:szCs w:val="28"/>
              </w:rPr>
              <w:t>2.</w:t>
            </w:r>
          </w:p>
        </w:tc>
        <w:tc>
          <w:tcPr>
            <w:tcW w:w="1000" w:type="pct"/>
            <w:tcBorders>
              <w:top w:val="outset" w:sz="6" w:space="0" w:color="000000"/>
              <w:left w:val="outset" w:sz="6" w:space="0" w:color="000000"/>
              <w:bottom w:val="outset" w:sz="6" w:space="0" w:color="000000"/>
              <w:right w:val="outset" w:sz="6" w:space="0" w:color="000000"/>
            </w:tcBorders>
          </w:tcPr>
          <w:p w:rsidR="00614AD0" w:rsidRPr="007C076F" w:rsidRDefault="005C67D1" w:rsidP="005C67D1">
            <w:pPr>
              <w:spacing w:before="100" w:beforeAutospacing="1" w:after="100" w:afterAutospacing="1"/>
              <w:rPr>
                <w:sz w:val="28"/>
                <w:szCs w:val="28"/>
              </w:rPr>
            </w:pPr>
            <w:r w:rsidRPr="007C076F">
              <w:rPr>
                <w:sz w:val="28"/>
                <w:szCs w:val="28"/>
              </w:rPr>
              <w:t>Pašreizējā situācija un problēmas</w:t>
            </w:r>
          </w:p>
        </w:tc>
        <w:tc>
          <w:tcPr>
            <w:tcW w:w="3750" w:type="pct"/>
            <w:tcBorders>
              <w:top w:val="outset" w:sz="6" w:space="0" w:color="000000"/>
              <w:left w:val="outset" w:sz="6" w:space="0" w:color="000000"/>
              <w:bottom w:val="outset" w:sz="6" w:space="0" w:color="000000"/>
              <w:right w:val="outset" w:sz="6" w:space="0" w:color="000000"/>
            </w:tcBorders>
          </w:tcPr>
          <w:p w:rsidR="001E2466" w:rsidRDefault="00352FAA" w:rsidP="000A4E88">
            <w:pPr>
              <w:spacing w:before="100" w:beforeAutospacing="1" w:after="100" w:afterAutospacing="1"/>
              <w:jc w:val="both"/>
              <w:rPr>
                <w:sz w:val="28"/>
                <w:szCs w:val="28"/>
              </w:rPr>
            </w:pPr>
            <w:r w:rsidRPr="007C076F">
              <w:rPr>
                <w:sz w:val="28"/>
                <w:szCs w:val="28"/>
              </w:rPr>
              <w:t xml:space="preserve">2010.gada 28.maijā stājās spēkā grozījumi Nacionālās drošības likumā, ar kuriem tika aizstāts „nacionālajai drošībai svarīgu objektu” jēdziens ar „kritiskās infrastruktūras” jēdzienu. Ņemot vērā šos Nacionālās drošības likuma grozījumus, nepieciešams atbilstoši precizēt Ministru kabineta 2004.gada 26.oktobra noteikumus Nr.887 „Valsts noslēpuma objektu saraksts”, aizstājot vārdus „Nacionālajai drošībai svarīgu objektu kopums” ar vārdiem "Kritiskās infrastruktūras kopums". </w:t>
            </w:r>
          </w:p>
          <w:p w:rsidR="00614AD0" w:rsidRPr="007C076F" w:rsidRDefault="00352FAA" w:rsidP="003B723F">
            <w:pPr>
              <w:spacing w:before="100" w:beforeAutospacing="1" w:after="100" w:afterAutospacing="1"/>
              <w:jc w:val="both"/>
              <w:rPr>
                <w:sz w:val="28"/>
                <w:szCs w:val="28"/>
              </w:rPr>
            </w:pPr>
            <w:r w:rsidRPr="007C076F">
              <w:rPr>
                <w:sz w:val="28"/>
                <w:szCs w:val="28"/>
              </w:rPr>
              <w:t xml:space="preserve">Papildus tam, projekts paredz </w:t>
            </w:r>
            <w:r w:rsidR="004F62CE">
              <w:rPr>
                <w:sz w:val="28"/>
                <w:szCs w:val="28"/>
              </w:rPr>
              <w:t>aizstāt</w:t>
            </w:r>
            <w:r w:rsidR="00782E90" w:rsidRPr="007C076F">
              <w:rPr>
                <w:sz w:val="28"/>
                <w:szCs w:val="28"/>
              </w:rPr>
              <w:t xml:space="preserve"> 2.3.6. apakšpunkt</w:t>
            </w:r>
            <w:r w:rsidR="004F62CE">
              <w:rPr>
                <w:sz w:val="28"/>
                <w:szCs w:val="28"/>
              </w:rPr>
              <w:t>ā vārdus</w:t>
            </w:r>
            <w:r w:rsidR="00782E90" w:rsidRPr="007C076F">
              <w:rPr>
                <w:sz w:val="28"/>
                <w:szCs w:val="28"/>
              </w:rPr>
              <w:t xml:space="preserve"> „kurus izmanto”</w:t>
            </w:r>
            <w:r w:rsidR="004F62CE">
              <w:rPr>
                <w:sz w:val="28"/>
                <w:szCs w:val="28"/>
              </w:rPr>
              <w:t xml:space="preserve"> ar vārdiem „kas paredzēti”. </w:t>
            </w:r>
            <w:r w:rsidR="004C62BD">
              <w:rPr>
                <w:sz w:val="28"/>
                <w:szCs w:val="28"/>
              </w:rPr>
              <w:t xml:space="preserve">Pašreiz spēkā </w:t>
            </w:r>
            <w:r w:rsidR="00782E90" w:rsidRPr="007C076F">
              <w:rPr>
                <w:sz w:val="28"/>
                <w:szCs w:val="28"/>
              </w:rPr>
              <w:t xml:space="preserve">esošo apakšpunkta redakciju var interpretēt, ka klasificējama ir informācija par tādu priekšmetu iegādi, ko operatīvās darbības subjekti </w:t>
            </w:r>
            <w:r w:rsidR="00782E90" w:rsidRPr="000A4E88">
              <w:rPr>
                <w:sz w:val="28"/>
                <w:szCs w:val="28"/>
              </w:rPr>
              <w:t>izmant</w:t>
            </w:r>
            <w:r w:rsidR="004F62CE" w:rsidRPr="000A4E88">
              <w:rPr>
                <w:sz w:val="28"/>
                <w:szCs w:val="28"/>
              </w:rPr>
              <w:t>o</w:t>
            </w:r>
            <w:r w:rsidR="004F62CE">
              <w:rPr>
                <w:sz w:val="28"/>
                <w:szCs w:val="28"/>
              </w:rPr>
              <w:t xml:space="preserve"> operatīvo pasākumu veikšanai, bet tie </w:t>
            </w:r>
            <w:r w:rsidR="004C62BD">
              <w:rPr>
                <w:sz w:val="28"/>
                <w:szCs w:val="28"/>
              </w:rPr>
              <w:t>var nebūt</w:t>
            </w:r>
            <w:r w:rsidR="004F62CE">
              <w:rPr>
                <w:sz w:val="28"/>
                <w:szCs w:val="28"/>
              </w:rPr>
              <w:t xml:space="preserve"> speciāli par</w:t>
            </w:r>
            <w:r w:rsidR="004C62BD">
              <w:rPr>
                <w:sz w:val="28"/>
                <w:szCs w:val="28"/>
              </w:rPr>
              <w:t>edzēti šādam mērķim.</w:t>
            </w:r>
            <w:r w:rsidR="001E2466">
              <w:rPr>
                <w:sz w:val="28"/>
                <w:szCs w:val="28"/>
              </w:rPr>
              <w:t xml:space="preserve"> Piemēram, pēc pašreiz spēkā esošās redakcijas </w:t>
            </w:r>
            <w:r w:rsidR="00F44725">
              <w:rPr>
                <w:sz w:val="28"/>
                <w:szCs w:val="28"/>
              </w:rPr>
              <w:t xml:space="preserve">klasificētu iepirkumu </w:t>
            </w:r>
            <w:r w:rsidR="003B723F">
              <w:rPr>
                <w:sz w:val="28"/>
                <w:szCs w:val="28"/>
              </w:rPr>
              <w:t>ir iespējami</w:t>
            </w:r>
            <w:r w:rsidR="001E2466">
              <w:rPr>
                <w:sz w:val="28"/>
                <w:szCs w:val="28"/>
              </w:rPr>
              <w:t xml:space="preserve"> piemērot arī parastu tr</w:t>
            </w:r>
            <w:r w:rsidR="00AC7B40">
              <w:rPr>
                <w:sz w:val="28"/>
                <w:szCs w:val="28"/>
              </w:rPr>
              <w:t>ansporta līdzekļu iegādei, kurus izmanto operatīvo pasākumu veikšanai, lai arī to komplektācija un aprīkojums ne ar ko neatšķiras no sērijveidā ražotām automašīnām.</w:t>
            </w:r>
            <w:r w:rsidR="001E2466">
              <w:rPr>
                <w:sz w:val="28"/>
                <w:szCs w:val="28"/>
              </w:rPr>
              <w:t xml:space="preserve"> </w:t>
            </w:r>
          </w:p>
        </w:tc>
      </w:tr>
      <w:tr w:rsidR="005C67D1" w:rsidRPr="002B1218">
        <w:tc>
          <w:tcPr>
            <w:tcW w:w="150" w:type="pct"/>
            <w:tcBorders>
              <w:top w:val="outset" w:sz="6" w:space="0" w:color="000000"/>
              <w:left w:val="outset" w:sz="6" w:space="0" w:color="000000"/>
              <w:bottom w:val="outset" w:sz="6" w:space="0" w:color="000000"/>
              <w:right w:val="outset" w:sz="6" w:space="0" w:color="000000"/>
            </w:tcBorders>
          </w:tcPr>
          <w:p w:rsidR="00614AD0" w:rsidRPr="007C076F" w:rsidRDefault="005C67D1" w:rsidP="005C67D1">
            <w:pPr>
              <w:spacing w:before="100" w:beforeAutospacing="1" w:after="100" w:afterAutospacing="1"/>
              <w:rPr>
                <w:sz w:val="28"/>
                <w:szCs w:val="28"/>
              </w:rPr>
            </w:pPr>
            <w:r w:rsidRPr="007C076F">
              <w:rPr>
                <w:sz w:val="28"/>
                <w:szCs w:val="28"/>
              </w:rPr>
              <w:t>3.</w:t>
            </w:r>
          </w:p>
        </w:tc>
        <w:tc>
          <w:tcPr>
            <w:tcW w:w="1000" w:type="pct"/>
            <w:tcBorders>
              <w:top w:val="outset" w:sz="6" w:space="0" w:color="000000"/>
              <w:left w:val="outset" w:sz="6" w:space="0" w:color="000000"/>
              <w:bottom w:val="outset" w:sz="6" w:space="0" w:color="000000"/>
              <w:right w:val="outset" w:sz="6" w:space="0" w:color="000000"/>
            </w:tcBorders>
          </w:tcPr>
          <w:p w:rsidR="00614AD0" w:rsidRPr="007C076F" w:rsidRDefault="005C67D1" w:rsidP="005C67D1">
            <w:pPr>
              <w:spacing w:before="100" w:beforeAutospacing="1" w:after="100" w:afterAutospacing="1"/>
              <w:rPr>
                <w:sz w:val="28"/>
                <w:szCs w:val="28"/>
              </w:rPr>
            </w:pPr>
            <w:r w:rsidRPr="007C076F">
              <w:rPr>
                <w:sz w:val="28"/>
                <w:szCs w:val="28"/>
              </w:rPr>
              <w:t>Saistītie politikas ietekmes novērtējumi un pētījumi</w:t>
            </w:r>
          </w:p>
        </w:tc>
        <w:tc>
          <w:tcPr>
            <w:tcW w:w="3750" w:type="pct"/>
            <w:tcBorders>
              <w:top w:val="outset" w:sz="6" w:space="0" w:color="000000"/>
              <w:left w:val="outset" w:sz="6" w:space="0" w:color="000000"/>
              <w:bottom w:val="outset" w:sz="6" w:space="0" w:color="000000"/>
              <w:right w:val="outset" w:sz="6" w:space="0" w:color="000000"/>
            </w:tcBorders>
          </w:tcPr>
          <w:p w:rsidR="00614AD0" w:rsidRPr="007C076F" w:rsidRDefault="002B1218" w:rsidP="005C67D1">
            <w:pPr>
              <w:spacing w:before="100" w:beforeAutospacing="1" w:after="100" w:afterAutospacing="1"/>
              <w:rPr>
                <w:sz w:val="28"/>
                <w:szCs w:val="28"/>
              </w:rPr>
            </w:pPr>
            <w:r w:rsidRPr="007C076F">
              <w:rPr>
                <w:sz w:val="28"/>
                <w:szCs w:val="28"/>
              </w:rPr>
              <w:t>Nav attiecināms.</w:t>
            </w:r>
          </w:p>
        </w:tc>
      </w:tr>
      <w:tr w:rsidR="005C67D1" w:rsidRPr="002B1218">
        <w:tc>
          <w:tcPr>
            <w:tcW w:w="150" w:type="pct"/>
            <w:tcBorders>
              <w:top w:val="outset" w:sz="6" w:space="0" w:color="000000"/>
              <w:left w:val="outset" w:sz="6" w:space="0" w:color="000000"/>
              <w:bottom w:val="outset" w:sz="6" w:space="0" w:color="000000"/>
              <w:right w:val="outset" w:sz="6" w:space="0" w:color="000000"/>
            </w:tcBorders>
          </w:tcPr>
          <w:p w:rsidR="00614AD0" w:rsidRPr="007C076F" w:rsidRDefault="005C67D1" w:rsidP="005C67D1">
            <w:pPr>
              <w:spacing w:before="100" w:beforeAutospacing="1" w:after="100" w:afterAutospacing="1"/>
              <w:rPr>
                <w:sz w:val="28"/>
                <w:szCs w:val="28"/>
              </w:rPr>
            </w:pPr>
            <w:r w:rsidRPr="007C076F">
              <w:rPr>
                <w:sz w:val="28"/>
                <w:szCs w:val="28"/>
              </w:rPr>
              <w:t>4.</w:t>
            </w:r>
          </w:p>
        </w:tc>
        <w:tc>
          <w:tcPr>
            <w:tcW w:w="1000" w:type="pct"/>
            <w:tcBorders>
              <w:top w:val="outset" w:sz="6" w:space="0" w:color="000000"/>
              <w:left w:val="outset" w:sz="6" w:space="0" w:color="000000"/>
              <w:bottom w:val="outset" w:sz="6" w:space="0" w:color="000000"/>
              <w:right w:val="outset" w:sz="6" w:space="0" w:color="000000"/>
            </w:tcBorders>
          </w:tcPr>
          <w:p w:rsidR="00614AD0" w:rsidRPr="007C076F" w:rsidRDefault="005C67D1" w:rsidP="005C67D1">
            <w:pPr>
              <w:spacing w:before="100" w:beforeAutospacing="1" w:after="100" w:afterAutospacing="1"/>
              <w:rPr>
                <w:sz w:val="28"/>
                <w:szCs w:val="28"/>
              </w:rPr>
            </w:pPr>
            <w:r w:rsidRPr="007C076F">
              <w:rPr>
                <w:sz w:val="28"/>
                <w:szCs w:val="28"/>
              </w:rPr>
              <w:t>Tiesiskā regulējuma mērķis un būtība</w:t>
            </w:r>
          </w:p>
        </w:tc>
        <w:tc>
          <w:tcPr>
            <w:tcW w:w="3750" w:type="pct"/>
            <w:tcBorders>
              <w:top w:val="outset" w:sz="6" w:space="0" w:color="000000"/>
              <w:left w:val="outset" w:sz="6" w:space="0" w:color="000000"/>
              <w:bottom w:val="outset" w:sz="6" w:space="0" w:color="000000"/>
              <w:right w:val="outset" w:sz="6" w:space="0" w:color="000000"/>
            </w:tcBorders>
          </w:tcPr>
          <w:p w:rsidR="00614AD0" w:rsidRDefault="006B2A64" w:rsidP="006B2A64">
            <w:pPr>
              <w:jc w:val="both"/>
              <w:rPr>
                <w:rFonts w:eastAsia="Calibri"/>
                <w:sz w:val="28"/>
                <w:szCs w:val="28"/>
                <w:lang w:eastAsia="en-US"/>
              </w:rPr>
            </w:pPr>
            <w:r w:rsidRPr="007C076F">
              <w:rPr>
                <w:sz w:val="28"/>
                <w:szCs w:val="28"/>
                <w:lang w:eastAsia="en-US"/>
              </w:rPr>
              <w:t>Atbilstoši Nacionālās drošības likuma 10.panta pirmās daļas 3.punktam – Ministru kabinets apstiprina Kritiskās infrastruktūras kopumu. Atbilstoši Nacionālās drošības likumā izmantotajai terminoloģijai, Iekšlietu ministrija</w:t>
            </w:r>
            <w:r w:rsidR="00C81CE3">
              <w:rPr>
                <w:sz w:val="28"/>
                <w:szCs w:val="28"/>
                <w:lang w:eastAsia="en-US"/>
              </w:rPr>
              <w:t xml:space="preserve"> ir</w:t>
            </w:r>
            <w:r w:rsidRPr="007C076F">
              <w:rPr>
                <w:sz w:val="28"/>
                <w:szCs w:val="28"/>
                <w:lang w:eastAsia="en-US"/>
              </w:rPr>
              <w:t xml:space="preserve"> izstrādāj</w:t>
            </w:r>
            <w:r w:rsidR="00C81CE3">
              <w:rPr>
                <w:sz w:val="28"/>
                <w:szCs w:val="28"/>
                <w:lang w:eastAsia="en-US"/>
              </w:rPr>
              <w:t>usi</w:t>
            </w:r>
            <w:r w:rsidRPr="007C076F">
              <w:rPr>
                <w:sz w:val="28"/>
                <w:szCs w:val="28"/>
                <w:lang w:eastAsia="en-US"/>
              </w:rPr>
              <w:t xml:space="preserve"> </w:t>
            </w:r>
            <w:r w:rsidRPr="007C076F">
              <w:rPr>
                <w:rFonts w:eastAsia="Calibri"/>
                <w:sz w:val="28"/>
                <w:szCs w:val="28"/>
                <w:lang w:eastAsia="en-US"/>
              </w:rPr>
              <w:t xml:space="preserve">Ministru kabineta noteikumu projektu </w:t>
            </w:r>
            <w:r w:rsidRPr="007C076F">
              <w:rPr>
                <w:rFonts w:eastAsia="Calibri"/>
                <w:sz w:val="28"/>
                <w:szCs w:val="28"/>
                <w:lang w:eastAsia="en-US"/>
              </w:rPr>
              <w:lastRenderedPageBreak/>
              <w:t>"Grozījumi Ministru kabineta 2004.gada 26.oktobra noteikumos Nr.887 "Valsts noslēpuma objektu saraksts"", kas paredz noteikumu projektā aizstāt vārdus „Nacionālajai drošībai svarīgu objektu kopums” ar vārdiem "Kritiskās infrastruktūras kopums", kā arī precizē 2.3.6. apakšpunkta redakciju Ministru kabineta 2004.gada 26.oktobra noteikumos Nr.887 "Valsts noslēpuma objektu saraksts".</w:t>
            </w:r>
          </w:p>
          <w:p w:rsidR="003B723F" w:rsidRDefault="003B723F" w:rsidP="006B2A64">
            <w:pPr>
              <w:jc w:val="both"/>
              <w:rPr>
                <w:sz w:val="28"/>
                <w:szCs w:val="28"/>
              </w:rPr>
            </w:pPr>
          </w:p>
          <w:p w:rsidR="003B723F" w:rsidRPr="007C076F" w:rsidRDefault="003B723F" w:rsidP="003B723F">
            <w:pPr>
              <w:jc w:val="both"/>
              <w:rPr>
                <w:bCs/>
                <w:sz w:val="28"/>
                <w:szCs w:val="28"/>
              </w:rPr>
            </w:pPr>
            <w:r>
              <w:rPr>
                <w:sz w:val="28"/>
                <w:szCs w:val="28"/>
              </w:rPr>
              <w:t xml:space="preserve">Ar grozījumiem 2.3.6.apakšpunktā, aizstājot vārdus </w:t>
            </w:r>
            <w:r w:rsidRPr="007C076F">
              <w:rPr>
                <w:sz w:val="28"/>
                <w:szCs w:val="28"/>
              </w:rPr>
              <w:t>„kurus izmanto”</w:t>
            </w:r>
            <w:r>
              <w:rPr>
                <w:sz w:val="28"/>
                <w:szCs w:val="28"/>
              </w:rPr>
              <w:t xml:space="preserve"> ar vārdiem „kas paredzēti”, ir plānots precizēt esošo apakšpunkta redakciju, lai samazinātu slēgtu, klasificētu iepirkumu organizēšanu tādos gadījumos, kad tas nav pamatoti un nav nepieciešams, īpaši attiecībā uz standartizētiem, sērijveidā ražotiem līdzekļiem.</w:t>
            </w:r>
          </w:p>
        </w:tc>
      </w:tr>
      <w:tr w:rsidR="005C67D1" w:rsidRPr="002B1218">
        <w:tc>
          <w:tcPr>
            <w:tcW w:w="150" w:type="pct"/>
            <w:tcBorders>
              <w:top w:val="outset" w:sz="6" w:space="0" w:color="000000"/>
              <w:left w:val="outset" w:sz="6" w:space="0" w:color="000000"/>
              <w:bottom w:val="outset" w:sz="6" w:space="0" w:color="000000"/>
              <w:right w:val="outset" w:sz="6" w:space="0" w:color="000000"/>
            </w:tcBorders>
          </w:tcPr>
          <w:p w:rsidR="00614AD0" w:rsidRPr="007C076F" w:rsidRDefault="005C67D1" w:rsidP="005C67D1">
            <w:pPr>
              <w:spacing w:before="100" w:beforeAutospacing="1" w:after="100" w:afterAutospacing="1"/>
              <w:rPr>
                <w:sz w:val="28"/>
                <w:szCs w:val="28"/>
              </w:rPr>
            </w:pPr>
            <w:r w:rsidRPr="007C076F">
              <w:rPr>
                <w:sz w:val="28"/>
                <w:szCs w:val="28"/>
              </w:rPr>
              <w:lastRenderedPageBreak/>
              <w:t>5.</w:t>
            </w:r>
          </w:p>
        </w:tc>
        <w:tc>
          <w:tcPr>
            <w:tcW w:w="1000" w:type="pct"/>
            <w:tcBorders>
              <w:top w:val="outset" w:sz="6" w:space="0" w:color="000000"/>
              <w:left w:val="outset" w:sz="6" w:space="0" w:color="000000"/>
              <w:bottom w:val="outset" w:sz="6" w:space="0" w:color="000000"/>
              <w:right w:val="outset" w:sz="6" w:space="0" w:color="000000"/>
            </w:tcBorders>
          </w:tcPr>
          <w:p w:rsidR="00614AD0" w:rsidRPr="007C076F" w:rsidRDefault="005C67D1" w:rsidP="005C67D1">
            <w:pPr>
              <w:spacing w:before="100" w:beforeAutospacing="1" w:after="100" w:afterAutospacing="1"/>
              <w:rPr>
                <w:sz w:val="28"/>
                <w:szCs w:val="28"/>
              </w:rPr>
            </w:pPr>
            <w:r w:rsidRPr="007C076F">
              <w:rPr>
                <w:sz w:val="28"/>
                <w:szCs w:val="28"/>
              </w:rPr>
              <w:t>Projekta izstrādē iesaistītās institūcijas</w:t>
            </w:r>
          </w:p>
        </w:tc>
        <w:tc>
          <w:tcPr>
            <w:tcW w:w="3750" w:type="pct"/>
            <w:tcBorders>
              <w:top w:val="outset" w:sz="6" w:space="0" w:color="000000"/>
              <w:left w:val="outset" w:sz="6" w:space="0" w:color="000000"/>
              <w:bottom w:val="outset" w:sz="6" w:space="0" w:color="000000"/>
              <w:right w:val="outset" w:sz="6" w:space="0" w:color="000000"/>
            </w:tcBorders>
          </w:tcPr>
          <w:p w:rsidR="00614AD0" w:rsidRPr="007C076F" w:rsidRDefault="006B2A64" w:rsidP="00DC1A0C">
            <w:pPr>
              <w:spacing w:before="100" w:beforeAutospacing="1" w:after="100" w:afterAutospacing="1"/>
              <w:jc w:val="both"/>
              <w:rPr>
                <w:sz w:val="28"/>
                <w:szCs w:val="28"/>
              </w:rPr>
            </w:pPr>
            <w:r w:rsidRPr="007C076F">
              <w:rPr>
                <w:sz w:val="28"/>
                <w:szCs w:val="28"/>
              </w:rPr>
              <w:t>Iekšlietu ministrij</w:t>
            </w:r>
            <w:r w:rsidR="00DC1A0C">
              <w:rPr>
                <w:sz w:val="28"/>
                <w:szCs w:val="28"/>
              </w:rPr>
              <w:t>a</w:t>
            </w:r>
            <w:r w:rsidR="00E64E79">
              <w:rPr>
                <w:sz w:val="28"/>
                <w:szCs w:val="28"/>
              </w:rPr>
              <w:t>.</w:t>
            </w:r>
          </w:p>
        </w:tc>
      </w:tr>
      <w:tr w:rsidR="005C67D1" w:rsidRPr="002B1218">
        <w:tc>
          <w:tcPr>
            <w:tcW w:w="150" w:type="pct"/>
            <w:tcBorders>
              <w:top w:val="outset" w:sz="6" w:space="0" w:color="000000"/>
              <w:left w:val="outset" w:sz="6" w:space="0" w:color="000000"/>
              <w:bottom w:val="outset" w:sz="6" w:space="0" w:color="000000"/>
              <w:right w:val="outset" w:sz="6" w:space="0" w:color="000000"/>
            </w:tcBorders>
          </w:tcPr>
          <w:p w:rsidR="00614AD0" w:rsidRPr="007C076F" w:rsidRDefault="005C67D1" w:rsidP="005C67D1">
            <w:pPr>
              <w:spacing w:before="100" w:beforeAutospacing="1" w:after="100" w:afterAutospacing="1"/>
              <w:rPr>
                <w:sz w:val="28"/>
                <w:szCs w:val="28"/>
              </w:rPr>
            </w:pPr>
            <w:r w:rsidRPr="007C076F">
              <w:rPr>
                <w:sz w:val="28"/>
                <w:szCs w:val="28"/>
              </w:rPr>
              <w:t>6.</w:t>
            </w:r>
          </w:p>
        </w:tc>
        <w:tc>
          <w:tcPr>
            <w:tcW w:w="1000" w:type="pct"/>
            <w:tcBorders>
              <w:top w:val="outset" w:sz="6" w:space="0" w:color="000000"/>
              <w:left w:val="outset" w:sz="6" w:space="0" w:color="000000"/>
              <w:bottom w:val="outset" w:sz="6" w:space="0" w:color="000000"/>
              <w:right w:val="outset" w:sz="6" w:space="0" w:color="000000"/>
            </w:tcBorders>
          </w:tcPr>
          <w:p w:rsidR="00614AD0" w:rsidRPr="007C076F" w:rsidRDefault="005C67D1" w:rsidP="005C67D1">
            <w:pPr>
              <w:spacing w:before="100" w:beforeAutospacing="1" w:after="100" w:afterAutospacing="1"/>
              <w:rPr>
                <w:sz w:val="28"/>
                <w:szCs w:val="28"/>
              </w:rPr>
            </w:pPr>
            <w:r w:rsidRPr="007C076F">
              <w:rPr>
                <w:sz w:val="28"/>
                <w:szCs w:val="28"/>
              </w:rPr>
              <w:t>Iemesli, kādēļ netika nodrošināta sabiedrības līdzdalība</w:t>
            </w:r>
          </w:p>
        </w:tc>
        <w:tc>
          <w:tcPr>
            <w:tcW w:w="3750" w:type="pct"/>
            <w:tcBorders>
              <w:top w:val="outset" w:sz="6" w:space="0" w:color="000000"/>
              <w:left w:val="outset" w:sz="6" w:space="0" w:color="000000"/>
              <w:bottom w:val="outset" w:sz="6" w:space="0" w:color="000000"/>
              <w:right w:val="outset" w:sz="6" w:space="0" w:color="000000"/>
            </w:tcBorders>
          </w:tcPr>
          <w:p w:rsidR="00614AD0" w:rsidRPr="007C076F" w:rsidRDefault="004918B5" w:rsidP="00AF2E12">
            <w:pPr>
              <w:spacing w:before="100" w:beforeAutospacing="1" w:after="100" w:afterAutospacing="1"/>
              <w:jc w:val="both"/>
              <w:rPr>
                <w:sz w:val="28"/>
                <w:szCs w:val="28"/>
              </w:rPr>
            </w:pPr>
            <w:r w:rsidRPr="007C076F">
              <w:rPr>
                <w:rFonts w:eastAsia="EUAlbertina_Bold"/>
                <w:sz w:val="28"/>
                <w:szCs w:val="28"/>
              </w:rPr>
              <w:t>Sabiedrības līdzdalība netika nodrošināta, jo projekts uz sabiedrību tieši neattiecas.</w:t>
            </w:r>
          </w:p>
        </w:tc>
      </w:tr>
      <w:tr w:rsidR="005C67D1" w:rsidRPr="002B1218">
        <w:tc>
          <w:tcPr>
            <w:tcW w:w="150" w:type="pct"/>
            <w:tcBorders>
              <w:top w:val="outset" w:sz="6" w:space="0" w:color="000000"/>
              <w:left w:val="outset" w:sz="6" w:space="0" w:color="000000"/>
              <w:bottom w:val="outset" w:sz="6" w:space="0" w:color="000000"/>
              <w:right w:val="outset" w:sz="6" w:space="0" w:color="000000"/>
            </w:tcBorders>
          </w:tcPr>
          <w:p w:rsidR="00614AD0" w:rsidRPr="007C076F" w:rsidRDefault="005C67D1" w:rsidP="005C67D1">
            <w:pPr>
              <w:spacing w:before="100" w:beforeAutospacing="1" w:after="100" w:afterAutospacing="1"/>
              <w:rPr>
                <w:sz w:val="28"/>
                <w:szCs w:val="28"/>
              </w:rPr>
            </w:pPr>
            <w:r w:rsidRPr="007C076F">
              <w:rPr>
                <w:sz w:val="28"/>
                <w:szCs w:val="28"/>
              </w:rPr>
              <w:t>7.</w:t>
            </w:r>
          </w:p>
        </w:tc>
        <w:tc>
          <w:tcPr>
            <w:tcW w:w="1000" w:type="pct"/>
            <w:tcBorders>
              <w:top w:val="outset" w:sz="6" w:space="0" w:color="000000"/>
              <w:left w:val="outset" w:sz="6" w:space="0" w:color="000000"/>
              <w:bottom w:val="outset" w:sz="6" w:space="0" w:color="000000"/>
              <w:right w:val="outset" w:sz="6" w:space="0" w:color="000000"/>
            </w:tcBorders>
          </w:tcPr>
          <w:p w:rsidR="00614AD0" w:rsidRPr="007C076F" w:rsidRDefault="005C67D1" w:rsidP="005C67D1">
            <w:pPr>
              <w:spacing w:before="100" w:beforeAutospacing="1" w:after="100" w:afterAutospacing="1"/>
              <w:rPr>
                <w:sz w:val="28"/>
                <w:szCs w:val="28"/>
              </w:rPr>
            </w:pPr>
            <w:r w:rsidRPr="007C076F">
              <w:rPr>
                <w:sz w:val="28"/>
                <w:szCs w:val="28"/>
              </w:rPr>
              <w:t>Cita informācija</w:t>
            </w:r>
          </w:p>
        </w:tc>
        <w:tc>
          <w:tcPr>
            <w:tcW w:w="3750" w:type="pct"/>
            <w:tcBorders>
              <w:top w:val="outset" w:sz="6" w:space="0" w:color="000000"/>
              <w:left w:val="outset" w:sz="6" w:space="0" w:color="000000"/>
              <w:bottom w:val="outset" w:sz="6" w:space="0" w:color="000000"/>
              <w:right w:val="outset" w:sz="6" w:space="0" w:color="000000"/>
            </w:tcBorders>
          </w:tcPr>
          <w:p w:rsidR="00614AD0" w:rsidRPr="007C076F" w:rsidRDefault="00E4599B" w:rsidP="004822CA">
            <w:pPr>
              <w:spacing w:before="100" w:beforeAutospacing="1" w:after="100" w:afterAutospacing="1"/>
              <w:jc w:val="both"/>
              <w:rPr>
                <w:sz w:val="28"/>
                <w:szCs w:val="28"/>
              </w:rPr>
            </w:pPr>
            <w:r w:rsidRPr="007C076F">
              <w:rPr>
                <w:sz w:val="28"/>
                <w:szCs w:val="28"/>
              </w:rPr>
              <w:t>Nav</w:t>
            </w:r>
          </w:p>
        </w:tc>
      </w:tr>
    </w:tbl>
    <w:p w:rsidR="002D21CA" w:rsidRPr="00881FB3" w:rsidRDefault="005C67D1" w:rsidP="005C67D1">
      <w:pPr>
        <w:spacing w:before="100" w:beforeAutospacing="1" w:after="100" w:afterAutospacing="1"/>
      </w:pPr>
      <w:r w:rsidRPr="002B1218">
        <w:t>  </w:t>
      </w:r>
      <w:r w:rsidR="002D21CA" w:rsidRPr="007C076F">
        <w:rPr>
          <w:sz w:val="28"/>
        </w:rPr>
        <w:t>Anotācijas</w:t>
      </w:r>
      <w:r w:rsidR="00E4599B" w:rsidRPr="007C076F">
        <w:rPr>
          <w:sz w:val="28"/>
        </w:rPr>
        <w:t xml:space="preserve"> II, </w:t>
      </w:r>
      <w:r w:rsidR="00EF6ED7" w:rsidRPr="007C076F">
        <w:rPr>
          <w:sz w:val="28"/>
        </w:rPr>
        <w:t xml:space="preserve">III, IV, </w:t>
      </w:r>
      <w:r w:rsidR="002D21CA" w:rsidRPr="007C076F">
        <w:rPr>
          <w:sz w:val="28"/>
        </w:rPr>
        <w:t>V</w:t>
      </w:r>
      <w:r w:rsidR="0050433D" w:rsidRPr="007C076F">
        <w:rPr>
          <w:sz w:val="28"/>
        </w:rPr>
        <w:t xml:space="preserve">, </w:t>
      </w:r>
      <w:r w:rsidR="002D21CA" w:rsidRPr="007C076F">
        <w:rPr>
          <w:sz w:val="28"/>
        </w:rPr>
        <w:t>VI</w:t>
      </w:r>
      <w:r w:rsidR="0050433D" w:rsidRPr="007C076F">
        <w:rPr>
          <w:sz w:val="28"/>
        </w:rPr>
        <w:t xml:space="preserve"> un VII</w:t>
      </w:r>
      <w:r w:rsidR="002D21CA" w:rsidRPr="007C076F">
        <w:rPr>
          <w:sz w:val="28"/>
        </w:rPr>
        <w:t xml:space="preserve"> sadaļa – </w:t>
      </w:r>
      <w:r w:rsidR="00DC1A0C">
        <w:rPr>
          <w:sz w:val="28"/>
        </w:rPr>
        <w:t>projekts šīs jomas neskar</w:t>
      </w:r>
      <w:r w:rsidR="002D21CA" w:rsidRPr="007C076F">
        <w:rPr>
          <w:sz w:val="28"/>
        </w:rPr>
        <w:t>.</w:t>
      </w:r>
    </w:p>
    <w:p w:rsidR="00CC1FEF" w:rsidRDefault="00CC1FEF"/>
    <w:p w:rsidR="0050433D" w:rsidRPr="0050433D" w:rsidRDefault="000F241E" w:rsidP="000F241E">
      <w:pPr>
        <w:spacing w:after="200" w:line="276" w:lineRule="auto"/>
        <w:ind w:firstLine="709"/>
        <w:jc w:val="both"/>
        <w:rPr>
          <w:rFonts w:eastAsia="Calibri"/>
          <w:sz w:val="28"/>
          <w:szCs w:val="28"/>
          <w:lang w:eastAsia="en-US"/>
        </w:rPr>
      </w:pPr>
      <w:r>
        <w:rPr>
          <w:rFonts w:eastAsia="Calibri"/>
          <w:sz w:val="28"/>
          <w:szCs w:val="28"/>
          <w:lang w:eastAsia="en-US"/>
        </w:rPr>
        <w:t>Ministru prezidents</w:t>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sidR="0050433D" w:rsidRPr="0050433D">
        <w:rPr>
          <w:rFonts w:eastAsia="Calibri"/>
          <w:sz w:val="28"/>
          <w:szCs w:val="28"/>
          <w:lang w:eastAsia="en-US"/>
        </w:rPr>
        <w:t>V.Dombrovskis</w:t>
      </w:r>
    </w:p>
    <w:p w:rsidR="00E64E79" w:rsidRDefault="003D5A89" w:rsidP="000F241E">
      <w:pPr>
        <w:ind w:firstLine="709"/>
        <w:jc w:val="both"/>
        <w:rPr>
          <w:sz w:val="28"/>
          <w:szCs w:val="28"/>
        </w:rPr>
      </w:pPr>
      <w:r>
        <w:rPr>
          <w:sz w:val="28"/>
          <w:szCs w:val="26"/>
        </w:rPr>
        <w:t>Iekšlietu ministr</w:t>
      </w:r>
      <w:r w:rsidR="000F241E">
        <w:rPr>
          <w:sz w:val="28"/>
          <w:szCs w:val="26"/>
        </w:rPr>
        <w:t>s</w:t>
      </w:r>
      <w:r w:rsidR="000F241E">
        <w:rPr>
          <w:sz w:val="28"/>
          <w:szCs w:val="26"/>
        </w:rPr>
        <w:tab/>
      </w:r>
      <w:r w:rsidR="000F241E">
        <w:rPr>
          <w:sz w:val="28"/>
          <w:szCs w:val="26"/>
        </w:rPr>
        <w:tab/>
      </w:r>
      <w:r w:rsidR="000F241E">
        <w:rPr>
          <w:sz w:val="28"/>
          <w:szCs w:val="26"/>
        </w:rPr>
        <w:tab/>
      </w:r>
      <w:r w:rsidR="000F241E">
        <w:rPr>
          <w:sz w:val="28"/>
          <w:szCs w:val="26"/>
        </w:rPr>
        <w:tab/>
      </w:r>
      <w:r w:rsidR="000F241E">
        <w:rPr>
          <w:sz w:val="28"/>
          <w:szCs w:val="26"/>
        </w:rPr>
        <w:tab/>
      </w:r>
      <w:r w:rsidR="000F241E">
        <w:rPr>
          <w:sz w:val="28"/>
          <w:szCs w:val="26"/>
        </w:rPr>
        <w:tab/>
      </w:r>
      <w:r w:rsidR="000F241E">
        <w:rPr>
          <w:sz w:val="28"/>
          <w:szCs w:val="28"/>
        </w:rPr>
        <w:t>R.Kozlovskis</w:t>
      </w:r>
    </w:p>
    <w:p w:rsidR="0050433D" w:rsidRPr="0050433D" w:rsidRDefault="0050433D" w:rsidP="0050433D">
      <w:pPr>
        <w:spacing w:after="200" w:line="276" w:lineRule="auto"/>
        <w:rPr>
          <w:rFonts w:eastAsia="Calibri"/>
          <w:lang w:eastAsia="en-US"/>
        </w:rPr>
      </w:pPr>
    </w:p>
    <w:p w:rsidR="00E64E79" w:rsidRPr="009E40EF" w:rsidRDefault="003D5A89" w:rsidP="000F241E">
      <w:pPr>
        <w:ind w:firstLine="709"/>
        <w:jc w:val="both"/>
        <w:rPr>
          <w:sz w:val="28"/>
          <w:szCs w:val="28"/>
        </w:rPr>
      </w:pPr>
      <w:r>
        <w:rPr>
          <w:sz w:val="28"/>
          <w:szCs w:val="26"/>
        </w:rPr>
        <w:t>Iekšlietu ministr</w:t>
      </w:r>
      <w:r w:rsidR="000F241E">
        <w:rPr>
          <w:sz w:val="28"/>
          <w:szCs w:val="26"/>
        </w:rPr>
        <w:t>s</w:t>
      </w:r>
      <w:r w:rsidR="00E64E79">
        <w:rPr>
          <w:sz w:val="28"/>
          <w:szCs w:val="28"/>
        </w:rPr>
        <w:t>__</w:t>
      </w:r>
      <w:r w:rsidR="00E64E79" w:rsidRPr="009E40EF">
        <w:rPr>
          <w:sz w:val="28"/>
          <w:szCs w:val="28"/>
        </w:rPr>
        <w:t>____________________</w:t>
      </w:r>
      <w:r w:rsidR="00E64E79" w:rsidRPr="009E40EF">
        <w:rPr>
          <w:sz w:val="28"/>
          <w:szCs w:val="28"/>
        </w:rPr>
        <w:tab/>
      </w:r>
      <w:r w:rsidR="00C81CE3">
        <w:rPr>
          <w:sz w:val="28"/>
          <w:szCs w:val="28"/>
        </w:rPr>
        <w:t xml:space="preserve"> </w:t>
      </w:r>
      <w:r w:rsidR="000F241E">
        <w:rPr>
          <w:sz w:val="28"/>
          <w:szCs w:val="28"/>
        </w:rPr>
        <w:t>R.Kozlovskis</w:t>
      </w:r>
      <w:r w:rsidR="00E64E79" w:rsidRPr="009E40EF">
        <w:rPr>
          <w:sz w:val="28"/>
          <w:szCs w:val="28"/>
        </w:rPr>
        <w:t xml:space="preserve"> </w:t>
      </w:r>
    </w:p>
    <w:p w:rsidR="003D5A89" w:rsidRDefault="003D5A89" w:rsidP="0050433D">
      <w:pPr>
        <w:spacing w:after="120" w:line="276" w:lineRule="auto"/>
        <w:ind w:firstLine="720"/>
        <w:contextualSpacing/>
        <w:jc w:val="both"/>
        <w:rPr>
          <w:rFonts w:eastAsia="Calibri"/>
          <w:sz w:val="28"/>
          <w:szCs w:val="28"/>
          <w:lang w:eastAsia="en-US"/>
        </w:rPr>
      </w:pPr>
    </w:p>
    <w:p w:rsidR="0050433D" w:rsidRPr="0050433D" w:rsidRDefault="0050433D" w:rsidP="0050433D">
      <w:pPr>
        <w:spacing w:after="120" w:line="276" w:lineRule="auto"/>
        <w:ind w:firstLine="720"/>
        <w:contextualSpacing/>
        <w:jc w:val="both"/>
        <w:rPr>
          <w:rFonts w:eastAsia="Calibri"/>
          <w:sz w:val="28"/>
          <w:szCs w:val="28"/>
          <w:lang w:eastAsia="en-US"/>
        </w:rPr>
      </w:pPr>
      <w:r w:rsidRPr="0050433D">
        <w:rPr>
          <w:rFonts w:eastAsia="Calibri"/>
          <w:sz w:val="28"/>
          <w:szCs w:val="28"/>
          <w:lang w:eastAsia="en-US"/>
        </w:rPr>
        <w:t>Vīza: valsts sekretāre _______________</w:t>
      </w:r>
      <w:r w:rsidR="003D5A89">
        <w:rPr>
          <w:rFonts w:eastAsia="Calibri"/>
          <w:sz w:val="28"/>
          <w:szCs w:val="28"/>
          <w:lang w:eastAsia="en-US"/>
        </w:rPr>
        <w:t>__</w:t>
      </w:r>
      <w:r w:rsidRPr="0050433D">
        <w:rPr>
          <w:rFonts w:eastAsia="Calibri"/>
          <w:sz w:val="28"/>
          <w:szCs w:val="28"/>
          <w:lang w:eastAsia="en-US"/>
        </w:rPr>
        <w:t>_</w:t>
      </w:r>
      <w:r w:rsidRPr="0050433D">
        <w:rPr>
          <w:rFonts w:eastAsia="Calibri"/>
          <w:sz w:val="28"/>
          <w:szCs w:val="28"/>
          <w:lang w:eastAsia="en-US"/>
        </w:rPr>
        <w:tab/>
      </w:r>
      <w:r w:rsidR="00E64E79">
        <w:rPr>
          <w:rFonts w:eastAsia="Calibri"/>
          <w:sz w:val="28"/>
          <w:szCs w:val="28"/>
          <w:lang w:eastAsia="en-US"/>
        </w:rPr>
        <w:t xml:space="preserve"> </w:t>
      </w:r>
      <w:r w:rsidRPr="0050433D">
        <w:rPr>
          <w:rFonts w:eastAsia="Calibri"/>
          <w:sz w:val="28"/>
          <w:szCs w:val="28"/>
          <w:lang w:eastAsia="en-US"/>
        </w:rPr>
        <w:t>I.Pētersone</w:t>
      </w:r>
      <w:r w:rsidR="00E64E79">
        <w:rPr>
          <w:rFonts w:eastAsia="Calibri"/>
          <w:sz w:val="28"/>
          <w:szCs w:val="28"/>
          <w:lang w:eastAsia="en-US"/>
        </w:rPr>
        <w:t>-Godmane</w:t>
      </w:r>
    </w:p>
    <w:p w:rsidR="00C202B3" w:rsidRDefault="00C202B3" w:rsidP="0050433D">
      <w:pPr>
        <w:ind w:right="-23"/>
        <w:jc w:val="both"/>
        <w:rPr>
          <w:rFonts w:eastAsia="Calibri"/>
          <w:sz w:val="16"/>
          <w:szCs w:val="22"/>
          <w:lang w:eastAsia="en-US"/>
        </w:rPr>
      </w:pPr>
    </w:p>
    <w:p w:rsidR="00C202B3" w:rsidRDefault="00C202B3" w:rsidP="0050433D">
      <w:pPr>
        <w:ind w:right="-23"/>
        <w:jc w:val="both"/>
        <w:rPr>
          <w:rFonts w:eastAsia="Calibri"/>
          <w:sz w:val="16"/>
          <w:szCs w:val="22"/>
          <w:lang w:eastAsia="en-US"/>
        </w:rPr>
      </w:pPr>
    </w:p>
    <w:p w:rsidR="00C202B3" w:rsidRDefault="00C202B3" w:rsidP="0050433D">
      <w:pPr>
        <w:ind w:right="-23"/>
        <w:jc w:val="both"/>
        <w:rPr>
          <w:rFonts w:eastAsia="Calibri"/>
          <w:sz w:val="16"/>
          <w:szCs w:val="22"/>
          <w:lang w:eastAsia="en-US"/>
        </w:rPr>
      </w:pPr>
    </w:p>
    <w:p w:rsidR="00C202B3" w:rsidRDefault="00C202B3" w:rsidP="0050433D">
      <w:pPr>
        <w:ind w:right="-23"/>
        <w:jc w:val="both"/>
        <w:rPr>
          <w:rFonts w:eastAsia="Calibri"/>
          <w:sz w:val="16"/>
          <w:szCs w:val="22"/>
          <w:lang w:eastAsia="en-US"/>
        </w:rPr>
      </w:pPr>
      <w:bookmarkStart w:id="0" w:name="_GoBack"/>
      <w:bookmarkEnd w:id="0"/>
    </w:p>
    <w:p w:rsidR="0050433D" w:rsidRPr="0050433D" w:rsidRDefault="0050433D" w:rsidP="0050433D">
      <w:pPr>
        <w:ind w:right="-23"/>
        <w:jc w:val="both"/>
        <w:rPr>
          <w:rFonts w:eastAsia="Calibri"/>
          <w:sz w:val="16"/>
          <w:szCs w:val="22"/>
          <w:lang w:eastAsia="en-US"/>
        </w:rPr>
      </w:pPr>
      <w:r w:rsidRPr="0050433D">
        <w:rPr>
          <w:rFonts w:eastAsia="Calibri"/>
          <w:sz w:val="16"/>
          <w:szCs w:val="22"/>
          <w:lang w:eastAsia="en-US"/>
        </w:rPr>
        <w:fldChar w:fldCharType="begin"/>
      </w:r>
      <w:r w:rsidRPr="0050433D">
        <w:rPr>
          <w:rFonts w:eastAsia="Calibri"/>
          <w:sz w:val="16"/>
          <w:szCs w:val="22"/>
          <w:lang w:eastAsia="en-US"/>
        </w:rPr>
        <w:instrText xml:space="preserve"> TIME  \@ "dd.MM.yyyy." </w:instrText>
      </w:r>
      <w:r w:rsidRPr="0050433D">
        <w:rPr>
          <w:rFonts w:eastAsia="Calibri"/>
          <w:sz w:val="16"/>
          <w:szCs w:val="22"/>
          <w:lang w:eastAsia="en-US"/>
        </w:rPr>
        <w:fldChar w:fldCharType="separate"/>
      </w:r>
      <w:r w:rsidR="00C202B3">
        <w:rPr>
          <w:rFonts w:eastAsia="Calibri"/>
          <w:noProof/>
          <w:sz w:val="16"/>
          <w:szCs w:val="22"/>
          <w:lang w:eastAsia="en-US"/>
        </w:rPr>
        <w:t>28.04.2012.</w:t>
      </w:r>
      <w:r w:rsidRPr="0050433D">
        <w:rPr>
          <w:rFonts w:eastAsia="Calibri"/>
          <w:sz w:val="16"/>
          <w:szCs w:val="22"/>
          <w:lang w:eastAsia="en-US"/>
        </w:rPr>
        <w:fldChar w:fldCharType="end"/>
      </w:r>
    </w:p>
    <w:p w:rsidR="0050433D" w:rsidRPr="0050433D" w:rsidRDefault="0050433D" w:rsidP="0050433D">
      <w:pPr>
        <w:ind w:right="-23"/>
        <w:jc w:val="both"/>
        <w:rPr>
          <w:rFonts w:eastAsia="Calibri"/>
          <w:sz w:val="16"/>
          <w:szCs w:val="22"/>
          <w:lang w:eastAsia="en-US"/>
        </w:rPr>
      </w:pPr>
      <w:r w:rsidRPr="0050433D">
        <w:rPr>
          <w:rFonts w:eastAsia="Calibri"/>
          <w:lang w:eastAsia="en-US"/>
        </w:rPr>
        <w:fldChar w:fldCharType="begin"/>
      </w:r>
      <w:r w:rsidRPr="0050433D">
        <w:rPr>
          <w:rFonts w:eastAsia="Calibri"/>
          <w:lang w:eastAsia="en-US"/>
        </w:rPr>
        <w:instrText xml:space="preserve"> NUMWORDS  \* Arabic  \* MERGEFORMAT </w:instrText>
      </w:r>
      <w:r w:rsidRPr="0050433D">
        <w:rPr>
          <w:rFonts w:eastAsia="Calibri"/>
          <w:lang w:eastAsia="en-US"/>
        </w:rPr>
        <w:fldChar w:fldCharType="separate"/>
      </w:r>
      <w:r w:rsidR="00C202B3" w:rsidRPr="00C202B3">
        <w:rPr>
          <w:rFonts w:eastAsia="Calibri"/>
          <w:noProof/>
          <w:sz w:val="16"/>
          <w:szCs w:val="22"/>
          <w:lang w:eastAsia="en-US"/>
        </w:rPr>
        <w:t>405</w:t>
      </w:r>
      <w:r w:rsidRPr="0050433D">
        <w:rPr>
          <w:rFonts w:eastAsia="Calibri"/>
          <w:noProof/>
          <w:sz w:val="16"/>
          <w:szCs w:val="22"/>
          <w:lang w:eastAsia="en-US"/>
        </w:rPr>
        <w:fldChar w:fldCharType="end"/>
      </w:r>
    </w:p>
    <w:p w:rsidR="0050433D" w:rsidRPr="0050433D" w:rsidRDefault="0050433D" w:rsidP="0050433D">
      <w:pPr>
        <w:ind w:right="-23"/>
        <w:jc w:val="both"/>
        <w:rPr>
          <w:rFonts w:eastAsia="Calibri"/>
          <w:sz w:val="16"/>
          <w:szCs w:val="22"/>
          <w:lang w:eastAsia="en-US"/>
        </w:rPr>
      </w:pPr>
      <w:r w:rsidRPr="0050433D">
        <w:rPr>
          <w:rFonts w:eastAsia="Calibri"/>
          <w:sz w:val="16"/>
          <w:szCs w:val="22"/>
          <w:lang w:eastAsia="en-US"/>
        </w:rPr>
        <w:t>Iekšlietu ministrijas</w:t>
      </w:r>
    </w:p>
    <w:p w:rsidR="0050433D" w:rsidRPr="0050433D" w:rsidRDefault="0050433D" w:rsidP="0050433D">
      <w:pPr>
        <w:ind w:right="-23"/>
        <w:jc w:val="both"/>
        <w:rPr>
          <w:rFonts w:eastAsia="Calibri"/>
          <w:sz w:val="16"/>
          <w:szCs w:val="22"/>
          <w:lang w:eastAsia="en-US"/>
        </w:rPr>
      </w:pPr>
      <w:r w:rsidRPr="0050433D">
        <w:rPr>
          <w:rFonts w:eastAsia="Calibri"/>
          <w:sz w:val="16"/>
          <w:szCs w:val="22"/>
          <w:lang w:eastAsia="en-US"/>
        </w:rPr>
        <w:t>Nozares politikas departamenta</w:t>
      </w:r>
    </w:p>
    <w:p w:rsidR="0050433D" w:rsidRPr="0050433D" w:rsidRDefault="0050433D" w:rsidP="0050433D">
      <w:pPr>
        <w:ind w:right="-23"/>
        <w:jc w:val="both"/>
        <w:rPr>
          <w:rFonts w:eastAsia="Calibri"/>
          <w:sz w:val="16"/>
          <w:szCs w:val="22"/>
          <w:lang w:eastAsia="en-US"/>
        </w:rPr>
      </w:pPr>
      <w:r w:rsidRPr="0050433D">
        <w:rPr>
          <w:rFonts w:eastAsia="Calibri"/>
          <w:sz w:val="16"/>
          <w:szCs w:val="22"/>
          <w:lang w:eastAsia="en-US"/>
        </w:rPr>
        <w:t>Politikas ieviešanas nodaļas</w:t>
      </w:r>
    </w:p>
    <w:p w:rsidR="0050433D" w:rsidRPr="0050433D" w:rsidRDefault="0050433D" w:rsidP="0050433D">
      <w:pPr>
        <w:ind w:right="-23"/>
        <w:jc w:val="both"/>
        <w:rPr>
          <w:rFonts w:eastAsia="Calibri"/>
          <w:sz w:val="16"/>
          <w:szCs w:val="22"/>
          <w:lang w:eastAsia="en-US"/>
        </w:rPr>
      </w:pPr>
      <w:r w:rsidRPr="0050433D">
        <w:rPr>
          <w:rFonts w:eastAsia="Calibri"/>
          <w:sz w:val="16"/>
          <w:szCs w:val="22"/>
          <w:lang w:eastAsia="en-US"/>
        </w:rPr>
        <w:t>vecākais referents</w:t>
      </w:r>
    </w:p>
    <w:p w:rsidR="0050433D" w:rsidRPr="0050433D" w:rsidRDefault="0050433D" w:rsidP="0050433D">
      <w:pPr>
        <w:jc w:val="both"/>
        <w:rPr>
          <w:rFonts w:eastAsia="Calibri"/>
          <w:sz w:val="16"/>
          <w:szCs w:val="22"/>
          <w:lang w:eastAsia="en-US"/>
        </w:rPr>
      </w:pPr>
      <w:r w:rsidRPr="0050433D">
        <w:rPr>
          <w:rFonts w:eastAsia="Calibri"/>
          <w:sz w:val="16"/>
          <w:szCs w:val="22"/>
          <w:lang w:eastAsia="en-US"/>
        </w:rPr>
        <w:t>M.Ostrovskis</w:t>
      </w:r>
    </w:p>
    <w:p w:rsidR="0050433D" w:rsidRPr="0050433D" w:rsidRDefault="0050433D" w:rsidP="0050433D">
      <w:pPr>
        <w:jc w:val="both"/>
        <w:rPr>
          <w:rFonts w:eastAsia="Calibri"/>
          <w:sz w:val="16"/>
          <w:szCs w:val="22"/>
          <w:lang w:eastAsia="en-US"/>
        </w:rPr>
      </w:pPr>
      <w:r w:rsidRPr="0050433D">
        <w:rPr>
          <w:rFonts w:eastAsia="Calibri"/>
          <w:sz w:val="16"/>
          <w:szCs w:val="22"/>
          <w:lang w:eastAsia="en-US"/>
        </w:rPr>
        <w:t>tālr. 67219238, Fax 67219464</w:t>
      </w:r>
    </w:p>
    <w:p w:rsidR="00881FB3" w:rsidRPr="007C076F" w:rsidRDefault="00C202B3" w:rsidP="007C076F">
      <w:pPr>
        <w:jc w:val="both"/>
        <w:rPr>
          <w:rFonts w:eastAsia="Calibri"/>
          <w:lang w:eastAsia="en-US"/>
        </w:rPr>
      </w:pPr>
      <w:hyperlink r:id="rId8" w:history="1">
        <w:r w:rsidR="0050433D" w:rsidRPr="0050433D">
          <w:rPr>
            <w:rFonts w:eastAsia="Calibri"/>
            <w:color w:val="0000FF"/>
            <w:sz w:val="16"/>
            <w:szCs w:val="22"/>
            <w:u w:val="single"/>
            <w:lang w:eastAsia="en-US"/>
          </w:rPr>
          <w:t>maris.ostrovskis@iem.gov.lv</w:t>
        </w:r>
      </w:hyperlink>
    </w:p>
    <w:sectPr w:rsidR="00881FB3" w:rsidRPr="007C076F" w:rsidSect="00C202B3">
      <w:headerReference w:type="even" r:id="rId9"/>
      <w:headerReference w:type="default" r:id="rId10"/>
      <w:footerReference w:type="even" r:id="rId11"/>
      <w:footerReference w:type="default" r:id="rId12"/>
      <w:footerReference w:type="first" r:id="rId13"/>
      <w:pgSz w:w="11906" w:h="16838"/>
      <w:pgMar w:top="993" w:right="1286" w:bottom="1134" w:left="1800" w:header="708" w:footer="4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23F" w:rsidRDefault="003B723F">
      <w:r>
        <w:separator/>
      </w:r>
    </w:p>
  </w:endnote>
  <w:endnote w:type="continuationSeparator" w:id="0">
    <w:p w:rsidR="003B723F" w:rsidRDefault="003B7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10002FF" w:usb1="4000ACFF" w:usb2="00000009" w:usb3="00000000" w:csb0="0000019F" w:csb1="00000000"/>
  </w:font>
  <w:font w:name="EUAlbertina_Bold">
    <w:charset w:val="00"/>
    <w:family w:val="roman"/>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23F" w:rsidRDefault="003B723F" w:rsidP="004462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B723F" w:rsidRDefault="003B723F" w:rsidP="00D75B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23F" w:rsidRPr="00C202B3" w:rsidRDefault="00C202B3" w:rsidP="00C202B3">
    <w:pPr>
      <w:pStyle w:val="Footer"/>
      <w:jc w:val="both"/>
      <w:rPr>
        <w:sz w:val="20"/>
        <w:szCs w:val="20"/>
      </w:rPr>
    </w:pPr>
    <w:r w:rsidRPr="003D41B0">
      <w:rPr>
        <w:sz w:val="20"/>
        <w:szCs w:val="20"/>
      </w:rPr>
      <w:t>IEMAnot_</w:t>
    </w:r>
    <w:r>
      <w:rPr>
        <w:sz w:val="20"/>
        <w:szCs w:val="20"/>
      </w:rPr>
      <w:t>2804</w:t>
    </w:r>
    <w:r w:rsidRPr="003D41B0">
      <w:rPr>
        <w:sz w:val="20"/>
        <w:szCs w:val="20"/>
      </w:rPr>
      <w:t>1</w:t>
    </w:r>
    <w:r>
      <w:rPr>
        <w:sz w:val="20"/>
        <w:szCs w:val="20"/>
      </w:rPr>
      <w:t>2</w:t>
    </w:r>
    <w:r w:rsidRPr="003D41B0">
      <w:rPr>
        <w:sz w:val="20"/>
        <w:szCs w:val="20"/>
      </w:rPr>
      <w:t>; Ministru kabineta noteikumu projekta "Grozījum</w:t>
    </w:r>
    <w:r>
      <w:rPr>
        <w:sz w:val="20"/>
        <w:szCs w:val="20"/>
      </w:rPr>
      <w:t>i</w:t>
    </w:r>
    <w:r w:rsidRPr="003D41B0">
      <w:rPr>
        <w:sz w:val="20"/>
        <w:szCs w:val="20"/>
      </w:rPr>
      <w:t xml:space="preserve"> Ministru kabineta 2004.gada 26.oktobra noteikumos Nr.887 "Valsts noslēpuma objektu saraksts"" sākotnējās ietekmes novērtējuma </w:t>
    </w:r>
    <w:smartTag w:uri="schemas-tilde-lv/tildestengine" w:element="veidnes">
      <w:smartTagPr>
        <w:attr w:name="id" w:val="-1"/>
        <w:attr w:name="baseform" w:val="ziņojums"/>
        <w:attr w:name="text" w:val="ziņojums"/>
      </w:smartTagPr>
      <w:r w:rsidRPr="003D41B0">
        <w:rPr>
          <w:sz w:val="20"/>
          <w:szCs w:val="20"/>
        </w:rPr>
        <w:t>ziņojums</w:t>
      </w:r>
    </w:smartTag>
    <w:r w:rsidRPr="003D41B0">
      <w:rPr>
        <w:sz w:val="20"/>
        <w:szCs w:val="20"/>
      </w:rPr>
      <w:t xml:space="preserve">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23F" w:rsidRPr="007C076F" w:rsidRDefault="003B723F" w:rsidP="007C076F">
    <w:pPr>
      <w:pStyle w:val="Footer"/>
      <w:jc w:val="both"/>
      <w:rPr>
        <w:sz w:val="20"/>
        <w:szCs w:val="20"/>
      </w:rPr>
    </w:pPr>
    <w:r w:rsidRPr="003D41B0">
      <w:rPr>
        <w:sz w:val="20"/>
        <w:szCs w:val="20"/>
      </w:rPr>
      <w:t>IEMAnot_</w:t>
    </w:r>
    <w:r>
      <w:rPr>
        <w:sz w:val="20"/>
        <w:szCs w:val="20"/>
      </w:rPr>
      <w:t>2</w:t>
    </w:r>
    <w:r w:rsidR="00C202B3">
      <w:rPr>
        <w:sz w:val="20"/>
        <w:szCs w:val="20"/>
      </w:rPr>
      <w:t>804</w:t>
    </w:r>
    <w:r w:rsidRPr="003D41B0">
      <w:rPr>
        <w:sz w:val="20"/>
        <w:szCs w:val="20"/>
      </w:rPr>
      <w:t>1</w:t>
    </w:r>
    <w:r w:rsidR="00C202B3">
      <w:rPr>
        <w:sz w:val="20"/>
        <w:szCs w:val="20"/>
      </w:rPr>
      <w:t>2</w:t>
    </w:r>
    <w:r w:rsidRPr="003D41B0">
      <w:rPr>
        <w:sz w:val="20"/>
        <w:szCs w:val="20"/>
      </w:rPr>
      <w:t>; Ministru kabineta noteikumu projekta "Grozījum</w:t>
    </w:r>
    <w:r>
      <w:rPr>
        <w:sz w:val="20"/>
        <w:szCs w:val="20"/>
      </w:rPr>
      <w:t>i</w:t>
    </w:r>
    <w:r w:rsidRPr="003D41B0">
      <w:rPr>
        <w:sz w:val="20"/>
        <w:szCs w:val="20"/>
      </w:rPr>
      <w:t xml:space="preserve"> Ministru kabineta 2004.gada 26.oktobra noteikumos Nr.887 "Valsts noslēpuma objektu saraksts"" sākotnējās ietekmes novērtējuma </w:t>
    </w:r>
    <w:smartTag w:uri="schemas-tilde-lv/tildestengine" w:element="veidnes">
      <w:smartTagPr>
        <w:attr w:name="id" w:val="-1"/>
        <w:attr w:name="baseform" w:val="ziņojums"/>
        <w:attr w:name="text" w:val="ziņojums"/>
      </w:smartTagPr>
      <w:r w:rsidRPr="003D41B0">
        <w:rPr>
          <w:sz w:val="20"/>
          <w:szCs w:val="20"/>
        </w:rPr>
        <w:t>ziņojums</w:t>
      </w:r>
    </w:smartTag>
    <w:r w:rsidRPr="003D41B0">
      <w:rPr>
        <w:sz w:val="20"/>
        <w:szCs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23F" w:rsidRDefault="003B723F">
      <w:r>
        <w:separator/>
      </w:r>
    </w:p>
  </w:footnote>
  <w:footnote w:type="continuationSeparator" w:id="0">
    <w:p w:rsidR="003B723F" w:rsidRDefault="003B72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23F" w:rsidRDefault="003B723F" w:rsidP="001746D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B723F" w:rsidRDefault="003B72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23F" w:rsidRDefault="003B723F" w:rsidP="001746D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202B3">
      <w:rPr>
        <w:rStyle w:val="PageNumber"/>
        <w:noProof/>
      </w:rPr>
      <w:t>2</w:t>
    </w:r>
    <w:r>
      <w:rPr>
        <w:rStyle w:val="PageNumber"/>
      </w:rPr>
      <w:fldChar w:fldCharType="end"/>
    </w:r>
  </w:p>
  <w:p w:rsidR="003B723F" w:rsidRDefault="003B72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A36F9"/>
    <w:multiLevelType w:val="hybridMultilevel"/>
    <w:tmpl w:val="15744712"/>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7D1"/>
    <w:rsid w:val="000138D6"/>
    <w:rsid w:val="000575BB"/>
    <w:rsid w:val="00080BC8"/>
    <w:rsid w:val="00081F11"/>
    <w:rsid w:val="0008330B"/>
    <w:rsid w:val="00087AFF"/>
    <w:rsid w:val="00093A82"/>
    <w:rsid w:val="000A37F0"/>
    <w:rsid w:val="000A4E88"/>
    <w:rsid w:val="000B454D"/>
    <w:rsid w:val="000B6F49"/>
    <w:rsid w:val="000E073F"/>
    <w:rsid w:val="000F241E"/>
    <w:rsid w:val="00101228"/>
    <w:rsid w:val="0011358B"/>
    <w:rsid w:val="001174E7"/>
    <w:rsid w:val="001528FC"/>
    <w:rsid w:val="00157246"/>
    <w:rsid w:val="00160E63"/>
    <w:rsid w:val="001746D1"/>
    <w:rsid w:val="001A2632"/>
    <w:rsid w:val="001C0475"/>
    <w:rsid w:val="001D5408"/>
    <w:rsid w:val="001E2466"/>
    <w:rsid w:val="001F0AAE"/>
    <w:rsid w:val="001F13FB"/>
    <w:rsid w:val="00201C87"/>
    <w:rsid w:val="002124BB"/>
    <w:rsid w:val="00233A61"/>
    <w:rsid w:val="00242A1C"/>
    <w:rsid w:val="0025762C"/>
    <w:rsid w:val="0027403D"/>
    <w:rsid w:val="002966EC"/>
    <w:rsid w:val="002A20AF"/>
    <w:rsid w:val="002B1218"/>
    <w:rsid w:val="002C545B"/>
    <w:rsid w:val="002C7DE6"/>
    <w:rsid w:val="002D0486"/>
    <w:rsid w:val="002D21CA"/>
    <w:rsid w:val="002D4F78"/>
    <w:rsid w:val="002D6703"/>
    <w:rsid w:val="002F42CE"/>
    <w:rsid w:val="002F603F"/>
    <w:rsid w:val="00313B9C"/>
    <w:rsid w:val="00315979"/>
    <w:rsid w:val="00316BE8"/>
    <w:rsid w:val="00352FAA"/>
    <w:rsid w:val="00353E8B"/>
    <w:rsid w:val="00360E30"/>
    <w:rsid w:val="0036448D"/>
    <w:rsid w:val="00370401"/>
    <w:rsid w:val="00373D63"/>
    <w:rsid w:val="0038711F"/>
    <w:rsid w:val="003B723F"/>
    <w:rsid w:val="003D5A89"/>
    <w:rsid w:val="003E13A0"/>
    <w:rsid w:val="0042494D"/>
    <w:rsid w:val="00445F61"/>
    <w:rsid w:val="004462ED"/>
    <w:rsid w:val="00462AFD"/>
    <w:rsid w:val="00464699"/>
    <w:rsid w:val="004822CA"/>
    <w:rsid w:val="00490C6D"/>
    <w:rsid w:val="004918B5"/>
    <w:rsid w:val="004959EA"/>
    <w:rsid w:val="004C5450"/>
    <w:rsid w:val="004C62BD"/>
    <w:rsid w:val="004D4853"/>
    <w:rsid w:val="004D5808"/>
    <w:rsid w:val="004F58C9"/>
    <w:rsid w:val="004F6197"/>
    <w:rsid w:val="004F62CE"/>
    <w:rsid w:val="0050433D"/>
    <w:rsid w:val="00507EC2"/>
    <w:rsid w:val="00554AD5"/>
    <w:rsid w:val="005631A7"/>
    <w:rsid w:val="00570E39"/>
    <w:rsid w:val="00575C6B"/>
    <w:rsid w:val="005832AE"/>
    <w:rsid w:val="00592235"/>
    <w:rsid w:val="0059351E"/>
    <w:rsid w:val="005A7F0A"/>
    <w:rsid w:val="005C67D1"/>
    <w:rsid w:val="00614AD0"/>
    <w:rsid w:val="006247FD"/>
    <w:rsid w:val="00625237"/>
    <w:rsid w:val="00636FCF"/>
    <w:rsid w:val="006A249E"/>
    <w:rsid w:val="006A28C0"/>
    <w:rsid w:val="006B2A64"/>
    <w:rsid w:val="006C7BA3"/>
    <w:rsid w:val="006F218A"/>
    <w:rsid w:val="006F7C65"/>
    <w:rsid w:val="00704565"/>
    <w:rsid w:val="007260E8"/>
    <w:rsid w:val="007516E6"/>
    <w:rsid w:val="00751EAE"/>
    <w:rsid w:val="007706CA"/>
    <w:rsid w:val="0077386B"/>
    <w:rsid w:val="0078169A"/>
    <w:rsid w:val="00782530"/>
    <w:rsid w:val="00782E90"/>
    <w:rsid w:val="00787F21"/>
    <w:rsid w:val="007A088A"/>
    <w:rsid w:val="007B4BBA"/>
    <w:rsid w:val="007C076F"/>
    <w:rsid w:val="007C31B4"/>
    <w:rsid w:val="007E0907"/>
    <w:rsid w:val="007E45FE"/>
    <w:rsid w:val="00813BAC"/>
    <w:rsid w:val="00815135"/>
    <w:rsid w:val="00881FB3"/>
    <w:rsid w:val="00885175"/>
    <w:rsid w:val="00885338"/>
    <w:rsid w:val="008D030F"/>
    <w:rsid w:val="008D40E2"/>
    <w:rsid w:val="008F5640"/>
    <w:rsid w:val="00902BC3"/>
    <w:rsid w:val="00930B47"/>
    <w:rsid w:val="00931C26"/>
    <w:rsid w:val="009647ED"/>
    <w:rsid w:val="00973610"/>
    <w:rsid w:val="0098526C"/>
    <w:rsid w:val="00985E2B"/>
    <w:rsid w:val="009916E3"/>
    <w:rsid w:val="009B44F4"/>
    <w:rsid w:val="009F08EE"/>
    <w:rsid w:val="009F7F2E"/>
    <w:rsid w:val="00A00D4E"/>
    <w:rsid w:val="00A06A34"/>
    <w:rsid w:val="00A14E31"/>
    <w:rsid w:val="00A16613"/>
    <w:rsid w:val="00A23335"/>
    <w:rsid w:val="00A27B31"/>
    <w:rsid w:val="00A3175E"/>
    <w:rsid w:val="00A44AD2"/>
    <w:rsid w:val="00A54713"/>
    <w:rsid w:val="00A70527"/>
    <w:rsid w:val="00A80593"/>
    <w:rsid w:val="00AC63CF"/>
    <w:rsid w:val="00AC7B40"/>
    <w:rsid w:val="00AE076E"/>
    <w:rsid w:val="00AF0CE6"/>
    <w:rsid w:val="00AF2437"/>
    <w:rsid w:val="00AF2E12"/>
    <w:rsid w:val="00B036CA"/>
    <w:rsid w:val="00B03A34"/>
    <w:rsid w:val="00B10878"/>
    <w:rsid w:val="00B23BCA"/>
    <w:rsid w:val="00B32BED"/>
    <w:rsid w:val="00B60683"/>
    <w:rsid w:val="00B84359"/>
    <w:rsid w:val="00B87669"/>
    <w:rsid w:val="00B93A18"/>
    <w:rsid w:val="00BA1FB6"/>
    <w:rsid w:val="00BC0098"/>
    <w:rsid w:val="00BD171E"/>
    <w:rsid w:val="00BE1971"/>
    <w:rsid w:val="00BE75C5"/>
    <w:rsid w:val="00BE78C9"/>
    <w:rsid w:val="00BF54C3"/>
    <w:rsid w:val="00C1516E"/>
    <w:rsid w:val="00C16F39"/>
    <w:rsid w:val="00C202B3"/>
    <w:rsid w:val="00C303BC"/>
    <w:rsid w:val="00C36DC0"/>
    <w:rsid w:val="00C4230B"/>
    <w:rsid w:val="00C613A3"/>
    <w:rsid w:val="00C67DA0"/>
    <w:rsid w:val="00C759FB"/>
    <w:rsid w:val="00C81CE3"/>
    <w:rsid w:val="00C826CA"/>
    <w:rsid w:val="00C93442"/>
    <w:rsid w:val="00C94576"/>
    <w:rsid w:val="00CA4788"/>
    <w:rsid w:val="00CB5FBA"/>
    <w:rsid w:val="00CC1FEF"/>
    <w:rsid w:val="00CD3506"/>
    <w:rsid w:val="00CE6119"/>
    <w:rsid w:val="00D01FF0"/>
    <w:rsid w:val="00D17768"/>
    <w:rsid w:val="00D226A2"/>
    <w:rsid w:val="00D627C2"/>
    <w:rsid w:val="00D75BE3"/>
    <w:rsid w:val="00D849DA"/>
    <w:rsid w:val="00DC1A0C"/>
    <w:rsid w:val="00DC1D8E"/>
    <w:rsid w:val="00E04DCD"/>
    <w:rsid w:val="00E111EE"/>
    <w:rsid w:val="00E1240D"/>
    <w:rsid w:val="00E13087"/>
    <w:rsid w:val="00E14AF3"/>
    <w:rsid w:val="00E4599B"/>
    <w:rsid w:val="00E64E79"/>
    <w:rsid w:val="00E8307A"/>
    <w:rsid w:val="00E933B4"/>
    <w:rsid w:val="00EA1C84"/>
    <w:rsid w:val="00EE2AA2"/>
    <w:rsid w:val="00EF6ED7"/>
    <w:rsid w:val="00F002E8"/>
    <w:rsid w:val="00F00776"/>
    <w:rsid w:val="00F07E0D"/>
    <w:rsid w:val="00F364FB"/>
    <w:rsid w:val="00F44725"/>
    <w:rsid w:val="00F616E7"/>
    <w:rsid w:val="00F67997"/>
    <w:rsid w:val="00F8052E"/>
    <w:rsid w:val="00FA6D1F"/>
    <w:rsid w:val="00FB6CEE"/>
    <w:rsid w:val="00FD72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4">
    <w:name w:val="heading 4"/>
    <w:basedOn w:val="Normal"/>
    <w:qFormat/>
    <w:rsid w:val="005C67D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C67D1"/>
    <w:pPr>
      <w:spacing w:before="100" w:beforeAutospacing="1" w:after="100" w:afterAutospacing="1"/>
    </w:pPr>
    <w:rPr>
      <w:rFonts w:ascii="Verdana" w:hAnsi="Verdana"/>
      <w:sz w:val="18"/>
      <w:szCs w:val="18"/>
    </w:rPr>
  </w:style>
  <w:style w:type="paragraph" w:customStyle="1" w:styleId="naiskr">
    <w:name w:val="naiskr"/>
    <w:basedOn w:val="Normal"/>
    <w:rsid w:val="004D4853"/>
    <w:pPr>
      <w:spacing w:before="75" w:after="75"/>
    </w:pPr>
  </w:style>
  <w:style w:type="paragraph" w:styleId="Header">
    <w:name w:val="header"/>
    <w:basedOn w:val="Normal"/>
    <w:rsid w:val="002D21CA"/>
    <w:pPr>
      <w:tabs>
        <w:tab w:val="center" w:pos="4153"/>
        <w:tab w:val="right" w:pos="8306"/>
      </w:tabs>
    </w:pPr>
  </w:style>
  <w:style w:type="character" w:styleId="PageNumber">
    <w:name w:val="page number"/>
    <w:basedOn w:val="DefaultParagraphFont"/>
    <w:rsid w:val="002D21CA"/>
  </w:style>
  <w:style w:type="paragraph" w:styleId="BalloonText">
    <w:name w:val="Balloon Text"/>
    <w:basedOn w:val="Normal"/>
    <w:semiHidden/>
    <w:rsid w:val="00BE1971"/>
    <w:rPr>
      <w:rFonts w:ascii="Tahoma" w:hAnsi="Tahoma" w:cs="Tahoma"/>
      <w:sz w:val="16"/>
      <w:szCs w:val="16"/>
    </w:rPr>
  </w:style>
  <w:style w:type="paragraph" w:styleId="Footer">
    <w:name w:val="footer"/>
    <w:basedOn w:val="Normal"/>
    <w:link w:val="FooterChar"/>
    <w:uiPriority w:val="99"/>
    <w:rsid w:val="00316BE8"/>
    <w:pPr>
      <w:tabs>
        <w:tab w:val="center" w:pos="4153"/>
        <w:tab w:val="right" w:pos="8306"/>
      </w:tabs>
    </w:pPr>
  </w:style>
  <w:style w:type="character" w:styleId="Hyperlink">
    <w:name w:val="Hyperlink"/>
    <w:rsid w:val="00DC1D8E"/>
    <w:rPr>
      <w:color w:val="0000FF"/>
      <w:u w:val="single"/>
    </w:rPr>
  </w:style>
  <w:style w:type="paragraph" w:customStyle="1" w:styleId="naisc">
    <w:name w:val="naisc"/>
    <w:basedOn w:val="Normal"/>
    <w:rsid w:val="00E4599B"/>
    <w:pPr>
      <w:spacing w:before="100" w:beforeAutospacing="1" w:after="100" w:afterAutospacing="1"/>
    </w:pPr>
  </w:style>
  <w:style w:type="character" w:customStyle="1" w:styleId="FooterChar">
    <w:name w:val="Footer Char"/>
    <w:link w:val="Footer"/>
    <w:uiPriority w:val="99"/>
    <w:rsid w:val="007C076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4">
    <w:name w:val="heading 4"/>
    <w:basedOn w:val="Normal"/>
    <w:qFormat/>
    <w:rsid w:val="005C67D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C67D1"/>
    <w:pPr>
      <w:spacing w:before="100" w:beforeAutospacing="1" w:after="100" w:afterAutospacing="1"/>
    </w:pPr>
    <w:rPr>
      <w:rFonts w:ascii="Verdana" w:hAnsi="Verdana"/>
      <w:sz w:val="18"/>
      <w:szCs w:val="18"/>
    </w:rPr>
  </w:style>
  <w:style w:type="paragraph" w:customStyle="1" w:styleId="naiskr">
    <w:name w:val="naiskr"/>
    <w:basedOn w:val="Normal"/>
    <w:rsid w:val="004D4853"/>
    <w:pPr>
      <w:spacing w:before="75" w:after="75"/>
    </w:pPr>
  </w:style>
  <w:style w:type="paragraph" w:styleId="Header">
    <w:name w:val="header"/>
    <w:basedOn w:val="Normal"/>
    <w:rsid w:val="002D21CA"/>
    <w:pPr>
      <w:tabs>
        <w:tab w:val="center" w:pos="4153"/>
        <w:tab w:val="right" w:pos="8306"/>
      </w:tabs>
    </w:pPr>
  </w:style>
  <w:style w:type="character" w:styleId="PageNumber">
    <w:name w:val="page number"/>
    <w:basedOn w:val="DefaultParagraphFont"/>
    <w:rsid w:val="002D21CA"/>
  </w:style>
  <w:style w:type="paragraph" w:styleId="BalloonText">
    <w:name w:val="Balloon Text"/>
    <w:basedOn w:val="Normal"/>
    <w:semiHidden/>
    <w:rsid w:val="00BE1971"/>
    <w:rPr>
      <w:rFonts w:ascii="Tahoma" w:hAnsi="Tahoma" w:cs="Tahoma"/>
      <w:sz w:val="16"/>
      <w:szCs w:val="16"/>
    </w:rPr>
  </w:style>
  <w:style w:type="paragraph" w:styleId="Footer">
    <w:name w:val="footer"/>
    <w:basedOn w:val="Normal"/>
    <w:link w:val="FooterChar"/>
    <w:uiPriority w:val="99"/>
    <w:rsid w:val="00316BE8"/>
    <w:pPr>
      <w:tabs>
        <w:tab w:val="center" w:pos="4153"/>
        <w:tab w:val="right" w:pos="8306"/>
      </w:tabs>
    </w:pPr>
  </w:style>
  <w:style w:type="character" w:styleId="Hyperlink">
    <w:name w:val="Hyperlink"/>
    <w:rsid w:val="00DC1D8E"/>
    <w:rPr>
      <w:color w:val="0000FF"/>
      <w:u w:val="single"/>
    </w:rPr>
  </w:style>
  <w:style w:type="paragraph" w:customStyle="1" w:styleId="naisc">
    <w:name w:val="naisc"/>
    <w:basedOn w:val="Normal"/>
    <w:rsid w:val="00E4599B"/>
    <w:pPr>
      <w:spacing w:before="100" w:beforeAutospacing="1" w:after="100" w:afterAutospacing="1"/>
    </w:pPr>
  </w:style>
  <w:style w:type="character" w:customStyle="1" w:styleId="FooterChar">
    <w:name w:val="Footer Char"/>
    <w:link w:val="Footer"/>
    <w:uiPriority w:val="99"/>
    <w:rsid w:val="007C07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s.ostrovskis@iem.gov.lv"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422</Words>
  <Characters>3241</Characters>
  <Application>Microsoft Office Word</Application>
  <DocSecurity>0</DocSecurity>
  <Lines>111</Lines>
  <Paragraphs>45</Paragraphs>
  <ScaleCrop>false</ScaleCrop>
  <HeadingPairs>
    <vt:vector size="2" baseType="variant">
      <vt:variant>
        <vt:lpstr>Title</vt:lpstr>
      </vt:variant>
      <vt:variant>
        <vt:i4>1</vt:i4>
      </vt:variant>
    </vt:vector>
  </HeadingPairs>
  <TitlesOfParts>
    <vt:vector size="1" baseType="lpstr">
      <vt:lpstr>Ministru kabineta noteikumu projekts „Grozījumi MK 2004.gada 26.oktobra noteikumos Nr.887 "Valsts noslēpuma objektu saraksts” projekta sākotnējās ietekmes izvērtējums (anotācija)</vt:lpstr>
    </vt:vector>
  </TitlesOfParts>
  <Manager>NPD</Manager>
  <Company>Iekšlietu ministrija</Company>
  <LinksUpToDate>false</LinksUpToDate>
  <CharactersWithSpaces>3618</CharactersWithSpaces>
  <SharedDoc>false</SharedDoc>
  <HLinks>
    <vt:vector size="6" baseType="variant">
      <vt:variant>
        <vt:i4>6029434</vt:i4>
      </vt:variant>
      <vt:variant>
        <vt:i4>6</vt:i4>
      </vt:variant>
      <vt:variant>
        <vt:i4>0</vt:i4>
      </vt:variant>
      <vt:variant>
        <vt:i4>5</vt:i4>
      </vt:variant>
      <vt:variant>
        <vt:lpwstr>mailto:maris.ostrovskis@iem.gov.lv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MK 2004.gada 26.oktobra noteikumos Nr.887 "Valsts noslēpuma objektu saraksts” projekta sākotnējās ietekmes izvērtējums (anotācija)</dc:title>
  <dc:subject>Anotācija</dc:subject>
  <dc:creator>Māris Ostrovskis</dc:creator>
  <dc:description>Iekšlietu ministrijas
Nozares politikas departamenta
Politikas ieviešanas nodaļas
vecākais referents
M.Ostrovskis
tālr. 67219238, Fax 67219464
maris.ostrovskis@iem.gov.lv</dc:description>
  <cp:lastModifiedBy>Māris Ostrovskis</cp:lastModifiedBy>
  <cp:revision>2</cp:revision>
  <cp:lastPrinted>2011-09-27T08:19:00Z</cp:lastPrinted>
  <dcterms:created xsi:type="dcterms:W3CDTF">2012-04-28T06:41:00Z</dcterms:created>
  <dcterms:modified xsi:type="dcterms:W3CDTF">2012-04-28T06:41:00Z</dcterms:modified>
</cp:coreProperties>
</file>