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02C" w14:textId="77777777" w:rsidR="00740A06" w:rsidRDefault="00740A06" w:rsidP="00C40201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81301AC" w14:textId="77777777" w:rsidR="00740A06" w:rsidRPr="00C40201" w:rsidRDefault="00740A06" w:rsidP="00C40201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83FF335" w14:textId="77777777" w:rsidR="00C40201" w:rsidRPr="00C40201" w:rsidRDefault="00C40201" w:rsidP="00C40201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8621CBB" w14:textId="77777777" w:rsidR="00C40201" w:rsidRPr="00C40201" w:rsidRDefault="00C40201" w:rsidP="00C40201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6F52207" w14:textId="77777777" w:rsidR="00C40201" w:rsidRPr="00C40201" w:rsidRDefault="00C40201" w:rsidP="00C40201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701BC43" w14:textId="1763EA5E" w:rsidR="0024125B" w:rsidRPr="00C40201" w:rsidRDefault="0024125B" w:rsidP="00C40201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  <w:lang w:val="lv-LV"/>
        </w:rPr>
      </w:pPr>
      <w:r w:rsidRPr="00C40201">
        <w:rPr>
          <w:sz w:val="28"/>
          <w:szCs w:val="28"/>
          <w:lang w:val="lv-LV"/>
        </w:rPr>
        <w:t>2013</w:t>
      </w:r>
      <w:r w:rsidR="00C40201">
        <w:rPr>
          <w:sz w:val="28"/>
          <w:szCs w:val="28"/>
          <w:lang w:val="lv-LV"/>
        </w:rPr>
        <w:t>.gada</w:t>
      </w:r>
      <w:r w:rsidR="00BA5996">
        <w:rPr>
          <w:sz w:val="28"/>
          <w:szCs w:val="28"/>
          <w:lang w:val="lv-LV"/>
        </w:rPr>
        <w:t xml:space="preserve"> </w:t>
      </w:r>
      <w:r w:rsidR="00BA5996">
        <w:rPr>
          <w:sz w:val="28"/>
          <w:szCs w:val="28"/>
        </w:rPr>
        <w:t>27.augustā</w:t>
      </w:r>
      <w:r w:rsidR="00C40201">
        <w:rPr>
          <w:sz w:val="28"/>
          <w:szCs w:val="28"/>
          <w:lang w:val="lv-LV"/>
        </w:rPr>
        <w:tab/>
      </w:r>
      <w:r w:rsidRPr="00C40201">
        <w:rPr>
          <w:sz w:val="28"/>
          <w:szCs w:val="28"/>
          <w:lang w:val="lv-LV"/>
        </w:rPr>
        <w:t>N</w:t>
      </w:r>
      <w:r w:rsidRPr="00C40201">
        <w:rPr>
          <w:rStyle w:val="Strong"/>
          <w:b w:val="0"/>
          <w:sz w:val="28"/>
          <w:szCs w:val="28"/>
          <w:lang w:val="lv-LV"/>
        </w:rPr>
        <w:t>oteikumi Nr.</w:t>
      </w:r>
      <w:r w:rsidR="00BA5996">
        <w:rPr>
          <w:rStyle w:val="Strong"/>
          <w:b w:val="0"/>
          <w:sz w:val="28"/>
          <w:szCs w:val="28"/>
          <w:lang w:val="lv-LV"/>
        </w:rPr>
        <w:t xml:space="preserve"> 659</w:t>
      </w:r>
    </w:p>
    <w:p w14:paraId="2701BC44" w14:textId="1313AE6D" w:rsidR="0024125B" w:rsidRDefault="00C40201" w:rsidP="00C40201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 xml:space="preserve">(prot. Nr. </w:t>
      </w:r>
      <w:r w:rsidR="00BA5996">
        <w:rPr>
          <w:sz w:val="28"/>
          <w:szCs w:val="28"/>
          <w:lang w:val="lv-LV"/>
        </w:rPr>
        <w:t>46 15</w:t>
      </w:r>
      <w:bookmarkStart w:id="0" w:name="_GoBack"/>
      <w:bookmarkEnd w:id="0"/>
      <w:r>
        <w:rPr>
          <w:sz w:val="28"/>
          <w:szCs w:val="28"/>
          <w:lang w:val="lv-LV"/>
        </w:rPr>
        <w:t>.§)</w:t>
      </w:r>
    </w:p>
    <w:p w14:paraId="45AA8043" w14:textId="77777777" w:rsidR="00C40201" w:rsidRPr="00C40201" w:rsidRDefault="00C40201" w:rsidP="00C40201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701BC45" w14:textId="1D664206" w:rsidR="0024125B" w:rsidRPr="00C40201" w:rsidRDefault="0024125B" w:rsidP="00C40201">
      <w:pPr>
        <w:ind w:firstLine="0"/>
        <w:jc w:val="center"/>
        <w:rPr>
          <w:b/>
          <w:sz w:val="28"/>
          <w:szCs w:val="28"/>
        </w:rPr>
      </w:pPr>
      <w:r w:rsidRPr="00C40201">
        <w:rPr>
          <w:b/>
          <w:sz w:val="28"/>
          <w:szCs w:val="28"/>
        </w:rPr>
        <w:t xml:space="preserve">Grozījumi Ministru kabineta 2011.gada 27.decembra noteikumos </w:t>
      </w:r>
      <w:r w:rsidRPr="00C40201">
        <w:rPr>
          <w:b/>
          <w:bCs/>
          <w:sz w:val="28"/>
          <w:szCs w:val="28"/>
        </w:rPr>
        <w:t>Nr.1025</w:t>
      </w:r>
      <w:r w:rsidR="00C40201">
        <w:rPr>
          <w:b/>
          <w:sz w:val="28"/>
          <w:szCs w:val="28"/>
        </w:rPr>
        <w:t xml:space="preserve"> "</w:t>
      </w:r>
      <w:r w:rsidRPr="00C40201">
        <w:rPr>
          <w:b/>
          <w:sz w:val="28"/>
          <w:szCs w:val="28"/>
        </w:rPr>
        <w:t xml:space="preserve">Noteikumi par rīcību ar lietiskajiem </w:t>
      </w:r>
      <w:r w:rsidR="00C40201">
        <w:rPr>
          <w:b/>
          <w:sz w:val="28"/>
          <w:szCs w:val="28"/>
        </w:rPr>
        <w:t>pierādījumiem un arestēto mantu"</w:t>
      </w:r>
    </w:p>
    <w:p w14:paraId="2701BC46" w14:textId="3F5D33C1" w:rsidR="0024125B" w:rsidRPr="00C40201" w:rsidRDefault="0024125B" w:rsidP="00C40201">
      <w:pPr>
        <w:tabs>
          <w:tab w:val="left" w:pos="5085"/>
        </w:tabs>
        <w:ind w:firstLine="0"/>
        <w:jc w:val="left"/>
        <w:rPr>
          <w:sz w:val="28"/>
          <w:szCs w:val="28"/>
        </w:rPr>
      </w:pPr>
    </w:p>
    <w:p w14:paraId="705CF83F" w14:textId="77777777" w:rsidR="00C40201" w:rsidRDefault="0024125B" w:rsidP="00C40201">
      <w:pPr>
        <w:ind w:firstLine="0"/>
        <w:jc w:val="right"/>
        <w:rPr>
          <w:sz w:val="28"/>
          <w:szCs w:val="28"/>
        </w:rPr>
      </w:pPr>
      <w:r w:rsidRPr="00C40201">
        <w:rPr>
          <w:sz w:val="28"/>
          <w:szCs w:val="28"/>
        </w:rPr>
        <w:t>Izdoti saskaņā ar Kriminālprocesa</w:t>
      </w:r>
      <w:r w:rsidR="00C40201">
        <w:rPr>
          <w:sz w:val="28"/>
          <w:szCs w:val="28"/>
        </w:rPr>
        <w:t xml:space="preserve"> likuma</w:t>
      </w:r>
    </w:p>
    <w:p w14:paraId="7D6E91F8" w14:textId="77777777" w:rsidR="00C40201" w:rsidRDefault="0024125B" w:rsidP="00C40201">
      <w:pPr>
        <w:ind w:firstLine="0"/>
        <w:jc w:val="right"/>
        <w:rPr>
          <w:sz w:val="28"/>
          <w:szCs w:val="28"/>
        </w:rPr>
      </w:pPr>
      <w:r w:rsidRPr="00C40201">
        <w:rPr>
          <w:sz w:val="28"/>
          <w:szCs w:val="28"/>
        </w:rPr>
        <w:t xml:space="preserve">235.panta septīto daļu, </w:t>
      </w:r>
      <w:r w:rsidR="00C40201">
        <w:rPr>
          <w:sz w:val="28"/>
          <w:szCs w:val="28"/>
        </w:rPr>
        <w:t>239.panta sesto daļu,</w:t>
      </w:r>
    </w:p>
    <w:p w14:paraId="2701BC47" w14:textId="6444D2F0" w:rsidR="0024125B" w:rsidRPr="00C40201" w:rsidRDefault="0024125B" w:rsidP="00C40201">
      <w:pPr>
        <w:ind w:firstLine="0"/>
        <w:jc w:val="right"/>
        <w:rPr>
          <w:sz w:val="28"/>
          <w:szCs w:val="28"/>
        </w:rPr>
      </w:pPr>
      <w:r w:rsidRPr="00C40201">
        <w:rPr>
          <w:sz w:val="28"/>
          <w:szCs w:val="28"/>
        </w:rPr>
        <w:t>240.panta sesto daļu, 365.panta 2.</w:t>
      </w:r>
      <w:r w:rsidRPr="00C40201">
        <w:rPr>
          <w:sz w:val="28"/>
          <w:szCs w:val="28"/>
          <w:vertAlign w:val="superscript"/>
        </w:rPr>
        <w:t>1</w:t>
      </w:r>
      <w:r w:rsidRPr="00C40201">
        <w:rPr>
          <w:sz w:val="28"/>
          <w:szCs w:val="28"/>
        </w:rPr>
        <w:t xml:space="preserve"> </w:t>
      </w:r>
      <w:r w:rsidR="00C40201">
        <w:rPr>
          <w:sz w:val="28"/>
          <w:szCs w:val="28"/>
        </w:rPr>
        <w:t>un</w:t>
      </w:r>
    </w:p>
    <w:p w14:paraId="2701BC48" w14:textId="77777777" w:rsidR="0024125B" w:rsidRPr="00C40201" w:rsidRDefault="0024125B" w:rsidP="00C40201">
      <w:pPr>
        <w:ind w:firstLine="0"/>
        <w:jc w:val="right"/>
        <w:rPr>
          <w:sz w:val="28"/>
          <w:szCs w:val="28"/>
        </w:rPr>
      </w:pPr>
      <w:r w:rsidRPr="00C40201">
        <w:rPr>
          <w:sz w:val="28"/>
          <w:szCs w:val="28"/>
        </w:rPr>
        <w:t>trešo daļu, 366.panta ceturto daļu</w:t>
      </w:r>
    </w:p>
    <w:p w14:paraId="2701BC49" w14:textId="77777777" w:rsidR="0024125B" w:rsidRPr="00C40201" w:rsidRDefault="0024125B" w:rsidP="00C40201">
      <w:pPr>
        <w:ind w:firstLine="0"/>
        <w:jc w:val="right"/>
        <w:rPr>
          <w:i/>
          <w:iCs/>
          <w:sz w:val="28"/>
          <w:szCs w:val="28"/>
        </w:rPr>
      </w:pPr>
    </w:p>
    <w:p w14:paraId="2701BC4A" w14:textId="062DAB48" w:rsidR="0024125B" w:rsidRDefault="00C40201" w:rsidP="00C40201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C2BF4">
        <w:rPr>
          <w:sz w:val="28"/>
          <w:szCs w:val="28"/>
        </w:rPr>
        <w:t> </w:t>
      </w:r>
      <w:r w:rsidR="0024125B" w:rsidRPr="00C40201">
        <w:rPr>
          <w:sz w:val="28"/>
          <w:szCs w:val="28"/>
        </w:rPr>
        <w:t>Izdarīt</w:t>
      </w:r>
      <w:r w:rsidR="0024125B" w:rsidRPr="00C40201">
        <w:rPr>
          <w:color w:val="000000"/>
          <w:sz w:val="28"/>
          <w:szCs w:val="28"/>
        </w:rPr>
        <w:t xml:space="preserve"> </w:t>
      </w:r>
      <w:r w:rsidR="0024125B" w:rsidRPr="00C40201">
        <w:rPr>
          <w:sz w:val="28"/>
          <w:szCs w:val="28"/>
        </w:rPr>
        <w:t xml:space="preserve">Ministru kabineta 2011.gada 27.decembra noteikumos </w:t>
      </w:r>
      <w:r w:rsidR="0024125B" w:rsidRPr="00C40201">
        <w:rPr>
          <w:bCs/>
          <w:sz w:val="28"/>
          <w:szCs w:val="28"/>
        </w:rPr>
        <w:t>Nr.1025</w:t>
      </w:r>
      <w:r>
        <w:rPr>
          <w:sz w:val="28"/>
          <w:szCs w:val="28"/>
        </w:rPr>
        <w:t xml:space="preserve"> "</w:t>
      </w:r>
      <w:r w:rsidR="0024125B" w:rsidRPr="00C40201">
        <w:rPr>
          <w:sz w:val="28"/>
          <w:szCs w:val="28"/>
        </w:rPr>
        <w:t xml:space="preserve">Noteikumi par rīcību ar lietiskajiem </w:t>
      </w:r>
      <w:r>
        <w:rPr>
          <w:sz w:val="28"/>
          <w:szCs w:val="28"/>
        </w:rPr>
        <w:t>pierādījumiem un arestēto mantu"</w:t>
      </w:r>
      <w:r w:rsidR="0024125B" w:rsidRPr="00C40201">
        <w:rPr>
          <w:color w:val="000000"/>
          <w:sz w:val="28"/>
          <w:szCs w:val="28"/>
        </w:rPr>
        <w:t xml:space="preserve"> (Latvijas Vēstnesis, </w:t>
      </w:r>
      <w:r w:rsidR="0024125B" w:rsidRPr="00C40201">
        <w:rPr>
          <w:sz w:val="28"/>
          <w:szCs w:val="28"/>
        </w:rPr>
        <w:t>2011, 205.nr.</w:t>
      </w:r>
      <w:r w:rsidR="0024125B" w:rsidRPr="00C40201">
        <w:rPr>
          <w:color w:val="000000"/>
          <w:sz w:val="28"/>
          <w:szCs w:val="28"/>
        </w:rPr>
        <w:t>) šādus grozījumus:</w:t>
      </w:r>
    </w:p>
    <w:p w14:paraId="2701BC4C" w14:textId="17F0A686" w:rsidR="0024125B" w:rsidRPr="00C40201" w:rsidRDefault="00C40201" w:rsidP="00C402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FC2BF4">
        <w:rPr>
          <w:sz w:val="28"/>
          <w:szCs w:val="28"/>
        </w:rPr>
        <w:t> </w:t>
      </w:r>
      <w:r w:rsidR="004D0769" w:rsidRPr="00C40201">
        <w:rPr>
          <w:sz w:val="28"/>
          <w:szCs w:val="28"/>
        </w:rPr>
        <w:t>a</w:t>
      </w:r>
      <w:r w:rsidR="0024125B" w:rsidRPr="00C40201">
        <w:rPr>
          <w:sz w:val="28"/>
          <w:szCs w:val="28"/>
        </w:rPr>
        <w:t>izstāt 22.3</w:t>
      </w:r>
      <w:r>
        <w:rPr>
          <w:sz w:val="28"/>
          <w:szCs w:val="28"/>
        </w:rPr>
        <w:t xml:space="preserve">.apakšpunktā skaitli un vārdu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0"/>
          <w:attr w:name="currency_text" w:val="latu"/>
        </w:smartTagPr>
        <w:r>
          <w:rPr>
            <w:sz w:val="28"/>
            <w:szCs w:val="28"/>
          </w:rPr>
          <w:t>"</w:t>
        </w:r>
        <w:r w:rsidR="0024125B" w:rsidRPr="00C40201">
          <w:rPr>
            <w:sz w:val="28"/>
            <w:szCs w:val="28"/>
          </w:rPr>
          <w:t>5000 latu</w:t>
        </w:r>
      </w:smartTag>
      <w:r>
        <w:rPr>
          <w:sz w:val="28"/>
          <w:szCs w:val="28"/>
        </w:rPr>
        <w:t>"</w:t>
      </w:r>
      <w:r w:rsidR="0024125B" w:rsidRPr="00C40201">
        <w:rPr>
          <w:sz w:val="28"/>
          <w:szCs w:val="28"/>
        </w:rPr>
        <w:t xml:space="preserve"> ar skaitli un vār</w:t>
      </w:r>
      <w:r>
        <w:rPr>
          <w:sz w:val="28"/>
          <w:szCs w:val="28"/>
        </w:rPr>
        <w:t>du "</w:t>
      </w:r>
      <w:r w:rsidR="0024125B" w:rsidRPr="00C40201">
        <w:rPr>
          <w:sz w:val="28"/>
          <w:szCs w:val="28"/>
        </w:rPr>
        <w:t xml:space="preserve">7114,36 </w:t>
      </w:r>
      <w:r w:rsidR="0024125B" w:rsidRPr="00C40201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4D0769" w:rsidRPr="00C40201">
        <w:rPr>
          <w:sz w:val="28"/>
          <w:szCs w:val="28"/>
        </w:rPr>
        <w:t>;</w:t>
      </w:r>
    </w:p>
    <w:p w14:paraId="2701BC4E" w14:textId="75E24E25" w:rsidR="0024125B" w:rsidRPr="00C40201" w:rsidRDefault="004D0769" w:rsidP="00C40201">
      <w:pPr>
        <w:rPr>
          <w:sz w:val="28"/>
          <w:szCs w:val="28"/>
        </w:rPr>
      </w:pPr>
      <w:r w:rsidRPr="00C40201">
        <w:rPr>
          <w:sz w:val="28"/>
          <w:szCs w:val="28"/>
        </w:rPr>
        <w:t>1.2. a</w:t>
      </w:r>
      <w:r w:rsidR="0024125B" w:rsidRPr="00C40201">
        <w:rPr>
          <w:sz w:val="28"/>
          <w:szCs w:val="28"/>
        </w:rPr>
        <w:t xml:space="preserve">izstāt 2. un 3.pielikumā </w:t>
      </w:r>
      <w:r w:rsidR="00FC2BF4">
        <w:rPr>
          <w:sz w:val="28"/>
          <w:szCs w:val="28"/>
        </w:rPr>
        <w:t>apzīmē</w:t>
      </w:r>
      <w:r w:rsidRPr="00C40201">
        <w:rPr>
          <w:sz w:val="28"/>
          <w:szCs w:val="28"/>
        </w:rPr>
        <w:t>jumu</w:t>
      </w:r>
      <w:r w:rsidR="00C40201">
        <w:rPr>
          <w:sz w:val="28"/>
          <w:szCs w:val="28"/>
        </w:rPr>
        <w:t xml:space="preserve"> "Ls"</w:t>
      </w:r>
      <w:r w:rsidR="0024125B" w:rsidRPr="00C40201">
        <w:rPr>
          <w:sz w:val="28"/>
          <w:szCs w:val="28"/>
        </w:rPr>
        <w:t xml:space="preserve"> ar </w:t>
      </w:r>
      <w:r w:rsidR="00FC2BF4">
        <w:rPr>
          <w:sz w:val="28"/>
          <w:szCs w:val="28"/>
        </w:rPr>
        <w:t>apzīmē</w:t>
      </w:r>
      <w:r w:rsidRPr="00C40201">
        <w:rPr>
          <w:sz w:val="28"/>
          <w:szCs w:val="28"/>
        </w:rPr>
        <w:t>jumu</w:t>
      </w:r>
      <w:r w:rsidR="00C40201">
        <w:rPr>
          <w:sz w:val="28"/>
          <w:szCs w:val="28"/>
        </w:rPr>
        <w:t xml:space="preserve">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C40201">
          <w:rPr>
            <w:sz w:val="28"/>
            <w:szCs w:val="28"/>
          </w:rPr>
          <w:t>"</w:t>
        </w:r>
        <w:r w:rsidR="0024125B" w:rsidRPr="00C40201">
          <w:rPr>
            <w:sz w:val="28"/>
            <w:szCs w:val="28"/>
          </w:rPr>
          <w:t>EUR</w:t>
        </w:r>
      </w:smartTag>
      <w:r w:rsidR="00C40201">
        <w:rPr>
          <w:sz w:val="28"/>
          <w:szCs w:val="28"/>
        </w:rPr>
        <w:t>"</w:t>
      </w:r>
      <w:r w:rsidR="0024125B" w:rsidRPr="00C40201">
        <w:rPr>
          <w:sz w:val="28"/>
          <w:szCs w:val="28"/>
        </w:rPr>
        <w:t>.</w:t>
      </w:r>
    </w:p>
    <w:p w14:paraId="2701BC4F" w14:textId="77777777" w:rsidR="0024125B" w:rsidRPr="00C40201" w:rsidRDefault="0024125B" w:rsidP="00C40201">
      <w:pPr>
        <w:rPr>
          <w:sz w:val="28"/>
          <w:szCs w:val="28"/>
        </w:rPr>
      </w:pPr>
    </w:p>
    <w:p w14:paraId="2701BC50" w14:textId="010133F2" w:rsidR="0024125B" w:rsidRPr="00C40201" w:rsidRDefault="00C40201" w:rsidP="00C402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25B" w:rsidRPr="00C40201">
        <w:rPr>
          <w:sz w:val="28"/>
          <w:szCs w:val="28"/>
        </w:rPr>
        <w:t xml:space="preserve">Noteikumi stājas spēkā </w:t>
      </w:r>
      <w:r w:rsidR="008859AE" w:rsidRPr="00C40201">
        <w:rPr>
          <w:sz w:val="28"/>
          <w:szCs w:val="28"/>
        </w:rPr>
        <w:t>2014.gada 1.janvārī.</w:t>
      </w:r>
    </w:p>
    <w:p w14:paraId="2701BC51" w14:textId="77777777" w:rsidR="0024125B" w:rsidRPr="00C40201" w:rsidRDefault="0024125B" w:rsidP="00C40201">
      <w:pPr>
        <w:tabs>
          <w:tab w:val="left" w:pos="6521"/>
        </w:tabs>
        <w:rPr>
          <w:sz w:val="28"/>
          <w:szCs w:val="28"/>
        </w:rPr>
      </w:pPr>
    </w:p>
    <w:p w14:paraId="2701BC52" w14:textId="77777777" w:rsidR="0024125B" w:rsidRPr="00C40201" w:rsidRDefault="0024125B" w:rsidP="00C40201">
      <w:pPr>
        <w:pStyle w:val="Heading1"/>
        <w:tabs>
          <w:tab w:val="left" w:pos="6521"/>
          <w:tab w:val="right" w:pos="9071"/>
        </w:tabs>
        <w:ind w:firstLine="720"/>
        <w:rPr>
          <w:szCs w:val="28"/>
          <w:lang w:val="lv-LV"/>
        </w:rPr>
      </w:pPr>
    </w:p>
    <w:p w14:paraId="0D0565BB" w14:textId="77777777" w:rsidR="00C40201" w:rsidRPr="00C40201" w:rsidRDefault="00C40201" w:rsidP="00C40201">
      <w:pPr>
        <w:rPr>
          <w:sz w:val="28"/>
          <w:szCs w:val="28"/>
          <w:lang w:eastAsia="en-US"/>
        </w:rPr>
      </w:pPr>
    </w:p>
    <w:p w14:paraId="2701BC53" w14:textId="02FC83B5" w:rsidR="0024125B" w:rsidRPr="00C40201" w:rsidRDefault="0024125B" w:rsidP="00C40201">
      <w:pPr>
        <w:pStyle w:val="Heading1"/>
        <w:tabs>
          <w:tab w:val="left" w:pos="6521"/>
        </w:tabs>
        <w:ind w:firstLine="720"/>
        <w:rPr>
          <w:szCs w:val="28"/>
          <w:lang w:val="lv-LV"/>
        </w:rPr>
      </w:pPr>
      <w:r w:rsidRPr="00C40201">
        <w:rPr>
          <w:szCs w:val="28"/>
          <w:lang w:val="lv-LV"/>
        </w:rPr>
        <w:t>Ministru prezidents</w:t>
      </w:r>
      <w:r w:rsidRPr="00C40201">
        <w:rPr>
          <w:szCs w:val="28"/>
          <w:lang w:val="lv-LV"/>
        </w:rPr>
        <w:tab/>
      </w:r>
      <w:r w:rsidR="00C40201" w:rsidRPr="00C40201">
        <w:rPr>
          <w:szCs w:val="28"/>
          <w:lang w:val="lv-LV"/>
        </w:rPr>
        <w:t xml:space="preserve">Valdis </w:t>
      </w:r>
      <w:r w:rsidRPr="00C40201">
        <w:rPr>
          <w:szCs w:val="28"/>
          <w:lang w:val="lv-LV"/>
        </w:rPr>
        <w:t>Dombrovskis</w:t>
      </w:r>
    </w:p>
    <w:p w14:paraId="2701BC54" w14:textId="77777777" w:rsidR="0024125B" w:rsidRPr="00C40201" w:rsidRDefault="0024125B" w:rsidP="00C40201">
      <w:pPr>
        <w:tabs>
          <w:tab w:val="left" w:pos="6521"/>
        </w:tabs>
        <w:rPr>
          <w:sz w:val="28"/>
          <w:szCs w:val="28"/>
        </w:rPr>
      </w:pPr>
    </w:p>
    <w:p w14:paraId="231C5C8D" w14:textId="77777777" w:rsidR="00C40201" w:rsidRPr="00C40201" w:rsidRDefault="00C40201" w:rsidP="00C40201">
      <w:pPr>
        <w:tabs>
          <w:tab w:val="left" w:pos="6521"/>
        </w:tabs>
        <w:rPr>
          <w:sz w:val="28"/>
          <w:szCs w:val="28"/>
        </w:rPr>
      </w:pPr>
    </w:p>
    <w:p w14:paraId="2701BC55" w14:textId="77777777" w:rsidR="0024125B" w:rsidRPr="00C40201" w:rsidRDefault="0024125B" w:rsidP="00C40201">
      <w:pPr>
        <w:tabs>
          <w:tab w:val="left" w:pos="6521"/>
        </w:tabs>
        <w:rPr>
          <w:sz w:val="28"/>
          <w:szCs w:val="28"/>
        </w:rPr>
      </w:pPr>
    </w:p>
    <w:p w14:paraId="2701BC56" w14:textId="6605BA98" w:rsidR="0024125B" w:rsidRPr="00C40201" w:rsidRDefault="0024125B" w:rsidP="00C40201">
      <w:pPr>
        <w:tabs>
          <w:tab w:val="left" w:pos="6521"/>
          <w:tab w:val="right" w:pos="9071"/>
        </w:tabs>
        <w:rPr>
          <w:sz w:val="28"/>
          <w:szCs w:val="28"/>
        </w:rPr>
      </w:pPr>
      <w:r w:rsidRPr="00C40201">
        <w:rPr>
          <w:sz w:val="28"/>
          <w:szCs w:val="28"/>
        </w:rPr>
        <w:t>Iekšlietu ministrs</w:t>
      </w:r>
      <w:r w:rsidRPr="00C40201">
        <w:rPr>
          <w:sz w:val="28"/>
          <w:szCs w:val="28"/>
        </w:rPr>
        <w:tab/>
      </w:r>
      <w:r w:rsidR="00C40201" w:rsidRPr="00C40201">
        <w:rPr>
          <w:sz w:val="28"/>
          <w:szCs w:val="28"/>
        </w:rPr>
        <w:t xml:space="preserve">Rihards </w:t>
      </w:r>
      <w:r w:rsidRPr="00C40201">
        <w:rPr>
          <w:sz w:val="28"/>
          <w:szCs w:val="28"/>
        </w:rPr>
        <w:t>Kozlovskis</w:t>
      </w:r>
    </w:p>
    <w:sectPr w:rsidR="0024125B" w:rsidRPr="00C40201" w:rsidSect="00740A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BC68" w14:textId="77777777" w:rsidR="00A02CD8" w:rsidRDefault="00A02CD8" w:rsidP="009C34CF">
      <w:r>
        <w:separator/>
      </w:r>
    </w:p>
  </w:endnote>
  <w:endnote w:type="continuationSeparator" w:id="0">
    <w:p w14:paraId="2701BC69" w14:textId="77777777" w:rsidR="00A02CD8" w:rsidRDefault="00A02CD8" w:rsidP="009C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BC6C" w14:textId="77777777" w:rsidR="0024125B" w:rsidRPr="005E6628" w:rsidRDefault="00BA5996" w:rsidP="00015B6B">
    <w:pPr>
      <w:pStyle w:val="Footer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FC2BF4" w:rsidRPr="00FC2BF4">
      <w:rPr>
        <w:noProof/>
        <w:lang w:val="en-US"/>
      </w:rPr>
      <w:t>IEMNot1025_euro_180713</w:t>
    </w:r>
    <w:r w:rsidR="00FC2BF4">
      <w:rPr>
        <w:noProof/>
      </w:rPr>
      <w:t>.docx</w:t>
    </w:r>
    <w:r>
      <w:rPr>
        <w:noProof/>
      </w:rPr>
      <w:fldChar w:fldCharType="end"/>
    </w:r>
    <w:r w:rsidR="0024125B" w:rsidRPr="005E6628">
      <w:rPr>
        <w:lang w:val="en-US"/>
      </w:rPr>
      <w:t xml:space="preserve">; </w:t>
    </w:r>
    <w:r w:rsidR="0024125B">
      <w:t>Ministru kabineta noteikumu projekts „Grozījumi Ministru kabineta 2011.gada 27.decembra noteikumos Nr.1025 „Noteikumi par rīcību ar lietiskajiem pierādījumiem un arestēto mantu”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5F8" w14:textId="696570E1" w:rsidR="00740A06" w:rsidRPr="00740A06" w:rsidRDefault="00740A06" w:rsidP="00740A06">
    <w:pPr>
      <w:pStyle w:val="Footer"/>
      <w:ind w:firstLine="0"/>
      <w:rPr>
        <w:sz w:val="16"/>
        <w:szCs w:val="16"/>
      </w:rPr>
    </w:pPr>
    <w:r w:rsidRPr="00740A06">
      <w:rPr>
        <w:sz w:val="16"/>
        <w:szCs w:val="16"/>
      </w:rPr>
      <w:t>N1999_3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BC66" w14:textId="77777777" w:rsidR="00A02CD8" w:rsidRDefault="00A02CD8" w:rsidP="009C34CF">
      <w:r>
        <w:separator/>
      </w:r>
    </w:p>
  </w:footnote>
  <w:footnote w:type="continuationSeparator" w:id="0">
    <w:p w14:paraId="2701BC67" w14:textId="77777777" w:rsidR="00A02CD8" w:rsidRDefault="00A02CD8" w:rsidP="009C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BC6A" w14:textId="77777777" w:rsidR="0024125B" w:rsidRPr="00605F51" w:rsidRDefault="0024125B" w:rsidP="00605F51">
    <w:pPr>
      <w:pStyle w:val="Header"/>
      <w:ind w:firstLine="0"/>
      <w:jc w:val="center"/>
      <w:rPr>
        <w:sz w:val="24"/>
      </w:rPr>
    </w:pPr>
    <w:r w:rsidRPr="00605F51">
      <w:rPr>
        <w:sz w:val="24"/>
      </w:rPr>
      <w:fldChar w:fldCharType="begin"/>
    </w:r>
    <w:r w:rsidRPr="00605F51">
      <w:rPr>
        <w:sz w:val="24"/>
      </w:rPr>
      <w:instrText xml:space="preserve"> PAGE   \* MERGEFORMAT </w:instrText>
    </w:r>
    <w:r w:rsidRPr="00605F51">
      <w:rPr>
        <w:sz w:val="24"/>
      </w:rPr>
      <w:fldChar w:fldCharType="separate"/>
    </w:r>
    <w:r w:rsidR="00C40201">
      <w:rPr>
        <w:noProof/>
        <w:sz w:val="24"/>
      </w:rPr>
      <w:t>2</w:t>
    </w:r>
    <w:r w:rsidRPr="00605F51">
      <w:rPr>
        <w:sz w:val="24"/>
      </w:rPr>
      <w:fldChar w:fldCharType="end"/>
    </w:r>
  </w:p>
  <w:p w14:paraId="2701BC6B" w14:textId="77777777" w:rsidR="0024125B" w:rsidRDefault="00241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BC6D" w14:textId="1D4696C7" w:rsidR="0024125B" w:rsidRDefault="00740A06" w:rsidP="00740A06">
    <w:pPr>
      <w:pStyle w:val="Header"/>
      <w:ind w:firstLine="0"/>
    </w:pPr>
    <w:r>
      <w:rPr>
        <w:noProof/>
      </w:rPr>
      <w:drawing>
        <wp:inline distT="0" distB="0" distL="0" distR="0" wp14:anchorId="0066599F" wp14:editId="453BAC1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1BC6E" w14:textId="77777777" w:rsidR="0024125B" w:rsidRDefault="00241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0BA"/>
    <w:multiLevelType w:val="multilevel"/>
    <w:tmpl w:val="310CFB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1"/>
    <w:rsid w:val="00015B6B"/>
    <w:rsid w:val="000257FA"/>
    <w:rsid w:val="00035807"/>
    <w:rsid w:val="00076F10"/>
    <w:rsid w:val="0011282B"/>
    <w:rsid w:val="00113B5D"/>
    <w:rsid w:val="00140A69"/>
    <w:rsid w:val="00163C8C"/>
    <w:rsid w:val="001A281F"/>
    <w:rsid w:val="001F563F"/>
    <w:rsid w:val="001F5921"/>
    <w:rsid w:val="0024125B"/>
    <w:rsid w:val="002939A8"/>
    <w:rsid w:val="002C1F84"/>
    <w:rsid w:val="0031080E"/>
    <w:rsid w:val="003721C8"/>
    <w:rsid w:val="003A6E84"/>
    <w:rsid w:val="00424933"/>
    <w:rsid w:val="00425737"/>
    <w:rsid w:val="00426CE5"/>
    <w:rsid w:val="00435183"/>
    <w:rsid w:val="004768E2"/>
    <w:rsid w:val="00481B2B"/>
    <w:rsid w:val="004D0769"/>
    <w:rsid w:val="005038A4"/>
    <w:rsid w:val="0058596D"/>
    <w:rsid w:val="005A6EF0"/>
    <w:rsid w:val="005E6628"/>
    <w:rsid w:val="005F1F18"/>
    <w:rsid w:val="00605F51"/>
    <w:rsid w:val="00616B74"/>
    <w:rsid w:val="00642906"/>
    <w:rsid w:val="0064626F"/>
    <w:rsid w:val="006510B7"/>
    <w:rsid w:val="00653FE5"/>
    <w:rsid w:val="00663047"/>
    <w:rsid w:val="006C3DF1"/>
    <w:rsid w:val="006F3CA1"/>
    <w:rsid w:val="00700316"/>
    <w:rsid w:val="00700355"/>
    <w:rsid w:val="00740A06"/>
    <w:rsid w:val="00782D1B"/>
    <w:rsid w:val="008455D1"/>
    <w:rsid w:val="008664E5"/>
    <w:rsid w:val="008859AE"/>
    <w:rsid w:val="008E004C"/>
    <w:rsid w:val="009812C1"/>
    <w:rsid w:val="00990B1B"/>
    <w:rsid w:val="00994F80"/>
    <w:rsid w:val="009A1D0D"/>
    <w:rsid w:val="009C34CF"/>
    <w:rsid w:val="009C3BE5"/>
    <w:rsid w:val="00A02CD8"/>
    <w:rsid w:val="00A061D3"/>
    <w:rsid w:val="00A21066"/>
    <w:rsid w:val="00A25840"/>
    <w:rsid w:val="00A54322"/>
    <w:rsid w:val="00B12FBC"/>
    <w:rsid w:val="00B53A44"/>
    <w:rsid w:val="00B7761D"/>
    <w:rsid w:val="00B934E6"/>
    <w:rsid w:val="00BA224A"/>
    <w:rsid w:val="00BA5996"/>
    <w:rsid w:val="00BA7222"/>
    <w:rsid w:val="00BC1561"/>
    <w:rsid w:val="00BE41F3"/>
    <w:rsid w:val="00C05CB9"/>
    <w:rsid w:val="00C40201"/>
    <w:rsid w:val="00C62BDE"/>
    <w:rsid w:val="00CE59A9"/>
    <w:rsid w:val="00D23A3F"/>
    <w:rsid w:val="00D45706"/>
    <w:rsid w:val="00D67B88"/>
    <w:rsid w:val="00DB2773"/>
    <w:rsid w:val="00DD4605"/>
    <w:rsid w:val="00DE60C1"/>
    <w:rsid w:val="00DF3ADF"/>
    <w:rsid w:val="00E07354"/>
    <w:rsid w:val="00E838B8"/>
    <w:rsid w:val="00E92A24"/>
    <w:rsid w:val="00F15928"/>
    <w:rsid w:val="00F55A99"/>
    <w:rsid w:val="00F61BA5"/>
    <w:rsid w:val="00FC2BF4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701B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1"/>
    <w:pPr>
      <w:ind w:firstLine="720"/>
      <w:jc w:val="both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C1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2C1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9812C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812C1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12C1"/>
    <w:rPr>
      <w:rFonts w:ascii="Times New Roman" w:hAnsi="Times New Roman" w:cs="Times New Roman"/>
      <w:bCs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9812C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812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1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2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2C1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98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2C1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8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2C1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140A69"/>
    <w:pPr>
      <w:spacing w:before="75" w:after="75"/>
      <w:ind w:firstLine="375"/>
    </w:pPr>
    <w:rPr>
      <w:rFonts w:eastAsia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140A69"/>
    <w:pPr>
      <w:spacing w:before="75" w:after="75"/>
      <w:ind w:firstLine="0"/>
      <w:jc w:val="left"/>
    </w:pPr>
    <w:rPr>
      <w:rFonts w:eastAsia="Times New Roman"/>
      <w:sz w:val="24"/>
      <w:szCs w:val="24"/>
    </w:rPr>
  </w:style>
  <w:style w:type="paragraph" w:customStyle="1" w:styleId="naisc">
    <w:name w:val="naisc"/>
    <w:basedOn w:val="Normal"/>
    <w:uiPriority w:val="99"/>
    <w:rsid w:val="00140A69"/>
    <w:pPr>
      <w:spacing w:before="75" w:after="75"/>
      <w:ind w:firstLine="0"/>
      <w:jc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1"/>
    <w:pPr>
      <w:ind w:firstLine="720"/>
      <w:jc w:val="both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C1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2C1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9812C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812C1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12C1"/>
    <w:rPr>
      <w:rFonts w:ascii="Times New Roman" w:hAnsi="Times New Roman" w:cs="Times New Roman"/>
      <w:bCs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9812C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812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1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2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2C1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98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2C1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8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2C1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140A69"/>
    <w:pPr>
      <w:spacing w:before="75" w:after="75"/>
      <w:ind w:firstLine="375"/>
    </w:pPr>
    <w:rPr>
      <w:rFonts w:eastAsia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140A69"/>
    <w:pPr>
      <w:spacing w:before="75" w:after="75"/>
      <w:ind w:firstLine="0"/>
      <w:jc w:val="left"/>
    </w:pPr>
    <w:rPr>
      <w:rFonts w:eastAsia="Times New Roman"/>
      <w:sz w:val="24"/>
      <w:szCs w:val="24"/>
    </w:rPr>
  </w:style>
  <w:style w:type="paragraph" w:customStyle="1" w:styleId="naisc">
    <w:name w:val="naisc"/>
    <w:basedOn w:val="Normal"/>
    <w:uiPriority w:val="99"/>
    <w:rsid w:val="00140A69"/>
    <w:pPr>
      <w:spacing w:before="75" w:after="75"/>
      <w:ind w:firstLine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27.decembra noteikumos Nr.1025 „Noteikumi par rīcību ar lietiskajiem pierādījumiem un arestēto mantu”</vt:lpstr>
    </vt:vector>
  </TitlesOfParts>
  <Manager>Iekšlietu Ministrija</Manager>
  <Company>Nodrošinājuma valsts aģentūra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27.decembra noteikumos Nr.1025 „Noteikumi par rīcību ar lietiskajiem pierādījumiem un arestēto mantu”</dc:title>
  <dc:subject>Ministru kabineta noteikumu projekts </dc:subject>
  <dc:creator>Kristaps Boldāns</dc:creator>
  <dc:description>Kristaps Boldāns, 67829059, kristaps.boldans@agentura.iem.gov.lv</dc:description>
  <cp:lastModifiedBy>Leontīne Babkina</cp:lastModifiedBy>
  <cp:revision>25</cp:revision>
  <cp:lastPrinted>2013-08-16T05:47:00Z</cp:lastPrinted>
  <dcterms:created xsi:type="dcterms:W3CDTF">2013-06-06T08:03:00Z</dcterms:created>
  <dcterms:modified xsi:type="dcterms:W3CDTF">2013-08-28T13:54:00Z</dcterms:modified>
</cp:coreProperties>
</file>