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43F44" w14:textId="77777777" w:rsidR="00B14A12" w:rsidRDefault="00B14A12" w:rsidP="00E3773C">
      <w:pPr>
        <w:rPr>
          <w:szCs w:val="28"/>
        </w:rPr>
      </w:pPr>
    </w:p>
    <w:p w14:paraId="5371602F" w14:textId="77777777" w:rsidR="00B17B92" w:rsidRDefault="00B17B92" w:rsidP="00E3773C">
      <w:pPr>
        <w:rPr>
          <w:szCs w:val="28"/>
        </w:rPr>
      </w:pPr>
    </w:p>
    <w:p w14:paraId="3F83CAD5" w14:textId="77777777" w:rsidR="00B17B92" w:rsidRDefault="00B17B92" w:rsidP="00E3773C">
      <w:pPr>
        <w:rPr>
          <w:szCs w:val="28"/>
        </w:rPr>
      </w:pPr>
    </w:p>
    <w:p w14:paraId="3E092C77" w14:textId="77777777" w:rsidR="00B17B92" w:rsidRPr="0077741F" w:rsidRDefault="00B17B92" w:rsidP="00E3773C">
      <w:pPr>
        <w:rPr>
          <w:szCs w:val="28"/>
        </w:rPr>
      </w:pPr>
    </w:p>
    <w:p w14:paraId="31543F45" w14:textId="18EF43D7" w:rsidR="00B14A12" w:rsidRPr="0077741F" w:rsidRDefault="00B17B92" w:rsidP="00E3773C">
      <w:pPr>
        <w:tabs>
          <w:tab w:val="left" w:pos="6521"/>
        </w:tabs>
        <w:jc w:val="both"/>
        <w:rPr>
          <w:szCs w:val="28"/>
        </w:rPr>
      </w:pPr>
      <w:r>
        <w:rPr>
          <w:szCs w:val="28"/>
        </w:rPr>
        <w:t>2013.gada</w:t>
      </w:r>
      <w:r w:rsidR="008B387A">
        <w:rPr>
          <w:szCs w:val="28"/>
        </w:rPr>
        <w:t xml:space="preserve"> </w:t>
      </w:r>
      <w:r w:rsidR="008B387A">
        <w:rPr>
          <w:szCs w:val="28"/>
        </w:rPr>
        <w:t>17.septembrī</w:t>
      </w:r>
      <w:r>
        <w:rPr>
          <w:szCs w:val="28"/>
        </w:rPr>
        <w:tab/>
        <w:t>Noteikumi Nr.</w:t>
      </w:r>
      <w:r w:rsidR="008B387A">
        <w:rPr>
          <w:szCs w:val="28"/>
        </w:rPr>
        <w:t xml:space="preserve"> 849</w:t>
      </w:r>
    </w:p>
    <w:p w14:paraId="31543F46" w14:textId="0EC3BACD" w:rsidR="00B14A12" w:rsidRPr="0077741F" w:rsidRDefault="00B17B92" w:rsidP="00E3773C">
      <w:pPr>
        <w:tabs>
          <w:tab w:val="left" w:pos="6521"/>
        </w:tabs>
        <w:jc w:val="both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 w:rsidR="00B14A12" w:rsidRPr="0077741F">
        <w:rPr>
          <w:szCs w:val="28"/>
        </w:rPr>
        <w:t xml:space="preserve">(prot. Nr. </w:t>
      </w:r>
      <w:r w:rsidR="008B387A">
        <w:rPr>
          <w:szCs w:val="28"/>
        </w:rPr>
        <w:t>49 30</w:t>
      </w:r>
      <w:bookmarkStart w:id="0" w:name="_GoBack"/>
      <w:bookmarkEnd w:id="0"/>
      <w:r w:rsidR="00B14A12" w:rsidRPr="0077741F">
        <w:rPr>
          <w:szCs w:val="28"/>
        </w:rPr>
        <w:t>.§)</w:t>
      </w:r>
    </w:p>
    <w:p w14:paraId="31543F47" w14:textId="77777777" w:rsidR="00B14A12" w:rsidRPr="00427BDC" w:rsidRDefault="00B14A12" w:rsidP="00E3773C">
      <w:pPr>
        <w:rPr>
          <w:szCs w:val="28"/>
        </w:rPr>
      </w:pPr>
    </w:p>
    <w:p w14:paraId="31543F49" w14:textId="77777777" w:rsidR="00B14A12" w:rsidRPr="0077741F" w:rsidRDefault="007617F8" w:rsidP="00E3773C">
      <w:pPr>
        <w:tabs>
          <w:tab w:val="left" w:pos="6804"/>
        </w:tabs>
        <w:jc w:val="center"/>
        <w:rPr>
          <w:b/>
          <w:szCs w:val="28"/>
        </w:rPr>
      </w:pPr>
      <w:r w:rsidRPr="0077741F">
        <w:rPr>
          <w:b/>
          <w:szCs w:val="28"/>
        </w:rPr>
        <w:t>Noteikumi par valsts nodevu naturalizācijas iesnieguma iesniegšanai</w:t>
      </w:r>
    </w:p>
    <w:p w14:paraId="31543F4A" w14:textId="77777777" w:rsidR="00B14A12" w:rsidRPr="0077741F" w:rsidRDefault="00B14A12" w:rsidP="00E3773C">
      <w:pPr>
        <w:tabs>
          <w:tab w:val="left" w:pos="6758"/>
        </w:tabs>
        <w:ind w:firstLine="709"/>
        <w:jc w:val="right"/>
        <w:rPr>
          <w:szCs w:val="28"/>
        </w:rPr>
      </w:pPr>
    </w:p>
    <w:p w14:paraId="31543F4B" w14:textId="2E5379B8" w:rsidR="007617F8" w:rsidRPr="00B17B92" w:rsidRDefault="00B17B92" w:rsidP="00E3773C">
      <w:pPr>
        <w:ind w:left="4320" w:firstLine="720"/>
        <w:jc w:val="right"/>
        <w:rPr>
          <w:szCs w:val="28"/>
        </w:rPr>
      </w:pPr>
      <w:r>
        <w:rPr>
          <w:szCs w:val="28"/>
        </w:rPr>
        <w:t>Izdoti saskaņā ar</w:t>
      </w:r>
    </w:p>
    <w:p w14:paraId="6CE859A9" w14:textId="77777777" w:rsidR="00B17B92" w:rsidRDefault="00B14A12" w:rsidP="00E3773C">
      <w:pPr>
        <w:ind w:left="4320" w:firstLine="720"/>
        <w:jc w:val="right"/>
        <w:rPr>
          <w:szCs w:val="28"/>
        </w:rPr>
      </w:pPr>
      <w:r w:rsidRPr="00B17B92">
        <w:rPr>
          <w:szCs w:val="28"/>
        </w:rPr>
        <w:t>Pilsonības likuma</w:t>
      </w:r>
    </w:p>
    <w:p w14:paraId="31543F4C" w14:textId="28C4AB72" w:rsidR="00B14A12" w:rsidRPr="00B17B92" w:rsidRDefault="007617F8" w:rsidP="00E3773C">
      <w:pPr>
        <w:ind w:left="4320" w:firstLine="720"/>
        <w:jc w:val="right"/>
        <w:rPr>
          <w:szCs w:val="28"/>
        </w:rPr>
      </w:pPr>
      <w:r w:rsidRPr="00B17B92">
        <w:rPr>
          <w:szCs w:val="28"/>
        </w:rPr>
        <w:t>12</w:t>
      </w:r>
      <w:r w:rsidR="00B14A12" w:rsidRPr="00B17B92">
        <w:rPr>
          <w:szCs w:val="28"/>
        </w:rPr>
        <w:t xml:space="preserve">.panta piekto </w:t>
      </w:r>
      <w:r w:rsidRPr="00B17B92">
        <w:rPr>
          <w:szCs w:val="28"/>
        </w:rPr>
        <w:t>daļu</w:t>
      </w:r>
    </w:p>
    <w:p w14:paraId="31543F4D" w14:textId="77777777" w:rsidR="007617F8" w:rsidRPr="0077741F" w:rsidRDefault="007617F8" w:rsidP="00E3773C">
      <w:pPr>
        <w:ind w:left="4320" w:firstLine="720"/>
        <w:jc w:val="right"/>
        <w:rPr>
          <w:i/>
          <w:szCs w:val="28"/>
        </w:rPr>
      </w:pPr>
    </w:p>
    <w:p w14:paraId="31543F4F" w14:textId="2951BBD9" w:rsidR="00044DE6" w:rsidRDefault="00967ECD" w:rsidP="00E3773C">
      <w:pPr>
        <w:ind w:firstLine="709"/>
        <w:jc w:val="both"/>
        <w:rPr>
          <w:szCs w:val="28"/>
        </w:rPr>
      </w:pPr>
      <w:r w:rsidRPr="0077741F">
        <w:rPr>
          <w:szCs w:val="28"/>
        </w:rPr>
        <w:t>1.</w:t>
      </w:r>
      <w:r w:rsidR="00427BDC">
        <w:rPr>
          <w:szCs w:val="28"/>
        </w:rPr>
        <w:t> </w:t>
      </w:r>
      <w:r w:rsidRPr="0077741F">
        <w:rPr>
          <w:szCs w:val="28"/>
        </w:rPr>
        <w:t>N</w:t>
      </w:r>
      <w:r w:rsidR="002D41C0" w:rsidRPr="0077741F">
        <w:rPr>
          <w:szCs w:val="28"/>
        </w:rPr>
        <w:t>oteikumi nosaka</w:t>
      </w:r>
      <w:r w:rsidR="005C5D9C" w:rsidRPr="0077741F">
        <w:rPr>
          <w:szCs w:val="28"/>
        </w:rPr>
        <w:t xml:space="preserve"> valsts nodevas </w:t>
      </w:r>
      <w:r w:rsidR="007617F8" w:rsidRPr="0077741F">
        <w:rPr>
          <w:szCs w:val="28"/>
        </w:rPr>
        <w:t xml:space="preserve">naturalizācijas iesnieguma iesniegšanai </w:t>
      </w:r>
      <w:r w:rsidR="005C5D9C" w:rsidRPr="0077741F">
        <w:rPr>
          <w:szCs w:val="28"/>
        </w:rPr>
        <w:t xml:space="preserve">(turpmāk – valsts nodeva) </w:t>
      </w:r>
      <w:r w:rsidR="002D41C0" w:rsidRPr="0077741F">
        <w:rPr>
          <w:szCs w:val="28"/>
        </w:rPr>
        <w:t>apmēru, sam</w:t>
      </w:r>
      <w:r w:rsidR="00B17B92">
        <w:rPr>
          <w:szCs w:val="28"/>
        </w:rPr>
        <w:t>aksas kārtību un atvieglojumus.</w:t>
      </w:r>
    </w:p>
    <w:p w14:paraId="0D04ADE4" w14:textId="77777777" w:rsidR="00B17B92" w:rsidRPr="0077741F" w:rsidRDefault="00B17B92" w:rsidP="00E3773C">
      <w:pPr>
        <w:ind w:firstLine="709"/>
        <w:jc w:val="both"/>
        <w:rPr>
          <w:szCs w:val="28"/>
        </w:rPr>
      </w:pPr>
    </w:p>
    <w:p w14:paraId="31543F50" w14:textId="000D9C7C" w:rsidR="00406D7E" w:rsidRDefault="00406D7E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2.</w:t>
      </w:r>
      <w:r w:rsidR="00427BDC">
        <w:rPr>
          <w:szCs w:val="28"/>
        </w:rPr>
        <w:t> </w:t>
      </w:r>
      <w:r w:rsidRPr="0077741F">
        <w:rPr>
          <w:szCs w:val="28"/>
        </w:rPr>
        <w:t>Valsts nodevas apmērs ir 2</w:t>
      </w:r>
      <w:r w:rsidR="00D349EE" w:rsidRPr="0077741F">
        <w:rPr>
          <w:szCs w:val="28"/>
        </w:rPr>
        <w:t>8</w:t>
      </w:r>
      <w:r w:rsidRPr="0077741F">
        <w:rPr>
          <w:szCs w:val="28"/>
        </w:rPr>
        <w:t>,</w:t>
      </w:r>
      <w:r w:rsidR="00D349EE" w:rsidRPr="0077741F">
        <w:rPr>
          <w:szCs w:val="28"/>
        </w:rPr>
        <w:t>46</w:t>
      </w:r>
      <w:r w:rsidRPr="0077741F">
        <w:rPr>
          <w:szCs w:val="28"/>
        </w:rPr>
        <w:t xml:space="preserve"> </w:t>
      </w:r>
      <w:r w:rsidRPr="0077741F">
        <w:rPr>
          <w:i/>
          <w:szCs w:val="28"/>
        </w:rPr>
        <w:t>euro</w:t>
      </w:r>
      <w:r w:rsidRPr="0077741F">
        <w:rPr>
          <w:szCs w:val="28"/>
        </w:rPr>
        <w:t>.</w:t>
      </w:r>
    </w:p>
    <w:p w14:paraId="39F350F4" w14:textId="77777777" w:rsidR="00B17B92" w:rsidRPr="0077741F" w:rsidRDefault="00B17B92" w:rsidP="00E3773C">
      <w:pPr>
        <w:autoSpaceDN w:val="0"/>
        <w:ind w:firstLine="709"/>
        <w:jc w:val="both"/>
        <w:rPr>
          <w:szCs w:val="28"/>
        </w:rPr>
      </w:pPr>
    </w:p>
    <w:p w14:paraId="31543F51" w14:textId="3F0113E0" w:rsidR="003802EA" w:rsidRPr="0077741F" w:rsidRDefault="002D41C0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</w:t>
      </w:r>
      <w:r w:rsidR="000C557B" w:rsidRPr="0077741F">
        <w:rPr>
          <w:szCs w:val="28"/>
        </w:rPr>
        <w:t>.</w:t>
      </w:r>
      <w:r w:rsidR="00427BDC">
        <w:rPr>
          <w:szCs w:val="28"/>
        </w:rPr>
        <w:t> Valsts nodeva</w:t>
      </w:r>
      <w:r w:rsidR="003802EA" w:rsidRPr="0077741F">
        <w:rPr>
          <w:szCs w:val="28"/>
        </w:rPr>
        <w:t xml:space="preserve"> 4,27 </w:t>
      </w:r>
      <w:proofErr w:type="spellStart"/>
      <w:r w:rsidR="003802EA" w:rsidRPr="0077741F">
        <w:rPr>
          <w:i/>
          <w:szCs w:val="28"/>
        </w:rPr>
        <w:t>euro</w:t>
      </w:r>
      <w:proofErr w:type="spellEnd"/>
      <w:r w:rsidR="003802EA" w:rsidRPr="0077741F">
        <w:rPr>
          <w:szCs w:val="28"/>
        </w:rPr>
        <w:t xml:space="preserve"> </w:t>
      </w:r>
      <w:r w:rsidR="00427BDC" w:rsidRPr="0077741F">
        <w:rPr>
          <w:szCs w:val="28"/>
        </w:rPr>
        <w:t>apmēr</w:t>
      </w:r>
      <w:r w:rsidR="00427BDC">
        <w:rPr>
          <w:szCs w:val="28"/>
        </w:rPr>
        <w:t>ā</w:t>
      </w:r>
      <w:r w:rsidR="00427BDC" w:rsidRPr="0077741F">
        <w:rPr>
          <w:szCs w:val="28"/>
        </w:rPr>
        <w:t xml:space="preserve"> </w:t>
      </w:r>
      <w:r w:rsidR="003802EA" w:rsidRPr="0077741F">
        <w:rPr>
          <w:szCs w:val="28"/>
        </w:rPr>
        <w:t>ir</w:t>
      </w:r>
      <w:r w:rsidR="00427BDC">
        <w:rPr>
          <w:szCs w:val="28"/>
        </w:rPr>
        <w:t xml:space="preserve"> noteikta šādām personām</w:t>
      </w:r>
      <w:r w:rsidR="003802EA" w:rsidRPr="0077741F">
        <w:rPr>
          <w:szCs w:val="28"/>
        </w:rPr>
        <w:t>:</w:t>
      </w:r>
    </w:p>
    <w:p w14:paraId="31543F52" w14:textId="38EFC80B" w:rsidR="003802EA" w:rsidRPr="0077741F" w:rsidRDefault="00754F64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3.1.</w:t>
      </w:r>
      <w:r w:rsidR="00427BDC">
        <w:rPr>
          <w:szCs w:val="28"/>
        </w:rPr>
        <w:t> </w:t>
      </w:r>
      <w:r w:rsidR="004A4731" w:rsidRPr="0077741F">
        <w:rPr>
          <w:szCs w:val="28"/>
        </w:rPr>
        <w:t>trūcīgu ģimeņu</w:t>
      </w:r>
      <w:r w:rsidR="007E198E" w:rsidRPr="0077741F">
        <w:rPr>
          <w:szCs w:val="28"/>
        </w:rPr>
        <w:t xml:space="preserve"> locekļiem</w:t>
      </w:r>
      <w:r w:rsidR="004A4731" w:rsidRPr="0077741F">
        <w:rPr>
          <w:szCs w:val="28"/>
        </w:rPr>
        <w:t xml:space="preserve"> vai atsevišķi dzīvojošām trūcīgām personām</w:t>
      </w:r>
      <w:r w:rsidR="003802EA" w:rsidRPr="0077741F">
        <w:rPr>
          <w:szCs w:val="28"/>
        </w:rPr>
        <w:t>;</w:t>
      </w:r>
    </w:p>
    <w:p w14:paraId="31543F53" w14:textId="357FDCCF" w:rsidR="003802EA" w:rsidRPr="0077741F" w:rsidRDefault="003802E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3.2.</w:t>
      </w:r>
      <w:r w:rsidR="00427BDC">
        <w:rPr>
          <w:szCs w:val="28"/>
        </w:rPr>
        <w:t> </w:t>
      </w:r>
      <w:r w:rsidRPr="0077741F">
        <w:rPr>
          <w:szCs w:val="28"/>
        </w:rPr>
        <w:t>Nodarbinātības valsts aģentūrā reģistrētajiem bezdarbniekiem;</w:t>
      </w:r>
    </w:p>
    <w:p w14:paraId="31543F54" w14:textId="275505A5" w:rsidR="003802EA" w:rsidRPr="0077741F" w:rsidRDefault="003802E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3.3.</w:t>
      </w:r>
      <w:r w:rsidR="00427BDC">
        <w:rPr>
          <w:szCs w:val="28"/>
        </w:rPr>
        <w:t> </w:t>
      </w:r>
      <w:r w:rsidRPr="0077741F">
        <w:rPr>
          <w:szCs w:val="28"/>
        </w:rPr>
        <w:t xml:space="preserve">to ģimeņu locekļiem, kurās ir trīs </w:t>
      </w:r>
      <w:r w:rsidR="00427BDC" w:rsidRPr="0077741F">
        <w:rPr>
          <w:szCs w:val="28"/>
        </w:rPr>
        <w:t>nepilngadīg</w:t>
      </w:r>
      <w:r w:rsidR="00427BDC">
        <w:rPr>
          <w:szCs w:val="28"/>
        </w:rPr>
        <w:t>i</w:t>
      </w:r>
      <w:r w:rsidR="00427BDC" w:rsidRPr="0077741F">
        <w:rPr>
          <w:szCs w:val="28"/>
        </w:rPr>
        <w:t xml:space="preserve"> bērn</w:t>
      </w:r>
      <w:r w:rsidR="00427BDC">
        <w:rPr>
          <w:szCs w:val="28"/>
        </w:rPr>
        <w:t>i</w:t>
      </w:r>
      <w:r w:rsidR="00427BDC" w:rsidRPr="0077741F">
        <w:rPr>
          <w:szCs w:val="28"/>
        </w:rPr>
        <w:t xml:space="preserve"> </w:t>
      </w:r>
      <w:r w:rsidRPr="0077741F">
        <w:rPr>
          <w:szCs w:val="28"/>
        </w:rPr>
        <w:t>un vairāk;</w:t>
      </w:r>
    </w:p>
    <w:p w14:paraId="31543F55" w14:textId="6C62E658" w:rsidR="003802EA" w:rsidRPr="0077741F" w:rsidRDefault="003802E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3.4.</w:t>
      </w:r>
      <w:r w:rsidR="00427BDC">
        <w:rPr>
          <w:szCs w:val="28"/>
        </w:rPr>
        <w:t> </w:t>
      </w:r>
      <w:r w:rsidRPr="0077741F">
        <w:rPr>
          <w:szCs w:val="28"/>
        </w:rPr>
        <w:t>vecuma un izdienas pensijas saņēmējiem;</w:t>
      </w:r>
    </w:p>
    <w:p w14:paraId="31543F56" w14:textId="0C260703" w:rsidR="003802EA" w:rsidRPr="0077741F" w:rsidRDefault="003802E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3.5.</w:t>
      </w:r>
      <w:r w:rsidR="00427BDC">
        <w:rPr>
          <w:szCs w:val="28"/>
        </w:rPr>
        <w:t> </w:t>
      </w:r>
      <w:r w:rsidR="00542E1E" w:rsidRPr="0077741F">
        <w:rPr>
          <w:szCs w:val="28"/>
        </w:rPr>
        <w:t>personām ar II vai III invaliditātes grupu;</w:t>
      </w:r>
    </w:p>
    <w:p w14:paraId="31543F57" w14:textId="3B7C57DA" w:rsidR="00542E1E" w:rsidRPr="0077741F" w:rsidRDefault="00542E1E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3.6.</w:t>
      </w:r>
      <w:r w:rsidR="00427BDC">
        <w:rPr>
          <w:szCs w:val="28"/>
        </w:rPr>
        <w:t> </w:t>
      </w:r>
      <w:r w:rsidRPr="0077741F">
        <w:rPr>
          <w:szCs w:val="28"/>
        </w:rPr>
        <w:t>valsts akreditēto vispārējās un profesionālās izglītības iestāžu izglītojamiem;</w:t>
      </w:r>
    </w:p>
    <w:p w14:paraId="31543F58" w14:textId="27251FF3" w:rsidR="00542E1E" w:rsidRDefault="00542E1E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3.7.</w:t>
      </w:r>
      <w:r w:rsidR="00427BDC">
        <w:rPr>
          <w:szCs w:val="28"/>
        </w:rPr>
        <w:t> </w:t>
      </w:r>
      <w:r w:rsidRPr="0077741F">
        <w:rPr>
          <w:szCs w:val="28"/>
        </w:rPr>
        <w:t>valsts akreditēto augstākās izglītības iestāžu pilna laika studējošajiem.</w:t>
      </w:r>
    </w:p>
    <w:p w14:paraId="46756101" w14:textId="77777777" w:rsidR="00B17B92" w:rsidRPr="0077741F" w:rsidRDefault="00B17B92" w:rsidP="00E3773C">
      <w:pPr>
        <w:autoSpaceDN w:val="0"/>
        <w:ind w:firstLine="709"/>
        <w:jc w:val="both"/>
        <w:rPr>
          <w:szCs w:val="28"/>
        </w:rPr>
      </w:pPr>
    </w:p>
    <w:p w14:paraId="31543F59" w14:textId="77777777" w:rsidR="00C201CE" w:rsidRPr="0077741F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4</w:t>
      </w:r>
      <w:r w:rsidR="00C201CE" w:rsidRPr="0077741F">
        <w:rPr>
          <w:szCs w:val="28"/>
        </w:rPr>
        <w:t>. No valsts nodevas ir atbrīvotas:</w:t>
      </w:r>
    </w:p>
    <w:p w14:paraId="31543F5A" w14:textId="10458504" w:rsidR="00C201CE" w:rsidRPr="0077741F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4</w:t>
      </w:r>
      <w:r w:rsidR="00C201CE" w:rsidRPr="0077741F">
        <w:rPr>
          <w:szCs w:val="28"/>
        </w:rPr>
        <w:t>.1.</w:t>
      </w:r>
      <w:r w:rsidR="00427BDC">
        <w:rPr>
          <w:szCs w:val="28"/>
        </w:rPr>
        <w:t> </w:t>
      </w:r>
      <w:r w:rsidR="00C201CE" w:rsidRPr="0077741F">
        <w:rPr>
          <w:szCs w:val="28"/>
        </w:rPr>
        <w:t>politiski represētās personas, kuras par tādām atzītas saskaņā ar Latvija</w:t>
      </w:r>
      <w:r w:rsidR="000E69F7" w:rsidRPr="0077741F">
        <w:rPr>
          <w:szCs w:val="28"/>
        </w:rPr>
        <w:t>s</w:t>
      </w:r>
      <w:r w:rsidR="00C201CE" w:rsidRPr="0077741F">
        <w:rPr>
          <w:szCs w:val="28"/>
        </w:rPr>
        <w:t xml:space="preserve"> Republikas tiesību aktiem;</w:t>
      </w:r>
    </w:p>
    <w:p w14:paraId="31543F5B" w14:textId="77777777" w:rsidR="00C201CE" w:rsidRPr="0077741F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4</w:t>
      </w:r>
      <w:r w:rsidR="00C201CE" w:rsidRPr="0077741F">
        <w:rPr>
          <w:szCs w:val="28"/>
        </w:rPr>
        <w:t>.2. personas ar I invaliditātes grupu;</w:t>
      </w:r>
    </w:p>
    <w:p w14:paraId="31543F5C" w14:textId="77777777" w:rsidR="00C201CE" w:rsidRPr="0077741F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4</w:t>
      </w:r>
      <w:r w:rsidR="00C201CE" w:rsidRPr="0077741F">
        <w:rPr>
          <w:szCs w:val="28"/>
        </w:rPr>
        <w:t xml:space="preserve">.3. </w:t>
      </w:r>
      <w:r w:rsidR="00FE7EC1" w:rsidRPr="0077741F">
        <w:rPr>
          <w:szCs w:val="28"/>
        </w:rPr>
        <w:t>bāreņi un bez vecāku gādības palikušie bērni;</w:t>
      </w:r>
    </w:p>
    <w:p w14:paraId="31543F5D" w14:textId="77777777" w:rsidR="00FE7EC1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4</w:t>
      </w:r>
      <w:r w:rsidR="00FE7EC1" w:rsidRPr="0077741F">
        <w:rPr>
          <w:szCs w:val="28"/>
        </w:rPr>
        <w:t>.4. valsts un pašvaldību sociālās aprūpes iestādēs uzņemtās personas.</w:t>
      </w:r>
    </w:p>
    <w:p w14:paraId="36BEE3A0" w14:textId="77777777" w:rsidR="00B17B92" w:rsidRPr="0077741F" w:rsidRDefault="00B17B92" w:rsidP="00E3773C">
      <w:pPr>
        <w:autoSpaceDN w:val="0"/>
        <w:ind w:firstLine="709"/>
        <w:jc w:val="both"/>
        <w:rPr>
          <w:szCs w:val="28"/>
        </w:rPr>
      </w:pPr>
    </w:p>
    <w:p w14:paraId="31543F5E" w14:textId="7608357A" w:rsidR="00241739" w:rsidRPr="0077741F" w:rsidRDefault="00DC677A" w:rsidP="00E3773C">
      <w:pPr>
        <w:ind w:firstLine="709"/>
        <w:jc w:val="both"/>
        <w:rPr>
          <w:szCs w:val="28"/>
        </w:rPr>
      </w:pPr>
      <w:r w:rsidRPr="0077741F">
        <w:rPr>
          <w:szCs w:val="28"/>
        </w:rPr>
        <w:lastRenderedPageBreak/>
        <w:t>5</w:t>
      </w:r>
      <w:r w:rsidR="00241739" w:rsidRPr="0077741F">
        <w:rPr>
          <w:szCs w:val="28"/>
        </w:rPr>
        <w:t>.</w:t>
      </w:r>
      <w:r w:rsidR="00F81408">
        <w:rPr>
          <w:szCs w:val="28"/>
        </w:rPr>
        <w:t> </w:t>
      </w:r>
      <w:r w:rsidR="00241739" w:rsidRPr="0077741F">
        <w:rPr>
          <w:szCs w:val="28"/>
        </w:rPr>
        <w:t xml:space="preserve">Ja Pilsonības un migrācijas lietu pārvaldes rīcībā nav ziņu par personas piederību šo noteikumu 3. vai </w:t>
      </w:r>
      <w:r w:rsidRPr="0077741F">
        <w:rPr>
          <w:szCs w:val="28"/>
        </w:rPr>
        <w:t>4</w:t>
      </w:r>
      <w:r w:rsidR="00241739" w:rsidRPr="0077741F">
        <w:rPr>
          <w:szCs w:val="28"/>
        </w:rPr>
        <w:t>.punktā minētajam statusam, persona iesniedz</w:t>
      </w:r>
      <w:r w:rsidR="00062B98" w:rsidRPr="0077741F">
        <w:rPr>
          <w:szCs w:val="28"/>
        </w:rPr>
        <w:t xml:space="preserve"> Pilsonības un migrācijas lietu pārvaldē </w:t>
      </w:r>
      <w:r w:rsidR="00241739" w:rsidRPr="0077741F">
        <w:rPr>
          <w:szCs w:val="28"/>
        </w:rPr>
        <w:t xml:space="preserve">attiecīgo </w:t>
      </w:r>
      <w:r w:rsidRPr="0077741F">
        <w:rPr>
          <w:szCs w:val="28"/>
        </w:rPr>
        <w:t>statusu apliecinošu dokumentu</w:t>
      </w:r>
      <w:r w:rsidR="00241739" w:rsidRPr="0077741F">
        <w:rPr>
          <w:szCs w:val="28"/>
        </w:rPr>
        <w:t>.</w:t>
      </w:r>
    </w:p>
    <w:p w14:paraId="220D84A5" w14:textId="77777777" w:rsidR="00B17B92" w:rsidRDefault="00B17B92" w:rsidP="00E3773C">
      <w:pPr>
        <w:autoSpaceDN w:val="0"/>
        <w:ind w:firstLine="709"/>
        <w:jc w:val="both"/>
        <w:rPr>
          <w:szCs w:val="28"/>
        </w:rPr>
      </w:pPr>
    </w:p>
    <w:p w14:paraId="31543F5F" w14:textId="6061CFC4" w:rsidR="00DC677A" w:rsidRPr="0077741F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6.</w:t>
      </w:r>
      <w:r w:rsidR="00F81408">
        <w:rPr>
          <w:szCs w:val="28"/>
        </w:rPr>
        <w:t> </w:t>
      </w:r>
      <w:r w:rsidR="00C2749C" w:rsidRPr="0077741F">
        <w:rPr>
          <w:szCs w:val="28"/>
        </w:rPr>
        <w:t>Pirms naturalizācijas iesnieguma iesniegšanas</w:t>
      </w:r>
      <w:r w:rsidR="00E6309C" w:rsidRPr="0077741F">
        <w:rPr>
          <w:szCs w:val="28"/>
        </w:rPr>
        <w:t xml:space="preserve"> persona veic valsts nodevas maksājumu</w:t>
      </w:r>
      <w:r w:rsidR="00C2749C" w:rsidRPr="0077741F">
        <w:rPr>
          <w:szCs w:val="28"/>
        </w:rPr>
        <w:t xml:space="preserve"> valsts budžetā</w:t>
      </w:r>
      <w:r w:rsidR="00110A97" w:rsidRPr="0077741F">
        <w:rPr>
          <w:szCs w:val="28"/>
        </w:rPr>
        <w:t>:</w:t>
      </w:r>
    </w:p>
    <w:p w14:paraId="31543F60" w14:textId="16A1184F" w:rsidR="00110A97" w:rsidRPr="0077741F" w:rsidRDefault="00893D34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6</w:t>
      </w:r>
      <w:r w:rsidR="00110A97" w:rsidRPr="0077741F">
        <w:rPr>
          <w:szCs w:val="28"/>
        </w:rPr>
        <w:t>.1.</w:t>
      </w:r>
      <w:r w:rsidR="00F81408">
        <w:rPr>
          <w:szCs w:val="28"/>
        </w:rPr>
        <w:t> </w:t>
      </w:r>
      <w:r w:rsidR="00110A97" w:rsidRPr="0077741F">
        <w:rPr>
          <w:szCs w:val="28"/>
        </w:rPr>
        <w:t xml:space="preserve">ar maksājumu pakalpojumu sniedzēja starpniecību, kuram ir tiesības sniegt maksājumu pakalpojumus </w:t>
      </w:r>
      <w:hyperlink r:id="rId9" w:tgtFrame="_blank" w:history="1">
        <w:r w:rsidR="00110A97" w:rsidRPr="0077741F">
          <w:rPr>
            <w:szCs w:val="28"/>
          </w:rPr>
          <w:t>Maksājumu pakalpojumu un elektroniskās naudas likuma</w:t>
        </w:r>
      </w:hyperlink>
      <w:r w:rsidR="00110A97" w:rsidRPr="0077741F">
        <w:rPr>
          <w:szCs w:val="28"/>
        </w:rPr>
        <w:t xml:space="preserve"> izpratnē;</w:t>
      </w:r>
    </w:p>
    <w:p w14:paraId="31543F61" w14:textId="3698BCE3" w:rsidR="00C2749C" w:rsidRDefault="00893D34" w:rsidP="00E3773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77741F">
        <w:rPr>
          <w:rFonts w:ascii="Times New Roman" w:hAnsi="Times New Roman"/>
          <w:sz w:val="28"/>
          <w:szCs w:val="28"/>
          <w:lang w:eastAsia="en-US"/>
        </w:rPr>
        <w:t>6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>.</w:t>
      </w:r>
      <w:r w:rsidR="00FB4869" w:rsidRPr="0077741F">
        <w:rPr>
          <w:rFonts w:ascii="Times New Roman" w:hAnsi="Times New Roman"/>
          <w:sz w:val="28"/>
          <w:szCs w:val="28"/>
          <w:lang w:eastAsia="en-US"/>
        </w:rPr>
        <w:t>2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>.</w:t>
      </w:r>
      <w:bookmarkStart w:id="1" w:name="p10"/>
      <w:bookmarkEnd w:id="1"/>
      <w:r w:rsidR="00F81408">
        <w:rPr>
          <w:rFonts w:ascii="Times New Roman" w:hAnsi="Times New Roman"/>
          <w:sz w:val="28"/>
          <w:szCs w:val="28"/>
          <w:lang w:eastAsia="en-US"/>
        </w:rPr>
        <w:t> 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>Pilsonības</w:t>
      </w:r>
      <w:r w:rsidR="00C2749C" w:rsidRPr="0077741F">
        <w:rPr>
          <w:rFonts w:ascii="Times New Roman" w:hAnsi="Times New Roman"/>
          <w:sz w:val="28"/>
          <w:szCs w:val="28"/>
          <w:lang w:eastAsia="en-US"/>
        </w:rPr>
        <w:t xml:space="preserve"> un migrācijas lietu pārvaldē 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>ar maksājumu karti maksājumu karšu pieņemšanas terminālī vai citā alternatīvā sistēmā</w:t>
      </w:r>
      <w:r w:rsidR="00C2749C" w:rsidRPr="0077741F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 xml:space="preserve">ja </w:t>
      </w:r>
      <w:r w:rsidR="00C2749C" w:rsidRPr="0077741F">
        <w:rPr>
          <w:rFonts w:ascii="Times New Roman" w:hAnsi="Times New Roman"/>
          <w:sz w:val="28"/>
          <w:szCs w:val="28"/>
          <w:lang w:eastAsia="en-US"/>
        </w:rPr>
        <w:t xml:space="preserve">Pilsonības un migrācijas lietu </w:t>
      </w:r>
      <w:r w:rsidR="00110A97" w:rsidRPr="0077741F">
        <w:rPr>
          <w:rFonts w:ascii="Times New Roman" w:hAnsi="Times New Roman"/>
          <w:sz w:val="28"/>
          <w:szCs w:val="28"/>
          <w:lang w:eastAsia="en-US"/>
        </w:rPr>
        <w:t>pārvalde vai starpniekinstitūcija to tehniski nodrošina.</w:t>
      </w:r>
    </w:p>
    <w:p w14:paraId="5BEB1259" w14:textId="77777777" w:rsidR="00B17B92" w:rsidRPr="0077741F" w:rsidRDefault="00B17B92" w:rsidP="00E3773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14:paraId="31543F62" w14:textId="4B53828F" w:rsidR="00DC677A" w:rsidRDefault="00DC677A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7.</w:t>
      </w:r>
      <w:r w:rsidR="00F81408">
        <w:rPr>
          <w:szCs w:val="28"/>
        </w:rPr>
        <w:t> </w:t>
      </w:r>
      <w:r w:rsidRPr="0077741F">
        <w:rPr>
          <w:szCs w:val="28"/>
        </w:rPr>
        <w:t xml:space="preserve">Ja personai naturalizācija atteikta vai persona pirms lēmuma </w:t>
      </w:r>
      <w:r w:rsidR="00F81408" w:rsidRPr="0077741F">
        <w:rPr>
          <w:szCs w:val="28"/>
        </w:rPr>
        <w:t xml:space="preserve">pieņemšanas </w:t>
      </w:r>
      <w:r w:rsidRPr="0077741F">
        <w:rPr>
          <w:szCs w:val="28"/>
        </w:rPr>
        <w:t>par uzņemšanu pilsonībā atsaukusi savu iesni</w:t>
      </w:r>
      <w:r w:rsidR="00B17B92">
        <w:rPr>
          <w:szCs w:val="28"/>
        </w:rPr>
        <w:t>egumu, valsts nodevu neatmaksā.</w:t>
      </w:r>
    </w:p>
    <w:p w14:paraId="09763698" w14:textId="77777777" w:rsidR="00B17B92" w:rsidRPr="0077741F" w:rsidRDefault="00B17B92" w:rsidP="00E3773C">
      <w:pPr>
        <w:autoSpaceDN w:val="0"/>
        <w:ind w:firstLine="709"/>
        <w:jc w:val="both"/>
        <w:rPr>
          <w:szCs w:val="28"/>
        </w:rPr>
      </w:pPr>
    </w:p>
    <w:p w14:paraId="31543F63" w14:textId="57354E3C" w:rsidR="005011BA" w:rsidRDefault="004A6384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8</w:t>
      </w:r>
      <w:r w:rsidR="005011BA" w:rsidRPr="0077741F">
        <w:rPr>
          <w:szCs w:val="28"/>
        </w:rPr>
        <w:t>.</w:t>
      </w:r>
      <w:r w:rsidR="00F81408">
        <w:rPr>
          <w:szCs w:val="28"/>
        </w:rPr>
        <w:t> </w:t>
      </w:r>
      <w:r w:rsidR="005011BA" w:rsidRPr="0077741F">
        <w:rPr>
          <w:szCs w:val="28"/>
        </w:rPr>
        <w:t xml:space="preserve">Atzīt par spēku zaudējušiem </w:t>
      </w:r>
      <w:r w:rsidR="00B17B92">
        <w:rPr>
          <w:szCs w:val="28"/>
        </w:rPr>
        <w:t>Ministru kabineta 2001.gada 5.jūnija noteikumus Nr.234 "</w:t>
      </w:r>
      <w:r w:rsidR="00E1306B" w:rsidRPr="0077741F">
        <w:rPr>
          <w:szCs w:val="28"/>
        </w:rPr>
        <w:t>Noteikumi par valsts nodevu naturali</w:t>
      </w:r>
      <w:r w:rsidR="00B17B92">
        <w:rPr>
          <w:szCs w:val="28"/>
        </w:rPr>
        <w:t>zācijas iesnieguma iesniegšanai"</w:t>
      </w:r>
      <w:r w:rsidR="00E1306B" w:rsidRPr="0077741F">
        <w:rPr>
          <w:szCs w:val="28"/>
        </w:rPr>
        <w:t xml:space="preserve"> (Latvijas Vēstnesis, 2001, 97.nr.; 2002, 107.nr.; 2003, 129.nr.; 2008, 190.nr.)</w:t>
      </w:r>
      <w:r w:rsidR="005011BA" w:rsidRPr="0077741F">
        <w:rPr>
          <w:szCs w:val="28"/>
        </w:rPr>
        <w:t>.</w:t>
      </w:r>
    </w:p>
    <w:p w14:paraId="45346861" w14:textId="77777777" w:rsidR="00B17B92" w:rsidRPr="0077741F" w:rsidRDefault="00B17B92" w:rsidP="00E3773C">
      <w:pPr>
        <w:autoSpaceDN w:val="0"/>
        <w:ind w:firstLine="709"/>
        <w:jc w:val="both"/>
        <w:rPr>
          <w:szCs w:val="28"/>
        </w:rPr>
      </w:pPr>
    </w:p>
    <w:p w14:paraId="31543F64" w14:textId="0A67CEEE" w:rsidR="00661E89" w:rsidRDefault="004A6384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9</w:t>
      </w:r>
      <w:r w:rsidR="00661E89" w:rsidRPr="0077741F">
        <w:rPr>
          <w:szCs w:val="28"/>
        </w:rPr>
        <w:t>.</w:t>
      </w:r>
      <w:r w:rsidR="00F81408">
        <w:rPr>
          <w:szCs w:val="28"/>
        </w:rPr>
        <w:t> </w:t>
      </w:r>
      <w:r w:rsidR="00B66B9D" w:rsidRPr="0077741F">
        <w:rPr>
          <w:szCs w:val="28"/>
        </w:rPr>
        <w:t xml:space="preserve">Līdz </w:t>
      </w:r>
      <w:r w:rsidR="00B17B92">
        <w:rPr>
          <w:szCs w:val="28"/>
        </w:rPr>
        <w:t>2013.gada 31.decembrim</w:t>
      </w:r>
      <w:r w:rsidR="00B66B9D" w:rsidRPr="0077741F">
        <w:rPr>
          <w:szCs w:val="28"/>
        </w:rPr>
        <w:t xml:space="preserve"> </w:t>
      </w:r>
      <w:r w:rsidR="0024704B" w:rsidRPr="0077741F">
        <w:rPr>
          <w:szCs w:val="28"/>
        </w:rPr>
        <w:t xml:space="preserve">valsts nodevas apmērs ir </w:t>
      </w:r>
      <w:r w:rsidR="00C201CE" w:rsidRPr="0077741F">
        <w:rPr>
          <w:szCs w:val="28"/>
        </w:rPr>
        <w:t>20</w:t>
      </w:r>
      <w:r w:rsidR="00F81408">
        <w:rPr>
          <w:szCs w:val="28"/>
        </w:rPr>
        <w:t> </w:t>
      </w:r>
      <w:r w:rsidR="0024704B" w:rsidRPr="0077741F">
        <w:rPr>
          <w:szCs w:val="28"/>
        </w:rPr>
        <w:t xml:space="preserve">latu, bet </w:t>
      </w:r>
      <w:r w:rsidR="00B17B92" w:rsidRPr="0077741F">
        <w:rPr>
          <w:szCs w:val="28"/>
        </w:rPr>
        <w:t>trūcīgu ģimeņu locekļiem vai atsevišķi dzīvojošām trūcīgām personām</w:t>
      </w:r>
      <w:r w:rsidR="00B17B92">
        <w:rPr>
          <w:szCs w:val="28"/>
        </w:rPr>
        <w:t>,</w:t>
      </w:r>
      <w:r w:rsidR="00B17B92" w:rsidRPr="0077741F">
        <w:rPr>
          <w:szCs w:val="28"/>
        </w:rPr>
        <w:t xml:space="preserve"> Nodarbinātības valsts aģentūrā reģistrētajiem bezdarbniekiem</w:t>
      </w:r>
      <w:r w:rsidR="00B17B92">
        <w:rPr>
          <w:szCs w:val="28"/>
        </w:rPr>
        <w:t>,</w:t>
      </w:r>
      <w:r w:rsidR="00B17B92" w:rsidRPr="0077741F">
        <w:rPr>
          <w:szCs w:val="28"/>
        </w:rPr>
        <w:t xml:space="preserve"> to ģimeņu locekļiem, kurās ir tr</w:t>
      </w:r>
      <w:r w:rsidR="00B17B92">
        <w:rPr>
          <w:szCs w:val="28"/>
        </w:rPr>
        <w:t xml:space="preserve">īs </w:t>
      </w:r>
      <w:r w:rsidR="00F81408">
        <w:rPr>
          <w:szCs w:val="28"/>
        </w:rPr>
        <w:t xml:space="preserve">nepilngadīgi bērni </w:t>
      </w:r>
      <w:r w:rsidR="00B17B92">
        <w:rPr>
          <w:szCs w:val="28"/>
        </w:rPr>
        <w:t>un vairāk,</w:t>
      </w:r>
      <w:r w:rsidR="00B17B92" w:rsidRPr="0077741F">
        <w:rPr>
          <w:szCs w:val="28"/>
        </w:rPr>
        <w:t xml:space="preserve"> vecuma </w:t>
      </w:r>
      <w:r w:rsidR="00DD56E1">
        <w:rPr>
          <w:szCs w:val="28"/>
        </w:rPr>
        <w:t>un izdienas pensijas saņēmējiem,</w:t>
      </w:r>
      <w:r w:rsidR="00B17B92" w:rsidRPr="0077741F">
        <w:rPr>
          <w:szCs w:val="28"/>
        </w:rPr>
        <w:t xml:space="preserve"> personām ar II vai III i</w:t>
      </w:r>
      <w:r w:rsidR="00DD56E1">
        <w:rPr>
          <w:szCs w:val="28"/>
        </w:rPr>
        <w:t>nvaliditātes grupu,</w:t>
      </w:r>
      <w:r w:rsidR="00B17B92" w:rsidRPr="0077741F">
        <w:rPr>
          <w:szCs w:val="28"/>
        </w:rPr>
        <w:t xml:space="preserve"> valsts akreditēto vispārējās un profesionālās i</w:t>
      </w:r>
      <w:r w:rsidR="00DD56E1">
        <w:rPr>
          <w:szCs w:val="28"/>
        </w:rPr>
        <w:t>zglītības iestāžu izglītojamiem vai</w:t>
      </w:r>
      <w:r w:rsidR="00B17B92" w:rsidRPr="0077741F">
        <w:rPr>
          <w:szCs w:val="28"/>
        </w:rPr>
        <w:t xml:space="preserve"> valsts akreditēto augstākās izglītības iestāžu pilna laika studējošajiem</w:t>
      </w:r>
      <w:r w:rsidR="00DD56E1">
        <w:rPr>
          <w:szCs w:val="28"/>
        </w:rPr>
        <w:t xml:space="preserve"> </w:t>
      </w:r>
      <w:r w:rsidR="0024704B" w:rsidRPr="0077741F">
        <w:rPr>
          <w:szCs w:val="28"/>
        </w:rPr>
        <w:t xml:space="preserve">– </w:t>
      </w:r>
      <w:r w:rsidR="00C201CE" w:rsidRPr="0077741F">
        <w:rPr>
          <w:szCs w:val="28"/>
        </w:rPr>
        <w:t>trīs</w:t>
      </w:r>
      <w:r w:rsidR="0024704B" w:rsidRPr="0077741F">
        <w:rPr>
          <w:szCs w:val="28"/>
        </w:rPr>
        <w:t xml:space="preserve"> lati.</w:t>
      </w:r>
    </w:p>
    <w:p w14:paraId="42C8E901" w14:textId="77777777" w:rsidR="00DD56E1" w:rsidRDefault="00DD56E1" w:rsidP="00E3773C">
      <w:pPr>
        <w:autoSpaceDN w:val="0"/>
        <w:ind w:firstLine="709"/>
        <w:jc w:val="both"/>
        <w:rPr>
          <w:szCs w:val="28"/>
        </w:rPr>
      </w:pPr>
    </w:p>
    <w:p w14:paraId="31543F65" w14:textId="04224BD9" w:rsidR="001C7CB8" w:rsidRDefault="001C7CB8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1</w:t>
      </w:r>
      <w:r>
        <w:rPr>
          <w:szCs w:val="28"/>
        </w:rPr>
        <w:t>0</w:t>
      </w:r>
      <w:r w:rsidRPr="0077741F">
        <w:rPr>
          <w:szCs w:val="28"/>
        </w:rPr>
        <w:t>.</w:t>
      </w:r>
      <w:r w:rsidR="00F81408">
        <w:rPr>
          <w:szCs w:val="28"/>
        </w:rPr>
        <w:t> </w:t>
      </w:r>
      <w:r w:rsidR="0068151F">
        <w:rPr>
          <w:szCs w:val="28"/>
        </w:rPr>
        <w:t>Šo n</w:t>
      </w:r>
      <w:r w:rsidRPr="0077741F">
        <w:rPr>
          <w:szCs w:val="28"/>
        </w:rPr>
        <w:t xml:space="preserve">oteikumu 2. un 3.punkts stājas spēkā </w:t>
      </w:r>
      <w:r w:rsidR="00DD56E1" w:rsidRPr="00DD56E1">
        <w:rPr>
          <w:szCs w:val="28"/>
        </w:rPr>
        <w:t>2014.gada 1.janvārī</w:t>
      </w:r>
      <w:r w:rsidRPr="00DD56E1">
        <w:rPr>
          <w:szCs w:val="28"/>
        </w:rPr>
        <w:t>.</w:t>
      </w:r>
    </w:p>
    <w:p w14:paraId="68F74A44" w14:textId="77777777" w:rsidR="00DD56E1" w:rsidRPr="0077741F" w:rsidRDefault="00DD56E1" w:rsidP="00E3773C">
      <w:pPr>
        <w:autoSpaceDN w:val="0"/>
        <w:ind w:firstLine="709"/>
        <w:jc w:val="both"/>
        <w:rPr>
          <w:szCs w:val="28"/>
        </w:rPr>
      </w:pPr>
    </w:p>
    <w:p w14:paraId="31543F66" w14:textId="29E812B5" w:rsidR="00715790" w:rsidRPr="0077741F" w:rsidRDefault="00E46E0B" w:rsidP="00E3773C">
      <w:pPr>
        <w:autoSpaceDN w:val="0"/>
        <w:ind w:firstLine="709"/>
        <w:jc w:val="both"/>
        <w:rPr>
          <w:szCs w:val="28"/>
        </w:rPr>
      </w:pPr>
      <w:r w:rsidRPr="0077741F">
        <w:rPr>
          <w:szCs w:val="28"/>
        </w:rPr>
        <w:t>1</w:t>
      </w:r>
      <w:r w:rsidR="001C7CB8">
        <w:rPr>
          <w:szCs w:val="28"/>
        </w:rPr>
        <w:t>1</w:t>
      </w:r>
      <w:r w:rsidR="00715790" w:rsidRPr="0077741F">
        <w:rPr>
          <w:szCs w:val="28"/>
        </w:rPr>
        <w:t>.</w:t>
      </w:r>
      <w:r w:rsidR="00F81408">
        <w:rPr>
          <w:szCs w:val="28"/>
        </w:rPr>
        <w:t> </w:t>
      </w:r>
      <w:r w:rsidR="00715790" w:rsidRPr="0077741F">
        <w:rPr>
          <w:szCs w:val="28"/>
        </w:rPr>
        <w:t>Noteikumi stājas spēkā 2013.gada 1.oktobrī.</w:t>
      </w:r>
    </w:p>
    <w:p w14:paraId="31543F67" w14:textId="71E8F6BB" w:rsidR="00B14A12" w:rsidRDefault="00B14A12" w:rsidP="00E3773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489A57C" w14:textId="77777777" w:rsidR="00DD56E1" w:rsidRDefault="00DD56E1" w:rsidP="00E3773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9E47E9" w14:textId="77777777" w:rsidR="00DD56E1" w:rsidRPr="0077741F" w:rsidRDefault="00DD56E1" w:rsidP="00E3773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1543F68" w14:textId="2FAFC0F1" w:rsidR="00B14A12" w:rsidRPr="0077741F" w:rsidRDefault="00DD56E1" w:rsidP="00E3773C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>Ministru prezidents</w:t>
      </w:r>
      <w:r>
        <w:rPr>
          <w:szCs w:val="28"/>
        </w:rPr>
        <w:tab/>
        <w:t>Valdis</w:t>
      </w:r>
      <w:r w:rsidR="00135ED5">
        <w:rPr>
          <w:szCs w:val="28"/>
        </w:rPr>
        <w:t xml:space="preserve"> </w:t>
      </w:r>
      <w:r w:rsidR="00B14A12" w:rsidRPr="0077741F">
        <w:rPr>
          <w:szCs w:val="28"/>
        </w:rPr>
        <w:t>Dombrovskis</w:t>
      </w:r>
    </w:p>
    <w:p w14:paraId="31543F69" w14:textId="114E5095" w:rsidR="00B14A12" w:rsidRDefault="00B14A12" w:rsidP="00E3773C">
      <w:pPr>
        <w:tabs>
          <w:tab w:val="left" w:pos="3535"/>
        </w:tabs>
        <w:ind w:firstLine="709"/>
        <w:jc w:val="both"/>
        <w:rPr>
          <w:szCs w:val="28"/>
        </w:rPr>
      </w:pPr>
    </w:p>
    <w:p w14:paraId="66398285" w14:textId="77777777" w:rsidR="00DD56E1" w:rsidRDefault="00DD56E1" w:rsidP="00E3773C">
      <w:pPr>
        <w:tabs>
          <w:tab w:val="left" w:pos="3535"/>
        </w:tabs>
        <w:ind w:firstLine="709"/>
        <w:jc w:val="both"/>
        <w:rPr>
          <w:szCs w:val="28"/>
        </w:rPr>
      </w:pPr>
    </w:p>
    <w:p w14:paraId="47511018" w14:textId="77777777" w:rsidR="00DD56E1" w:rsidRPr="0077741F" w:rsidRDefault="00DD56E1" w:rsidP="00E3773C">
      <w:pPr>
        <w:tabs>
          <w:tab w:val="left" w:pos="3535"/>
        </w:tabs>
        <w:ind w:firstLine="709"/>
        <w:jc w:val="both"/>
        <w:rPr>
          <w:szCs w:val="28"/>
        </w:rPr>
      </w:pPr>
    </w:p>
    <w:p w14:paraId="31543F6A" w14:textId="10DBCC19" w:rsidR="00B14A12" w:rsidRPr="0077741F" w:rsidRDefault="00DD56E1" w:rsidP="00E3773C">
      <w:pPr>
        <w:tabs>
          <w:tab w:val="left" w:pos="6379"/>
        </w:tabs>
        <w:ind w:firstLine="709"/>
        <w:jc w:val="both"/>
        <w:rPr>
          <w:szCs w:val="28"/>
        </w:rPr>
      </w:pPr>
      <w:r>
        <w:rPr>
          <w:szCs w:val="28"/>
        </w:rPr>
        <w:t>Iekšlietu ministrs</w:t>
      </w:r>
      <w:r>
        <w:rPr>
          <w:szCs w:val="28"/>
        </w:rPr>
        <w:tab/>
        <w:t>Rihards</w:t>
      </w:r>
      <w:r w:rsidR="00135ED5">
        <w:rPr>
          <w:szCs w:val="28"/>
        </w:rPr>
        <w:t xml:space="preserve"> </w:t>
      </w:r>
      <w:r w:rsidR="00B14A12" w:rsidRPr="0077741F">
        <w:rPr>
          <w:szCs w:val="28"/>
        </w:rPr>
        <w:t>Kozlovskis</w:t>
      </w:r>
    </w:p>
    <w:sectPr w:rsidR="00B14A12" w:rsidRPr="0077741F" w:rsidSect="00E3773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43F8D" w14:textId="77777777" w:rsidR="00C2749C" w:rsidRDefault="00C2749C">
      <w:r>
        <w:separator/>
      </w:r>
    </w:p>
  </w:endnote>
  <w:endnote w:type="continuationSeparator" w:id="0">
    <w:p w14:paraId="31543F8E" w14:textId="77777777" w:rsidR="00C2749C" w:rsidRDefault="00C2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E9D6B" w14:textId="77777777" w:rsidR="00E3773C" w:rsidRPr="00E3773C" w:rsidRDefault="00E3773C" w:rsidP="00E3773C">
    <w:pPr>
      <w:pStyle w:val="Footer"/>
      <w:rPr>
        <w:sz w:val="16"/>
        <w:szCs w:val="16"/>
      </w:rPr>
    </w:pPr>
    <w:r w:rsidRPr="00E3773C">
      <w:rPr>
        <w:sz w:val="16"/>
        <w:szCs w:val="16"/>
      </w:rPr>
      <w:t>N2231_3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FC52" w14:textId="2B5F6E94" w:rsidR="00E3773C" w:rsidRPr="00E3773C" w:rsidRDefault="00E3773C">
    <w:pPr>
      <w:pStyle w:val="Footer"/>
      <w:rPr>
        <w:sz w:val="16"/>
        <w:szCs w:val="16"/>
      </w:rPr>
    </w:pPr>
    <w:r w:rsidRPr="00E3773C">
      <w:rPr>
        <w:sz w:val="16"/>
        <w:szCs w:val="16"/>
      </w:rPr>
      <w:t>N2231_3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43F8B" w14:textId="77777777" w:rsidR="00C2749C" w:rsidRDefault="00C2749C">
      <w:r>
        <w:separator/>
      </w:r>
    </w:p>
  </w:footnote>
  <w:footnote w:type="continuationSeparator" w:id="0">
    <w:p w14:paraId="31543F8C" w14:textId="77777777" w:rsidR="00C2749C" w:rsidRDefault="00C27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3F8F" w14:textId="77777777" w:rsidR="00C2749C" w:rsidRDefault="00A179B3">
    <w:pPr>
      <w:pStyle w:val="Header"/>
      <w:framePr w:h="0" w:wrap="around" w:vAnchor="text" w:hAnchor="margin" w:xAlign="center" w:y="1"/>
      <w:rPr>
        <w:rStyle w:val="PageNumber"/>
      </w:rPr>
    </w:pPr>
    <w:r>
      <w:fldChar w:fldCharType="begin"/>
    </w:r>
    <w:r w:rsidR="00C2749C">
      <w:rPr>
        <w:rStyle w:val="PageNumber"/>
      </w:rPr>
      <w:instrText xml:space="preserve">PAGE  </w:instrText>
    </w:r>
    <w:r>
      <w:fldChar w:fldCharType="end"/>
    </w:r>
  </w:p>
  <w:p w14:paraId="31543F90" w14:textId="77777777" w:rsidR="00C2749C" w:rsidRDefault="00C27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43F91" w14:textId="77777777" w:rsidR="00C2749C" w:rsidRDefault="00A179B3">
    <w:pPr>
      <w:pStyle w:val="Header"/>
      <w:jc w:val="center"/>
      <w:rPr>
        <w:sz w:val="24"/>
      </w:rPr>
    </w:pPr>
    <w:r>
      <w:rPr>
        <w:sz w:val="24"/>
      </w:rPr>
      <w:fldChar w:fldCharType="begin"/>
    </w:r>
    <w:r w:rsidR="00C2749C">
      <w:rPr>
        <w:rStyle w:val="PageNumber"/>
        <w:sz w:val="24"/>
      </w:rPr>
      <w:instrText xml:space="preserve"> PAGE </w:instrText>
    </w:r>
    <w:r>
      <w:rPr>
        <w:sz w:val="24"/>
      </w:rPr>
      <w:fldChar w:fldCharType="separate"/>
    </w:r>
    <w:r w:rsidR="00146D0A">
      <w:rPr>
        <w:rStyle w:val="PageNumber"/>
        <w:noProof/>
        <w:sz w:val="24"/>
      </w:rPr>
      <w:t>2</w:t>
    </w:r>
    <w:r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A186F" w14:textId="35724A70" w:rsidR="00E3773C" w:rsidRDefault="00E3773C" w:rsidP="00E3773C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E3CEC24" wp14:editId="59EB5D9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A2534"/>
    <w:multiLevelType w:val="multilevel"/>
    <w:tmpl w:val="86D04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2"/>
  </w:compat>
  <w:rsids>
    <w:rsidRoot w:val="00172A27"/>
    <w:rsid w:val="00015A98"/>
    <w:rsid w:val="00020CEB"/>
    <w:rsid w:val="00044DE6"/>
    <w:rsid w:val="00051ECB"/>
    <w:rsid w:val="0005340E"/>
    <w:rsid w:val="00062B98"/>
    <w:rsid w:val="00070AF9"/>
    <w:rsid w:val="00072E57"/>
    <w:rsid w:val="0009551C"/>
    <w:rsid w:val="00096615"/>
    <w:rsid w:val="000A309B"/>
    <w:rsid w:val="000B3758"/>
    <w:rsid w:val="000C557B"/>
    <w:rsid w:val="000D529D"/>
    <w:rsid w:val="000E69F7"/>
    <w:rsid w:val="0010494F"/>
    <w:rsid w:val="00110A97"/>
    <w:rsid w:val="00122B8E"/>
    <w:rsid w:val="00124A58"/>
    <w:rsid w:val="00124B75"/>
    <w:rsid w:val="00135ED5"/>
    <w:rsid w:val="00146D0A"/>
    <w:rsid w:val="00172A27"/>
    <w:rsid w:val="001748F1"/>
    <w:rsid w:val="00182084"/>
    <w:rsid w:val="00184484"/>
    <w:rsid w:val="00197E06"/>
    <w:rsid w:val="001A0C94"/>
    <w:rsid w:val="001C2893"/>
    <w:rsid w:val="001C7CB8"/>
    <w:rsid w:val="001D47BB"/>
    <w:rsid w:val="001D6E3C"/>
    <w:rsid w:val="001D70B6"/>
    <w:rsid w:val="00240DC8"/>
    <w:rsid w:val="002412F9"/>
    <w:rsid w:val="00241739"/>
    <w:rsid w:val="0024704B"/>
    <w:rsid w:val="002749C1"/>
    <w:rsid w:val="00290987"/>
    <w:rsid w:val="002A1D2F"/>
    <w:rsid w:val="002C7710"/>
    <w:rsid w:val="002D41C0"/>
    <w:rsid w:val="002F4FC3"/>
    <w:rsid w:val="00322E50"/>
    <w:rsid w:val="003314ED"/>
    <w:rsid w:val="00335E33"/>
    <w:rsid w:val="003369DA"/>
    <w:rsid w:val="00346470"/>
    <w:rsid w:val="00370B85"/>
    <w:rsid w:val="003802EA"/>
    <w:rsid w:val="00381AEE"/>
    <w:rsid w:val="00393A94"/>
    <w:rsid w:val="003A7ECF"/>
    <w:rsid w:val="003B6CBC"/>
    <w:rsid w:val="003C55B0"/>
    <w:rsid w:val="003D3848"/>
    <w:rsid w:val="00406D7E"/>
    <w:rsid w:val="0042230B"/>
    <w:rsid w:val="004236C5"/>
    <w:rsid w:val="00425667"/>
    <w:rsid w:val="00427BDC"/>
    <w:rsid w:val="00434BCB"/>
    <w:rsid w:val="004427C3"/>
    <w:rsid w:val="004509C1"/>
    <w:rsid w:val="00453507"/>
    <w:rsid w:val="00465D40"/>
    <w:rsid w:val="004A4731"/>
    <w:rsid w:val="004A6384"/>
    <w:rsid w:val="004F201B"/>
    <w:rsid w:val="004F61A4"/>
    <w:rsid w:val="005011BA"/>
    <w:rsid w:val="00506372"/>
    <w:rsid w:val="005063C8"/>
    <w:rsid w:val="0051060B"/>
    <w:rsid w:val="00542E1E"/>
    <w:rsid w:val="00563DF8"/>
    <w:rsid w:val="00582F64"/>
    <w:rsid w:val="00595B9E"/>
    <w:rsid w:val="005A5CBA"/>
    <w:rsid w:val="005A6BC2"/>
    <w:rsid w:val="005A76F0"/>
    <w:rsid w:val="005B19C3"/>
    <w:rsid w:val="005B5106"/>
    <w:rsid w:val="005C5D66"/>
    <w:rsid w:val="005C5D9C"/>
    <w:rsid w:val="005D28D8"/>
    <w:rsid w:val="005F2BE2"/>
    <w:rsid w:val="0060119C"/>
    <w:rsid w:val="00613249"/>
    <w:rsid w:val="0063009F"/>
    <w:rsid w:val="006319B3"/>
    <w:rsid w:val="00640A61"/>
    <w:rsid w:val="00643506"/>
    <w:rsid w:val="00661E89"/>
    <w:rsid w:val="00671206"/>
    <w:rsid w:val="0067597D"/>
    <w:rsid w:val="0068151F"/>
    <w:rsid w:val="006B67E8"/>
    <w:rsid w:val="006D16D5"/>
    <w:rsid w:val="006D5C2A"/>
    <w:rsid w:val="006E77D7"/>
    <w:rsid w:val="006F5EF8"/>
    <w:rsid w:val="00715790"/>
    <w:rsid w:val="00727080"/>
    <w:rsid w:val="0074764A"/>
    <w:rsid w:val="00754F64"/>
    <w:rsid w:val="007617F8"/>
    <w:rsid w:val="0077741F"/>
    <w:rsid w:val="00783CDB"/>
    <w:rsid w:val="00786034"/>
    <w:rsid w:val="007D54D1"/>
    <w:rsid w:val="007D74FF"/>
    <w:rsid w:val="007E198E"/>
    <w:rsid w:val="007E6769"/>
    <w:rsid w:val="007F6C46"/>
    <w:rsid w:val="00803E19"/>
    <w:rsid w:val="00815E64"/>
    <w:rsid w:val="00822531"/>
    <w:rsid w:val="00826056"/>
    <w:rsid w:val="008561D9"/>
    <w:rsid w:val="00856559"/>
    <w:rsid w:val="00891EE5"/>
    <w:rsid w:val="00893D34"/>
    <w:rsid w:val="008B387A"/>
    <w:rsid w:val="008B491C"/>
    <w:rsid w:val="008C06F0"/>
    <w:rsid w:val="008C5E6B"/>
    <w:rsid w:val="008F4819"/>
    <w:rsid w:val="0092284A"/>
    <w:rsid w:val="00934B62"/>
    <w:rsid w:val="00945324"/>
    <w:rsid w:val="00951326"/>
    <w:rsid w:val="009540A1"/>
    <w:rsid w:val="00960E17"/>
    <w:rsid w:val="00967ECD"/>
    <w:rsid w:val="00981416"/>
    <w:rsid w:val="00983085"/>
    <w:rsid w:val="00984536"/>
    <w:rsid w:val="009A7266"/>
    <w:rsid w:val="009B642D"/>
    <w:rsid w:val="009C76BF"/>
    <w:rsid w:val="009E6C6E"/>
    <w:rsid w:val="009F2D61"/>
    <w:rsid w:val="00A04421"/>
    <w:rsid w:val="00A179B3"/>
    <w:rsid w:val="00A27C99"/>
    <w:rsid w:val="00A348A0"/>
    <w:rsid w:val="00A34F55"/>
    <w:rsid w:val="00A61FAA"/>
    <w:rsid w:val="00A66DAA"/>
    <w:rsid w:val="00A723C0"/>
    <w:rsid w:val="00A77EB2"/>
    <w:rsid w:val="00AA6A59"/>
    <w:rsid w:val="00AC5619"/>
    <w:rsid w:val="00AC6561"/>
    <w:rsid w:val="00AC7614"/>
    <w:rsid w:val="00AD24B4"/>
    <w:rsid w:val="00AD4380"/>
    <w:rsid w:val="00B0294D"/>
    <w:rsid w:val="00B13799"/>
    <w:rsid w:val="00B14A12"/>
    <w:rsid w:val="00B17B92"/>
    <w:rsid w:val="00B37B7A"/>
    <w:rsid w:val="00B66B9D"/>
    <w:rsid w:val="00B710AE"/>
    <w:rsid w:val="00B72DBA"/>
    <w:rsid w:val="00B90333"/>
    <w:rsid w:val="00BA690E"/>
    <w:rsid w:val="00C02B69"/>
    <w:rsid w:val="00C1638F"/>
    <w:rsid w:val="00C201CE"/>
    <w:rsid w:val="00C224D2"/>
    <w:rsid w:val="00C233AE"/>
    <w:rsid w:val="00C23BDB"/>
    <w:rsid w:val="00C2749C"/>
    <w:rsid w:val="00C81ACB"/>
    <w:rsid w:val="00C86265"/>
    <w:rsid w:val="00CB2378"/>
    <w:rsid w:val="00CB2A08"/>
    <w:rsid w:val="00CE7D98"/>
    <w:rsid w:val="00D06E3F"/>
    <w:rsid w:val="00D11CC5"/>
    <w:rsid w:val="00D12BA5"/>
    <w:rsid w:val="00D14808"/>
    <w:rsid w:val="00D349EE"/>
    <w:rsid w:val="00D3650D"/>
    <w:rsid w:val="00D42059"/>
    <w:rsid w:val="00D440BB"/>
    <w:rsid w:val="00D643A8"/>
    <w:rsid w:val="00D95088"/>
    <w:rsid w:val="00DB6D66"/>
    <w:rsid w:val="00DC677A"/>
    <w:rsid w:val="00DD209C"/>
    <w:rsid w:val="00DD56E1"/>
    <w:rsid w:val="00DE2706"/>
    <w:rsid w:val="00E1306B"/>
    <w:rsid w:val="00E137BA"/>
    <w:rsid w:val="00E3773C"/>
    <w:rsid w:val="00E45C7E"/>
    <w:rsid w:val="00E46E0B"/>
    <w:rsid w:val="00E57707"/>
    <w:rsid w:val="00E6309C"/>
    <w:rsid w:val="00E63266"/>
    <w:rsid w:val="00E639BC"/>
    <w:rsid w:val="00E669D0"/>
    <w:rsid w:val="00E749C4"/>
    <w:rsid w:val="00E87D30"/>
    <w:rsid w:val="00E9403F"/>
    <w:rsid w:val="00E95074"/>
    <w:rsid w:val="00EA740E"/>
    <w:rsid w:val="00EB69EE"/>
    <w:rsid w:val="00EE7049"/>
    <w:rsid w:val="00F0676A"/>
    <w:rsid w:val="00F11665"/>
    <w:rsid w:val="00F25AC3"/>
    <w:rsid w:val="00F50695"/>
    <w:rsid w:val="00F6171D"/>
    <w:rsid w:val="00F64C4C"/>
    <w:rsid w:val="00F77C44"/>
    <w:rsid w:val="00F81408"/>
    <w:rsid w:val="00F92BDA"/>
    <w:rsid w:val="00FA029B"/>
    <w:rsid w:val="00FA2BB3"/>
    <w:rsid w:val="00FA53B7"/>
    <w:rsid w:val="00FB1BF1"/>
    <w:rsid w:val="00FB4869"/>
    <w:rsid w:val="00FE68A4"/>
    <w:rsid w:val="00FE7EC1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43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69"/>
    <w:rPr>
      <w:rFonts w:ascii="Times New Roman" w:eastAsia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02B69"/>
    <w:rPr>
      <w:color w:val="0000FF"/>
      <w:u w:val="single"/>
    </w:rPr>
  </w:style>
  <w:style w:type="character" w:styleId="PageNumber">
    <w:name w:val="page number"/>
    <w:basedOn w:val="DefaultParagraphFont"/>
    <w:rsid w:val="00C02B69"/>
  </w:style>
  <w:style w:type="character" w:customStyle="1" w:styleId="FooterChar">
    <w:name w:val="Footer Char"/>
    <w:basedOn w:val="DefaultParagraphFont"/>
    <w:link w:val="Footer"/>
    <w:rsid w:val="00C02B69"/>
    <w:rPr>
      <w:rFonts w:ascii="Times New Roman" w:eastAsia="Times New Roman" w:hAnsi="Times New Roman" w:cs="Times New Roman"/>
      <w:sz w:val="28"/>
      <w:szCs w:val="20"/>
    </w:rPr>
  </w:style>
  <w:style w:type="character" w:customStyle="1" w:styleId="BalloonTextChar">
    <w:name w:val="Balloon Text Char"/>
    <w:basedOn w:val="DefaultParagraphFont"/>
    <w:link w:val="BalloonText"/>
    <w:rsid w:val="00C02B69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02B69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rsid w:val="00C02B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2B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02B69"/>
    <w:pPr>
      <w:tabs>
        <w:tab w:val="center" w:pos="4153"/>
        <w:tab w:val="right" w:pos="8306"/>
      </w:tabs>
    </w:pPr>
  </w:style>
  <w:style w:type="paragraph" w:customStyle="1" w:styleId="tv213">
    <w:name w:val="tv213"/>
    <w:basedOn w:val="Normal"/>
    <w:rsid w:val="00C02B69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ListParagraph">
    <w:name w:val="List Paragraph"/>
    <w:basedOn w:val="Normal"/>
    <w:qFormat/>
    <w:rsid w:val="00C02B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v2131">
    <w:name w:val="tv2131"/>
    <w:basedOn w:val="Normal"/>
    <w:rsid w:val="00C02B69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eastAsia="lv-LV"/>
    </w:rPr>
  </w:style>
  <w:style w:type="paragraph" w:customStyle="1" w:styleId="tv2133">
    <w:name w:val="tv2133"/>
    <w:basedOn w:val="Normal"/>
    <w:rsid w:val="00CE7D98"/>
    <w:pPr>
      <w:spacing w:line="360" w:lineRule="auto"/>
      <w:ind w:firstLine="374"/>
    </w:pPr>
    <w:rPr>
      <w:color w:val="414142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D3848"/>
  </w:style>
  <w:style w:type="paragraph" w:styleId="Title">
    <w:name w:val="Title"/>
    <w:basedOn w:val="Normal"/>
    <w:next w:val="Normal"/>
    <w:link w:val="TitleChar"/>
    <w:uiPriority w:val="10"/>
    <w:qFormat/>
    <w:rsid w:val="009453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532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6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4051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724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83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383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2253">
                          <w:marLeft w:val="0"/>
                          <w:marRight w:val="0"/>
                          <w:marTop w:val="3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06634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871C9-6BBF-4A02-A99F-035E94E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385</Words>
  <Characters>2738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nodevu par naturalizācijas iesnieguma iesniegšanai"</vt:lpstr>
    </vt:vector>
  </TitlesOfParts>
  <Manager/>
  <Company>IeM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nodevu par naturalizācijas iesnieguma iesniegšanai"</dc:title>
  <dc:subject>Noteikumu projekts</dc:subject>
  <dc:creator>Igors Gorbunovs</dc:creator>
  <cp:keywords/>
  <dc:description>igors.gorbunovs@pmlp.gov.lv
67219675</dc:description>
  <cp:lastModifiedBy>Leontīne Babkina</cp:lastModifiedBy>
  <cp:revision>73</cp:revision>
  <cp:lastPrinted>2013-08-15T11:00:00Z</cp:lastPrinted>
  <dcterms:created xsi:type="dcterms:W3CDTF">2013-06-26T08:40:00Z</dcterms:created>
  <dcterms:modified xsi:type="dcterms:W3CDTF">2013-09-18T10:36:00Z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  <property fmtid="{D5CDD505-2E9C-101B-9397-08002B2CF9AE}" pid="3" name="OI2NotArchived">
    <vt:lpwstr/>
  </property>
</Properties>
</file>