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B7" w:rsidRDefault="00C862B7" w:rsidP="002011B7">
      <w:pPr>
        <w:pStyle w:val="Heading5"/>
        <w:tabs>
          <w:tab w:val="clear" w:pos="-142"/>
          <w:tab w:val="left" w:pos="567"/>
        </w:tabs>
        <w:rPr>
          <w:rFonts w:ascii="Times New Roman" w:hAnsi="Times New Roman"/>
        </w:rPr>
      </w:pPr>
      <w:bookmarkStart w:id="0" w:name="_GoBack"/>
      <w:bookmarkEnd w:id="0"/>
      <w:r w:rsidRPr="00D6649E">
        <w:rPr>
          <w:rFonts w:ascii="Times New Roman" w:hAnsi="Times New Roman"/>
        </w:rPr>
        <w:t>Projekts</w:t>
      </w:r>
    </w:p>
    <w:p w:rsidR="00C862B7" w:rsidRDefault="00C862B7" w:rsidP="004A7211">
      <w:pPr>
        <w:rPr>
          <w:lang w:val="en-US"/>
        </w:rPr>
      </w:pPr>
    </w:p>
    <w:p w:rsidR="00C862B7" w:rsidRPr="004A7211" w:rsidRDefault="00C862B7" w:rsidP="004A7211">
      <w:pPr>
        <w:rPr>
          <w:lang w:val="en-US"/>
        </w:rPr>
      </w:pPr>
    </w:p>
    <w:p w:rsidR="00C862B7" w:rsidRPr="00D6649E" w:rsidRDefault="00C862B7" w:rsidP="002011B7">
      <w:pPr>
        <w:jc w:val="center"/>
        <w:rPr>
          <w:sz w:val="28"/>
          <w:szCs w:val="28"/>
        </w:rPr>
      </w:pPr>
      <w:r w:rsidRPr="00D6649E">
        <w:rPr>
          <w:sz w:val="28"/>
          <w:szCs w:val="28"/>
        </w:rPr>
        <w:t>LATVIJAS REPUBLIKAS MINISTRU KABINETS</w:t>
      </w:r>
    </w:p>
    <w:p w:rsidR="00C862B7" w:rsidRDefault="00C862B7" w:rsidP="00704935">
      <w:pPr>
        <w:jc w:val="right"/>
        <w:rPr>
          <w:sz w:val="28"/>
          <w:szCs w:val="28"/>
        </w:rPr>
      </w:pPr>
    </w:p>
    <w:p w:rsidR="00C862B7" w:rsidRDefault="00C862B7" w:rsidP="00704935">
      <w:pPr>
        <w:jc w:val="right"/>
        <w:rPr>
          <w:sz w:val="28"/>
          <w:szCs w:val="28"/>
        </w:rPr>
      </w:pPr>
    </w:p>
    <w:p w:rsidR="00C862B7" w:rsidRDefault="00C862B7" w:rsidP="00704935">
      <w:pPr>
        <w:jc w:val="right"/>
        <w:rPr>
          <w:sz w:val="28"/>
          <w:szCs w:val="28"/>
        </w:rPr>
      </w:pPr>
    </w:p>
    <w:p w:rsidR="00C862B7" w:rsidRPr="009167D7" w:rsidRDefault="00C862B7" w:rsidP="0026572C">
      <w:pPr>
        <w:jc w:val="both"/>
        <w:rPr>
          <w:sz w:val="28"/>
          <w:szCs w:val="28"/>
        </w:rPr>
      </w:pPr>
      <w:r w:rsidRPr="009167D7">
        <w:rPr>
          <w:sz w:val="28"/>
          <w:szCs w:val="28"/>
        </w:rPr>
        <w:t>201</w:t>
      </w:r>
      <w:r w:rsidR="00FA2F6E" w:rsidRPr="009167D7">
        <w:rPr>
          <w:sz w:val="28"/>
          <w:szCs w:val="28"/>
        </w:rPr>
        <w:t>3</w:t>
      </w:r>
      <w:r w:rsidRPr="009167D7">
        <w:rPr>
          <w:sz w:val="28"/>
          <w:szCs w:val="28"/>
        </w:rPr>
        <w:t>.gada ________</w:t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  <w:t>Noteikumi Nr.</w:t>
      </w:r>
    </w:p>
    <w:p w:rsidR="00C862B7" w:rsidRPr="009167D7" w:rsidRDefault="00C862B7" w:rsidP="0026572C">
      <w:pPr>
        <w:rPr>
          <w:sz w:val="28"/>
          <w:szCs w:val="28"/>
        </w:rPr>
      </w:pPr>
      <w:r w:rsidRPr="009167D7">
        <w:rPr>
          <w:sz w:val="28"/>
          <w:szCs w:val="28"/>
        </w:rPr>
        <w:t>Rīgā</w:t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</w:r>
      <w:r w:rsidRPr="009167D7">
        <w:rPr>
          <w:sz w:val="28"/>
          <w:szCs w:val="28"/>
        </w:rPr>
        <w:tab/>
        <w:t>(prot. Nr.            .§)</w:t>
      </w:r>
    </w:p>
    <w:p w:rsidR="00C862B7" w:rsidRPr="009167D7" w:rsidRDefault="00C862B7" w:rsidP="0026572C">
      <w:pPr>
        <w:rPr>
          <w:sz w:val="28"/>
          <w:szCs w:val="28"/>
        </w:rPr>
      </w:pPr>
    </w:p>
    <w:p w:rsidR="00C862B7" w:rsidRDefault="00C862B7" w:rsidP="0026572C">
      <w:pPr>
        <w:rPr>
          <w:sz w:val="28"/>
          <w:szCs w:val="28"/>
        </w:rPr>
      </w:pPr>
    </w:p>
    <w:p w:rsidR="00C862B7" w:rsidRPr="009167D7" w:rsidRDefault="00C862B7" w:rsidP="0026572C">
      <w:pPr>
        <w:jc w:val="center"/>
        <w:rPr>
          <w:b/>
          <w:bCs/>
          <w:sz w:val="28"/>
          <w:szCs w:val="28"/>
        </w:rPr>
      </w:pPr>
      <w:r w:rsidRPr="00750A9A">
        <w:rPr>
          <w:b/>
          <w:bCs/>
          <w:sz w:val="28"/>
          <w:szCs w:val="28"/>
        </w:rPr>
        <w:t>Grozījumi Ministru kabineta 2010.</w:t>
      </w:r>
      <w:r w:rsidR="0091106B" w:rsidRPr="00750A9A">
        <w:rPr>
          <w:b/>
          <w:bCs/>
          <w:sz w:val="28"/>
          <w:szCs w:val="28"/>
        </w:rPr>
        <w:t xml:space="preserve"> </w:t>
      </w:r>
      <w:r w:rsidRPr="00750A9A">
        <w:rPr>
          <w:b/>
          <w:bCs/>
          <w:sz w:val="28"/>
          <w:szCs w:val="28"/>
        </w:rPr>
        <w:t>gada 21. jūnija noteikumos Nr.</w:t>
      </w:r>
      <w:r w:rsidR="0091106B" w:rsidRPr="00750A9A">
        <w:rPr>
          <w:b/>
          <w:bCs/>
          <w:sz w:val="28"/>
          <w:szCs w:val="28"/>
        </w:rPr>
        <w:t xml:space="preserve"> </w:t>
      </w:r>
      <w:r w:rsidRPr="00750A9A">
        <w:rPr>
          <w:b/>
          <w:bCs/>
          <w:sz w:val="28"/>
          <w:szCs w:val="28"/>
        </w:rPr>
        <w:t>568 „Noteikumi par Iekšlietu ministrijas sistēmas iestāžu un Ieslodzījuma vietu pārvaldes amatpersonu ar speciālajām dienesta pakāpēm mēnešalgu un speciālajām piemaksām”</w:t>
      </w:r>
    </w:p>
    <w:p w:rsidR="00C862B7" w:rsidRPr="009167D7" w:rsidRDefault="00C862B7" w:rsidP="0026572C">
      <w:pPr>
        <w:pStyle w:val="naislab"/>
        <w:spacing w:before="0" w:after="0"/>
        <w:rPr>
          <w:sz w:val="28"/>
          <w:szCs w:val="28"/>
        </w:rPr>
      </w:pPr>
    </w:p>
    <w:p w:rsidR="00C862B7" w:rsidRPr="0091106B" w:rsidRDefault="00C862B7" w:rsidP="0034185D">
      <w:pPr>
        <w:pStyle w:val="naislab"/>
        <w:spacing w:before="0" w:after="0"/>
        <w:rPr>
          <w:sz w:val="28"/>
          <w:szCs w:val="28"/>
        </w:rPr>
      </w:pPr>
      <w:r w:rsidRPr="0091106B">
        <w:rPr>
          <w:sz w:val="28"/>
          <w:szCs w:val="28"/>
        </w:rPr>
        <w:t xml:space="preserve">Izdoti saskaņā ar Valsts un </w:t>
      </w:r>
    </w:p>
    <w:p w:rsidR="00C862B7" w:rsidRPr="0091106B" w:rsidRDefault="00C862B7" w:rsidP="0034185D">
      <w:pPr>
        <w:pStyle w:val="naislab"/>
        <w:spacing w:before="0" w:after="0"/>
        <w:rPr>
          <w:sz w:val="28"/>
          <w:szCs w:val="28"/>
        </w:rPr>
      </w:pPr>
      <w:r w:rsidRPr="0091106B">
        <w:rPr>
          <w:sz w:val="28"/>
          <w:szCs w:val="28"/>
        </w:rPr>
        <w:t xml:space="preserve">pašvaldību institūciju amatpersonu </w:t>
      </w:r>
    </w:p>
    <w:p w:rsidR="00C862B7" w:rsidRPr="0091106B" w:rsidRDefault="00C862B7" w:rsidP="0034185D">
      <w:pPr>
        <w:pStyle w:val="naislab"/>
        <w:spacing w:before="0" w:after="0"/>
        <w:rPr>
          <w:sz w:val="28"/>
          <w:szCs w:val="28"/>
        </w:rPr>
      </w:pPr>
      <w:r w:rsidRPr="0091106B">
        <w:rPr>
          <w:sz w:val="28"/>
          <w:szCs w:val="28"/>
        </w:rPr>
        <w:t>un darbinieku atlīdzības likuma</w:t>
      </w:r>
    </w:p>
    <w:p w:rsidR="00C862B7" w:rsidRPr="009167D7" w:rsidRDefault="005E4928" w:rsidP="0034185D">
      <w:pPr>
        <w:pStyle w:val="naislab"/>
        <w:spacing w:before="0" w:after="0"/>
        <w:rPr>
          <w:sz w:val="28"/>
          <w:szCs w:val="28"/>
        </w:rPr>
      </w:pPr>
      <w:hyperlink r:id="rId9" w:anchor="1" w:tgtFrame="_top" w:tooltip="Iekšlietu ministrijas sistēmas iestāžu un Ieslodzījuma vietu pārvaldes amatpersonu ar speciālajām dienesta pakāpēm dienesta gait" w:history="1">
        <w:r w:rsidR="00C862B7" w:rsidRPr="0091106B">
          <w:rPr>
            <w:rStyle w:val="Hyperlink"/>
            <w:color w:val="auto"/>
            <w:sz w:val="28"/>
            <w:szCs w:val="28"/>
            <w:u w:val="none"/>
          </w:rPr>
          <w:t>8.panta pirmo daļu</w:t>
        </w:r>
      </w:hyperlink>
      <w:r w:rsidR="00C862B7" w:rsidRPr="0091106B">
        <w:rPr>
          <w:sz w:val="28"/>
          <w:szCs w:val="28"/>
        </w:rPr>
        <w:t xml:space="preserve"> un</w:t>
      </w:r>
      <w:hyperlink r:id="rId10" w:anchor="2" w:tgtFrame="_top" w:tooltip="Iekšlietu ministrijas sistēmas iestāžu un Ieslodzījuma vietu pārvaldes amatpersonu ar speciālajām dienesta pakāpēm dienesta gait" w:history="1">
        <w:r w:rsidR="00C862B7" w:rsidRPr="0091106B">
          <w:rPr>
            <w:sz w:val="28"/>
            <w:szCs w:val="28"/>
          </w:rPr>
          <w:t>15.panta pirmo daļu</w:t>
        </w:r>
      </w:hyperlink>
    </w:p>
    <w:p w:rsidR="00C862B7" w:rsidRDefault="00C862B7" w:rsidP="0026572C">
      <w:pPr>
        <w:pStyle w:val="naislab"/>
        <w:spacing w:before="0" w:after="0"/>
        <w:rPr>
          <w:sz w:val="28"/>
          <w:szCs w:val="28"/>
        </w:rPr>
      </w:pPr>
    </w:p>
    <w:p w:rsidR="009B056F" w:rsidRPr="009167D7" w:rsidRDefault="009B056F" w:rsidP="0026572C">
      <w:pPr>
        <w:pStyle w:val="naislab"/>
        <w:spacing w:before="0" w:after="0"/>
        <w:rPr>
          <w:sz w:val="28"/>
          <w:szCs w:val="28"/>
        </w:rPr>
      </w:pPr>
    </w:p>
    <w:p w:rsidR="00C862B7" w:rsidRPr="009167D7" w:rsidRDefault="00C862B7" w:rsidP="009E235E">
      <w:pPr>
        <w:ind w:firstLine="720"/>
        <w:jc w:val="both"/>
        <w:rPr>
          <w:sz w:val="28"/>
          <w:szCs w:val="28"/>
        </w:rPr>
      </w:pPr>
      <w:r w:rsidRPr="009167D7">
        <w:rPr>
          <w:sz w:val="28"/>
          <w:szCs w:val="28"/>
        </w:rPr>
        <w:t>1. Izdarīt Ministru kabineta 2010.</w:t>
      </w:r>
      <w:r w:rsidR="0091106B">
        <w:rPr>
          <w:sz w:val="28"/>
          <w:szCs w:val="28"/>
        </w:rPr>
        <w:t xml:space="preserve"> </w:t>
      </w:r>
      <w:r w:rsidRPr="009167D7">
        <w:rPr>
          <w:sz w:val="28"/>
          <w:szCs w:val="28"/>
        </w:rPr>
        <w:t xml:space="preserve">gada </w:t>
      </w:r>
      <w:r w:rsidRPr="009167D7">
        <w:rPr>
          <w:bCs/>
          <w:sz w:val="28"/>
          <w:szCs w:val="28"/>
        </w:rPr>
        <w:t>21.</w:t>
      </w:r>
      <w:r w:rsidR="0091106B">
        <w:rPr>
          <w:bCs/>
          <w:sz w:val="28"/>
          <w:szCs w:val="28"/>
        </w:rPr>
        <w:t xml:space="preserve"> </w:t>
      </w:r>
      <w:r w:rsidRPr="009167D7">
        <w:rPr>
          <w:bCs/>
          <w:sz w:val="28"/>
          <w:szCs w:val="28"/>
        </w:rPr>
        <w:t>jūnija noteikumos Nr.</w:t>
      </w:r>
      <w:r w:rsidR="0091106B">
        <w:rPr>
          <w:bCs/>
          <w:sz w:val="28"/>
          <w:szCs w:val="28"/>
        </w:rPr>
        <w:t xml:space="preserve"> </w:t>
      </w:r>
      <w:r w:rsidRPr="009167D7">
        <w:rPr>
          <w:bCs/>
          <w:sz w:val="28"/>
          <w:szCs w:val="28"/>
        </w:rPr>
        <w:t xml:space="preserve">568 „Noteikumi par Iekšlietu ministrijas sistēmas iestāžu un Ieslodzījuma vietu pārvaldes amatpersonu ar speciālajām dienesta pakāpēm mēnešalgu un speciālajām </w:t>
      </w:r>
      <w:r w:rsidRPr="00874FD0">
        <w:rPr>
          <w:bCs/>
          <w:sz w:val="28"/>
          <w:szCs w:val="28"/>
        </w:rPr>
        <w:t>piemaksām”</w:t>
      </w:r>
      <w:r w:rsidRPr="00874FD0">
        <w:rPr>
          <w:sz w:val="28"/>
          <w:szCs w:val="28"/>
        </w:rPr>
        <w:t xml:space="preserve"> (</w:t>
      </w:r>
      <w:r w:rsidRPr="00601D7A">
        <w:rPr>
          <w:sz w:val="28"/>
          <w:szCs w:val="28"/>
        </w:rPr>
        <w:t>Latvijas Vēstnesis, 2010, 101., 204.nr.; 2011, 124.nr.; 2012, 23.</w:t>
      </w:r>
      <w:r w:rsidR="00FA2F6E" w:rsidRPr="00601D7A">
        <w:rPr>
          <w:sz w:val="28"/>
          <w:szCs w:val="28"/>
        </w:rPr>
        <w:t>, 190.</w:t>
      </w:r>
      <w:r w:rsidRPr="00601D7A">
        <w:rPr>
          <w:sz w:val="28"/>
          <w:szCs w:val="28"/>
        </w:rPr>
        <w:t>nr.</w:t>
      </w:r>
      <w:r w:rsidR="00271530">
        <w:rPr>
          <w:sz w:val="28"/>
          <w:szCs w:val="28"/>
        </w:rPr>
        <w:t>; 2013, 153.nr.</w:t>
      </w:r>
      <w:r w:rsidRPr="00601D7A">
        <w:rPr>
          <w:sz w:val="28"/>
          <w:szCs w:val="28"/>
        </w:rPr>
        <w:t xml:space="preserve">) </w:t>
      </w:r>
      <w:r w:rsidRPr="00874FD0">
        <w:rPr>
          <w:sz w:val="28"/>
          <w:szCs w:val="28"/>
        </w:rPr>
        <w:t>šādus grozījumus</w:t>
      </w:r>
      <w:r w:rsidRPr="009167D7">
        <w:rPr>
          <w:sz w:val="28"/>
          <w:szCs w:val="28"/>
        </w:rPr>
        <w:t>:</w:t>
      </w:r>
    </w:p>
    <w:p w:rsidR="00C862B7" w:rsidRPr="009167D7" w:rsidRDefault="00C862B7" w:rsidP="009E235E">
      <w:pPr>
        <w:ind w:firstLine="720"/>
        <w:jc w:val="both"/>
        <w:rPr>
          <w:sz w:val="28"/>
          <w:szCs w:val="28"/>
        </w:rPr>
      </w:pPr>
    </w:p>
    <w:p w:rsidR="00C862B7" w:rsidRPr="00601D7A" w:rsidRDefault="004639D8" w:rsidP="00D6632F">
      <w:pPr>
        <w:pStyle w:val="ListParagraph"/>
        <w:numPr>
          <w:ilvl w:val="1"/>
          <w:numId w:val="7"/>
        </w:numPr>
        <w:tabs>
          <w:tab w:val="left" w:pos="1134"/>
          <w:tab w:val="left" w:pos="1276"/>
          <w:tab w:val="left" w:pos="1418"/>
        </w:tabs>
      </w:pPr>
      <w:r w:rsidRPr="00601D7A">
        <w:t>a</w:t>
      </w:r>
      <w:r w:rsidR="00FA2F6E" w:rsidRPr="00601D7A">
        <w:t>izstāt</w:t>
      </w:r>
      <w:r w:rsidR="005825FA" w:rsidRPr="00601D7A">
        <w:t xml:space="preserve"> </w:t>
      </w:r>
      <w:r w:rsidR="00C862B7" w:rsidRPr="00601D7A">
        <w:t>9.punkt</w:t>
      </w:r>
      <w:r w:rsidR="00FA2F6E" w:rsidRPr="00601D7A">
        <w:t>ā</w:t>
      </w:r>
      <w:r w:rsidR="00C862B7" w:rsidRPr="00601D7A">
        <w:t xml:space="preserve"> </w:t>
      </w:r>
      <w:r w:rsidR="00DB62AB" w:rsidRPr="00601D7A">
        <w:t>skaitli</w:t>
      </w:r>
      <w:r w:rsidR="00FA2F6E" w:rsidRPr="00601D7A">
        <w:t xml:space="preserve"> un vārdu „275</w:t>
      </w:r>
      <w:r w:rsidR="00DB62AB" w:rsidRPr="00601D7A">
        <w:t xml:space="preserve"> latu</w:t>
      </w:r>
      <w:r w:rsidR="00FA2F6E" w:rsidRPr="00601D7A">
        <w:t>”</w:t>
      </w:r>
      <w:r w:rsidR="00DB62AB" w:rsidRPr="00601D7A">
        <w:t xml:space="preserve"> </w:t>
      </w:r>
      <w:r w:rsidR="00FA2F6E" w:rsidRPr="00601D7A">
        <w:t xml:space="preserve">ar </w:t>
      </w:r>
      <w:r w:rsidR="00DB62AB" w:rsidRPr="00601D7A">
        <w:t>skaitli</w:t>
      </w:r>
      <w:r w:rsidR="00FA2F6E" w:rsidRPr="00601D7A">
        <w:t xml:space="preserve"> un vārdu</w:t>
      </w:r>
      <w:r w:rsidR="00271530">
        <w:t xml:space="preserve"> </w:t>
      </w:r>
      <w:r w:rsidR="00D6632F">
        <w:t xml:space="preserve"> 4</w:t>
      </w:r>
      <w:r w:rsidR="00B566C4">
        <w:t>1</w:t>
      </w:r>
      <w:r w:rsidR="00D6632F">
        <w:t>2,63</w:t>
      </w:r>
      <w:r w:rsidR="00B566C4">
        <w:t xml:space="preserve"> </w:t>
      </w:r>
      <w:proofErr w:type="spellStart"/>
      <w:r w:rsidR="00FA2F6E" w:rsidRPr="00D6632F">
        <w:rPr>
          <w:i/>
        </w:rPr>
        <w:t>euro</w:t>
      </w:r>
      <w:proofErr w:type="spellEnd"/>
      <w:r w:rsidR="00321BB9" w:rsidRPr="00601D7A">
        <w:t>”;</w:t>
      </w:r>
    </w:p>
    <w:p w:rsidR="0091106B" w:rsidRDefault="0091106B" w:rsidP="003952CD">
      <w:pPr>
        <w:pStyle w:val="naislab"/>
        <w:spacing w:before="0" w:after="0"/>
        <w:rPr>
          <w:sz w:val="28"/>
          <w:szCs w:val="28"/>
        </w:rPr>
      </w:pPr>
    </w:p>
    <w:p w:rsidR="0091106B" w:rsidRDefault="0091106B" w:rsidP="003952CD">
      <w:pPr>
        <w:pStyle w:val="naislab"/>
        <w:spacing w:before="0" w:after="0"/>
        <w:rPr>
          <w:sz w:val="28"/>
          <w:szCs w:val="28"/>
        </w:rPr>
      </w:pPr>
    </w:p>
    <w:p w:rsidR="0091106B" w:rsidRDefault="0091106B" w:rsidP="003952CD">
      <w:pPr>
        <w:pStyle w:val="naislab"/>
        <w:spacing w:before="0" w:after="0"/>
        <w:rPr>
          <w:sz w:val="28"/>
          <w:szCs w:val="28"/>
        </w:rPr>
      </w:pPr>
    </w:p>
    <w:p w:rsidR="00B766A3" w:rsidRDefault="00B766A3" w:rsidP="00CE7598">
      <w:pPr>
        <w:pStyle w:val="naislab"/>
        <w:spacing w:before="0" w:after="0"/>
        <w:rPr>
          <w:sz w:val="28"/>
          <w:szCs w:val="28"/>
        </w:rPr>
        <w:sectPr w:rsidR="00B766A3" w:rsidSect="00C03152">
          <w:headerReference w:type="default" r:id="rId11"/>
          <w:footerReference w:type="defaul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03152" w:rsidRDefault="00C03152" w:rsidP="00C03152">
      <w:pPr>
        <w:ind w:firstLine="720"/>
        <w:rPr>
          <w:sz w:val="28"/>
          <w:szCs w:val="28"/>
        </w:rPr>
      </w:pPr>
      <w:r w:rsidRPr="0091106B"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 xml:space="preserve">. </w:t>
      </w:r>
      <w:r w:rsidRPr="0091106B">
        <w:rPr>
          <w:sz w:val="28"/>
          <w:szCs w:val="28"/>
        </w:rPr>
        <w:t>izteikt 1.pielikumu šādā redakcijā:</w:t>
      </w:r>
    </w:p>
    <w:p w:rsidR="005825FA" w:rsidRPr="00B13881" w:rsidRDefault="00B3466E" w:rsidP="00CE7598">
      <w:pPr>
        <w:pStyle w:val="naislab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„</w:t>
      </w:r>
      <w:r w:rsidR="005825FA">
        <w:rPr>
          <w:sz w:val="28"/>
          <w:szCs w:val="28"/>
        </w:rPr>
        <w:t>1.p</w:t>
      </w:r>
      <w:r w:rsidR="005825FA" w:rsidRPr="00B13881">
        <w:rPr>
          <w:sz w:val="28"/>
          <w:szCs w:val="28"/>
        </w:rPr>
        <w:t>ielikums</w:t>
      </w:r>
    </w:p>
    <w:p w:rsidR="005825FA" w:rsidRPr="00B13881" w:rsidRDefault="005825FA" w:rsidP="005825FA">
      <w:pPr>
        <w:jc w:val="right"/>
        <w:rPr>
          <w:sz w:val="28"/>
          <w:szCs w:val="28"/>
        </w:rPr>
      </w:pPr>
      <w:r w:rsidRPr="00B13881">
        <w:rPr>
          <w:sz w:val="28"/>
          <w:szCs w:val="28"/>
        </w:rPr>
        <w:t>Ministru kabineta</w:t>
      </w:r>
    </w:p>
    <w:p w:rsidR="005825FA" w:rsidRPr="00B13881" w:rsidRDefault="005825FA" w:rsidP="005825FA">
      <w:pPr>
        <w:jc w:val="right"/>
        <w:rPr>
          <w:sz w:val="28"/>
          <w:szCs w:val="28"/>
        </w:rPr>
      </w:pPr>
      <w:r w:rsidRPr="00B13881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B13881">
        <w:rPr>
          <w:sz w:val="28"/>
          <w:szCs w:val="28"/>
        </w:rPr>
        <w:t>.gada 2</w:t>
      </w:r>
      <w:r>
        <w:rPr>
          <w:sz w:val="28"/>
          <w:szCs w:val="28"/>
        </w:rPr>
        <w:t>1</w:t>
      </w:r>
      <w:r w:rsidRPr="00B13881">
        <w:rPr>
          <w:sz w:val="28"/>
          <w:szCs w:val="28"/>
        </w:rPr>
        <w:t>.</w:t>
      </w:r>
      <w:r w:rsidRPr="007529B2">
        <w:rPr>
          <w:bCs/>
          <w:sz w:val="28"/>
          <w:szCs w:val="28"/>
        </w:rPr>
        <w:t>jūnija</w:t>
      </w:r>
    </w:p>
    <w:p w:rsidR="00CE7598" w:rsidRPr="005825FA" w:rsidRDefault="005825FA" w:rsidP="008854C8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Nr.568</w:t>
      </w:r>
    </w:p>
    <w:p w:rsidR="00C862B7" w:rsidRPr="006D29C2" w:rsidRDefault="00C862B7" w:rsidP="008854C8">
      <w:pPr>
        <w:spacing w:before="120" w:after="140"/>
        <w:jc w:val="center"/>
        <w:rPr>
          <w:b/>
          <w:sz w:val="28"/>
          <w:szCs w:val="28"/>
        </w:rPr>
      </w:pPr>
      <w:r w:rsidRPr="006D29C2">
        <w:rPr>
          <w:b/>
          <w:sz w:val="28"/>
          <w:szCs w:val="28"/>
        </w:rPr>
        <w:t>Amatpersonu mēnešalga (</w:t>
      </w:r>
      <w:proofErr w:type="spellStart"/>
      <w:r w:rsidR="00064954" w:rsidRPr="006D29C2">
        <w:rPr>
          <w:b/>
          <w:i/>
          <w:sz w:val="28"/>
          <w:szCs w:val="28"/>
        </w:rPr>
        <w:t>euro</w:t>
      </w:r>
      <w:proofErr w:type="spellEnd"/>
      <w:r w:rsidRPr="006D29C2">
        <w:rPr>
          <w:b/>
          <w:sz w:val="28"/>
          <w:szCs w:val="28"/>
        </w:rPr>
        <w:t>)</w:t>
      </w:r>
    </w:p>
    <w:tbl>
      <w:tblPr>
        <w:tblW w:w="1438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Amata kategorija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Amata līmenis</w:t>
            </w:r>
          </w:p>
        </w:tc>
        <w:tc>
          <w:tcPr>
            <w:tcW w:w="126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Izdiena</w:t>
            </w:r>
          </w:p>
        </w:tc>
      </w:tr>
      <w:tr w:rsidR="008854C8" w:rsidRPr="006D29C2" w:rsidTr="00050115">
        <w:trPr>
          <w:trHeight w:hRule="exact" w:val="5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līdz 2 gadiem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2-5 gadi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5-8 gadi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8-12 gadi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12-16 gadi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16-20 gadiem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20-25 gadi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C8" w:rsidRPr="006D29C2" w:rsidRDefault="008854C8" w:rsidP="00050115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vairāk par 25 gadiem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maks.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478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498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581</w:t>
            </w:r>
          </w:p>
        </w:tc>
      </w:tr>
      <w:tr w:rsidR="006D29C2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640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657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541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0115">
              <w:rPr>
                <w:color w:val="000000" w:themeColor="text1"/>
                <w:sz w:val="18"/>
                <w:szCs w:val="18"/>
              </w:rPr>
              <w:t>652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646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714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703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05011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050115">
              <w:rPr>
                <w:color w:val="000000"/>
                <w:sz w:val="18"/>
                <w:szCs w:val="18"/>
              </w:rPr>
              <w:t>697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751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797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774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757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832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F34CD1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F34CD1">
              <w:rPr>
                <w:color w:val="000000"/>
                <w:sz w:val="18"/>
                <w:szCs w:val="18"/>
              </w:rPr>
              <w:t>821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  <w:highlight w:val="green"/>
              </w:rPr>
            </w:pPr>
            <w:r w:rsidRPr="002D7EAC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2D7EAC" w:rsidP="00EE3CB4">
            <w:pPr>
              <w:jc w:val="right"/>
              <w:rPr>
                <w:color w:val="000000"/>
                <w:sz w:val="18"/>
                <w:szCs w:val="18"/>
                <w:highlight w:val="green"/>
              </w:rPr>
            </w:pPr>
            <w:r w:rsidRPr="00AE7179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  <w:highlight w:val="green"/>
              </w:rPr>
            </w:pPr>
            <w:r w:rsidRPr="002D7EAC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2D7EAC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2D7EAC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2D7EAC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2D7EAC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2D7EAC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977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2D7EAC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2D7EAC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965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  <w:highlight w:val="green"/>
              </w:rPr>
            </w:pPr>
            <w:r w:rsidRPr="002D7EAC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2D7EAC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2D7EAC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2D7EAC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954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2D7EAC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2D7EA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574503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574503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574503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574503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2D7EAC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942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574503" w:rsidRDefault="008854C8" w:rsidP="00EE3CB4">
            <w:pPr>
              <w:jc w:val="right"/>
              <w:rPr>
                <w:color w:val="000000" w:themeColor="text1"/>
                <w:sz w:val="18"/>
                <w:szCs w:val="18"/>
                <w:highlight w:val="green"/>
              </w:rPr>
            </w:pPr>
            <w:r w:rsidRPr="00574503">
              <w:rPr>
                <w:color w:val="000000" w:themeColor="text1"/>
                <w:sz w:val="18"/>
                <w:szCs w:val="18"/>
              </w:rPr>
              <w:t>805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574503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574503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74503">
              <w:rPr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978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814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982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574503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988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824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574503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998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832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574503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1 001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842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574503" w:rsidP="00EE3CB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7179">
              <w:rPr>
                <w:color w:val="000000" w:themeColor="text1"/>
                <w:sz w:val="18"/>
                <w:szCs w:val="18"/>
              </w:rPr>
              <w:t>1 011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BB4C7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BB4C75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BB4C7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BB4C75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BB4C75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BB4C75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BB4C75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BB4C75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BB4C75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999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BB4C75" w:rsidRDefault="008854C8" w:rsidP="00EE3CB4">
            <w:pPr>
              <w:jc w:val="right"/>
              <w:rPr>
                <w:color w:val="000000"/>
                <w:sz w:val="18"/>
                <w:szCs w:val="18"/>
                <w:highlight w:val="green"/>
              </w:rPr>
            </w:pPr>
            <w:r w:rsidRPr="00BB4C75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BB4C75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BB4C7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BB4C75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BB4C75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BB4C75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988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BB4C7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BB4C75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BB4C75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BB4C75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BB4C75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1 307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1 312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1 322</w:t>
            </w:r>
          </w:p>
        </w:tc>
      </w:tr>
      <w:tr w:rsidR="008854C8" w:rsidRPr="00BB4C75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BB4C75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1 265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1 167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96336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1 172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1 177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1 181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1 187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96336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E0450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1 199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E0450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1 209</w:t>
            </w:r>
          </w:p>
        </w:tc>
      </w:tr>
      <w:tr w:rsidR="008854C8" w:rsidRPr="006D29C2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1 656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96336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2 562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1 660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96336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2 566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1 666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96336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2 572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96336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2 576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1 676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96336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2 582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1 682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2 587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1 688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96336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2 593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1 697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96336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2 603</w:t>
            </w:r>
          </w:p>
        </w:tc>
      </w:tr>
      <w:tr w:rsidR="008854C8" w:rsidRPr="002F4BDF" w:rsidTr="00EE3CB4">
        <w:trPr>
          <w:trHeight w:hRule="exact" w:val="2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>
            <w:pPr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 w:rsidP="00EE3CB4">
            <w:pPr>
              <w:jc w:val="center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1 087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EE3CB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6D29C2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6D29C2">
              <w:rPr>
                <w:color w:val="000000"/>
                <w:sz w:val="18"/>
                <w:szCs w:val="18"/>
              </w:rPr>
              <w:t>1 091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EE3CB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1 997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1 097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EE3CB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1 107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1 118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EE3CB4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8854C8" w:rsidP="00EE3CB4">
            <w:pPr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1 128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8" w:rsidRPr="00AE7179" w:rsidRDefault="00EE3CB4" w:rsidP="00EE3CB4">
            <w:pPr>
              <w:ind w:left="95"/>
              <w:jc w:val="right"/>
              <w:rPr>
                <w:color w:val="000000"/>
                <w:sz w:val="18"/>
                <w:szCs w:val="18"/>
              </w:rPr>
            </w:pPr>
            <w:r w:rsidRPr="00AE7179">
              <w:rPr>
                <w:color w:val="000000"/>
                <w:sz w:val="18"/>
                <w:szCs w:val="18"/>
              </w:rPr>
              <w:t>2 034</w:t>
            </w:r>
          </w:p>
        </w:tc>
      </w:tr>
    </w:tbl>
    <w:p w:rsidR="007A5F74" w:rsidRDefault="007A5F74" w:rsidP="00B766A3">
      <w:pPr>
        <w:rPr>
          <w:sz w:val="28"/>
          <w:szCs w:val="28"/>
        </w:rPr>
        <w:sectPr w:rsidR="007A5F74" w:rsidSect="008854C8">
          <w:headerReference w:type="default" r:id="rId14"/>
          <w:footerReference w:type="default" r:id="rId15"/>
          <w:footerReference w:type="first" r:id="rId16"/>
          <w:pgSz w:w="16838" w:h="11906" w:orient="landscape"/>
          <w:pgMar w:top="786" w:right="1134" w:bottom="1134" w:left="1134" w:header="692" w:footer="709" w:gutter="0"/>
          <w:cols w:space="708"/>
          <w:docGrid w:linePitch="360"/>
        </w:sectPr>
      </w:pPr>
    </w:p>
    <w:p w:rsidR="008842E9" w:rsidRDefault="008842E9" w:rsidP="008842E9">
      <w:pPr>
        <w:numPr>
          <w:ilvl w:val="1"/>
          <w:numId w:val="1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papildināt 2.pielikumu ar 1.1.11.</w:t>
      </w:r>
      <w:r>
        <w:rPr>
          <w:sz w:val="28"/>
          <w:szCs w:val="28"/>
          <w:vertAlign w:val="superscript"/>
        </w:rPr>
        <w:t>1</w:t>
      </w:r>
      <w:r w:rsidR="009B5D2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apakšpunktu šādā redakcijā:</w:t>
      </w:r>
    </w:p>
    <w:p w:rsidR="008842E9" w:rsidRDefault="008842E9" w:rsidP="008842E9">
      <w:pPr>
        <w:ind w:left="10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9"/>
        <w:gridCol w:w="5212"/>
        <w:gridCol w:w="1374"/>
        <w:gridCol w:w="1197"/>
      </w:tblGrid>
      <w:tr w:rsidR="008842E9" w:rsidRPr="008842E9" w:rsidTr="008842E9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42E9" w:rsidRPr="008842E9" w:rsidRDefault="008842E9" w:rsidP="008842E9">
            <w:pPr>
              <w:jc w:val="both"/>
              <w:rPr>
                <w:szCs w:val="28"/>
              </w:rPr>
            </w:pPr>
            <w:r w:rsidRPr="008842E9">
              <w:rPr>
                <w:szCs w:val="28"/>
              </w:rPr>
              <w:t>„1.1.11.</w:t>
            </w:r>
            <w:r w:rsidRPr="009B5D25">
              <w:rPr>
                <w:szCs w:val="28"/>
                <w:vertAlign w:val="superscript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42E9" w:rsidRPr="008842E9" w:rsidRDefault="008842E9" w:rsidP="008842E9">
            <w:pPr>
              <w:jc w:val="both"/>
              <w:rPr>
                <w:szCs w:val="28"/>
              </w:rPr>
            </w:pPr>
            <w:r w:rsidRPr="008842E9">
              <w:rPr>
                <w:szCs w:val="28"/>
              </w:rPr>
              <w:t>Operatīvais dežurants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42E9" w:rsidRPr="008842E9" w:rsidRDefault="008842E9" w:rsidP="008842E9">
            <w:pPr>
              <w:jc w:val="both"/>
              <w:rPr>
                <w:szCs w:val="28"/>
              </w:rPr>
            </w:pPr>
            <w:r w:rsidRPr="008842E9">
              <w:rPr>
                <w:szCs w:val="28"/>
              </w:rPr>
              <w:t>11.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2E9" w:rsidRPr="008842E9" w:rsidRDefault="008842E9" w:rsidP="008842E9">
            <w:pPr>
              <w:jc w:val="both"/>
              <w:rPr>
                <w:szCs w:val="28"/>
              </w:rPr>
            </w:pPr>
            <w:r w:rsidRPr="008842E9">
              <w:rPr>
                <w:szCs w:val="28"/>
              </w:rPr>
              <w:t>C”</w:t>
            </w:r>
          </w:p>
        </w:tc>
      </w:tr>
    </w:tbl>
    <w:p w:rsidR="008842E9" w:rsidRPr="008842E9" w:rsidRDefault="008842E9" w:rsidP="008842E9">
      <w:pPr>
        <w:jc w:val="both"/>
        <w:rPr>
          <w:szCs w:val="28"/>
        </w:rPr>
      </w:pPr>
    </w:p>
    <w:p w:rsidR="008842E9" w:rsidRPr="009B5D25" w:rsidRDefault="008842E9" w:rsidP="009B5D25">
      <w:pPr>
        <w:pStyle w:val="ListParagraph"/>
        <w:numPr>
          <w:ilvl w:val="1"/>
          <w:numId w:val="10"/>
        </w:numPr>
      </w:pPr>
      <w:r w:rsidRPr="009B5D25">
        <w:t>papildināt 2.pielikumu ar 1.2.11.</w:t>
      </w:r>
      <w:r w:rsidRPr="009B5D25">
        <w:rPr>
          <w:vertAlign w:val="superscript"/>
        </w:rPr>
        <w:t>1</w:t>
      </w:r>
      <w:r w:rsidR="00891DC9">
        <w:rPr>
          <w:vertAlign w:val="superscript"/>
        </w:rPr>
        <w:t xml:space="preserve"> </w:t>
      </w:r>
      <w:r w:rsidRPr="009B5D25">
        <w:t>apakšpunktu šādā redakcijā:</w:t>
      </w:r>
    </w:p>
    <w:p w:rsidR="008842E9" w:rsidRPr="008842E9" w:rsidRDefault="008842E9" w:rsidP="008842E9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9"/>
        <w:gridCol w:w="5212"/>
        <w:gridCol w:w="1374"/>
        <w:gridCol w:w="1197"/>
      </w:tblGrid>
      <w:tr w:rsidR="008842E9" w:rsidRPr="008842E9" w:rsidTr="008842E9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42E9" w:rsidRPr="008842E9" w:rsidRDefault="008842E9" w:rsidP="008842E9">
            <w:pPr>
              <w:jc w:val="both"/>
              <w:rPr>
                <w:szCs w:val="28"/>
              </w:rPr>
            </w:pPr>
            <w:r w:rsidRPr="008842E9">
              <w:rPr>
                <w:szCs w:val="28"/>
              </w:rPr>
              <w:t>„1.2.11.</w:t>
            </w:r>
            <w:r w:rsidRPr="009B5D25">
              <w:rPr>
                <w:szCs w:val="28"/>
                <w:vertAlign w:val="superscript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42E9" w:rsidRPr="008842E9" w:rsidRDefault="008842E9" w:rsidP="008842E9">
            <w:pPr>
              <w:jc w:val="both"/>
              <w:rPr>
                <w:szCs w:val="28"/>
              </w:rPr>
            </w:pPr>
            <w:r w:rsidRPr="008842E9">
              <w:rPr>
                <w:szCs w:val="28"/>
              </w:rPr>
              <w:t>Operatīvais dežurants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42E9" w:rsidRPr="008842E9" w:rsidRDefault="008842E9" w:rsidP="008842E9">
            <w:pPr>
              <w:jc w:val="both"/>
              <w:rPr>
                <w:szCs w:val="28"/>
              </w:rPr>
            </w:pPr>
            <w:r w:rsidRPr="008842E9">
              <w:rPr>
                <w:szCs w:val="28"/>
              </w:rPr>
              <w:t>10.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2E9" w:rsidRPr="008842E9" w:rsidRDefault="008842E9" w:rsidP="008842E9">
            <w:pPr>
              <w:jc w:val="both"/>
              <w:rPr>
                <w:szCs w:val="28"/>
              </w:rPr>
            </w:pPr>
            <w:r w:rsidRPr="008842E9">
              <w:rPr>
                <w:szCs w:val="28"/>
              </w:rPr>
              <w:t>C”</w:t>
            </w:r>
          </w:p>
        </w:tc>
      </w:tr>
    </w:tbl>
    <w:p w:rsidR="009B5D25" w:rsidRDefault="009B5D25" w:rsidP="009B5D25">
      <w:pPr>
        <w:ind w:left="142"/>
      </w:pPr>
    </w:p>
    <w:p w:rsidR="008842E9" w:rsidRPr="009B5D25" w:rsidRDefault="008842E9" w:rsidP="009B5D25">
      <w:pPr>
        <w:pStyle w:val="ListParagraph"/>
        <w:numPr>
          <w:ilvl w:val="1"/>
          <w:numId w:val="10"/>
        </w:numPr>
      </w:pPr>
      <w:r w:rsidRPr="009B5D25">
        <w:t>papildināt 2.pielikumu ar 1.4.3.</w:t>
      </w:r>
      <w:r w:rsidRPr="00891DC9">
        <w:rPr>
          <w:vertAlign w:val="superscript"/>
        </w:rPr>
        <w:t>1</w:t>
      </w:r>
      <w:r w:rsidRPr="009B5D25">
        <w:t xml:space="preserve"> apakšpunktu šādā redakcijā:</w:t>
      </w:r>
    </w:p>
    <w:p w:rsidR="008842E9" w:rsidRPr="008842E9" w:rsidRDefault="008842E9" w:rsidP="008842E9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5286"/>
        <w:gridCol w:w="1258"/>
        <w:gridCol w:w="978"/>
      </w:tblGrid>
      <w:tr w:rsidR="008842E9" w:rsidRPr="008842E9" w:rsidTr="008842E9">
        <w:tc>
          <w:tcPr>
            <w:tcW w:w="1550" w:type="dxa"/>
            <w:shd w:val="clear" w:color="auto" w:fill="auto"/>
          </w:tcPr>
          <w:p w:rsidR="008842E9" w:rsidRPr="001E6477" w:rsidRDefault="008842E9" w:rsidP="00C151CA">
            <w:pPr>
              <w:jc w:val="both"/>
              <w:rPr>
                <w:szCs w:val="28"/>
              </w:rPr>
            </w:pPr>
            <w:r w:rsidRPr="001E6477">
              <w:rPr>
                <w:szCs w:val="28"/>
              </w:rPr>
              <w:t>„1.4.3.</w:t>
            </w:r>
            <w:r w:rsidRPr="009B5D25">
              <w:rPr>
                <w:szCs w:val="28"/>
                <w:vertAlign w:val="superscript"/>
              </w:rPr>
              <w:t>1</w:t>
            </w:r>
          </w:p>
        </w:tc>
        <w:tc>
          <w:tcPr>
            <w:tcW w:w="5286" w:type="dxa"/>
            <w:shd w:val="clear" w:color="auto" w:fill="auto"/>
          </w:tcPr>
          <w:p w:rsidR="008842E9" w:rsidRPr="001E6477" w:rsidRDefault="008842E9" w:rsidP="00C151CA">
            <w:pPr>
              <w:jc w:val="both"/>
              <w:rPr>
                <w:szCs w:val="28"/>
              </w:rPr>
            </w:pPr>
            <w:r w:rsidRPr="001E6477">
              <w:rPr>
                <w:szCs w:val="28"/>
              </w:rPr>
              <w:t>Filiāles vadītājs</w:t>
            </w:r>
          </w:p>
        </w:tc>
        <w:tc>
          <w:tcPr>
            <w:tcW w:w="1258" w:type="dxa"/>
            <w:shd w:val="clear" w:color="auto" w:fill="auto"/>
          </w:tcPr>
          <w:p w:rsidR="008842E9" w:rsidRPr="001E6477" w:rsidRDefault="008842E9" w:rsidP="00C151CA">
            <w:pPr>
              <w:jc w:val="both"/>
              <w:rPr>
                <w:szCs w:val="28"/>
              </w:rPr>
            </w:pPr>
            <w:r w:rsidRPr="001E6477">
              <w:rPr>
                <w:szCs w:val="28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8842E9" w:rsidRPr="001E6477" w:rsidRDefault="008842E9" w:rsidP="00C151CA">
            <w:pPr>
              <w:jc w:val="both"/>
              <w:rPr>
                <w:szCs w:val="28"/>
              </w:rPr>
            </w:pPr>
            <w:r w:rsidRPr="001E6477">
              <w:rPr>
                <w:szCs w:val="28"/>
              </w:rPr>
              <w:t>B”</w:t>
            </w:r>
          </w:p>
        </w:tc>
      </w:tr>
    </w:tbl>
    <w:p w:rsidR="008842E9" w:rsidRPr="008842E9" w:rsidRDefault="008842E9" w:rsidP="008842E9">
      <w:pPr>
        <w:jc w:val="both"/>
        <w:rPr>
          <w:szCs w:val="28"/>
        </w:rPr>
      </w:pPr>
    </w:p>
    <w:p w:rsidR="008842E9" w:rsidRPr="00891DC9" w:rsidRDefault="008842E9" w:rsidP="00891DC9">
      <w:pPr>
        <w:pStyle w:val="ListParagraph"/>
        <w:numPr>
          <w:ilvl w:val="1"/>
          <w:numId w:val="10"/>
        </w:numPr>
      </w:pPr>
      <w:r w:rsidRPr="00891DC9">
        <w:t>papildināt 2.pielikumu ar 1.5.11.</w:t>
      </w:r>
      <w:r w:rsidRPr="00891DC9">
        <w:rPr>
          <w:vertAlign w:val="superscript"/>
        </w:rPr>
        <w:t>1</w:t>
      </w:r>
      <w:r w:rsidR="00891DC9">
        <w:rPr>
          <w:vertAlign w:val="superscript"/>
        </w:rPr>
        <w:t xml:space="preserve"> </w:t>
      </w:r>
      <w:r w:rsidRPr="00891DC9">
        <w:t>apakšpunktu šādā redakcijā:</w:t>
      </w:r>
    </w:p>
    <w:p w:rsidR="008842E9" w:rsidRPr="008842E9" w:rsidRDefault="008842E9" w:rsidP="008842E9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9"/>
        <w:gridCol w:w="5212"/>
        <w:gridCol w:w="1374"/>
        <w:gridCol w:w="1197"/>
      </w:tblGrid>
      <w:tr w:rsidR="008842E9" w:rsidRPr="008842E9" w:rsidTr="008842E9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42E9" w:rsidRPr="008842E9" w:rsidRDefault="008842E9" w:rsidP="008842E9">
            <w:pPr>
              <w:jc w:val="both"/>
              <w:rPr>
                <w:szCs w:val="28"/>
              </w:rPr>
            </w:pPr>
            <w:r w:rsidRPr="008842E9">
              <w:rPr>
                <w:szCs w:val="28"/>
              </w:rPr>
              <w:t>„1.5.11.</w:t>
            </w:r>
            <w:r w:rsidRPr="009B5D25">
              <w:rPr>
                <w:szCs w:val="28"/>
                <w:vertAlign w:val="superscript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42E9" w:rsidRPr="008842E9" w:rsidRDefault="008842E9" w:rsidP="008842E9">
            <w:pPr>
              <w:jc w:val="both"/>
              <w:rPr>
                <w:szCs w:val="28"/>
              </w:rPr>
            </w:pPr>
            <w:r w:rsidRPr="008842E9">
              <w:rPr>
                <w:szCs w:val="28"/>
              </w:rPr>
              <w:t>Operatīvais dežurants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42E9" w:rsidRPr="008842E9" w:rsidRDefault="008842E9" w:rsidP="008842E9">
            <w:pPr>
              <w:jc w:val="both"/>
              <w:rPr>
                <w:szCs w:val="28"/>
              </w:rPr>
            </w:pPr>
            <w:r w:rsidRPr="008842E9">
              <w:rPr>
                <w:szCs w:val="28"/>
              </w:rPr>
              <w:t>9.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2E9" w:rsidRPr="008842E9" w:rsidRDefault="008842E9" w:rsidP="008842E9">
            <w:pPr>
              <w:jc w:val="both"/>
              <w:rPr>
                <w:szCs w:val="28"/>
              </w:rPr>
            </w:pPr>
            <w:r w:rsidRPr="008842E9">
              <w:rPr>
                <w:szCs w:val="28"/>
              </w:rPr>
              <w:t>C”</w:t>
            </w:r>
          </w:p>
        </w:tc>
      </w:tr>
    </w:tbl>
    <w:p w:rsidR="005E613B" w:rsidRDefault="005E613B" w:rsidP="008854C8">
      <w:pPr>
        <w:ind w:firstLine="720"/>
        <w:rPr>
          <w:sz w:val="28"/>
          <w:szCs w:val="28"/>
        </w:rPr>
      </w:pPr>
    </w:p>
    <w:p w:rsidR="00790C75" w:rsidRPr="00BA71FA" w:rsidRDefault="004639D8" w:rsidP="00955929">
      <w:pPr>
        <w:pStyle w:val="ListParagraph"/>
        <w:numPr>
          <w:ilvl w:val="1"/>
          <w:numId w:val="10"/>
        </w:numPr>
      </w:pPr>
      <w:r w:rsidRPr="00BA71FA">
        <w:t>i</w:t>
      </w:r>
      <w:r w:rsidR="00B6372D" w:rsidRPr="00BA71FA">
        <w:t>zteikt 3.</w:t>
      </w:r>
      <w:r w:rsidR="00154515" w:rsidRPr="00BA71FA">
        <w:t>un 4.</w:t>
      </w:r>
      <w:r w:rsidR="00B6372D" w:rsidRPr="00BA71FA">
        <w:t>pielikumu šādā redakcijā: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4678"/>
        <w:gridCol w:w="2977"/>
      </w:tblGrid>
      <w:tr w:rsidR="00B6372D" w:rsidRPr="005A4114" w:rsidTr="00871951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72D" w:rsidRPr="005A4114" w:rsidRDefault="005A4114" w:rsidP="008854C8">
            <w:pPr>
              <w:spacing w:before="160"/>
              <w:jc w:val="right"/>
              <w:rPr>
                <w:color w:val="000000"/>
                <w:sz w:val="28"/>
                <w:szCs w:val="28"/>
              </w:rPr>
            </w:pPr>
            <w:bookmarkStart w:id="1" w:name="RANGE!A1"/>
            <w:r>
              <w:rPr>
                <w:color w:val="000000"/>
                <w:sz w:val="28"/>
                <w:szCs w:val="28"/>
              </w:rPr>
              <w:t xml:space="preserve">     </w:t>
            </w:r>
            <w:r w:rsidR="00046798" w:rsidRPr="005A4114">
              <w:rPr>
                <w:color w:val="000000"/>
                <w:sz w:val="28"/>
                <w:szCs w:val="28"/>
              </w:rPr>
              <w:t>„</w:t>
            </w:r>
            <w:r w:rsidR="00B6372D" w:rsidRPr="005A4114">
              <w:rPr>
                <w:color w:val="000000"/>
                <w:sz w:val="28"/>
                <w:szCs w:val="28"/>
              </w:rPr>
              <w:t>3.pielikums</w:t>
            </w:r>
            <w:bookmarkEnd w:id="1"/>
          </w:p>
        </w:tc>
      </w:tr>
      <w:tr w:rsidR="00B6372D" w:rsidRPr="005A4114" w:rsidTr="00871951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72D" w:rsidRPr="005A4114" w:rsidRDefault="00B6372D" w:rsidP="00362519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Ministru kabineta</w:t>
            </w:r>
          </w:p>
        </w:tc>
      </w:tr>
      <w:tr w:rsidR="00B6372D" w:rsidRPr="005A4114" w:rsidTr="00871951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72D" w:rsidRPr="005A4114" w:rsidRDefault="00B6372D" w:rsidP="00362519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2010.gada 21.jūnija</w:t>
            </w:r>
          </w:p>
        </w:tc>
      </w:tr>
      <w:tr w:rsidR="00B6372D" w:rsidRPr="005A4114" w:rsidTr="00871951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72D" w:rsidRPr="005A4114" w:rsidRDefault="00B6372D" w:rsidP="00871951">
            <w:pPr>
              <w:spacing w:after="240"/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noteikumiem Nr.568</w:t>
            </w:r>
          </w:p>
        </w:tc>
      </w:tr>
      <w:tr w:rsidR="00B6372D" w:rsidRPr="00FA6E11" w:rsidTr="00871951">
        <w:trPr>
          <w:trHeight w:val="510"/>
        </w:trPr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2D" w:rsidRPr="00955929" w:rsidRDefault="00B6372D">
            <w:pPr>
              <w:jc w:val="center"/>
              <w:rPr>
                <w:b/>
                <w:bCs/>
                <w:color w:val="000000"/>
              </w:rPr>
            </w:pPr>
            <w:r w:rsidRPr="00955929">
              <w:rPr>
                <w:b/>
                <w:color w:val="000000"/>
                <w:sz w:val="28"/>
                <w:szCs w:val="28"/>
              </w:rPr>
              <w:t>Piemaksa par speciālo dienesta pakāpi</w:t>
            </w:r>
          </w:p>
        </w:tc>
      </w:tr>
      <w:tr w:rsidR="00B6372D" w:rsidRPr="005A4114" w:rsidTr="008854C8">
        <w:trPr>
          <w:trHeight w:val="8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Nr. p.k.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Speciālā dienesta pakāpe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2D" w:rsidRPr="005A4114" w:rsidRDefault="00B6372D" w:rsidP="00C250AE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Piemaksas apmērs mēnesī (</w:t>
            </w:r>
            <w:proofErr w:type="spellStart"/>
            <w:r w:rsidR="00C250AE"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5A4114">
              <w:rPr>
                <w:color w:val="000000"/>
                <w:sz w:val="28"/>
                <w:szCs w:val="28"/>
              </w:rPr>
              <w:t>)</w:t>
            </w:r>
          </w:p>
        </w:tc>
      </w:tr>
      <w:tr w:rsidR="00B6372D" w:rsidRPr="005A4114" w:rsidTr="00871951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Ģenerālis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3952CD" w:rsidRDefault="00B6372D" w:rsidP="00101C4D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14</w:t>
            </w:r>
            <w:r w:rsidR="00101C4D" w:rsidRPr="003952CD">
              <w:rPr>
                <w:color w:val="000000"/>
                <w:sz w:val="28"/>
                <w:szCs w:val="28"/>
              </w:rPr>
              <w:t>2,29</w:t>
            </w:r>
          </w:p>
        </w:tc>
      </w:tr>
      <w:tr w:rsidR="00B6372D" w:rsidRPr="005A4114" w:rsidTr="00871951">
        <w:trPr>
          <w:trHeight w:val="40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Pulkvedis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372D" w:rsidRPr="003952CD" w:rsidRDefault="00B6372D" w:rsidP="00101C4D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10</w:t>
            </w:r>
            <w:r w:rsidR="00101C4D" w:rsidRPr="003952CD">
              <w:rPr>
                <w:color w:val="000000"/>
                <w:sz w:val="28"/>
                <w:szCs w:val="28"/>
              </w:rPr>
              <w:t>6,72</w:t>
            </w:r>
          </w:p>
        </w:tc>
      </w:tr>
      <w:tr w:rsidR="00B6372D" w:rsidRPr="005A4114" w:rsidTr="00871951">
        <w:trPr>
          <w:trHeight w:val="42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Pulkvežleitnants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372D" w:rsidRPr="003952CD" w:rsidRDefault="00101C4D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99,60</w:t>
            </w:r>
          </w:p>
        </w:tc>
      </w:tr>
      <w:tr w:rsidR="00B6372D" w:rsidRPr="005A4114" w:rsidTr="00871951">
        <w:trPr>
          <w:trHeight w:val="40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Majors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372D" w:rsidRPr="003952CD" w:rsidRDefault="00B6372D" w:rsidP="00101C4D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9</w:t>
            </w:r>
            <w:r w:rsidR="00101C4D" w:rsidRPr="003952CD">
              <w:rPr>
                <w:color w:val="000000"/>
                <w:sz w:val="28"/>
                <w:szCs w:val="28"/>
              </w:rPr>
              <w:t>2,49</w:t>
            </w:r>
          </w:p>
        </w:tc>
      </w:tr>
      <w:tr w:rsidR="00B6372D" w:rsidRPr="005A4114" w:rsidTr="00871951">
        <w:trPr>
          <w:trHeight w:val="42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Kapteinis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372D" w:rsidRPr="003952CD" w:rsidRDefault="00B6372D" w:rsidP="00101C4D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5</w:t>
            </w:r>
            <w:r w:rsidR="00101C4D" w:rsidRPr="003952CD">
              <w:rPr>
                <w:color w:val="000000"/>
                <w:sz w:val="28"/>
                <w:szCs w:val="28"/>
              </w:rPr>
              <w:t>6,91</w:t>
            </w:r>
          </w:p>
        </w:tc>
      </w:tr>
      <w:tr w:rsidR="00B6372D" w:rsidRPr="005A4114" w:rsidTr="00871951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Virsleitnants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72D" w:rsidRPr="003952CD" w:rsidRDefault="00101C4D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49,80</w:t>
            </w:r>
          </w:p>
        </w:tc>
      </w:tr>
      <w:tr w:rsidR="00B6372D" w:rsidRPr="005A4114" w:rsidTr="00871951">
        <w:trPr>
          <w:trHeight w:val="43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Leitnants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372D" w:rsidRPr="003952CD" w:rsidRDefault="00B6372D" w:rsidP="00101C4D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4</w:t>
            </w:r>
            <w:r w:rsidR="00101C4D" w:rsidRPr="003952CD">
              <w:rPr>
                <w:color w:val="000000"/>
                <w:sz w:val="28"/>
                <w:szCs w:val="28"/>
              </w:rPr>
              <w:t>4,11</w:t>
            </w:r>
          </w:p>
        </w:tc>
      </w:tr>
      <w:tr w:rsidR="00B6372D" w:rsidRPr="005A4114" w:rsidTr="00871951">
        <w:trPr>
          <w:trHeight w:val="41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Virsniekvietnieks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372D" w:rsidRPr="003952CD" w:rsidRDefault="00101C4D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19,92</w:t>
            </w:r>
          </w:p>
        </w:tc>
      </w:tr>
      <w:tr w:rsidR="00B6372D" w:rsidRPr="005A4114" w:rsidTr="00871951">
        <w:trPr>
          <w:trHeight w:val="4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Virsseržants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372D" w:rsidRPr="003952CD" w:rsidRDefault="00B6372D" w:rsidP="00101C4D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1</w:t>
            </w:r>
            <w:r w:rsidR="00101C4D" w:rsidRPr="003952CD">
              <w:rPr>
                <w:color w:val="000000"/>
                <w:sz w:val="28"/>
                <w:szCs w:val="28"/>
              </w:rPr>
              <w:t>5,65</w:t>
            </w:r>
          </w:p>
        </w:tc>
      </w:tr>
      <w:tr w:rsidR="00B6372D" w:rsidRPr="005A4114" w:rsidTr="00871951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Seržants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72D" w:rsidRPr="003952CD" w:rsidRDefault="00B6372D" w:rsidP="00101C4D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1</w:t>
            </w:r>
            <w:r w:rsidR="00101C4D" w:rsidRPr="003952CD">
              <w:rPr>
                <w:color w:val="000000"/>
                <w:sz w:val="28"/>
                <w:szCs w:val="28"/>
              </w:rPr>
              <w:t>1,38</w:t>
            </w:r>
          </w:p>
        </w:tc>
      </w:tr>
      <w:tr w:rsidR="00B6372D" w:rsidRPr="005A4114" w:rsidTr="00871951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Kaprālis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372D" w:rsidRPr="003952CD" w:rsidRDefault="00101C4D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7,11</w:t>
            </w:r>
          </w:p>
        </w:tc>
      </w:tr>
      <w:tr w:rsidR="00B6372D" w:rsidRPr="005A4114" w:rsidTr="00871951">
        <w:trPr>
          <w:trHeight w:val="42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72D" w:rsidRPr="005A4114" w:rsidRDefault="00B6372D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Ierindnieks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372D" w:rsidRPr="003952CD" w:rsidRDefault="00B74B03" w:rsidP="00514DE8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 xml:space="preserve"> </w:t>
            </w:r>
            <w:r w:rsidR="00101C4D" w:rsidRPr="003952CD">
              <w:rPr>
                <w:color w:val="000000"/>
                <w:sz w:val="28"/>
                <w:szCs w:val="28"/>
              </w:rPr>
              <w:t>2,85</w:t>
            </w:r>
          </w:p>
        </w:tc>
      </w:tr>
    </w:tbl>
    <w:p w:rsidR="00B6372D" w:rsidRPr="005A4114" w:rsidRDefault="00B6372D" w:rsidP="00D0162D">
      <w:pPr>
        <w:pStyle w:val="naisf"/>
        <w:spacing w:before="0" w:after="0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1842"/>
      </w:tblGrid>
      <w:tr w:rsidR="00B6372D" w:rsidRPr="005A4114" w:rsidTr="00871951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77C" w:rsidRDefault="00A93698" w:rsidP="00871951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     </w:t>
            </w:r>
          </w:p>
          <w:p w:rsidR="004B277C" w:rsidRDefault="004B277C" w:rsidP="0087195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6372D" w:rsidRPr="005A4114" w:rsidRDefault="00A93698" w:rsidP="00871951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  <w:r w:rsidR="009167D7" w:rsidRPr="005A4114">
              <w:rPr>
                <w:color w:val="000000"/>
                <w:sz w:val="28"/>
                <w:szCs w:val="28"/>
              </w:rPr>
              <w:t>4</w:t>
            </w:r>
            <w:r w:rsidR="00B6372D" w:rsidRPr="005A4114">
              <w:rPr>
                <w:color w:val="000000"/>
                <w:sz w:val="28"/>
                <w:szCs w:val="28"/>
              </w:rPr>
              <w:t>.pielikums</w:t>
            </w:r>
          </w:p>
        </w:tc>
      </w:tr>
      <w:tr w:rsidR="00B6372D" w:rsidRPr="005A4114" w:rsidTr="00871951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72D" w:rsidRPr="005A4114" w:rsidRDefault="00B6372D" w:rsidP="00871951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lastRenderedPageBreak/>
              <w:t>Ministru kabineta</w:t>
            </w:r>
          </w:p>
        </w:tc>
      </w:tr>
      <w:tr w:rsidR="00B6372D" w:rsidRPr="005A4114" w:rsidTr="00871951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72D" w:rsidRPr="005A4114" w:rsidRDefault="00B6372D" w:rsidP="00871951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2010.gada 21.jūnija</w:t>
            </w:r>
          </w:p>
        </w:tc>
      </w:tr>
      <w:tr w:rsidR="00B6372D" w:rsidRPr="005A4114" w:rsidTr="00871951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72D" w:rsidRPr="005A4114" w:rsidRDefault="00B6372D" w:rsidP="00871951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noteikumiem Nr.568</w:t>
            </w:r>
          </w:p>
        </w:tc>
      </w:tr>
      <w:tr w:rsidR="00623A72" w:rsidRPr="005A4114" w:rsidTr="008854C8">
        <w:trPr>
          <w:trHeight w:val="1012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23A72" w:rsidRPr="00623A72" w:rsidRDefault="00623A72" w:rsidP="00871951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5A4114">
              <w:rPr>
                <w:b/>
                <w:bCs/>
                <w:color w:val="000000"/>
                <w:sz w:val="28"/>
                <w:szCs w:val="28"/>
              </w:rPr>
              <w:t>Piemaksas par dienestu, kas saistīts ar īpašu risku, un par nosacījumiem,</w:t>
            </w:r>
          </w:p>
          <w:p w:rsidR="00623A72" w:rsidRPr="00623A72" w:rsidRDefault="00623A72" w:rsidP="00871951">
            <w:pPr>
              <w:contextualSpacing/>
              <w:jc w:val="center"/>
              <w:rPr>
                <w:sz w:val="28"/>
                <w:szCs w:val="28"/>
              </w:rPr>
            </w:pPr>
            <w:r w:rsidRPr="005A4114">
              <w:rPr>
                <w:b/>
                <w:bCs/>
                <w:color w:val="000000"/>
                <w:sz w:val="28"/>
                <w:szCs w:val="28"/>
              </w:rPr>
              <w:t>kas saistīti ar dienesta specifiku</w:t>
            </w:r>
          </w:p>
        </w:tc>
      </w:tr>
      <w:tr w:rsidR="00362519" w:rsidRPr="005A4114" w:rsidTr="00623A72">
        <w:trPr>
          <w:trHeight w:val="75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62519" w:rsidRPr="005A4114" w:rsidTr="008719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tiešu organizētās noziedzības apkarošanu, kā arī apkarošanas vadību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356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tiešu smago noziegumu apkarošanu, kā arī apkarošanas vadību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285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Amatpersonām, kuras organizē un veic iekšējās kontroles un uzraudzības funkcijas korupcijas apkarošanas jomā iestādē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356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tiešu piedalīšanos ugunsgrēku dzēšanā un avāriju seku likvidēšanā, kā arī šo darbu vadību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214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342262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tiešu robežkontroli, kā arī tās vadību</w:t>
            </w:r>
            <w:r w:rsidR="00342262">
              <w:rPr>
                <w:color w:val="000000"/>
                <w:sz w:val="28"/>
                <w:szCs w:val="28"/>
              </w:rPr>
              <w:t>, kā arī tiešu ārzemnieku ieceļošanas, uzturēšanās, tranzīta un izceļošanas nosacījumu izpildes kontroli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214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Valsts policijas un Valsts robežsardzes amatpersonām, kuras apsargā un pavada apsardzes uzraudzībā aizturētos, notiesātos vai apcietinātos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līdz 72</w:t>
            </w:r>
            <w:r w:rsidR="009167D7" w:rsidRPr="005A41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5C3F1D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Amatpersonām, kuras veic izmeklēšanu</w:t>
            </w:r>
            <w:r w:rsidR="005C3F1D" w:rsidRPr="005A4114">
              <w:rPr>
                <w:color w:val="000000"/>
                <w:sz w:val="28"/>
                <w:szCs w:val="28"/>
              </w:rPr>
              <w:t xml:space="preserve"> pirmstiesas</w:t>
            </w:r>
            <w:r w:rsidR="005C3F1D">
              <w:rPr>
                <w:color w:val="000000"/>
                <w:sz w:val="28"/>
                <w:szCs w:val="28"/>
              </w:rPr>
              <w:t xml:space="preserve"> procesā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143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Rīgas reģiona pārvaldes amatpersonām, kas operatīvi veic speciālus uzdevumus sabiedriskās kārtības nodrošināšanā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29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Valsts policijas amatpersonām, kuras apsargā vēstniecības un speciālos objektus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29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Valsts policijas amatpersonām, kuras tieši veic, organizē vai vada speciālus pasākumus tiesībpārkāpumu novēršanā un atklāšanā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29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Valsts policijas amatpersonām, kuras pilda dienesta pienākumus speciālo uzdevumu bataljonā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143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dienesta pienākumu pildīšanu uz kuģa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214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dienesta pienākumu pildīšanu uz gaisa kuģa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427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darbu ar ieslodzītajiem Latvijas Cietumu slimnīcā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228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darbu ar ieslodzītajiem, kuri notiesāti ar brīvības atņemšanu uz mūžu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228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apcietinājuma kā drošības līdzekļa vai brīvības atņemšanas kā kriminālsoda izpildes nodrošināšanu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214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:rsidTr="0087195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amata pienākumu pildīšanu informācijas tehnoloģiju un sakaru jomā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8719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līdz 20 % no mēnešalgas</w:t>
            </w:r>
          </w:p>
        </w:tc>
      </w:tr>
      <w:tr w:rsidR="00362519" w:rsidRPr="005A4114" w:rsidTr="0087195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519" w:rsidRPr="005A4114" w:rsidRDefault="00362519" w:rsidP="0087195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dienesta pienākumu pildīšanu kopā ar dienesta suni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519" w:rsidRPr="005A4114" w:rsidRDefault="00362519" w:rsidP="00514DE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līdz 20 % no mēnešalgas</w:t>
            </w:r>
            <w:r w:rsidR="00046798" w:rsidRPr="005A4114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9D70CE" w:rsidRDefault="009D70CE" w:rsidP="00D0162D">
      <w:pPr>
        <w:pStyle w:val="naisf"/>
        <w:spacing w:before="0" w:after="0"/>
        <w:rPr>
          <w:sz w:val="28"/>
          <w:szCs w:val="28"/>
        </w:rPr>
      </w:pPr>
    </w:p>
    <w:p w:rsidR="00BA0285" w:rsidRDefault="00BA0285" w:rsidP="00D0162D">
      <w:pPr>
        <w:pStyle w:val="naisf"/>
        <w:spacing w:before="0" w:after="0"/>
        <w:rPr>
          <w:sz w:val="28"/>
          <w:szCs w:val="28"/>
        </w:rPr>
      </w:pPr>
    </w:p>
    <w:p w:rsidR="00B6372D" w:rsidRPr="005A4114" w:rsidRDefault="009D70CE" w:rsidP="00955929">
      <w:pPr>
        <w:pStyle w:val="naisf"/>
        <w:numPr>
          <w:ilvl w:val="0"/>
          <w:numId w:val="1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Atcelt Ministru kabineta </w:t>
      </w:r>
      <w:r w:rsidRPr="00682871">
        <w:rPr>
          <w:sz w:val="28"/>
          <w:szCs w:val="28"/>
        </w:rPr>
        <w:t>2013. gada 6. augusta noteikum</w:t>
      </w:r>
      <w:r>
        <w:rPr>
          <w:sz w:val="28"/>
          <w:szCs w:val="28"/>
        </w:rPr>
        <w:t>us</w:t>
      </w:r>
      <w:r w:rsidRPr="00682871">
        <w:rPr>
          <w:sz w:val="28"/>
          <w:szCs w:val="28"/>
        </w:rPr>
        <w:t xml:space="preserve"> Nr. 484 „</w:t>
      </w:r>
      <w:r w:rsidRPr="00682871">
        <w:rPr>
          <w:bCs/>
          <w:sz w:val="28"/>
          <w:szCs w:val="28"/>
        </w:rPr>
        <w:t>Grozījumi Ministru kabineta 2010. gada 21. jūnija noteikumos Nr. 568 „Noteikumi par Iekšlietu ministrijas sistēmas iestāžu un Ieslodzījuma vietu pārvaldes amatpersonu ar speciālajām dienesta pakāpēm mēnešalgu un speciālajām piemaksām”</w:t>
      </w:r>
      <w:r w:rsidRPr="00682871">
        <w:rPr>
          <w:sz w:val="28"/>
          <w:szCs w:val="28"/>
        </w:rPr>
        <w:t>”</w:t>
      </w:r>
      <w:r w:rsidR="000F4826">
        <w:rPr>
          <w:sz w:val="28"/>
          <w:szCs w:val="28"/>
        </w:rPr>
        <w:t xml:space="preserve"> (Latvijas Vēstnesis, 2013, 153.nr.)</w:t>
      </w:r>
      <w:r>
        <w:rPr>
          <w:sz w:val="28"/>
          <w:szCs w:val="28"/>
        </w:rPr>
        <w:t>.</w:t>
      </w:r>
    </w:p>
    <w:p w:rsidR="008854C8" w:rsidRDefault="008854C8" w:rsidP="00871951">
      <w:pPr>
        <w:pStyle w:val="naisf"/>
        <w:spacing w:before="0" w:after="0"/>
        <w:ind w:firstLine="0"/>
        <w:rPr>
          <w:sz w:val="28"/>
          <w:szCs w:val="28"/>
        </w:rPr>
      </w:pPr>
    </w:p>
    <w:p w:rsidR="00B6372D" w:rsidRPr="005A4114" w:rsidRDefault="00EE3BFA" w:rsidP="00955929">
      <w:pPr>
        <w:pStyle w:val="naisf"/>
        <w:numPr>
          <w:ilvl w:val="0"/>
          <w:numId w:val="1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E74F9F">
        <w:rPr>
          <w:sz w:val="28"/>
          <w:szCs w:val="28"/>
        </w:rPr>
        <w:t>oteikum</w:t>
      </w:r>
      <w:r w:rsidR="001353AB">
        <w:rPr>
          <w:sz w:val="28"/>
          <w:szCs w:val="28"/>
        </w:rPr>
        <w:t>u</w:t>
      </w:r>
      <w:r w:rsidR="00E74F9F">
        <w:rPr>
          <w:sz w:val="28"/>
          <w:szCs w:val="28"/>
        </w:rPr>
        <w:t xml:space="preserve"> </w:t>
      </w:r>
      <w:r w:rsidR="001353AB">
        <w:rPr>
          <w:sz w:val="28"/>
          <w:szCs w:val="28"/>
        </w:rPr>
        <w:t>1.1., 1.2. un 1.</w:t>
      </w:r>
      <w:r w:rsidR="004B277C">
        <w:rPr>
          <w:sz w:val="28"/>
          <w:szCs w:val="28"/>
        </w:rPr>
        <w:t>7</w:t>
      </w:r>
      <w:r w:rsidR="001353AB">
        <w:rPr>
          <w:sz w:val="28"/>
          <w:szCs w:val="28"/>
        </w:rPr>
        <w:t xml:space="preserve">. apakšpunkts </w:t>
      </w:r>
      <w:r w:rsidR="00E74F9F">
        <w:rPr>
          <w:sz w:val="28"/>
          <w:szCs w:val="28"/>
        </w:rPr>
        <w:t>stājas spēkā</w:t>
      </w:r>
      <w:r w:rsidR="00505966">
        <w:rPr>
          <w:sz w:val="28"/>
          <w:szCs w:val="28"/>
        </w:rPr>
        <w:t xml:space="preserve"> 2014.gada 1.janvārī</w:t>
      </w:r>
      <w:r w:rsidR="00E74F9F">
        <w:rPr>
          <w:sz w:val="28"/>
          <w:szCs w:val="28"/>
        </w:rPr>
        <w:t>.</w:t>
      </w:r>
    </w:p>
    <w:p w:rsidR="00C862B7" w:rsidRDefault="00C862B7" w:rsidP="0026572C">
      <w:pPr>
        <w:pStyle w:val="naisf"/>
        <w:spacing w:before="0" w:after="0"/>
        <w:rPr>
          <w:sz w:val="28"/>
          <w:szCs w:val="28"/>
        </w:rPr>
      </w:pPr>
      <w:r w:rsidRPr="005A4114">
        <w:rPr>
          <w:sz w:val="28"/>
          <w:szCs w:val="28"/>
        </w:rPr>
        <w:t> </w:t>
      </w:r>
    </w:p>
    <w:p w:rsidR="0000524F" w:rsidRDefault="0000524F" w:rsidP="00237F90">
      <w:pPr>
        <w:pStyle w:val="naisf"/>
        <w:spacing w:before="0" w:after="0"/>
        <w:ind w:firstLine="0"/>
        <w:rPr>
          <w:sz w:val="28"/>
          <w:szCs w:val="28"/>
        </w:rPr>
      </w:pPr>
    </w:p>
    <w:p w:rsidR="0000524F" w:rsidRDefault="0000524F" w:rsidP="00237F90">
      <w:pPr>
        <w:pStyle w:val="naisf"/>
        <w:spacing w:before="0" w:after="0"/>
        <w:ind w:firstLine="0"/>
        <w:rPr>
          <w:sz w:val="28"/>
          <w:szCs w:val="28"/>
        </w:rPr>
      </w:pPr>
    </w:p>
    <w:p w:rsidR="00343359" w:rsidRDefault="00343359" w:rsidP="00237F90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V.Dombrovskis</w:t>
      </w:r>
    </w:p>
    <w:p w:rsidR="00E74F9F" w:rsidRPr="005A4114" w:rsidRDefault="00E74F9F" w:rsidP="0026572C">
      <w:pPr>
        <w:pStyle w:val="naisf"/>
        <w:spacing w:before="0" w:after="0"/>
        <w:rPr>
          <w:sz w:val="28"/>
          <w:szCs w:val="28"/>
        </w:rPr>
      </w:pPr>
    </w:p>
    <w:p w:rsidR="00C862B7" w:rsidRPr="005A4114" w:rsidRDefault="00237F90" w:rsidP="00237F90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</w:t>
      </w:r>
      <w:r w:rsidR="00C862B7" w:rsidRPr="005A4114">
        <w:rPr>
          <w:sz w:val="28"/>
          <w:szCs w:val="28"/>
        </w:rPr>
        <w:t>ekšlietu ministrs                                                       </w:t>
      </w:r>
      <w:r w:rsidR="00C862B7" w:rsidRPr="005A4114">
        <w:rPr>
          <w:sz w:val="28"/>
          <w:szCs w:val="28"/>
        </w:rPr>
        <w:tab/>
        <w:t>R.Kozlovskis</w:t>
      </w:r>
    </w:p>
    <w:p w:rsidR="00C862B7" w:rsidRPr="005A4114" w:rsidRDefault="00C862B7" w:rsidP="00D0162D">
      <w:pPr>
        <w:rPr>
          <w:sz w:val="28"/>
          <w:szCs w:val="28"/>
        </w:rPr>
      </w:pPr>
    </w:p>
    <w:p w:rsidR="00C862B7" w:rsidRPr="005A4114" w:rsidRDefault="00237F90" w:rsidP="00D0162D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C862B7" w:rsidRPr="005A4114" w:rsidRDefault="00237F90" w:rsidP="00871951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="00871951">
        <w:rPr>
          <w:sz w:val="28"/>
          <w:szCs w:val="28"/>
        </w:rPr>
        <w:tab/>
      </w:r>
      <w:r w:rsidR="00C862B7" w:rsidRPr="005A4114">
        <w:rPr>
          <w:sz w:val="28"/>
          <w:szCs w:val="28"/>
        </w:rPr>
        <w:t>R.Kozlovskis</w:t>
      </w:r>
      <w:r w:rsidR="00C862B7" w:rsidRPr="005A4114">
        <w:rPr>
          <w:sz w:val="28"/>
          <w:szCs w:val="28"/>
        </w:rPr>
        <w:tab/>
      </w:r>
      <w:r w:rsidR="00C862B7" w:rsidRPr="005A4114">
        <w:rPr>
          <w:sz w:val="28"/>
          <w:szCs w:val="28"/>
        </w:rPr>
        <w:tab/>
      </w:r>
      <w:r w:rsidR="00C862B7" w:rsidRPr="005A4114">
        <w:rPr>
          <w:sz w:val="28"/>
          <w:szCs w:val="28"/>
        </w:rPr>
        <w:tab/>
      </w:r>
    </w:p>
    <w:p w:rsidR="00C862B7" w:rsidRPr="005A4114" w:rsidRDefault="00C862B7" w:rsidP="00D0162D">
      <w:pPr>
        <w:tabs>
          <w:tab w:val="left" w:pos="6840"/>
        </w:tabs>
        <w:jc w:val="both"/>
        <w:rPr>
          <w:sz w:val="28"/>
          <w:szCs w:val="28"/>
        </w:rPr>
      </w:pPr>
      <w:r w:rsidRPr="005A4114">
        <w:rPr>
          <w:sz w:val="28"/>
          <w:szCs w:val="28"/>
        </w:rPr>
        <w:t xml:space="preserve">Vīza: </w:t>
      </w:r>
    </w:p>
    <w:p w:rsidR="00C862B7" w:rsidRPr="005A4114" w:rsidRDefault="00C862B7" w:rsidP="00871951">
      <w:pPr>
        <w:tabs>
          <w:tab w:val="left" w:pos="6521"/>
        </w:tabs>
        <w:jc w:val="both"/>
        <w:rPr>
          <w:sz w:val="28"/>
          <w:szCs w:val="28"/>
        </w:rPr>
      </w:pPr>
      <w:r w:rsidRPr="005A4114">
        <w:rPr>
          <w:sz w:val="28"/>
          <w:szCs w:val="28"/>
        </w:rPr>
        <w:t xml:space="preserve">Valsts sekretāre </w:t>
      </w:r>
      <w:r w:rsidR="00871951">
        <w:rPr>
          <w:sz w:val="28"/>
          <w:szCs w:val="28"/>
        </w:rPr>
        <w:tab/>
      </w:r>
      <w:r w:rsidRPr="005A4114">
        <w:rPr>
          <w:sz w:val="28"/>
          <w:szCs w:val="28"/>
        </w:rPr>
        <w:t>I.Pētersone–Godmane</w:t>
      </w:r>
    </w:p>
    <w:p w:rsidR="00C862B7" w:rsidRDefault="00C862B7" w:rsidP="00D0162D">
      <w:pPr>
        <w:tabs>
          <w:tab w:val="left" w:pos="6840"/>
        </w:tabs>
        <w:jc w:val="both"/>
        <w:rPr>
          <w:sz w:val="28"/>
          <w:szCs w:val="28"/>
        </w:rPr>
      </w:pPr>
    </w:p>
    <w:p w:rsidR="00F200A0" w:rsidRDefault="00F200A0" w:rsidP="007E03FA">
      <w:pPr>
        <w:pStyle w:val="naisf"/>
        <w:spacing w:before="0" w:after="0"/>
        <w:ind w:firstLine="0"/>
        <w:rPr>
          <w:sz w:val="20"/>
          <w:szCs w:val="20"/>
        </w:rPr>
      </w:pPr>
    </w:p>
    <w:p w:rsidR="003952CD" w:rsidRDefault="003952CD" w:rsidP="007E03FA">
      <w:pPr>
        <w:pStyle w:val="naisf"/>
        <w:spacing w:before="0" w:after="0"/>
        <w:ind w:firstLine="0"/>
        <w:rPr>
          <w:sz w:val="20"/>
          <w:szCs w:val="20"/>
        </w:rPr>
      </w:pPr>
    </w:p>
    <w:p w:rsidR="00C862B7" w:rsidRPr="00F200A0" w:rsidRDefault="00C862B7" w:rsidP="007E03FA">
      <w:pPr>
        <w:pStyle w:val="naisf"/>
        <w:spacing w:before="0" w:after="0"/>
        <w:ind w:firstLine="0"/>
        <w:rPr>
          <w:sz w:val="20"/>
          <w:szCs w:val="20"/>
        </w:rPr>
      </w:pPr>
      <w:r w:rsidRPr="00F200A0">
        <w:rPr>
          <w:sz w:val="20"/>
          <w:szCs w:val="20"/>
          <w:lang w:val="ru-RU"/>
        </w:rPr>
        <w:fldChar w:fldCharType="begin"/>
      </w:r>
      <w:r w:rsidRPr="00F200A0">
        <w:rPr>
          <w:sz w:val="20"/>
          <w:szCs w:val="20"/>
          <w:lang w:val="ru-RU"/>
        </w:rPr>
        <w:instrText xml:space="preserve"> TIME \@ "dd.MM.yyyy H:mm" </w:instrText>
      </w:r>
      <w:r w:rsidRPr="00F200A0">
        <w:rPr>
          <w:sz w:val="20"/>
          <w:szCs w:val="20"/>
          <w:lang w:val="ru-RU"/>
        </w:rPr>
        <w:fldChar w:fldCharType="separate"/>
      </w:r>
      <w:r w:rsidR="00FB6C00">
        <w:rPr>
          <w:noProof/>
          <w:sz w:val="20"/>
          <w:szCs w:val="20"/>
          <w:lang w:val="ru-RU"/>
        </w:rPr>
        <w:t>25.11.2013 9:22</w:t>
      </w:r>
      <w:r w:rsidRPr="00F200A0">
        <w:rPr>
          <w:sz w:val="20"/>
          <w:szCs w:val="20"/>
          <w:lang w:val="ru-RU"/>
        </w:rPr>
        <w:fldChar w:fldCharType="end"/>
      </w:r>
    </w:p>
    <w:p w:rsidR="001F0462" w:rsidRDefault="001F0462" w:rsidP="001F0462">
      <w:pPr>
        <w:jc w:val="both"/>
        <w:rPr>
          <w:sz w:val="20"/>
        </w:rPr>
      </w:pPr>
      <w:r w:rsidRPr="005154D4">
        <w:rPr>
          <w:sz w:val="20"/>
        </w:rPr>
        <w:fldChar w:fldCharType="begin"/>
      </w:r>
      <w:r w:rsidRPr="005154D4">
        <w:rPr>
          <w:sz w:val="20"/>
        </w:rPr>
        <w:instrText xml:space="preserve"> NUMWORDS   \* MERGEFORMAT </w:instrText>
      </w:r>
      <w:r w:rsidRPr="005154D4">
        <w:rPr>
          <w:sz w:val="20"/>
        </w:rPr>
        <w:fldChar w:fldCharType="separate"/>
      </w:r>
      <w:r w:rsidR="004C43D2">
        <w:rPr>
          <w:noProof/>
          <w:sz w:val="20"/>
        </w:rPr>
        <w:t>1181</w:t>
      </w:r>
      <w:r w:rsidRPr="005154D4">
        <w:rPr>
          <w:sz w:val="20"/>
        </w:rPr>
        <w:fldChar w:fldCharType="end"/>
      </w:r>
    </w:p>
    <w:p w:rsidR="00B144AE" w:rsidRDefault="00B144AE" w:rsidP="00B144AE">
      <w:pPr>
        <w:pStyle w:val="BodyText"/>
        <w:spacing w:after="0"/>
        <w:rPr>
          <w:sz w:val="20"/>
        </w:rPr>
      </w:pPr>
      <w:proofErr w:type="spellStart"/>
      <w:r>
        <w:rPr>
          <w:sz w:val="20"/>
        </w:rPr>
        <w:t>A.Laure</w:t>
      </w:r>
      <w:proofErr w:type="spellEnd"/>
    </w:p>
    <w:p w:rsidR="001F0462" w:rsidRPr="001F0462" w:rsidRDefault="00B144AE" w:rsidP="003B3FFB">
      <w:pPr>
        <w:pStyle w:val="BodyText"/>
        <w:spacing w:after="0"/>
        <w:rPr>
          <w:sz w:val="20"/>
          <w:szCs w:val="20"/>
          <w:highlight w:val="yellow"/>
        </w:rPr>
      </w:pPr>
      <w:r w:rsidRPr="005154D4">
        <w:rPr>
          <w:sz w:val="20"/>
        </w:rPr>
        <w:t>67219</w:t>
      </w:r>
      <w:r w:rsidR="001D5412">
        <w:rPr>
          <w:sz w:val="20"/>
        </w:rPr>
        <w:t>1</w:t>
      </w:r>
      <w:r>
        <w:rPr>
          <w:sz w:val="20"/>
        </w:rPr>
        <w:t>6</w:t>
      </w:r>
      <w:r w:rsidR="001D5412">
        <w:rPr>
          <w:sz w:val="20"/>
        </w:rPr>
        <w:t>9</w:t>
      </w:r>
      <w:r w:rsidRPr="005154D4">
        <w:rPr>
          <w:sz w:val="20"/>
        </w:rPr>
        <w:t>,</w:t>
      </w:r>
      <w:r>
        <w:rPr>
          <w:sz w:val="20"/>
        </w:rPr>
        <w:t xml:space="preserve"> </w:t>
      </w:r>
      <w:hyperlink r:id="rId17" w:history="1">
        <w:r w:rsidRPr="003E44CA">
          <w:rPr>
            <w:rStyle w:val="Hyperlink"/>
            <w:sz w:val="20"/>
          </w:rPr>
          <w:t>Agnese.Laure@iem.gov.lv</w:t>
        </w:r>
      </w:hyperlink>
      <w:r>
        <w:rPr>
          <w:sz w:val="20"/>
        </w:rPr>
        <w:t xml:space="preserve"> </w:t>
      </w:r>
    </w:p>
    <w:sectPr w:rsidR="001F0462" w:rsidRPr="001F0462" w:rsidSect="00623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28" w:rsidRDefault="005E4928">
      <w:r>
        <w:separator/>
      </w:r>
    </w:p>
  </w:endnote>
  <w:endnote w:type="continuationSeparator" w:id="0">
    <w:p w:rsidR="005E4928" w:rsidRDefault="005E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CA" w:rsidRPr="00D97A9E" w:rsidRDefault="00C151CA" w:rsidP="005C6CE5">
    <w:pPr>
      <w:jc w:val="both"/>
      <w:rPr>
        <w:sz w:val="18"/>
        <w:szCs w:val="18"/>
      </w:rPr>
    </w:pPr>
    <w:r>
      <w:rPr>
        <w:sz w:val="18"/>
        <w:szCs w:val="18"/>
      </w:rPr>
      <w:t>IEM</w:t>
    </w:r>
    <w:r w:rsidRPr="00D97A9E">
      <w:rPr>
        <w:sz w:val="18"/>
        <w:szCs w:val="18"/>
      </w:rPr>
      <w:t>Not_</w:t>
    </w:r>
    <w:r>
      <w:rPr>
        <w:sz w:val="18"/>
        <w:szCs w:val="18"/>
      </w:rPr>
      <w:t>130613_algas;</w:t>
    </w:r>
    <w:r w:rsidRPr="00D97A9E">
      <w:rPr>
        <w:sz w:val="18"/>
        <w:szCs w:val="18"/>
      </w:rPr>
      <w:t xml:space="preserve"> Ministru kabineta noteikumu projekts „Grozījum</w:t>
    </w:r>
    <w:r>
      <w:rPr>
        <w:sz w:val="18"/>
        <w:szCs w:val="18"/>
      </w:rPr>
      <w:t>i</w:t>
    </w:r>
    <w:r w:rsidRPr="00D97A9E">
      <w:rPr>
        <w:sz w:val="18"/>
        <w:szCs w:val="18"/>
      </w:rPr>
      <w:t xml:space="preserve"> Ministru kabineta 20</w:t>
    </w:r>
    <w:r>
      <w:rPr>
        <w:sz w:val="18"/>
        <w:szCs w:val="18"/>
      </w:rPr>
      <w:t>10</w:t>
    </w:r>
    <w:r w:rsidRPr="00D97A9E">
      <w:rPr>
        <w:sz w:val="18"/>
        <w:szCs w:val="18"/>
      </w:rPr>
      <w:t>.gada 2</w:t>
    </w:r>
    <w:r>
      <w:rPr>
        <w:sz w:val="18"/>
        <w:szCs w:val="18"/>
      </w:rPr>
      <w:t>1</w:t>
    </w:r>
    <w:r w:rsidRPr="00D97A9E">
      <w:rPr>
        <w:sz w:val="18"/>
        <w:szCs w:val="18"/>
      </w:rPr>
      <w:t xml:space="preserve">. </w:t>
    </w:r>
    <w:r>
      <w:rPr>
        <w:sz w:val="18"/>
        <w:szCs w:val="18"/>
      </w:rPr>
      <w:t xml:space="preserve">jūnija </w:t>
    </w:r>
    <w:r w:rsidRPr="00D97A9E">
      <w:rPr>
        <w:sz w:val="18"/>
        <w:szCs w:val="18"/>
      </w:rPr>
      <w:t>noteikumos Nr.</w:t>
    </w:r>
    <w:r>
      <w:rPr>
        <w:sz w:val="18"/>
        <w:szCs w:val="18"/>
      </w:rPr>
      <w:t>568</w:t>
    </w:r>
    <w:r w:rsidRPr="00D97A9E">
      <w:rPr>
        <w:sz w:val="18"/>
        <w:szCs w:val="18"/>
      </w:rPr>
      <w:t xml:space="preserve"> „Noteikumi par Iekšlietu ministrijas sistēmas iestāžu un Ieslodzījuma vietu pārvaldes amatpersonu ar speciālajām dienesta pakāpēm </w:t>
    </w:r>
    <w:r>
      <w:rPr>
        <w:sz w:val="18"/>
        <w:szCs w:val="18"/>
      </w:rPr>
      <w:t>mēnešalgu un speciālajām piemaksām</w:t>
    </w:r>
    <w:r w:rsidRPr="00D97A9E">
      <w:rPr>
        <w:sz w:val="18"/>
        <w:szCs w:val="18"/>
      </w:rPr>
      <w:t xml:space="preserve">”” </w:t>
    </w:r>
  </w:p>
  <w:p w:rsidR="00C151CA" w:rsidRPr="005C6CE5" w:rsidRDefault="00C151CA" w:rsidP="005C6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CA" w:rsidRPr="002662BC" w:rsidRDefault="004C43D2" w:rsidP="002662BC">
    <w:pPr>
      <w:jc w:val="both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FB6C00">
      <w:rPr>
        <w:noProof/>
        <w:sz w:val="18"/>
        <w:szCs w:val="18"/>
      </w:rPr>
      <w:t>IEMNot_251113_algas</w:t>
    </w:r>
    <w:r>
      <w:rPr>
        <w:sz w:val="18"/>
        <w:szCs w:val="18"/>
      </w:rPr>
      <w:fldChar w:fldCharType="end"/>
    </w:r>
    <w:r w:rsidR="00C151CA">
      <w:rPr>
        <w:sz w:val="18"/>
        <w:szCs w:val="18"/>
      </w:rPr>
      <w:t>;</w:t>
    </w:r>
    <w:r w:rsidR="00C151CA" w:rsidRPr="00D97A9E">
      <w:rPr>
        <w:sz w:val="18"/>
        <w:szCs w:val="18"/>
      </w:rPr>
      <w:t xml:space="preserve"> Ministru kabineta noteikumu projekts „Grozījum</w:t>
    </w:r>
    <w:r w:rsidR="00C151CA">
      <w:rPr>
        <w:sz w:val="18"/>
        <w:szCs w:val="18"/>
      </w:rPr>
      <w:t>i</w:t>
    </w:r>
    <w:r w:rsidR="00C151CA" w:rsidRPr="00D97A9E">
      <w:rPr>
        <w:sz w:val="18"/>
        <w:szCs w:val="18"/>
      </w:rPr>
      <w:t xml:space="preserve"> Ministru kabineta 20</w:t>
    </w:r>
    <w:r w:rsidR="00C151CA">
      <w:rPr>
        <w:sz w:val="18"/>
        <w:szCs w:val="18"/>
      </w:rPr>
      <w:t>10</w:t>
    </w:r>
    <w:r w:rsidR="00C151CA" w:rsidRPr="00D97A9E">
      <w:rPr>
        <w:sz w:val="18"/>
        <w:szCs w:val="18"/>
      </w:rPr>
      <w:t>.gada 2</w:t>
    </w:r>
    <w:r w:rsidR="00C151CA">
      <w:rPr>
        <w:sz w:val="18"/>
        <w:szCs w:val="18"/>
      </w:rPr>
      <w:t>1</w:t>
    </w:r>
    <w:r w:rsidR="00C151CA" w:rsidRPr="00D97A9E">
      <w:rPr>
        <w:sz w:val="18"/>
        <w:szCs w:val="18"/>
      </w:rPr>
      <w:t xml:space="preserve">. </w:t>
    </w:r>
    <w:r w:rsidR="00C151CA">
      <w:rPr>
        <w:sz w:val="18"/>
        <w:szCs w:val="18"/>
      </w:rPr>
      <w:t xml:space="preserve">jūnija </w:t>
    </w:r>
    <w:r w:rsidR="00C151CA" w:rsidRPr="00D97A9E">
      <w:rPr>
        <w:sz w:val="18"/>
        <w:szCs w:val="18"/>
      </w:rPr>
      <w:t>noteikumos Nr.</w:t>
    </w:r>
    <w:r w:rsidR="00C151CA">
      <w:rPr>
        <w:sz w:val="18"/>
        <w:szCs w:val="18"/>
      </w:rPr>
      <w:t>568</w:t>
    </w:r>
    <w:r w:rsidR="00C151CA" w:rsidRPr="00D97A9E">
      <w:rPr>
        <w:sz w:val="18"/>
        <w:szCs w:val="18"/>
      </w:rPr>
      <w:t xml:space="preserve"> „Noteikumi par Iekšlietu ministrijas sistēmas iestāžu un Ieslodzījuma vietu pārvaldes amatpersonu ar speciālajām dienesta pakāpēm </w:t>
    </w:r>
    <w:r w:rsidR="00C151CA">
      <w:rPr>
        <w:sz w:val="18"/>
        <w:szCs w:val="18"/>
      </w:rPr>
      <w:t>mēnešalgu un speciālajām piemaksām</w:t>
    </w:r>
    <w:r w:rsidR="00C151CA" w:rsidRPr="00D97A9E">
      <w:rPr>
        <w:sz w:val="18"/>
        <w:szCs w:val="18"/>
      </w:rPr>
      <w:t>””</w:t>
    </w:r>
    <w:r w:rsidR="00C151CA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CA" w:rsidRPr="002662BC" w:rsidRDefault="004C43D2" w:rsidP="002662BC">
    <w:pPr>
      <w:jc w:val="both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FB6C00">
      <w:rPr>
        <w:noProof/>
        <w:sz w:val="18"/>
        <w:szCs w:val="18"/>
      </w:rPr>
      <w:t>IEMNot_251113_algas</w:t>
    </w:r>
    <w:r>
      <w:rPr>
        <w:sz w:val="18"/>
        <w:szCs w:val="18"/>
      </w:rPr>
      <w:fldChar w:fldCharType="end"/>
    </w:r>
    <w:r w:rsidR="00C151CA">
      <w:rPr>
        <w:sz w:val="18"/>
        <w:szCs w:val="18"/>
      </w:rPr>
      <w:t>;</w:t>
    </w:r>
    <w:r w:rsidR="00C151CA" w:rsidRPr="00D97A9E">
      <w:rPr>
        <w:sz w:val="18"/>
        <w:szCs w:val="18"/>
      </w:rPr>
      <w:t xml:space="preserve"> Ministru kabineta noteikumu projekts „Grozījum</w:t>
    </w:r>
    <w:r w:rsidR="00C151CA">
      <w:rPr>
        <w:sz w:val="18"/>
        <w:szCs w:val="18"/>
      </w:rPr>
      <w:t>i</w:t>
    </w:r>
    <w:r w:rsidR="00C151CA" w:rsidRPr="00D97A9E">
      <w:rPr>
        <w:sz w:val="18"/>
        <w:szCs w:val="18"/>
      </w:rPr>
      <w:t xml:space="preserve"> Ministru kabineta 20</w:t>
    </w:r>
    <w:r w:rsidR="00C151CA">
      <w:rPr>
        <w:sz w:val="18"/>
        <w:szCs w:val="18"/>
      </w:rPr>
      <w:t>10</w:t>
    </w:r>
    <w:r w:rsidR="00C151CA" w:rsidRPr="00D97A9E">
      <w:rPr>
        <w:sz w:val="18"/>
        <w:szCs w:val="18"/>
      </w:rPr>
      <w:t>.gada 2</w:t>
    </w:r>
    <w:r w:rsidR="00C151CA">
      <w:rPr>
        <w:sz w:val="18"/>
        <w:szCs w:val="18"/>
      </w:rPr>
      <w:t>1</w:t>
    </w:r>
    <w:r w:rsidR="00C151CA" w:rsidRPr="00D97A9E">
      <w:rPr>
        <w:sz w:val="18"/>
        <w:szCs w:val="18"/>
      </w:rPr>
      <w:t xml:space="preserve">. </w:t>
    </w:r>
    <w:r w:rsidR="00C151CA">
      <w:rPr>
        <w:sz w:val="18"/>
        <w:szCs w:val="18"/>
      </w:rPr>
      <w:t xml:space="preserve">jūnija </w:t>
    </w:r>
    <w:r w:rsidR="00C151CA" w:rsidRPr="00D97A9E">
      <w:rPr>
        <w:sz w:val="18"/>
        <w:szCs w:val="18"/>
      </w:rPr>
      <w:t>noteikumos Nr.</w:t>
    </w:r>
    <w:r w:rsidR="00C151CA">
      <w:rPr>
        <w:sz w:val="18"/>
        <w:szCs w:val="18"/>
      </w:rPr>
      <w:t>568</w:t>
    </w:r>
    <w:r w:rsidR="00C151CA" w:rsidRPr="00D97A9E">
      <w:rPr>
        <w:sz w:val="18"/>
        <w:szCs w:val="18"/>
      </w:rPr>
      <w:t xml:space="preserve"> „Noteikumi par Iekšlietu ministrijas sistēmas iestāžu un Ieslodzījuma vietu pārvaldes amatpersonu ar speciālajām dienesta pakāpēm </w:t>
    </w:r>
    <w:r w:rsidR="00C151CA">
      <w:rPr>
        <w:sz w:val="18"/>
        <w:szCs w:val="18"/>
      </w:rPr>
      <w:t xml:space="preserve">mēnešalgu un speciālajām piemaksām””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CA" w:rsidRPr="00D97A9E" w:rsidRDefault="00C151CA" w:rsidP="009D4BF9">
    <w:pPr>
      <w:jc w:val="both"/>
      <w:rPr>
        <w:sz w:val="18"/>
        <w:szCs w:val="18"/>
      </w:rPr>
    </w:pPr>
    <w:r>
      <w:rPr>
        <w:sz w:val="18"/>
        <w:szCs w:val="18"/>
      </w:rPr>
      <w:t>IEM</w:t>
    </w:r>
    <w:r w:rsidRPr="00D97A9E">
      <w:rPr>
        <w:sz w:val="18"/>
        <w:szCs w:val="18"/>
      </w:rPr>
      <w:t>Not_</w:t>
    </w:r>
    <w:r>
      <w:rPr>
        <w:sz w:val="18"/>
        <w:szCs w:val="18"/>
      </w:rPr>
      <w:t>160513_algas;</w:t>
    </w:r>
    <w:r w:rsidRPr="00D97A9E">
      <w:rPr>
        <w:sz w:val="18"/>
        <w:szCs w:val="18"/>
      </w:rPr>
      <w:t xml:space="preserve"> Ministru kabineta noteikumu projekts „Grozījum</w:t>
    </w:r>
    <w:r>
      <w:rPr>
        <w:sz w:val="18"/>
        <w:szCs w:val="18"/>
      </w:rPr>
      <w:t>i</w:t>
    </w:r>
    <w:r w:rsidRPr="00D97A9E">
      <w:rPr>
        <w:sz w:val="18"/>
        <w:szCs w:val="18"/>
      </w:rPr>
      <w:t xml:space="preserve"> Ministru kabineta 20</w:t>
    </w:r>
    <w:r>
      <w:rPr>
        <w:sz w:val="18"/>
        <w:szCs w:val="18"/>
      </w:rPr>
      <w:t>10</w:t>
    </w:r>
    <w:r w:rsidRPr="00D97A9E">
      <w:rPr>
        <w:sz w:val="18"/>
        <w:szCs w:val="18"/>
      </w:rPr>
      <w:t>.gada 2</w:t>
    </w:r>
    <w:r>
      <w:rPr>
        <w:sz w:val="18"/>
        <w:szCs w:val="18"/>
      </w:rPr>
      <w:t>1</w:t>
    </w:r>
    <w:r w:rsidRPr="00D97A9E">
      <w:rPr>
        <w:sz w:val="18"/>
        <w:szCs w:val="18"/>
      </w:rPr>
      <w:t xml:space="preserve">. </w:t>
    </w:r>
    <w:r>
      <w:rPr>
        <w:sz w:val="18"/>
        <w:szCs w:val="18"/>
      </w:rPr>
      <w:t xml:space="preserve">jūnija </w:t>
    </w:r>
    <w:r w:rsidRPr="00D97A9E">
      <w:rPr>
        <w:sz w:val="18"/>
        <w:szCs w:val="18"/>
      </w:rPr>
      <w:t>noteikumos Nr.</w:t>
    </w:r>
    <w:r>
      <w:rPr>
        <w:sz w:val="18"/>
        <w:szCs w:val="18"/>
      </w:rPr>
      <w:t>568</w:t>
    </w:r>
    <w:r w:rsidRPr="00D97A9E">
      <w:rPr>
        <w:sz w:val="18"/>
        <w:szCs w:val="18"/>
      </w:rPr>
      <w:t xml:space="preserve"> „Noteikumi par Iekšlietu ministrijas sistēmas iestāžu un Ieslodzījuma vietu pārvaldes amatpersonu ar speciālajām dienesta pakāpēm </w:t>
    </w:r>
    <w:r>
      <w:rPr>
        <w:sz w:val="18"/>
        <w:szCs w:val="18"/>
      </w:rPr>
      <w:t>mēnešalgu un speciālajām piemaksām</w:t>
    </w:r>
    <w:r w:rsidRPr="00D97A9E">
      <w:rPr>
        <w:sz w:val="18"/>
        <w:szCs w:val="18"/>
      </w:rPr>
      <w:t xml:space="preserve">”” </w:t>
    </w:r>
  </w:p>
  <w:p w:rsidR="00C151CA" w:rsidRPr="00D97A9E" w:rsidRDefault="00C151CA" w:rsidP="009D4BF9">
    <w:pPr>
      <w:jc w:val="both"/>
      <w:rPr>
        <w:sz w:val="16"/>
        <w:szCs w:val="16"/>
      </w:rPr>
    </w:pPr>
  </w:p>
  <w:p w:rsidR="00C151CA" w:rsidRPr="009D4BF9" w:rsidRDefault="00C151CA" w:rsidP="009D4BF9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28" w:rsidRDefault="005E4928">
      <w:r>
        <w:separator/>
      </w:r>
    </w:p>
  </w:footnote>
  <w:footnote w:type="continuationSeparator" w:id="0">
    <w:p w:rsidR="005E4928" w:rsidRDefault="005E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CA" w:rsidRDefault="00C151CA" w:rsidP="008A2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51CA" w:rsidRDefault="00C15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253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51CA" w:rsidRDefault="00C151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C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51CA" w:rsidRDefault="00C15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-578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112B4C58"/>
    <w:multiLevelType w:val="hybridMultilevel"/>
    <w:tmpl w:val="C40EE094"/>
    <w:lvl w:ilvl="0" w:tplc="95CA045E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395EAF"/>
    <w:multiLevelType w:val="multilevel"/>
    <w:tmpl w:val="513848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BCE0A48"/>
    <w:multiLevelType w:val="multilevel"/>
    <w:tmpl w:val="41B426A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3356503"/>
    <w:multiLevelType w:val="multilevel"/>
    <w:tmpl w:val="CFFA3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822566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-436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6">
    <w:nsid w:val="59013D48"/>
    <w:multiLevelType w:val="multilevel"/>
    <w:tmpl w:val="21401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FE232DB"/>
    <w:multiLevelType w:val="multilevel"/>
    <w:tmpl w:val="73E482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65B34540"/>
    <w:multiLevelType w:val="hybridMultilevel"/>
    <w:tmpl w:val="2E20C7F4"/>
    <w:lvl w:ilvl="0" w:tplc="209EA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448F1"/>
    <w:multiLevelType w:val="multilevel"/>
    <w:tmpl w:val="21401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99C2A30"/>
    <w:multiLevelType w:val="hybridMultilevel"/>
    <w:tmpl w:val="D5444D38"/>
    <w:lvl w:ilvl="0" w:tplc="207221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A347F68"/>
    <w:multiLevelType w:val="hybridMultilevel"/>
    <w:tmpl w:val="014AEF9C"/>
    <w:lvl w:ilvl="0" w:tplc="E138B4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1C"/>
    <w:rsid w:val="0000236A"/>
    <w:rsid w:val="0000524F"/>
    <w:rsid w:val="0000566B"/>
    <w:rsid w:val="00011F65"/>
    <w:rsid w:val="000123A3"/>
    <w:rsid w:val="00013500"/>
    <w:rsid w:val="000138A2"/>
    <w:rsid w:val="00015111"/>
    <w:rsid w:val="00015DDA"/>
    <w:rsid w:val="00015E62"/>
    <w:rsid w:val="00015E95"/>
    <w:rsid w:val="00016E96"/>
    <w:rsid w:val="00017BF1"/>
    <w:rsid w:val="00021743"/>
    <w:rsid w:val="0002239B"/>
    <w:rsid w:val="0002773E"/>
    <w:rsid w:val="00030C27"/>
    <w:rsid w:val="000312FC"/>
    <w:rsid w:val="00032C60"/>
    <w:rsid w:val="00032E4D"/>
    <w:rsid w:val="00035A78"/>
    <w:rsid w:val="00036487"/>
    <w:rsid w:val="0003701B"/>
    <w:rsid w:val="00040666"/>
    <w:rsid w:val="0004378C"/>
    <w:rsid w:val="00043965"/>
    <w:rsid w:val="0004651A"/>
    <w:rsid w:val="00046798"/>
    <w:rsid w:val="00047C5A"/>
    <w:rsid w:val="00050115"/>
    <w:rsid w:val="00050617"/>
    <w:rsid w:val="00050F2A"/>
    <w:rsid w:val="00051C77"/>
    <w:rsid w:val="0005784B"/>
    <w:rsid w:val="000612CC"/>
    <w:rsid w:val="00063838"/>
    <w:rsid w:val="000643D4"/>
    <w:rsid w:val="00064954"/>
    <w:rsid w:val="00065821"/>
    <w:rsid w:val="00067428"/>
    <w:rsid w:val="000757A6"/>
    <w:rsid w:val="00076988"/>
    <w:rsid w:val="00077776"/>
    <w:rsid w:val="00080814"/>
    <w:rsid w:val="00081482"/>
    <w:rsid w:val="00082E5A"/>
    <w:rsid w:val="00083A55"/>
    <w:rsid w:val="00084006"/>
    <w:rsid w:val="0008586B"/>
    <w:rsid w:val="00085B1E"/>
    <w:rsid w:val="00087100"/>
    <w:rsid w:val="00090903"/>
    <w:rsid w:val="00091209"/>
    <w:rsid w:val="00093302"/>
    <w:rsid w:val="000A1D5F"/>
    <w:rsid w:val="000A3628"/>
    <w:rsid w:val="000A37F7"/>
    <w:rsid w:val="000A555E"/>
    <w:rsid w:val="000A72D4"/>
    <w:rsid w:val="000B0BD0"/>
    <w:rsid w:val="000B2A8E"/>
    <w:rsid w:val="000B2DAA"/>
    <w:rsid w:val="000B464D"/>
    <w:rsid w:val="000B4994"/>
    <w:rsid w:val="000B69A2"/>
    <w:rsid w:val="000B7421"/>
    <w:rsid w:val="000B7E9A"/>
    <w:rsid w:val="000C1BCF"/>
    <w:rsid w:val="000C4236"/>
    <w:rsid w:val="000C5230"/>
    <w:rsid w:val="000C78B5"/>
    <w:rsid w:val="000C7922"/>
    <w:rsid w:val="000C7ABF"/>
    <w:rsid w:val="000D3110"/>
    <w:rsid w:val="000D4EE6"/>
    <w:rsid w:val="000D5503"/>
    <w:rsid w:val="000D62AD"/>
    <w:rsid w:val="000E0162"/>
    <w:rsid w:val="000E35C8"/>
    <w:rsid w:val="000E5B34"/>
    <w:rsid w:val="000E7568"/>
    <w:rsid w:val="000F2732"/>
    <w:rsid w:val="000F4826"/>
    <w:rsid w:val="000F4DB2"/>
    <w:rsid w:val="000F4FA6"/>
    <w:rsid w:val="000F618E"/>
    <w:rsid w:val="0010026B"/>
    <w:rsid w:val="00101AC2"/>
    <w:rsid w:val="00101C4D"/>
    <w:rsid w:val="00105996"/>
    <w:rsid w:val="00106CD6"/>
    <w:rsid w:val="00106F61"/>
    <w:rsid w:val="001076B8"/>
    <w:rsid w:val="0011033B"/>
    <w:rsid w:val="00110F0B"/>
    <w:rsid w:val="00112D69"/>
    <w:rsid w:val="00113F23"/>
    <w:rsid w:val="00114191"/>
    <w:rsid w:val="00114704"/>
    <w:rsid w:val="00116678"/>
    <w:rsid w:val="0011690B"/>
    <w:rsid w:val="0011695B"/>
    <w:rsid w:val="001229A0"/>
    <w:rsid w:val="00125FF5"/>
    <w:rsid w:val="0012710D"/>
    <w:rsid w:val="00130083"/>
    <w:rsid w:val="00130F25"/>
    <w:rsid w:val="00131E55"/>
    <w:rsid w:val="001338CF"/>
    <w:rsid w:val="001353AB"/>
    <w:rsid w:val="00136BC0"/>
    <w:rsid w:val="00145761"/>
    <w:rsid w:val="001468C9"/>
    <w:rsid w:val="001476CB"/>
    <w:rsid w:val="00147B60"/>
    <w:rsid w:val="0015020D"/>
    <w:rsid w:val="00154515"/>
    <w:rsid w:val="00154D77"/>
    <w:rsid w:val="00156269"/>
    <w:rsid w:val="0016390A"/>
    <w:rsid w:val="00166C1B"/>
    <w:rsid w:val="001703C4"/>
    <w:rsid w:val="00172489"/>
    <w:rsid w:val="00172F60"/>
    <w:rsid w:val="00173C76"/>
    <w:rsid w:val="00175E09"/>
    <w:rsid w:val="001766BF"/>
    <w:rsid w:val="00181082"/>
    <w:rsid w:val="001821AF"/>
    <w:rsid w:val="001825E0"/>
    <w:rsid w:val="00185FBC"/>
    <w:rsid w:val="00186B0E"/>
    <w:rsid w:val="00186C15"/>
    <w:rsid w:val="00190417"/>
    <w:rsid w:val="00190E5F"/>
    <w:rsid w:val="0019147A"/>
    <w:rsid w:val="0019193B"/>
    <w:rsid w:val="0019197B"/>
    <w:rsid w:val="00197D23"/>
    <w:rsid w:val="001A05B4"/>
    <w:rsid w:val="001A142A"/>
    <w:rsid w:val="001A393F"/>
    <w:rsid w:val="001A4CD0"/>
    <w:rsid w:val="001B094B"/>
    <w:rsid w:val="001B182F"/>
    <w:rsid w:val="001B2B33"/>
    <w:rsid w:val="001B5234"/>
    <w:rsid w:val="001C22E2"/>
    <w:rsid w:val="001C2391"/>
    <w:rsid w:val="001C54A6"/>
    <w:rsid w:val="001C71BA"/>
    <w:rsid w:val="001C7F23"/>
    <w:rsid w:val="001D1D44"/>
    <w:rsid w:val="001D4551"/>
    <w:rsid w:val="001D5412"/>
    <w:rsid w:val="001D65C7"/>
    <w:rsid w:val="001D7806"/>
    <w:rsid w:val="001E03A0"/>
    <w:rsid w:val="001E205D"/>
    <w:rsid w:val="001E30E3"/>
    <w:rsid w:val="001E53F5"/>
    <w:rsid w:val="001E5BD9"/>
    <w:rsid w:val="001F0361"/>
    <w:rsid w:val="001F0462"/>
    <w:rsid w:val="001F0921"/>
    <w:rsid w:val="001F163B"/>
    <w:rsid w:val="001F42B0"/>
    <w:rsid w:val="001F51AF"/>
    <w:rsid w:val="001F594B"/>
    <w:rsid w:val="001F6EB3"/>
    <w:rsid w:val="0020063A"/>
    <w:rsid w:val="002011B7"/>
    <w:rsid w:val="002040B8"/>
    <w:rsid w:val="0020716A"/>
    <w:rsid w:val="00207AE8"/>
    <w:rsid w:val="002110F8"/>
    <w:rsid w:val="00213C91"/>
    <w:rsid w:val="00215D18"/>
    <w:rsid w:val="002160E4"/>
    <w:rsid w:val="002174FE"/>
    <w:rsid w:val="00217A40"/>
    <w:rsid w:val="00224A91"/>
    <w:rsid w:val="002304F9"/>
    <w:rsid w:val="002309D7"/>
    <w:rsid w:val="00230BD2"/>
    <w:rsid w:val="00232439"/>
    <w:rsid w:val="00232AC8"/>
    <w:rsid w:val="00236D05"/>
    <w:rsid w:val="00237F90"/>
    <w:rsid w:val="00244501"/>
    <w:rsid w:val="00244AF3"/>
    <w:rsid w:val="00245559"/>
    <w:rsid w:val="00246744"/>
    <w:rsid w:val="00247BCE"/>
    <w:rsid w:val="00261BC5"/>
    <w:rsid w:val="002623D1"/>
    <w:rsid w:val="00262501"/>
    <w:rsid w:val="0026572C"/>
    <w:rsid w:val="002662BC"/>
    <w:rsid w:val="00271530"/>
    <w:rsid w:val="0027168D"/>
    <w:rsid w:val="00272ABD"/>
    <w:rsid w:val="0027384E"/>
    <w:rsid w:val="00275530"/>
    <w:rsid w:val="00281894"/>
    <w:rsid w:val="00282575"/>
    <w:rsid w:val="002833A0"/>
    <w:rsid w:val="0028381E"/>
    <w:rsid w:val="00284F9B"/>
    <w:rsid w:val="00286CCA"/>
    <w:rsid w:val="00287EB5"/>
    <w:rsid w:val="002915B4"/>
    <w:rsid w:val="00296A2B"/>
    <w:rsid w:val="00296C83"/>
    <w:rsid w:val="00297361"/>
    <w:rsid w:val="0029790A"/>
    <w:rsid w:val="002A01D9"/>
    <w:rsid w:val="002A10C3"/>
    <w:rsid w:val="002A2629"/>
    <w:rsid w:val="002A38F0"/>
    <w:rsid w:val="002A419E"/>
    <w:rsid w:val="002A479D"/>
    <w:rsid w:val="002A70EF"/>
    <w:rsid w:val="002B0843"/>
    <w:rsid w:val="002B1776"/>
    <w:rsid w:val="002B2820"/>
    <w:rsid w:val="002B44B8"/>
    <w:rsid w:val="002B60C7"/>
    <w:rsid w:val="002B61E4"/>
    <w:rsid w:val="002C0ECA"/>
    <w:rsid w:val="002C3C61"/>
    <w:rsid w:val="002C55C3"/>
    <w:rsid w:val="002C7822"/>
    <w:rsid w:val="002D390E"/>
    <w:rsid w:val="002D7D62"/>
    <w:rsid w:val="002D7EAC"/>
    <w:rsid w:val="002E1EA8"/>
    <w:rsid w:val="002E3E5E"/>
    <w:rsid w:val="002E50A8"/>
    <w:rsid w:val="002E5A3E"/>
    <w:rsid w:val="002F14FD"/>
    <w:rsid w:val="002F4BDF"/>
    <w:rsid w:val="002F5958"/>
    <w:rsid w:val="002F5F85"/>
    <w:rsid w:val="002F7A6D"/>
    <w:rsid w:val="002F7AA7"/>
    <w:rsid w:val="002F7EAD"/>
    <w:rsid w:val="0030599E"/>
    <w:rsid w:val="00312F07"/>
    <w:rsid w:val="00315602"/>
    <w:rsid w:val="003162A0"/>
    <w:rsid w:val="00316E66"/>
    <w:rsid w:val="00317B9C"/>
    <w:rsid w:val="0032003A"/>
    <w:rsid w:val="00321608"/>
    <w:rsid w:val="00321BB9"/>
    <w:rsid w:val="00322331"/>
    <w:rsid w:val="00323339"/>
    <w:rsid w:val="003233CB"/>
    <w:rsid w:val="003247F6"/>
    <w:rsid w:val="003274F2"/>
    <w:rsid w:val="00327FED"/>
    <w:rsid w:val="00333345"/>
    <w:rsid w:val="00334213"/>
    <w:rsid w:val="00334464"/>
    <w:rsid w:val="00334629"/>
    <w:rsid w:val="00334C86"/>
    <w:rsid w:val="00337E24"/>
    <w:rsid w:val="00340AD6"/>
    <w:rsid w:val="0034185D"/>
    <w:rsid w:val="00341AB4"/>
    <w:rsid w:val="00342262"/>
    <w:rsid w:val="00343359"/>
    <w:rsid w:val="003437E9"/>
    <w:rsid w:val="00343AA5"/>
    <w:rsid w:val="00344B49"/>
    <w:rsid w:val="00344BAC"/>
    <w:rsid w:val="003473AE"/>
    <w:rsid w:val="00347EF9"/>
    <w:rsid w:val="00350F9A"/>
    <w:rsid w:val="00351AB6"/>
    <w:rsid w:val="00352112"/>
    <w:rsid w:val="0035493A"/>
    <w:rsid w:val="00355224"/>
    <w:rsid w:val="003556BA"/>
    <w:rsid w:val="0035698F"/>
    <w:rsid w:val="0035733C"/>
    <w:rsid w:val="00357E38"/>
    <w:rsid w:val="0036134F"/>
    <w:rsid w:val="00361DEF"/>
    <w:rsid w:val="00362292"/>
    <w:rsid w:val="00362519"/>
    <w:rsid w:val="003632CA"/>
    <w:rsid w:val="00370FD1"/>
    <w:rsid w:val="00372F4F"/>
    <w:rsid w:val="003759BA"/>
    <w:rsid w:val="003823FB"/>
    <w:rsid w:val="00382693"/>
    <w:rsid w:val="00385F05"/>
    <w:rsid w:val="00387E49"/>
    <w:rsid w:val="0039057E"/>
    <w:rsid w:val="003917E2"/>
    <w:rsid w:val="00391AD3"/>
    <w:rsid w:val="00392D0B"/>
    <w:rsid w:val="003934BA"/>
    <w:rsid w:val="00395057"/>
    <w:rsid w:val="003952CD"/>
    <w:rsid w:val="003977BE"/>
    <w:rsid w:val="003A395A"/>
    <w:rsid w:val="003A427D"/>
    <w:rsid w:val="003A7060"/>
    <w:rsid w:val="003A730A"/>
    <w:rsid w:val="003B1BB2"/>
    <w:rsid w:val="003B24D3"/>
    <w:rsid w:val="003B3D33"/>
    <w:rsid w:val="003B3FFB"/>
    <w:rsid w:val="003B700A"/>
    <w:rsid w:val="003C125C"/>
    <w:rsid w:val="003C24A6"/>
    <w:rsid w:val="003C2C41"/>
    <w:rsid w:val="003C49A2"/>
    <w:rsid w:val="003C54B1"/>
    <w:rsid w:val="003C5743"/>
    <w:rsid w:val="003C7EE5"/>
    <w:rsid w:val="003D0CC7"/>
    <w:rsid w:val="003D3023"/>
    <w:rsid w:val="003D41DD"/>
    <w:rsid w:val="003D4743"/>
    <w:rsid w:val="003D5724"/>
    <w:rsid w:val="003E00A6"/>
    <w:rsid w:val="003E19B9"/>
    <w:rsid w:val="003E1ECF"/>
    <w:rsid w:val="003E4AEF"/>
    <w:rsid w:val="003E4B71"/>
    <w:rsid w:val="003F316D"/>
    <w:rsid w:val="003F6D6D"/>
    <w:rsid w:val="004001F0"/>
    <w:rsid w:val="00401545"/>
    <w:rsid w:val="00403514"/>
    <w:rsid w:val="00404FD9"/>
    <w:rsid w:val="0040515F"/>
    <w:rsid w:val="00410569"/>
    <w:rsid w:val="00410F35"/>
    <w:rsid w:val="00414659"/>
    <w:rsid w:val="00414858"/>
    <w:rsid w:val="00415A02"/>
    <w:rsid w:val="00417BFE"/>
    <w:rsid w:val="00420D36"/>
    <w:rsid w:val="00424E86"/>
    <w:rsid w:val="004254D9"/>
    <w:rsid w:val="00425ACD"/>
    <w:rsid w:val="00427A82"/>
    <w:rsid w:val="00427DE4"/>
    <w:rsid w:val="00433475"/>
    <w:rsid w:val="00433599"/>
    <w:rsid w:val="004347D8"/>
    <w:rsid w:val="00434F47"/>
    <w:rsid w:val="004356B3"/>
    <w:rsid w:val="00436CD8"/>
    <w:rsid w:val="0043725A"/>
    <w:rsid w:val="00437B05"/>
    <w:rsid w:val="00437E11"/>
    <w:rsid w:val="00444C40"/>
    <w:rsid w:val="00446041"/>
    <w:rsid w:val="004465B0"/>
    <w:rsid w:val="0044680F"/>
    <w:rsid w:val="004474F9"/>
    <w:rsid w:val="00447645"/>
    <w:rsid w:val="00453938"/>
    <w:rsid w:val="00462B9F"/>
    <w:rsid w:val="004639D8"/>
    <w:rsid w:val="00463B5B"/>
    <w:rsid w:val="0046499A"/>
    <w:rsid w:val="004653A8"/>
    <w:rsid w:val="00466F88"/>
    <w:rsid w:val="00470ECB"/>
    <w:rsid w:val="00472A90"/>
    <w:rsid w:val="004737B4"/>
    <w:rsid w:val="004745BE"/>
    <w:rsid w:val="00474B40"/>
    <w:rsid w:val="00474F12"/>
    <w:rsid w:val="004758E7"/>
    <w:rsid w:val="004760E7"/>
    <w:rsid w:val="00476643"/>
    <w:rsid w:val="004802A8"/>
    <w:rsid w:val="004810EA"/>
    <w:rsid w:val="00481200"/>
    <w:rsid w:val="0048123D"/>
    <w:rsid w:val="00481C77"/>
    <w:rsid w:val="00482AEE"/>
    <w:rsid w:val="004831E1"/>
    <w:rsid w:val="004839BE"/>
    <w:rsid w:val="00483F0E"/>
    <w:rsid w:val="004850BD"/>
    <w:rsid w:val="00485C7B"/>
    <w:rsid w:val="00486682"/>
    <w:rsid w:val="004868DE"/>
    <w:rsid w:val="00487053"/>
    <w:rsid w:val="00487115"/>
    <w:rsid w:val="0049132C"/>
    <w:rsid w:val="00494C15"/>
    <w:rsid w:val="00495231"/>
    <w:rsid w:val="004A0E35"/>
    <w:rsid w:val="004A6812"/>
    <w:rsid w:val="004A7211"/>
    <w:rsid w:val="004A7465"/>
    <w:rsid w:val="004B1821"/>
    <w:rsid w:val="004B277C"/>
    <w:rsid w:val="004B37DF"/>
    <w:rsid w:val="004B5B37"/>
    <w:rsid w:val="004B6214"/>
    <w:rsid w:val="004B6D6B"/>
    <w:rsid w:val="004B75B3"/>
    <w:rsid w:val="004B7B4B"/>
    <w:rsid w:val="004C0928"/>
    <w:rsid w:val="004C43D2"/>
    <w:rsid w:val="004C46E1"/>
    <w:rsid w:val="004C4787"/>
    <w:rsid w:val="004C58B2"/>
    <w:rsid w:val="004C5ECA"/>
    <w:rsid w:val="004C6807"/>
    <w:rsid w:val="004C7B2D"/>
    <w:rsid w:val="004D10DB"/>
    <w:rsid w:val="004D1F2B"/>
    <w:rsid w:val="004D2454"/>
    <w:rsid w:val="004D27CA"/>
    <w:rsid w:val="004D2F83"/>
    <w:rsid w:val="004D3610"/>
    <w:rsid w:val="004D6765"/>
    <w:rsid w:val="004E1A4F"/>
    <w:rsid w:val="004E27D9"/>
    <w:rsid w:val="004E4319"/>
    <w:rsid w:val="004E7799"/>
    <w:rsid w:val="004F21F5"/>
    <w:rsid w:val="004F3EDB"/>
    <w:rsid w:val="004F4C36"/>
    <w:rsid w:val="004F540D"/>
    <w:rsid w:val="004F5855"/>
    <w:rsid w:val="004F5D27"/>
    <w:rsid w:val="005002B1"/>
    <w:rsid w:val="00502665"/>
    <w:rsid w:val="00504E69"/>
    <w:rsid w:val="005050DB"/>
    <w:rsid w:val="0050529E"/>
    <w:rsid w:val="00505966"/>
    <w:rsid w:val="00506BB0"/>
    <w:rsid w:val="0051194E"/>
    <w:rsid w:val="00511ACF"/>
    <w:rsid w:val="0051222D"/>
    <w:rsid w:val="00512438"/>
    <w:rsid w:val="00514DE8"/>
    <w:rsid w:val="005154D4"/>
    <w:rsid w:val="00515610"/>
    <w:rsid w:val="00515ECB"/>
    <w:rsid w:val="005169AD"/>
    <w:rsid w:val="005171FC"/>
    <w:rsid w:val="00517480"/>
    <w:rsid w:val="00520319"/>
    <w:rsid w:val="005207ED"/>
    <w:rsid w:val="00522910"/>
    <w:rsid w:val="00524B11"/>
    <w:rsid w:val="0052611A"/>
    <w:rsid w:val="00526536"/>
    <w:rsid w:val="00531A22"/>
    <w:rsid w:val="0053468D"/>
    <w:rsid w:val="00544A95"/>
    <w:rsid w:val="005454FA"/>
    <w:rsid w:val="005455AE"/>
    <w:rsid w:val="0055187F"/>
    <w:rsid w:val="00554362"/>
    <w:rsid w:val="00554C1D"/>
    <w:rsid w:val="00554F07"/>
    <w:rsid w:val="005610F0"/>
    <w:rsid w:val="0056267E"/>
    <w:rsid w:val="00565EEE"/>
    <w:rsid w:val="0057351F"/>
    <w:rsid w:val="00574503"/>
    <w:rsid w:val="00577ACF"/>
    <w:rsid w:val="00581A1B"/>
    <w:rsid w:val="00581F30"/>
    <w:rsid w:val="005825FA"/>
    <w:rsid w:val="00582896"/>
    <w:rsid w:val="00583CE2"/>
    <w:rsid w:val="00585080"/>
    <w:rsid w:val="00586F77"/>
    <w:rsid w:val="00590C09"/>
    <w:rsid w:val="005915AC"/>
    <w:rsid w:val="00591819"/>
    <w:rsid w:val="00593E85"/>
    <w:rsid w:val="00594AFC"/>
    <w:rsid w:val="005959E7"/>
    <w:rsid w:val="005A2250"/>
    <w:rsid w:val="005A3B16"/>
    <w:rsid w:val="005A4114"/>
    <w:rsid w:val="005A524C"/>
    <w:rsid w:val="005A6ADE"/>
    <w:rsid w:val="005B0320"/>
    <w:rsid w:val="005B04B7"/>
    <w:rsid w:val="005B0EC6"/>
    <w:rsid w:val="005B11BC"/>
    <w:rsid w:val="005B362E"/>
    <w:rsid w:val="005B53F7"/>
    <w:rsid w:val="005B68DB"/>
    <w:rsid w:val="005B7E37"/>
    <w:rsid w:val="005C2E5A"/>
    <w:rsid w:val="005C3E55"/>
    <w:rsid w:val="005C3F1D"/>
    <w:rsid w:val="005C3FE9"/>
    <w:rsid w:val="005C46E9"/>
    <w:rsid w:val="005C6CE5"/>
    <w:rsid w:val="005D4D47"/>
    <w:rsid w:val="005D7F7F"/>
    <w:rsid w:val="005E26E4"/>
    <w:rsid w:val="005E2F77"/>
    <w:rsid w:val="005E3A82"/>
    <w:rsid w:val="005E4485"/>
    <w:rsid w:val="005E4928"/>
    <w:rsid w:val="005E613B"/>
    <w:rsid w:val="005E7BC2"/>
    <w:rsid w:val="005F0371"/>
    <w:rsid w:val="005F758C"/>
    <w:rsid w:val="00600FFF"/>
    <w:rsid w:val="00601D7A"/>
    <w:rsid w:val="006028C6"/>
    <w:rsid w:val="00602EF2"/>
    <w:rsid w:val="006032FD"/>
    <w:rsid w:val="0060334E"/>
    <w:rsid w:val="00603405"/>
    <w:rsid w:val="00604DC3"/>
    <w:rsid w:val="00605C3E"/>
    <w:rsid w:val="006060C0"/>
    <w:rsid w:val="00606467"/>
    <w:rsid w:val="00607C3F"/>
    <w:rsid w:val="00614E35"/>
    <w:rsid w:val="006212E1"/>
    <w:rsid w:val="00623A72"/>
    <w:rsid w:val="00623CAA"/>
    <w:rsid w:val="00630D9F"/>
    <w:rsid w:val="0063306E"/>
    <w:rsid w:val="00634118"/>
    <w:rsid w:val="006367B3"/>
    <w:rsid w:val="00643247"/>
    <w:rsid w:val="006442E1"/>
    <w:rsid w:val="00645B89"/>
    <w:rsid w:val="00647040"/>
    <w:rsid w:val="00647FBA"/>
    <w:rsid w:val="006541C3"/>
    <w:rsid w:val="006556D0"/>
    <w:rsid w:val="00657189"/>
    <w:rsid w:val="00657811"/>
    <w:rsid w:val="0066003F"/>
    <w:rsid w:val="00661CCA"/>
    <w:rsid w:val="006633F5"/>
    <w:rsid w:val="00665319"/>
    <w:rsid w:val="006655FF"/>
    <w:rsid w:val="00665A5A"/>
    <w:rsid w:val="006671D2"/>
    <w:rsid w:val="00667AE7"/>
    <w:rsid w:val="00671427"/>
    <w:rsid w:val="006729EE"/>
    <w:rsid w:val="00673CE3"/>
    <w:rsid w:val="00674053"/>
    <w:rsid w:val="00674B49"/>
    <w:rsid w:val="00675B85"/>
    <w:rsid w:val="00676838"/>
    <w:rsid w:val="00676A9A"/>
    <w:rsid w:val="0067750F"/>
    <w:rsid w:val="00680251"/>
    <w:rsid w:val="0068182B"/>
    <w:rsid w:val="0068552C"/>
    <w:rsid w:val="00686BC8"/>
    <w:rsid w:val="006875DA"/>
    <w:rsid w:val="00691C11"/>
    <w:rsid w:val="00697AF4"/>
    <w:rsid w:val="006A02E8"/>
    <w:rsid w:val="006A0CB3"/>
    <w:rsid w:val="006A5610"/>
    <w:rsid w:val="006A6B13"/>
    <w:rsid w:val="006B0194"/>
    <w:rsid w:val="006B07AE"/>
    <w:rsid w:val="006B2320"/>
    <w:rsid w:val="006B4960"/>
    <w:rsid w:val="006C1514"/>
    <w:rsid w:val="006C1E3A"/>
    <w:rsid w:val="006C2DC7"/>
    <w:rsid w:val="006C44E0"/>
    <w:rsid w:val="006C5C0C"/>
    <w:rsid w:val="006C7978"/>
    <w:rsid w:val="006C7AF4"/>
    <w:rsid w:val="006C7BC8"/>
    <w:rsid w:val="006D05DB"/>
    <w:rsid w:val="006D2441"/>
    <w:rsid w:val="006D29C2"/>
    <w:rsid w:val="006D3227"/>
    <w:rsid w:val="006D350B"/>
    <w:rsid w:val="006D680B"/>
    <w:rsid w:val="006D76ED"/>
    <w:rsid w:val="006F34D8"/>
    <w:rsid w:val="006F483A"/>
    <w:rsid w:val="006F53B5"/>
    <w:rsid w:val="006F5A4E"/>
    <w:rsid w:val="0070061A"/>
    <w:rsid w:val="00700EC0"/>
    <w:rsid w:val="0070149E"/>
    <w:rsid w:val="007018A1"/>
    <w:rsid w:val="00704935"/>
    <w:rsid w:val="00705D9C"/>
    <w:rsid w:val="00705F9D"/>
    <w:rsid w:val="00706F1A"/>
    <w:rsid w:val="00716528"/>
    <w:rsid w:val="0072036A"/>
    <w:rsid w:val="00723F20"/>
    <w:rsid w:val="00724096"/>
    <w:rsid w:val="00724B08"/>
    <w:rsid w:val="00725373"/>
    <w:rsid w:val="00725DE1"/>
    <w:rsid w:val="00726C6C"/>
    <w:rsid w:val="00727105"/>
    <w:rsid w:val="007319FA"/>
    <w:rsid w:val="00732DB4"/>
    <w:rsid w:val="007338A6"/>
    <w:rsid w:val="0073645F"/>
    <w:rsid w:val="00736C35"/>
    <w:rsid w:val="00740AEE"/>
    <w:rsid w:val="00740EC1"/>
    <w:rsid w:val="0074409A"/>
    <w:rsid w:val="0074422F"/>
    <w:rsid w:val="00750A9A"/>
    <w:rsid w:val="007529B2"/>
    <w:rsid w:val="00757D4E"/>
    <w:rsid w:val="007627FB"/>
    <w:rsid w:val="00762BA6"/>
    <w:rsid w:val="00763D9C"/>
    <w:rsid w:val="00767A01"/>
    <w:rsid w:val="00767A8B"/>
    <w:rsid w:val="00767AAD"/>
    <w:rsid w:val="00770F9E"/>
    <w:rsid w:val="00774194"/>
    <w:rsid w:val="0077523B"/>
    <w:rsid w:val="00775349"/>
    <w:rsid w:val="00775ED8"/>
    <w:rsid w:val="0077757C"/>
    <w:rsid w:val="0078150C"/>
    <w:rsid w:val="0078191E"/>
    <w:rsid w:val="00782739"/>
    <w:rsid w:val="007844BA"/>
    <w:rsid w:val="00790C75"/>
    <w:rsid w:val="0079401D"/>
    <w:rsid w:val="00796EEA"/>
    <w:rsid w:val="007A0286"/>
    <w:rsid w:val="007A14B0"/>
    <w:rsid w:val="007A5E5E"/>
    <w:rsid w:val="007A5F74"/>
    <w:rsid w:val="007A7269"/>
    <w:rsid w:val="007A73BF"/>
    <w:rsid w:val="007B0C8A"/>
    <w:rsid w:val="007B0E52"/>
    <w:rsid w:val="007B16E6"/>
    <w:rsid w:val="007B1789"/>
    <w:rsid w:val="007B2419"/>
    <w:rsid w:val="007B4393"/>
    <w:rsid w:val="007B444F"/>
    <w:rsid w:val="007B4A85"/>
    <w:rsid w:val="007B4D4E"/>
    <w:rsid w:val="007B5770"/>
    <w:rsid w:val="007B6677"/>
    <w:rsid w:val="007C3759"/>
    <w:rsid w:val="007C497F"/>
    <w:rsid w:val="007C5137"/>
    <w:rsid w:val="007C551C"/>
    <w:rsid w:val="007C5B63"/>
    <w:rsid w:val="007C5E72"/>
    <w:rsid w:val="007D2204"/>
    <w:rsid w:val="007D2622"/>
    <w:rsid w:val="007D3A53"/>
    <w:rsid w:val="007D3D5F"/>
    <w:rsid w:val="007D442A"/>
    <w:rsid w:val="007D46C2"/>
    <w:rsid w:val="007E03FA"/>
    <w:rsid w:val="007E17C2"/>
    <w:rsid w:val="007E1DB1"/>
    <w:rsid w:val="007E3039"/>
    <w:rsid w:val="007E3D1C"/>
    <w:rsid w:val="007E4497"/>
    <w:rsid w:val="007E4AEC"/>
    <w:rsid w:val="007E5EAF"/>
    <w:rsid w:val="007E609A"/>
    <w:rsid w:val="007E6663"/>
    <w:rsid w:val="007E7030"/>
    <w:rsid w:val="007F1A07"/>
    <w:rsid w:val="007F23A0"/>
    <w:rsid w:val="007F3170"/>
    <w:rsid w:val="007F3702"/>
    <w:rsid w:val="007F43D7"/>
    <w:rsid w:val="007F76B8"/>
    <w:rsid w:val="00801472"/>
    <w:rsid w:val="00801A5D"/>
    <w:rsid w:val="00802580"/>
    <w:rsid w:val="008025C4"/>
    <w:rsid w:val="00803FF0"/>
    <w:rsid w:val="0080443A"/>
    <w:rsid w:val="00804F9C"/>
    <w:rsid w:val="008112B4"/>
    <w:rsid w:val="00813AA6"/>
    <w:rsid w:val="0081753A"/>
    <w:rsid w:val="0082171C"/>
    <w:rsid w:val="00823AF1"/>
    <w:rsid w:val="00824879"/>
    <w:rsid w:val="008277C5"/>
    <w:rsid w:val="00827ED7"/>
    <w:rsid w:val="00830D88"/>
    <w:rsid w:val="00830F43"/>
    <w:rsid w:val="00832F37"/>
    <w:rsid w:val="00833BE3"/>
    <w:rsid w:val="0083460E"/>
    <w:rsid w:val="00835524"/>
    <w:rsid w:val="00840FD1"/>
    <w:rsid w:val="00842ECB"/>
    <w:rsid w:val="008444E3"/>
    <w:rsid w:val="008460CA"/>
    <w:rsid w:val="0084663E"/>
    <w:rsid w:val="00851F77"/>
    <w:rsid w:val="00852648"/>
    <w:rsid w:val="008531C8"/>
    <w:rsid w:val="00853B66"/>
    <w:rsid w:val="0085606B"/>
    <w:rsid w:val="008619B0"/>
    <w:rsid w:val="00864EC2"/>
    <w:rsid w:val="00865172"/>
    <w:rsid w:val="00866640"/>
    <w:rsid w:val="008677ED"/>
    <w:rsid w:val="00871951"/>
    <w:rsid w:val="00874FD0"/>
    <w:rsid w:val="00876DC6"/>
    <w:rsid w:val="00876F01"/>
    <w:rsid w:val="00877905"/>
    <w:rsid w:val="008810F6"/>
    <w:rsid w:val="00882607"/>
    <w:rsid w:val="00883BC6"/>
    <w:rsid w:val="008840DE"/>
    <w:rsid w:val="008841CA"/>
    <w:rsid w:val="008842E9"/>
    <w:rsid w:val="008854C8"/>
    <w:rsid w:val="00886618"/>
    <w:rsid w:val="00886A3A"/>
    <w:rsid w:val="00887298"/>
    <w:rsid w:val="008877EB"/>
    <w:rsid w:val="00891DC9"/>
    <w:rsid w:val="008959E2"/>
    <w:rsid w:val="008A1FB1"/>
    <w:rsid w:val="008A223A"/>
    <w:rsid w:val="008A237E"/>
    <w:rsid w:val="008A260E"/>
    <w:rsid w:val="008A4D8E"/>
    <w:rsid w:val="008A6086"/>
    <w:rsid w:val="008B0F52"/>
    <w:rsid w:val="008B29A3"/>
    <w:rsid w:val="008B7D28"/>
    <w:rsid w:val="008C04F5"/>
    <w:rsid w:val="008C0A3D"/>
    <w:rsid w:val="008C1300"/>
    <w:rsid w:val="008C196E"/>
    <w:rsid w:val="008C22A6"/>
    <w:rsid w:val="008C279A"/>
    <w:rsid w:val="008C2D74"/>
    <w:rsid w:val="008C4D98"/>
    <w:rsid w:val="008C4DB0"/>
    <w:rsid w:val="008C56B1"/>
    <w:rsid w:val="008C58EA"/>
    <w:rsid w:val="008C6038"/>
    <w:rsid w:val="008C71AB"/>
    <w:rsid w:val="008D2BAC"/>
    <w:rsid w:val="008D307B"/>
    <w:rsid w:val="008D4019"/>
    <w:rsid w:val="008E4667"/>
    <w:rsid w:val="008E50E5"/>
    <w:rsid w:val="008E6071"/>
    <w:rsid w:val="008F2061"/>
    <w:rsid w:val="008F2DFD"/>
    <w:rsid w:val="009017FE"/>
    <w:rsid w:val="00901ADE"/>
    <w:rsid w:val="00904B44"/>
    <w:rsid w:val="00904DC6"/>
    <w:rsid w:val="00906D82"/>
    <w:rsid w:val="00907744"/>
    <w:rsid w:val="009105FA"/>
    <w:rsid w:val="0091106B"/>
    <w:rsid w:val="009146F9"/>
    <w:rsid w:val="009148E9"/>
    <w:rsid w:val="009152C4"/>
    <w:rsid w:val="00915C2A"/>
    <w:rsid w:val="0091671D"/>
    <w:rsid w:val="009167D7"/>
    <w:rsid w:val="00920918"/>
    <w:rsid w:val="009211CC"/>
    <w:rsid w:val="0092398A"/>
    <w:rsid w:val="00924F27"/>
    <w:rsid w:val="00926F9D"/>
    <w:rsid w:val="009271C2"/>
    <w:rsid w:val="00927596"/>
    <w:rsid w:val="0093005F"/>
    <w:rsid w:val="0093331E"/>
    <w:rsid w:val="00935457"/>
    <w:rsid w:val="009433DE"/>
    <w:rsid w:val="00946959"/>
    <w:rsid w:val="009469EB"/>
    <w:rsid w:val="0094745B"/>
    <w:rsid w:val="0095021C"/>
    <w:rsid w:val="0095280B"/>
    <w:rsid w:val="009534A4"/>
    <w:rsid w:val="00954DC0"/>
    <w:rsid w:val="00955929"/>
    <w:rsid w:val="00960B77"/>
    <w:rsid w:val="009613DB"/>
    <w:rsid w:val="00963364"/>
    <w:rsid w:val="0096440C"/>
    <w:rsid w:val="00965E08"/>
    <w:rsid w:val="00965FE1"/>
    <w:rsid w:val="00967866"/>
    <w:rsid w:val="00967D0A"/>
    <w:rsid w:val="00971140"/>
    <w:rsid w:val="00976956"/>
    <w:rsid w:val="009817BF"/>
    <w:rsid w:val="00981F94"/>
    <w:rsid w:val="00983AB9"/>
    <w:rsid w:val="0098463F"/>
    <w:rsid w:val="0098553E"/>
    <w:rsid w:val="00985A6B"/>
    <w:rsid w:val="0098605B"/>
    <w:rsid w:val="0099067E"/>
    <w:rsid w:val="0099098B"/>
    <w:rsid w:val="0099111E"/>
    <w:rsid w:val="00991C3B"/>
    <w:rsid w:val="00991C85"/>
    <w:rsid w:val="00991F2B"/>
    <w:rsid w:val="009926F6"/>
    <w:rsid w:val="00994296"/>
    <w:rsid w:val="009A10FC"/>
    <w:rsid w:val="009A1501"/>
    <w:rsid w:val="009A2205"/>
    <w:rsid w:val="009A3488"/>
    <w:rsid w:val="009A5D32"/>
    <w:rsid w:val="009A7902"/>
    <w:rsid w:val="009B056F"/>
    <w:rsid w:val="009B11F8"/>
    <w:rsid w:val="009B171D"/>
    <w:rsid w:val="009B5D25"/>
    <w:rsid w:val="009B6AAA"/>
    <w:rsid w:val="009B7ACF"/>
    <w:rsid w:val="009C21F9"/>
    <w:rsid w:val="009C2E0B"/>
    <w:rsid w:val="009C6037"/>
    <w:rsid w:val="009C6645"/>
    <w:rsid w:val="009C6D35"/>
    <w:rsid w:val="009D08BF"/>
    <w:rsid w:val="009D0A1E"/>
    <w:rsid w:val="009D0B23"/>
    <w:rsid w:val="009D23B5"/>
    <w:rsid w:val="009D3126"/>
    <w:rsid w:val="009D4B1A"/>
    <w:rsid w:val="009D4BF9"/>
    <w:rsid w:val="009D62BB"/>
    <w:rsid w:val="009D70CE"/>
    <w:rsid w:val="009E235E"/>
    <w:rsid w:val="009E2745"/>
    <w:rsid w:val="009E3A10"/>
    <w:rsid w:val="009F0607"/>
    <w:rsid w:val="009F06EC"/>
    <w:rsid w:val="009F082C"/>
    <w:rsid w:val="009F33E3"/>
    <w:rsid w:val="009F3892"/>
    <w:rsid w:val="009F63FB"/>
    <w:rsid w:val="009F6A7B"/>
    <w:rsid w:val="009F7713"/>
    <w:rsid w:val="009F7864"/>
    <w:rsid w:val="009F7ACE"/>
    <w:rsid w:val="00A007AC"/>
    <w:rsid w:val="00A04429"/>
    <w:rsid w:val="00A0481C"/>
    <w:rsid w:val="00A05B4C"/>
    <w:rsid w:val="00A07349"/>
    <w:rsid w:val="00A116C3"/>
    <w:rsid w:val="00A11C12"/>
    <w:rsid w:val="00A11FD4"/>
    <w:rsid w:val="00A12237"/>
    <w:rsid w:val="00A12C51"/>
    <w:rsid w:val="00A12F7D"/>
    <w:rsid w:val="00A1773D"/>
    <w:rsid w:val="00A216BB"/>
    <w:rsid w:val="00A24EF9"/>
    <w:rsid w:val="00A25F1F"/>
    <w:rsid w:val="00A25FE1"/>
    <w:rsid w:val="00A267E4"/>
    <w:rsid w:val="00A27160"/>
    <w:rsid w:val="00A32E1A"/>
    <w:rsid w:val="00A33B0D"/>
    <w:rsid w:val="00A33DB6"/>
    <w:rsid w:val="00A34032"/>
    <w:rsid w:val="00A34E58"/>
    <w:rsid w:val="00A37163"/>
    <w:rsid w:val="00A41991"/>
    <w:rsid w:val="00A44E93"/>
    <w:rsid w:val="00A5094E"/>
    <w:rsid w:val="00A60D7A"/>
    <w:rsid w:val="00A61B34"/>
    <w:rsid w:val="00A628CB"/>
    <w:rsid w:val="00A64135"/>
    <w:rsid w:val="00A6415E"/>
    <w:rsid w:val="00A65BFC"/>
    <w:rsid w:val="00A65CDA"/>
    <w:rsid w:val="00A6623B"/>
    <w:rsid w:val="00A668AD"/>
    <w:rsid w:val="00A66D13"/>
    <w:rsid w:val="00A73092"/>
    <w:rsid w:val="00A750B2"/>
    <w:rsid w:val="00A75A2B"/>
    <w:rsid w:val="00A76EE1"/>
    <w:rsid w:val="00A810DA"/>
    <w:rsid w:val="00A81656"/>
    <w:rsid w:val="00A83309"/>
    <w:rsid w:val="00A857B0"/>
    <w:rsid w:val="00A85ECC"/>
    <w:rsid w:val="00A929DA"/>
    <w:rsid w:val="00A93698"/>
    <w:rsid w:val="00A93FA3"/>
    <w:rsid w:val="00AA0621"/>
    <w:rsid w:val="00AA09E0"/>
    <w:rsid w:val="00AA16D8"/>
    <w:rsid w:val="00AA7FC5"/>
    <w:rsid w:val="00AB589A"/>
    <w:rsid w:val="00AB59B9"/>
    <w:rsid w:val="00AC1014"/>
    <w:rsid w:val="00AC2641"/>
    <w:rsid w:val="00AC552A"/>
    <w:rsid w:val="00AC5E85"/>
    <w:rsid w:val="00AD002E"/>
    <w:rsid w:val="00AD25CD"/>
    <w:rsid w:val="00AD3894"/>
    <w:rsid w:val="00AD6F68"/>
    <w:rsid w:val="00AE2B53"/>
    <w:rsid w:val="00AE466F"/>
    <w:rsid w:val="00AE7179"/>
    <w:rsid w:val="00AE777E"/>
    <w:rsid w:val="00AF086B"/>
    <w:rsid w:val="00AF11C8"/>
    <w:rsid w:val="00AF38F2"/>
    <w:rsid w:val="00AF3BFA"/>
    <w:rsid w:val="00AF5107"/>
    <w:rsid w:val="00AF51D3"/>
    <w:rsid w:val="00AF7F1B"/>
    <w:rsid w:val="00B008C3"/>
    <w:rsid w:val="00B00A58"/>
    <w:rsid w:val="00B03090"/>
    <w:rsid w:val="00B074D9"/>
    <w:rsid w:val="00B0751F"/>
    <w:rsid w:val="00B076CD"/>
    <w:rsid w:val="00B07A0D"/>
    <w:rsid w:val="00B10076"/>
    <w:rsid w:val="00B11331"/>
    <w:rsid w:val="00B13881"/>
    <w:rsid w:val="00B144AE"/>
    <w:rsid w:val="00B1453D"/>
    <w:rsid w:val="00B16070"/>
    <w:rsid w:val="00B202A9"/>
    <w:rsid w:val="00B2066E"/>
    <w:rsid w:val="00B21DB8"/>
    <w:rsid w:val="00B22E66"/>
    <w:rsid w:val="00B24EE4"/>
    <w:rsid w:val="00B251AD"/>
    <w:rsid w:val="00B26CF5"/>
    <w:rsid w:val="00B27EDD"/>
    <w:rsid w:val="00B3466E"/>
    <w:rsid w:val="00B3704C"/>
    <w:rsid w:val="00B40216"/>
    <w:rsid w:val="00B41949"/>
    <w:rsid w:val="00B43F6E"/>
    <w:rsid w:val="00B4443B"/>
    <w:rsid w:val="00B46C0C"/>
    <w:rsid w:val="00B51861"/>
    <w:rsid w:val="00B545EF"/>
    <w:rsid w:val="00B5624B"/>
    <w:rsid w:val="00B566C4"/>
    <w:rsid w:val="00B628D6"/>
    <w:rsid w:val="00B6372D"/>
    <w:rsid w:val="00B66901"/>
    <w:rsid w:val="00B719F9"/>
    <w:rsid w:val="00B71BA1"/>
    <w:rsid w:val="00B72D05"/>
    <w:rsid w:val="00B731F8"/>
    <w:rsid w:val="00B73E9B"/>
    <w:rsid w:val="00B74B03"/>
    <w:rsid w:val="00B754BD"/>
    <w:rsid w:val="00B75A79"/>
    <w:rsid w:val="00B766A3"/>
    <w:rsid w:val="00B76C64"/>
    <w:rsid w:val="00B8010F"/>
    <w:rsid w:val="00B859E9"/>
    <w:rsid w:val="00B87E13"/>
    <w:rsid w:val="00B91D76"/>
    <w:rsid w:val="00B949A6"/>
    <w:rsid w:val="00B9516A"/>
    <w:rsid w:val="00BA0061"/>
    <w:rsid w:val="00BA0128"/>
    <w:rsid w:val="00BA0285"/>
    <w:rsid w:val="00BA165A"/>
    <w:rsid w:val="00BA2406"/>
    <w:rsid w:val="00BA4826"/>
    <w:rsid w:val="00BA71FA"/>
    <w:rsid w:val="00BB07F6"/>
    <w:rsid w:val="00BB1899"/>
    <w:rsid w:val="00BB2828"/>
    <w:rsid w:val="00BB4C75"/>
    <w:rsid w:val="00BB6732"/>
    <w:rsid w:val="00BB6DF2"/>
    <w:rsid w:val="00BC23BA"/>
    <w:rsid w:val="00BC3007"/>
    <w:rsid w:val="00BC396C"/>
    <w:rsid w:val="00BC46C2"/>
    <w:rsid w:val="00BC4D26"/>
    <w:rsid w:val="00BC61C9"/>
    <w:rsid w:val="00BC6DEE"/>
    <w:rsid w:val="00BD06F5"/>
    <w:rsid w:val="00BD248A"/>
    <w:rsid w:val="00BD5382"/>
    <w:rsid w:val="00BE1A39"/>
    <w:rsid w:val="00BE302A"/>
    <w:rsid w:val="00BE4DFA"/>
    <w:rsid w:val="00BE551A"/>
    <w:rsid w:val="00BE613E"/>
    <w:rsid w:val="00BF063B"/>
    <w:rsid w:val="00BF0DEE"/>
    <w:rsid w:val="00BF5C65"/>
    <w:rsid w:val="00C02C85"/>
    <w:rsid w:val="00C03152"/>
    <w:rsid w:val="00C0655A"/>
    <w:rsid w:val="00C071B9"/>
    <w:rsid w:val="00C075C9"/>
    <w:rsid w:val="00C10B9F"/>
    <w:rsid w:val="00C11693"/>
    <w:rsid w:val="00C11A85"/>
    <w:rsid w:val="00C1345F"/>
    <w:rsid w:val="00C14950"/>
    <w:rsid w:val="00C14A52"/>
    <w:rsid w:val="00C14EC6"/>
    <w:rsid w:val="00C151CA"/>
    <w:rsid w:val="00C17102"/>
    <w:rsid w:val="00C21526"/>
    <w:rsid w:val="00C21C2F"/>
    <w:rsid w:val="00C225A6"/>
    <w:rsid w:val="00C250AE"/>
    <w:rsid w:val="00C368C4"/>
    <w:rsid w:val="00C42A70"/>
    <w:rsid w:val="00C47B88"/>
    <w:rsid w:val="00C5144C"/>
    <w:rsid w:val="00C52CAD"/>
    <w:rsid w:val="00C537F2"/>
    <w:rsid w:val="00C53F09"/>
    <w:rsid w:val="00C56BAE"/>
    <w:rsid w:val="00C60AC8"/>
    <w:rsid w:val="00C631AF"/>
    <w:rsid w:val="00C6720B"/>
    <w:rsid w:val="00C73CD2"/>
    <w:rsid w:val="00C754C2"/>
    <w:rsid w:val="00C761D4"/>
    <w:rsid w:val="00C76CBF"/>
    <w:rsid w:val="00C82C66"/>
    <w:rsid w:val="00C85344"/>
    <w:rsid w:val="00C86014"/>
    <w:rsid w:val="00C862B7"/>
    <w:rsid w:val="00C863C9"/>
    <w:rsid w:val="00C87537"/>
    <w:rsid w:val="00C913CF"/>
    <w:rsid w:val="00C92D5A"/>
    <w:rsid w:val="00CA5CA0"/>
    <w:rsid w:val="00CA72DF"/>
    <w:rsid w:val="00CB0950"/>
    <w:rsid w:val="00CB2218"/>
    <w:rsid w:val="00CB30AD"/>
    <w:rsid w:val="00CB3A99"/>
    <w:rsid w:val="00CB4ECD"/>
    <w:rsid w:val="00CB64B2"/>
    <w:rsid w:val="00CB6FCA"/>
    <w:rsid w:val="00CC02B0"/>
    <w:rsid w:val="00CD0728"/>
    <w:rsid w:val="00CD2F3C"/>
    <w:rsid w:val="00CD3777"/>
    <w:rsid w:val="00CD4CB2"/>
    <w:rsid w:val="00CE083B"/>
    <w:rsid w:val="00CE56B0"/>
    <w:rsid w:val="00CE71FC"/>
    <w:rsid w:val="00CE7598"/>
    <w:rsid w:val="00CF00A8"/>
    <w:rsid w:val="00CF1A77"/>
    <w:rsid w:val="00CF292C"/>
    <w:rsid w:val="00CF2EB0"/>
    <w:rsid w:val="00CF53C1"/>
    <w:rsid w:val="00CF7945"/>
    <w:rsid w:val="00CF7A95"/>
    <w:rsid w:val="00CF7BE5"/>
    <w:rsid w:val="00D0162D"/>
    <w:rsid w:val="00D01656"/>
    <w:rsid w:val="00D0392E"/>
    <w:rsid w:val="00D06800"/>
    <w:rsid w:val="00D068AE"/>
    <w:rsid w:val="00D105F2"/>
    <w:rsid w:val="00D11F00"/>
    <w:rsid w:val="00D1295D"/>
    <w:rsid w:val="00D140BC"/>
    <w:rsid w:val="00D161C9"/>
    <w:rsid w:val="00D2138A"/>
    <w:rsid w:val="00D2140E"/>
    <w:rsid w:val="00D30AFC"/>
    <w:rsid w:val="00D31F74"/>
    <w:rsid w:val="00D32203"/>
    <w:rsid w:val="00D33451"/>
    <w:rsid w:val="00D3663A"/>
    <w:rsid w:val="00D36C8C"/>
    <w:rsid w:val="00D427A9"/>
    <w:rsid w:val="00D45088"/>
    <w:rsid w:val="00D4577A"/>
    <w:rsid w:val="00D46151"/>
    <w:rsid w:val="00D46321"/>
    <w:rsid w:val="00D52032"/>
    <w:rsid w:val="00D52AE0"/>
    <w:rsid w:val="00D52BA2"/>
    <w:rsid w:val="00D5352D"/>
    <w:rsid w:val="00D54BEF"/>
    <w:rsid w:val="00D56AA8"/>
    <w:rsid w:val="00D56F6A"/>
    <w:rsid w:val="00D57316"/>
    <w:rsid w:val="00D61366"/>
    <w:rsid w:val="00D63751"/>
    <w:rsid w:val="00D65984"/>
    <w:rsid w:val="00D66127"/>
    <w:rsid w:val="00D6632F"/>
    <w:rsid w:val="00D6649E"/>
    <w:rsid w:val="00D67EA3"/>
    <w:rsid w:val="00D70AD4"/>
    <w:rsid w:val="00D714E0"/>
    <w:rsid w:val="00D735CB"/>
    <w:rsid w:val="00D736E0"/>
    <w:rsid w:val="00D76695"/>
    <w:rsid w:val="00D7694D"/>
    <w:rsid w:val="00D7772A"/>
    <w:rsid w:val="00D80046"/>
    <w:rsid w:val="00D80E34"/>
    <w:rsid w:val="00D815A3"/>
    <w:rsid w:val="00D8245D"/>
    <w:rsid w:val="00D829A3"/>
    <w:rsid w:val="00D83A71"/>
    <w:rsid w:val="00D84314"/>
    <w:rsid w:val="00D8627B"/>
    <w:rsid w:val="00D867CF"/>
    <w:rsid w:val="00D86CA1"/>
    <w:rsid w:val="00D87E8A"/>
    <w:rsid w:val="00D9245A"/>
    <w:rsid w:val="00D93B7E"/>
    <w:rsid w:val="00D94757"/>
    <w:rsid w:val="00D94AC7"/>
    <w:rsid w:val="00D95C48"/>
    <w:rsid w:val="00D97A9E"/>
    <w:rsid w:val="00DA02D4"/>
    <w:rsid w:val="00DA261C"/>
    <w:rsid w:val="00DA3420"/>
    <w:rsid w:val="00DA352C"/>
    <w:rsid w:val="00DA5240"/>
    <w:rsid w:val="00DA5BFF"/>
    <w:rsid w:val="00DA767D"/>
    <w:rsid w:val="00DB1A30"/>
    <w:rsid w:val="00DB1B55"/>
    <w:rsid w:val="00DB472B"/>
    <w:rsid w:val="00DB62AB"/>
    <w:rsid w:val="00DB6C90"/>
    <w:rsid w:val="00DC4B82"/>
    <w:rsid w:val="00DC4C5D"/>
    <w:rsid w:val="00DC5F14"/>
    <w:rsid w:val="00DD5433"/>
    <w:rsid w:val="00DD75B7"/>
    <w:rsid w:val="00DE04E4"/>
    <w:rsid w:val="00DE0C01"/>
    <w:rsid w:val="00DE0D27"/>
    <w:rsid w:val="00DE0E7A"/>
    <w:rsid w:val="00DE1EC2"/>
    <w:rsid w:val="00DE3272"/>
    <w:rsid w:val="00DE4D5A"/>
    <w:rsid w:val="00DE5F1A"/>
    <w:rsid w:val="00DF1330"/>
    <w:rsid w:val="00DF1A07"/>
    <w:rsid w:val="00E0046D"/>
    <w:rsid w:val="00E01B2B"/>
    <w:rsid w:val="00E024B8"/>
    <w:rsid w:val="00E03017"/>
    <w:rsid w:val="00E03126"/>
    <w:rsid w:val="00E0395F"/>
    <w:rsid w:val="00E041D5"/>
    <w:rsid w:val="00E04504"/>
    <w:rsid w:val="00E10683"/>
    <w:rsid w:val="00E10EF2"/>
    <w:rsid w:val="00E113E0"/>
    <w:rsid w:val="00E12ABA"/>
    <w:rsid w:val="00E1572A"/>
    <w:rsid w:val="00E17192"/>
    <w:rsid w:val="00E21D90"/>
    <w:rsid w:val="00E22AC6"/>
    <w:rsid w:val="00E23734"/>
    <w:rsid w:val="00E249AD"/>
    <w:rsid w:val="00E260DE"/>
    <w:rsid w:val="00E3465F"/>
    <w:rsid w:val="00E3588A"/>
    <w:rsid w:val="00E358C4"/>
    <w:rsid w:val="00E363CF"/>
    <w:rsid w:val="00E3643E"/>
    <w:rsid w:val="00E4786B"/>
    <w:rsid w:val="00E5263F"/>
    <w:rsid w:val="00E532FE"/>
    <w:rsid w:val="00E56D18"/>
    <w:rsid w:val="00E6155A"/>
    <w:rsid w:val="00E638C8"/>
    <w:rsid w:val="00E70DFA"/>
    <w:rsid w:val="00E72698"/>
    <w:rsid w:val="00E7369D"/>
    <w:rsid w:val="00E74F9F"/>
    <w:rsid w:val="00E76573"/>
    <w:rsid w:val="00E80FBE"/>
    <w:rsid w:val="00E82437"/>
    <w:rsid w:val="00E83F89"/>
    <w:rsid w:val="00E8700A"/>
    <w:rsid w:val="00E90165"/>
    <w:rsid w:val="00E939B8"/>
    <w:rsid w:val="00E957EF"/>
    <w:rsid w:val="00EA0593"/>
    <w:rsid w:val="00EA09D7"/>
    <w:rsid w:val="00EA15A9"/>
    <w:rsid w:val="00EA1F4F"/>
    <w:rsid w:val="00EA3991"/>
    <w:rsid w:val="00EA3D48"/>
    <w:rsid w:val="00EA3D6D"/>
    <w:rsid w:val="00EA3F3D"/>
    <w:rsid w:val="00EA5F8F"/>
    <w:rsid w:val="00EB090D"/>
    <w:rsid w:val="00EB2ADE"/>
    <w:rsid w:val="00EB36C3"/>
    <w:rsid w:val="00EB4754"/>
    <w:rsid w:val="00EC1E39"/>
    <w:rsid w:val="00EC26DC"/>
    <w:rsid w:val="00EC3C89"/>
    <w:rsid w:val="00ED02B1"/>
    <w:rsid w:val="00ED10B2"/>
    <w:rsid w:val="00ED44FE"/>
    <w:rsid w:val="00ED5178"/>
    <w:rsid w:val="00ED6729"/>
    <w:rsid w:val="00ED7089"/>
    <w:rsid w:val="00ED7D8C"/>
    <w:rsid w:val="00EE3BFA"/>
    <w:rsid w:val="00EE3C4A"/>
    <w:rsid w:val="00EE3CB4"/>
    <w:rsid w:val="00EE6735"/>
    <w:rsid w:val="00EF344B"/>
    <w:rsid w:val="00EF4008"/>
    <w:rsid w:val="00EF53E6"/>
    <w:rsid w:val="00EF5BAC"/>
    <w:rsid w:val="00EF61DF"/>
    <w:rsid w:val="00EF6AA6"/>
    <w:rsid w:val="00F01D5A"/>
    <w:rsid w:val="00F03329"/>
    <w:rsid w:val="00F03F48"/>
    <w:rsid w:val="00F041F9"/>
    <w:rsid w:val="00F047F8"/>
    <w:rsid w:val="00F047FC"/>
    <w:rsid w:val="00F05E31"/>
    <w:rsid w:val="00F06B07"/>
    <w:rsid w:val="00F10454"/>
    <w:rsid w:val="00F1195A"/>
    <w:rsid w:val="00F13B45"/>
    <w:rsid w:val="00F14DA5"/>
    <w:rsid w:val="00F150CE"/>
    <w:rsid w:val="00F1635D"/>
    <w:rsid w:val="00F163F4"/>
    <w:rsid w:val="00F17EF0"/>
    <w:rsid w:val="00F200A0"/>
    <w:rsid w:val="00F206B6"/>
    <w:rsid w:val="00F20E0B"/>
    <w:rsid w:val="00F21328"/>
    <w:rsid w:val="00F246CC"/>
    <w:rsid w:val="00F268FE"/>
    <w:rsid w:val="00F27220"/>
    <w:rsid w:val="00F3231D"/>
    <w:rsid w:val="00F34701"/>
    <w:rsid w:val="00F34CD1"/>
    <w:rsid w:val="00F370EF"/>
    <w:rsid w:val="00F4592F"/>
    <w:rsid w:val="00F507FD"/>
    <w:rsid w:val="00F526CC"/>
    <w:rsid w:val="00F52BDC"/>
    <w:rsid w:val="00F53E9C"/>
    <w:rsid w:val="00F53F7F"/>
    <w:rsid w:val="00F556B0"/>
    <w:rsid w:val="00F563C5"/>
    <w:rsid w:val="00F56469"/>
    <w:rsid w:val="00F56C26"/>
    <w:rsid w:val="00F570DC"/>
    <w:rsid w:val="00F619FF"/>
    <w:rsid w:val="00F6218D"/>
    <w:rsid w:val="00F6380E"/>
    <w:rsid w:val="00F64ABB"/>
    <w:rsid w:val="00F64B4F"/>
    <w:rsid w:val="00F678AE"/>
    <w:rsid w:val="00F71389"/>
    <w:rsid w:val="00F7291D"/>
    <w:rsid w:val="00F73FA7"/>
    <w:rsid w:val="00F7460D"/>
    <w:rsid w:val="00F7610E"/>
    <w:rsid w:val="00F76180"/>
    <w:rsid w:val="00F7633E"/>
    <w:rsid w:val="00F848A0"/>
    <w:rsid w:val="00F85423"/>
    <w:rsid w:val="00F864BD"/>
    <w:rsid w:val="00F8770A"/>
    <w:rsid w:val="00F9299E"/>
    <w:rsid w:val="00F9443D"/>
    <w:rsid w:val="00F94576"/>
    <w:rsid w:val="00F95FBD"/>
    <w:rsid w:val="00F96AE9"/>
    <w:rsid w:val="00FA2F6E"/>
    <w:rsid w:val="00FA45AC"/>
    <w:rsid w:val="00FA5577"/>
    <w:rsid w:val="00FA5807"/>
    <w:rsid w:val="00FA6B30"/>
    <w:rsid w:val="00FA6E11"/>
    <w:rsid w:val="00FA7F52"/>
    <w:rsid w:val="00FB2D38"/>
    <w:rsid w:val="00FB6BE9"/>
    <w:rsid w:val="00FB6C00"/>
    <w:rsid w:val="00FB773B"/>
    <w:rsid w:val="00FB7A12"/>
    <w:rsid w:val="00FB7A3D"/>
    <w:rsid w:val="00FD2132"/>
    <w:rsid w:val="00FD22AA"/>
    <w:rsid w:val="00FD3E53"/>
    <w:rsid w:val="00FE059A"/>
    <w:rsid w:val="00FE19D5"/>
    <w:rsid w:val="00FE2A61"/>
    <w:rsid w:val="00FE4A25"/>
    <w:rsid w:val="00FE51F0"/>
    <w:rsid w:val="00FE6F9C"/>
    <w:rsid w:val="00FF257D"/>
    <w:rsid w:val="00FF3049"/>
    <w:rsid w:val="00FF48B9"/>
    <w:rsid w:val="00FF5E88"/>
    <w:rsid w:val="00FF61AE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B144AE"/>
    <w:pPr>
      <w:spacing w:after="160" w:line="240" w:lineRule="exact"/>
    </w:pPr>
    <w:rPr>
      <w:rFonts w:ascii="Dutch TL" w:hAnsi="Dutch TL"/>
      <w:sz w:val="28"/>
      <w:szCs w:val="20"/>
      <w:lang w:eastAsia="zh-TW"/>
    </w:rPr>
  </w:style>
  <w:style w:type="paragraph" w:customStyle="1" w:styleId="ListParagraph1">
    <w:name w:val="List Paragraph1"/>
    <w:basedOn w:val="Normal"/>
    <w:rsid w:val="008842E9"/>
    <w:pPr>
      <w:suppressAutoHyphens/>
      <w:ind w:left="720"/>
      <w:jc w:val="both"/>
    </w:pPr>
    <w:rPr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B144AE"/>
    <w:pPr>
      <w:spacing w:after="160" w:line="240" w:lineRule="exact"/>
    </w:pPr>
    <w:rPr>
      <w:rFonts w:ascii="Dutch TL" w:hAnsi="Dutch TL"/>
      <w:sz w:val="28"/>
      <w:szCs w:val="20"/>
      <w:lang w:eastAsia="zh-TW"/>
    </w:rPr>
  </w:style>
  <w:style w:type="paragraph" w:customStyle="1" w:styleId="ListParagraph1">
    <w:name w:val="List Paragraph1"/>
    <w:basedOn w:val="Normal"/>
    <w:rsid w:val="008842E9"/>
    <w:pPr>
      <w:suppressAutoHyphens/>
      <w:ind w:left="720"/>
      <w:jc w:val="both"/>
    </w:pPr>
    <w:rPr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Agnese.Laure@iem.gov.lv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pro.nais.lv/naiser/text.cfm?Ref=0101032009012700086&amp;Req=0101032009012700086&amp;Key=0103012006061532788&amp;Hash=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9012700086&amp;Req=0101032009012700086&amp;Key=0103012006061532788&amp;Hash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3C09-1F5A-43E0-86AB-DFAC0111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4870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2004.gada 23.novembra noteikumos Nr.960 „Prokuratūras un tiesu darbinieku darba samaksas noteikumi""</vt:lpstr>
    </vt:vector>
  </TitlesOfParts>
  <Manager>I.Ošiņa</Manager>
  <Company>FM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2004.gada 23.novembra noteikumos Nr.960 „Prokuratūras un tiesu darbinieku darba samaksas noteikumi""</dc:title>
  <dc:subject>FMNot_171207</dc:subject>
  <dc:creator>I.Artemjeva</dc:creator>
  <dc:description>Ineta.Artemjeva@fm.gov.lvtālr. 7095599</dc:description>
  <cp:lastModifiedBy>Ieva Potjomkina</cp:lastModifiedBy>
  <cp:revision>4</cp:revision>
  <cp:lastPrinted>2013-11-25T07:22:00Z</cp:lastPrinted>
  <dcterms:created xsi:type="dcterms:W3CDTF">2013-11-25T07:09:00Z</dcterms:created>
  <dcterms:modified xsi:type="dcterms:W3CDTF">2013-11-25T07:22:00Z</dcterms:modified>
</cp:coreProperties>
</file>