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DB" w:rsidRPr="007E4A44" w:rsidRDefault="00AD11DB" w:rsidP="00AD11DB">
      <w:pPr>
        <w:pStyle w:val="naisc"/>
        <w:spacing w:before="0" w:after="0"/>
        <w:rPr>
          <w:b/>
          <w:bCs/>
          <w:sz w:val="28"/>
          <w:szCs w:val="28"/>
        </w:rPr>
      </w:pPr>
      <w:r>
        <w:rPr>
          <w:b/>
          <w:sz w:val="28"/>
          <w:szCs w:val="28"/>
        </w:rPr>
        <w:t>Likum</w:t>
      </w:r>
      <w:r w:rsidR="00852042" w:rsidRPr="007C0F2C">
        <w:rPr>
          <w:b/>
          <w:sz w:val="28"/>
          <w:szCs w:val="28"/>
        </w:rPr>
        <w:t xml:space="preserve">projekta </w:t>
      </w:r>
      <w:r>
        <w:rPr>
          <w:b/>
          <w:sz w:val="28"/>
          <w:szCs w:val="28"/>
        </w:rPr>
        <w:t>„</w:t>
      </w:r>
      <w:r w:rsidRPr="007E4A44">
        <w:rPr>
          <w:b/>
          <w:bCs/>
          <w:sz w:val="28"/>
          <w:szCs w:val="28"/>
        </w:rPr>
        <w:t>Grozījumi Vispārējās izglītības likumā</w:t>
      </w:r>
      <w:r>
        <w:rPr>
          <w:b/>
          <w:bCs/>
          <w:sz w:val="28"/>
          <w:szCs w:val="28"/>
        </w:rPr>
        <w:t>”</w:t>
      </w:r>
    </w:p>
    <w:p w:rsidR="008C5649" w:rsidRDefault="00852042" w:rsidP="00214094">
      <w:pPr>
        <w:pStyle w:val="naislab"/>
        <w:spacing w:before="0" w:after="0"/>
        <w:jc w:val="center"/>
        <w:outlineLvl w:val="0"/>
        <w:rPr>
          <w:b/>
          <w:sz w:val="28"/>
          <w:szCs w:val="28"/>
        </w:rPr>
      </w:pPr>
      <w:r w:rsidRPr="007C0F2C">
        <w:rPr>
          <w:b/>
          <w:sz w:val="28"/>
          <w:szCs w:val="28"/>
        </w:rPr>
        <w:t>sākotnējā</w:t>
      </w:r>
      <w:r w:rsidR="002D3306" w:rsidRPr="007C0F2C">
        <w:rPr>
          <w:b/>
          <w:sz w:val="28"/>
          <w:szCs w:val="28"/>
        </w:rPr>
        <w:t>s</w:t>
      </w:r>
      <w:r w:rsidRPr="007C0F2C">
        <w:rPr>
          <w:b/>
          <w:sz w:val="28"/>
          <w:szCs w:val="28"/>
        </w:rPr>
        <w:t xml:space="preserve">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p>
    <w:p w:rsidR="00FF3855" w:rsidRPr="007C0F2C" w:rsidRDefault="00FF3855" w:rsidP="00214094">
      <w:pPr>
        <w:pStyle w:val="naislab"/>
        <w:spacing w:before="0" w:after="0"/>
        <w:jc w:val="center"/>
        <w:outlineLvl w:val="0"/>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1"/>
        <w:gridCol w:w="1761"/>
        <w:gridCol w:w="7145"/>
      </w:tblGrid>
      <w:tr w:rsidR="00852042" w:rsidRPr="007C0F2C" w:rsidTr="005610FD">
        <w:tc>
          <w:tcPr>
            <w:tcW w:w="5000" w:type="pct"/>
            <w:gridSpan w:val="3"/>
            <w:vAlign w:val="center"/>
          </w:tcPr>
          <w:p w:rsidR="00852042" w:rsidRPr="007C0F2C" w:rsidRDefault="00852042" w:rsidP="006C460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5610FD">
        <w:trPr>
          <w:trHeight w:val="630"/>
        </w:trPr>
        <w:tc>
          <w:tcPr>
            <w:tcW w:w="121" w:type="pct"/>
          </w:tcPr>
          <w:p w:rsidR="00262E2B" w:rsidRPr="007C0F2C" w:rsidRDefault="00262E2B" w:rsidP="006C4607">
            <w:pPr>
              <w:pStyle w:val="naiskr"/>
              <w:spacing w:before="0" w:after="0"/>
              <w:rPr>
                <w:sz w:val="22"/>
                <w:szCs w:val="22"/>
              </w:rPr>
            </w:pPr>
            <w:r w:rsidRPr="007C0F2C">
              <w:rPr>
                <w:sz w:val="22"/>
                <w:szCs w:val="22"/>
              </w:rPr>
              <w:t>1.</w:t>
            </w:r>
          </w:p>
        </w:tc>
        <w:tc>
          <w:tcPr>
            <w:tcW w:w="965" w:type="pct"/>
          </w:tcPr>
          <w:p w:rsidR="00262E2B" w:rsidRPr="007C0F2C" w:rsidRDefault="002D7F54" w:rsidP="006C4607">
            <w:pPr>
              <w:pStyle w:val="naiskr"/>
              <w:spacing w:before="0" w:after="0"/>
              <w:ind w:hanging="10"/>
              <w:rPr>
                <w:sz w:val="22"/>
                <w:szCs w:val="22"/>
              </w:rPr>
            </w:pPr>
            <w:r w:rsidRPr="007C0F2C">
              <w:rPr>
                <w:sz w:val="22"/>
                <w:szCs w:val="22"/>
              </w:rPr>
              <w:t>Pamatojums</w:t>
            </w:r>
          </w:p>
        </w:tc>
        <w:tc>
          <w:tcPr>
            <w:tcW w:w="3914" w:type="pct"/>
          </w:tcPr>
          <w:p w:rsidR="00FF3855" w:rsidRDefault="00BF42FF" w:rsidP="00363D30">
            <w:pPr>
              <w:jc w:val="both"/>
              <w:rPr>
                <w:color w:val="2A2A2A"/>
                <w:sz w:val="22"/>
                <w:szCs w:val="22"/>
              </w:rPr>
            </w:pPr>
            <w:r w:rsidRPr="00363D30">
              <w:rPr>
                <w:sz w:val="22"/>
                <w:szCs w:val="22"/>
              </w:rPr>
              <w:t xml:space="preserve">Ministru kabineta 2009.gada 3.novembra sēdes </w:t>
            </w:r>
            <w:proofErr w:type="spellStart"/>
            <w:r w:rsidRPr="00363D30">
              <w:rPr>
                <w:sz w:val="22"/>
                <w:szCs w:val="22"/>
              </w:rPr>
              <w:t>protokollēmuma</w:t>
            </w:r>
            <w:proofErr w:type="spellEnd"/>
            <w:r w:rsidRPr="00363D30">
              <w:rPr>
                <w:sz w:val="22"/>
                <w:szCs w:val="22"/>
              </w:rPr>
              <w:t xml:space="preserve"> (protokols Nr.77, </w:t>
            </w:r>
            <w:bookmarkStart w:id="0" w:name="14"/>
            <w:r w:rsidRPr="00363D30">
              <w:rPr>
                <w:sz w:val="22"/>
                <w:szCs w:val="22"/>
              </w:rPr>
              <w:t>14</w:t>
            </w:r>
            <w:bookmarkEnd w:id="0"/>
            <w:r w:rsidRPr="00363D30">
              <w:rPr>
                <w:sz w:val="22"/>
                <w:szCs w:val="22"/>
              </w:rPr>
              <w:t xml:space="preserve">.§) 2.punktā </w:t>
            </w:r>
            <w:r w:rsidRPr="00363D30">
              <w:rPr>
                <w:rStyle w:val="spelle"/>
                <w:sz w:val="22"/>
                <w:szCs w:val="22"/>
              </w:rPr>
              <w:t>Izglītības un zinātnes ministrijai uzdots sagatavot un izglītības un zinātnes ministram līdz 2009.gada 31.decembrim iesniegt noteiktā kārtībā Ministru kabinetā likumprojektu par grozījumiem Vispārējās izglītības likumā, paredzot pilnvarojumu Ministru kabinetam noteikt Valsts pedagoģiski medicīniskās komisijas un pašvaldību pedagoģiski medicīnisko komisiju personālsastāvu.</w:t>
            </w:r>
            <w:r w:rsidR="00363D30" w:rsidRPr="00363D30">
              <w:rPr>
                <w:rStyle w:val="spelle"/>
                <w:sz w:val="22"/>
                <w:szCs w:val="22"/>
              </w:rPr>
              <w:t xml:space="preserve"> </w:t>
            </w:r>
            <w:r w:rsidR="00363D30" w:rsidRPr="00363D30">
              <w:rPr>
                <w:sz w:val="22"/>
                <w:szCs w:val="22"/>
              </w:rPr>
              <w:t>Deklarācija</w:t>
            </w:r>
            <w:r w:rsidR="00363D30">
              <w:rPr>
                <w:sz w:val="22"/>
                <w:szCs w:val="22"/>
              </w:rPr>
              <w:t>s</w:t>
            </w:r>
            <w:r w:rsidR="00363D30" w:rsidRPr="00363D30">
              <w:rPr>
                <w:sz w:val="22"/>
                <w:szCs w:val="22"/>
              </w:rPr>
              <w:t xml:space="preserve"> par Valda </w:t>
            </w:r>
            <w:proofErr w:type="spellStart"/>
            <w:r w:rsidR="00363D30" w:rsidRPr="00363D30">
              <w:rPr>
                <w:sz w:val="22"/>
                <w:szCs w:val="22"/>
              </w:rPr>
              <w:t>Dombrovska</w:t>
            </w:r>
            <w:proofErr w:type="spellEnd"/>
            <w:r w:rsidR="00363D30" w:rsidRPr="00363D30">
              <w:rPr>
                <w:sz w:val="22"/>
                <w:szCs w:val="22"/>
              </w:rPr>
              <w:t xml:space="preserve"> vadītā Ministru kabineta iecerēto darbību</w:t>
            </w:r>
            <w:r w:rsidR="00363D30">
              <w:rPr>
                <w:sz w:val="22"/>
                <w:szCs w:val="22"/>
              </w:rPr>
              <w:t xml:space="preserve"> </w:t>
            </w:r>
            <w:r w:rsidR="00363D30" w:rsidRPr="00363D30">
              <w:rPr>
                <w:color w:val="2A2A2A"/>
                <w:sz w:val="22"/>
                <w:szCs w:val="22"/>
              </w:rPr>
              <w:t>7.1.</w:t>
            </w:r>
            <w:r w:rsidR="00363D30">
              <w:rPr>
                <w:color w:val="2A2A2A"/>
                <w:sz w:val="22"/>
                <w:szCs w:val="22"/>
              </w:rPr>
              <w:t>apakšpunkts –</w:t>
            </w:r>
            <w:r w:rsidR="00363D30" w:rsidRPr="00363D30">
              <w:rPr>
                <w:color w:val="2A2A2A"/>
                <w:sz w:val="22"/>
                <w:szCs w:val="22"/>
              </w:rPr>
              <w:t xml:space="preserve"> </w:t>
            </w:r>
            <w:r w:rsidR="00363D30">
              <w:rPr>
                <w:color w:val="2A2A2A"/>
                <w:sz w:val="22"/>
                <w:szCs w:val="22"/>
              </w:rPr>
              <w:t>s</w:t>
            </w:r>
            <w:r w:rsidR="00363D30" w:rsidRPr="00363D30">
              <w:rPr>
                <w:color w:val="2A2A2A"/>
                <w:sz w:val="22"/>
                <w:szCs w:val="22"/>
              </w:rPr>
              <w:t xml:space="preserve">ekmēsim kvalitatīvu, pieejamu un resursu efektīvu visu pakāpju izglītības un zinātnes attīstību valsts </w:t>
            </w:r>
            <w:proofErr w:type="spellStart"/>
            <w:r w:rsidR="00363D30" w:rsidRPr="00363D30">
              <w:rPr>
                <w:color w:val="2A2A2A"/>
                <w:sz w:val="22"/>
                <w:szCs w:val="22"/>
              </w:rPr>
              <w:t>ilgtspējai</w:t>
            </w:r>
            <w:proofErr w:type="spellEnd"/>
            <w:r w:rsidR="00363D30" w:rsidRPr="00363D30">
              <w:rPr>
                <w:color w:val="2A2A2A"/>
                <w:sz w:val="22"/>
                <w:szCs w:val="22"/>
              </w:rPr>
              <w:t xml:space="preserve"> un konkurētspējai, nodrošinot intelektuālo un materiālo resursu konsekventu pieaugumu.</w:t>
            </w:r>
          </w:p>
          <w:p w:rsidR="00385723" w:rsidRPr="00363D30" w:rsidRDefault="00385723" w:rsidP="00363D30">
            <w:pPr>
              <w:jc w:val="both"/>
              <w:rPr>
                <w:sz w:val="22"/>
                <w:szCs w:val="22"/>
              </w:rPr>
            </w:pPr>
          </w:p>
        </w:tc>
      </w:tr>
      <w:tr w:rsidR="00262E2B" w:rsidRPr="007C0F2C" w:rsidTr="005610FD">
        <w:trPr>
          <w:trHeight w:val="472"/>
        </w:trPr>
        <w:tc>
          <w:tcPr>
            <w:tcW w:w="121" w:type="pct"/>
          </w:tcPr>
          <w:p w:rsidR="00262E2B" w:rsidRPr="007C0F2C" w:rsidRDefault="00262E2B" w:rsidP="006C4607">
            <w:pPr>
              <w:pStyle w:val="naiskr"/>
              <w:spacing w:before="0" w:after="0"/>
              <w:rPr>
                <w:sz w:val="22"/>
                <w:szCs w:val="22"/>
              </w:rPr>
            </w:pPr>
            <w:r w:rsidRPr="007C0F2C">
              <w:rPr>
                <w:sz w:val="22"/>
                <w:szCs w:val="22"/>
              </w:rPr>
              <w:t>2.</w:t>
            </w:r>
          </w:p>
        </w:tc>
        <w:tc>
          <w:tcPr>
            <w:tcW w:w="965" w:type="pct"/>
          </w:tcPr>
          <w:p w:rsidR="00262E2B" w:rsidRPr="007C0F2C" w:rsidRDefault="00262E2B" w:rsidP="006C4607">
            <w:pPr>
              <w:pStyle w:val="naiskr"/>
              <w:tabs>
                <w:tab w:val="left" w:pos="170"/>
              </w:tabs>
              <w:spacing w:before="0" w:after="0"/>
              <w:rPr>
                <w:sz w:val="22"/>
                <w:szCs w:val="22"/>
              </w:rPr>
            </w:pPr>
            <w:r w:rsidRPr="007C0F2C">
              <w:rPr>
                <w:sz w:val="22"/>
                <w:szCs w:val="22"/>
              </w:rPr>
              <w:t>Pašreizējā situācija</w:t>
            </w:r>
            <w:r w:rsidR="001F5CD6" w:rsidRPr="007C0F2C">
              <w:rPr>
                <w:sz w:val="22"/>
                <w:szCs w:val="22"/>
              </w:rPr>
              <w:t xml:space="preserve"> un problēmas</w:t>
            </w:r>
          </w:p>
        </w:tc>
        <w:tc>
          <w:tcPr>
            <w:tcW w:w="3914" w:type="pct"/>
          </w:tcPr>
          <w:p w:rsidR="005616C3" w:rsidRPr="005610FD" w:rsidRDefault="005616C3" w:rsidP="00FD1F30">
            <w:pPr>
              <w:pStyle w:val="naisf"/>
              <w:spacing w:before="0" w:after="0"/>
              <w:ind w:firstLine="0"/>
              <w:rPr>
                <w:sz w:val="22"/>
                <w:szCs w:val="22"/>
              </w:rPr>
            </w:pPr>
            <w:r w:rsidRPr="005610FD">
              <w:rPr>
                <w:sz w:val="22"/>
                <w:szCs w:val="22"/>
              </w:rPr>
              <w:t xml:space="preserve">     Vispārējās izglītības likuma (turpmāk – likuma) 39.panta trešajā daļā </w:t>
            </w:r>
            <w:r w:rsidR="001763E0" w:rsidRPr="005610FD">
              <w:rPr>
                <w:sz w:val="22"/>
                <w:szCs w:val="22"/>
              </w:rPr>
              <w:t xml:space="preserve"> kopš 2003./2004.mācību gada </w:t>
            </w:r>
            <w:r w:rsidRPr="005610FD">
              <w:rPr>
                <w:sz w:val="22"/>
                <w:szCs w:val="22"/>
              </w:rPr>
              <w:t>noteikts, ka apliecību par pamatizglītības ieguvi i</w:t>
            </w:r>
            <w:r w:rsidR="005610FD" w:rsidRPr="005610FD">
              <w:rPr>
                <w:sz w:val="22"/>
                <w:szCs w:val="22"/>
              </w:rPr>
              <w:t>zglītojamais var saņemt arī</w:t>
            </w:r>
            <w:r w:rsidRPr="005610FD">
              <w:rPr>
                <w:sz w:val="22"/>
                <w:szCs w:val="22"/>
              </w:rPr>
              <w:t xml:space="preserve"> gadījumā, ja ir saņēmis līdz trīs nepietiekamiem vērtējumiem (zemākiem par 4 ballēm) kādā no mācību priekšmetiem gadā vai valsts pārbaudījumos. Tas rada si</w:t>
            </w:r>
            <w:r w:rsidR="001763E0">
              <w:rPr>
                <w:sz w:val="22"/>
                <w:szCs w:val="22"/>
              </w:rPr>
              <w:t>tuāciju, ka izglītības dokumentu</w:t>
            </w:r>
            <w:r w:rsidRPr="005610FD">
              <w:rPr>
                <w:sz w:val="22"/>
                <w:szCs w:val="22"/>
              </w:rPr>
              <w:t xml:space="preserve"> </w:t>
            </w:r>
            <w:r w:rsidR="001763E0">
              <w:rPr>
                <w:sz w:val="22"/>
                <w:szCs w:val="22"/>
              </w:rPr>
              <w:t>var saņemt</w:t>
            </w:r>
            <w:r w:rsidRPr="005610FD">
              <w:rPr>
                <w:sz w:val="22"/>
                <w:szCs w:val="22"/>
              </w:rPr>
              <w:t>, kaut arī pamatizglītības programma pilnībā nav apgūta</w:t>
            </w:r>
            <w:r w:rsidR="000F2B75">
              <w:rPr>
                <w:sz w:val="22"/>
                <w:szCs w:val="22"/>
              </w:rPr>
              <w:t xml:space="preserve">. </w:t>
            </w:r>
            <w:r w:rsidRPr="005610FD">
              <w:rPr>
                <w:sz w:val="22"/>
                <w:szCs w:val="22"/>
              </w:rPr>
              <w:t xml:space="preserve">2006./07. – 2372 skolēni; 2007./08. – 1475; 2008./09. – 750 skolēni 9.klases noslēgumā </w:t>
            </w:r>
            <w:r w:rsidR="0035150D" w:rsidRPr="005610FD">
              <w:rPr>
                <w:sz w:val="22"/>
                <w:szCs w:val="22"/>
              </w:rPr>
              <w:t>saņēma</w:t>
            </w:r>
            <w:r w:rsidRPr="005610FD">
              <w:rPr>
                <w:sz w:val="22"/>
                <w:szCs w:val="22"/>
              </w:rPr>
              <w:t xml:space="preserve"> vērtējumu atsevišķos mācību priekšmetos no 1 līdz </w:t>
            </w:r>
            <w:r w:rsidR="000F2B75">
              <w:rPr>
                <w:sz w:val="22"/>
                <w:szCs w:val="22"/>
              </w:rPr>
              <w:t>3 ballēm</w:t>
            </w:r>
            <w:r w:rsidRPr="005610FD">
              <w:rPr>
                <w:sz w:val="22"/>
                <w:szCs w:val="22"/>
              </w:rPr>
              <w:t>.</w:t>
            </w:r>
            <w:r w:rsidR="000F2B75">
              <w:rPr>
                <w:sz w:val="22"/>
                <w:szCs w:val="22"/>
              </w:rPr>
              <w:t xml:space="preserve"> Jāievēro, ka šo skolēnu skaita samazināšanās notiek kopš brīža, kad tika noteiktas stingrākas prasības mācību sasniegumiem, lai skolēnu varētu pārcelt uz nākamo klasi.</w:t>
            </w:r>
            <w:r w:rsidRPr="005610FD">
              <w:rPr>
                <w:sz w:val="22"/>
                <w:szCs w:val="22"/>
              </w:rPr>
              <w:t xml:space="preserve"> </w:t>
            </w:r>
            <w:r w:rsidR="00363D30">
              <w:rPr>
                <w:sz w:val="22"/>
                <w:szCs w:val="22"/>
              </w:rPr>
              <w:t xml:space="preserve">Iespēja iegūt pamatizglītību arī ar trīs nepietiekamiem vērtējumiem nemotivē regulāram mācību darbam. </w:t>
            </w:r>
            <w:r w:rsidRPr="005610FD">
              <w:rPr>
                <w:sz w:val="22"/>
                <w:szCs w:val="22"/>
              </w:rPr>
              <w:t xml:space="preserve">Iestājoties vispārējās </w:t>
            </w:r>
            <w:r w:rsidR="0035150D" w:rsidRPr="005610FD">
              <w:rPr>
                <w:sz w:val="22"/>
                <w:szCs w:val="22"/>
              </w:rPr>
              <w:t xml:space="preserve">vai profesionālās </w:t>
            </w:r>
            <w:r w:rsidRPr="005610FD">
              <w:rPr>
                <w:sz w:val="22"/>
                <w:szCs w:val="22"/>
              </w:rPr>
              <w:t>vid</w:t>
            </w:r>
            <w:r w:rsidR="000F2B75">
              <w:rPr>
                <w:sz w:val="22"/>
                <w:szCs w:val="22"/>
              </w:rPr>
              <w:t>ējās izglītības programmā</w:t>
            </w:r>
            <w:r w:rsidR="00363D30">
              <w:rPr>
                <w:sz w:val="22"/>
                <w:szCs w:val="22"/>
              </w:rPr>
              <w:t>s</w:t>
            </w:r>
            <w:r w:rsidR="000F2B75">
              <w:rPr>
                <w:sz w:val="22"/>
                <w:szCs w:val="22"/>
              </w:rPr>
              <w:t xml:space="preserve"> ar nepietiekam</w:t>
            </w:r>
            <w:r w:rsidRPr="005610FD">
              <w:rPr>
                <w:sz w:val="22"/>
                <w:szCs w:val="22"/>
              </w:rPr>
              <w:t>iem vērtējumie</w:t>
            </w:r>
            <w:r w:rsidR="0035150D" w:rsidRPr="005610FD">
              <w:rPr>
                <w:sz w:val="22"/>
                <w:szCs w:val="22"/>
              </w:rPr>
              <w:t>m pamatizglītīb</w:t>
            </w:r>
            <w:r w:rsidRPr="005610FD">
              <w:rPr>
                <w:sz w:val="22"/>
                <w:szCs w:val="22"/>
              </w:rPr>
              <w:t>ā, izglītojamais bieži iz</w:t>
            </w:r>
            <w:r w:rsidR="0035150D" w:rsidRPr="005610FD">
              <w:rPr>
                <w:sz w:val="22"/>
                <w:szCs w:val="22"/>
              </w:rPr>
              <w:t>rādās nespējīgs apgūt</w:t>
            </w:r>
            <w:r w:rsidRPr="005610FD">
              <w:rPr>
                <w:sz w:val="22"/>
                <w:szCs w:val="22"/>
              </w:rPr>
              <w:t xml:space="preserve"> vidējā</w:t>
            </w:r>
            <w:r w:rsidR="0035150D" w:rsidRPr="005610FD">
              <w:rPr>
                <w:sz w:val="22"/>
                <w:szCs w:val="22"/>
              </w:rPr>
              <w:t>s izglītības programmu</w:t>
            </w:r>
            <w:r w:rsidRPr="005610FD">
              <w:rPr>
                <w:sz w:val="22"/>
                <w:szCs w:val="22"/>
              </w:rPr>
              <w:t xml:space="preserve">. </w:t>
            </w:r>
          </w:p>
          <w:p w:rsidR="000F2B75" w:rsidRDefault="005616C3" w:rsidP="005616C3">
            <w:pPr>
              <w:pStyle w:val="naisf"/>
              <w:spacing w:before="0" w:after="0"/>
              <w:ind w:firstLine="0"/>
              <w:rPr>
                <w:sz w:val="22"/>
                <w:szCs w:val="22"/>
              </w:rPr>
            </w:pPr>
            <w:r w:rsidRPr="005610FD">
              <w:rPr>
                <w:sz w:val="22"/>
                <w:szCs w:val="22"/>
              </w:rPr>
              <w:t xml:space="preserve">     Likuma 48.panta otrajā daļā noteikts, ka atestātu par vispārējās vidējās izglītības ieguvi izglītojamais v</w:t>
            </w:r>
            <w:r w:rsidR="001763E0">
              <w:rPr>
                <w:sz w:val="22"/>
                <w:szCs w:val="22"/>
              </w:rPr>
              <w:t>ar saņemt arī</w:t>
            </w:r>
            <w:r w:rsidR="000F2B75">
              <w:rPr>
                <w:sz w:val="22"/>
                <w:szCs w:val="22"/>
              </w:rPr>
              <w:t xml:space="preserve"> gadījumā, ja</w:t>
            </w:r>
            <w:r w:rsidRPr="005610FD">
              <w:rPr>
                <w:sz w:val="22"/>
                <w:szCs w:val="22"/>
              </w:rPr>
              <w:t xml:space="preserve"> ir saņēmis līdz diviem nepietiekamiem vērtējumiem kādā no mācību priekšmetiem gadā vai valsts pārbaudījumos</w:t>
            </w:r>
            <w:r w:rsidR="000F2B75">
              <w:rPr>
                <w:sz w:val="22"/>
                <w:szCs w:val="22"/>
              </w:rPr>
              <w:t>.</w:t>
            </w:r>
            <w:r w:rsidRPr="005610FD">
              <w:rPr>
                <w:sz w:val="22"/>
                <w:szCs w:val="22"/>
              </w:rPr>
              <w:t xml:space="preserve"> 2006./07. – 561 skolēns (3,1%); 2007./08. – 485 (2,7%); 2008./09. – 249 (1,4%) skolēni 12.klases noslēgumā saņēma atestātu ar vērtējumu atsevišķos mācību</w:t>
            </w:r>
            <w:r w:rsidR="000F2B75">
              <w:rPr>
                <w:sz w:val="22"/>
                <w:szCs w:val="22"/>
              </w:rPr>
              <w:t xml:space="preserve"> priekšmetos no 1 līdz 3 ballēm</w:t>
            </w:r>
            <w:r w:rsidRPr="005610FD">
              <w:rPr>
                <w:sz w:val="22"/>
                <w:szCs w:val="22"/>
              </w:rPr>
              <w:t xml:space="preserve">. No vienas puses </w:t>
            </w:r>
            <w:r w:rsidR="000F2B75">
              <w:rPr>
                <w:sz w:val="22"/>
                <w:szCs w:val="22"/>
              </w:rPr>
              <w:t>valsts izglītības standartos ir noteikts vispārējās</w:t>
            </w:r>
            <w:r w:rsidRPr="005610FD">
              <w:rPr>
                <w:sz w:val="22"/>
                <w:szCs w:val="22"/>
              </w:rPr>
              <w:t xml:space="preserve"> izglītības obligātais saturs, bet no otras puse</w:t>
            </w:r>
            <w:r w:rsidR="000F2B75">
              <w:rPr>
                <w:sz w:val="22"/>
                <w:szCs w:val="22"/>
              </w:rPr>
              <w:t>s tiek pieļauts, ka šis saturs</w:t>
            </w:r>
            <w:r w:rsidRPr="005610FD">
              <w:rPr>
                <w:sz w:val="22"/>
                <w:szCs w:val="22"/>
              </w:rPr>
              <w:t xml:space="preserve"> ne</w:t>
            </w:r>
            <w:r w:rsidR="000F2B75">
              <w:rPr>
                <w:sz w:val="22"/>
                <w:szCs w:val="22"/>
              </w:rPr>
              <w:t>tiek apgūts</w:t>
            </w:r>
            <w:r w:rsidRPr="005610FD">
              <w:rPr>
                <w:sz w:val="22"/>
                <w:szCs w:val="22"/>
              </w:rPr>
              <w:t>. Vairumā augstākās izglī</w:t>
            </w:r>
            <w:r w:rsidR="000F2B75">
              <w:rPr>
                <w:sz w:val="22"/>
                <w:szCs w:val="22"/>
              </w:rPr>
              <w:t>tības programmu izglītojamos</w:t>
            </w:r>
            <w:r w:rsidRPr="005610FD">
              <w:rPr>
                <w:sz w:val="22"/>
                <w:szCs w:val="22"/>
              </w:rPr>
              <w:t xml:space="preserve"> neuzņem ar nepietiekamiem vērtējumiem (zemākiem par 4 ballēm) vispārējās vidējās izglītības sekmju izrakstā.</w:t>
            </w:r>
            <w:r w:rsidR="005610FD">
              <w:rPr>
                <w:sz w:val="22"/>
                <w:szCs w:val="22"/>
              </w:rPr>
              <w:t xml:space="preserve"> </w:t>
            </w:r>
            <w:r w:rsidR="005610FD" w:rsidRPr="005610FD">
              <w:rPr>
                <w:sz w:val="22"/>
                <w:szCs w:val="22"/>
              </w:rPr>
              <w:t xml:space="preserve"> „Latvijas Nacionālajā attīstības plānā 2007 – </w:t>
            </w:r>
            <w:smartTag w:uri="urn:schemas-microsoft-com:office:smarttags" w:element="metricconverter">
              <w:smartTagPr>
                <w:attr w:name="ProductID" w:val="2013”"/>
              </w:smartTagPr>
              <w:r w:rsidR="005610FD" w:rsidRPr="005610FD">
                <w:rPr>
                  <w:sz w:val="22"/>
                  <w:szCs w:val="22"/>
                </w:rPr>
                <w:t>2013”</w:t>
              </w:r>
            </w:smartTag>
            <w:r w:rsidR="005610FD" w:rsidRPr="005610FD">
              <w:rPr>
                <w:sz w:val="22"/>
                <w:szCs w:val="22"/>
              </w:rPr>
              <w:t xml:space="preserve"> uzsvērts, ka nedz Latvijas dabas bagātības, nedz lētais darbaspēks nespēs </w:t>
            </w:r>
            <w:proofErr w:type="spellStart"/>
            <w:r w:rsidR="005610FD" w:rsidRPr="005610FD">
              <w:rPr>
                <w:sz w:val="22"/>
                <w:szCs w:val="22"/>
              </w:rPr>
              <w:t>ilgtermiņā</w:t>
            </w:r>
            <w:proofErr w:type="spellEnd"/>
            <w:r w:rsidR="005610FD" w:rsidRPr="005610FD">
              <w:rPr>
                <w:sz w:val="22"/>
                <w:szCs w:val="22"/>
              </w:rPr>
              <w:t xml:space="preserve"> kalpot par valsts izaugsmes </w:t>
            </w:r>
            <w:proofErr w:type="spellStart"/>
            <w:r w:rsidR="005610FD" w:rsidRPr="005610FD">
              <w:rPr>
                <w:sz w:val="22"/>
                <w:szCs w:val="22"/>
              </w:rPr>
              <w:t>pamatresursu</w:t>
            </w:r>
            <w:proofErr w:type="spellEnd"/>
            <w:r w:rsidR="005610FD" w:rsidRPr="005610FD">
              <w:rPr>
                <w:sz w:val="22"/>
                <w:szCs w:val="22"/>
              </w:rPr>
              <w:t>. Mūsu galvenais resurss, lai sasniegtu attīstītajām valstīm raksturīgo visas sabiedrības un katra indivīda dzīves līmeni, ir iedzīvotāju zināšanas un gudrība, to pras</w:t>
            </w:r>
            <w:r w:rsidR="000F2B75">
              <w:rPr>
                <w:sz w:val="22"/>
                <w:szCs w:val="22"/>
              </w:rPr>
              <w:t>mīga un mērķtiecīga izmantošana</w:t>
            </w:r>
            <w:r w:rsidR="001763E0">
              <w:rPr>
                <w:sz w:val="22"/>
                <w:szCs w:val="22"/>
              </w:rPr>
              <w:t>,</w:t>
            </w:r>
            <w:r w:rsidR="000F2B75">
              <w:rPr>
                <w:sz w:val="22"/>
                <w:szCs w:val="22"/>
              </w:rPr>
              <w:t xml:space="preserve"> un</w:t>
            </w:r>
            <w:r w:rsidR="005610FD" w:rsidRPr="005610FD">
              <w:rPr>
                <w:sz w:val="22"/>
                <w:szCs w:val="22"/>
              </w:rPr>
              <w:t xml:space="preserve"> </w:t>
            </w:r>
            <w:r w:rsidR="000F2B75">
              <w:rPr>
                <w:sz w:val="22"/>
                <w:szCs w:val="22"/>
              </w:rPr>
              <w:t>ī</w:t>
            </w:r>
            <w:r w:rsidR="005610FD" w:rsidRPr="005610FD">
              <w:rPr>
                <w:sz w:val="22"/>
                <w:szCs w:val="22"/>
              </w:rPr>
              <w:t>paša nozīme jāpiešķir augstas kvalifikācijas speciālistu skaita palielināšanai.</w:t>
            </w:r>
          </w:p>
          <w:p w:rsidR="005616C3" w:rsidRPr="005610FD" w:rsidRDefault="000F2B75" w:rsidP="005616C3">
            <w:pPr>
              <w:pStyle w:val="naisf"/>
              <w:spacing w:before="0" w:after="0"/>
              <w:ind w:firstLine="0"/>
              <w:rPr>
                <w:sz w:val="22"/>
                <w:szCs w:val="22"/>
              </w:rPr>
            </w:pPr>
            <w:r>
              <w:rPr>
                <w:sz w:val="22"/>
                <w:szCs w:val="22"/>
              </w:rPr>
              <w:t xml:space="preserve">  </w:t>
            </w:r>
            <w:r w:rsidR="005610FD" w:rsidRPr="005610FD">
              <w:rPr>
                <w:sz w:val="22"/>
                <w:szCs w:val="22"/>
              </w:rPr>
              <w:t xml:space="preserve">  </w:t>
            </w:r>
            <w:r>
              <w:rPr>
                <w:sz w:val="22"/>
                <w:szCs w:val="22"/>
              </w:rPr>
              <w:t xml:space="preserve"> </w:t>
            </w:r>
            <w:r w:rsidR="005610FD" w:rsidRPr="005610FD">
              <w:rPr>
                <w:sz w:val="22"/>
                <w:szCs w:val="22"/>
              </w:rPr>
              <w:t xml:space="preserve">Pēdējos gados ir izstrādāti jauni valsts pamatizglītības un vispārējās vidējās izglītības standarti. </w:t>
            </w:r>
            <w:r w:rsidR="001763E0">
              <w:rPr>
                <w:sz w:val="22"/>
                <w:szCs w:val="22"/>
              </w:rPr>
              <w:t>J</w:t>
            </w:r>
            <w:r w:rsidR="005610FD" w:rsidRPr="005610FD">
              <w:rPr>
                <w:sz w:val="22"/>
                <w:szCs w:val="22"/>
              </w:rPr>
              <w:t xml:space="preserve">aunajos mācību priekšmetu standartos iekļautas prasmes, kas rada normatīvu pamatu praktiskam skolēnu zināšanu pielietojumam. Valsts izglītības satura centrs visās klašu grupās visos mācību priekšmetos ir izstrādājis jaunus mācību priekšmetu programmu paraugus. Mācību komplektu autori atbilstoši jaunajos mācību priekšmetu standartos noteiktajām skolēniem apgūstamajām prasmēm turpina veidot mācību grāmatas un mācību līdzekļus, kas veicina zināšanu praktisku lietojumu un pētnieciskā darba un domāšanas </w:t>
            </w:r>
            <w:r w:rsidR="005610FD" w:rsidRPr="005610FD">
              <w:rPr>
                <w:sz w:val="22"/>
                <w:szCs w:val="22"/>
              </w:rPr>
              <w:lastRenderedPageBreak/>
              <w:t xml:space="preserve">prasmes. </w:t>
            </w:r>
            <w:r w:rsidR="005610FD" w:rsidRPr="005610FD">
              <w:rPr>
                <w:bCs/>
                <w:sz w:val="22"/>
                <w:szCs w:val="22"/>
              </w:rPr>
              <w:t>Ir</w:t>
            </w:r>
            <w:r w:rsidR="005610FD" w:rsidRPr="005610FD">
              <w:rPr>
                <w:sz w:val="22"/>
                <w:szCs w:val="22"/>
              </w:rPr>
              <w:t xml:space="preserve"> modernizēts mācību saturs, izstrādāti skolotāja atbalsta materiāli dabaszinātņu un matemātikas priekšmetos un pilnveidota dabaszinātņu un matemātikas skolotāju profesionālā kapacitāte darbā ar jauno mācību saturu un sagatavotajiem skolotāju atbalsta materiāliem atbilstoši valstī uzsākto izglītības reformu pamatnostādnēm. Ir radīti priekšnosacījumi, lai uzlabotos mācību kvalitāte dabaszinātņu, matemātikas un tehnoloģiju prie</w:t>
            </w:r>
            <w:r w:rsidR="00363D30">
              <w:rPr>
                <w:sz w:val="22"/>
                <w:szCs w:val="22"/>
              </w:rPr>
              <w:t>kšmetos vidējā izglītībā</w:t>
            </w:r>
            <w:r w:rsidR="005610FD" w:rsidRPr="005610FD">
              <w:rPr>
                <w:sz w:val="22"/>
                <w:szCs w:val="22"/>
              </w:rPr>
              <w:t xml:space="preserve">, lai </w:t>
            </w:r>
            <w:r w:rsidR="00363D30">
              <w:rPr>
                <w:sz w:val="22"/>
                <w:szCs w:val="22"/>
              </w:rPr>
              <w:t xml:space="preserve">Latvijā </w:t>
            </w:r>
            <w:r w:rsidR="005610FD" w:rsidRPr="005610FD">
              <w:rPr>
                <w:sz w:val="22"/>
                <w:szCs w:val="22"/>
              </w:rPr>
              <w:t>sagatavotu zinošus un konkurētspējīgus jauniešus vidējās izglītības pakāpes noslēgumā, kā arī lai radītu priekšnosacījumus valsts attīstībai zinātņu un tehnoloģiju ietilpīgajās nozarēs. Praktiski visas vidusskolas ir</w:t>
            </w:r>
            <w:r w:rsidR="005610FD">
              <w:rPr>
                <w:sz w:val="22"/>
                <w:szCs w:val="22"/>
              </w:rPr>
              <w:t xml:space="preserve"> vai tiek</w:t>
            </w:r>
            <w:r w:rsidR="005610FD" w:rsidRPr="005610FD">
              <w:rPr>
                <w:sz w:val="22"/>
                <w:szCs w:val="22"/>
              </w:rPr>
              <w:t xml:space="preserve"> apgādātas ar jauniem, moderni aprīkotiem dabaszinātņu un matemātikas kabinetiem, mācību līdzekļiem. Līdz 2011.gada 31.augustam tiek īstenots Eiropas Sociālā fonda projekts "Dabaszinātnes un matemātika". Projekta ietvaros 2009.gadā tika pabeigta 7.-9. klases fizikas, ķīmijas, bioloģijas un matemātikas programmu paraugu projektu sagatavošana. Notiek darbs pie skolotāju mācību metodisko atbalsta materiālu izstrādes. </w:t>
            </w:r>
            <w:r w:rsidR="005610FD">
              <w:rPr>
                <w:sz w:val="22"/>
                <w:szCs w:val="22"/>
              </w:rPr>
              <w:t xml:space="preserve">Tomēr prasības iegūtās izglītības kvalitātei </w:t>
            </w:r>
            <w:r w:rsidR="00C037D7">
              <w:rPr>
                <w:sz w:val="22"/>
                <w:szCs w:val="22"/>
              </w:rPr>
              <w:t xml:space="preserve">izglītojamiem </w:t>
            </w:r>
            <w:r w:rsidR="005610FD">
              <w:rPr>
                <w:sz w:val="22"/>
                <w:szCs w:val="22"/>
              </w:rPr>
              <w:t>pagaidām ir palikušas nemainīgas.</w:t>
            </w:r>
            <w:r w:rsidR="00866D44">
              <w:rPr>
                <w:sz w:val="22"/>
                <w:szCs w:val="22"/>
              </w:rPr>
              <w:t xml:space="preserve"> Daudzās pasaules valstīs apguvi uzskata par nepietiekamu, ja apgūti mazāk kā 50% no mācību satura.</w:t>
            </w:r>
          </w:p>
          <w:p w:rsidR="005616C3" w:rsidRPr="001F1CB5" w:rsidRDefault="005610FD" w:rsidP="001F1CB5">
            <w:pPr>
              <w:jc w:val="both"/>
              <w:rPr>
                <w:bCs/>
              </w:rPr>
            </w:pPr>
            <w:r>
              <w:rPr>
                <w:sz w:val="22"/>
                <w:szCs w:val="22"/>
              </w:rPr>
              <w:t xml:space="preserve">     </w:t>
            </w:r>
            <w:r w:rsidR="000F2B75">
              <w:rPr>
                <w:sz w:val="22"/>
                <w:szCs w:val="22"/>
              </w:rPr>
              <w:t xml:space="preserve"> </w:t>
            </w:r>
            <w:r w:rsidR="005616C3" w:rsidRPr="005610FD">
              <w:rPr>
                <w:sz w:val="22"/>
                <w:szCs w:val="22"/>
              </w:rPr>
              <w:t xml:space="preserve">Likumā </w:t>
            </w:r>
            <w:r w:rsidR="00C037D7">
              <w:rPr>
                <w:sz w:val="22"/>
                <w:szCs w:val="22"/>
              </w:rPr>
              <w:t xml:space="preserve">pašlaik </w:t>
            </w:r>
            <w:r w:rsidR="005616C3" w:rsidRPr="005610FD">
              <w:rPr>
                <w:sz w:val="22"/>
                <w:szCs w:val="22"/>
              </w:rPr>
              <w:t xml:space="preserve">nav paredzēta starptautisku izglītības programmu īstenošana Latvijā. Tomēr pieaug </w:t>
            </w:r>
            <w:bookmarkStart w:id="1" w:name="OLE_LINK2"/>
            <w:bookmarkStart w:id="2" w:name="OLE_LINK3"/>
            <w:r w:rsidR="005616C3" w:rsidRPr="005610FD">
              <w:rPr>
                <w:sz w:val="22"/>
                <w:szCs w:val="22"/>
              </w:rPr>
              <w:t xml:space="preserve">personu skaits, kuras darba vai dienesta pienākumu dēļ ir spiestas bieži pārcelties no valsts uz valsti kopā ar ģimeni, uzturoties Latvijā salīdzinoši neilgu laiku. </w:t>
            </w:r>
            <w:bookmarkEnd w:id="1"/>
            <w:bookmarkEnd w:id="2"/>
            <w:r w:rsidR="005616C3" w:rsidRPr="005610FD">
              <w:rPr>
                <w:sz w:val="22"/>
                <w:szCs w:val="22"/>
              </w:rPr>
              <w:t xml:space="preserve">Iespēju viņu bērniem iegūt izglītību nodrošina starptautiskas izglītības programmas, kuras tiek īstenotas daudzās valstīs. Piemēram, </w:t>
            </w:r>
            <w:r w:rsidR="005616C3" w:rsidRPr="005610FD">
              <w:rPr>
                <w:rStyle w:val="Strong"/>
                <w:b w:val="0"/>
                <w:sz w:val="22"/>
                <w:szCs w:val="22"/>
              </w:rPr>
              <w:t xml:space="preserve">Starptautiskā </w:t>
            </w:r>
            <w:proofErr w:type="spellStart"/>
            <w:r w:rsidR="005616C3" w:rsidRPr="005610FD">
              <w:rPr>
                <w:rStyle w:val="Strong"/>
                <w:b w:val="0"/>
                <w:sz w:val="22"/>
                <w:szCs w:val="22"/>
              </w:rPr>
              <w:t>bakalaureāta</w:t>
            </w:r>
            <w:proofErr w:type="spellEnd"/>
            <w:r w:rsidR="005616C3" w:rsidRPr="005610FD">
              <w:rPr>
                <w:rStyle w:val="Strong"/>
                <w:b w:val="0"/>
                <w:sz w:val="22"/>
                <w:szCs w:val="22"/>
              </w:rPr>
              <w:t xml:space="preserve"> organizācija (IBO) piedāvā augstas kvalitātes starptautiskas izglītības programmas izglītojamiem ve</w:t>
            </w:r>
            <w:r w:rsidR="005616C3" w:rsidRPr="005610FD">
              <w:rPr>
                <w:sz w:val="22"/>
                <w:szCs w:val="22"/>
              </w:rPr>
              <w:t xml:space="preserve">cumā no 3 līdz 19 gadiem, kas palīdz attīstīt intelektuālās, personiskās, emocionālās un sociālās prasmes dzīvot, mācīties un strādāt strauji augošas globalizācijas apstākļos. </w:t>
            </w:r>
            <w:r w:rsidR="005616C3" w:rsidRPr="005610FD">
              <w:rPr>
                <w:rStyle w:val="google-src-text1"/>
                <w:sz w:val="22"/>
                <w:szCs w:val="22"/>
              </w:rPr>
              <w:t>There are more than</w:t>
            </w:r>
            <w:r w:rsidR="005616C3" w:rsidRPr="005610FD">
              <w:rPr>
                <w:sz w:val="22"/>
                <w:szCs w:val="22"/>
              </w:rPr>
              <w:t xml:space="preserve"> Šīs programmas apgūst vairāk nekā </w:t>
            </w:r>
            <w:r w:rsidR="005616C3" w:rsidRPr="005610FD">
              <w:rPr>
                <w:rStyle w:val="google-src-text1"/>
                <w:sz w:val="22"/>
                <w:szCs w:val="22"/>
              </w:rPr>
              <w:t>706,000</w:t>
            </w:r>
            <w:r w:rsidR="00305143">
              <w:rPr>
                <w:sz w:val="22"/>
                <w:szCs w:val="22"/>
              </w:rPr>
              <w:t xml:space="preserve"> 893</w:t>
            </w:r>
            <w:r w:rsidR="005616C3" w:rsidRPr="005610FD">
              <w:rPr>
                <w:sz w:val="22"/>
                <w:szCs w:val="22"/>
              </w:rPr>
              <w:t xml:space="preserve"> 000 </w:t>
            </w:r>
            <w:r w:rsidR="005616C3" w:rsidRPr="005610FD">
              <w:rPr>
                <w:rStyle w:val="google-src-text1"/>
                <w:sz w:val="22"/>
                <w:szCs w:val="22"/>
              </w:rPr>
              <w:t>IB students at</w:t>
            </w:r>
            <w:r w:rsidR="005616C3" w:rsidRPr="005610FD">
              <w:rPr>
                <w:sz w:val="22"/>
                <w:szCs w:val="22"/>
              </w:rPr>
              <w:t xml:space="preserve"> izglītojamie </w:t>
            </w:r>
            <w:r w:rsidR="005616C3" w:rsidRPr="005610FD">
              <w:rPr>
                <w:rStyle w:val="google-src-text1"/>
                <w:sz w:val="22"/>
                <w:szCs w:val="22"/>
              </w:rPr>
              <w:t>2,599</w:t>
            </w:r>
            <w:r w:rsidR="00305143">
              <w:rPr>
                <w:sz w:val="22"/>
                <w:szCs w:val="22"/>
              </w:rPr>
              <w:t xml:space="preserve"> 3116</w:t>
            </w:r>
            <w:r w:rsidR="005616C3" w:rsidRPr="005610FD">
              <w:rPr>
                <w:sz w:val="22"/>
                <w:szCs w:val="22"/>
              </w:rPr>
              <w:t xml:space="preserve"> </w:t>
            </w:r>
            <w:r w:rsidR="005616C3" w:rsidRPr="005610FD">
              <w:rPr>
                <w:rStyle w:val="google-src-text1"/>
                <w:sz w:val="22"/>
                <w:szCs w:val="22"/>
              </w:rPr>
              <w:t>schools in</w:t>
            </w:r>
            <w:r w:rsidR="005616C3" w:rsidRPr="005610FD">
              <w:rPr>
                <w:sz w:val="22"/>
                <w:szCs w:val="22"/>
              </w:rPr>
              <w:t xml:space="preserve"> skolās </w:t>
            </w:r>
            <w:r w:rsidR="005616C3" w:rsidRPr="005610FD">
              <w:rPr>
                <w:rStyle w:val="google-src-text1"/>
                <w:sz w:val="22"/>
                <w:szCs w:val="22"/>
              </w:rPr>
              <w:t>134</w:t>
            </w:r>
            <w:r w:rsidR="00305143">
              <w:rPr>
                <w:sz w:val="22"/>
                <w:szCs w:val="22"/>
              </w:rPr>
              <w:t xml:space="preserve"> 1</w:t>
            </w:r>
            <w:r w:rsidR="005616C3" w:rsidRPr="005610FD">
              <w:rPr>
                <w:sz w:val="22"/>
                <w:szCs w:val="22"/>
              </w:rPr>
              <w:t>4</w:t>
            </w:r>
            <w:r w:rsidR="00305143">
              <w:rPr>
                <w:sz w:val="22"/>
                <w:szCs w:val="22"/>
              </w:rPr>
              <w:t>0</w:t>
            </w:r>
            <w:r w:rsidR="005616C3" w:rsidRPr="005610FD">
              <w:rPr>
                <w:sz w:val="22"/>
                <w:szCs w:val="22"/>
              </w:rPr>
              <w:t xml:space="preserve"> </w:t>
            </w:r>
            <w:r w:rsidR="005616C3" w:rsidRPr="005610FD">
              <w:rPr>
                <w:rStyle w:val="google-src-text1"/>
                <w:sz w:val="22"/>
                <w:szCs w:val="22"/>
              </w:rPr>
              <w:t>countries.</w:t>
            </w:r>
            <w:r w:rsidR="00305143">
              <w:rPr>
                <w:sz w:val="22"/>
                <w:szCs w:val="22"/>
              </w:rPr>
              <w:t xml:space="preserve"> valstīs (2010</w:t>
            </w:r>
            <w:r w:rsidR="005616C3" w:rsidRPr="005610FD">
              <w:rPr>
                <w:sz w:val="22"/>
                <w:szCs w:val="22"/>
              </w:rPr>
              <w:t xml:space="preserve">.gada dati). Vairākās Eiropas Savienības valstīs darbojas dalībvalstu valdību kopēji dibinātās tā saucamās „Eiropas skolas” bērniem, kuru vecāki strādā ES institūcijās (13 Eiropas skolas 7 dalībvalstīs). </w:t>
            </w:r>
            <w:r w:rsidR="001F1CB5">
              <w:rPr>
                <w:sz w:val="22"/>
                <w:szCs w:val="22"/>
              </w:rPr>
              <w:t>Eiropas skolu statūtus arī Latvijā nosaka 2005.gada</w:t>
            </w:r>
            <w:r w:rsidR="001F1CB5" w:rsidRPr="001F1CB5">
              <w:rPr>
                <w:sz w:val="22"/>
                <w:szCs w:val="22"/>
              </w:rPr>
              <w:t xml:space="preserve"> 23.jūnija likum</w:t>
            </w:r>
            <w:r w:rsidR="001F1CB5">
              <w:rPr>
                <w:sz w:val="22"/>
                <w:szCs w:val="22"/>
              </w:rPr>
              <w:t>s</w:t>
            </w:r>
            <w:r w:rsidR="001F1CB5" w:rsidRPr="001F1CB5">
              <w:rPr>
                <w:sz w:val="22"/>
                <w:szCs w:val="22"/>
              </w:rPr>
              <w:t xml:space="preserve"> „</w:t>
            </w:r>
            <w:r w:rsidR="001F1CB5" w:rsidRPr="00D809DA">
              <w:rPr>
                <w:bCs/>
                <w:sz w:val="22"/>
                <w:szCs w:val="22"/>
              </w:rPr>
              <w:t>Par Konvenciju, ar ko nosaka Eiropas skolu statūtus</w:t>
            </w:r>
            <w:r w:rsidR="001F1CB5" w:rsidRPr="001F1CB5">
              <w:rPr>
                <w:bCs/>
                <w:sz w:val="22"/>
                <w:szCs w:val="22"/>
              </w:rPr>
              <w:t>”</w:t>
            </w:r>
            <w:r w:rsidR="001F1CB5">
              <w:rPr>
                <w:bCs/>
                <w:sz w:val="22"/>
                <w:szCs w:val="22"/>
              </w:rPr>
              <w:t>.</w:t>
            </w:r>
          </w:p>
          <w:p w:rsidR="006033C6" w:rsidRPr="005610FD" w:rsidRDefault="005616C3" w:rsidP="00357459">
            <w:pPr>
              <w:jc w:val="both"/>
              <w:rPr>
                <w:sz w:val="22"/>
                <w:szCs w:val="22"/>
              </w:rPr>
            </w:pPr>
            <w:r w:rsidRPr="005610FD">
              <w:rPr>
                <w:sz w:val="22"/>
                <w:szCs w:val="22"/>
              </w:rPr>
              <w:t xml:space="preserve">      </w:t>
            </w:r>
            <w:r w:rsidR="009A6D9E" w:rsidRPr="005610FD">
              <w:rPr>
                <w:sz w:val="22"/>
                <w:szCs w:val="22"/>
              </w:rPr>
              <w:t>Normatīvajos aktos</w:t>
            </w:r>
            <w:r w:rsidR="006033C6" w:rsidRPr="005610FD">
              <w:rPr>
                <w:sz w:val="22"/>
                <w:szCs w:val="22"/>
              </w:rPr>
              <w:t xml:space="preserve"> nav noteikta kārtība un kritēriji, kā īpašos gadījumos veicama izglītojamo atskaitīšana no </w:t>
            </w:r>
            <w:r w:rsidR="009A6D9E" w:rsidRPr="005610FD">
              <w:rPr>
                <w:sz w:val="22"/>
                <w:szCs w:val="22"/>
              </w:rPr>
              <w:t xml:space="preserve">izglītības iestādes vispārējās vidējās izglītības pakāpē, </w:t>
            </w:r>
            <w:r w:rsidR="006033C6" w:rsidRPr="005610FD">
              <w:rPr>
                <w:sz w:val="22"/>
                <w:szCs w:val="22"/>
              </w:rPr>
              <w:t>piemēram, gadījumos kad izglītojamais</w:t>
            </w:r>
            <w:r w:rsidR="009A6D9E" w:rsidRPr="005610FD">
              <w:rPr>
                <w:sz w:val="22"/>
                <w:szCs w:val="22"/>
              </w:rPr>
              <w:t>, kurš</w:t>
            </w:r>
            <w:r w:rsidR="006033C6" w:rsidRPr="005610FD">
              <w:rPr>
                <w:sz w:val="22"/>
                <w:szCs w:val="22"/>
              </w:rPr>
              <w:t xml:space="preserve"> </w:t>
            </w:r>
            <w:r w:rsidR="009A6D9E" w:rsidRPr="005610FD">
              <w:rPr>
                <w:sz w:val="22"/>
                <w:szCs w:val="22"/>
              </w:rPr>
              <w:t xml:space="preserve">ir pārsniedzis obligāto izglītības vecumu, </w:t>
            </w:r>
            <w:r w:rsidR="006033C6" w:rsidRPr="005610FD">
              <w:rPr>
                <w:sz w:val="22"/>
                <w:szCs w:val="22"/>
              </w:rPr>
              <w:t xml:space="preserve">nepilda Izglītības likumā noteiktos </w:t>
            </w:r>
            <w:r w:rsidR="009A6D9E" w:rsidRPr="005610FD">
              <w:rPr>
                <w:sz w:val="22"/>
                <w:szCs w:val="22"/>
              </w:rPr>
              <w:t xml:space="preserve">izglītojamā </w:t>
            </w:r>
            <w:r w:rsidR="006033C6" w:rsidRPr="005610FD">
              <w:rPr>
                <w:sz w:val="22"/>
                <w:szCs w:val="22"/>
              </w:rPr>
              <w:t>pienākumus vispārē</w:t>
            </w:r>
            <w:r w:rsidR="009A6D9E" w:rsidRPr="005610FD">
              <w:rPr>
                <w:sz w:val="22"/>
                <w:szCs w:val="22"/>
              </w:rPr>
              <w:t>jās vidējās izglītības programmas apguvē</w:t>
            </w:r>
            <w:r w:rsidR="006033C6" w:rsidRPr="005610FD">
              <w:rPr>
                <w:sz w:val="22"/>
                <w:szCs w:val="22"/>
              </w:rPr>
              <w:t>, nemācās, neapmek</w:t>
            </w:r>
            <w:r w:rsidR="009A6D9E" w:rsidRPr="005610FD">
              <w:rPr>
                <w:sz w:val="22"/>
                <w:szCs w:val="22"/>
              </w:rPr>
              <w:t>lē izglītības iestādi, neievēro izglītības iestādes nolikumu un iekšējās kārtības noteikumus, apdraud savu un citu personu veselību, drošību un dzīvību, u.tml</w:t>
            </w:r>
            <w:r w:rsidR="006033C6" w:rsidRPr="005610FD">
              <w:rPr>
                <w:sz w:val="22"/>
                <w:szCs w:val="22"/>
              </w:rPr>
              <w:t>. Bez tam esošā 4.panta 18.punkta redakcija rada nemitīgus pārpratumus, jo obligātās prasības izglītojamo pārcelšanai nākamajā klasē netiek attiecinātas uz internātskolām un speciālajām izglītības iestādēm, kaut gan izņēmums attiecas tikai uz uzņemšanas kārtību.</w:t>
            </w:r>
          </w:p>
          <w:p w:rsidR="00391E5E" w:rsidRDefault="00D6462F" w:rsidP="004258F3">
            <w:pPr>
              <w:jc w:val="both"/>
              <w:rPr>
                <w:sz w:val="22"/>
                <w:szCs w:val="22"/>
              </w:rPr>
            </w:pPr>
            <w:r w:rsidRPr="005610FD">
              <w:rPr>
                <w:sz w:val="22"/>
                <w:szCs w:val="22"/>
              </w:rPr>
              <w:t xml:space="preserve">      </w:t>
            </w:r>
            <w:r w:rsidR="00391E5E">
              <w:rPr>
                <w:sz w:val="22"/>
                <w:szCs w:val="22"/>
              </w:rPr>
              <w:t>Likuma 5.panta 5.</w:t>
            </w:r>
            <w:r w:rsidR="00391E5E" w:rsidRPr="00391E5E">
              <w:rPr>
                <w:sz w:val="22"/>
                <w:szCs w:val="22"/>
              </w:rPr>
              <w:t>punkt</w:t>
            </w:r>
            <w:r w:rsidR="00391E5E">
              <w:rPr>
                <w:sz w:val="22"/>
                <w:szCs w:val="22"/>
              </w:rPr>
              <w:t>ā noteikts, ka</w:t>
            </w:r>
            <w:r w:rsidR="00391E5E" w:rsidRPr="00391E5E">
              <w:rPr>
                <w:sz w:val="22"/>
                <w:szCs w:val="22"/>
              </w:rPr>
              <w:t xml:space="preserve"> </w:t>
            </w:r>
            <w:r w:rsidR="00391E5E">
              <w:rPr>
                <w:sz w:val="22"/>
                <w:szCs w:val="22"/>
              </w:rPr>
              <w:t>Izglītības un zinātnes ministrija</w:t>
            </w:r>
            <w:r w:rsidR="00391E5E" w:rsidRPr="00391E5E">
              <w:rPr>
                <w:sz w:val="22"/>
                <w:szCs w:val="22"/>
              </w:rPr>
              <w:t xml:space="preserve"> izvērtē un apstiprina mācību proces</w:t>
            </w:r>
            <w:r w:rsidR="00391E5E">
              <w:rPr>
                <w:sz w:val="22"/>
                <w:szCs w:val="22"/>
              </w:rPr>
              <w:t xml:space="preserve">ā izmantojamo mācību literatūru reizi gadā, kaut gan faktiski šis darbs tiek </w:t>
            </w:r>
            <w:r w:rsidR="00391E5E" w:rsidRPr="00391E5E">
              <w:rPr>
                <w:sz w:val="22"/>
                <w:szCs w:val="22"/>
              </w:rPr>
              <w:t>veikts nepārtraukti visa gada laikā</w:t>
            </w:r>
            <w:r w:rsidR="00391E5E">
              <w:rPr>
                <w:sz w:val="22"/>
                <w:szCs w:val="22"/>
              </w:rPr>
              <w:t>,</w:t>
            </w:r>
            <w:r w:rsidR="00391E5E" w:rsidRPr="00391E5E">
              <w:rPr>
                <w:sz w:val="22"/>
                <w:szCs w:val="22"/>
              </w:rPr>
              <w:t xml:space="preserve"> apstiprināto mācību literatūras izdevumu iekļauj</w:t>
            </w:r>
            <w:r w:rsidR="00391E5E">
              <w:rPr>
                <w:sz w:val="22"/>
                <w:szCs w:val="22"/>
              </w:rPr>
              <w:t>ot</w:t>
            </w:r>
            <w:r w:rsidR="00391E5E" w:rsidRPr="00391E5E">
              <w:rPr>
                <w:sz w:val="22"/>
                <w:szCs w:val="22"/>
              </w:rPr>
              <w:t xml:space="preserve"> </w:t>
            </w:r>
            <w:r w:rsidR="00391E5E">
              <w:rPr>
                <w:sz w:val="22"/>
                <w:szCs w:val="22"/>
              </w:rPr>
              <w:t xml:space="preserve">apstiprinātās mācību literatūras </w:t>
            </w:r>
            <w:r w:rsidR="00391E5E" w:rsidRPr="00391E5E">
              <w:rPr>
                <w:sz w:val="22"/>
                <w:szCs w:val="22"/>
              </w:rPr>
              <w:t>sarakstā tūlīt pēc tā izdo</w:t>
            </w:r>
            <w:r w:rsidR="00391E5E">
              <w:rPr>
                <w:sz w:val="22"/>
                <w:szCs w:val="22"/>
              </w:rPr>
              <w:t>šanas.</w:t>
            </w:r>
          </w:p>
          <w:p w:rsidR="00D6462F" w:rsidRPr="005610FD" w:rsidRDefault="00391E5E" w:rsidP="004258F3">
            <w:pPr>
              <w:jc w:val="both"/>
              <w:rPr>
                <w:sz w:val="22"/>
                <w:szCs w:val="22"/>
              </w:rPr>
            </w:pPr>
            <w:r>
              <w:rPr>
                <w:sz w:val="22"/>
                <w:szCs w:val="22"/>
              </w:rPr>
              <w:t xml:space="preserve">      </w:t>
            </w:r>
            <w:r w:rsidR="00D6462F" w:rsidRPr="005610FD">
              <w:rPr>
                <w:sz w:val="22"/>
                <w:szCs w:val="22"/>
              </w:rPr>
              <w:t xml:space="preserve">Likuma 18.panta otrajā daļā noteikts, ka izglītības iestādes īstenotās vispārējās izglītības programmas apstiprina iestādes vadītājs un dibinātājs, bet Izglītības likuma 33.panta otrajā daļā noteikts, ka izglītības programmas atbilstoši valsts izglītības standartiem un normatīviem izstrādā izglītības iestāde, saskaņojot ar tās dibinātāju. Tādēļ rodas neskaidrība, vai izglītības iestādes dibinātājs saskaņo vai apstiprina izglītības iestādes īstenotās vispārējās izglītības </w:t>
            </w:r>
            <w:r w:rsidR="00D6462F" w:rsidRPr="005610FD">
              <w:rPr>
                <w:sz w:val="22"/>
                <w:szCs w:val="22"/>
              </w:rPr>
              <w:lastRenderedPageBreak/>
              <w:t>programmas.</w:t>
            </w:r>
          </w:p>
          <w:p w:rsidR="003B3BAC" w:rsidRPr="005610FD" w:rsidRDefault="00D6462F" w:rsidP="00C037D7">
            <w:pPr>
              <w:jc w:val="both"/>
              <w:rPr>
                <w:sz w:val="22"/>
                <w:szCs w:val="22"/>
              </w:rPr>
            </w:pPr>
            <w:r w:rsidRPr="005610FD">
              <w:rPr>
                <w:sz w:val="22"/>
                <w:szCs w:val="22"/>
              </w:rPr>
              <w:t xml:space="preserve">     </w:t>
            </w:r>
            <w:r w:rsidR="003B3BAC" w:rsidRPr="005610FD">
              <w:rPr>
                <w:sz w:val="22"/>
                <w:szCs w:val="22"/>
              </w:rPr>
              <w:t xml:space="preserve">Likuma 40.pantā ir minētas vakara (maiņu) vidusskolas, kurās vispārējo pamatizglītību un vispārējo vidējo izglītību katru gadu apgūst ap 13000 – 14000 izglītojamo, bet nav noteikti </w:t>
            </w:r>
            <w:r w:rsidR="00866D44" w:rsidRPr="005610FD">
              <w:rPr>
                <w:sz w:val="22"/>
                <w:szCs w:val="22"/>
              </w:rPr>
              <w:t xml:space="preserve"> </w:t>
            </w:r>
            <w:r w:rsidR="00866D44">
              <w:rPr>
                <w:sz w:val="22"/>
                <w:szCs w:val="22"/>
              </w:rPr>
              <w:t>vakara (maiņu) vidusskolu</w:t>
            </w:r>
            <w:r w:rsidR="003B3BAC" w:rsidRPr="005610FD">
              <w:rPr>
                <w:sz w:val="22"/>
                <w:szCs w:val="22"/>
              </w:rPr>
              <w:t xml:space="preserve"> pamatuzdevumi.</w:t>
            </w:r>
          </w:p>
          <w:p w:rsidR="00F96746" w:rsidRPr="000C5B4D" w:rsidRDefault="004258F3" w:rsidP="00A17E62">
            <w:pPr>
              <w:pStyle w:val="naiskr"/>
              <w:spacing w:before="0" w:after="0"/>
              <w:jc w:val="both"/>
              <w:rPr>
                <w:sz w:val="22"/>
                <w:szCs w:val="22"/>
              </w:rPr>
            </w:pPr>
            <w:r w:rsidRPr="005610FD">
              <w:rPr>
                <w:sz w:val="22"/>
                <w:szCs w:val="22"/>
              </w:rPr>
              <w:t xml:space="preserve">     </w:t>
            </w:r>
            <w:r w:rsidR="00C037D7">
              <w:rPr>
                <w:sz w:val="22"/>
                <w:szCs w:val="22"/>
              </w:rPr>
              <w:t>Likuma 4.panta 8.punktu</w:t>
            </w:r>
            <w:r w:rsidR="00A17E62" w:rsidRPr="005610FD">
              <w:rPr>
                <w:sz w:val="22"/>
                <w:szCs w:val="22"/>
              </w:rPr>
              <w:t xml:space="preserve"> jāpapildina ar norādi, ka Ministru kabinets nosaka  ne tikai Valsts pedagoģiski medicīniskās komisijas un pašvaldību pedagoģiski medicīnisko komisiju kompetenci, bet arī profesionā</w:t>
            </w:r>
            <w:r w:rsidR="00866D44">
              <w:rPr>
                <w:sz w:val="22"/>
                <w:szCs w:val="22"/>
              </w:rPr>
              <w:t xml:space="preserve">lās prasības komisijas sastāvam un kritērijus atzinumu </w:t>
            </w:r>
            <w:r w:rsidR="00866D44" w:rsidRPr="000C5B4D">
              <w:rPr>
                <w:sz w:val="22"/>
                <w:szCs w:val="22"/>
              </w:rPr>
              <w:t>sniegšanai.</w:t>
            </w:r>
          </w:p>
          <w:p w:rsidR="00FF3855" w:rsidRDefault="00C037D7" w:rsidP="000C5B4D">
            <w:pPr>
              <w:pStyle w:val="naiskr"/>
              <w:spacing w:before="0" w:after="0"/>
              <w:jc w:val="both"/>
              <w:rPr>
                <w:sz w:val="22"/>
                <w:szCs w:val="22"/>
              </w:rPr>
            </w:pPr>
            <w:r w:rsidRPr="000C5B4D">
              <w:rPr>
                <w:sz w:val="22"/>
                <w:szCs w:val="22"/>
              </w:rPr>
              <w:t xml:space="preserve">     Nepieciešams precizēt speciālās izglītības programmu klasifikāciju un īstenošanu. </w:t>
            </w:r>
            <w:r w:rsidR="000C5B4D" w:rsidRPr="000C5B4D">
              <w:rPr>
                <w:sz w:val="22"/>
                <w:szCs w:val="22"/>
              </w:rPr>
              <w:t xml:space="preserve">Likumā nekur nav noteikts, kas ir izglītojamā speciālās vajadzības.  </w:t>
            </w:r>
            <w:r w:rsidR="000C5B4D">
              <w:rPr>
                <w:sz w:val="22"/>
                <w:szCs w:val="22"/>
              </w:rPr>
              <w:t>50.panta otrajā daļā nosauktas individuālās speciālās izglītības programmas</w:t>
            </w:r>
            <w:r w:rsidR="000C5B4D" w:rsidRPr="000C5B4D">
              <w:rPr>
                <w:sz w:val="22"/>
                <w:szCs w:val="22"/>
              </w:rPr>
              <w:t xml:space="preserve"> izglītojamiem ar smagiem garīgās attīstības traucējumiem vai vairākiem smagiem attīstības traucējumiem</w:t>
            </w:r>
            <w:r w:rsidR="000C5B4D">
              <w:rPr>
                <w:sz w:val="22"/>
                <w:szCs w:val="22"/>
              </w:rPr>
              <w:t xml:space="preserve">, kaut gan faktiski tas ir viens </w:t>
            </w:r>
            <w:r w:rsidR="00D15D2C">
              <w:rPr>
                <w:sz w:val="22"/>
                <w:szCs w:val="22"/>
              </w:rPr>
              <w:t xml:space="preserve">speciālās </w:t>
            </w:r>
            <w:r w:rsidR="000C5B4D">
              <w:rPr>
                <w:sz w:val="22"/>
                <w:szCs w:val="22"/>
              </w:rPr>
              <w:t>izglītības programmas veids, ko tikai īsteno pēc individuāla plāna katram konkrētajam izglītojamajam</w:t>
            </w:r>
            <w:r w:rsidR="000C5B4D" w:rsidRPr="000C5B4D">
              <w:rPr>
                <w:sz w:val="22"/>
                <w:szCs w:val="22"/>
              </w:rPr>
              <w:t xml:space="preserve"> </w:t>
            </w:r>
            <w:r w:rsidR="000C5B4D">
              <w:rPr>
                <w:sz w:val="22"/>
                <w:szCs w:val="22"/>
              </w:rPr>
              <w:t xml:space="preserve">atbilstoši viņa speciālajām vajadzībām. </w:t>
            </w:r>
            <w:r w:rsidRPr="000C5B4D">
              <w:rPr>
                <w:sz w:val="22"/>
                <w:szCs w:val="22"/>
              </w:rPr>
              <w:t>Speciālās izglītības programmas izglītojamajiem ar psihiskās attīstības aizturi un grūtībām mācībās atbilstoši „Starptautiskajai slimību klasifikācijai” tiek klasificētas kā speciālās izglītības programmas izglītojamajiem ar mācīšanās traucējumiem</w:t>
            </w:r>
            <w:r w:rsidRPr="005610FD">
              <w:rPr>
                <w:sz w:val="22"/>
                <w:szCs w:val="22"/>
              </w:rPr>
              <w:t>.</w:t>
            </w:r>
            <w:r w:rsidR="000C5B4D">
              <w:rPr>
                <w:sz w:val="22"/>
                <w:szCs w:val="22"/>
              </w:rPr>
              <w:t xml:space="preserve"> </w:t>
            </w:r>
            <w:proofErr w:type="spellStart"/>
            <w:r w:rsidR="000C5B4D">
              <w:rPr>
                <w:sz w:val="22"/>
                <w:szCs w:val="22"/>
              </w:rPr>
              <w:t>Logopēdisko</w:t>
            </w:r>
            <w:proofErr w:type="spellEnd"/>
            <w:r w:rsidR="000C5B4D">
              <w:rPr>
                <w:sz w:val="22"/>
                <w:szCs w:val="22"/>
              </w:rPr>
              <w:t xml:space="preserve"> traucējumu viet</w:t>
            </w:r>
            <w:r w:rsidR="00D15D2C">
              <w:rPr>
                <w:sz w:val="22"/>
                <w:szCs w:val="22"/>
              </w:rPr>
              <w:t>ā slimību klasifikācijā</w:t>
            </w:r>
            <w:r w:rsidR="000C5B4D">
              <w:rPr>
                <w:sz w:val="22"/>
                <w:szCs w:val="22"/>
              </w:rPr>
              <w:t xml:space="preserve"> lieto terminu „runas un valodas attīstības traucējumi”, bet logopēdija ir zinātne par šo traucējumu novēršanu.</w:t>
            </w:r>
          </w:p>
          <w:p w:rsidR="006F0E6F" w:rsidRPr="004A385F" w:rsidRDefault="006F0E6F" w:rsidP="006F0E6F">
            <w:pPr>
              <w:jc w:val="both"/>
              <w:rPr>
                <w:sz w:val="22"/>
                <w:szCs w:val="22"/>
              </w:rPr>
            </w:pPr>
            <w:r>
              <w:rPr>
                <w:sz w:val="22"/>
                <w:szCs w:val="22"/>
              </w:rPr>
              <w:t xml:space="preserve">      </w:t>
            </w:r>
            <w:r w:rsidRPr="006F0E6F">
              <w:rPr>
                <w:sz w:val="22"/>
                <w:szCs w:val="22"/>
              </w:rPr>
              <w:t xml:space="preserve">Šobrīd Valsts izglītības satura centrs koordinē mācību priekšmetu olimpiāžu norisi, iesaistot šajā procesā trešās personas. </w:t>
            </w:r>
            <w:r>
              <w:rPr>
                <w:sz w:val="22"/>
                <w:szCs w:val="22"/>
              </w:rPr>
              <w:t xml:space="preserve">Mācību priekšmetu olimpiādes notiek trīs kārtās – skolas olimpiādes (I kārta), novada un pilsētas olimpiādes (II kārta), valsts olimpiādes (III kārta). Valsts olimpiādes faktiski noslēdzas ar dalībnieku atlasi starptautiskajām mācību priekšmetu olimpiādēm fizikā, ķīmijā, bioloģijā, matemātikā, ģeogrāfijā, informātikā, vides izglītībā. </w:t>
            </w:r>
            <w:r w:rsidRPr="006F0E6F">
              <w:rPr>
                <w:sz w:val="22"/>
                <w:szCs w:val="22"/>
              </w:rPr>
              <w:t>Olimpiāžu norise notiek atbilstoši Valsts izglītības satura centra izstrādātajiem iekšējiem noteikumiem. Tajā ietvertās normas, kas attiecas uz trešajām personām, ir pretrunā ar Ministru kabineta 2009.gada 3.februāra noteikumu Nr.108 "Normatīvo aktu projektu sagatavošanas noteikumi" 189.punktu. Minētais punkts nevar ietvert normas, kas nosaka pienākumus privātpersonai vai citai personai (iestādei), kura nav padota iekšējā normatīvā akta izdevējam. Līdz ar to Valsts izglītības satura centra iekšējie noteikumi nav saistoši trešajai personai. Lai varētu nodrošināt Ministru kabineta 2009.gada 30.jūnija noteikumu Nr.682 "Valsts izglītības satura centra nolikuma" 3.11.apakšpunktā minētā uzdevuma ("organizē valsts mācību priekšmetu olimpiādes, koordinē to norisi un veicina izglītojamo līdzdalību starptautiskajās olimpiādēs") izpildi, ir nepieciešams izdot ārējo normatīvo aktu, kas būtu saistošs olimpiāžu organizēšanā iesaistītajām trešajām personām.</w:t>
            </w:r>
          </w:p>
          <w:p w:rsidR="00385723" w:rsidRPr="005610FD" w:rsidRDefault="00385723" w:rsidP="000C5B4D">
            <w:pPr>
              <w:pStyle w:val="naiskr"/>
              <w:spacing w:before="0" w:after="0"/>
              <w:jc w:val="both"/>
              <w:rPr>
                <w:sz w:val="22"/>
                <w:szCs w:val="22"/>
              </w:rPr>
            </w:pPr>
          </w:p>
        </w:tc>
      </w:tr>
      <w:tr w:rsidR="00262E2B" w:rsidRPr="007C0F2C" w:rsidTr="005610FD">
        <w:trPr>
          <w:trHeight w:val="1071"/>
        </w:trPr>
        <w:tc>
          <w:tcPr>
            <w:tcW w:w="121" w:type="pct"/>
          </w:tcPr>
          <w:p w:rsidR="00262E2B" w:rsidRPr="007C0F2C" w:rsidRDefault="00262E2B" w:rsidP="006C4607">
            <w:pPr>
              <w:pStyle w:val="naiskr"/>
              <w:spacing w:before="0" w:after="0"/>
              <w:rPr>
                <w:sz w:val="22"/>
                <w:szCs w:val="22"/>
              </w:rPr>
            </w:pPr>
            <w:r w:rsidRPr="007C0F2C">
              <w:rPr>
                <w:sz w:val="22"/>
                <w:szCs w:val="22"/>
              </w:rPr>
              <w:lastRenderedPageBreak/>
              <w:t>3.</w:t>
            </w:r>
          </w:p>
        </w:tc>
        <w:tc>
          <w:tcPr>
            <w:tcW w:w="965" w:type="pct"/>
          </w:tcPr>
          <w:p w:rsidR="00262E2B" w:rsidRPr="007C0F2C" w:rsidRDefault="00420870" w:rsidP="006C4607">
            <w:pPr>
              <w:pStyle w:val="naiskr"/>
              <w:spacing w:before="0" w:after="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3914" w:type="pct"/>
          </w:tcPr>
          <w:p w:rsidR="00D20FF4" w:rsidRPr="007C0F2C" w:rsidRDefault="009819C1" w:rsidP="006C4607">
            <w:pPr>
              <w:pStyle w:val="FootnoteText"/>
              <w:rPr>
                <w:sz w:val="22"/>
                <w:szCs w:val="22"/>
              </w:rPr>
            </w:pPr>
            <w:r>
              <w:rPr>
                <w:sz w:val="22"/>
                <w:szCs w:val="22"/>
              </w:rPr>
              <w:t>Nav attiecināms.</w:t>
            </w:r>
          </w:p>
        </w:tc>
      </w:tr>
      <w:tr w:rsidR="00262E2B" w:rsidRPr="007C0F2C" w:rsidTr="005610FD">
        <w:trPr>
          <w:trHeight w:val="384"/>
        </w:trPr>
        <w:tc>
          <w:tcPr>
            <w:tcW w:w="121" w:type="pct"/>
          </w:tcPr>
          <w:p w:rsidR="00262E2B" w:rsidRPr="007C0F2C" w:rsidRDefault="00262E2B" w:rsidP="006C4607">
            <w:pPr>
              <w:pStyle w:val="naiskr"/>
              <w:spacing w:before="0" w:after="0"/>
              <w:rPr>
                <w:sz w:val="22"/>
                <w:szCs w:val="22"/>
              </w:rPr>
            </w:pPr>
            <w:r w:rsidRPr="007C0F2C">
              <w:rPr>
                <w:sz w:val="22"/>
                <w:szCs w:val="22"/>
              </w:rPr>
              <w:t>4.</w:t>
            </w:r>
          </w:p>
        </w:tc>
        <w:tc>
          <w:tcPr>
            <w:tcW w:w="965" w:type="pct"/>
          </w:tcPr>
          <w:p w:rsidR="00262E2B" w:rsidRPr="007C0F2C" w:rsidRDefault="000C790C" w:rsidP="006C4607">
            <w:pPr>
              <w:pStyle w:val="naiskr"/>
              <w:spacing w:before="0" w:after="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3914" w:type="pct"/>
          </w:tcPr>
          <w:p w:rsidR="00C037D7" w:rsidRPr="00C037D7" w:rsidRDefault="009819C1" w:rsidP="00C037D7">
            <w:pPr>
              <w:jc w:val="both"/>
              <w:rPr>
                <w:sz w:val="22"/>
                <w:szCs w:val="22"/>
              </w:rPr>
            </w:pPr>
            <w:r w:rsidRPr="00C037D7">
              <w:rPr>
                <w:sz w:val="22"/>
                <w:szCs w:val="22"/>
              </w:rPr>
              <w:t>Likumprojekts „Grozījumi Vispārējās izglītības likumā” (turpmāk – likumprojekts) paredz:</w:t>
            </w:r>
          </w:p>
          <w:p w:rsidR="009819C1" w:rsidRPr="00C037D7" w:rsidRDefault="00C037D7" w:rsidP="00C037D7">
            <w:pPr>
              <w:jc w:val="both"/>
              <w:rPr>
                <w:sz w:val="22"/>
                <w:szCs w:val="22"/>
              </w:rPr>
            </w:pPr>
            <w:r>
              <w:rPr>
                <w:sz w:val="22"/>
                <w:szCs w:val="22"/>
              </w:rPr>
              <w:t xml:space="preserve">     </w:t>
            </w:r>
            <w:r w:rsidRPr="00C037D7">
              <w:rPr>
                <w:sz w:val="22"/>
                <w:szCs w:val="22"/>
              </w:rPr>
              <w:t>1</w:t>
            </w:r>
            <w:r w:rsidR="009819C1" w:rsidRPr="00C037D7">
              <w:rPr>
                <w:sz w:val="22"/>
                <w:szCs w:val="22"/>
              </w:rPr>
              <w:t>) grozīt nosacījumus, pie kādiem izglītojamais var saņemt apliecību par pamatizglītības ieguvi un atestātu par vispārējās izglītības ieguvi, nosakot, ka šie izglītības dokumen</w:t>
            </w:r>
            <w:r w:rsidR="00A17E62" w:rsidRPr="00C037D7">
              <w:rPr>
                <w:sz w:val="22"/>
                <w:szCs w:val="22"/>
              </w:rPr>
              <w:t>ti tiek izsnieg</w:t>
            </w:r>
            <w:r w:rsidR="009C78DF" w:rsidRPr="00C037D7">
              <w:rPr>
                <w:sz w:val="22"/>
                <w:szCs w:val="22"/>
              </w:rPr>
              <w:t>ti tikai tad, ja pamatizglītībā</w:t>
            </w:r>
            <w:r w:rsidR="00A17E62" w:rsidRPr="00C037D7">
              <w:rPr>
                <w:sz w:val="22"/>
                <w:szCs w:val="22"/>
              </w:rPr>
              <w:t xml:space="preserve"> ne vairāk kā viens, bet vidējā izglītībā</w:t>
            </w:r>
            <w:r w:rsidR="009819C1" w:rsidRPr="00C037D7">
              <w:rPr>
                <w:sz w:val="22"/>
                <w:szCs w:val="22"/>
              </w:rPr>
              <w:t xml:space="preserve"> visi vērtējumi mācību priekšmetos gadā un valsts pārbaudī</w:t>
            </w:r>
            <w:r w:rsidRPr="00C037D7">
              <w:rPr>
                <w:sz w:val="22"/>
                <w:szCs w:val="22"/>
              </w:rPr>
              <w:t>jumos ir ne zemāki par 4 ballēm.</w:t>
            </w:r>
            <w:r w:rsidR="005610FD" w:rsidRPr="00C037D7">
              <w:rPr>
                <w:sz w:val="22"/>
                <w:szCs w:val="22"/>
              </w:rPr>
              <w:t xml:space="preserve"> Izgl</w:t>
            </w:r>
            <w:r w:rsidR="00DB1F9E">
              <w:rPr>
                <w:sz w:val="22"/>
                <w:szCs w:val="22"/>
              </w:rPr>
              <w:t>ītojamam paliek iespēja saņemt apliecību par</w:t>
            </w:r>
            <w:r w:rsidR="005610FD" w:rsidRPr="00C037D7">
              <w:rPr>
                <w:sz w:val="22"/>
                <w:szCs w:val="22"/>
              </w:rPr>
              <w:t xml:space="preserve"> pamatizglītību ar vi</w:t>
            </w:r>
            <w:r w:rsidR="00866D44">
              <w:rPr>
                <w:sz w:val="22"/>
                <w:szCs w:val="22"/>
              </w:rPr>
              <w:t xml:space="preserve">enu nepietiekamu vērtējumu gadā. Atšķirīgās dotības un spējas kāda noteikta mācību priekšmeta apguvē izpaužas atšķirīgos </w:t>
            </w:r>
            <w:r w:rsidR="00866D44">
              <w:rPr>
                <w:sz w:val="22"/>
                <w:szCs w:val="22"/>
              </w:rPr>
              <w:lastRenderedPageBreak/>
              <w:t>vērtējumos</w:t>
            </w:r>
            <w:r w:rsidR="005610FD" w:rsidRPr="00C037D7">
              <w:rPr>
                <w:sz w:val="22"/>
                <w:szCs w:val="22"/>
              </w:rPr>
              <w:t xml:space="preserve"> 10 ballu skalas ietvaros, saņemot vērtējumus no 4 ballēm līdz 10 ballēm.</w:t>
            </w:r>
            <w:r w:rsidR="00DB1F9E">
              <w:rPr>
                <w:sz w:val="22"/>
                <w:szCs w:val="22"/>
              </w:rPr>
              <w:t xml:space="preserve"> N</w:t>
            </w:r>
            <w:r>
              <w:rPr>
                <w:sz w:val="22"/>
                <w:szCs w:val="22"/>
              </w:rPr>
              <w:t>epietiekams vērtējums</w:t>
            </w:r>
            <w:r w:rsidR="005610FD" w:rsidRPr="00C037D7">
              <w:rPr>
                <w:sz w:val="22"/>
                <w:szCs w:val="22"/>
              </w:rPr>
              <w:t xml:space="preserve">, </w:t>
            </w:r>
            <w:r>
              <w:rPr>
                <w:sz w:val="22"/>
                <w:szCs w:val="22"/>
              </w:rPr>
              <w:t>piemēram,</w:t>
            </w:r>
            <w:r w:rsidR="005610FD" w:rsidRPr="00C037D7">
              <w:rPr>
                <w:sz w:val="22"/>
                <w:szCs w:val="22"/>
              </w:rPr>
              <w:t xml:space="preserve"> matemātikā</w:t>
            </w:r>
            <w:r>
              <w:rPr>
                <w:sz w:val="22"/>
                <w:szCs w:val="22"/>
              </w:rPr>
              <w:t xml:space="preserve"> gadā un matemātikā valsts pārbaudes darbā, tiek uzskatīts par vienu vērtējumu.</w:t>
            </w:r>
          </w:p>
          <w:p w:rsidR="00F96746" w:rsidRDefault="00C037D7" w:rsidP="00C037D7">
            <w:pPr>
              <w:jc w:val="both"/>
              <w:rPr>
                <w:sz w:val="22"/>
                <w:szCs w:val="22"/>
              </w:rPr>
            </w:pPr>
            <w:r>
              <w:rPr>
                <w:sz w:val="22"/>
                <w:szCs w:val="22"/>
              </w:rPr>
              <w:t xml:space="preserve">     2</w:t>
            </w:r>
            <w:r w:rsidR="009819C1" w:rsidRPr="00C037D7">
              <w:rPr>
                <w:sz w:val="22"/>
                <w:szCs w:val="22"/>
              </w:rPr>
              <w:t xml:space="preserve">) </w:t>
            </w:r>
            <w:r w:rsidR="006454FC">
              <w:rPr>
                <w:sz w:val="22"/>
                <w:szCs w:val="22"/>
              </w:rPr>
              <w:t xml:space="preserve">noteikt </w:t>
            </w:r>
            <w:r w:rsidR="009819C1" w:rsidRPr="00C037D7">
              <w:rPr>
                <w:sz w:val="22"/>
                <w:szCs w:val="22"/>
              </w:rPr>
              <w:t>iespēju Latvijā īstenot starptautiskas izglītības programmas;</w:t>
            </w:r>
          </w:p>
          <w:p w:rsidR="006454FC" w:rsidRPr="00C037D7" w:rsidRDefault="00357459" w:rsidP="006454FC">
            <w:pPr>
              <w:jc w:val="both"/>
              <w:rPr>
                <w:sz w:val="22"/>
                <w:szCs w:val="22"/>
              </w:rPr>
            </w:pPr>
            <w:r>
              <w:rPr>
                <w:sz w:val="22"/>
                <w:szCs w:val="22"/>
              </w:rPr>
              <w:t xml:space="preserve">     3</w:t>
            </w:r>
            <w:r w:rsidR="006454FC" w:rsidRPr="00C037D7">
              <w:rPr>
                <w:sz w:val="22"/>
                <w:szCs w:val="22"/>
              </w:rPr>
              <w:t>) noteikt vakara (maiņu) vidusskolu pamatuzdevumu;</w:t>
            </w:r>
          </w:p>
          <w:p w:rsidR="00FF3855" w:rsidRDefault="00357459" w:rsidP="006C6B8C">
            <w:pPr>
              <w:jc w:val="both"/>
              <w:rPr>
                <w:sz w:val="22"/>
                <w:szCs w:val="22"/>
              </w:rPr>
            </w:pPr>
            <w:r>
              <w:rPr>
                <w:sz w:val="22"/>
                <w:szCs w:val="22"/>
              </w:rPr>
              <w:t xml:space="preserve">     4</w:t>
            </w:r>
            <w:r w:rsidR="00C037D7" w:rsidRPr="00C037D7">
              <w:rPr>
                <w:sz w:val="22"/>
                <w:szCs w:val="22"/>
              </w:rPr>
              <w:t>) precizēt speciālās izglītības programmu īstenošanu, valsts un pašvaldību pedagoģiski medicīnisko komisiju kompeten</w:t>
            </w:r>
            <w:r w:rsidR="006C6B8C">
              <w:rPr>
                <w:sz w:val="22"/>
                <w:szCs w:val="22"/>
              </w:rPr>
              <w:t>ci, sastāvu un izveides kārtību,</w:t>
            </w:r>
          </w:p>
          <w:p w:rsidR="006C6B8C" w:rsidRDefault="006C6B8C" w:rsidP="006C6B8C">
            <w:pPr>
              <w:jc w:val="both"/>
              <w:rPr>
                <w:sz w:val="22"/>
                <w:szCs w:val="22"/>
              </w:rPr>
            </w:pPr>
            <w:r>
              <w:rPr>
                <w:sz w:val="22"/>
                <w:szCs w:val="22"/>
              </w:rPr>
              <w:t xml:space="preserve">    </w:t>
            </w:r>
            <w:r w:rsidR="00357459">
              <w:rPr>
                <w:sz w:val="22"/>
                <w:szCs w:val="22"/>
              </w:rPr>
              <w:t xml:space="preserve"> 5</w:t>
            </w:r>
            <w:r w:rsidRPr="006C6B8C">
              <w:rPr>
                <w:sz w:val="22"/>
                <w:szCs w:val="22"/>
              </w:rPr>
              <w:t xml:space="preserve">) noteikt </w:t>
            </w:r>
            <w:r>
              <w:rPr>
                <w:sz w:val="22"/>
                <w:szCs w:val="22"/>
              </w:rPr>
              <w:t xml:space="preserve">Ministru kabineta kompetenci noteikt </w:t>
            </w:r>
            <w:r w:rsidRPr="006C6B8C">
              <w:rPr>
                <w:sz w:val="22"/>
                <w:szCs w:val="22"/>
              </w:rPr>
              <w:t>kārtību, kādā organizē mācību priekšmetu olimpiādes.</w:t>
            </w:r>
          </w:p>
          <w:p w:rsidR="00E81484" w:rsidRPr="009819C1" w:rsidRDefault="00E81484" w:rsidP="006C6B8C">
            <w:pPr>
              <w:jc w:val="both"/>
              <w:rPr>
                <w:sz w:val="22"/>
                <w:szCs w:val="22"/>
              </w:rPr>
            </w:pPr>
          </w:p>
        </w:tc>
      </w:tr>
      <w:tr w:rsidR="00262E2B" w:rsidRPr="007C0F2C" w:rsidTr="005610FD">
        <w:trPr>
          <w:trHeight w:val="476"/>
        </w:trPr>
        <w:tc>
          <w:tcPr>
            <w:tcW w:w="121" w:type="pct"/>
          </w:tcPr>
          <w:p w:rsidR="00262E2B" w:rsidRPr="007C0F2C" w:rsidRDefault="00262E2B" w:rsidP="006C4607">
            <w:pPr>
              <w:pStyle w:val="naiskr"/>
              <w:spacing w:before="0" w:after="0"/>
              <w:rPr>
                <w:sz w:val="22"/>
                <w:szCs w:val="22"/>
              </w:rPr>
            </w:pPr>
            <w:r w:rsidRPr="007C0F2C">
              <w:rPr>
                <w:sz w:val="22"/>
                <w:szCs w:val="22"/>
              </w:rPr>
              <w:lastRenderedPageBreak/>
              <w:t>5.</w:t>
            </w:r>
          </w:p>
        </w:tc>
        <w:tc>
          <w:tcPr>
            <w:tcW w:w="965" w:type="pct"/>
          </w:tcPr>
          <w:p w:rsidR="00262E2B" w:rsidRPr="007C0F2C" w:rsidRDefault="001A4066" w:rsidP="006C4607">
            <w:pPr>
              <w:pStyle w:val="naiskr"/>
              <w:spacing w:before="0" w:after="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3914" w:type="pct"/>
          </w:tcPr>
          <w:p w:rsidR="00262E2B" w:rsidRPr="007C0F2C" w:rsidRDefault="009819C1" w:rsidP="009C78DF">
            <w:pPr>
              <w:pStyle w:val="naiskr"/>
              <w:spacing w:before="0" w:after="0"/>
              <w:rPr>
                <w:sz w:val="22"/>
                <w:szCs w:val="22"/>
              </w:rPr>
            </w:pPr>
            <w:r>
              <w:rPr>
                <w:iCs/>
                <w:sz w:val="22"/>
                <w:szCs w:val="22"/>
              </w:rPr>
              <w:t>Valsts izglītības satura centrs, Izglītības kvalitātes valsts dienests</w:t>
            </w:r>
          </w:p>
        </w:tc>
      </w:tr>
      <w:tr w:rsidR="00262E2B" w:rsidRPr="007C0F2C" w:rsidTr="005610FD">
        <w:trPr>
          <w:trHeight w:val="1033"/>
        </w:trPr>
        <w:tc>
          <w:tcPr>
            <w:tcW w:w="121" w:type="pct"/>
          </w:tcPr>
          <w:p w:rsidR="00262E2B" w:rsidRPr="007C0F2C" w:rsidRDefault="00262E2B" w:rsidP="006C4607">
            <w:pPr>
              <w:pStyle w:val="naiskr"/>
              <w:spacing w:before="0" w:after="0"/>
              <w:rPr>
                <w:sz w:val="22"/>
                <w:szCs w:val="22"/>
              </w:rPr>
            </w:pPr>
            <w:r w:rsidRPr="007C0F2C">
              <w:rPr>
                <w:sz w:val="22"/>
                <w:szCs w:val="22"/>
              </w:rPr>
              <w:t>6.</w:t>
            </w:r>
          </w:p>
        </w:tc>
        <w:tc>
          <w:tcPr>
            <w:tcW w:w="965" w:type="pct"/>
          </w:tcPr>
          <w:p w:rsidR="00262E2B" w:rsidRPr="007C0F2C" w:rsidRDefault="00BB7C94" w:rsidP="006C4607">
            <w:pPr>
              <w:pStyle w:val="naiskr"/>
              <w:spacing w:before="0" w:after="0"/>
              <w:rPr>
                <w:i/>
                <w:sz w:val="22"/>
                <w:szCs w:val="22"/>
                <w:highlight w:val="yellow"/>
              </w:rPr>
            </w:pPr>
            <w:r w:rsidRPr="007C0F2C">
              <w:rPr>
                <w:sz w:val="22"/>
                <w:szCs w:val="22"/>
              </w:rPr>
              <w:t xml:space="preserve">Iemesli, kādēļ netika nodrošināta </w:t>
            </w:r>
            <w:r w:rsidR="00262E2B" w:rsidRPr="007C0F2C">
              <w:rPr>
                <w:sz w:val="22"/>
                <w:szCs w:val="22"/>
              </w:rPr>
              <w:t xml:space="preserve">sabiedrības </w:t>
            </w:r>
            <w:r w:rsidRPr="007C0F2C">
              <w:rPr>
                <w:sz w:val="22"/>
                <w:szCs w:val="22"/>
              </w:rPr>
              <w:t>līdzdalība</w:t>
            </w:r>
          </w:p>
        </w:tc>
        <w:tc>
          <w:tcPr>
            <w:tcW w:w="3914" w:type="pct"/>
          </w:tcPr>
          <w:p w:rsidR="00D20FF4" w:rsidRPr="00661632" w:rsidRDefault="00661632" w:rsidP="006C4607">
            <w:pPr>
              <w:pStyle w:val="FootnoteText"/>
              <w:rPr>
                <w:sz w:val="22"/>
                <w:szCs w:val="22"/>
              </w:rPr>
            </w:pPr>
            <w:r w:rsidRPr="00661632">
              <w:rPr>
                <w:sz w:val="22"/>
                <w:szCs w:val="22"/>
              </w:rPr>
              <w:t>Nav attiecināms</w:t>
            </w:r>
          </w:p>
        </w:tc>
      </w:tr>
      <w:tr w:rsidR="00262E2B" w:rsidRPr="007C0F2C" w:rsidTr="005610FD">
        <w:tc>
          <w:tcPr>
            <w:tcW w:w="121" w:type="pct"/>
          </w:tcPr>
          <w:p w:rsidR="00262E2B" w:rsidRPr="007C0F2C" w:rsidRDefault="00262E2B" w:rsidP="006C4607">
            <w:pPr>
              <w:pStyle w:val="naiskr"/>
              <w:spacing w:before="0" w:after="0"/>
              <w:rPr>
                <w:sz w:val="22"/>
                <w:szCs w:val="22"/>
              </w:rPr>
            </w:pPr>
            <w:r w:rsidRPr="007C0F2C">
              <w:rPr>
                <w:sz w:val="22"/>
                <w:szCs w:val="22"/>
              </w:rPr>
              <w:t>7.</w:t>
            </w:r>
          </w:p>
        </w:tc>
        <w:tc>
          <w:tcPr>
            <w:tcW w:w="965" w:type="pct"/>
          </w:tcPr>
          <w:p w:rsidR="00262E2B" w:rsidRPr="007C0F2C" w:rsidRDefault="00262E2B" w:rsidP="006C4607">
            <w:pPr>
              <w:pStyle w:val="naiskr"/>
              <w:spacing w:before="0" w:after="0"/>
              <w:rPr>
                <w:sz w:val="22"/>
                <w:szCs w:val="22"/>
              </w:rPr>
            </w:pPr>
            <w:r w:rsidRPr="007C0F2C">
              <w:rPr>
                <w:sz w:val="22"/>
                <w:szCs w:val="22"/>
              </w:rPr>
              <w:t>Cita informācija</w:t>
            </w:r>
          </w:p>
        </w:tc>
        <w:tc>
          <w:tcPr>
            <w:tcW w:w="3914" w:type="pct"/>
          </w:tcPr>
          <w:p w:rsidR="00262E2B" w:rsidRPr="007C0F2C" w:rsidRDefault="00262E2B" w:rsidP="006C4607">
            <w:pPr>
              <w:pStyle w:val="naiskr"/>
              <w:spacing w:before="0" w:after="0"/>
              <w:rPr>
                <w:sz w:val="22"/>
                <w:szCs w:val="22"/>
              </w:rPr>
            </w:pPr>
            <w:r w:rsidRPr="007C0F2C">
              <w:rPr>
                <w:sz w:val="22"/>
                <w:szCs w:val="22"/>
              </w:rPr>
              <w:t>Nav</w:t>
            </w:r>
          </w:p>
        </w:tc>
      </w:tr>
    </w:tbl>
    <w:p w:rsidR="00852042" w:rsidRPr="007C0F2C" w:rsidRDefault="00852042" w:rsidP="006C4607">
      <w:pPr>
        <w:pStyle w:val="naisf"/>
        <w:spacing w:before="0" w:after="0"/>
      </w:pPr>
    </w:p>
    <w:tbl>
      <w:tblPr>
        <w:tblpPr w:leftFromText="181" w:rightFromText="181" w:vertAnchor="text" w:horzAnchor="margin" w:tblpXSpec="center"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1"/>
        <w:gridCol w:w="2672"/>
        <w:gridCol w:w="6234"/>
      </w:tblGrid>
      <w:tr w:rsidR="0062298A" w:rsidRPr="007C0F2C" w:rsidTr="00357459">
        <w:tc>
          <w:tcPr>
            <w:tcW w:w="5000" w:type="pct"/>
            <w:gridSpan w:val="3"/>
            <w:vAlign w:val="center"/>
          </w:tcPr>
          <w:p w:rsidR="0062298A" w:rsidRPr="007C0F2C" w:rsidRDefault="0062298A" w:rsidP="00357459">
            <w:pPr>
              <w:pStyle w:val="naisnod"/>
              <w:spacing w:before="0" w:after="0"/>
            </w:pPr>
            <w:r w:rsidRPr="007C0F2C">
              <w:t>II</w:t>
            </w:r>
            <w:r w:rsidR="000941C5" w:rsidRPr="007C0F2C">
              <w:t>.</w:t>
            </w:r>
            <w:r w:rsidRPr="007C0F2C">
              <w:t xml:space="preserve"> Tiesību akta projekta ietekme uz sabiedrību</w:t>
            </w:r>
          </w:p>
        </w:tc>
      </w:tr>
      <w:tr w:rsidR="00357459" w:rsidRPr="007C0F2C" w:rsidTr="00357459">
        <w:trPr>
          <w:trHeight w:val="467"/>
        </w:trPr>
        <w:tc>
          <w:tcPr>
            <w:tcW w:w="121" w:type="pct"/>
          </w:tcPr>
          <w:p w:rsidR="0062298A" w:rsidRPr="007C0F2C" w:rsidRDefault="0062298A" w:rsidP="00357459">
            <w:pPr>
              <w:pStyle w:val="naiskr"/>
              <w:spacing w:before="0" w:after="0"/>
              <w:rPr>
                <w:sz w:val="22"/>
                <w:szCs w:val="22"/>
              </w:rPr>
            </w:pPr>
            <w:r w:rsidRPr="007C0F2C">
              <w:rPr>
                <w:sz w:val="22"/>
                <w:szCs w:val="22"/>
              </w:rPr>
              <w:t>1.</w:t>
            </w:r>
          </w:p>
        </w:tc>
        <w:tc>
          <w:tcPr>
            <w:tcW w:w="1464" w:type="pct"/>
          </w:tcPr>
          <w:p w:rsidR="0062298A" w:rsidRPr="0077784C" w:rsidRDefault="00C27A08" w:rsidP="00357459">
            <w:pPr>
              <w:pStyle w:val="naiskr"/>
              <w:spacing w:before="0" w:after="0"/>
              <w:rPr>
                <w:sz w:val="22"/>
                <w:szCs w:val="22"/>
              </w:rPr>
            </w:pPr>
            <w:r w:rsidRPr="0077784C">
              <w:rPr>
                <w:sz w:val="22"/>
                <w:szCs w:val="22"/>
              </w:rPr>
              <w:t xml:space="preserve">Sabiedrības </w:t>
            </w:r>
            <w:proofErr w:type="spellStart"/>
            <w:r w:rsidRPr="0077784C">
              <w:rPr>
                <w:sz w:val="22"/>
                <w:szCs w:val="22"/>
              </w:rPr>
              <w:t>mērķgrupa</w:t>
            </w:r>
            <w:proofErr w:type="spellEnd"/>
          </w:p>
        </w:tc>
        <w:tc>
          <w:tcPr>
            <w:tcW w:w="3415" w:type="pct"/>
          </w:tcPr>
          <w:p w:rsidR="00385723" w:rsidRDefault="00661632" w:rsidP="00357459">
            <w:pPr>
              <w:rPr>
                <w:sz w:val="22"/>
                <w:szCs w:val="22"/>
              </w:rPr>
            </w:pPr>
            <w:r w:rsidRPr="0077784C">
              <w:rPr>
                <w:sz w:val="22"/>
                <w:szCs w:val="22"/>
              </w:rPr>
              <w:t>Izglītojamie ar speciālām izglītības vajadzībām (9000). 9.klašu un 12.klašu ab</w:t>
            </w:r>
            <w:r w:rsidR="00566C51">
              <w:rPr>
                <w:sz w:val="22"/>
                <w:szCs w:val="22"/>
              </w:rPr>
              <w:t>solventi (attiecīgi 22 000 un 15 5</w:t>
            </w:r>
            <w:r w:rsidRPr="0077784C">
              <w:rPr>
                <w:sz w:val="22"/>
                <w:szCs w:val="22"/>
              </w:rPr>
              <w:t>00 izglītojamo)</w:t>
            </w:r>
            <w:r w:rsidR="006C6B8C">
              <w:rPr>
                <w:sz w:val="22"/>
                <w:szCs w:val="22"/>
              </w:rPr>
              <w:t xml:space="preserve">. </w:t>
            </w:r>
            <w:r w:rsidR="006C6B8C" w:rsidRPr="006C6B8C">
              <w:rPr>
                <w:sz w:val="22"/>
                <w:szCs w:val="22"/>
              </w:rPr>
              <w:t>5.-12.klašu izglītojamie (13 540 izglītojamie), pedagogi, p</w:t>
            </w:r>
            <w:r w:rsidR="006C6B8C">
              <w:rPr>
                <w:sz w:val="22"/>
                <w:szCs w:val="22"/>
              </w:rPr>
              <w:t>ašvaldības izglītības pārvaldes – mācību priekšmetu olimpiāžu dalībnieki un organizētāji.</w:t>
            </w:r>
          </w:p>
          <w:p w:rsidR="00E81484" w:rsidRPr="0077784C" w:rsidRDefault="00E81484" w:rsidP="00357459">
            <w:pPr>
              <w:rPr>
                <w:sz w:val="22"/>
                <w:szCs w:val="22"/>
              </w:rPr>
            </w:pPr>
          </w:p>
        </w:tc>
      </w:tr>
      <w:tr w:rsidR="00357459" w:rsidRPr="007C0F2C" w:rsidTr="00357459">
        <w:trPr>
          <w:trHeight w:val="523"/>
        </w:trPr>
        <w:tc>
          <w:tcPr>
            <w:tcW w:w="121" w:type="pct"/>
          </w:tcPr>
          <w:p w:rsidR="0062298A" w:rsidRPr="007C0F2C" w:rsidRDefault="0062298A" w:rsidP="00357459">
            <w:pPr>
              <w:pStyle w:val="naiskr"/>
              <w:spacing w:before="0" w:after="0"/>
              <w:rPr>
                <w:sz w:val="22"/>
                <w:szCs w:val="22"/>
              </w:rPr>
            </w:pPr>
            <w:r w:rsidRPr="007C0F2C">
              <w:rPr>
                <w:sz w:val="22"/>
                <w:szCs w:val="22"/>
              </w:rPr>
              <w:t>2.</w:t>
            </w:r>
          </w:p>
        </w:tc>
        <w:tc>
          <w:tcPr>
            <w:tcW w:w="1464" w:type="pct"/>
          </w:tcPr>
          <w:p w:rsidR="00C1133D" w:rsidRPr="007C0F2C" w:rsidRDefault="00C27A08" w:rsidP="00357459">
            <w:pPr>
              <w:pStyle w:val="naiskr"/>
              <w:spacing w:before="0" w:after="0"/>
              <w:rPr>
                <w:sz w:val="22"/>
                <w:szCs w:val="22"/>
              </w:rPr>
            </w:pPr>
            <w:r w:rsidRPr="007C0F2C">
              <w:rPr>
                <w:sz w:val="22"/>
                <w:szCs w:val="22"/>
              </w:rPr>
              <w:t xml:space="preserve">Citas sabiedrības grupas (bez </w:t>
            </w:r>
            <w:proofErr w:type="spellStart"/>
            <w:r w:rsidRPr="007C0F2C">
              <w:rPr>
                <w:sz w:val="22"/>
                <w:szCs w:val="22"/>
              </w:rPr>
              <w:t>mērķgrupas</w:t>
            </w:r>
            <w:proofErr w:type="spellEnd"/>
            <w:r w:rsidRPr="007C0F2C">
              <w:rPr>
                <w:sz w:val="22"/>
                <w:szCs w:val="22"/>
              </w:rPr>
              <w:t>), kuras tiesiskais regulējums arī ietekmē vai varētu ietekmēt</w:t>
            </w:r>
          </w:p>
        </w:tc>
        <w:tc>
          <w:tcPr>
            <w:tcW w:w="3415" w:type="pct"/>
          </w:tcPr>
          <w:p w:rsidR="0062298A" w:rsidRDefault="0077784C" w:rsidP="00357459">
            <w:pPr>
              <w:pStyle w:val="naiskr"/>
              <w:spacing w:before="0" w:after="0"/>
              <w:rPr>
                <w:sz w:val="22"/>
                <w:szCs w:val="22"/>
              </w:rPr>
            </w:pPr>
            <w:r>
              <w:rPr>
                <w:sz w:val="22"/>
                <w:szCs w:val="22"/>
              </w:rPr>
              <w:t>Personas</w:t>
            </w:r>
            <w:r w:rsidR="00A17E62">
              <w:rPr>
                <w:sz w:val="22"/>
                <w:szCs w:val="22"/>
              </w:rPr>
              <w:t xml:space="preserve"> no citām valstīm</w:t>
            </w:r>
            <w:r w:rsidRPr="003E0C20">
              <w:rPr>
                <w:sz w:val="22"/>
                <w:szCs w:val="22"/>
              </w:rPr>
              <w:t>, kuras darba vai dienesta pienākumu dēļ ir spiestas bieži pārcelties no valsts uz valsti kopā ar ģimeni, uzturoties Latvijā salīdzinoši neilgu laiku.</w:t>
            </w:r>
            <w:r w:rsidR="005C38D5">
              <w:rPr>
                <w:sz w:val="22"/>
                <w:szCs w:val="22"/>
              </w:rPr>
              <w:t xml:space="preserve"> Šobrīd divās starptautiskajās skolās mācās 300 izglītojamie.</w:t>
            </w:r>
          </w:p>
          <w:p w:rsidR="00385723" w:rsidRPr="007C0F2C" w:rsidRDefault="00385723" w:rsidP="00357459">
            <w:pPr>
              <w:pStyle w:val="naiskr"/>
              <w:spacing w:before="0" w:after="0"/>
              <w:rPr>
                <w:sz w:val="22"/>
                <w:szCs w:val="22"/>
              </w:rPr>
            </w:pPr>
          </w:p>
        </w:tc>
      </w:tr>
      <w:tr w:rsidR="00357459" w:rsidRPr="007C0F2C" w:rsidTr="00357459">
        <w:trPr>
          <w:trHeight w:val="517"/>
        </w:trPr>
        <w:tc>
          <w:tcPr>
            <w:tcW w:w="121" w:type="pct"/>
          </w:tcPr>
          <w:p w:rsidR="0062298A" w:rsidRPr="007C0F2C" w:rsidRDefault="0062298A" w:rsidP="00357459">
            <w:pPr>
              <w:pStyle w:val="naiskr"/>
              <w:spacing w:before="0" w:after="0"/>
              <w:rPr>
                <w:sz w:val="22"/>
                <w:szCs w:val="22"/>
              </w:rPr>
            </w:pPr>
            <w:r w:rsidRPr="007C0F2C">
              <w:rPr>
                <w:sz w:val="22"/>
                <w:szCs w:val="22"/>
              </w:rPr>
              <w:t>3.</w:t>
            </w:r>
          </w:p>
        </w:tc>
        <w:tc>
          <w:tcPr>
            <w:tcW w:w="1464" w:type="pct"/>
          </w:tcPr>
          <w:p w:rsidR="00C1133D" w:rsidRPr="007C0F2C" w:rsidRDefault="000C790C" w:rsidP="00357459">
            <w:pPr>
              <w:pStyle w:val="naiskr"/>
              <w:spacing w:before="0" w:after="0"/>
              <w:rPr>
                <w:sz w:val="22"/>
                <w:szCs w:val="22"/>
              </w:rPr>
            </w:pPr>
            <w:r w:rsidRPr="007C0F2C">
              <w:rPr>
                <w:sz w:val="22"/>
                <w:szCs w:val="22"/>
              </w:rPr>
              <w:t>Tiesiskā r</w:t>
            </w:r>
            <w:r w:rsidR="003D21FF" w:rsidRPr="007C0F2C">
              <w:rPr>
                <w:sz w:val="22"/>
                <w:szCs w:val="22"/>
              </w:rPr>
              <w:t>egulējuma</w:t>
            </w:r>
            <w:r w:rsidR="00C27A08" w:rsidRPr="007C0F2C">
              <w:rPr>
                <w:sz w:val="22"/>
                <w:szCs w:val="22"/>
              </w:rPr>
              <w:t xml:space="preserve"> finansiālā ietekme</w:t>
            </w:r>
          </w:p>
        </w:tc>
        <w:tc>
          <w:tcPr>
            <w:tcW w:w="3415" w:type="pct"/>
          </w:tcPr>
          <w:p w:rsidR="005C38D5" w:rsidRPr="007C0F2C" w:rsidRDefault="00F26201" w:rsidP="00357459">
            <w:pPr>
              <w:pStyle w:val="naiskr"/>
              <w:spacing w:before="0" w:after="0"/>
              <w:jc w:val="both"/>
              <w:rPr>
                <w:sz w:val="22"/>
                <w:szCs w:val="22"/>
              </w:rPr>
            </w:pPr>
            <w:r>
              <w:rPr>
                <w:sz w:val="22"/>
                <w:szCs w:val="22"/>
              </w:rPr>
              <w:t>2011.gadā un turpmākajos gados f</w:t>
            </w:r>
            <w:r w:rsidRPr="00390E14">
              <w:rPr>
                <w:sz w:val="22"/>
                <w:szCs w:val="22"/>
              </w:rPr>
              <w:t>inansējums ir paredzēts apstiprinātā gadskārtējā valsts budžeta ietvaros.</w:t>
            </w:r>
          </w:p>
        </w:tc>
      </w:tr>
      <w:tr w:rsidR="00357459" w:rsidRPr="007C0F2C" w:rsidTr="00357459">
        <w:trPr>
          <w:trHeight w:val="517"/>
        </w:trPr>
        <w:tc>
          <w:tcPr>
            <w:tcW w:w="121" w:type="pct"/>
          </w:tcPr>
          <w:p w:rsidR="00C27A08" w:rsidRPr="007C0F2C" w:rsidRDefault="00C27A08" w:rsidP="00357459">
            <w:pPr>
              <w:pStyle w:val="naiskr"/>
              <w:spacing w:before="0" w:after="0"/>
              <w:rPr>
                <w:sz w:val="22"/>
                <w:szCs w:val="22"/>
              </w:rPr>
            </w:pPr>
            <w:r w:rsidRPr="007C0F2C">
              <w:rPr>
                <w:sz w:val="22"/>
                <w:szCs w:val="22"/>
              </w:rPr>
              <w:t>4.</w:t>
            </w:r>
          </w:p>
        </w:tc>
        <w:tc>
          <w:tcPr>
            <w:tcW w:w="1464" w:type="pct"/>
          </w:tcPr>
          <w:p w:rsidR="00C27A08" w:rsidRPr="007C0F2C" w:rsidRDefault="00C27A08" w:rsidP="00357459">
            <w:pPr>
              <w:pStyle w:val="naiskr"/>
              <w:spacing w:before="0" w:after="0"/>
              <w:rPr>
                <w:sz w:val="22"/>
                <w:szCs w:val="22"/>
              </w:rPr>
            </w:pPr>
            <w:r w:rsidRPr="007C0F2C">
              <w:rPr>
                <w:sz w:val="22"/>
                <w:szCs w:val="22"/>
              </w:rPr>
              <w:t>Tiesiskā regulējuma nefinansiālā ietekme</w:t>
            </w:r>
          </w:p>
        </w:tc>
        <w:tc>
          <w:tcPr>
            <w:tcW w:w="3415" w:type="pct"/>
          </w:tcPr>
          <w:p w:rsidR="00E81484" w:rsidRPr="007C0F2C" w:rsidRDefault="0077784C" w:rsidP="00357459">
            <w:pPr>
              <w:pStyle w:val="naiskr"/>
              <w:spacing w:before="0" w:after="0"/>
              <w:jc w:val="both"/>
              <w:rPr>
                <w:sz w:val="22"/>
                <w:szCs w:val="22"/>
              </w:rPr>
            </w:pPr>
            <w:r w:rsidRPr="00BC395F">
              <w:rPr>
                <w:iCs/>
                <w:sz w:val="22"/>
                <w:szCs w:val="22"/>
              </w:rPr>
              <w:t>Stingrākas prasības iz</w:t>
            </w:r>
            <w:r w:rsidR="006C6B8C">
              <w:rPr>
                <w:iCs/>
                <w:sz w:val="22"/>
                <w:szCs w:val="22"/>
              </w:rPr>
              <w:t>glītības programmas apguvei paaugstinās</w:t>
            </w:r>
            <w:r w:rsidRPr="00BC395F">
              <w:rPr>
                <w:iCs/>
                <w:sz w:val="22"/>
                <w:szCs w:val="22"/>
              </w:rPr>
              <w:t xml:space="preserve"> vispārējās izglītības kvalitāti. Uzlabos</w:t>
            </w:r>
            <w:r w:rsidR="00B27055">
              <w:rPr>
                <w:iCs/>
                <w:sz w:val="22"/>
                <w:szCs w:val="22"/>
              </w:rPr>
              <w:t>ies</w:t>
            </w:r>
            <w:r w:rsidRPr="00BC395F">
              <w:rPr>
                <w:iCs/>
                <w:sz w:val="22"/>
                <w:szCs w:val="22"/>
              </w:rPr>
              <w:t xml:space="preserve"> izglītojamo ar speciālām izglītības vajadzībām </w:t>
            </w:r>
            <w:r w:rsidRPr="00BC395F">
              <w:rPr>
                <w:sz w:val="22"/>
                <w:szCs w:val="22"/>
              </w:rPr>
              <w:t>vienlīdzīgas tiesības un iespējas</w:t>
            </w:r>
            <w:r w:rsidR="00BC395F">
              <w:rPr>
                <w:sz w:val="22"/>
                <w:szCs w:val="22"/>
              </w:rPr>
              <w:t>. Latvijas izglītības sistēma nedaudz vairāk integrēsies Eiropas izglītības telpā</w:t>
            </w:r>
            <w:r w:rsidR="00BC395F" w:rsidRPr="006C6B8C">
              <w:rPr>
                <w:sz w:val="22"/>
                <w:szCs w:val="22"/>
              </w:rPr>
              <w:t>.</w:t>
            </w:r>
            <w:r w:rsidR="006C6B8C" w:rsidRPr="006C6B8C">
              <w:rPr>
                <w:sz w:val="22"/>
                <w:szCs w:val="22"/>
              </w:rPr>
              <w:t xml:space="preserve">  Tiks apzināti talantīgi</w:t>
            </w:r>
            <w:r w:rsidR="006C6B8C">
              <w:rPr>
                <w:sz w:val="22"/>
                <w:szCs w:val="22"/>
              </w:rPr>
              <w:t>e</w:t>
            </w:r>
            <w:r w:rsidR="006C6B8C" w:rsidRPr="006C6B8C">
              <w:rPr>
                <w:sz w:val="22"/>
                <w:szCs w:val="22"/>
              </w:rPr>
              <w:t xml:space="preserve"> izglītojamie, kuri parāda izcilas spējas mācību priekšmeta padziļinātā apguvē, tādejādi veicinot konkur</w:t>
            </w:r>
            <w:r w:rsidR="006C6B8C">
              <w:rPr>
                <w:sz w:val="22"/>
                <w:szCs w:val="22"/>
              </w:rPr>
              <w:t>ētspēju valsts un starptautisk</w:t>
            </w:r>
            <w:r w:rsidR="006C6B8C" w:rsidRPr="006C6B8C">
              <w:rPr>
                <w:sz w:val="22"/>
                <w:szCs w:val="22"/>
              </w:rPr>
              <w:t>ā mērogā.</w:t>
            </w:r>
          </w:p>
        </w:tc>
      </w:tr>
      <w:tr w:rsidR="00357459" w:rsidRPr="007C0F2C" w:rsidTr="00357459">
        <w:trPr>
          <w:trHeight w:val="531"/>
        </w:trPr>
        <w:tc>
          <w:tcPr>
            <w:tcW w:w="121" w:type="pct"/>
          </w:tcPr>
          <w:p w:rsidR="0062298A" w:rsidRPr="007C0F2C" w:rsidRDefault="00C27A08" w:rsidP="00357459">
            <w:pPr>
              <w:pStyle w:val="naiskr"/>
              <w:spacing w:before="0" w:after="0"/>
              <w:rPr>
                <w:sz w:val="22"/>
                <w:szCs w:val="22"/>
              </w:rPr>
            </w:pPr>
            <w:r w:rsidRPr="007C0F2C">
              <w:rPr>
                <w:sz w:val="22"/>
                <w:szCs w:val="22"/>
              </w:rPr>
              <w:t>5</w:t>
            </w:r>
            <w:r w:rsidR="0062298A" w:rsidRPr="007C0F2C">
              <w:rPr>
                <w:sz w:val="22"/>
                <w:szCs w:val="22"/>
              </w:rPr>
              <w:t>.</w:t>
            </w:r>
          </w:p>
        </w:tc>
        <w:tc>
          <w:tcPr>
            <w:tcW w:w="1464" w:type="pct"/>
          </w:tcPr>
          <w:p w:rsidR="00C1133D" w:rsidRPr="007C0F2C" w:rsidRDefault="00C1133D" w:rsidP="00357459">
            <w:pPr>
              <w:pStyle w:val="naiskr"/>
              <w:spacing w:before="0" w:after="0"/>
              <w:rPr>
                <w:sz w:val="22"/>
                <w:szCs w:val="22"/>
              </w:rPr>
            </w:pPr>
            <w:r w:rsidRPr="007C0F2C">
              <w:rPr>
                <w:sz w:val="22"/>
                <w:szCs w:val="22"/>
              </w:rPr>
              <w:t>Administratīv</w:t>
            </w:r>
            <w:r w:rsidR="00C27A08" w:rsidRPr="007C0F2C">
              <w:rPr>
                <w:sz w:val="22"/>
                <w:szCs w:val="22"/>
              </w:rPr>
              <w:t>ās</w:t>
            </w:r>
            <w:r w:rsidRPr="007C0F2C">
              <w:rPr>
                <w:sz w:val="22"/>
                <w:szCs w:val="22"/>
              </w:rPr>
              <w:t xml:space="preserve"> procedūr</w:t>
            </w:r>
            <w:r w:rsidR="00965897" w:rsidRPr="007C0F2C">
              <w:rPr>
                <w:sz w:val="22"/>
                <w:szCs w:val="22"/>
              </w:rPr>
              <w:t>a</w:t>
            </w:r>
            <w:r w:rsidRPr="007C0F2C">
              <w:rPr>
                <w:sz w:val="22"/>
                <w:szCs w:val="22"/>
              </w:rPr>
              <w:t xml:space="preserve">s </w:t>
            </w:r>
            <w:r w:rsidR="00C27A08" w:rsidRPr="007C0F2C">
              <w:rPr>
                <w:sz w:val="22"/>
                <w:szCs w:val="22"/>
              </w:rPr>
              <w:t>raksturojums</w:t>
            </w:r>
          </w:p>
        </w:tc>
        <w:tc>
          <w:tcPr>
            <w:tcW w:w="3415" w:type="pct"/>
          </w:tcPr>
          <w:p w:rsidR="0062298A" w:rsidRPr="007C0F2C" w:rsidRDefault="0077784C" w:rsidP="00357459">
            <w:pPr>
              <w:pStyle w:val="naiskr"/>
              <w:spacing w:before="0" w:after="0"/>
              <w:rPr>
                <w:sz w:val="22"/>
                <w:szCs w:val="22"/>
              </w:rPr>
            </w:pPr>
            <w:r>
              <w:rPr>
                <w:iCs/>
                <w:sz w:val="22"/>
                <w:szCs w:val="22"/>
              </w:rPr>
              <w:t>Nav attiecināms</w:t>
            </w:r>
          </w:p>
        </w:tc>
      </w:tr>
      <w:tr w:rsidR="00357459" w:rsidRPr="007C0F2C" w:rsidTr="00357459">
        <w:trPr>
          <w:trHeight w:val="357"/>
        </w:trPr>
        <w:tc>
          <w:tcPr>
            <w:tcW w:w="121" w:type="pct"/>
          </w:tcPr>
          <w:p w:rsidR="0062298A" w:rsidRPr="007C0F2C" w:rsidRDefault="00C27A08" w:rsidP="00357459">
            <w:pPr>
              <w:pStyle w:val="naiskr"/>
              <w:spacing w:before="0" w:after="0"/>
              <w:rPr>
                <w:sz w:val="22"/>
                <w:szCs w:val="22"/>
              </w:rPr>
            </w:pPr>
            <w:r w:rsidRPr="007C0F2C">
              <w:rPr>
                <w:sz w:val="22"/>
                <w:szCs w:val="22"/>
              </w:rPr>
              <w:t>6</w:t>
            </w:r>
            <w:r w:rsidR="0062298A" w:rsidRPr="007C0F2C">
              <w:rPr>
                <w:sz w:val="22"/>
                <w:szCs w:val="22"/>
              </w:rPr>
              <w:t>.</w:t>
            </w:r>
          </w:p>
        </w:tc>
        <w:tc>
          <w:tcPr>
            <w:tcW w:w="1464" w:type="pct"/>
          </w:tcPr>
          <w:p w:rsidR="00AE5066" w:rsidRPr="007C0F2C" w:rsidRDefault="00C27A08" w:rsidP="00357459">
            <w:pPr>
              <w:pStyle w:val="naiskr"/>
              <w:spacing w:before="0" w:after="0"/>
              <w:rPr>
                <w:sz w:val="22"/>
                <w:szCs w:val="22"/>
              </w:rPr>
            </w:pPr>
            <w:r w:rsidRPr="007C0F2C">
              <w:rPr>
                <w:sz w:val="22"/>
                <w:szCs w:val="22"/>
              </w:rPr>
              <w:t xml:space="preserve">Administratīvo izmaksu </w:t>
            </w:r>
            <w:r w:rsidR="00502374" w:rsidRPr="007C0F2C">
              <w:rPr>
                <w:sz w:val="22"/>
                <w:szCs w:val="22"/>
              </w:rPr>
              <w:t xml:space="preserve">monetārs </w:t>
            </w:r>
            <w:r w:rsidRPr="007C0F2C">
              <w:rPr>
                <w:sz w:val="22"/>
                <w:szCs w:val="22"/>
              </w:rPr>
              <w:t>novērtējums</w:t>
            </w:r>
          </w:p>
        </w:tc>
        <w:tc>
          <w:tcPr>
            <w:tcW w:w="3415" w:type="pct"/>
          </w:tcPr>
          <w:p w:rsidR="0062298A" w:rsidRPr="007C0F2C" w:rsidRDefault="0077784C" w:rsidP="00357459">
            <w:pPr>
              <w:pStyle w:val="naiskr"/>
              <w:spacing w:before="0" w:after="0"/>
              <w:rPr>
                <w:sz w:val="22"/>
                <w:szCs w:val="22"/>
              </w:rPr>
            </w:pPr>
            <w:r>
              <w:rPr>
                <w:iCs/>
                <w:sz w:val="22"/>
                <w:szCs w:val="22"/>
              </w:rPr>
              <w:t>Nav attiecināms</w:t>
            </w:r>
          </w:p>
        </w:tc>
      </w:tr>
      <w:tr w:rsidR="00357459" w:rsidRPr="007C0F2C" w:rsidTr="00357459">
        <w:tc>
          <w:tcPr>
            <w:tcW w:w="121" w:type="pct"/>
          </w:tcPr>
          <w:p w:rsidR="0062298A" w:rsidRPr="007C0F2C" w:rsidRDefault="00C27A08" w:rsidP="00357459">
            <w:pPr>
              <w:pStyle w:val="naiskr"/>
              <w:spacing w:before="0" w:after="0"/>
              <w:rPr>
                <w:sz w:val="22"/>
                <w:szCs w:val="22"/>
              </w:rPr>
            </w:pPr>
            <w:r w:rsidRPr="007C0F2C">
              <w:rPr>
                <w:sz w:val="22"/>
                <w:szCs w:val="22"/>
              </w:rPr>
              <w:t>7</w:t>
            </w:r>
            <w:r w:rsidR="0062298A" w:rsidRPr="007C0F2C">
              <w:rPr>
                <w:sz w:val="22"/>
                <w:szCs w:val="22"/>
              </w:rPr>
              <w:t>.</w:t>
            </w:r>
          </w:p>
        </w:tc>
        <w:tc>
          <w:tcPr>
            <w:tcW w:w="1464" w:type="pct"/>
          </w:tcPr>
          <w:p w:rsidR="0062298A" w:rsidRPr="007C0F2C" w:rsidRDefault="009E12D7" w:rsidP="00357459">
            <w:pPr>
              <w:pStyle w:val="naiskr"/>
              <w:spacing w:before="0" w:after="0"/>
              <w:rPr>
                <w:sz w:val="22"/>
                <w:szCs w:val="22"/>
              </w:rPr>
            </w:pPr>
            <w:r w:rsidRPr="007C0F2C">
              <w:rPr>
                <w:sz w:val="22"/>
                <w:szCs w:val="22"/>
              </w:rPr>
              <w:t>Cita informācija</w:t>
            </w:r>
          </w:p>
        </w:tc>
        <w:tc>
          <w:tcPr>
            <w:tcW w:w="3415" w:type="pct"/>
          </w:tcPr>
          <w:p w:rsidR="0062298A" w:rsidRPr="007C0F2C" w:rsidRDefault="0062298A" w:rsidP="00357459">
            <w:pPr>
              <w:pStyle w:val="naiskr"/>
              <w:spacing w:before="0" w:after="0"/>
              <w:rPr>
                <w:sz w:val="22"/>
                <w:szCs w:val="22"/>
              </w:rPr>
            </w:pPr>
            <w:r w:rsidRPr="007C0F2C">
              <w:rPr>
                <w:sz w:val="22"/>
                <w:szCs w:val="22"/>
              </w:rPr>
              <w:t>Nav</w:t>
            </w:r>
          </w:p>
        </w:tc>
      </w:tr>
    </w:tbl>
    <w:p w:rsidR="00B27055" w:rsidRDefault="00B27055" w:rsidP="006C4607">
      <w:pPr>
        <w:pStyle w:val="naisf"/>
        <w:spacing w:before="0" w:after="0"/>
      </w:pPr>
    </w:p>
    <w:p w:rsidR="00357459" w:rsidRDefault="00357459" w:rsidP="006C4607">
      <w:pPr>
        <w:pStyle w:val="naisf"/>
        <w:spacing w:before="0" w:after="0"/>
      </w:pPr>
    </w:p>
    <w:tbl>
      <w:tblPr>
        <w:tblStyle w:val="TableGrid"/>
        <w:tblW w:w="5000" w:type="pct"/>
        <w:tblLook w:val="04A0"/>
      </w:tblPr>
      <w:tblGrid>
        <w:gridCol w:w="9287"/>
      </w:tblGrid>
      <w:tr w:rsidR="005616C3" w:rsidRPr="005616C3" w:rsidTr="00357459">
        <w:trPr>
          <w:trHeight w:val="337"/>
        </w:trPr>
        <w:tc>
          <w:tcPr>
            <w:tcW w:w="5000" w:type="pct"/>
            <w:hideMark/>
          </w:tcPr>
          <w:p w:rsidR="005616C3" w:rsidRPr="005616C3" w:rsidRDefault="005616C3" w:rsidP="00357459">
            <w:pPr>
              <w:jc w:val="center"/>
              <w:rPr>
                <w:b/>
                <w:bCs/>
                <w:sz w:val="22"/>
                <w:szCs w:val="22"/>
              </w:rPr>
            </w:pPr>
            <w:r w:rsidRPr="005616C3">
              <w:rPr>
                <w:b/>
                <w:bCs/>
                <w:sz w:val="22"/>
                <w:szCs w:val="22"/>
              </w:rPr>
              <w:t>III. Tiesību akta projekta ietekme uz valsts budžetu un pašvaldību budžetiem</w:t>
            </w:r>
          </w:p>
        </w:tc>
      </w:tr>
      <w:tr w:rsidR="00357459" w:rsidRPr="00357459" w:rsidTr="00357459">
        <w:trPr>
          <w:trHeight w:val="271"/>
        </w:trPr>
        <w:tc>
          <w:tcPr>
            <w:tcW w:w="5000" w:type="pct"/>
            <w:hideMark/>
          </w:tcPr>
          <w:p w:rsidR="00357459" w:rsidRPr="00357459" w:rsidRDefault="00357459" w:rsidP="00357459">
            <w:pPr>
              <w:jc w:val="center"/>
              <w:rPr>
                <w:b/>
                <w:bCs/>
                <w:sz w:val="22"/>
                <w:szCs w:val="22"/>
              </w:rPr>
            </w:pPr>
            <w:r w:rsidRPr="00357459">
              <w:rPr>
                <w:i/>
                <w:iCs/>
                <w:sz w:val="22"/>
                <w:szCs w:val="22"/>
              </w:rPr>
              <w:t>Projekts šo jomu neskar</w:t>
            </w:r>
          </w:p>
        </w:tc>
      </w:tr>
    </w:tbl>
    <w:p w:rsidR="00924023" w:rsidRDefault="00924023" w:rsidP="006C4607">
      <w:pPr>
        <w:pStyle w:val="naiskr"/>
        <w:tabs>
          <w:tab w:val="left" w:pos="2628"/>
        </w:tabs>
        <w:spacing w:before="0" w:after="0"/>
        <w:rPr>
          <w:sz w:val="28"/>
          <w:szCs w:val="28"/>
        </w:rPr>
      </w:pPr>
    </w:p>
    <w:p w:rsidR="00FF3855" w:rsidRPr="00FF3855" w:rsidRDefault="00FF3855" w:rsidP="006C4607">
      <w:pPr>
        <w:pStyle w:val="naiskr"/>
        <w:tabs>
          <w:tab w:val="left" w:pos="2628"/>
        </w:tabs>
        <w:spacing w:before="0" w:after="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905"/>
        <w:gridCol w:w="6986"/>
      </w:tblGrid>
      <w:tr w:rsidR="00924023" w:rsidRPr="00620691" w:rsidTr="00A00EEA">
        <w:trPr>
          <w:jc w:val="center"/>
        </w:trPr>
        <w:tc>
          <w:tcPr>
            <w:tcW w:w="5000" w:type="pct"/>
            <w:gridSpan w:val="3"/>
          </w:tcPr>
          <w:p w:rsidR="00924023" w:rsidRPr="007C0F2C" w:rsidRDefault="00924023" w:rsidP="00620691">
            <w:pPr>
              <w:pStyle w:val="naisnod"/>
              <w:spacing w:before="0" w:after="0"/>
            </w:pPr>
            <w:r w:rsidRPr="007C0F2C">
              <w:t>IV</w:t>
            </w:r>
            <w:r w:rsidR="000941C5" w:rsidRPr="007C0F2C">
              <w:t>.</w:t>
            </w:r>
            <w:r w:rsidRPr="007C0F2C">
              <w:t xml:space="preserve"> Tiesību akta projekta ietekme uz</w:t>
            </w:r>
            <w:r w:rsidR="005060A1" w:rsidRPr="007C0F2C">
              <w:t xml:space="preserve"> </w:t>
            </w:r>
            <w:r w:rsidRPr="007C0F2C">
              <w:t>spēkā esošo tiesību normu sistēmu</w:t>
            </w:r>
          </w:p>
        </w:tc>
      </w:tr>
      <w:tr w:rsidR="00924023" w:rsidRPr="00620691" w:rsidTr="00A00EEA">
        <w:trPr>
          <w:jc w:val="center"/>
        </w:trPr>
        <w:tc>
          <w:tcPr>
            <w:tcW w:w="213" w:type="pct"/>
          </w:tcPr>
          <w:p w:rsidR="00924023" w:rsidRPr="00620691" w:rsidRDefault="00924023" w:rsidP="00620691">
            <w:pPr>
              <w:pStyle w:val="naiskr"/>
              <w:tabs>
                <w:tab w:val="left" w:pos="2628"/>
              </w:tabs>
              <w:spacing w:before="0" w:after="0"/>
              <w:jc w:val="both"/>
              <w:rPr>
                <w:iCs/>
              </w:rPr>
            </w:pPr>
            <w:r w:rsidRPr="00620691">
              <w:rPr>
                <w:iCs/>
              </w:rPr>
              <w:t>1.</w:t>
            </w:r>
          </w:p>
        </w:tc>
        <w:tc>
          <w:tcPr>
            <w:tcW w:w="1026" w:type="pct"/>
          </w:tcPr>
          <w:p w:rsidR="00924023" w:rsidRPr="00620691" w:rsidRDefault="00924023" w:rsidP="00620691">
            <w:pPr>
              <w:pStyle w:val="naiskr"/>
              <w:tabs>
                <w:tab w:val="left" w:pos="2628"/>
              </w:tabs>
              <w:spacing w:before="0" w:after="0"/>
              <w:jc w:val="both"/>
              <w:rPr>
                <w:iCs/>
              </w:rPr>
            </w:pPr>
            <w:r w:rsidRPr="00620691">
              <w:rPr>
                <w:sz w:val="22"/>
                <w:szCs w:val="22"/>
              </w:rPr>
              <w:t>Nepieciešamie saistītie tiesību akt</w:t>
            </w:r>
            <w:r w:rsidR="00DD1020" w:rsidRPr="00620691">
              <w:rPr>
                <w:sz w:val="22"/>
                <w:szCs w:val="22"/>
              </w:rPr>
              <w:t>u</w:t>
            </w:r>
            <w:r w:rsidRPr="00620691">
              <w:rPr>
                <w:sz w:val="22"/>
                <w:szCs w:val="22"/>
              </w:rPr>
              <w:t xml:space="preserve"> projekti</w:t>
            </w:r>
          </w:p>
        </w:tc>
        <w:tc>
          <w:tcPr>
            <w:tcW w:w="3761" w:type="pct"/>
          </w:tcPr>
          <w:p w:rsidR="00661632" w:rsidRPr="00594D55" w:rsidRDefault="00661632" w:rsidP="00661632">
            <w:pPr>
              <w:jc w:val="both"/>
              <w:rPr>
                <w:sz w:val="22"/>
                <w:szCs w:val="22"/>
              </w:rPr>
            </w:pPr>
            <w:r w:rsidRPr="00594D55">
              <w:rPr>
                <w:sz w:val="22"/>
                <w:szCs w:val="22"/>
              </w:rPr>
              <w:t xml:space="preserve">Papildus jāizdod šādi Ministru kabineta noteikumi: </w:t>
            </w:r>
          </w:p>
          <w:p w:rsidR="00661632" w:rsidRPr="00594D55" w:rsidRDefault="009C78DF" w:rsidP="00661632">
            <w:pPr>
              <w:jc w:val="both"/>
              <w:rPr>
                <w:bCs/>
                <w:sz w:val="22"/>
                <w:szCs w:val="22"/>
              </w:rPr>
            </w:pPr>
            <w:r w:rsidRPr="00594D55">
              <w:rPr>
                <w:bCs/>
                <w:sz w:val="22"/>
                <w:szCs w:val="22"/>
              </w:rPr>
              <w:t xml:space="preserve">1) </w:t>
            </w:r>
            <w:r w:rsidR="00661632" w:rsidRPr="00594D55">
              <w:rPr>
                <w:bCs/>
                <w:sz w:val="22"/>
                <w:szCs w:val="22"/>
              </w:rPr>
              <w:t>par vispārējās pamatizglītības un vispārējās vidējās izglītības iestāžu nodrošinājumu atbilstoši speciālām vajad</w:t>
            </w:r>
            <w:r w:rsidRPr="00594D55">
              <w:rPr>
                <w:bCs/>
                <w:sz w:val="22"/>
                <w:szCs w:val="22"/>
              </w:rPr>
              <w:t>zībām, ievērojot, ka likuma 53.pants tiek izteikts jaunā redakcijā</w:t>
            </w:r>
            <w:r w:rsidR="00661632" w:rsidRPr="00594D55">
              <w:rPr>
                <w:bCs/>
                <w:sz w:val="22"/>
                <w:szCs w:val="22"/>
              </w:rPr>
              <w:t xml:space="preserve">. </w:t>
            </w:r>
            <w:r w:rsidR="00661632" w:rsidRPr="00594D55">
              <w:rPr>
                <w:sz w:val="22"/>
                <w:szCs w:val="22"/>
              </w:rPr>
              <w:t>Par Ministru kabineta noteikumu projekta izstrādi ir atbildīga Izglītības un zinātnes ministrija, projek</w:t>
            </w:r>
            <w:r w:rsidR="00D2561A">
              <w:rPr>
                <w:sz w:val="22"/>
                <w:szCs w:val="22"/>
              </w:rPr>
              <w:t>tu paredzēts izstrādāt līdz 2011</w:t>
            </w:r>
            <w:r w:rsidR="00661632" w:rsidRPr="00594D55">
              <w:rPr>
                <w:sz w:val="22"/>
                <w:szCs w:val="22"/>
              </w:rPr>
              <w:t>.gada 30.decembrim;</w:t>
            </w:r>
          </w:p>
          <w:p w:rsidR="003948E3" w:rsidRDefault="009C78DF" w:rsidP="00594D55">
            <w:pPr>
              <w:jc w:val="both"/>
              <w:rPr>
                <w:bCs/>
                <w:sz w:val="22"/>
                <w:szCs w:val="22"/>
              </w:rPr>
            </w:pPr>
            <w:r w:rsidRPr="00594D55">
              <w:rPr>
                <w:bCs/>
                <w:sz w:val="22"/>
                <w:szCs w:val="22"/>
              </w:rPr>
              <w:t xml:space="preserve">2) </w:t>
            </w:r>
            <w:r w:rsidR="00661632" w:rsidRPr="00594D55">
              <w:rPr>
                <w:bCs/>
                <w:sz w:val="22"/>
                <w:szCs w:val="22"/>
              </w:rPr>
              <w:t xml:space="preserve">par </w:t>
            </w:r>
            <w:r w:rsidR="00661632" w:rsidRPr="00594D55">
              <w:rPr>
                <w:rFonts w:eastAsia="Calibri"/>
                <w:sz w:val="22"/>
                <w:szCs w:val="22"/>
              </w:rPr>
              <w:t>izglītojamo uzņemšanas un atskaitīšanas kārtību vispārējās izglītības iestādēs (izņemot internātskolas un speciālās izglītības iestādes) un obligātajām prasībām pārcelšanai nākamajā klasē</w:t>
            </w:r>
            <w:r w:rsidRPr="00594D55">
              <w:rPr>
                <w:rFonts w:eastAsia="Calibri"/>
                <w:sz w:val="22"/>
                <w:szCs w:val="22"/>
              </w:rPr>
              <w:t xml:space="preserve"> vispārējās izglītības iestādēs, ievērojot, ka likuma 4.panta 18.punkts tiek izteikts jaunā redakcijā.</w:t>
            </w:r>
            <w:r w:rsidR="00661632" w:rsidRPr="00594D55">
              <w:rPr>
                <w:rFonts w:eastAsia="Calibri"/>
                <w:sz w:val="22"/>
                <w:szCs w:val="22"/>
              </w:rPr>
              <w:t xml:space="preserve"> Pēc būtības esošie noteikumi ir papildināmi ar izglītojamā atskaitīšanas kritērijiem un kārtību. </w:t>
            </w:r>
            <w:r w:rsidR="00661632" w:rsidRPr="00594D55">
              <w:rPr>
                <w:sz w:val="22"/>
                <w:szCs w:val="22"/>
              </w:rPr>
              <w:t>Par Ministru kabineta noteikumu projekta izstrādi ir atbildīga Izglītības un zinātnes ministrija, p</w:t>
            </w:r>
            <w:r w:rsidR="003A426D">
              <w:rPr>
                <w:sz w:val="22"/>
                <w:szCs w:val="22"/>
              </w:rPr>
              <w:t>rojekt</w:t>
            </w:r>
            <w:r w:rsidR="00D2561A">
              <w:rPr>
                <w:sz w:val="22"/>
                <w:szCs w:val="22"/>
              </w:rPr>
              <w:t>u paredzēts izstrādāt līdz 2011</w:t>
            </w:r>
            <w:r w:rsidR="003A426D">
              <w:rPr>
                <w:sz w:val="22"/>
                <w:szCs w:val="22"/>
              </w:rPr>
              <w:t>.gada 31.jūlijam</w:t>
            </w:r>
            <w:r w:rsidR="00B704AF">
              <w:rPr>
                <w:bCs/>
                <w:sz w:val="22"/>
                <w:szCs w:val="22"/>
              </w:rPr>
              <w:t>.</w:t>
            </w:r>
          </w:p>
          <w:p w:rsidR="00FF3855" w:rsidRDefault="006C6B8C" w:rsidP="00594D55">
            <w:pPr>
              <w:jc w:val="both"/>
              <w:rPr>
                <w:sz w:val="22"/>
                <w:szCs w:val="22"/>
              </w:rPr>
            </w:pPr>
            <w:r w:rsidRPr="00640E4A">
              <w:rPr>
                <w:bCs/>
                <w:sz w:val="22"/>
                <w:szCs w:val="22"/>
              </w:rPr>
              <w:t xml:space="preserve">3) par mācību priekšmetu olimpiāžu </w:t>
            </w:r>
            <w:r w:rsidR="00640E4A">
              <w:rPr>
                <w:bCs/>
                <w:sz w:val="22"/>
                <w:szCs w:val="22"/>
              </w:rPr>
              <w:t>organizēšanas kārtību</w:t>
            </w:r>
            <w:r w:rsidRPr="00640E4A">
              <w:rPr>
                <w:bCs/>
                <w:sz w:val="22"/>
                <w:szCs w:val="22"/>
              </w:rPr>
              <w:t xml:space="preserve">. Par Ministru kabineta noteikuma projekta izstrādi atbildīga </w:t>
            </w:r>
            <w:r w:rsidRPr="00640E4A">
              <w:rPr>
                <w:sz w:val="22"/>
                <w:szCs w:val="22"/>
              </w:rPr>
              <w:t>Izglītības un zinātnes ministrija, projektu pared</w:t>
            </w:r>
            <w:r w:rsidR="00BF52D4">
              <w:rPr>
                <w:sz w:val="22"/>
                <w:szCs w:val="22"/>
              </w:rPr>
              <w:t>zēts izstrādāt līdz 2011.gada 31.jūlija</w:t>
            </w:r>
            <w:r w:rsidRPr="00640E4A">
              <w:rPr>
                <w:sz w:val="22"/>
                <w:szCs w:val="22"/>
              </w:rPr>
              <w:t>m.</w:t>
            </w:r>
          </w:p>
          <w:p w:rsidR="00E81484" w:rsidRPr="00594D55" w:rsidRDefault="00BF52D4" w:rsidP="00594D55">
            <w:pPr>
              <w:jc w:val="both"/>
              <w:rPr>
                <w:bCs/>
                <w:sz w:val="22"/>
                <w:szCs w:val="22"/>
              </w:rPr>
            </w:pPr>
            <w:r>
              <w:rPr>
                <w:bCs/>
                <w:sz w:val="22"/>
                <w:szCs w:val="22"/>
              </w:rPr>
              <w:t>4) par</w:t>
            </w:r>
            <w:r w:rsidRPr="00BF52D4">
              <w:rPr>
                <w:color w:val="000000"/>
                <w:sz w:val="22"/>
                <w:szCs w:val="22"/>
              </w:rPr>
              <w:t xml:space="preserve"> valsts un pašvaldību pedagoģiski medicīnisko ko</w:t>
            </w:r>
            <w:r>
              <w:rPr>
                <w:color w:val="000000"/>
                <w:sz w:val="22"/>
                <w:szCs w:val="22"/>
              </w:rPr>
              <w:t>misiju kompetenci, profesionālajām prasībām</w:t>
            </w:r>
            <w:r w:rsidRPr="00BF52D4">
              <w:rPr>
                <w:color w:val="000000"/>
                <w:sz w:val="22"/>
                <w:szCs w:val="22"/>
              </w:rPr>
              <w:t xml:space="preserve"> </w:t>
            </w:r>
            <w:r>
              <w:rPr>
                <w:color w:val="000000"/>
                <w:sz w:val="22"/>
                <w:szCs w:val="22"/>
              </w:rPr>
              <w:t>komisijas sastāvam un kritērijiem</w:t>
            </w:r>
            <w:r w:rsidRPr="00BF52D4">
              <w:rPr>
                <w:color w:val="000000"/>
                <w:sz w:val="22"/>
                <w:szCs w:val="22"/>
              </w:rPr>
              <w:t xml:space="preserve"> atzinumu sniegšanai par piemērotas izglītības programmas ieteikšanu izglītojamajam atbilstoši viņa veselības stāvoklim, spējām un attīstības līmenim</w:t>
            </w:r>
            <w:r>
              <w:rPr>
                <w:color w:val="000000"/>
                <w:sz w:val="22"/>
                <w:szCs w:val="22"/>
              </w:rPr>
              <w:t xml:space="preserve">. </w:t>
            </w:r>
            <w:r w:rsidRPr="00640E4A">
              <w:rPr>
                <w:bCs/>
                <w:sz w:val="22"/>
                <w:szCs w:val="22"/>
              </w:rPr>
              <w:t xml:space="preserve">Par Ministru kabineta noteikuma projekta izstrādi atbildīga </w:t>
            </w:r>
            <w:r w:rsidRPr="00640E4A">
              <w:rPr>
                <w:sz w:val="22"/>
                <w:szCs w:val="22"/>
              </w:rPr>
              <w:t>Izglītības un zinātnes ministrija, projektu pared</w:t>
            </w:r>
            <w:r>
              <w:rPr>
                <w:sz w:val="22"/>
                <w:szCs w:val="22"/>
              </w:rPr>
              <w:t>zēts izstrādāt līdz 2011.gada 31.jūlija</w:t>
            </w:r>
            <w:r w:rsidRPr="00640E4A">
              <w:rPr>
                <w:sz w:val="22"/>
                <w:szCs w:val="22"/>
              </w:rPr>
              <w:t>m.</w:t>
            </w:r>
          </w:p>
        </w:tc>
      </w:tr>
      <w:tr w:rsidR="00924023" w:rsidRPr="00620691" w:rsidTr="00A00EEA">
        <w:trPr>
          <w:jc w:val="center"/>
        </w:trPr>
        <w:tc>
          <w:tcPr>
            <w:tcW w:w="213" w:type="pct"/>
          </w:tcPr>
          <w:p w:rsidR="00924023" w:rsidRPr="00620691" w:rsidRDefault="00924023" w:rsidP="00620691">
            <w:pPr>
              <w:pStyle w:val="naiskr"/>
              <w:tabs>
                <w:tab w:val="left" w:pos="2628"/>
              </w:tabs>
              <w:spacing w:before="0" w:after="0"/>
              <w:jc w:val="both"/>
              <w:rPr>
                <w:iCs/>
              </w:rPr>
            </w:pPr>
            <w:r w:rsidRPr="00620691">
              <w:rPr>
                <w:iCs/>
              </w:rPr>
              <w:t>2.</w:t>
            </w:r>
          </w:p>
        </w:tc>
        <w:tc>
          <w:tcPr>
            <w:tcW w:w="1026" w:type="pct"/>
          </w:tcPr>
          <w:p w:rsidR="00924023" w:rsidRPr="00620691" w:rsidRDefault="00924023" w:rsidP="00620691">
            <w:pPr>
              <w:pStyle w:val="naiskr"/>
              <w:tabs>
                <w:tab w:val="left" w:pos="2628"/>
              </w:tabs>
              <w:spacing w:before="0" w:after="0"/>
              <w:jc w:val="both"/>
              <w:rPr>
                <w:iCs/>
              </w:rPr>
            </w:pPr>
            <w:r w:rsidRPr="00620691">
              <w:rPr>
                <w:sz w:val="22"/>
                <w:szCs w:val="22"/>
              </w:rPr>
              <w:t>Cita informācija</w:t>
            </w:r>
          </w:p>
        </w:tc>
        <w:tc>
          <w:tcPr>
            <w:tcW w:w="3761" w:type="pct"/>
          </w:tcPr>
          <w:p w:rsidR="00924023" w:rsidRPr="00620691" w:rsidRDefault="00924023" w:rsidP="00620691">
            <w:pPr>
              <w:pStyle w:val="naiskr"/>
              <w:tabs>
                <w:tab w:val="left" w:pos="2628"/>
              </w:tabs>
              <w:spacing w:before="0" w:after="0"/>
              <w:jc w:val="both"/>
              <w:rPr>
                <w:iCs/>
              </w:rPr>
            </w:pPr>
            <w:r w:rsidRPr="00620691">
              <w:rPr>
                <w:sz w:val="22"/>
                <w:szCs w:val="22"/>
              </w:rPr>
              <w:t>Nav</w:t>
            </w:r>
          </w:p>
        </w:tc>
      </w:tr>
    </w:tbl>
    <w:p w:rsidR="00AE5066" w:rsidRDefault="00AE5066" w:rsidP="006C4607">
      <w:pPr>
        <w:pStyle w:val="naiskr"/>
        <w:tabs>
          <w:tab w:val="left" w:pos="2628"/>
        </w:tabs>
        <w:spacing w:before="0" w:after="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0F4794" w:rsidRPr="005616C3" w:rsidTr="00FF3855">
        <w:trPr>
          <w:jc w:val="center"/>
        </w:trPr>
        <w:tc>
          <w:tcPr>
            <w:tcW w:w="5000" w:type="pct"/>
          </w:tcPr>
          <w:p w:rsidR="000F4794" w:rsidRPr="005616C3" w:rsidRDefault="000F4794" w:rsidP="00620691">
            <w:pPr>
              <w:pStyle w:val="naisnod"/>
              <w:spacing w:before="0" w:after="0"/>
              <w:jc w:val="both"/>
              <w:rPr>
                <w:sz w:val="22"/>
                <w:szCs w:val="22"/>
              </w:rPr>
            </w:pPr>
            <w:r w:rsidRPr="005616C3">
              <w:rPr>
                <w:sz w:val="22"/>
                <w:szCs w:val="22"/>
              </w:rPr>
              <w:t>V</w:t>
            </w:r>
            <w:r w:rsidR="000941C5" w:rsidRPr="005616C3">
              <w:rPr>
                <w:sz w:val="22"/>
                <w:szCs w:val="22"/>
              </w:rPr>
              <w:t>.</w:t>
            </w:r>
            <w:r w:rsidRPr="005616C3">
              <w:rPr>
                <w:sz w:val="22"/>
                <w:szCs w:val="22"/>
              </w:rPr>
              <w:t xml:space="preserve"> Tiesību akta projekta atbilstība Latvijas Republikas starptautiskajām saistībām</w:t>
            </w:r>
          </w:p>
        </w:tc>
      </w:tr>
      <w:tr w:rsidR="00514517" w:rsidRPr="00357459" w:rsidTr="00FF3855">
        <w:trPr>
          <w:jc w:val="center"/>
        </w:trPr>
        <w:tc>
          <w:tcPr>
            <w:tcW w:w="5000" w:type="pct"/>
          </w:tcPr>
          <w:p w:rsidR="00514517" w:rsidRPr="00357459" w:rsidRDefault="00357459" w:rsidP="00514517">
            <w:pPr>
              <w:pStyle w:val="naisnod"/>
              <w:spacing w:before="0" w:after="0"/>
              <w:rPr>
                <w:b w:val="0"/>
                <w:sz w:val="22"/>
                <w:szCs w:val="22"/>
              </w:rPr>
            </w:pPr>
            <w:r w:rsidRPr="00357459">
              <w:rPr>
                <w:b w:val="0"/>
                <w:i/>
                <w:iCs/>
                <w:sz w:val="22"/>
                <w:szCs w:val="22"/>
              </w:rPr>
              <w:t>Projekts šo jomu neskar</w:t>
            </w:r>
          </w:p>
        </w:tc>
      </w:tr>
    </w:tbl>
    <w:p w:rsidR="00FF3855" w:rsidRDefault="00FF3855" w:rsidP="0051451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1936"/>
        <w:gridCol w:w="6714"/>
      </w:tblGrid>
      <w:tr w:rsidR="00277929" w:rsidRPr="007C0F2C" w:rsidTr="00A00EEA">
        <w:trPr>
          <w:jc w:val="center"/>
        </w:trPr>
        <w:tc>
          <w:tcPr>
            <w:tcW w:w="5000" w:type="pct"/>
            <w:gridSpan w:val="3"/>
          </w:tcPr>
          <w:p w:rsidR="00277929" w:rsidRPr="007C0F2C" w:rsidRDefault="00277929" w:rsidP="007D099D">
            <w:pPr>
              <w:pStyle w:val="naisnod"/>
              <w:spacing w:before="0" w:after="0"/>
              <w:ind w:left="57" w:right="57"/>
            </w:pPr>
            <w:r w:rsidRPr="007C0F2C">
              <w:t>VI</w:t>
            </w:r>
            <w:r w:rsidR="000941C5" w:rsidRPr="007C0F2C">
              <w:t>.</w:t>
            </w:r>
            <w:r w:rsidRPr="007C0F2C">
              <w:t xml:space="preserve"> Sabiedrības līdzdalība un šīs līdzdalības rezultāti</w:t>
            </w:r>
          </w:p>
        </w:tc>
      </w:tr>
      <w:tr w:rsidR="00183CC2" w:rsidRPr="007C0F2C" w:rsidTr="00A00EEA">
        <w:trPr>
          <w:trHeight w:val="553"/>
          <w:jc w:val="center"/>
        </w:trPr>
        <w:tc>
          <w:tcPr>
            <w:tcW w:w="237" w:type="pct"/>
          </w:tcPr>
          <w:p w:rsidR="00183CC2" w:rsidRPr="007C0F2C" w:rsidRDefault="00183CC2" w:rsidP="007D099D">
            <w:pPr>
              <w:pStyle w:val="naiskr"/>
              <w:spacing w:before="0" w:after="0"/>
              <w:ind w:left="57" w:right="57"/>
              <w:rPr>
                <w:bCs/>
                <w:sz w:val="22"/>
                <w:szCs w:val="22"/>
              </w:rPr>
            </w:pPr>
            <w:r w:rsidRPr="007C0F2C">
              <w:rPr>
                <w:bCs/>
                <w:sz w:val="22"/>
                <w:szCs w:val="22"/>
              </w:rPr>
              <w:t>1.</w:t>
            </w:r>
          </w:p>
        </w:tc>
        <w:tc>
          <w:tcPr>
            <w:tcW w:w="1066" w:type="pct"/>
          </w:tcPr>
          <w:p w:rsidR="00183CC2" w:rsidRPr="007C0F2C" w:rsidRDefault="00183CC2" w:rsidP="007D099D">
            <w:pPr>
              <w:pStyle w:val="naiskr"/>
              <w:tabs>
                <w:tab w:val="left" w:pos="170"/>
              </w:tabs>
              <w:spacing w:before="0" w:after="0"/>
              <w:ind w:left="57" w:right="57"/>
              <w:rPr>
                <w:sz w:val="22"/>
                <w:szCs w:val="22"/>
              </w:rPr>
            </w:pPr>
            <w:r w:rsidRPr="007C0F2C">
              <w:rPr>
                <w:sz w:val="22"/>
                <w:szCs w:val="22"/>
              </w:rPr>
              <w:t>Sabiedrības informēšana par projekta izstrādes uzsākšanu</w:t>
            </w:r>
          </w:p>
        </w:tc>
        <w:tc>
          <w:tcPr>
            <w:tcW w:w="3697" w:type="pct"/>
          </w:tcPr>
          <w:p w:rsidR="00E81484" w:rsidRPr="00DD65EB" w:rsidRDefault="007F4EFB" w:rsidP="007D099D">
            <w:pPr>
              <w:pStyle w:val="naiskr"/>
              <w:spacing w:before="0" w:after="0"/>
              <w:ind w:left="57" w:right="57"/>
              <w:jc w:val="both"/>
              <w:rPr>
                <w:bCs/>
                <w:color w:val="000000"/>
                <w:sz w:val="22"/>
                <w:szCs w:val="22"/>
              </w:rPr>
            </w:pPr>
            <w:r>
              <w:rPr>
                <w:iCs/>
                <w:sz w:val="22"/>
                <w:szCs w:val="22"/>
              </w:rPr>
              <w:t>2010.gada jūnijā projekts pirms izsludināšanas Valsts sekretāru sanāksmē nodots</w:t>
            </w:r>
            <w:r w:rsidR="00B475F3">
              <w:rPr>
                <w:iCs/>
                <w:sz w:val="22"/>
                <w:szCs w:val="22"/>
              </w:rPr>
              <w:t xml:space="preserve"> izskatīšanai sadarbības sabiedriskajiem partneriem Latvijas </w:t>
            </w:r>
            <w:r w:rsidR="00B475F3" w:rsidRPr="00B475F3">
              <w:rPr>
                <w:iCs/>
                <w:sz w:val="22"/>
                <w:szCs w:val="22"/>
              </w:rPr>
              <w:t>Izglītības vadītāju asociācijai, Latvijas Izglītības un Zinātnes darbinieku arodbiedrībai</w:t>
            </w:r>
            <w:r w:rsidR="00B475F3" w:rsidRPr="00B475F3">
              <w:rPr>
                <w:b/>
                <w:iCs/>
                <w:sz w:val="22"/>
                <w:szCs w:val="22"/>
              </w:rPr>
              <w:t xml:space="preserve">, </w:t>
            </w:r>
            <w:r w:rsidR="00B475F3">
              <w:rPr>
                <w:rStyle w:val="Strong"/>
                <w:b w:val="0"/>
                <w:color w:val="000000"/>
                <w:sz w:val="22"/>
                <w:szCs w:val="22"/>
              </w:rPr>
              <w:t>Latvijas Pilsoniskajai</w:t>
            </w:r>
            <w:r w:rsidR="00B475F3" w:rsidRPr="00B475F3">
              <w:rPr>
                <w:rStyle w:val="Strong"/>
                <w:b w:val="0"/>
                <w:color w:val="000000"/>
                <w:sz w:val="22"/>
                <w:szCs w:val="22"/>
              </w:rPr>
              <w:t xml:space="preserve"> Aliansei, Vecāku apvienība</w:t>
            </w:r>
            <w:r w:rsidR="00B475F3">
              <w:rPr>
                <w:rStyle w:val="Strong"/>
                <w:b w:val="0"/>
                <w:color w:val="000000"/>
                <w:sz w:val="22"/>
                <w:szCs w:val="22"/>
              </w:rPr>
              <w:t>i</w:t>
            </w:r>
            <w:r w:rsidR="00B475F3" w:rsidRPr="00B475F3">
              <w:rPr>
                <w:rStyle w:val="Strong"/>
                <w:b w:val="0"/>
                <w:color w:val="000000"/>
                <w:sz w:val="22"/>
                <w:szCs w:val="22"/>
              </w:rPr>
              <w:t xml:space="preserve"> „VISI”</w:t>
            </w:r>
          </w:p>
        </w:tc>
      </w:tr>
      <w:tr w:rsidR="00277929" w:rsidRPr="007C0F2C" w:rsidTr="00A00EEA">
        <w:trPr>
          <w:trHeight w:val="339"/>
          <w:jc w:val="center"/>
        </w:trPr>
        <w:tc>
          <w:tcPr>
            <w:tcW w:w="237" w:type="pct"/>
          </w:tcPr>
          <w:p w:rsidR="00277929" w:rsidRPr="007C0F2C" w:rsidRDefault="00183CC2" w:rsidP="007D099D">
            <w:pPr>
              <w:pStyle w:val="naiskr"/>
              <w:spacing w:before="0" w:after="0"/>
              <w:ind w:left="57" w:right="57"/>
              <w:rPr>
                <w:bCs/>
                <w:sz w:val="22"/>
                <w:szCs w:val="22"/>
              </w:rPr>
            </w:pPr>
            <w:r w:rsidRPr="007C0F2C">
              <w:rPr>
                <w:bCs/>
                <w:sz w:val="22"/>
                <w:szCs w:val="22"/>
              </w:rPr>
              <w:t>2</w:t>
            </w:r>
            <w:r w:rsidR="00277929" w:rsidRPr="007C0F2C">
              <w:rPr>
                <w:bCs/>
                <w:sz w:val="22"/>
                <w:szCs w:val="22"/>
              </w:rPr>
              <w:t>.</w:t>
            </w:r>
          </w:p>
        </w:tc>
        <w:tc>
          <w:tcPr>
            <w:tcW w:w="1066" w:type="pct"/>
          </w:tcPr>
          <w:p w:rsidR="00277929" w:rsidRPr="007C0F2C" w:rsidRDefault="00E179CD" w:rsidP="007D099D">
            <w:pPr>
              <w:pStyle w:val="naiskr"/>
              <w:spacing w:before="0" w:after="0"/>
              <w:ind w:left="57" w:right="57"/>
              <w:rPr>
                <w:sz w:val="22"/>
                <w:szCs w:val="22"/>
              </w:rPr>
            </w:pPr>
            <w:r w:rsidRPr="007C0F2C">
              <w:rPr>
                <w:sz w:val="22"/>
                <w:szCs w:val="22"/>
              </w:rPr>
              <w:t>S</w:t>
            </w:r>
            <w:r w:rsidR="00DB073B" w:rsidRPr="007C0F2C">
              <w:rPr>
                <w:sz w:val="22"/>
                <w:szCs w:val="22"/>
              </w:rPr>
              <w:t>abiedrības</w:t>
            </w:r>
            <w:r w:rsidR="00B73166" w:rsidRPr="007C0F2C">
              <w:rPr>
                <w:sz w:val="22"/>
                <w:szCs w:val="22"/>
              </w:rPr>
              <w:t xml:space="preserve"> </w:t>
            </w:r>
            <w:r w:rsidR="00DB073B" w:rsidRPr="007C0F2C">
              <w:rPr>
                <w:sz w:val="22"/>
                <w:szCs w:val="22"/>
              </w:rPr>
              <w:t>līdzdalība</w:t>
            </w:r>
            <w:r w:rsidR="00B73166" w:rsidRPr="007C0F2C">
              <w:rPr>
                <w:sz w:val="22"/>
                <w:szCs w:val="22"/>
              </w:rPr>
              <w:t xml:space="preserve"> </w:t>
            </w:r>
            <w:r w:rsidR="00AB2B1A" w:rsidRPr="007C0F2C">
              <w:rPr>
                <w:sz w:val="22"/>
                <w:szCs w:val="22"/>
              </w:rPr>
              <w:t>projekta izstrādē</w:t>
            </w:r>
            <w:r w:rsidR="00DB073B" w:rsidRPr="007C0F2C">
              <w:rPr>
                <w:sz w:val="22"/>
                <w:szCs w:val="22"/>
              </w:rPr>
              <w:t xml:space="preserve"> </w:t>
            </w:r>
          </w:p>
        </w:tc>
        <w:tc>
          <w:tcPr>
            <w:tcW w:w="3697" w:type="pct"/>
          </w:tcPr>
          <w:p w:rsidR="00E81484" w:rsidRPr="00DD65EB" w:rsidRDefault="00FF3855" w:rsidP="007D099D">
            <w:pPr>
              <w:pStyle w:val="naiskr"/>
              <w:spacing w:before="0" w:after="0"/>
              <w:ind w:left="57" w:right="57"/>
              <w:jc w:val="both"/>
              <w:rPr>
                <w:bCs/>
                <w:color w:val="000000"/>
                <w:sz w:val="22"/>
                <w:szCs w:val="22"/>
              </w:rPr>
            </w:pPr>
            <w:r>
              <w:rPr>
                <w:iCs/>
                <w:sz w:val="22"/>
                <w:szCs w:val="22"/>
              </w:rPr>
              <w:t xml:space="preserve">Saņemti atzinumi no </w:t>
            </w:r>
            <w:r w:rsidRPr="00B475F3">
              <w:rPr>
                <w:iCs/>
                <w:sz w:val="22"/>
                <w:szCs w:val="22"/>
              </w:rPr>
              <w:t>Latvijas Izglītības un Zinātnes darbinieku arodbiedrība</w:t>
            </w:r>
            <w:r>
              <w:rPr>
                <w:iCs/>
                <w:sz w:val="22"/>
                <w:szCs w:val="22"/>
              </w:rPr>
              <w:t>s</w:t>
            </w:r>
            <w:r w:rsidRPr="00B475F3">
              <w:rPr>
                <w:b/>
                <w:iCs/>
                <w:sz w:val="22"/>
                <w:szCs w:val="22"/>
              </w:rPr>
              <w:t xml:space="preserve">, </w:t>
            </w:r>
            <w:r>
              <w:rPr>
                <w:rStyle w:val="Strong"/>
                <w:b w:val="0"/>
                <w:color w:val="000000"/>
                <w:sz w:val="22"/>
                <w:szCs w:val="22"/>
              </w:rPr>
              <w:t xml:space="preserve">Latvijas Studentu apvienības, biedrības </w:t>
            </w:r>
            <w:proofErr w:type="spellStart"/>
            <w:r w:rsidR="008435B1">
              <w:rPr>
                <w:rStyle w:val="Strong"/>
                <w:b w:val="0"/>
                <w:color w:val="000000"/>
                <w:sz w:val="22"/>
                <w:szCs w:val="22"/>
              </w:rPr>
              <w:t>Pro</w:t>
            </w:r>
            <w:proofErr w:type="spellEnd"/>
            <w:r w:rsidR="008435B1">
              <w:rPr>
                <w:rStyle w:val="Strong"/>
                <w:b w:val="0"/>
                <w:color w:val="000000"/>
                <w:sz w:val="22"/>
                <w:szCs w:val="22"/>
              </w:rPr>
              <w:t xml:space="preserve"> </w:t>
            </w:r>
            <w:proofErr w:type="spellStart"/>
            <w:r w:rsidR="008435B1">
              <w:rPr>
                <w:rStyle w:val="Strong"/>
                <w:b w:val="0"/>
                <w:color w:val="000000"/>
                <w:sz w:val="22"/>
                <w:szCs w:val="22"/>
              </w:rPr>
              <w:t>Futur</w:t>
            </w:r>
            <w:r>
              <w:rPr>
                <w:rStyle w:val="Strong"/>
                <w:b w:val="0"/>
                <w:color w:val="000000"/>
                <w:sz w:val="22"/>
                <w:szCs w:val="22"/>
              </w:rPr>
              <w:t>o</w:t>
            </w:r>
            <w:proofErr w:type="spellEnd"/>
            <w:r>
              <w:rPr>
                <w:rStyle w:val="Strong"/>
                <w:b w:val="0"/>
                <w:color w:val="000000"/>
                <w:sz w:val="22"/>
                <w:szCs w:val="22"/>
              </w:rPr>
              <w:t xml:space="preserve">. </w:t>
            </w:r>
            <w:r w:rsidRPr="00B475F3">
              <w:rPr>
                <w:rStyle w:val="Strong"/>
                <w:b w:val="0"/>
                <w:color w:val="000000"/>
                <w:sz w:val="22"/>
                <w:szCs w:val="22"/>
              </w:rPr>
              <w:t>Vecāku apvienība „VISI”</w:t>
            </w:r>
            <w:r>
              <w:rPr>
                <w:rStyle w:val="Strong"/>
                <w:b w:val="0"/>
                <w:color w:val="000000"/>
                <w:sz w:val="22"/>
                <w:szCs w:val="22"/>
              </w:rPr>
              <w:t xml:space="preserve"> atzinumu nesniedza.</w:t>
            </w:r>
          </w:p>
        </w:tc>
      </w:tr>
      <w:tr w:rsidR="00277929" w:rsidRPr="007C0F2C" w:rsidTr="00A00EEA">
        <w:trPr>
          <w:trHeight w:val="375"/>
          <w:jc w:val="center"/>
        </w:trPr>
        <w:tc>
          <w:tcPr>
            <w:tcW w:w="237" w:type="pct"/>
          </w:tcPr>
          <w:p w:rsidR="00277929" w:rsidRPr="007C0F2C" w:rsidRDefault="00183CC2" w:rsidP="007D099D">
            <w:pPr>
              <w:pStyle w:val="naiskr"/>
              <w:spacing w:before="0" w:after="0"/>
              <w:ind w:left="57" w:right="57"/>
              <w:rPr>
                <w:bCs/>
                <w:sz w:val="22"/>
                <w:szCs w:val="22"/>
              </w:rPr>
            </w:pPr>
            <w:r w:rsidRPr="007C0F2C">
              <w:rPr>
                <w:bCs/>
                <w:sz w:val="22"/>
                <w:szCs w:val="22"/>
              </w:rPr>
              <w:t>3</w:t>
            </w:r>
            <w:r w:rsidR="00277929" w:rsidRPr="007C0F2C">
              <w:rPr>
                <w:bCs/>
                <w:sz w:val="22"/>
                <w:szCs w:val="22"/>
              </w:rPr>
              <w:t>.</w:t>
            </w:r>
          </w:p>
        </w:tc>
        <w:tc>
          <w:tcPr>
            <w:tcW w:w="1066" w:type="pct"/>
          </w:tcPr>
          <w:p w:rsidR="00784422" w:rsidRPr="007C0F2C" w:rsidRDefault="00DB78F0" w:rsidP="007D099D">
            <w:pPr>
              <w:pStyle w:val="naiskr"/>
              <w:spacing w:before="0" w:after="0"/>
              <w:ind w:left="57" w:right="57"/>
              <w:rPr>
                <w:sz w:val="22"/>
                <w:szCs w:val="22"/>
              </w:rPr>
            </w:pPr>
            <w:r w:rsidRPr="007C0F2C">
              <w:rPr>
                <w:sz w:val="22"/>
                <w:szCs w:val="22"/>
              </w:rPr>
              <w:t xml:space="preserve">Sabiedrības līdzdalības rezultāti </w:t>
            </w:r>
          </w:p>
        </w:tc>
        <w:tc>
          <w:tcPr>
            <w:tcW w:w="3697" w:type="pct"/>
          </w:tcPr>
          <w:p w:rsidR="00385723" w:rsidRPr="00DD65EB" w:rsidRDefault="00FF3855" w:rsidP="007D099D">
            <w:pPr>
              <w:pStyle w:val="naiskr"/>
              <w:spacing w:before="0" w:after="0"/>
              <w:ind w:left="57" w:right="57"/>
              <w:jc w:val="both"/>
              <w:rPr>
                <w:iCs/>
                <w:sz w:val="22"/>
                <w:szCs w:val="22"/>
              </w:rPr>
            </w:pPr>
            <w:r>
              <w:rPr>
                <w:iCs/>
                <w:sz w:val="22"/>
                <w:szCs w:val="22"/>
              </w:rPr>
              <w:t>Saņemtie priekšlikumi pēc iespējas iestrādāti likumprojektā. Nav ņemts vērā LSA priekšlikums ļaut arī turpmāk iegūt izglītības dokumentu</w:t>
            </w:r>
            <w:r w:rsidR="00DD65EB">
              <w:rPr>
                <w:iCs/>
                <w:sz w:val="22"/>
                <w:szCs w:val="22"/>
              </w:rPr>
              <w:t>s</w:t>
            </w:r>
            <w:r>
              <w:rPr>
                <w:iCs/>
                <w:sz w:val="22"/>
                <w:szCs w:val="22"/>
              </w:rPr>
              <w:t xml:space="preserve"> a</w:t>
            </w:r>
            <w:r w:rsidR="00A13464">
              <w:rPr>
                <w:iCs/>
                <w:sz w:val="22"/>
                <w:szCs w:val="22"/>
              </w:rPr>
              <w:t>r nepietiekamiem vērtējumiem vairāk</w:t>
            </w:r>
            <w:r>
              <w:rPr>
                <w:iCs/>
                <w:sz w:val="22"/>
                <w:szCs w:val="22"/>
              </w:rPr>
              <w:t>os mācību priekšmetos.</w:t>
            </w:r>
          </w:p>
        </w:tc>
      </w:tr>
      <w:tr w:rsidR="00DE0B83" w:rsidRPr="007C0F2C" w:rsidTr="00A00EEA">
        <w:trPr>
          <w:trHeight w:val="397"/>
          <w:jc w:val="center"/>
        </w:trPr>
        <w:tc>
          <w:tcPr>
            <w:tcW w:w="237" w:type="pct"/>
          </w:tcPr>
          <w:p w:rsidR="00DE0B83" w:rsidRPr="007C0F2C" w:rsidRDefault="00183CC2" w:rsidP="007D099D">
            <w:pPr>
              <w:pStyle w:val="naiskr"/>
              <w:spacing w:before="0" w:after="0"/>
              <w:ind w:left="57" w:right="57"/>
              <w:rPr>
                <w:bCs/>
                <w:sz w:val="22"/>
                <w:szCs w:val="22"/>
              </w:rPr>
            </w:pPr>
            <w:r w:rsidRPr="007C0F2C">
              <w:rPr>
                <w:bCs/>
                <w:sz w:val="22"/>
                <w:szCs w:val="22"/>
              </w:rPr>
              <w:t>4</w:t>
            </w:r>
            <w:r w:rsidR="00DE0B83" w:rsidRPr="007C0F2C">
              <w:rPr>
                <w:bCs/>
                <w:sz w:val="22"/>
                <w:szCs w:val="22"/>
              </w:rPr>
              <w:t>.</w:t>
            </w:r>
          </w:p>
        </w:tc>
        <w:tc>
          <w:tcPr>
            <w:tcW w:w="1066" w:type="pct"/>
          </w:tcPr>
          <w:p w:rsidR="00DE0B83" w:rsidRPr="007C0F2C" w:rsidRDefault="00DE0B83" w:rsidP="007D099D">
            <w:pPr>
              <w:pStyle w:val="naiskr"/>
              <w:spacing w:before="0" w:after="0"/>
              <w:ind w:left="57" w:right="57"/>
              <w:rPr>
                <w:sz w:val="22"/>
                <w:szCs w:val="22"/>
              </w:rPr>
            </w:pPr>
            <w:r w:rsidRPr="007C0F2C">
              <w:rPr>
                <w:sz w:val="22"/>
                <w:szCs w:val="22"/>
              </w:rPr>
              <w:t>Saeimas un ekspertu līdzdalība</w:t>
            </w:r>
          </w:p>
        </w:tc>
        <w:tc>
          <w:tcPr>
            <w:tcW w:w="3697" w:type="pct"/>
          </w:tcPr>
          <w:p w:rsidR="00DE0B83" w:rsidRPr="007C0F2C" w:rsidRDefault="00FF3855" w:rsidP="007D099D">
            <w:pPr>
              <w:pStyle w:val="naiskr"/>
              <w:spacing w:before="0" w:after="0"/>
              <w:ind w:left="57" w:right="57"/>
              <w:jc w:val="both"/>
              <w:rPr>
                <w:sz w:val="22"/>
                <w:szCs w:val="22"/>
              </w:rPr>
            </w:pPr>
            <w:r>
              <w:rPr>
                <w:iCs/>
                <w:sz w:val="22"/>
                <w:szCs w:val="22"/>
              </w:rPr>
              <w:t>Nav attiecināms</w:t>
            </w:r>
          </w:p>
        </w:tc>
      </w:tr>
      <w:tr w:rsidR="00277929" w:rsidRPr="007C0F2C" w:rsidTr="00A00EEA">
        <w:trPr>
          <w:trHeight w:val="279"/>
          <w:jc w:val="center"/>
        </w:trPr>
        <w:tc>
          <w:tcPr>
            <w:tcW w:w="237" w:type="pct"/>
          </w:tcPr>
          <w:p w:rsidR="00277929" w:rsidRPr="007C0F2C" w:rsidRDefault="00183CC2" w:rsidP="007D099D">
            <w:pPr>
              <w:pStyle w:val="naiskr"/>
              <w:spacing w:before="0" w:after="0"/>
              <w:ind w:left="57" w:right="57"/>
              <w:rPr>
                <w:bCs/>
                <w:sz w:val="22"/>
                <w:szCs w:val="22"/>
              </w:rPr>
            </w:pPr>
            <w:r w:rsidRPr="007C0F2C">
              <w:rPr>
                <w:bCs/>
                <w:sz w:val="22"/>
                <w:szCs w:val="22"/>
              </w:rPr>
              <w:t>5</w:t>
            </w:r>
            <w:r w:rsidR="00277929" w:rsidRPr="007C0F2C">
              <w:rPr>
                <w:bCs/>
                <w:sz w:val="22"/>
                <w:szCs w:val="22"/>
              </w:rPr>
              <w:t>.</w:t>
            </w:r>
          </w:p>
        </w:tc>
        <w:tc>
          <w:tcPr>
            <w:tcW w:w="1066" w:type="pct"/>
          </w:tcPr>
          <w:p w:rsidR="002F78C8" w:rsidRPr="007C0F2C" w:rsidRDefault="006C4607" w:rsidP="007D099D">
            <w:pPr>
              <w:pStyle w:val="naiskr"/>
              <w:spacing w:before="0" w:after="0"/>
              <w:ind w:left="57" w:right="57"/>
              <w:rPr>
                <w:sz w:val="22"/>
                <w:szCs w:val="22"/>
              </w:rPr>
            </w:pPr>
            <w:r w:rsidRPr="007C0F2C">
              <w:rPr>
                <w:sz w:val="22"/>
                <w:szCs w:val="22"/>
              </w:rPr>
              <w:t>Cita informācija</w:t>
            </w:r>
          </w:p>
        </w:tc>
        <w:tc>
          <w:tcPr>
            <w:tcW w:w="3697" w:type="pct"/>
          </w:tcPr>
          <w:p w:rsidR="00845811" w:rsidRPr="007C0F2C" w:rsidRDefault="00BB0A82" w:rsidP="007D099D">
            <w:pPr>
              <w:pStyle w:val="naiskr"/>
              <w:spacing w:before="0" w:after="0"/>
              <w:ind w:left="57" w:right="57"/>
              <w:jc w:val="both"/>
              <w:rPr>
                <w:sz w:val="22"/>
                <w:szCs w:val="22"/>
              </w:rPr>
            </w:pPr>
            <w:r w:rsidRPr="007C0F2C">
              <w:rPr>
                <w:sz w:val="22"/>
                <w:szCs w:val="22"/>
              </w:rPr>
              <w:t>Nav</w:t>
            </w:r>
          </w:p>
        </w:tc>
      </w:tr>
    </w:tbl>
    <w:p w:rsidR="0015060C" w:rsidRPr="007C0F2C" w:rsidRDefault="0015060C" w:rsidP="006C4607">
      <w:pPr>
        <w:pStyle w:val="naisf"/>
        <w:spacing w:before="0" w:after="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23436E" w:rsidRPr="007C0F2C" w:rsidTr="00BC395F">
        <w:tc>
          <w:tcPr>
            <w:tcW w:w="5000" w:type="pct"/>
            <w:gridSpan w:val="3"/>
            <w:tcBorders>
              <w:top w:val="single" w:sz="4" w:space="0" w:color="auto"/>
            </w:tcBorders>
          </w:tcPr>
          <w:p w:rsidR="0023436E" w:rsidRPr="007C0F2C" w:rsidRDefault="0023436E" w:rsidP="007D099D">
            <w:pPr>
              <w:pStyle w:val="naisnod"/>
              <w:spacing w:before="0" w:after="0"/>
              <w:ind w:left="57" w:right="57"/>
            </w:pPr>
            <w:r w:rsidRPr="007C0F2C">
              <w:t>VII</w:t>
            </w:r>
            <w:r w:rsidR="000941C5" w:rsidRPr="007C0F2C">
              <w:t>.</w:t>
            </w:r>
            <w:r w:rsidRPr="007C0F2C">
              <w:t xml:space="preserve"> Tiesību akta projekta izpildes nodrošināšana un tās ietekme uz institūcijām</w:t>
            </w:r>
          </w:p>
        </w:tc>
      </w:tr>
      <w:tr w:rsidR="0023436E" w:rsidRPr="007C0F2C" w:rsidTr="00BC395F">
        <w:trPr>
          <w:trHeight w:val="427"/>
        </w:trPr>
        <w:tc>
          <w:tcPr>
            <w:tcW w:w="263" w:type="pct"/>
          </w:tcPr>
          <w:p w:rsidR="0023436E" w:rsidRPr="007C0F2C" w:rsidRDefault="0023436E" w:rsidP="007D099D">
            <w:pPr>
              <w:pStyle w:val="naisnod"/>
              <w:spacing w:before="0" w:after="0"/>
              <w:ind w:left="57" w:right="57"/>
              <w:jc w:val="left"/>
              <w:rPr>
                <w:b w:val="0"/>
                <w:sz w:val="22"/>
                <w:szCs w:val="22"/>
              </w:rPr>
            </w:pPr>
            <w:r w:rsidRPr="007C0F2C">
              <w:rPr>
                <w:b w:val="0"/>
                <w:sz w:val="22"/>
                <w:szCs w:val="22"/>
              </w:rPr>
              <w:t>1.</w:t>
            </w:r>
          </w:p>
        </w:tc>
        <w:tc>
          <w:tcPr>
            <w:tcW w:w="2150" w:type="pct"/>
          </w:tcPr>
          <w:p w:rsidR="0023436E" w:rsidRPr="007C0F2C" w:rsidRDefault="001A4066" w:rsidP="007D099D">
            <w:pPr>
              <w:pStyle w:val="naisf"/>
              <w:spacing w:before="0" w:after="0"/>
              <w:ind w:left="57" w:right="57" w:firstLine="0"/>
              <w:jc w:val="left"/>
              <w:rPr>
                <w:sz w:val="22"/>
                <w:szCs w:val="22"/>
              </w:rPr>
            </w:pPr>
            <w:r w:rsidRPr="007C0F2C">
              <w:rPr>
                <w:sz w:val="22"/>
                <w:szCs w:val="22"/>
              </w:rPr>
              <w:t>P</w:t>
            </w:r>
            <w:r w:rsidR="0023436E" w:rsidRPr="007C0F2C">
              <w:rPr>
                <w:sz w:val="22"/>
                <w:szCs w:val="22"/>
              </w:rPr>
              <w:t xml:space="preserve">rojekta izpildē iesaistītās institūcijas </w:t>
            </w:r>
          </w:p>
        </w:tc>
        <w:tc>
          <w:tcPr>
            <w:tcW w:w="2586" w:type="pct"/>
          </w:tcPr>
          <w:p w:rsidR="00FF3855" w:rsidRPr="00DD65EB" w:rsidRDefault="00B475F3" w:rsidP="007D099D">
            <w:pPr>
              <w:pStyle w:val="naisnod"/>
              <w:spacing w:before="0" w:after="0"/>
              <w:ind w:left="57" w:right="57"/>
              <w:jc w:val="left"/>
              <w:rPr>
                <w:b w:val="0"/>
                <w:iCs/>
                <w:sz w:val="22"/>
                <w:szCs w:val="22"/>
              </w:rPr>
            </w:pPr>
            <w:r>
              <w:rPr>
                <w:b w:val="0"/>
                <w:iCs/>
                <w:sz w:val="22"/>
                <w:szCs w:val="22"/>
              </w:rPr>
              <w:t>Projekta izpildi nodrošinās Izglītības un zinātnes ministrija.</w:t>
            </w:r>
          </w:p>
        </w:tc>
      </w:tr>
      <w:tr w:rsidR="0023436E" w:rsidRPr="007C0F2C" w:rsidTr="00BC395F">
        <w:trPr>
          <w:trHeight w:val="463"/>
        </w:trPr>
        <w:tc>
          <w:tcPr>
            <w:tcW w:w="263" w:type="pct"/>
          </w:tcPr>
          <w:p w:rsidR="0023436E" w:rsidRPr="007C0F2C" w:rsidRDefault="0023436E" w:rsidP="007D099D">
            <w:pPr>
              <w:pStyle w:val="naisnod"/>
              <w:spacing w:before="0" w:after="0"/>
              <w:ind w:left="57" w:right="57"/>
              <w:jc w:val="left"/>
              <w:rPr>
                <w:b w:val="0"/>
                <w:sz w:val="22"/>
                <w:szCs w:val="22"/>
              </w:rPr>
            </w:pPr>
            <w:r w:rsidRPr="007C0F2C">
              <w:rPr>
                <w:b w:val="0"/>
                <w:sz w:val="22"/>
                <w:szCs w:val="22"/>
              </w:rPr>
              <w:t>2.</w:t>
            </w:r>
          </w:p>
        </w:tc>
        <w:tc>
          <w:tcPr>
            <w:tcW w:w="2150" w:type="pct"/>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 xml:space="preserve">zpildes ietekme uz pārvaldes funkcijām </w:t>
            </w:r>
          </w:p>
        </w:tc>
        <w:tc>
          <w:tcPr>
            <w:tcW w:w="2586" w:type="pct"/>
          </w:tcPr>
          <w:p w:rsidR="00FF3855" w:rsidRPr="00B475F3" w:rsidRDefault="00B475F3" w:rsidP="007D099D">
            <w:pPr>
              <w:pStyle w:val="naisnod"/>
              <w:spacing w:before="0" w:after="0"/>
              <w:ind w:left="57" w:right="57"/>
              <w:jc w:val="left"/>
              <w:rPr>
                <w:b w:val="0"/>
                <w:sz w:val="22"/>
                <w:szCs w:val="22"/>
              </w:rPr>
            </w:pPr>
            <w:r>
              <w:rPr>
                <w:b w:val="0"/>
                <w:sz w:val="22"/>
                <w:szCs w:val="22"/>
              </w:rPr>
              <w:t xml:space="preserve">Ministrijas </w:t>
            </w:r>
            <w:r w:rsidRPr="00B475F3">
              <w:rPr>
                <w:b w:val="0"/>
                <w:sz w:val="22"/>
                <w:szCs w:val="22"/>
              </w:rPr>
              <w:t xml:space="preserve">funkcijas un uzdevumi </w:t>
            </w:r>
            <w:r>
              <w:rPr>
                <w:b w:val="0"/>
                <w:sz w:val="22"/>
                <w:szCs w:val="22"/>
              </w:rPr>
              <w:t>ne</w:t>
            </w:r>
            <w:r w:rsidRPr="00B475F3">
              <w:rPr>
                <w:b w:val="0"/>
                <w:sz w:val="22"/>
                <w:szCs w:val="22"/>
              </w:rPr>
              <w:t>tiek paplašināti</w:t>
            </w:r>
            <w:r>
              <w:rPr>
                <w:b w:val="0"/>
                <w:sz w:val="22"/>
                <w:szCs w:val="22"/>
              </w:rPr>
              <w:t>.</w:t>
            </w:r>
          </w:p>
        </w:tc>
      </w:tr>
      <w:tr w:rsidR="0023436E" w:rsidRPr="007C0F2C" w:rsidTr="00BC395F">
        <w:trPr>
          <w:trHeight w:val="725"/>
        </w:trPr>
        <w:tc>
          <w:tcPr>
            <w:tcW w:w="263" w:type="pct"/>
          </w:tcPr>
          <w:p w:rsidR="0023436E" w:rsidRPr="007C0F2C" w:rsidRDefault="0023436E" w:rsidP="007D099D">
            <w:pPr>
              <w:pStyle w:val="naisnod"/>
              <w:spacing w:before="0" w:after="0"/>
              <w:ind w:left="57" w:right="57"/>
              <w:jc w:val="left"/>
              <w:rPr>
                <w:b w:val="0"/>
                <w:sz w:val="22"/>
                <w:szCs w:val="22"/>
              </w:rPr>
            </w:pPr>
            <w:r w:rsidRPr="007C0F2C">
              <w:rPr>
                <w:b w:val="0"/>
                <w:sz w:val="22"/>
                <w:szCs w:val="22"/>
              </w:rPr>
              <w:t>3.</w:t>
            </w:r>
          </w:p>
        </w:tc>
        <w:tc>
          <w:tcPr>
            <w:tcW w:w="2150" w:type="pct"/>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iz</w:t>
            </w:r>
            <w:r w:rsidR="0023436E" w:rsidRPr="007C0F2C">
              <w:rPr>
                <w:sz w:val="22"/>
                <w:szCs w:val="22"/>
              </w:rPr>
              <w:t>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Jaunu institūciju izveide</w:t>
            </w:r>
          </w:p>
        </w:tc>
        <w:tc>
          <w:tcPr>
            <w:tcW w:w="2586" w:type="pct"/>
          </w:tcPr>
          <w:p w:rsidR="0023436E" w:rsidRPr="00B475F3" w:rsidRDefault="00B475F3" w:rsidP="007D099D">
            <w:pPr>
              <w:pStyle w:val="naisnod"/>
              <w:spacing w:before="0" w:after="0"/>
              <w:ind w:left="57" w:right="57"/>
              <w:jc w:val="left"/>
              <w:rPr>
                <w:b w:val="0"/>
                <w:sz w:val="22"/>
                <w:szCs w:val="22"/>
              </w:rPr>
            </w:pPr>
            <w:r>
              <w:rPr>
                <w:b w:val="0"/>
                <w:sz w:val="22"/>
                <w:szCs w:val="22"/>
              </w:rPr>
              <w:t>V</w:t>
            </w:r>
            <w:r w:rsidRPr="00B475F3">
              <w:rPr>
                <w:b w:val="0"/>
                <w:sz w:val="22"/>
                <w:szCs w:val="22"/>
              </w:rPr>
              <w:t>eidot jaunas institūcijas</w:t>
            </w:r>
            <w:r>
              <w:rPr>
                <w:b w:val="0"/>
                <w:sz w:val="22"/>
                <w:szCs w:val="22"/>
              </w:rPr>
              <w:t xml:space="preserve"> nav </w:t>
            </w:r>
            <w:r w:rsidRPr="00B475F3">
              <w:rPr>
                <w:b w:val="0"/>
                <w:sz w:val="22"/>
                <w:szCs w:val="22"/>
              </w:rPr>
              <w:t>nepieciešams</w:t>
            </w:r>
            <w:r>
              <w:rPr>
                <w:b w:val="0"/>
                <w:sz w:val="22"/>
                <w:szCs w:val="22"/>
              </w:rPr>
              <w:t>.</w:t>
            </w:r>
          </w:p>
        </w:tc>
      </w:tr>
      <w:tr w:rsidR="0023436E" w:rsidRPr="007C0F2C" w:rsidTr="00BC395F">
        <w:trPr>
          <w:trHeight w:val="780"/>
        </w:trPr>
        <w:tc>
          <w:tcPr>
            <w:tcW w:w="263" w:type="pct"/>
          </w:tcPr>
          <w:p w:rsidR="0023436E" w:rsidRPr="007C0F2C" w:rsidRDefault="0023436E" w:rsidP="007D099D">
            <w:pPr>
              <w:pStyle w:val="naisnod"/>
              <w:spacing w:before="0" w:after="0"/>
              <w:ind w:left="57" w:right="57"/>
              <w:jc w:val="left"/>
              <w:rPr>
                <w:b w:val="0"/>
                <w:sz w:val="22"/>
                <w:szCs w:val="22"/>
              </w:rPr>
            </w:pPr>
            <w:r w:rsidRPr="007C0F2C">
              <w:rPr>
                <w:b w:val="0"/>
                <w:sz w:val="22"/>
                <w:szCs w:val="22"/>
              </w:rPr>
              <w:lastRenderedPageBreak/>
              <w:t>4.</w:t>
            </w:r>
          </w:p>
        </w:tc>
        <w:tc>
          <w:tcPr>
            <w:tcW w:w="2150" w:type="pct"/>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Esošu institūciju likvidācija</w:t>
            </w:r>
          </w:p>
        </w:tc>
        <w:tc>
          <w:tcPr>
            <w:tcW w:w="2586" w:type="pct"/>
          </w:tcPr>
          <w:p w:rsidR="0023436E" w:rsidRPr="00B475F3" w:rsidRDefault="00B475F3" w:rsidP="007D099D">
            <w:pPr>
              <w:pStyle w:val="naisnod"/>
              <w:spacing w:before="0" w:after="0"/>
              <w:ind w:left="57" w:right="57"/>
              <w:jc w:val="left"/>
              <w:rPr>
                <w:b w:val="0"/>
                <w:sz w:val="22"/>
                <w:szCs w:val="22"/>
              </w:rPr>
            </w:pPr>
            <w:r>
              <w:rPr>
                <w:b w:val="0"/>
                <w:sz w:val="22"/>
                <w:szCs w:val="22"/>
              </w:rPr>
              <w:t>Likvidēt esošas institūcijas nav</w:t>
            </w:r>
            <w:r w:rsidRPr="00B475F3">
              <w:rPr>
                <w:b w:val="0"/>
                <w:sz w:val="22"/>
                <w:szCs w:val="22"/>
              </w:rPr>
              <w:t xml:space="preserve"> plānots</w:t>
            </w:r>
            <w:r>
              <w:rPr>
                <w:b w:val="0"/>
                <w:sz w:val="22"/>
                <w:szCs w:val="22"/>
              </w:rPr>
              <w:t>.</w:t>
            </w:r>
          </w:p>
        </w:tc>
      </w:tr>
      <w:tr w:rsidR="0023436E" w:rsidRPr="007C0F2C" w:rsidTr="00BC395F">
        <w:trPr>
          <w:trHeight w:val="703"/>
        </w:trPr>
        <w:tc>
          <w:tcPr>
            <w:tcW w:w="263" w:type="pct"/>
          </w:tcPr>
          <w:p w:rsidR="0023436E" w:rsidRPr="007C0F2C" w:rsidRDefault="0023436E" w:rsidP="007D099D">
            <w:pPr>
              <w:pStyle w:val="naisnod"/>
              <w:spacing w:before="0" w:after="0"/>
              <w:ind w:left="57" w:right="57"/>
              <w:jc w:val="left"/>
              <w:rPr>
                <w:b w:val="0"/>
                <w:sz w:val="22"/>
                <w:szCs w:val="22"/>
              </w:rPr>
            </w:pPr>
            <w:r w:rsidRPr="007C0F2C">
              <w:rPr>
                <w:b w:val="0"/>
                <w:sz w:val="22"/>
                <w:szCs w:val="22"/>
              </w:rPr>
              <w:t>5.</w:t>
            </w:r>
          </w:p>
        </w:tc>
        <w:tc>
          <w:tcPr>
            <w:tcW w:w="2150" w:type="pct"/>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23436E" w:rsidP="007D099D">
            <w:pPr>
              <w:pStyle w:val="naisf"/>
              <w:spacing w:before="0" w:after="0"/>
              <w:ind w:left="57" w:right="57" w:firstLine="0"/>
              <w:jc w:val="left"/>
              <w:rPr>
                <w:sz w:val="22"/>
                <w:szCs w:val="22"/>
              </w:rPr>
            </w:pPr>
            <w:r w:rsidRPr="007C0F2C">
              <w:rPr>
                <w:sz w:val="22"/>
                <w:szCs w:val="22"/>
              </w:rPr>
              <w:t>Esošu institūciju reorganizācija</w:t>
            </w:r>
          </w:p>
        </w:tc>
        <w:tc>
          <w:tcPr>
            <w:tcW w:w="2586" w:type="pct"/>
          </w:tcPr>
          <w:p w:rsidR="0023436E" w:rsidRPr="00276681" w:rsidRDefault="00276681" w:rsidP="007D099D">
            <w:pPr>
              <w:pStyle w:val="naisnod"/>
              <w:spacing w:before="0" w:after="0"/>
              <w:ind w:left="57" w:right="57"/>
              <w:jc w:val="left"/>
              <w:rPr>
                <w:b w:val="0"/>
                <w:sz w:val="22"/>
                <w:szCs w:val="22"/>
              </w:rPr>
            </w:pPr>
            <w:r>
              <w:rPr>
                <w:b w:val="0"/>
                <w:sz w:val="22"/>
                <w:szCs w:val="22"/>
              </w:rPr>
              <w:t>E</w:t>
            </w:r>
            <w:r w:rsidRPr="00276681">
              <w:rPr>
                <w:b w:val="0"/>
                <w:sz w:val="22"/>
                <w:szCs w:val="22"/>
              </w:rPr>
              <w:t xml:space="preserve">sošas institūcijas reorganizācija vai esošu institūciju apvienošana </w:t>
            </w:r>
            <w:r>
              <w:rPr>
                <w:b w:val="0"/>
                <w:sz w:val="22"/>
                <w:szCs w:val="22"/>
              </w:rPr>
              <w:t xml:space="preserve">nav </w:t>
            </w:r>
            <w:r w:rsidRPr="00276681">
              <w:rPr>
                <w:b w:val="0"/>
                <w:sz w:val="22"/>
                <w:szCs w:val="22"/>
              </w:rPr>
              <w:t>plānota</w:t>
            </w:r>
            <w:r>
              <w:rPr>
                <w:b w:val="0"/>
                <w:sz w:val="22"/>
                <w:szCs w:val="22"/>
              </w:rPr>
              <w:t>.</w:t>
            </w:r>
          </w:p>
        </w:tc>
      </w:tr>
      <w:tr w:rsidR="0023436E" w:rsidRPr="007C0F2C" w:rsidTr="00577575">
        <w:trPr>
          <w:trHeight w:val="262"/>
        </w:trPr>
        <w:tc>
          <w:tcPr>
            <w:tcW w:w="263" w:type="pct"/>
          </w:tcPr>
          <w:p w:rsidR="0023436E" w:rsidRPr="007C0F2C" w:rsidRDefault="00F63DAC" w:rsidP="007D099D">
            <w:pPr>
              <w:pStyle w:val="naiskr"/>
              <w:spacing w:before="0" w:after="0"/>
              <w:ind w:left="57" w:right="57"/>
              <w:rPr>
                <w:sz w:val="22"/>
                <w:szCs w:val="22"/>
              </w:rPr>
            </w:pPr>
            <w:r>
              <w:rPr>
                <w:sz w:val="22"/>
                <w:szCs w:val="22"/>
              </w:rPr>
              <w:t>6</w:t>
            </w:r>
            <w:r w:rsidR="0023436E" w:rsidRPr="007C0F2C">
              <w:rPr>
                <w:sz w:val="22"/>
                <w:szCs w:val="22"/>
              </w:rPr>
              <w:t>.</w:t>
            </w:r>
          </w:p>
        </w:tc>
        <w:tc>
          <w:tcPr>
            <w:tcW w:w="2150" w:type="pct"/>
          </w:tcPr>
          <w:p w:rsidR="0023436E" w:rsidRPr="007C0F2C" w:rsidRDefault="006C4607" w:rsidP="007D099D">
            <w:pPr>
              <w:pStyle w:val="naiskr"/>
              <w:spacing w:before="0" w:after="0"/>
              <w:ind w:left="57" w:right="57"/>
              <w:rPr>
                <w:sz w:val="22"/>
                <w:szCs w:val="22"/>
              </w:rPr>
            </w:pPr>
            <w:r w:rsidRPr="007C0F2C">
              <w:rPr>
                <w:sz w:val="22"/>
                <w:szCs w:val="22"/>
              </w:rPr>
              <w:t>Cita informācija</w:t>
            </w:r>
          </w:p>
        </w:tc>
        <w:tc>
          <w:tcPr>
            <w:tcW w:w="2586" w:type="pct"/>
          </w:tcPr>
          <w:p w:rsidR="0023436E" w:rsidRPr="007C0F2C" w:rsidRDefault="0023436E" w:rsidP="007D099D">
            <w:pPr>
              <w:pStyle w:val="naiskr"/>
              <w:spacing w:before="0" w:after="0"/>
              <w:ind w:left="57" w:right="57"/>
              <w:rPr>
                <w:sz w:val="22"/>
                <w:szCs w:val="22"/>
              </w:rPr>
            </w:pPr>
            <w:r w:rsidRPr="007C0F2C">
              <w:rPr>
                <w:sz w:val="22"/>
                <w:szCs w:val="22"/>
              </w:rPr>
              <w:t>Nav</w:t>
            </w:r>
          </w:p>
        </w:tc>
      </w:tr>
    </w:tbl>
    <w:p w:rsidR="00214094" w:rsidRPr="006367EC" w:rsidRDefault="00214094" w:rsidP="006C4607">
      <w:pPr>
        <w:pStyle w:val="naisf"/>
        <w:tabs>
          <w:tab w:val="left" w:pos="5760"/>
        </w:tabs>
        <w:spacing w:before="0" w:after="0"/>
        <w:ind w:firstLine="720"/>
      </w:pPr>
    </w:p>
    <w:p w:rsidR="00FF3855" w:rsidRPr="006367EC" w:rsidRDefault="00FF3855" w:rsidP="006C4607">
      <w:pPr>
        <w:pStyle w:val="naisf"/>
        <w:tabs>
          <w:tab w:val="left" w:pos="5760"/>
        </w:tabs>
        <w:spacing w:before="0" w:after="0"/>
        <w:ind w:firstLine="720"/>
      </w:pPr>
    </w:p>
    <w:p w:rsidR="00BC395F" w:rsidRPr="00A54E94" w:rsidRDefault="00BC395F" w:rsidP="00BC395F">
      <w:pPr>
        <w:ind w:firstLine="720"/>
      </w:pPr>
      <w:r w:rsidRPr="00A54E94">
        <w:t>Iesniedzējs:</w:t>
      </w:r>
      <w:r w:rsidRPr="00A54E94">
        <w:rPr>
          <w:b/>
          <w:color w:val="FF0000"/>
        </w:rPr>
        <w:t xml:space="preserve"> </w:t>
      </w:r>
      <w:r w:rsidR="004660A2">
        <w:t>Izglītības un zinātnes ministrs</w:t>
      </w:r>
      <w:r w:rsidR="004660A2">
        <w:tab/>
      </w:r>
      <w:r w:rsidR="004660A2">
        <w:tab/>
      </w:r>
      <w:r w:rsidR="004660A2">
        <w:tab/>
        <w:t xml:space="preserve">      </w:t>
      </w:r>
      <w:r w:rsidR="004660A2">
        <w:tab/>
      </w:r>
      <w:r w:rsidR="004660A2">
        <w:tab/>
      </w:r>
      <w:proofErr w:type="spellStart"/>
      <w:r w:rsidR="004660A2">
        <w:t>R.Broks</w:t>
      </w:r>
      <w:proofErr w:type="spellEnd"/>
    </w:p>
    <w:p w:rsidR="00FF3855" w:rsidRDefault="00FF3855" w:rsidP="00BC395F"/>
    <w:p w:rsidR="00BF52D4" w:rsidRDefault="00BF52D4" w:rsidP="00BC395F"/>
    <w:p w:rsidR="00357459" w:rsidRDefault="00357459" w:rsidP="00BC395F"/>
    <w:p w:rsidR="00357459" w:rsidRDefault="00357459" w:rsidP="00BC395F"/>
    <w:p w:rsidR="00BC395F" w:rsidRPr="00A54E94" w:rsidRDefault="00885421" w:rsidP="006367EC">
      <w:pPr>
        <w:spacing w:after="120"/>
      </w:pPr>
      <w:r>
        <w:tab/>
      </w:r>
      <w:r w:rsidR="00BC395F" w:rsidRPr="00A54E94">
        <w:t xml:space="preserve">Vizē: Valsts sekretārs </w:t>
      </w:r>
      <w:r w:rsidR="00BC395F" w:rsidRPr="00A54E94">
        <w:tab/>
      </w:r>
      <w:r w:rsidR="00BC395F" w:rsidRPr="00A54E94">
        <w:tab/>
      </w:r>
      <w:r w:rsidR="00BC395F" w:rsidRPr="00A54E94">
        <w:tab/>
      </w:r>
      <w:r w:rsidR="00BC395F" w:rsidRPr="00A54E94">
        <w:tab/>
      </w:r>
      <w:r w:rsidR="00BC395F" w:rsidRPr="00A54E94">
        <w:tab/>
        <w:t xml:space="preserve">      </w:t>
      </w:r>
      <w:r w:rsidR="004660A2">
        <w:tab/>
      </w:r>
      <w:r w:rsidR="004660A2">
        <w:tab/>
      </w:r>
      <w:proofErr w:type="spellStart"/>
      <w:r w:rsidR="00BC395F" w:rsidRPr="00A54E94">
        <w:t>M.Gruškevics</w:t>
      </w:r>
      <w:proofErr w:type="spellEnd"/>
    </w:p>
    <w:p w:rsidR="009F32A6" w:rsidRDefault="009F32A6" w:rsidP="00BC395F">
      <w:pPr>
        <w:jc w:val="both"/>
        <w:rPr>
          <w:sz w:val="20"/>
          <w:szCs w:val="20"/>
        </w:rPr>
      </w:pPr>
    </w:p>
    <w:p w:rsidR="009F32A6" w:rsidRDefault="009F32A6"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357459" w:rsidRDefault="00357459" w:rsidP="00BC395F">
      <w:pPr>
        <w:jc w:val="both"/>
        <w:rPr>
          <w:sz w:val="20"/>
          <w:szCs w:val="20"/>
        </w:rPr>
      </w:pPr>
    </w:p>
    <w:p w:rsidR="002C795A" w:rsidRDefault="00357459" w:rsidP="00BC395F">
      <w:pPr>
        <w:jc w:val="both"/>
        <w:rPr>
          <w:sz w:val="20"/>
          <w:szCs w:val="20"/>
        </w:rPr>
      </w:pPr>
      <w:r>
        <w:rPr>
          <w:sz w:val="20"/>
          <w:szCs w:val="20"/>
        </w:rPr>
        <w:tab/>
        <w:t>01.03.2011 14:26</w:t>
      </w:r>
    </w:p>
    <w:p w:rsidR="00BC395F" w:rsidRPr="00514517" w:rsidRDefault="00357459" w:rsidP="00BC395F">
      <w:pPr>
        <w:jc w:val="both"/>
        <w:rPr>
          <w:sz w:val="20"/>
          <w:szCs w:val="20"/>
        </w:rPr>
      </w:pPr>
      <w:r>
        <w:rPr>
          <w:sz w:val="20"/>
          <w:szCs w:val="20"/>
        </w:rPr>
        <w:tab/>
        <w:t>2091</w:t>
      </w:r>
    </w:p>
    <w:p w:rsidR="00BC395F" w:rsidRPr="00514517" w:rsidRDefault="00357459" w:rsidP="00BC395F">
      <w:pPr>
        <w:jc w:val="both"/>
        <w:rPr>
          <w:sz w:val="20"/>
          <w:szCs w:val="20"/>
        </w:rPr>
      </w:pPr>
      <w:bookmarkStart w:id="3" w:name="OLE_LINK1"/>
      <w:bookmarkStart w:id="4" w:name="OLE_LINK7"/>
      <w:r>
        <w:rPr>
          <w:sz w:val="20"/>
          <w:szCs w:val="20"/>
        </w:rPr>
        <w:tab/>
      </w:r>
      <w:proofErr w:type="spellStart"/>
      <w:r w:rsidR="00BC395F" w:rsidRPr="00514517">
        <w:rPr>
          <w:sz w:val="20"/>
          <w:szCs w:val="20"/>
        </w:rPr>
        <w:t>E.Grīnis</w:t>
      </w:r>
      <w:proofErr w:type="spellEnd"/>
    </w:p>
    <w:p w:rsidR="00BF40ED" w:rsidRPr="00514517" w:rsidRDefault="00357459" w:rsidP="00514517">
      <w:pPr>
        <w:jc w:val="both"/>
        <w:rPr>
          <w:sz w:val="20"/>
          <w:szCs w:val="20"/>
        </w:rPr>
      </w:pPr>
      <w:r>
        <w:rPr>
          <w:sz w:val="20"/>
          <w:szCs w:val="20"/>
        </w:rPr>
        <w:tab/>
      </w:r>
      <w:r w:rsidR="00BC395F" w:rsidRPr="00514517">
        <w:rPr>
          <w:sz w:val="20"/>
          <w:szCs w:val="20"/>
        </w:rPr>
        <w:t>67047910, edgars.grinis@izm.gov.lv</w:t>
      </w:r>
      <w:bookmarkEnd w:id="3"/>
      <w:bookmarkEnd w:id="4"/>
    </w:p>
    <w:sectPr w:rsidR="00BF40ED" w:rsidRPr="00514517" w:rsidSect="00B704AF">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29A" w:rsidRDefault="0003329A">
      <w:r>
        <w:separator/>
      </w:r>
    </w:p>
  </w:endnote>
  <w:endnote w:type="continuationSeparator" w:id="0">
    <w:p w:rsidR="0003329A" w:rsidRDefault="00033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2A" w:rsidRPr="009819C1" w:rsidRDefault="006367EC" w:rsidP="009819C1">
    <w:pPr>
      <w:pStyle w:val="Footer"/>
      <w:rPr>
        <w:sz w:val="22"/>
        <w:szCs w:val="22"/>
      </w:rPr>
    </w:pPr>
    <w:r>
      <w:rPr>
        <w:sz w:val="22"/>
        <w:szCs w:val="22"/>
      </w:rPr>
      <w:t>IZManot_</w:t>
    </w:r>
    <w:r w:rsidR="00357459">
      <w:rPr>
        <w:sz w:val="22"/>
        <w:szCs w:val="22"/>
      </w:rPr>
      <w:t>0103</w:t>
    </w:r>
    <w:r w:rsidR="001F1CB5">
      <w:rPr>
        <w:sz w:val="22"/>
        <w:szCs w:val="22"/>
      </w:rPr>
      <w:t>11</w:t>
    </w:r>
    <w:r w:rsidR="00A4702A" w:rsidRPr="009819C1">
      <w:rPr>
        <w:sz w:val="22"/>
        <w:szCs w:val="22"/>
      </w:rPr>
      <w:t>_VIL; Likumprojekts Grozījumi Vispārējās izglītības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2A" w:rsidRPr="009819C1" w:rsidRDefault="00357459" w:rsidP="009819C1">
    <w:pPr>
      <w:pStyle w:val="Footer"/>
      <w:rPr>
        <w:sz w:val="22"/>
        <w:szCs w:val="22"/>
      </w:rPr>
    </w:pPr>
    <w:r>
      <w:rPr>
        <w:sz w:val="22"/>
        <w:szCs w:val="22"/>
      </w:rPr>
      <w:t>IZManot_0103</w:t>
    </w:r>
    <w:r w:rsidR="001F1CB5">
      <w:rPr>
        <w:sz w:val="22"/>
        <w:szCs w:val="22"/>
      </w:rPr>
      <w:t>11</w:t>
    </w:r>
    <w:r w:rsidR="00A4702A" w:rsidRPr="009819C1">
      <w:rPr>
        <w:sz w:val="22"/>
        <w:szCs w:val="22"/>
      </w:rPr>
      <w:t>_VIL; Likumprojekts Grozījumi Vispārējās izglītības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29A" w:rsidRDefault="0003329A">
      <w:r>
        <w:separator/>
      </w:r>
    </w:p>
  </w:footnote>
  <w:footnote w:type="continuationSeparator" w:id="0">
    <w:p w:rsidR="0003329A" w:rsidRDefault="00033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2A" w:rsidRDefault="00686487" w:rsidP="003C449B">
    <w:pPr>
      <w:pStyle w:val="Header"/>
      <w:framePr w:wrap="around" w:vAnchor="text" w:hAnchor="margin" w:xAlign="center" w:y="1"/>
      <w:rPr>
        <w:rStyle w:val="PageNumber"/>
      </w:rPr>
    </w:pPr>
    <w:r>
      <w:rPr>
        <w:rStyle w:val="PageNumber"/>
      </w:rPr>
      <w:fldChar w:fldCharType="begin"/>
    </w:r>
    <w:r w:rsidR="00A4702A">
      <w:rPr>
        <w:rStyle w:val="PageNumber"/>
      </w:rPr>
      <w:instrText xml:space="preserve">PAGE  </w:instrText>
    </w:r>
    <w:r>
      <w:rPr>
        <w:rStyle w:val="PageNumber"/>
      </w:rPr>
      <w:fldChar w:fldCharType="end"/>
    </w:r>
  </w:p>
  <w:p w:rsidR="00A4702A" w:rsidRDefault="00A470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2A" w:rsidRDefault="00686487" w:rsidP="003C449B">
    <w:pPr>
      <w:pStyle w:val="Header"/>
      <w:framePr w:wrap="around" w:vAnchor="text" w:hAnchor="margin" w:xAlign="center" w:y="1"/>
      <w:rPr>
        <w:rStyle w:val="PageNumber"/>
      </w:rPr>
    </w:pPr>
    <w:r>
      <w:rPr>
        <w:rStyle w:val="PageNumber"/>
      </w:rPr>
      <w:fldChar w:fldCharType="begin"/>
    </w:r>
    <w:r w:rsidR="00A4702A">
      <w:rPr>
        <w:rStyle w:val="PageNumber"/>
      </w:rPr>
      <w:instrText xml:space="preserve">PAGE  </w:instrText>
    </w:r>
    <w:r>
      <w:rPr>
        <w:rStyle w:val="PageNumber"/>
      </w:rPr>
      <w:fldChar w:fldCharType="separate"/>
    </w:r>
    <w:r w:rsidR="00357459">
      <w:rPr>
        <w:rStyle w:val="PageNumber"/>
        <w:noProof/>
      </w:rPr>
      <w:t>6</w:t>
    </w:r>
    <w:r>
      <w:rPr>
        <w:rStyle w:val="PageNumber"/>
      </w:rPr>
      <w:fldChar w:fldCharType="end"/>
    </w:r>
  </w:p>
  <w:p w:rsidR="00A4702A" w:rsidRDefault="00A4702A">
    <w:pPr>
      <w:pStyle w:val="Header"/>
    </w:pPr>
  </w:p>
  <w:p w:rsidR="006367EC" w:rsidRDefault="006367EC"/>
  <w:p w:rsidR="006367EC" w:rsidRDefault="006367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ED873FC"/>
    <w:multiLevelType w:val="hybridMultilevel"/>
    <w:tmpl w:val="D618D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F510CBB"/>
    <w:multiLevelType w:val="hybridMultilevel"/>
    <w:tmpl w:val="489CEA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55C6365"/>
    <w:multiLevelType w:val="hybridMultilevel"/>
    <w:tmpl w:val="EA1CBE4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57E061D2"/>
    <w:multiLevelType w:val="hybridMultilevel"/>
    <w:tmpl w:val="E416CCB2"/>
    <w:lvl w:ilvl="0" w:tplc="04260001">
      <w:start w:val="1"/>
      <w:numFmt w:val="bullet"/>
      <w:lvlText w:val=""/>
      <w:lvlJc w:val="left"/>
      <w:pPr>
        <w:ind w:left="903" w:hanging="360"/>
      </w:pPr>
      <w:rPr>
        <w:rFonts w:ascii="Symbol" w:hAnsi="Symbol" w:hint="default"/>
      </w:rPr>
    </w:lvl>
    <w:lvl w:ilvl="1" w:tplc="04260003" w:tentative="1">
      <w:start w:val="1"/>
      <w:numFmt w:val="bullet"/>
      <w:lvlText w:val="o"/>
      <w:lvlJc w:val="left"/>
      <w:pPr>
        <w:ind w:left="1623" w:hanging="360"/>
      </w:pPr>
      <w:rPr>
        <w:rFonts w:ascii="Courier New" w:hAnsi="Courier New" w:cs="Courier New" w:hint="default"/>
      </w:rPr>
    </w:lvl>
    <w:lvl w:ilvl="2" w:tplc="04260005" w:tentative="1">
      <w:start w:val="1"/>
      <w:numFmt w:val="bullet"/>
      <w:lvlText w:val=""/>
      <w:lvlJc w:val="left"/>
      <w:pPr>
        <w:ind w:left="2343" w:hanging="360"/>
      </w:pPr>
      <w:rPr>
        <w:rFonts w:ascii="Wingdings" w:hAnsi="Wingdings" w:hint="default"/>
      </w:rPr>
    </w:lvl>
    <w:lvl w:ilvl="3" w:tplc="04260001" w:tentative="1">
      <w:start w:val="1"/>
      <w:numFmt w:val="bullet"/>
      <w:lvlText w:val=""/>
      <w:lvlJc w:val="left"/>
      <w:pPr>
        <w:ind w:left="3063" w:hanging="360"/>
      </w:pPr>
      <w:rPr>
        <w:rFonts w:ascii="Symbol" w:hAnsi="Symbol" w:hint="default"/>
      </w:rPr>
    </w:lvl>
    <w:lvl w:ilvl="4" w:tplc="04260003" w:tentative="1">
      <w:start w:val="1"/>
      <w:numFmt w:val="bullet"/>
      <w:lvlText w:val="o"/>
      <w:lvlJc w:val="left"/>
      <w:pPr>
        <w:ind w:left="3783" w:hanging="360"/>
      </w:pPr>
      <w:rPr>
        <w:rFonts w:ascii="Courier New" w:hAnsi="Courier New" w:cs="Courier New" w:hint="default"/>
      </w:rPr>
    </w:lvl>
    <w:lvl w:ilvl="5" w:tplc="04260005" w:tentative="1">
      <w:start w:val="1"/>
      <w:numFmt w:val="bullet"/>
      <w:lvlText w:val=""/>
      <w:lvlJc w:val="left"/>
      <w:pPr>
        <w:ind w:left="4503" w:hanging="360"/>
      </w:pPr>
      <w:rPr>
        <w:rFonts w:ascii="Wingdings" w:hAnsi="Wingdings" w:hint="default"/>
      </w:rPr>
    </w:lvl>
    <w:lvl w:ilvl="6" w:tplc="04260001" w:tentative="1">
      <w:start w:val="1"/>
      <w:numFmt w:val="bullet"/>
      <w:lvlText w:val=""/>
      <w:lvlJc w:val="left"/>
      <w:pPr>
        <w:ind w:left="5223" w:hanging="360"/>
      </w:pPr>
      <w:rPr>
        <w:rFonts w:ascii="Symbol" w:hAnsi="Symbol" w:hint="default"/>
      </w:rPr>
    </w:lvl>
    <w:lvl w:ilvl="7" w:tplc="04260003" w:tentative="1">
      <w:start w:val="1"/>
      <w:numFmt w:val="bullet"/>
      <w:lvlText w:val="o"/>
      <w:lvlJc w:val="left"/>
      <w:pPr>
        <w:ind w:left="5943" w:hanging="360"/>
      </w:pPr>
      <w:rPr>
        <w:rFonts w:ascii="Courier New" w:hAnsi="Courier New" w:cs="Courier New" w:hint="default"/>
      </w:rPr>
    </w:lvl>
    <w:lvl w:ilvl="8" w:tplc="04260005" w:tentative="1">
      <w:start w:val="1"/>
      <w:numFmt w:val="bullet"/>
      <w:lvlText w:val=""/>
      <w:lvlJc w:val="left"/>
      <w:pPr>
        <w:ind w:left="6663" w:hanging="360"/>
      </w:pPr>
      <w:rPr>
        <w:rFonts w:ascii="Wingdings" w:hAnsi="Wingdings"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5"/>
  </w:num>
  <w:num w:numId="3">
    <w:abstractNumId w:val="4"/>
  </w:num>
  <w:num w:numId="4">
    <w:abstractNumId w:val="1"/>
  </w:num>
  <w:num w:numId="5">
    <w:abstractNumId w:val="0"/>
  </w:num>
  <w:num w:numId="6">
    <w:abstractNumId w:val="10"/>
  </w:num>
  <w:num w:numId="7">
    <w:abstractNumId w:val="16"/>
  </w:num>
  <w:num w:numId="8">
    <w:abstractNumId w:val="6"/>
  </w:num>
  <w:num w:numId="9">
    <w:abstractNumId w:val="2"/>
  </w:num>
  <w:num w:numId="10">
    <w:abstractNumId w:val="7"/>
  </w:num>
  <w:num w:numId="11">
    <w:abstractNumId w:val="8"/>
  </w:num>
  <w:num w:numId="12">
    <w:abstractNumId w:val="13"/>
  </w:num>
  <w:num w:numId="13">
    <w:abstractNumId w:val="14"/>
  </w:num>
  <w:num w:numId="14">
    <w:abstractNumId w:val="11"/>
  </w:num>
  <w:num w:numId="15">
    <w:abstractNumId w:val="3"/>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0307B"/>
    <w:rsid w:val="00011D24"/>
    <w:rsid w:val="00013FF4"/>
    <w:rsid w:val="00020FE1"/>
    <w:rsid w:val="00022E13"/>
    <w:rsid w:val="00032388"/>
    <w:rsid w:val="0003329A"/>
    <w:rsid w:val="00035CE2"/>
    <w:rsid w:val="0004695E"/>
    <w:rsid w:val="0005553B"/>
    <w:rsid w:val="000604D2"/>
    <w:rsid w:val="0006317C"/>
    <w:rsid w:val="00065986"/>
    <w:rsid w:val="00075DFA"/>
    <w:rsid w:val="0009005E"/>
    <w:rsid w:val="000941C5"/>
    <w:rsid w:val="000A6451"/>
    <w:rsid w:val="000B064E"/>
    <w:rsid w:val="000B69CF"/>
    <w:rsid w:val="000B7F84"/>
    <w:rsid w:val="000C5B4D"/>
    <w:rsid w:val="000C790C"/>
    <w:rsid w:val="000D16F8"/>
    <w:rsid w:val="000F061D"/>
    <w:rsid w:val="000F2B75"/>
    <w:rsid w:val="000F3374"/>
    <w:rsid w:val="000F4794"/>
    <w:rsid w:val="00102862"/>
    <w:rsid w:val="00110B47"/>
    <w:rsid w:val="00111251"/>
    <w:rsid w:val="001147DF"/>
    <w:rsid w:val="00116018"/>
    <w:rsid w:val="00124F12"/>
    <w:rsid w:val="001269FE"/>
    <w:rsid w:val="00144E3A"/>
    <w:rsid w:val="0014563C"/>
    <w:rsid w:val="0015060C"/>
    <w:rsid w:val="001549AC"/>
    <w:rsid w:val="00155C3F"/>
    <w:rsid w:val="0016018A"/>
    <w:rsid w:val="00161F0E"/>
    <w:rsid w:val="001627D6"/>
    <w:rsid w:val="00162AEB"/>
    <w:rsid w:val="00170E2A"/>
    <w:rsid w:val="001763E0"/>
    <w:rsid w:val="00177394"/>
    <w:rsid w:val="0018262F"/>
    <w:rsid w:val="00182C18"/>
    <w:rsid w:val="00183CC2"/>
    <w:rsid w:val="00186A45"/>
    <w:rsid w:val="001900E4"/>
    <w:rsid w:val="001909F9"/>
    <w:rsid w:val="00190F88"/>
    <w:rsid w:val="00191228"/>
    <w:rsid w:val="00191C45"/>
    <w:rsid w:val="001932C3"/>
    <w:rsid w:val="001A4066"/>
    <w:rsid w:val="001A6AE4"/>
    <w:rsid w:val="001B01FD"/>
    <w:rsid w:val="001B1641"/>
    <w:rsid w:val="001B4095"/>
    <w:rsid w:val="001B4A71"/>
    <w:rsid w:val="001C444B"/>
    <w:rsid w:val="001D47B5"/>
    <w:rsid w:val="001D5B54"/>
    <w:rsid w:val="001E1DBF"/>
    <w:rsid w:val="001E4639"/>
    <w:rsid w:val="001E4A7D"/>
    <w:rsid w:val="001F1CB5"/>
    <w:rsid w:val="001F43A8"/>
    <w:rsid w:val="001F5CD6"/>
    <w:rsid w:val="0021263D"/>
    <w:rsid w:val="00213F0C"/>
    <w:rsid w:val="00214094"/>
    <w:rsid w:val="0021592D"/>
    <w:rsid w:val="00220243"/>
    <w:rsid w:val="00222D76"/>
    <w:rsid w:val="00222DE7"/>
    <w:rsid w:val="00223EB1"/>
    <w:rsid w:val="00230EC9"/>
    <w:rsid w:val="00231344"/>
    <w:rsid w:val="0023436E"/>
    <w:rsid w:val="002347C0"/>
    <w:rsid w:val="00241A6C"/>
    <w:rsid w:val="00242D2B"/>
    <w:rsid w:val="0025728C"/>
    <w:rsid w:val="002623AA"/>
    <w:rsid w:val="00262E2B"/>
    <w:rsid w:val="00264A41"/>
    <w:rsid w:val="00267C97"/>
    <w:rsid w:val="00270429"/>
    <w:rsid w:val="002723E9"/>
    <w:rsid w:val="00276681"/>
    <w:rsid w:val="00277929"/>
    <w:rsid w:val="00283B82"/>
    <w:rsid w:val="002846E9"/>
    <w:rsid w:val="00284C34"/>
    <w:rsid w:val="00284CE2"/>
    <w:rsid w:val="0029066C"/>
    <w:rsid w:val="002A5FDB"/>
    <w:rsid w:val="002B50DB"/>
    <w:rsid w:val="002C12AB"/>
    <w:rsid w:val="002C3A48"/>
    <w:rsid w:val="002C795A"/>
    <w:rsid w:val="002C7CAC"/>
    <w:rsid w:val="002D3306"/>
    <w:rsid w:val="002D3DC7"/>
    <w:rsid w:val="002D48AA"/>
    <w:rsid w:val="002D7BAA"/>
    <w:rsid w:val="002D7F54"/>
    <w:rsid w:val="002E3FF4"/>
    <w:rsid w:val="002E41A9"/>
    <w:rsid w:val="002E451E"/>
    <w:rsid w:val="002E5321"/>
    <w:rsid w:val="002F78C8"/>
    <w:rsid w:val="00301CF3"/>
    <w:rsid w:val="00305143"/>
    <w:rsid w:val="00322528"/>
    <w:rsid w:val="0032715C"/>
    <w:rsid w:val="003346EA"/>
    <w:rsid w:val="00336E0B"/>
    <w:rsid w:val="00337CA5"/>
    <w:rsid w:val="0034718B"/>
    <w:rsid w:val="00347CBE"/>
    <w:rsid w:val="0035150D"/>
    <w:rsid w:val="00357459"/>
    <w:rsid w:val="00362478"/>
    <w:rsid w:val="00363D30"/>
    <w:rsid w:val="00370CD3"/>
    <w:rsid w:val="00375B25"/>
    <w:rsid w:val="00385723"/>
    <w:rsid w:val="00390E14"/>
    <w:rsid w:val="00391E5E"/>
    <w:rsid w:val="003948E3"/>
    <w:rsid w:val="00396542"/>
    <w:rsid w:val="0039685B"/>
    <w:rsid w:val="003A31A6"/>
    <w:rsid w:val="003A426D"/>
    <w:rsid w:val="003A7F0C"/>
    <w:rsid w:val="003A7F79"/>
    <w:rsid w:val="003B3BAC"/>
    <w:rsid w:val="003B6404"/>
    <w:rsid w:val="003C449B"/>
    <w:rsid w:val="003C766C"/>
    <w:rsid w:val="003D066D"/>
    <w:rsid w:val="003D21FF"/>
    <w:rsid w:val="003E0C20"/>
    <w:rsid w:val="003F0112"/>
    <w:rsid w:val="003F071A"/>
    <w:rsid w:val="003F160B"/>
    <w:rsid w:val="00400032"/>
    <w:rsid w:val="00400B5B"/>
    <w:rsid w:val="00405A00"/>
    <w:rsid w:val="00415553"/>
    <w:rsid w:val="00420870"/>
    <w:rsid w:val="004258F3"/>
    <w:rsid w:val="00432CA2"/>
    <w:rsid w:val="0043791B"/>
    <w:rsid w:val="00441483"/>
    <w:rsid w:val="00441BCB"/>
    <w:rsid w:val="0045176A"/>
    <w:rsid w:val="004525A6"/>
    <w:rsid w:val="00456332"/>
    <w:rsid w:val="004615E3"/>
    <w:rsid w:val="00461826"/>
    <w:rsid w:val="004660A2"/>
    <w:rsid w:val="0046672A"/>
    <w:rsid w:val="004762C4"/>
    <w:rsid w:val="004800F9"/>
    <w:rsid w:val="00486B2A"/>
    <w:rsid w:val="00487C74"/>
    <w:rsid w:val="0049134A"/>
    <w:rsid w:val="00496464"/>
    <w:rsid w:val="00496DF4"/>
    <w:rsid w:val="004A39A0"/>
    <w:rsid w:val="004A58CB"/>
    <w:rsid w:val="004B1795"/>
    <w:rsid w:val="004B56DD"/>
    <w:rsid w:val="004B6E8B"/>
    <w:rsid w:val="004C020F"/>
    <w:rsid w:val="004C1AFD"/>
    <w:rsid w:val="004C558B"/>
    <w:rsid w:val="004D3C33"/>
    <w:rsid w:val="004E14CA"/>
    <w:rsid w:val="004E4453"/>
    <w:rsid w:val="004F1F88"/>
    <w:rsid w:val="004F5F1B"/>
    <w:rsid w:val="00502374"/>
    <w:rsid w:val="005060A1"/>
    <w:rsid w:val="00507F9B"/>
    <w:rsid w:val="00513AE3"/>
    <w:rsid w:val="00514517"/>
    <w:rsid w:val="00516072"/>
    <w:rsid w:val="00516408"/>
    <w:rsid w:val="00527015"/>
    <w:rsid w:val="00530E1B"/>
    <w:rsid w:val="005332EC"/>
    <w:rsid w:val="005333A4"/>
    <w:rsid w:val="00534418"/>
    <w:rsid w:val="005353AB"/>
    <w:rsid w:val="0055475A"/>
    <w:rsid w:val="005560BC"/>
    <w:rsid w:val="005573BE"/>
    <w:rsid w:val="005610FD"/>
    <w:rsid w:val="005616C3"/>
    <w:rsid w:val="00566C51"/>
    <w:rsid w:val="00572700"/>
    <w:rsid w:val="00577575"/>
    <w:rsid w:val="00580468"/>
    <w:rsid w:val="0058603B"/>
    <w:rsid w:val="0059431B"/>
    <w:rsid w:val="00594D55"/>
    <w:rsid w:val="005A39CC"/>
    <w:rsid w:val="005A7E2F"/>
    <w:rsid w:val="005B4730"/>
    <w:rsid w:val="005C38D5"/>
    <w:rsid w:val="005C4019"/>
    <w:rsid w:val="005C57FA"/>
    <w:rsid w:val="005C59B8"/>
    <w:rsid w:val="005C5E17"/>
    <w:rsid w:val="005E05D7"/>
    <w:rsid w:val="005E41E7"/>
    <w:rsid w:val="005E450F"/>
    <w:rsid w:val="006033C6"/>
    <w:rsid w:val="00604CBB"/>
    <w:rsid w:val="00617EE8"/>
    <w:rsid w:val="00620691"/>
    <w:rsid w:val="00620CC1"/>
    <w:rsid w:val="0062264C"/>
    <w:rsid w:val="0062298A"/>
    <w:rsid w:val="00626514"/>
    <w:rsid w:val="00626589"/>
    <w:rsid w:val="006339A0"/>
    <w:rsid w:val="00634B1D"/>
    <w:rsid w:val="006367EC"/>
    <w:rsid w:val="00640E4A"/>
    <w:rsid w:val="006413A8"/>
    <w:rsid w:val="00642E56"/>
    <w:rsid w:val="006454FC"/>
    <w:rsid w:val="00650763"/>
    <w:rsid w:val="00651E00"/>
    <w:rsid w:val="006527EF"/>
    <w:rsid w:val="00661632"/>
    <w:rsid w:val="00674572"/>
    <w:rsid w:val="00675A99"/>
    <w:rsid w:val="00683D8D"/>
    <w:rsid w:val="00686487"/>
    <w:rsid w:val="00687763"/>
    <w:rsid w:val="00692B0D"/>
    <w:rsid w:val="00693E0E"/>
    <w:rsid w:val="006954B9"/>
    <w:rsid w:val="006A1AE3"/>
    <w:rsid w:val="006A1D23"/>
    <w:rsid w:val="006A5BFE"/>
    <w:rsid w:val="006A6BF3"/>
    <w:rsid w:val="006B0A3F"/>
    <w:rsid w:val="006B172A"/>
    <w:rsid w:val="006C30E1"/>
    <w:rsid w:val="006C4607"/>
    <w:rsid w:val="006C6B8C"/>
    <w:rsid w:val="006D48F1"/>
    <w:rsid w:val="006E6857"/>
    <w:rsid w:val="006F0E6F"/>
    <w:rsid w:val="006F45BE"/>
    <w:rsid w:val="006F7763"/>
    <w:rsid w:val="007004FC"/>
    <w:rsid w:val="00706670"/>
    <w:rsid w:val="0072417C"/>
    <w:rsid w:val="00727771"/>
    <w:rsid w:val="0073361C"/>
    <w:rsid w:val="00734450"/>
    <w:rsid w:val="007363B0"/>
    <w:rsid w:val="00742B49"/>
    <w:rsid w:val="00745F67"/>
    <w:rsid w:val="0075039E"/>
    <w:rsid w:val="00752D9D"/>
    <w:rsid w:val="00754784"/>
    <w:rsid w:val="007560E6"/>
    <w:rsid w:val="00757C6E"/>
    <w:rsid w:val="00762831"/>
    <w:rsid w:val="00762BDA"/>
    <w:rsid w:val="0077784C"/>
    <w:rsid w:val="007805FD"/>
    <w:rsid w:val="00784422"/>
    <w:rsid w:val="007866B4"/>
    <w:rsid w:val="00787274"/>
    <w:rsid w:val="007A28DF"/>
    <w:rsid w:val="007B3B54"/>
    <w:rsid w:val="007B3FA0"/>
    <w:rsid w:val="007C0F2C"/>
    <w:rsid w:val="007C2BCC"/>
    <w:rsid w:val="007C4EF0"/>
    <w:rsid w:val="007C5180"/>
    <w:rsid w:val="007D099D"/>
    <w:rsid w:val="007E2664"/>
    <w:rsid w:val="007E3ABF"/>
    <w:rsid w:val="007E5BFA"/>
    <w:rsid w:val="007E6689"/>
    <w:rsid w:val="007E72FA"/>
    <w:rsid w:val="007E731C"/>
    <w:rsid w:val="007F0A03"/>
    <w:rsid w:val="007F4EFB"/>
    <w:rsid w:val="007F687E"/>
    <w:rsid w:val="0080227C"/>
    <w:rsid w:val="00810040"/>
    <w:rsid w:val="00814E70"/>
    <w:rsid w:val="0082023A"/>
    <w:rsid w:val="00821A7A"/>
    <w:rsid w:val="00822EAC"/>
    <w:rsid w:val="008253F8"/>
    <w:rsid w:val="008325E4"/>
    <w:rsid w:val="00832A2B"/>
    <w:rsid w:val="008435B1"/>
    <w:rsid w:val="00845811"/>
    <w:rsid w:val="00846994"/>
    <w:rsid w:val="00850451"/>
    <w:rsid w:val="00852042"/>
    <w:rsid w:val="008534C9"/>
    <w:rsid w:val="00853501"/>
    <w:rsid w:val="0085599D"/>
    <w:rsid w:val="00855D32"/>
    <w:rsid w:val="00866D44"/>
    <w:rsid w:val="0087510C"/>
    <w:rsid w:val="00880BC8"/>
    <w:rsid w:val="00885421"/>
    <w:rsid w:val="008915CE"/>
    <w:rsid w:val="00894311"/>
    <w:rsid w:val="0089738E"/>
    <w:rsid w:val="008B1AE1"/>
    <w:rsid w:val="008B5FDB"/>
    <w:rsid w:val="008C50F4"/>
    <w:rsid w:val="008C5649"/>
    <w:rsid w:val="008C71FB"/>
    <w:rsid w:val="008C7AFA"/>
    <w:rsid w:val="008E44A2"/>
    <w:rsid w:val="008E697D"/>
    <w:rsid w:val="008F2135"/>
    <w:rsid w:val="00903263"/>
    <w:rsid w:val="00906A21"/>
    <w:rsid w:val="009079C3"/>
    <w:rsid w:val="00910462"/>
    <w:rsid w:val="0091239D"/>
    <w:rsid w:val="009123EE"/>
    <w:rsid w:val="00915AB1"/>
    <w:rsid w:val="00917532"/>
    <w:rsid w:val="009235BA"/>
    <w:rsid w:val="00924023"/>
    <w:rsid w:val="00924CE2"/>
    <w:rsid w:val="00925B9F"/>
    <w:rsid w:val="009270E3"/>
    <w:rsid w:val="00931AED"/>
    <w:rsid w:val="009476A3"/>
    <w:rsid w:val="0095334F"/>
    <w:rsid w:val="00963A1C"/>
    <w:rsid w:val="00965897"/>
    <w:rsid w:val="0096765C"/>
    <w:rsid w:val="009678FE"/>
    <w:rsid w:val="00970757"/>
    <w:rsid w:val="009719E4"/>
    <w:rsid w:val="009727E4"/>
    <w:rsid w:val="0097723A"/>
    <w:rsid w:val="009819C1"/>
    <w:rsid w:val="009934C5"/>
    <w:rsid w:val="00994C0F"/>
    <w:rsid w:val="009A3B2E"/>
    <w:rsid w:val="009A6D9E"/>
    <w:rsid w:val="009B1310"/>
    <w:rsid w:val="009B22D7"/>
    <w:rsid w:val="009B6D5C"/>
    <w:rsid w:val="009B6E47"/>
    <w:rsid w:val="009B72ED"/>
    <w:rsid w:val="009C6DEB"/>
    <w:rsid w:val="009C78DF"/>
    <w:rsid w:val="009D6504"/>
    <w:rsid w:val="009E12D7"/>
    <w:rsid w:val="009E661A"/>
    <w:rsid w:val="009F32A6"/>
    <w:rsid w:val="009F4A3B"/>
    <w:rsid w:val="009F7734"/>
    <w:rsid w:val="00A00EEA"/>
    <w:rsid w:val="00A022AE"/>
    <w:rsid w:val="00A06781"/>
    <w:rsid w:val="00A074C3"/>
    <w:rsid w:val="00A11893"/>
    <w:rsid w:val="00A13464"/>
    <w:rsid w:val="00A1498A"/>
    <w:rsid w:val="00A1509C"/>
    <w:rsid w:val="00A17E62"/>
    <w:rsid w:val="00A34260"/>
    <w:rsid w:val="00A4551A"/>
    <w:rsid w:val="00A4702A"/>
    <w:rsid w:val="00A54E94"/>
    <w:rsid w:val="00A5638B"/>
    <w:rsid w:val="00A61287"/>
    <w:rsid w:val="00A70CFD"/>
    <w:rsid w:val="00A72A0B"/>
    <w:rsid w:val="00A81E42"/>
    <w:rsid w:val="00A864FE"/>
    <w:rsid w:val="00A86F41"/>
    <w:rsid w:val="00A87D04"/>
    <w:rsid w:val="00A950C5"/>
    <w:rsid w:val="00AA1D25"/>
    <w:rsid w:val="00AB1DFA"/>
    <w:rsid w:val="00AB2136"/>
    <w:rsid w:val="00AB2B1A"/>
    <w:rsid w:val="00AB397F"/>
    <w:rsid w:val="00AB3E60"/>
    <w:rsid w:val="00AB5832"/>
    <w:rsid w:val="00AC0F4D"/>
    <w:rsid w:val="00AC4629"/>
    <w:rsid w:val="00AC51C6"/>
    <w:rsid w:val="00AC51F2"/>
    <w:rsid w:val="00AD11DB"/>
    <w:rsid w:val="00AE5066"/>
    <w:rsid w:val="00AE5E24"/>
    <w:rsid w:val="00AE61B7"/>
    <w:rsid w:val="00AE6CBA"/>
    <w:rsid w:val="00AE79AD"/>
    <w:rsid w:val="00AF321E"/>
    <w:rsid w:val="00AF35E4"/>
    <w:rsid w:val="00AF5CDE"/>
    <w:rsid w:val="00B00CB4"/>
    <w:rsid w:val="00B11A57"/>
    <w:rsid w:val="00B14065"/>
    <w:rsid w:val="00B211C3"/>
    <w:rsid w:val="00B24B84"/>
    <w:rsid w:val="00B25597"/>
    <w:rsid w:val="00B267B9"/>
    <w:rsid w:val="00B27055"/>
    <w:rsid w:val="00B33E09"/>
    <w:rsid w:val="00B400EC"/>
    <w:rsid w:val="00B475F3"/>
    <w:rsid w:val="00B50708"/>
    <w:rsid w:val="00B50C68"/>
    <w:rsid w:val="00B51293"/>
    <w:rsid w:val="00B52B1E"/>
    <w:rsid w:val="00B55481"/>
    <w:rsid w:val="00B56C32"/>
    <w:rsid w:val="00B57ACF"/>
    <w:rsid w:val="00B64BB1"/>
    <w:rsid w:val="00B704AF"/>
    <w:rsid w:val="00B73166"/>
    <w:rsid w:val="00B74AA1"/>
    <w:rsid w:val="00B756A3"/>
    <w:rsid w:val="00B8040B"/>
    <w:rsid w:val="00B8209B"/>
    <w:rsid w:val="00B8426C"/>
    <w:rsid w:val="00B91B8D"/>
    <w:rsid w:val="00B94E90"/>
    <w:rsid w:val="00BA27F2"/>
    <w:rsid w:val="00BB0A82"/>
    <w:rsid w:val="00BB7C94"/>
    <w:rsid w:val="00BC0A9D"/>
    <w:rsid w:val="00BC16FE"/>
    <w:rsid w:val="00BC2770"/>
    <w:rsid w:val="00BC395F"/>
    <w:rsid w:val="00BD05E4"/>
    <w:rsid w:val="00BE05EB"/>
    <w:rsid w:val="00BF199D"/>
    <w:rsid w:val="00BF40ED"/>
    <w:rsid w:val="00BF42FF"/>
    <w:rsid w:val="00BF4CB8"/>
    <w:rsid w:val="00BF52D4"/>
    <w:rsid w:val="00BF5BC2"/>
    <w:rsid w:val="00C037D7"/>
    <w:rsid w:val="00C040C6"/>
    <w:rsid w:val="00C07B62"/>
    <w:rsid w:val="00C1133D"/>
    <w:rsid w:val="00C11F5A"/>
    <w:rsid w:val="00C1357C"/>
    <w:rsid w:val="00C138BA"/>
    <w:rsid w:val="00C27A08"/>
    <w:rsid w:val="00C31312"/>
    <w:rsid w:val="00C326C6"/>
    <w:rsid w:val="00C35295"/>
    <w:rsid w:val="00C36ADD"/>
    <w:rsid w:val="00C36E74"/>
    <w:rsid w:val="00C40595"/>
    <w:rsid w:val="00C41621"/>
    <w:rsid w:val="00C449FA"/>
    <w:rsid w:val="00C5384F"/>
    <w:rsid w:val="00C56964"/>
    <w:rsid w:val="00C656D5"/>
    <w:rsid w:val="00C67103"/>
    <w:rsid w:val="00C71BB9"/>
    <w:rsid w:val="00C834B1"/>
    <w:rsid w:val="00C838DA"/>
    <w:rsid w:val="00C84A8C"/>
    <w:rsid w:val="00C92174"/>
    <w:rsid w:val="00C93CCB"/>
    <w:rsid w:val="00C94C28"/>
    <w:rsid w:val="00CA5CF7"/>
    <w:rsid w:val="00CB0247"/>
    <w:rsid w:val="00CB3440"/>
    <w:rsid w:val="00CC1663"/>
    <w:rsid w:val="00CC1692"/>
    <w:rsid w:val="00CD138B"/>
    <w:rsid w:val="00CD3E31"/>
    <w:rsid w:val="00CD6E2E"/>
    <w:rsid w:val="00CD74A3"/>
    <w:rsid w:val="00CE0527"/>
    <w:rsid w:val="00CE4BA1"/>
    <w:rsid w:val="00CE5B23"/>
    <w:rsid w:val="00CF0F58"/>
    <w:rsid w:val="00CF70AD"/>
    <w:rsid w:val="00CF7729"/>
    <w:rsid w:val="00D00059"/>
    <w:rsid w:val="00D06D86"/>
    <w:rsid w:val="00D107FA"/>
    <w:rsid w:val="00D12275"/>
    <w:rsid w:val="00D12766"/>
    <w:rsid w:val="00D15D2C"/>
    <w:rsid w:val="00D20FF4"/>
    <w:rsid w:val="00D21BDB"/>
    <w:rsid w:val="00D2243D"/>
    <w:rsid w:val="00D22D14"/>
    <w:rsid w:val="00D24D2C"/>
    <w:rsid w:val="00D2561A"/>
    <w:rsid w:val="00D32DAB"/>
    <w:rsid w:val="00D35881"/>
    <w:rsid w:val="00D41D98"/>
    <w:rsid w:val="00D50750"/>
    <w:rsid w:val="00D56B1F"/>
    <w:rsid w:val="00D60592"/>
    <w:rsid w:val="00D63CCB"/>
    <w:rsid w:val="00D6462F"/>
    <w:rsid w:val="00D64DB2"/>
    <w:rsid w:val="00D70EBE"/>
    <w:rsid w:val="00D733D0"/>
    <w:rsid w:val="00D87E10"/>
    <w:rsid w:val="00D94688"/>
    <w:rsid w:val="00D96F5B"/>
    <w:rsid w:val="00DA1129"/>
    <w:rsid w:val="00DA7DA5"/>
    <w:rsid w:val="00DB073B"/>
    <w:rsid w:val="00DB0F9D"/>
    <w:rsid w:val="00DB1F9E"/>
    <w:rsid w:val="00DB78F0"/>
    <w:rsid w:val="00DC03D2"/>
    <w:rsid w:val="00DC2E43"/>
    <w:rsid w:val="00DC33F1"/>
    <w:rsid w:val="00DD095C"/>
    <w:rsid w:val="00DD1020"/>
    <w:rsid w:val="00DD1330"/>
    <w:rsid w:val="00DD46C5"/>
    <w:rsid w:val="00DD65EB"/>
    <w:rsid w:val="00DE0B83"/>
    <w:rsid w:val="00DE1A81"/>
    <w:rsid w:val="00DE1C13"/>
    <w:rsid w:val="00DE20C5"/>
    <w:rsid w:val="00DE231C"/>
    <w:rsid w:val="00DE4E10"/>
    <w:rsid w:val="00DF7094"/>
    <w:rsid w:val="00E0266B"/>
    <w:rsid w:val="00E02ABF"/>
    <w:rsid w:val="00E113FD"/>
    <w:rsid w:val="00E14995"/>
    <w:rsid w:val="00E179CD"/>
    <w:rsid w:val="00E23E8D"/>
    <w:rsid w:val="00E37F98"/>
    <w:rsid w:val="00E46559"/>
    <w:rsid w:val="00E63BCC"/>
    <w:rsid w:val="00E6670C"/>
    <w:rsid w:val="00E7737A"/>
    <w:rsid w:val="00E776E8"/>
    <w:rsid w:val="00E81484"/>
    <w:rsid w:val="00E86D7E"/>
    <w:rsid w:val="00E92C1F"/>
    <w:rsid w:val="00E95D4B"/>
    <w:rsid w:val="00EA1906"/>
    <w:rsid w:val="00EA479D"/>
    <w:rsid w:val="00EB199F"/>
    <w:rsid w:val="00EC23F7"/>
    <w:rsid w:val="00EC3094"/>
    <w:rsid w:val="00EC4BD8"/>
    <w:rsid w:val="00EC4C36"/>
    <w:rsid w:val="00EC63EB"/>
    <w:rsid w:val="00ED0D02"/>
    <w:rsid w:val="00ED412F"/>
    <w:rsid w:val="00EF36B2"/>
    <w:rsid w:val="00F0376F"/>
    <w:rsid w:val="00F05A82"/>
    <w:rsid w:val="00F13F51"/>
    <w:rsid w:val="00F1594E"/>
    <w:rsid w:val="00F201EC"/>
    <w:rsid w:val="00F208A9"/>
    <w:rsid w:val="00F26201"/>
    <w:rsid w:val="00F26A53"/>
    <w:rsid w:val="00F41D75"/>
    <w:rsid w:val="00F5139D"/>
    <w:rsid w:val="00F63DAC"/>
    <w:rsid w:val="00F70806"/>
    <w:rsid w:val="00F70DD9"/>
    <w:rsid w:val="00F7454F"/>
    <w:rsid w:val="00F7692F"/>
    <w:rsid w:val="00F77988"/>
    <w:rsid w:val="00F77F48"/>
    <w:rsid w:val="00F945F9"/>
    <w:rsid w:val="00F96746"/>
    <w:rsid w:val="00FA4A85"/>
    <w:rsid w:val="00FB2C73"/>
    <w:rsid w:val="00FB30F1"/>
    <w:rsid w:val="00FB53E7"/>
    <w:rsid w:val="00FD1F30"/>
    <w:rsid w:val="00FF38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styleId="Strong">
    <w:name w:val="Strong"/>
    <w:basedOn w:val="DefaultParagraphFont"/>
    <w:uiPriority w:val="22"/>
    <w:qFormat/>
    <w:rsid w:val="003E0C20"/>
    <w:rPr>
      <w:b/>
      <w:bCs/>
    </w:rPr>
  </w:style>
  <w:style w:type="character" w:customStyle="1" w:styleId="google-src-text1">
    <w:name w:val="google-src-text1"/>
    <w:basedOn w:val="DefaultParagraphFont"/>
    <w:rsid w:val="003E0C20"/>
    <w:rPr>
      <w:vanish/>
      <w:webHidden w:val="0"/>
      <w:specVanish w:val="0"/>
    </w:rPr>
  </w:style>
  <w:style w:type="paragraph" w:styleId="BodyText">
    <w:name w:val="Body Text"/>
    <w:basedOn w:val="Normal"/>
    <w:link w:val="BodyTextChar"/>
    <w:rsid w:val="00BF42FF"/>
    <w:pPr>
      <w:spacing w:after="120"/>
    </w:pPr>
    <w:rPr>
      <w:sz w:val="28"/>
      <w:szCs w:val="28"/>
      <w:lang w:eastAsia="en-US"/>
    </w:rPr>
  </w:style>
  <w:style w:type="character" w:customStyle="1" w:styleId="BodyTextChar">
    <w:name w:val="Body Text Char"/>
    <w:basedOn w:val="DefaultParagraphFont"/>
    <w:link w:val="BodyText"/>
    <w:rsid w:val="00BF42FF"/>
    <w:rPr>
      <w:sz w:val="28"/>
      <w:szCs w:val="28"/>
      <w:lang w:eastAsia="en-US"/>
    </w:rPr>
  </w:style>
  <w:style w:type="character" w:customStyle="1" w:styleId="spelle">
    <w:name w:val="spelle"/>
    <w:basedOn w:val="DefaultParagraphFont"/>
    <w:rsid w:val="00BF42FF"/>
  </w:style>
  <w:style w:type="paragraph" w:styleId="NormalWeb">
    <w:name w:val="Normal (Web)"/>
    <w:basedOn w:val="Normal"/>
    <w:uiPriority w:val="99"/>
    <w:unhideWhenUsed/>
    <w:rsid w:val="00363D30"/>
    <w:pPr>
      <w:spacing w:before="100" w:beforeAutospacing="1" w:after="100" w:afterAutospacing="1"/>
    </w:pPr>
  </w:style>
  <w:style w:type="paragraph" w:styleId="ListParagraph">
    <w:name w:val="List Paragraph"/>
    <w:basedOn w:val="Normal"/>
    <w:uiPriority w:val="34"/>
    <w:qFormat/>
    <w:rsid w:val="00D96F5B"/>
    <w:pPr>
      <w:ind w:left="720"/>
      <w:contextualSpacing/>
    </w:pPr>
  </w:style>
</w:styles>
</file>

<file path=word/webSettings.xml><?xml version="1.0" encoding="utf-8"?>
<w:webSettings xmlns:r="http://schemas.openxmlformats.org/officeDocument/2006/relationships" xmlns:w="http://schemas.openxmlformats.org/wordprocessingml/2006/main">
  <w:divs>
    <w:div w:id="517741053">
      <w:bodyDiv w:val="1"/>
      <w:marLeft w:val="0"/>
      <w:marRight w:val="0"/>
      <w:marTop w:val="0"/>
      <w:marBottom w:val="0"/>
      <w:divBdr>
        <w:top w:val="none" w:sz="0" w:space="0" w:color="auto"/>
        <w:left w:val="none" w:sz="0" w:space="0" w:color="auto"/>
        <w:bottom w:val="none" w:sz="0" w:space="0" w:color="auto"/>
        <w:right w:val="none" w:sz="0" w:space="0" w:color="auto"/>
      </w:divBdr>
    </w:div>
    <w:div w:id="5663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11352</Words>
  <Characters>6471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Likumprojekts "Grozījumi Vispārējās izglītības likumā"</vt:lpstr>
    </vt:vector>
  </TitlesOfParts>
  <Manager>Inita Juhņēviča</Manager>
  <Company>IZM</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Vispārējās izglītības likumā"</dc:title>
  <dc:subject>anotācija</dc:subject>
  <dc:creator>Edgars Grīnis</dc:creator>
  <cp:keywords/>
  <dc:description>67047910_x000d_
edgars.grinis@izm.gov.lv</dc:description>
  <cp:lastModifiedBy>egrinis</cp:lastModifiedBy>
  <cp:revision>3</cp:revision>
  <cp:lastPrinted>2010-12-03T13:44:00Z</cp:lastPrinted>
  <dcterms:created xsi:type="dcterms:W3CDTF">2011-03-01T12:18:00Z</dcterms:created>
  <dcterms:modified xsi:type="dcterms:W3CDTF">2011-03-01T12:26:00Z</dcterms:modified>
</cp:coreProperties>
</file>