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9" w:rsidRPr="00A6187D" w:rsidRDefault="00B21DFF" w:rsidP="00622024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18"/>
      <w:bookmarkStart w:id="3" w:name="OLE_LINK19"/>
      <w:bookmarkStart w:id="4" w:name="OLE_LINK21"/>
      <w:bookmarkStart w:id="5" w:name="OLE_LINK9"/>
      <w:r w:rsidRPr="00A6187D">
        <w:rPr>
          <w:b/>
          <w:bCs/>
          <w:sz w:val="28"/>
          <w:szCs w:val="28"/>
        </w:rPr>
        <w:t>Mini</w:t>
      </w:r>
      <w:bookmarkStart w:id="6" w:name="OLE_LINK5"/>
      <w:bookmarkStart w:id="7" w:name="OLE_LINK6"/>
      <w:bookmarkStart w:id="8" w:name="OLE_LINK1"/>
      <w:bookmarkStart w:id="9" w:name="OLE_LINK2"/>
      <w:r w:rsidR="00324897" w:rsidRPr="00A6187D">
        <w:rPr>
          <w:b/>
          <w:bCs/>
          <w:sz w:val="28"/>
          <w:szCs w:val="28"/>
        </w:rPr>
        <w:t xml:space="preserve">stru kabineta noteikumu </w:t>
      </w:r>
      <w:bookmarkEnd w:id="6"/>
      <w:bookmarkEnd w:id="7"/>
      <w:bookmarkEnd w:id="8"/>
      <w:bookmarkEnd w:id="9"/>
      <w:r w:rsidR="00493619" w:rsidRPr="00A6187D">
        <w:rPr>
          <w:b/>
          <w:bCs/>
          <w:sz w:val="28"/>
          <w:szCs w:val="28"/>
        </w:rPr>
        <w:t xml:space="preserve">projekta </w:t>
      </w:r>
      <w:r w:rsidR="00C8664C" w:rsidRPr="00A6187D">
        <w:rPr>
          <w:b/>
          <w:bCs/>
          <w:sz w:val="28"/>
          <w:szCs w:val="28"/>
        </w:rPr>
        <w:t>„</w:t>
      </w:r>
      <w:bookmarkStart w:id="10" w:name="OLE_LINK10"/>
      <w:bookmarkStart w:id="11" w:name="OLE_LINK12"/>
      <w:bookmarkStart w:id="12" w:name="OLE_LINK13"/>
      <w:bookmarkStart w:id="13" w:name="OLE_LINK14"/>
      <w:bookmarkStart w:id="14" w:name="OLE_LINK15"/>
      <w:bookmarkStart w:id="15" w:name="OLE_LINK7"/>
      <w:bookmarkStart w:id="16" w:name="OLE_LINK8"/>
      <w:r w:rsidR="008131C2" w:rsidRPr="00A6187D">
        <w:rPr>
          <w:b/>
          <w:bCs/>
          <w:sz w:val="28"/>
          <w:szCs w:val="28"/>
        </w:rPr>
        <w:t xml:space="preserve">Grozījums Ministru kabineta 2008.gada 2.septembra noteikumos Nr.703 </w:t>
      </w:r>
      <w:bookmarkEnd w:id="10"/>
      <w:bookmarkEnd w:id="11"/>
      <w:bookmarkEnd w:id="12"/>
      <w:bookmarkEnd w:id="13"/>
      <w:bookmarkEnd w:id="14"/>
      <w:r w:rsidR="008131C2" w:rsidRPr="00A6187D">
        <w:rPr>
          <w:b/>
          <w:bCs/>
          <w:sz w:val="28"/>
          <w:szCs w:val="28"/>
        </w:rPr>
        <w:t xml:space="preserve">„Noteikumi par darbības programmas „Cilvēkresursi un nodarbinātība” papildinājuma 1.1.1.2.aktivitāti </w:t>
      </w:r>
      <w:r w:rsidR="00A6187D" w:rsidRPr="00A6187D">
        <w:rPr>
          <w:b/>
          <w:bCs/>
          <w:sz w:val="28"/>
          <w:szCs w:val="28"/>
        </w:rPr>
        <w:t>„</w:t>
      </w:r>
      <w:r w:rsidR="008131C2" w:rsidRPr="00A6187D">
        <w:rPr>
          <w:b/>
          <w:bCs/>
          <w:sz w:val="28"/>
          <w:szCs w:val="28"/>
        </w:rPr>
        <w:t>Cilvēkresursu piesaiste zinātnei</w:t>
      </w:r>
      <w:r w:rsidR="00C8664C" w:rsidRPr="00A6187D">
        <w:rPr>
          <w:b/>
          <w:bCs/>
          <w:sz w:val="28"/>
          <w:szCs w:val="28"/>
        </w:rPr>
        <w:t>”</w:t>
      </w:r>
      <w:bookmarkEnd w:id="15"/>
      <w:bookmarkEnd w:id="16"/>
      <w:r w:rsidR="00C8664C" w:rsidRPr="00A6187D">
        <w:rPr>
          <w:b/>
          <w:bCs/>
          <w:sz w:val="28"/>
          <w:szCs w:val="28"/>
        </w:rPr>
        <w:t>”</w:t>
      </w:r>
      <w:r w:rsidR="00713D75" w:rsidRPr="00A6187D">
        <w:rPr>
          <w:b/>
          <w:bCs/>
          <w:sz w:val="28"/>
          <w:szCs w:val="28"/>
        </w:rPr>
        <w:t xml:space="preserve"> </w:t>
      </w:r>
      <w:r w:rsidR="00324897" w:rsidRPr="00A6187D">
        <w:rPr>
          <w:b/>
          <w:bCs/>
          <w:sz w:val="28"/>
          <w:szCs w:val="28"/>
        </w:rPr>
        <w:t>sākotnējās ietekmes novērtējuma ziņojums (</w:t>
      </w:r>
      <w:r w:rsidRPr="00A6187D">
        <w:rPr>
          <w:b/>
          <w:bCs/>
          <w:sz w:val="28"/>
          <w:szCs w:val="28"/>
        </w:rPr>
        <w:t>anotācija</w:t>
      </w:r>
      <w:bookmarkEnd w:id="0"/>
      <w:bookmarkEnd w:id="1"/>
      <w:r w:rsidR="00324897" w:rsidRPr="00A6187D">
        <w:rPr>
          <w:b/>
          <w:bCs/>
          <w:sz w:val="28"/>
          <w:szCs w:val="28"/>
        </w:rPr>
        <w:t>)</w:t>
      </w:r>
    </w:p>
    <w:bookmarkEnd w:id="2"/>
    <w:bookmarkEnd w:id="3"/>
    <w:bookmarkEnd w:id="4"/>
    <w:bookmarkEnd w:id="5"/>
    <w:p w:rsidR="00A94662" w:rsidRPr="00282C28" w:rsidRDefault="00A94662" w:rsidP="00622024">
      <w:pPr>
        <w:jc w:val="center"/>
        <w:rPr>
          <w:b/>
          <w:bCs/>
          <w:sz w:val="28"/>
          <w:szCs w:val="28"/>
        </w:rPr>
      </w:pPr>
    </w:p>
    <w:tbl>
      <w:tblPr>
        <w:tblW w:w="4934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2283"/>
        <w:gridCol w:w="6302"/>
      </w:tblGrid>
      <w:tr w:rsidR="007A6DB9" w:rsidRPr="00282C28" w:rsidTr="005506C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7A6DB9" w:rsidRPr="00282C28" w:rsidRDefault="007A6DB9" w:rsidP="004B34C2">
            <w:pPr>
              <w:jc w:val="center"/>
              <w:rPr>
                <w:b/>
                <w:bCs/>
                <w:sz w:val="28"/>
                <w:szCs w:val="28"/>
              </w:rPr>
            </w:pPr>
            <w:r w:rsidRPr="00282C28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7A6DB9" w:rsidRPr="00282C28" w:rsidTr="005506CE">
        <w:trPr>
          <w:trHeight w:val="479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1.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Pamatojums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D1E" w:rsidRPr="00282C28" w:rsidRDefault="00384894" w:rsidP="00D614B4">
            <w:pPr>
              <w:pStyle w:val="BodyText"/>
              <w:spacing w:after="0"/>
              <w:jc w:val="both"/>
              <w:outlineLvl w:val="0"/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 xml:space="preserve">Ministru kabineta noteikumu projekts </w:t>
            </w:r>
            <w:r w:rsidR="00C8664C" w:rsidRPr="00A6187D">
              <w:rPr>
                <w:sz w:val="28"/>
                <w:szCs w:val="28"/>
              </w:rPr>
              <w:t>„</w:t>
            </w:r>
            <w:r w:rsidR="00A6187D" w:rsidRPr="00A6187D">
              <w:rPr>
                <w:bCs/>
                <w:sz w:val="28"/>
                <w:szCs w:val="28"/>
              </w:rPr>
              <w:t>Grozījums Ministru kabineta 2008.gada 2.septembra noteikumos Nr.703 „Noteikumi par darbības programmas „Cilvēkresursi un nodarbinātība” papildinājuma 1.1.1.2.aktivitāti „Cilvēkresursu piesaiste zinātnei</w:t>
            </w:r>
            <w:r w:rsidR="00C8664C" w:rsidRPr="00A6187D">
              <w:rPr>
                <w:bCs/>
                <w:sz w:val="28"/>
                <w:szCs w:val="28"/>
              </w:rPr>
              <w:t>”</w:t>
            </w:r>
            <w:r w:rsidR="00D614B4" w:rsidRPr="00A6187D">
              <w:rPr>
                <w:bCs/>
                <w:sz w:val="28"/>
                <w:szCs w:val="28"/>
              </w:rPr>
              <w:t>”</w:t>
            </w:r>
            <w:r w:rsidRPr="00A6187D">
              <w:rPr>
                <w:bCs/>
                <w:sz w:val="28"/>
                <w:szCs w:val="28"/>
              </w:rPr>
              <w:t xml:space="preserve"> </w:t>
            </w:r>
            <w:r w:rsidRPr="00282C28">
              <w:rPr>
                <w:bCs/>
                <w:sz w:val="28"/>
                <w:szCs w:val="28"/>
              </w:rPr>
              <w:t>(turpmāk – noteikumu projekts) sagatavots saskaņā ar Eiropas</w:t>
            </w:r>
            <w:r w:rsidRPr="00282C28">
              <w:rPr>
                <w:sz w:val="28"/>
                <w:szCs w:val="28"/>
              </w:rPr>
              <w:t xml:space="preserve"> Savienības struktūrfondu un Kohēzijas fonda vadības likuma 18.panta 10.punktu.</w:t>
            </w:r>
          </w:p>
        </w:tc>
      </w:tr>
      <w:tr w:rsidR="007A6DB9" w:rsidRPr="00282C28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F409A8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2.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D7AFB" w:rsidRDefault="007A6DB9" w:rsidP="00F409A8">
            <w:pPr>
              <w:rPr>
                <w:bCs/>
                <w:sz w:val="28"/>
                <w:szCs w:val="28"/>
              </w:rPr>
            </w:pPr>
            <w:r w:rsidRPr="000D7AFB">
              <w:rPr>
                <w:bCs/>
                <w:sz w:val="28"/>
                <w:szCs w:val="28"/>
              </w:rPr>
              <w:t>Pašreizējā situācija un problēmas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EAD" w:rsidRDefault="008969E6" w:rsidP="006A56EB">
            <w:pPr>
              <w:jc w:val="both"/>
              <w:rPr>
                <w:bCs/>
                <w:sz w:val="28"/>
                <w:szCs w:val="28"/>
              </w:rPr>
            </w:pPr>
            <w:r w:rsidRPr="000D7AFB">
              <w:rPr>
                <w:bCs/>
                <w:sz w:val="28"/>
                <w:szCs w:val="28"/>
              </w:rPr>
              <w:t xml:space="preserve">Ministru kabineta </w:t>
            </w:r>
            <w:r w:rsidR="00A6187D" w:rsidRPr="00A6187D">
              <w:rPr>
                <w:bCs/>
                <w:sz w:val="28"/>
                <w:szCs w:val="28"/>
              </w:rPr>
              <w:t>2008.gada 2.septembra noteikumos Nr.703 „Noteikumi par darbības programmas „Cilvēkresursi un nodarbinātība” papildinājuma 1.1.1.2.aktivitāti „Cilvēkresursu piesaiste zinātnei</w:t>
            </w:r>
            <w:r w:rsidR="00BA5594" w:rsidRPr="00A6187D">
              <w:rPr>
                <w:bCs/>
                <w:sz w:val="28"/>
                <w:szCs w:val="28"/>
              </w:rPr>
              <w:t>””</w:t>
            </w:r>
            <w:r w:rsidR="008454AB" w:rsidRPr="000D7AFB">
              <w:rPr>
                <w:bCs/>
                <w:sz w:val="28"/>
                <w:szCs w:val="28"/>
              </w:rPr>
              <w:t xml:space="preserve"> </w:t>
            </w:r>
            <w:r w:rsidR="00C02E31" w:rsidRPr="000D7AFB">
              <w:rPr>
                <w:bCs/>
                <w:sz w:val="28"/>
                <w:szCs w:val="28"/>
              </w:rPr>
              <w:t>(turpmāk – noteikumi Nr.</w:t>
            </w:r>
            <w:r w:rsidR="00A6187D" w:rsidRPr="000D7AFB">
              <w:rPr>
                <w:bCs/>
                <w:sz w:val="28"/>
                <w:szCs w:val="28"/>
              </w:rPr>
              <w:t>703</w:t>
            </w:r>
            <w:r w:rsidR="00C02E31" w:rsidRPr="000D7AFB">
              <w:rPr>
                <w:bCs/>
                <w:sz w:val="28"/>
                <w:szCs w:val="28"/>
              </w:rPr>
              <w:t xml:space="preserve">) </w:t>
            </w:r>
            <w:r w:rsidR="000D7AFB" w:rsidRPr="000D7AFB">
              <w:rPr>
                <w:bCs/>
                <w:sz w:val="28"/>
                <w:szCs w:val="28"/>
              </w:rPr>
              <w:t>12</w:t>
            </w:r>
            <w:r w:rsidR="006A56EB" w:rsidRPr="000D7AFB">
              <w:rPr>
                <w:bCs/>
                <w:sz w:val="28"/>
                <w:szCs w:val="28"/>
              </w:rPr>
              <w:t xml:space="preserve">.punkts nosaka, ka </w:t>
            </w:r>
            <w:r w:rsidR="000D7AFB" w:rsidRPr="00A6187D">
              <w:rPr>
                <w:bCs/>
                <w:sz w:val="28"/>
                <w:szCs w:val="28"/>
              </w:rPr>
              <w:t>1.1.1.2.aktivitāt</w:t>
            </w:r>
            <w:r w:rsidR="000D7AFB">
              <w:rPr>
                <w:bCs/>
                <w:sz w:val="28"/>
                <w:szCs w:val="28"/>
              </w:rPr>
              <w:t>e</w:t>
            </w:r>
            <w:r w:rsidR="00E62314">
              <w:rPr>
                <w:bCs/>
                <w:sz w:val="28"/>
                <w:szCs w:val="28"/>
              </w:rPr>
              <w:t>i</w:t>
            </w:r>
            <w:r w:rsidR="000D7AFB" w:rsidRPr="00A6187D">
              <w:rPr>
                <w:bCs/>
                <w:sz w:val="28"/>
                <w:szCs w:val="28"/>
              </w:rPr>
              <w:t xml:space="preserve"> „Cilvēkresursu piesaiste zinātnei”</w:t>
            </w:r>
            <w:r w:rsidR="006A56EB" w:rsidRPr="00282C28">
              <w:rPr>
                <w:bCs/>
                <w:sz w:val="28"/>
                <w:szCs w:val="28"/>
              </w:rPr>
              <w:t xml:space="preserve"> (</w:t>
            </w:r>
            <w:r w:rsidR="006A56EB" w:rsidRPr="000D7AFB">
              <w:rPr>
                <w:bCs/>
                <w:sz w:val="28"/>
                <w:szCs w:val="28"/>
              </w:rPr>
              <w:t xml:space="preserve">turpmāk – </w:t>
            </w:r>
            <w:r w:rsidR="000A74A3">
              <w:rPr>
                <w:bCs/>
                <w:sz w:val="28"/>
                <w:szCs w:val="28"/>
              </w:rPr>
              <w:t>1</w:t>
            </w:r>
            <w:r w:rsidR="00E12A87" w:rsidRPr="00282C28">
              <w:rPr>
                <w:bCs/>
                <w:sz w:val="28"/>
                <w:szCs w:val="28"/>
              </w:rPr>
              <w:t>.1.</w:t>
            </w:r>
            <w:r w:rsidR="001A04E6" w:rsidRPr="00282C28">
              <w:rPr>
                <w:bCs/>
                <w:sz w:val="28"/>
                <w:szCs w:val="28"/>
              </w:rPr>
              <w:t>1</w:t>
            </w:r>
            <w:r w:rsidR="00E12A87" w:rsidRPr="00282C28">
              <w:rPr>
                <w:bCs/>
                <w:sz w:val="28"/>
                <w:szCs w:val="28"/>
              </w:rPr>
              <w:t>.</w:t>
            </w:r>
            <w:r w:rsidR="000A74A3">
              <w:rPr>
                <w:bCs/>
                <w:sz w:val="28"/>
                <w:szCs w:val="28"/>
              </w:rPr>
              <w:t>2.</w:t>
            </w:r>
            <w:r w:rsidR="006A56EB" w:rsidRPr="00282C28">
              <w:rPr>
                <w:bCs/>
                <w:sz w:val="28"/>
                <w:szCs w:val="28"/>
              </w:rPr>
              <w:t xml:space="preserve">aktivitāte) </w:t>
            </w:r>
            <w:r w:rsidR="00713D75" w:rsidRPr="00282C28">
              <w:rPr>
                <w:bCs/>
                <w:sz w:val="28"/>
                <w:szCs w:val="28"/>
              </w:rPr>
              <w:t xml:space="preserve">kopējais pieejamais </w:t>
            </w:r>
            <w:r w:rsidR="00713D75" w:rsidRPr="00297E81">
              <w:rPr>
                <w:bCs/>
                <w:sz w:val="28"/>
                <w:szCs w:val="28"/>
              </w:rPr>
              <w:t xml:space="preserve">finansējums ir </w:t>
            </w:r>
            <w:r w:rsidR="000D7AFB" w:rsidRPr="00297E81">
              <w:rPr>
                <w:bCs/>
                <w:sz w:val="28"/>
                <w:szCs w:val="28"/>
              </w:rPr>
              <w:t>40 266 535 lati</w:t>
            </w:r>
            <w:r w:rsidR="00713D75" w:rsidRPr="0014590D">
              <w:rPr>
                <w:bCs/>
                <w:sz w:val="28"/>
                <w:szCs w:val="28"/>
              </w:rPr>
              <w:t xml:space="preserve">, </w:t>
            </w:r>
            <w:r w:rsidR="000D7AFB" w:rsidRPr="000D7AFB">
              <w:rPr>
                <w:bCs/>
                <w:sz w:val="28"/>
                <w:szCs w:val="28"/>
              </w:rPr>
              <w:t xml:space="preserve">kas ietver publisko finansējumu 40 240 180 latu apmērā, ko veido Eiropas Sociālā fonda </w:t>
            </w:r>
            <w:r w:rsidR="000D7AFB" w:rsidRPr="0014590D">
              <w:rPr>
                <w:bCs/>
                <w:sz w:val="28"/>
                <w:szCs w:val="28"/>
              </w:rPr>
              <w:t>(turpmāk – ESF)</w:t>
            </w:r>
            <w:r w:rsidR="000D7AFB">
              <w:rPr>
                <w:bCs/>
                <w:sz w:val="28"/>
                <w:szCs w:val="28"/>
              </w:rPr>
              <w:t xml:space="preserve"> </w:t>
            </w:r>
            <w:r w:rsidR="000D7AFB" w:rsidRPr="000D7AFB">
              <w:rPr>
                <w:bCs/>
                <w:sz w:val="28"/>
                <w:szCs w:val="28"/>
              </w:rPr>
              <w:t>līdzfinansējums 34 226 555 latu apmērā un valsts budžeta fi</w:t>
            </w:r>
            <w:r w:rsidR="00481802">
              <w:rPr>
                <w:bCs/>
                <w:sz w:val="28"/>
                <w:szCs w:val="28"/>
              </w:rPr>
              <w:t>nansējums 6 013 625 latu apmērā</w:t>
            </w:r>
            <w:r w:rsidR="000D7AFB" w:rsidRPr="000D7AFB">
              <w:rPr>
                <w:bCs/>
                <w:sz w:val="28"/>
                <w:szCs w:val="28"/>
              </w:rPr>
              <w:t xml:space="preserve"> un privāt</w:t>
            </w:r>
            <w:r w:rsidR="00481802">
              <w:rPr>
                <w:bCs/>
                <w:sz w:val="28"/>
                <w:szCs w:val="28"/>
              </w:rPr>
              <w:t>ais</w:t>
            </w:r>
            <w:r w:rsidR="000D7AFB" w:rsidRPr="000D7AFB">
              <w:rPr>
                <w:bCs/>
                <w:sz w:val="28"/>
                <w:szCs w:val="28"/>
              </w:rPr>
              <w:t xml:space="preserve"> finansējum</w:t>
            </w:r>
            <w:r w:rsidR="00481802">
              <w:rPr>
                <w:bCs/>
                <w:sz w:val="28"/>
                <w:szCs w:val="28"/>
              </w:rPr>
              <w:t>s</w:t>
            </w:r>
            <w:r w:rsidR="000D7AFB" w:rsidRPr="000D7AFB">
              <w:rPr>
                <w:bCs/>
                <w:sz w:val="28"/>
                <w:szCs w:val="28"/>
              </w:rPr>
              <w:t xml:space="preserve"> 26 355 latu apmērā</w:t>
            </w:r>
            <w:r w:rsidR="00CB6856" w:rsidRPr="0014590D">
              <w:rPr>
                <w:bCs/>
                <w:sz w:val="28"/>
                <w:szCs w:val="28"/>
              </w:rPr>
              <w:t>.</w:t>
            </w:r>
          </w:p>
          <w:p w:rsidR="00E62314" w:rsidRDefault="00AE220D" w:rsidP="00E62314">
            <w:pPr>
              <w:tabs>
                <w:tab w:val="left" w:pos="381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0D7AFB">
              <w:rPr>
                <w:bCs/>
                <w:sz w:val="28"/>
                <w:szCs w:val="28"/>
              </w:rPr>
              <w:t xml:space="preserve">Ņemot vērā </w:t>
            </w:r>
            <w:r w:rsidR="00E17C1E" w:rsidRPr="0014590D">
              <w:rPr>
                <w:bCs/>
                <w:sz w:val="28"/>
                <w:szCs w:val="28"/>
              </w:rPr>
              <w:t>1.1.</w:t>
            </w:r>
            <w:r w:rsidR="001A04E6" w:rsidRPr="0014590D">
              <w:rPr>
                <w:bCs/>
                <w:sz w:val="28"/>
                <w:szCs w:val="28"/>
              </w:rPr>
              <w:t>1</w:t>
            </w:r>
            <w:r w:rsidR="00E17C1E" w:rsidRPr="0014590D">
              <w:rPr>
                <w:bCs/>
                <w:sz w:val="28"/>
                <w:szCs w:val="28"/>
              </w:rPr>
              <w:t>.</w:t>
            </w:r>
            <w:r w:rsidR="000A74A3">
              <w:rPr>
                <w:bCs/>
                <w:sz w:val="28"/>
                <w:szCs w:val="28"/>
              </w:rPr>
              <w:t>2.</w:t>
            </w:r>
            <w:r w:rsidRPr="0014590D">
              <w:rPr>
                <w:bCs/>
                <w:sz w:val="28"/>
                <w:szCs w:val="28"/>
              </w:rPr>
              <w:t>aktivitāt</w:t>
            </w:r>
            <w:r w:rsidRPr="000D7AFB">
              <w:rPr>
                <w:bCs/>
                <w:sz w:val="28"/>
                <w:szCs w:val="28"/>
              </w:rPr>
              <w:t>es</w:t>
            </w:r>
            <w:r w:rsidR="00E62314">
              <w:rPr>
                <w:bCs/>
                <w:sz w:val="28"/>
                <w:szCs w:val="28"/>
              </w:rPr>
              <w:t xml:space="preserve"> </w:t>
            </w:r>
            <w:r w:rsidRPr="000D7AFB">
              <w:rPr>
                <w:bCs/>
                <w:sz w:val="28"/>
                <w:szCs w:val="28"/>
              </w:rPr>
              <w:t>ietvaros esoš</w:t>
            </w:r>
            <w:r w:rsidR="001D331D" w:rsidRPr="000D7AFB">
              <w:rPr>
                <w:bCs/>
                <w:sz w:val="28"/>
                <w:szCs w:val="28"/>
              </w:rPr>
              <w:t>o</w:t>
            </w:r>
            <w:r w:rsidRPr="000D7AFB">
              <w:rPr>
                <w:bCs/>
                <w:sz w:val="28"/>
                <w:szCs w:val="28"/>
              </w:rPr>
              <w:t xml:space="preserve"> </w:t>
            </w:r>
            <w:r w:rsidR="00636063" w:rsidRPr="000D7AFB">
              <w:rPr>
                <w:bCs/>
                <w:sz w:val="28"/>
                <w:szCs w:val="28"/>
              </w:rPr>
              <w:t>brīvo pieejamo</w:t>
            </w:r>
            <w:r w:rsidR="001D331D" w:rsidRPr="000D7AFB">
              <w:rPr>
                <w:bCs/>
                <w:sz w:val="28"/>
                <w:szCs w:val="28"/>
              </w:rPr>
              <w:t xml:space="preserve"> </w:t>
            </w:r>
            <w:r w:rsidR="00080A79">
              <w:rPr>
                <w:bCs/>
                <w:sz w:val="28"/>
                <w:szCs w:val="28"/>
              </w:rPr>
              <w:t>kopējo attiecināmo</w:t>
            </w:r>
            <w:r w:rsidRPr="000D7AFB">
              <w:rPr>
                <w:bCs/>
                <w:sz w:val="28"/>
                <w:szCs w:val="28"/>
              </w:rPr>
              <w:t xml:space="preserve"> finansējum</w:t>
            </w:r>
            <w:r w:rsidR="001D331D" w:rsidRPr="000D7AFB">
              <w:rPr>
                <w:bCs/>
                <w:sz w:val="28"/>
                <w:szCs w:val="28"/>
              </w:rPr>
              <w:t>u</w:t>
            </w:r>
            <w:r w:rsidR="00244847" w:rsidRPr="000D7AFB">
              <w:rPr>
                <w:bCs/>
                <w:sz w:val="28"/>
                <w:szCs w:val="28"/>
              </w:rPr>
              <w:t xml:space="preserve"> </w:t>
            </w:r>
            <w:r w:rsidR="00977030">
              <w:rPr>
                <w:bCs/>
                <w:sz w:val="28"/>
                <w:szCs w:val="28"/>
              </w:rPr>
              <w:t>951 570</w:t>
            </w:r>
            <w:r w:rsidR="0059261B" w:rsidRPr="000D7AFB">
              <w:rPr>
                <w:bCs/>
                <w:sz w:val="28"/>
                <w:szCs w:val="28"/>
              </w:rPr>
              <w:t xml:space="preserve"> latu apmērā</w:t>
            </w:r>
            <w:r w:rsidRPr="000D7AFB">
              <w:rPr>
                <w:bCs/>
                <w:sz w:val="28"/>
                <w:szCs w:val="28"/>
              </w:rPr>
              <w:t>,</w:t>
            </w:r>
            <w:r w:rsidR="002065DC" w:rsidRPr="000D7AFB">
              <w:rPr>
                <w:bCs/>
                <w:sz w:val="28"/>
                <w:szCs w:val="28"/>
              </w:rPr>
              <w:t xml:space="preserve"> Izglītības un zin</w:t>
            </w:r>
            <w:r w:rsidR="001F6F2E" w:rsidRPr="000D7AFB">
              <w:rPr>
                <w:bCs/>
                <w:sz w:val="28"/>
                <w:szCs w:val="28"/>
              </w:rPr>
              <w:t>ātnes ministrija</w:t>
            </w:r>
            <w:r w:rsidR="001B3F63" w:rsidRPr="000D7AFB">
              <w:rPr>
                <w:bCs/>
                <w:sz w:val="28"/>
                <w:szCs w:val="28"/>
              </w:rPr>
              <w:t xml:space="preserve"> </w:t>
            </w:r>
            <w:r w:rsidR="001F6F2E" w:rsidRPr="000D7AFB">
              <w:rPr>
                <w:bCs/>
                <w:sz w:val="28"/>
                <w:szCs w:val="28"/>
              </w:rPr>
              <w:t xml:space="preserve"> ierosina</w:t>
            </w:r>
            <w:r w:rsidRPr="000D7AFB">
              <w:rPr>
                <w:bCs/>
                <w:sz w:val="28"/>
                <w:szCs w:val="28"/>
              </w:rPr>
              <w:t xml:space="preserve"> </w:t>
            </w:r>
            <w:r w:rsidR="00383933" w:rsidRPr="000D7AFB">
              <w:rPr>
                <w:bCs/>
                <w:sz w:val="28"/>
                <w:szCs w:val="28"/>
              </w:rPr>
              <w:t>ESF</w:t>
            </w:r>
            <w:r w:rsidR="00E551DF" w:rsidRPr="000D7AFB">
              <w:rPr>
                <w:bCs/>
                <w:sz w:val="28"/>
                <w:szCs w:val="28"/>
              </w:rPr>
              <w:t xml:space="preserve"> finansējum</w:t>
            </w:r>
            <w:r w:rsidR="005A454E" w:rsidRPr="000D7AFB">
              <w:rPr>
                <w:bCs/>
                <w:sz w:val="28"/>
                <w:szCs w:val="28"/>
              </w:rPr>
              <w:t>u</w:t>
            </w:r>
            <w:r w:rsidR="00E551DF" w:rsidRPr="000D7AFB">
              <w:rPr>
                <w:bCs/>
                <w:sz w:val="28"/>
                <w:szCs w:val="28"/>
              </w:rPr>
              <w:t xml:space="preserve"> </w:t>
            </w:r>
            <w:r w:rsidR="00721EFD">
              <w:rPr>
                <w:bCs/>
                <w:sz w:val="28"/>
                <w:szCs w:val="28"/>
              </w:rPr>
              <w:t>808 709</w:t>
            </w:r>
            <w:r w:rsidR="007903E4" w:rsidRPr="000D7AFB">
              <w:rPr>
                <w:bCs/>
                <w:sz w:val="28"/>
                <w:szCs w:val="28"/>
              </w:rPr>
              <w:t xml:space="preserve"> </w:t>
            </w:r>
            <w:r w:rsidR="00945801" w:rsidRPr="0014590D">
              <w:rPr>
                <w:bCs/>
                <w:sz w:val="28"/>
                <w:szCs w:val="28"/>
              </w:rPr>
              <w:t>latu</w:t>
            </w:r>
            <w:r w:rsidR="00721EFD">
              <w:rPr>
                <w:bCs/>
                <w:sz w:val="28"/>
                <w:szCs w:val="28"/>
              </w:rPr>
              <w:t xml:space="preserve"> apmērā, valsts budžeta finansējumu 116 506 latu apmēra un privāto finansējumu 26 355 latu apmērā </w:t>
            </w:r>
            <w:r w:rsidR="00E551DF" w:rsidRPr="000D7AFB">
              <w:rPr>
                <w:bCs/>
                <w:sz w:val="28"/>
                <w:szCs w:val="28"/>
              </w:rPr>
              <w:t>p</w:t>
            </w:r>
            <w:r w:rsidR="001D3EAD" w:rsidRPr="000D7AFB">
              <w:rPr>
                <w:bCs/>
                <w:sz w:val="28"/>
                <w:szCs w:val="28"/>
              </w:rPr>
              <w:t xml:space="preserve">ārdalīt </w:t>
            </w:r>
            <w:r w:rsidR="00E62314" w:rsidRPr="0014590D">
              <w:rPr>
                <w:bCs/>
                <w:sz w:val="28"/>
                <w:szCs w:val="28"/>
              </w:rPr>
              <w:t>1.1.1.</w:t>
            </w:r>
            <w:r w:rsidR="00E62314">
              <w:rPr>
                <w:bCs/>
                <w:sz w:val="28"/>
                <w:szCs w:val="28"/>
              </w:rPr>
              <w:t>2.</w:t>
            </w:r>
            <w:r w:rsidR="00E62314" w:rsidRPr="0014590D">
              <w:rPr>
                <w:bCs/>
                <w:sz w:val="28"/>
                <w:szCs w:val="28"/>
              </w:rPr>
              <w:t>aktivitāt</w:t>
            </w:r>
            <w:r w:rsidR="00E62314" w:rsidRPr="000D7AFB">
              <w:rPr>
                <w:bCs/>
                <w:sz w:val="28"/>
                <w:szCs w:val="28"/>
              </w:rPr>
              <w:t xml:space="preserve">es </w:t>
            </w:r>
            <w:r w:rsidR="006E7F60" w:rsidRPr="000D7AFB">
              <w:rPr>
                <w:bCs/>
                <w:sz w:val="28"/>
                <w:szCs w:val="28"/>
              </w:rPr>
              <w:t>otr</w:t>
            </w:r>
            <w:r w:rsidR="00BE3B14" w:rsidRPr="000D7AFB">
              <w:rPr>
                <w:bCs/>
                <w:sz w:val="28"/>
                <w:szCs w:val="28"/>
              </w:rPr>
              <w:t>ās</w:t>
            </w:r>
            <w:r w:rsidR="006E7F60" w:rsidRPr="000D7AFB">
              <w:rPr>
                <w:bCs/>
                <w:sz w:val="28"/>
                <w:szCs w:val="28"/>
              </w:rPr>
              <w:t xml:space="preserve"> atlases kārt</w:t>
            </w:r>
            <w:r w:rsidR="00BE3B14" w:rsidRPr="000D7AFB">
              <w:rPr>
                <w:bCs/>
                <w:sz w:val="28"/>
                <w:szCs w:val="28"/>
              </w:rPr>
              <w:t>as</w:t>
            </w:r>
            <w:r w:rsidR="005F2A00" w:rsidRPr="000D7AFB">
              <w:rPr>
                <w:bCs/>
                <w:sz w:val="28"/>
                <w:szCs w:val="28"/>
              </w:rPr>
              <w:t xml:space="preserve"> </w:t>
            </w:r>
            <w:r w:rsidR="00BE3B14" w:rsidRPr="000D7AFB">
              <w:rPr>
                <w:bCs/>
                <w:sz w:val="28"/>
                <w:szCs w:val="28"/>
              </w:rPr>
              <w:t xml:space="preserve">īstenošanai, </w:t>
            </w:r>
            <w:r w:rsidR="00BE3B14" w:rsidRPr="00422C3E">
              <w:rPr>
                <w:bCs/>
                <w:sz w:val="28"/>
                <w:szCs w:val="28"/>
              </w:rPr>
              <w:t>lai</w:t>
            </w:r>
            <w:r w:rsidR="00BE3B14" w:rsidRPr="00E62314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E62314" w:rsidRPr="00EC1008">
              <w:rPr>
                <w:sz w:val="28"/>
                <w:szCs w:val="28"/>
              </w:rPr>
              <w:t>nodrošināt</w:t>
            </w:r>
            <w:r w:rsidR="00E62314">
              <w:rPr>
                <w:sz w:val="28"/>
                <w:szCs w:val="28"/>
              </w:rPr>
              <w:t>u</w:t>
            </w:r>
            <w:r w:rsidR="00E62314" w:rsidRPr="00EC1008">
              <w:rPr>
                <w:sz w:val="28"/>
                <w:szCs w:val="28"/>
              </w:rPr>
              <w:t xml:space="preserve"> iespēj</w:t>
            </w:r>
            <w:r w:rsidR="00E62314">
              <w:rPr>
                <w:sz w:val="28"/>
                <w:szCs w:val="28"/>
              </w:rPr>
              <w:t>u</w:t>
            </w:r>
            <w:r w:rsidR="00E62314" w:rsidRPr="00EC1008">
              <w:rPr>
                <w:sz w:val="28"/>
                <w:szCs w:val="28"/>
              </w:rPr>
              <w:t xml:space="preserve"> valsts zinātniskajām institūcijām saņemt </w:t>
            </w:r>
            <w:r w:rsidR="00E62314">
              <w:rPr>
                <w:sz w:val="28"/>
                <w:szCs w:val="28"/>
              </w:rPr>
              <w:t>ESF</w:t>
            </w:r>
            <w:r w:rsidR="00E62314" w:rsidRPr="00EC1008">
              <w:rPr>
                <w:sz w:val="28"/>
                <w:szCs w:val="28"/>
              </w:rPr>
              <w:t xml:space="preserve"> atbalstu jaunu zinātnisko grupu izveidei un pētniecības īstenošanai, jaunu p</w:t>
            </w:r>
            <w:r w:rsidR="00E62314">
              <w:rPr>
                <w:sz w:val="28"/>
                <w:szCs w:val="28"/>
              </w:rPr>
              <w:t>roduktu vai tehnoloģiju izstrādes</w:t>
            </w:r>
            <w:r w:rsidR="00E62314" w:rsidRPr="00EC1008">
              <w:rPr>
                <w:sz w:val="28"/>
                <w:szCs w:val="28"/>
              </w:rPr>
              <w:t xml:space="preserve"> </w:t>
            </w:r>
            <w:r w:rsidR="00E62314">
              <w:rPr>
                <w:sz w:val="28"/>
                <w:szCs w:val="28"/>
              </w:rPr>
              <w:t>sekmēšanai</w:t>
            </w:r>
            <w:r w:rsidR="00E62314" w:rsidRPr="00EC1008">
              <w:rPr>
                <w:sz w:val="28"/>
                <w:szCs w:val="28"/>
              </w:rPr>
              <w:t>, kas tiešā veidā veicina Latvijas tautsaimniecības attīstību, vienlaikus sekmējot jaunu darba vietu radīšanu un pētniecības intelektuālā potenciāla attīstību</w:t>
            </w:r>
            <w:r w:rsidR="00E62314">
              <w:rPr>
                <w:sz w:val="28"/>
                <w:szCs w:val="28"/>
              </w:rPr>
              <w:t xml:space="preserve">. </w:t>
            </w:r>
          </w:p>
          <w:p w:rsidR="00C2123C" w:rsidRPr="000D7AFB" w:rsidRDefault="00B71CAD" w:rsidP="00EA0CCD">
            <w:pPr>
              <w:tabs>
                <w:tab w:val="left" w:pos="381"/>
              </w:tabs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0D7AFB">
              <w:rPr>
                <w:bCs/>
                <w:sz w:val="28"/>
                <w:szCs w:val="28"/>
              </w:rPr>
              <w:t>Ievērojot minēto</w:t>
            </w:r>
            <w:r w:rsidR="00C44917" w:rsidRPr="000D7AFB">
              <w:rPr>
                <w:bCs/>
                <w:sz w:val="28"/>
                <w:szCs w:val="28"/>
              </w:rPr>
              <w:t>, noteikum</w:t>
            </w:r>
            <w:r w:rsidR="00830047" w:rsidRPr="000D7AFB">
              <w:rPr>
                <w:bCs/>
                <w:sz w:val="28"/>
                <w:szCs w:val="28"/>
              </w:rPr>
              <w:t>os</w:t>
            </w:r>
            <w:r w:rsidR="00C44917" w:rsidRPr="000D7AFB">
              <w:rPr>
                <w:bCs/>
                <w:sz w:val="28"/>
                <w:szCs w:val="28"/>
              </w:rPr>
              <w:t xml:space="preserve"> Nr.</w:t>
            </w:r>
            <w:r w:rsidR="00E62314">
              <w:rPr>
                <w:bCs/>
                <w:sz w:val="28"/>
                <w:szCs w:val="28"/>
              </w:rPr>
              <w:t>703</w:t>
            </w:r>
            <w:r w:rsidR="00C44917" w:rsidRPr="000D7AFB">
              <w:rPr>
                <w:bCs/>
                <w:sz w:val="28"/>
                <w:szCs w:val="28"/>
              </w:rPr>
              <w:t xml:space="preserve"> </w:t>
            </w:r>
            <w:r w:rsidR="00830047" w:rsidRPr="000D7AFB">
              <w:rPr>
                <w:bCs/>
                <w:sz w:val="28"/>
                <w:szCs w:val="28"/>
              </w:rPr>
              <w:t xml:space="preserve">nepieciešams </w:t>
            </w:r>
            <w:r w:rsidR="002601D7">
              <w:rPr>
                <w:bCs/>
                <w:sz w:val="28"/>
                <w:szCs w:val="28"/>
              </w:rPr>
              <w:lastRenderedPageBreak/>
              <w:t xml:space="preserve">noteikt, ka minētais normatīvais akts regulē kārtību, kādā īsteno </w:t>
            </w:r>
            <w:r w:rsidR="002601D7" w:rsidRPr="00282C28">
              <w:rPr>
                <w:bCs/>
                <w:sz w:val="28"/>
                <w:szCs w:val="28"/>
              </w:rPr>
              <w:t>1.1.1.</w:t>
            </w:r>
            <w:r w:rsidR="002601D7">
              <w:rPr>
                <w:bCs/>
                <w:sz w:val="28"/>
                <w:szCs w:val="28"/>
              </w:rPr>
              <w:t>2</w:t>
            </w:r>
            <w:r w:rsidR="002601D7" w:rsidRPr="00282C28">
              <w:rPr>
                <w:bCs/>
                <w:sz w:val="28"/>
                <w:szCs w:val="28"/>
              </w:rPr>
              <w:t>.aktivitāt</w:t>
            </w:r>
            <w:r w:rsidR="002601D7" w:rsidRPr="000D7AFB">
              <w:rPr>
                <w:bCs/>
                <w:sz w:val="28"/>
                <w:szCs w:val="28"/>
              </w:rPr>
              <w:t>e</w:t>
            </w:r>
            <w:r w:rsidR="002601D7">
              <w:rPr>
                <w:bCs/>
                <w:sz w:val="28"/>
                <w:szCs w:val="28"/>
              </w:rPr>
              <w:t>s pirmo atlase</w:t>
            </w:r>
            <w:r w:rsidR="007A2E24">
              <w:rPr>
                <w:bCs/>
                <w:sz w:val="28"/>
                <w:szCs w:val="28"/>
              </w:rPr>
              <w:t>s kārtu un</w:t>
            </w:r>
            <w:r w:rsidR="002601D7">
              <w:rPr>
                <w:bCs/>
                <w:sz w:val="28"/>
                <w:szCs w:val="28"/>
              </w:rPr>
              <w:t xml:space="preserve"> </w:t>
            </w:r>
            <w:r w:rsidR="002601D7" w:rsidRPr="000D7AFB">
              <w:rPr>
                <w:bCs/>
                <w:sz w:val="28"/>
                <w:szCs w:val="28"/>
              </w:rPr>
              <w:t>precizēt</w:t>
            </w:r>
            <w:r w:rsidR="002601D7" w:rsidRPr="00282C28">
              <w:rPr>
                <w:bCs/>
                <w:sz w:val="28"/>
                <w:szCs w:val="28"/>
              </w:rPr>
              <w:t xml:space="preserve"> 1.1.1.</w:t>
            </w:r>
            <w:r w:rsidR="002601D7">
              <w:rPr>
                <w:bCs/>
                <w:sz w:val="28"/>
                <w:szCs w:val="28"/>
              </w:rPr>
              <w:t>2</w:t>
            </w:r>
            <w:r w:rsidR="002601D7" w:rsidRPr="00282C28">
              <w:rPr>
                <w:bCs/>
                <w:sz w:val="28"/>
                <w:szCs w:val="28"/>
              </w:rPr>
              <w:t>.aktivitāt</w:t>
            </w:r>
            <w:r w:rsidR="002601D7" w:rsidRPr="000D7AFB">
              <w:rPr>
                <w:bCs/>
                <w:sz w:val="28"/>
                <w:szCs w:val="28"/>
              </w:rPr>
              <w:t xml:space="preserve">ei pieejamā </w:t>
            </w:r>
            <w:r w:rsidR="00EA0CCD">
              <w:rPr>
                <w:bCs/>
                <w:sz w:val="28"/>
                <w:szCs w:val="28"/>
              </w:rPr>
              <w:t>kopējā attiecināma</w:t>
            </w:r>
            <w:r w:rsidR="002601D7" w:rsidRPr="000D7AFB">
              <w:rPr>
                <w:bCs/>
                <w:sz w:val="28"/>
                <w:szCs w:val="28"/>
              </w:rPr>
              <w:t xml:space="preserve"> finansējuma apmēru</w:t>
            </w:r>
            <w:r w:rsidR="002601D7">
              <w:rPr>
                <w:bCs/>
                <w:sz w:val="28"/>
                <w:szCs w:val="28"/>
              </w:rPr>
              <w:t>.</w:t>
            </w:r>
          </w:p>
        </w:tc>
      </w:tr>
      <w:tr w:rsidR="007A6DB9" w:rsidRPr="00282C28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001D6E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7"/>
              </w:rPr>
              <w:t>Noteikumu projekts šo jomu neskar</w:t>
            </w:r>
            <w:r w:rsidR="00383933" w:rsidRPr="00282C28">
              <w:rPr>
                <w:sz w:val="28"/>
                <w:szCs w:val="27"/>
              </w:rPr>
              <w:t>.</w:t>
            </w:r>
          </w:p>
        </w:tc>
      </w:tr>
      <w:tr w:rsidR="007A6DB9" w:rsidRPr="00282C28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4.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2A0B" w:rsidRDefault="00853103" w:rsidP="00252774">
            <w:pPr>
              <w:jc w:val="both"/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 xml:space="preserve">Noteikumu projekts </w:t>
            </w:r>
            <w:r w:rsidR="00F87E48" w:rsidRPr="00282C28">
              <w:rPr>
                <w:sz w:val="28"/>
                <w:szCs w:val="28"/>
              </w:rPr>
              <w:t>paredz</w:t>
            </w:r>
            <w:r w:rsidR="00542A0B">
              <w:rPr>
                <w:sz w:val="28"/>
                <w:szCs w:val="28"/>
              </w:rPr>
              <w:t>:</w:t>
            </w:r>
          </w:p>
          <w:p w:rsidR="004579BF" w:rsidRPr="0014590D" w:rsidRDefault="007A2E24" w:rsidP="002527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87E48" w:rsidRPr="00282C28">
              <w:rPr>
                <w:sz w:val="28"/>
                <w:szCs w:val="28"/>
              </w:rPr>
              <w:t xml:space="preserve"> </w:t>
            </w:r>
            <w:r w:rsidR="00185E2A" w:rsidRPr="00282C28">
              <w:rPr>
                <w:sz w:val="28"/>
                <w:szCs w:val="28"/>
              </w:rPr>
              <w:t>precizē</w:t>
            </w:r>
            <w:r w:rsidR="00F87E48" w:rsidRPr="00282C28">
              <w:rPr>
                <w:sz w:val="28"/>
                <w:szCs w:val="28"/>
              </w:rPr>
              <w:t>t</w:t>
            </w:r>
            <w:r w:rsidR="00853103" w:rsidRPr="00282C28">
              <w:rPr>
                <w:sz w:val="28"/>
                <w:szCs w:val="28"/>
              </w:rPr>
              <w:t xml:space="preserve"> </w:t>
            </w:r>
            <w:r w:rsidR="000D47E8" w:rsidRPr="0014590D">
              <w:rPr>
                <w:bCs/>
                <w:sz w:val="28"/>
                <w:szCs w:val="28"/>
              </w:rPr>
              <w:t>1.1.1.</w:t>
            </w:r>
            <w:r w:rsidR="000D47E8">
              <w:rPr>
                <w:bCs/>
                <w:sz w:val="28"/>
                <w:szCs w:val="28"/>
              </w:rPr>
              <w:t>2.</w:t>
            </w:r>
            <w:r w:rsidR="000D47E8" w:rsidRPr="0014590D">
              <w:rPr>
                <w:bCs/>
                <w:sz w:val="28"/>
                <w:szCs w:val="28"/>
              </w:rPr>
              <w:t>aktivitāt</w:t>
            </w:r>
            <w:r w:rsidR="000D47E8" w:rsidRPr="000D7AFB">
              <w:rPr>
                <w:bCs/>
                <w:sz w:val="28"/>
                <w:szCs w:val="28"/>
              </w:rPr>
              <w:t>es</w:t>
            </w:r>
            <w:r w:rsidR="00677645">
              <w:rPr>
                <w:bCs/>
                <w:sz w:val="28"/>
                <w:szCs w:val="28"/>
              </w:rPr>
              <w:t xml:space="preserve"> pirmās kārtas</w:t>
            </w:r>
            <w:r w:rsidR="000D47E8">
              <w:rPr>
                <w:bCs/>
                <w:sz w:val="28"/>
                <w:szCs w:val="28"/>
              </w:rPr>
              <w:t xml:space="preserve"> </w:t>
            </w:r>
            <w:r w:rsidR="000D47E8" w:rsidRPr="000D7AFB">
              <w:rPr>
                <w:bCs/>
                <w:sz w:val="28"/>
                <w:szCs w:val="28"/>
              </w:rPr>
              <w:t xml:space="preserve">ietvaros </w:t>
            </w:r>
            <w:r w:rsidR="00853103" w:rsidRPr="00282C28">
              <w:rPr>
                <w:sz w:val="28"/>
                <w:szCs w:val="28"/>
              </w:rPr>
              <w:t xml:space="preserve">pieejamā </w:t>
            </w:r>
            <w:r w:rsidR="00F71092">
              <w:rPr>
                <w:sz w:val="28"/>
                <w:szCs w:val="28"/>
              </w:rPr>
              <w:t>kopējā</w:t>
            </w:r>
            <w:r w:rsidR="00ED49C8" w:rsidRPr="00282C28">
              <w:rPr>
                <w:sz w:val="28"/>
                <w:szCs w:val="28"/>
              </w:rPr>
              <w:t xml:space="preserve"> attiecināmā </w:t>
            </w:r>
            <w:r w:rsidR="00853103" w:rsidRPr="00282C28">
              <w:rPr>
                <w:sz w:val="28"/>
                <w:szCs w:val="28"/>
              </w:rPr>
              <w:t xml:space="preserve">finansējuma apmēru, </w:t>
            </w:r>
            <w:r w:rsidR="0015137D" w:rsidRPr="00282C28">
              <w:rPr>
                <w:sz w:val="28"/>
                <w:szCs w:val="28"/>
              </w:rPr>
              <w:t>samazinot</w:t>
            </w:r>
            <w:r w:rsidR="00853103" w:rsidRPr="00282C28">
              <w:rPr>
                <w:sz w:val="28"/>
                <w:szCs w:val="28"/>
              </w:rPr>
              <w:t xml:space="preserve"> kopējo </w:t>
            </w:r>
            <w:r w:rsidR="00D21D6E" w:rsidRPr="00282C28">
              <w:rPr>
                <w:sz w:val="28"/>
                <w:szCs w:val="28"/>
              </w:rPr>
              <w:t xml:space="preserve">attiecināmo </w:t>
            </w:r>
            <w:r w:rsidR="00853103" w:rsidRPr="00FE3604">
              <w:rPr>
                <w:sz w:val="28"/>
                <w:szCs w:val="28"/>
              </w:rPr>
              <w:t xml:space="preserve">finansējumu </w:t>
            </w:r>
            <w:r w:rsidR="00677645" w:rsidRPr="00FE3604">
              <w:rPr>
                <w:sz w:val="28"/>
                <w:szCs w:val="28"/>
              </w:rPr>
              <w:t xml:space="preserve">par </w:t>
            </w:r>
            <w:r w:rsidR="00677645" w:rsidRPr="00FE3604">
              <w:rPr>
                <w:bCs/>
                <w:sz w:val="28"/>
                <w:szCs w:val="28"/>
              </w:rPr>
              <w:t xml:space="preserve">951 570 </w:t>
            </w:r>
            <w:r w:rsidR="00BF2751" w:rsidRPr="00FE3604">
              <w:rPr>
                <w:sz w:val="28"/>
                <w:szCs w:val="28"/>
              </w:rPr>
              <w:t xml:space="preserve">latiem no </w:t>
            </w:r>
            <w:r w:rsidR="00BF2751" w:rsidRPr="00297E81">
              <w:rPr>
                <w:bCs/>
                <w:sz w:val="28"/>
                <w:szCs w:val="28"/>
              </w:rPr>
              <w:t xml:space="preserve">40 266 535 </w:t>
            </w:r>
            <w:r w:rsidR="00BF2751" w:rsidRPr="00297E81">
              <w:rPr>
                <w:sz w:val="28"/>
                <w:szCs w:val="28"/>
              </w:rPr>
              <w:t>latiem</w:t>
            </w:r>
            <w:r w:rsidR="00BF2751" w:rsidRPr="00FE3604">
              <w:rPr>
                <w:sz w:val="28"/>
                <w:szCs w:val="28"/>
              </w:rPr>
              <w:t xml:space="preserve"> uz </w:t>
            </w:r>
            <w:r w:rsidR="00BF2751" w:rsidRPr="00FE3604">
              <w:rPr>
                <w:noProof/>
                <w:sz w:val="28"/>
                <w:szCs w:val="28"/>
                <w:lang w:eastAsia="en-US"/>
              </w:rPr>
              <w:t>3</w:t>
            </w:r>
            <w:r w:rsidR="002367B9" w:rsidRPr="00FE3604">
              <w:rPr>
                <w:noProof/>
                <w:sz w:val="28"/>
                <w:szCs w:val="28"/>
                <w:lang w:eastAsia="en-US"/>
              </w:rPr>
              <w:t>9</w:t>
            </w:r>
            <w:r w:rsidR="00BF2751" w:rsidRPr="00FE3604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2367B9" w:rsidRPr="00FE3604">
              <w:rPr>
                <w:noProof/>
                <w:sz w:val="28"/>
                <w:szCs w:val="28"/>
                <w:lang w:eastAsia="en-US"/>
              </w:rPr>
              <w:t>314</w:t>
            </w:r>
            <w:r w:rsidR="00BF2751" w:rsidRPr="00FE3604">
              <w:rPr>
                <w:noProof/>
                <w:sz w:val="28"/>
                <w:szCs w:val="28"/>
                <w:lang w:eastAsia="en-US"/>
              </w:rPr>
              <w:t> </w:t>
            </w:r>
            <w:r w:rsidR="002367B9" w:rsidRPr="00FE3604">
              <w:rPr>
                <w:noProof/>
                <w:sz w:val="28"/>
                <w:szCs w:val="28"/>
                <w:lang w:eastAsia="en-US"/>
              </w:rPr>
              <w:t>965</w:t>
            </w:r>
            <w:r w:rsidR="00BF2751" w:rsidRPr="00FE3604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BF2751" w:rsidRPr="00FE3604">
              <w:rPr>
                <w:sz w:val="28"/>
                <w:szCs w:val="28"/>
              </w:rPr>
              <w:t xml:space="preserve">latiem, ko veido </w:t>
            </w:r>
            <w:r w:rsidR="00BF2751" w:rsidRPr="00FE3604">
              <w:rPr>
                <w:bCs/>
                <w:sz w:val="28"/>
                <w:szCs w:val="28"/>
              </w:rPr>
              <w:t xml:space="preserve">ESF finansējums </w:t>
            </w:r>
            <w:r w:rsidR="002367B9" w:rsidRPr="00FE3604">
              <w:rPr>
                <w:noProof/>
                <w:sz w:val="28"/>
                <w:szCs w:val="28"/>
                <w:lang w:eastAsia="en-US"/>
              </w:rPr>
              <w:t>33</w:t>
            </w:r>
            <w:r w:rsidR="00BF2751" w:rsidRPr="00FE3604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2367B9" w:rsidRPr="00FE3604">
              <w:rPr>
                <w:noProof/>
                <w:sz w:val="28"/>
                <w:szCs w:val="28"/>
                <w:lang w:eastAsia="en-US"/>
              </w:rPr>
              <w:t>417</w:t>
            </w:r>
            <w:r w:rsidR="00BF2751" w:rsidRPr="00FE3604">
              <w:rPr>
                <w:noProof/>
                <w:sz w:val="28"/>
                <w:szCs w:val="28"/>
                <w:lang w:eastAsia="en-US"/>
              </w:rPr>
              <w:t> </w:t>
            </w:r>
            <w:r w:rsidR="002367B9" w:rsidRPr="00FE3604">
              <w:rPr>
                <w:noProof/>
                <w:sz w:val="28"/>
                <w:szCs w:val="28"/>
                <w:lang w:eastAsia="en-US"/>
              </w:rPr>
              <w:t>846</w:t>
            </w:r>
            <w:r w:rsidR="00BF2751" w:rsidRPr="00FE3604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652D98" w:rsidRPr="00FE3604">
              <w:rPr>
                <w:sz w:val="28"/>
                <w:szCs w:val="28"/>
              </w:rPr>
              <w:t>latu apmērā</w:t>
            </w:r>
            <w:r w:rsidR="002367B9">
              <w:rPr>
                <w:sz w:val="28"/>
                <w:szCs w:val="28"/>
              </w:rPr>
              <w:t xml:space="preserve"> un </w:t>
            </w:r>
            <w:r w:rsidR="002367B9">
              <w:rPr>
                <w:bCs/>
                <w:sz w:val="28"/>
                <w:szCs w:val="28"/>
              </w:rPr>
              <w:t>valsts budžeta finansējums 5 897 119 latu apmēr</w:t>
            </w:r>
            <w:r w:rsidR="00B51616">
              <w:rPr>
                <w:bCs/>
                <w:sz w:val="28"/>
                <w:szCs w:val="28"/>
              </w:rPr>
              <w:t>ā</w:t>
            </w:r>
            <w:r w:rsidR="00542A0B" w:rsidRPr="0014590D">
              <w:rPr>
                <w:bCs/>
                <w:sz w:val="28"/>
                <w:szCs w:val="28"/>
              </w:rPr>
              <w:t>;</w:t>
            </w:r>
          </w:p>
          <w:p w:rsidR="0067355D" w:rsidRPr="00282C28" w:rsidRDefault="00542A0B" w:rsidP="00FE3604">
            <w:pPr>
              <w:jc w:val="both"/>
              <w:rPr>
                <w:rFonts w:eastAsia="Calibri"/>
                <w:sz w:val="28"/>
                <w:szCs w:val="28"/>
              </w:rPr>
            </w:pPr>
            <w:r w:rsidRPr="0014590D">
              <w:rPr>
                <w:bCs/>
                <w:sz w:val="28"/>
                <w:szCs w:val="28"/>
              </w:rPr>
              <w:t xml:space="preserve">2) </w:t>
            </w:r>
            <w:r w:rsidR="00FE3604">
              <w:rPr>
                <w:bCs/>
                <w:noProof/>
                <w:sz w:val="28"/>
                <w:szCs w:val="28"/>
                <w:lang w:eastAsia="en-US"/>
              </w:rPr>
              <w:t xml:space="preserve">noteikt kārtību, kādā īsteno </w:t>
            </w:r>
            <w:r w:rsidR="00FE3604" w:rsidRPr="00282C28">
              <w:rPr>
                <w:bCs/>
                <w:sz w:val="28"/>
                <w:szCs w:val="28"/>
              </w:rPr>
              <w:t>1.1.1.</w:t>
            </w:r>
            <w:r w:rsidR="00FE3604">
              <w:rPr>
                <w:bCs/>
                <w:sz w:val="28"/>
                <w:szCs w:val="28"/>
              </w:rPr>
              <w:t>2</w:t>
            </w:r>
            <w:r w:rsidR="00FE3604" w:rsidRPr="00282C28">
              <w:rPr>
                <w:bCs/>
                <w:sz w:val="28"/>
                <w:szCs w:val="28"/>
              </w:rPr>
              <w:t>.aktivitāt</w:t>
            </w:r>
            <w:r w:rsidR="00FE3604" w:rsidRPr="000D7AFB">
              <w:rPr>
                <w:bCs/>
                <w:sz w:val="28"/>
                <w:szCs w:val="28"/>
              </w:rPr>
              <w:t>e</w:t>
            </w:r>
            <w:r w:rsidR="00FE3604">
              <w:rPr>
                <w:bCs/>
                <w:sz w:val="28"/>
                <w:szCs w:val="28"/>
              </w:rPr>
              <w:t xml:space="preserve">s pirmo atlases kārtu, paredzot atbilstošu tehniska rakstura grozījumu veikšanu noteikumu </w:t>
            </w:r>
            <w:r w:rsidR="00FE3604" w:rsidRPr="000D7AFB">
              <w:rPr>
                <w:bCs/>
                <w:sz w:val="28"/>
                <w:szCs w:val="28"/>
              </w:rPr>
              <w:t>Nr.703</w:t>
            </w:r>
            <w:r w:rsidR="00FE3604">
              <w:rPr>
                <w:bCs/>
                <w:sz w:val="28"/>
                <w:szCs w:val="28"/>
              </w:rPr>
              <w:t xml:space="preserve"> tekstā.</w:t>
            </w:r>
          </w:p>
        </w:tc>
      </w:tr>
      <w:tr w:rsidR="007A6DB9" w:rsidRPr="00282C28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5.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3719AE" w:rsidP="004B34C2">
            <w:pPr>
              <w:rPr>
                <w:sz w:val="28"/>
                <w:szCs w:val="28"/>
              </w:rPr>
            </w:pPr>
            <w:r w:rsidRPr="000D7AFB">
              <w:rPr>
                <w:bCs/>
                <w:sz w:val="28"/>
                <w:szCs w:val="28"/>
              </w:rPr>
              <w:t>Izglītības un zinātnes ministrija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A6DB9" w:rsidRPr="00282C28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6.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5D4" w:rsidRPr="00282C28" w:rsidRDefault="006C6236" w:rsidP="00393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Noteikumu projekts ne</w:t>
            </w:r>
            <w:r w:rsidR="00EA48E1" w:rsidRPr="00282C28">
              <w:rPr>
                <w:sz w:val="28"/>
                <w:szCs w:val="28"/>
              </w:rPr>
              <w:t>ierobežo</w:t>
            </w:r>
            <w:r w:rsidRPr="00282C28">
              <w:rPr>
                <w:sz w:val="28"/>
                <w:szCs w:val="28"/>
              </w:rPr>
              <w:t xml:space="preserve"> sabiedrības </w:t>
            </w:r>
            <w:r w:rsidR="008C34FF" w:rsidRPr="00282C28">
              <w:rPr>
                <w:sz w:val="28"/>
                <w:szCs w:val="28"/>
              </w:rPr>
              <w:t xml:space="preserve">pārstāvju </w:t>
            </w:r>
            <w:r w:rsidRPr="00282C28">
              <w:rPr>
                <w:sz w:val="28"/>
                <w:szCs w:val="28"/>
              </w:rPr>
              <w:t>tiesības</w:t>
            </w:r>
            <w:r w:rsidR="00383933" w:rsidRPr="00282C28">
              <w:rPr>
                <w:sz w:val="28"/>
                <w:szCs w:val="28"/>
              </w:rPr>
              <w:t>.</w:t>
            </w:r>
          </w:p>
        </w:tc>
      </w:tr>
      <w:tr w:rsidR="007A6DB9" w:rsidRPr="00282C28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7.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Cita informācija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282C28" w:rsidRDefault="007A6DB9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Nav</w:t>
            </w:r>
            <w:r w:rsidR="00383933" w:rsidRPr="00282C28">
              <w:rPr>
                <w:sz w:val="28"/>
                <w:szCs w:val="28"/>
              </w:rPr>
              <w:t>.</w:t>
            </w:r>
          </w:p>
        </w:tc>
      </w:tr>
    </w:tbl>
    <w:p w:rsidR="002F3E81" w:rsidRPr="00282C28" w:rsidRDefault="007A6DB9" w:rsidP="004B34C2">
      <w:pPr>
        <w:rPr>
          <w:sz w:val="28"/>
          <w:szCs w:val="28"/>
        </w:rPr>
      </w:pPr>
      <w:r w:rsidRPr="00282C28">
        <w:rPr>
          <w:sz w:val="28"/>
          <w:szCs w:val="28"/>
        </w:rPr>
        <w:t> </w:t>
      </w:r>
    </w:p>
    <w:p w:rsidR="001D5304" w:rsidRPr="00282C28" w:rsidRDefault="001D5304" w:rsidP="008B61BB">
      <w:pPr>
        <w:jc w:val="both"/>
        <w:rPr>
          <w:sz w:val="28"/>
          <w:szCs w:val="28"/>
        </w:rPr>
      </w:pPr>
      <w:r w:rsidRPr="00282C28">
        <w:rPr>
          <w:sz w:val="28"/>
          <w:szCs w:val="28"/>
        </w:rPr>
        <w:t>Anotācijas II sadaļa – noteikumu projekts š</w:t>
      </w:r>
      <w:r w:rsidR="00264107">
        <w:rPr>
          <w:sz w:val="28"/>
          <w:szCs w:val="28"/>
        </w:rPr>
        <w:t xml:space="preserve">o </w:t>
      </w:r>
      <w:r w:rsidRPr="00282C28">
        <w:rPr>
          <w:sz w:val="28"/>
          <w:szCs w:val="28"/>
        </w:rPr>
        <w:t xml:space="preserve"> jom</w:t>
      </w:r>
      <w:r w:rsidR="00264107">
        <w:rPr>
          <w:sz w:val="28"/>
          <w:szCs w:val="28"/>
        </w:rPr>
        <w:t>u</w:t>
      </w:r>
      <w:r w:rsidRPr="00282C28">
        <w:rPr>
          <w:sz w:val="28"/>
          <w:szCs w:val="28"/>
        </w:rPr>
        <w:t xml:space="preserve"> neskar.</w:t>
      </w:r>
    </w:p>
    <w:p w:rsidR="00F46A20" w:rsidRPr="00282C28" w:rsidRDefault="00F46A20" w:rsidP="008B61BB">
      <w:pPr>
        <w:jc w:val="both"/>
        <w:rPr>
          <w:sz w:val="28"/>
          <w:szCs w:val="28"/>
        </w:rPr>
      </w:pPr>
    </w:p>
    <w:tbl>
      <w:tblPr>
        <w:tblW w:w="5004" w:type="pct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"/>
        <w:gridCol w:w="2640"/>
        <w:gridCol w:w="1402"/>
        <w:gridCol w:w="1271"/>
        <w:gridCol w:w="1536"/>
        <w:gridCol w:w="1272"/>
        <w:gridCol w:w="988"/>
        <w:gridCol w:w="141"/>
      </w:tblGrid>
      <w:tr w:rsidR="00F46A20" w:rsidRPr="00282C28" w:rsidTr="002D081A">
        <w:trPr>
          <w:gridBefore w:val="1"/>
          <w:wBefore w:w="20" w:type="pct"/>
          <w:trHeight w:val="432"/>
        </w:trPr>
        <w:tc>
          <w:tcPr>
            <w:tcW w:w="4980" w:type="pct"/>
            <w:gridSpan w:val="7"/>
            <w:vAlign w:val="center"/>
          </w:tcPr>
          <w:p w:rsidR="00F46A20" w:rsidRPr="00282C28" w:rsidRDefault="00F46A20" w:rsidP="00861A30">
            <w:pPr>
              <w:jc w:val="center"/>
              <w:rPr>
                <w:b/>
              </w:rPr>
            </w:pPr>
            <w:r w:rsidRPr="00282C28">
              <w:rPr>
                <w:b/>
              </w:rPr>
              <w:br w:type="page"/>
              <w:t>III. Tiesību akta projekta ietekme uz valsts budžetu un pašvaldību budžetiem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  <w:vMerge w:val="restar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282C28">
              <w:rPr>
                <w:b/>
              </w:rPr>
              <w:t>Rādītāji</w:t>
            </w:r>
          </w:p>
        </w:tc>
        <w:tc>
          <w:tcPr>
            <w:tcW w:w="1439" w:type="pct"/>
            <w:gridSpan w:val="2"/>
            <w:vMerge w:val="restar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282C28">
              <w:rPr>
                <w:b/>
              </w:rPr>
              <w:t>2012.</w:t>
            </w:r>
          </w:p>
        </w:tc>
        <w:tc>
          <w:tcPr>
            <w:tcW w:w="2043" w:type="pct"/>
            <w:gridSpan w:val="3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82C28"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282C28">
                <w:t>. latu</w:t>
              </w:r>
            </w:smartTag>
            <w:r w:rsidRPr="00282C28">
              <w:t>)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  <w:vMerge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439" w:type="pct"/>
            <w:gridSpan w:val="2"/>
            <w:vMerge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827" w:type="pc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82C28">
              <w:rPr>
                <w:b/>
                <w:bCs/>
              </w:rPr>
              <w:t>2013.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82C28">
              <w:rPr>
                <w:b/>
                <w:bCs/>
              </w:rPr>
              <w:t>2014.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82C28">
              <w:rPr>
                <w:b/>
                <w:bCs/>
              </w:rPr>
              <w:t>2015.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  <w:vMerge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755" w:type="pc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82C28">
              <w:t>Saskaņā ar valsts budžetu kārtējam gadam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82C28">
              <w:t>Izmaiņas kārtējā gadā, salīdzinot ar budžetu kārtējam gadam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82C28">
              <w:t>Izmaiņas, salīdzinot ar kārtējo (n) gadu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82C28">
              <w:t>Izmaiņas, salīdzinot ar kārtējo (n) gadu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282C28">
              <w:t>Izmaiņas, salīdzinot ar kārtējo (n) gadu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82C28">
              <w:rPr>
                <w:bCs/>
              </w:rPr>
              <w:t>1</w:t>
            </w:r>
          </w:p>
        </w:tc>
        <w:tc>
          <w:tcPr>
            <w:tcW w:w="755" w:type="pc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82C28">
              <w:rPr>
                <w:bCs/>
              </w:rPr>
              <w:t>2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82C28">
              <w:rPr>
                <w:bCs/>
              </w:rPr>
              <w:t>3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82C28">
              <w:rPr>
                <w:bCs/>
              </w:rPr>
              <w:t>4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82C28">
              <w:rPr>
                <w:bCs/>
              </w:rPr>
              <w:t>5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282C28">
              <w:rPr>
                <w:bCs/>
              </w:rPr>
              <w:t>6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rPr>
                <w:i/>
              </w:rPr>
            </w:pPr>
            <w:r w:rsidRPr="00282C28">
              <w:t>1. Budžeta ieņēmumi:</w:t>
            </w:r>
          </w:p>
        </w:tc>
        <w:tc>
          <w:tcPr>
            <w:tcW w:w="755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rPr>
                <w:i/>
              </w:rPr>
            </w:pPr>
            <w:r w:rsidRPr="00282C28">
              <w:t xml:space="preserve">1.1. valsts pamatbudžets, </w:t>
            </w:r>
            <w:r w:rsidRPr="00282C28">
              <w:lastRenderedPageBreak/>
              <w:t>tai skaitā ieņēmumi no maksas pakalpojumiem un citi pašu ieņēmumi</w:t>
            </w:r>
          </w:p>
        </w:tc>
        <w:tc>
          <w:tcPr>
            <w:tcW w:w="755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lastRenderedPageBreak/>
              <w:t>0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rPr>
                <w:i/>
              </w:rPr>
            </w:pPr>
            <w:r w:rsidRPr="00282C28">
              <w:lastRenderedPageBreak/>
              <w:t>1.2. valsts speciālais budžets</w:t>
            </w:r>
          </w:p>
        </w:tc>
        <w:tc>
          <w:tcPr>
            <w:tcW w:w="75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rPr>
                <w:i/>
              </w:rPr>
            </w:pPr>
            <w:r w:rsidRPr="00282C28">
              <w:t>1.3. pašvaldību budžets</w:t>
            </w:r>
          </w:p>
        </w:tc>
        <w:tc>
          <w:tcPr>
            <w:tcW w:w="75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>2. Budžeta izdevumi:</w:t>
            </w:r>
          </w:p>
        </w:tc>
        <w:tc>
          <w:tcPr>
            <w:tcW w:w="75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>2.1. valsts pamatbudžets</w:t>
            </w:r>
          </w:p>
        </w:tc>
        <w:tc>
          <w:tcPr>
            <w:tcW w:w="75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>2.2. valsts speciālais budžets</w:t>
            </w:r>
          </w:p>
        </w:tc>
        <w:tc>
          <w:tcPr>
            <w:tcW w:w="75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 xml:space="preserve">2.3. pašvaldību budžets </w:t>
            </w:r>
          </w:p>
        </w:tc>
        <w:tc>
          <w:tcPr>
            <w:tcW w:w="75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>3. Finansiālā ietekme: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>3.1. valsts pamatbudžets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>3.2. speciālais budžets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 xml:space="preserve">3.3. pašvaldību budžets 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  <w:vMerge w:val="restart"/>
          </w:tcPr>
          <w:p w:rsidR="00F46A20" w:rsidRPr="00282C28" w:rsidRDefault="00F46A20" w:rsidP="00861A30">
            <w:pPr>
              <w:jc w:val="both"/>
            </w:pPr>
            <w:r w:rsidRPr="00282C28">
              <w:t>4. Finanšu līdzekļi papildu izde</w:t>
            </w:r>
            <w:r w:rsidRPr="00282C28">
              <w:softHyphen/>
              <w:t>vumu finansēšanai (kompensējošu izdevumu samazinājumu norāda ar "+" zīmi)</w:t>
            </w:r>
          </w:p>
        </w:tc>
        <w:tc>
          <w:tcPr>
            <w:tcW w:w="755" w:type="pct"/>
            <w:vMerge w:val="restar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X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  <w:vMerge/>
          </w:tcPr>
          <w:p w:rsidR="00F46A20" w:rsidRPr="00282C28" w:rsidRDefault="00F46A20" w:rsidP="00861A30">
            <w:pPr>
              <w:jc w:val="both"/>
            </w:pPr>
          </w:p>
        </w:tc>
        <w:tc>
          <w:tcPr>
            <w:tcW w:w="755" w:type="pct"/>
            <w:vMerge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  <w:vMerge/>
          </w:tcPr>
          <w:p w:rsidR="00F46A20" w:rsidRPr="00282C28" w:rsidRDefault="00F46A20" w:rsidP="00861A30">
            <w:pPr>
              <w:jc w:val="both"/>
            </w:pPr>
          </w:p>
        </w:tc>
        <w:tc>
          <w:tcPr>
            <w:tcW w:w="755" w:type="pct"/>
            <w:vMerge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>5. Precizēta finansiālā ietekme:</w:t>
            </w:r>
          </w:p>
        </w:tc>
        <w:tc>
          <w:tcPr>
            <w:tcW w:w="755" w:type="pct"/>
            <w:vMerge w:val="restar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X</w:t>
            </w: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>5.1. valsts pamatbudžets</w:t>
            </w:r>
          </w:p>
        </w:tc>
        <w:tc>
          <w:tcPr>
            <w:tcW w:w="755" w:type="pct"/>
            <w:vMerge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>5.2. speciālais budžets</w:t>
            </w:r>
          </w:p>
        </w:tc>
        <w:tc>
          <w:tcPr>
            <w:tcW w:w="755" w:type="pct"/>
            <w:vMerge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 xml:space="preserve">5.3. pašvaldību budžets </w:t>
            </w:r>
          </w:p>
        </w:tc>
        <w:tc>
          <w:tcPr>
            <w:tcW w:w="755" w:type="pct"/>
            <w:vMerge/>
            <w:vAlign w:val="center"/>
          </w:tcPr>
          <w:p w:rsidR="00F46A20" w:rsidRPr="00282C28" w:rsidRDefault="00F46A20" w:rsidP="00F46A20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684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827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685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  <w:tc>
          <w:tcPr>
            <w:tcW w:w="531" w:type="pct"/>
            <w:vAlign w:val="center"/>
          </w:tcPr>
          <w:p w:rsidR="00F46A20" w:rsidRPr="00282C28" w:rsidRDefault="00F46A20" w:rsidP="00F46A20">
            <w:pPr>
              <w:jc w:val="center"/>
            </w:pPr>
            <w:r w:rsidRPr="00282C28">
              <w:t>0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>6. Detalizēts ieņēmumu un izdevu</w:t>
            </w:r>
            <w:r w:rsidRPr="00282C28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83" w:type="pct"/>
            <w:gridSpan w:val="5"/>
            <w:vMerge w:val="restart"/>
          </w:tcPr>
          <w:p w:rsidR="00F46A20" w:rsidRPr="00282C28" w:rsidRDefault="00206C59" w:rsidP="00206C5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82C28">
              <w:rPr>
                <w:sz w:val="28"/>
                <w:szCs w:val="28"/>
              </w:rPr>
              <w:t>Nav</w:t>
            </w:r>
            <w:r>
              <w:rPr>
                <w:sz w:val="28"/>
                <w:szCs w:val="28"/>
              </w:rPr>
              <w:t>.</w:t>
            </w: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>6.1. detalizēts ieņēmumu aprēķins</w:t>
            </w:r>
          </w:p>
        </w:tc>
        <w:tc>
          <w:tcPr>
            <w:tcW w:w="3483" w:type="pct"/>
            <w:gridSpan w:val="5"/>
            <w:vMerge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trHeight w:val="943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>6.2. detalizēts izdevumu aprēķins</w:t>
            </w:r>
          </w:p>
        </w:tc>
        <w:tc>
          <w:tcPr>
            <w:tcW w:w="3483" w:type="pct"/>
            <w:gridSpan w:val="5"/>
            <w:vMerge/>
          </w:tcPr>
          <w:p w:rsidR="00F46A20" w:rsidRPr="00282C28" w:rsidRDefault="00F46A20" w:rsidP="00861A30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46A20" w:rsidRPr="00282C28" w:rsidTr="002D081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76" w:type="pct"/>
          <w:jc w:val="center"/>
        </w:trPr>
        <w:tc>
          <w:tcPr>
            <w:tcW w:w="1441" w:type="pct"/>
            <w:gridSpan w:val="2"/>
          </w:tcPr>
          <w:p w:rsidR="00F46A20" w:rsidRPr="00282C28" w:rsidRDefault="00F46A20" w:rsidP="00861A30">
            <w:pPr>
              <w:jc w:val="both"/>
            </w:pPr>
            <w:r w:rsidRPr="00282C28">
              <w:t>7. Cita informācija</w:t>
            </w:r>
          </w:p>
        </w:tc>
        <w:tc>
          <w:tcPr>
            <w:tcW w:w="3483" w:type="pct"/>
            <w:gridSpan w:val="5"/>
          </w:tcPr>
          <w:p w:rsidR="00206C59" w:rsidRPr="00102544" w:rsidRDefault="00206C59" w:rsidP="00206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2544">
              <w:rPr>
                <w:sz w:val="28"/>
                <w:szCs w:val="28"/>
              </w:rPr>
              <w:t>Darbības programmas „Cilvēkresursi un nodarbinātība” papildinājumā (turpmāk - DPP) 1.1.1.</w:t>
            </w:r>
            <w:r w:rsidR="00DF1B15">
              <w:rPr>
                <w:sz w:val="28"/>
                <w:szCs w:val="28"/>
              </w:rPr>
              <w:t>2</w:t>
            </w:r>
            <w:r w:rsidRPr="00102544">
              <w:rPr>
                <w:sz w:val="28"/>
                <w:szCs w:val="28"/>
              </w:rPr>
              <w:t xml:space="preserve">.aktivitātei pieejamais </w:t>
            </w:r>
            <w:r w:rsidR="001E0887">
              <w:rPr>
                <w:sz w:val="28"/>
                <w:szCs w:val="28"/>
              </w:rPr>
              <w:t xml:space="preserve">kopējais </w:t>
            </w:r>
            <w:r w:rsidRPr="00102544">
              <w:rPr>
                <w:sz w:val="28"/>
                <w:szCs w:val="28"/>
              </w:rPr>
              <w:t xml:space="preserve">finansējums ir </w:t>
            </w:r>
            <w:r w:rsidR="00DF1B15" w:rsidRPr="00863340">
              <w:rPr>
                <w:sz w:val="28"/>
                <w:szCs w:val="28"/>
              </w:rPr>
              <w:t>44</w:t>
            </w:r>
            <w:r w:rsidR="001E0887" w:rsidRPr="00863340">
              <w:rPr>
                <w:sz w:val="28"/>
                <w:szCs w:val="28"/>
              </w:rPr>
              <w:t> </w:t>
            </w:r>
            <w:r w:rsidR="00DF1B15" w:rsidRPr="00863340">
              <w:rPr>
                <w:sz w:val="28"/>
                <w:szCs w:val="28"/>
              </w:rPr>
              <w:t>657</w:t>
            </w:r>
            <w:r w:rsidR="001E0887" w:rsidRPr="00863340">
              <w:rPr>
                <w:sz w:val="28"/>
                <w:szCs w:val="28"/>
              </w:rPr>
              <w:t> </w:t>
            </w:r>
            <w:r w:rsidR="00DF1B15" w:rsidRPr="00863340">
              <w:rPr>
                <w:sz w:val="28"/>
                <w:szCs w:val="28"/>
              </w:rPr>
              <w:t>810</w:t>
            </w:r>
            <w:r w:rsidR="001E0887" w:rsidRPr="00863340">
              <w:rPr>
                <w:sz w:val="28"/>
                <w:szCs w:val="28"/>
              </w:rPr>
              <w:t>,72</w:t>
            </w:r>
            <w:r w:rsidRPr="00863340">
              <w:rPr>
                <w:sz w:val="28"/>
                <w:szCs w:val="28"/>
              </w:rPr>
              <w:t xml:space="preserve"> lati</w:t>
            </w:r>
            <w:r w:rsidRPr="00102544">
              <w:rPr>
                <w:sz w:val="28"/>
                <w:szCs w:val="28"/>
              </w:rPr>
              <w:t>,</w:t>
            </w:r>
            <w:r w:rsidR="009C5B8A">
              <w:rPr>
                <w:sz w:val="28"/>
                <w:szCs w:val="28"/>
              </w:rPr>
              <w:t xml:space="preserve"> noteikumu Nr.703 </w:t>
            </w:r>
            <w:r w:rsidR="009C5B8A" w:rsidRPr="000D7AFB">
              <w:rPr>
                <w:bCs/>
                <w:sz w:val="28"/>
                <w:szCs w:val="28"/>
              </w:rPr>
              <w:t>12</w:t>
            </w:r>
            <w:r w:rsidR="009C5B8A">
              <w:rPr>
                <w:bCs/>
                <w:sz w:val="28"/>
                <w:szCs w:val="28"/>
              </w:rPr>
              <w:t xml:space="preserve">.punktā norādītais </w:t>
            </w:r>
            <w:r w:rsidR="009C5B8A" w:rsidRPr="00102544">
              <w:rPr>
                <w:sz w:val="28"/>
                <w:szCs w:val="28"/>
              </w:rPr>
              <w:t xml:space="preserve">pieejamais </w:t>
            </w:r>
            <w:r w:rsidR="009C5B8A">
              <w:rPr>
                <w:sz w:val="28"/>
                <w:szCs w:val="28"/>
              </w:rPr>
              <w:t xml:space="preserve">kopējais </w:t>
            </w:r>
            <w:r w:rsidR="009C5B8A" w:rsidRPr="00102544">
              <w:rPr>
                <w:sz w:val="28"/>
                <w:szCs w:val="28"/>
              </w:rPr>
              <w:t>finansējums ir</w:t>
            </w:r>
            <w:r w:rsidR="009C5B8A">
              <w:rPr>
                <w:sz w:val="28"/>
                <w:szCs w:val="28"/>
              </w:rPr>
              <w:t xml:space="preserve"> </w:t>
            </w:r>
            <w:r w:rsidR="009C5B8A" w:rsidRPr="004B7986">
              <w:rPr>
                <w:sz w:val="28"/>
                <w:szCs w:val="28"/>
              </w:rPr>
              <w:t xml:space="preserve">40 266 535 lati, </w:t>
            </w:r>
            <w:r w:rsidR="00E32602">
              <w:rPr>
                <w:sz w:val="28"/>
                <w:szCs w:val="28"/>
              </w:rPr>
              <w:t>līdz</w:t>
            </w:r>
            <w:r w:rsidR="00E32602" w:rsidRPr="00102544">
              <w:rPr>
                <w:sz w:val="28"/>
                <w:szCs w:val="28"/>
              </w:rPr>
              <w:t xml:space="preserve"> 2012.gada 8.maija Ministru kabineta </w:t>
            </w:r>
            <w:proofErr w:type="spellStart"/>
            <w:r w:rsidR="00E32602" w:rsidRPr="00102544">
              <w:rPr>
                <w:sz w:val="28"/>
                <w:szCs w:val="28"/>
              </w:rPr>
              <w:t>protokollēmuma</w:t>
            </w:r>
            <w:r w:rsidR="00E32602">
              <w:rPr>
                <w:sz w:val="28"/>
                <w:szCs w:val="28"/>
              </w:rPr>
              <w:t>m</w:t>
            </w:r>
            <w:proofErr w:type="spellEnd"/>
            <w:r w:rsidR="00E32602" w:rsidRPr="00102544">
              <w:rPr>
                <w:sz w:val="28"/>
                <w:szCs w:val="28"/>
              </w:rPr>
              <w:t xml:space="preserve"> par virssaistību piešķiršanu (protokols Nr.25, 26.§)</w:t>
            </w:r>
            <w:r w:rsidR="00E32602">
              <w:rPr>
                <w:sz w:val="28"/>
                <w:szCs w:val="28"/>
              </w:rPr>
              <w:t xml:space="preserve"> </w:t>
            </w:r>
            <w:r w:rsidRPr="00102544">
              <w:rPr>
                <w:sz w:val="28"/>
                <w:szCs w:val="28"/>
              </w:rPr>
              <w:t>vienošanās</w:t>
            </w:r>
            <w:r w:rsidR="009C5B8A">
              <w:rPr>
                <w:sz w:val="28"/>
                <w:szCs w:val="28"/>
              </w:rPr>
              <w:t xml:space="preserve"> vai līgumi</w:t>
            </w:r>
            <w:r w:rsidRPr="00102544">
              <w:rPr>
                <w:sz w:val="28"/>
                <w:szCs w:val="28"/>
              </w:rPr>
              <w:t xml:space="preserve"> par projekta īstenošanu noslēgt</w:t>
            </w:r>
            <w:r w:rsidR="00E32602">
              <w:rPr>
                <w:sz w:val="28"/>
                <w:szCs w:val="28"/>
              </w:rPr>
              <w:t>i</w:t>
            </w:r>
            <w:r w:rsidRPr="00102544">
              <w:rPr>
                <w:sz w:val="28"/>
                <w:szCs w:val="28"/>
              </w:rPr>
              <w:t xml:space="preserve"> </w:t>
            </w:r>
            <w:r w:rsidR="00E5418E" w:rsidRPr="00E32602">
              <w:rPr>
                <w:sz w:val="28"/>
                <w:szCs w:val="28"/>
              </w:rPr>
              <w:t>39 </w:t>
            </w:r>
            <w:r w:rsidR="004B7986" w:rsidRPr="00E32602">
              <w:rPr>
                <w:sz w:val="28"/>
                <w:szCs w:val="28"/>
              </w:rPr>
              <w:t>314</w:t>
            </w:r>
            <w:r w:rsidR="00E5418E" w:rsidRPr="00E32602">
              <w:rPr>
                <w:sz w:val="28"/>
                <w:szCs w:val="28"/>
              </w:rPr>
              <w:t> </w:t>
            </w:r>
            <w:r w:rsidR="004B7986" w:rsidRPr="00E32602">
              <w:rPr>
                <w:sz w:val="28"/>
                <w:szCs w:val="28"/>
              </w:rPr>
              <w:t>965</w:t>
            </w:r>
            <w:r w:rsidRPr="00E32602">
              <w:rPr>
                <w:sz w:val="28"/>
                <w:szCs w:val="28"/>
              </w:rPr>
              <w:t> latu apmērā.</w:t>
            </w:r>
            <w:r w:rsidRPr="00102544">
              <w:rPr>
                <w:sz w:val="28"/>
                <w:szCs w:val="28"/>
              </w:rPr>
              <w:t xml:space="preserve"> Ievērojot minēto, 1.1.1.</w:t>
            </w:r>
            <w:r w:rsidR="009C5B8A">
              <w:rPr>
                <w:sz w:val="28"/>
                <w:szCs w:val="28"/>
              </w:rPr>
              <w:t>2</w:t>
            </w:r>
            <w:r w:rsidRPr="00102544">
              <w:rPr>
                <w:sz w:val="28"/>
                <w:szCs w:val="28"/>
              </w:rPr>
              <w:t>.aktivitāt</w:t>
            </w:r>
            <w:r w:rsidR="00E32602">
              <w:rPr>
                <w:sz w:val="28"/>
                <w:szCs w:val="28"/>
              </w:rPr>
              <w:t>es pirmajā kārtā</w:t>
            </w:r>
            <w:r w:rsidRPr="00102544">
              <w:rPr>
                <w:sz w:val="28"/>
                <w:szCs w:val="28"/>
              </w:rPr>
              <w:t xml:space="preserve"> ir pieejams brīvais </w:t>
            </w:r>
            <w:r w:rsidR="00E32602">
              <w:rPr>
                <w:sz w:val="28"/>
                <w:szCs w:val="28"/>
              </w:rPr>
              <w:t xml:space="preserve">kopējais attiecināmais </w:t>
            </w:r>
            <w:r w:rsidRPr="00102544">
              <w:rPr>
                <w:sz w:val="28"/>
                <w:szCs w:val="28"/>
              </w:rPr>
              <w:t xml:space="preserve">finansējums </w:t>
            </w:r>
            <w:r w:rsidR="004B7986" w:rsidRPr="00863340">
              <w:rPr>
                <w:bCs/>
                <w:sz w:val="28"/>
                <w:szCs w:val="28"/>
              </w:rPr>
              <w:t>9</w:t>
            </w:r>
            <w:r w:rsidR="00E32602" w:rsidRPr="00863340">
              <w:rPr>
                <w:bCs/>
                <w:sz w:val="28"/>
                <w:szCs w:val="28"/>
              </w:rPr>
              <w:t>51</w:t>
            </w:r>
            <w:r w:rsidR="004B7986" w:rsidRPr="00863340">
              <w:rPr>
                <w:bCs/>
                <w:sz w:val="28"/>
                <w:szCs w:val="28"/>
              </w:rPr>
              <w:t> </w:t>
            </w:r>
            <w:r w:rsidR="00E32602" w:rsidRPr="00863340">
              <w:rPr>
                <w:bCs/>
                <w:sz w:val="28"/>
                <w:szCs w:val="28"/>
              </w:rPr>
              <w:t>570</w:t>
            </w:r>
            <w:r w:rsidR="00C32C39" w:rsidRPr="000D7AFB">
              <w:rPr>
                <w:bCs/>
                <w:sz w:val="28"/>
                <w:szCs w:val="28"/>
              </w:rPr>
              <w:t xml:space="preserve"> </w:t>
            </w:r>
            <w:r w:rsidRPr="00102544">
              <w:rPr>
                <w:sz w:val="28"/>
                <w:szCs w:val="28"/>
              </w:rPr>
              <w:t xml:space="preserve">latu </w:t>
            </w:r>
            <w:r w:rsidRPr="00102544">
              <w:rPr>
                <w:sz w:val="28"/>
                <w:szCs w:val="28"/>
              </w:rPr>
              <w:lastRenderedPageBreak/>
              <w:t xml:space="preserve">apmērā, ko </w:t>
            </w:r>
            <w:r w:rsidR="00670041" w:rsidRPr="000D7AFB">
              <w:rPr>
                <w:bCs/>
                <w:sz w:val="28"/>
                <w:szCs w:val="28"/>
              </w:rPr>
              <w:t>Izglītības un zinātnes ministrija</w:t>
            </w:r>
            <w:r w:rsidRPr="00102544">
              <w:rPr>
                <w:sz w:val="28"/>
                <w:szCs w:val="28"/>
              </w:rPr>
              <w:t xml:space="preserve"> ierosina novirzīt 1.1.1.</w:t>
            </w:r>
            <w:r w:rsidR="00C32C39">
              <w:rPr>
                <w:sz w:val="28"/>
                <w:szCs w:val="28"/>
              </w:rPr>
              <w:t>2</w:t>
            </w:r>
            <w:r w:rsidRPr="00102544">
              <w:rPr>
                <w:sz w:val="28"/>
                <w:szCs w:val="28"/>
              </w:rPr>
              <w:t>.aktivitātes otrās atlases kārtas īstenošanai.</w:t>
            </w:r>
          </w:p>
          <w:p w:rsidR="00F46A20" w:rsidRPr="00282C28" w:rsidRDefault="00206C59" w:rsidP="001605FA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102544">
              <w:rPr>
                <w:sz w:val="28"/>
                <w:szCs w:val="28"/>
              </w:rPr>
              <w:t xml:space="preserve">Ņemot vērā minēto, </w:t>
            </w:r>
            <w:r w:rsidR="00C32C39" w:rsidRPr="00102544">
              <w:rPr>
                <w:sz w:val="28"/>
                <w:szCs w:val="28"/>
              </w:rPr>
              <w:t>1.1.1.</w:t>
            </w:r>
            <w:r w:rsidR="00C32C39">
              <w:rPr>
                <w:sz w:val="28"/>
                <w:szCs w:val="28"/>
              </w:rPr>
              <w:t>2</w:t>
            </w:r>
            <w:r w:rsidR="00C32C39" w:rsidRPr="00102544">
              <w:rPr>
                <w:sz w:val="28"/>
                <w:szCs w:val="28"/>
              </w:rPr>
              <w:t xml:space="preserve">.aktivitātes </w:t>
            </w:r>
            <w:r w:rsidRPr="00102544">
              <w:rPr>
                <w:sz w:val="28"/>
                <w:szCs w:val="28"/>
              </w:rPr>
              <w:t xml:space="preserve">pieejamais attiecināmais finansējums tiek samazināts par  </w:t>
            </w:r>
            <w:r w:rsidR="001605FA" w:rsidRPr="00863340">
              <w:rPr>
                <w:bCs/>
                <w:sz w:val="28"/>
                <w:szCs w:val="28"/>
              </w:rPr>
              <w:t>951</w:t>
            </w:r>
            <w:r w:rsidR="001605FA">
              <w:rPr>
                <w:bCs/>
                <w:sz w:val="28"/>
                <w:szCs w:val="28"/>
              </w:rPr>
              <w:t> </w:t>
            </w:r>
            <w:r w:rsidR="001605FA" w:rsidRPr="00863340">
              <w:rPr>
                <w:bCs/>
                <w:sz w:val="28"/>
                <w:szCs w:val="28"/>
              </w:rPr>
              <w:t>570</w:t>
            </w:r>
            <w:r w:rsidR="001605FA" w:rsidRPr="000D7AFB">
              <w:rPr>
                <w:bCs/>
                <w:sz w:val="28"/>
                <w:szCs w:val="28"/>
              </w:rPr>
              <w:t xml:space="preserve"> </w:t>
            </w:r>
            <w:r w:rsidRPr="00102544">
              <w:rPr>
                <w:sz w:val="28"/>
                <w:szCs w:val="28"/>
              </w:rPr>
              <w:t xml:space="preserve">latiem no </w:t>
            </w:r>
            <w:r w:rsidR="00C32C39" w:rsidRPr="000D7AFB">
              <w:rPr>
                <w:bCs/>
                <w:sz w:val="28"/>
                <w:szCs w:val="28"/>
              </w:rPr>
              <w:t>40 266</w:t>
            </w:r>
            <w:r w:rsidR="00C32C39">
              <w:rPr>
                <w:bCs/>
                <w:sz w:val="28"/>
                <w:szCs w:val="28"/>
              </w:rPr>
              <w:t> </w:t>
            </w:r>
            <w:r w:rsidR="00C32C39" w:rsidRPr="000D7AFB">
              <w:rPr>
                <w:bCs/>
                <w:sz w:val="28"/>
                <w:szCs w:val="28"/>
              </w:rPr>
              <w:t xml:space="preserve">535 </w:t>
            </w:r>
            <w:r w:rsidRPr="00102544">
              <w:rPr>
                <w:sz w:val="28"/>
                <w:szCs w:val="28"/>
              </w:rPr>
              <w:t xml:space="preserve">latiem </w:t>
            </w:r>
            <w:r w:rsidRPr="001605FA">
              <w:rPr>
                <w:sz w:val="28"/>
                <w:szCs w:val="28"/>
              </w:rPr>
              <w:t xml:space="preserve">uz </w:t>
            </w:r>
            <w:r w:rsidR="00C32C39" w:rsidRPr="001605FA">
              <w:rPr>
                <w:noProof/>
                <w:sz w:val="28"/>
                <w:szCs w:val="28"/>
                <w:lang w:eastAsia="en-US"/>
              </w:rPr>
              <w:t>3</w:t>
            </w:r>
            <w:r w:rsidR="008E5A7D" w:rsidRPr="001605FA">
              <w:rPr>
                <w:noProof/>
                <w:sz w:val="28"/>
                <w:szCs w:val="28"/>
                <w:lang w:eastAsia="en-US"/>
              </w:rPr>
              <w:t>9</w:t>
            </w:r>
            <w:r w:rsidR="000A4944" w:rsidRPr="001605FA">
              <w:rPr>
                <w:noProof/>
                <w:sz w:val="28"/>
                <w:szCs w:val="28"/>
                <w:lang w:eastAsia="en-US"/>
              </w:rPr>
              <w:t> </w:t>
            </w:r>
            <w:r w:rsidR="001605FA" w:rsidRPr="001605FA">
              <w:rPr>
                <w:noProof/>
                <w:sz w:val="28"/>
                <w:szCs w:val="28"/>
                <w:lang w:eastAsia="en-US"/>
              </w:rPr>
              <w:t>314</w:t>
            </w:r>
            <w:r w:rsidR="000A4944" w:rsidRPr="001605FA">
              <w:rPr>
                <w:noProof/>
                <w:sz w:val="28"/>
                <w:szCs w:val="28"/>
                <w:lang w:eastAsia="en-US"/>
              </w:rPr>
              <w:t> </w:t>
            </w:r>
            <w:r w:rsidR="001605FA" w:rsidRPr="001605FA">
              <w:rPr>
                <w:noProof/>
                <w:sz w:val="28"/>
                <w:szCs w:val="28"/>
                <w:lang w:eastAsia="en-US"/>
              </w:rPr>
              <w:t>965</w:t>
            </w:r>
            <w:r w:rsidR="00C32C39" w:rsidRPr="001605FA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Pr="001605FA">
              <w:rPr>
                <w:sz w:val="28"/>
                <w:szCs w:val="28"/>
              </w:rPr>
              <w:t xml:space="preserve">latiem, </w:t>
            </w:r>
            <w:r w:rsidR="001605FA" w:rsidRPr="001605FA">
              <w:rPr>
                <w:sz w:val="28"/>
                <w:szCs w:val="28"/>
              </w:rPr>
              <w:t xml:space="preserve">ko veido </w:t>
            </w:r>
            <w:r w:rsidR="001605FA" w:rsidRPr="001605FA">
              <w:rPr>
                <w:bCs/>
                <w:sz w:val="28"/>
                <w:szCs w:val="28"/>
              </w:rPr>
              <w:t xml:space="preserve">ESF finansējums </w:t>
            </w:r>
            <w:r w:rsidR="001605FA" w:rsidRPr="001605FA">
              <w:rPr>
                <w:noProof/>
                <w:sz w:val="28"/>
                <w:szCs w:val="28"/>
                <w:lang w:eastAsia="en-US"/>
              </w:rPr>
              <w:t xml:space="preserve">33 417 846 </w:t>
            </w:r>
            <w:r w:rsidR="001605FA" w:rsidRPr="001605FA">
              <w:rPr>
                <w:sz w:val="28"/>
                <w:szCs w:val="28"/>
              </w:rPr>
              <w:t xml:space="preserve">latu apmērā un </w:t>
            </w:r>
            <w:r w:rsidR="001605FA" w:rsidRPr="001605FA">
              <w:rPr>
                <w:bCs/>
                <w:sz w:val="28"/>
                <w:szCs w:val="28"/>
              </w:rPr>
              <w:t>valsts budžeta finansējums 5 897 119 latu apmērā.</w:t>
            </w:r>
          </w:p>
        </w:tc>
      </w:tr>
    </w:tbl>
    <w:p w:rsidR="001D5304" w:rsidRPr="00282C28" w:rsidRDefault="001D5304" w:rsidP="008B61BB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"/>
        <w:gridCol w:w="2595"/>
        <w:gridCol w:w="6266"/>
      </w:tblGrid>
      <w:tr w:rsidR="001D5304" w:rsidRPr="00282C28" w:rsidTr="006B0A1B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hideMark/>
          </w:tcPr>
          <w:p w:rsidR="001D5304" w:rsidRPr="00282C28" w:rsidRDefault="001D5304" w:rsidP="006B0A1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 </w:t>
            </w:r>
            <w:r w:rsidRPr="00282C28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1D5304" w:rsidRPr="00282C28" w:rsidTr="006B0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282C28" w:rsidRDefault="001D5304" w:rsidP="006B0A1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1.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282C28" w:rsidRDefault="001D5304" w:rsidP="006B0A1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8C" w:rsidRPr="00BB5B34" w:rsidRDefault="00F6728C" w:rsidP="00F672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BB5B3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</w:t>
            </w:r>
            <w:r w:rsidR="00F541B0" w:rsidRPr="00BB5B3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oteikumu projekts </w:t>
            </w:r>
            <w:r w:rsidR="00C40FF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ne</w:t>
            </w:r>
            <w:r w:rsidR="00F541B0" w:rsidRPr="00BB5B3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paredz</w:t>
            </w:r>
            <w:r w:rsidR="009B45E7" w:rsidRPr="00BB5B3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BB5B3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saistīto tiesību</w:t>
            </w:r>
            <w:r w:rsidR="00C40FF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aktu grozīšanas nepieciešamību.</w:t>
            </w:r>
          </w:p>
          <w:p w:rsidR="001D5304" w:rsidRPr="00BB5B34" w:rsidRDefault="001D5304" w:rsidP="00D96EC0">
            <w:pPr>
              <w:jc w:val="both"/>
              <w:rPr>
                <w:sz w:val="28"/>
                <w:szCs w:val="28"/>
              </w:rPr>
            </w:pPr>
          </w:p>
        </w:tc>
      </w:tr>
      <w:tr w:rsidR="001D5304" w:rsidRPr="00282C28" w:rsidTr="006B0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282C28" w:rsidRDefault="001D5304" w:rsidP="006B0A1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2.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282C28" w:rsidRDefault="001D5304" w:rsidP="006B0A1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Cita informācija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5304" w:rsidRPr="00BB5B34" w:rsidRDefault="005B3AA2" w:rsidP="00EA03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attiecināms.</w:t>
            </w:r>
          </w:p>
        </w:tc>
      </w:tr>
    </w:tbl>
    <w:p w:rsidR="001D5304" w:rsidRPr="00282C28" w:rsidRDefault="001D5304" w:rsidP="001D5304">
      <w:pPr>
        <w:jc w:val="both"/>
        <w:rPr>
          <w:sz w:val="28"/>
          <w:szCs w:val="28"/>
        </w:rPr>
      </w:pPr>
    </w:p>
    <w:p w:rsidR="001D5304" w:rsidRPr="00282C28" w:rsidRDefault="001D5304" w:rsidP="001D5304">
      <w:pPr>
        <w:jc w:val="both"/>
        <w:rPr>
          <w:sz w:val="28"/>
          <w:szCs w:val="28"/>
        </w:rPr>
      </w:pPr>
      <w:r w:rsidRPr="00282C28">
        <w:rPr>
          <w:sz w:val="28"/>
          <w:szCs w:val="28"/>
        </w:rPr>
        <w:t>Anotācijas V un VI sadaļa – noteikumu projekts šīs jomas neskar.</w:t>
      </w:r>
    </w:p>
    <w:p w:rsidR="001D5304" w:rsidRPr="00282C28" w:rsidRDefault="001D5304" w:rsidP="001D5304">
      <w:pPr>
        <w:jc w:val="both"/>
        <w:rPr>
          <w:sz w:val="28"/>
          <w:szCs w:val="28"/>
        </w:rPr>
      </w:pPr>
    </w:p>
    <w:tbl>
      <w:tblPr>
        <w:tblW w:w="4990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2564"/>
        <w:gridCol w:w="6124"/>
      </w:tblGrid>
      <w:tr w:rsidR="00100200" w:rsidRPr="00282C28" w:rsidTr="00A9466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jc w:val="center"/>
              <w:rPr>
                <w:b/>
                <w:bCs/>
                <w:sz w:val="28"/>
                <w:szCs w:val="28"/>
              </w:rPr>
            </w:pPr>
            <w:r w:rsidRPr="00282C28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100200" w:rsidRPr="00282C28" w:rsidTr="00A94662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3719AE" w:rsidP="00AA000D">
            <w:pPr>
              <w:jc w:val="both"/>
              <w:rPr>
                <w:sz w:val="28"/>
                <w:szCs w:val="28"/>
              </w:rPr>
            </w:pPr>
            <w:r w:rsidRPr="000D7AFB">
              <w:rPr>
                <w:bCs/>
                <w:sz w:val="28"/>
                <w:szCs w:val="28"/>
              </w:rPr>
              <w:t>Izglītības un zinātnes ministrija</w:t>
            </w:r>
          </w:p>
        </w:tc>
      </w:tr>
      <w:tr w:rsidR="00100200" w:rsidRPr="00282C28" w:rsidTr="00A94662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2.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3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383933" w:rsidP="008B61BB">
            <w:pPr>
              <w:jc w:val="both"/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Netiek paplašinātas esošo institūciju funkcijas.</w:t>
            </w:r>
          </w:p>
        </w:tc>
      </w:tr>
      <w:tr w:rsidR="00100200" w:rsidRPr="00282C28" w:rsidTr="00A94662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3.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3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D658EF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Noteikumu projekts šo jomu neskar</w:t>
            </w:r>
            <w:r w:rsidR="00383933" w:rsidRPr="00282C28">
              <w:rPr>
                <w:sz w:val="28"/>
                <w:szCs w:val="28"/>
              </w:rPr>
              <w:t>.</w:t>
            </w:r>
          </w:p>
        </w:tc>
      </w:tr>
      <w:tr w:rsidR="00100200" w:rsidRPr="00282C28" w:rsidTr="00A94662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4.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3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D658EF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Noteikumu projekts šo jomu neskar</w:t>
            </w:r>
            <w:r w:rsidR="00383933" w:rsidRPr="00282C28">
              <w:rPr>
                <w:sz w:val="28"/>
                <w:szCs w:val="28"/>
              </w:rPr>
              <w:t>.</w:t>
            </w:r>
          </w:p>
        </w:tc>
      </w:tr>
      <w:tr w:rsidR="00100200" w:rsidRPr="00282C28" w:rsidTr="00A94662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5.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 xml:space="preserve">Esošu institūciju </w:t>
            </w:r>
            <w:r w:rsidRPr="00282C28">
              <w:rPr>
                <w:sz w:val="28"/>
                <w:szCs w:val="28"/>
              </w:rPr>
              <w:lastRenderedPageBreak/>
              <w:t>reorganizācija</w:t>
            </w:r>
          </w:p>
        </w:tc>
        <w:tc>
          <w:tcPr>
            <w:tcW w:w="3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D658EF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lastRenderedPageBreak/>
              <w:t>Noteikumu projekts šo jomu neskar</w:t>
            </w:r>
            <w:r w:rsidR="00383933" w:rsidRPr="00282C28">
              <w:rPr>
                <w:sz w:val="28"/>
                <w:szCs w:val="28"/>
              </w:rPr>
              <w:t>.</w:t>
            </w:r>
          </w:p>
        </w:tc>
      </w:tr>
      <w:tr w:rsidR="00100200" w:rsidRPr="00282C28" w:rsidTr="00A94662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Cita informācija</w:t>
            </w:r>
          </w:p>
        </w:tc>
        <w:tc>
          <w:tcPr>
            <w:tcW w:w="3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282C28" w:rsidRDefault="00100200" w:rsidP="004B34C2">
            <w:pPr>
              <w:rPr>
                <w:sz w:val="28"/>
                <w:szCs w:val="28"/>
              </w:rPr>
            </w:pPr>
            <w:r w:rsidRPr="00282C28">
              <w:rPr>
                <w:sz w:val="28"/>
                <w:szCs w:val="28"/>
              </w:rPr>
              <w:t>Nav</w:t>
            </w:r>
            <w:r w:rsidR="00383933" w:rsidRPr="00282C28">
              <w:rPr>
                <w:sz w:val="28"/>
                <w:szCs w:val="28"/>
              </w:rPr>
              <w:t>.</w:t>
            </w:r>
          </w:p>
        </w:tc>
      </w:tr>
    </w:tbl>
    <w:p w:rsidR="007A6DB9" w:rsidRPr="00282C28" w:rsidRDefault="007A6DB9" w:rsidP="004B34C2">
      <w:pPr>
        <w:jc w:val="both"/>
        <w:rPr>
          <w:sz w:val="28"/>
          <w:szCs w:val="28"/>
        </w:rPr>
      </w:pPr>
    </w:p>
    <w:p w:rsidR="00C34957" w:rsidRPr="00282C28" w:rsidRDefault="00C34957" w:rsidP="002E208C">
      <w:pPr>
        <w:jc w:val="both"/>
        <w:rPr>
          <w:sz w:val="28"/>
          <w:szCs w:val="28"/>
        </w:rPr>
      </w:pPr>
    </w:p>
    <w:p w:rsidR="00093CED" w:rsidRPr="008E3016" w:rsidRDefault="00093CED" w:rsidP="00093CED">
      <w:pPr>
        <w:tabs>
          <w:tab w:val="left" w:pos="6840"/>
        </w:tabs>
        <w:ind w:firstLine="720"/>
        <w:jc w:val="both"/>
        <w:rPr>
          <w:rStyle w:val="st"/>
          <w:sz w:val="28"/>
          <w:szCs w:val="28"/>
        </w:rPr>
      </w:pPr>
      <w:r w:rsidRPr="008E3016">
        <w:rPr>
          <w:rStyle w:val="st"/>
          <w:sz w:val="28"/>
          <w:szCs w:val="28"/>
        </w:rPr>
        <w:t xml:space="preserve">Vides aizsardzības un reģionālās </w:t>
      </w:r>
    </w:p>
    <w:p w:rsidR="00093CED" w:rsidRPr="008E3016" w:rsidRDefault="00093CED" w:rsidP="00093CED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8E3016">
        <w:rPr>
          <w:rStyle w:val="st"/>
          <w:sz w:val="28"/>
          <w:szCs w:val="28"/>
        </w:rPr>
        <w:t xml:space="preserve">attīstības </w:t>
      </w:r>
      <w:r w:rsidRPr="00093CED">
        <w:rPr>
          <w:rStyle w:val="Emphasis"/>
          <w:rFonts w:eastAsiaTheme="majorEastAsia"/>
          <w:b w:val="0"/>
          <w:sz w:val="28"/>
          <w:szCs w:val="28"/>
        </w:rPr>
        <w:t>ministrs,</w:t>
      </w:r>
    </w:p>
    <w:p w:rsidR="00093CED" w:rsidRPr="008E3016" w:rsidRDefault="00093CED" w:rsidP="00093CED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8E3016">
        <w:rPr>
          <w:sz w:val="28"/>
          <w:szCs w:val="28"/>
        </w:rPr>
        <w:t>izglītības un zinātnes ministra</w:t>
      </w:r>
    </w:p>
    <w:p w:rsidR="00093CED" w:rsidRPr="008E3016" w:rsidRDefault="00093CED" w:rsidP="00093CED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8E3016">
        <w:rPr>
          <w:sz w:val="28"/>
          <w:szCs w:val="28"/>
        </w:rPr>
        <w:t>pienākumu izpildītājs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E3016">
        <w:rPr>
          <w:sz w:val="28"/>
          <w:szCs w:val="28"/>
        </w:rPr>
        <w:t>E.Sprūdžs</w:t>
      </w:r>
      <w:proofErr w:type="spellEnd"/>
    </w:p>
    <w:p w:rsidR="003A37CB" w:rsidRPr="00282C28" w:rsidRDefault="003A37CB" w:rsidP="002E208C">
      <w:pPr>
        <w:jc w:val="both"/>
        <w:rPr>
          <w:sz w:val="28"/>
          <w:szCs w:val="28"/>
        </w:rPr>
      </w:pPr>
    </w:p>
    <w:p w:rsidR="00E766DF" w:rsidRPr="00282C28" w:rsidRDefault="00E766DF" w:rsidP="00E766DF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6C2166" w:rsidRPr="00282C28" w:rsidRDefault="00E766DF" w:rsidP="006C2166">
      <w:pPr>
        <w:ind w:left="709"/>
        <w:jc w:val="both"/>
        <w:rPr>
          <w:sz w:val="28"/>
          <w:szCs w:val="28"/>
        </w:rPr>
      </w:pPr>
      <w:r w:rsidRPr="00282C28">
        <w:rPr>
          <w:sz w:val="28"/>
          <w:szCs w:val="28"/>
        </w:rPr>
        <w:t xml:space="preserve">Vīza: </w:t>
      </w:r>
      <w:r w:rsidR="006C2166" w:rsidRPr="00282C28">
        <w:rPr>
          <w:sz w:val="28"/>
          <w:szCs w:val="28"/>
        </w:rPr>
        <w:t xml:space="preserve">Valsts sekretāra vietniece – </w:t>
      </w:r>
    </w:p>
    <w:p w:rsidR="006C2166" w:rsidRPr="00282C28" w:rsidRDefault="006C2166" w:rsidP="006C2166">
      <w:pPr>
        <w:ind w:left="709"/>
        <w:jc w:val="both"/>
        <w:rPr>
          <w:sz w:val="28"/>
          <w:szCs w:val="28"/>
        </w:rPr>
      </w:pPr>
      <w:r w:rsidRPr="00282C28">
        <w:rPr>
          <w:sz w:val="28"/>
          <w:szCs w:val="28"/>
        </w:rPr>
        <w:t>Struktūrfondu un starptautisko finanšu</w:t>
      </w:r>
    </w:p>
    <w:p w:rsidR="006C2166" w:rsidRPr="00282C28" w:rsidRDefault="006C2166" w:rsidP="006C2166">
      <w:pPr>
        <w:ind w:left="709"/>
        <w:jc w:val="both"/>
        <w:rPr>
          <w:sz w:val="28"/>
          <w:szCs w:val="28"/>
        </w:rPr>
      </w:pPr>
      <w:r w:rsidRPr="00282C28">
        <w:rPr>
          <w:sz w:val="28"/>
          <w:szCs w:val="28"/>
        </w:rPr>
        <w:t>instrumentu departamenta direktore,</w:t>
      </w:r>
    </w:p>
    <w:p w:rsidR="006C2166" w:rsidRPr="00282C28" w:rsidRDefault="006C2166" w:rsidP="006C2166">
      <w:pPr>
        <w:ind w:left="709"/>
        <w:jc w:val="both"/>
        <w:rPr>
          <w:sz w:val="28"/>
          <w:szCs w:val="28"/>
        </w:rPr>
      </w:pPr>
      <w:r w:rsidRPr="00282C28">
        <w:rPr>
          <w:sz w:val="28"/>
          <w:szCs w:val="28"/>
        </w:rPr>
        <w:t xml:space="preserve">valsts sekretāra pienākumu izpildītāja </w:t>
      </w:r>
      <w:r w:rsidRPr="00282C28">
        <w:rPr>
          <w:sz w:val="28"/>
          <w:szCs w:val="28"/>
        </w:rPr>
        <w:tab/>
      </w:r>
      <w:r w:rsidRPr="00282C28">
        <w:rPr>
          <w:sz w:val="28"/>
          <w:szCs w:val="28"/>
        </w:rPr>
        <w:tab/>
      </w:r>
      <w:r w:rsidRPr="00282C28">
        <w:rPr>
          <w:sz w:val="28"/>
          <w:szCs w:val="28"/>
        </w:rPr>
        <w:tab/>
      </w:r>
      <w:r w:rsidRPr="00282C28">
        <w:rPr>
          <w:sz w:val="28"/>
          <w:szCs w:val="28"/>
        </w:rPr>
        <w:tab/>
        <w:t>L.Sīka</w:t>
      </w:r>
    </w:p>
    <w:p w:rsidR="00680240" w:rsidRPr="00282C28" w:rsidRDefault="00680240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005492" w:rsidRDefault="00005492" w:rsidP="00065C1D">
      <w:pPr>
        <w:ind w:firstLine="720"/>
        <w:jc w:val="both"/>
        <w:rPr>
          <w:sz w:val="20"/>
          <w:szCs w:val="20"/>
        </w:rPr>
      </w:pPr>
    </w:p>
    <w:p w:rsidR="00005492" w:rsidRDefault="00005492" w:rsidP="00065C1D">
      <w:pPr>
        <w:ind w:firstLine="720"/>
        <w:jc w:val="both"/>
        <w:rPr>
          <w:sz w:val="20"/>
          <w:szCs w:val="20"/>
        </w:rPr>
      </w:pPr>
    </w:p>
    <w:p w:rsidR="00005492" w:rsidRDefault="00005492" w:rsidP="00065C1D">
      <w:pPr>
        <w:ind w:firstLine="720"/>
        <w:jc w:val="both"/>
        <w:rPr>
          <w:sz w:val="20"/>
          <w:szCs w:val="20"/>
        </w:rPr>
      </w:pPr>
    </w:p>
    <w:p w:rsidR="00005492" w:rsidRDefault="00005492" w:rsidP="00065C1D">
      <w:pPr>
        <w:ind w:firstLine="720"/>
        <w:jc w:val="both"/>
        <w:rPr>
          <w:sz w:val="20"/>
          <w:szCs w:val="20"/>
        </w:rPr>
      </w:pPr>
    </w:p>
    <w:p w:rsidR="00A76AFD" w:rsidRDefault="00A76AFD" w:rsidP="00065C1D">
      <w:pPr>
        <w:ind w:firstLine="720"/>
        <w:rPr>
          <w:sz w:val="20"/>
          <w:szCs w:val="20"/>
        </w:rPr>
      </w:pPr>
      <w:r>
        <w:rPr>
          <w:sz w:val="20"/>
          <w:szCs w:val="20"/>
        </w:rPr>
        <w:t>04.10.2012 14:55</w:t>
      </w:r>
    </w:p>
    <w:p w:rsidR="003719AE" w:rsidRDefault="008F0A55" w:rsidP="00065C1D">
      <w:pPr>
        <w:ind w:firstLine="720"/>
        <w:rPr>
          <w:sz w:val="20"/>
          <w:szCs w:val="20"/>
        </w:rPr>
      </w:pPr>
      <w:r>
        <w:rPr>
          <w:sz w:val="20"/>
          <w:szCs w:val="20"/>
        </w:rPr>
        <w:t>9</w:t>
      </w:r>
      <w:r w:rsidR="00093CED">
        <w:rPr>
          <w:sz w:val="20"/>
          <w:szCs w:val="20"/>
        </w:rPr>
        <w:t>20</w:t>
      </w:r>
    </w:p>
    <w:p w:rsidR="00065C1D" w:rsidRPr="00282C28" w:rsidRDefault="0076070B" w:rsidP="00065C1D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K.Pakšāne</w:t>
      </w:r>
      <w:proofErr w:type="spellEnd"/>
    </w:p>
    <w:p w:rsidR="00E96317" w:rsidRPr="00992006" w:rsidRDefault="00065C1D" w:rsidP="00DE5A73">
      <w:pPr>
        <w:ind w:firstLine="720"/>
        <w:rPr>
          <w:sz w:val="20"/>
          <w:szCs w:val="20"/>
        </w:rPr>
      </w:pPr>
      <w:r w:rsidRPr="00282C28">
        <w:rPr>
          <w:sz w:val="20"/>
          <w:szCs w:val="20"/>
        </w:rPr>
        <w:t>67047</w:t>
      </w:r>
      <w:r w:rsidR="0076070B">
        <w:rPr>
          <w:sz w:val="20"/>
          <w:szCs w:val="20"/>
        </w:rPr>
        <w:t>764</w:t>
      </w:r>
      <w:r w:rsidRPr="00282C28">
        <w:rPr>
          <w:sz w:val="20"/>
          <w:szCs w:val="20"/>
        </w:rPr>
        <w:t xml:space="preserve">, </w:t>
      </w:r>
      <w:hyperlink r:id="rId8" w:history="1">
        <w:r w:rsidR="0076070B" w:rsidRPr="007B6C98">
          <w:rPr>
            <w:rStyle w:val="Hyperlink"/>
            <w:sz w:val="20"/>
            <w:szCs w:val="20"/>
          </w:rPr>
          <w:t>katrina.paksane@izm.gov.lv</w:t>
        </w:r>
      </w:hyperlink>
      <w:r w:rsidRPr="002C643D">
        <w:rPr>
          <w:sz w:val="20"/>
          <w:szCs w:val="20"/>
        </w:rPr>
        <w:t xml:space="preserve"> </w:t>
      </w:r>
    </w:p>
    <w:sectPr w:rsidR="00E96317" w:rsidRPr="00992006" w:rsidSect="00BB4971">
      <w:headerReference w:type="default" r:id="rId9"/>
      <w:footerReference w:type="default" r:id="rId10"/>
      <w:footerReference w:type="first" r:id="rId11"/>
      <w:pgSz w:w="11906" w:h="16838"/>
      <w:pgMar w:top="1077" w:right="1134" w:bottom="1077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81" w:rsidRDefault="00297E81">
      <w:r>
        <w:separator/>
      </w:r>
    </w:p>
  </w:endnote>
  <w:endnote w:type="continuationSeparator" w:id="0">
    <w:p w:rsidR="00297E81" w:rsidRDefault="0029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81" w:rsidRPr="00005492" w:rsidRDefault="00297E81" w:rsidP="00005492">
    <w:pPr>
      <w:jc w:val="both"/>
      <w:rPr>
        <w:szCs w:val="20"/>
      </w:rPr>
    </w:pPr>
    <w:r w:rsidRPr="00462D14">
      <w:rPr>
        <w:sz w:val="20"/>
        <w:szCs w:val="20"/>
      </w:rPr>
      <w:t>IZMAnot_</w:t>
    </w:r>
    <w:r w:rsidR="008F0A55">
      <w:rPr>
        <w:sz w:val="20"/>
        <w:szCs w:val="20"/>
      </w:rPr>
      <w:t>0</w:t>
    </w:r>
    <w:r w:rsidR="0076070B">
      <w:rPr>
        <w:sz w:val="20"/>
        <w:szCs w:val="20"/>
      </w:rPr>
      <w:t>4</w:t>
    </w:r>
    <w:r>
      <w:rPr>
        <w:sz w:val="20"/>
        <w:szCs w:val="20"/>
      </w:rPr>
      <w:t>10</w:t>
    </w:r>
    <w:r w:rsidRPr="00462D14">
      <w:rPr>
        <w:sz w:val="20"/>
        <w:szCs w:val="20"/>
      </w:rPr>
      <w:t>12_groz1</w:t>
    </w:r>
    <w:r>
      <w:rPr>
        <w:sz w:val="20"/>
        <w:szCs w:val="20"/>
      </w:rPr>
      <w:t>112</w:t>
    </w:r>
    <w:r w:rsidRPr="0048436B">
      <w:rPr>
        <w:sz w:val="20"/>
        <w:szCs w:val="20"/>
      </w:rPr>
      <w:t xml:space="preserve">; </w:t>
    </w:r>
    <w:r w:rsidRPr="00005492">
      <w:rPr>
        <w:sz w:val="20"/>
        <w:szCs w:val="20"/>
      </w:rPr>
      <w:t>Ministru kabineta noteikumu projekta „Grozījums Ministru kabineta 2008.gada 2.septembra noteikumos Nr.703 „Noteikumi par darbības programmas „Cilvēkresursi un nodarbinātība” papildinājuma 1.1.1.2.aktivitāti „Cilvēkresursu piesaiste zinātnei””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81" w:rsidRPr="00493619" w:rsidRDefault="00297E81" w:rsidP="0048436B">
    <w:pPr>
      <w:jc w:val="both"/>
      <w:rPr>
        <w:sz w:val="20"/>
        <w:szCs w:val="20"/>
      </w:rPr>
    </w:pPr>
    <w:r w:rsidRPr="00462D14">
      <w:rPr>
        <w:sz w:val="20"/>
        <w:szCs w:val="20"/>
      </w:rPr>
      <w:t>IZMAnot_</w:t>
    </w:r>
    <w:r w:rsidR="008F0A55">
      <w:rPr>
        <w:sz w:val="20"/>
        <w:szCs w:val="20"/>
      </w:rPr>
      <w:t>0</w:t>
    </w:r>
    <w:r w:rsidR="0076070B">
      <w:rPr>
        <w:sz w:val="20"/>
        <w:szCs w:val="20"/>
      </w:rPr>
      <w:t>4</w:t>
    </w:r>
    <w:r>
      <w:rPr>
        <w:sz w:val="20"/>
        <w:szCs w:val="20"/>
      </w:rPr>
      <w:t>10</w:t>
    </w:r>
    <w:r w:rsidRPr="00462D14">
      <w:rPr>
        <w:sz w:val="20"/>
        <w:szCs w:val="20"/>
      </w:rPr>
      <w:t>12_groz1</w:t>
    </w:r>
    <w:r>
      <w:rPr>
        <w:sz w:val="20"/>
        <w:szCs w:val="20"/>
      </w:rPr>
      <w:t>112</w:t>
    </w:r>
    <w:r w:rsidRPr="0048436B">
      <w:rPr>
        <w:sz w:val="20"/>
        <w:szCs w:val="20"/>
      </w:rPr>
      <w:t xml:space="preserve">; </w:t>
    </w:r>
    <w:r w:rsidRPr="00005492">
      <w:rPr>
        <w:sz w:val="20"/>
        <w:szCs w:val="20"/>
      </w:rPr>
      <w:t>Ministru kabineta noteikumu projekta „Grozījums Ministru kabineta 2008.gada 2.septembra noteikumos Nr.703 „Noteikumi par darbības programmas „Cilvēkresursi un nodarbinātība” papildinājuma 1.1.1.2.aktivitāti „Cilvēkresursu piesaiste zinātnei””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81" w:rsidRDefault="00297E81">
      <w:r>
        <w:separator/>
      </w:r>
    </w:p>
  </w:footnote>
  <w:footnote w:type="continuationSeparator" w:id="0">
    <w:p w:rsidR="00297E81" w:rsidRDefault="00297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81" w:rsidRDefault="00404C8A">
    <w:pPr>
      <w:pStyle w:val="Header"/>
      <w:jc w:val="center"/>
    </w:pPr>
    <w:fldSimple w:instr=" PAGE   \* MERGEFORMAT ">
      <w:r w:rsidR="007550AE">
        <w:rPr>
          <w:noProof/>
        </w:rPr>
        <w:t>5</w:t>
      </w:r>
    </w:fldSimple>
  </w:p>
  <w:p w:rsidR="00297E81" w:rsidRDefault="00297E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B62"/>
    <w:multiLevelType w:val="hybridMultilevel"/>
    <w:tmpl w:val="BD24865E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172"/>
    <w:multiLevelType w:val="hybridMultilevel"/>
    <w:tmpl w:val="DF44F24A"/>
    <w:lvl w:ilvl="0" w:tplc="0426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2141908"/>
    <w:multiLevelType w:val="hybridMultilevel"/>
    <w:tmpl w:val="7FE608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2613F"/>
    <w:multiLevelType w:val="hybridMultilevel"/>
    <w:tmpl w:val="5D8413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7F1B"/>
    <w:multiLevelType w:val="hybridMultilevel"/>
    <w:tmpl w:val="F8C42E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901FF"/>
    <w:multiLevelType w:val="hybridMultilevel"/>
    <w:tmpl w:val="2E26B3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961"/>
    <w:multiLevelType w:val="hybridMultilevel"/>
    <w:tmpl w:val="3AA2B4E2"/>
    <w:lvl w:ilvl="0" w:tplc="D6BC95B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F80096"/>
    <w:multiLevelType w:val="hybridMultilevel"/>
    <w:tmpl w:val="1A8A8C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E3C60"/>
    <w:multiLevelType w:val="hybridMultilevel"/>
    <w:tmpl w:val="DB3C4606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63124"/>
    <w:multiLevelType w:val="hybridMultilevel"/>
    <w:tmpl w:val="E9062B6E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702D5"/>
    <w:multiLevelType w:val="hybridMultilevel"/>
    <w:tmpl w:val="A3BCEA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B7688"/>
    <w:multiLevelType w:val="hybridMultilevel"/>
    <w:tmpl w:val="21A4DE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362A7"/>
    <w:multiLevelType w:val="hybridMultilevel"/>
    <w:tmpl w:val="84345B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F5"/>
    <w:rsid w:val="0000188E"/>
    <w:rsid w:val="00001D6E"/>
    <w:rsid w:val="00005492"/>
    <w:rsid w:val="00010472"/>
    <w:rsid w:val="00010A8D"/>
    <w:rsid w:val="000202C8"/>
    <w:rsid w:val="0002253B"/>
    <w:rsid w:val="00031C26"/>
    <w:rsid w:val="00031F56"/>
    <w:rsid w:val="00042F7C"/>
    <w:rsid w:val="00045890"/>
    <w:rsid w:val="0004682B"/>
    <w:rsid w:val="000548C2"/>
    <w:rsid w:val="000618F4"/>
    <w:rsid w:val="00064253"/>
    <w:rsid w:val="00065C1D"/>
    <w:rsid w:val="00065D15"/>
    <w:rsid w:val="00070675"/>
    <w:rsid w:val="00070BBE"/>
    <w:rsid w:val="00071CCD"/>
    <w:rsid w:val="00072B5B"/>
    <w:rsid w:val="00080993"/>
    <w:rsid w:val="00080A79"/>
    <w:rsid w:val="000879F2"/>
    <w:rsid w:val="00093CED"/>
    <w:rsid w:val="00096D06"/>
    <w:rsid w:val="00097572"/>
    <w:rsid w:val="000A2E61"/>
    <w:rsid w:val="000A4944"/>
    <w:rsid w:val="000A74A3"/>
    <w:rsid w:val="000A76C5"/>
    <w:rsid w:val="000B35BA"/>
    <w:rsid w:val="000C33F3"/>
    <w:rsid w:val="000C3C05"/>
    <w:rsid w:val="000C542B"/>
    <w:rsid w:val="000D47E8"/>
    <w:rsid w:val="000D7213"/>
    <w:rsid w:val="000D7AFB"/>
    <w:rsid w:val="000E0FCF"/>
    <w:rsid w:val="000E5B40"/>
    <w:rsid w:val="000F0829"/>
    <w:rsid w:val="000F0C56"/>
    <w:rsid w:val="000F1937"/>
    <w:rsid w:val="000F1D2C"/>
    <w:rsid w:val="000F5C39"/>
    <w:rsid w:val="000F6CF4"/>
    <w:rsid w:val="00100200"/>
    <w:rsid w:val="00102544"/>
    <w:rsid w:val="00104EFF"/>
    <w:rsid w:val="00110A2F"/>
    <w:rsid w:val="00112777"/>
    <w:rsid w:val="00115F0E"/>
    <w:rsid w:val="0011720E"/>
    <w:rsid w:val="00121AB8"/>
    <w:rsid w:val="0012243D"/>
    <w:rsid w:val="00122E7C"/>
    <w:rsid w:val="00130797"/>
    <w:rsid w:val="00133F26"/>
    <w:rsid w:val="001457F5"/>
    <w:rsid w:val="0014590D"/>
    <w:rsid w:val="001509A7"/>
    <w:rsid w:val="0015137D"/>
    <w:rsid w:val="001560B0"/>
    <w:rsid w:val="001605FA"/>
    <w:rsid w:val="00164C2C"/>
    <w:rsid w:val="001652E4"/>
    <w:rsid w:val="00167B5C"/>
    <w:rsid w:val="001706AE"/>
    <w:rsid w:val="00172EF6"/>
    <w:rsid w:val="001747A9"/>
    <w:rsid w:val="00175887"/>
    <w:rsid w:val="001769FE"/>
    <w:rsid w:val="00177EC8"/>
    <w:rsid w:val="00181757"/>
    <w:rsid w:val="00185220"/>
    <w:rsid w:val="00185E2A"/>
    <w:rsid w:val="0018668F"/>
    <w:rsid w:val="00191511"/>
    <w:rsid w:val="001947AD"/>
    <w:rsid w:val="00197892"/>
    <w:rsid w:val="001979A9"/>
    <w:rsid w:val="001A04E6"/>
    <w:rsid w:val="001A0CE5"/>
    <w:rsid w:val="001A5357"/>
    <w:rsid w:val="001A685A"/>
    <w:rsid w:val="001A688D"/>
    <w:rsid w:val="001A68DD"/>
    <w:rsid w:val="001A7A17"/>
    <w:rsid w:val="001B2883"/>
    <w:rsid w:val="001B32B1"/>
    <w:rsid w:val="001B3F63"/>
    <w:rsid w:val="001C3E69"/>
    <w:rsid w:val="001C492A"/>
    <w:rsid w:val="001C5207"/>
    <w:rsid w:val="001C74FD"/>
    <w:rsid w:val="001C75FB"/>
    <w:rsid w:val="001C7F37"/>
    <w:rsid w:val="001D1771"/>
    <w:rsid w:val="001D19A2"/>
    <w:rsid w:val="001D1A28"/>
    <w:rsid w:val="001D21E8"/>
    <w:rsid w:val="001D331D"/>
    <w:rsid w:val="001D3DF8"/>
    <w:rsid w:val="001D3EAD"/>
    <w:rsid w:val="001D5304"/>
    <w:rsid w:val="001E0887"/>
    <w:rsid w:val="001E5A04"/>
    <w:rsid w:val="001E6DA6"/>
    <w:rsid w:val="001F1FC6"/>
    <w:rsid w:val="001F6339"/>
    <w:rsid w:val="001F65B5"/>
    <w:rsid w:val="001F6F2E"/>
    <w:rsid w:val="001F6F35"/>
    <w:rsid w:val="001F773C"/>
    <w:rsid w:val="001F7F25"/>
    <w:rsid w:val="002065DC"/>
    <w:rsid w:val="00206C59"/>
    <w:rsid w:val="00211D7C"/>
    <w:rsid w:val="00212DD3"/>
    <w:rsid w:val="002164EB"/>
    <w:rsid w:val="00221FF9"/>
    <w:rsid w:val="00226509"/>
    <w:rsid w:val="00233777"/>
    <w:rsid w:val="002367B9"/>
    <w:rsid w:val="00242C64"/>
    <w:rsid w:val="00244489"/>
    <w:rsid w:val="00244847"/>
    <w:rsid w:val="00252724"/>
    <w:rsid w:val="00252774"/>
    <w:rsid w:val="00253102"/>
    <w:rsid w:val="0025461E"/>
    <w:rsid w:val="00254DE0"/>
    <w:rsid w:val="0026004F"/>
    <w:rsid w:val="002601D7"/>
    <w:rsid w:val="00261E2F"/>
    <w:rsid w:val="00262912"/>
    <w:rsid w:val="00264107"/>
    <w:rsid w:val="00265882"/>
    <w:rsid w:val="00266FC2"/>
    <w:rsid w:val="00270C73"/>
    <w:rsid w:val="00274F73"/>
    <w:rsid w:val="00280EBF"/>
    <w:rsid w:val="00282C28"/>
    <w:rsid w:val="0028624E"/>
    <w:rsid w:val="002874BB"/>
    <w:rsid w:val="00287C0F"/>
    <w:rsid w:val="00291BBD"/>
    <w:rsid w:val="00295E1C"/>
    <w:rsid w:val="00297E81"/>
    <w:rsid w:val="002A4F72"/>
    <w:rsid w:val="002A67E2"/>
    <w:rsid w:val="002A69F3"/>
    <w:rsid w:val="002B0AB2"/>
    <w:rsid w:val="002B60B1"/>
    <w:rsid w:val="002B690C"/>
    <w:rsid w:val="002C22BC"/>
    <w:rsid w:val="002C2801"/>
    <w:rsid w:val="002C3B47"/>
    <w:rsid w:val="002C5F62"/>
    <w:rsid w:val="002C643D"/>
    <w:rsid w:val="002D081A"/>
    <w:rsid w:val="002D2C70"/>
    <w:rsid w:val="002D4E41"/>
    <w:rsid w:val="002D63CC"/>
    <w:rsid w:val="002E00C7"/>
    <w:rsid w:val="002E10C6"/>
    <w:rsid w:val="002E1A31"/>
    <w:rsid w:val="002E208C"/>
    <w:rsid w:val="002E2D20"/>
    <w:rsid w:val="002E75B0"/>
    <w:rsid w:val="002F3E81"/>
    <w:rsid w:val="002F6D6F"/>
    <w:rsid w:val="002F6FC6"/>
    <w:rsid w:val="00303FC8"/>
    <w:rsid w:val="00307D34"/>
    <w:rsid w:val="00312877"/>
    <w:rsid w:val="00313AFC"/>
    <w:rsid w:val="00322944"/>
    <w:rsid w:val="0032324F"/>
    <w:rsid w:val="00324897"/>
    <w:rsid w:val="00331ED3"/>
    <w:rsid w:val="00340C74"/>
    <w:rsid w:val="00341FE3"/>
    <w:rsid w:val="00343358"/>
    <w:rsid w:val="003452C0"/>
    <w:rsid w:val="00345A49"/>
    <w:rsid w:val="00346B60"/>
    <w:rsid w:val="0035374A"/>
    <w:rsid w:val="003558E0"/>
    <w:rsid w:val="0035611A"/>
    <w:rsid w:val="0036415F"/>
    <w:rsid w:val="00364313"/>
    <w:rsid w:val="003719AE"/>
    <w:rsid w:val="00372339"/>
    <w:rsid w:val="00372CDD"/>
    <w:rsid w:val="0037337A"/>
    <w:rsid w:val="00373F9B"/>
    <w:rsid w:val="00376728"/>
    <w:rsid w:val="00381AB8"/>
    <w:rsid w:val="00381E1C"/>
    <w:rsid w:val="00383933"/>
    <w:rsid w:val="00384894"/>
    <w:rsid w:val="003869B6"/>
    <w:rsid w:val="00386FAA"/>
    <w:rsid w:val="00393622"/>
    <w:rsid w:val="00393A78"/>
    <w:rsid w:val="00394096"/>
    <w:rsid w:val="00395EBF"/>
    <w:rsid w:val="003A0F33"/>
    <w:rsid w:val="003A0F8F"/>
    <w:rsid w:val="003A28B6"/>
    <w:rsid w:val="003A2B22"/>
    <w:rsid w:val="003A37CB"/>
    <w:rsid w:val="003A7FA7"/>
    <w:rsid w:val="003B2D72"/>
    <w:rsid w:val="003B49D2"/>
    <w:rsid w:val="003B5B9B"/>
    <w:rsid w:val="003B6BE5"/>
    <w:rsid w:val="003C0428"/>
    <w:rsid w:val="003C6DC5"/>
    <w:rsid w:val="003D16F4"/>
    <w:rsid w:val="003D199F"/>
    <w:rsid w:val="003D2D1E"/>
    <w:rsid w:val="003D6F17"/>
    <w:rsid w:val="003F3AB9"/>
    <w:rsid w:val="003F5248"/>
    <w:rsid w:val="003F7043"/>
    <w:rsid w:val="00400AA2"/>
    <w:rsid w:val="00400C89"/>
    <w:rsid w:val="00402428"/>
    <w:rsid w:val="00403A58"/>
    <w:rsid w:val="00404413"/>
    <w:rsid w:val="00404BE4"/>
    <w:rsid w:val="00404C8A"/>
    <w:rsid w:val="00410B1D"/>
    <w:rsid w:val="00411E18"/>
    <w:rsid w:val="004172D6"/>
    <w:rsid w:val="004219BF"/>
    <w:rsid w:val="00421C62"/>
    <w:rsid w:val="00422C3E"/>
    <w:rsid w:val="0042441E"/>
    <w:rsid w:val="00424947"/>
    <w:rsid w:val="00427A8C"/>
    <w:rsid w:val="004306FD"/>
    <w:rsid w:val="004375DD"/>
    <w:rsid w:val="00441E3F"/>
    <w:rsid w:val="00444EDC"/>
    <w:rsid w:val="00445EA0"/>
    <w:rsid w:val="0045313C"/>
    <w:rsid w:val="004579BF"/>
    <w:rsid w:val="004607AB"/>
    <w:rsid w:val="00462B40"/>
    <w:rsid w:val="00462D14"/>
    <w:rsid w:val="004634EE"/>
    <w:rsid w:val="00464363"/>
    <w:rsid w:val="004717E1"/>
    <w:rsid w:val="004719C5"/>
    <w:rsid w:val="00476B86"/>
    <w:rsid w:val="00480877"/>
    <w:rsid w:val="00481802"/>
    <w:rsid w:val="004820F6"/>
    <w:rsid w:val="0048309B"/>
    <w:rsid w:val="0048436B"/>
    <w:rsid w:val="0048568D"/>
    <w:rsid w:val="00486561"/>
    <w:rsid w:val="00486947"/>
    <w:rsid w:val="00487182"/>
    <w:rsid w:val="00490CA5"/>
    <w:rsid w:val="00493619"/>
    <w:rsid w:val="0049463A"/>
    <w:rsid w:val="004A1646"/>
    <w:rsid w:val="004A3D34"/>
    <w:rsid w:val="004A62B7"/>
    <w:rsid w:val="004B16BB"/>
    <w:rsid w:val="004B2408"/>
    <w:rsid w:val="004B34C2"/>
    <w:rsid w:val="004B3697"/>
    <w:rsid w:val="004B56A0"/>
    <w:rsid w:val="004B791E"/>
    <w:rsid w:val="004B7986"/>
    <w:rsid w:val="004C290D"/>
    <w:rsid w:val="004C35E9"/>
    <w:rsid w:val="004D1F04"/>
    <w:rsid w:val="004D609A"/>
    <w:rsid w:val="004E05B1"/>
    <w:rsid w:val="004E1097"/>
    <w:rsid w:val="004E68C3"/>
    <w:rsid w:val="004E6CA1"/>
    <w:rsid w:val="004E77B3"/>
    <w:rsid w:val="004E78C1"/>
    <w:rsid w:val="004F3A0D"/>
    <w:rsid w:val="004F5CB6"/>
    <w:rsid w:val="00500F48"/>
    <w:rsid w:val="005129ED"/>
    <w:rsid w:val="005224FC"/>
    <w:rsid w:val="0052554E"/>
    <w:rsid w:val="00525715"/>
    <w:rsid w:val="00526E69"/>
    <w:rsid w:val="005300C0"/>
    <w:rsid w:val="00532A5D"/>
    <w:rsid w:val="00533621"/>
    <w:rsid w:val="00541000"/>
    <w:rsid w:val="00542A0B"/>
    <w:rsid w:val="0054301C"/>
    <w:rsid w:val="005506CE"/>
    <w:rsid w:val="00551C32"/>
    <w:rsid w:val="0055265E"/>
    <w:rsid w:val="005526AB"/>
    <w:rsid w:val="00553E0E"/>
    <w:rsid w:val="00554E41"/>
    <w:rsid w:val="00560A27"/>
    <w:rsid w:val="005668FB"/>
    <w:rsid w:val="00566BE8"/>
    <w:rsid w:val="00570F2C"/>
    <w:rsid w:val="00573620"/>
    <w:rsid w:val="0057731C"/>
    <w:rsid w:val="00581109"/>
    <w:rsid w:val="0058304E"/>
    <w:rsid w:val="005832DA"/>
    <w:rsid w:val="00586020"/>
    <w:rsid w:val="005864A5"/>
    <w:rsid w:val="0059261B"/>
    <w:rsid w:val="00593020"/>
    <w:rsid w:val="005A030C"/>
    <w:rsid w:val="005A3FBB"/>
    <w:rsid w:val="005A454E"/>
    <w:rsid w:val="005B3AA2"/>
    <w:rsid w:val="005B4127"/>
    <w:rsid w:val="005B711F"/>
    <w:rsid w:val="005C0001"/>
    <w:rsid w:val="005C20CC"/>
    <w:rsid w:val="005C434B"/>
    <w:rsid w:val="005C4B80"/>
    <w:rsid w:val="005C68C9"/>
    <w:rsid w:val="005D0907"/>
    <w:rsid w:val="005D0B00"/>
    <w:rsid w:val="005D7DEF"/>
    <w:rsid w:val="005E38E9"/>
    <w:rsid w:val="005F2A00"/>
    <w:rsid w:val="005F5CAA"/>
    <w:rsid w:val="005F73BB"/>
    <w:rsid w:val="00604088"/>
    <w:rsid w:val="0060425F"/>
    <w:rsid w:val="006047E6"/>
    <w:rsid w:val="00605857"/>
    <w:rsid w:val="0061267F"/>
    <w:rsid w:val="006160DE"/>
    <w:rsid w:val="006213B4"/>
    <w:rsid w:val="00622024"/>
    <w:rsid w:val="00631BFE"/>
    <w:rsid w:val="00631FBA"/>
    <w:rsid w:val="00636063"/>
    <w:rsid w:val="0064195A"/>
    <w:rsid w:val="0065045D"/>
    <w:rsid w:val="00652D98"/>
    <w:rsid w:val="00656384"/>
    <w:rsid w:val="0065645D"/>
    <w:rsid w:val="00670041"/>
    <w:rsid w:val="006710A6"/>
    <w:rsid w:val="0067355D"/>
    <w:rsid w:val="006735B9"/>
    <w:rsid w:val="00674232"/>
    <w:rsid w:val="00674484"/>
    <w:rsid w:val="0067704B"/>
    <w:rsid w:val="00677645"/>
    <w:rsid w:val="00680204"/>
    <w:rsid w:val="00680240"/>
    <w:rsid w:val="006804A7"/>
    <w:rsid w:val="006821C9"/>
    <w:rsid w:val="00682402"/>
    <w:rsid w:val="00690C82"/>
    <w:rsid w:val="006920F2"/>
    <w:rsid w:val="006952FA"/>
    <w:rsid w:val="00697BD9"/>
    <w:rsid w:val="006A56EB"/>
    <w:rsid w:val="006A7A08"/>
    <w:rsid w:val="006B0A1B"/>
    <w:rsid w:val="006B259B"/>
    <w:rsid w:val="006B2C2B"/>
    <w:rsid w:val="006B339C"/>
    <w:rsid w:val="006B480A"/>
    <w:rsid w:val="006B7E81"/>
    <w:rsid w:val="006C2166"/>
    <w:rsid w:val="006C33E4"/>
    <w:rsid w:val="006C3531"/>
    <w:rsid w:val="006C6236"/>
    <w:rsid w:val="006D1125"/>
    <w:rsid w:val="006D5E2F"/>
    <w:rsid w:val="006D6167"/>
    <w:rsid w:val="006D6181"/>
    <w:rsid w:val="006D7B92"/>
    <w:rsid w:val="006E0CD7"/>
    <w:rsid w:val="006E5EE8"/>
    <w:rsid w:val="006E7F60"/>
    <w:rsid w:val="0070254E"/>
    <w:rsid w:val="00703181"/>
    <w:rsid w:val="007043CB"/>
    <w:rsid w:val="0070465C"/>
    <w:rsid w:val="007065EE"/>
    <w:rsid w:val="0071398F"/>
    <w:rsid w:val="00713D75"/>
    <w:rsid w:val="007158B3"/>
    <w:rsid w:val="0071707B"/>
    <w:rsid w:val="00721EFD"/>
    <w:rsid w:val="0072408A"/>
    <w:rsid w:val="00727D95"/>
    <w:rsid w:val="00735691"/>
    <w:rsid w:val="0074044B"/>
    <w:rsid w:val="00741DDA"/>
    <w:rsid w:val="00742DD2"/>
    <w:rsid w:val="00746BDE"/>
    <w:rsid w:val="00747253"/>
    <w:rsid w:val="00747766"/>
    <w:rsid w:val="007550AE"/>
    <w:rsid w:val="0075613E"/>
    <w:rsid w:val="0076070B"/>
    <w:rsid w:val="007720F7"/>
    <w:rsid w:val="00774A66"/>
    <w:rsid w:val="007757BB"/>
    <w:rsid w:val="0078399D"/>
    <w:rsid w:val="007903E4"/>
    <w:rsid w:val="00791967"/>
    <w:rsid w:val="00792B16"/>
    <w:rsid w:val="007A0290"/>
    <w:rsid w:val="007A207D"/>
    <w:rsid w:val="007A2E24"/>
    <w:rsid w:val="007A5524"/>
    <w:rsid w:val="007A6DB9"/>
    <w:rsid w:val="007B1108"/>
    <w:rsid w:val="007B2932"/>
    <w:rsid w:val="007B2A0D"/>
    <w:rsid w:val="007C1FBA"/>
    <w:rsid w:val="007C25F2"/>
    <w:rsid w:val="007C2877"/>
    <w:rsid w:val="007C5CDB"/>
    <w:rsid w:val="007E04D8"/>
    <w:rsid w:val="007E3A29"/>
    <w:rsid w:val="007E6371"/>
    <w:rsid w:val="007E7DBD"/>
    <w:rsid w:val="007F08E8"/>
    <w:rsid w:val="007F3390"/>
    <w:rsid w:val="007F4C96"/>
    <w:rsid w:val="00802AAC"/>
    <w:rsid w:val="0080778B"/>
    <w:rsid w:val="00812170"/>
    <w:rsid w:val="00812AC5"/>
    <w:rsid w:val="008131C2"/>
    <w:rsid w:val="00813508"/>
    <w:rsid w:val="0081361A"/>
    <w:rsid w:val="0081628B"/>
    <w:rsid w:val="00824590"/>
    <w:rsid w:val="00830047"/>
    <w:rsid w:val="008306F1"/>
    <w:rsid w:val="0083298A"/>
    <w:rsid w:val="00836D99"/>
    <w:rsid w:val="008452AC"/>
    <w:rsid w:val="008454AB"/>
    <w:rsid w:val="00851428"/>
    <w:rsid w:val="00853103"/>
    <w:rsid w:val="00853F6C"/>
    <w:rsid w:val="00860E3D"/>
    <w:rsid w:val="00861514"/>
    <w:rsid w:val="00861A30"/>
    <w:rsid w:val="0086323B"/>
    <w:rsid w:val="00863340"/>
    <w:rsid w:val="00864939"/>
    <w:rsid w:val="00866DB1"/>
    <w:rsid w:val="00871A92"/>
    <w:rsid w:val="008751B3"/>
    <w:rsid w:val="00875ECA"/>
    <w:rsid w:val="00877945"/>
    <w:rsid w:val="00877960"/>
    <w:rsid w:val="008811DD"/>
    <w:rsid w:val="008819F4"/>
    <w:rsid w:val="00882246"/>
    <w:rsid w:val="008906BE"/>
    <w:rsid w:val="00891617"/>
    <w:rsid w:val="00893907"/>
    <w:rsid w:val="0089431F"/>
    <w:rsid w:val="00894869"/>
    <w:rsid w:val="00894EBE"/>
    <w:rsid w:val="0089561D"/>
    <w:rsid w:val="008969E6"/>
    <w:rsid w:val="008A0144"/>
    <w:rsid w:val="008A7CBC"/>
    <w:rsid w:val="008B61BB"/>
    <w:rsid w:val="008C34FF"/>
    <w:rsid w:val="008C3705"/>
    <w:rsid w:val="008C3A3B"/>
    <w:rsid w:val="008D2731"/>
    <w:rsid w:val="008D5D72"/>
    <w:rsid w:val="008E0FB1"/>
    <w:rsid w:val="008E1AEB"/>
    <w:rsid w:val="008E5A7D"/>
    <w:rsid w:val="008F0A55"/>
    <w:rsid w:val="008F1075"/>
    <w:rsid w:val="008F2C55"/>
    <w:rsid w:val="008F375A"/>
    <w:rsid w:val="008F5BE4"/>
    <w:rsid w:val="0090256D"/>
    <w:rsid w:val="00911F92"/>
    <w:rsid w:val="009177B9"/>
    <w:rsid w:val="00925695"/>
    <w:rsid w:val="00931BEC"/>
    <w:rsid w:val="00935CA9"/>
    <w:rsid w:val="00936E55"/>
    <w:rsid w:val="00945801"/>
    <w:rsid w:val="00946C5B"/>
    <w:rsid w:val="00955177"/>
    <w:rsid w:val="00960678"/>
    <w:rsid w:val="00962CB4"/>
    <w:rsid w:val="00971CDE"/>
    <w:rsid w:val="009758DC"/>
    <w:rsid w:val="00977030"/>
    <w:rsid w:val="00977785"/>
    <w:rsid w:val="0098144C"/>
    <w:rsid w:val="00981757"/>
    <w:rsid w:val="00983863"/>
    <w:rsid w:val="009838B7"/>
    <w:rsid w:val="00985630"/>
    <w:rsid w:val="00987888"/>
    <w:rsid w:val="00990357"/>
    <w:rsid w:val="00991D30"/>
    <w:rsid w:val="00992006"/>
    <w:rsid w:val="009940B5"/>
    <w:rsid w:val="0099560F"/>
    <w:rsid w:val="00995884"/>
    <w:rsid w:val="00996139"/>
    <w:rsid w:val="009A09B0"/>
    <w:rsid w:val="009A64EA"/>
    <w:rsid w:val="009B0FC6"/>
    <w:rsid w:val="009B15CC"/>
    <w:rsid w:val="009B45E7"/>
    <w:rsid w:val="009B720D"/>
    <w:rsid w:val="009C0045"/>
    <w:rsid w:val="009C41EE"/>
    <w:rsid w:val="009C5B8A"/>
    <w:rsid w:val="009D11CF"/>
    <w:rsid w:val="009D21CA"/>
    <w:rsid w:val="009D26ED"/>
    <w:rsid w:val="009D5AAD"/>
    <w:rsid w:val="009D6333"/>
    <w:rsid w:val="009D6570"/>
    <w:rsid w:val="009E3FE2"/>
    <w:rsid w:val="009E50B0"/>
    <w:rsid w:val="009F1A02"/>
    <w:rsid w:val="009F217F"/>
    <w:rsid w:val="009F742D"/>
    <w:rsid w:val="00A0169E"/>
    <w:rsid w:val="00A019F8"/>
    <w:rsid w:val="00A15049"/>
    <w:rsid w:val="00A174BA"/>
    <w:rsid w:val="00A20B22"/>
    <w:rsid w:val="00A238F4"/>
    <w:rsid w:val="00A27EE6"/>
    <w:rsid w:val="00A317D1"/>
    <w:rsid w:val="00A42110"/>
    <w:rsid w:val="00A44EFA"/>
    <w:rsid w:val="00A471A0"/>
    <w:rsid w:val="00A5111E"/>
    <w:rsid w:val="00A5170B"/>
    <w:rsid w:val="00A6002F"/>
    <w:rsid w:val="00A6187D"/>
    <w:rsid w:val="00A61C7D"/>
    <w:rsid w:val="00A67D93"/>
    <w:rsid w:val="00A72ED6"/>
    <w:rsid w:val="00A74440"/>
    <w:rsid w:val="00A746F4"/>
    <w:rsid w:val="00A76AFD"/>
    <w:rsid w:val="00A77BA1"/>
    <w:rsid w:val="00A862F3"/>
    <w:rsid w:val="00A86570"/>
    <w:rsid w:val="00A9177D"/>
    <w:rsid w:val="00A94662"/>
    <w:rsid w:val="00A94A06"/>
    <w:rsid w:val="00AA000D"/>
    <w:rsid w:val="00AA037D"/>
    <w:rsid w:val="00AA0B69"/>
    <w:rsid w:val="00AA11FD"/>
    <w:rsid w:val="00AA2FBA"/>
    <w:rsid w:val="00AB2B0E"/>
    <w:rsid w:val="00AB6082"/>
    <w:rsid w:val="00AB67C8"/>
    <w:rsid w:val="00AB7A65"/>
    <w:rsid w:val="00AC1EBC"/>
    <w:rsid w:val="00AC3AA6"/>
    <w:rsid w:val="00AD10BD"/>
    <w:rsid w:val="00AD1390"/>
    <w:rsid w:val="00AD208B"/>
    <w:rsid w:val="00AD2849"/>
    <w:rsid w:val="00AD3772"/>
    <w:rsid w:val="00AD7B46"/>
    <w:rsid w:val="00AD7C4F"/>
    <w:rsid w:val="00AE18EF"/>
    <w:rsid w:val="00AE220D"/>
    <w:rsid w:val="00AE23BF"/>
    <w:rsid w:val="00AE2B4C"/>
    <w:rsid w:val="00AE320D"/>
    <w:rsid w:val="00AE6AF9"/>
    <w:rsid w:val="00AF1007"/>
    <w:rsid w:val="00AF269C"/>
    <w:rsid w:val="00AF5A36"/>
    <w:rsid w:val="00AF706E"/>
    <w:rsid w:val="00AF753A"/>
    <w:rsid w:val="00B04F2F"/>
    <w:rsid w:val="00B078FD"/>
    <w:rsid w:val="00B10596"/>
    <w:rsid w:val="00B11180"/>
    <w:rsid w:val="00B127A7"/>
    <w:rsid w:val="00B15883"/>
    <w:rsid w:val="00B1735E"/>
    <w:rsid w:val="00B21DFF"/>
    <w:rsid w:val="00B22753"/>
    <w:rsid w:val="00B22B37"/>
    <w:rsid w:val="00B2565F"/>
    <w:rsid w:val="00B34174"/>
    <w:rsid w:val="00B345F8"/>
    <w:rsid w:val="00B35355"/>
    <w:rsid w:val="00B40211"/>
    <w:rsid w:val="00B421E1"/>
    <w:rsid w:val="00B50D33"/>
    <w:rsid w:val="00B51616"/>
    <w:rsid w:val="00B52C6E"/>
    <w:rsid w:val="00B53C52"/>
    <w:rsid w:val="00B53CEA"/>
    <w:rsid w:val="00B54882"/>
    <w:rsid w:val="00B5693C"/>
    <w:rsid w:val="00B5787A"/>
    <w:rsid w:val="00B617AA"/>
    <w:rsid w:val="00B6233A"/>
    <w:rsid w:val="00B634A0"/>
    <w:rsid w:val="00B70B98"/>
    <w:rsid w:val="00B71CAD"/>
    <w:rsid w:val="00B74831"/>
    <w:rsid w:val="00B80F64"/>
    <w:rsid w:val="00B81903"/>
    <w:rsid w:val="00B81CF1"/>
    <w:rsid w:val="00B83FC7"/>
    <w:rsid w:val="00B84E7A"/>
    <w:rsid w:val="00B8553A"/>
    <w:rsid w:val="00B860B4"/>
    <w:rsid w:val="00B939F7"/>
    <w:rsid w:val="00BA5594"/>
    <w:rsid w:val="00BB148F"/>
    <w:rsid w:val="00BB2E2D"/>
    <w:rsid w:val="00BB4971"/>
    <w:rsid w:val="00BB4D0E"/>
    <w:rsid w:val="00BB5B34"/>
    <w:rsid w:val="00BB6563"/>
    <w:rsid w:val="00BB6909"/>
    <w:rsid w:val="00BC041D"/>
    <w:rsid w:val="00BC44D7"/>
    <w:rsid w:val="00BC5FBA"/>
    <w:rsid w:val="00BD21A8"/>
    <w:rsid w:val="00BD49E4"/>
    <w:rsid w:val="00BD5BFD"/>
    <w:rsid w:val="00BE3B14"/>
    <w:rsid w:val="00BE5368"/>
    <w:rsid w:val="00BE57D9"/>
    <w:rsid w:val="00BE7E59"/>
    <w:rsid w:val="00BF14EF"/>
    <w:rsid w:val="00BF2751"/>
    <w:rsid w:val="00BF44DD"/>
    <w:rsid w:val="00C011F0"/>
    <w:rsid w:val="00C01E21"/>
    <w:rsid w:val="00C02E31"/>
    <w:rsid w:val="00C17969"/>
    <w:rsid w:val="00C2123C"/>
    <w:rsid w:val="00C218BC"/>
    <w:rsid w:val="00C2378D"/>
    <w:rsid w:val="00C2678D"/>
    <w:rsid w:val="00C2704B"/>
    <w:rsid w:val="00C31F12"/>
    <w:rsid w:val="00C32234"/>
    <w:rsid w:val="00C32C39"/>
    <w:rsid w:val="00C3334F"/>
    <w:rsid w:val="00C34957"/>
    <w:rsid w:val="00C35E0C"/>
    <w:rsid w:val="00C36E40"/>
    <w:rsid w:val="00C374DB"/>
    <w:rsid w:val="00C40FF4"/>
    <w:rsid w:val="00C412F0"/>
    <w:rsid w:val="00C44917"/>
    <w:rsid w:val="00C44A4D"/>
    <w:rsid w:val="00C44F37"/>
    <w:rsid w:val="00C50367"/>
    <w:rsid w:val="00C50906"/>
    <w:rsid w:val="00C518F2"/>
    <w:rsid w:val="00C53A29"/>
    <w:rsid w:val="00C70B15"/>
    <w:rsid w:val="00C73479"/>
    <w:rsid w:val="00C77BF7"/>
    <w:rsid w:val="00C827CC"/>
    <w:rsid w:val="00C8664C"/>
    <w:rsid w:val="00C86EB3"/>
    <w:rsid w:val="00C87094"/>
    <w:rsid w:val="00CA684E"/>
    <w:rsid w:val="00CB2510"/>
    <w:rsid w:val="00CB2731"/>
    <w:rsid w:val="00CB4CD2"/>
    <w:rsid w:val="00CB6856"/>
    <w:rsid w:val="00CC1373"/>
    <w:rsid w:val="00CC3272"/>
    <w:rsid w:val="00CC3B63"/>
    <w:rsid w:val="00CC498E"/>
    <w:rsid w:val="00CC59D7"/>
    <w:rsid w:val="00CC61DA"/>
    <w:rsid w:val="00CC74FA"/>
    <w:rsid w:val="00CC76E5"/>
    <w:rsid w:val="00CC7AAE"/>
    <w:rsid w:val="00CD0944"/>
    <w:rsid w:val="00CD265C"/>
    <w:rsid w:val="00CD42B3"/>
    <w:rsid w:val="00CD6FB6"/>
    <w:rsid w:val="00CE0716"/>
    <w:rsid w:val="00CE299F"/>
    <w:rsid w:val="00CE3FF8"/>
    <w:rsid w:val="00CE55F5"/>
    <w:rsid w:val="00CE79A2"/>
    <w:rsid w:val="00CF6A7D"/>
    <w:rsid w:val="00D02313"/>
    <w:rsid w:val="00D12764"/>
    <w:rsid w:val="00D1485B"/>
    <w:rsid w:val="00D2017C"/>
    <w:rsid w:val="00D21726"/>
    <w:rsid w:val="00D21D6E"/>
    <w:rsid w:val="00D223B5"/>
    <w:rsid w:val="00D23263"/>
    <w:rsid w:val="00D24346"/>
    <w:rsid w:val="00D24AEB"/>
    <w:rsid w:val="00D31039"/>
    <w:rsid w:val="00D41863"/>
    <w:rsid w:val="00D4255A"/>
    <w:rsid w:val="00D4591B"/>
    <w:rsid w:val="00D47D1E"/>
    <w:rsid w:val="00D56AD1"/>
    <w:rsid w:val="00D57AC8"/>
    <w:rsid w:val="00D614B4"/>
    <w:rsid w:val="00D6195B"/>
    <w:rsid w:val="00D6405A"/>
    <w:rsid w:val="00D64E41"/>
    <w:rsid w:val="00D658EF"/>
    <w:rsid w:val="00D704A7"/>
    <w:rsid w:val="00D76B1F"/>
    <w:rsid w:val="00D839AF"/>
    <w:rsid w:val="00D83A29"/>
    <w:rsid w:val="00D84303"/>
    <w:rsid w:val="00D844F0"/>
    <w:rsid w:val="00D845FD"/>
    <w:rsid w:val="00D87339"/>
    <w:rsid w:val="00D96EC0"/>
    <w:rsid w:val="00DA0B3A"/>
    <w:rsid w:val="00DA55D0"/>
    <w:rsid w:val="00DA6785"/>
    <w:rsid w:val="00DA6F9C"/>
    <w:rsid w:val="00DA7AD5"/>
    <w:rsid w:val="00DB1AAD"/>
    <w:rsid w:val="00DB35A5"/>
    <w:rsid w:val="00DB51F8"/>
    <w:rsid w:val="00DB55CD"/>
    <w:rsid w:val="00DC09A0"/>
    <w:rsid w:val="00DC0FED"/>
    <w:rsid w:val="00DC2B2A"/>
    <w:rsid w:val="00DC4624"/>
    <w:rsid w:val="00DC674F"/>
    <w:rsid w:val="00DC6AEF"/>
    <w:rsid w:val="00DD1AAB"/>
    <w:rsid w:val="00DD328E"/>
    <w:rsid w:val="00DE0611"/>
    <w:rsid w:val="00DE07B6"/>
    <w:rsid w:val="00DE5050"/>
    <w:rsid w:val="00DE5822"/>
    <w:rsid w:val="00DE5A73"/>
    <w:rsid w:val="00DF1B15"/>
    <w:rsid w:val="00DF5718"/>
    <w:rsid w:val="00E04ED3"/>
    <w:rsid w:val="00E0568E"/>
    <w:rsid w:val="00E057B2"/>
    <w:rsid w:val="00E07155"/>
    <w:rsid w:val="00E11F9D"/>
    <w:rsid w:val="00E1231F"/>
    <w:rsid w:val="00E12A87"/>
    <w:rsid w:val="00E134B3"/>
    <w:rsid w:val="00E17C1E"/>
    <w:rsid w:val="00E24DAB"/>
    <w:rsid w:val="00E25154"/>
    <w:rsid w:val="00E252F0"/>
    <w:rsid w:val="00E25838"/>
    <w:rsid w:val="00E3072A"/>
    <w:rsid w:val="00E32602"/>
    <w:rsid w:val="00E3512F"/>
    <w:rsid w:val="00E3655C"/>
    <w:rsid w:val="00E36F11"/>
    <w:rsid w:val="00E42B37"/>
    <w:rsid w:val="00E44E48"/>
    <w:rsid w:val="00E46AF3"/>
    <w:rsid w:val="00E50438"/>
    <w:rsid w:val="00E5418E"/>
    <w:rsid w:val="00E551DF"/>
    <w:rsid w:val="00E552CB"/>
    <w:rsid w:val="00E572B3"/>
    <w:rsid w:val="00E5774F"/>
    <w:rsid w:val="00E57E32"/>
    <w:rsid w:val="00E62314"/>
    <w:rsid w:val="00E643AF"/>
    <w:rsid w:val="00E6555E"/>
    <w:rsid w:val="00E70522"/>
    <w:rsid w:val="00E726A8"/>
    <w:rsid w:val="00E7279E"/>
    <w:rsid w:val="00E729B9"/>
    <w:rsid w:val="00E7590C"/>
    <w:rsid w:val="00E766DF"/>
    <w:rsid w:val="00E85EBF"/>
    <w:rsid w:val="00E91E74"/>
    <w:rsid w:val="00E96317"/>
    <w:rsid w:val="00EA0317"/>
    <w:rsid w:val="00EA0CCD"/>
    <w:rsid w:val="00EA28D2"/>
    <w:rsid w:val="00EA48E1"/>
    <w:rsid w:val="00EA607F"/>
    <w:rsid w:val="00EA61F1"/>
    <w:rsid w:val="00EB117F"/>
    <w:rsid w:val="00EB2D16"/>
    <w:rsid w:val="00EB6365"/>
    <w:rsid w:val="00EB72D1"/>
    <w:rsid w:val="00EC0791"/>
    <w:rsid w:val="00EC4FF9"/>
    <w:rsid w:val="00EC53FA"/>
    <w:rsid w:val="00EC59EF"/>
    <w:rsid w:val="00ED112A"/>
    <w:rsid w:val="00ED134E"/>
    <w:rsid w:val="00ED17F8"/>
    <w:rsid w:val="00ED2821"/>
    <w:rsid w:val="00ED49C8"/>
    <w:rsid w:val="00EE0353"/>
    <w:rsid w:val="00EE073D"/>
    <w:rsid w:val="00EE1677"/>
    <w:rsid w:val="00EE5DF0"/>
    <w:rsid w:val="00EE6083"/>
    <w:rsid w:val="00EE7C30"/>
    <w:rsid w:val="00EF54E5"/>
    <w:rsid w:val="00EF5BD4"/>
    <w:rsid w:val="00EF6070"/>
    <w:rsid w:val="00F01AC9"/>
    <w:rsid w:val="00F05CF9"/>
    <w:rsid w:val="00F20A8A"/>
    <w:rsid w:val="00F213C6"/>
    <w:rsid w:val="00F23458"/>
    <w:rsid w:val="00F26DA3"/>
    <w:rsid w:val="00F310B9"/>
    <w:rsid w:val="00F33CEE"/>
    <w:rsid w:val="00F409A8"/>
    <w:rsid w:val="00F40D5C"/>
    <w:rsid w:val="00F42D3D"/>
    <w:rsid w:val="00F4546D"/>
    <w:rsid w:val="00F46A20"/>
    <w:rsid w:val="00F541B0"/>
    <w:rsid w:val="00F62FD7"/>
    <w:rsid w:val="00F633EF"/>
    <w:rsid w:val="00F649E3"/>
    <w:rsid w:val="00F65E8E"/>
    <w:rsid w:val="00F664A5"/>
    <w:rsid w:val="00F6728C"/>
    <w:rsid w:val="00F67340"/>
    <w:rsid w:val="00F70317"/>
    <w:rsid w:val="00F71092"/>
    <w:rsid w:val="00F72604"/>
    <w:rsid w:val="00F72C95"/>
    <w:rsid w:val="00F737E4"/>
    <w:rsid w:val="00F7627D"/>
    <w:rsid w:val="00F82A63"/>
    <w:rsid w:val="00F85A74"/>
    <w:rsid w:val="00F87E48"/>
    <w:rsid w:val="00F90F86"/>
    <w:rsid w:val="00FA6183"/>
    <w:rsid w:val="00FA663A"/>
    <w:rsid w:val="00FB738F"/>
    <w:rsid w:val="00FC349F"/>
    <w:rsid w:val="00FC4A93"/>
    <w:rsid w:val="00FD2558"/>
    <w:rsid w:val="00FE0D09"/>
    <w:rsid w:val="00FE35D4"/>
    <w:rsid w:val="00FE3604"/>
    <w:rsid w:val="00FE6BC5"/>
    <w:rsid w:val="00FF302B"/>
    <w:rsid w:val="00FF55D6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2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317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styleId="Hyperlink">
    <w:name w:val="Hyperlink"/>
    <w:basedOn w:val="DefaultParagraphFont"/>
    <w:uiPriority w:val="99"/>
    <w:rsid w:val="00444EDC"/>
    <w:rPr>
      <w:color w:val="0000FF"/>
      <w:u w:val="single"/>
    </w:rPr>
  </w:style>
  <w:style w:type="paragraph" w:styleId="Footer">
    <w:name w:val="footer"/>
    <w:basedOn w:val="Normal"/>
    <w:rsid w:val="005224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1307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726A8"/>
    <w:rPr>
      <w:sz w:val="24"/>
      <w:szCs w:val="24"/>
    </w:rPr>
  </w:style>
  <w:style w:type="paragraph" w:styleId="NormalWeb">
    <w:name w:val="Normal (Web)"/>
    <w:basedOn w:val="Normal"/>
    <w:rsid w:val="00AE6AF9"/>
    <w:pPr>
      <w:spacing w:before="100" w:beforeAutospacing="1" w:after="100" w:afterAutospacing="1"/>
    </w:pPr>
    <w:rPr>
      <w:lang w:val="en-GB" w:eastAsia="en-US"/>
    </w:rPr>
  </w:style>
  <w:style w:type="paragraph" w:styleId="BodyText">
    <w:name w:val="Body Text"/>
    <w:basedOn w:val="Normal"/>
    <w:link w:val="BodyTextChar"/>
    <w:rsid w:val="004B24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2408"/>
    <w:rPr>
      <w:sz w:val="24"/>
      <w:szCs w:val="24"/>
    </w:rPr>
  </w:style>
  <w:style w:type="paragraph" w:customStyle="1" w:styleId="naisf">
    <w:name w:val="naisf"/>
    <w:basedOn w:val="Normal"/>
    <w:rsid w:val="001D1A28"/>
    <w:pPr>
      <w:spacing w:before="75" w:after="75"/>
      <w:ind w:firstLine="375"/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6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A11FD"/>
    <w:rPr>
      <w:b/>
      <w:bCs/>
      <w:i w:val="0"/>
      <w:iCs w:val="0"/>
    </w:rPr>
  </w:style>
  <w:style w:type="character" w:customStyle="1" w:styleId="st">
    <w:name w:val="st"/>
    <w:basedOn w:val="DefaultParagraphFont"/>
    <w:rsid w:val="00AA11FD"/>
  </w:style>
  <w:style w:type="paragraph" w:styleId="Date">
    <w:name w:val="Date"/>
    <w:basedOn w:val="Normal"/>
    <w:next w:val="Normal"/>
    <w:link w:val="DateChar"/>
    <w:rsid w:val="00C44A4D"/>
  </w:style>
  <w:style w:type="character" w:customStyle="1" w:styleId="DateChar">
    <w:name w:val="Date Char"/>
    <w:basedOn w:val="DefaultParagraphFont"/>
    <w:link w:val="Date"/>
    <w:rsid w:val="00C44A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61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1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paksa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B08D-62C7-46C5-8DA0-101E0477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920</Words>
  <Characters>6083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2010.gada 2.marta noteikumos Nr.196 „Noteikumi par darbības programmas „Cilvēkresursi un nodarbinātība” papildinājuma 1.2.1.1.1.apakšaktivitāti „Nozaru kvalifikāciju sistēmas izveide un pro</vt:lpstr>
    </vt:vector>
  </TitlesOfParts>
  <Company>Microsoft Corporation</Company>
  <LinksUpToDate>false</LinksUpToDate>
  <CharactersWithSpaces>6990</CharactersWithSpaces>
  <SharedDoc>false</SharedDoc>
  <HLinks>
    <vt:vector size="6" baseType="variant"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mailto:santa.smidlere@izm.gov.lv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2008.gada 2.septembra noteikumos Nr.703 „Noteikumi par darbības programmas „Cilvēkresursi un nodarbinātība” papildinājuma 1.1.1.2.aktivitāti „Cilvēkresursu piesaiste zinātnei”” sākotnējās ietekmes novērtējuma ziņojums (anotācija)</dc:title>
  <dc:subject>Anotācija</dc:subject>
  <dc:creator>Katrīna Pakšāne</dc:creator>
  <cp:keywords/>
  <dc:description>katrina.paksane@izm.gov.lv, talr. 67047764</dc:description>
  <cp:lastModifiedBy>kpaksane</cp:lastModifiedBy>
  <cp:revision>288</cp:revision>
  <cp:lastPrinted>2012-08-09T08:29:00Z</cp:lastPrinted>
  <dcterms:created xsi:type="dcterms:W3CDTF">2012-02-01T10:03:00Z</dcterms:created>
  <dcterms:modified xsi:type="dcterms:W3CDTF">2012-10-04T11:55:00Z</dcterms:modified>
</cp:coreProperties>
</file>