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Default="00B21DFF" w:rsidP="00622024">
      <w:pPr>
        <w:jc w:val="center"/>
        <w:rPr>
          <w:b/>
          <w:bCs/>
          <w:sz w:val="28"/>
          <w:szCs w:val="28"/>
        </w:rPr>
      </w:pPr>
      <w:bookmarkStart w:id="0" w:name="OLE_LINK3"/>
      <w:bookmarkStart w:id="1" w:name="OLE_LINK4"/>
      <w:bookmarkStart w:id="2" w:name="OLE_LINK28"/>
      <w:bookmarkStart w:id="3" w:name="OLE_LINK29"/>
      <w:r w:rsidRPr="00936E55">
        <w:rPr>
          <w:b/>
          <w:bCs/>
          <w:sz w:val="28"/>
          <w:szCs w:val="28"/>
        </w:rPr>
        <w:t>Mini</w:t>
      </w:r>
      <w:bookmarkStart w:id="4" w:name="OLE_LINK5"/>
      <w:bookmarkStart w:id="5" w:name="OLE_LINK6"/>
      <w:bookmarkStart w:id="6" w:name="OLE_LINK1"/>
      <w:bookmarkStart w:id="7" w:name="OLE_LINK2"/>
      <w:r w:rsidR="00324897" w:rsidRPr="00936E55">
        <w:rPr>
          <w:b/>
          <w:bCs/>
          <w:sz w:val="28"/>
          <w:szCs w:val="28"/>
        </w:rPr>
        <w:t xml:space="preserve">stru </w:t>
      </w:r>
      <w:r w:rsidR="00324897" w:rsidRPr="00DC0FED">
        <w:rPr>
          <w:b/>
          <w:bCs/>
          <w:sz w:val="28"/>
          <w:szCs w:val="28"/>
        </w:rPr>
        <w:t xml:space="preserve">kabineta noteikumu </w:t>
      </w:r>
      <w:bookmarkEnd w:id="4"/>
      <w:bookmarkEnd w:id="5"/>
      <w:bookmarkEnd w:id="6"/>
      <w:bookmarkEnd w:id="7"/>
      <w:r w:rsidR="00493619" w:rsidRPr="00DC0FED">
        <w:rPr>
          <w:b/>
          <w:bCs/>
          <w:sz w:val="28"/>
          <w:szCs w:val="28"/>
        </w:rPr>
        <w:t xml:space="preserve">projekta </w:t>
      </w:r>
      <w:bookmarkStart w:id="8" w:name="OLE_LINK9"/>
      <w:bookmarkStart w:id="9" w:name="OLE_LINK10"/>
      <w:bookmarkStart w:id="10" w:name="OLE_LINK7"/>
      <w:bookmarkStart w:id="11" w:name="OLE_LINK8"/>
      <w:r w:rsidR="00E350C1">
        <w:rPr>
          <w:b/>
          <w:bCs/>
          <w:sz w:val="28"/>
          <w:szCs w:val="28"/>
        </w:rPr>
        <w:t>„</w:t>
      </w:r>
      <w:r w:rsidR="00AC78BE">
        <w:rPr>
          <w:b/>
          <w:sz w:val="28"/>
          <w:szCs w:val="28"/>
        </w:rPr>
        <w:t>Par</w:t>
      </w:r>
      <w:r w:rsidR="00AC78BE" w:rsidRPr="006B6A89">
        <w:rPr>
          <w:b/>
          <w:sz w:val="28"/>
          <w:szCs w:val="28"/>
        </w:rPr>
        <w:t xml:space="preserve"> Ministru kabineta 20</w:t>
      </w:r>
      <w:r w:rsidR="00AC78BE">
        <w:rPr>
          <w:b/>
          <w:sz w:val="28"/>
          <w:szCs w:val="28"/>
        </w:rPr>
        <w:t>09</w:t>
      </w:r>
      <w:r w:rsidR="00AC78BE" w:rsidRPr="006B6A89">
        <w:rPr>
          <w:b/>
          <w:sz w:val="28"/>
          <w:szCs w:val="28"/>
        </w:rPr>
        <w:t xml:space="preserve">.gada </w:t>
      </w:r>
      <w:r w:rsidR="00AC78BE">
        <w:rPr>
          <w:b/>
          <w:sz w:val="28"/>
          <w:szCs w:val="28"/>
        </w:rPr>
        <w:t>9.jūnija</w:t>
      </w:r>
      <w:r w:rsidR="00AC78BE" w:rsidRPr="006B6A89">
        <w:rPr>
          <w:b/>
          <w:sz w:val="28"/>
          <w:szCs w:val="28"/>
        </w:rPr>
        <w:t xml:space="preserve"> noteikum</w:t>
      </w:r>
      <w:r w:rsidR="00AC78BE">
        <w:rPr>
          <w:b/>
          <w:sz w:val="28"/>
          <w:szCs w:val="28"/>
        </w:rPr>
        <w:t>u</w:t>
      </w:r>
      <w:r w:rsidR="00AC78BE" w:rsidRPr="006B6A89">
        <w:rPr>
          <w:b/>
          <w:sz w:val="28"/>
          <w:szCs w:val="28"/>
        </w:rPr>
        <w:t xml:space="preserve"> Nr.</w:t>
      </w:r>
      <w:r w:rsidR="00AC78BE">
        <w:rPr>
          <w:b/>
          <w:sz w:val="28"/>
          <w:szCs w:val="28"/>
        </w:rPr>
        <w:t xml:space="preserve">522 </w:t>
      </w:r>
      <w:r w:rsidR="00AC78BE" w:rsidRPr="006B6A89">
        <w:rPr>
          <w:b/>
          <w:sz w:val="28"/>
          <w:szCs w:val="28"/>
        </w:rPr>
        <w:t>„</w:t>
      </w:r>
      <w:r w:rsidR="00AC78BE" w:rsidRPr="00364F3D">
        <w:rPr>
          <w:b/>
          <w:sz w:val="28"/>
          <w:szCs w:val="28"/>
        </w:rPr>
        <w:t xml:space="preserve">Noteikumi par darbības programmas </w:t>
      </w:r>
      <w:r w:rsidR="00E350C1">
        <w:rPr>
          <w:b/>
          <w:sz w:val="28"/>
          <w:szCs w:val="28"/>
        </w:rPr>
        <w:t>„</w:t>
      </w:r>
      <w:r w:rsidR="00AC78BE" w:rsidRPr="00364F3D">
        <w:rPr>
          <w:b/>
          <w:sz w:val="28"/>
          <w:szCs w:val="28"/>
        </w:rPr>
        <w:t xml:space="preserve">Cilvēkresursi un nodarbinātība” papildinājuma 1.1.2.2.1.apakšaktivitāti </w:t>
      </w:r>
      <w:r w:rsidR="00E350C1">
        <w:rPr>
          <w:b/>
          <w:sz w:val="28"/>
          <w:szCs w:val="28"/>
        </w:rPr>
        <w:t>„</w:t>
      </w:r>
      <w:r w:rsidR="00AC78BE" w:rsidRPr="00364F3D">
        <w:rPr>
          <w:b/>
          <w:sz w:val="28"/>
          <w:szCs w:val="28"/>
        </w:rPr>
        <w:t>Studiju programmu satura un īstenošanas uzlabošana un akadēmiskā personāla kompetences pilnveidošana”</w:t>
      </w:r>
      <w:bookmarkEnd w:id="8"/>
      <w:bookmarkEnd w:id="9"/>
      <w:r w:rsidR="00AC78BE" w:rsidRPr="00364F3D">
        <w:rPr>
          <w:b/>
          <w:sz w:val="28"/>
          <w:szCs w:val="28"/>
        </w:rPr>
        <w:t>” atzīšanu par spēku zaudējušiem</w:t>
      </w:r>
      <w:r w:rsidR="002874BB" w:rsidRPr="001136FE">
        <w:rPr>
          <w:b/>
          <w:bCs/>
          <w:sz w:val="28"/>
          <w:szCs w:val="28"/>
        </w:rPr>
        <w:t>"</w:t>
      </w:r>
      <w:r w:rsidR="00493619" w:rsidRPr="001136FE">
        <w:rPr>
          <w:b/>
          <w:bCs/>
          <w:sz w:val="28"/>
          <w:szCs w:val="28"/>
        </w:rPr>
        <w:t xml:space="preserve"> </w:t>
      </w:r>
      <w:bookmarkEnd w:id="10"/>
      <w:bookmarkEnd w:id="11"/>
      <w:r w:rsidR="00324897" w:rsidRPr="00936E55">
        <w:rPr>
          <w:b/>
          <w:bCs/>
          <w:sz w:val="28"/>
          <w:szCs w:val="28"/>
        </w:rPr>
        <w:t>sākotnējās ietekmes novērtējuma ziņojums (</w:t>
      </w:r>
      <w:r w:rsidRPr="00936E55">
        <w:rPr>
          <w:b/>
          <w:bCs/>
          <w:sz w:val="28"/>
          <w:szCs w:val="28"/>
        </w:rPr>
        <w:t>anotācija</w:t>
      </w:r>
      <w:bookmarkEnd w:id="0"/>
      <w:bookmarkEnd w:id="1"/>
      <w:r w:rsidR="00324897" w:rsidRPr="00936E55">
        <w:rPr>
          <w:b/>
          <w:bCs/>
          <w:sz w:val="28"/>
          <w:szCs w:val="28"/>
        </w:rPr>
        <w:t>)</w:t>
      </w:r>
      <w:bookmarkEnd w:id="2"/>
      <w:bookmarkEnd w:id="3"/>
    </w:p>
    <w:p w:rsidR="00A94662" w:rsidRDefault="00A94662" w:rsidP="00622024">
      <w:pPr>
        <w:jc w:val="center"/>
        <w:rPr>
          <w:b/>
          <w:bCs/>
          <w:sz w:val="28"/>
          <w:szCs w:val="28"/>
        </w:rPr>
      </w:pPr>
    </w:p>
    <w:tbl>
      <w:tblPr>
        <w:tblW w:w="4934"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283"/>
        <w:gridCol w:w="6302"/>
      </w:tblGrid>
      <w:tr w:rsidR="007A6DB9" w:rsidRPr="004B34C2" w:rsidTr="005506CE">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4B34C2" w:rsidRDefault="007A6DB9" w:rsidP="004B34C2">
            <w:pPr>
              <w:jc w:val="center"/>
              <w:rPr>
                <w:b/>
                <w:bCs/>
                <w:sz w:val="28"/>
                <w:szCs w:val="28"/>
              </w:rPr>
            </w:pPr>
            <w:r w:rsidRPr="004B34C2">
              <w:rPr>
                <w:b/>
                <w:bCs/>
                <w:sz w:val="28"/>
                <w:szCs w:val="28"/>
              </w:rPr>
              <w:t>I. Tiesību akta projekta izstrādes nepieciešamība</w:t>
            </w:r>
          </w:p>
        </w:tc>
      </w:tr>
      <w:tr w:rsidR="007A6DB9" w:rsidRPr="00384894" w:rsidTr="005506CE">
        <w:trPr>
          <w:trHeight w:val="479"/>
        </w:trPr>
        <w:tc>
          <w:tcPr>
            <w:tcW w:w="236" w:type="pct"/>
            <w:tcBorders>
              <w:top w:val="outset" w:sz="6" w:space="0" w:color="000000"/>
              <w:left w:val="outset" w:sz="6" w:space="0" w:color="000000"/>
              <w:bottom w:val="outset" w:sz="6" w:space="0" w:color="000000"/>
              <w:right w:val="outset" w:sz="6" w:space="0" w:color="000000"/>
            </w:tcBorders>
            <w:hideMark/>
          </w:tcPr>
          <w:p w:rsidR="007A6DB9" w:rsidRPr="00384894" w:rsidRDefault="007A6DB9" w:rsidP="004B34C2">
            <w:pPr>
              <w:rPr>
                <w:sz w:val="28"/>
                <w:szCs w:val="28"/>
              </w:rPr>
            </w:pPr>
            <w:r w:rsidRPr="00384894">
              <w:rPr>
                <w:sz w:val="28"/>
                <w:szCs w:val="28"/>
              </w:rPr>
              <w:t>1.</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384894" w:rsidRDefault="007A6DB9" w:rsidP="004B34C2">
            <w:pPr>
              <w:rPr>
                <w:sz w:val="28"/>
                <w:szCs w:val="28"/>
              </w:rPr>
            </w:pPr>
            <w:r w:rsidRPr="00384894">
              <w:rPr>
                <w:sz w:val="28"/>
                <w:szCs w:val="28"/>
              </w:rPr>
              <w:t>Pamatojums</w:t>
            </w:r>
          </w:p>
        </w:tc>
        <w:tc>
          <w:tcPr>
            <w:tcW w:w="3497" w:type="pct"/>
            <w:tcBorders>
              <w:top w:val="outset" w:sz="6" w:space="0" w:color="000000"/>
              <w:left w:val="outset" w:sz="6" w:space="0" w:color="000000"/>
              <w:bottom w:val="outset" w:sz="6" w:space="0" w:color="000000"/>
              <w:right w:val="outset" w:sz="6" w:space="0" w:color="000000"/>
            </w:tcBorders>
            <w:hideMark/>
          </w:tcPr>
          <w:p w:rsidR="00D47D1E" w:rsidRPr="00384894" w:rsidRDefault="00384894" w:rsidP="00D63D4A">
            <w:pPr>
              <w:pStyle w:val="BodyText"/>
              <w:spacing w:after="0"/>
              <w:jc w:val="both"/>
              <w:outlineLvl w:val="0"/>
              <w:rPr>
                <w:sz w:val="28"/>
                <w:szCs w:val="28"/>
              </w:rPr>
            </w:pPr>
            <w:r w:rsidRPr="00384894">
              <w:rPr>
                <w:sz w:val="28"/>
                <w:szCs w:val="28"/>
              </w:rPr>
              <w:t xml:space="preserve">Ministru kabineta noteikumu projekts </w:t>
            </w:r>
            <w:r w:rsidR="007653BA">
              <w:rPr>
                <w:sz w:val="28"/>
                <w:szCs w:val="28"/>
              </w:rPr>
              <w:t>„</w:t>
            </w:r>
            <w:r w:rsidR="00AC78BE" w:rsidRPr="00AC78BE">
              <w:rPr>
                <w:sz w:val="28"/>
                <w:szCs w:val="28"/>
              </w:rPr>
              <w:t>Par Ministru kabineta 2009.gada 9.jūnija noteikumu Nr.522 „Not</w:t>
            </w:r>
            <w:r w:rsidR="007653BA">
              <w:rPr>
                <w:sz w:val="28"/>
                <w:szCs w:val="28"/>
              </w:rPr>
              <w:t>eikumi par darbības programmas „</w:t>
            </w:r>
            <w:r w:rsidR="00AC78BE" w:rsidRPr="00AC78BE">
              <w:rPr>
                <w:sz w:val="28"/>
                <w:szCs w:val="28"/>
              </w:rPr>
              <w:t>Cilvēkresursi un nodarbinātība” papildinā</w:t>
            </w:r>
            <w:r w:rsidR="00D63D4A">
              <w:rPr>
                <w:sz w:val="28"/>
                <w:szCs w:val="28"/>
              </w:rPr>
              <w:t>juma 1.1.2.2.1.apakšaktivitāti „</w:t>
            </w:r>
            <w:r w:rsidR="00AC78BE" w:rsidRPr="00AC78BE">
              <w:rPr>
                <w:sz w:val="28"/>
                <w:szCs w:val="28"/>
              </w:rPr>
              <w:t>Studiju programmu satura un īstenošanas uzlabošana un akadēmiskā personāla kompetences pilnveidošana”” atzīšanu par spēku zaudējušiem</w:t>
            </w:r>
            <w:r w:rsidR="00D63D4A">
              <w:rPr>
                <w:sz w:val="28"/>
                <w:szCs w:val="28"/>
              </w:rPr>
              <w:t>”</w:t>
            </w:r>
            <w:r w:rsidRPr="00384894">
              <w:rPr>
                <w:sz w:val="28"/>
                <w:szCs w:val="28"/>
              </w:rPr>
              <w:t xml:space="preserve"> (turpmāk – noteikumu projekts) sagatavots saskaņā ar Eiropas Savienības struktūrfondu un Kohēzijas fonda vadības likuma 18.panta 10.punktu.</w:t>
            </w:r>
          </w:p>
        </w:tc>
      </w:tr>
      <w:tr w:rsidR="007A6DB9" w:rsidRPr="009135CC"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F409A8">
            <w:pPr>
              <w:rPr>
                <w:sz w:val="28"/>
                <w:szCs w:val="28"/>
              </w:rPr>
            </w:pPr>
            <w:r w:rsidRPr="004B34C2">
              <w:rPr>
                <w:sz w:val="28"/>
                <w:szCs w:val="28"/>
              </w:rPr>
              <w:t>2.</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F409A8">
            <w:pPr>
              <w:rPr>
                <w:sz w:val="28"/>
                <w:szCs w:val="28"/>
              </w:rPr>
            </w:pPr>
            <w:r w:rsidRPr="004B34C2">
              <w:rPr>
                <w:sz w:val="28"/>
                <w:szCs w:val="28"/>
              </w:rPr>
              <w:t>Pašreizējā situācija un problēmas</w:t>
            </w:r>
          </w:p>
        </w:tc>
        <w:tc>
          <w:tcPr>
            <w:tcW w:w="3497" w:type="pct"/>
            <w:tcBorders>
              <w:top w:val="outset" w:sz="6" w:space="0" w:color="000000"/>
              <w:left w:val="outset" w:sz="6" w:space="0" w:color="000000"/>
              <w:bottom w:val="outset" w:sz="6" w:space="0" w:color="000000"/>
              <w:right w:val="outset" w:sz="6" w:space="0" w:color="000000"/>
            </w:tcBorders>
            <w:hideMark/>
          </w:tcPr>
          <w:p w:rsidR="00CB1C7C" w:rsidRDefault="00C940BC" w:rsidP="006A56EB">
            <w:pPr>
              <w:jc w:val="both"/>
              <w:rPr>
                <w:sz w:val="28"/>
                <w:szCs w:val="28"/>
              </w:rPr>
            </w:pPr>
            <w:r w:rsidRPr="00AC78BE">
              <w:rPr>
                <w:sz w:val="28"/>
                <w:szCs w:val="28"/>
              </w:rPr>
              <w:t>1.1.2.2.1.</w:t>
            </w:r>
            <w:r w:rsidR="009E3DCF" w:rsidRPr="00AF1007">
              <w:rPr>
                <w:sz w:val="28"/>
                <w:szCs w:val="28"/>
              </w:rPr>
              <w:t>apakšaktivitāt</w:t>
            </w:r>
            <w:r w:rsidR="009E3DCF">
              <w:rPr>
                <w:sz w:val="28"/>
                <w:szCs w:val="28"/>
              </w:rPr>
              <w:t xml:space="preserve">i </w:t>
            </w:r>
            <w:r w:rsidR="00D93F64">
              <w:rPr>
                <w:sz w:val="28"/>
                <w:szCs w:val="28"/>
              </w:rPr>
              <w:t>„</w:t>
            </w:r>
            <w:r w:rsidR="00E441C7" w:rsidRPr="00AC78BE">
              <w:rPr>
                <w:sz w:val="28"/>
                <w:szCs w:val="28"/>
              </w:rPr>
              <w:t>Studiju programmu satura un īstenošanas uzlabošana un akadēmiskā personāla kompetences pilnveidošana”</w:t>
            </w:r>
            <w:r w:rsidR="00E441C7">
              <w:rPr>
                <w:sz w:val="28"/>
                <w:szCs w:val="28"/>
              </w:rPr>
              <w:t xml:space="preserve"> </w:t>
            </w:r>
            <w:r w:rsidR="00E441C7" w:rsidRPr="00384894">
              <w:rPr>
                <w:sz w:val="28"/>
                <w:szCs w:val="28"/>
              </w:rPr>
              <w:t xml:space="preserve">(turpmāk – </w:t>
            </w:r>
            <w:r w:rsidR="00E441C7" w:rsidRPr="00AC78BE">
              <w:rPr>
                <w:sz w:val="28"/>
                <w:szCs w:val="28"/>
              </w:rPr>
              <w:t>1.1.2.2.1.</w:t>
            </w:r>
            <w:r w:rsidR="00E441C7" w:rsidRPr="00AF1007">
              <w:rPr>
                <w:sz w:val="28"/>
                <w:szCs w:val="28"/>
              </w:rPr>
              <w:t>apakšaktivitāt</w:t>
            </w:r>
            <w:r w:rsidR="00E441C7">
              <w:rPr>
                <w:sz w:val="28"/>
                <w:szCs w:val="28"/>
              </w:rPr>
              <w:t>e</w:t>
            </w:r>
            <w:r w:rsidR="00E441C7" w:rsidRPr="00384894">
              <w:rPr>
                <w:sz w:val="28"/>
                <w:szCs w:val="28"/>
              </w:rPr>
              <w:t xml:space="preserve">) </w:t>
            </w:r>
            <w:r w:rsidR="00CB1C7C">
              <w:rPr>
                <w:sz w:val="28"/>
                <w:szCs w:val="28"/>
              </w:rPr>
              <w:t xml:space="preserve">sākotnēji </w:t>
            </w:r>
            <w:r w:rsidR="009E3DCF">
              <w:rPr>
                <w:sz w:val="28"/>
                <w:szCs w:val="28"/>
              </w:rPr>
              <w:t xml:space="preserve">tika plānots īstenot </w:t>
            </w:r>
            <w:r w:rsidR="00CB1C7C">
              <w:rPr>
                <w:sz w:val="28"/>
                <w:szCs w:val="28"/>
              </w:rPr>
              <w:t xml:space="preserve">atklātas </w:t>
            </w:r>
            <w:r w:rsidR="009E3DCF">
              <w:rPr>
                <w:sz w:val="28"/>
                <w:szCs w:val="28"/>
              </w:rPr>
              <w:t xml:space="preserve">projektu iesniegumu atlases </w:t>
            </w:r>
            <w:r w:rsidR="00CB1C7C">
              <w:rPr>
                <w:sz w:val="28"/>
                <w:szCs w:val="28"/>
              </w:rPr>
              <w:t xml:space="preserve">veidā, atbalstu </w:t>
            </w:r>
            <w:r w:rsidR="00CB1C7C" w:rsidRPr="009135CC">
              <w:rPr>
                <w:sz w:val="28"/>
                <w:szCs w:val="28"/>
              </w:rPr>
              <w:t xml:space="preserve">paredzot </w:t>
            </w:r>
            <w:r w:rsidR="00CB1C7C" w:rsidRPr="004F1BCB">
              <w:rPr>
                <w:sz w:val="28"/>
                <w:szCs w:val="28"/>
              </w:rPr>
              <w:t xml:space="preserve">studiju programmu pilnveidei atbilstoši tautsaimniecības vajadzībām sadarbībā ar darba devējiem, jaunu studiju programmu un kursu, īpaši </w:t>
            </w:r>
            <w:proofErr w:type="spellStart"/>
            <w:r w:rsidR="00CB1C7C" w:rsidRPr="004F1BCB">
              <w:rPr>
                <w:sz w:val="28"/>
                <w:szCs w:val="28"/>
              </w:rPr>
              <w:t>starpaugstskolu</w:t>
            </w:r>
            <w:proofErr w:type="spellEnd"/>
            <w:r w:rsidR="00CB1C7C" w:rsidRPr="004F1BCB">
              <w:rPr>
                <w:sz w:val="28"/>
                <w:szCs w:val="28"/>
              </w:rPr>
              <w:t xml:space="preserve"> un starpdisciplināru studiju programmu un kursu, izstrādei, kā arī studiju programmu vai kursu izstrādei kādā no Eiropas Savienības valodām augstākās izglītības konkurētspējas un </w:t>
            </w:r>
            <w:proofErr w:type="spellStart"/>
            <w:r w:rsidR="00CB1C7C" w:rsidRPr="004F1BCB">
              <w:rPr>
                <w:sz w:val="28"/>
                <w:szCs w:val="28"/>
              </w:rPr>
              <w:t>eksportspējas</w:t>
            </w:r>
            <w:proofErr w:type="spellEnd"/>
            <w:r w:rsidR="00CB1C7C" w:rsidRPr="004F1BCB">
              <w:rPr>
                <w:sz w:val="28"/>
                <w:szCs w:val="28"/>
              </w:rPr>
              <w:t xml:space="preserve"> veicināšanai, tajā skaitā attīstot un ieviešot inovatīvu pieredzi, attīstot e-studiju risinājumus, modernizējot un palielinot studiju intelektuālos resursus, vienlaikus sekmējot augstākās izglītības resursu konsolidāciju un studiju programmu vai kursu skaitu optimizēšanu, novēršot to pārklāšanos, un akadēmiskā personāla kvalifikācijas paaugstināšanai, stažējoties uzņēmumos, citās augstākās izglītības vai zinātniskajās institūcijās</w:t>
            </w:r>
            <w:r w:rsidR="00CB1C7C" w:rsidRPr="009135CC">
              <w:rPr>
                <w:sz w:val="28"/>
                <w:szCs w:val="28"/>
              </w:rPr>
              <w:t>.</w:t>
            </w:r>
          </w:p>
          <w:p w:rsidR="00CB1C7C" w:rsidRDefault="00CB1C7C" w:rsidP="006A56EB">
            <w:pPr>
              <w:jc w:val="both"/>
              <w:rPr>
                <w:sz w:val="28"/>
                <w:szCs w:val="28"/>
              </w:rPr>
            </w:pPr>
            <w:r>
              <w:rPr>
                <w:sz w:val="28"/>
                <w:szCs w:val="28"/>
              </w:rPr>
              <w:t xml:space="preserve">Atbilstoši </w:t>
            </w:r>
            <w:r w:rsidR="00FD107C" w:rsidRPr="00AF1007">
              <w:rPr>
                <w:sz w:val="28"/>
                <w:szCs w:val="28"/>
              </w:rPr>
              <w:t xml:space="preserve">darbības programmas „Cilvēkresursi un nodarbinātība” papildinājumā (turpmāk – DPP) </w:t>
            </w:r>
            <w:r>
              <w:rPr>
                <w:sz w:val="28"/>
                <w:szCs w:val="28"/>
              </w:rPr>
              <w:t xml:space="preserve"> noteiktajam tika izstrādāti Ministru kabineta 2009.gada </w:t>
            </w:r>
            <w:r>
              <w:rPr>
                <w:sz w:val="28"/>
                <w:szCs w:val="28"/>
              </w:rPr>
              <w:lastRenderedPageBreak/>
              <w:t>9.jūnija noteikumi Nr.522  „</w:t>
            </w:r>
            <w:r w:rsidRPr="00551FF1">
              <w:rPr>
                <w:sz w:val="28"/>
                <w:szCs w:val="28"/>
              </w:rPr>
              <w:t>Not</w:t>
            </w:r>
            <w:r w:rsidR="009F6C67">
              <w:rPr>
                <w:sz w:val="28"/>
                <w:szCs w:val="28"/>
              </w:rPr>
              <w:t>eikumi par darbības programmas „</w:t>
            </w:r>
            <w:r w:rsidRPr="00551FF1">
              <w:rPr>
                <w:sz w:val="28"/>
                <w:szCs w:val="28"/>
              </w:rPr>
              <w:t>Cilvēkresursi un nodarbinātība” papildinā</w:t>
            </w:r>
            <w:r w:rsidR="0032712E">
              <w:rPr>
                <w:sz w:val="28"/>
                <w:szCs w:val="28"/>
              </w:rPr>
              <w:t>juma 1.1.2.2.1.apakšaktivitāti „</w:t>
            </w:r>
            <w:r w:rsidRPr="00551FF1">
              <w:rPr>
                <w:sz w:val="28"/>
                <w:szCs w:val="28"/>
              </w:rPr>
              <w:t>Studiju programmu satura un īstenošanas uzlabošana un akadēmiskā personāla kompetences pilnveidošana”</w:t>
            </w:r>
            <w:r>
              <w:rPr>
                <w:sz w:val="28"/>
                <w:szCs w:val="28"/>
              </w:rPr>
              <w:t>” (turpmāk – noteikumi Nr.522).</w:t>
            </w:r>
          </w:p>
          <w:p w:rsidR="004F1BCB" w:rsidRDefault="00F447B3" w:rsidP="006A56EB">
            <w:pPr>
              <w:jc w:val="both"/>
              <w:rPr>
                <w:sz w:val="28"/>
                <w:szCs w:val="28"/>
              </w:rPr>
            </w:pPr>
            <w:r>
              <w:rPr>
                <w:sz w:val="28"/>
                <w:szCs w:val="28"/>
              </w:rPr>
              <w:t xml:space="preserve">Savukārt atbilstoši </w:t>
            </w:r>
            <w:r w:rsidR="00CB1C7C" w:rsidRPr="006D697D">
              <w:rPr>
                <w:sz w:val="28"/>
                <w:szCs w:val="28"/>
              </w:rPr>
              <w:t>Izglītības un zinātnes ministrijas sadarbībā ar citām nozaru ministrijām izstrādātajam pasākumu plānam „Pasākumu plāns nepieciešamajām reformām augstākajā izglītībā un zināt</w:t>
            </w:r>
            <w:r w:rsidR="00CB1C7C">
              <w:rPr>
                <w:sz w:val="28"/>
                <w:szCs w:val="28"/>
              </w:rPr>
              <w:t>nē 2010.-</w:t>
            </w:r>
            <w:r w:rsidR="00CB1C7C" w:rsidRPr="006D697D">
              <w:rPr>
                <w:sz w:val="28"/>
                <w:szCs w:val="28"/>
              </w:rPr>
              <w:t xml:space="preserve">2012.gadam” (turpmāk – pasākumu plāns), kas </w:t>
            </w:r>
            <w:r>
              <w:rPr>
                <w:sz w:val="28"/>
                <w:szCs w:val="28"/>
              </w:rPr>
              <w:t xml:space="preserve">tika </w:t>
            </w:r>
            <w:r w:rsidR="00CB1C7C">
              <w:rPr>
                <w:sz w:val="28"/>
                <w:szCs w:val="28"/>
              </w:rPr>
              <w:t xml:space="preserve">apstiprināts Ministru </w:t>
            </w:r>
            <w:r w:rsidR="00CB1C7C" w:rsidRPr="00B14F5E">
              <w:rPr>
                <w:sz w:val="28"/>
                <w:szCs w:val="28"/>
              </w:rPr>
              <w:t>kabinetā 2010.gada 3.augustā</w:t>
            </w:r>
            <w:r w:rsidR="00CB1C7C" w:rsidRPr="006D697D">
              <w:rPr>
                <w:sz w:val="28"/>
                <w:szCs w:val="28"/>
              </w:rPr>
              <w:t xml:space="preserve">, </w:t>
            </w:r>
            <w:r w:rsidR="00150C5D">
              <w:rPr>
                <w:sz w:val="28"/>
                <w:szCs w:val="28"/>
              </w:rPr>
              <w:t xml:space="preserve">tika </w:t>
            </w:r>
            <w:r w:rsidR="007F0779">
              <w:rPr>
                <w:sz w:val="28"/>
                <w:szCs w:val="28"/>
              </w:rPr>
              <w:t>konstatēts</w:t>
            </w:r>
            <w:r w:rsidR="00150C5D">
              <w:rPr>
                <w:sz w:val="28"/>
                <w:szCs w:val="28"/>
              </w:rPr>
              <w:t xml:space="preserve">, ka </w:t>
            </w:r>
            <w:r w:rsidR="00CB1C7C" w:rsidRPr="006D697D">
              <w:rPr>
                <w:sz w:val="28"/>
                <w:szCs w:val="28"/>
              </w:rPr>
              <w:t xml:space="preserve">attiecībā uz nepieciešamajām izmaiņām augstākajā izglītībā un zinātnē kā viens no veicamajiem pasākumiem </w:t>
            </w:r>
            <w:r w:rsidR="007F0779">
              <w:rPr>
                <w:sz w:val="28"/>
                <w:szCs w:val="28"/>
              </w:rPr>
              <w:t xml:space="preserve">ir </w:t>
            </w:r>
            <w:r w:rsidR="00150C5D">
              <w:rPr>
                <w:sz w:val="28"/>
                <w:szCs w:val="28"/>
              </w:rPr>
              <w:t>nepieciešama</w:t>
            </w:r>
            <w:r w:rsidR="00CB1C7C" w:rsidRPr="006D697D">
              <w:rPr>
                <w:sz w:val="28"/>
                <w:szCs w:val="28"/>
              </w:rPr>
              <w:t xml:space="preserve"> studiju programmu izvērtēšana.</w:t>
            </w:r>
            <w:r w:rsidR="00150C5D">
              <w:rPr>
                <w:sz w:val="28"/>
                <w:szCs w:val="28"/>
              </w:rPr>
              <w:t xml:space="preserve"> Ņemot vērā pasākumu plānā noteikto, tika nolemts 1.1.2.2.1.apakšaktivitāti īstenot divās projektu iesniegumu atlases kārtās, pirmajā </w:t>
            </w:r>
            <w:r w:rsidR="007F0779">
              <w:rPr>
                <w:sz w:val="28"/>
                <w:szCs w:val="28"/>
              </w:rPr>
              <w:t xml:space="preserve">projektu iesniegumu atlases </w:t>
            </w:r>
            <w:r w:rsidR="00150C5D">
              <w:rPr>
                <w:sz w:val="28"/>
                <w:szCs w:val="28"/>
              </w:rPr>
              <w:t xml:space="preserve">kārtā </w:t>
            </w:r>
            <w:r w:rsidR="00E25E57">
              <w:rPr>
                <w:sz w:val="28"/>
                <w:szCs w:val="28"/>
              </w:rPr>
              <w:t xml:space="preserve">ierobežotas atlases veidā </w:t>
            </w:r>
            <w:r w:rsidR="00150C5D">
              <w:rPr>
                <w:sz w:val="28"/>
                <w:szCs w:val="28"/>
              </w:rPr>
              <w:t xml:space="preserve">atbalstu </w:t>
            </w:r>
            <w:r w:rsidR="00150C5D" w:rsidRPr="009135CC">
              <w:rPr>
                <w:sz w:val="28"/>
                <w:szCs w:val="28"/>
              </w:rPr>
              <w:t>paredzot  studiju kvalitātes un efektivitātes uzlabošanai, nodrošinot studiju programmu kvalitātes, resursu pietiekamības un ilgtspējas starptautisku izvērtēšanu un sagatavojot priekšlikumus turpmākai augstākās izglītības pilnveidei, attīstībai, resursu efektīvai izmantošanai un finansēšanai no valsts budžeta</w:t>
            </w:r>
            <w:r w:rsidR="007F0779">
              <w:rPr>
                <w:sz w:val="28"/>
                <w:szCs w:val="28"/>
              </w:rPr>
              <w:t>, savukārt otro kārtu īstenot pēc pirmās kārtas rezultātu iegūšanas</w:t>
            </w:r>
            <w:r w:rsidR="00150C5D">
              <w:rPr>
                <w:sz w:val="28"/>
                <w:szCs w:val="28"/>
              </w:rPr>
              <w:t xml:space="preserve">. Attiecīgi grozījumi DPP tika pieņemti </w:t>
            </w:r>
            <w:r w:rsidR="0099230C">
              <w:rPr>
                <w:sz w:val="28"/>
                <w:szCs w:val="28"/>
              </w:rPr>
              <w:t xml:space="preserve">ar </w:t>
            </w:r>
            <w:r w:rsidR="0099230C" w:rsidRPr="00B1110C">
              <w:rPr>
                <w:sz w:val="28"/>
                <w:szCs w:val="28"/>
              </w:rPr>
              <w:t>Ministru kabineta 2010.gada 9.augusta rīkojumu Nr.459</w:t>
            </w:r>
            <w:r w:rsidR="00B1110C">
              <w:rPr>
                <w:sz w:val="28"/>
                <w:szCs w:val="28"/>
              </w:rPr>
              <w:t xml:space="preserve"> „</w:t>
            </w:r>
            <w:r w:rsidR="00701C2A">
              <w:rPr>
                <w:sz w:val="28"/>
                <w:szCs w:val="28"/>
              </w:rPr>
              <w:t>Grozījumi darbības programmas „</w:t>
            </w:r>
            <w:r w:rsidR="00B1110C" w:rsidRPr="00B1110C">
              <w:rPr>
                <w:sz w:val="28"/>
                <w:szCs w:val="28"/>
              </w:rPr>
              <w:t>Cilvēkresursi un nodarbinātība</w:t>
            </w:r>
            <w:r w:rsidR="00701C2A">
              <w:rPr>
                <w:sz w:val="28"/>
                <w:szCs w:val="28"/>
              </w:rPr>
              <w:t>”</w:t>
            </w:r>
            <w:r w:rsidR="00B1110C" w:rsidRPr="00B1110C">
              <w:rPr>
                <w:sz w:val="28"/>
                <w:szCs w:val="28"/>
              </w:rPr>
              <w:t xml:space="preserve"> papildinājumā</w:t>
            </w:r>
            <w:r w:rsidR="00B1110C">
              <w:rPr>
                <w:sz w:val="28"/>
                <w:szCs w:val="28"/>
              </w:rPr>
              <w:t>”</w:t>
            </w:r>
            <w:r w:rsidR="0099230C">
              <w:rPr>
                <w:sz w:val="28"/>
                <w:szCs w:val="28"/>
              </w:rPr>
              <w:t>.</w:t>
            </w:r>
            <w:r w:rsidR="004F1BCB">
              <w:rPr>
                <w:sz w:val="28"/>
                <w:szCs w:val="28"/>
              </w:rPr>
              <w:t xml:space="preserve"> Saskaņā ar iepriekš minētajiem DPP grozījumiem tika izstrādāti Ministru kabineta 2010.gada 16.novembra noteikumi Nr.1058 „</w:t>
            </w:r>
            <w:r w:rsidR="004F1BCB" w:rsidRPr="00551FF1">
              <w:rPr>
                <w:sz w:val="28"/>
                <w:szCs w:val="28"/>
              </w:rPr>
              <w:t>Not</w:t>
            </w:r>
            <w:r w:rsidR="00D3693F">
              <w:rPr>
                <w:sz w:val="28"/>
                <w:szCs w:val="28"/>
              </w:rPr>
              <w:t>eikumi par darbības programmas „</w:t>
            </w:r>
            <w:r w:rsidR="004F1BCB" w:rsidRPr="00551FF1">
              <w:rPr>
                <w:sz w:val="28"/>
                <w:szCs w:val="28"/>
              </w:rPr>
              <w:t>Cilvēkresursi un nodarbinātība</w:t>
            </w:r>
            <w:r w:rsidR="00D3693F">
              <w:rPr>
                <w:sz w:val="28"/>
                <w:szCs w:val="28"/>
              </w:rPr>
              <w:t>”</w:t>
            </w:r>
            <w:r w:rsidR="004F1BCB" w:rsidRPr="00551FF1">
              <w:rPr>
                <w:sz w:val="28"/>
                <w:szCs w:val="28"/>
              </w:rPr>
              <w:t xml:space="preserve"> papildinājuma 1.1.2.2.1.apakšaktivitātes </w:t>
            </w:r>
            <w:r w:rsidR="00D3693F">
              <w:rPr>
                <w:sz w:val="28"/>
                <w:szCs w:val="28"/>
              </w:rPr>
              <w:t>„</w:t>
            </w:r>
            <w:r w:rsidR="004F1BCB" w:rsidRPr="00551FF1">
              <w:rPr>
                <w:sz w:val="28"/>
                <w:szCs w:val="28"/>
              </w:rPr>
              <w:t>Studiju programmu satura un īstenošanas uzlabošana un akadēmiskā personāla kompetences pilnveidošana</w:t>
            </w:r>
            <w:r w:rsidR="006E3B91">
              <w:rPr>
                <w:sz w:val="28"/>
                <w:szCs w:val="28"/>
              </w:rPr>
              <w:t>”</w:t>
            </w:r>
            <w:r w:rsidR="004F1BCB" w:rsidRPr="00551FF1">
              <w:rPr>
                <w:sz w:val="28"/>
                <w:szCs w:val="28"/>
              </w:rPr>
              <w:t xml:space="preserve"> pirmo projektu iesniegumu atlases kārtu”</w:t>
            </w:r>
            <w:r w:rsidR="004F1BCB">
              <w:rPr>
                <w:sz w:val="28"/>
                <w:szCs w:val="28"/>
              </w:rPr>
              <w:t>.</w:t>
            </w:r>
          </w:p>
          <w:p w:rsidR="00CB1C7C" w:rsidRPr="00D4312C" w:rsidRDefault="00CB1C7C" w:rsidP="00CB1C7C">
            <w:pPr>
              <w:pStyle w:val="EE-paragr"/>
            </w:pPr>
            <w:r w:rsidRPr="00D4312C">
              <w:t>Saskaņā ar Ministru kabineta 2010.gada 2</w:t>
            </w:r>
            <w:r w:rsidR="00E25E57">
              <w:t>4</w:t>
            </w:r>
            <w:r w:rsidRPr="00D4312C">
              <w:t xml:space="preserve">.februāra </w:t>
            </w:r>
            <w:r w:rsidR="007F0779">
              <w:t>rīkojumu Nr.</w:t>
            </w:r>
            <w:r w:rsidR="00E25E57">
              <w:t>100</w:t>
            </w:r>
            <w:r w:rsidR="007F0779">
              <w:t xml:space="preserve"> </w:t>
            </w:r>
            <w:r w:rsidR="00E25E57">
              <w:t>veiktajiem</w:t>
            </w:r>
            <w:r w:rsidRPr="00D4312C">
              <w:t xml:space="preserve"> grozījumiem </w:t>
            </w:r>
            <w:r w:rsidR="00E25E57">
              <w:t>DPP</w:t>
            </w:r>
            <w:r w:rsidRPr="00D4312C">
              <w:t xml:space="preserve"> </w:t>
            </w:r>
            <w:r>
              <w:t xml:space="preserve">kopējais </w:t>
            </w:r>
            <w:r w:rsidRPr="00D4312C">
              <w:t>1.1.2.2.1.apakšaktivitātei piee</w:t>
            </w:r>
            <w:r w:rsidR="00E25E57">
              <w:t xml:space="preserve">jamais finansējums tika </w:t>
            </w:r>
            <w:r w:rsidR="00E25E57">
              <w:lastRenderedPageBreak/>
              <w:t xml:space="preserve">noteikts </w:t>
            </w:r>
            <w:r w:rsidRPr="00D4312C">
              <w:t xml:space="preserve"> </w:t>
            </w:r>
            <w:r w:rsidR="00017465">
              <w:t>5614</w:t>
            </w:r>
            <w:r w:rsidR="00E25E57">
              <w:t>671 latu apmērā</w:t>
            </w:r>
            <w:r w:rsidRPr="00D4312C">
              <w:t xml:space="preserve">, </w:t>
            </w:r>
            <w:r w:rsidR="00E25E57">
              <w:t>paredzot</w:t>
            </w:r>
            <w:r w:rsidRPr="00D4312C">
              <w:t xml:space="preserve"> Eiropas Sociālā fonda līdzfinansējumu 100 procentu apmērā. 1.1.2.2.1.</w:t>
            </w:r>
            <w:r w:rsidRPr="00873786">
              <w:t>a</w:t>
            </w:r>
            <w:r>
              <w:t>pakšaktivitātes pirmajai</w:t>
            </w:r>
            <w:r w:rsidRPr="00D4312C">
              <w:t xml:space="preserve"> p</w:t>
            </w:r>
            <w:r>
              <w:t xml:space="preserve">rojektu iesniegumu atlases kārtai pieejamais </w:t>
            </w:r>
            <w:r w:rsidRPr="00873786">
              <w:t xml:space="preserve"> finansējums </w:t>
            </w:r>
            <w:r w:rsidR="00E25E57">
              <w:t>tika noteikts</w:t>
            </w:r>
            <w:r w:rsidR="00017465">
              <w:t xml:space="preserve"> 1001</w:t>
            </w:r>
            <w:r w:rsidRPr="00873786">
              <w:t>495 latu</w:t>
            </w:r>
            <w:r w:rsidR="004F1BCB">
              <w:t xml:space="preserve"> apmērā</w:t>
            </w:r>
            <w:r w:rsidR="00E25E57">
              <w:t xml:space="preserve">, savukārt otrajai kārtai </w:t>
            </w:r>
            <w:r w:rsidR="00B65D25">
              <w:t>–</w:t>
            </w:r>
            <w:r w:rsidR="00E25E57">
              <w:t xml:space="preserve"> 4613176 latu</w:t>
            </w:r>
            <w:r w:rsidR="004F1BCB">
              <w:t xml:space="preserve"> apmērā</w:t>
            </w:r>
            <w:r>
              <w:t>.</w:t>
            </w:r>
          </w:p>
          <w:p w:rsidR="00B57404" w:rsidRDefault="00E441C7" w:rsidP="006A56EB">
            <w:pPr>
              <w:jc w:val="both"/>
              <w:rPr>
                <w:sz w:val="28"/>
                <w:szCs w:val="28"/>
              </w:rPr>
            </w:pPr>
            <w:r w:rsidRPr="00A347B3">
              <w:rPr>
                <w:sz w:val="28"/>
                <w:szCs w:val="28"/>
              </w:rPr>
              <w:t>Ņemot vērā</w:t>
            </w:r>
            <w:r w:rsidR="00533B51">
              <w:rPr>
                <w:sz w:val="28"/>
                <w:szCs w:val="28"/>
              </w:rPr>
              <w:t xml:space="preserve"> to</w:t>
            </w:r>
            <w:r w:rsidRPr="00A347B3">
              <w:rPr>
                <w:sz w:val="28"/>
                <w:szCs w:val="28"/>
              </w:rPr>
              <w:t>, ka 1.1.2.2.1.apakšaktivitātes otrā projektu iesniegumu atlases kārta ir saistīta ar pirmās projektu iesniegumu atlases kārtas rezultātiem, kuri būs pieejami tikai 2013.gada sākumā, līdz ar to radot būtisku risku pieejamo līdzekļu savlaicīgai apguvei, Koalīcijas partiju Sadarbības padomes darba grupas par E</w:t>
            </w:r>
            <w:r w:rsidR="009135CC">
              <w:rPr>
                <w:sz w:val="28"/>
                <w:szCs w:val="28"/>
              </w:rPr>
              <w:t xml:space="preserve">iropas </w:t>
            </w:r>
            <w:r w:rsidRPr="00A347B3">
              <w:rPr>
                <w:sz w:val="28"/>
                <w:szCs w:val="28"/>
              </w:rPr>
              <w:t>S</w:t>
            </w:r>
            <w:r w:rsidR="009135CC">
              <w:rPr>
                <w:sz w:val="28"/>
                <w:szCs w:val="28"/>
              </w:rPr>
              <w:t>avienības</w:t>
            </w:r>
            <w:r w:rsidRPr="00A347B3">
              <w:rPr>
                <w:sz w:val="28"/>
                <w:szCs w:val="28"/>
              </w:rPr>
              <w:t xml:space="preserve"> fondu jautājumiem 2011.gada 30.maija sanāksmē tika pieņemts lēmums 1.1.2.2.1.apakšaktivitātes otrajai kārtai pieejamo finansējumu </w:t>
            </w:r>
            <w:r w:rsidR="00F36309" w:rsidRPr="00F36309">
              <w:rPr>
                <w:sz w:val="28"/>
                <w:szCs w:val="28"/>
              </w:rPr>
              <w:t xml:space="preserve">4613176 latu apmērā </w:t>
            </w:r>
            <w:r w:rsidRPr="00A347B3">
              <w:rPr>
                <w:sz w:val="28"/>
                <w:szCs w:val="28"/>
              </w:rPr>
              <w:t>pārdalīt 1.1.1.2.aktivitātes „</w:t>
            </w:r>
            <w:r w:rsidRPr="00AF1007">
              <w:rPr>
                <w:sz w:val="28"/>
                <w:szCs w:val="28"/>
              </w:rPr>
              <w:t>Cilvēkresursu piesaiste zinātnei</w:t>
            </w:r>
            <w:r w:rsidRPr="00A347B3">
              <w:rPr>
                <w:sz w:val="28"/>
                <w:szCs w:val="28"/>
              </w:rPr>
              <w:t xml:space="preserve">” otrās  kārtas īstenošanai. Attiecīgi grozījumi </w:t>
            </w:r>
            <w:r w:rsidR="00CC1354">
              <w:rPr>
                <w:sz w:val="28"/>
                <w:szCs w:val="28"/>
              </w:rPr>
              <w:t>DPP</w:t>
            </w:r>
            <w:r w:rsidR="00551FF1">
              <w:rPr>
                <w:sz w:val="28"/>
                <w:szCs w:val="28"/>
              </w:rPr>
              <w:t xml:space="preserve"> tika </w:t>
            </w:r>
            <w:r w:rsidR="007E6FF2">
              <w:rPr>
                <w:sz w:val="28"/>
                <w:szCs w:val="28"/>
              </w:rPr>
              <w:t xml:space="preserve">pieņemti ar </w:t>
            </w:r>
            <w:r w:rsidR="007E6FF2" w:rsidRPr="00AF1007">
              <w:rPr>
                <w:sz w:val="28"/>
                <w:szCs w:val="28"/>
              </w:rPr>
              <w:t xml:space="preserve">Ministru kabineta 2011.gada 2.novembra </w:t>
            </w:r>
            <w:r w:rsidR="007E6FF2">
              <w:rPr>
                <w:sz w:val="28"/>
                <w:szCs w:val="28"/>
              </w:rPr>
              <w:t>rīkojumu</w:t>
            </w:r>
            <w:r w:rsidR="007E6FF2" w:rsidRPr="00AF1007">
              <w:rPr>
                <w:sz w:val="28"/>
                <w:szCs w:val="28"/>
              </w:rPr>
              <w:t xml:space="preserve"> Nr.574</w:t>
            </w:r>
            <w:r w:rsidR="00AC632D">
              <w:rPr>
                <w:sz w:val="28"/>
                <w:szCs w:val="28"/>
              </w:rPr>
              <w:t xml:space="preserve"> „</w:t>
            </w:r>
            <w:r w:rsidR="00AC632D" w:rsidRPr="00AC632D">
              <w:rPr>
                <w:sz w:val="28"/>
                <w:szCs w:val="28"/>
              </w:rPr>
              <w:t xml:space="preserve">Grozījumi darbības programmas </w:t>
            </w:r>
            <w:r w:rsidR="00AC632D">
              <w:rPr>
                <w:sz w:val="28"/>
                <w:szCs w:val="28"/>
              </w:rPr>
              <w:t>„Cilvēkresursi un nodarbinātība”</w:t>
            </w:r>
            <w:r w:rsidR="00AC632D" w:rsidRPr="00AC632D">
              <w:rPr>
                <w:sz w:val="28"/>
                <w:szCs w:val="28"/>
              </w:rPr>
              <w:t xml:space="preserve"> papildinājumā</w:t>
            </w:r>
            <w:r w:rsidR="00AC632D">
              <w:rPr>
                <w:sz w:val="28"/>
                <w:szCs w:val="28"/>
              </w:rPr>
              <w:t>”</w:t>
            </w:r>
            <w:r w:rsidR="00CA64F6">
              <w:rPr>
                <w:sz w:val="28"/>
                <w:szCs w:val="28"/>
              </w:rPr>
              <w:t xml:space="preserve"> (turpmāk – MK rīkojums Nr.574)</w:t>
            </w:r>
            <w:r w:rsidRPr="00A347B3">
              <w:rPr>
                <w:sz w:val="28"/>
                <w:szCs w:val="28"/>
              </w:rPr>
              <w:t xml:space="preserve">. </w:t>
            </w:r>
          </w:p>
          <w:p w:rsidR="00C2123C" w:rsidRPr="00C02E31" w:rsidRDefault="00533B51" w:rsidP="00533B51">
            <w:pPr>
              <w:jc w:val="both"/>
              <w:rPr>
                <w:sz w:val="28"/>
                <w:szCs w:val="28"/>
              </w:rPr>
            </w:pPr>
            <w:r>
              <w:rPr>
                <w:sz w:val="28"/>
                <w:szCs w:val="28"/>
              </w:rPr>
              <w:t>Ņemot vērā to, ka</w:t>
            </w:r>
            <w:r w:rsidR="008331B4">
              <w:rPr>
                <w:sz w:val="28"/>
                <w:szCs w:val="28"/>
              </w:rPr>
              <w:t xml:space="preserve"> </w:t>
            </w:r>
            <w:r w:rsidR="008331B4" w:rsidRPr="00AC78BE">
              <w:rPr>
                <w:sz w:val="28"/>
                <w:szCs w:val="28"/>
              </w:rPr>
              <w:t>1.1.2.2.1.</w:t>
            </w:r>
            <w:r w:rsidR="008331B4" w:rsidRPr="00AF1007">
              <w:rPr>
                <w:sz w:val="28"/>
                <w:szCs w:val="28"/>
              </w:rPr>
              <w:t>apakšaktivitāte</w:t>
            </w:r>
            <w:r w:rsidR="008331B4">
              <w:rPr>
                <w:sz w:val="28"/>
                <w:szCs w:val="28"/>
              </w:rPr>
              <w:t>s otrā projektu iesniegumu atlases kārta netiks īstenota</w:t>
            </w:r>
            <w:r>
              <w:rPr>
                <w:sz w:val="28"/>
                <w:szCs w:val="28"/>
              </w:rPr>
              <w:t>,</w:t>
            </w:r>
            <w:r w:rsidR="008331B4">
              <w:rPr>
                <w:sz w:val="28"/>
                <w:szCs w:val="28"/>
              </w:rPr>
              <w:t xml:space="preserve"> </w:t>
            </w:r>
            <w:r w:rsidR="00AB5653">
              <w:rPr>
                <w:sz w:val="28"/>
                <w:szCs w:val="28"/>
              </w:rPr>
              <w:t>noteikumi Nr.522 ir zaudējuši aktualitāti un tos nepieciešams atzīt par spēku zaudējušiem.</w:t>
            </w:r>
          </w:p>
        </w:tc>
      </w:tr>
      <w:tr w:rsidR="007A6DB9" w:rsidRPr="004B34C2"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lastRenderedPageBreak/>
              <w:t>3.</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Saistītie politikas ietekmes novērtējumi un pētījumi</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001D6E" w:rsidRDefault="00001D6E" w:rsidP="004B34C2">
            <w:pPr>
              <w:rPr>
                <w:sz w:val="28"/>
                <w:szCs w:val="28"/>
              </w:rPr>
            </w:pPr>
            <w:r w:rsidRPr="00001D6E">
              <w:rPr>
                <w:sz w:val="28"/>
                <w:szCs w:val="27"/>
              </w:rPr>
              <w:t>Noteikumu projekts šo jomu neskar</w:t>
            </w:r>
            <w:r w:rsidR="00383933">
              <w:rPr>
                <w:sz w:val="28"/>
                <w:szCs w:val="27"/>
              </w:rPr>
              <w:t>.</w:t>
            </w:r>
          </w:p>
        </w:tc>
      </w:tr>
      <w:tr w:rsidR="007A6DB9" w:rsidRPr="004B34C2"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4.</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Tiesiskā regulējuma mērķis un būtība</w:t>
            </w:r>
          </w:p>
        </w:tc>
        <w:tc>
          <w:tcPr>
            <w:tcW w:w="3497" w:type="pct"/>
            <w:tcBorders>
              <w:top w:val="outset" w:sz="6" w:space="0" w:color="000000"/>
              <w:left w:val="outset" w:sz="6" w:space="0" w:color="000000"/>
              <w:bottom w:val="outset" w:sz="6" w:space="0" w:color="000000"/>
              <w:right w:val="outset" w:sz="6" w:space="0" w:color="000000"/>
            </w:tcBorders>
            <w:hideMark/>
          </w:tcPr>
          <w:p w:rsidR="00CC61DA" w:rsidRPr="00625FB1" w:rsidRDefault="00CC1354" w:rsidP="00CA64F6">
            <w:pPr>
              <w:jc w:val="both"/>
              <w:rPr>
                <w:sz w:val="28"/>
                <w:szCs w:val="28"/>
              </w:rPr>
            </w:pPr>
            <w:r w:rsidRPr="005350B7">
              <w:rPr>
                <w:sz w:val="28"/>
                <w:szCs w:val="28"/>
              </w:rPr>
              <w:t xml:space="preserve">Noteikumu projekts paredz </w:t>
            </w:r>
            <w:r>
              <w:rPr>
                <w:sz w:val="28"/>
                <w:szCs w:val="28"/>
              </w:rPr>
              <w:t xml:space="preserve">atzīt par spēku zaudējušiem </w:t>
            </w:r>
            <w:r w:rsidRPr="005350B7">
              <w:rPr>
                <w:sz w:val="28"/>
                <w:szCs w:val="28"/>
              </w:rPr>
              <w:t>noteikumus Nr.</w:t>
            </w:r>
            <w:r>
              <w:rPr>
                <w:sz w:val="28"/>
                <w:szCs w:val="28"/>
              </w:rPr>
              <w:t>522</w:t>
            </w:r>
            <w:r w:rsidRPr="005350B7">
              <w:rPr>
                <w:color w:val="000000"/>
                <w:sz w:val="28"/>
                <w:szCs w:val="28"/>
              </w:rPr>
              <w:t xml:space="preserve">, nodrošinot </w:t>
            </w:r>
            <w:r w:rsidRPr="005350B7">
              <w:rPr>
                <w:sz w:val="28"/>
                <w:szCs w:val="28"/>
              </w:rPr>
              <w:t>noteikumu Nr.</w:t>
            </w:r>
            <w:r>
              <w:rPr>
                <w:sz w:val="28"/>
                <w:szCs w:val="28"/>
              </w:rPr>
              <w:t>522</w:t>
            </w:r>
            <w:r w:rsidRPr="005350B7">
              <w:rPr>
                <w:sz w:val="28"/>
                <w:szCs w:val="28"/>
              </w:rPr>
              <w:t xml:space="preserve"> atbilstību </w:t>
            </w:r>
            <w:r w:rsidR="00625FB1">
              <w:rPr>
                <w:sz w:val="28"/>
                <w:szCs w:val="28"/>
              </w:rPr>
              <w:t>DPP</w:t>
            </w:r>
            <w:r w:rsidRPr="005350B7">
              <w:rPr>
                <w:sz w:val="28"/>
                <w:szCs w:val="28"/>
              </w:rPr>
              <w:t xml:space="preserve"> </w:t>
            </w:r>
            <w:r>
              <w:rPr>
                <w:sz w:val="28"/>
                <w:szCs w:val="28"/>
              </w:rPr>
              <w:t>pieņemtajiem</w:t>
            </w:r>
            <w:r w:rsidRPr="005350B7">
              <w:rPr>
                <w:color w:val="000000"/>
                <w:sz w:val="28"/>
                <w:szCs w:val="28"/>
              </w:rPr>
              <w:t xml:space="preserve"> g</w:t>
            </w:r>
            <w:r w:rsidRPr="005350B7">
              <w:rPr>
                <w:sz w:val="28"/>
                <w:szCs w:val="28"/>
              </w:rPr>
              <w:t>rozījumiem</w:t>
            </w:r>
            <w:r>
              <w:rPr>
                <w:sz w:val="28"/>
                <w:szCs w:val="28"/>
              </w:rPr>
              <w:t xml:space="preserve"> (</w:t>
            </w:r>
            <w:r w:rsidR="00CA64F6">
              <w:rPr>
                <w:sz w:val="28"/>
                <w:szCs w:val="28"/>
              </w:rPr>
              <w:t>MK </w:t>
            </w:r>
            <w:r w:rsidRPr="00A347B3">
              <w:rPr>
                <w:sz w:val="28"/>
                <w:szCs w:val="28"/>
              </w:rPr>
              <w:t>rīkojums Nr.574</w:t>
            </w:r>
            <w:r>
              <w:rPr>
                <w:sz w:val="28"/>
                <w:szCs w:val="28"/>
              </w:rPr>
              <w:t>).</w:t>
            </w:r>
          </w:p>
        </w:tc>
      </w:tr>
      <w:tr w:rsidR="007A6DB9" w:rsidRPr="004B34C2"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5.</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Projekta izstrādē iesaistītās institūcijas</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4B34C2" w:rsidRDefault="00B22B37" w:rsidP="004B34C2">
            <w:pPr>
              <w:rPr>
                <w:sz w:val="28"/>
                <w:szCs w:val="28"/>
              </w:rPr>
            </w:pPr>
            <w:r>
              <w:rPr>
                <w:sz w:val="28"/>
                <w:szCs w:val="28"/>
              </w:rPr>
              <w:t>Izglītības un zinātnes ministrija</w:t>
            </w:r>
            <w:r w:rsidR="00383933">
              <w:rPr>
                <w:sz w:val="28"/>
                <w:szCs w:val="28"/>
              </w:rPr>
              <w:t>.</w:t>
            </w:r>
          </w:p>
        </w:tc>
      </w:tr>
      <w:tr w:rsidR="007A6DB9" w:rsidRPr="00B22B37"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B22B37" w:rsidRDefault="007A6DB9" w:rsidP="004B34C2">
            <w:pPr>
              <w:rPr>
                <w:sz w:val="28"/>
                <w:szCs w:val="28"/>
              </w:rPr>
            </w:pPr>
            <w:r w:rsidRPr="00B22B37">
              <w:rPr>
                <w:sz w:val="28"/>
                <w:szCs w:val="28"/>
              </w:rPr>
              <w:t>6.</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B22B37" w:rsidRDefault="007A6DB9" w:rsidP="004B34C2">
            <w:pPr>
              <w:rPr>
                <w:sz w:val="28"/>
                <w:szCs w:val="28"/>
              </w:rPr>
            </w:pPr>
            <w:r w:rsidRPr="00B22B37">
              <w:rPr>
                <w:sz w:val="28"/>
                <w:szCs w:val="28"/>
              </w:rPr>
              <w:t>Iemesli, kādēļ netika nodrošināta sabiedrības līdzdalība</w:t>
            </w:r>
          </w:p>
        </w:tc>
        <w:tc>
          <w:tcPr>
            <w:tcW w:w="3497" w:type="pct"/>
            <w:tcBorders>
              <w:top w:val="outset" w:sz="6" w:space="0" w:color="000000"/>
              <w:left w:val="outset" w:sz="6" w:space="0" w:color="000000"/>
              <w:bottom w:val="outset" w:sz="6" w:space="0" w:color="000000"/>
              <w:right w:val="outset" w:sz="6" w:space="0" w:color="000000"/>
            </w:tcBorders>
            <w:hideMark/>
          </w:tcPr>
          <w:p w:rsidR="00625FB1" w:rsidRPr="005350B7" w:rsidRDefault="00625FB1" w:rsidP="00625FB1">
            <w:pPr>
              <w:ind w:right="198"/>
              <w:jc w:val="both"/>
              <w:rPr>
                <w:sz w:val="28"/>
                <w:szCs w:val="28"/>
                <w:lang w:eastAsia="en-US"/>
              </w:rPr>
            </w:pPr>
            <w:r w:rsidRPr="005350B7">
              <w:rPr>
                <w:sz w:val="28"/>
                <w:szCs w:val="28"/>
                <w:lang w:eastAsia="en-US"/>
              </w:rPr>
              <w:t xml:space="preserve">Noteikumu projekts sagatavots saskaņā ar </w:t>
            </w:r>
            <w:r w:rsidR="00925C82">
              <w:rPr>
                <w:sz w:val="28"/>
                <w:szCs w:val="28"/>
              </w:rPr>
              <w:t>MK </w:t>
            </w:r>
            <w:r w:rsidR="007E6FF2">
              <w:rPr>
                <w:sz w:val="28"/>
                <w:szCs w:val="28"/>
              </w:rPr>
              <w:t>rīkojumu</w:t>
            </w:r>
            <w:r w:rsidR="007E6FF2" w:rsidRPr="00AF1007">
              <w:rPr>
                <w:sz w:val="28"/>
                <w:szCs w:val="28"/>
              </w:rPr>
              <w:t xml:space="preserve"> Nr.574</w:t>
            </w:r>
            <w:r w:rsidR="007E6FF2">
              <w:rPr>
                <w:sz w:val="28"/>
                <w:szCs w:val="28"/>
              </w:rPr>
              <w:t xml:space="preserve"> pieņemtajiem</w:t>
            </w:r>
            <w:r w:rsidRPr="00AD56CB">
              <w:rPr>
                <w:sz w:val="28"/>
                <w:szCs w:val="28"/>
                <w:lang w:eastAsia="en-US"/>
              </w:rPr>
              <w:t xml:space="preserve"> g</w:t>
            </w:r>
            <w:r w:rsidRPr="005350B7">
              <w:rPr>
                <w:sz w:val="28"/>
                <w:szCs w:val="28"/>
                <w:lang w:eastAsia="en-US"/>
              </w:rPr>
              <w:t xml:space="preserve">rozījumiem </w:t>
            </w:r>
            <w:r>
              <w:rPr>
                <w:sz w:val="28"/>
                <w:szCs w:val="28"/>
                <w:lang w:eastAsia="en-US"/>
              </w:rPr>
              <w:t>DPP.</w:t>
            </w:r>
            <w:r w:rsidRPr="005350B7">
              <w:rPr>
                <w:sz w:val="28"/>
                <w:szCs w:val="28"/>
                <w:lang w:eastAsia="en-US"/>
              </w:rPr>
              <w:t xml:space="preserve"> </w:t>
            </w:r>
          </w:p>
          <w:p w:rsidR="00FE35D4" w:rsidRPr="00B22B37" w:rsidRDefault="006C6236" w:rsidP="00393622">
            <w:pPr>
              <w:autoSpaceDE w:val="0"/>
              <w:autoSpaceDN w:val="0"/>
              <w:adjustRightInd w:val="0"/>
              <w:jc w:val="both"/>
              <w:rPr>
                <w:sz w:val="28"/>
                <w:szCs w:val="28"/>
              </w:rPr>
            </w:pPr>
            <w:r>
              <w:rPr>
                <w:color w:val="000000"/>
                <w:sz w:val="28"/>
                <w:szCs w:val="28"/>
              </w:rPr>
              <w:t>Noteikumu projekts ne</w:t>
            </w:r>
            <w:r w:rsidR="00EA48E1">
              <w:rPr>
                <w:color w:val="000000"/>
                <w:sz w:val="28"/>
                <w:szCs w:val="28"/>
              </w:rPr>
              <w:t>ierobežo</w:t>
            </w:r>
            <w:r>
              <w:rPr>
                <w:color w:val="000000"/>
                <w:sz w:val="28"/>
                <w:szCs w:val="28"/>
              </w:rPr>
              <w:t xml:space="preserve"> sabiedrības </w:t>
            </w:r>
            <w:r w:rsidR="008C34FF">
              <w:rPr>
                <w:color w:val="000000"/>
                <w:sz w:val="28"/>
                <w:szCs w:val="28"/>
              </w:rPr>
              <w:t xml:space="preserve">pārstāvju </w:t>
            </w:r>
            <w:r>
              <w:rPr>
                <w:color w:val="000000"/>
                <w:sz w:val="28"/>
                <w:szCs w:val="28"/>
              </w:rPr>
              <w:lastRenderedPageBreak/>
              <w:t>tiesības</w:t>
            </w:r>
            <w:r w:rsidR="00383933">
              <w:rPr>
                <w:color w:val="000000"/>
                <w:sz w:val="28"/>
                <w:szCs w:val="28"/>
              </w:rPr>
              <w:t>.</w:t>
            </w:r>
          </w:p>
        </w:tc>
      </w:tr>
      <w:tr w:rsidR="007A6DB9" w:rsidRPr="004B34C2"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lastRenderedPageBreak/>
              <w:t>7.</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Cita informācija</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Nav</w:t>
            </w:r>
            <w:r w:rsidR="00383933">
              <w:rPr>
                <w:sz w:val="28"/>
                <w:szCs w:val="28"/>
              </w:rPr>
              <w:t>.</w:t>
            </w:r>
          </w:p>
        </w:tc>
      </w:tr>
    </w:tbl>
    <w:p w:rsidR="002F3E81" w:rsidRPr="004B34C2" w:rsidRDefault="007A6DB9" w:rsidP="004B34C2">
      <w:pPr>
        <w:rPr>
          <w:sz w:val="28"/>
          <w:szCs w:val="28"/>
        </w:rPr>
      </w:pPr>
      <w:r w:rsidRPr="004B34C2">
        <w:rPr>
          <w:sz w:val="28"/>
          <w:szCs w:val="28"/>
        </w:rPr>
        <w:t> </w:t>
      </w:r>
    </w:p>
    <w:p w:rsidR="001D5304" w:rsidRPr="001D5304" w:rsidRDefault="001D5304" w:rsidP="008B61BB">
      <w:pPr>
        <w:jc w:val="both"/>
        <w:rPr>
          <w:sz w:val="28"/>
          <w:szCs w:val="28"/>
        </w:rPr>
      </w:pPr>
      <w:r w:rsidRPr="00D15368">
        <w:rPr>
          <w:sz w:val="28"/>
          <w:szCs w:val="28"/>
        </w:rPr>
        <w:t xml:space="preserve">Anotācijas </w:t>
      </w:r>
      <w:r>
        <w:rPr>
          <w:sz w:val="28"/>
          <w:szCs w:val="28"/>
        </w:rPr>
        <w:t>II un</w:t>
      </w:r>
      <w:r w:rsidRPr="00D15368">
        <w:rPr>
          <w:sz w:val="28"/>
          <w:szCs w:val="28"/>
        </w:rPr>
        <w:t xml:space="preserve"> III</w:t>
      </w:r>
      <w:r>
        <w:rPr>
          <w:sz w:val="28"/>
          <w:szCs w:val="28"/>
        </w:rPr>
        <w:t xml:space="preserve"> </w:t>
      </w:r>
      <w:r w:rsidRPr="001D5304">
        <w:rPr>
          <w:sz w:val="28"/>
          <w:szCs w:val="28"/>
        </w:rPr>
        <w:t>sadaļa</w:t>
      </w:r>
      <w:r w:rsidRPr="00D15368">
        <w:rPr>
          <w:sz w:val="28"/>
          <w:szCs w:val="28"/>
        </w:rPr>
        <w:t xml:space="preserve"> –</w:t>
      </w:r>
      <w:r>
        <w:rPr>
          <w:sz w:val="28"/>
          <w:szCs w:val="28"/>
        </w:rPr>
        <w:t xml:space="preserve"> </w:t>
      </w:r>
      <w:r w:rsidRPr="001D5304">
        <w:rPr>
          <w:sz w:val="28"/>
          <w:szCs w:val="28"/>
        </w:rPr>
        <w:t>noteikumu projekts šīs jomas neskar.</w:t>
      </w:r>
    </w:p>
    <w:p w:rsidR="001D5304" w:rsidRDefault="001D5304" w:rsidP="008B61BB">
      <w:pPr>
        <w:jc w:val="both"/>
        <w:rPr>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0"/>
        <w:gridCol w:w="2595"/>
        <w:gridCol w:w="6266"/>
      </w:tblGrid>
      <w:tr w:rsidR="001D5304" w:rsidRPr="005502D7" w:rsidTr="001529A8">
        <w:tc>
          <w:tcPr>
            <w:tcW w:w="0" w:type="auto"/>
            <w:gridSpan w:val="3"/>
            <w:tcBorders>
              <w:top w:val="single" w:sz="6" w:space="0" w:color="auto"/>
              <w:left w:val="single" w:sz="6" w:space="0" w:color="auto"/>
              <w:bottom w:val="outset" w:sz="6" w:space="0" w:color="000000"/>
              <w:right w:val="single" w:sz="6" w:space="0" w:color="auto"/>
            </w:tcBorders>
            <w:hideMark/>
          </w:tcPr>
          <w:p w:rsidR="001D5304" w:rsidRPr="005502D7" w:rsidRDefault="001D5304" w:rsidP="001529A8">
            <w:pPr>
              <w:spacing w:before="100" w:beforeAutospacing="1" w:after="100" w:afterAutospacing="1"/>
              <w:jc w:val="center"/>
              <w:rPr>
                <w:b/>
                <w:bCs/>
                <w:sz w:val="28"/>
                <w:szCs w:val="28"/>
              </w:rPr>
            </w:pPr>
            <w:r w:rsidRPr="005502D7">
              <w:rPr>
                <w:sz w:val="28"/>
                <w:szCs w:val="28"/>
              </w:rPr>
              <w:t> </w:t>
            </w:r>
            <w:r w:rsidRPr="005502D7">
              <w:rPr>
                <w:b/>
                <w:bCs/>
                <w:sz w:val="28"/>
                <w:szCs w:val="28"/>
              </w:rPr>
              <w:t>IV. Tiesību akta projekta ietekme uz spēkā esošo tiesību normu sistēmu</w:t>
            </w:r>
          </w:p>
        </w:tc>
      </w:tr>
      <w:tr w:rsidR="001D5304" w:rsidRPr="00734B86" w:rsidTr="001529A8">
        <w:tc>
          <w:tcPr>
            <w:tcW w:w="0" w:type="auto"/>
            <w:tcBorders>
              <w:top w:val="outset" w:sz="6" w:space="0" w:color="000000"/>
              <w:left w:val="outset" w:sz="6" w:space="0" w:color="000000"/>
              <w:bottom w:val="outset" w:sz="6" w:space="0" w:color="000000"/>
              <w:right w:val="outset" w:sz="6" w:space="0" w:color="000000"/>
            </w:tcBorders>
            <w:hideMark/>
          </w:tcPr>
          <w:p w:rsidR="001D5304" w:rsidRPr="005502D7" w:rsidRDefault="001D5304" w:rsidP="001529A8">
            <w:pPr>
              <w:spacing w:before="100" w:beforeAutospacing="1" w:after="100" w:afterAutospacing="1"/>
              <w:rPr>
                <w:sz w:val="28"/>
                <w:szCs w:val="28"/>
              </w:rPr>
            </w:pPr>
            <w:r w:rsidRPr="005502D7">
              <w:rPr>
                <w:sz w:val="28"/>
                <w:szCs w:val="28"/>
              </w:rPr>
              <w:t>1.</w:t>
            </w:r>
          </w:p>
        </w:tc>
        <w:tc>
          <w:tcPr>
            <w:tcW w:w="1421" w:type="pct"/>
            <w:tcBorders>
              <w:top w:val="outset" w:sz="6" w:space="0" w:color="000000"/>
              <w:left w:val="outset" w:sz="6" w:space="0" w:color="000000"/>
              <w:bottom w:val="outset" w:sz="6" w:space="0" w:color="000000"/>
              <w:right w:val="outset" w:sz="6" w:space="0" w:color="000000"/>
            </w:tcBorders>
            <w:hideMark/>
          </w:tcPr>
          <w:p w:rsidR="001D5304" w:rsidRPr="005502D7" w:rsidRDefault="001D5304" w:rsidP="001529A8">
            <w:pPr>
              <w:spacing w:before="100" w:beforeAutospacing="1" w:after="100" w:afterAutospacing="1"/>
              <w:rPr>
                <w:sz w:val="28"/>
                <w:szCs w:val="28"/>
              </w:rPr>
            </w:pPr>
            <w:r w:rsidRPr="005502D7">
              <w:rPr>
                <w:sz w:val="28"/>
                <w:szCs w:val="28"/>
              </w:rPr>
              <w:t>Nepieciešamie saistītie tiesību aktu projekti</w:t>
            </w:r>
          </w:p>
        </w:tc>
        <w:tc>
          <w:tcPr>
            <w:tcW w:w="3431" w:type="pct"/>
            <w:tcBorders>
              <w:top w:val="outset" w:sz="6" w:space="0" w:color="000000"/>
              <w:left w:val="outset" w:sz="6" w:space="0" w:color="000000"/>
              <w:bottom w:val="outset" w:sz="6" w:space="0" w:color="000000"/>
              <w:right w:val="outset" w:sz="6" w:space="0" w:color="000000"/>
            </w:tcBorders>
            <w:hideMark/>
          </w:tcPr>
          <w:p w:rsidR="001D5304" w:rsidRDefault="001D5304" w:rsidP="000D6B1B">
            <w:pPr>
              <w:pStyle w:val="ListParagraph"/>
              <w:spacing w:after="0" w:line="240" w:lineRule="auto"/>
              <w:ind w:left="0"/>
              <w:jc w:val="both"/>
              <w:rPr>
                <w:rFonts w:ascii="Times New Roman" w:eastAsia="Times New Roman" w:hAnsi="Times New Roman"/>
                <w:sz w:val="28"/>
                <w:szCs w:val="28"/>
                <w:lang w:eastAsia="lv-LV"/>
              </w:rPr>
            </w:pPr>
            <w:r w:rsidRPr="00D63D4A">
              <w:rPr>
                <w:rFonts w:ascii="Times New Roman" w:eastAsia="Times New Roman" w:hAnsi="Times New Roman"/>
                <w:sz w:val="28"/>
                <w:szCs w:val="28"/>
                <w:lang w:eastAsia="lv-LV"/>
              </w:rPr>
              <w:t>Ir nepieciešams veikt grozījumus Ministru kabineta 2008.gada 2.septembra noteikumos Nr.703 „Not</w:t>
            </w:r>
            <w:r w:rsidR="00BA56CD" w:rsidRPr="00D63D4A">
              <w:rPr>
                <w:rFonts w:ascii="Times New Roman" w:eastAsia="Times New Roman" w:hAnsi="Times New Roman"/>
                <w:sz w:val="28"/>
                <w:szCs w:val="28"/>
                <w:lang w:eastAsia="lv-LV"/>
              </w:rPr>
              <w:t>eikumi par darbības programmas „</w:t>
            </w:r>
            <w:r w:rsidRPr="00D63D4A">
              <w:rPr>
                <w:rFonts w:ascii="Times New Roman" w:eastAsia="Times New Roman" w:hAnsi="Times New Roman"/>
                <w:sz w:val="28"/>
                <w:szCs w:val="28"/>
                <w:lang w:eastAsia="lv-LV"/>
              </w:rPr>
              <w:t>Cilvēkresursi un nodarbinātība” pa</w:t>
            </w:r>
            <w:r w:rsidR="00CE3051" w:rsidRPr="00D63D4A">
              <w:rPr>
                <w:rFonts w:ascii="Times New Roman" w:eastAsia="Times New Roman" w:hAnsi="Times New Roman"/>
                <w:sz w:val="28"/>
                <w:szCs w:val="28"/>
                <w:lang w:eastAsia="lv-LV"/>
              </w:rPr>
              <w:t>pildinājuma 1.1.1.2.aktivitāti „</w:t>
            </w:r>
            <w:r w:rsidRPr="00D63D4A">
              <w:rPr>
                <w:rFonts w:ascii="Times New Roman" w:eastAsia="Times New Roman" w:hAnsi="Times New Roman"/>
                <w:sz w:val="28"/>
                <w:szCs w:val="28"/>
                <w:lang w:eastAsia="lv-LV"/>
              </w:rPr>
              <w:t>Cilvēkresursu piesaiste zinātnei”</w:t>
            </w:r>
            <w:r w:rsidR="007E6FF2" w:rsidRPr="00D63D4A">
              <w:rPr>
                <w:rFonts w:ascii="Times New Roman" w:eastAsia="Times New Roman" w:hAnsi="Times New Roman"/>
                <w:sz w:val="28"/>
                <w:szCs w:val="28"/>
                <w:lang w:eastAsia="lv-LV"/>
              </w:rPr>
              <w:t xml:space="preserve">” (turpmāk – noteikumi Nr.703), aktualizējot pieejamā finansējuma apmēru saskaņā ar </w:t>
            </w:r>
            <w:r w:rsidR="00932E0E">
              <w:rPr>
                <w:rFonts w:ascii="Times New Roman" w:eastAsia="Times New Roman" w:hAnsi="Times New Roman"/>
                <w:sz w:val="28"/>
                <w:szCs w:val="28"/>
                <w:lang w:eastAsia="lv-LV"/>
              </w:rPr>
              <w:t>MK </w:t>
            </w:r>
            <w:r w:rsidR="007E6FF2" w:rsidRPr="00D63D4A">
              <w:rPr>
                <w:rFonts w:ascii="Times New Roman" w:eastAsia="Times New Roman" w:hAnsi="Times New Roman"/>
                <w:sz w:val="28"/>
                <w:szCs w:val="28"/>
                <w:lang w:eastAsia="lv-LV"/>
              </w:rPr>
              <w:t>rīkojumu Nr.574 veiktajiem grozījumiem DPP. Grozījumi noteikumos Nr.703 tiks veikti līdz 2012.gada 1.jū</w:t>
            </w:r>
            <w:r w:rsidR="000D6B1B">
              <w:rPr>
                <w:rFonts w:ascii="Times New Roman" w:eastAsia="Times New Roman" w:hAnsi="Times New Roman"/>
                <w:sz w:val="28"/>
                <w:szCs w:val="28"/>
                <w:lang w:eastAsia="lv-LV"/>
              </w:rPr>
              <w:t>l</w:t>
            </w:r>
            <w:r w:rsidR="007E6FF2" w:rsidRPr="00D63D4A">
              <w:rPr>
                <w:rFonts w:ascii="Times New Roman" w:eastAsia="Times New Roman" w:hAnsi="Times New Roman"/>
                <w:sz w:val="28"/>
                <w:szCs w:val="28"/>
                <w:lang w:eastAsia="lv-LV"/>
              </w:rPr>
              <w:t>ijam</w:t>
            </w:r>
            <w:r w:rsidRPr="00D63D4A">
              <w:rPr>
                <w:rFonts w:ascii="Times New Roman" w:eastAsia="Times New Roman" w:hAnsi="Times New Roman"/>
                <w:sz w:val="28"/>
                <w:szCs w:val="28"/>
                <w:lang w:eastAsia="lv-LV"/>
              </w:rPr>
              <w:t>.</w:t>
            </w:r>
          </w:p>
          <w:p w:rsidR="001D5304" w:rsidRPr="00E72A1B" w:rsidRDefault="001D5304" w:rsidP="00D63D4A">
            <w:pPr>
              <w:jc w:val="both"/>
              <w:rPr>
                <w:sz w:val="28"/>
                <w:szCs w:val="28"/>
              </w:rPr>
            </w:pPr>
            <w:r w:rsidRPr="00E72A1B">
              <w:rPr>
                <w:sz w:val="28"/>
                <w:szCs w:val="28"/>
              </w:rPr>
              <w:t>Par iepriekšminēt</w:t>
            </w:r>
            <w:r w:rsidR="00D63D4A">
              <w:rPr>
                <w:sz w:val="28"/>
                <w:szCs w:val="28"/>
              </w:rPr>
              <w:t>o</w:t>
            </w:r>
            <w:r w:rsidRPr="00E72A1B">
              <w:rPr>
                <w:sz w:val="28"/>
                <w:szCs w:val="28"/>
              </w:rPr>
              <w:t xml:space="preserve"> tiesību akt</w:t>
            </w:r>
            <w:r w:rsidR="00D63D4A">
              <w:rPr>
                <w:sz w:val="28"/>
                <w:szCs w:val="28"/>
              </w:rPr>
              <w:t>u</w:t>
            </w:r>
            <w:r w:rsidRPr="00E72A1B">
              <w:rPr>
                <w:sz w:val="28"/>
                <w:szCs w:val="28"/>
              </w:rPr>
              <w:t xml:space="preserve"> projekt</w:t>
            </w:r>
            <w:r w:rsidR="00D63D4A">
              <w:rPr>
                <w:sz w:val="28"/>
                <w:szCs w:val="28"/>
              </w:rPr>
              <w:t>u</w:t>
            </w:r>
            <w:r w:rsidRPr="00E72A1B">
              <w:rPr>
                <w:sz w:val="28"/>
                <w:szCs w:val="28"/>
              </w:rPr>
              <w:t xml:space="preserve"> izstrādi ir atbildīga Izglītības un zinātnes ministrija.</w:t>
            </w:r>
          </w:p>
        </w:tc>
      </w:tr>
      <w:tr w:rsidR="001D5304" w:rsidRPr="005502D7" w:rsidTr="001529A8">
        <w:tc>
          <w:tcPr>
            <w:tcW w:w="0" w:type="auto"/>
            <w:tcBorders>
              <w:top w:val="outset" w:sz="6" w:space="0" w:color="000000"/>
              <w:left w:val="outset" w:sz="6" w:space="0" w:color="000000"/>
              <w:bottom w:val="outset" w:sz="6" w:space="0" w:color="000000"/>
              <w:right w:val="outset" w:sz="6" w:space="0" w:color="000000"/>
            </w:tcBorders>
            <w:hideMark/>
          </w:tcPr>
          <w:p w:rsidR="001D5304" w:rsidRPr="005502D7" w:rsidRDefault="001D5304" w:rsidP="001529A8">
            <w:pPr>
              <w:spacing w:before="100" w:beforeAutospacing="1" w:after="100" w:afterAutospacing="1"/>
              <w:rPr>
                <w:sz w:val="28"/>
                <w:szCs w:val="28"/>
              </w:rPr>
            </w:pPr>
            <w:r w:rsidRPr="005502D7">
              <w:rPr>
                <w:sz w:val="28"/>
                <w:szCs w:val="28"/>
              </w:rPr>
              <w:t>2.</w:t>
            </w:r>
          </w:p>
        </w:tc>
        <w:tc>
          <w:tcPr>
            <w:tcW w:w="1421" w:type="pct"/>
            <w:tcBorders>
              <w:top w:val="outset" w:sz="6" w:space="0" w:color="000000"/>
              <w:left w:val="outset" w:sz="6" w:space="0" w:color="000000"/>
              <w:bottom w:val="outset" w:sz="6" w:space="0" w:color="000000"/>
              <w:right w:val="outset" w:sz="6" w:space="0" w:color="000000"/>
            </w:tcBorders>
            <w:hideMark/>
          </w:tcPr>
          <w:p w:rsidR="001D5304" w:rsidRPr="005502D7" w:rsidRDefault="001D5304" w:rsidP="001529A8">
            <w:pPr>
              <w:spacing w:before="100" w:beforeAutospacing="1" w:after="100" w:afterAutospacing="1"/>
              <w:rPr>
                <w:sz w:val="28"/>
                <w:szCs w:val="28"/>
              </w:rPr>
            </w:pPr>
            <w:r w:rsidRPr="005502D7">
              <w:rPr>
                <w:sz w:val="28"/>
                <w:szCs w:val="28"/>
              </w:rPr>
              <w:t>Cita informācija</w:t>
            </w:r>
          </w:p>
        </w:tc>
        <w:tc>
          <w:tcPr>
            <w:tcW w:w="3431" w:type="pct"/>
            <w:tcBorders>
              <w:top w:val="outset" w:sz="6" w:space="0" w:color="000000"/>
              <w:left w:val="outset" w:sz="6" w:space="0" w:color="000000"/>
              <w:bottom w:val="outset" w:sz="6" w:space="0" w:color="000000"/>
              <w:right w:val="outset" w:sz="6" w:space="0" w:color="000000"/>
            </w:tcBorders>
            <w:hideMark/>
          </w:tcPr>
          <w:p w:rsidR="001D5304" w:rsidRPr="005502D7" w:rsidRDefault="001D5304" w:rsidP="001529A8">
            <w:pPr>
              <w:spacing w:before="100" w:beforeAutospacing="1" w:after="100" w:afterAutospacing="1"/>
              <w:jc w:val="both"/>
              <w:rPr>
                <w:sz w:val="28"/>
                <w:szCs w:val="28"/>
              </w:rPr>
            </w:pPr>
            <w:r w:rsidRPr="005502D7">
              <w:rPr>
                <w:sz w:val="28"/>
                <w:szCs w:val="28"/>
              </w:rPr>
              <w:t>Nav.</w:t>
            </w:r>
          </w:p>
        </w:tc>
      </w:tr>
    </w:tbl>
    <w:p w:rsidR="001D5304" w:rsidRDefault="001D5304" w:rsidP="001D5304">
      <w:pPr>
        <w:jc w:val="both"/>
        <w:rPr>
          <w:sz w:val="28"/>
          <w:szCs w:val="28"/>
        </w:rPr>
      </w:pPr>
    </w:p>
    <w:p w:rsidR="001D5304" w:rsidRDefault="001D5304" w:rsidP="001D5304">
      <w:pPr>
        <w:jc w:val="both"/>
        <w:rPr>
          <w:sz w:val="28"/>
          <w:szCs w:val="28"/>
        </w:rPr>
      </w:pPr>
      <w:r w:rsidRPr="00D15368">
        <w:rPr>
          <w:sz w:val="28"/>
          <w:szCs w:val="28"/>
        </w:rPr>
        <w:t>Anotācijas V</w:t>
      </w:r>
      <w:r>
        <w:rPr>
          <w:sz w:val="28"/>
          <w:szCs w:val="28"/>
        </w:rPr>
        <w:t xml:space="preserve"> un</w:t>
      </w:r>
      <w:r w:rsidRPr="00D15368">
        <w:rPr>
          <w:sz w:val="28"/>
          <w:szCs w:val="28"/>
        </w:rPr>
        <w:t xml:space="preserve"> V</w:t>
      </w:r>
      <w:r>
        <w:rPr>
          <w:sz w:val="28"/>
          <w:szCs w:val="28"/>
        </w:rPr>
        <w:t xml:space="preserve">I </w:t>
      </w:r>
      <w:r w:rsidRPr="001D5304">
        <w:rPr>
          <w:sz w:val="28"/>
          <w:szCs w:val="28"/>
        </w:rPr>
        <w:t>sadaļa</w:t>
      </w:r>
      <w:r w:rsidRPr="00D15368">
        <w:rPr>
          <w:sz w:val="28"/>
          <w:szCs w:val="28"/>
        </w:rPr>
        <w:t xml:space="preserve"> –</w:t>
      </w:r>
      <w:r>
        <w:rPr>
          <w:sz w:val="28"/>
          <w:szCs w:val="28"/>
        </w:rPr>
        <w:t xml:space="preserve"> </w:t>
      </w:r>
      <w:r w:rsidRPr="001D5304">
        <w:rPr>
          <w:sz w:val="28"/>
          <w:szCs w:val="28"/>
        </w:rPr>
        <w:t>noteikumu projekts šīs jomas neskar.</w:t>
      </w:r>
    </w:p>
    <w:p w:rsidR="001D5304" w:rsidRDefault="001D5304" w:rsidP="001D5304">
      <w:pPr>
        <w:jc w:val="both"/>
        <w:rPr>
          <w:sz w:val="28"/>
          <w:szCs w:val="28"/>
        </w:rPr>
      </w:pPr>
    </w:p>
    <w:tbl>
      <w:tblPr>
        <w:tblW w:w="4990"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564"/>
        <w:gridCol w:w="6124"/>
      </w:tblGrid>
      <w:tr w:rsidR="00100200" w:rsidRPr="004B34C2" w:rsidTr="00A94662">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4B34C2" w:rsidRDefault="00100200" w:rsidP="004B34C2">
            <w:pPr>
              <w:jc w:val="center"/>
              <w:rPr>
                <w:b/>
                <w:bCs/>
                <w:sz w:val="28"/>
                <w:szCs w:val="28"/>
              </w:rPr>
            </w:pPr>
            <w:r w:rsidRPr="004B34C2">
              <w:rPr>
                <w:b/>
                <w:bCs/>
                <w:sz w:val="28"/>
                <w:szCs w:val="28"/>
              </w:rPr>
              <w:t>VII. Tiesību akta projekta izpildes nodrošināšana un tās ietekme uz institūcijām</w:t>
            </w:r>
          </w:p>
        </w:tc>
      </w:tr>
      <w:tr w:rsidR="00100200" w:rsidRPr="00AA000D"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AA000D" w:rsidRDefault="00100200" w:rsidP="004B34C2">
            <w:pPr>
              <w:rPr>
                <w:sz w:val="28"/>
                <w:szCs w:val="28"/>
              </w:rPr>
            </w:pPr>
            <w:r w:rsidRPr="00AA000D">
              <w:rPr>
                <w:sz w:val="28"/>
                <w:szCs w:val="28"/>
              </w:rPr>
              <w:t>1.</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AA000D" w:rsidRDefault="00100200" w:rsidP="004B34C2">
            <w:pPr>
              <w:rPr>
                <w:sz w:val="28"/>
                <w:szCs w:val="28"/>
              </w:rPr>
            </w:pPr>
            <w:r w:rsidRPr="00AA000D">
              <w:rPr>
                <w:sz w:val="28"/>
                <w:szCs w:val="28"/>
              </w:rPr>
              <w:t>Projekta izpildē iesaistītās institūcijas</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B345F8" w:rsidRDefault="00383933" w:rsidP="00AA000D">
            <w:pPr>
              <w:jc w:val="both"/>
              <w:rPr>
                <w:sz w:val="28"/>
                <w:szCs w:val="28"/>
                <w:highlight w:val="lightGray"/>
              </w:rPr>
            </w:pPr>
            <w:r w:rsidRPr="00D15368">
              <w:rPr>
                <w:iCs/>
                <w:sz w:val="28"/>
                <w:szCs w:val="28"/>
              </w:rPr>
              <w:t>Izglītības un zinātnes ministrija.</w:t>
            </w:r>
          </w:p>
        </w:tc>
      </w:tr>
      <w:tr w:rsidR="00100200" w:rsidRPr="00AA000D"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AA000D" w:rsidRDefault="00100200" w:rsidP="004B34C2">
            <w:pPr>
              <w:rPr>
                <w:sz w:val="28"/>
                <w:szCs w:val="28"/>
              </w:rPr>
            </w:pPr>
            <w:r w:rsidRPr="00AA000D">
              <w:rPr>
                <w:sz w:val="28"/>
                <w:szCs w:val="28"/>
              </w:rPr>
              <w:t>2.</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AA000D" w:rsidRDefault="00100200" w:rsidP="004B34C2">
            <w:pPr>
              <w:rPr>
                <w:sz w:val="28"/>
                <w:szCs w:val="28"/>
              </w:rPr>
            </w:pPr>
            <w:r w:rsidRPr="00AA000D">
              <w:rPr>
                <w:sz w:val="28"/>
                <w:szCs w:val="28"/>
              </w:rPr>
              <w:t>Projekta izpildes ietekme uz pārvaldes funkcijām</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B345F8" w:rsidRDefault="00383933" w:rsidP="008B61BB">
            <w:pPr>
              <w:jc w:val="both"/>
              <w:rPr>
                <w:sz w:val="28"/>
                <w:szCs w:val="28"/>
                <w:highlight w:val="lightGray"/>
              </w:rPr>
            </w:pPr>
            <w:r w:rsidRPr="00D15368">
              <w:rPr>
                <w:sz w:val="28"/>
                <w:szCs w:val="28"/>
              </w:rPr>
              <w:t>Netiek paplašinātas esošo institūciju funkcijas.</w:t>
            </w:r>
          </w:p>
        </w:tc>
      </w:tr>
      <w:tr w:rsidR="00100200" w:rsidRPr="00D658EF"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3.</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Projekta izpildes ietekme uz pārvaldes institucionālo struktūru.</w:t>
            </w:r>
          </w:p>
          <w:p w:rsidR="00100200" w:rsidRPr="00D658EF" w:rsidRDefault="00100200" w:rsidP="004B34C2">
            <w:pPr>
              <w:rPr>
                <w:sz w:val="28"/>
                <w:szCs w:val="28"/>
              </w:rPr>
            </w:pPr>
            <w:r w:rsidRPr="00D658EF">
              <w:rPr>
                <w:sz w:val="28"/>
                <w:szCs w:val="28"/>
              </w:rPr>
              <w:t>Jaunu institūciju izveide</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D658EF" w:rsidRDefault="00D658EF" w:rsidP="004B34C2">
            <w:pPr>
              <w:rPr>
                <w:sz w:val="28"/>
                <w:szCs w:val="28"/>
              </w:rPr>
            </w:pPr>
            <w:r w:rsidRPr="00D658EF">
              <w:rPr>
                <w:sz w:val="28"/>
                <w:szCs w:val="28"/>
              </w:rPr>
              <w:t>Noteikumu projekts šo jomu neskar</w:t>
            </w:r>
            <w:r w:rsidR="00383933">
              <w:rPr>
                <w:sz w:val="28"/>
                <w:szCs w:val="28"/>
              </w:rPr>
              <w:t>.</w:t>
            </w:r>
          </w:p>
        </w:tc>
      </w:tr>
      <w:tr w:rsidR="00100200" w:rsidRPr="00D658EF"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4.</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Projekta izpildes ietekme uz pārvaldes institucionālo struktūru.</w:t>
            </w:r>
          </w:p>
          <w:p w:rsidR="00100200" w:rsidRPr="00D658EF" w:rsidRDefault="00100200" w:rsidP="004B34C2">
            <w:pPr>
              <w:rPr>
                <w:sz w:val="28"/>
                <w:szCs w:val="28"/>
              </w:rPr>
            </w:pPr>
            <w:r w:rsidRPr="00D658EF">
              <w:rPr>
                <w:sz w:val="28"/>
                <w:szCs w:val="28"/>
              </w:rPr>
              <w:t>Esošu institūciju likvidācija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D658EF" w:rsidRDefault="00D658EF" w:rsidP="004B34C2">
            <w:pPr>
              <w:rPr>
                <w:sz w:val="28"/>
                <w:szCs w:val="28"/>
              </w:rPr>
            </w:pPr>
            <w:r w:rsidRPr="00D658EF">
              <w:rPr>
                <w:sz w:val="28"/>
                <w:szCs w:val="28"/>
              </w:rPr>
              <w:t>Noteikumu projekts šo jomu neskar</w:t>
            </w:r>
            <w:r w:rsidR="00383933">
              <w:rPr>
                <w:sz w:val="28"/>
                <w:szCs w:val="28"/>
              </w:rPr>
              <w:t>.</w:t>
            </w:r>
          </w:p>
        </w:tc>
      </w:tr>
      <w:tr w:rsidR="00100200" w:rsidRPr="00D658EF"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lastRenderedPageBreak/>
              <w:t>5.</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Projekta izpildes ietekme uz pārvaldes institucionālo struktūru.</w:t>
            </w:r>
          </w:p>
          <w:p w:rsidR="00100200" w:rsidRPr="00D658EF" w:rsidRDefault="00100200" w:rsidP="004B34C2">
            <w:pPr>
              <w:rPr>
                <w:sz w:val="28"/>
                <w:szCs w:val="28"/>
              </w:rPr>
            </w:pPr>
            <w:r w:rsidRPr="00D658EF">
              <w:rPr>
                <w:sz w:val="28"/>
                <w:szCs w:val="28"/>
              </w:rPr>
              <w:t>Esošu institūciju reorganizācija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D658EF" w:rsidRDefault="00D658EF" w:rsidP="004B34C2">
            <w:pPr>
              <w:rPr>
                <w:sz w:val="28"/>
                <w:szCs w:val="28"/>
              </w:rPr>
            </w:pPr>
            <w:r w:rsidRPr="00D658EF">
              <w:rPr>
                <w:sz w:val="28"/>
                <w:szCs w:val="28"/>
              </w:rPr>
              <w:t>Noteikumu projekts šo jomu neskar</w:t>
            </w:r>
            <w:r w:rsidR="00383933">
              <w:rPr>
                <w:sz w:val="28"/>
                <w:szCs w:val="28"/>
              </w:rPr>
              <w:t>.</w:t>
            </w:r>
          </w:p>
        </w:tc>
      </w:tr>
      <w:tr w:rsidR="00100200" w:rsidRPr="004B34C2"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4B34C2" w:rsidRDefault="00100200" w:rsidP="004B34C2">
            <w:pPr>
              <w:rPr>
                <w:sz w:val="28"/>
                <w:szCs w:val="28"/>
              </w:rPr>
            </w:pPr>
            <w:r w:rsidRPr="004B34C2">
              <w:rPr>
                <w:sz w:val="28"/>
                <w:szCs w:val="28"/>
              </w:rPr>
              <w:t>6.</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4B34C2" w:rsidRDefault="00100200" w:rsidP="004B34C2">
            <w:pPr>
              <w:rPr>
                <w:sz w:val="28"/>
                <w:szCs w:val="28"/>
              </w:rPr>
            </w:pPr>
            <w:r w:rsidRPr="004B34C2">
              <w:rPr>
                <w:sz w:val="28"/>
                <w:szCs w:val="28"/>
              </w:rPr>
              <w:t>Cita informācija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4B34C2" w:rsidRDefault="00100200" w:rsidP="004B34C2">
            <w:pPr>
              <w:rPr>
                <w:sz w:val="28"/>
                <w:szCs w:val="28"/>
              </w:rPr>
            </w:pPr>
            <w:r w:rsidRPr="004B34C2">
              <w:rPr>
                <w:sz w:val="28"/>
                <w:szCs w:val="28"/>
              </w:rPr>
              <w:t>Nav</w:t>
            </w:r>
            <w:r w:rsidR="00383933">
              <w:rPr>
                <w:sz w:val="28"/>
                <w:szCs w:val="28"/>
              </w:rPr>
              <w:t>.</w:t>
            </w:r>
          </w:p>
        </w:tc>
      </w:tr>
    </w:tbl>
    <w:p w:rsidR="007A6DB9" w:rsidRPr="004B34C2" w:rsidRDefault="007A6DB9" w:rsidP="004B34C2">
      <w:pPr>
        <w:jc w:val="both"/>
        <w:rPr>
          <w:sz w:val="28"/>
          <w:szCs w:val="28"/>
        </w:rPr>
      </w:pPr>
    </w:p>
    <w:p w:rsidR="00C34957" w:rsidRPr="00C34957" w:rsidRDefault="00C34957" w:rsidP="002E208C">
      <w:pPr>
        <w:jc w:val="both"/>
        <w:rPr>
          <w:sz w:val="28"/>
          <w:szCs w:val="28"/>
        </w:rPr>
      </w:pPr>
    </w:p>
    <w:p w:rsidR="003F5248" w:rsidRPr="00C34957" w:rsidRDefault="004172D6" w:rsidP="002E208C">
      <w:pPr>
        <w:jc w:val="both"/>
        <w:rPr>
          <w:sz w:val="28"/>
          <w:szCs w:val="28"/>
        </w:rPr>
      </w:pPr>
      <w:r>
        <w:rPr>
          <w:sz w:val="28"/>
          <w:szCs w:val="28"/>
        </w:rPr>
        <w:tab/>
        <w:t>Izglītības un zinātnes ministrs</w:t>
      </w:r>
      <w:r w:rsidR="003F5248" w:rsidRPr="00C34957">
        <w:rPr>
          <w:sz w:val="28"/>
          <w:szCs w:val="28"/>
        </w:rPr>
        <w:tab/>
      </w:r>
      <w:r w:rsidR="003F5248" w:rsidRPr="00C34957">
        <w:rPr>
          <w:sz w:val="28"/>
          <w:szCs w:val="28"/>
        </w:rPr>
        <w:tab/>
      </w:r>
      <w:r w:rsidR="00F42D3D" w:rsidRPr="00C34957">
        <w:rPr>
          <w:sz w:val="28"/>
          <w:szCs w:val="28"/>
        </w:rPr>
        <w:tab/>
      </w:r>
      <w:r w:rsidR="00F42D3D" w:rsidRPr="00C34957">
        <w:rPr>
          <w:sz w:val="28"/>
          <w:szCs w:val="28"/>
        </w:rPr>
        <w:tab/>
      </w:r>
      <w:r w:rsidR="003F5248" w:rsidRPr="00C34957">
        <w:rPr>
          <w:sz w:val="28"/>
          <w:szCs w:val="28"/>
        </w:rPr>
        <w:tab/>
      </w:r>
      <w:r>
        <w:rPr>
          <w:sz w:val="28"/>
          <w:szCs w:val="28"/>
        </w:rPr>
        <w:t>R.</w:t>
      </w:r>
      <w:r w:rsidR="00B345F8">
        <w:rPr>
          <w:sz w:val="28"/>
          <w:szCs w:val="28"/>
        </w:rPr>
        <w:t>Ķīlis</w:t>
      </w:r>
    </w:p>
    <w:p w:rsidR="003A37CB" w:rsidRDefault="003A37CB" w:rsidP="002E208C">
      <w:pPr>
        <w:jc w:val="both"/>
        <w:rPr>
          <w:sz w:val="28"/>
          <w:szCs w:val="28"/>
        </w:rPr>
      </w:pPr>
    </w:p>
    <w:p w:rsidR="00E766DF" w:rsidRDefault="00E766DF" w:rsidP="00E766DF">
      <w:pPr>
        <w:tabs>
          <w:tab w:val="left" w:pos="6804"/>
        </w:tabs>
        <w:ind w:firstLine="720"/>
        <w:jc w:val="both"/>
        <w:rPr>
          <w:sz w:val="28"/>
          <w:szCs w:val="28"/>
        </w:rPr>
      </w:pPr>
    </w:p>
    <w:p w:rsidR="00E766DF" w:rsidRPr="00F927D2" w:rsidRDefault="00E766DF" w:rsidP="00403A58">
      <w:pPr>
        <w:tabs>
          <w:tab w:val="left" w:pos="4545"/>
          <w:tab w:val="left" w:pos="6804"/>
        </w:tabs>
        <w:ind w:firstLine="720"/>
        <w:jc w:val="both"/>
        <w:rPr>
          <w:sz w:val="28"/>
          <w:szCs w:val="28"/>
        </w:rPr>
      </w:pPr>
      <w:r>
        <w:rPr>
          <w:sz w:val="28"/>
          <w:szCs w:val="28"/>
        </w:rPr>
        <w:t xml:space="preserve">Vīza: Valsts </w:t>
      </w:r>
      <w:r w:rsidR="004E6CA1">
        <w:rPr>
          <w:sz w:val="28"/>
          <w:szCs w:val="28"/>
        </w:rPr>
        <w:t xml:space="preserve">sekretārs </w:t>
      </w:r>
      <w:r w:rsidR="004E6CA1">
        <w:rPr>
          <w:sz w:val="28"/>
          <w:szCs w:val="28"/>
        </w:rPr>
        <w:tab/>
      </w:r>
      <w:r w:rsidR="00403A58">
        <w:rPr>
          <w:sz w:val="28"/>
          <w:szCs w:val="28"/>
        </w:rPr>
        <w:tab/>
      </w:r>
      <w:r w:rsidR="004E6CA1">
        <w:rPr>
          <w:sz w:val="28"/>
          <w:szCs w:val="28"/>
        </w:rPr>
        <w:tab/>
      </w:r>
      <w:proofErr w:type="spellStart"/>
      <w:r w:rsidR="004E6CA1">
        <w:rPr>
          <w:sz w:val="28"/>
          <w:szCs w:val="28"/>
        </w:rPr>
        <w:t>M.Gruškevics</w:t>
      </w:r>
      <w:proofErr w:type="spellEnd"/>
    </w:p>
    <w:p w:rsidR="001A685A" w:rsidRDefault="001A685A" w:rsidP="00E766DF">
      <w:pPr>
        <w:autoSpaceDE w:val="0"/>
        <w:autoSpaceDN w:val="0"/>
        <w:adjustRightInd w:val="0"/>
        <w:rPr>
          <w:sz w:val="20"/>
          <w:szCs w:val="20"/>
        </w:rPr>
      </w:pPr>
    </w:p>
    <w:p w:rsidR="00680240" w:rsidRDefault="00680240" w:rsidP="002E208C">
      <w:pPr>
        <w:tabs>
          <w:tab w:val="left" w:pos="720"/>
          <w:tab w:val="center" w:pos="4535"/>
        </w:tabs>
        <w:jc w:val="both"/>
        <w:rPr>
          <w:sz w:val="20"/>
          <w:szCs w:val="20"/>
        </w:rPr>
      </w:pPr>
    </w:p>
    <w:p w:rsidR="00403A58" w:rsidRDefault="00403A58" w:rsidP="002E208C">
      <w:pPr>
        <w:tabs>
          <w:tab w:val="left" w:pos="720"/>
          <w:tab w:val="center" w:pos="4535"/>
        </w:tabs>
        <w:jc w:val="both"/>
        <w:rPr>
          <w:sz w:val="20"/>
          <w:szCs w:val="20"/>
        </w:rPr>
      </w:pPr>
    </w:p>
    <w:p w:rsidR="00403A58" w:rsidRDefault="00403A58" w:rsidP="002E208C">
      <w:pPr>
        <w:tabs>
          <w:tab w:val="left" w:pos="720"/>
          <w:tab w:val="center" w:pos="4535"/>
        </w:tabs>
        <w:jc w:val="both"/>
        <w:rPr>
          <w:sz w:val="20"/>
          <w:szCs w:val="20"/>
        </w:rPr>
      </w:pPr>
    </w:p>
    <w:p w:rsidR="00E21F4F" w:rsidRDefault="00E21F4F" w:rsidP="00065C1D">
      <w:pPr>
        <w:ind w:firstLine="720"/>
        <w:jc w:val="both"/>
        <w:rPr>
          <w:sz w:val="20"/>
          <w:szCs w:val="20"/>
        </w:rPr>
      </w:pPr>
      <w:r>
        <w:rPr>
          <w:sz w:val="20"/>
          <w:szCs w:val="20"/>
        </w:rPr>
        <w:t>05.04.2012 11:26</w:t>
      </w:r>
    </w:p>
    <w:p w:rsidR="00E21F4F" w:rsidRDefault="00E21F4F" w:rsidP="00065C1D">
      <w:pPr>
        <w:ind w:firstLine="720"/>
        <w:jc w:val="both"/>
        <w:rPr>
          <w:sz w:val="20"/>
          <w:szCs w:val="20"/>
        </w:rPr>
      </w:pPr>
      <w:r>
        <w:rPr>
          <w:sz w:val="20"/>
          <w:szCs w:val="20"/>
        </w:rPr>
        <w:t>866</w:t>
      </w:r>
    </w:p>
    <w:p w:rsidR="00065C1D" w:rsidRPr="00705622" w:rsidRDefault="007F51CB" w:rsidP="00065C1D">
      <w:pPr>
        <w:ind w:firstLine="720"/>
        <w:rPr>
          <w:sz w:val="20"/>
          <w:szCs w:val="20"/>
        </w:rPr>
      </w:pPr>
      <w:proofErr w:type="spellStart"/>
      <w:r>
        <w:rPr>
          <w:sz w:val="20"/>
          <w:szCs w:val="20"/>
        </w:rPr>
        <w:t>K.Pakšāne</w:t>
      </w:r>
      <w:proofErr w:type="spellEnd"/>
    </w:p>
    <w:p w:rsidR="00065C1D" w:rsidRPr="00705622" w:rsidRDefault="00065C1D" w:rsidP="00065C1D">
      <w:pPr>
        <w:ind w:firstLine="720"/>
        <w:rPr>
          <w:sz w:val="20"/>
          <w:szCs w:val="20"/>
        </w:rPr>
      </w:pPr>
      <w:r w:rsidRPr="00705622">
        <w:rPr>
          <w:sz w:val="20"/>
          <w:szCs w:val="20"/>
        </w:rPr>
        <w:t>67047</w:t>
      </w:r>
      <w:r w:rsidR="002D6C6B">
        <w:rPr>
          <w:sz w:val="20"/>
          <w:szCs w:val="20"/>
        </w:rPr>
        <w:t>764</w:t>
      </w:r>
      <w:r w:rsidRPr="00705622">
        <w:rPr>
          <w:sz w:val="20"/>
          <w:szCs w:val="20"/>
        </w:rPr>
        <w:t xml:space="preserve">, </w:t>
      </w:r>
      <w:hyperlink r:id="rId8" w:history="1">
        <w:r w:rsidR="004A2728" w:rsidRPr="00F21D3B">
          <w:rPr>
            <w:rStyle w:val="Hyperlink"/>
            <w:sz w:val="20"/>
            <w:szCs w:val="20"/>
          </w:rPr>
          <w:t>katrina.paksane@izm.gov.lv</w:t>
        </w:r>
      </w:hyperlink>
      <w:r w:rsidRPr="00705622">
        <w:rPr>
          <w:sz w:val="20"/>
          <w:szCs w:val="20"/>
        </w:rPr>
        <w:t xml:space="preserve"> </w:t>
      </w:r>
    </w:p>
    <w:p w:rsidR="00E21F4F" w:rsidRDefault="00E21F4F" w:rsidP="00065C1D">
      <w:pPr>
        <w:tabs>
          <w:tab w:val="left" w:pos="720"/>
          <w:tab w:val="center" w:pos="4535"/>
        </w:tabs>
        <w:jc w:val="both"/>
        <w:rPr>
          <w:sz w:val="20"/>
          <w:szCs w:val="20"/>
        </w:rPr>
      </w:pPr>
    </w:p>
    <w:p w:rsidR="00E21F4F" w:rsidRPr="00E21F4F" w:rsidRDefault="00E21F4F" w:rsidP="00E21F4F">
      <w:pPr>
        <w:rPr>
          <w:sz w:val="20"/>
          <w:szCs w:val="20"/>
        </w:rPr>
      </w:pPr>
    </w:p>
    <w:p w:rsidR="00E21F4F" w:rsidRPr="00E21F4F" w:rsidRDefault="00E21F4F" w:rsidP="00E21F4F">
      <w:pPr>
        <w:rPr>
          <w:sz w:val="20"/>
          <w:szCs w:val="20"/>
        </w:rPr>
      </w:pPr>
    </w:p>
    <w:p w:rsidR="00E21F4F" w:rsidRPr="00E21F4F" w:rsidRDefault="00E21F4F" w:rsidP="00E21F4F">
      <w:pPr>
        <w:rPr>
          <w:sz w:val="20"/>
          <w:szCs w:val="20"/>
        </w:rPr>
      </w:pPr>
    </w:p>
    <w:p w:rsidR="00E21F4F" w:rsidRPr="00E21F4F" w:rsidRDefault="00E21F4F" w:rsidP="00E21F4F">
      <w:pPr>
        <w:rPr>
          <w:sz w:val="20"/>
          <w:szCs w:val="20"/>
        </w:rPr>
      </w:pPr>
    </w:p>
    <w:p w:rsidR="00E21F4F" w:rsidRDefault="00E21F4F" w:rsidP="00E21F4F">
      <w:pPr>
        <w:rPr>
          <w:sz w:val="20"/>
          <w:szCs w:val="20"/>
        </w:rPr>
      </w:pPr>
    </w:p>
    <w:p w:rsidR="00E96317" w:rsidRPr="00E21F4F" w:rsidRDefault="00E21F4F" w:rsidP="00E21F4F">
      <w:pPr>
        <w:tabs>
          <w:tab w:val="left" w:pos="1560"/>
        </w:tabs>
        <w:rPr>
          <w:sz w:val="20"/>
          <w:szCs w:val="20"/>
        </w:rPr>
      </w:pPr>
      <w:r>
        <w:rPr>
          <w:sz w:val="20"/>
          <w:szCs w:val="20"/>
        </w:rPr>
        <w:tab/>
      </w:r>
    </w:p>
    <w:sectPr w:rsidR="00E96317" w:rsidRPr="00E21F4F" w:rsidSect="00BB4971">
      <w:headerReference w:type="default" r:id="rId9"/>
      <w:footerReference w:type="default" r:id="rId10"/>
      <w:footerReference w:type="first" r:id="rId11"/>
      <w:pgSz w:w="11906" w:h="16838"/>
      <w:pgMar w:top="1077" w:right="1134" w:bottom="1077"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C95" w:rsidRDefault="00833C95">
      <w:r>
        <w:separator/>
      </w:r>
    </w:p>
  </w:endnote>
  <w:endnote w:type="continuationSeparator" w:id="0">
    <w:p w:rsidR="00833C95" w:rsidRDefault="00833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48" w:rsidRPr="00BB63BE" w:rsidRDefault="00E21F4F" w:rsidP="00BB63BE">
    <w:pPr>
      <w:jc w:val="both"/>
      <w:rPr>
        <w:szCs w:val="20"/>
      </w:rPr>
    </w:pPr>
    <w:r w:rsidRPr="00E21F4F">
      <w:rPr>
        <w:sz w:val="20"/>
        <w:szCs w:val="20"/>
      </w:rPr>
      <w:t>IZMAnot_05042012_groz11221</w:t>
    </w:r>
    <w:r w:rsidR="00BB63BE" w:rsidRPr="0048436B">
      <w:rPr>
        <w:sz w:val="20"/>
        <w:szCs w:val="20"/>
      </w:rPr>
      <w:t xml:space="preserve">; </w:t>
    </w:r>
    <w:r w:rsidR="00BB63BE" w:rsidRPr="00625FB1">
      <w:rPr>
        <w:sz w:val="20"/>
        <w:szCs w:val="20"/>
      </w:rPr>
      <w:t xml:space="preserve">Ministru kabineta noteikumu projekta </w:t>
    </w:r>
    <w:r w:rsidR="00BB63BE">
      <w:rPr>
        <w:sz w:val="20"/>
        <w:szCs w:val="20"/>
      </w:rPr>
      <w:t>„</w:t>
    </w:r>
    <w:r w:rsidR="00BB63BE" w:rsidRPr="00625FB1">
      <w:rPr>
        <w:sz w:val="20"/>
        <w:szCs w:val="20"/>
      </w:rPr>
      <w:t>Par Ministru kabineta 2009.gada 9.jūnija noteikumu Nr.522 „Not</w:t>
    </w:r>
    <w:r w:rsidR="00BB63BE">
      <w:rPr>
        <w:sz w:val="20"/>
        <w:szCs w:val="20"/>
      </w:rPr>
      <w:t>eikumi par darbības programmas „</w:t>
    </w:r>
    <w:r w:rsidR="00BB63BE" w:rsidRPr="00625FB1">
      <w:rPr>
        <w:sz w:val="20"/>
        <w:szCs w:val="20"/>
      </w:rPr>
      <w:t xml:space="preserve">Cilvēkresursi un nodarbinātība” papildinājuma 1.1.2.2.1.apakšaktivitāti </w:t>
    </w:r>
    <w:r w:rsidR="00BB63BE">
      <w:rPr>
        <w:sz w:val="20"/>
        <w:szCs w:val="20"/>
      </w:rPr>
      <w:t>„</w:t>
    </w:r>
    <w:r w:rsidR="00BB63BE" w:rsidRPr="00625FB1">
      <w:rPr>
        <w:sz w:val="20"/>
        <w:szCs w:val="20"/>
      </w:rPr>
      <w:t>Studiju programmu satura un īstenošanas uzlabošana un akadēmiskā personāla kompetences pilnveidošana”” atzīšanu par spēku zaudējušiem</w:t>
    </w:r>
    <w:r w:rsidR="00BB63BE">
      <w:rPr>
        <w:sz w:val="20"/>
        <w:szCs w:val="20"/>
      </w:rPr>
      <w:t>”</w:t>
    </w:r>
    <w:r w:rsidR="00BB63BE" w:rsidRPr="00625FB1">
      <w:rPr>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96" w:rsidRPr="00EB6365" w:rsidRDefault="00E21F4F" w:rsidP="00B10596">
    <w:pPr>
      <w:jc w:val="both"/>
      <w:rPr>
        <w:sz w:val="20"/>
        <w:szCs w:val="20"/>
      </w:rPr>
    </w:pPr>
    <w:r w:rsidRPr="00E21F4F">
      <w:rPr>
        <w:sz w:val="20"/>
        <w:szCs w:val="20"/>
      </w:rPr>
      <w:t>IZMAnot_05042012_groz11221</w:t>
    </w:r>
    <w:r w:rsidR="002874BB" w:rsidRPr="0048436B">
      <w:rPr>
        <w:sz w:val="20"/>
        <w:szCs w:val="20"/>
      </w:rPr>
      <w:t xml:space="preserve">; </w:t>
    </w:r>
    <w:r w:rsidR="00625FB1" w:rsidRPr="00625FB1">
      <w:rPr>
        <w:sz w:val="20"/>
        <w:szCs w:val="20"/>
      </w:rPr>
      <w:t xml:space="preserve">Ministru kabineta noteikumu projekta </w:t>
    </w:r>
    <w:r w:rsidR="00BB63BE">
      <w:rPr>
        <w:sz w:val="20"/>
        <w:szCs w:val="20"/>
      </w:rPr>
      <w:t>„</w:t>
    </w:r>
    <w:r w:rsidR="00625FB1" w:rsidRPr="00625FB1">
      <w:rPr>
        <w:sz w:val="20"/>
        <w:szCs w:val="20"/>
      </w:rPr>
      <w:t>Par Ministru kabineta 2009.gada 9.jūnija noteikumu Nr.522 „Not</w:t>
    </w:r>
    <w:r w:rsidR="00BB63BE">
      <w:rPr>
        <w:sz w:val="20"/>
        <w:szCs w:val="20"/>
      </w:rPr>
      <w:t>eikumi par darbības programmas „</w:t>
    </w:r>
    <w:r w:rsidR="00625FB1" w:rsidRPr="00625FB1">
      <w:rPr>
        <w:sz w:val="20"/>
        <w:szCs w:val="20"/>
      </w:rPr>
      <w:t xml:space="preserve">Cilvēkresursi un nodarbinātība” papildinājuma 1.1.2.2.1.apakšaktivitāti </w:t>
    </w:r>
    <w:r w:rsidR="00BB63BE">
      <w:rPr>
        <w:sz w:val="20"/>
        <w:szCs w:val="20"/>
      </w:rPr>
      <w:t>„</w:t>
    </w:r>
    <w:r w:rsidR="00625FB1" w:rsidRPr="00625FB1">
      <w:rPr>
        <w:sz w:val="20"/>
        <w:szCs w:val="20"/>
      </w:rPr>
      <w:t>Studiju programmu satura un īstenošanas uzlabošana un akadēmiskā personāla kompetences pilnveidošana”” atzīšanu par spēku zaudējušiem</w:t>
    </w:r>
    <w:r w:rsidR="00BB63BE">
      <w:rPr>
        <w:sz w:val="20"/>
        <w:szCs w:val="20"/>
      </w:rPr>
      <w:t>”</w:t>
    </w:r>
    <w:r w:rsidR="00625FB1" w:rsidRPr="00625FB1">
      <w:rPr>
        <w:sz w:val="20"/>
        <w:szCs w:val="20"/>
      </w:rPr>
      <w:t xml:space="preserve"> sākotnējās ietekmes novērtējuma ziņojums (anotācija)</w:t>
    </w:r>
  </w:p>
  <w:p w:rsidR="00500F48" w:rsidRPr="00493619" w:rsidRDefault="00500F48" w:rsidP="0048436B">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C95" w:rsidRDefault="00833C95">
      <w:r>
        <w:separator/>
      </w:r>
    </w:p>
  </w:footnote>
  <w:footnote w:type="continuationSeparator" w:id="0">
    <w:p w:rsidR="00833C95" w:rsidRDefault="00833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48" w:rsidRDefault="00404BDB">
    <w:pPr>
      <w:pStyle w:val="Header"/>
      <w:jc w:val="center"/>
    </w:pPr>
    <w:fldSimple w:instr=" PAGE   \* MERGEFORMAT ">
      <w:r w:rsidR="00E21F4F">
        <w:rPr>
          <w:noProof/>
        </w:rPr>
        <w:t>5</w:t>
      </w:r>
    </w:fldSimple>
  </w:p>
  <w:p w:rsidR="00500F48" w:rsidRDefault="00500F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B62"/>
    <w:multiLevelType w:val="hybridMultilevel"/>
    <w:tmpl w:val="BD24865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660172"/>
    <w:multiLevelType w:val="hybridMultilevel"/>
    <w:tmpl w:val="DF44F24A"/>
    <w:lvl w:ilvl="0" w:tplc="04260011">
      <w:start w:val="1"/>
      <w:numFmt w:val="decimal"/>
      <w:lvlText w:val="%1)"/>
      <w:lvlJc w:val="left"/>
      <w:pPr>
        <w:ind w:left="870" w:hanging="360"/>
      </w:pPr>
      <w:rPr>
        <w:rFonts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2">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DE7F1B"/>
    <w:multiLevelType w:val="hybridMultilevel"/>
    <w:tmpl w:val="F8C42E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A901FF"/>
    <w:multiLevelType w:val="hybridMultilevel"/>
    <w:tmpl w:val="2E2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91E3C60"/>
    <w:multiLevelType w:val="hybridMultilevel"/>
    <w:tmpl w:val="DB3C4606"/>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03B7688"/>
    <w:multiLevelType w:val="hybridMultilevel"/>
    <w:tmpl w:val="21A4DE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8B362A7"/>
    <w:multiLevelType w:val="hybridMultilevel"/>
    <w:tmpl w:val="8434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A10363"/>
    <w:multiLevelType w:val="hybridMultilevel"/>
    <w:tmpl w:val="EE8AEA68"/>
    <w:lvl w:ilvl="0" w:tplc="364C842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7"/>
  </w:num>
  <w:num w:numId="6">
    <w:abstractNumId w:val="10"/>
  </w:num>
  <w:num w:numId="7">
    <w:abstractNumId w:val="5"/>
  </w:num>
  <w:num w:numId="8">
    <w:abstractNumId w:val="0"/>
  </w:num>
  <w:num w:numId="9">
    <w:abstractNumId w:val="8"/>
  </w:num>
  <w:num w:numId="10">
    <w:abstractNumId w:val="1"/>
  </w:num>
  <w:num w:numId="11">
    <w:abstractNumId w:val="4"/>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188E"/>
    <w:rsid w:val="00001D6E"/>
    <w:rsid w:val="00010472"/>
    <w:rsid w:val="00010A8D"/>
    <w:rsid w:val="00017465"/>
    <w:rsid w:val="000202C8"/>
    <w:rsid w:val="00031C26"/>
    <w:rsid w:val="00042F7C"/>
    <w:rsid w:val="00045890"/>
    <w:rsid w:val="0004682B"/>
    <w:rsid w:val="000501CC"/>
    <w:rsid w:val="000548C2"/>
    <w:rsid w:val="00064253"/>
    <w:rsid w:val="00065C1D"/>
    <w:rsid w:val="00070BBE"/>
    <w:rsid w:val="00071CCD"/>
    <w:rsid w:val="00072B5B"/>
    <w:rsid w:val="00080993"/>
    <w:rsid w:val="000879F2"/>
    <w:rsid w:val="00096D06"/>
    <w:rsid w:val="000A0409"/>
    <w:rsid w:val="000C33F3"/>
    <w:rsid w:val="000C3C05"/>
    <w:rsid w:val="000D6B1B"/>
    <w:rsid w:val="000E0130"/>
    <w:rsid w:val="000E0FCF"/>
    <w:rsid w:val="000E5B40"/>
    <w:rsid w:val="000F0829"/>
    <w:rsid w:val="000F0C56"/>
    <w:rsid w:val="000F1D2C"/>
    <w:rsid w:val="000F6CF4"/>
    <w:rsid w:val="00100200"/>
    <w:rsid w:val="00104EFF"/>
    <w:rsid w:val="00110A2F"/>
    <w:rsid w:val="0011720E"/>
    <w:rsid w:val="0012243D"/>
    <w:rsid w:val="00130797"/>
    <w:rsid w:val="00133DBA"/>
    <w:rsid w:val="00133F26"/>
    <w:rsid w:val="001457F5"/>
    <w:rsid w:val="001509A7"/>
    <w:rsid w:val="00150C5D"/>
    <w:rsid w:val="001529A8"/>
    <w:rsid w:val="001560B0"/>
    <w:rsid w:val="00164C2C"/>
    <w:rsid w:val="001652E4"/>
    <w:rsid w:val="00167B5C"/>
    <w:rsid w:val="001706AE"/>
    <w:rsid w:val="00172EF6"/>
    <w:rsid w:val="001769FE"/>
    <w:rsid w:val="00177CC7"/>
    <w:rsid w:val="00181757"/>
    <w:rsid w:val="00185220"/>
    <w:rsid w:val="00191511"/>
    <w:rsid w:val="001947AD"/>
    <w:rsid w:val="00197892"/>
    <w:rsid w:val="001979A9"/>
    <w:rsid w:val="001A5357"/>
    <w:rsid w:val="001A685A"/>
    <w:rsid w:val="001A68DD"/>
    <w:rsid w:val="001A7A17"/>
    <w:rsid w:val="001B2883"/>
    <w:rsid w:val="001B32B1"/>
    <w:rsid w:val="001C492A"/>
    <w:rsid w:val="001C4CF5"/>
    <w:rsid w:val="001C5207"/>
    <w:rsid w:val="001C74FD"/>
    <w:rsid w:val="001C75FB"/>
    <w:rsid w:val="001C7F37"/>
    <w:rsid w:val="001D19A2"/>
    <w:rsid w:val="001D1A28"/>
    <w:rsid w:val="001D21E8"/>
    <w:rsid w:val="001D3451"/>
    <w:rsid w:val="001D3DF8"/>
    <w:rsid w:val="001D3EAD"/>
    <w:rsid w:val="001D5304"/>
    <w:rsid w:val="001E5A04"/>
    <w:rsid w:val="001E6DA6"/>
    <w:rsid w:val="001F1FC6"/>
    <w:rsid w:val="001F6339"/>
    <w:rsid w:val="001F65B5"/>
    <w:rsid w:val="001F6F35"/>
    <w:rsid w:val="001F773C"/>
    <w:rsid w:val="001F7F25"/>
    <w:rsid w:val="00211D7C"/>
    <w:rsid w:val="002164EB"/>
    <w:rsid w:val="00221FF9"/>
    <w:rsid w:val="00242C64"/>
    <w:rsid w:val="00244489"/>
    <w:rsid w:val="00250FA6"/>
    <w:rsid w:val="00252724"/>
    <w:rsid w:val="00253102"/>
    <w:rsid w:val="0025461E"/>
    <w:rsid w:val="0026004F"/>
    <w:rsid w:val="00261E2F"/>
    <w:rsid w:val="00262912"/>
    <w:rsid w:val="00265882"/>
    <w:rsid w:val="00271137"/>
    <w:rsid w:val="00276B4C"/>
    <w:rsid w:val="0028624E"/>
    <w:rsid w:val="002874BB"/>
    <w:rsid w:val="00287C0F"/>
    <w:rsid w:val="002A67E2"/>
    <w:rsid w:val="002A69F3"/>
    <w:rsid w:val="002B0AB2"/>
    <w:rsid w:val="002B4A71"/>
    <w:rsid w:val="002B60B1"/>
    <w:rsid w:val="002B690C"/>
    <w:rsid w:val="002C22BC"/>
    <w:rsid w:val="002C5F62"/>
    <w:rsid w:val="002D2C70"/>
    <w:rsid w:val="002D4E41"/>
    <w:rsid w:val="002D63CC"/>
    <w:rsid w:val="002D6C6B"/>
    <w:rsid w:val="002E00C7"/>
    <w:rsid w:val="002E10C6"/>
    <w:rsid w:val="002E1A31"/>
    <w:rsid w:val="002E208C"/>
    <w:rsid w:val="002E2D20"/>
    <w:rsid w:val="002E75B0"/>
    <w:rsid w:val="002F3E81"/>
    <w:rsid w:val="00312877"/>
    <w:rsid w:val="0032324F"/>
    <w:rsid w:val="00324897"/>
    <w:rsid w:val="0032712E"/>
    <w:rsid w:val="00331ED3"/>
    <w:rsid w:val="00340C74"/>
    <w:rsid w:val="00341FE3"/>
    <w:rsid w:val="00343358"/>
    <w:rsid w:val="00345A49"/>
    <w:rsid w:val="00346B60"/>
    <w:rsid w:val="003558E0"/>
    <w:rsid w:val="003607F9"/>
    <w:rsid w:val="0036415F"/>
    <w:rsid w:val="00364313"/>
    <w:rsid w:val="00372339"/>
    <w:rsid w:val="00372CDD"/>
    <w:rsid w:val="00373F9B"/>
    <w:rsid w:val="00381AB8"/>
    <w:rsid w:val="00381E1C"/>
    <w:rsid w:val="00383933"/>
    <w:rsid w:val="00384894"/>
    <w:rsid w:val="003869B6"/>
    <w:rsid w:val="00386FAA"/>
    <w:rsid w:val="00393622"/>
    <w:rsid w:val="00393A78"/>
    <w:rsid w:val="003A0F33"/>
    <w:rsid w:val="003A0F8F"/>
    <w:rsid w:val="003A28B6"/>
    <w:rsid w:val="003A2B22"/>
    <w:rsid w:val="003A37CB"/>
    <w:rsid w:val="003A7FA7"/>
    <w:rsid w:val="003C0428"/>
    <w:rsid w:val="003C6DC5"/>
    <w:rsid w:val="003D16F4"/>
    <w:rsid w:val="003D199F"/>
    <w:rsid w:val="003D6F17"/>
    <w:rsid w:val="003F3AB9"/>
    <w:rsid w:val="003F5248"/>
    <w:rsid w:val="00400AA2"/>
    <w:rsid w:val="00402428"/>
    <w:rsid w:val="00403A58"/>
    <w:rsid w:val="00404413"/>
    <w:rsid w:val="00404BDB"/>
    <w:rsid w:val="00404BE4"/>
    <w:rsid w:val="00410B1D"/>
    <w:rsid w:val="00411E18"/>
    <w:rsid w:val="004172D6"/>
    <w:rsid w:val="0042420F"/>
    <w:rsid w:val="0042441E"/>
    <w:rsid w:val="004306FD"/>
    <w:rsid w:val="00441E3F"/>
    <w:rsid w:val="00444EDC"/>
    <w:rsid w:val="00445EA0"/>
    <w:rsid w:val="0045313C"/>
    <w:rsid w:val="004607AB"/>
    <w:rsid w:val="00462B40"/>
    <w:rsid w:val="00464363"/>
    <w:rsid w:val="004719C5"/>
    <w:rsid w:val="00476B86"/>
    <w:rsid w:val="004820F6"/>
    <w:rsid w:val="0048436B"/>
    <w:rsid w:val="00486947"/>
    <w:rsid w:val="00487182"/>
    <w:rsid w:val="00490CA5"/>
    <w:rsid w:val="00493619"/>
    <w:rsid w:val="0049463A"/>
    <w:rsid w:val="004A1646"/>
    <w:rsid w:val="004A2728"/>
    <w:rsid w:val="004A3D34"/>
    <w:rsid w:val="004A62B7"/>
    <w:rsid w:val="004B2408"/>
    <w:rsid w:val="004B34C2"/>
    <w:rsid w:val="004B3697"/>
    <w:rsid w:val="004B791E"/>
    <w:rsid w:val="004C2853"/>
    <w:rsid w:val="004C290D"/>
    <w:rsid w:val="004C35E9"/>
    <w:rsid w:val="004D609A"/>
    <w:rsid w:val="004E05B1"/>
    <w:rsid w:val="004E68C3"/>
    <w:rsid w:val="004E6CA1"/>
    <w:rsid w:val="004E77B3"/>
    <w:rsid w:val="004E78C1"/>
    <w:rsid w:val="004F1BCB"/>
    <w:rsid w:val="004F5CB6"/>
    <w:rsid w:val="00500F48"/>
    <w:rsid w:val="005129ED"/>
    <w:rsid w:val="005224FC"/>
    <w:rsid w:val="00526E69"/>
    <w:rsid w:val="005300C0"/>
    <w:rsid w:val="00533B51"/>
    <w:rsid w:val="00541000"/>
    <w:rsid w:val="0054301C"/>
    <w:rsid w:val="005506CE"/>
    <w:rsid w:val="00551C32"/>
    <w:rsid w:val="00551FF1"/>
    <w:rsid w:val="0055265E"/>
    <w:rsid w:val="0055728E"/>
    <w:rsid w:val="00560A27"/>
    <w:rsid w:val="005668FB"/>
    <w:rsid w:val="00566BE8"/>
    <w:rsid w:val="00580289"/>
    <w:rsid w:val="00581109"/>
    <w:rsid w:val="0058304E"/>
    <w:rsid w:val="005832DA"/>
    <w:rsid w:val="00586020"/>
    <w:rsid w:val="00593020"/>
    <w:rsid w:val="005B4127"/>
    <w:rsid w:val="005C0001"/>
    <w:rsid w:val="005C20CC"/>
    <w:rsid w:val="005C434B"/>
    <w:rsid w:val="005C4B80"/>
    <w:rsid w:val="005D0907"/>
    <w:rsid w:val="005D0B00"/>
    <w:rsid w:val="005E38E9"/>
    <w:rsid w:val="00604088"/>
    <w:rsid w:val="0060425F"/>
    <w:rsid w:val="006047E6"/>
    <w:rsid w:val="00605857"/>
    <w:rsid w:val="0061267F"/>
    <w:rsid w:val="00613D23"/>
    <w:rsid w:val="006160DE"/>
    <w:rsid w:val="006213B4"/>
    <w:rsid w:val="00622024"/>
    <w:rsid w:val="00624A6A"/>
    <w:rsid w:val="00625FB1"/>
    <w:rsid w:val="00631BFE"/>
    <w:rsid w:val="00631FBA"/>
    <w:rsid w:val="006500B5"/>
    <w:rsid w:val="0065045D"/>
    <w:rsid w:val="00656384"/>
    <w:rsid w:val="0065645D"/>
    <w:rsid w:val="00660534"/>
    <w:rsid w:val="006710A6"/>
    <w:rsid w:val="006735B9"/>
    <w:rsid w:val="00680204"/>
    <w:rsid w:val="00680240"/>
    <w:rsid w:val="006804A7"/>
    <w:rsid w:val="00680821"/>
    <w:rsid w:val="006821C9"/>
    <w:rsid w:val="00682402"/>
    <w:rsid w:val="00690C82"/>
    <w:rsid w:val="006952FA"/>
    <w:rsid w:val="00697BD9"/>
    <w:rsid w:val="006A1B53"/>
    <w:rsid w:val="006A56EB"/>
    <w:rsid w:val="006A7A08"/>
    <w:rsid w:val="006B339C"/>
    <w:rsid w:val="006B7E81"/>
    <w:rsid w:val="006C33E4"/>
    <w:rsid w:val="006C3531"/>
    <w:rsid w:val="006C6236"/>
    <w:rsid w:val="006D1125"/>
    <w:rsid w:val="006D6167"/>
    <w:rsid w:val="006D7B92"/>
    <w:rsid w:val="006E0CD7"/>
    <w:rsid w:val="006E3B91"/>
    <w:rsid w:val="006E5EE8"/>
    <w:rsid w:val="00701C2A"/>
    <w:rsid w:val="0070254E"/>
    <w:rsid w:val="00703181"/>
    <w:rsid w:val="007043CB"/>
    <w:rsid w:val="0070465C"/>
    <w:rsid w:val="007065EE"/>
    <w:rsid w:val="0071707B"/>
    <w:rsid w:val="0072408A"/>
    <w:rsid w:val="00727D95"/>
    <w:rsid w:val="00734B86"/>
    <w:rsid w:val="00741DDA"/>
    <w:rsid w:val="00742DD2"/>
    <w:rsid w:val="00747253"/>
    <w:rsid w:val="0075613E"/>
    <w:rsid w:val="007653BA"/>
    <w:rsid w:val="007720F7"/>
    <w:rsid w:val="00774A66"/>
    <w:rsid w:val="007757BB"/>
    <w:rsid w:val="0078399D"/>
    <w:rsid w:val="00791967"/>
    <w:rsid w:val="0079656C"/>
    <w:rsid w:val="007A0290"/>
    <w:rsid w:val="007A207D"/>
    <w:rsid w:val="007A5524"/>
    <w:rsid w:val="007A6DB9"/>
    <w:rsid w:val="007B1108"/>
    <w:rsid w:val="007B2A0D"/>
    <w:rsid w:val="007B7C01"/>
    <w:rsid w:val="007C1FBA"/>
    <w:rsid w:val="007C25F2"/>
    <w:rsid w:val="007C2877"/>
    <w:rsid w:val="007C5CDB"/>
    <w:rsid w:val="007E04D8"/>
    <w:rsid w:val="007E6371"/>
    <w:rsid w:val="007E6FF2"/>
    <w:rsid w:val="007E7DBD"/>
    <w:rsid w:val="007F0779"/>
    <w:rsid w:val="007F3390"/>
    <w:rsid w:val="007F51CB"/>
    <w:rsid w:val="00802AAC"/>
    <w:rsid w:val="0080778B"/>
    <w:rsid w:val="0081361A"/>
    <w:rsid w:val="0081628B"/>
    <w:rsid w:val="00824590"/>
    <w:rsid w:val="008331B4"/>
    <w:rsid w:val="00833C95"/>
    <w:rsid w:val="00836D99"/>
    <w:rsid w:val="008454AB"/>
    <w:rsid w:val="00851428"/>
    <w:rsid w:val="00853103"/>
    <w:rsid w:val="00853F6C"/>
    <w:rsid w:val="00856160"/>
    <w:rsid w:val="00860E3D"/>
    <w:rsid w:val="00861514"/>
    <w:rsid w:val="0086323B"/>
    <w:rsid w:val="00864939"/>
    <w:rsid w:val="00866DB1"/>
    <w:rsid w:val="00871A92"/>
    <w:rsid w:val="00877960"/>
    <w:rsid w:val="0088106D"/>
    <w:rsid w:val="00882246"/>
    <w:rsid w:val="008906BE"/>
    <w:rsid w:val="00891617"/>
    <w:rsid w:val="0089431F"/>
    <w:rsid w:val="008969E6"/>
    <w:rsid w:val="008A0144"/>
    <w:rsid w:val="008A1253"/>
    <w:rsid w:val="008A7CBC"/>
    <w:rsid w:val="008B28C9"/>
    <w:rsid w:val="008B61BB"/>
    <w:rsid w:val="008B6799"/>
    <w:rsid w:val="008C34FF"/>
    <w:rsid w:val="008C3705"/>
    <w:rsid w:val="008C3A3B"/>
    <w:rsid w:val="008E1AEB"/>
    <w:rsid w:val="008E25AF"/>
    <w:rsid w:val="008F1075"/>
    <w:rsid w:val="008F5BE4"/>
    <w:rsid w:val="0090256D"/>
    <w:rsid w:val="00911F92"/>
    <w:rsid w:val="009135CC"/>
    <w:rsid w:val="00920BA1"/>
    <w:rsid w:val="00922C49"/>
    <w:rsid w:val="00925695"/>
    <w:rsid w:val="00925C82"/>
    <w:rsid w:val="00927127"/>
    <w:rsid w:val="00931BEC"/>
    <w:rsid w:val="00932E0E"/>
    <w:rsid w:val="00935CA9"/>
    <w:rsid w:val="00936E55"/>
    <w:rsid w:val="00946C5B"/>
    <w:rsid w:val="00955177"/>
    <w:rsid w:val="00960678"/>
    <w:rsid w:val="00962CB4"/>
    <w:rsid w:val="00971AEA"/>
    <w:rsid w:val="00977785"/>
    <w:rsid w:val="0098144C"/>
    <w:rsid w:val="00981757"/>
    <w:rsid w:val="00983863"/>
    <w:rsid w:val="009838B7"/>
    <w:rsid w:val="00985630"/>
    <w:rsid w:val="0099230C"/>
    <w:rsid w:val="00995884"/>
    <w:rsid w:val="00996139"/>
    <w:rsid w:val="009A09B0"/>
    <w:rsid w:val="009A64EA"/>
    <w:rsid w:val="009B0FC6"/>
    <w:rsid w:val="009B15CC"/>
    <w:rsid w:val="009B720D"/>
    <w:rsid w:val="009C0045"/>
    <w:rsid w:val="009C41EE"/>
    <w:rsid w:val="009D21CA"/>
    <w:rsid w:val="009D26ED"/>
    <w:rsid w:val="009D5AAD"/>
    <w:rsid w:val="009D6333"/>
    <w:rsid w:val="009D6570"/>
    <w:rsid w:val="009E3DCF"/>
    <w:rsid w:val="009E3FE2"/>
    <w:rsid w:val="009E50B0"/>
    <w:rsid w:val="009F217F"/>
    <w:rsid w:val="009F6C67"/>
    <w:rsid w:val="00A0169E"/>
    <w:rsid w:val="00A01C8D"/>
    <w:rsid w:val="00A15049"/>
    <w:rsid w:val="00A174BA"/>
    <w:rsid w:val="00A20B22"/>
    <w:rsid w:val="00A238F4"/>
    <w:rsid w:val="00A317D1"/>
    <w:rsid w:val="00A347B3"/>
    <w:rsid w:val="00A44EFA"/>
    <w:rsid w:val="00A471A0"/>
    <w:rsid w:val="00A5170B"/>
    <w:rsid w:val="00A6002F"/>
    <w:rsid w:val="00A67D93"/>
    <w:rsid w:val="00A72ED6"/>
    <w:rsid w:val="00A746F4"/>
    <w:rsid w:val="00A77BA1"/>
    <w:rsid w:val="00A862F3"/>
    <w:rsid w:val="00A86570"/>
    <w:rsid w:val="00A9177D"/>
    <w:rsid w:val="00A94662"/>
    <w:rsid w:val="00AA000D"/>
    <w:rsid w:val="00AA0B69"/>
    <w:rsid w:val="00AA11FD"/>
    <w:rsid w:val="00AA2FBA"/>
    <w:rsid w:val="00AB5653"/>
    <w:rsid w:val="00AB67C8"/>
    <w:rsid w:val="00AB7A65"/>
    <w:rsid w:val="00AC1EBC"/>
    <w:rsid w:val="00AC3AA6"/>
    <w:rsid w:val="00AC632D"/>
    <w:rsid w:val="00AC78BE"/>
    <w:rsid w:val="00AD1390"/>
    <w:rsid w:val="00AD2849"/>
    <w:rsid w:val="00AD3772"/>
    <w:rsid w:val="00AD56CB"/>
    <w:rsid w:val="00AD7B46"/>
    <w:rsid w:val="00AD7C4F"/>
    <w:rsid w:val="00AE23BF"/>
    <w:rsid w:val="00AE2B4C"/>
    <w:rsid w:val="00AE320D"/>
    <w:rsid w:val="00AE323F"/>
    <w:rsid w:val="00AE6070"/>
    <w:rsid w:val="00AE6AF9"/>
    <w:rsid w:val="00AF1007"/>
    <w:rsid w:val="00AF269C"/>
    <w:rsid w:val="00AF5A36"/>
    <w:rsid w:val="00AF706E"/>
    <w:rsid w:val="00AF753A"/>
    <w:rsid w:val="00B078FD"/>
    <w:rsid w:val="00B10596"/>
    <w:rsid w:val="00B1110C"/>
    <w:rsid w:val="00B127A7"/>
    <w:rsid w:val="00B15883"/>
    <w:rsid w:val="00B21DFF"/>
    <w:rsid w:val="00B22753"/>
    <w:rsid w:val="00B22B37"/>
    <w:rsid w:val="00B2565F"/>
    <w:rsid w:val="00B34174"/>
    <w:rsid w:val="00B345F8"/>
    <w:rsid w:val="00B35355"/>
    <w:rsid w:val="00B40211"/>
    <w:rsid w:val="00B421E1"/>
    <w:rsid w:val="00B50D33"/>
    <w:rsid w:val="00B52C6E"/>
    <w:rsid w:val="00B5693C"/>
    <w:rsid w:val="00B56D5B"/>
    <w:rsid w:val="00B57404"/>
    <w:rsid w:val="00B57655"/>
    <w:rsid w:val="00B5787A"/>
    <w:rsid w:val="00B617AA"/>
    <w:rsid w:val="00B6233A"/>
    <w:rsid w:val="00B634A0"/>
    <w:rsid w:val="00B65D25"/>
    <w:rsid w:val="00B70B98"/>
    <w:rsid w:val="00B74831"/>
    <w:rsid w:val="00B749A2"/>
    <w:rsid w:val="00B819ED"/>
    <w:rsid w:val="00B81CF1"/>
    <w:rsid w:val="00B83FC7"/>
    <w:rsid w:val="00B84E7A"/>
    <w:rsid w:val="00B860B4"/>
    <w:rsid w:val="00B939F7"/>
    <w:rsid w:val="00BA56CD"/>
    <w:rsid w:val="00BB2E2D"/>
    <w:rsid w:val="00BB4971"/>
    <w:rsid w:val="00BB4D0E"/>
    <w:rsid w:val="00BB63BE"/>
    <w:rsid w:val="00BB6909"/>
    <w:rsid w:val="00BC44D7"/>
    <w:rsid w:val="00BC5FBA"/>
    <w:rsid w:val="00BD49E4"/>
    <w:rsid w:val="00BE57D9"/>
    <w:rsid w:val="00BE7E59"/>
    <w:rsid w:val="00BF14EF"/>
    <w:rsid w:val="00C011F0"/>
    <w:rsid w:val="00C01E21"/>
    <w:rsid w:val="00C02E31"/>
    <w:rsid w:val="00C04F7B"/>
    <w:rsid w:val="00C1564E"/>
    <w:rsid w:val="00C17969"/>
    <w:rsid w:val="00C2123C"/>
    <w:rsid w:val="00C218BC"/>
    <w:rsid w:val="00C251CC"/>
    <w:rsid w:val="00C32234"/>
    <w:rsid w:val="00C34957"/>
    <w:rsid w:val="00C35E0C"/>
    <w:rsid w:val="00C374DB"/>
    <w:rsid w:val="00C412F0"/>
    <w:rsid w:val="00C50906"/>
    <w:rsid w:val="00C518F2"/>
    <w:rsid w:val="00C53A29"/>
    <w:rsid w:val="00C70B15"/>
    <w:rsid w:val="00C71594"/>
    <w:rsid w:val="00C73479"/>
    <w:rsid w:val="00C77BF7"/>
    <w:rsid w:val="00C827CC"/>
    <w:rsid w:val="00C87094"/>
    <w:rsid w:val="00C940BC"/>
    <w:rsid w:val="00CA64F6"/>
    <w:rsid w:val="00CB1C7C"/>
    <w:rsid w:val="00CB2510"/>
    <w:rsid w:val="00CB4CD2"/>
    <w:rsid w:val="00CC1354"/>
    <w:rsid w:val="00CC3272"/>
    <w:rsid w:val="00CC3B63"/>
    <w:rsid w:val="00CC498E"/>
    <w:rsid w:val="00CC61DA"/>
    <w:rsid w:val="00CC76E5"/>
    <w:rsid w:val="00CC7AAE"/>
    <w:rsid w:val="00CD0944"/>
    <w:rsid w:val="00CD265C"/>
    <w:rsid w:val="00CD6FB6"/>
    <w:rsid w:val="00CE0716"/>
    <w:rsid w:val="00CE299F"/>
    <w:rsid w:val="00CE3051"/>
    <w:rsid w:val="00CE32E0"/>
    <w:rsid w:val="00CE3FF8"/>
    <w:rsid w:val="00CE55F5"/>
    <w:rsid w:val="00CE79A2"/>
    <w:rsid w:val="00CF6A7D"/>
    <w:rsid w:val="00D02313"/>
    <w:rsid w:val="00D12764"/>
    <w:rsid w:val="00D21726"/>
    <w:rsid w:val="00D223B5"/>
    <w:rsid w:val="00D23263"/>
    <w:rsid w:val="00D24346"/>
    <w:rsid w:val="00D3693F"/>
    <w:rsid w:val="00D47D1E"/>
    <w:rsid w:val="00D56AD1"/>
    <w:rsid w:val="00D57AC8"/>
    <w:rsid w:val="00D6195B"/>
    <w:rsid w:val="00D63D4A"/>
    <w:rsid w:val="00D64E41"/>
    <w:rsid w:val="00D658EF"/>
    <w:rsid w:val="00D704A7"/>
    <w:rsid w:val="00D76B1F"/>
    <w:rsid w:val="00D84303"/>
    <w:rsid w:val="00D87339"/>
    <w:rsid w:val="00D93F64"/>
    <w:rsid w:val="00DA55D0"/>
    <w:rsid w:val="00DA6785"/>
    <w:rsid w:val="00DA6F9C"/>
    <w:rsid w:val="00DA7AD5"/>
    <w:rsid w:val="00DB35A5"/>
    <w:rsid w:val="00DB37E3"/>
    <w:rsid w:val="00DB51F8"/>
    <w:rsid w:val="00DB55CD"/>
    <w:rsid w:val="00DC09A0"/>
    <w:rsid w:val="00DC0FED"/>
    <w:rsid w:val="00DC2B2A"/>
    <w:rsid w:val="00DC4624"/>
    <w:rsid w:val="00DC674F"/>
    <w:rsid w:val="00DC6AEF"/>
    <w:rsid w:val="00DD1AAB"/>
    <w:rsid w:val="00DE07B6"/>
    <w:rsid w:val="00DE5050"/>
    <w:rsid w:val="00DE5822"/>
    <w:rsid w:val="00DF2BDB"/>
    <w:rsid w:val="00E04ED3"/>
    <w:rsid w:val="00E0568E"/>
    <w:rsid w:val="00E057B2"/>
    <w:rsid w:val="00E07155"/>
    <w:rsid w:val="00E11F9D"/>
    <w:rsid w:val="00E134B3"/>
    <w:rsid w:val="00E146DE"/>
    <w:rsid w:val="00E21F4F"/>
    <w:rsid w:val="00E24DAB"/>
    <w:rsid w:val="00E25154"/>
    <w:rsid w:val="00E25E57"/>
    <w:rsid w:val="00E3072A"/>
    <w:rsid w:val="00E350C1"/>
    <w:rsid w:val="00E3512F"/>
    <w:rsid w:val="00E3655C"/>
    <w:rsid w:val="00E36F11"/>
    <w:rsid w:val="00E37141"/>
    <w:rsid w:val="00E441C7"/>
    <w:rsid w:val="00E442AB"/>
    <w:rsid w:val="00E44E48"/>
    <w:rsid w:val="00E46AF3"/>
    <w:rsid w:val="00E50438"/>
    <w:rsid w:val="00E551DF"/>
    <w:rsid w:val="00E552CB"/>
    <w:rsid w:val="00E572B3"/>
    <w:rsid w:val="00E5774F"/>
    <w:rsid w:val="00E608D8"/>
    <w:rsid w:val="00E6430D"/>
    <w:rsid w:val="00E6555E"/>
    <w:rsid w:val="00E70522"/>
    <w:rsid w:val="00E726A8"/>
    <w:rsid w:val="00E7279E"/>
    <w:rsid w:val="00E729B9"/>
    <w:rsid w:val="00E7590C"/>
    <w:rsid w:val="00E766DF"/>
    <w:rsid w:val="00E91E74"/>
    <w:rsid w:val="00E96317"/>
    <w:rsid w:val="00EA28D2"/>
    <w:rsid w:val="00EA48E1"/>
    <w:rsid w:val="00EA607F"/>
    <w:rsid w:val="00EB117F"/>
    <w:rsid w:val="00EB6365"/>
    <w:rsid w:val="00EB72D1"/>
    <w:rsid w:val="00EC0791"/>
    <w:rsid w:val="00EC59EF"/>
    <w:rsid w:val="00ED112A"/>
    <w:rsid w:val="00ED17F8"/>
    <w:rsid w:val="00ED2821"/>
    <w:rsid w:val="00EE073D"/>
    <w:rsid w:val="00EE1677"/>
    <w:rsid w:val="00EE5DF0"/>
    <w:rsid w:val="00EE6083"/>
    <w:rsid w:val="00EE7C30"/>
    <w:rsid w:val="00EF54E5"/>
    <w:rsid w:val="00EF5BD4"/>
    <w:rsid w:val="00EF6070"/>
    <w:rsid w:val="00EF6CF2"/>
    <w:rsid w:val="00F01AC9"/>
    <w:rsid w:val="00F05CF9"/>
    <w:rsid w:val="00F13FF3"/>
    <w:rsid w:val="00F213C6"/>
    <w:rsid w:val="00F30323"/>
    <w:rsid w:val="00F33CEE"/>
    <w:rsid w:val="00F36309"/>
    <w:rsid w:val="00F409A8"/>
    <w:rsid w:val="00F41226"/>
    <w:rsid w:val="00F42D3D"/>
    <w:rsid w:val="00F447B3"/>
    <w:rsid w:val="00F4546D"/>
    <w:rsid w:val="00F60619"/>
    <w:rsid w:val="00F62FD7"/>
    <w:rsid w:val="00F649E3"/>
    <w:rsid w:val="00F664A5"/>
    <w:rsid w:val="00F70317"/>
    <w:rsid w:val="00F72604"/>
    <w:rsid w:val="00F72C95"/>
    <w:rsid w:val="00F737E4"/>
    <w:rsid w:val="00F7627D"/>
    <w:rsid w:val="00F90F86"/>
    <w:rsid w:val="00FA6183"/>
    <w:rsid w:val="00FA663A"/>
    <w:rsid w:val="00FB738F"/>
    <w:rsid w:val="00FC349F"/>
    <w:rsid w:val="00FD107C"/>
    <w:rsid w:val="00FD2558"/>
    <w:rsid w:val="00FE35D4"/>
    <w:rsid w:val="00FE6BC5"/>
    <w:rsid w:val="00FF29EC"/>
    <w:rsid w:val="00FF55D6"/>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2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rsid w:val="00AE6AF9"/>
    <w:pPr>
      <w:spacing w:before="100" w:beforeAutospacing="1" w:after="100" w:afterAutospacing="1"/>
    </w:pPr>
    <w:rPr>
      <w:lang w:val="en-GB" w:eastAsia="en-US"/>
    </w:rPr>
  </w:style>
  <w:style w:type="paragraph" w:styleId="BodyText">
    <w:name w:val="Body Text"/>
    <w:basedOn w:val="Normal"/>
    <w:link w:val="BodyTextChar"/>
    <w:rsid w:val="004B2408"/>
    <w:pPr>
      <w:spacing w:after="120"/>
    </w:pPr>
  </w:style>
  <w:style w:type="character" w:customStyle="1" w:styleId="BodyTextChar">
    <w:name w:val="Body Text Char"/>
    <w:basedOn w:val="DefaultParagraphFont"/>
    <w:link w:val="BodyText"/>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 w:type="paragraph" w:styleId="ListParagraph">
    <w:name w:val="List Paragraph"/>
    <w:basedOn w:val="Normal"/>
    <w:uiPriority w:val="34"/>
    <w:qFormat/>
    <w:rsid w:val="00DA6F9C"/>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AA11FD"/>
    <w:rPr>
      <w:b/>
      <w:bCs/>
      <w:i w:val="0"/>
      <w:iCs w:val="0"/>
    </w:rPr>
  </w:style>
  <w:style w:type="character" w:customStyle="1" w:styleId="st">
    <w:name w:val="st"/>
    <w:basedOn w:val="DefaultParagraphFont"/>
    <w:rsid w:val="00AA11FD"/>
  </w:style>
  <w:style w:type="paragraph" w:customStyle="1" w:styleId="Default">
    <w:name w:val="Default"/>
    <w:rsid w:val="00DF2BDB"/>
    <w:pPr>
      <w:autoSpaceDE w:val="0"/>
      <w:autoSpaceDN w:val="0"/>
      <w:adjustRightInd w:val="0"/>
    </w:pPr>
    <w:rPr>
      <w:color w:val="000000"/>
      <w:sz w:val="24"/>
      <w:szCs w:val="24"/>
    </w:rPr>
  </w:style>
  <w:style w:type="character" w:customStyle="1" w:styleId="EE-paragrChar">
    <w:name w:val="EE-paragr Char"/>
    <w:basedOn w:val="DefaultParagraphFont"/>
    <w:link w:val="EE-paragr"/>
    <w:locked/>
    <w:rsid w:val="00CB1C7C"/>
    <w:rPr>
      <w:sz w:val="28"/>
      <w:szCs w:val="28"/>
      <w:lang w:eastAsia="en-US"/>
    </w:rPr>
  </w:style>
  <w:style w:type="paragraph" w:customStyle="1" w:styleId="EE-paragr">
    <w:name w:val="EE-paragr"/>
    <w:basedOn w:val="Normal"/>
    <w:link w:val="EE-paragrChar"/>
    <w:autoRedefine/>
    <w:rsid w:val="00CB1C7C"/>
    <w:pPr>
      <w:tabs>
        <w:tab w:val="left" w:pos="720"/>
      </w:tabs>
      <w:jc w:val="both"/>
    </w:pPr>
    <w:rPr>
      <w:sz w:val="28"/>
      <w:szCs w:val="28"/>
      <w:lang w:eastAsia="en-US"/>
    </w:rPr>
  </w:style>
  <w:style w:type="paragraph" w:styleId="FootnoteText">
    <w:name w:val="footnote text"/>
    <w:aliases w:val="Footnote,Fußnote"/>
    <w:basedOn w:val="Normal"/>
    <w:link w:val="FootnoteTextChar"/>
    <w:uiPriority w:val="99"/>
    <w:rsid w:val="004F1BCB"/>
    <w:rPr>
      <w:sz w:val="20"/>
      <w:szCs w:val="20"/>
    </w:rPr>
  </w:style>
  <w:style w:type="character" w:customStyle="1" w:styleId="FootnoteTextChar">
    <w:name w:val="Footnote Text Char"/>
    <w:aliases w:val="Footnote Char,Fußnote Char"/>
    <w:basedOn w:val="DefaultParagraphFont"/>
    <w:link w:val="FootnoteText"/>
    <w:uiPriority w:val="99"/>
    <w:rsid w:val="004F1BCB"/>
  </w:style>
  <w:style w:type="character" w:styleId="FootnoteReference">
    <w:name w:val="footnote reference"/>
    <w:aliases w:val="Footnote Reference Number"/>
    <w:basedOn w:val="DefaultParagraphFont"/>
    <w:uiPriority w:val="99"/>
    <w:rsid w:val="004F1BCB"/>
    <w:rPr>
      <w:iCs/>
      <w:vertAlign w:val="superscript"/>
      <w:lang w:val="en-US" w:eastAsia="en-US" w:bidi="ar-SA"/>
    </w:rPr>
  </w:style>
  <w:style w:type="paragraph" w:styleId="Date">
    <w:name w:val="Date"/>
    <w:basedOn w:val="Normal"/>
    <w:next w:val="Normal"/>
    <w:link w:val="DateChar"/>
    <w:rsid w:val="000501CC"/>
  </w:style>
  <w:style w:type="character" w:customStyle="1" w:styleId="DateChar">
    <w:name w:val="Date Char"/>
    <w:basedOn w:val="DefaultParagraphFont"/>
    <w:link w:val="Date"/>
    <w:rsid w:val="000501CC"/>
    <w:rPr>
      <w:sz w:val="24"/>
      <w:szCs w:val="24"/>
    </w:rPr>
  </w:style>
</w:styles>
</file>

<file path=word/webSettings.xml><?xml version="1.0" encoding="utf-8"?>
<w:webSettings xmlns:r="http://schemas.openxmlformats.org/officeDocument/2006/relationships" xmlns:w="http://schemas.openxmlformats.org/wordprocessingml/2006/main">
  <w:divs>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 w:id="14746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rina.paks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BA83-1B97-4B4D-BDF8-2F81B013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5</Pages>
  <Words>4964</Words>
  <Characters>2831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Ministru kabineta 2009.gada 9.jūnija noteikumu Nr.522 „Noteikumi par darbības programmas “Cilvēkresursi un nodarbinātība” papildinājuma 1.1.2.2.1.apakšaktivitāti “Studiju programmu satura un īstenošanas uzlabošana un akadēmiskā personāla kompetences p</vt:lpstr>
    </vt:vector>
  </TitlesOfParts>
  <Company>Microsoft Corporation</Company>
  <LinksUpToDate>false</LinksUpToDate>
  <CharactersWithSpaces>7780</CharactersWithSpaces>
  <SharedDoc>false</SharedDoc>
  <HLinks>
    <vt:vector size="6" baseType="variant">
      <vt:variant>
        <vt:i4>3735553</vt:i4>
      </vt:variant>
      <vt:variant>
        <vt:i4>0</vt:i4>
      </vt:variant>
      <vt:variant>
        <vt:i4>0</vt:i4>
      </vt:variant>
      <vt:variant>
        <vt:i4>5</vt:i4>
      </vt:variant>
      <vt:variant>
        <vt:lpwstr>mailto:santa.smidlere@izm.gov.lv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2009.gada 9.jūnija noteikumu Nr.522 „Noteikumi par darbības programmas „Cilvēkresursi un nodarbinātība” papildinājuma 1.1.2.2.1.apakšaktivitāti „Studiju programmu satura un īstenošanas uzlabošana un akadēmiskā personāla kompetences pilnveidošana”” atzīšanu par spēku zaudējušiem" sākotnējās ietekmes novērtējuma ziņojums (anotācija)</dc:title>
  <dc:subject>Anotācija</dc:subject>
  <dc:creator>Katrīna Pakšāne</dc:creator>
  <cp:keywords/>
  <dc:description>katrina.paksane@izm.gov.lv, tālr.67047764</dc:description>
  <cp:lastModifiedBy>kpaksane</cp:lastModifiedBy>
  <cp:revision>61</cp:revision>
  <cp:lastPrinted>2012-02-07T10:00:00Z</cp:lastPrinted>
  <dcterms:created xsi:type="dcterms:W3CDTF">2012-02-01T10:03:00Z</dcterms:created>
  <dcterms:modified xsi:type="dcterms:W3CDTF">2012-04-05T08:26:00Z</dcterms:modified>
  <cp:category>IZM</cp:category>
</cp:coreProperties>
</file>