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DB9" w:rsidRPr="000E6CA4" w:rsidRDefault="00B21DFF" w:rsidP="0014630D">
      <w:pPr>
        <w:jc w:val="center"/>
        <w:rPr>
          <w:b/>
          <w:bCs/>
          <w:sz w:val="26"/>
          <w:szCs w:val="26"/>
        </w:rPr>
      </w:pPr>
      <w:bookmarkStart w:id="0" w:name="OLE_LINK3"/>
      <w:bookmarkStart w:id="1" w:name="OLE_LINK4"/>
      <w:r w:rsidRPr="000E6CA4">
        <w:rPr>
          <w:b/>
          <w:bCs/>
          <w:sz w:val="26"/>
          <w:szCs w:val="26"/>
        </w:rPr>
        <w:t>Mini</w:t>
      </w:r>
      <w:bookmarkStart w:id="2" w:name="OLE_LINK5"/>
      <w:bookmarkStart w:id="3" w:name="OLE_LINK6"/>
      <w:bookmarkStart w:id="4" w:name="OLE_LINK1"/>
      <w:bookmarkStart w:id="5" w:name="OLE_LINK2"/>
      <w:r w:rsidR="00324897" w:rsidRPr="000E6CA4">
        <w:rPr>
          <w:b/>
          <w:bCs/>
          <w:sz w:val="26"/>
          <w:szCs w:val="26"/>
        </w:rPr>
        <w:t xml:space="preserve">stru kabineta noteikumu </w:t>
      </w:r>
      <w:bookmarkEnd w:id="2"/>
      <w:bookmarkEnd w:id="3"/>
      <w:bookmarkEnd w:id="4"/>
      <w:bookmarkEnd w:id="5"/>
      <w:r w:rsidR="0073675F" w:rsidRPr="000E6CA4">
        <w:rPr>
          <w:b/>
          <w:bCs/>
          <w:sz w:val="26"/>
          <w:szCs w:val="26"/>
        </w:rPr>
        <w:t>projekta „</w:t>
      </w:r>
      <w:r w:rsidR="0073675F" w:rsidRPr="000E6CA4">
        <w:rPr>
          <w:b/>
          <w:sz w:val="26"/>
          <w:szCs w:val="26"/>
        </w:rPr>
        <w:t>Noteikumi par darbības programmas „Cilvēkresursi un nodarbinātība” papildinājuma 1.1.1.2.aktivitātes „Cilvēkresursu piesaiste zinātnei” otro projektu iesniegumu atlases kārtu</w:t>
      </w:r>
      <w:r w:rsidR="0073675F" w:rsidRPr="000E6CA4">
        <w:rPr>
          <w:b/>
          <w:bCs/>
          <w:sz w:val="26"/>
          <w:szCs w:val="26"/>
        </w:rPr>
        <w:t xml:space="preserve">” </w:t>
      </w:r>
      <w:r w:rsidR="00324897" w:rsidRPr="000E6CA4">
        <w:rPr>
          <w:b/>
          <w:bCs/>
          <w:sz w:val="26"/>
          <w:szCs w:val="26"/>
        </w:rPr>
        <w:t>projekta sākotnējās ietekmes novērtējuma ziņojums (</w:t>
      </w:r>
      <w:r w:rsidRPr="000E6CA4">
        <w:rPr>
          <w:b/>
          <w:bCs/>
          <w:sz w:val="26"/>
          <w:szCs w:val="26"/>
        </w:rPr>
        <w:t>anotācija</w:t>
      </w:r>
      <w:bookmarkEnd w:id="0"/>
      <w:bookmarkEnd w:id="1"/>
      <w:r w:rsidR="00324897" w:rsidRPr="000E6CA4">
        <w:rPr>
          <w:b/>
          <w:bCs/>
          <w:sz w:val="26"/>
          <w:szCs w:val="26"/>
        </w:rPr>
        <w:t>)</w:t>
      </w:r>
    </w:p>
    <w:p w:rsidR="00A94662" w:rsidRPr="000E6CA4" w:rsidRDefault="00A94662" w:rsidP="0014630D">
      <w:pPr>
        <w:jc w:val="center"/>
        <w:rPr>
          <w:b/>
          <w:bCs/>
          <w:sz w:val="26"/>
          <w:szCs w:val="26"/>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481"/>
        <w:gridCol w:w="2131"/>
        <w:gridCol w:w="6519"/>
      </w:tblGrid>
      <w:tr w:rsidR="007A6DB9" w:rsidRPr="000E6CA4" w:rsidTr="003119E2">
        <w:tc>
          <w:tcPr>
            <w:tcW w:w="5000" w:type="pct"/>
            <w:gridSpan w:val="3"/>
            <w:tcBorders>
              <w:top w:val="single" w:sz="6" w:space="0" w:color="auto"/>
              <w:left w:val="single" w:sz="6" w:space="0" w:color="auto"/>
              <w:bottom w:val="outset" w:sz="6" w:space="0" w:color="000000"/>
              <w:right w:val="single" w:sz="6" w:space="0" w:color="auto"/>
            </w:tcBorders>
            <w:vAlign w:val="center"/>
            <w:hideMark/>
          </w:tcPr>
          <w:p w:rsidR="007A6DB9" w:rsidRPr="000E6CA4" w:rsidRDefault="007A6DB9" w:rsidP="007F59CE">
            <w:pPr>
              <w:spacing w:before="6" w:after="6"/>
              <w:ind w:left="113" w:right="113"/>
              <w:jc w:val="center"/>
              <w:rPr>
                <w:b/>
                <w:bCs/>
                <w:sz w:val="26"/>
                <w:szCs w:val="26"/>
              </w:rPr>
            </w:pPr>
            <w:r w:rsidRPr="000E6CA4">
              <w:rPr>
                <w:b/>
                <w:bCs/>
                <w:sz w:val="26"/>
                <w:szCs w:val="26"/>
              </w:rPr>
              <w:t>I. Tiesību akta projekta izstrādes nepieciešamība</w:t>
            </w:r>
          </w:p>
        </w:tc>
      </w:tr>
      <w:tr w:rsidR="007A6DB9" w:rsidRPr="000E6CA4" w:rsidTr="003119E2">
        <w:trPr>
          <w:trHeight w:val="479"/>
        </w:trPr>
        <w:tc>
          <w:tcPr>
            <w:tcW w:w="259" w:type="pct"/>
            <w:tcBorders>
              <w:top w:val="outset" w:sz="6" w:space="0" w:color="000000"/>
              <w:left w:val="outset" w:sz="6" w:space="0" w:color="000000"/>
              <w:bottom w:val="outset" w:sz="6" w:space="0" w:color="000000"/>
              <w:right w:val="outset" w:sz="6" w:space="0" w:color="000000"/>
            </w:tcBorders>
            <w:hideMark/>
          </w:tcPr>
          <w:p w:rsidR="007A6DB9" w:rsidRPr="000E6CA4" w:rsidRDefault="007A6DB9" w:rsidP="007F59CE">
            <w:pPr>
              <w:spacing w:before="6" w:after="6"/>
              <w:ind w:left="113" w:right="113"/>
              <w:rPr>
                <w:sz w:val="26"/>
                <w:szCs w:val="26"/>
              </w:rPr>
            </w:pPr>
            <w:r w:rsidRPr="000E6CA4">
              <w:rPr>
                <w:sz w:val="26"/>
                <w:szCs w:val="26"/>
              </w:rPr>
              <w:t>1.</w:t>
            </w:r>
          </w:p>
        </w:tc>
        <w:tc>
          <w:tcPr>
            <w:tcW w:w="1169" w:type="pct"/>
            <w:tcBorders>
              <w:top w:val="outset" w:sz="6" w:space="0" w:color="000000"/>
              <w:left w:val="outset" w:sz="6" w:space="0" w:color="000000"/>
              <w:bottom w:val="outset" w:sz="6" w:space="0" w:color="000000"/>
              <w:right w:val="outset" w:sz="6" w:space="0" w:color="000000"/>
            </w:tcBorders>
            <w:hideMark/>
          </w:tcPr>
          <w:p w:rsidR="007A6DB9" w:rsidRPr="000E6CA4" w:rsidRDefault="007A6DB9" w:rsidP="007F59CE">
            <w:pPr>
              <w:spacing w:before="6" w:after="6"/>
              <w:ind w:left="113" w:right="113"/>
              <w:rPr>
                <w:sz w:val="26"/>
                <w:szCs w:val="26"/>
              </w:rPr>
            </w:pPr>
            <w:r w:rsidRPr="000E6CA4">
              <w:rPr>
                <w:sz w:val="26"/>
                <w:szCs w:val="26"/>
              </w:rPr>
              <w:t>Pamatojums</w:t>
            </w:r>
          </w:p>
        </w:tc>
        <w:tc>
          <w:tcPr>
            <w:tcW w:w="3572" w:type="pct"/>
            <w:tcBorders>
              <w:top w:val="outset" w:sz="6" w:space="0" w:color="000000"/>
              <w:left w:val="outset" w:sz="6" w:space="0" w:color="000000"/>
              <w:bottom w:val="outset" w:sz="6" w:space="0" w:color="000000"/>
              <w:right w:val="outset" w:sz="6" w:space="0" w:color="000000"/>
            </w:tcBorders>
            <w:hideMark/>
          </w:tcPr>
          <w:p w:rsidR="00811564" w:rsidRPr="000E6CA4" w:rsidRDefault="00384894" w:rsidP="00811564">
            <w:pPr>
              <w:pStyle w:val="BodyText"/>
              <w:spacing w:before="6" w:after="6"/>
              <w:ind w:left="113" w:right="113"/>
              <w:jc w:val="both"/>
              <w:outlineLvl w:val="0"/>
              <w:rPr>
                <w:sz w:val="26"/>
                <w:szCs w:val="26"/>
              </w:rPr>
            </w:pPr>
            <w:r w:rsidRPr="000E6CA4">
              <w:rPr>
                <w:sz w:val="26"/>
                <w:szCs w:val="26"/>
              </w:rPr>
              <w:t xml:space="preserve">Ministru kabineta noteikumu projekts </w:t>
            </w:r>
            <w:r w:rsidR="00CC3744" w:rsidRPr="000E6CA4">
              <w:rPr>
                <w:sz w:val="26"/>
                <w:szCs w:val="26"/>
              </w:rPr>
              <w:t>„Noteikumi par darbības programmas „Cilvēkresursi un nodarbinātība” papildinājuma 1.1.1.2.aktivitātes „Cilvēkresursu piesaiste zinātnei” otro projektu iesniegumu atlases kārtu”</w:t>
            </w:r>
            <w:r w:rsidRPr="000E6CA4">
              <w:rPr>
                <w:sz w:val="26"/>
                <w:szCs w:val="26"/>
              </w:rPr>
              <w:t xml:space="preserve"> (turpmāk – noteikumu projekts) sagatavots saskaņā ar Eiropas Savienības struktūrfondu un Kohēzijas fonda vadības likuma 18.panta 10.punktu</w:t>
            </w:r>
            <w:r w:rsidR="00811564" w:rsidRPr="000E6CA4">
              <w:rPr>
                <w:sz w:val="26"/>
                <w:szCs w:val="26"/>
              </w:rPr>
              <w:t xml:space="preserve"> un Ministru kabineta 2012.gada 8.maija sēdes </w:t>
            </w:r>
            <w:proofErr w:type="spellStart"/>
            <w:r w:rsidR="00811564" w:rsidRPr="000E6CA4">
              <w:rPr>
                <w:sz w:val="26"/>
                <w:szCs w:val="26"/>
              </w:rPr>
              <w:t>protokollēmumu</w:t>
            </w:r>
            <w:proofErr w:type="spellEnd"/>
            <w:r w:rsidR="00811564" w:rsidRPr="000E6CA4">
              <w:rPr>
                <w:sz w:val="26"/>
                <w:szCs w:val="26"/>
              </w:rPr>
              <w:t xml:space="preserve"> (prot. Nr.25</w:t>
            </w:r>
            <w:r w:rsidR="008A7ED0" w:rsidRPr="000E6CA4">
              <w:rPr>
                <w:sz w:val="26"/>
                <w:szCs w:val="26"/>
              </w:rPr>
              <w:t xml:space="preserve"> 26.§) „Informatīvais ziņojums „</w:t>
            </w:r>
            <w:r w:rsidR="00811564" w:rsidRPr="000E6CA4">
              <w:rPr>
                <w:sz w:val="26"/>
                <w:szCs w:val="26"/>
              </w:rPr>
              <w:t xml:space="preserve">Valsts budžeta </w:t>
            </w:r>
            <w:proofErr w:type="spellStart"/>
            <w:r w:rsidR="00811564" w:rsidRPr="000E6CA4">
              <w:rPr>
                <w:sz w:val="26"/>
                <w:szCs w:val="26"/>
              </w:rPr>
              <w:t>virssaistību</w:t>
            </w:r>
            <w:proofErr w:type="spellEnd"/>
            <w:r w:rsidR="00811564" w:rsidRPr="000E6CA4">
              <w:rPr>
                <w:sz w:val="26"/>
                <w:szCs w:val="26"/>
              </w:rPr>
              <w:t xml:space="preserve"> iespējas Eiropas Savienības struktūrfondu un Kohēzijas fonda 2007.-2013.gada </w:t>
            </w:r>
            <w:r w:rsidR="008A7ED0" w:rsidRPr="000E6CA4">
              <w:rPr>
                <w:sz w:val="26"/>
                <w:szCs w:val="26"/>
              </w:rPr>
              <w:t>plānošanas perioda aktivitātēs””</w:t>
            </w:r>
            <w:r w:rsidR="00811564" w:rsidRPr="000E6CA4">
              <w:rPr>
                <w:sz w:val="26"/>
                <w:szCs w:val="26"/>
              </w:rPr>
              <w:t xml:space="preserve"> (turpmāk – MK </w:t>
            </w:r>
            <w:proofErr w:type="spellStart"/>
            <w:r w:rsidR="00811564" w:rsidRPr="000E6CA4">
              <w:rPr>
                <w:sz w:val="26"/>
                <w:szCs w:val="26"/>
              </w:rPr>
              <w:t>protokollēmums</w:t>
            </w:r>
            <w:proofErr w:type="spellEnd"/>
            <w:r w:rsidR="00811564" w:rsidRPr="000E6CA4">
              <w:rPr>
                <w:sz w:val="26"/>
                <w:szCs w:val="26"/>
              </w:rPr>
              <w:t>).</w:t>
            </w:r>
          </w:p>
        </w:tc>
      </w:tr>
      <w:tr w:rsidR="007A6DB9" w:rsidRPr="000E6CA4" w:rsidTr="003119E2">
        <w:tc>
          <w:tcPr>
            <w:tcW w:w="259" w:type="pct"/>
            <w:tcBorders>
              <w:top w:val="outset" w:sz="6" w:space="0" w:color="000000"/>
              <w:left w:val="outset" w:sz="6" w:space="0" w:color="000000"/>
              <w:bottom w:val="outset" w:sz="6" w:space="0" w:color="000000"/>
              <w:right w:val="outset" w:sz="6" w:space="0" w:color="000000"/>
            </w:tcBorders>
            <w:hideMark/>
          </w:tcPr>
          <w:p w:rsidR="007A6DB9" w:rsidRPr="000E6CA4" w:rsidRDefault="007A6DB9" w:rsidP="007F59CE">
            <w:pPr>
              <w:spacing w:before="6" w:after="6"/>
              <w:ind w:left="113" w:right="113"/>
              <w:rPr>
                <w:sz w:val="26"/>
                <w:szCs w:val="26"/>
              </w:rPr>
            </w:pPr>
            <w:r w:rsidRPr="000E6CA4">
              <w:rPr>
                <w:sz w:val="26"/>
                <w:szCs w:val="26"/>
              </w:rPr>
              <w:t>2.</w:t>
            </w:r>
          </w:p>
        </w:tc>
        <w:tc>
          <w:tcPr>
            <w:tcW w:w="1169" w:type="pct"/>
            <w:tcBorders>
              <w:top w:val="outset" w:sz="6" w:space="0" w:color="000000"/>
              <w:left w:val="outset" w:sz="6" w:space="0" w:color="000000"/>
              <w:bottom w:val="outset" w:sz="6" w:space="0" w:color="000000"/>
              <w:right w:val="outset" w:sz="6" w:space="0" w:color="000000"/>
            </w:tcBorders>
            <w:hideMark/>
          </w:tcPr>
          <w:p w:rsidR="007A6DB9" w:rsidRPr="000E6CA4" w:rsidRDefault="007A6DB9" w:rsidP="007F59CE">
            <w:pPr>
              <w:spacing w:before="6" w:after="6"/>
              <w:ind w:left="113" w:right="113"/>
              <w:rPr>
                <w:sz w:val="26"/>
                <w:szCs w:val="26"/>
              </w:rPr>
            </w:pPr>
            <w:r w:rsidRPr="000E6CA4">
              <w:rPr>
                <w:sz w:val="26"/>
                <w:szCs w:val="26"/>
              </w:rPr>
              <w:t>Pašreizējā situācija un problēmas</w:t>
            </w:r>
          </w:p>
        </w:tc>
        <w:tc>
          <w:tcPr>
            <w:tcW w:w="3572" w:type="pct"/>
            <w:tcBorders>
              <w:top w:val="outset" w:sz="6" w:space="0" w:color="000000"/>
              <w:left w:val="outset" w:sz="6" w:space="0" w:color="000000"/>
              <w:bottom w:val="outset" w:sz="6" w:space="0" w:color="000000"/>
              <w:right w:val="outset" w:sz="6" w:space="0" w:color="000000"/>
            </w:tcBorders>
            <w:hideMark/>
          </w:tcPr>
          <w:p w:rsidR="00B638DA" w:rsidRPr="000E6CA4" w:rsidRDefault="00830B2D" w:rsidP="007F59CE">
            <w:pPr>
              <w:autoSpaceDE w:val="0"/>
              <w:autoSpaceDN w:val="0"/>
              <w:adjustRightInd w:val="0"/>
              <w:spacing w:before="6" w:after="6"/>
              <w:ind w:left="113" w:right="113"/>
              <w:jc w:val="both"/>
              <w:rPr>
                <w:sz w:val="26"/>
                <w:szCs w:val="26"/>
              </w:rPr>
            </w:pPr>
            <w:r w:rsidRPr="000E6CA4">
              <w:rPr>
                <w:sz w:val="26"/>
                <w:szCs w:val="26"/>
              </w:rPr>
              <w:t>Ministru kabineta noteikum</w:t>
            </w:r>
            <w:r w:rsidR="00FD7188" w:rsidRPr="000E6CA4">
              <w:rPr>
                <w:sz w:val="26"/>
                <w:szCs w:val="26"/>
              </w:rPr>
              <w:t>u projekts izstrādāts</w:t>
            </w:r>
            <w:r w:rsidRPr="000E6CA4">
              <w:rPr>
                <w:sz w:val="26"/>
                <w:szCs w:val="26"/>
              </w:rPr>
              <w:t xml:space="preserve">, lai nodrošinātu </w:t>
            </w:r>
            <w:r w:rsidR="00811564" w:rsidRPr="000E6CA4">
              <w:rPr>
                <w:sz w:val="26"/>
                <w:szCs w:val="26"/>
              </w:rPr>
              <w:t>MK</w:t>
            </w:r>
            <w:r w:rsidR="009B3AF7" w:rsidRPr="000E6CA4">
              <w:rPr>
                <w:sz w:val="26"/>
                <w:szCs w:val="26"/>
              </w:rPr>
              <w:t xml:space="preserve"> </w:t>
            </w:r>
            <w:proofErr w:type="spellStart"/>
            <w:r w:rsidR="009B3AF7" w:rsidRPr="000E6CA4">
              <w:rPr>
                <w:sz w:val="26"/>
                <w:szCs w:val="26"/>
              </w:rPr>
              <w:t>protokol</w:t>
            </w:r>
            <w:r w:rsidRPr="000E6CA4">
              <w:rPr>
                <w:sz w:val="26"/>
                <w:szCs w:val="26"/>
              </w:rPr>
              <w:t>lēmuma</w:t>
            </w:r>
            <w:proofErr w:type="spellEnd"/>
            <w:r w:rsidR="009B3AF7" w:rsidRPr="000E6CA4">
              <w:rPr>
                <w:sz w:val="26"/>
                <w:szCs w:val="26"/>
              </w:rPr>
              <w:t xml:space="preserve"> </w:t>
            </w:r>
            <w:r w:rsidRPr="000E6CA4">
              <w:rPr>
                <w:sz w:val="26"/>
                <w:szCs w:val="26"/>
              </w:rPr>
              <w:t>2.punktā un 3.2.apakšpunktā noteiktā uzdevuma izpildi.</w:t>
            </w:r>
            <w:r w:rsidR="009B3AF7" w:rsidRPr="000E6CA4">
              <w:rPr>
                <w:sz w:val="26"/>
                <w:szCs w:val="26"/>
              </w:rPr>
              <w:t xml:space="preserve"> </w:t>
            </w:r>
          </w:p>
          <w:p w:rsidR="00092622" w:rsidRPr="000E6CA4" w:rsidRDefault="00092622" w:rsidP="00092622">
            <w:pPr>
              <w:autoSpaceDE w:val="0"/>
              <w:autoSpaceDN w:val="0"/>
              <w:adjustRightInd w:val="0"/>
              <w:spacing w:before="6" w:after="6"/>
              <w:ind w:left="113" w:right="113"/>
              <w:jc w:val="both"/>
              <w:rPr>
                <w:sz w:val="26"/>
                <w:szCs w:val="26"/>
              </w:rPr>
            </w:pPr>
            <w:r w:rsidRPr="000E6CA4">
              <w:rPr>
                <w:sz w:val="26"/>
                <w:szCs w:val="26"/>
              </w:rPr>
              <w:t>Kopējais aktivitātes otrai kārtai pieejamais finansējums ir 5 342 845 lati, ko veido Eiropas Sociālā fonda līdzfinansējums 5 207 423 latu apmērā, nacionālais publiskais finansējums 109 067 latu apmērā un privātais finansējums 26 355 latu apmērā.</w:t>
            </w:r>
          </w:p>
          <w:p w:rsidR="00092622" w:rsidRPr="000E6CA4" w:rsidRDefault="00092622" w:rsidP="00092622">
            <w:pPr>
              <w:autoSpaceDE w:val="0"/>
              <w:autoSpaceDN w:val="0"/>
              <w:adjustRightInd w:val="0"/>
              <w:spacing w:before="6" w:after="6"/>
              <w:ind w:left="113" w:right="113"/>
              <w:jc w:val="both"/>
              <w:rPr>
                <w:sz w:val="26"/>
                <w:szCs w:val="26"/>
              </w:rPr>
            </w:pPr>
            <w:r w:rsidRPr="000E6CA4">
              <w:rPr>
                <w:sz w:val="26"/>
                <w:szCs w:val="26"/>
              </w:rPr>
              <w:t xml:space="preserve">Aktivitātes otrai kārtai pieejamais saistību apjoms, kas pārsniedz </w:t>
            </w:r>
            <w:r w:rsidR="00846ACC" w:rsidRPr="000E6CA4">
              <w:rPr>
                <w:sz w:val="26"/>
                <w:szCs w:val="26"/>
              </w:rPr>
              <w:t xml:space="preserve">pieejamo </w:t>
            </w:r>
            <w:r w:rsidRPr="000E6CA4">
              <w:rPr>
                <w:sz w:val="26"/>
                <w:szCs w:val="26"/>
              </w:rPr>
              <w:t>kopējo attiecināmo finansējumu, ir 4</w:t>
            </w:r>
            <w:r w:rsidR="00846ACC" w:rsidRPr="000E6CA4">
              <w:rPr>
                <w:sz w:val="26"/>
                <w:szCs w:val="26"/>
              </w:rPr>
              <w:t> </w:t>
            </w:r>
            <w:r w:rsidRPr="000E6CA4">
              <w:rPr>
                <w:sz w:val="26"/>
                <w:szCs w:val="26"/>
              </w:rPr>
              <w:t>463 146 lati, tai skaitā Eiropas Sociālā fonda finansējums 3</w:t>
            </w:r>
            <w:r w:rsidR="00846ACC" w:rsidRPr="000E6CA4">
              <w:rPr>
                <w:sz w:val="26"/>
                <w:szCs w:val="26"/>
              </w:rPr>
              <w:t> </w:t>
            </w:r>
            <w:r w:rsidRPr="000E6CA4">
              <w:rPr>
                <w:sz w:val="26"/>
                <w:szCs w:val="26"/>
              </w:rPr>
              <w:t>860 175 lati.</w:t>
            </w:r>
          </w:p>
          <w:p w:rsidR="003D63BE" w:rsidRPr="000E6CA4" w:rsidRDefault="003D63BE" w:rsidP="007F59CE">
            <w:pPr>
              <w:tabs>
                <w:tab w:val="left" w:pos="426"/>
              </w:tabs>
              <w:spacing w:before="6" w:after="6"/>
              <w:ind w:left="113" w:right="113"/>
              <w:jc w:val="both"/>
              <w:rPr>
                <w:sz w:val="26"/>
                <w:szCs w:val="26"/>
              </w:rPr>
            </w:pPr>
            <w:r w:rsidRPr="000E6CA4">
              <w:rPr>
                <w:sz w:val="26"/>
                <w:szCs w:val="26"/>
              </w:rPr>
              <w:t xml:space="preserve">Finansējums nepieciešams, lai nodrošinātu 1.1.1.2.aktivitātes atbalsta turpināšanu pēc 2012.gada, īstenojot otro atlases kārtu, jo pirmās kārtas projekti noslēgsies 2012.gada beigās. Tā kā tuvākajos 3 gados Latvijā doktora zinātnisko grādu iegūs līdz 860 personām, ir nepieciešams arī pēc 2012.gada nodrošināt Eiropas Sociālā fonda atbalstu darba vietu izveidei jaunajiem zinātniekiem, kā arī veicināt speciālistu atgriešanos, kas pašlaik strādā vai studē doktorantūrā ārvalstu augstskolās un zinātniskajos institūtos. Esošajā ekonomiskajā situācijā, kad būtiski samazinājies zinātnei un pētniecībai pieejamais finansējums (gan valsts budžeta, gan privātais, gan citi pašu ieņēmumi), ES fondi ir galvenais instruments pētniecības projektu īstenošanai, kā arī jauno zinātnieku piesaistei un darba vietu izveidei zinātnē. Nenodrošinot darba vietas jaunajiem zinātniekiem, pastāv risks, ka daļa spējīgāko jauno speciālistu pamet Latviju. </w:t>
            </w:r>
          </w:p>
          <w:p w:rsidR="000B5522" w:rsidRPr="000E6CA4" w:rsidRDefault="00777246" w:rsidP="007F59CE">
            <w:pPr>
              <w:autoSpaceDE w:val="0"/>
              <w:autoSpaceDN w:val="0"/>
              <w:adjustRightInd w:val="0"/>
              <w:spacing w:before="6" w:after="6"/>
              <w:ind w:left="113" w:right="113"/>
              <w:jc w:val="both"/>
              <w:rPr>
                <w:sz w:val="26"/>
                <w:szCs w:val="26"/>
              </w:rPr>
            </w:pPr>
            <w:r w:rsidRPr="000E6CA4">
              <w:rPr>
                <w:sz w:val="26"/>
                <w:szCs w:val="26"/>
              </w:rPr>
              <w:lastRenderedPageBreak/>
              <w:t>Pamatojoties uz pirmās projektu iesniegumu atlases kārtas pieredzi</w:t>
            </w:r>
            <w:r w:rsidR="00D050B0" w:rsidRPr="000E6CA4">
              <w:rPr>
                <w:sz w:val="26"/>
                <w:szCs w:val="26"/>
              </w:rPr>
              <w:t>, Izglītības un zinātnes ministrija ierosina</w:t>
            </w:r>
            <w:r w:rsidR="0006219F" w:rsidRPr="000E6CA4">
              <w:rPr>
                <w:sz w:val="26"/>
                <w:szCs w:val="26"/>
              </w:rPr>
              <w:t> </w:t>
            </w:r>
            <w:r w:rsidR="005B0E6D" w:rsidRPr="000E6CA4">
              <w:rPr>
                <w:sz w:val="26"/>
                <w:szCs w:val="26"/>
              </w:rPr>
              <w:t>noteikumu projektā i</w:t>
            </w:r>
            <w:r w:rsidR="0006219F" w:rsidRPr="000E6CA4">
              <w:rPr>
                <w:sz w:val="26"/>
                <w:szCs w:val="26"/>
              </w:rPr>
              <w:t>ekļaut normas, kas</w:t>
            </w:r>
            <w:r w:rsidR="005B0E6D" w:rsidRPr="000E6CA4">
              <w:rPr>
                <w:sz w:val="26"/>
                <w:szCs w:val="26"/>
              </w:rPr>
              <w:t xml:space="preserve"> </w:t>
            </w:r>
            <w:r w:rsidR="00304F03" w:rsidRPr="000E6CA4">
              <w:rPr>
                <w:sz w:val="26"/>
                <w:szCs w:val="26"/>
              </w:rPr>
              <w:t xml:space="preserve">otrajā atlases kārtā </w:t>
            </w:r>
            <w:r w:rsidR="0006219F" w:rsidRPr="000E6CA4">
              <w:rPr>
                <w:sz w:val="26"/>
                <w:szCs w:val="26"/>
              </w:rPr>
              <w:t xml:space="preserve">sekmē </w:t>
            </w:r>
            <w:r w:rsidR="00304F03" w:rsidRPr="000E6CA4">
              <w:rPr>
                <w:sz w:val="26"/>
                <w:szCs w:val="26"/>
              </w:rPr>
              <w:t xml:space="preserve">efektīvu </w:t>
            </w:r>
            <w:r w:rsidR="0006219F" w:rsidRPr="000E6CA4">
              <w:rPr>
                <w:sz w:val="26"/>
                <w:szCs w:val="26"/>
              </w:rPr>
              <w:t>papildu cilvēkresursu piesaisti zinātnei</w:t>
            </w:r>
            <w:r w:rsidR="00304F03" w:rsidRPr="000E6CA4">
              <w:rPr>
                <w:sz w:val="26"/>
                <w:szCs w:val="26"/>
              </w:rPr>
              <w:t xml:space="preserve"> </w:t>
            </w:r>
            <w:r w:rsidR="005B0E6D" w:rsidRPr="000E6CA4">
              <w:rPr>
                <w:sz w:val="26"/>
                <w:szCs w:val="26"/>
              </w:rPr>
              <w:t>un novērš dubultā finansējuma risku</w:t>
            </w:r>
            <w:r w:rsidR="00304F03" w:rsidRPr="000E6CA4">
              <w:rPr>
                <w:sz w:val="26"/>
                <w:szCs w:val="26"/>
              </w:rPr>
              <w:t xml:space="preserve"> aktivitātes ietvaros</w:t>
            </w:r>
            <w:r w:rsidR="0006219F" w:rsidRPr="000E6CA4">
              <w:rPr>
                <w:sz w:val="26"/>
                <w:szCs w:val="26"/>
              </w:rPr>
              <w:t>, tai skaitā</w:t>
            </w:r>
            <w:r w:rsidR="000B5522" w:rsidRPr="000E6CA4">
              <w:rPr>
                <w:sz w:val="26"/>
                <w:szCs w:val="26"/>
              </w:rPr>
              <w:t>:</w:t>
            </w:r>
          </w:p>
          <w:p w:rsidR="0006219F" w:rsidRPr="000E6CA4" w:rsidRDefault="00146A76" w:rsidP="007F59CE">
            <w:pPr>
              <w:autoSpaceDE w:val="0"/>
              <w:autoSpaceDN w:val="0"/>
              <w:adjustRightInd w:val="0"/>
              <w:spacing w:before="6" w:after="6"/>
              <w:ind w:left="113" w:right="113"/>
              <w:jc w:val="both"/>
              <w:rPr>
                <w:sz w:val="26"/>
                <w:szCs w:val="26"/>
              </w:rPr>
            </w:pPr>
            <w:r w:rsidRPr="000E6CA4">
              <w:rPr>
                <w:sz w:val="26"/>
                <w:szCs w:val="26"/>
              </w:rPr>
              <w:t>1</w:t>
            </w:r>
            <w:r w:rsidR="005B0E6D" w:rsidRPr="000E6CA4">
              <w:rPr>
                <w:sz w:val="26"/>
                <w:szCs w:val="26"/>
              </w:rPr>
              <w:t>. </w:t>
            </w:r>
            <w:r w:rsidR="0006219F" w:rsidRPr="000E6CA4">
              <w:rPr>
                <w:sz w:val="26"/>
                <w:szCs w:val="26"/>
              </w:rPr>
              <w:t>viena persona - jaunais zinātnieks</w:t>
            </w:r>
            <w:r w:rsidR="007F59CE" w:rsidRPr="000E6CA4">
              <w:rPr>
                <w:sz w:val="26"/>
                <w:szCs w:val="26"/>
              </w:rPr>
              <w:t>,</w:t>
            </w:r>
            <w:r w:rsidR="0006219F" w:rsidRPr="000E6CA4">
              <w:rPr>
                <w:sz w:val="26"/>
                <w:szCs w:val="26"/>
              </w:rPr>
              <w:t xml:space="preserve"> doktorants</w:t>
            </w:r>
            <w:r w:rsidR="007F59CE" w:rsidRPr="000E6CA4">
              <w:rPr>
                <w:sz w:val="26"/>
                <w:szCs w:val="26"/>
              </w:rPr>
              <w:t xml:space="preserve"> un re-emigrējušais zinātnieks</w:t>
            </w:r>
            <w:r w:rsidR="0006219F" w:rsidRPr="000E6CA4">
              <w:rPr>
                <w:sz w:val="26"/>
                <w:szCs w:val="26"/>
              </w:rPr>
              <w:t xml:space="preserve"> – var tikt nodarbināta ne vairāk kā vienā projektā; </w:t>
            </w:r>
          </w:p>
          <w:p w:rsidR="0006219F" w:rsidRPr="000E6CA4" w:rsidRDefault="00146A76" w:rsidP="007F59CE">
            <w:pPr>
              <w:autoSpaceDE w:val="0"/>
              <w:autoSpaceDN w:val="0"/>
              <w:adjustRightInd w:val="0"/>
              <w:spacing w:before="6" w:after="6"/>
              <w:ind w:left="113" w:right="113"/>
              <w:jc w:val="both"/>
              <w:rPr>
                <w:sz w:val="26"/>
                <w:szCs w:val="26"/>
              </w:rPr>
            </w:pPr>
            <w:r w:rsidRPr="000E6CA4">
              <w:rPr>
                <w:sz w:val="26"/>
                <w:szCs w:val="26"/>
              </w:rPr>
              <w:t>2</w:t>
            </w:r>
            <w:r w:rsidR="005B0E6D" w:rsidRPr="000E6CA4">
              <w:rPr>
                <w:sz w:val="26"/>
                <w:szCs w:val="26"/>
              </w:rPr>
              <w:t>. </w:t>
            </w:r>
            <w:r w:rsidR="0006219F" w:rsidRPr="000E6CA4">
              <w:rPr>
                <w:sz w:val="26"/>
                <w:szCs w:val="26"/>
              </w:rPr>
              <w:t>zinātniskajā grupā var iesaistīt tādus jaunos zinātniekus</w:t>
            </w:r>
            <w:r w:rsidR="007F59CE" w:rsidRPr="000E6CA4">
              <w:rPr>
                <w:sz w:val="26"/>
                <w:szCs w:val="26"/>
              </w:rPr>
              <w:t>,</w:t>
            </w:r>
            <w:r w:rsidR="0006219F" w:rsidRPr="000E6CA4">
              <w:rPr>
                <w:sz w:val="26"/>
                <w:szCs w:val="26"/>
              </w:rPr>
              <w:t xml:space="preserve"> doktorantus</w:t>
            </w:r>
            <w:r w:rsidR="007F59CE" w:rsidRPr="000E6CA4">
              <w:rPr>
                <w:sz w:val="26"/>
                <w:szCs w:val="26"/>
              </w:rPr>
              <w:t xml:space="preserve"> un re-emigrējušos zinātniekus</w:t>
            </w:r>
            <w:r w:rsidR="0006219F" w:rsidRPr="000E6CA4">
              <w:rPr>
                <w:sz w:val="26"/>
                <w:szCs w:val="26"/>
              </w:rPr>
              <w:t>, kas nav saņēmuši atbalstu aktivitātes pirmās atlases kārtas ietvaros;</w:t>
            </w:r>
          </w:p>
          <w:p w:rsidR="0006219F" w:rsidRPr="000E6CA4" w:rsidRDefault="00146A76" w:rsidP="007F59CE">
            <w:pPr>
              <w:autoSpaceDE w:val="0"/>
              <w:autoSpaceDN w:val="0"/>
              <w:adjustRightInd w:val="0"/>
              <w:spacing w:before="6" w:after="6"/>
              <w:ind w:left="113" w:right="113"/>
              <w:jc w:val="both"/>
              <w:rPr>
                <w:sz w:val="26"/>
                <w:szCs w:val="26"/>
              </w:rPr>
            </w:pPr>
            <w:r w:rsidRPr="000E6CA4">
              <w:rPr>
                <w:sz w:val="26"/>
                <w:szCs w:val="26"/>
              </w:rPr>
              <w:t>3</w:t>
            </w:r>
            <w:r w:rsidR="005B0E6D" w:rsidRPr="000E6CA4">
              <w:rPr>
                <w:sz w:val="26"/>
                <w:szCs w:val="26"/>
              </w:rPr>
              <w:t>. </w:t>
            </w:r>
            <w:r w:rsidR="0006219F" w:rsidRPr="000E6CA4">
              <w:rPr>
                <w:sz w:val="26"/>
                <w:szCs w:val="26"/>
              </w:rPr>
              <w:t>finansējuma saņēmējs nodrošina vismaz vienas darba vietas saglabāšanu vienam zinātniskajā grupā piesaistītam zinātniskajam darbiniekam PLE izteiksmē vismaz divus gadus pēc projekta īstenošanas beigām</w:t>
            </w:r>
            <w:r w:rsidR="005B0E6D" w:rsidRPr="000E6CA4">
              <w:rPr>
                <w:sz w:val="26"/>
                <w:szCs w:val="26"/>
              </w:rPr>
              <w:t>;</w:t>
            </w:r>
          </w:p>
          <w:p w:rsidR="00D050B0" w:rsidRPr="000E6CA4" w:rsidRDefault="00146A76" w:rsidP="007F59CE">
            <w:pPr>
              <w:autoSpaceDE w:val="0"/>
              <w:autoSpaceDN w:val="0"/>
              <w:adjustRightInd w:val="0"/>
              <w:spacing w:before="6" w:after="6"/>
              <w:ind w:left="113" w:right="113"/>
              <w:jc w:val="both"/>
              <w:rPr>
                <w:sz w:val="26"/>
                <w:szCs w:val="26"/>
              </w:rPr>
            </w:pPr>
            <w:r w:rsidRPr="000E6CA4">
              <w:rPr>
                <w:sz w:val="26"/>
                <w:szCs w:val="26"/>
              </w:rPr>
              <w:t>4</w:t>
            </w:r>
            <w:r w:rsidR="000B5522" w:rsidRPr="000E6CA4">
              <w:rPr>
                <w:sz w:val="26"/>
                <w:szCs w:val="26"/>
              </w:rPr>
              <w:t>.</w:t>
            </w:r>
            <w:r w:rsidR="005B0E6D" w:rsidRPr="000E6CA4">
              <w:rPr>
                <w:sz w:val="26"/>
                <w:szCs w:val="26"/>
              </w:rPr>
              <w:t> </w:t>
            </w:r>
            <w:r w:rsidR="00D050B0" w:rsidRPr="000E6CA4">
              <w:rPr>
                <w:sz w:val="26"/>
                <w:szCs w:val="26"/>
              </w:rPr>
              <w:t>atbildīgā iestāde nodrošina projektu iesniegumu atlasi un vērtēšanu</w:t>
            </w:r>
            <w:r w:rsidR="005B0E6D" w:rsidRPr="000E6CA4">
              <w:rPr>
                <w:sz w:val="26"/>
                <w:szCs w:val="26"/>
              </w:rPr>
              <w:t>;</w:t>
            </w:r>
          </w:p>
          <w:p w:rsidR="005B0E6D" w:rsidRPr="000E6CA4" w:rsidRDefault="00146A76" w:rsidP="007F59CE">
            <w:pPr>
              <w:autoSpaceDE w:val="0"/>
              <w:autoSpaceDN w:val="0"/>
              <w:adjustRightInd w:val="0"/>
              <w:spacing w:before="6" w:after="6"/>
              <w:ind w:left="113" w:right="113"/>
              <w:jc w:val="both"/>
              <w:rPr>
                <w:sz w:val="26"/>
                <w:szCs w:val="26"/>
              </w:rPr>
            </w:pPr>
            <w:r w:rsidRPr="000E6CA4">
              <w:rPr>
                <w:sz w:val="26"/>
                <w:szCs w:val="26"/>
              </w:rPr>
              <w:t>5</w:t>
            </w:r>
            <w:r w:rsidR="000B5522" w:rsidRPr="000E6CA4">
              <w:rPr>
                <w:sz w:val="26"/>
                <w:szCs w:val="26"/>
              </w:rPr>
              <w:t>.</w:t>
            </w:r>
            <w:r w:rsidR="005B0E6D" w:rsidRPr="000E6CA4">
              <w:rPr>
                <w:sz w:val="26"/>
                <w:szCs w:val="26"/>
              </w:rPr>
              <w:t> </w:t>
            </w:r>
            <w:r w:rsidR="00D050B0" w:rsidRPr="000E6CA4">
              <w:rPr>
                <w:sz w:val="26"/>
                <w:szCs w:val="26"/>
              </w:rPr>
              <w:t>projekta iesniedzējs var būt valsts zinātniskā institūcija – valsts zinātniskais institūts (atvasināta publiska persona), valsts augstskola vai valsts augstskolas zinātniskais institūts (publiska aģentūra)</w:t>
            </w:r>
            <w:r w:rsidR="005B0E6D" w:rsidRPr="000E6CA4">
              <w:rPr>
                <w:sz w:val="26"/>
                <w:szCs w:val="26"/>
              </w:rPr>
              <w:t>, no projekta iesniedzēju loka izslēdzot augstskolas zinātnisko institūtu – augstskolas struktūrvienību</w:t>
            </w:r>
            <w:r w:rsidR="007F59CE" w:rsidRPr="000E6CA4">
              <w:rPr>
                <w:sz w:val="26"/>
                <w:szCs w:val="26"/>
              </w:rPr>
              <w:t>.</w:t>
            </w:r>
          </w:p>
          <w:p w:rsidR="00777246" w:rsidRPr="000E6CA4" w:rsidRDefault="005B0E6D" w:rsidP="007F59CE">
            <w:pPr>
              <w:autoSpaceDE w:val="0"/>
              <w:autoSpaceDN w:val="0"/>
              <w:adjustRightInd w:val="0"/>
              <w:spacing w:before="6" w:after="6"/>
              <w:ind w:left="113" w:right="113"/>
              <w:jc w:val="both"/>
              <w:rPr>
                <w:sz w:val="26"/>
                <w:szCs w:val="26"/>
              </w:rPr>
            </w:pPr>
            <w:r w:rsidRPr="000E6CA4">
              <w:rPr>
                <w:sz w:val="26"/>
                <w:szCs w:val="26"/>
              </w:rPr>
              <w:t>Aktivitātes</w:t>
            </w:r>
            <w:r w:rsidR="00777246" w:rsidRPr="000E6CA4">
              <w:rPr>
                <w:sz w:val="26"/>
                <w:szCs w:val="26"/>
              </w:rPr>
              <w:t xml:space="preserve"> </w:t>
            </w:r>
            <w:r w:rsidRPr="000E6CA4">
              <w:rPr>
                <w:sz w:val="26"/>
                <w:szCs w:val="26"/>
              </w:rPr>
              <w:t xml:space="preserve">otrās </w:t>
            </w:r>
            <w:r w:rsidR="003D63BE" w:rsidRPr="000E6CA4">
              <w:rPr>
                <w:sz w:val="26"/>
                <w:szCs w:val="26"/>
              </w:rPr>
              <w:t xml:space="preserve">atlases </w:t>
            </w:r>
            <w:r w:rsidRPr="000E6CA4">
              <w:rPr>
                <w:sz w:val="26"/>
                <w:szCs w:val="26"/>
              </w:rPr>
              <w:t>kārtas</w:t>
            </w:r>
            <w:r w:rsidR="00777246" w:rsidRPr="000E6CA4">
              <w:rPr>
                <w:sz w:val="26"/>
                <w:szCs w:val="26"/>
              </w:rPr>
              <w:t xml:space="preserve"> projektu iesniegumu vērtēšanas kritēriji</w:t>
            </w:r>
            <w:r w:rsidRPr="000E6CA4">
              <w:rPr>
                <w:sz w:val="26"/>
                <w:szCs w:val="26"/>
              </w:rPr>
              <w:t xml:space="preserve"> ir</w:t>
            </w:r>
            <w:r w:rsidR="00777246" w:rsidRPr="000E6CA4">
              <w:rPr>
                <w:sz w:val="26"/>
                <w:szCs w:val="26"/>
              </w:rPr>
              <w:t xml:space="preserve"> apstiprināti </w:t>
            </w:r>
            <w:r w:rsidR="00974799" w:rsidRPr="000E6CA4">
              <w:rPr>
                <w:sz w:val="26"/>
                <w:szCs w:val="26"/>
              </w:rPr>
              <w:t xml:space="preserve">Eiropas Savienības struktūrfondu un Kohēzijas fonda Uzraudzības komitejas </w:t>
            </w:r>
            <w:r w:rsidR="00777246" w:rsidRPr="000E6CA4">
              <w:rPr>
                <w:sz w:val="26"/>
                <w:szCs w:val="26"/>
              </w:rPr>
              <w:t>20</w:t>
            </w:r>
            <w:r w:rsidR="00494FF7" w:rsidRPr="000E6CA4">
              <w:rPr>
                <w:sz w:val="26"/>
                <w:szCs w:val="26"/>
              </w:rPr>
              <w:t>12.gada 31.maija sēdē (protokols</w:t>
            </w:r>
            <w:r w:rsidR="00777246" w:rsidRPr="000E6CA4">
              <w:rPr>
                <w:sz w:val="26"/>
                <w:szCs w:val="26"/>
              </w:rPr>
              <w:t xml:space="preserve"> </w:t>
            </w:r>
            <w:proofErr w:type="spellStart"/>
            <w:r w:rsidR="00777246" w:rsidRPr="000E6CA4">
              <w:rPr>
                <w:sz w:val="26"/>
                <w:szCs w:val="26"/>
              </w:rPr>
              <w:t>Nr.P-2012</w:t>
            </w:r>
            <w:proofErr w:type="spellEnd"/>
            <w:r w:rsidR="00777246" w:rsidRPr="000E6CA4">
              <w:rPr>
                <w:sz w:val="26"/>
                <w:szCs w:val="26"/>
              </w:rPr>
              <w:t>/UK/1</w:t>
            </w:r>
            <w:r w:rsidR="00494FF7" w:rsidRPr="000E6CA4">
              <w:rPr>
                <w:sz w:val="26"/>
                <w:szCs w:val="26"/>
              </w:rPr>
              <w:t xml:space="preserve">, </w:t>
            </w:r>
            <w:r w:rsidR="00777246" w:rsidRPr="000E6CA4">
              <w:rPr>
                <w:sz w:val="26"/>
                <w:szCs w:val="26"/>
              </w:rPr>
              <w:t>12.</w:t>
            </w:r>
            <w:r w:rsidR="00B00E1D" w:rsidRPr="000E6CA4">
              <w:rPr>
                <w:sz w:val="26"/>
                <w:szCs w:val="26"/>
              </w:rPr>
              <w:t>§</w:t>
            </w:r>
            <w:r w:rsidR="00777246" w:rsidRPr="000E6CA4">
              <w:rPr>
                <w:sz w:val="26"/>
                <w:szCs w:val="26"/>
              </w:rPr>
              <w:t>)</w:t>
            </w:r>
            <w:r w:rsidR="00494FF7" w:rsidRPr="000E6CA4">
              <w:rPr>
                <w:sz w:val="26"/>
                <w:szCs w:val="26"/>
              </w:rPr>
              <w:t xml:space="preserve"> un iekļauti noteikumu projekta</w:t>
            </w:r>
            <w:r w:rsidR="00E4382D" w:rsidRPr="000E6CA4">
              <w:rPr>
                <w:sz w:val="26"/>
                <w:szCs w:val="26"/>
              </w:rPr>
              <w:t xml:space="preserve"> 5.pielikumā</w:t>
            </w:r>
            <w:r w:rsidR="00777246" w:rsidRPr="000E6CA4">
              <w:rPr>
                <w:sz w:val="26"/>
                <w:szCs w:val="26"/>
              </w:rPr>
              <w:t>.</w:t>
            </w:r>
            <w:r w:rsidR="008064CD" w:rsidRPr="000E6CA4">
              <w:rPr>
                <w:sz w:val="26"/>
                <w:szCs w:val="26"/>
              </w:rPr>
              <w:t xml:space="preserve"> </w:t>
            </w:r>
          </w:p>
          <w:p w:rsidR="000F4E67" w:rsidRPr="000E6CA4" w:rsidRDefault="000B5522" w:rsidP="007F59CE">
            <w:pPr>
              <w:autoSpaceDE w:val="0"/>
              <w:autoSpaceDN w:val="0"/>
              <w:adjustRightInd w:val="0"/>
              <w:spacing w:before="6" w:after="6"/>
              <w:ind w:left="113" w:right="113"/>
              <w:jc w:val="both"/>
              <w:rPr>
                <w:sz w:val="26"/>
                <w:szCs w:val="26"/>
              </w:rPr>
            </w:pPr>
            <w:r w:rsidRPr="000E6CA4">
              <w:rPr>
                <w:sz w:val="26"/>
                <w:szCs w:val="26"/>
              </w:rPr>
              <w:t xml:space="preserve">Aktivitātes pirmo </w:t>
            </w:r>
            <w:r w:rsidR="003D63BE" w:rsidRPr="000E6CA4">
              <w:rPr>
                <w:sz w:val="26"/>
                <w:szCs w:val="26"/>
              </w:rPr>
              <w:t xml:space="preserve">atlases </w:t>
            </w:r>
            <w:r w:rsidRPr="000E6CA4">
              <w:rPr>
                <w:sz w:val="26"/>
                <w:szCs w:val="26"/>
              </w:rPr>
              <w:t xml:space="preserve">kārtu īsteno saskaņā ar Ministru kabineta 2008.gada 2.septembra noteikumiem Nr.703 „Noteikumi par darbības programmas „Cilvēkresursi un nodarbinātība” papildinājuma 1.1.1.2.aktivitāti „Cilvēkresursu piesaiste zinātnei”” (turpmāk – noteikumi Nr.703). </w:t>
            </w:r>
            <w:r w:rsidR="003D63BE" w:rsidRPr="000E6CA4">
              <w:rPr>
                <w:sz w:val="26"/>
                <w:szCs w:val="26"/>
              </w:rPr>
              <w:t xml:space="preserve">Ņemot vērā to, ka aktivitātes </w:t>
            </w:r>
            <w:r w:rsidR="003642FC" w:rsidRPr="000E6CA4">
              <w:rPr>
                <w:sz w:val="26"/>
                <w:szCs w:val="26"/>
              </w:rPr>
              <w:t xml:space="preserve">pirmās un </w:t>
            </w:r>
            <w:r w:rsidR="003D63BE" w:rsidRPr="000E6CA4">
              <w:rPr>
                <w:sz w:val="26"/>
                <w:szCs w:val="26"/>
              </w:rPr>
              <w:t>otrās atlases kārtas īstenošanai ir plānots piemērot atšķirīg</w:t>
            </w:r>
            <w:r w:rsidR="003642FC" w:rsidRPr="000E6CA4">
              <w:rPr>
                <w:sz w:val="26"/>
                <w:szCs w:val="26"/>
              </w:rPr>
              <w:t>us ieviešanas nosacījumus</w:t>
            </w:r>
            <w:r w:rsidR="003D63BE" w:rsidRPr="000E6CA4">
              <w:rPr>
                <w:sz w:val="26"/>
                <w:szCs w:val="26"/>
              </w:rPr>
              <w:t>, tai skaitā ņemot vērā ierobežotos finanšu resursus otrajai kārtai, ir izstrādāts jauns noteikumu projekts, kas nosaka aktivitātes otrās atlases kārtas īstenošanas kārtību.</w:t>
            </w:r>
          </w:p>
        </w:tc>
      </w:tr>
      <w:tr w:rsidR="007A6DB9" w:rsidRPr="000E6CA4" w:rsidTr="003119E2">
        <w:tc>
          <w:tcPr>
            <w:tcW w:w="259" w:type="pct"/>
            <w:tcBorders>
              <w:top w:val="outset" w:sz="6" w:space="0" w:color="000000"/>
              <w:left w:val="outset" w:sz="6" w:space="0" w:color="000000"/>
              <w:bottom w:val="outset" w:sz="6" w:space="0" w:color="000000"/>
              <w:right w:val="outset" w:sz="6" w:space="0" w:color="000000"/>
            </w:tcBorders>
            <w:hideMark/>
          </w:tcPr>
          <w:p w:rsidR="007A6DB9" w:rsidRPr="000E6CA4" w:rsidRDefault="007A6DB9" w:rsidP="007F59CE">
            <w:pPr>
              <w:spacing w:before="6" w:after="6"/>
              <w:ind w:left="113" w:right="113"/>
              <w:rPr>
                <w:sz w:val="26"/>
                <w:szCs w:val="26"/>
              </w:rPr>
            </w:pPr>
            <w:r w:rsidRPr="000E6CA4">
              <w:rPr>
                <w:sz w:val="26"/>
                <w:szCs w:val="26"/>
              </w:rPr>
              <w:lastRenderedPageBreak/>
              <w:t>3.</w:t>
            </w:r>
          </w:p>
        </w:tc>
        <w:tc>
          <w:tcPr>
            <w:tcW w:w="1169" w:type="pct"/>
            <w:tcBorders>
              <w:top w:val="outset" w:sz="6" w:space="0" w:color="000000"/>
              <w:left w:val="outset" w:sz="6" w:space="0" w:color="000000"/>
              <w:bottom w:val="outset" w:sz="6" w:space="0" w:color="000000"/>
              <w:right w:val="outset" w:sz="6" w:space="0" w:color="000000"/>
            </w:tcBorders>
            <w:hideMark/>
          </w:tcPr>
          <w:p w:rsidR="007A6DB9" w:rsidRPr="000E6CA4" w:rsidRDefault="007A6DB9" w:rsidP="007F59CE">
            <w:pPr>
              <w:spacing w:before="6" w:after="6"/>
              <w:ind w:left="113" w:right="113"/>
              <w:rPr>
                <w:sz w:val="26"/>
                <w:szCs w:val="26"/>
              </w:rPr>
            </w:pPr>
            <w:r w:rsidRPr="000E6CA4">
              <w:rPr>
                <w:sz w:val="26"/>
                <w:szCs w:val="26"/>
              </w:rPr>
              <w:t>Saistītie politikas ietekmes novērtējumi un pētījumi</w:t>
            </w:r>
          </w:p>
        </w:tc>
        <w:tc>
          <w:tcPr>
            <w:tcW w:w="3572" w:type="pct"/>
            <w:tcBorders>
              <w:top w:val="outset" w:sz="6" w:space="0" w:color="000000"/>
              <w:left w:val="outset" w:sz="6" w:space="0" w:color="000000"/>
              <w:bottom w:val="outset" w:sz="6" w:space="0" w:color="000000"/>
              <w:right w:val="outset" w:sz="6" w:space="0" w:color="000000"/>
            </w:tcBorders>
            <w:hideMark/>
          </w:tcPr>
          <w:p w:rsidR="007A6DB9" w:rsidRPr="000E6CA4" w:rsidRDefault="00E2280B" w:rsidP="008660A6">
            <w:pPr>
              <w:spacing w:before="6" w:after="6"/>
              <w:ind w:left="113" w:right="113"/>
              <w:rPr>
                <w:sz w:val="26"/>
                <w:szCs w:val="26"/>
              </w:rPr>
            </w:pPr>
            <w:r w:rsidRPr="000E6CA4">
              <w:rPr>
                <w:sz w:val="26"/>
                <w:szCs w:val="26"/>
              </w:rPr>
              <w:t>Noteikumu projekts šo jomu neskar</w:t>
            </w:r>
          </w:p>
        </w:tc>
      </w:tr>
      <w:tr w:rsidR="007A6DB9" w:rsidRPr="000E6CA4" w:rsidTr="003119E2">
        <w:tc>
          <w:tcPr>
            <w:tcW w:w="259" w:type="pct"/>
            <w:tcBorders>
              <w:top w:val="outset" w:sz="6" w:space="0" w:color="000000"/>
              <w:left w:val="outset" w:sz="6" w:space="0" w:color="000000"/>
              <w:bottom w:val="outset" w:sz="6" w:space="0" w:color="000000"/>
              <w:right w:val="outset" w:sz="6" w:space="0" w:color="000000"/>
            </w:tcBorders>
            <w:hideMark/>
          </w:tcPr>
          <w:p w:rsidR="007A6DB9" w:rsidRPr="000E6CA4" w:rsidRDefault="007A6DB9" w:rsidP="007F59CE">
            <w:pPr>
              <w:spacing w:before="6" w:after="6"/>
              <w:ind w:left="113" w:right="113"/>
              <w:rPr>
                <w:sz w:val="26"/>
                <w:szCs w:val="26"/>
              </w:rPr>
            </w:pPr>
            <w:r w:rsidRPr="000E6CA4">
              <w:rPr>
                <w:sz w:val="26"/>
                <w:szCs w:val="26"/>
              </w:rPr>
              <w:t>4.</w:t>
            </w:r>
          </w:p>
        </w:tc>
        <w:tc>
          <w:tcPr>
            <w:tcW w:w="1169" w:type="pct"/>
            <w:tcBorders>
              <w:top w:val="outset" w:sz="6" w:space="0" w:color="000000"/>
              <w:left w:val="outset" w:sz="6" w:space="0" w:color="000000"/>
              <w:bottom w:val="outset" w:sz="6" w:space="0" w:color="000000"/>
              <w:right w:val="outset" w:sz="6" w:space="0" w:color="000000"/>
            </w:tcBorders>
            <w:hideMark/>
          </w:tcPr>
          <w:p w:rsidR="007A6DB9" w:rsidRPr="000E6CA4" w:rsidRDefault="007A6DB9" w:rsidP="007F59CE">
            <w:pPr>
              <w:spacing w:before="6" w:after="6"/>
              <w:ind w:left="113" w:right="113"/>
              <w:rPr>
                <w:sz w:val="26"/>
                <w:szCs w:val="26"/>
              </w:rPr>
            </w:pPr>
            <w:r w:rsidRPr="000E6CA4">
              <w:rPr>
                <w:sz w:val="26"/>
                <w:szCs w:val="26"/>
              </w:rPr>
              <w:t xml:space="preserve">Tiesiskā </w:t>
            </w:r>
            <w:r w:rsidRPr="000E6CA4">
              <w:rPr>
                <w:sz w:val="26"/>
                <w:szCs w:val="26"/>
              </w:rPr>
              <w:lastRenderedPageBreak/>
              <w:t>regulējuma mērķis un būtība</w:t>
            </w:r>
          </w:p>
        </w:tc>
        <w:tc>
          <w:tcPr>
            <w:tcW w:w="3572" w:type="pct"/>
            <w:tcBorders>
              <w:top w:val="outset" w:sz="6" w:space="0" w:color="000000"/>
              <w:left w:val="outset" w:sz="6" w:space="0" w:color="000000"/>
              <w:bottom w:val="outset" w:sz="6" w:space="0" w:color="000000"/>
              <w:right w:val="outset" w:sz="6" w:space="0" w:color="000000"/>
            </w:tcBorders>
            <w:hideMark/>
          </w:tcPr>
          <w:p w:rsidR="00E301D2" w:rsidRPr="000E6CA4" w:rsidRDefault="00E301D2" w:rsidP="007F59CE">
            <w:pPr>
              <w:pStyle w:val="EE-paragrCharChar"/>
              <w:spacing w:before="6" w:after="6"/>
              <w:ind w:left="113" w:right="113" w:firstLine="0"/>
              <w:rPr>
                <w:bCs w:val="0"/>
                <w:sz w:val="26"/>
                <w:szCs w:val="26"/>
                <w:lang w:eastAsia="en-US"/>
              </w:rPr>
            </w:pPr>
            <w:r w:rsidRPr="000E6CA4">
              <w:rPr>
                <w:bCs w:val="0"/>
                <w:sz w:val="26"/>
                <w:szCs w:val="26"/>
                <w:lang w:eastAsia="en-US"/>
              </w:rPr>
              <w:lastRenderedPageBreak/>
              <w:t xml:space="preserve">Noteikumu projekts nosaka kārtību, kādā īsteno </w:t>
            </w:r>
            <w:r w:rsidRPr="000E6CA4">
              <w:rPr>
                <w:sz w:val="26"/>
                <w:szCs w:val="26"/>
              </w:rPr>
              <w:lastRenderedPageBreak/>
              <w:t>1.1.1.2.aktivitāte</w:t>
            </w:r>
            <w:r w:rsidRPr="000E6CA4">
              <w:rPr>
                <w:bCs w:val="0"/>
                <w:sz w:val="26"/>
                <w:szCs w:val="26"/>
                <w:lang w:eastAsia="en-US"/>
              </w:rPr>
              <w:t xml:space="preserve">s otro projektu iesniegumu atlases kārtu, prasības projekta iesnieguma iesniedzējam un sadarbības partnerim, projekta iesnieguma vērtēšanas kritērijus, atbildīgo iestādi un sadarbības iestādi, kompetences sadalījumu starp šīm iestādēm un sadarbības kārtību, kā arī atbildīgās iestādes un sadarbības iestādes funkcionālās padotības formu. </w:t>
            </w:r>
          </w:p>
          <w:p w:rsidR="00E301D2" w:rsidRPr="000E6CA4" w:rsidRDefault="00E301D2" w:rsidP="007F59CE">
            <w:pPr>
              <w:pStyle w:val="EE-paragrCharChar"/>
              <w:spacing w:before="6" w:after="6"/>
              <w:ind w:left="113" w:right="113" w:firstLine="0"/>
              <w:rPr>
                <w:sz w:val="26"/>
                <w:szCs w:val="26"/>
              </w:rPr>
            </w:pPr>
            <w:r w:rsidRPr="000E6CA4">
              <w:rPr>
                <w:bCs w:val="0"/>
                <w:sz w:val="26"/>
                <w:szCs w:val="26"/>
                <w:lang w:eastAsia="en-US"/>
              </w:rPr>
              <w:t xml:space="preserve">Noteikumu projektā regulētās </w:t>
            </w:r>
            <w:r w:rsidRPr="000E6CA4">
              <w:rPr>
                <w:sz w:val="26"/>
                <w:szCs w:val="26"/>
              </w:rPr>
              <w:t>1.1.1.2.aktivitāte</w:t>
            </w:r>
            <w:r w:rsidRPr="000E6CA4">
              <w:rPr>
                <w:bCs w:val="0"/>
                <w:sz w:val="26"/>
                <w:szCs w:val="26"/>
                <w:lang w:eastAsia="en-US"/>
              </w:rPr>
              <w:t>s otrās projektu iesniegumu atlases kārtas mērķis</w:t>
            </w:r>
            <w:r w:rsidRPr="000E6CA4" w:rsidDel="0003357E">
              <w:rPr>
                <w:bCs w:val="0"/>
                <w:sz w:val="26"/>
                <w:szCs w:val="26"/>
                <w:lang w:eastAsia="en-US"/>
              </w:rPr>
              <w:t xml:space="preserve"> </w:t>
            </w:r>
            <w:r w:rsidRPr="000E6CA4">
              <w:rPr>
                <w:bCs w:val="0"/>
                <w:sz w:val="26"/>
                <w:szCs w:val="26"/>
                <w:lang w:eastAsia="en-US"/>
              </w:rPr>
              <w:t xml:space="preserve">ir </w:t>
            </w:r>
            <w:r w:rsidRPr="000E6CA4">
              <w:rPr>
                <w:sz w:val="26"/>
                <w:szCs w:val="26"/>
              </w:rPr>
              <w:t>veicināt papildu cilvēkresursu piesaisti zinātnei, veidojot jaunas zinātniskās grupas, kuras zinātniskajam un pētnieciskajam darbam piesaista jaunos zinātniekus, ārvalstu zinātniekus un zinātniekus, kuri atgriežas darbā Latvijā.</w:t>
            </w:r>
          </w:p>
          <w:p w:rsidR="00D4195D" w:rsidRPr="000E6CA4" w:rsidRDefault="00236F54" w:rsidP="007F59CE">
            <w:pPr>
              <w:autoSpaceDE w:val="0"/>
              <w:autoSpaceDN w:val="0"/>
              <w:adjustRightInd w:val="0"/>
              <w:spacing w:before="6" w:after="6"/>
              <w:ind w:left="113" w:right="113"/>
              <w:jc w:val="both"/>
              <w:rPr>
                <w:sz w:val="26"/>
                <w:szCs w:val="26"/>
              </w:rPr>
            </w:pPr>
            <w:r w:rsidRPr="000E6CA4">
              <w:rPr>
                <w:sz w:val="26"/>
                <w:szCs w:val="26"/>
              </w:rPr>
              <w:t>1.1.1.2.aktivitāte</w:t>
            </w:r>
            <w:r w:rsidRPr="000E6CA4">
              <w:rPr>
                <w:bCs/>
                <w:sz w:val="26"/>
                <w:szCs w:val="26"/>
                <w:lang w:eastAsia="en-US"/>
              </w:rPr>
              <w:t xml:space="preserve">s otrās projektu iesniegumu atlases kārtas </w:t>
            </w:r>
            <w:r w:rsidR="00E301D2" w:rsidRPr="000E6CA4">
              <w:rPr>
                <w:sz w:val="26"/>
                <w:szCs w:val="26"/>
              </w:rPr>
              <w:t>mērķi sasniedz, īstenojot noteikumu</w:t>
            </w:r>
            <w:r w:rsidRPr="000E6CA4">
              <w:rPr>
                <w:sz w:val="26"/>
                <w:szCs w:val="26"/>
              </w:rPr>
              <w:t xml:space="preserve"> projekta</w:t>
            </w:r>
            <w:r w:rsidR="00E301D2" w:rsidRPr="000E6CA4">
              <w:rPr>
                <w:sz w:val="26"/>
                <w:szCs w:val="26"/>
              </w:rPr>
              <w:t xml:space="preserve"> </w:t>
            </w:r>
            <w:r w:rsidR="00DF7FAD" w:rsidRPr="000E6CA4">
              <w:rPr>
                <w:sz w:val="26"/>
                <w:szCs w:val="26"/>
              </w:rPr>
              <w:t>12.p</w:t>
            </w:r>
            <w:r w:rsidR="00E301D2" w:rsidRPr="000E6CA4">
              <w:rPr>
                <w:sz w:val="26"/>
                <w:szCs w:val="26"/>
              </w:rPr>
              <w:t xml:space="preserve">unktā minētās darbības un veicinot šāda iznākuma rādītāja sasniegšanu – aktivitātes ietvaros papildus zinātnei piesaistīti un atbalstīti 1000 zinātniskie darbinieki pilna laika ekvivalenta izteiksmē (turpmāk – PLE izteiksmē). </w:t>
            </w:r>
            <w:bookmarkStart w:id="6" w:name="_Ref322341852"/>
          </w:p>
          <w:p w:rsidR="00236F54" w:rsidRPr="000E6CA4" w:rsidRDefault="00236F54" w:rsidP="007F59CE">
            <w:pPr>
              <w:autoSpaceDE w:val="0"/>
              <w:autoSpaceDN w:val="0"/>
              <w:adjustRightInd w:val="0"/>
              <w:spacing w:before="6" w:after="6"/>
              <w:ind w:left="113" w:right="113"/>
              <w:jc w:val="both"/>
              <w:rPr>
                <w:sz w:val="26"/>
                <w:szCs w:val="26"/>
              </w:rPr>
            </w:pPr>
            <w:r w:rsidRPr="000E6CA4">
              <w:rPr>
                <w:sz w:val="26"/>
                <w:szCs w:val="26"/>
              </w:rPr>
              <w:t>Projekta iesniedzējs var būt valsts zinātniskā institūcija – valsts zinātniskais institūts (atvasināta publiska persona), valsts augstskola vai valsts augstskolas zinātniskais institūts (publiska aģentūra).</w:t>
            </w:r>
            <w:bookmarkEnd w:id="6"/>
          </w:p>
          <w:p w:rsidR="00923A03" w:rsidRPr="000E6CA4" w:rsidRDefault="00F10230" w:rsidP="00846ACC">
            <w:pPr>
              <w:pStyle w:val="EE-paragrCharChar"/>
              <w:spacing w:before="6" w:after="6"/>
              <w:ind w:left="113" w:right="113" w:firstLine="0"/>
              <w:rPr>
                <w:bCs w:val="0"/>
                <w:sz w:val="26"/>
                <w:szCs w:val="26"/>
              </w:rPr>
            </w:pPr>
            <w:r w:rsidRPr="000E6CA4">
              <w:rPr>
                <w:bCs w:val="0"/>
                <w:sz w:val="26"/>
                <w:szCs w:val="26"/>
              </w:rPr>
              <w:t>1.1.1.2.aktivitātes otrās projektu iesniegumu atlases kārta</w:t>
            </w:r>
            <w:r w:rsidR="00846ACC" w:rsidRPr="000E6CA4">
              <w:rPr>
                <w:bCs w:val="0"/>
                <w:sz w:val="26"/>
                <w:szCs w:val="26"/>
              </w:rPr>
              <w:t>i</w:t>
            </w:r>
            <w:r w:rsidRPr="000E6CA4">
              <w:rPr>
                <w:bCs w:val="0"/>
                <w:sz w:val="26"/>
                <w:szCs w:val="26"/>
              </w:rPr>
              <w:t xml:space="preserve"> </w:t>
            </w:r>
            <w:r w:rsidR="00873932" w:rsidRPr="000E6CA4">
              <w:rPr>
                <w:bCs w:val="0"/>
                <w:sz w:val="26"/>
                <w:szCs w:val="26"/>
              </w:rPr>
              <w:t>pieejamais finansējums ir 5 342 845 lati un pieejamais saistību apjoms, kas pārsniedz pieejamo kopējo attiecināmo finansējumu, ir 4 463 146 lati</w:t>
            </w:r>
            <w:r w:rsidR="00846ACC" w:rsidRPr="000E6CA4">
              <w:rPr>
                <w:bCs w:val="0"/>
                <w:sz w:val="26"/>
                <w:szCs w:val="26"/>
              </w:rPr>
              <w:t>.</w:t>
            </w:r>
          </w:p>
          <w:p w:rsidR="003D7760" w:rsidRPr="000E6CA4" w:rsidRDefault="005D36E5" w:rsidP="005D3465">
            <w:pPr>
              <w:spacing w:before="2" w:after="2"/>
              <w:ind w:left="57" w:right="57"/>
              <w:jc w:val="both"/>
              <w:rPr>
                <w:bCs/>
                <w:sz w:val="26"/>
                <w:szCs w:val="26"/>
                <w:lang w:eastAsia="en-US"/>
              </w:rPr>
            </w:pPr>
            <w:r w:rsidRPr="000E6CA4">
              <w:rPr>
                <w:bCs/>
                <w:sz w:val="26"/>
                <w:szCs w:val="26"/>
              </w:rPr>
              <w:t xml:space="preserve">Atbilstoši </w:t>
            </w:r>
            <w:r w:rsidRPr="000E6CA4">
              <w:rPr>
                <w:sz w:val="26"/>
                <w:szCs w:val="26"/>
              </w:rPr>
              <w:t xml:space="preserve">Ministru kabineta 2012.gada 8.maija sēdes </w:t>
            </w:r>
            <w:proofErr w:type="spellStart"/>
            <w:r w:rsidRPr="000E6CA4">
              <w:rPr>
                <w:sz w:val="26"/>
                <w:szCs w:val="26"/>
              </w:rPr>
              <w:t>protokollēmum</w:t>
            </w:r>
            <w:r w:rsidR="005D3465" w:rsidRPr="000E6CA4">
              <w:rPr>
                <w:sz w:val="26"/>
                <w:szCs w:val="26"/>
              </w:rPr>
              <w:t>am</w:t>
            </w:r>
            <w:proofErr w:type="spellEnd"/>
            <w:r w:rsidRPr="000E6CA4">
              <w:rPr>
                <w:sz w:val="26"/>
                <w:szCs w:val="26"/>
              </w:rPr>
              <w:t xml:space="preserve"> (prot. Nr.25 26.§) </w:t>
            </w:r>
            <w:r w:rsidR="005D3465" w:rsidRPr="000E6CA4">
              <w:rPr>
                <w:sz w:val="26"/>
                <w:szCs w:val="26"/>
              </w:rPr>
              <w:t>noteikumu projektā iekļauta norma, kas nosaka, ka: f</w:t>
            </w:r>
            <w:r w:rsidRPr="000E6CA4">
              <w:rPr>
                <w:bCs/>
                <w:sz w:val="26"/>
                <w:szCs w:val="26"/>
              </w:rPr>
              <w:t>inansējuma saņēmējs atbalstāmo darbību īstenošanu un iepirkumu veikšanu uzsāk ne vēlāk kā pirmajā ceturksnī pēc līguma vai vienošanās noslēgšanas, maksājumu veikšanu atbalstāmo darbību un attiecināmo izdevumu ietvaros uzsāk pirmajā pusgadā pēc līguma vai vienošanās noslēgšanas.</w:t>
            </w:r>
          </w:p>
        </w:tc>
      </w:tr>
      <w:tr w:rsidR="007A6DB9" w:rsidRPr="000E6CA4" w:rsidTr="003119E2">
        <w:tc>
          <w:tcPr>
            <w:tcW w:w="259" w:type="pct"/>
            <w:tcBorders>
              <w:top w:val="outset" w:sz="6" w:space="0" w:color="000000"/>
              <w:left w:val="outset" w:sz="6" w:space="0" w:color="000000"/>
              <w:bottom w:val="outset" w:sz="6" w:space="0" w:color="000000"/>
              <w:right w:val="outset" w:sz="6" w:space="0" w:color="000000"/>
            </w:tcBorders>
            <w:hideMark/>
          </w:tcPr>
          <w:p w:rsidR="007A6DB9" w:rsidRPr="000E6CA4" w:rsidRDefault="007A6DB9" w:rsidP="007F59CE">
            <w:pPr>
              <w:spacing w:before="6" w:after="6"/>
              <w:ind w:left="113" w:right="113"/>
              <w:rPr>
                <w:sz w:val="26"/>
                <w:szCs w:val="26"/>
              </w:rPr>
            </w:pPr>
            <w:r w:rsidRPr="000E6CA4">
              <w:rPr>
                <w:sz w:val="26"/>
                <w:szCs w:val="26"/>
              </w:rPr>
              <w:lastRenderedPageBreak/>
              <w:t>5.</w:t>
            </w:r>
          </w:p>
        </w:tc>
        <w:tc>
          <w:tcPr>
            <w:tcW w:w="1169" w:type="pct"/>
            <w:tcBorders>
              <w:top w:val="outset" w:sz="6" w:space="0" w:color="000000"/>
              <w:left w:val="outset" w:sz="6" w:space="0" w:color="000000"/>
              <w:bottom w:val="outset" w:sz="6" w:space="0" w:color="000000"/>
              <w:right w:val="outset" w:sz="6" w:space="0" w:color="000000"/>
            </w:tcBorders>
            <w:hideMark/>
          </w:tcPr>
          <w:p w:rsidR="007A6DB9" w:rsidRPr="000E6CA4" w:rsidRDefault="007A6DB9" w:rsidP="007F59CE">
            <w:pPr>
              <w:spacing w:before="6" w:after="6"/>
              <w:ind w:left="113" w:right="113"/>
              <w:rPr>
                <w:sz w:val="26"/>
                <w:szCs w:val="26"/>
              </w:rPr>
            </w:pPr>
            <w:r w:rsidRPr="000E6CA4">
              <w:rPr>
                <w:sz w:val="26"/>
                <w:szCs w:val="26"/>
              </w:rPr>
              <w:t>Projekta izstrādē iesaistītās institūcijas</w:t>
            </w:r>
          </w:p>
        </w:tc>
        <w:tc>
          <w:tcPr>
            <w:tcW w:w="3572" w:type="pct"/>
            <w:tcBorders>
              <w:top w:val="outset" w:sz="6" w:space="0" w:color="000000"/>
              <w:left w:val="outset" w:sz="6" w:space="0" w:color="000000"/>
              <w:bottom w:val="outset" w:sz="6" w:space="0" w:color="000000"/>
              <w:right w:val="outset" w:sz="6" w:space="0" w:color="000000"/>
            </w:tcBorders>
            <w:hideMark/>
          </w:tcPr>
          <w:p w:rsidR="007A6DB9" w:rsidRPr="000E6CA4" w:rsidRDefault="007338B0" w:rsidP="00B00E1D">
            <w:pPr>
              <w:autoSpaceDE w:val="0"/>
              <w:autoSpaceDN w:val="0"/>
              <w:adjustRightInd w:val="0"/>
              <w:spacing w:before="6" w:after="6"/>
              <w:ind w:left="113" w:right="113"/>
              <w:jc w:val="both"/>
              <w:rPr>
                <w:sz w:val="26"/>
                <w:szCs w:val="26"/>
              </w:rPr>
            </w:pPr>
            <w:r w:rsidRPr="000E6CA4">
              <w:rPr>
                <w:sz w:val="26"/>
                <w:szCs w:val="26"/>
              </w:rPr>
              <w:t>Izglītības un zinātnes ministrija</w:t>
            </w:r>
            <w:r w:rsidR="00DF7FAD" w:rsidRPr="000E6CA4">
              <w:rPr>
                <w:sz w:val="26"/>
                <w:szCs w:val="26"/>
              </w:rPr>
              <w:t xml:space="preserve">, Latvijas Zinātnes padome, </w:t>
            </w:r>
            <w:r w:rsidR="00B00E1D" w:rsidRPr="000E6CA4">
              <w:rPr>
                <w:sz w:val="26"/>
                <w:szCs w:val="26"/>
              </w:rPr>
              <w:t>Valsts zinātnisko institūtu asociācija</w:t>
            </w:r>
            <w:r w:rsidR="00DF7FAD" w:rsidRPr="000E6CA4">
              <w:rPr>
                <w:sz w:val="26"/>
                <w:szCs w:val="26"/>
              </w:rPr>
              <w:t>, Latvijas Jauno zinātnieku apvienība</w:t>
            </w:r>
            <w:r w:rsidR="008660A6" w:rsidRPr="000E6CA4">
              <w:rPr>
                <w:sz w:val="26"/>
                <w:szCs w:val="26"/>
              </w:rPr>
              <w:t xml:space="preserve">. </w:t>
            </w:r>
          </w:p>
        </w:tc>
      </w:tr>
      <w:tr w:rsidR="007A6DB9" w:rsidRPr="000E6CA4" w:rsidTr="003119E2">
        <w:tc>
          <w:tcPr>
            <w:tcW w:w="259" w:type="pct"/>
            <w:tcBorders>
              <w:top w:val="outset" w:sz="6" w:space="0" w:color="000000"/>
              <w:left w:val="outset" w:sz="6" w:space="0" w:color="000000"/>
              <w:bottom w:val="outset" w:sz="6" w:space="0" w:color="000000"/>
              <w:right w:val="outset" w:sz="6" w:space="0" w:color="000000"/>
            </w:tcBorders>
            <w:hideMark/>
          </w:tcPr>
          <w:p w:rsidR="007A6DB9" w:rsidRPr="000E6CA4" w:rsidRDefault="007A6DB9" w:rsidP="007F59CE">
            <w:pPr>
              <w:spacing w:before="6" w:after="6"/>
              <w:ind w:left="113" w:right="113"/>
              <w:rPr>
                <w:sz w:val="26"/>
                <w:szCs w:val="26"/>
              </w:rPr>
            </w:pPr>
            <w:r w:rsidRPr="000E6CA4">
              <w:rPr>
                <w:sz w:val="26"/>
                <w:szCs w:val="26"/>
              </w:rPr>
              <w:t>6.</w:t>
            </w:r>
          </w:p>
        </w:tc>
        <w:tc>
          <w:tcPr>
            <w:tcW w:w="1169" w:type="pct"/>
            <w:tcBorders>
              <w:top w:val="outset" w:sz="6" w:space="0" w:color="000000"/>
              <w:left w:val="outset" w:sz="6" w:space="0" w:color="000000"/>
              <w:bottom w:val="outset" w:sz="6" w:space="0" w:color="000000"/>
              <w:right w:val="outset" w:sz="6" w:space="0" w:color="000000"/>
            </w:tcBorders>
            <w:hideMark/>
          </w:tcPr>
          <w:p w:rsidR="007A6DB9" w:rsidRPr="000E6CA4" w:rsidRDefault="007A6DB9" w:rsidP="007F59CE">
            <w:pPr>
              <w:spacing w:before="6" w:after="6"/>
              <w:ind w:left="113" w:right="113"/>
              <w:rPr>
                <w:sz w:val="26"/>
                <w:szCs w:val="26"/>
              </w:rPr>
            </w:pPr>
            <w:r w:rsidRPr="000E6CA4">
              <w:rPr>
                <w:sz w:val="26"/>
                <w:szCs w:val="26"/>
              </w:rPr>
              <w:t>Iemesli, kādēļ netika nodrošināta sabiedrības līdzdalība</w:t>
            </w:r>
          </w:p>
        </w:tc>
        <w:tc>
          <w:tcPr>
            <w:tcW w:w="3572" w:type="pct"/>
            <w:tcBorders>
              <w:top w:val="outset" w:sz="6" w:space="0" w:color="000000"/>
              <w:left w:val="outset" w:sz="6" w:space="0" w:color="000000"/>
              <w:bottom w:val="outset" w:sz="6" w:space="0" w:color="000000"/>
              <w:right w:val="outset" w:sz="6" w:space="0" w:color="000000"/>
            </w:tcBorders>
            <w:hideMark/>
          </w:tcPr>
          <w:p w:rsidR="00FE35D4" w:rsidRPr="000E6CA4" w:rsidRDefault="00C01DAE" w:rsidP="007F59CE">
            <w:pPr>
              <w:spacing w:before="6" w:after="6"/>
              <w:ind w:left="113" w:right="113"/>
              <w:rPr>
                <w:sz w:val="26"/>
                <w:szCs w:val="26"/>
              </w:rPr>
            </w:pPr>
            <w:r w:rsidRPr="000E6CA4">
              <w:rPr>
                <w:sz w:val="26"/>
                <w:szCs w:val="26"/>
              </w:rPr>
              <w:t>Noteikumu projekts neierobežo sabiedrības pārstāvju tiesības.</w:t>
            </w:r>
          </w:p>
        </w:tc>
      </w:tr>
      <w:tr w:rsidR="007A6DB9" w:rsidRPr="000E6CA4" w:rsidTr="003119E2">
        <w:tc>
          <w:tcPr>
            <w:tcW w:w="259" w:type="pct"/>
            <w:tcBorders>
              <w:top w:val="outset" w:sz="6" w:space="0" w:color="000000"/>
              <w:left w:val="outset" w:sz="6" w:space="0" w:color="000000"/>
              <w:bottom w:val="outset" w:sz="6" w:space="0" w:color="000000"/>
              <w:right w:val="outset" w:sz="6" w:space="0" w:color="000000"/>
            </w:tcBorders>
            <w:hideMark/>
          </w:tcPr>
          <w:p w:rsidR="007A6DB9" w:rsidRPr="000E6CA4" w:rsidRDefault="007A6DB9" w:rsidP="007F59CE">
            <w:pPr>
              <w:spacing w:before="6" w:after="6"/>
              <w:ind w:left="113" w:right="113"/>
              <w:rPr>
                <w:sz w:val="26"/>
                <w:szCs w:val="26"/>
              </w:rPr>
            </w:pPr>
            <w:r w:rsidRPr="000E6CA4">
              <w:rPr>
                <w:sz w:val="26"/>
                <w:szCs w:val="26"/>
              </w:rPr>
              <w:t>7.</w:t>
            </w:r>
          </w:p>
        </w:tc>
        <w:tc>
          <w:tcPr>
            <w:tcW w:w="1169" w:type="pct"/>
            <w:tcBorders>
              <w:top w:val="outset" w:sz="6" w:space="0" w:color="000000"/>
              <w:left w:val="outset" w:sz="6" w:space="0" w:color="000000"/>
              <w:bottom w:val="outset" w:sz="6" w:space="0" w:color="000000"/>
              <w:right w:val="outset" w:sz="6" w:space="0" w:color="000000"/>
            </w:tcBorders>
            <w:hideMark/>
          </w:tcPr>
          <w:p w:rsidR="007A6DB9" w:rsidRPr="000E6CA4" w:rsidRDefault="007A6DB9" w:rsidP="007F59CE">
            <w:pPr>
              <w:spacing w:before="6" w:after="6"/>
              <w:ind w:left="113" w:right="113"/>
              <w:rPr>
                <w:sz w:val="26"/>
                <w:szCs w:val="26"/>
              </w:rPr>
            </w:pPr>
            <w:r w:rsidRPr="000E6CA4">
              <w:rPr>
                <w:sz w:val="26"/>
                <w:szCs w:val="26"/>
              </w:rPr>
              <w:t>Cita informācija</w:t>
            </w:r>
          </w:p>
        </w:tc>
        <w:tc>
          <w:tcPr>
            <w:tcW w:w="3572" w:type="pct"/>
            <w:tcBorders>
              <w:top w:val="outset" w:sz="6" w:space="0" w:color="000000"/>
              <w:left w:val="outset" w:sz="6" w:space="0" w:color="000000"/>
              <w:bottom w:val="outset" w:sz="6" w:space="0" w:color="000000"/>
              <w:right w:val="outset" w:sz="6" w:space="0" w:color="000000"/>
            </w:tcBorders>
            <w:hideMark/>
          </w:tcPr>
          <w:p w:rsidR="00984C49" w:rsidRPr="000E6CA4" w:rsidRDefault="0095660D">
            <w:pPr>
              <w:autoSpaceDE w:val="0"/>
              <w:autoSpaceDN w:val="0"/>
              <w:adjustRightInd w:val="0"/>
              <w:spacing w:before="6" w:after="6"/>
              <w:ind w:left="113" w:right="113"/>
              <w:jc w:val="both"/>
              <w:rPr>
                <w:sz w:val="26"/>
                <w:szCs w:val="26"/>
              </w:rPr>
            </w:pPr>
            <w:r w:rsidRPr="000E6CA4">
              <w:rPr>
                <w:sz w:val="26"/>
                <w:szCs w:val="26"/>
              </w:rPr>
              <w:t>A</w:t>
            </w:r>
            <w:r w:rsidR="00A1017E" w:rsidRPr="000E6CA4">
              <w:rPr>
                <w:sz w:val="26"/>
                <w:szCs w:val="26"/>
              </w:rPr>
              <w:t xml:space="preserve">tbildīgā iestāde un sadarbības iestāde savas kompetences ietvaros nodrošinās ar projekta īstenošanu saistītās </w:t>
            </w:r>
            <w:r w:rsidR="00A1017E" w:rsidRPr="000E6CA4">
              <w:rPr>
                <w:sz w:val="26"/>
                <w:szCs w:val="26"/>
              </w:rPr>
              <w:lastRenderedPageBreak/>
              <w:t xml:space="preserve">pamatinformācijas ievietošanu vienotajā pētījumu un publikāciju datubāzē mēneša laikā pēc tam, kad </w:t>
            </w:r>
            <w:r w:rsidR="00F965DA" w:rsidRPr="000E6CA4">
              <w:rPr>
                <w:sz w:val="26"/>
                <w:szCs w:val="26"/>
              </w:rPr>
              <w:t>2</w:t>
            </w:r>
            <w:r w:rsidR="003717A7" w:rsidRPr="000E6CA4">
              <w:rPr>
                <w:sz w:val="26"/>
                <w:szCs w:val="26"/>
              </w:rPr>
              <w:t>.1.1.3.2.apakšaktivitātes „</w:t>
            </w:r>
            <w:r w:rsidRPr="000E6CA4">
              <w:rPr>
                <w:sz w:val="26"/>
                <w:szCs w:val="26"/>
              </w:rPr>
              <w:t xml:space="preserve">Informācijas tehnoloģiju infrastruktūras un informācijas sistēmu uzlabošana zinātniskajai </w:t>
            </w:r>
            <w:r w:rsidR="003717A7" w:rsidRPr="000E6CA4">
              <w:rPr>
                <w:sz w:val="26"/>
                <w:szCs w:val="26"/>
              </w:rPr>
              <w:t>darbībai”</w:t>
            </w:r>
            <w:r w:rsidR="00A1017E" w:rsidRPr="000E6CA4">
              <w:rPr>
                <w:sz w:val="26"/>
                <w:szCs w:val="26"/>
              </w:rPr>
              <w:t xml:space="preserve"> ietvaros </w:t>
            </w:r>
            <w:r w:rsidR="00F965DA" w:rsidRPr="000E6CA4">
              <w:rPr>
                <w:sz w:val="26"/>
                <w:szCs w:val="26"/>
              </w:rPr>
              <w:t>tiks izveidota minētā datubāze un sadarbības iestāde projekta izmaksas būs atzinusi par attiecināmām.</w:t>
            </w:r>
          </w:p>
        </w:tc>
      </w:tr>
    </w:tbl>
    <w:p w:rsidR="002F3E81" w:rsidRPr="000E6CA4" w:rsidRDefault="007A6DB9" w:rsidP="0014630D">
      <w:pPr>
        <w:rPr>
          <w:sz w:val="26"/>
          <w:szCs w:val="26"/>
        </w:rPr>
      </w:pPr>
      <w:r w:rsidRPr="000E6CA4">
        <w:rPr>
          <w:sz w:val="26"/>
          <w:szCs w:val="26"/>
        </w:rPr>
        <w:lastRenderedPageBreak/>
        <w:t> </w:t>
      </w: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437"/>
        <w:gridCol w:w="2591"/>
        <w:gridCol w:w="6103"/>
      </w:tblGrid>
      <w:tr w:rsidR="002F3E81" w:rsidRPr="000E6CA4" w:rsidTr="003119E2">
        <w:tc>
          <w:tcPr>
            <w:tcW w:w="5000" w:type="pct"/>
            <w:gridSpan w:val="3"/>
            <w:tcBorders>
              <w:top w:val="single" w:sz="6" w:space="0" w:color="auto"/>
              <w:left w:val="single" w:sz="6" w:space="0" w:color="auto"/>
              <w:bottom w:val="outset" w:sz="6" w:space="0" w:color="000000"/>
              <w:right w:val="single" w:sz="6" w:space="0" w:color="auto"/>
            </w:tcBorders>
            <w:vAlign w:val="center"/>
            <w:hideMark/>
          </w:tcPr>
          <w:p w:rsidR="002F3E81" w:rsidRPr="000E6CA4" w:rsidRDefault="002F3E81" w:rsidP="0014630D">
            <w:pPr>
              <w:jc w:val="center"/>
              <w:rPr>
                <w:b/>
                <w:bCs/>
                <w:sz w:val="26"/>
                <w:szCs w:val="26"/>
              </w:rPr>
            </w:pPr>
            <w:r w:rsidRPr="000E6CA4">
              <w:rPr>
                <w:b/>
                <w:bCs/>
                <w:sz w:val="26"/>
                <w:szCs w:val="26"/>
              </w:rPr>
              <w:t>II. Tiesību akta projekta ietekme uz sabiedrību</w:t>
            </w:r>
          </w:p>
        </w:tc>
      </w:tr>
      <w:tr w:rsidR="002F3E81" w:rsidRPr="000E6CA4" w:rsidTr="003119E2">
        <w:tc>
          <w:tcPr>
            <w:tcW w:w="239" w:type="pct"/>
            <w:tcBorders>
              <w:top w:val="outset" w:sz="6" w:space="0" w:color="000000"/>
              <w:left w:val="outset" w:sz="6" w:space="0" w:color="000000"/>
              <w:bottom w:val="outset" w:sz="6" w:space="0" w:color="000000"/>
              <w:right w:val="outset" w:sz="6" w:space="0" w:color="000000"/>
            </w:tcBorders>
            <w:hideMark/>
          </w:tcPr>
          <w:p w:rsidR="002F3E81" w:rsidRPr="000E6CA4" w:rsidRDefault="002F3E81" w:rsidP="0014630D">
            <w:pPr>
              <w:rPr>
                <w:sz w:val="26"/>
                <w:szCs w:val="26"/>
              </w:rPr>
            </w:pPr>
            <w:r w:rsidRPr="000E6CA4">
              <w:rPr>
                <w:sz w:val="26"/>
                <w:szCs w:val="26"/>
              </w:rPr>
              <w:t>1.</w:t>
            </w:r>
          </w:p>
        </w:tc>
        <w:tc>
          <w:tcPr>
            <w:tcW w:w="1419" w:type="pct"/>
            <w:tcBorders>
              <w:top w:val="outset" w:sz="6" w:space="0" w:color="000000"/>
              <w:left w:val="outset" w:sz="6" w:space="0" w:color="000000"/>
              <w:bottom w:val="outset" w:sz="6" w:space="0" w:color="000000"/>
              <w:right w:val="outset" w:sz="6" w:space="0" w:color="000000"/>
            </w:tcBorders>
            <w:hideMark/>
          </w:tcPr>
          <w:p w:rsidR="002F3E81" w:rsidRPr="000E6CA4" w:rsidRDefault="002F3E81" w:rsidP="0014630D">
            <w:pPr>
              <w:rPr>
                <w:sz w:val="26"/>
                <w:szCs w:val="26"/>
              </w:rPr>
            </w:pPr>
            <w:r w:rsidRPr="000E6CA4">
              <w:rPr>
                <w:sz w:val="26"/>
                <w:szCs w:val="26"/>
              </w:rPr>
              <w:t>Sabiedrības mērķgrupa</w:t>
            </w:r>
          </w:p>
        </w:tc>
        <w:tc>
          <w:tcPr>
            <w:tcW w:w="3342" w:type="pct"/>
            <w:tcBorders>
              <w:top w:val="outset" w:sz="6" w:space="0" w:color="000000"/>
              <w:left w:val="outset" w:sz="6" w:space="0" w:color="000000"/>
              <w:bottom w:val="outset" w:sz="6" w:space="0" w:color="000000"/>
              <w:right w:val="outset" w:sz="6" w:space="0" w:color="000000"/>
            </w:tcBorders>
            <w:hideMark/>
          </w:tcPr>
          <w:p w:rsidR="002F3E81" w:rsidRPr="000E6CA4" w:rsidRDefault="00435101" w:rsidP="0014630D">
            <w:pPr>
              <w:pStyle w:val="naisf"/>
              <w:spacing w:before="0" w:after="0"/>
              <w:ind w:firstLine="0"/>
              <w:rPr>
                <w:sz w:val="26"/>
                <w:szCs w:val="26"/>
              </w:rPr>
            </w:pPr>
            <w:r w:rsidRPr="000E6CA4">
              <w:rPr>
                <w:sz w:val="26"/>
                <w:szCs w:val="26"/>
              </w:rPr>
              <w:t>Zinātnisko institūciju reģistrā reģistrētas v</w:t>
            </w:r>
            <w:r w:rsidR="00DF7FAD" w:rsidRPr="000E6CA4">
              <w:rPr>
                <w:sz w:val="26"/>
                <w:szCs w:val="26"/>
              </w:rPr>
              <w:t>alsts zinātniskās institūcijas – valsts zinātniskais institūts (atvasināta publiska persona</w:t>
            </w:r>
            <w:r w:rsidR="00B00E1D" w:rsidRPr="000E6CA4">
              <w:rPr>
                <w:sz w:val="26"/>
                <w:szCs w:val="26"/>
              </w:rPr>
              <w:t>, valsts aģentūra</w:t>
            </w:r>
            <w:r w:rsidR="00DF7FAD" w:rsidRPr="000E6CA4">
              <w:rPr>
                <w:sz w:val="26"/>
                <w:szCs w:val="26"/>
              </w:rPr>
              <w:t>), valsts augstskola vai valsts augstskolas zinātniskais institūts (publiska aģentūra), zinātnē nodarbinātie darbinieki.</w:t>
            </w:r>
          </w:p>
          <w:p w:rsidR="00811564" w:rsidRPr="000E6CA4" w:rsidRDefault="00435101" w:rsidP="00435101">
            <w:pPr>
              <w:autoSpaceDE w:val="0"/>
              <w:autoSpaceDN w:val="0"/>
              <w:adjustRightInd w:val="0"/>
              <w:jc w:val="both"/>
              <w:rPr>
                <w:b/>
                <w:sz w:val="26"/>
                <w:szCs w:val="26"/>
              </w:rPr>
            </w:pPr>
            <w:r w:rsidRPr="000E6CA4">
              <w:rPr>
                <w:sz w:val="26"/>
                <w:szCs w:val="26"/>
              </w:rPr>
              <w:t>M</w:t>
            </w:r>
            <w:r w:rsidR="00811564" w:rsidRPr="000E6CA4">
              <w:rPr>
                <w:sz w:val="26"/>
                <w:szCs w:val="26"/>
              </w:rPr>
              <w:t>inētās mērķgrupas aptuvenais īpatsvars</w:t>
            </w:r>
            <w:r w:rsidRPr="000E6CA4">
              <w:rPr>
                <w:sz w:val="26"/>
                <w:szCs w:val="26"/>
              </w:rPr>
              <w:t xml:space="preserve"> ir 26% no Zinātnisko institūciju reģistrā reģistrēto zinātnisko institūciju skaita</w:t>
            </w:r>
            <w:r w:rsidR="00811564" w:rsidRPr="000E6CA4">
              <w:rPr>
                <w:sz w:val="26"/>
                <w:szCs w:val="26"/>
              </w:rPr>
              <w:t>.</w:t>
            </w:r>
            <w:r w:rsidR="00811564" w:rsidRPr="000E6CA4">
              <w:rPr>
                <w:rFonts w:ascii="TimesNewRomanPSMT" w:hAnsi="TimesNewRomanPSMT" w:cs="TimesNewRomanPSMT"/>
                <w:b/>
                <w:sz w:val="26"/>
                <w:szCs w:val="26"/>
              </w:rPr>
              <w:t xml:space="preserve"> </w:t>
            </w:r>
          </w:p>
        </w:tc>
      </w:tr>
      <w:tr w:rsidR="002F3E81" w:rsidRPr="000E6CA4" w:rsidTr="003119E2">
        <w:tc>
          <w:tcPr>
            <w:tcW w:w="239" w:type="pct"/>
            <w:tcBorders>
              <w:top w:val="outset" w:sz="6" w:space="0" w:color="000000"/>
              <w:left w:val="outset" w:sz="6" w:space="0" w:color="000000"/>
              <w:bottom w:val="outset" w:sz="6" w:space="0" w:color="000000"/>
              <w:right w:val="outset" w:sz="6" w:space="0" w:color="000000"/>
            </w:tcBorders>
            <w:hideMark/>
          </w:tcPr>
          <w:p w:rsidR="002F3E81" w:rsidRPr="000E6CA4" w:rsidRDefault="002F3E81" w:rsidP="0014630D">
            <w:pPr>
              <w:rPr>
                <w:sz w:val="26"/>
                <w:szCs w:val="26"/>
              </w:rPr>
            </w:pPr>
            <w:r w:rsidRPr="000E6CA4">
              <w:rPr>
                <w:sz w:val="26"/>
                <w:szCs w:val="26"/>
              </w:rPr>
              <w:t>2.</w:t>
            </w:r>
          </w:p>
        </w:tc>
        <w:tc>
          <w:tcPr>
            <w:tcW w:w="1419" w:type="pct"/>
            <w:tcBorders>
              <w:top w:val="outset" w:sz="6" w:space="0" w:color="000000"/>
              <w:left w:val="outset" w:sz="6" w:space="0" w:color="000000"/>
              <w:bottom w:val="outset" w:sz="6" w:space="0" w:color="000000"/>
              <w:right w:val="outset" w:sz="6" w:space="0" w:color="000000"/>
            </w:tcBorders>
            <w:hideMark/>
          </w:tcPr>
          <w:p w:rsidR="002F3E81" w:rsidRPr="000E6CA4" w:rsidRDefault="002F3E81" w:rsidP="0014630D">
            <w:pPr>
              <w:rPr>
                <w:sz w:val="26"/>
                <w:szCs w:val="26"/>
              </w:rPr>
            </w:pPr>
            <w:r w:rsidRPr="000E6CA4">
              <w:rPr>
                <w:sz w:val="26"/>
                <w:szCs w:val="26"/>
              </w:rPr>
              <w:t>Citas sabiedrības grupas (bez mērķgrupas), kuras tiesiskais regulējums arī ietekmē vai varētu ietekmēt</w:t>
            </w:r>
          </w:p>
        </w:tc>
        <w:tc>
          <w:tcPr>
            <w:tcW w:w="3342" w:type="pct"/>
            <w:tcBorders>
              <w:top w:val="outset" w:sz="6" w:space="0" w:color="000000"/>
              <w:left w:val="outset" w:sz="6" w:space="0" w:color="000000"/>
              <w:bottom w:val="outset" w:sz="6" w:space="0" w:color="000000"/>
              <w:right w:val="outset" w:sz="6" w:space="0" w:color="000000"/>
            </w:tcBorders>
            <w:hideMark/>
          </w:tcPr>
          <w:p w:rsidR="002F3E81" w:rsidRPr="000E6CA4" w:rsidRDefault="00F7576E" w:rsidP="0014630D">
            <w:pPr>
              <w:jc w:val="both"/>
              <w:rPr>
                <w:sz w:val="26"/>
                <w:szCs w:val="26"/>
              </w:rPr>
            </w:pPr>
            <w:r w:rsidRPr="000E6CA4">
              <w:rPr>
                <w:sz w:val="26"/>
                <w:szCs w:val="26"/>
              </w:rPr>
              <w:t>Noteikumu projekts šo jomu neskar</w:t>
            </w:r>
          </w:p>
        </w:tc>
      </w:tr>
      <w:tr w:rsidR="002F3E81" w:rsidRPr="000E6CA4" w:rsidTr="003119E2">
        <w:tc>
          <w:tcPr>
            <w:tcW w:w="239" w:type="pct"/>
            <w:tcBorders>
              <w:top w:val="outset" w:sz="6" w:space="0" w:color="000000"/>
              <w:left w:val="outset" w:sz="6" w:space="0" w:color="000000"/>
              <w:bottom w:val="outset" w:sz="6" w:space="0" w:color="000000"/>
              <w:right w:val="outset" w:sz="6" w:space="0" w:color="000000"/>
            </w:tcBorders>
            <w:hideMark/>
          </w:tcPr>
          <w:p w:rsidR="002F3E81" w:rsidRPr="000E6CA4" w:rsidRDefault="002F3E81" w:rsidP="0014630D">
            <w:pPr>
              <w:rPr>
                <w:sz w:val="26"/>
                <w:szCs w:val="26"/>
              </w:rPr>
            </w:pPr>
            <w:r w:rsidRPr="000E6CA4">
              <w:rPr>
                <w:sz w:val="26"/>
                <w:szCs w:val="26"/>
              </w:rPr>
              <w:t>3.</w:t>
            </w:r>
          </w:p>
        </w:tc>
        <w:tc>
          <w:tcPr>
            <w:tcW w:w="1419" w:type="pct"/>
            <w:tcBorders>
              <w:top w:val="outset" w:sz="6" w:space="0" w:color="000000"/>
              <w:left w:val="outset" w:sz="6" w:space="0" w:color="000000"/>
              <w:bottom w:val="outset" w:sz="6" w:space="0" w:color="000000"/>
              <w:right w:val="outset" w:sz="6" w:space="0" w:color="000000"/>
            </w:tcBorders>
            <w:hideMark/>
          </w:tcPr>
          <w:p w:rsidR="002F3E81" w:rsidRPr="000E6CA4" w:rsidRDefault="002F3E81" w:rsidP="0014630D">
            <w:pPr>
              <w:rPr>
                <w:sz w:val="26"/>
                <w:szCs w:val="26"/>
              </w:rPr>
            </w:pPr>
            <w:r w:rsidRPr="000E6CA4">
              <w:rPr>
                <w:sz w:val="26"/>
                <w:szCs w:val="26"/>
              </w:rPr>
              <w:t>Tiesiskā regulējuma finansiālā ietekme</w:t>
            </w:r>
          </w:p>
        </w:tc>
        <w:tc>
          <w:tcPr>
            <w:tcW w:w="3342" w:type="pct"/>
            <w:tcBorders>
              <w:top w:val="outset" w:sz="6" w:space="0" w:color="000000"/>
              <w:left w:val="outset" w:sz="6" w:space="0" w:color="000000"/>
              <w:bottom w:val="outset" w:sz="6" w:space="0" w:color="000000"/>
              <w:right w:val="outset" w:sz="6" w:space="0" w:color="000000"/>
            </w:tcBorders>
            <w:hideMark/>
          </w:tcPr>
          <w:p w:rsidR="002F3E81" w:rsidRPr="000E6CA4" w:rsidRDefault="00DF7FAD" w:rsidP="00B00E1D">
            <w:pPr>
              <w:jc w:val="both"/>
              <w:rPr>
                <w:sz w:val="26"/>
                <w:szCs w:val="26"/>
              </w:rPr>
            </w:pPr>
            <w:r w:rsidRPr="000E6CA4">
              <w:rPr>
                <w:rFonts w:eastAsia="Calibri"/>
                <w:color w:val="000000"/>
                <w:sz w:val="26"/>
                <w:szCs w:val="26"/>
              </w:rPr>
              <w:t xml:space="preserve">Noteikumu projektam ir pozitīva </w:t>
            </w:r>
            <w:r w:rsidRPr="000E6CA4">
              <w:rPr>
                <w:sz w:val="26"/>
                <w:szCs w:val="26"/>
              </w:rPr>
              <w:t xml:space="preserve">ietekme gan uz projekta iesniedzēju (valsts zinātnisko institūciju), jo tiek nodrošināta iespēja saņemt Eiropas Sociālā fonda atbalstu jaunu zinātnisko grupu izveidei un pētniecības īstenošanai, lai sekmētu jaunu produktu vai tehnoloģiju izstrādi, kas tiešā veidā veicina Latvijas tautsaimniecības attīstību, vienlaikus sekmējot </w:t>
            </w:r>
            <w:r w:rsidR="003D5644" w:rsidRPr="000E6CA4">
              <w:rPr>
                <w:sz w:val="26"/>
                <w:szCs w:val="26"/>
              </w:rPr>
              <w:t xml:space="preserve">jaunu darba vietu radīšanu un </w:t>
            </w:r>
            <w:r w:rsidRPr="000E6CA4">
              <w:rPr>
                <w:sz w:val="26"/>
                <w:szCs w:val="26"/>
              </w:rPr>
              <w:t xml:space="preserve">pētniecības intelektuālā potenciāla attīstību.  </w:t>
            </w:r>
          </w:p>
        </w:tc>
      </w:tr>
      <w:tr w:rsidR="002F3E81" w:rsidRPr="000E6CA4" w:rsidTr="003119E2">
        <w:tc>
          <w:tcPr>
            <w:tcW w:w="239" w:type="pct"/>
            <w:tcBorders>
              <w:top w:val="outset" w:sz="6" w:space="0" w:color="000000"/>
              <w:left w:val="outset" w:sz="6" w:space="0" w:color="000000"/>
              <w:bottom w:val="outset" w:sz="6" w:space="0" w:color="000000"/>
              <w:right w:val="outset" w:sz="6" w:space="0" w:color="000000"/>
            </w:tcBorders>
            <w:hideMark/>
          </w:tcPr>
          <w:p w:rsidR="002F3E81" w:rsidRPr="000E6CA4" w:rsidRDefault="002F3E81" w:rsidP="0014630D">
            <w:pPr>
              <w:rPr>
                <w:sz w:val="26"/>
                <w:szCs w:val="26"/>
              </w:rPr>
            </w:pPr>
            <w:r w:rsidRPr="000E6CA4">
              <w:rPr>
                <w:sz w:val="26"/>
                <w:szCs w:val="26"/>
              </w:rPr>
              <w:t>4.</w:t>
            </w:r>
          </w:p>
        </w:tc>
        <w:tc>
          <w:tcPr>
            <w:tcW w:w="1419" w:type="pct"/>
            <w:tcBorders>
              <w:top w:val="outset" w:sz="6" w:space="0" w:color="000000"/>
              <w:left w:val="outset" w:sz="6" w:space="0" w:color="000000"/>
              <w:bottom w:val="outset" w:sz="6" w:space="0" w:color="000000"/>
              <w:right w:val="outset" w:sz="6" w:space="0" w:color="000000"/>
            </w:tcBorders>
            <w:hideMark/>
          </w:tcPr>
          <w:p w:rsidR="002F3E81" w:rsidRPr="000E6CA4" w:rsidRDefault="002F3E81" w:rsidP="0014630D">
            <w:pPr>
              <w:rPr>
                <w:sz w:val="26"/>
                <w:szCs w:val="26"/>
              </w:rPr>
            </w:pPr>
            <w:r w:rsidRPr="000E6CA4">
              <w:rPr>
                <w:sz w:val="26"/>
                <w:szCs w:val="26"/>
              </w:rPr>
              <w:t>Tiesiskā regulējuma nefinansiālā ietekme</w:t>
            </w:r>
          </w:p>
        </w:tc>
        <w:tc>
          <w:tcPr>
            <w:tcW w:w="3342" w:type="pct"/>
            <w:tcBorders>
              <w:top w:val="outset" w:sz="6" w:space="0" w:color="000000"/>
              <w:left w:val="outset" w:sz="6" w:space="0" w:color="000000"/>
              <w:bottom w:val="outset" w:sz="6" w:space="0" w:color="000000"/>
              <w:right w:val="outset" w:sz="6" w:space="0" w:color="000000"/>
            </w:tcBorders>
            <w:hideMark/>
          </w:tcPr>
          <w:p w:rsidR="00FC349F" w:rsidRPr="000E6CA4" w:rsidRDefault="003D5644" w:rsidP="0014630D">
            <w:pPr>
              <w:tabs>
                <w:tab w:val="left" w:pos="1080"/>
              </w:tabs>
              <w:jc w:val="both"/>
              <w:rPr>
                <w:sz w:val="26"/>
                <w:szCs w:val="26"/>
              </w:rPr>
            </w:pPr>
            <w:r w:rsidRPr="000E6CA4">
              <w:rPr>
                <w:sz w:val="26"/>
                <w:szCs w:val="26"/>
              </w:rPr>
              <w:t>Noteikumu projekts šo jomu neskar</w:t>
            </w:r>
          </w:p>
        </w:tc>
      </w:tr>
      <w:tr w:rsidR="002F3E81" w:rsidRPr="000E6CA4" w:rsidTr="003119E2">
        <w:tc>
          <w:tcPr>
            <w:tcW w:w="239" w:type="pct"/>
            <w:tcBorders>
              <w:top w:val="outset" w:sz="6" w:space="0" w:color="000000"/>
              <w:left w:val="outset" w:sz="6" w:space="0" w:color="000000"/>
              <w:bottom w:val="outset" w:sz="6" w:space="0" w:color="000000"/>
              <w:right w:val="outset" w:sz="6" w:space="0" w:color="000000"/>
            </w:tcBorders>
            <w:hideMark/>
          </w:tcPr>
          <w:p w:rsidR="002F3E81" w:rsidRPr="000E6CA4" w:rsidRDefault="002F3E81" w:rsidP="0014630D">
            <w:pPr>
              <w:rPr>
                <w:sz w:val="26"/>
                <w:szCs w:val="26"/>
              </w:rPr>
            </w:pPr>
            <w:r w:rsidRPr="000E6CA4">
              <w:rPr>
                <w:sz w:val="26"/>
                <w:szCs w:val="26"/>
              </w:rPr>
              <w:t>5.</w:t>
            </w:r>
          </w:p>
        </w:tc>
        <w:tc>
          <w:tcPr>
            <w:tcW w:w="1419" w:type="pct"/>
            <w:tcBorders>
              <w:top w:val="outset" w:sz="6" w:space="0" w:color="000000"/>
              <w:left w:val="outset" w:sz="6" w:space="0" w:color="000000"/>
              <w:bottom w:val="outset" w:sz="6" w:space="0" w:color="000000"/>
              <w:right w:val="outset" w:sz="6" w:space="0" w:color="000000"/>
            </w:tcBorders>
            <w:hideMark/>
          </w:tcPr>
          <w:p w:rsidR="002F3E81" w:rsidRPr="000E6CA4" w:rsidRDefault="002F3E81" w:rsidP="0014630D">
            <w:pPr>
              <w:rPr>
                <w:sz w:val="26"/>
                <w:szCs w:val="26"/>
              </w:rPr>
            </w:pPr>
            <w:r w:rsidRPr="000E6CA4">
              <w:rPr>
                <w:sz w:val="26"/>
                <w:szCs w:val="26"/>
              </w:rPr>
              <w:t>Administratīvās procedūras raksturojums</w:t>
            </w:r>
          </w:p>
        </w:tc>
        <w:tc>
          <w:tcPr>
            <w:tcW w:w="3342" w:type="pct"/>
            <w:tcBorders>
              <w:top w:val="outset" w:sz="6" w:space="0" w:color="000000"/>
              <w:left w:val="outset" w:sz="6" w:space="0" w:color="000000"/>
              <w:bottom w:val="outset" w:sz="6" w:space="0" w:color="000000"/>
              <w:right w:val="outset" w:sz="6" w:space="0" w:color="000000"/>
            </w:tcBorders>
            <w:hideMark/>
          </w:tcPr>
          <w:p w:rsidR="002F3E81" w:rsidRPr="000E6CA4" w:rsidRDefault="00A11252" w:rsidP="0014630D">
            <w:pPr>
              <w:rPr>
                <w:sz w:val="26"/>
                <w:szCs w:val="26"/>
              </w:rPr>
            </w:pPr>
            <w:r w:rsidRPr="000E6CA4">
              <w:rPr>
                <w:sz w:val="26"/>
                <w:szCs w:val="26"/>
              </w:rPr>
              <w:t>Noteikumu projekts šo jomu neskar</w:t>
            </w:r>
          </w:p>
        </w:tc>
      </w:tr>
      <w:tr w:rsidR="002F3E81" w:rsidRPr="000E6CA4" w:rsidTr="003119E2">
        <w:tc>
          <w:tcPr>
            <w:tcW w:w="239" w:type="pct"/>
            <w:tcBorders>
              <w:top w:val="outset" w:sz="6" w:space="0" w:color="000000"/>
              <w:left w:val="outset" w:sz="6" w:space="0" w:color="000000"/>
              <w:bottom w:val="outset" w:sz="6" w:space="0" w:color="000000"/>
              <w:right w:val="outset" w:sz="6" w:space="0" w:color="000000"/>
            </w:tcBorders>
            <w:hideMark/>
          </w:tcPr>
          <w:p w:rsidR="002F3E81" w:rsidRPr="000E6CA4" w:rsidRDefault="002F3E81" w:rsidP="0014630D">
            <w:pPr>
              <w:rPr>
                <w:sz w:val="26"/>
                <w:szCs w:val="26"/>
              </w:rPr>
            </w:pPr>
            <w:r w:rsidRPr="000E6CA4">
              <w:rPr>
                <w:sz w:val="26"/>
                <w:szCs w:val="26"/>
              </w:rPr>
              <w:t>6.</w:t>
            </w:r>
          </w:p>
        </w:tc>
        <w:tc>
          <w:tcPr>
            <w:tcW w:w="1419" w:type="pct"/>
            <w:tcBorders>
              <w:top w:val="outset" w:sz="6" w:space="0" w:color="000000"/>
              <w:left w:val="outset" w:sz="6" w:space="0" w:color="000000"/>
              <w:bottom w:val="outset" w:sz="6" w:space="0" w:color="000000"/>
              <w:right w:val="outset" w:sz="6" w:space="0" w:color="000000"/>
            </w:tcBorders>
            <w:hideMark/>
          </w:tcPr>
          <w:p w:rsidR="002F3E81" w:rsidRPr="000E6CA4" w:rsidRDefault="002F3E81" w:rsidP="0014630D">
            <w:pPr>
              <w:rPr>
                <w:sz w:val="26"/>
                <w:szCs w:val="26"/>
              </w:rPr>
            </w:pPr>
            <w:r w:rsidRPr="000E6CA4">
              <w:rPr>
                <w:sz w:val="26"/>
                <w:szCs w:val="26"/>
              </w:rPr>
              <w:t>Administratīvo izmaksu monetārs novērtējums</w:t>
            </w:r>
          </w:p>
        </w:tc>
        <w:tc>
          <w:tcPr>
            <w:tcW w:w="3342" w:type="pct"/>
            <w:tcBorders>
              <w:top w:val="outset" w:sz="6" w:space="0" w:color="000000"/>
              <w:left w:val="outset" w:sz="6" w:space="0" w:color="000000"/>
              <w:bottom w:val="outset" w:sz="6" w:space="0" w:color="000000"/>
              <w:right w:val="outset" w:sz="6" w:space="0" w:color="000000"/>
            </w:tcBorders>
            <w:hideMark/>
          </w:tcPr>
          <w:p w:rsidR="002F3E81" w:rsidRPr="000E6CA4" w:rsidRDefault="00A11252" w:rsidP="0014630D">
            <w:pPr>
              <w:rPr>
                <w:sz w:val="26"/>
                <w:szCs w:val="26"/>
              </w:rPr>
            </w:pPr>
            <w:r w:rsidRPr="000E6CA4">
              <w:rPr>
                <w:sz w:val="26"/>
                <w:szCs w:val="26"/>
              </w:rPr>
              <w:t>Noteikumu projekts šo jomu neskar</w:t>
            </w:r>
          </w:p>
        </w:tc>
      </w:tr>
      <w:tr w:rsidR="002F3E81" w:rsidRPr="000E6CA4" w:rsidTr="003119E2">
        <w:tc>
          <w:tcPr>
            <w:tcW w:w="239" w:type="pct"/>
            <w:tcBorders>
              <w:top w:val="outset" w:sz="6" w:space="0" w:color="000000"/>
              <w:left w:val="outset" w:sz="6" w:space="0" w:color="000000"/>
              <w:bottom w:val="outset" w:sz="6" w:space="0" w:color="000000"/>
              <w:right w:val="outset" w:sz="6" w:space="0" w:color="000000"/>
            </w:tcBorders>
            <w:hideMark/>
          </w:tcPr>
          <w:p w:rsidR="002F3E81" w:rsidRPr="000E6CA4" w:rsidRDefault="002F3E81" w:rsidP="0014630D">
            <w:pPr>
              <w:rPr>
                <w:sz w:val="26"/>
                <w:szCs w:val="26"/>
              </w:rPr>
            </w:pPr>
            <w:r w:rsidRPr="000E6CA4">
              <w:rPr>
                <w:sz w:val="26"/>
                <w:szCs w:val="26"/>
              </w:rPr>
              <w:t>7.</w:t>
            </w:r>
          </w:p>
        </w:tc>
        <w:tc>
          <w:tcPr>
            <w:tcW w:w="1419" w:type="pct"/>
            <w:tcBorders>
              <w:top w:val="outset" w:sz="6" w:space="0" w:color="000000"/>
              <w:left w:val="outset" w:sz="6" w:space="0" w:color="000000"/>
              <w:bottom w:val="outset" w:sz="6" w:space="0" w:color="000000"/>
              <w:right w:val="outset" w:sz="6" w:space="0" w:color="000000"/>
            </w:tcBorders>
            <w:hideMark/>
          </w:tcPr>
          <w:p w:rsidR="002F3E81" w:rsidRPr="000E6CA4" w:rsidRDefault="002F3E81" w:rsidP="0014630D">
            <w:pPr>
              <w:rPr>
                <w:sz w:val="26"/>
                <w:szCs w:val="26"/>
              </w:rPr>
            </w:pPr>
            <w:r w:rsidRPr="000E6CA4">
              <w:rPr>
                <w:sz w:val="26"/>
                <w:szCs w:val="26"/>
              </w:rPr>
              <w:t>Cita informācija</w:t>
            </w:r>
          </w:p>
        </w:tc>
        <w:tc>
          <w:tcPr>
            <w:tcW w:w="3342" w:type="pct"/>
            <w:tcBorders>
              <w:top w:val="outset" w:sz="6" w:space="0" w:color="000000"/>
              <w:left w:val="outset" w:sz="6" w:space="0" w:color="000000"/>
              <w:bottom w:val="outset" w:sz="6" w:space="0" w:color="000000"/>
              <w:right w:val="outset" w:sz="6" w:space="0" w:color="000000"/>
            </w:tcBorders>
            <w:hideMark/>
          </w:tcPr>
          <w:p w:rsidR="002F3E81" w:rsidRPr="000E6CA4" w:rsidRDefault="008C3705" w:rsidP="0014630D">
            <w:pPr>
              <w:rPr>
                <w:sz w:val="26"/>
                <w:szCs w:val="26"/>
              </w:rPr>
            </w:pPr>
            <w:r w:rsidRPr="000E6CA4">
              <w:rPr>
                <w:sz w:val="26"/>
                <w:szCs w:val="26"/>
              </w:rPr>
              <w:t>Nav</w:t>
            </w:r>
          </w:p>
        </w:tc>
      </w:tr>
    </w:tbl>
    <w:p w:rsidR="008B61BB" w:rsidRPr="000E6CA4" w:rsidRDefault="008B61BB" w:rsidP="0014630D">
      <w:pPr>
        <w:jc w:val="both"/>
        <w:rPr>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tblPr>
      <w:tblGrid>
        <w:gridCol w:w="2648"/>
        <w:gridCol w:w="1384"/>
        <w:gridCol w:w="1250"/>
        <w:gridCol w:w="1517"/>
        <w:gridCol w:w="1255"/>
        <w:gridCol w:w="1227"/>
      </w:tblGrid>
      <w:tr w:rsidR="003D5644" w:rsidRPr="000E6CA4" w:rsidTr="003119E2">
        <w:trPr>
          <w:trHeight w:val="432"/>
        </w:trPr>
        <w:tc>
          <w:tcPr>
            <w:tcW w:w="5000" w:type="pct"/>
            <w:gridSpan w:val="6"/>
            <w:vAlign w:val="center"/>
          </w:tcPr>
          <w:p w:rsidR="003D5644" w:rsidRPr="000E6CA4" w:rsidRDefault="003D5644" w:rsidP="0014630D">
            <w:pPr>
              <w:jc w:val="center"/>
              <w:rPr>
                <w:b/>
                <w:sz w:val="26"/>
                <w:szCs w:val="26"/>
              </w:rPr>
            </w:pPr>
            <w:r w:rsidRPr="000E6CA4">
              <w:rPr>
                <w:b/>
                <w:sz w:val="26"/>
                <w:szCs w:val="26"/>
              </w:rPr>
              <w:br w:type="page"/>
              <w:t>III. Tiesību akta projekta ietekme uz valsts budžetu un pašvaldību budžetiem</w:t>
            </w:r>
          </w:p>
        </w:tc>
      </w:tr>
      <w:tr w:rsidR="003D5644" w:rsidRPr="000E6CA4" w:rsidTr="003119E2">
        <w:tblPrEx>
          <w:jc w:val="center"/>
          <w:tblCellMar>
            <w:top w:w="0" w:type="dxa"/>
            <w:left w:w="108" w:type="dxa"/>
            <w:bottom w:w="0" w:type="dxa"/>
            <w:right w:w="108" w:type="dxa"/>
          </w:tblCellMar>
          <w:tblLook w:val="01E0"/>
        </w:tblPrEx>
        <w:trPr>
          <w:jc w:val="center"/>
        </w:trPr>
        <w:tc>
          <w:tcPr>
            <w:tcW w:w="1438" w:type="pct"/>
            <w:vMerge w:val="restart"/>
            <w:vAlign w:val="center"/>
          </w:tcPr>
          <w:p w:rsidR="003D5644" w:rsidRPr="000E6CA4" w:rsidRDefault="003D5644" w:rsidP="0014630D">
            <w:pPr>
              <w:pStyle w:val="naisf"/>
              <w:spacing w:before="0" w:after="0"/>
              <w:ind w:firstLine="0"/>
              <w:jc w:val="center"/>
              <w:rPr>
                <w:b/>
                <w:sz w:val="26"/>
                <w:szCs w:val="26"/>
              </w:rPr>
            </w:pPr>
            <w:r w:rsidRPr="000E6CA4">
              <w:rPr>
                <w:b/>
                <w:sz w:val="26"/>
                <w:szCs w:val="26"/>
              </w:rPr>
              <w:t>Rādītāji</w:t>
            </w:r>
          </w:p>
        </w:tc>
        <w:tc>
          <w:tcPr>
            <w:tcW w:w="1441" w:type="pct"/>
            <w:gridSpan w:val="2"/>
            <w:vMerge w:val="restart"/>
            <w:vAlign w:val="center"/>
          </w:tcPr>
          <w:p w:rsidR="003D5644" w:rsidRPr="000E6CA4" w:rsidRDefault="003D5644" w:rsidP="0014630D">
            <w:pPr>
              <w:pStyle w:val="naisf"/>
              <w:spacing w:before="0" w:after="0"/>
              <w:ind w:firstLine="0"/>
              <w:jc w:val="center"/>
              <w:rPr>
                <w:b/>
                <w:sz w:val="26"/>
                <w:szCs w:val="26"/>
              </w:rPr>
            </w:pPr>
            <w:r w:rsidRPr="000E6CA4">
              <w:rPr>
                <w:b/>
                <w:sz w:val="26"/>
                <w:szCs w:val="26"/>
              </w:rPr>
              <w:t>2012.</w:t>
            </w:r>
          </w:p>
        </w:tc>
        <w:tc>
          <w:tcPr>
            <w:tcW w:w="2081" w:type="pct"/>
            <w:gridSpan w:val="3"/>
            <w:vAlign w:val="center"/>
          </w:tcPr>
          <w:p w:rsidR="003D5644" w:rsidRPr="000E6CA4" w:rsidRDefault="003D5644" w:rsidP="0014630D">
            <w:pPr>
              <w:pStyle w:val="naisf"/>
              <w:spacing w:before="0" w:after="0"/>
              <w:ind w:firstLine="0"/>
              <w:jc w:val="center"/>
              <w:rPr>
                <w:b/>
                <w:i/>
                <w:sz w:val="26"/>
                <w:szCs w:val="26"/>
              </w:rPr>
            </w:pPr>
            <w:r w:rsidRPr="000E6CA4">
              <w:rPr>
                <w:sz w:val="26"/>
                <w:szCs w:val="26"/>
              </w:rPr>
              <w:t>Turpmākie trīs gadi (tūkst</w:t>
            </w:r>
            <w:smartTag w:uri="schemas-tilde-lv/tildestengine" w:element="currency2">
              <w:smartTagPr>
                <w:attr w:name="currency_text" w:val="latu"/>
                <w:attr w:name="currency_value" w:val="."/>
                <w:attr w:name="currency_key" w:val="LVL"/>
                <w:attr w:name="currency_id" w:val="48"/>
              </w:smartTagPr>
              <w:r w:rsidRPr="000E6CA4">
                <w:rPr>
                  <w:sz w:val="26"/>
                  <w:szCs w:val="26"/>
                </w:rPr>
                <w:t>. latu</w:t>
              </w:r>
            </w:smartTag>
            <w:r w:rsidRPr="000E6CA4">
              <w:rPr>
                <w:sz w:val="26"/>
                <w:szCs w:val="26"/>
              </w:rPr>
              <w:t>)</w:t>
            </w:r>
          </w:p>
        </w:tc>
      </w:tr>
      <w:tr w:rsidR="003D5644" w:rsidRPr="000E6CA4" w:rsidTr="003119E2">
        <w:tblPrEx>
          <w:jc w:val="center"/>
          <w:tblCellMar>
            <w:top w:w="0" w:type="dxa"/>
            <w:left w:w="108" w:type="dxa"/>
            <w:bottom w:w="0" w:type="dxa"/>
            <w:right w:w="108" w:type="dxa"/>
          </w:tblCellMar>
          <w:tblLook w:val="01E0"/>
        </w:tblPrEx>
        <w:trPr>
          <w:jc w:val="center"/>
        </w:trPr>
        <w:tc>
          <w:tcPr>
            <w:tcW w:w="1438" w:type="pct"/>
            <w:vMerge/>
            <w:vAlign w:val="center"/>
          </w:tcPr>
          <w:p w:rsidR="003D5644" w:rsidRPr="000E6CA4" w:rsidRDefault="003D5644" w:rsidP="0014630D">
            <w:pPr>
              <w:pStyle w:val="naisf"/>
              <w:spacing w:before="0" w:after="0"/>
              <w:ind w:firstLine="0"/>
              <w:jc w:val="center"/>
              <w:rPr>
                <w:b/>
                <w:i/>
                <w:sz w:val="26"/>
                <w:szCs w:val="26"/>
              </w:rPr>
            </w:pPr>
          </w:p>
        </w:tc>
        <w:tc>
          <w:tcPr>
            <w:tcW w:w="1441" w:type="pct"/>
            <w:gridSpan w:val="2"/>
            <w:vMerge/>
            <w:vAlign w:val="center"/>
          </w:tcPr>
          <w:p w:rsidR="003D5644" w:rsidRPr="000E6CA4" w:rsidRDefault="003D5644" w:rsidP="0014630D">
            <w:pPr>
              <w:pStyle w:val="naisf"/>
              <w:spacing w:before="0" w:after="0"/>
              <w:ind w:firstLine="0"/>
              <w:jc w:val="center"/>
              <w:rPr>
                <w:b/>
                <w:i/>
                <w:sz w:val="26"/>
                <w:szCs w:val="26"/>
              </w:rPr>
            </w:pPr>
          </w:p>
        </w:tc>
        <w:tc>
          <w:tcPr>
            <w:tcW w:w="828" w:type="pct"/>
            <w:vAlign w:val="center"/>
          </w:tcPr>
          <w:p w:rsidR="003D5644" w:rsidRPr="000E6CA4" w:rsidRDefault="003D5644" w:rsidP="0014630D">
            <w:pPr>
              <w:pStyle w:val="naisf"/>
              <w:spacing w:before="0" w:after="0"/>
              <w:ind w:firstLine="0"/>
              <w:jc w:val="center"/>
              <w:rPr>
                <w:b/>
                <w:i/>
                <w:sz w:val="26"/>
                <w:szCs w:val="26"/>
              </w:rPr>
            </w:pPr>
            <w:r w:rsidRPr="000E6CA4">
              <w:rPr>
                <w:b/>
                <w:bCs/>
                <w:sz w:val="26"/>
                <w:szCs w:val="26"/>
              </w:rPr>
              <w:t>2013.</w:t>
            </w:r>
          </w:p>
        </w:tc>
        <w:tc>
          <w:tcPr>
            <w:tcW w:w="687" w:type="pct"/>
            <w:vAlign w:val="center"/>
          </w:tcPr>
          <w:p w:rsidR="003D5644" w:rsidRPr="000E6CA4" w:rsidRDefault="003D5644" w:rsidP="0014630D">
            <w:pPr>
              <w:pStyle w:val="naisf"/>
              <w:spacing w:before="0" w:after="0"/>
              <w:ind w:firstLine="0"/>
              <w:jc w:val="center"/>
              <w:rPr>
                <w:b/>
                <w:i/>
                <w:sz w:val="26"/>
                <w:szCs w:val="26"/>
              </w:rPr>
            </w:pPr>
            <w:r w:rsidRPr="000E6CA4">
              <w:rPr>
                <w:b/>
                <w:bCs/>
                <w:sz w:val="26"/>
                <w:szCs w:val="26"/>
              </w:rPr>
              <w:t>2014.</w:t>
            </w:r>
          </w:p>
        </w:tc>
        <w:tc>
          <w:tcPr>
            <w:tcW w:w="566" w:type="pct"/>
            <w:vAlign w:val="center"/>
          </w:tcPr>
          <w:p w:rsidR="003D5644" w:rsidRPr="000E6CA4" w:rsidRDefault="003D5644" w:rsidP="0014630D">
            <w:pPr>
              <w:pStyle w:val="naisf"/>
              <w:spacing w:before="0" w:after="0"/>
              <w:ind w:firstLine="0"/>
              <w:jc w:val="center"/>
              <w:rPr>
                <w:b/>
                <w:i/>
                <w:sz w:val="26"/>
                <w:szCs w:val="26"/>
              </w:rPr>
            </w:pPr>
            <w:r w:rsidRPr="000E6CA4">
              <w:rPr>
                <w:b/>
                <w:bCs/>
                <w:sz w:val="26"/>
                <w:szCs w:val="26"/>
              </w:rPr>
              <w:t>2015.</w:t>
            </w:r>
          </w:p>
        </w:tc>
      </w:tr>
      <w:tr w:rsidR="003D5644" w:rsidRPr="000E6CA4" w:rsidTr="003119E2">
        <w:tblPrEx>
          <w:jc w:val="center"/>
          <w:tblCellMar>
            <w:top w:w="0" w:type="dxa"/>
            <w:left w:w="108" w:type="dxa"/>
            <w:bottom w:w="0" w:type="dxa"/>
            <w:right w:w="108" w:type="dxa"/>
          </w:tblCellMar>
          <w:tblLook w:val="01E0"/>
        </w:tblPrEx>
        <w:trPr>
          <w:jc w:val="center"/>
        </w:trPr>
        <w:tc>
          <w:tcPr>
            <w:tcW w:w="1438" w:type="pct"/>
            <w:vMerge/>
            <w:vAlign w:val="center"/>
          </w:tcPr>
          <w:p w:rsidR="003D5644" w:rsidRPr="000E6CA4" w:rsidRDefault="003D5644" w:rsidP="0014630D">
            <w:pPr>
              <w:pStyle w:val="naisf"/>
              <w:spacing w:before="0" w:after="0"/>
              <w:ind w:firstLine="0"/>
              <w:jc w:val="center"/>
              <w:rPr>
                <w:b/>
                <w:i/>
                <w:sz w:val="26"/>
                <w:szCs w:val="26"/>
              </w:rPr>
            </w:pPr>
          </w:p>
        </w:tc>
        <w:tc>
          <w:tcPr>
            <w:tcW w:w="757" w:type="pct"/>
            <w:vAlign w:val="center"/>
          </w:tcPr>
          <w:p w:rsidR="003D5644" w:rsidRPr="000E6CA4" w:rsidRDefault="003D5644" w:rsidP="0014630D">
            <w:pPr>
              <w:pStyle w:val="naisf"/>
              <w:spacing w:before="0" w:after="0"/>
              <w:ind w:firstLine="0"/>
              <w:jc w:val="center"/>
              <w:rPr>
                <w:b/>
                <w:i/>
                <w:sz w:val="26"/>
                <w:szCs w:val="26"/>
              </w:rPr>
            </w:pPr>
            <w:r w:rsidRPr="000E6CA4">
              <w:rPr>
                <w:sz w:val="26"/>
                <w:szCs w:val="26"/>
              </w:rPr>
              <w:t xml:space="preserve">Saskaņā ar </w:t>
            </w:r>
            <w:r w:rsidRPr="000E6CA4">
              <w:rPr>
                <w:sz w:val="26"/>
                <w:szCs w:val="26"/>
              </w:rPr>
              <w:lastRenderedPageBreak/>
              <w:t>valsts budžetu kārtējam gadam</w:t>
            </w:r>
          </w:p>
        </w:tc>
        <w:tc>
          <w:tcPr>
            <w:tcW w:w="684" w:type="pct"/>
            <w:vAlign w:val="center"/>
          </w:tcPr>
          <w:p w:rsidR="003D5644" w:rsidRPr="000E6CA4" w:rsidRDefault="003D5644" w:rsidP="0014630D">
            <w:pPr>
              <w:pStyle w:val="naisf"/>
              <w:spacing w:before="0" w:after="0"/>
              <w:ind w:firstLine="0"/>
              <w:jc w:val="center"/>
              <w:rPr>
                <w:b/>
                <w:i/>
                <w:sz w:val="26"/>
                <w:szCs w:val="26"/>
              </w:rPr>
            </w:pPr>
            <w:r w:rsidRPr="000E6CA4">
              <w:rPr>
                <w:sz w:val="26"/>
                <w:szCs w:val="26"/>
              </w:rPr>
              <w:lastRenderedPageBreak/>
              <w:t xml:space="preserve">Izmaiņas </w:t>
            </w:r>
            <w:r w:rsidRPr="000E6CA4">
              <w:rPr>
                <w:sz w:val="26"/>
                <w:szCs w:val="26"/>
              </w:rPr>
              <w:lastRenderedPageBreak/>
              <w:t>kārtējā gadā, salīdzinot ar budžetu kārtējam gadam</w:t>
            </w:r>
          </w:p>
        </w:tc>
        <w:tc>
          <w:tcPr>
            <w:tcW w:w="828" w:type="pct"/>
            <w:vAlign w:val="center"/>
          </w:tcPr>
          <w:p w:rsidR="003D5644" w:rsidRPr="000E6CA4" w:rsidRDefault="003D5644" w:rsidP="0014630D">
            <w:pPr>
              <w:pStyle w:val="naisf"/>
              <w:spacing w:before="0" w:after="0"/>
              <w:ind w:firstLine="0"/>
              <w:jc w:val="center"/>
              <w:rPr>
                <w:b/>
                <w:i/>
                <w:sz w:val="26"/>
                <w:szCs w:val="26"/>
              </w:rPr>
            </w:pPr>
            <w:r w:rsidRPr="000E6CA4">
              <w:rPr>
                <w:sz w:val="26"/>
                <w:szCs w:val="26"/>
              </w:rPr>
              <w:lastRenderedPageBreak/>
              <w:t xml:space="preserve">Izmaiņas, </w:t>
            </w:r>
            <w:r w:rsidRPr="000E6CA4">
              <w:rPr>
                <w:sz w:val="26"/>
                <w:szCs w:val="26"/>
              </w:rPr>
              <w:lastRenderedPageBreak/>
              <w:t>salīdzinot ar kārtējo (n) gadu</w:t>
            </w:r>
          </w:p>
        </w:tc>
        <w:tc>
          <w:tcPr>
            <w:tcW w:w="687" w:type="pct"/>
            <w:vAlign w:val="center"/>
          </w:tcPr>
          <w:p w:rsidR="003D5644" w:rsidRPr="000E6CA4" w:rsidRDefault="003D5644" w:rsidP="0014630D">
            <w:pPr>
              <w:pStyle w:val="naisf"/>
              <w:spacing w:before="0" w:after="0"/>
              <w:ind w:firstLine="0"/>
              <w:jc w:val="center"/>
              <w:rPr>
                <w:b/>
                <w:i/>
                <w:sz w:val="26"/>
                <w:szCs w:val="26"/>
              </w:rPr>
            </w:pPr>
            <w:r w:rsidRPr="000E6CA4">
              <w:rPr>
                <w:sz w:val="26"/>
                <w:szCs w:val="26"/>
              </w:rPr>
              <w:lastRenderedPageBreak/>
              <w:t xml:space="preserve">Izmaiņas, </w:t>
            </w:r>
            <w:r w:rsidRPr="000E6CA4">
              <w:rPr>
                <w:sz w:val="26"/>
                <w:szCs w:val="26"/>
              </w:rPr>
              <w:lastRenderedPageBreak/>
              <w:t>salīdzinot ar kārtējo (n) gadu</w:t>
            </w:r>
          </w:p>
        </w:tc>
        <w:tc>
          <w:tcPr>
            <w:tcW w:w="566" w:type="pct"/>
            <w:vAlign w:val="center"/>
          </w:tcPr>
          <w:p w:rsidR="003D5644" w:rsidRPr="000E6CA4" w:rsidRDefault="003D5644" w:rsidP="0014630D">
            <w:pPr>
              <w:pStyle w:val="naisf"/>
              <w:spacing w:before="0" w:after="0"/>
              <w:ind w:firstLine="0"/>
              <w:jc w:val="center"/>
              <w:rPr>
                <w:b/>
                <w:i/>
                <w:sz w:val="26"/>
                <w:szCs w:val="26"/>
              </w:rPr>
            </w:pPr>
            <w:r w:rsidRPr="000E6CA4">
              <w:rPr>
                <w:sz w:val="26"/>
                <w:szCs w:val="26"/>
              </w:rPr>
              <w:lastRenderedPageBreak/>
              <w:t xml:space="preserve">Izmaiņas, </w:t>
            </w:r>
            <w:r w:rsidRPr="000E6CA4">
              <w:rPr>
                <w:sz w:val="26"/>
                <w:szCs w:val="26"/>
              </w:rPr>
              <w:lastRenderedPageBreak/>
              <w:t>salīdzinot ar kārtējo (n) gadu</w:t>
            </w:r>
          </w:p>
        </w:tc>
      </w:tr>
      <w:tr w:rsidR="003D5644" w:rsidRPr="000E6CA4" w:rsidTr="003119E2">
        <w:tblPrEx>
          <w:jc w:val="center"/>
          <w:tblCellMar>
            <w:top w:w="0" w:type="dxa"/>
            <w:left w:w="108" w:type="dxa"/>
            <w:bottom w:w="0" w:type="dxa"/>
            <w:right w:w="108" w:type="dxa"/>
          </w:tblCellMar>
          <w:tblLook w:val="01E0"/>
        </w:tblPrEx>
        <w:trPr>
          <w:jc w:val="center"/>
        </w:trPr>
        <w:tc>
          <w:tcPr>
            <w:tcW w:w="1438" w:type="pct"/>
            <w:vAlign w:val="center"/>
          </w:tcPr>
          <w:p w:rsidR="003D5644" w:rsidRPr="000E6CA4" w:rsidRDefault="003D5644" w:rsidP="0014630D">
            <w:pPr>
              <w:pStyle w:val="naisf"/>
              <w:spacing w:before="0" w:after="0"/>
              <w:ind w:firstLine="0"/>
              <w:jc w:val="center"/>
              <w:rPr>
                <w:bCs/>
                <w:sz w:val="26"/>
                <w:szCs w:val="26"/>
              </w:rPr>
            </w:pPr>
            <w:r w:rsidRPr="000E6CA4">
              <w:rPr>
                <w:bCs/>
                <w:sz w:val="26"/>
                <w:szCs w:val="26"/>
              </w:rPr>
              <w:lastRenderedPageBreak/>
              <w:t>1</w:t>
            </w:r>
          </w:p>
        </w:tc>
        <w:tc>
          <w:tcPr>
            <w:tcW w:w="757" w:type="pct"/>
            <w:vAlign w:val="center"/>
          </w:tcPr>
          <w:p w:rsidR="003D5644" w:rsidRPr="000E6CA4" w:rsidRDefault="003D5644" w:rsidP="0014630D">
            <w:pPr>
              <w:pStyle w:val="naisf"/>
              <w:spacing w:before="0" w:after="0"/>
              <w:ind w:firstLine="0"/>
              <w:jc w:val="center"/>
              <w:rPr>
                <w:bCs/>
                <w:sz w:val="26"/>
                <w:szCs w:val="26"/>
              </w:rPr>
            </w:pPr>
            <w:r w:rsidRPr="000E6CA4">
              <w:rPr>
                <w:bCs/>
                <w:sz w:val="26"/>
                <w:szCs w:val="26"/>
              </w:rPr>
              <w:t>2</w:t>
            </w:r>
          </w:p>
        </w:tc>
        <w:tc>
          <w:tcPr>
            <w:tcW w:w="684" w:type="pct"/>
            <w:vAlign w:val="center"/>
          </w:tcPr>
          <w:p w:rsidR="003D5644" w:rsidRPr="000E6CA4" w:rsidRDefault="003D5644" w:rsidP="0014630D">
            <w:pPr>
              <w:pStyle w:val="naisf"/>
              <w:spacing w:before="0" w:after="0"/>
              <w:ind w:firstLine="0"/>
              <w:jc w:val="center"/>
              <w:rPr>
                <w:bCs/>
                <w:sz w:val="26"/>
                <w:szCs w:val="26"/>
              </w:rPr>
            </w:pPr>
            <w:r w:rsidRPr="000E6CA4">
              <w:rPr>
                <w:bCs/>
                <w:sz w:val="26"/>
                <w:szCs w:val="26"/>
              </w:rPr>
              <w:t>3</w:t>
            </w:r>
          </w:p>
        </w:tc>
        <w:tc>
          <w:tcPr>
            <w:tcW w:w="828" w:type="pct"/>
            <w:vAlign w:val="center"/>
          </w:tcPr>
          <w:p w:rsidR="003D5644" w:rsidRPr="000E6CA4" w:rsidRDefault="003D5644" w:rsidP="0014630D">
            <w:pPr>
              <w:pStyle w:val="naisf"/>
              <w:spacing w:before="0" w:after="0"/>
              <w:ind w:firstLine="0"/>
              <w:jc w:val="center"/>
              <w:rPr>
                <w:bCs/>
                <w:sz w:val="26"/>
                <w:szCs w:val="26"/>
              </w:rPr>
            </w:pPr>
            <w:r w:rsidRPr="000E6CA4">
              <w:rPr>
                <w:bCs/>
                <w:sz w:val="26"/>
                <w:szCs w:val="26"/>
              </w:rPr>
              <w:t>4</w:t>
            </w:r>
          </w:p>
        </w:tc>
        <w:tc>
          <w:tcPr>
            <w:tcW w:w="687" w:type="pct"/>
            <w:vAlign w:val="center"/>
          </w:tcPr>
          <w:p w:rsidR="003D5644" w:rsidRPr="000E6CA4" w:rsidRDefault="003D5644" w:rsidP="0014630D">
            <w:pPr>
              <w:pStyle w:val="naisf"/>
              <w:spacing w:before="0" w:after="0"/>
              <w:ind w:firstLine="0"/>
              <w:jc w:val="center"/>
              <w:rPr>
                <w:bCs/>
                <w:sz w:val="26"/>
                <w:szCs w:val="26"/>
              </w:rPr>
            </w:pPr>
            <w:r w:rsidRPr="000E6CA4">
              <w:rPr>
                <w:bCs/>
                <w:sz w:val="26"/>
                <w:szCs w:val="26"/>
              </w:rPr>
              <w:t>5</w:t>
            </w:r>
          </w:p>
        </w:tc>
        <w:tc>
          <w:tcPr>
            <w:tcW w:w="566" w:type="pct"/>
            <w:vAlign w:val="center"/>
          </w:tcPr>
          <w:p w:rsidR="003D5644" w:rsidRPr="000E6CA4" w:rsidRDefault="003D5644" w:rsidP="0014630D">
            <w:pPr>
              <w:pStyle w:val="naisf"/>
              <w:spacing w:before="0" w:after="0"/>
              <w:ind w:firstLine="0"/>
              <w:jc w:val="center"/>
              <w:rPr>
                <w:bCs/>
                <w:sz w:val="26"/>
                <w:szCs w:val="26"/>
              </w:rPr>
            </w:pPr>
            <w:r w:rsidRPr="000E6CA4">
              <w:rPr>
                <w:bCs/>
                <w:sz w:val="26"/>
                <w:szCs w:val="26"/>
              </w:rPr>
              <w:t>6</w:t>
            </w:r>
          </w:p>
        </w:tc>
      </w:tr>
      <w:tr w:rsidR="00FD632E" w:rsidRPr="000E6CA4" w:rsidTr="003119E2">
        <w:tblPrEx>
          <w:jc w:val="center"/>
          <w:tblCellMar>
            <w:top w:w="0" w:type="dxa"/>
            <w:left w:w="108" w:type="dxa"/>
            <w:bottom w:w="0" w:type="dxa"/>
            <w:right w:w="108" w:type="dxa"/>
          </w:tblCellMar>
          <w:tblLook w:val="01E0"/>
        </w:tblPrEx>
        <w:trPr>
          <w:jc w:val="center"/>
        </w:trPr>
        <w:tc>
          <w:tcPr>
            <w:tcW w:w="1438" w:type="pct"/>
          </w:tcPr>
          <w:p w:rsidR="00FD632E" w:rsidRPr="000E6CA4" w:rsidRDefault="00FD632E" w:rsidP="0014630D">
            <w:pPr>
              <w:pStyle w:val="naisf"/>
              <w:spacing w:before="0" w:after="0"/>
              <w:ind w:firstLine="0"/>
              <w:rPr>
                <w:i/>
                <w:sz w:val="26"/>
                <w:szCs w:val="26"/>
              </w:rPr>
            </w:pPr>
            <w:r w:rsidRPr="000E6CA4">
              <w:rPr>
                <w:sz w:val="26"/>
                <w:szCs w:val="26"/>
              </w:rPr>
              <w:t>1. Budžeta ieņēmumi:</w:t>
            </w:r>
          </w:p>
        </w:tc>
        <w:tc>
          <w:tcPr>
            <w:tcW w:w="757" w:type="pct"/>
            <w:vAlign w:val="center"/>
          </w:tcPr>
          <w:p w:rsidR="00FD632E" w:rsidRPr="000E6CA4" w:rsidRDefault="00FD632E" w:rsidP="0014630D">
            <w:pPr>
              <w:pStyle w:val="naisf"/>
              <w:spacing w:before="0" w:after="0"/>
              <w:ind w:firstLine="0"/>
              <w:jc w:val="center"/>
              <w:rPr>
                <w:b/>
                <w:sz w:val="26"/>
                <w:szCs w:val="26"/>
              </w:rPr>
            </w:pPr>
            <w:r w:rsidRPr="000E6CA4">
              <w:rPr>
                <w:b/>
                <w:sz w:val="26"/>
                <w:szCs w:val="26"/>
              </w:rPr>
              <w:t>0</w:t>
            </w:r>
          </w:p>
        </w:tc>
        <w:tc>
          <w:tcPr>
            <w:tcW w:w="684" w:type="pct"/>
            <w:vAlign w:val="center"/>
          </w:tcPr>
          <w:p w:rsidR="00FD632E" w:rsidRPr="000E6CA4" w:rsidRDefault="00FD632E" w:rsidP="0014630D">
            <w:pPr>
              <w:pStyle w:val="naisf"/>
              <w:spacing w:before="0" w:after="0"/>
              <w:ind w:firstLine="0"/>
              <w:jc w:val="center"/>
              <w:rPr>
                <w:b/>
                <w:sz w:val="26"/>
                <w:szCs w:val="26"/>
              </w:rPr>
            </w:pPr>
            <w:r w:rsidRPr="000E6CA4">
              <w:rPr>
                <w:b/>
                <w:sz w:val="26"/>
                <w:szCs w:val="26"/>
              </w:rPr>
              <w:t>0</w:t>
            </w:r>
          </w:p>
        </w:tc>
        <w:tc>
          <w:tcPr>
            <w:tcW w:w="828" w:type="pct"/>
            <w:vAlign w:val="center"/>
          </w:tcPr>
          <w:p w:rsidR="00FD632E" w:rsidRPr="000E6CA4" w:rsidRDefault="00FD632E" w:rsidP="0014630D">
            <w:pPr>
              <w:pStyle w:val="naisf"/>
              <w:spacing w:before="0" w:after="0"/>
              <w:ind w:firstLine="0"/>
              <w:jc w:val="center"/>
              <w:rPr>
                <w:b/>
                <w:sz w:val="26"/>
                <w:szCs w:val="26"/>
              </w:rPr>
            </w:pPr>
            <w:r w:rsidRPr="000E6CA4">
              <w:rPr>
                <w:b/>
                <w:sz w:val="26"/>
                <w:szCs w:val="26"/>
              </w:rPr>
              <w:t>0</w:t>
            </w:r>
          </w:p>
        </w:tc>
        <w:tc>
          <w:tcPr>
            <w:tcW w:w="687" w:type="pct"/>
            <w:vAlign w:val="center"/>
          </w:tcPr>
          <w:p w:rsidR="00FD632E" w:rsidRPr="000E6CA4" w:rsidRDefault="00FD632E" w:rsidP="0014630D">
            <w:pPr>
              <w:pStyle w:val="naisf"/>
              <w:spacing w:before="0" w:after="0"/>
              <w:ind w:firstLine="0"/>
              <w:jc w:val="center"/>
              <w:rPr>
                <w:b/>
                <w:sz w:val="26"/>
                <w:szCs w:val="26"/>
              </w:rPr>
            </w:pPr>
            <w:r w:rsidRPr="000E6CA4">
              <w:rPr>
                <w:b/>
                <w:sz w:val="26"/>
                <w:szCs w:val="26"/>
              </w:rPr>
              <w:t>0</w:t>
            </w:r>
          </w:p>
        </w:tc>
        <w:tc>
          <w:tcPr>
            <w:tcW w:w="566" w:type="pct"/>
            <w:vAlign w:val="center"/>
          </w:tcPr>
          <w:p w:rsidR="00FD632E" w:rsidRPr="000E6CA4" w:rsidRDefault="00FD632E" w:rsidP="0014630D">
            <w:pPr>
              <w:pStyle w:val="naisf"/>
              <w:spacing w:before="0" w:after="0"/>
              <w:ind w:firstLine="0"/>
              <w:jc w:val="center"/>
              <w:rPr>
                <w:b/>
                <w:sz w:val="26"/>
                <w:szCs w:val="26"/>
              </w:rPr>
            </w:pPr>
            <w:r w:rsidRPr="000E6CA4">
              <w:rPr>
                <w:b/>
                <w:sz w:val="26"/>
                <w:szCs w:val="26"/>
              </w:rPr>
              <w:t>0</w:t>
            </w:r>
          </w:p>
        </w:tc>
      </w:tr>
      <w:tr w:rsidR="00FD632E" w:rsidRPr="000E6CA4" w:rsidTr="003119E2">
        <w:tblPrEx>
          <w:jc w:val="center"/>
          <w:tblCellMar>
            <w:top w:w="0" w:type="dxa"/>
            <w:left w:w="108" w:type="dxa"/>
            <w:bottom w:w="0" w:type="dxa"/>
            <w:right w:w="108" w:type="dxa"/>
          </w:tblCellMar>
          <w:tblLook w:val="01E0"/>
        </w:tblPrEx>
        <w:trPr>
          <w:jc w:val="center"/>
        </w:trPr>
        <w:tc>
          <w:tcPr>
            <w:tcW w:w="1438" w:type="pct"/>
          </w:tcPr>
          <w:p w:rsidR="00FD632E" w:rsidRPr="000E6CA4" w:rsidRDefault="00FD632E" w:rsidP="0014630D">
            <w:pPr>
              <w:pStyle w:val="naisf"/>
              <w:spacing w:before="0" w:after="0"/>
              <w:ind w:firstLine="0"/>
              <w:rPr>
                <w:i/>
                <w:sz w:val="26"/>
                <w:szCs w:val="26"/>
              </w:rPr>
            </w:pPr>
            <w:r w:rsidRPr="000E6CA4">
              <w:rPr>
                <w:sz w:val="26"/>
                <w:szCs w:val="26"/>
              </w:rPr>
              <w:t>1.1. valsts pamatbudžets, tai skaitā ieņēmumi no maksas pakalpojumiem un citi pašu ieņēmumi</w:t>
            </w:r>
          </w:p>
        </w:tc>
        <w:tc>
          <w:tcPr>
            <w:tcW w:w="757" w:type="pct"/>
            <w:vAlign w:val="center"/>
          </w:tcPr>
          <w:p w:rsidR="00FD632E" w:rsidRPr="000E6CA4" w:rsidRDefault="00FD632E" w:rsidP="0014630D">
            <w:pPr>
              <w:pStyle w:val="naisf"/>
              <w:spacing w:before="0" w:after="0"/>
              <w:ind w:firstLine="0"/>
              <w:jc w:val="center"/>
              <w:rPr>
                <w:sz w:val="26"/>
                <w:szCs w:val="26"/>
              </w:rPr>
            </w:pPr>
            <w:r w:rsidRPr="000E6CA4">
              <w:rPr>
                <w:sz w:val="26"/>
                <w:szCs w:val="26"/>
              </w:rPr>
              <w:t>0</w:t>
            </w:r>
          </w:p>
        </w:tc>
        <w:tc>
          <w:tcPr>
            <w:tcW w:w="684" w:type="pct"/>
            <w:vAlign w:val="center"/>
          </w:tcPr>
          <w:p w:rsidR="00FD632E" w:rsidRPr="000E6CA4" w:rsidRDefault="00FD632E" w:rsidP="0014630D">
            <w:pPr>
              <w:pStyle w:val="naisf"/>
              <w:spacing w:before="0" w:after="0"/>
              <w:ind w:firstLine="0"/>
              <w:jc w:val="center"/>
              <w:rPr>
                <w:sz w:val="26"/>
                <w:szCs w:val="26"/>
              </w:rPr>
            </w:pPr>
            <w:r w:rsidRPr="000E6CA4">
              <w:rPr>
                <w:sz w:val="26"/>
                <w:szCs w:val="26"/>
              </w:rPr>
              <w:t>0</w:t>
            </w:r>
          </w:p>
        </w:tc>
        <w:tc>
          <w:tcPr>
            <w:tcW w:w="828" w:type="pct"/>
            <w:vAlign w:val="center"/>
          </w:tcPr>
          <w:p w:rsidR="00FD632E" w:rsidRPr="000E6CA4" w:rsidRDefault="00FD632E" w:rsidP="0014630D">
            <w:pPr>
              <w:pStyle w:val="naisf"/>
              <w:spacing w:before="0" w:after="0"/>
              <w:ind w:firstLine="0"/>
              <w:jc w:val="center"/>
              <w:rPr>
                <w:sz w:val="26"/>
                <w:szCs w:val="26"/>
              </w:rPr>
            </w:pPr>
            <w:r w:rsidRPr="000E6CA4">
              <w:rPr>
                <w:sz w:val="26"/>
                <w:szCs w:val="26"/>
              </w:rPr>
              <w:t>0</w:t>
            </w:r>
          </w:p>
        </w:tc>
        <w:tc>
          <w:tcPr>
            <w:tcW w:w="687" w:type="pct"/>
            <w:vAlign w:val="center"/>
          </w:tcPr>
          <w:p w:rsidR="00FD632E" w:rsidRPr="000E6CA4" w:rsidRDefault="00FD632E" w:rsidP="0014630D">
            <w:pPr>
              <w:pStyle w:val="naisf"/>
              <w:spacing w:before="0" w:after="0"/>
              <w:ind w:firstLine="0"/>
              <w:jc w:val="center"/>
              <w:rPr>
                <w:sz w:val="26"/>
                <w:szCs w:val="26"/>
              </w:rPr>
            </w:pPr>
            <w:r w:rsidRPr="000E6CA4">
              <w:rPr>
                <w:sz w:val="26"/>
                <w:szCs w:val="26"/>
              </w:rPr>
              <w:t>0</w:t>
            </w:r>
          </w:p>
        </w:tc>
        <w:tc>
          <w:tcPr>
            <w:tcW w:w="566" w:type="pct"/>
            <w:vAlign w:val="center"/>
          </w:tcPr>
          <w:p w:rsidR="00FD632E" w:rsidRPr="000E6CA4" w:rsidRDefault="00FD632E" w:rsidP="0014630D">
            <w:pPr>
              <w:pStyle w:val="naisf"/>
              <w:spacing w:before="0" w:after="0"/>
              <w:ind w:firstLine="0"/>
              <w:jc w:val="center"/>
              <w:rPr>
                <w:sz w:val="26"/>
                <w:szCs w:val="26"/>
              </w:rPr>
            </w:pPr>
            <w:r w:rsidRPr="000E6CA4">
              <w:rPr>
                <w:sz w:val="26"/>
                <w:szCs w:val="26"/>
              </w:rPr>
              <w:t>0</w:t>
            </w:r>
          </w:p>
        </w:tc>
      </w:tr>
      <w:tr w:rsidR="00FD632E" w:rsidRPr="000E6CA4" w:rsidTr="003119E2">
        <w:tblPrEx>
          <w:jc w:val="center"/>
          <w:tblCellMar>
            <w:top w:w="0" w:type="dxa"/>
            <w:left w:w="108" w:type="dxa"/>
            <w:bottom w:w="0" w:type="dxa"/>
            <w:right w:w="108" w:type="dxa"/>
          </w:tblCellMar>
          <w:tblLook w:val="01E0"/>
        </w:tblPrEx>
        <w:trPr>
          <w:jc w:val="center"/>
        </w:trPr>
        <w:tc>
          <w:tcPr>
            <w:tcW w:w="1438" w:type="pct"/>
          </w:tcPr>
          <w:p w:rsidR="00FD632E" w:rsidRPr="000E6CA4" w:rsidRDefault="00FD632E" w:rsidP="0014630D">
            <w:pPr>
              <w:pStyle w:val="naisf"/>
              <w:spacing w:before="0" w:after="0"/>
              <w:ind w:firstLine="0"/>
              <w:rPr>
                <w:i/>
                <w:sz w:val="26"/>
                <w:szCs w:val="26"/>
              </w:rPr>
            </w:pPr>
            <w:r w:rsidRPr="000E6CA4">
              <w:rPr>
                <w:sz w:val="26"/>
                <w:szCs w:val="26"/>
              </w:rPr>
              <w:t>1.2. valsts speciālais budžets</w:t>
            </w:r>
          </w:p>
        </w:tc>
        <w:tc>
          <w:tcPr>
            <w:tcW w:w="757" w:type="pct"/>
            <w:vAlign w:val="center"/>
          </w:tcPr>
          <w:p w:rsidR="00FD632E" w:rsidRPr="000E6CA4" w:rsidRDefault="00FD632E" w:rsidP="0014630D">
            <w:pPr>
              <w:pStyle w:val="naisf"/>
              <w:spacing w:before="0" w:after="0"/>
              <w:ind w:firstLine="0"/>
              <w:jc w:val="center"/>
              <w:rPr>
                <w:sz w:val="26"/>
                <w:szCs w:val="26"/>
              </w:rPr>
            </w:pPr>
            <w:r w:rsidRPr="000E6CA4">
              <w:rPr>
                <w:sz w:val="26"/>
                <w:szCs w:val="26"/>
              </w:rPr>
              <w:t>0</w:t>
            </w:r>
          </w:p>
        </w:tc>
        <w:tc>
          <w:tcPr>
            <w:tcW w:w="684" w:type="pct"/>
            <w:vAlign w:val="center"/>
          </w:tcPr>
          <w:p w:rsidR="00FD632E" w:rsidRPr="000E6CA4" w:rsidRDefault="00FD632E" w:rsidP="0014630D">
            <w:pPr>
              <w:pStyle w:val="naisf"/>
              <w:spacing w:before="0" w:after="0"/>
              <w:ind w:firstLine="0"/>
              <w:jc w:val="center"/>
              <w:rPr>
                <w:sz w:val="26"/>
                <w:szCs w:val="26"/>
              </w:rPr>
            </w:pPr>
            <w:r w:rsidRPr="000E6CA4">
              <w:rPr>
                <w:sz w:val="26"/>
                <w:szCs w:val="26"/>
              </w:rPr>
              <w:t>0</w:t>
            </w:r>
          </w:p>
        </w:tc>
        <w:tc>
          <w:tcPr>
            <w:tcW w:w="828" w:type="pct"/>
            <w:vAlign w:val="center"/>
          </w:tcPr>
          <w:p w:rsidR="00FD632E" w:rsidRPr="000E6CA4" w:rsidRDefault="00FD632E" w:rsidP="0014630D">
            <w:pPr>
              <w:pStyle w:val="naisf"/>
              <w:spacing w:before="0" w:after="0"/>
              <w:ind w:firstLine="0"/>
              <w:jc w:val="center"/>
              <w:rPr>
                <w:sz w:val="26"/>
                <w:szCs w:val="26"/>
              </w:rPr>
            </w:pPr>
            <w:r w:rsidRPr="000E6CA4">
              <w:rPr>
                <w:sz w:val="26"/>
                <w:szCs w:val="26"/>
              </w:rPr>
              <w:t>0</w:t>
            </w:r>
          </w:p>
        </w:tc>
        <w:tc>
          <w:tcPr>
            <w:tcW w:w="687" w:type="pct"/>
            <w:vAlign w:val="center"/>
          </w:tcPr>
          <w:p w:rsidR="00FD632E" w:rsidRPr="000E6CA4" w:rsidRDefault="00FD632E" w:rsidP="0014630D">
            <w:pPr>
              <w:pStyle w:val="naisf"/>
              <w:spacing w:before="0" w:after="0"/>
              <w:ind w:firstLine="0"/>
              <w:jc w:val="center"/>
              <w:rPr>
                <w:sz w:val="26"/>
                <w:szCs w:val="26"/>
              </w:rPr>
            </w:pPr>
            <w:r w:rsidRPr="000E6CA4">
              <w:rPr>
                <w:sz w:val="26"/>
                <w:szCs w:val="26"/>
              </w:rPr>
              <w:t>0</w:t>
            </w:r>
          </w:p>
        </w:tc>
        <w:tc>
          <w:tcPr>
            <w:tcW w:w="566" w:type="pct"/>
            <w:vAlign w:val="center"/>
          </w:tcPr>
          <w:p w:rsidR="00FD632E" w:rsidRPr="000E6CA4" w:rsidRDefault="00FD632E" w:rsidP="0014630D">
            <w:pPr>
              <w:pStyle w:val="naisf"/>
              <w:spacing w:before="0" w:after="0"/>
              <w:ind w:firstLine="0"/>
              <w:jc w:val="center"/>
              <w:rPr>
                <w:sz w:val="26"/>
                <w:szCs w:val="26"/>
              </w:rPr>
            </w:pPr>
            <w:r w:rsidRPr="000E6CA4">
              <w:rPr>
                <w:sz w:val="26"/>
                <w:szCs w:val="26"/>
              </w:rPr>
              <w:t>0</w:t>
            </w:r>
          </w:p>
        </w:tc>
      </w:tr>
      <w:tr w:rsidR="00FD632E" w:rsidRPr="000E6CA4" w:rsidTr="003119E2">
        <w:tblPrEx>
          <w:jc w:val="center"/>
          <w:tblCellMar>
            <w:top w:w="0" w:type="dxa"/>
            <w:left w:w="108" w:type="dxa"/>
            <w:bottom w:w="0" w:type="dxa"/>
            <w:right w:w="108" w:type="dxa"/>
          </w:tblCellMar>
          <w:tblLook w:val="01E0"/>
        </w:tblPrEx>
        <w:trPr>
          <w:jc w:val="center"/>
        </w:trPr>
        <w:tc>
          <w:tcPr>
            <w:tcW w:w="1438" w:type="pct"/>
          </w:tcPr>
          <w:p w:rsidR="00FD632E" w:rsidRPr="000E6CA4" w:rsidRDefault="00FD632E" w:rsidP="0014630D">
            <w:pPr>
              <w:pStyle w:val="naisf"/>
              <w:spacing w:before="0" w:after="0"/>
              <w:ind w:firstLine="0"/>
              <w:rPr>
                <w:i/>
                <w:sz w:val="26"/>
                <w:szCs w:val="26"/>
              </w:rPr>
            </w:pPr>
            <w:r w:rsidRPr="000E6CA4">
              <w:rPr>
                <w:sz w:val="26"/>
                <w:szCs w:val="26"/>
              </w:rPr>
              <w:t>1.3. pašvaldību budžets</w:t>
            </w:r>
          </w:p>
        </w:tc>
        <w:tc>
          <w:tcPr>
            <w:tcW w:w="757" w:type="pct"/>
            <w:vAlign w:val="center"/>
          </w:tcPr>
          <w:p w:rsidR="00FD632E" w:rsidRPr="000E6CA4" w:rsidRDefault="00FD632E" w:rsidP="0014630D">
            <w:pPr>
              <w:pStyle w:val="naisf"/>
              <w:spacing w:before="0" w:after="0"/>
              <w:ind w:firstLine="0"/>
              <w:jc w:val="center"/>
              <w:rPr>
                <w:sz w:val="26"/>
                <w:szCs w:val="26"/>
              </w:rPr>
            </w:pPr>
            <w:r w:rsidRPr="000E6CA4">
              <w:rPr>
                <w:sz w:val="26"/>
                <w:szCs w:val="26"/>
              </w:rPr>
              <w:t>0</w:t>
            </w:r>
          </w:p>
        </w:tc>
        <w:tc>
          <w:tcPr>
            <w:tcW w:w="684" w:type="pct"/>
            <w:vAlign w:val="center"/>
          </w:tcPr>
          <w:p w:rsidR="00FD632E" w:rsidRPr="000E6CA4" w:rsidRDefault="00FD632E" w:rsidP="0014630D">
            <w:pPr>
              <w:pStyle w:val="naisf"/>
              <w:spacing w:before="0" w:after="0"/>
              <w:ind w:firstLine="0"/>
              <w:jc w:val="center"/>
              <w:rPr>
                <w:sz w:val="26"/>
                <w:szCs w:val="26"/>
              </w:rPr>
            </w:pPr>
            <w:r w:rsidRPr="000E6CA4">
              <w:rPr>
                <w:sz w:val="26"/>
                <w:szCs w:val="26"/>
              </w:rPr>
              <w:t>0</w:t>
            </w:r>
          </w:p>
        </w:tc>
        <w:tc>
          <w:tcPr>
            <w:tcW w:w="828" w:type="pct"/>
            <w:vAlign w:val="center"/>
          </w:tcPr>
          <w:p w:rsidR="00FD632E" w:rsidRPr="000E6CA4" w:rsidRDefault="00FD632E" w:rsidP="0014630D">
            <w:pPr>
              <w:pStyle w:val="naisf"/>
              <w:spacing w:before="0" w:after="0"/>
              <w:ind w:firstLine="0"/>
              <w:jc w:val="center"/>
              <w:rPr>
                <w:sz w:val="26"/>
                <w:szCs w:val="26"/>
              </w:rPr>
            </w:pPr>
            <w:r w:rsidRPr="000E6CA4">
              <w:rPr>
                <w:sz w:val="26"/>
                <w:szCs w:val="26"/>
              </w:rPr>
              <w:t>0</w:t>
            </w:r>
          </w:p>
        </w:tc>
        <w:tc>
          <w:tcPr>
            <w:tcW w:w="687" w:type="pct"/>
            <w:vAlign w:val="center"/>
          </w:tcPr>
          <w:p w:rsidR="00FD632E" w:rsidRPr="000E6CA4" w:rsidRDefault="00FD632E" w:rsidP="0014630D">
            <w:pPr>
              <w:pStyle w:val="naisf"/>
              <w:spacing w:before="0" w:after="0"/>
              <w:ind w:firstLine="0"/>
              <w:jc w:val="center"/>
              <w:rPr>
                <w:sz w:val="26"/>
                <w:szCs w:val="26"/>
              </w:rPr>
            </w:pPr>
            <w:r w:rsidRPr="000E6CA4">
              <w:rPr>
                <w:sz w:val="26"/>
                <w:szCs w:val="26"/>
              </w:rPr>
              <w:t>0</w:t>
            </w:r>
          </w:p>
        </w:tc>
        <w:tc>
          <w:tcPr>
            <w:tcW w:w="566" w:type="pct"/>
            <w:vAlign w:val="center"/>
          </w:tcPr>
          <w:p w:rsidR="00FD632E" w:rsidRPr="000E6CA4" w:rsidRDefault="00FD632E" w:rsidP="0014630D">
            <w:pPr>
              <w:pStyle w:val="naisf"/>
              <w:spacing w:before="0" w:after="0"/>
              <w:ind w:firstLine="0"/>
              <w:jc w:val="center"/>
              <w:rPr>
                <w:sz w:val="26"/>
                <w:szCs w:val="26"/>
              </w:rPr>
            </w:pPr>
            <w:r w:rsidRPr="000E6CA4">
              <w:rPr>
                <w:sz w:val="26"/>
                <w:szCs w:val="26"/>
              </w:rPr>
              <w:t>0</w:t>
            </w:r>
          </w:p>
        </w:tc>
      </w:tr>
      <w:tr w:rsidR="00B121D5" w:rsidRPr="000E6CA4" w:rsidTr="003119E2">
        <w:tblPrEx>
          <w:jc w:val="center"/>
          <w:tblCellMar>
            <w:top w:w="0" w:type="dxa"/>
            <w:left w:w="108" w:type="dxa"/>
            <w:bottom w:w="0" w:type="dxa"/>
            <w:right w:w="108" w:type="dxa"/>
          </w:tblCellMar>
          <w:tblLook w:val="01E0"/>
        </w:tblPrEx>
        <w:trPr>
          <w:jc w:val="center"/>
        </w:trPr>
        <w:tc>
          <w:tcPr>
            <w:tcW w:w="1438" w:type="pct"/>
          </w:tcPr>
          <w:p w:rsidR="00B121D5" w:rsidRPr="000E6CA4" w:rsidRDefault="00B121D5" w:rsidP="0014630D">
            <w:pPr>
              <w:jc w:val="both"/>
              <w:rPr>
                <w:sz w:val="26"/>
                <w:szCs w:val="26"/>
              </w:rPr>
            </w:pPr>
            <w:r w:rsidRPr="000E6CA4">
              <w:rPr>
                <w:sz w:val="26"/>
                <w:szCs w:val="26"/>
              </w:rPr>
              <w:t>2. Budžeta izdevumi:</w:t>
            </w:r>
          </w:p>
        </w:tc>
        <w:tc>
          <w:tcPr>
            <w:tcW w:w="757" w:type="pct"/>
            <w:vAlign w:val="center"/>
          </w:tcPr>
          <w:p w:rsidR="00B121D5" w:rsidRPr="000E6CA4" w:rsidRDefault="00B121D5" w:rsidP="0014630D">
            <w:pPr>
              <w:pStyle w:val="naisf"/>
              <w:spacing w:before="0" w:after="0"/>
              <w:ind w:firstLine="0"/>
              <w:jc w:val="center"/>
              <w:rPr>
                <w:b/>
                <w:sz w:val="26"/>
                <w:szCs w:val="26"/>
              </w:rPr>
            </w:pPr>
            <w:r w:rsidRPr="000E6CA4">
              <w:rPr>
                <w:b/>
                <w:sz w:val="26"/>
                <w:szCs w:val="26"/>
              </w:rPr>
              <w:t>0</w:t>
            </w:r>
          </w:p>
        </w:tc>
        <w:tc>
          <w:tcPr>
            <w:tcW w:w="684" w:type="pct"/>
            <w:vAlign w:val="center"/>
          </w:tcPr>
          <w:p w:rsidR="00B121D5" w:rsidRPr="000E6CA4" w:rsidRDefault="00B121D5" w:rsidP="0014630D">
            <w:pPr>
              <w:pStyle w:val="naisf"/>
              <w:spacing w:before="0" w:after="0"/>
              <w:ind w:firstLine="0"/>
              <w:jc w:val="center"/>
              <w:rPr>
                <w:b/>
                <w:sz w:val="26"/>
                <w:szCs w:val="26"/>
              </w:rPr>
            </w:pPr>
            <w:r w:rsidRPr="000E6CA4">
              <w:rPr>
                <w:b/>
                <w:sz w:val="26"/>
                <w:szCs w:val="26"/>
              </w:rPr>
              <w:t>0</w:t>
            </w:r>
          </w:p>
        </w:tc>
        <w:tc>
          <w:tcPr>
            <w:tcW w:w="828" w:type="pct"/>
          </w:tcPr>
          <w:p w:rsidR="00B121D5" w:rsidRPr="000E6CA4" w:rsidRDefault="00B121D5" w:rsidP="00B121D5">
            <w:pPr>
              <w:jc w:val="center"/>
              <w:rPr>
                <w:sz w:val="26"/>
                <w:szCs w:val="26"/>
              </w:rPr>
            </w:pPr>
            <w:r w:rsidRPr="000E6CA4">
              <w:rPr>
                <w:b/>
                <w:sz w:val="26"/>
                <w:szCs w:val="26"/>
              </w:rPr>
              <w:t>0</w:t>
            </w:r>
          </w:p>
        </w:tc>
        <w:tc>
          <w:tcPr>
            <w:tcW w:w="687" w:type="pct"/>
          </w:tcPr>
          <w:p w:rsidR="00B121D5" w:rsidRPr="000E6CA4" w:rsidRDefault="00B121D5" w:rsidP="00B121D5">
            <w:pPr>
              <w:jc w:val="center"/>
              <w:rPr>
                <w:sz w:val="26"/>
                <w:szCs w:val="26"/>
              </w:rPr>
            </w:pPr>
            <w:r w:rsidRPr="000E6CA4">
              <w:rPr>
                <w:b/>
                <w:sz w:val="26"/>
                <w:szCs w:val="26"/>
              </w:rPr>
              <w:t>0</w:t>
            </w:r>
          </w:p>
        </w:tc>
        <w:tc>
          <w:tcPr>
            <w:tcW w:w="566" w:type="pct"/>
          </w:tcPr>
          <w:p w:rsidR="00B121D5" w:rsidRPr="000E6CA4" w:rsidRDefault="00B121D5" w:rsidP="00B121D5">
            <w:pPr>
              <w:jc w:val="center"/>
              <w:rPr>
                <w:sz w:val="26"/>
                <w:szCs w:val="26"/>
              </w:rPr>
            </w:pPr>
            <w:r w:rsidRPr="000E6CA4">
              <w:rPr>
                <w:b/>
                <w:sz w:val="26"/>
                <w:szCs w:val="26"/>
              </w:rPr>
              <w:t>0</w:t>
            </w:r>
          </w:p>
        </w:tc>
      </w:tr>
      <w:tr w:rsidR="00B121D5" w:rsidRPr="000E6CA4" w:rsidTr="003119E2">
        <w:tblPrEx>
          <w:jc w:val="center"/>
          <w:tblCellMar>
            <w:top w:w="0" w:type="dxa"/>
            <w:left w:w="108" w:type="dxa"/>
            <w:bottom w:w="0" w:type="dxa"/>
            <w:right w:w="108" w:type="dxa"/>
          </w:tblCellMar>
          <w:tblLook w:val="01E0"/>
        </w:tblPrEx>
        <w:trPr>
          <w:jc w:val="center"/>
        </w:trPr>
        <w:tc>
          <w:tcPr>
            <w:tcW w:w="1438" w:type="pct"/>
          </w:tcPr>
          <w:p w:rsidR="00B121D5" w:rsidRPr="000E6CA4" w:rsidRDefault="00B121D5" w:rsidP="0014630D">
            <w:pPr>
              <w:jc w:val="both"/>
              <w:rPr>
                <w:sz w:val="26"/>
                <w:szCs w:val="26"/>
              </w:rPr>
            </w:pPr>
            <w:r w:rsidRPr="000E6CA4">
              <w:rPr>
                <w:sz w:val="26"/>
                <w:szCs w:val="26"/>
              </w:rPr>
              <w:t>2.1. valsts pamatbudžets</w:t>
            </w:r>
          </w:p>
        </w:tc>
        <w:tc>
          <w:tcPr>
            <w:tcW w:w="757" w:type="pct"/>
            <w:vAlign w:val="center"/>
          </w:tcPr>
          <w:p w:rsidR="00B121D5" w:rsidRPr="000E6CA4" w:rsidRDefault="00B121D5" w:rsidP="0014630D">
            <w:pPr>
              <w:pStyle w:val="naisf"/>
              <w:spacing w:before="0" w:after="0"/>
              <w:ind w:firstLine="0"/>
              <w:jc w:val="center"/>
              <w:rPr>
                <w:sz w:val="26"/>
                <w:szCs w:val="26"/>
              </w:rPr>
            </w:pPr>
            <w:r w:rsidRPr="000E6CA4">
              <w:rPr>
                <w:sz w:val="26"/>
                <w:szCs w:val="26"/>
              </w:rPr>
              <w:t>0</w:t>
            </w:r>
          </w:p>
        </w:tc>
        <w:tc>
          <w:tcPr>
            <w:tcW w:w="684" w:type="pct"/>
            <w:vAlign w:val="center"/>
          </w:tcPr>
          <w:p w:rsidR="00B121D5" w:rsidRPr="000E6CA4" w:rsidRDefault="00B121D5" w:rsidP="0014630D">
            <w:pPr>
              <w:pStyle w:val="naisf"/>
              <w:spacing w:before="0" w:after="0"/>
              <w:ind w:firstLine="0"/>
              <w:jc w:val="center"/>
              <w:rPr>
                <w:sz w:val="26"/>
                <w:szCs w:val="26"/>
              </w:rPr>
            </w:pPr>
            <w:r w:rsidRPr="000E6CA4">
              <w:rPr>
                <w:sz w:val="26"/>
                <w:szCs w:val="26"/>
              </w:rPr>
              <w:t>0</w:t>
            </w:r>
          </w:p>
        </w:tc>
        <w:tc>
          <w:tcPr>
            <w:tcW w:w="828" w:type="pct"/>
          </w:tcPr>
          <w:p w:rsidR="00B121D5" w:rsidRPr="000E6CA4" w:rsidRDefault="00B121D5" w:rsidP="00B121D5">
            <w:pPr>
              <w:jc w:val="center"/>
              <w:rPr>
                <w:sz w:val="26"/>
                <w:szCs w:val="26"/>
              </w:rPr>
            </w:pPr>
            <w:r w:rsidRPr="000E6CA4">
              <w:rPr>
                <w:sz w:val="26"/>
                <w:szCs w:val="26"/>
              </w:rPr>
              <w:t>0</w:t>
            </w:r>
          </w:p>
        </w:tc>
        <w:tc>
          <w:tcPr>
            <w:tcW w:w="687" w:type="pct"/>
          </w:tcPr>
          <w:p w:rsidR="00B121D5" w:rsidRPr="000E6CA4" w:rsidRDefault="00B121D5" w:rsidP="00B121D5">
            <w:pPr>
              <w:jc w:val="center"/>
              <w:rPr>
                <w:sz w:val="26"/>
                <w:szCs w:val="26"/>
              </w:rPr>
            </w:pPr>
            <w:r w:rsidRPr="000E6CA4">
              <w:rPr>
                <w:sz w:val="26"/>
                <w:szCs w:val="26"/>
              </w:rPr>
              <w:t>0</w:t>
            </w:r>
          </w:p>
        </w:tc>
        <w:tc>
          <w:tcPr>
            <w:tcW w:w="566" w:type="pct"/>
          </w:tcPr>
          <w:p w:rsidR="00B121D5" w:rsidRPr="000E6CA4" w:rsidRDefault="00B121D5" w:rsidP="00B121D5">
            <w:pPr>
              <w:jc w:val="center"/>
              <w:rPr>
                <w:sz w:val="26"/>
                <w:szCs w:val="26"/>
              </w:rPr>
            </w:pPr>
            <w:r w:rsidRPr="000E6CA4">
              <w:rPr>
                <w:sz w:val="26"/>
                <w:szCs w:val="26"/>
              </w:rPr>
              <w:t>0</w:t>
            </w:r>
          </w:p>
        </w:tc>
      </w:tr>
      <w:tr w:rsidR="00FD632E" w:rsidRPr="000E6CA4" w:rsidTr="003119E2">
        <w:tblPrEx>
          <w:jc w:val="center"/>
          <w:tblCellMar>
            <w:top w:w="0" w:type="dxa"/>
            <w:left w:w="108" w:type="dxa"/>
            <w:bottom w:w="0" w:type="dxa"/>
            <w:right w:w="108" w:type="dxa"/>
          </w:tblCellMar>
          <w:tblLook w:val="01E0"/>
        </w:tblPrEx>
        <w:trPr>
          <w:jc w:val="center"/>
        </w:trPr>
        <w:tc>
          <w:tcPr>
            <w:tcW w:w="1438" w:type="pct"/>
          </w:tcPr>
          <w:p w:rsidR="00FD632E" w:rsidRPr="000E6CA4" w:rsidRDefault="00FD632E" w:rsidP="0014630D">
            <w:pPr>
              <w:jc w:val="both"/>
              <w:rPr>
                <w:sz w:val="26"/>
                <w:szCs w:val="26"/>
              </w:rPr>
            </w:pPr>
            <w:r w:rsidRPr="000E6CA4">
              <w:rPr>
                <w:sz w:val="26"/>
                <w:szCs w:val="26"/>
              </w:rPr>
              <w:t>2.2. valsts speciālais budžets</w:t>
            </w:r>
          </w:p>
        </w:tc>
        <w:tc>
          <w:tcPr>
            <w:tcW w:w="757" w:type="pct"/>
            <w:vAlign w:val="center"/>
          </w:tcPr>
          <w:p w:rsidR="00FD632E" w:rsidRPr="000E6CA4" w:rsidRDefault="00FD632E" w:rsidP="0014630D">
            <w:pPr>
              <w:pStyle w:val="naisf"/>
              <w:spacing w:before="0" w:after="0"/>
              <w:ind w:firstLine="0"/>
              <w:jc w:val="center"/>
              <w:rPr>
                <w:sz w:val="26"/>
                <w:szCs w:val="26"/>
              </w:rPr>
            </w:pPr>
            <w:r w:rsidRPr="000E6CA4">
              <w:rPr>
                <w:sz w:val="26"/>
                <w:szCs w:val="26"/>
              </w:rPr>
              <w:t>0</w:t>
            </w:r>
          </w:p>
        </w:tc>
        <w:tc>
          <w:tcPr>
            <w:tcW w:w="684" w:type="pct"/>
            <w:vAlign w:val="center"/>
          </w:tcPr>
          <w:p w:rsidR="00FD632E" w:rsidRPr="000E6CA4" w:rsidRDefault="00FD632E" w:rsidP="0014630D">
            <w:pPr>
              <w:pStyle w:val="naisf"/>
              <w:spacing w:before="0" w:after="0"/>
              <w:ind w:firstLine="0"/>
              <w:jc w:val="center"/>
              <w:rPr>
                <w:sz w:val="26"/>
                <w:szCs w:val="26"/>
              </w:rPr>
            </w:pPr>
            <w:r w:rsidRPr="000E6CA4">
              <w:rPr>
                <w:sz w:val="26"/>
                <w:szCs w:val="26"/>
              </w:rPr>
              <w:t>0</w:t>
            </w:r>
          </w:p>
        </w:tc>
        <w:tc>
          <w:tcPr>
            <w:tcW w:w="828" w:type="pct"/>
            <w:vAlign w:val="center"/>
          </w:tcPr>
          <w:p w:rsidR="00FD632E" w:rsidRPr="000E6CA4" w:rsidRDefault="00FD632E" w:rsidP="0014630D">
            <w:pPr>
              <w:pStyle w:val="naisf"/>
              <w:spacing w:before="0" w:after="0"/>
              <w:ind w:firstLine="0"/>
              <w:jc w:val="center"/>
              <w:rPr>
                <w:sz w:val="26"/>
                <w:szCs w:val="26"/>
              </w:rPr>
            </w:pPr>
            <w:r w:rsidRPr="000E6CA4">
              <w:rPr>
                <w:sz w:val="26"/>
                <w:szCs w:val="26"/>
              </w:rPr>
              <w:t>0</w:t>
            </w:r>
          </w:p>
        </w:tc>
        <w:tc>
          <w:tcPr>
            <w:tcW w:w="687" w:type="pct"/>
            <w:vAlign w:val="center"/>
          </w:tcPr>
          <w:p w:rsidR="00FD632E" w:rsidRPr="000E6CA4" w:rsidRDefault="00FD632E" w:rsidP="0014630D">
            <w:pPr>
              <w:pStyle w:val="naisf"/>
              <w:spacing w:before="0" w:after="0"/>
              <w:ind w:firstLine="0"/>
              <w:jc w:val="center"/>
              <w:rPr>
                <w:sz w:val="26"/>
                <w:szCs w:val="26"/>
              </w:rPr>
            </w:pPr>
            <w:r w:rsidRPr="000E6CA4">
              <w:rPr>
                <w:sz w:val="26"/>
                <w:szCs w:val="26"/>
              </w:rPr>
              <w:t>0</w:t>
            </w:r>
          </w:p>
        </w:tc>
        <w:tc>
          <w:tcPr>
            <w:tcW w:w="566" w:type="pct"/>
            <w:vAlign w:val="center"/>
          </w:tcPr>
          <w:p w:rsidR="00FD632E" w:rsidRPr="000E6CA4" w:rsidRDefault="00FD632E" w:rsidP="0014630D">
            <w:pPr>
              <w:pStyle w:val="naisf"/>
              <w:spacing w:before="0" w:after="0"/>
              <w:ind w:firstLine="0"/>
              <w:jc w:val="center"/>
              <w:rPr>
                <w:sz w:val="26"/>
                <w:szCs w:val="26"/>
              </w:rPr>
            </w:pPr>
            <w:r w:rsidRPr="000E6CA4">
              <w:rPr>
                <w:sz w:val="26"/>
                <w:szCs w:val="26"/>
              </w:rPr>
              <w:t>0</w:t>
            </w:r>
          </w:p>
        </w:tc>
      </w:tr>
      <w:tr w:rsidR="00FD632E" w:rsidRPr="000E6CA4" w:rsidTr="003119E2">
        <w:tblPrEx>
          <w:jc w:val="center"/>
          <w:tblCellMar>
            <w:top w:w="0" w:type="dxa"/>
            <w:left w:w="108" w:type="dxa"/>
            <w:bottom w:w="0" w:type="dxa"/>
            <w:right w:w="108" w:type="dxa"/>
          </w:tblCellMar>
          <w:tblLook w:val="01E0"/>
        </w:tblPrEx>
        <w:trPr>
          <w:jc w:val="center"/>
        </w:trPr>
        <w:tc>
          <w:tcPr>
            <w:tcW w:w="1438" w:type="pct"/>
          </w:tcPr>
          <w:p w:rsidR="00FD632E" w:rsidRPr="000E6CA4" w:rsidRDefault="00FD632E" w:rsidP="0014630D">
            <w:pPr>
              <w:jc w:val="both"/>
              <w:rPr>
                <w:sz w:val="26"/>
                <w:szCs w:val="26"/>
              </w:rPr>
            </w:pPr>
            <w:r w:rsidRPr="000E6CA4">
              <w:rPr>
                <w:sz w:val="26"/>
                <w:szCs w:val="26"/>
              </w:rPr>
              <w:t xml:space="preserve">2.3. pašvaldību budžets </w:t>
            </w:r>
          </w:p>
        </w:tc>
        <w:tc>
          <w:tcPr>
            <w:tcW w:w="757" w:type="pct"/>
            <w:vAlign w:val="center"/>
          </w:tcPr>
          <w:p w:rsidR="00FD632E" w:rsidRPr="000E6CA4" w:rsidRDefault="00FD632E" w:rsidP="0014630D">
            <w:pPr>
              <w:pStyle w:val="naisf"/>
              <w:spacing w:before="0" w:after="0"/>
              <w:ind w:firstLine="0"/>
              <w:jc w:val="center"/>
              <w:rPr>
                <w:sz w:val="26"/>
                <w:szCs w:val="26"/>
              </w:rPr>
            </w:pPr>
            <w:r w:rsidRPr="000E6CA4">
              <w:rPr>
                <w:sz w:val="26"/>
                <w:szCs w:val="26"/>
              </w:rPr>
              <w:t>0</w:t>
            </w:r>
          </w:p>
        </w:tc>
        <w:tc>
          <w:tcPr>
            <w:tcW w:w="684" w:type="pct"/>
            <w:vAlign w:val="center"/>
          </w:tcPr>
          <w:p w:rsidR="00FD632E" w:rsidRPr="000E6CA4" w:rsidRDefault="00FD632E" w:rsidP="0014630D">
            <w:pPr>
              <w:pStyle w:val="naisf"/>
              <w:spacing w:before="0" w:after="0"/>
              <w:ind w:firstLine="0"/>
              <w:jc w:val="center"/>
              <w:rPr>
                <w:sz w:val="26"/>
                <w:szCs w:val="26"/>
              </w:rPr>
            </w:pPr>
            <w:r w:rsidRPr="000E6CA4">
              <w:rPr>
                <w:sz w:val="26"/>
                <w:szCs w:val="26"/>
              </w:rPr>
              <w:t>0</w:t>
            </w:r>
          </w:p>
        </w:tc>
        <w:tc>
          <w:tcPr>
            <w:tcW w:w="828" w:type="pct"/>
            <w:vAlign w:val="center"/>
          </w:tcPr>
          <w:p w:rsidR="00FD632E" w:rsidRPr="000E6CA4" w:rsidRDefault="00FD632E" w:rsidP="0014630D">
            <w:pPr>
              <w:pStyle w:val="naisf"/>
              <w:spacing w:before="0" w:after="0"/>
              <w:ind w:firstLine="0"/>
              <w:jc w:val="center"/>
              <w:rPr>
                <w:sz w:val="26"/>
                <w:szCs w:val="26"/>
              </w:rPr>
            </w:pPr>
            <w:r w:rsidRPr="000E6CA4">
              <w:rPr>
                <w:sz w:val="26"/>
                <w:szCs w:val="26"/>
              </w:rPr>
              <w:t>0</w:t>
            </w:r>
          </w:p>
        </w:tc>
        <w:tc>
          <w:tcPr>
            <w:tcW w:w="687" w:type="pct"/>
            <w:vAlign w:val="center"/>
          </w:tcPr>
          <w:p w:rsidR="00FD632E" w:rsidRPr="000E6CA4" w:rsidRDefault="00FD632E" w:rsidP="0014630D">
            <w:pPr>
              <w:pStyle w:val="naisf"/>
              <w:spacing w:before="0" w:after="0"/>
              <w:ind w:firstLine="0"/>
              <w:jc w:val="center"/>
              <w:rPr>
                <w:sz w:val="26"/>
                <w:szCs w:val="26"/>
              </w:rPr>
            </w:pPr>
            <w:r w:rsidRPr="000E6CA4">
              <w:rPr>
                <w:sz w:val="26"/>
                <w:szCs w:val="26"/>
              </w:rPr>
              <w:t>0</w:t>
            </w:r>
          </w:p>
        </w:tc>
        <w:tc>
          <w:tcPr>
            <w:tcW w:w="566" w:type="pct"/>
            <w:vAlign w:val="center"/>
          </w:tcPr>
          <w:p w:rsidR="00FD632E" w:rsidRPr="000E6CA4" w:rsidRDefault="00FD632E" w:rsidP="0014630D">
            <w:pPr>
              <w:pStyle w:val="naisf"/>
              <w:spacing w:before="0" w:after="0"/>
              <w:ind w:firstLine="0"/>
              <w:jc w:val="center"/>
              <w:rPr>
                <w:sz w:val="26"/>
                <w:szCs w:val="26"/>
              </w:rPr>
            </w:pPr>
            <w:r w:rsidRPr="000E6CA4">
              <w:rPr>
                <w:sz w:val="26"/>
                <w:szCs w:val="26"/>
              </w:rPr>
              <w:t>0</w:t>
            </w:r>
          </w:p>
        </w:tc>
      </w:tr>
      <w:tr w:rsidR="00B121D5" w:rsidRPr="000E6CA4" w:rsidTr="003119E2">
        <w:tblPrEx>
          <w:jc w:val="center"/>
          <w:tblCellMar>
            <w:top w:w="0" w:type="dxa"/>
            <w:left w:w="108" w:type="dxa"/>
            <w:bottom w:w="0" w:type="dxa"/>
            <w:right w:w="108" w:type="dxa"/>
          </w:tblCellMar>
          <w:tblLook w:val="01E0"/>
        </w:tblPrEx>
        <w:trPr>
          <w:jc w:val="center"/>
        </w:trPr>
        <w:tc>
          <w:tcPr>
            <w:tcW w:w="1438" w:type="pct"/>
          </w:tcPr>
          <w:p w:rsidR="00B121D5" w:rsidRPr="000E6CA4" w:rsidRDefault="00B121D5" w:rsidP="0014630D">
            <w:pPr>
              <w:jc w:val="both"/>
              <w:rPr>
                <w:sz w:val="26"/>
                <w:szCs w:val="26"/>
              </w:rPr>
            </w:pPr>
            <w:r w:rsidRPr="000E6CA4">
              <w:rPr>
                <w:sz w:val="26"/>
                <w:szCs w:val="26"/>
              </w:rPr>
              <w:t>3. Finansiālā ietekme:</w:t>
            </w:r>
          </w:p>
        </w:tc>
        <w:tc>
          <w:tcPr>
            <w:tcW w:w="757" w:type="pct"/>
            <w:shd w:val="clear" w:color="auto" w:fill="auto"/>
            <w:vAlign w:val="center"/>
          </w:tcPr>
          <w:p w:rsidR="00B121D5" w:rsidRPr="000E6CA4" w:rsidRDefault="00B121D5" w:rsidP="0014630D">
            <w:pPr>
              <w:pStyle w:val="naisf"/>
              <w:spacing w:before="0" w:after="0"/>
              <w:ind w:firstLine="0"/>
              <w:jc w:val="center"/>
              <w:rPr>
                <w:sz w:val="26"/>
                <w:szCs w:val="26"/>
              </w:rPr>
            </w:pPr>
            <w:r w:rsidRPr="000E6CA4">
              <w:rPr>
                <w:sz w:val="26"/>
                <w:szCs w:val="26"/>
              </w:rPr>
              <w:t>0</w:t>
            </w:r>
          </w:p>
        </w:tc>
        <w:tc>
          <w:tcPr>
            <w:tcW w:w="684" w:type="pct"/>
            <w:vAlign w:val="center"/>
          </w:tcPr>
          <w:p w:rsidR="00B121D5" w:rsidRPr="000E6CA4" w:rsidRDefault="00B121D5" w:rsidP="0014630D">
            <w:pPr>
              <w:pStyle w:val="naisf"/>
              <w:spacing w:before="0" w:after="0"/>
              <w:ind w:firstLine="0"/>
              <w:jc w:val="center"/>
              <w:rPr>
                <w:sz w:val="26"/>
                <w:szCs w:val="26"/>
              </w:rPr>
            </w:pPr>
            <w:r w:rsidRPr="000E6CA4">
              <w:rPr>
                <w:sz w:val="26"/>
                <w:szCs w:val="26"/>
              </w:rPr>
              <w:t>0</w:t>
            </w:r>
          </w:p>
        </w:tc>
        <w:tc>
          <w:tcPr>
            <w:tcW w:w="828" w:type="pct"/>
          </w:tcPr>
          <w:p w:rsidR="00B121D5" w:rsidRPr="000E6CA4" w:rsidRDefault="00B121D5" w:rsidP="005B6C23">
            <w:pPr>
              <w:jc w:val="center"/>
              <w:rPr>
                <w:sz w:val="26"/>
                <w:szCs w:val="26"/>
              </w:rPr>
            </w:pPr>
            <w:r w:rsidRPr="000E6CA4">
              <w:rPr>
                <w:sz w:val="26"/>
                <w:szCs w:val="26"/>
              </w:rPr>
              <w:t>0</w:t>
            </w:r>
          </w:p>
        </w:tc>
        <w:tc>
          <w:tcPr>
            <w:tcW w:w="687" w:type="pct"/>
          </w:tcPr>
          <w:p w:rsidR="00B121D5" w:rsidRPr="000E6CA4" w:rsidRDefault="00B121D5" w:rsidP="005B6C23">
            <w:pPr>
              <w:jc w:val="center"/>
              <w:rPr>
                <w:sz w:val="26"/>
                <w:szCs w:val="26"/>
              </w:rPr>
            </w:pPr>
            <w:r w:rsidRPr="000E6CA4">
              <w:rPr>
                <w:sz w:val="26"/>
                <w:szCs w:val="26"/>
              </w:rPr>
              <w:t>0</w:t>
            </w:r>
          </w:p>
        </w:tc>
        <w:tc>
          <w:tcPr>
            <w:tcW w:w="566" w:type="pct"/>
          </w:tcPr>
          <w:p w:rsidR="00B121D5" w:rsidRPr="000E6CA4" w:rsidRDefault="00B121D5" w:rsidP="005B6C23">
            <w:pPr>
              <w:jc w:val="center"/>
              <w:rPr>
                <w:sz w:val="26"/>
                <w:szCs w:val="26"/>
              </w:rPr>
            </w:pPr>
            <w:r w:rsidRPr="000E6CA4">
              <w:rPr>
                <w:sz w:val="26"/>
                <w:szCs w:val="26"/>
              </w:rPr>
              <w:t>0</w:t>
            </w:r>
          </w:p>
        </w:tc>
      </w:tr>
      <w:tr w:rsidR="00B121D5" w:rsidRPr="000E6CA4" w:rsidTr="003119E2">
        <w:tblPrEx>
          <w:jc w:val="center"/>
          <w:tblCellMar>
            <w:top w:w="0" w:type="dxa"/>
            <w:left w:w="108" w:type="dxa"/>
            <w:bottom w:w="0" w:type="dxa"/>
            <w:right w:w="108" w:type="dxa"/>
          </w:tblCellMar>
          <w:tblLook w:val="01E0"/>
        </w:tblPrEx>
        <w:trPr>
          <w:jc w:val="center"/>
        </w:trPr>
        <w:tc>
          <w:tcPr>
            <w:tcW w:w="1438" w:type="pct"/>
          </w:tcPr>
          <w:p w:rsidR="00B121D5" w:rsidRPr="000E6CA4" w:rsidRDefault="00B121D5" w:rsidP="0014630D">
            <w:pPr>
              <w:jc w:val="both"/>
              <w:rPr>
                <w:sz w:val="26"/>
                <w:szCs w:val="26"/>
              </w:rPr>
            </w:pPr>
            <w:r w:rsidRPr="000E6CA4">
              <w:rPr>
                <w:sz w:val="26"/>
                <w:szCs w:val="26"/>
              </w:rPr>
              <w:t>3.1. valsts pamatbudžets</w:t>
            </w:r>
          </w:p>
        </w:tc>
        <w:tc>
          <w:tcPr>
            <w:tcW w:w="757" w:type="pct"/>
            <w:shd w:val="clear" w:color="auto" w:fill="auto"/>
            <w:vAlign w:val="center"/>
          </w:tcPr>
          <w:p w:rsidR="00B121D5" w:rsidRPr="000E6CA4" w:rsidRDefault="00B121D5" w:rsidP="0014630D">
            <w:pPr>
              <w:pStyle w:val="naisf"/>
              <w:spacing w:before="0" w:after="0"/>
              <w:ind w:firstLine="0"/>
              <w:jc w:val="center"/>
              <w:rPr>
                <w:sz w:val="26"/>
                <w:szCs w:val="26"/>
              </w:rPr>
            </w:pPr>
            <w:r w:rsidRPr="000E6CA4">
              <w:rPr>
                <w:sz w:val="26"/>
                <w:szCs w:val="26"/>
              </w:rPr>
              <w:t>0</w:t>
            </w:r>
          </w:p>
        </w:tc>
        <w:tc>
          <w:tcPr>
            <w:tcW w:w="684" w:type="pct"/>
            <w:vAlign w:val="center"/>
          </w:tcPr>
          <w:p w:rsidR="00B121D5" w:rsidRPr="000E6CA4" w:rsidRDefault="00B121D5" w:rsidP="0014630D">
            <w:pPr>
              <w:pStyle w:val="naisf"/>
              <w:spacing w:before="0" w:after="0"/>
              <w:ind w:firstLine="0"/>
              <w:jc w:val="center"/>
              <w:rPr>
                <w:sz w:val="26"/>
                <w:szCs w:val="26"/>
              </w:rPr>
            </w:pPr>
            <w:r w:rsidRPr="000E6CA4">
              <w:rPr>
                <w:sz w:val="26"/>
                <w:szCs w:val="26"/>
              </w:rPr>
              <w:t>0</w:t>
            </w:r>
          </w:p>
        </w:tc>
        <w:tc>
          <w:tcPr>
            <w:tcW w:w="828" w:type="pct"/>
          </w:tcPr>
          <w:p w:rsidR="00B121D5" w:rsidRPr="000E6CA4" w:rsidRDefault="00B121D5" w:rsidP="005B6C23">
            <w:pPr>
              <w:jc w:val="center"/>
              <w:rPr>
                <w:sz w:val="26"/>
                <w:szCs w:val="26"/>
              </w:rPr>
            </w:pPr>
            <w:r w:rsidRPr="000E6CA4">
              <w:rPr>
                <w:sz w:val="26"/>
                <w:szCs w:val="26"/>
              </w:rPr>
              <w:t>0</w:t>
            </w:r>
          </w:p>
        </w:tc>
        <w:tc>
          <w:tcPr>
            <w:tcW w:w="687" w:type="pct"/>
          </w:tcPr>
          <w:p w:rsidR="00B121D5" w:rsidRPr="000E6CA4" w:rsidRDefault="00B121D5" w:rsidP="005B6C23">
            <w:pPr>
              <w:jc w:val="center"/>
              <w:rPr>
                <w:sz w:val="26"/>
                <w:szCs w:val="26"/>
              </w:rPr>
            </w:pPr>
            <w:r w:rsidRPr="000E6CA4">
              <w:rPr>
                <w:sz w:val="26"/>
                <w:szCs w:val="26"/>
              </w:rPr>
              <w:t>0</w:t>
            </w:r>
          </w:p>
        </w:tc>
        <w:tc>
          <w:tcPr>
            <w:tcW w:w="566" w:type="pct"/>
          </w:tcPr>
          <w:p w:rsidR="00B121D5" w:rsidRPr="000E6CA4" w:rsidRDefault="00B121D5" w:rsidP="005B6C23">
            <w:pPr>
              <w:jc w:val="center"/>
              <w:rPr>
                <w:sz w:val="26"/>
                <w:szCs w:val="26"/>
              </w:rPr>
            </w:pPr>
            <w:r w:rsidRPr="000E6CA4">
              <w:rPr>
                <w:sz w:val="26"/>
                <w:szCs w:val="26"/>
              </w:rPr>
              <w:t>0</w:t>
            </w:r>
          </w:p>
        </w:tc>
      </w:tr>
      <w:tr w:rsidR="00FD632E" w:rsidRPr="000E6CA4" w:rsidTr="003119E2">
        <w:tblPrEx>
          <w:jc w:val="center"/>
          <w:tblCellMar>
            <w:top w:w="0" w:type="dxa"/>
            <w:left w:w="108" w:type="dxa"/>
            <w:bottom w:w="0" w:type="dxa"/>
            <w:right w:w="108" w:type="dxa"/>
          </w:tblCellMar>
          <w:tblLook w:val="01E0"/>
        </w:tblPrEx>
        <w:trPr>
          <w:jc w:val="center"/>
        </w:trPr>
        <w:tc>
          <w:tcPr>
            <w:tcW w:w="1438" w:type="pct"/>
          </w:tcPr>
          <w:p w:rsidR="00FD632E" w:rsidRPr="000E6CA4" w:rsidRDefault="00FD632E" w:rsidP="0014630D">
            <w:pPr>
              <w:jc w:val="both"/>
              <w:rPr>
                <w:sz w:val="26"/>
                <w:szCs w:val="26"/>
              </w:rPr>
            </w:pPr>
            <w:r w:rsidRPr="000E6CA4">
              <w:rPr>
                <w:sz w:val="26"/>
                <w:szCs w:val="26"/>
              </w:rPr>
              <w:t>3.2. speciālais budžets</w:t>
            </w:r>
          </w:p>
        </w:tc>
        <w:tc>
          <w:tcPr>
            <w:tcW w:w="757" w:type="pct"/>
            <w:shd w:val="clear" w:color="auto" w:fill="auto"/>
            <w:vAlign w:val="center"/>
          </w:tcPr>
          <w:p w:rsidR="00FD632E" w:rsidRPr="000E6CA4" w:rsidRDefault="00FD632E" w:rsidP="0014630D">
            <w:pPr>
              <w:pStyle w:val="naisf"/>
              <w:spacing w:before="0" w:after="0"/>
              <w:ind w:firstLine="0"/>
              <w:jc w:val="center"/>
              <w:rPr>
                <w:sz w:val="26"/>
                <w:szCs w:val="26"/>
              </w:rPr>
            </w:pPr>
            <w:r w:rsidRPr="000E6CA4">
              <w:rPr>
                <w:sz w:val="26"/>
                <w:szCs w:val="26"/>
              </w:rPr>
              <w:t>0</w:t>
            </w:r>
          </w:p>
        </w:tc>
        <w:tc>
          <w:tcPr>
            <w:tcW w:w="684" w:type="pct"/>
            <w:vAlign w:val="center"/>
          </w:tcPr>
          <w:p w:rsidR="00FD632E" w:rsidRPr="000E6CA4" w:rsidRDefault="00FD632E" w:rsidP="0014630D">
            <w:pPr>
              <w:pStyle w:val="naisf"/>
              <w:spacing w:before="0" w:after="0"/>
              <w:ind w:firstLine="0"/>
              <w:jc w:val="center"/>
              <w:rPr>
                <w:sz w:val="26"/>
                <w:szCs w:val="26"/>
              </w:rPr>
            </w:pPr>
            <w:r w:rsidRPr="000E6CA4">
              <w:rPr>
                <w:sz w:val="26"/>
                <w:szCs w:val="26"/>
              </w:rPr>
              <w:t>0</w:t>
            </w:r>
          </w:p>
        </w:tc>
        <w:tc>
          <w:tcPr>
            <w:tcW w:w="828" w:type="pct"/>
            <w:vAlign w:val="center"/>
          </w:tcPr>
          <w:p w:rsidR="00FD632E" w:rsidRPr="000E6CA4" w:rsidRDefault="00FD632E" w:rsidP="0014630D">
            <w:pPr>
              <w:pStyle w:val="naisf"/>
              <w:spacing w:before="0" w:after="0"/>
              <w:ind w:firstLine="0"/>
              <w:jc w:val="center"/>
              <w:rPr>
                <w:sz w:val="26"/>
                <w:szCs w:val="26"/>
              </w:rPr>
            </w:pPr>
            <w:r w:rsidRPr="000E6CA4">
              <w:rPr>
                <w:sz w:val="26"/>
                <w:szCs w:val="26"/>
              </w:rPr>
              <w:t>0</w:t>
            </w:r>
          </w:p>
        </w:tc>
        <w:tc>
          <w:tcPr>
            <w:tcW w:w="687" w:type="pct"/>
            <w:vAlign w:val="center"/>
          </w:tcPr>
          <w:p w:rsidR="00FD632E" w:rsidRPr="000E6CA4" w:rsidRDefault="00FD632E" w:rsidP="0014630D">
            <w:pPr>
              <w:pStyle w:val="naisf"/>
              <w:spacing w:before="0" w:after="0"/>
              <w:ind w:firstLine="0"/>
              <w:jc w:val="center"/>
              <w:rPr>
                <w:sz w:val="26"/>
                <w:szCs w:val="26"/>
              </w:rPr>
            </w:pPr>
            <w:r w:rsidRPr="000E6CA4">
              <w:rPr>
                <w:sz w:val="26"/>
                <w:szCs w:val="26"/>
              </w:rPr>
              <w:t>0</w:t>
            </w:r>
          </w:p>
        </w:tc>
        <w:tc>
          <w:tcPr>
            <w:tcW w:w="566" w:type="pct"/>
            <w:vAlign w:val="center"/>
          </w:tcPr>
          <w:p w:rsidR="00FD632E" w:rsidRPr="000E6CA4" w:rsidRDefault="00FD632E" w:rsidP="0014630D">
            <w:pPr>
              <w:pStyle w:val="naisf"/>
              <w:spacing w:before="0" w:after="0"/>
              <w:ind w:firstLine="0"/>
              <w:jc w:val="center"/>
              <w:rPr>
                <w:sz w:val="26"/>
                <w:szCs w:val="26"/>
              </w:rPr>
            </w:pPr>
            <w:r w:rsidRPr="000E6CA4">
              <w:rPr>
                <w:sz w:val="26"/>
                <w:szCs w:val="26"/>
              </w:rPr>
              <w:t>0</w:t>
            </w:r>
          </w:p>
        </w:tc>
      </w:tr>
      <w:tr w:rsidR="00FD632E" w:rsidRPr="000E6CA4" w:rsidTr="003119E2">
        <w:tblPrEx>
          <w:jc w:val="center"/>
          <w:tblCellMar>
            <w:top w:w="0" w:type="dxa"/>
            <w:left w:w="108" w:type="dxa"/>
            <w:bottom w:w="0" w:type="dxa"/>
            <w:right w:w="108" w:type="dxa"/>
          </w:tblCellMar>
          <w:tblLook w:val="01E0"/>
        </w:tblPrEx>
        <w:trPr>
          <w:jc w:val="center"/>
        </w:trPr>
        <w:tc>
          <w:tcPr>
            <w:tcW w:w="1438" w:type="pct"/>
          </w:tcPr>
          <w:p w:rsidR="00FD632E" w:rsidRPr="000E6CA4" w:rsidRDefault="00FD632E" w:rsidP="0014630D">
            <w:pPr>
              <w:jc w:val="both"/>
              <w:rPr>
                <w:sz w:val="26"/>
                <w:szCs w:val="26"/>
              </w:rPr>
            </w:pPr>
            <w:r w:rsidRPr="000E6CA4">
              <w:rPr>
                <w:sz w:val="26"/>
                <w:szCs w:val="26"/>
              </w:rPr>
              <w:t xml:space="preserve">3.3. pašvaldību budžets </w:t>
            </w:r>
          </w:p>
        </w:tc>
        <w:tc>
          <w:tcPr>
            <w:tcW w:w="757" w:type="pct"/>
            <w:shd w:val="clear" w:color="auto" w:fill="auto"/>
            <w:vAlign w:val="center"/>
          </w:tcPr>
          <w:p w:rsidR="00FD632E" w:rsidRPr="000E6CA4" w:rsidRDefault="00FD632E" w:rsidP="0014630D">
            <w:pPr>
              <w:pStyle w:val="naisf"/>
              <w:spacing w:before="0" w:after="0"/>
              <w:ind w:firstLine="0"/>
              <w:jc w:val="center"/>
              <w:rPr>
                <w:sz w:val="26"/>
                <w:szCs w:val="26"/>
              </w:rPr>
            </w:pPr>
            <w:r w:rsidRPr="000E6CA4">
              <w:rPr>
                <w:sz w:val="26"/>
                <w:szCs w:val="26"/>
              </w:rPr>
              <w:t>0</w:t>
            </w:r>
          </w:p>
        </w:tc>
        <w:tc>
          <w:tcPr>
            <w:tcW w:w="684" w:type="pct"/>
            <w:vAlign w:val="center"/>
          </w:tcPr>
          <w:p w:rsidR="00FD632E" w:rsidRPr="000E6CA4" w:rsidRDefault="00FD632E" w:rsidP="0014630D">
            <w:pPr>
              <w:pStyle w:val="naisf"/>
              <w:spacing w:before="0" w:after="0"/>
              <w:ind w:firstLine="0"/>
              <w:jc w:val="center"/>
              <w:rPr>
                <w:sz w:val="26"/>
                <w:szCs w:val="26"/>
              </w:rPr>
            </w:pPr>
            <w:r w:rsidRPr="000E6CA4">
              <w:rPr>
                <w:sz w:val="26"/>
                <w:szCs w:val="26"/>
              </w:rPr>
              <w:t>0</w:t>
            </w:r>
          </w:p>
        </w:tc>
        <w:tc>
          <w:tcPr>
            <w:tcW w:w="828" w:type="pct"/>
            <w:vAlign w:val="center"/>
          </w:tcPr>
          <w:p w:rsidR="00FD632E" w:rsidRPr="000E6CA4" w:rsidRDefault="00FD632E" w:rsidP="0014630D">
            <w:pPr>
              <w:pStyle w:val="naisf"/>
              <w:spacing w:before="0" w:after="0"/>
              <w:ind w:firstLine="0"/>
              <w:jc w:val="center"/>
              <w:rPr>
                <w:sz w:val="26"/>
                <w:szCs w:val="26"/>
              </w:rPr>
            </w:pPr>
            <w:r w:rsidRPr="000E6CA4">
              <w:rPr>
                <w:sz w:val="26"/>
                <w:szCs w:val="26"/>
              </w:rPr>
              <w:t>0</w:t>
            </w:r>
          </w:p>
        </w:tc>
        <w:tc>
          <w:tcPr>
            <w:tcW w:w="687" w:type="pct"/>
            <w:vAlign w:val="center"/>
          </w:tcPr>
          <w:p w:rsidR="00FD632E" w:rsidRPr="000E6CA4" w:rsidRDefault="00FD632E" w:rsidP="0014630D">
            <w:pPr>
              <w:pStyle w:val="naisf"/>
              <w:spacing w:before="0" w:after="0"/>
              <w:ind w:firstLine="0"/>
              <w:jc w:val="center"/>
              <w:rPr>
                <w:sz w:val="26"/>
                <w:szCs w:val="26"/>
              </w:rPr>
            </w:pPr>
            <w:r w:rsidRPr="000E6CA4">
              <w:rPr>
                <w:sz w:val="26"/>
                <w:szCs w:val="26"/>
              </w:rPr>
              <w:t>0</w:t>
            </w:r>
          </w:p>
        </w:tc>
        <w:tc>
          <w:tcPr>
            <w:tcW w:w="566" w:type="pct"/>
            <w:vAlign w:val="center"/>
          </w:tcPr>
          <w:p w:rsidR="00FD632E" w:rsidRPr="000E6CA4" w:rsidRDefault="00FD632E" w:rsidP="0014630D">
            <w:pPr>
              <w:pStyle w:val="naisf"/>
              <w:spacing w:before="0" w:after="0"/>
              <w:ind w:firstLine="0"/>
              <w:jc w:val="center"/>
              <w:rPr>
                <w:sz w:val="26"/>
                <w:szCs w:val="26"/>
              </w:rPr>
            </w:pPr>
            <w:r w:rsidRPr="000E6CA4">
              <w:rPr>
                <w:sz w:val="26"/>
                <w:szCs w:val="26"/>
              </w:rPr>
              <w:t>0</w:t>
            </w:r>
          </w:p>
        </w:tc>
      </w:tr>
      <w:tr w:rsidR="00B121D5" w:rsidRPr="000E6CA4" w:rsidTr="003119E2">
        <w:tblPrEx>
          <w:jc w:val="center"/>
          <w:tblCellMar>
            <w:top w:w="0" w:type="dxa"/>
            <w:left w:w="108" w:type="dxa"/>
            <w:bottom w:w="0" w:type="dxa"/>
            <w:right w:w="108" w:type="dxa"/>
          </w:tblCellMar>
          <w:tblLook w:val="01E0"/>
        </w:tblPrEx>
        <w:trPr>
          <w:jc w:val="center"/>
        </w:trPr>
        <w:tc>
          <w:tcPr>
            <w:tcW w:w="1438" w:type="pct"/>
            <w:vMerge w:val="restart"/>
          </w:tcPr>
          <w:p w:rsidR="00B121D5" w:rsidRPr="000E6CA4" w:rsidRDefault="00B121D5" w:rsidP="000A4159">
            <w:pPr>
              <w:jc w:val="both"/>
              <w:rPr>
                <w:sz w:val="26"/>
                <w:szCs w:val="26"/>
              </w:rPr>
            </w:pPr>
            <w:r w:rsidRPr="000E6CA4">
              <w:rPr>
                <w:sz w:val="26"/>
                <w:szCs w:val="26"/>
              </w:rPr>
              <w:t>4. Finanšu līdzekļi papildu izdevumu finansēšanai (kompensējošu izdevumu samazinājumu norāda ar "+" zīmi)</w:t>
            </w:r>
          </w:p>
        </w:tc>
        <w:tc>
          <w:tcPr>
            <w:tcW w:w="757" w:type="pct"/>
            <w:vMerge w:val="restart"/>
            <w:vAlign w:val="center"/>
          </w:tcPr>
          <w:p w:rsidR="00B121D5" w:rsidRPr="000E6CA4" w:rsidRDefault="00B121D5" w:rsidP="004F1604">
            <w:pPr>
              <w:pStyle w:val="naisf"/>
              <w:spacing w:before="0" w:after="0"/>
              <w:ind w:firstLine="0"/>
              <w:jc w:val="center"/>
              <w:rPr>
                <w:sz w:val="26"/>
                <w:szCs w:val="26"/>
              </w:rPr>
            </w:pPr>
            <w:r w:rsidRPr="000E6CA4">
              <w:rPr>
                <w:sz w:val="26"/>
                <w:szCs w:val="26"/>
              </w:rPr>
              <w:t>X</w:t>
            </w:r>
          </w:p>
        </w:tc>
        <w:tc>
          <w:tcPr>
            <w:tcW w:w="684" w:type="pct"/>
            <w:vAlign w:val="center"/>
          </w:tcPr>
          <w:p w:rsidR="00B121D5" w:rsidRPr="000E6CA4" w:rsidRDefault="00B121D5" w:rsidP="0014630D">
            <w:pPr>
              <w:pStyle w:val="naisf"/>
              <w:spacing w:before="0" w:after="0"/>
              <w:ind w:firstLine="0"/>
              <w:jc w:val="center"/>
              <w:rPr>
                <w:sz w:val="26"/>
                <w:szCs w:val="26"/>
              </w:rPr>
            </w:pPr>
            <w:r w:rsidRPr="000E6CA4">
              <w:rPr>
                <w:sz w:val="26"/>
                <w:szCs w:val="26"/>
              </w:rPr>
              <w:t>0</w:t>
            </w:r>
          </w:p>
        </w:tc>
        <w:tc>
          <w:tcPr>
            <w:tcW w:w="828" w:type="pct"/>
          </w:tcPr>
          <w:p w:rsidR="00B121D5" w:rsidRPr="000E6CA4" w:rsidRDefault="00B121D5" w:rsidP="005B6C23">
            <w:pPr>
              <w:jc w:val="center"/>
              <w:rPr>
                <w:sz w:val="26"/>
                <w:szCs w:val="26"/>
              </w:rPr>
            </w:pPr>
            <w:r w:rsidRPr="000E6CA4">
              <w:rPr>
                <w:sz w:val="26"/>
                <w:szCs w:val="26"/>
              </w:rPr>
              <w:t>0</w:t>
            </w:r>
          </w:p>
        </w:tc>
        <w:tc>
          <w:tcPr>
            <w:tcW w:w="687" w:type="pct"/>
          </w:tcPr>
          <w:p w:rsidR="00B121D5" w:rsidRPr="000E6CA4" w:rsidRDefault="00B121D5" w:rsidP="005B6C23">
            <w:pPr>
              <w:jc w:val="center"/>
              <w:rPr>
                <w:sz w:val="26"/>
                <w:szCs w:val="26"/>
              </w:rPr>
            </w:pPr>
            <w:r w:rsidRPr="000E6CA4">
              <w:rPr>
                <w:sz w:val="26"/>
                <w:szCs w:val="26"/>
              </w:rPr>
              <w:t>0</w:t>
            </w:r>
          </w:p>
        </w:tc>
        <w:tc>
          <w:tcPr>
            <w:tcW w:w="566" w:type="pct"/>
          </w:tcPr>
          <w:p w:rsidR="00B121D5" w:rsidRPr="000E6CA4" w:rsidRDefault="00B121D5" w:rsidP="005B6C23">
            <w:pPr>
              <w:jc w:val="center"/>
              <w:rPr>
                <w:sz w:val="26"/>
                <w:szCs w:val="26"/>
              </w:rPr>
            </w:pPr>
            <w:r w:rsidRPr="000E6CA4">
              <w:rPr>
                <w:sz w:val="26"/>
                <w:szCs w:val="26"/>
              </w:rPr>
              <w:t>0</w:t>
            </w:r>
          </w:p>
        </w:tc>
      </w:tr>
      <w:tr w:rsidR="00FD632E" w:rsidRPr="000E6CA4" w:rsidTr="003119E2">
        <w:tblPrEx>
          <w:jc w:val="center"/>
          <w:tblCellMar>
            <w:top w:w="0" w:type="dxa"/>
            <w:left w:w="108" w:type="dxa"/>
            <w:bottom w:w="0" w:type="dxa"/>
            <w:right w:w="108" w:type="dxa"/>
          </w:tblCellMar>
          <w:tblLook w:val="01E0"/>
        </w:tblPrEx>
        <w:trPr>
          <w:jc w:val="center"/>
        </w:trPr>
        <w:tc>
          <w:tcPr>
            <w:tcW w:w="1438" w:type="pct"/>
            <w:vMerge/>
          </w:tcPr>
          <w:p w:rsidR="00FD632E" w:rsidRPr="000E6CA4" w:rsidRDefault="00FD632E" w:rsidP="0014630D">
            <w:pPr>
              <w:jc w:val="both"/>
              <w:rPr>
                <w:sz w:val="26"/>
                <w:szCs w:val="26"/>
              </w:rPr>
            </w:pPr>
          </w:p>
        </w:tc>
        <w:tc>
          <w:tcPr>
            <w:tcW w:w="757" w:type="pct"/>
            <w:vMerge/>
            <w:vAlign w:val="center"/>
          </w:tcPr>
          <w:p w:rsidR="00FD632E" w:rsidRPr="000E6CA4" w:rsidRDefault="00FD632E" w:rsidP="0014630D">
            <w:pPr>
              <w:pStyle w:val="naisf"/>
              <w:spacing w:before="0" w:after="0"/>
              <w:ind w:firstLine="0"/>
              <w:jc w:val="center"/>
              <w:rPr>
                <w:sz w:val="26"/>
                <w:szCs w:val="26"/>
              </w:rPr>
            </w:pPr>
          </w:p>
        </w:tc>
        <w:tc>
          <w:tcPr>
            <w:tcW w:w="684" w:type="pct"/>
            <w:vAlign w:val="center"/>
          </w:tcPr>
          <w:p w:rsidR="00FD632E" w:rsidRPr="000E6CA4" w:rsidRDefault="00FD632E" w:rsidP="0014630D">
            <w:pPr>
              <w:pStyle w:val="naisf"/>
              <w:spacing w:before="0" w:after="0"/>
              <w:ind w:firstLine="0"/>
              <w:jc w:val="center"/>
              <w:rPr>
                <w:sz w:val="26"/>
                <w:szCs w:val="26"/>
              </w:rPr>
            </w:pPr>
            <w:r w:rsidRPr="000E6CA4">
              <w:rPr>
                <w:sz w:val="26"/>
                <w:szCs w:val="26"/>
              </w:rPr>
              <w:t>0</w:t>
            </w:r>
          </w:p>
        </w:tc>
        <w:tc>
          <w:tcPr>
            <w:tcW w:w="828" w:type="pct"/>
            <w:vAlign w:val="center"/>
          </w:tcPr>
          <w:p w:rsidR="00FD632E" w:rsidRPr="000E6CA4" w:rsidRDefault="00FD632E" w:rsidP="0014630D">
            <w:pPr>
              <w:pStyle w:val="naisf"/>
              <w:spacing w:before="0" w:after="0"/>
              <w:ind w:firstLine="0"/>
              <w:jc w:val="center"/>
              <w:rPr>
                <w:sz w:val="26"/>
                <w:szCs w:val="26"/>
              </w:rPr>
            </w:pPr>
            <w:r w:rsidRPr="000E6CA4">
              <w:rPr>
                <w:sz w:val="26"/>
                <w:szCs w:val="26"/>
              </w:rPr>
              <w:t>0</w:t>
            </w:r>
          </w:p>
        </w:tc>
        <w:tc>
          <w:tcPr>
            <w:tcW w:w="687" w:type="pct"/>
            <w:vAlign w:val="center"/>
          </w:tcPr>
          <w:p w:rsidR="00FD632E" w:rsidRPr="000E6CA4" w:rsidRDefault="00FD632E" w:rsidP="0014630D">
            <w:pPr>
              <w:pStyle w:val="naisf"/>
              <w:spacing w:before="0" w:after="0"/>
              <w:ind w:firstLine="0"/>
              <w:jc w:val="center"/>
              <w:rPr>
                <w:sz w:val="26"/>
                <w:szCs w:val="26"/>
              </w:rPr>
            </w:pPr>
            <w:r w:rsidRPr="000E6CA4">
              <w:rPr>
                <w:sz w:val="26"/>
                <w:szCs w:val="26"/>
              </w:rPr>
              <w:t>0</w:t>
            </w:r>
          </w:p>
        </w:tc>
        <w:tc>
          <w:tcPr>
            <w:tcW w:w="566" w:type="pct"/>
            <w:vAlign w:val="center"/>
          </w:tcPr>
          <w:p w:rsidR="00FD632E" w:rsidRPr="000E6CA4" w:rsidRDefault="00FD632E" w:rsidP="0014630D">
            <w:pPr>
              <w:pStyle w:val="naisf"/>
              <w:spacing w:before="0" w:after="0"/>
              <w:ind w:firstLine="0"/>
              <w:jc w:val="center"/>
              <w:rPr>
                <w:sz w:val="26"/>
                <w:szCs w:val="26"/>
              </w:rPr>
            </w:pPr>
            <w:r w:rsidRPr="000E6CA4">
              <w:rPr>
                <w:sz w:val="26"/>
                <w:szCs w:val="26"/>
              </w:rPr>
              <w:t>0</w:t>
            </w:r>
          </w:p>
        </w:tc>
      </w:tr>
      <w:tr w:rsidR="00FD632E" w:rsidRPr="000E6CA4" w:rsidTr="003119E2">
        <w:tblPrEx>
          <w:jc w:val="center"/>
          <w:tblCellMar>
            <w:top w:w="0" w:type="dxa"/>
            <w:left w:w="108" w:type="dxa"/>
            <w:bottom w:w="0" w:type="dxa"/>
            <w:right w:w="108" w:type="dxa"/>
          </w:tblCellMar>
          <w:tblLook w:val="01E0"/>
        </w:tblPrEx>
        <w:trPr>
          <w:jc w:val="center"/>
        </w:trPr>
        <w:tc>
          <w:tcPr>
            <w:tcW w:w="1438" w:type="pct"/>
            <w:vMerge/>
          </w:tcPr>
          <w:p w:rsidR="00FD632E" w:rsidRPr="000E6CA4" w:rsidRDefault="00FD632E" w:rsidP="0014630D">
            <w:pPr>
              <w:jc w:val="both"/>
              <w:rPr>
                <w:sz w:val="26"/>
                <w:szCs w:val="26"/>
              </w:rPr>
            </w:pPr>
          </w:p>
        </w:tc>
        <w:tc>
          <w:tcPr>
            <w:tcW w:w="757" w:type="pct"/>
            <w:vMerge/>
            <w:vAlign w:val="center"/>
          </w:tcPr>
          <w:p w:rsidR="00FD632E" w:rsidRPr="000E6CA4" w:rsidRDefault="00FD632E" w:rsidP="0014630D">
            <w:pPr>
              <w:pStyle w:val="naisf"/>
              <w:spacing w:before="0" w:after="0"/>
              <w:ind w:firstLine="0"/>
              <w:jc w:val="center"/>
              <w:rPr>
                <w:sz w:val="26"/>
                <w:szCs w:val="26"/>
              </w:rPr>
            </w:pPr>
          </w:p>
        </w:tc>
        <w:tc>
          <w:tcPr>
            <w:tcW w:w="684" w:type="pct"/>
            <w:vAlign w:val="center"/>
          </w:tcPr>
          <w:p w:rsidR="00FD632E" w:rsidRPr="000E6CA4" w:rsidRDefault="00FD632E" w:rsidP="0014630D">
            <w:pPr>
              <w:pStyle w:val="naisf"/>
              <w:spacing w:before="0" w:after="0"/>
              <w:ind w:firstLine="0"/>
              <w:jc w:val="center"/>
              <w:rPr>
                <w:sz w:val="26"/>
                <w:szCs w:val="26"/>
              </w:rPr>
            </w:pPr>
            <w:r w:rsidRPr="000E6CA4">
              <w:rPr>
                <w:sz w:val="26"/>
                <w:szCs w:val="26"/>
              </w:rPr>
              <w:t>0</w:t>
            </w:r>
          </w:p>
        </w:tc>
        <w:tc>
          <w:tcPr>
            <w:tcW w:w="828" w:type="pct"/>
            <w:vAlign w:val="center"/>
          </w:tcPr>
          <w:p w:rsidR="00FD632E" w:rsidRPr="000E6CA4" w:rsidRDefault="00FD632E" w:rsidP="0014630D">
            <w:pPr>
              <w:pStyle w:val="naisf"/>
              <w:spacing w:before="0" w:after="0"/>
              <w:ind w:firstLine="0"/>
              <w:jc w:val="center"/>
              <w:rPr>
                <w:sz w:val="26"/>
                <w:szCs w:val="26"/>
              </w:rPr>
            </w:pPr>
            <w:r w:rsidRPr="000E6CA4">
              <w:rPr>
                <w:sz w:val="26"/>
                <w:szCs w:val="26"/>
              </w:rPr>
              <w:t>0</w:t>
            </w:r>
          </w:p>
        </w:tc>
        <w:tc>
          <w:tcPr>
            <w:tcW w:w="687" w:type="pct"/>
            <w:vAlign w:val="center"/>
          </w:tcPr>
          <w:p w:rsidR="00FD632E" w:rsidRPr="000E6CA4" w:rsidRDefault="00FD632E" w:rsidP="0014630D">
            <w:pPr>
              <w:pStyle w:val="naisf"/>
              <w:spacing w:before="0" w:after="0"/>
              <w:ind w:firstLine="0"/>
              <w:jc w:val="center"/>
              <w:rPr>
                <w:sz w:val="26"/>
                <w:szCs w:val="26"/>
              </w:rPr>
            </w:pPr>
            <w:r w:rsidRPr="000E6CA4">
              <w:rPr>
                <w:sz w:val="26"/>
                <w:szCs w:val="26"/>
              </w:rPr>
              <w:t>0</w:t>
            </w:r>
          </w:p>
        </w:tc>
        <w:tc>
          <w:tcPr>
            <w:tcW w:w="566" w:type="pct"/>
            <w:vAlign w:val="center"/>
          </w:tcPr>
          <w:p w:rsidR="00FD632E" w:rsidRPr="000E6CA4" w:rsidRDefault="00FD632E" w:rsidP="0014630D">
            <w:pPr>
              <w:pStyle w:val="naisf"/>
              <w:spacing w:before="0" w:after="0"/>
              <w:ind w:firstLine="0"/>
              <w:jc w:val="center"/>
              <w:rPr>
                <w:sz w:val="26"/>
                <w:szCs w:val="26"/>
              </w:rPr>
            </w:pPr>
            <w:r w:rsidRPr="000E6CA4">
              <w:rPr>
                <w:sz w:val="26"/>
                <w:szCs w:val="26"/>
              </w:rPr>
              <w:t>0</w:t>
            </w:r>
          </w:p>
        </w:tc>
      </w:tr>
      <w:tr w:rsidR="00FD632E" w:rsidRPr="000E6CA4" w:rsidTr="003119E2">
        <w:tblPrEx>
          <w:jc w:val="center"/>
          <w:tblCellMar>
            <w:top w:w="0" w:type="dxa"/>
            <w:left w:w="108" w:type="dxa"/>
            <w:bottom w:w="0" w:type="dxa"/>
            <w:right w:w="108" w:type="dxa"/>
          </w:tblCellMar>
          <w:tblLook w:val="01E0"/>
        </w:tblPrEx>
        <w:trPr>
          <w:jc w:val="center"/>
        </w:trPr>
        <w:tc>
          <w:tcPr>
            <w:tcW w:w="1438" w:type="pct"/>
          </w:tcPr>
          <w:p w:rsidR="00FD632E" w:rsidRPr="000E6CA4" w:rsidRDefault="00FD632E" w:rsidP="0014630D">
            <w:pPr>
              <w:jc w:val="both"/>
              <w:rPr>
                <w:sz w:val="26"/>
                <w:szCs w:val="26"/>
              </w:rPr>
            </w:pPr>
            <w:r w:rsidRPr="000E6CA4">
              <w:rPr>
                <w:sz w:val="26"/>
                <w:szCs w:val="26"/>
              </w:rPr>
              <w:t>5. Precizēta finansiālā ietekme:</w:t>
            </w:r>
          </w:p>
        </w:tc>
        <w:tc>
          <w:tcPr>
            <w:tcW w:w="757" w:type="pct"/>
            <w:vMerge w:val="restart"/>
            <w:vAlign w:val="center"/>
          </w:tcPr>
          <w:p w:rsidR="00FD632E" w:rsidRPr="000E6CA4" w:rsidRDefault="00FD632E" w:rsidP="004F1604">
            <w:pPr>
              <w:pStyle w:val="naisf"/>
              <w:spacing w:before="0" w:after="0"/>
              <w:ind w:firstLine="0"/>
              <w:jc w:val="center"/>
              <w:rPr>
                <w:sz w:val="26"/>
                <w:szCs w:val="26"/>
              </w:rPr>
            </w:pPr>
            <w:r w:rsidRPr="000E6CA4">
              <w:rPr>
                <w:sz w:val="26"/>
                <w:szCs w:val="26"/>
              </w:rPr>
              <w:t>X</w:t>
            </w:r>
          </w:p>
        </w:tc>
        <w:tc>
          <w:tcPr>
            <w:tcW w:w="684" w:type="pct"/>
            <w:vAlign w:val="center"/>
          </w:tcPr>
          <w:p w:rsidR="00FD632E" w:rsidRPr="000E6CA4" w:rsidRDefault="00FD632E" w:rsidP="00FD632E">
            <w:pPr>
              <w:pStyle w:val="naisf"/>
              <w:spacing w:before="0" w:after="0"/>
              <w:ind w:firstLine="0"/>
              <w:jc w:val="center"/>
              <w:rPr>
                <w:sz w:val="26"/>
                <w:szCs w:val="26"/>
              </w:rPr>
            </w:pPr>
            <w:r w:rsidRPr="000E6CA4">
              <w:rPr>
                <w:sz w:val="26"/>
                <w:szCs w:val="26"/>
              </w:rPr>
              <w:t>0</w:t>
            </w:r>
          </w:p>
        </w:tc>
        <w:tc>
          <w:tcPr>
            <w:tcW w:w="828" w:type="pct"/>
            <w:vAlign w:val="center"/>
          </w:tcPr>
          <w:p w:rsidR="00FD632E" w:rsidRPr="000E6CA4" w:rsidRDefault="00FD632E" w:rsidP="00FD632E">
            <w:pPr>
              <w:pStyle w:val="naisf"/>
              <w:spacing w:before="0" w:after="0"/>
              <w:ind w:firstLine="0"/>
              <w:jc w:val="center"/>
              <w:rPr>
                <w:sz w:val="26"/>
                <w:szCs w:val="26"/>
              </w:rPr>
            </w:pPr>
            <w:r w:rsidRPr="000E6CA4">
              <w:rPr>
                <w:sz w:val="26"/>
                <w:szCs w:val="26"/>
              </w:rPr>
              <w:t>0</w:t>
            </w:r>
          </w:p>
        </w:tc>
        <w:tc>
          <w:tcPr>
            <w:tcW w:w="687" w:type="pct"/>
            <w:vAlign w:val="center"/>
          </w:tcPr>
          <w:p w:rsidR="00FD632E" w:rsidRPr="000E6CA4" w:rsidRDefault="00FD632E" w:rsidP="00FD632E">
            <w:pPr>
              <w:pStyle w:val="naisf"/>
              <w:spacing w:before="0" w:after="0"/>
              <w:ind w:firstLine="0"/>
              <w:jc w:val="center"/>
              <w:rPr>
                <w:sz w:val="26"/>
                <w:szCs w:val="26"/>
              </w:rPr>
            </w:pPr>
            <w:r w:rsidRPr="000E6CA4">
              <w:rPr>
                <w:sz w:val="26"/>
                <w:szCs w:val="26"/>
              </w:rPr>
              <w:t>0</w:t>
            </w:r>
          </w:p>
        </w:tc>
        <w:tc>
          <w:tcPr>
            <w:tcW w:w="566" w:type="pct"/>
            <w:vAlign w:val="center"/>
          </w:tcPr>
          <w:p w:rsidR="00FD632E" w:rsidRPr="000E6CA4" w:rsidRDefault="00FD632E" w:rsidP="00FD632E">
            <w:pPr>
              <w:pStyle w:val="naisf"/>
              <w:spacing w:before="0" w:after="0"/>
              <w:ind w:firstLine="0"/>
              <w:jc w:val="center"/>
              <w:rPr>
                <w:sz w:val="26"/>
                <w:szCs w:val="26"/>
              </w:rPr>
            </w:pPr>
            <w:r w:rsidRPr="000E6CA4">
              <w:rPr>
                <w:sz w:val="26"/>
                <w:szCs w:val="26"/>
              </w:rPr>
              <w:t>0</w:t>
            </w:r>
          </w:p>
        </w:tc>
      </w:tr>
      <w:tr w:rsidR="00FD632E" w:rsidRPr="000E6CA4" w:rsidTr="003119E2">
        <w:tblPrEx>
          <w:jc w:val="center"/>
          <w:tblCellMar>
            <w:top w:w="0" w:type="dxa"/>
            <w:left w:w="108" w:type="dxa"/>
            <w:bottom w:w="0" w:type="dxa"/>
            <w:right w:w="108" w:type="dxa"/>
          </w:tblCellMar>
          <w:tblLook w:val="01E0"/>
        </w:tblPrEx>
        <w:trPr>
          <w:jc w:val="center"/>
        </w:trPr>
        <w:tc>
          <w:tcPr>
            <w:tcW w:w="1438" w:type="pct"/>
          </w:tcPr>
          <w:p w:rsidR="00FD632E" w:rsidRPr="000E6CA4" w:rsidRDefault="00FD632E" w:rsidP="0014630D">
            <w:pPr>
              <w:jc w:val="both"/>
              <w:rPr>
                <w:sz w:val="26"/>
                <w:szCs w:val="26"/>
              </w:rPr>
            </w:pPr>
            <w:r w:rsidRPr="000E6CA4">
              <w:rPr>
                <w:sz w:val="26"/>
                <w:szCs w:val="26"/>
              </w:rPr>
              <w:t>5.1. valsts pamatbudžets</w:t>
            </w:r>
          </w:p>
        </w:tc>
        <w:tc>
          <w:tcPr>
            <w:tcW w:w="757" w:type="pct"/>
            <w:vMerge/>
            <w:vAlign w:val="center"/>
          </w:tcPr>
          <w:p w:rsidR="00FD632E" w:rsidRPr="000E6CA4" w:rsidRDefault="00FD632E" w:rsidP="0014630D">
            <w:pPr>
              <w:pStyle w:val="naisf"/>
              <w:spacing w:before="0" w:after="0"/>
              <w:ind w:firstLine="0"/>
              <w:jc w:val="center"/>
              <w:rPr>
                <w:i/>
                <w:sz w:val="26"/>
                <w:szCs w:val="26"/>
              </w:rPr>
            </w:pPr>
          </w:p>
        </w:tc>
        <w:tc>
          <w:tcPr>
            <w:tcW w:w="684" w:type="pct"/>
            <w:vAlign w:val="center"/>
          </w:tcPr>
          <w:p w:rsidR="00FD632E" w:rsidRPr="000E6CA4" w:rsidRDefault="00FD632E" w:rsidP="00FD632E">
            <w:pPr>
              <w:pStyle w:val="naisf"/>
              <w:spacing w:before="0" w:after="0"/>
              <w:ind w:firstLine="0"/>
              <w:jc w:val="center"/>
              <w:rPr>
                <w:sz w:val="26"/>
                <w:szCs w:val="26"/>
              </w:rPr>
            </w:pPr>
            <w:r w:rsidRPr="000E6CA4">
              <w:rPr>
                <w:sz w:val="26"/>
                <w:szCs w:val="26"/>
              </w:rPr>
              <w:t>0</w:t>
            </w:r>
          </w:p>
        </w:tc>
        <w:tc>
          <w:tcPr>
            <w:tcW w:w="828" w:type="pct"/>
            <w:vAlign w:val="center"/>
          </w:tcPr>
          <w:p w:rsidR="00FD632E" w:rsidRPr="000E6CA4" w:rsidRDefault="00FD632E" w:rsidP="00FD632E">
            <w:pPr>
              <w:pStyle w:val="naisf"/>
              <w:spacing w:before="0" w:after="0"/>
              <w:ind w:firstLine="0"/>
              <w:jc w:val="center"/>
              <w:rPr>
                <w:sz w:val="26"/>
                <w:szCs w:val="26"/>
              </w:rPr>
            </w:pPr>
            <w:r w:rsidRPr="000E6CA4">
              <w:rPr>
                <w:sz w:val="26"/>
                <w:szCs w:val="26"/>
              </w:rPr>
              <w:t>0</w:t>
            </w:r>
          </w:p>
        </w:tc>
        <w:tc>
          <w:tcPr>
            <w:tcW w:w="687" w:type="pct"/>
            <w:vAlign w:val="center"/>
          </w:tcPr>
          <w:p w:rsidR="00FD632E" w:rsidRPr="000E6CA4" w:rsidRDefault="00FD632E" w:rsidP="00FD632E">
            <w:pPr>
              <w:pStyle w:val="naisf"/>
              <w:spacing w:before="0" w:after="0"/>
              <w:ind w:firstLine="0"/>
              <w:jc w:val="center"/>
              <w:rPr>
                <w:sz w:val="26"/>
                <w:szCs w:val="26"/>
              </w:rPr>
            </w:pPr>
            <w:r w:rsidRPr="000E6CA4">
              <w:rPr>
                <w:sz w:val="26"/>
                <w:szCs w:val="26"/>
              </w:rPr>
              <w:t>0</w:t>
            </w:r>
          </w:p>
        </w:tc>
        <w:tc>
          <w:tcPr>
            <w:tcW w:w="566" w:type="pct"/>
            <w:vAlign w:val="center"/>
          </w:tcPr>
          <w:p w:rsidR="00FD632E" w:rsidRPr="000E6CA4" w:rsidRDefault="00FD632E" w:rsidP="00FD632E">
            <w:pPr>
              <w:pStyle w:val="naisf"/>
              <w:spacing w:before="0" w:after="0"/>
              <w:ind w:firstLine="0"/>
              <w:jc w:val="center"/>
              <w:rPr>
                <w:sz w:val="26"/>
                <w:szCs w:val="26"/>
              </w:rPr>
            </w:pPr>
            <w:r w:rsidRPr="000E6CA4">
              <w:rPr>
                <w:sz w:val="26"/>
                <w:szCs w:val="26"/>
              </w:rPr>
              <w:t>0</w:t>
            </w:r>
          </w:p>
        </w:tc>
      </w:tr>
      <w:tr w:rsidR="00FD632E" w:rsidRPr="000E6CA4" w:rsidTr="003119E2">
        <w:tblPrEx>
          <w:jc w:val="center"/>
          <w:tblCellMar>
            <w:top w:w="0" w:type="dxa"/>
            <w:left w:w="108" w:type="dxa"/>
            <w:bottom w:w="0" w:type="dxa"/>
            <w:right w:w="108" w:type="dxa"/>
          </w:tblCellMar>
          <w:tblLook w:val="01E0"/>
        </w:tblPrEx>
        <w:trPr>
          <w:jc w:val="center"/>
        </w:trPr>
        <w:tc>
          <w:tcPr>
            <w:tcW w:w="1438" w:type="pct"/>
          </w:tcPr>
          <w:p w:rsidR="00FD632E" w:rsidRPr="000E6CA4" w:rsidRDefault="00FD632E" w:rsidP="0014630D">
            <w:pPr>
              <w:jc w:val="both"/>
              <w:rPr>
                <w:sz w:val="26"/>
                <w:szCs w:val="26"/>
              </w:rPr>
            </w:pPr>
            <w:r w:rsidRPr="000E6CA4">
              <w:rPr>
                <w:sz w:val="26"/>
                <w:szCs w:val="26"/>
              </w:rPr>
              <w:t>5.2. speciālais budžets</w:t>
            </w:r>
          </w:p>
        </w:tc>
        <w:tc>
          <w:tcPr>
            <w:tcW w:w="757" w:type="pct"/>
            <w:vMerge/>
            <w:vAlign w:val="center"/>
          </w:tcPr>
          <w:p w:rsidR="00FD632E" w:rsidRPr="000E6CA4" w:rsidRDefault="00FD632E" w:rsidP="0014630D">
            <w:pPr>
              <w:pStyle w:val="naisf"/>
              <w:spacing w:before="0" w:after="0"/>
              <w:ind w:firstLine="0"/>
              <w:jc w:val="center"/>
              <w:rPr>
                <w:i/>
                <w:sz w:val="26"/>
                <w:szCs w:val="26"/>
              </w:rPr>
            </w:pPr>
          </w:p>
        </w:tc>
        <w:tc>
          <w:tcPr>
            <w:tcW w:w="684" w:type="pct"/>
            <w:vAlign w:val="center"/>
          </w:tcPr>
          <w:p w:rsidR="00FD632E" w:rsidRPr="000E6CA4" w:rsidRDefault="00FD632E" w:rsidP="00FD632E">
            <w:pPr>
              <w:pStyle w:val="naisf"/>
              <w:spacing w:before="0" w:after="0"/>
              <w:ind w:firstLine="0"/>
              <w:jc w:val="center"/>
              <w:rPr>
                <w:b/>
                <w:sz w:val="26"/>
                <w:szCs w:val="26"/>
              </w:rPr>
            </w:pPr>
            <w:r w:rsidRPr="000E6CA4">
              <w:rPr>
                <w:sz w:val="26"/>
                <w:szCs w:val="26"/>
              </w:rPr>
              <w:t>0</w:t>
            </w:r>
          </w:p>
        </w:tc>
        <w:tc>
          <w:tcPr>
            <w:tcW w:w="828" w:type="pct"/>
            <w:vAlign w:val="center"/>
          </w:tcPr>
          <w:p w:rsidR="00FD632E" w:rsidRPr="000E6CA4" w:rsidRDefault="00FD632E" w:rsidP="00FD632E">
            <w:pPr>
              <w:pStyle w:val="naisf"/>
              <w:spacing w:before="0" w:after="0"/>
              <w:ind w:firstLine="0"/>
              <w:jc w:val="center"/>
              <w:rPr>
                <w:b/>
                <w:sz w:val="26"/>
                <w:szCs w:val="26"/>
              </w:rPr>
            </w:pPr>
            <w:r w:rsidRPr="000E6CA4">
              <w:rPr>
                <w:sz w:val="26"/>
                <w:szCs w:val="26"/>
              </w:rPr>
              <w:t>0</w:t>
            </w:r>
          </w:p>
        </w:tc>
        <w:tc>
          <w:tcPr>
            <w:tcW w:w="687" w:type="pct"/>
            <w:vAlign w:val="center"/>
          </w:tcPr>
          <w:p w:rsidR="00FD632E" w:rsidRPr="000E6CA4" w:rsidRDefault="00FD632E" w:rsidP="00FD632E">
            <w:pPr>
              <w:pStyle w:val="naisf"/>
              <w:spacing w:before="0" w:after="0"/>
              <w:ind w:firstLine="0"/>
              <w:jc w:val="center"/>
              <w:rPr>
                <w:b/>
                <w:sz w:val="26"/>
                <w:szCs w:val="26"/>
              </w:rPr>
            </w:pPr>
            <w:r w:rsidRPr="000E6CA4">
              <w:rPr>
                <w:sz w:val="26"/>
                <w:szCs w:val="26"/>
              </w:rPr>
              <w:t>0</w:t>
            </w:r>
          </w:p>
        </w:tc>
        <w:tc>
          <w:tcPr>
            <w:tcW w:w="566" w:type="pct"/>
            <w:vAlign w:val="center"/>
          </w:tcPr>
          <w:p w:rsidR="00FD632E" w:rsidRPr="000E6CA4" w:rsidRDefault="00FD632E" w:rsidP="00FD632E">
            <w:pPr>
              <w:pStyle w:val="naisf"/>
              <w:spacing w:before="0" w:after="0"/>
              <w:ind w:firstLine="0"/>
              <w:jc w:val="center"/>
              <w:rPr>
                <w:b/>
                <w:sz w:val="26"/>
                <w:szCs w:val="26"/>
              </w:rPr>
            </w:pPr>
            <w:r w:rsidRPr="000E6CA4">
              <w:rPr>
                <w:sz w:val="26"/>
                <w:szCs w:val="26"/>
              </w:rPr>
              <w:t>0</w:t>
            </w:r>
          </w:p>
        </w:tc>
      </w:tr>
      <w:tr w:rsidR="00FD632E" w:rsidRPr="000E6CA4" w:rsidTr="003119E2">
        <w:tblPrEx>
          <w:jc w:val="center"/>
          <w:tblCellMar>
            <w:top w:w="0" w:type="dxa"/>
            <w:left w:w="108" w:type="dxa"/>
            <w:bottom w:w="0" w:type="dxa"/>
            <w:right w:w="108" w:type="dxa"/>
          </w:tblCellMar>
          <w:tblLook w:val="01E0"/>
        </w:tblPrEx>
        <w:trPr>
          <w:jc w:val="center"/>
        </w:trPr>
        <w:tc>
          <w:tcPr>
            <w:tcW w:w="1438" w:type="pct"/>
          </w:tcPr>
          <w:p w:rsidR="00FD632E" w:rsidRPr="000E6CA4" w:rsidRDefault="00FD632E" w:rsidP="0014630D">
            <w:pPr>
              <w:jc w:val="both"/>
              <w:rPr>
                <w:sz w:val="26"/>
                <w:szCs w:val="26"/>
              </w:rPr>
            </w:pPr>
            <w:r w:rsidRPr="000E6CA4">
              <w:rPr>
                <w:sz w:val="26"/>
                <w:szCs w:val="26"/>
              </w:rPr>
              <w:t xml:space="preserve">5.3. pašvaldību budžets </w:t>
            </w:r>
          </w:p>
        </w:tc>
        <w:tc>
          <w:tcPr>
            <w:tcW w:w="757" w:type="pct"/>
            <w:vMerge/>
            <w:vAlign w:val="center"/>
          </w:tcPr>
          <w:p w:rsidR="00FD632E" w:rsidRPr="000E6CA4" w:rsidRDefault="00FD632E" w:rsidP="0014630D">
            <w:pPr>
              <w:pStyle w:val="naisf"/>
              <w:spacing w:before="0" w:after="0"/>
              <w:ind w:firstLine="0"/>
              <w:jc w:val="center"/>
              <w:rPr>
                <w:i/>
                <w:sz w:val="26"/>
                <w:szCs w:val="26"/>
              </w:rPr>
            </w:pPr>
          </w:p>
        </w:tc>
        <w:tc>
          <w:tcPr>
            <w:tcW w:w="684" w:type="pct"/>
            <w:vAlign w:val="center"/>
          </w:tcPr>
          <w:p w:rsidR="00FD632E" w:rsidRPr="000E6CA4" w:rsidRDefault="00FD632E" w:rsidP="00FD632E">
            <w:pPr>
              <w:pStyle w:val="naisf"/>
              <w:spacing w:before="0" w:after="0"/>
              <w:ind w:firstLine="0"/>
              <w:jc w:val="center"/>
              <w:rPr>
                <w:b/>
                <w:sz w:val="26"/>
                <w:szCs w:val="26"/>
              </w:rPr>
            </w:pPr>
            <w:r w:rsidRPr="000E6CA4">
              <w:rPr>
                <w:sz w:val="26"/>
                <w:szCs w:val="26"/>
              </w:rPr>
              <w:t>0</w:t>
            </w:r>
          </w:p>
        </w:tc>
        <w:tc>
          <w:tcPr>
            <w:tcW w:w="828" w:type="pct"/>
            <w:vAlign w:val="center"/>
          </w:tcPr>
          <w:p w:rsidR="00FD632E" w:rsidRPr="000E6CA4" w:rsidRDefault="00FD632E" w:rsidP="00FD632E">
            <w:pPr>
              <w:pStyle w:val="naisf"/>
              <w:spacing w:before="0" w:after="0"/>
              <w:ind w:firstLine="0"/>
              <w:jc w:val="center"/>
              <w:rPr>
                <w:b/>
                <w:sz w:val="26"/>
                <w:szCs w:val="26"/>
              </w:rPr>
            </w:pPr>
            <w:r w:rsidRPr="000E6CA4">
              <w:rPr>
                <w:sz w:val="26"/>
                <w:szCs w:val="26"/>
              </w:rPr>
              <w:t>0</w:t>
            </w:r>
          </w:p>
        </w:tc>
        <w:tc>
          <w:tcPr>
            <w:tcW w:w="687" w:type="pct"/>
            <w:vAlign w:val="center"/>
          </w:tcPr>
          <w:p w:rsidR="00FD632E" w:rsidRPr="000E6CA4" w:rsidRDefault="00FD632E" w:rsidP="00FD632E">
            <w:pPr>
              <w:pStyle w:val="naisf"/>
              <w:spacing w:before="0" w:after="0"/>
              <w:ind w:firstLine="0"/>
              <w:jc w:val="center"/>
              <w:rPr>
                <w:b/>
                <w:sz w:val="26"/>
                <w:szCs w:val="26"/>
              </w:rPr>
            </w:pPr>
            <w:r w:rsidRPr="000E6CA4">
              <w:rPr>
                <w:sz w:val="26"/>
                <w:szCs w:val="26"/>
              </w:rPr>
              <w:t>0</w:t>
            </w:r>
          </w:p>
        </w:tc>
        <w:tc>
          <w:tcPr>
            <w:tcW w:w="566" w:type="pct"/>
            <w:vAlign w:val="center"/>
          </w:tcPr>
          <w:p w:rsidR="00FD632E" w:rsidRPr="000E6CA4" w:rsidRDefault="00FD632E" w:rsidP="00FD632E">
            <w:pPr>
              <w:pStyle w:val="naisf"/>
              <w:spacing w:before="0" w:after="0"/>
              <w:ind w:firstLine="0"/>
              <w:jc w:val="center"/>
              <w:rPr>
                <w:b/>
                <w:sz w:val="26"/>
                <w:szCs w:val="26"/>
              </w:rPr>
            </w:pPr>
            <w:r w:rsidRPr="000E6CA4">
              <w:rPr>
                <w:sz w:val="26"/>
                <w:szCs w:val="26"/>
              </w:rPr>
              <w:t>0</w:t>
            </w:r>
          </w:p>
        </w:tc>
      </w:tr>
      <w:tr w:rsidR="003D5644" w:rsidRPr="000E6CA4" w:rsidTr="003119E2">
        <w:tblPrEx>
          <w:jc w:val="center"/>
          <w:tblCellMar>
            <w:top w:w="0" w:type="dxa"/>
            <w:left w:w="108" w:type="dxa"/>
            <w:bottom w:w="0" w:type="dxa"/>
            <w:right w:w="108" w:type="dxa"/>
          </w:tblCellMar>
          <w:tblLook w:val="01E0"/>
        </w:tblPrEx>
        <w:trPr>
          <w:jc w:val="center"/>
        </w:trPr>
        <w:tc>
          <w:tcPr>
            <w:tcW w:w="1438" w:type="pct"/>
          </w:tcPr>
          <w:p w:rsidR="003D5644" w:rsidRPr="000E6CA4" w:rsidRDefault="003D5644" w:rsidP="0014630D">
            <w:pPr>
              <w:jc w:val="both"/>
              <w:rPr>
                <w:sz w:val="26"/>
                <w:szCs w:val="26"/>
              </w:rPr>
            </w:pPr>
            <w:r w:rsidRPr="000E6CA4">
              <w:rPr>
                <w:sz w:val="26"/>
                <w:szCs w:val="26"/>
              </w:rPr>
              <w:lastRenderedPageBreak/>
              <w:t>6. Detalizēts ieņēmumu un izdevu</w:t>
            </w:r>
            <w:r w:rsidRPr="000E6CA4">
              <w:rPr>
                <w:sz w:val="26"/>
                <w:szCs w:val="26"/>
              </w:rPr>
              <w:softHyphen/>
              <w:t>mu aprēķins (ja nepieciešams, detalizētu ieņēmumu un izdevumu aprēķinu var pievienot anotācijas pielikumā):</w:t>
            </w:r>
          </w:p>
        </w:tc>
        <w:tc>
          <w:tcPr>
            <w:tcW w:w="3522" w:type="pct"/>
            <w:gridSpan w:val="5"/>
            <w:vMerge w:val="restart"/>
            <w:vAlign w:val="center"/>
          </w:tcPr>
          <w:p w:rsidR="003D5644" w:rsidRPr="000E6CA4" w:rsidRDefault="007B1B3D" w:rsidP="0014630D">
            <w:pPr>
              <w:jc w:val="both"/>
              <w:rPr>
                <w:sz w:val="26"/>
                <w:szCs w:val="26"/>
              </w:rPr>
            </w:pPr>
            <w:r w:rsidRPr="000E6CA4">
              <w:rPr>
                <w:sz w:val="26"/>
                <w:szCs w:val="26"/>
              </w:rPr>
              <w:t xml:space="preserve">Darbības programmas „Cilvēkresursi un nodarbinātība” papildinājuma 1.1.1.2.aktivitātes „Cilvēkresursu piesaiste zinātnei” otrajai projektu iesniegumu atlases kārtai pieejamais </w:t>
            </w:r>
            <w:r w:rsidR="00702294" w:rsidRPr="000E6CA4">
              <w:rPr>
                <w:sz w:val="26"/>
                <w:szCs w:val="26"/>
              </w:rPr>
              <w:t xml:space="preserve">publiskais </w:t>
            </w:r>
            <w:r w:rsidRPr="000E6CA4">
              <w:rPr>
                <w:sz w:val="26"/>
                <w:szCs w:val="26"/>
              </w:rPr>
              <w:t xml:space="preserve">finansējums ir </w:t>
            </w:r>
            <w:r w:rsidR="003166D5" w:rsidRPr="000E6CA4">
              <w:rPr>
                <w:bCs/>
                <w:sz w:val="26"/>
                <w:szCs w:val="26"/>
              </w:rPr>
              <w:t xml:space="preserve">9 805 991 </w:t>
            </w:r>
            <w:r w:rsidR="00886875" w:rsidRPr="000E6CA4">
              <w:rPr>
                <w:sz w:val="26"/>
                <w:szCs w:val="26"/>
              </w:rPr>
              <w:t>lati</w:t>
            </w:r>
            <w:r w:rsidR="00C173E5" w:rsidRPr="000E6CA4">
              <w:rPr>
                <w:sz w:val="26"/>
                <w:szCs w:val="26"/>
              </w:rPr>
              <w:t xml:space="preserve"> (</w:t>
            </w:r>
            <w:r w:rsidR="000A4159" w:rsidRPr="000E6CA4">
              <w:rPr>
                <w:sz w:val="26"/>
                <w:szCs w:val="26"/>
              </w:rPr>
              <w:t xml:space="preserve">ESF </w:t>
            </w:r>
            <w:r w:rsidR="00873932" w:rsidRPr="000E6CA4">
              <w:rPr>
                <w:sz w:val="26"/>
                <w:szCs w:val="26"/>
              </w:rPr>
              <w:t>92,4</w:t>
            </w:r>
            <w:r w:rsidR="001A6D09" w:rsidRPr="000E6CA4">
              <w:rPr>
                <w:sz w:val="26"/>
                <w:szCs w:val="26"/>
              </w:rPr>
              <w:t>7</w:t>
            </w:r>
            <w:r w:rsidR="001E05E7" w:rsidRPr="000E6CA4">
              <w:rPr>
                <w:sz w:val="26"/>
                <w:szCs w:val="26"/>
              </w:rPr>
              <w:t> </w:t>
            </w:r>
            <w:r w:rsidR="00C173E5" w:rsidRPr="000E6CA4">
              <w:rPr>
                <w:sz w:val="26"/>
                <w:szCs w:val="26"/>
              </w:rPr>
              <w:t>%</w:t>
            </w:r>
            <w:r w:rsidR="00E07CB6" w:rsidRPr="000E6CA4">
              <w:rPr>
                <w:sz w:val="26"/>
                <w:szCs w:val="26"/>
              </w:rPr>
              <w:t xml:space="preserve">, VB </w:t>
            </w:r>
            <w:r w:rsidR="000A4159" w:rsidRPr="000E6CA4">
              <w:rPr>
                <w:sz w:val="26"/>
                <w:szCs w:val="26"/>
              </w:rPr>
              <w:t>7,</w:t>
            </w:r>
            <w:r w:rsidR="001A6D09" w:rsidRPr="000E6CA4">
              <w:rPr>
                <w:sz w:val="26"/>
                <w:szCs w:val="26"/>
              </w:rPr>
              <w:t>2</w:t>
            </w:r>
            <w:r w:rsidR="001E05E7" w:rsidRPr="000E6CA4">
              <w:rPr>
                <w:sz w:val="26"/>
                <w:szCs w:val="26"/>
              </w:rPr>
              <w:t>3</w:t>
            </w:r>
            <w:r w:rsidR="00E07CB6" w:rsidRPr="000E6CA4">
              <w:rPr>
                <w:sz w:val="26"/>
                <w:szCs w:val="26"/>
              </w:rPr>
              <w:t>%</w:t>
            </w:r>
            <w:r w:rsidR="001E05E7" w:rsidRPr="000E6CA4">
              <w:rPr>
                <w:sz w:val="26"/>
                <w:szCs w:val="26"/>
              </w:rPr>
              <w:t>, privātais finansējums 0,3</w:t>
            </w:r>
            <w:r w:rsidR="001B7E84" w:rsidRPr="000E6CA4">
              <w:rPr>
                <w:sz w:val="26"/>
                <w:szCs w:val="26"/>
              </w:rPr>
              <w:t>0</w:t>
            </w:r>
            <w:r w:rsidR="001E05E7" w:rsidRPr="000E6CA4">
              <w:rPr>
                <w:sz w:val="26"/>
                <w:szCs w:val="26"/>
              </w:rPr>
              <w:t> %</w:t>
            </w:r>
            <w:r w:rsidR="00C173E5" w:rsidRPr="000E6CA4">
              <w:rPr>
                <w:sz w:val="26"/>
                <w:szCs w:val="26"/>
              </w:rPr>
              <w:t>)</w:t>
            </w:r>
            <w:r w:rsidR="00EA7E4D" w:rsidRPr="000E6CA4">
              <w:rPr>
                <w:sz w:val="26"/>
                <w:szCs w:val="26"/>
              </w:rPr>
              <w:t xml:space="preserve">, ko veido aktivitātes pirmās </w:t>
            </w:r>
            <w:r w:rsidR="003642FC" w:rsidRPr="000E6CA4">
              <w:rPr>
                <w:sz w:val="26"/>
                <w:szCs w:val="26"/>
              </w:rPr>
              <w:t xml:space="preserve">atlases </w:t>
            </w:r>
            <w:r w:rsidR="00EA7E4D" w:rsidRPr="000E6CA4">
              <w:rPr>
                <w:sz w:val="26"/>
                <w:szCs w:val="26"/>
              </w:rPr>
              <w:t xml:space="preserve">kārtas </w:t>
            </w:r>
            <w:r w:rsidR="00B915A4" w:rsidRPr="000E6CA4">
              <w:rPr>
                <w:sz w:val="26"/>
                <w:szCs w:val="26"/>
              </w:rPr>
              <w:t xml:space="preserve">publiskā finansējuma </w:t>
            </w:r>
            <w:r w:rsidR="00EA7E4D" w:rsidRPr="000E6CA4">
              <w:rPr>
                <w:sz w:val="26"/>
                <w:szCs w:val="26"/>
              </w:rPr>
              <w:t xml:space="preserve">atlikums 5 316 490 latu apmērā un </w:t>
            </w:r>
            <w:proofErr w:type="spellStart"/>
            <w:r w:rsidR="003D5644" w:rsidRPr="000E6CA4">
              <w:rPr>
                <w:sz w:val="26"/>
                <w:szCs w:val="26"/>
              </w:rPr>
              <w:t>virssaistības</w:t>
            </w:r>
            <w:proofErr w:type="spellEnd"/>
            <w:r w:rsidR="003D5644" w:rsidRPr="000E6CA4">
              <w:rPr>
                <w:sz w:val="26"/>
                <w:szCs w:val="26"/>
              </w:rPr>
              <w:t xml:space="preserve"> </w:t>
            </w:r>
            <w:r w:rsidR="00886875" w:rsidRPr="000E6CA4">
              <w:rPr>
                <w:sz w:val="26"/>
                <w:szCs w:val="26"/>
              </w:rPr>
              <w:t>4 463 146</w:t>
            </w:r>
            <w:r w:rsidR="003D5644" w:rsidRPr="000E6CA4">
              <w:rPr>
                <w:sz w:val="26"/>
                <w:szCs w:val="26"/>
              </w:rPr>
              <w:t xml:space="preserve"> latu apmērā. </w:t>
            </w:r>
          </w:p>
          <w:p w:rsidR="00E07CB6" w:rsidRPr="000E6CA4" w:rsidRDefault="003D5644" w:rsidP="00E07CB6">
            <w:pPr>
              <w:jc w:val="both"/>
              <w:rPr>
                <w:sz w:val="26"/>
                <w:szCs w:val="26"/>
              </w:rPr>
            </w:pPr>
            <w:proofErr w:type="spellStart"/>
            <w:r w:rsidRPr="000E6CA4">
              <w:rPr>
                <w:sz w:val="26"/>
                <w:szCs w:val="26"/>
              </w:rPr>
              <w:t>Virssaistības</w:t>
            </w:r>
            <w:proofErr w:type="spellEnd"/>
            <w:r w:rsidRPr="000E6CA4">
              <w:rPr>
                <w:sz w:val="26"/>
                <w:szCs w:val="26"/>
              </w:rPr>
              <w:t xml:space="preserve"> šai gadījumā nozīmē atļauju apstiprināt </w:t>
            </w:r>
            <w:r w:rsidR="00B00E1D" w:rsidRPr="000E6CA4">
              <w:rPr>
                <w:sz w:val="26"/>
                <w:szCs w:val="26"/>
              </w:rPr>
              <w:t xml:space="preserve">un īstenot papildu </w:t>
            </w:r>
            <w:r w:rsidRPr="000E6CA4">
              <w:rPr>
                <w:sz w:val="26"/>
                <w:szCs w:val="26"/>
              </w:rPr>
              <w:t xml:space="preserve">projektus un noslēgt līgumus par lielāku summu, nekā </w:t>
            </w:r>
            <w:r w:rsidR="00E07CB6" w:rsidRPr="000E6CA4">
              <w:rPr>
                <w:sz w:val="26"/>
                <w:szCs w:val="26"/>
              </w:rPr>
              <w:t>1.1.1.2.aktivitātei noteiktais finansējums darbības programmas „Cilvēkresursi un nodarbinātība” papildinājumā.</w:t>
            </w:r>
            <w:r w:rsidR="009F34EC" w:rsidRPr="000E6CA4">
              <w:rPr>
                <w:sz w:val="26"/>
                <w:szCs w:val="26"/>
              </w:rPr>
              <w:t xml:space="preserve"> </w:t>
            </w:r>
          </w:p>
          <w:p w:rsidR="003642FC" w:rsidRPr="000E6CA4" w:rsidRDefault="003642FC" w:rsidP="003642FC">
            <w:pPr>
              <w:jc w:val="both"/>
              <w:rPr>
                <w:sz w:val="26"/>
                <w:szCs w:val="26"/>
              </w:rPr>
            </w:pPr>
            <w:r w:rsidRPr="000E6CA4">
              <w:rPr>
                <w:sz w:val="26"/>
                <w:szCs w:val="26"/>
              </w:rPr>
              <w:t>Nepieciešamais finansējums maksājumu veikšanai finansējuma saņēmējiem tiks pieprasīts normatīvajos aktos noteiktajā kārtībā no budžeta programmas 80.00.00 „Nesadalītais finansējums Eiropas Savienības politiku instrumentu un pārējās ārvalstu finanšu palīdzības līdzfinansēto projektu un pasākumu īstenošanai”, un pēc attiecīgas pā</w:t>
            </w:r>
            <w:r w:rsidR="00FC196F" w:rsidRPr="000E6CA4">
              <w:rPr>
                <w:sz w:val="26"/>
                <w:szCs w:val="26"/>
              </w:rPr>
              <w:t>rdales maksājumi finansējuma saņ</w:t>
            </w:r>
            <w:r w:rsidRPr="000E6CA4">
              <w:rPr>
                <w:sz w:val="26"/>
                <w:szCs w:val="26"/>
              </w:rPr>
              <w:t>ēmējiem tiks veikti no Izglītības un zinātnes ministrijas budžeta apakšprogrammas 63.00.00 „Eiropas Sociāla fonda (ESF) projektu un pasākumu īstenošana”.</w:t>
            </w:r>
          </w:p>
          <w:p w:rsidR="009F34EC" w:rsidRPr="000E6CA4" w:rsidRDefault="009F34EC" w:rsidP="009F34EC">
            <w:pPr>
              <w:ind w:left="-42"/>
              <w:jc w:val="both"/>
              <w:rPr>
                <w:rFonts w:ascii="Tahoma" w:hAnsi="Tahoma" w:cs="Tahoma"/>
                <w:sz w:val="26"/>
                <w:szCs w:val="26"/>
              </w:rPr>
            </w:pPr>
            <w:r w:rsidRPr="000E6CA4">
              <w:rPr>
                <w:sz w:val="26"/>
                <w:szCs w:val="26"/>
              </w:rPr>
              <w:t xml:space="preserve">Aktivitātes otrās atlases kārtas projektu īstenošanas maksimālais gala termiņš ir 2015.gada 31.augusts. Piešķirto </w:t>
            </w:r>
            <w:proofErr w:type="spellStart"/>
            <w:r w:rsidRPr="000E6CA4">
              <w:rPr>
                <w:sz w:val="26"/>
                <w:szCs w:val="26"/>
              </w:rPr>
              <w:t>virssaistību</w:t>
            </w:r>
            <w:proofErr w:type="spellEnd"/>
            <w:r w:rsidRPr="000E6CA4">
              <w:rPr>
                <w:sz w:val="26"/>
                <w:szCs w:val="26"/>
              </w:rPr>
              <w:t xml:space="preserve"> ietekme uz 2012.gada budžetu nav plānota. Līgumus par projektu īstenošanu plānots noslēgt 2013.gadā par visu piešķirto </w:t>
            </w:r>
            <w:proofErr w:type="spellStart"/>
            <w:r w:rsidRPr="000E6CA4">
              <w:rPr>
                <w:sz w:val="26"/>
                <w:szCs w:val="26"/>
              </w:rPr>
              <w:t>virssaistību</w:t>
            </w:r>
            <w:proofErr w:type="spellEnd"/>
            <w:r w:rsidRPr="000E6CA4">
              <w:rPr>
                <w:sz w:val="26"/>
                <w:szCs w:val="26"/>
              </w:rPr>
              <w:t xml:space="preserve"> apjomu.</w:t>
            </w:r>
          </w:p>
          <w:p w:rsidR="003D5644" w:rsidRPr="000E6CA4" w:rsidRDefault="00B00E1D" w:rsidP="00B00E1D">
            <w:pPr>
              <w:jc w:val="both"/>
              <w:rPr>
                <w:sz w:val="26"/>
                <w:szCs w:val="26"/>
              </w:rPr>
            </w:pPr>
            <w:r w:rsidRPr="000E6CA4">
              <w:rPr>
                <w:sz w:val="26"/>
                <w:szCs w:val="26"/>
              </w:rPr>
              <w:t>Aktivitātes otrās atlases kārtas ietvaros f</w:t>
            </w:r>
            <w:r w:rsidR="009F34EC" w:rsidRPr="000E6CA4">
              <w:rPr>
                <w:sz w:val="26"/>
                <w:szCs w:val="26"/>
              </w:rPr>
              <w:t xml:space="preserve">inansējuma sadalījums pa gadiem var mainīties, ņemot vērā faktiski izlietoto finansējumu. </w:t>
            </w:r>
          </w:p>
        </w:tc>
      </w:tr>
      <w:tr w:rsidR="003D5644" w:rsidRPr="000E6CA4" w:rsidTr="003119E2">
        <w:tblPrEx>
          <w:jc w:val="center"/>
          <w:tblCellMar>
            <w:top w:w="0" w:type="dxa"/>
            <w:left w:w="108" w:type="dxa"/>
            <w:bottom w:w="0" w:type="dxa"/>
            <w:right w:w="108" w:type="dxa"/>
          </w:tblCellMar>
          <w:tblLook w:val="01E0"/>
        </w:tblPrEx>
        <w:trPr>
          <w:jc w:val="center"/>
        </w:trPr>
        <w:tc>
          <w:tcPr>
            <w:tcW w:w="1438" w:type="pct"/>
          </w:tcPr>
          <w:p w:rsidR="003D5644" w:rsidRPr="000E6CA4" w:rsidRDefault="003D5644" w:rsidP="0014630D">
            <w:pPr>
              <w:jc w:val="both"/>
              <w:rPr>
                <w:sz w:val="26"/>
                <w:szCs w:val="26"/>
              </w:rPr>
            </w:pPr>
            <w:r w:rsidRPr="000E6CA4">
              <w:rPr>
                <w:sz w:val="26"/>
                <w:szCs w:val="26"/>
              </w:rPr>
              <w:t>6.1. detalizēts ieņēmumu aprēķins</w:t>
            </w:r>
          </w:p>
        </w:tc>
        <w:tc>
          <w:tcPr>
            <w:tcW w:w="3522" w:type="pct"/>
            <w:gridSpan w:val="5"/>
            <w:vMerge/>
          </w:tcPr>
          <w:p w:rsidR="003D5644" w:rsidRPr="000E6CA4" w:rsidRDefault="003D5644" w:rsidP="0014630D">
            <w:pPr>
              <w:pStyle w:val="naisf"/>
              <w:spacing w:before="0" w:after="0"/>
              <w:ind w:firstLine="0"/>
              <w:rPr>
                <w:b/>
                <w:i/>
                <w:sz w:val="26"/>
                <w:szCs w:val="26"/>
              </w:rPr>
            </w:pPr>
          </w:p>
        </w:tc>
      </w:tr>
      <w:tr w:rsidR="003D5644" w:rsidRPr="000E6CA4" w:rsidTr="003119E2">
        <w:tblPrEx>
          <w:jc w:val="center"/>
          <w:tblCellMar>
            <w:top w:w="0" w:type="dxa"/>
            <w:left w:w="108" w:type="dxa"/>
            <w:bottom w:w="0" w:type="dxa"/>
            <w:right w:w="108" w:type="dxa"/>
          </w:tblCellMar>
          <w:tblLook w:val="01E0"/>
        </w:tblPrEx>
        <w:trPr>
          <w:trHeight w:val="943"/>
          <w:jc w:val="center"/>
        </w:trPr>
        <w:tc>
          <w:tcPr>
            <w:tcW w:w="1438" w:type="pct"/>
          </w:tcPr>
          <w:p w:rsidR="003D5644" w:rsidRPr="000E6CA4" w:rsidRDefault="003D5644" w:rsidP="0014630D">
            <w:pPr>
              <w:jc w:val="both"/>
              <w:rPr>
                <w:sz w:val="26"/>
                <w:szCs w:val="26"/>
              </w:rPr>
            </w:pPr>
            <w:r w:rsidRPr="000E6CA4">
              <w:rPr>
                <w:sz w:val="26"/>
                <w:szCs w:val="26"/>
              </w:rPr>
              <w:t>6.2. detalizēts izdevumu aprēķins</w:t>
            </w:r>
          </w:p>
        </w:tc>
        <w:tc>
          <w:tcPr>
            <w:tcW w:w="3522" w:type="pct"/>
            <w:gridSpan w:val="5"/>
            <w:vMerge/>
          </w:tcPr>
          <w:p w:rsidR="003D5644" w:rsidRPr="000E6CA4" w:rsidRDefault="003D5644" w:rsidP="0014630D">
            <w:pPr>
              <w:pStyle w:val="naisf"/>
              <w:spacing w:before="0" w:after="0"/>
              <w:ind w:firstLine="0"/>
              <w:rPr>
                <w:b/>
                <w:i/>
                <w:sz w:val="26"/>
                <w:szCs w:val="26"/>
              </w:rPr>
            </w:pPr>
          </w:p>
        </w:tc>
      </w:tr>
      <w:tr w:rsidR="003D5644" w:rsidRPr="000E6CA4" w:rsidTr="003119E2">
        <w:tblPrEx>
          <w:jc w:val="center"/>
          <w:tblCellMar>
            <w:top w:w="0" w:type="dxa"/>
            <w:left w:w="108" w:type="dxa"/>
            <w:bottom w:w="0" w:type="dxa"/>
            <w:right w:w="108" w:type="dxa"/>
          </w:tblCellMar>
          <w:tblLook w:val="01E0"/>
        </w:tblPrEx>
        <w:trPr>
          <w:jc w:val="center"/>
        </w:trPr>
        <w:tc>
          <w:tcPr>
            <w:tcW w:w="1438" w:type="pct"/>
          </w:tcPr>
          <w:p w:rsidR="003D5644" w:rsidRPr="000E6CA4" w:rsidRDefault="003D5644" w:rsidP="0014630D">
            <w:pPr>
              <w:jc w:val="both"/>
              <w:rPr>
                <w:sz w:val="26"/>
                <w:szCs w:val="26"/>
              </w:rPr>
            </w:pPr>
            <w:r w:rsidRPr="000E6CA4">
              <w:rPr>
                <w:sz w:val="26"/>
                <w:szCs w:val="26"/>
              </w:rPr>
              <w:t>7. Cita informācija</w:t>
            </w:r>
          </w:p>
        </w:tc>
        <w:tc>
          <w:tcPr>
            <w:tcW w:w="3522" w:type="pct"/>
            <w:gridSpan w:val="5"/>
          </w:tcPr>
          <w:p w:rsidR="004E3B9C" w:rsidRPr="000E6CA4" w:rsidRDefault="003D5644" w:rsidP="00505312">
            <w:pPr>
              <w:autoSpaceDE w:val="0"/>
              <w:autoSpaceDN w:val="0"/>
              <w:adjustRightInd w:val="0"/>
              <w:jc w:val="both"/>
              <w:rPr>
                <w:sz w:val="26"/>
                <w:szCs w:val="26"/>
              </w:rPr>
            </w:pPr>
            <w:proofErr w:type="spellStart"/>
            <w:r w:rsidRPr="000E6CA4">
              <w:rPr>
                <w:sz w:val="26"/>
                <w:szCs w:val="26"/>
              </w:rPr>
              <w:t>Virssaistības</w:t>
            </w:r>
            <w:proofErr w:type="spellEnd"/>
            <w:r w:rsidRPr="000E6CA4">
              <w:rPr>
                <w:sz w:val="26"/>
                <w:szCs w:val="26"/>
              </w:rPr>
              <w:t xml:space="preserve"> tiks deklarētas Eiropas Komisijai pēc attiecināmo izdevumu rašanās.</w:t>
            </w:r>
            <w:r w:rsidR="00AF67E6" w:rsidRPr="000E6CA4">
              <w:rPr>
                <w:sz w:val="26"/>
                <w:szCs w:val="26"/>
              </w:rPr>
              <w:t xml:space="preserve"> Plānotais </w:t>
            </w:r>
            <w:proofErr w:type="spellStart"/>
            <w:r w:rsidR="00AF67E6" w:rsidRPr="000E6CA4">
              <w:rPr>
                <w:sz w:val="26"/>
                <w:szCs w:val="26"/>
              </w:rPr>
              <w:t>virssaistību</w:t>
            </w:r>
            <w:proofErr w:type="spellEnd"/>
            <w:r w:rsidR="00AF67E6" w:rsidRPr="000E6CA4">
              <w:rPr>
                <w:sz w:val="26"/>
                <w:szCs w:val="26"/>
              </w:rPr>
              <w:t xml:space="preserve"> ap</w:t>
            </w:r>
            <w:r w:rsidR="00E91A3F" w:rsidRPr="000E6CA4">
              <w:rPr>
                <w:sz w:val="26"/>
                <w:szCs w:val="26"/>
              </w:rPr>
              <w:t>mēra</w:t>
            </w:r>
            <w:r w:rsidR="00AF67E6" w:rsidRPr="000E6CA4">
              <w:rPr>
                <w:sz w:val="26"/>
                <w:szCs w:val="26"/>
              </w:rPr>
              <w:t xml:space="preserve"> </w:t>
            </w:r>
            <w:r w:rsidR="00E91A3F" w:rsidRPr="000E6CA4">
              <w:rPr>
                <w:sz w:val="26"/>
                <w:szCs w:val="26"/>
              </w:rPr>
              <w:t xml:space="preserve">(tūkst. LVL) </w:t>
            </w:r>
            <w:r w:rsidR="00AF67E6" w:rsidRPr="000E6CA4">
              <w:rPr>
                <w:sz w:val="26"/>
                <w:szCs w:val="26"/>
              </w:rPr>
              <w:t>sadal</w:t>
            </w:r>
            <w:r w:rsidR="00672801" w:rsidRPr="000E6CA4">
              <w:rPr>
                <w:sz w:val="26"/>
                <w:szCs w:val="26"/>
              </w:rPr>
              <w:t>ī</w:t>
            </w:r>
            <w:r w:rsidR="00AF67E6" w:rsidRPr="000E6CA4">
              <w:rPr>
                <w:sz w:val="26"/>
                <w:szCs w:val="26"/>
              </w:rPr>
              <w:t>jum</w:t>
            </w:r>
            <w:r w:rsidR="007C4431" w:rsidRPr="000E6CA4">
              <w:rPr>
                <w:sz w:val="26"/>
                <w:szCs w:val="26"/>
              </w:rPr>
              <w:t>s</w:t>
            </w:r>
            <w:r w:rsidR="00AF67E6" w:rsidRPr="000E6CA4">
              <w:rPr>
                <w:sz w:val="26"/>
                <w:szCs w:val="26"/>
              </w:rPr>
              <w:t xml:space="preserve"> pa gadiem</w:t>
            </w:r>
            <w:r w:rsidR="00672801" w:rsidRPr="000E6CA4">
              <w:rPr>
                <w:sz w:val="26"/>
                <w:szCs w:val="26"/>
              </w:rPr>
              <w:t xml:space="preserve">: </w:t>
            </w:r>
            <w:r w:rsidR="00FA5138" w:rsidRPr="000E6CA4">
              <w:rPr>
                <w:sz w:val="26"/>
                <w:szCs w:val="26"/>
              </w:rPr>
              <w:t>1517,5</w:t>
            </w:r>
            <w:r w:rsidR="00505312" w:rsidRPr="000E6CA4">
              <w:rPr>
                <w:sz w:val="26"/>
                <w:szCs w:val="26"/>
              </w:rPr>
              <w:t xml:space="preserve"> (2013.g.)</w:t>
            </w:r>
            <w:r w:rsidR="00FA5138" w:rsidRPr="000E6CA4">
              <w:rPr>
                <w:sz w:val="26"/>
                <w:szCs w:val="26"/>
              </w:rPr>
              <w:t>;</w:t>
            </w:r>
            <w:r w:rsidR="00882490" w:rsidRPr="000E6CA4">
              <w:rPr>
                <w:sz w:val="26"/>
                <w:szCs w:val="26"/>
              </w:rPr>
              <w:t xml:space="preserve"> </w:t>
            </w:r>
            <w:r w:rsidR="00E91A3F" w:rsidRPr="000E6CA4">
              <w:rPr>
                <w:sz w:val="26"/>
                <w:szCs w:val="26"/>
              </w:rPr>
              <w:t>1874,6</w:t>
            </w:r>
            <w:r w:rsidR="00505312" w:rsidRPr="000E6CA4">
              <w:rPr>
                <w:sz w:val="26"/>
                <w:szCs w:val="26"/>
              </w:rPr>
              <w:t xml:space="preserve"> (2014.g.)</w:t>
            </w:r>
            <w:r w:rsidR="00E91A3F" w:rsidRPr="000E6CA4">
              <w:rPr>
                <w:sz w:val="26"/>
                <w:szCs w:val="26"/>
              </w:rPr>
              <w:t>; 1071,1</w:t>
            </w:r>
            <w:r w:rsidR="00505312" w:rsidRPr="000E6CA4">
              <w:rPr>
                <w:sz w:val="26"/>
                <w:szCs w:val="26"/>
              </w:rPr>
              <w:t xml:space="preserve"> (2015.g.)</w:t>
            </w:r>
            <w:r w:rsidR="00E91A3F" w:rsidRPr="000E6CA4">
              <w:rPr>
                <w:sz w:val="26"/>
                <w:szCs w:val="26"/>
              </w:rPr>
              <w:t>.</w:t>
            </w:r>
          </w:p>
        </w:tc>
      </w:tr>
    </w:tbl>
    <w:p w:rsidR="003D5644" w:rsidRPr="000E6CA4" w:rsidRDefault="003D5644" w:rsidP="0014630D">
      <w:pPr>
        <w:jc w:val="both"/>
        <w:rPr>
          <w:b/>
          <w:sz w:val="26"/>
          <w:szCs w:val="26"/>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270"/>
        <w:gridCol w:w="2595"/>
        <w:gridCol w:w="6266"/>
      </w:tblGrid>
      <w:tr w:rsidR="001A5D33" w:rsidRPr="000E6CA4" w:rsidTr="003119E2">
        <w:tc>
          <w:tcPr>
            <w:tcW w:w="5000" w:type="pct"/>
            <w:gridSpan w:val="3"/>
            <w:tcBorders>
              <w:top w:val="single" w:sz="6" w:space="0" w:color="auto"/>
              <w:left w:val="single" w:sz="6" w:space="0" w:color="auto"/>
              <w:bottom w:val="outset" w:sz="6" w:space="0" w:color="000000"/>
              <w:right w:val="single" w:sz="6" w:space="0" w:color="auto"/>
            </w:tcBorders>
            <w:hideMark/>
          </w:tcPr>
          <w:p w:rsidR="001A5D33" w:rsidRPr="000E6CA4" w:rsidRDefault="001A5D33" w:rsidP="0014630D">
            <w:pPr>
              <w:jc w:val="center"/>
              <w:rPr>
                <w:b/>
                <w:bCs/>
                <w:sz w:val="26"/>
                <w:szCs w:val="26"/>
              </w:rPr>
            </w:pPr>
            <w:r w:rsidRPr="000E6CA4">
              <w:rPr>
                <w:sz w:val="26"/>
                <w:szCs w:val="26"/>
              </w:rPr>
              <w:t> </w:t>
            </w:r>
            <w:r w:rsidRPr="000E6CA4">
              <w:rPr>
                <w:b/>
                <w:bCs/>
                <w:sz w:val="26"/>
                <w:szCs w:val="26"/>
              </w:rPr>
              <w:t>IV. Tiesību akta projekta ietekme uz spēkā esošo tiesību normu sistēmu</w:t>
            </w:r>
          </w:p>
        </w:tc>
      </w:tr>
      <w:tr w:rsidR="001A5D33" w:rsidRPr="000E6CA4" w:rsidTr="003119E2">
        <w:tc>
          <w:tcPr>
            <w:tcW w:w="148" w:type="pct"/>
            <w:tcBorders>
              <w:top w:val="outset" w:sz="6" w:space="0" w:color="000000"/>
              <w:left w:val="outset" w:sz="6" w:space="0" w:color="000000"/>
              <w:bottom w:val="outset" w:sz="6" w:space="0" w:color="000000"/>
              <w:right w:val="outset" w:sz="6" w:space="0" w:color="000000"/>
            </w:tcBorders>
            <w:hideMark/>
          </w:tcPr>
          <w:p w:rsidR="001A5D33" w:rsidRPr="000E6CA4" w:rsidRDefault="001A5D33" w:rsidP="0014630D">
            <w:pPr>
              <w:rPr>
                <w:sz w:val="26"/>
                <w:szCs w:val="26"/>
              </w:rPr>
            </w:pPr>
            <w:r w:rsidRPr="000E6CA4">
              <w:rPr>
                <w:sz w:val="26"/>
                <w:szCs w:val="26"/>
              </w:rPr>
              <w:t>1.</w:t>
            </w:r>
          </w:p>
        </w:tc>
        <w:tc>
          <w:tcPr>
            <w:tcW w:w="1421" w:type="pct"/>
            <w:tcBorders>
              <w:top w:val="outset" w:sz="6" w:space="0" w:color="000000"/>
              <w:left w:val="outset" w:sz="6" w:space="0" w:color="000000"/>
              <w:bottom w:val="outset" w:sz="6" w:space="0" w:color="000000"/>
              <w:right w:val="outset" w:sz="6" w:space="0" w:color="000000"/>
            </w:tcBorders>
            <w:hideMark/>
          </w:tcPr>
          <w:p w:rsidR="001A5D33" w:rsidRPr="000E6CA4" w:rsidRDefault="001A5D33" w:rsidP="0014630D">
            <w:pPr>
              <w:rPr>
                <w:sz w:val="26"/>
                <w:szCs w:val="26"/>
                <w:lang w:val="en-AU" w:eastAsia="en-US"/>
              </w:rPr>
            </w:pPr>
            <w:r w:rsidRPr="000E6CA4">
              <w:rPr>
                <w:sz w:val="26"/>
                <w:szCs w:val="26"/>
                <w:lang w:val="en-AU" w:eastAsia="en-US"/>
              </w:rPr>
              <w:t>Nepieciešamie saistītie tiesību aktu projekti</w:t>
            </w:r>
          </w:p>
        </w:tc>
        <w:tc>
          <w:tcPr>
            <w:tcW w:w="3431" w:type="pct"/>
            <w:tcBorders>
              <w:top w:val="outset" w:sz="6" w:space="0" w:color="000000"/>
              <w:left w:val="outset" w:sz="6" w:space="0" w:color="000000"/>
              <w:bottom w:val="outset" w:sz="6" w:space="0" w:color="000000"/>
              <w:right w:val="outset" w:sz="6" w:space="0" w:color="000000"/>
            </w:tcBorders>
            <w:hideMark/>
          </w:tcPr>
          <w:p w:rsidR="00C631B5" w:rsidRPr="008E1DA9" w:rsidRDefault="00373CD5" w:rsidP="008E1DA9">
            <w:pPr>
              <w:jc w:val="both"/>
              <w:rPr>
                <w:sz w:val="26"/>
                <w:szCs w:val="26"/>
              </w:rPr>
            </w:pPr>
            <w:r w:rsidRPr="000E6CA4">
              <w:rPr>
                <w:sz w:val="26"/>
                <w:szCs w:val="26"/>
              </w:rPr>
              <w:t xml:space="preserve">Izglītības un zinātnes ministrija </w:t>
            </w:r>
            <w:r w:rsidRPr="000E6CA4">
              <w:rPr>
                <w:bCs/>
                <w:color w:val="000000"/>
                <w:sz w:val="26"/>
                <w:szCs w:val="26"/>
              </w:rPr>
              <w:t>ir izstrādājusi un vienlaikus virza apstiprināšanai tiesību aktu projektu</w:t>
            </w:r>
            <w:r w:rsidR="00FA77CE">
              <w:rPr>
                <w:bCs/>
                <w:color w:val="000000"/>
                <w:sz w:val="26"/>
                <w:szCs w:val="26"/>
              </w:rPr>
              <w:t xml:space="preserve"> </w:t>
            </w:r>
            <w:bookmarkStart w:id="7" w:name="OLE_LINK10"/>
            <w:bookmarkStart w:id="8" w:name="OLE_LINK12"/>
            <w:bookmarkStart w:id="9" w:name="OLE_LINK13"/>
            <w:bookmarkStart w:id="10" w:name="OLE_LINK14"/>
            <w:bookmarkStart w:id="11" w:name="OLE_LINK15"/>
            <w:r w:rsidR="008E1DA9" w:rsidRPr="008E1DA9">
              <w:rPr>
                <w:sz w:val="26"/>
                <w:szCs w:val="26"/>
              </w:rPr>
              <w:t xml:space="preserve">„Grozījumi Ministru kabineta 2008.gada 2.septembra noteikumos Nr.703 </w:t>
            </w:r>
            <w:bookmarkEnd w:id="7"/>
            <w:bookmarkEnd w:id="8"/>
            <w:bookmarkEnd w:id="9"/>
            <w:bookmarkEnd w:id="10"/>
            <w:bookmarkEnd w:id="11"/>
            <w:r w:rsidR="008E1DA9" w:rsidRPr="008E1DA9">
              <w:rPr>
                <w:sz w:val="26"/>
                <w:szCs w:val="26"/>
              </w:rPr>
              <w:t>"Noteikumi par darbības programmas "Cilvēkresursi un nodarbinātība" papildinājuma 1.1.1.2.aktivitāti "Cilvēkresursu piesaiste zinātnei""</w:t>
            </w:r>
            <w:r w:rsidR="00C631B5" w:rsidRPr="008E1DA9">
              <w:rPr>
                <w:sz w:val="26"/>
                <w:szCs w:val="26"/>
              </w:rPr>
              <w:t>, precizējot 1.1.1.2.aktivitātes pirmajā atlases kārtā pieejamo kopējo publiskā finansējuma apmēru.</w:t>
            </w:r>
            <w:r w:rsidR="00FA77CE" w:rsidRPr="008E1DA9">
              <w:rPr>
                <w:sz w:val="26"/>
                <w:szCs w:val="26"/>
              </w:rPr>
              <w:t xml:space="preserve"> </w:t>
            </w:r>
            <w:r w:rsidR="00FA77CE" w:rsidRPr="000E6CA4">
              <w:rPr>
                <w:sz w:val="26"/>
                <w:szCs w:val="26"/>
              </w:rPr>
              <w:t>Grozījumu minētaj</w:t>
            </w:r>
            <w:r w:rsidR="00FA77CE">
              <w:rPr>
                <w:sz w:val="26"/>
                <w:szCs w:val="26"/>
              </w:rPr>
              <w:t>os</w:t>
            </w:r>
            <w:r w:rsidR="00FA77CE" w:rsidRPr="000E6CA4">
              <w:rPr>
                <w:sz w:val="26"/>
                <w:szCs w:val="26"/>
              </w:rPr>
              <w:t xml:space="preserve"> </w:t>
            </w:r>
            <w:r w:rsidR="00FA77CE">
              <w:rPr>
                <w:sz w:val="26"/>
                <w:szCs w:val="26"/>
              </w:rPr>
              <w:t>noteikumos</w:t>
            </w:r>
            <w:r w:rsidR="00FA77CE" w:rsidRPr="000E6CA4">
              <w:rPr>
                <w:sz w:val="26"/>
                <w:szCs w:val="26"/>
              </w:rPr>
              <w:t xml:space="preserve"> plānots veikt 2012.gada </w:t>
            </w:r>
            <w:r w:rsidR="00FA77CE">
              <w:rPr>
                <w:sz w:val="26"/>
                <w:szCs w:val="26"/>
              </w:rPr>
              <w:t>o</w:t>
            </w:r>
            <w:r w:rsidR="000B0C24">
              <w:rPr>
                <w:sz w:val="26"/>
                <w:szCs w:val="26"/>
              </w:rPr>
              <w:t>ktobrī</w:t>
            </w:r>
            <w:r w:rsidR="00FA77CE" w:rsidRPr="000E6CA4">
              <w:rPr>
                <w:sz w:val="26"/>
                <w:szCs w:val="26"/>
              </w:rPr>
              <w:t>.</w:t>
            </w:r>
          </w:p>
          <w:p w:rsidR="00811564" w:rsidRPr="00E02AB2" w:rsidRDefault="00C631B5" w:rsidP="007E5F2C">
            <w:pPr>
              <w:pStyle w:val="ListParagraph"/>
              <w:spacing w:before="0" w:after="0" w:line="240" w:lineRule="auto"/>
              <w:ind w:left="0" w:firstLine="0"/>
              <w:rPr>
                <w:szCs w:val="26"/>
                <w:lang w:val="lv-LV"/>
              </w:rPr>
            </w:pPr>
            <w:r w:rsidRPr="000E6CA4">
              <w:rPr>
                <w:szCs w:val="26"/>
                <w:lang w:val="lv-LV"/>
              </w:rPr>
              <w:lastRenderedPageBreak/>
              <w:t>Par darbības programmas papildinājum</w:t>
            </w:r>
            <w:r w:rsidR="00FA77CE">
              <w:rPr>
                <w:szCs w:val="26"/>
                <w:lang w:val="lv-LV"/>
              </w:rPr>
              <w:t xml:space="preserve">ā veikti grozījumi, kas apstiprināti ar </w:t>
            </w:r>
            <w:r w:rsidR="00FA77CE" w:rsidRPr="00FA77CE">
              <w:rPr>
                <w:szCs w:val="26"/>
                <w:lang w:val="lv-LV"/>
              </w:rPr>
              <w:t>MK 12.09.2012. rīkojumu nr.435</w:t>
            </w:r>
            <w:r w:rsidR="007E5F2C">
              <w:rPr>
                <w:szCs w:val="26"/>
                <w:lang w:val="lv-LV"/>
              </w:rPr>
              <w:t xml:space="preserve"> </w:t>
            </w:r>
            <w:r w:rsidR="007E5F2C">
              <w:rPr>
                <w:szCs w:val="26"/>
                <w:lang w:val="lv-LV" w:eastAsia="lv-LV"/>
              </w:rPr>
              <w:t>„</w:t>
            </w:r>
            <w:r w:rsidR="007E5F2C" w:rsidRPr="007E5F2C">
              <w:rPr>
                <w:szCs w:val="26"/>
                <w:lang w:val="lv-LV" w:eastAsia="lv-LV"/>
              </w:rPr>
              <w:t>Grozījumi darbības programmas "Cilvēkresursi un nodarbinātība" papildinājumā”.</w:t>
            </w:r>
            <w:r w:rsidR="00FA77CE" w:rsidRPr="00E02AB2">
              <w:rPr>
                <w:sz w:val="20"/>
                <w:lang w:val="lv-LV"/>
              </w:rPr>
              <w:t xml:space="preserve"> </w:t>
            </w:r>
            <w:r w:rsidRPr="000E6CA4">
              <w:rPr>
                <w:szCs w:val="26"/>
                <w:lang w:val="lv-LV"/>
              </w:rPr>
              <w:t xml:space="preserve"> </w:t>
            </w:r>
          </w:p>
        </w:tc>
      </w:tr>
      <w:tr w:rsidR="001A5D33" w:rsidRPr="000E6CA4" w:rsidTr="003119E2">
        <w:tc>
          <w:tcPr>
            <w:tcW w:w="148" w:type="pct"/>
            <w:tcBorders>
              <w:top w:val="outset" w:sz="6" w:space="0" w:color="000000"/>
              <w:left w:val="outset" w:sz="6" w:space="0" w:color="000000"/>
              <w:bottom w:val="outset" w:sz="6" w:space="0" w:color="000000"/>
              <w:right w:val="outset" w:sz="6" w:space="0" w:color="000000"/>
            </w:tcBorders>
            <w:hideMark/>
          </w:tcPr>
          <w:p w:rsidR="001A5D33" w:rsidRPr="000E6CA4" w:rsidRDefault="001A5D33" w:rsidP="0014630D">
            <w:pPr>
              <w:rPr>
                <w:sz w:val="26"/>
                <w:szCs w:val="26"/>
              </w:rPr>
            </w:pPr>
            <w:r w:rsidRPr="000E6CA4">
              <w:rPr>
                <w:sz w:val="26"/>
                <w:szCs w:val="26"/>
              </w:rPr>
              <w:lastRenderedPageBreak/>
              <w:t>2.</w:t>
            </w:r>
          </w:p>
        </w:tc>
        <w:tc>
          <w:tcPr>
            <w:tcW w:w="1421" w:type="pct"/>
            <w:tcBorders>
              <w:top w:val="outset" w:sz="6" w:space="0" w:color="000000"/>
              <w:left w:val="outset" w:sz="6" w:space="0" w:color="000000"/>
              <w:bottom w:val="outset" w:sz="6" w:space="0" w:color="000000"/>
              <w:right w:val="outset" w:sz="6" w:space="0" w:color="000000"/>
            </w:tcBorders>
            <w:hideMark/>
          </w:tcPr>
          <w:p w:rsidR="001A5D33" w:rsidRPr="000E6CA4" w:rsidRDefault="001A5D33" w:rsidP="0014630D">
            <w:pPr>
              <w:rPr>
                <w:sz w:val="26"/>
                <w:szCs w:val="26"/>
              </w:rPr>
            </w:pPr>
            <w:r w:rsidRPr="000E6CA4">
              <w:rPr>
                <w:sz w:val="26"/>
                <w:szCs w:val="26"/>
              </w:rPr>
              <w:t>Cita informācija</w:t>
            </w:r>
          </w:p>
        </w:tc>
        <w:tc>
          <w:tcPr>
            <w:tcW w:w="3431" w:type="pct"/>
            <w:tcBorders>
              <w:top w:val="outset" w:sz="6" w:space="0" w:color="000000"/>
              <w:left w:val="outset" w:sz="6" w:space="0" w:color="000000"/>
              <w:bottom w:val="outset" w:sz="6" w:space="0" w:color="000000"/>
              <w:right w:val="outset" w:sz="6" w:space="0" w:color="000000"/>
            </w:tcBorders>
            <w:hideMark/>
          </w:tcPr>
          <w:p w:rsidR="001A5D33" w:rsidRPr="000E6CA4" w:rsidRDefault="004500F3" w:rsidP="0014630D">
            <w:pPr>
              <w:jc w:val="both"/>
              <w:rPr>
                <w:sz w:val="26"/>
                <w:szCs w:val="26"/>
              </w:rPr>
            </w:pPr>
            <w:r>
              <w:rPr>
                <w:sz w:val="26"/>
                <w:szCs w:val="26"/>
              </w:rPr>
              <w:t>Nav.</w:t>
            </w:r>
          </w:p>
        </w:tc>
      </w:tr>
    </w:tbl>
    <w:p w:rsidR="005F1F3C" w:rsidRPr="000E6CA4" w:rsidRDefault="005F1F3C" w:rsidP="0014630D">
      <w:pPr>
        <w:jc w:val="both"/>
        <w:rPr>
          <w:b/>
          <w:sz w:val="26"/>
          <w:szCs w:val="26"/>
        </w:rPr>
      </w:pPr>
    </w:p>
    <w:tbl>
      <w:tblPr>
        <w:tblW w:w="5000"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tblPr>
      <w:tblGrid>
        <w:gridCol w:w="445"/>
        <w:gridCol w:w="1767"/>
        <w:gridCol w:w="7009"/>
      </w:tblGrid>
      <w:tr w:rsidR="005F1F3C" w:rsidRPr="000E6CA4" w:rsidTr="003119E2">
        <w:trPr>
          <w:tblCellSpacing w:w="15" w:type="dxa"/>
        </w:trPr>
        <w:tc>
          <w:tcPr>
            <w:tcW w:w="4967" w:type="pct"/>
            <w:gridSpan w:val="3"/>
            <w:shd w:val="clear" w:color="auto" w:fill="auto"/>
            <w:hideMark/>
          </w:tcPr>
          <w:p w:rsidR="005F1F3C" w:rsidRPr="000E6CA4" w:rsidRDefault="005F1F3C" w:rsidP="0014630D">
            <w:pPr>
              <w:jc w:val="center"/>
              <w:rPr>
                <w:b/>
                <w:bCs/>
                <w:sz w:val="26"/>
                <w:szCs w:val="26"/>
              </w:rPr>
            </w:pPr>
            <w:r w:rsidRPr="000E6CA4">
              <w:rPr>
                <w:b/>
                <w:bCs/>
                <w:sz w:val="26"/>
                <w:szCs w:val="26"/>
              </w:rPr>
              <w:t>V. Tiesību akta projekta atbilstība Latvijas Republikas starptautiskajām saistībām</w:t>
            </w:r>
          </w:p>
        </w:tc>
      </w:tr>
      <w:tr w:rsidR="005F1F3C" w:rsidRPr="000E6CA4" w:rsidTr="003119E2">
        <w:trPr>
          <w:tblCellSpacing w:w="15" w:type="dxa"/>
        </w:trPr>
        <w:tc>
          <w:tcPr>
            <w:tcW w:w="218" w:type="pct"/>
            <w:shd w:val="clear" w:color="auto" w:fill="auto"/>
            <w:hideMark/>
          </w:tcPr>
          <w:p w:rsidR="005F1F3C" w:rsidRPr="000E6CA4" w:rsidRDefault="005F1F3C" w:rsidP="0014630D">
            <w:pPr>
              <w:rPr>
                <w:sz w:val="26"/>
                <w:szCs w:val="26"/>
              </w:rPr>
            </w:pPr>
            <w:r w:rsidRPr="000E6CA4">
              <w:rPr>
                <w:sz w:val="26"/>
                <w:szCs w:val="26"/>
              </w:rPr>
              <w:t>1.</w:t>
            </w:r>
          </w:p>
        </w:tc>
        <w:tc>
          <w:tcPr>
            <w:tcW w:w="948" w:type="pct"/>
            <w:shd w:val="clear" w:color="auto" w:fill="auto"/>
            <w:hideMark/>
          </w:tcPr>
          <w:p w:rsidR="005F1F3C" w:rsidRPr="000E6CA4" w:rsidRDefault="005F1F3C" w:rsidP="0014630D">
            <w:pPr>
              <w:jc w:val="both"/>
              <w:rPr>
                <w:sz w:val="26"/>
                <w:szCs w:val="26"/>
              </w:rPr>
            </w:pPr>
            <w:r w:rsidRPr="000E6CA4">
              <w:rPr>
                <w:sz w:val="26"/>
                <w:szCs w:val="26"/>
              </w:rPr>
              <w:t>Saistības pret Eiropas Savienību</w:t>
            </w:r>
          </w:p>
        </w:tc>
        <w:tc>
          <w:tcPr>
            <w:tcW w:w="3769" w:type="pct"/>
            <w:shd w:val="clear" w:color="auto" w:fill="auto"/>
            <w:hideMark/>
          </w:tcPr>
          <w:p w:rsidR="005F1F3C" w:rsidRPr="000E6CA4" w:rsidRDefault="005F1F3C" w:rsidP="0014630D">
            <w:pPr>
              <w:jc w:val="both"/>
              <w:rPr>
                <w:sz w:val="26"/>
                <w:szCs w:val="26"/>
              </w:rPr>
            </w:pPr>
            <w:r w:rsidRPr="000E6CA4">
              <w:rPr>
                <w:sz w:val="26"/>
                <w:szCs w:val="26"/>
              </w:rPr>
              <w:t>Ar noteikumu projektu tiks ieviestas šāda Eiropas Savienības tiesību akta prasības:</w:t>
            </w:r>
          </w:p>
          <w:p w:rsidR="004B33B5" w:rsidRPr="000E6CA4" w:rsidRDefault="004B33B5" w:rsidP="004B33B5">
            <w:pPr>
              <w:pStyle w:val="naiskr"/>
              <w:spacing w:before="0" w:after="0"/>
              <w:jc w:val="both"/>
              <w:rPr>
                <w:rStyle w:val="Strong"/>
                <w:b w:val="0"/>
                <w:sz w:val="26"/>
                <w:szCs w:val="26"/>
              </w:rPr>
            </w:pPr>
            <w:r w:rsidRPr="000E6CA4">
              <w:rPr>
                <w:rStyle w:val="Strong"/>
                <w:b w:val="0"/>
                <w:sz w:val="26"/>
                <w:szCs w:val="26"/>
              </w:rPr>
              <w:t xml:space="preserve">– Eiropas Parlamenta un Padomes (EK) Nr.1081/2006 par Eiropas Sociālo fondu un Regulas (EK) Nr. 1784/1999 atcelšanu </w:t>
            </w:r>
            <w:r w:rsidRPr="000E6CA4">
              <w:rPr>
                <w:rFonts w:ascii="TimesNewRoman" w:hAnsi="TimesNewRoman" w:cs="TimesNewRoman"/>
                <w:sz w:val="26"/>
                <w:szCs w:val="26"/>
              </w:rPr>
              <w:t>(</w:t>
            </w:r>
            <w:r w:rsidRPr="000E6CA4">
              <w:rPr>
                <w:rStyle w:val="Strong"/>
                <w:b w:val="0"/>
                <w:bCs w:val="0"/>
                <w:sz w:val="26"/>
                <w:szCs w:val="26"/>
              </w:rPr>
              <w:t xml:space="preserve">publicēta Eiropas Savienības Oficiālajā </w:t>
            </w:r>
            <w:r w:rsidRPr="000E6CA4">
              <w:rPr>
                <w:rStyle w:val="Strong"/>
                <w:b w:val="0"/>
                <w:sz w:val="26"/>
                <w:szCs w:val="26"/>
              </w:rPr>
              <w:t>Vēstnesī 2006.gada 31.jūlijā, Nr. L 210);</w:t>
            </w:r>
          </w:p>
          <w:p w:rsidR="00F53E63" w:rsidRPr="000E6CA4" w:rsidRDefault="004B33B5" w:rsidP="00146A76">
            <w:pPr>
              <w:jc w:val="both"/>
              <w:rPr>
                <w:rStyle w:val="Strong"/>
                <w:b w:val="0"/>
                <w:bCs w:val="0"/>
                <w:sz w:val="26"/>
                <w:szCs w:val="26"/>
              </w:rPr>
            </w:pPr>
            <w:r w:rsidRPr="000E6CA4">
              <w:rPr>
                <w:rStyle w:val="Strong"/>
                <w:b w:val="0"/>
                <w:sz w:val="26"/>
                <w:szCs w:val="26"/>
              </w:rPr>
              <w:t>– Padomes Regula Nr.1083/2006, ar ko paredz vispārīgus noteikumus par Eiropas Reģionālās attīstības fondu, Eiropas Sociālo fondu un Kohēzijas fondu un atceļ Regulu (EK) Nr.1260/1999 (</w:t>
            </w:r>
            <w:r w:rsidRPr="000E6CA4">
              <w:rPr>
                <w:rStyle w:val="Strong"/>
                <w:b w:val="0"/>
                <w:bCs w:val="0"/>
                <w:sz w:val="26"/>
                <w:szCs w:val="26"/>
              </w:rPr>
              <w:t>publicēta Eiropas Savienības Oficiālajā Vēstnesī 2006.gada 31.jūlijā, Nr. L 210/25)</w:t>
            </w:r>
            <w:r w:rsidR="004C3D45" w:rsidRPr="000E6CA4">
              <w:rPr>
                <w:rStyle w:val="Strong"/>
                <w:b w:val="0"/>
                <w:bCs w:val="0"/>
                <w:sz w:val="26"/>
                <w:szCs w:val="26"/>
              </w:rPr>
              <w:t>.</w:t>
            </w:r>
          </w:p>
          <w:p w:rsidR="00984C49" w:rsidRPr="000E6CA4" w:rsidRDefault="004C3D45">
            <w:pPr>
              <w:pStyle w:val="Default"/>
              <w:jc w:val="both"/>
              <w:rPr>
                <w:b/>
                <w:sz w:val="26"/>
                <w:szCs w:val="26"/>
              </w:rPr>
            </w:pPr>
            <w:r w:rsidRPr="000E6CA4">
              <w:rPr>
                <w:rStyle w:val="Strong"/>
                <w:b w:val="0"/>
                <w:color w:val="auto"/>
                <w:sz w:val="26"/>
                <w:szCs w:val="26"/>
              </w:rPr>
              <w:t>Komisijas 2006.gada 8.decembra Regulas (EK) Nr.</w:t>
            </w:r>
            <w:hyperlink r:id="rId8" w:tgtFrame="_blank" w:tooltip="REGULA" w:history="1">
              <w:r w:rsidRPr="000E6CA4">
                <w:rPr>
                  <w:rStyle w:val="Strong"/>
                  <w:b w:val="0"/>
                  <w:color w:val="auto"/>
                  <w:sz w:val="26"/>
                  <w:szCs w:val="26"/>
                </w:rPr>
                <w:t>1828/2006</w:t>
              </w:r>
            </w:hyperlink>
            <w:r w:rsidRPr="000E6CA4">
              <w:rPr>
                <w:rStyle w:val="Strong"/>
                <w:b w:val="0"/>
                <w:color w:val="auto"/>
                <w:sz w:val="26"/>
                <w:szCs w:val="26"/>
              </w:rPr>
              <w:t>,</w:t>
            </w:r>
            <w:r w:rsidRPr="000E6CA4">
              <w:rPr>
                <w:rStyle w:val="Strong"/>
                <w:b w:val="0"/>
                <w:sz w:val="26"/>
                <w:szCs w:val="26"/>
              </w:rPr>
              <w:t xml:space="preserve"> </w:t>
            </w:r>
            <w:r w:rsidRPr="000E6CA4">
              <w:rPr>
                <w:rStyle w:val="Strong"/>
                <w:b w:val="0"/>
                <w:bCs w:val="0"/>
                <w:color w:val="auto"/>
                <w:sz w:val="26"/>
                <w:szCs w:val="26"/>
              </w:rPr>
              <w:t xml:space="preserve">kas paredz noteikumus par to, kā īstenot Padomes Regulu (EK) Nr. 1083/2006, ar ko paredz vispārīgus noteikumus par Eiropas Reģionālās attīstības fondu, Eiropas Sociālo fondu un Kohēzijas fondu, un Eiropas Parlamenta un Padomes Regulu (EK) Nr. 1080/2006 par Eiropas Reģionālās attīstības fondu </w:t>
            </w:r>
            <w:r w:rsidRPr="000E6CA4">
              <w:rPr>
                <w:rStyle w:val="Strong"/>
                <w:b w:val="0"/>
                <w:sz w:val="26"/>
                <w:szCs w:val="26"/>
              </w:rPr>
              <w:t xml:space="preserve">(publicētas Eiropas Savienības Oficiālajā Vēstnesī 2006.gada </w:t>
            </w:r>
            <w:r w:rsidR="00047F64" w:rsidRPr="000E6CA4">
              <w:rPr>
                <w:rStyle w:val="Strong"/>
                <w:b w:val="0"/>
                <w:sz w:val="26"/>
                <w:szCs w:val="26"/>
              </w:rPr>
              <w:t>27</w:t>
            </w:r>
            <w:r w:rsidRPr="000E6CA4">
              <w:rPr>
                <w:rStyle w:val="Strong"/>
                <w:b w:val="0"/>
                <w:sz w:val="26"/>
                <w:szCs w:val="26"/>
              </w:rPr>
              <w:t xml:space="preserve">.decembrī, Nr. </w:t>
            </w:r>
            <w:r w:rsidR="00047F64" w:rsidRPr="000E6CA4">
              <w:rPr>
                <w:rStyle w:val="Strong"/>
                <w:b w:val="0"/>
                <w:sz w:val="26"/>
                <w:szCs w:val="26"/>
              </w:rPr>
              <w:t>L</w:t>
            </w:r>
            <w:r w:rsidRPr="000E6CA4">
              <w:rPr>
                <w:rStyle w:val="Strong"/>
                <w:b w:val="0"/>
                <w:sz w:val="26"/>
                <w:szCs w:val="26"/>
              </w:rPr>
              <w:t xml:space="preserve"> </w:t>
            </w:r>
            <w:r w:rsidR="00047F64" w:rsidRPr="000E6CA4">
              <w:rPr>
                <w:rStyle w:val="Strong"/>
                <w:b w:val="0"/>
                <w:sz w:val="26"/>
                <w:szCs w:val="26"/>
              </w:rPr>
              <w:t>37</w:t>
            </w:r>
            <w:r w:rsidRPr="000E6CA4">
              <w:rPr>
                <w:rStyle w:val="Strong"/>
                <w:b w:val="0"/>
                <w:sz w:val="26"/>
                <w:szCs w:val="26"/>
              </w:rPr>
              <w:t>1)</w:t>
            </w:r>
            <w:r w:rsidR="00BE5839" w:rsidRPr="000E6CA4">
              <w:rPr>
                <w:b/>
                <w:sz w:val="26"/>
                <w:szCs w:val="26"/>
              </w:rPr>
              <w:t>.</w:t>
            </w:r>
          </w:p>
        </w:tc>
      </w:tr>
      <w:tr w:rsidR="005F1F3C" w:rsidRPr="000E6CA4" w:rsidTr="003119E2">
        <w:trPr>
          <w:tblCellSpacing w:w="15" w:type="dxa"/>
        </w:trPr>
        <w:tc>
          <w:tcPr>
            <w:tcW w:w="218" w:type="pct"/>
            <w:shd w:val="clear" w:color="auto" w:fill="auto"/>
            <w:hideMark/>
          </w:tcPr>
          <w:p w:rsidR="005F1F3C" w:rsidRPr="000E6CA4" w:rsidRDefault="005F1F3C" w:rsidP="0014630D">
            <w:pPr>
              <w:rPr>
                <w:sz w:val="26"/>
                <w:szCs w:val="26"/>
              </w:rPr>
            </w:pPr>
            <w:r w:rsidRPr="000E6CA4">
              <w:rPr>
                <w:sz w:val="26"/>
                <w:szCs w:val="26"/>
              </w:rPr>
              <w:t>2.</w:t>
            </w:r>
          </w:p>
        </w:tc>
        <w:tc>
          <w:tcPr>
            <w:tcW w:w="948" w:type="pct"/>
            <w:shd w:val="clear" w:color="auto" w:fill="auto"/>
            <w:hideMark/>
          </w:tcPr>
          <w:p w:rsidR="005F1F3C" w:rsidRPr="000E6CA4" w:rsidRDefault="005F1F3C" w:rsidP="0014630D">
            <w:pPr>
              <w:jc w:val="both"/>
              <w:rPr>
                <w:sz w:val="26"/>
                <w:szCs w:val="26"/>
              </w:rPr>
            </w:pPr>
            <w:r w:rsidRPr="000E6CA4">
              <w:rPr>
                <w:sz w:val="26"/>
                <w:szCs w:val="26"/>
              </w:rPr>
              <w:t>Citas starptautiskās saistības</w:t>
            </w:r>
          </w:p>
        </w:tc>
        <w:tc>
          <w:tcPr>
            <w:tcW w:w="3769" w:type="pct"/>
            <w:shd w:val="clear" w:color="auto" w:fill="auto"/>
            <w:hideMark/>
          </w:tcPr>
          <w:p w:rsidR="005F1F3C" w:rsidRPr="000E6CA4" w:rsidRDefault="00C33500" w:rsidP="0014630D">
            <w:pPr>
              <w:jc w:val="both"/>
              <w:rPr>
                <w:sz w:val="26"/>
                <w:szCs w:val="26"/>
              </w:rPr>
            </w:pPr>
            <w:r w:rsidRPr="000E6CA4">
              <w:rPr>
                <w:sz w:val="26"/>
                <w:szCs w:val="26"/>
              </w:rPr>
              <w:t>Noteikumu projekts šo jomu neskar</w:t>
            </w:r>
          </w:p>
        </w:tc>
      </w:tr>
      <w:tr w:rsidR="005F1F3C" w:rsidRPr="000E6CA4" w:rsidTr="003119E2">
        <w:trPr>
          <w:tblCellSpacing w:w="15" w:type="dxa"/>
        </w:trPr>
        <w:tc>
          <w:tcPr>
            <w:tcW w:w="218" w:type="pct"/>
            <w:shd w:val="clear" w:color="auto" w:fill="auto"/>
            <w:hideMark/>
          </w:tcPr>
          <w:p w:rsidR="005F1F3C" w:rsidRPr="000E6CA4" w:rsidRDefault="005F1F3C" w:rsidP="0014630D">
            <w:pPr>
              <w:rPr>
                <w:sz w:val="26"/>
                <w:szCs w:val="26"/>
              </w:rPr>
            </w:pPr>
            <w:r w:rsidRPr="000E6CA4">
              <w:rPr>
                <w:sz w:val="26"/>
                <w:szCs w:val="26"/>
              </w:rPr>
              <w:t>3.</w:t>
            </w:r>
          </w:p>
        </w:tc>
        <w:tc>
          <w:tcPr>
            <w:tcW w:w="948" w:type="pct"/>
            <w:shd w:val="clear" w:color="auto" w:fill="auto"/>
            <w:hideMark/>
          </w:tcPr>
          <w:p w:rsidR="005F1F3C" w:rsidRPr="000E6CA4" w:rsidRDefault="005F1F3C" w:rsidP="0014630D">
            <w:pPr>
              <w:jc w:val="both"/>
              <w:rPr>
                <w:sz w:val="26"/>
                <w:szCs w:val="26"/>
              </w:rPr>
            </w:pPr>
            <w:r w:rsidRPr="000E6CA4">
              <w:rPr>
                <w:sz w:val="26"/>
                <w:szCs w:val="26"/>
              </w:rPr>
              <w:t>Cita informācija</w:t>
            </w:r>
          </w:p>
        </w:tc>
        <w:tc>
          <w:tcPr>
            <w:tcW w:w="3769" w:type="pct"/>
            <w:shd w:val="clear" w:color="auto" w:fill="auto"/>
            <w:hideMark/>
          </w:tcPr>
          <w:p w:rsidR="005F1F3C" w:rsidRPr="000E6CA4" w:rsidRDefault="00F965DA" w:rsidP="00B67B4D">
            <w:pPr>
              <w:jc w:val="both"/>
              <w:rPr>
                <w:sz w:val="26"/>
                <w:szCs w:val="26"/>
              </w:rPr>
            </w:pPr>
            <w:r w:rsidRPr="000E6CA4">
              <w:rPr>
                <w:sz w:val="26"/>
                <w:szCs w:val="26"/>
              </w:rPr>
              <w:t>Ar noteikumu projektu tiks ieviest</w:t>
            </w:r>
            <w:r w:rsidR="00DB6BDF" w:rsidRPr="000E6CA4">
              <w:rPr>
                <w:sz w:val="26"/>
                <w:szCs w:val="26"/>
              </w:rPr>
              <w:t>i</w:t>
            </w:r>
            <w:r w:rsidRPr="000E6CA4">
              <w:rPr>
                <w:sz w:val="26"/>
                <w:szCs w:val="26"/>
              </w:rPr>
              <w:t xml:space="preserve"> arī </w:t>
            </w:r>
            <w:r w:rsidR="00B14DA3" w:rsidRPr="000E6CA4">
              <w:rPr>
                <w:rStyle w:val="Strong"/>
                <w:b w:val="0"/>
                <w:sz w:val="26"/>
                <w:szCs w:val="26"/>
              </w:rPr>
              <w:t xml:space="preserve">Kopienas nostādnēs par valsts atbalstu pētniecībai, attīstībai un inovācijai (publicētas Eiropas Savienības Oficiālajā Vēstnesī 2006.gada 30.decembrī, Nr. C 323/1) (turpmāk – Kopienas nostādnes) </w:t>
            </w:r>
            <w:r w:rsidRPr="000E6CA4">
              <w:rPr>
                <w:sz w:val="26"/>
                <w:szCs w:val="26"/>
              </w:rPr>
              <w:t xml:space="preserve">noteiktie </w:t>
            </w:r>
            <w:r w:rsidR="002C5030" w:rsidRPr="000E6CA4">
              <w:rPr>
                <w:sz w:val="26"/>
                <w:szCs w:val="26"/>
              </w:rPr>
              <w:t>nosacījumi</w:t>
            </w:r>
            <w:r w:rsidR="007955FC" w:rsidRPr="000E6CA4">
              <w:rPr>
                <w:sz w:val="26"/>
                <w:szCs w:val="26"/>
              </w:rPr>
              <w:t>, tai skaitā</w:t>
            </w:r>
            <w:r w:rsidR="00882490" w:rsidRPr="000E6CA4">
              <w:rPr>
                <w:sz w:val="26"/>
                <w:szCs w:val="26"/>
              </w:rPr>
              <w:t xml:space="preserve"> Kopienas nostādņu 2.2.d) apakšpunkts</w:t>
            </w:r>
            <w:r w:rsidR="007955FC" w:rsidRPr="000E6CA4">
              <w:rPr>
                <w:sz w:val="26"/>
                <w:szCs w:val="26"/>
              </w:rPr>
              <w:t>,</w:t>
            </w:r>
            <w:r w:rsidR="00882490" w:rsidRPr="000E6CA4">
              <w:rPr>
                <w:sz w:val="26"/>
                <w:szCs w:val="26"/>
              </w:rPr>
              <w:t xml:space="preserve"> 3.1.1.sadaļas noslēguma daļa un 25.zemsvītras piezīme</w:t>
            </w:r>
            <w:r w:rsidRPr="000E6CA4">
              <w:rPr>
                <w:sz w:val="26"/>
                <w:szCs w:val="26"/>
              </w:rPr>
              <w:t>.</w:t>
            </w:r>
          </w:p>
        </w:tc>
      </w:tr>
    </w:tbl>
    <w:p w:rsidR="005F1F3C" w:rsidRPr="000E6CA4" w:rsidRDefault="005F1F3C" w:rsidP="0014630D">
      <w:pPr>
        <w:rPr>
          <w:sz w:val="26"/>
          <w:szCs w:val="26"/>
        </w:rPr>
      </w:pPr>
      <w:r w:rsidRPr="000E6CA4">
        <w:rPr>
          <w:sz w:val="26"/>
          <w:szCs w:val="26"/>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586"/>
        <w:gridCol w:w="1148"/>
        <w:gridCol w:w="1991"/>
        <w:gridCol w:w="1581"/>
        <w:gridCol w:w="2915"/>
      </w:tblGrid>
      <w:tr w:rsidR="005F1F3C" w:rsidRPr="000E6CA4" w:rsidTr="003119E2">
        <w:trPr>
          <w:tblCellSpacing w:w="15" w:type="dxa"/>
        </w:trPr>
        <w:tc>
          <w:tcPr>
            <w:tcW w:w="4967" w:type="pct"/>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5F1F3C" w:rsidRPr="000E6CA4" w:rsidRDefault="005F1F3C" w:rsidP="0014630D">
            <w:pPr>
              <w:jc w:val="center"/>
              <w:rPr>
                <w:b/>
                <w:bCs/>
                <w:sz w:val="26"/>
                <w:szCs w:val="26"/>
              </w:rPr>
            </w:pPr>
            <w:r w:rsidRPr="000E6CA4">
              <w:rPr>
                <w:b/>
                <w:bCs/>
                <w:sz w:val="26"/>
                <w:szCs w:val="26"/>
              </w:rPr>
              <w:t>1.tabula</w:t>
            </w:r>
            <w:r w:rsidRPr="000E6CA4">
              <w:rPr>
                <w:b/>
                <w:bCs/>
                <w:sz w:val="26"/>
                <w:szCs w:val="26"/>
              </w:rPr>
              <w:br/>
              <w:t>Tiesību akta projekta atbilstība ES tiesību aktiem</w:t>
            </w:r>
          </w:p>
        </w:tc>
      </w:tr>
      <w:tr w:rsidR="005F1F3C" w:rsidRPr="000E6CA4" w:rsidTr="003119E2">
        <w:trPr>
          <w:tblCellSpacing w:w="15" w:type="dxa"/>
        </w:trPr>
        <w:tc>
          <w:tcPr>
            <w:tcW w:w="8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F1F3C" w:rsidRPr="000E6CA4" w:rsidRDefault="005F1F3C" w:rsidP="0014630D">
            <w:pPr>
              <w:jc w:val="both"/>
              <w:rPr>
                <w:sz w:val="26"/>
                <w:szCs w:val="26"/>
              </w:rPr>
            </w:pPr>
            <w:r w:rsidRPr="000E6CA4">
              <w:rPr>
                <w:sz w:val="26"/>
                <w:szCs w:val="26"/>
              </w:rPr>
              <w:t xml:space="preserve">Attiecīgā ES tiesību akta datums, numurs un </w:t>
            </w:r>
            <w:r w:rsidRPr="000E6CA4">
              <w:rPr>
                <w:sz w:val="26"/>
                <w:szCs w:val="26"/>
              </w:rPr>
              <w:lastRenderedPageBreak/>
              <w:t>nosaukums</w:t>
            </w:r>
          </w:p>
        </w:tc>
        <w:tc>
          <w:tcPr>
            <w:tcW w:w="4094" w:type="pct"/>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AD7723" w:rsidRPr="000E6CA4" w:rsidRDefault="00AD7723" w:rsidP="001B7E84">
            <w:pPr>
              <w:pStyle w:val="naiskr"/>
              <w:spacing w:before="0" w:after="0"/>
              <w:jc w:val="both"/>
              <w:rPr>
                <w:rStyle w:val="Strong"/>
                <w:b w:val="0"/>
                <w:sz w:val="26"/>
                <w:szCs w:val="26"/>
              </w:rPr>
            </w:pPr>
            <w:r w:rsidRPr="000E6CA4">
              <w:rPr>
                <w:rStyle w:val="Strong"/>
                <w:b w:val="0"/>
                <w:sz w:val="26"/>
                <w:szCs w:val="26"/>
              </w:rPr>
              <w:lastRenderedPageBreak/>
              <w:t xml:space="preserve">Eiropas Parlamenta un Padomes (EK) Nr.1081/2006 par Eiropas Sociālo fondu un Regulas (EK) Nr. 1784/1999 atcelšanu </w:t>
            </w:r>
            <w:r w:rsidR="004B33B5" w:rsidRPr="000E6CA4">
              <w:rPr>
                <w:rFonts w:ascii="TimesNewRoman" w:hAnsi="TimesNewRoman" w:cs="TimesNewRoman"/>
                <w:b/>
                <w:sz w:val="26"/>
                <w:szCs w:val="26"/>
              </w:rPr>
              <w:t>(</w:t>
            </w:r>
            <w:r w:rsidR="004B33B5" w:rsidRPr="000E6CA4">
              <w:rPr>
                <w:rStyle w:val="Strong"/>
                <w:b w:val="0"/>
                <w:bCs w:val="0"/>
                <w:sz w:val="26"/>
                <w:szCs w:val="26"/>
              </w:rPr>
              <w:t xml:space="preserve">publicēta Eiropas Savienības Oficiālajā </w:t>
            </w:r>
            <w:r w:rsidR="004B33B5" w:rsidRPr="000E6CA4">
              <w:rPr>
                <w:rStyle w:val="Strong"/>
                <w:b w:val="0"/>
                <w:sz w:val="26"/>
                <w:szCs w:val="26"/>
              </w:rPr>
              <w:t xml:space="preserve">Vēstnesī 2006.gada 31.jūlijā, Nr. L 210) </w:t>
            </w:r>
            <w:r w:rsidRPr="000E6CA4">
              <w:rPr>
                <w:rStyle w:val="Strong"/>
                <w:b w:val="0"/>
                <w:sz w:val="26"/>
                <w:szCs w:val="26"/>
              </w:rPr>
              <w:t>(turpmāk – Regula Nr.1081/2006)</w:t>
            </w:r>
            <w:r w:rsidR="004B33B5" w:rsidRPr="000E6CA4">
              <w:rPr>
                <w:rStyle w:val="Strong"/>
                <w:b w:val="0"/>
                <w:sz w:val="26"/>
                <w:szCs w:val="26"/>
              </w:rPr>
              <w:t>.</w:t>
            </w:r>
          </w:p>
          <w:p w:rsidR="005F1F3C" w:rsidRPr="000E6CA4" w:rsidRDefault="00AD7723" w:rsidP="001B7E84">
            <w:pPr>
              <w:pStyle w:val="naiskr"/>
              <w:spacing w:before="0" w:after="0"/>
              <w:jc w:val="both"/>
              <w:rPr>
                <w:rStyle w:val="Strong"/>
                <w:b w:val="0"/>
                <w:sz w:val="26"/>
                <w:szCs w:val="26"/>
              </w:rPr>
            </w:pPr>
            <w:r w:rsidRPr="000E6CA4">
              <w:rPr>
                <w:rStyle w:val="Strong"/>
                <w:b w:val="0"/>
                <w:sz w:val="26"/>
                <w:szCs w:val="26"/>
              </w:rPr>
              <w:lastRenderedPageBreak/>
              <w:t xml:space="preserve">Padomes Regula Nr.1083/2006, ar ko paredz vispārīgus noteikumus par Eiropas Reģionālās attīstības fondu, Eiropas Sociālo fondu un Kohēzijas fondu un atceļ Regulu (EK) Nr.1260/1999 </w:t>
            </w:r>
            <w:r w:rsidR="00E64939" w:rsidRPr="000E6CA4">
              <w:rPr>
                <w:rStyle w:val="Strong"/>
                <w:b w:val="0"/>
                <w:sz w:val="26"/>
                <w:szCs w:val="26"/>
              </w:rPr>
              <w:t>(</w:t>
            </w:r>
            <w:r w:rsidR="00E64939" w:rsidRPr="000E6CA4">
              <w:rPr>
                <w:rStyle w:val="Strong"/>
                <w:b w:val="0"/>
                <w:bCs w:val="0"/>
                <w:sz w:val="26"/>
                <w:szCs w:val="26"/>
              </w:rPr>
              <w:t>publicēta Eiropas Savienības Oficiālajā Vēstnesī 2006.gada 31.jūlijā, Nr. L 210/25)</w:t>
            </w:r>
            <w:r w:rsidR="00E64939" w:rsidRPr="000E6CA4">
              <w:rPr>
                <w:rStyle w:val="Strong"/>
                <w:b w:val="0"/>
                <w:sz w:val="26"/>
                <w:szCs w:val="26"/>
              </w:rPr>
              <w:t xml:space="preserve"> (turpmāk – Regula Nr.1083/2006)</w:t>
            </w:r>
            <w:r w:rsidR="004B33B5" w:rsidRPr="000E6CA4">
              <w:rPr>
                <w:rStyle w:val="Strong"/>
                <w:b w:val="0"/>
                <w:sz w:val="26"/>
                <w:szCs w:val="26"/>
              </w:rPr>
              <w:t>.</w:t>
            </w:r>
            <w:r w:rsidR="00E64939" w:rsidRPr="000E6CA4">
              <w:rPr>
                <w:rStyle w:val="Strong"/>
                <w:b w:val="0"/>
                <w:sz w:val="26"/>
                <w:szCs w:val="26"/>
              </w:rPr>
              <w:t xml:space="preserve"> </w:t>
            </w:r>
          </w:p>
          <w:p w:rsidR="00984C49" w:rsidRPr="000E6CA4" w:rsidRDefault="005E1E72">
            <w:pPr>
              <w:pStyle w:val="Default"/>
              <w:jc w:val="both"/>
              <w:rPr>
                <w:b/>
                <w:sz w:val="26"/>
                <w:szCs w:val="26"/>
              </w:rPr>
            </w:pPr>
            <w:r w:rsidRPr="000E6CA4">
              <w:rPr>
                <w:rStyle w:val="Strong"/>
                <w:b w:val="0"/>
                <w:color w:val="auto"/>
                <w:sz w:val="26"/>
                <w:szCs w:val="26"/>
              </w:rPr>
              <w:t>Komisijas 2006.gada 8.decembra Regulas (EK) Nr.</w:t>
            </w:r>
            <w:hyperlink r:id="rId9" w:tgtFrame="_blank" w:tooltip="REGULA" w:history="1">
              <w:r w:rsidRPr="000E6CA4">
                <w:rPr>
                  <w:rStyle w:val="Strong"/>
                  <w:b w:val="0"/>
                  <w:color w:val="auto"/>
                  <w:sz w:val="26"/>
                  <w:szCs w:val="26"/>
                </w:rPr>
                <w:t>1828/2006</w:t>
              </w:r>
            </w:hyperlink>
            <w:r w:rsidRPr="000E6CA4">
              <w:rPr>
                <w:rStyle w:val="Strong"/>
                <w:b w:val="0"/>
                <w:color w:val="auto"/>
                <w:sz w:val="26"/>
                <w:szCs w:val="26"/>
              </w:rPr>
              <w:t>,</w:t>
            </w:r>
            <w:r w:rsidRPr="000E6CA4">
              <w:rPr>
                <w:rStyle w:val="Strong"/>
                <w:b w:val="0"/>
                <w:sz w:val="26"/>
                <w:szCs w:val="26"/>
              </w:rPr>
              <w:t xml:space="preserve"> </w:t>
            </w:r>
            <w:r w:rsidRPr="000E6CA4">
              <w:rPr>
                <w:rStyle w:val="Strong"/>
                <w:b w:val="0"/>
                <w:bCs w:val="0"/>
                <w:color w:val="auto"/>
                <w:sz w:val="26"/>
                <w:szCs w:val="26"/>
              </w:rPr>
              <w:t xml:space="preserve">kas paredz noteikumus par to, kā īstenot Padomes Regulu (EK) Nr. 1083/2006, ar ko paredz vispārīgus noteikumus par Eiropas Reģionālās attīstības fondu, Eiropas Sociālo fondu un Kohēzijas fondu, un Eiropas Parlamenta un Padomes Regulu (EK) Nr. 1080/2006 par Eiropas Reģionālās attīstības fondu </w:t>
            </w:r>
            <w:r w:rsidRPr="000E6CA4">
              <w:rPr>
                <w:rStyle w:val="Strong"/>
                <w:b w:val="0"/>
                <w:sz w:val="26"/>
                <w:szCs w:val="26"/>
              </w:rPr>
              <w:t>(publicētas Eiropas Savienības Oficiālajā Vēstnesī 2006.gada 27.decembrī, Nr. L 371)</w:t>
            </w:r>
            <w:r w:rsidR="00041062" w:rsidRPr="000E6CA4">
              <w:rPr>
                <w:b/>
                <w:sz w:val="26"/>
                <w:szCs w:val="26"/>
              </w:rPr>
              <w:t>.</w:t>
            </w:r>
          </w:p>
        </w:tc>
      </w:tr>
      <w:tr w:rsidR="005F1F3C" w:rsidRPr="000E6CA4" w:rsidTr="003119E2">
        <w:trPr>
          <w:tblCellSpacing w:w="15" w:type="dxa"/>
        </w:trPr>
        <w:tc>
          <w:tcPr>
            <w:tcW w:w="1482"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F1F3C" w:rsidRPr="000E6CA4" w:rsidRDefault="005F1F3C" w:rsidP="0014630D">
            <w:pPr>
              <w:jc w:val="center"/>
              <w:rPr>
                <w:sz w:val="26"/>
                <w:szCs w:val="26"/>
              </w:rPr>
            </w:pPr>
            <w:r w:rsidRPr="000E6CA4">
              <w:rPr>
                <w:sz w:val="26"/>
                <w:szCs w:val="26"/>
              </w:rPr>
              <w:lastRenderedPageBreak/>
              <w:t>A</w:t>
            </w:r>
          </w:p>
        </w:tc>
        <w:tc>
          <w:tcPr>
            <w:tcW w:w="103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F1F3C" w:rsidRPr="000E6CA4" w:rsidRDefault="005F1F3C" w:rsidP="0014630D">
            <w:pPr>
              <w:jc w:val="center"/>
              <w:rPr>
                <w:sz w:val="26"/>
                <w:szCs w:val="26"/>
              </w:rPr>
            </w:pPr>
            <w:r w:rsidRPr="000E6CA4">
              <w:rPr>
                <w:sz w:val="26"/>
                <w:szCs w:val="26"/>
              </w:rPr>
              <w:t>B</w:t>
            </w:r>
          </w:p>
        </w:tc>
        <w:tc>
          <w:tcPr>
            <w:tcW w:w="86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F1F3C" w:rsidRPr="000E6CA4" w:rsidRDefault="005F1F3C" w:rsidP="0014630D">
            <w:pPr>
              <w:jc w:val="center"/>
              <w:rPr>
                <w:sz w:val="26"/>
                <w:szCs w:val="26"/>
              </w:rPr>
            </w:pPr>
            <w:r w:rsidRPr="000E6CA4">
              <w:rPr>
                <w:sz w:val="26"/>
                <w:szCs w:val="26"/>
              </w:rPr>
              <w:t>C</w:t>
            </w:r>
          </w:p>
        </w:tc>
        <w:tc>
          <w:tcPr>
            <w:tcW w:w="153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F1F3C" w:rsidRPr="000E6CA4" w:rsidRDefault="005F1F3C" w:rsidP="0014630D">
            <w:pPr>
              <w:jc w:val="center"/>
              <w:rPr>
                <w:sz w:val="26"/>
                <w:szCs w:val="26"/>
              </w:rPr>
            </w:pPr>
            <w:r w:rsidRPr="000E6CA4">
              <w:rPr>
                <w:sz w:val="26"/>
                <w:szCs w:val="26"/>
              </w:rPr>
              <w:t>D</w:t>
            </w:r>
          </w:p>
        </w:tc>
      </w:tr>
      <w:tr w:rsidR="005F1F3C" w:rsidRPr="000E6CA4" w:rsidTr="003119E2">
        <w:trPr>
          <w:tblCellSpacing w:w="15" w:type="dxa"/>
        </w:trPr>
        <w:tc>
          <w:tcPr>
            <w:tcW w:w="1482" w:type="pct"/>
            <w:gridSpan w:val="2"/>
            <w:tcBorders>
              <w:top w:val="outset" w:sz="6" w:space="0" w:color="auto"/>
              <w:left w:val="outset" w:sz="6" w:space="0" w:color="auto"/>
              <w:bottom w:val="outset" w:sz="6" w:space="0" w:color="auto"/>
              <w:right w:val="outset" w:sz="6" w:space="0" w:color="auto"/>
            </w:tcBorders>
            <w:shd w:val="clear" w:color="auto" w:fill="auto"/>
            <w:hideMark/>
          </w:tcPr>
          <w:p w:rsidR="005F1F3C" w:rsidRPr="000E6CA4" w:rsidRDefault="005F1F3C" w:rsidP="0014630D">
            <w:pPr>
              <w:pStyle w:val="naiskr"/>
              <w:spacing w:before="0" w:after="0"/>
              <w:rPr>
                <w:sz w:val="26"/>
                <w:szCs w:val="26"/>
              </w:rPr>
            </w:pPr>
            <w:r w:rsidRPr="000E6CA4">
              <w:rPr>
                <w:sz w:val="26"/>
                <w:szCs w:val="26"/>
              </w:rPr>
              <w:t xml:space="preserve">Attiecīgā ES tiesību akta panta numurs (uzskaitot katru tiesību akta </w:t>
            </w:r>
            <w:r w:rsidRPr="000E6CA4">
              <w:rPr>
                <w:sz w:val="26"/>
                <w:szCs w:val="26"/>
              </w:rPr>
              <w:br/>
              <w:t>vienību – pantu, daļu, punktu, apakšpunktu)</w:t>
            </w:r>
          </w:p>
        </w:tc>
        <w:tc>
          <w:tcPr>
            <w:tcW w:w="1037" w:type="pct"/>
            <w:tcBorders>
              <w:top w:val="outset" w:sz="6" w:space="0" w:color="auto"/>
              <w:left w:val="outset" w:sz="6" w:space="0" w:color="auto"/>
              <w:bottom w:val="outset" w:sz="6" w:space="0" w:color="auto"/>
              <w:right w:val="outset" w:sz="6" w:space="0" w:color="auto"/>
            </w:tcBorders>
            <w:shd w:val="clear" w:color="auto" w:fill="auto"/>
            <w:hideMark/>
          </w:tcPr>
          <w:p w:rsidR="005F1F3C" w:rsidRPr="000E6CA4" w:rsidRDefault="005F1F3C" w:rsidP="0014630D">
            <w:pPr>
              <w:pStyle w:val="naiskr"/>
              <w:spacing w:before="0" w:after="0"/>
              <w:rPr>
                <w:sz w:val="26"/>
                <w:szCs w:val="26"/>
              </w:rPr>
            </w:pPr>
            <w:r w:rsidRPr="000E6CA4">
              <w:rPr>
                <w:sz w:val="26"/>
                <w:szCs w:val="26"/>
              </w:rPr>
              <w:t>Projekta vienība, kas pārņem vai ievieš katru šīs tabulas A ailē minēto ES tiesību akta vienību</w:t>
            </w:r>
          </w:p>
        </w:tc>
        <w:tc>
          <w:tcPr>
            <w:tcW w:w="862" w:type="pct"/>
            <w:tcBorders>
              <w:top w:val="outset" w:sz="6" w:space="0" w:color="auto"/>
              <w:left w:val="outset" w:sz="6" w:space="0" w:color="auto"/>
              <w:bottom w:val="outset" w:sz="6" w:space="0" w:color="auto"/>
              <w:right w:val="outset" w:sz="6" w:space="0" w:color="auto"/>
            </w:tcBorders>
            <w:shd w:val="clear" w:color="auto" w:fill="auto"/>
            <w:hideMark/>
          </w:tcPr>
          <w:p w:rsidR="005F1F3C" w:rsidRPr="000E6CA4" w:rsidRDefault="005F1F3C" w:rsidP="0014630D">
            <w:pPr>
              <w:pStyle w:val="naiskr"/>
              <w:spacing w:before="0" w:after="0"/>
              <w:rPr>
                <w:sz w:val="26"/>
                <w:szCs w:val="26"/>
              </w:rPr>
            </w:pPr>
            <w:r w:rsidRPr="000E6CA4">
              <w:rPr>
                <w:sz w:val="26"/>
                <w:szCs w:val="26"/>
              </w:rPr>
              <w:t>Informācija par to, vai šīs tabulas A ailē minētās ES tiesību akta vienības tiek pārņemtas vai ieviestas pilnībā vai daļēji.</w:t>
            </w:r>
          </w:p>
          <w:p w:rsidR="005F1F3C" w:rsidRPr="000E6CA4" w:rsidRDefault="005F1F3C" w:rsidP="0014630D">
            <w:pPr>
              <w:pStyle w:val="naiskr"/>
              <w:spacing w:before="0" w:after="0"/>
              <w:rPr>
                <w:sz w:val="26"/>
                <w:szCs w:val="26"/>
              </w:rPr>
            </w:pPr>
            <w:r w:rsidRPr="000E6CA4">
              <w:rPr>
                <w:sz w:val="26"/>
                <w:szCs w:val="26"/>
              </w:rPr>
              <w:t>Ja attiecīgā ES tiesību akta vienība tiek pārņemta vai ieviesta daļēji, – sniedz attiecīgu skaidrojumu, kā arī precīzi norāda, kad un kādā veidā ES tiesību akta vienība tiks pārņemta vai ieviesta pilnībā.</w:t>
            </w:r>
          </w:p>
          <w:p w:rsidR="005F1F3C" w:rsidRPr="000E6CA4" w:rsidRDefault="005F1F3C" w:rsidP="0014630D">
            <w:pPr>
              <w:pStyle w:val="naiskr"/>
              <w:spacing w:before="0" w:after="0"/>
              <w:rPr>
                <w:sz w:val="26"/>
                <w:szCs w:val="26"/>
              </w:rPr>
            </w:pPr>
          </w:p>
          <w:p w:rsidR="005F1F3C" w:rsidRPr="000E6CA4" w:rsidRDefault="005F1F3C" w:rsidP="0014630D">
            <w:pPr>
              <w:pStyle w:val="naiskr"/>
              <w:spacing w:before="0" w:after="0"/>
              <w:rPr>
                <w:sz w:val="26"/>
                <w:szCs w:val="26"/>
              </w:rPr>
            </w:pPr>
            <w:r w:rsidRPr="000E6CA4">
              <w:rPr>
                <w:sz w:val="26"/>
                <w:szCs w:val="26"/>
              </w:rPr>
              <w:t xml:space="preserve">Norāda institūciju, kas ir atbildīga par </w:t>
            </w:r>
            <w:r w:rsidRPr="000E6CA4">
              <w:rPr>
                <w:sz w:val="26"/>
                <w:szCs w:val="26"/>
              </w:rPr>
              <w:lastRenderedPageBreak/>
              <w:t>šo saistību izpildi pilnībā</w:t>
            </w:r>
          </w:p>
        </w:tc>
        <w:tc>
          <w:tcPr>
            <w:tcW w:w="1537" w:type="pct"/>
            <w:tcBorders>
              <w:top w:val="outset" w:sz="6" w:space="0" w:color="auto"/>
              <w:left w:val="outset" w:sz="6" w:space="0" w:color="auto"/>
              <w:bottom w:val="outset" w:sz="6" w:space="0" w:color="auto"/>
              <w:right w:val="outset" w:sz="6" w:space="0" w:color="auto"/>
            </w:tcBorders>
            <w:shd w:val="clear" w:color="auto" w:fill="auto"/>
            <w:hideMark/>
          </w:tcPr>
          <w:p w:rsidR="005F1F3C" w:rsidRPr="000E6CA4" w:rsidRDefault="005F1F3C" w:rsidP="0014630D">
            <w:pPr>
              <w:pStyle w:val="naiskr"/>
              <w:spacing w:before="0" w:after="0"/>
              <w:rPr>
                <w:sz w:val="26"/>
                <w:szCs w:val="26"/>
              </w:rPr>
            </w:pPr>
            <w:r w:rsidRPr="000E6CA4">
              <w:rPr>
                <w:sz w:val="26"/>
                <w:szCs w:val="26"/>
              </w:rPr>
              <w:lastRenderedPageBreak/>
              <w:t>Informācija par to, vai šīs tabulas B ailē minētās projekta vienības paredz stingrākas prasības nekā šīs tabulas A ailē minētās ES tiesību akta vienības.</w:t>
            </w:r>
          </w:p>
          <w:p w:rsidR="005F1F3C" w:rsidRPr="000E6CA4" w:rsidRDefault="005F1F3C" w:rsidP="0014630D">
            <w:pPr>
              <w:pStyle w:val="naiskr"/>
              <w:spacing w:before="0" w:after="0"/>
              <w:rPr>
                <w:sz w:val="26"/>
                <w:szCs w:val="26"/>
              </w:rPr>
            </w:pPr>
          </w:p>
          <w:p w:rsidR="005F1F3C" w:rsidRPr="000E6CA4" w:rsidRDefault="005F1F3C" w:rsidP="0014630D">
            <w:pPr>
              <w:pStyle w:val="naiskr"/>
              <w:spacing w:before="0" w:after="0"/>
              <w:rPr>
                <w:sz w:val="26"/>
                <w:szCs w:val="26"/>
              </w:rPr>
            </w:pPr>
            <w:r w:rsidRPr="000E6CA4">
              <w:rPr>
                <w:sz w:val="26"/>
                <w:szCs w:val="26"/>
              </w:rPr>
              <w:t xml:space="preserve">Ja projekts satur stingrākas prasības nekā attiecīgais ES tiesību </w:t>
            </w:r>
            <w:smartTag w:uri="schemas-tilde-lv/tildestengine" w:element="veidnes">
              <w:smartTagPr>
                <w:attr w:name="text" w:val="akts"/>
                <w:attr w:name="baseform" w:val="akts"/>
                <w:attr w:name="id" w:val="-1"/>
              </w:smartTagPr>
              <w:r w:rsidRPr="000E6CA4">
                <w:rPr>
                  <w:sz w:val="26"/>
                  <w:szCs w:val="26"/>
                </w:rPr>
                <w:t>akts</w:t>
              </w:r>
            </w:smartTag>
            <w:r w:rsidRPr="000E6CA4">
              <w:rPr>
                <w:sz w:val="26"/>
                <w:szCs w:val="26"/>
              </w:rPr>
              <w:t>, – norāda pamatojumu un samērīgumu.</w:t>
            </w:r>
          </w:p>
          <w:p w:rsidR="005F1F3C" w:rsidRPr="000E6CA4" w:rsidRDefault="005F1F3C" w:rsidP="0014630D">
            <w:pPr>
              <w:pStyle w:val="naiskr"/>
              <w:spacing w:before="0" w:after="0"/>
              <w:rPr>
                <w:sz w:val="26"/>
                <w:szCs w:val="26"/>
              </w:rPr>
            </w:pPr>
          </w:p>
          <w:p w:rsidR="005F1F3C" w:rsidRPr="000E6CA4" w:rsidRDefault="005F1F3C" w:rsidP="0014630D">
            <w:pPr>
              <w:pStyle w:val="naiskr"/>
              <w:spacing w:before="0" w:after="0"/>
              <w:rPr>
                <w:sz w:val="26"/>
                <w:szCs w:val="26"/>
              </w:rPr>
            </w:pPr>
            <w:r w:rsidRPr="000E6CA4">
              <w:rPr>
                <w:sz w:val="26"/>
                <w:szCs w:val="26"/>
              </w:rPr>
              <w:t>Norāda iespējamās alternatīvas (t.sk. alternatīvas, kas neparedz tiesiskā regulējuma izstrādi) – kādos gadījumos būtu iespējams izvairīties no stingrāku prasību noteikšanas, nekā paredzēts attiecīgajos ES tiesību aktos</w:t>
            </w:r>
          </w:p>
        </w:tc>
      </w:tr>
      <w:tr w:rsidR="0024049D" w:rsidRPr="000E6CA4" w:rsidTr="003119E2">
        <w:trPr>
          <w:tblCellSpacing w:w="15" w:type="dxa"/>
        </w:trPr>
        <w:tc>
          <w:tcPr>
            <w:tcW w:w="1482" w:type="pct"/>
            <w:gridSpan w:val="2"/>
            <w:tcBorders>
              <w:top w:val="outset" w:sz="6" w:space="0" w:color="auto"/>
              <w:left w:val="outset" w:sz="6" w:space="0" w:color="auto"/>
              <w:bottom w:val="outset" w:sz="6" w:space="0" w:color="auto"/>
              <w:right w:val="outset" w:sz="6" w:space="0" w:color="auto"/>
            </w:tcBorders>
            <w:shd w:val="clear" w:color="auto" w:fill="auto"/>
            <w:hideMark/>
          </w:tcPr>
          <w:p w:rsidR="0024049D" w:rsidRPr="000E6CA4" w:rsidRDefault="0024049D" w:rsidP="0024049D">
            <w:pPr>
              <w:pStyle w:val="naisf"/>
              <w:spacing w:before="0" w:after="0"/>
              <w:ind w:firstLine="0"/>
              <w:rPr>
                <w:sz w:val="26"/>
                <w:szCs w:val="26"/>
              </w:rPr>
            </w:pPr>
            <w:r w:rsidRPr="000E6CA4">
              <w:rPr>
                <w:sz w:val="26"/>
                <w:szCs w:val="26"/>
              </w:rPr>
              <w:lastRenderedPageBreak/>
              <w:t xml:space="preserve">Regulas Nr.1081/2006 11.panta 1.punkts </w:t>
            </w:r>
          </w:p>
        </w:tc>
        <w:tc>
          <w:tcPr>
            <w:tcW w:w="1037" w:type="pct"/>
            <w:tcBorders>
              <w:top w:val="outset" w:sz="6" w:space="0" w:color="auto"/>
              <w:left w:val="outset" w:sz="6" w:space="0" w:color="auto"/>
              <w:bottom w:val="outset" w:sz="6" w:space="0" w:color="auto"/>
              <w:right w:val="outset" w:sz="6" w:space="0" w:color="auto"/>
            </w:tcBorders>
            <w:shd w:val="clear" w:color="auto" w:fill="auto"/>
            <w:hideMark/>
          </w:tcPr>
          <w:p w:rsidR="0024049D" w:rsidRPr="000E6CA4" w:rsidRDefault="0024049D" w:rsidP="0024049D">
            <w:pPr>
              <w:jc w:val="both"/>
              <w:rPr>
                <w:sz w:val="26"/>
                <w:szCs w:val="26"/>
              </w:rPr>
            </w:pPr>
            <w:r w:rsidRPr="000E6CA4">
              <w:rPr>
                <w:sz w:val="26"/>
                <w:szCs w:val="26"/>
              </w:rPr>
              <w:t>Noteikumu projekta 55.punkts</w:t>
            </w:r>
          </w:p>
        </w:tc>
        <w:tc>
          <w:tcPr>
            <w:tcW w:w="862" w:type="pct"/>
            <w:tcBorders>
              <w:left w:val="outset" w:sz="6" w:space="0" w:color="auto"/>
              <w:right w:val="outset" w:sz="6" w:space="0" w:color="auto"/>
            </w:tcBorders>
            <w:shd w:val="clear" w:color="auto" w:fill="auto"/>
            <w:hideMark/>
          </w:tcPr>
          <w:p w:rsidR="0024049D" w:rsidRPr="000E6CA4" w:rsidRDefault="0024049D" w:rsidP="0014630D">
            <w:pPr>
              <w:pStyle w:val="naisf"/>
              <w:rPr>
                <w:b/>
                <w:sz w:val="26"/>
                <w:szCs w:val="26"/>
              </w:rPr>
            </w:pPr>
          </w:p>
        </w:tc>
        <w:tc>
          <w:tcPr>
            <w:tcW w:w="1537" w:type="pct"/>
            <w:tcBorders>
              <w:left w:val="outset" w:sz="6" w:space="0" w:color="auto"/>
              <w:right w:val="outset" w:sz="6" w:space="0" w:color="auto"/>
            </w:tcBorders>
            <w:shd w:val="clear" w:color="auto" w:fill="auto"/>
            <w:hideMark/>
          </w:tcPr>
          <w:p w:rsidR="0024049D" w:rsidRPr="000E6CA4" w:rsidRDefault="0024049D" w:rsidP="0014630D">
            <w:pPr>
              <w:pStyle w:val="naisf"/>
              <w:rPr>
                <w:sz w:val="26"/>
                <w:szCs w:val="26"/>
              </w:rPr>
            </w:pPr>
          </w:p>
        </w:tc>
      </w:tr>
      <w:tr w:rsidR="0024049D" w:rsidRPr="000E6CA4" w:rsidTr="003119E2">
        <w:trPr>
          <w:tblCellSpacing w:w="15" w:type="dxa"/>
        </w:trPr>
        <w:tc>
          <w:tcPr>
            <w:tcW w:w="1482" w:type="pct"/>
            <w:gridSpan w:val="2"/>
            <w:tcBorders>
              <w:top w:val="outset" w:sz="6" w:space="0" w:color="auto"/>
              <w:left w:val="outset" w:sz="6" w:space="0" w:color="auto"/>
              <w:bottom w:val="outset" w:sz="6" w:space="0" w:color="auto"/>
              <w:right w:val="outset" w:sz="6" w:space="0" w:color="auto"/>
            </w:tcBorders>
            <w:shd w:val="clear" w:color="auto" w:fill="auto"/>
            <w:hideMark/>
          </w:tcPr>
          <w:p w:rsidR="0024049D" w:rsidRPr="000E6CA4" w:rsidRDefault="0024049D" w:rsidP="0024049D">
            <w:pPr>
              <w:pStyle w:val="naisf"/>
              <w:spacing w:before="0" w:after="0"/>
              <w:ind w:firstLine="0"/>
              <w:rPr>
                <w:sz w:val="26"/>
                <w:szCs w:val="26"/>
              </w:rPr>
            </w:pPr>
            <w:r w:rsidRPr="000E6CA4">
              <w:rPr>
                <w:sz w:val="26"/>
                <w:szCs w:val="26"/>
              </w:rPr>
              <w:t>Regulas Nr.1081/2006 11.panta 2.punkta a), c) apakšpunkts</w:t>
            </w:r>
          </w:p>
        </w:tc>
        <w:tc>
          <w:tcPr>
            <w:tcW w:w="1037" w:type="pct"/>
            <w:tcBorders>
              <w:top w:val="outset" w:sz="6" w:space="0" w:color="auto"/>
              <w:left w:val="outset" w:sz="6" w:space="0" w:color="auto"/>
              <w:bottom w:val="outset" w:sz="6" w:space="0" w:color="auto"/>
              <w:right w:val="outset" w:sz="6" w:space="0" w:color="auto"/>
            </w:tcBorders>
            <w:shd w:val="clear" w:color="auto" w:fill="auto"/>
            <w:hideMark/>
          </w:tcPr>
          <w:p w:rsidR="0024049D" w:rsidRPr="000E6CA4" w:rsidRDefault="0024049D" w:rsidP="0024049D">
            <w:pPr>
              <w:jc w:val="both"/>
              <w:rPr>
                <w:sz w:val="26"/>
                <w:szCs w:val="26"/>
              </w:rPr>
            </w:pPr>
            <w:r w:rsidRPr="000E6CA4">
              <w:rPr>
                <w:sz w:val="26"/>
                <w:szCs w:val="26"/>
              </w:rPr>
              <w:t>Noteikumu projekta  60.1.apakšpunkts</w:t>
            </w:r>
          </w:p>
        </w:tc>
        <w:tc>
          <w:tcPr>
            <w:tcW w:w="862" w:type="pct"/>
            <w:tcBorders>
              <w:left w:val="outset" w:sz="6" w:space="0" w:color="auto"/>
              <w:right w:val="outset" w:sz="6" w:space="0" w:color="auto"/>
            </w:tcBorders>
            <w:shd w:val="clear" w:color="auto" w:fill="auto"/>
            <w:hideMark/>
          </w:tcPr>
          <w:p w:rsidR="0024049D" w:rsidRPr="000E6CA4" w:rsidRDefault="0024049D" w:rsidP="0014630D">
            <w:pPr>
              <w:pStyle w:val="naisf"/>
              <w:rPr>
                <w:b/>
                <w:sz w:val="26"/>
                <w:szCs w:val="26"/>
              </w:rPr>
            </w:pPr>
          </w:p>
        </w:tc>
        <w:tc>
          <w:tcPr>
            <w:tcW w:w="1537" w:type="pct"/>
            <w:tcBorders>
              <w:left w:val="outset" w:sz="6" w:space="0" w:color="auto"/>
              <w:right w:val="outset" w:sz="6" w:space="0" w:color="auto"/>
            </w:tcBorders>
            <w:shd w:val="clear" w:color="auto" w:fill="auto"/>
            <w:hideMark/>
          </w:tcPr>
          <w:p w:rsidR="0024049D" w:rsidRPr="000E6CA4" w:rsidRDefault="0024049D" w:rsidP="0014630D">
            <w:pPr>
              <w:pStyle w:val="naisf"/>
              <w:rPr>
                <w:sz w:val="26"/>
                <w:szCs w:val="26"/>
              </w:rPr>
            </w:pPr>
          </w:p>
        </w:tc>
      </w:tr>
      <w:tr w:rsidR="0024049D" w:rsidRPr="000E6CA4" w:rsidTr="003119E2">
        <w:trPr>
          <w:tblCellSpacing w:w="15" w:type="dxa"/>
        </w:trPr>
        <w:tc>
          <w:tcPr>
            <w:tcW w:w="1482" w:type="pct"/>
            <w:gridSpan w:val="2"/>
            <w:tcBorders>
              <w:top w:val="outset" w:sz="6" w:space="0" w:color="auto"/>
              <w:left w:val="outset" w:sz="6" w:space="0" w:color="auto"/>
              <w:bottom w:val="outset" w:sz="6" w:space="0" w:color="auto"/>
              <w:right w:val="outset" w:sz="6" w:space="0" w:color="auto"/>
            </w:tcBorders>
            <w:shd w:val="clear" w:color="auto" w:fill="auto"/>
            <w:hideMark/>
          </w:tcPr>
          <w:p w:rsidR="0024049D" w:rsidRPr="000E6CA4" w:rsidRDefault="0024049D" w:rsidP="0024049D">
            <w:pPr>
              <w:pStyle w:val="naisf"/>
              <w:spacing w:before="0" w:after="0"/>
              <w:ind w:firstLine="0"/>
              <w:rPr>
                <w:sz w:val="26"/>
                <w:szCs w:val="26"/>
              </w:rPr>
            </w:pPr>
            <w:r w:rsidRPr="000E6CA4">
              <w:rPr>
                <w:sz w:val="26"/>
                <w:szCs w:val="26"/>
              </w:rPr>
              <w:t xml:space="preserve">Regulas Nr.1081/2006 11.panta 3.punkta b) </w:t>
            </w:r>
            <w:proofErr w:type="spellStart"/>
            <w:r w:rsidRPr="000E6CA4">
              <w:rPr>
                <w:sz w:val="26"/>
                <w:szCs w:val="26"/>
              </w:rPr>
              <w:t>ii</w:t>
            </w:r>
            <w:proofErr w:type="spellEnd"/>
            <w:r w:rsidRPr="000E6CA4">
              <w:rPr>
                <w:sz w:val="26"/>
                <w:szCs w:val="26"/>
              </w:rPr>
              <w:t>) apakšpunkts</w:t>
            </w:r>
          </w:p>
        </w:tc>
        <w:tc>
          <w:tcPr>
            <w:tcW w:w="1037" w:type="pct"/>
            <w:tcBorders>
              <w:top w:val="outset" w:sz="6" w:space="0" w:color="auto"/>
              <w:left w:val="outset" w:sz="6" w:space="0" w:color="auto"/>
              <w:bottom w:val="outset" w:sz="6" w:space="0" w:color="auto"/>
              <w:right w:val="outset" w:sz="6" w:space="0" w:color="auto"/>
            </w:tcBorders>
            <w:shd w:val="clear" w:color="auto" w:fill="auto"/>
            <w:hideMark/>
          </w:tcPr>
          <w:p w:rsidR="0024049D" w:rsidRPr="000E6CA4" w:rsidRDefault="0024049D" w:rsidP="0024049D">
            <w:pPr>
              <w:jc w:val="both"/>
              <w:rPr>
                <w:sz w:val="26"/>
                <w:szCs w:val="26"/>
              </w:rPr>
            </w:pPr>
            <w:r w:rsidRPr="000E6CA4">
              <w:rPr>
                <w:sz w:val="26"/>
                <w:szCs w:val="26"/>
              </w:rPr>
              <w:t>Noteikumu projekta  54.2.apakšpunkts</w:t>
            </w:r>
          </w:p>
        </w:tc>
        <w:tc>
          <w:tcPr>
            <w:tcW w:w="862" w:type="pct"/>
            <w:vMerge w:val="restart"/>
            <w:tcBorders>
              <w:left w:val="outset" w:sz="6" w:space="0" w:color="auto"/>
              <w:right w:val="outset" w:sz="6" w:space="0" w:color="auto"/>
            </w:tcBorders>
            <w:shd w:val="clear" w:color="auto" w:fill="auto"/>
            <w:hideMark/>
          </w:tcPr>
          <w:p w:rsidR="0024049D" w:rsidRPr="000E6CA4" w:rsidRDefault="0024049D" w:rsidP="0014630D">
            <w:pPr>
              <w:pStyle w:val="naisf"/>
              <w:rPr>
                <w:b/>
                <w:sz w:val="26"/>
                <w:szCs w:val="26"/>
              </w:rPr>
            </w:pPr>
          </w:p>
        </w:tc>
        <w:tc>
          <w:tcPr>
            <w:tcW w:w="1537" w:type="pct"/>
            <w:vMerge w:val="restart"/>
            <w:tcBorders>
              <w:left w:val="outset" w:sz="6" w:space="0" w:color="auto"/>
              <w:right w:val="outset" w:sz="6" w:space="0" w:color="auto"/>
            </w:tcBorders>
            <w:shd w:val="clear" w:color="auto" w:fill="auto"/>
            <w:hideMark/>
          </w:tcPr>
          <w:p w:rsidR="0024049D" w:rsidRPr="000E6CA4" w:rsidRDefault="0024049D" w:rsidP="0014630D">
            <w:pPr>
              <w:pStyle w:val="naisf"/>
              <w:rPr>
                <w:sz w:val="26"/>
                <w:szCs w:val="26"/>
              </w:rPr>
            </w:pPr>
          </w:p>
        </w:tc>
      </w:tr>
      <w:tr w:rsidR="0024049D" w:rsidRPr="000E6CA4" w:rsidTr="003119E2">
        <w:trPr>
          <w:tblCellSpacing w:w="15" w:type="dxa"/>
        </w:trPr>
        <w:tc>
          <w:tcPr>
            <w:tcW w:w="1482" w:type="pct"/>
            <w:gridSpan w:val="2"/>
            <w:tcBorders>
              <w:top w:val="outset" w:sz="6" w:space="0" w:color="auto"/>
              <w:left w:val="outset" w:sz="6" w:space="0" w:color="auto"/>
              <w:bottom w:val="outset" w:sz="6" w:space="0" w:color="auto"/>
              <w:right w:val="outset" w:sz="6" w:space="0" w:color="auto"/>
            </w:tcBorders>
            <w:shd w:val="clear" w:color="auto" w:fill="auto"/>
            <w:hideMark/>
          </w:tcPr>
          <w:p w:rsidR="0024049D" w:rsidRPr="000E6CA4" w:rsidRDefault="0024049D" w:rsidP="007C08F8">
            <w:pPr>
              <w:pStyle w:val="naisf"/>
              <w:spacing w:before="0" w:after="0"/>
              <w:ind w:firstLine="0"/>
              <w:rPr>
                <w:sz w:val="26"/>
                <w:szCs w:val="26"/>
              </w:rPr>
            </w:pPr>
            <w:r w:rsidRPr="000E6CA4">
              <w:rPr>
                <w:sz w:val="26"/>
                <w:szCs w:val="26"/>
              </w:rPr>
              <w:t>Regulas Nr.1083/2006 55.pants</w:t>
            </w:r>
          </w:p>
        </w:tc>
        <w:tc>
          <w:tcPr>
            <w:tcW w:w="1037" w:type="pct"/>
            <w:tcBorders>
              <w:top w:val="outset" w:sz="6" w:space="0" w:color="auto"/>
              <w:left w:val="outset" w:sz="6" w:space="0" w:color="auto"/>
              <w:bottom w:val="outset" w:sz="6" w:space="0" w:color="auto"/>
              <w:right w:val="outset" w:sz="6" w:space="0" w:color="auto"/>
            </w:tcBorders>
            <w:shd w:val="clear" w:color="auto" w:fill="auto"/>
            <w:hideMark/>
          </w:tcPr>
          <w:p w:rsidR="0024049D" w:rsidRPr="000E6CA4" w:rsidRDefault="0024049D" w:rsidP="0040656B">
            <w:pPr>
              <w:jc w:val="both"/>
              <w:rPr>
                <w:sz w:val="26"/>
                <w:szCs w:val="26"/>
              </w:rPr>
            </w:pPr>
            <w:r w:rsidRPr="000E6CA4">
              <w:rPr>
                <w:sz w:val="26"/>
                <w:szCs w:val="26"/>
              </w:rPr>
              <w:t xml:space="preserve">Noteikumu projekta </w:t>
            </w:r>
            <w:r w:rsidR="00E524D4" w:rsidRPr="000E6CA4">
              <w:rPr>
                <w:sz w:val="26"/>
                <w:szCs w:val="26"/>
              </w:rPr>
              <w:t>62.punkts</w:t>
            </w:r>
          </w:p>
        </w:tc>
        <w:tc>
          <w:tcPr>
            <w:tcW w:w="862" w:type="pct"/>
            <w:vMerge/>
            <w:tcBorders>
              <w:left w:val="outset" w:sz="6" w:space="0" w:color="auto"/>
              <w:bottom w:val="outset" w:sz="6" w:space="0" w:color="auto"/>
              <w:right w:val="outset" w:sz="6" w:space="0" w:color="auto"/>
            </w:tcBorders>
            <w:shd w:val="clear" w:color="auto" w:fill="auto"/>
            <w:hideMark/>
          </w:tcPr>
          <w:p w:rsidR="0024049D" w:rsidRPr="000E6CA4" w:rsidRDefault="0024049D" w:rsidP="0014630D">
            <w:pPr>
              <w:pStyle w:val="naisf"/>
              <w:spacing w:before="0" w:after="0"/>
              <w:ind w:firstLine="0"/>
              <w:rPr>
                <w:sz w:val="26"/>
                <w:szCs w:val="26"/>
              </w:rPr>
            </w:pPr>
          </w:p>
        </w:tc>
        <w:tc>
          <w:tcPr>
            <w:tcW w:w="1537" w:type="pct"/>
            <w:vMerge/>
            <w:tcBorders>
              <w:left w:val="outset" w:sz="6" w:space="0" w:color="auto"/>
              <w:bottom w:val="outset" w:sz="6" w:space="0" w:color="auto"/>
              <w:right w:val="outset" w:sz="6" w:space="0" w:color="auto"/>
            </w:tcBorders>
            <w:shd w:val="clear" w:color="auto" w:fill="auto"/>
            <w:hideMark/>
          </w:tcPr>
          <w:p w:rsidR="0024049D" w:rsidRPr="000E6CA4" w:rsidRDefault="0024049D" w:rsidP="0014630D">
            <w:pPr>
              <w:pStyle w:val="naisf"/>
              <w:spacing w:before="0" w:after="0"/>
              <w:ind w:firstLine="0"/>
              <w:rPr>
                <w:sz w:val="26"/>
                <w:szCs w:val="26"/>
              </w:rPr>
            </w:pPr>
          </w:p>
        </w:tc>
      </w:tr>
      <w:tr w:rsidR="0024049D" w:rsidRPr="000E6CA4" w:rsidTr="003119E2">
        <w:trPr>
          <w:tblCellSpacing w:w="15" w:type="dxa"/>
        </w:trPr>
        <w:tc>
          <w:tcPr>
            <w:tcW w:w="1482" w:type="pct"/>
            <w:gridSpan w:val="2"/>
            <w:tcBorders>
              <w:top w:val="outset" w:sz="6" w:space="0" w:color="auto"/>
              <w:left w:val="outset" w:sz="6" w:space="0" w:color="auto"/>
              <w:bottom w:val="outset" w:sz="6" w:space="0" w:color="auto"/>
              <w:right w:val="outset" w:sz="6" w:space="0" w:color="auto"/>
            </w:tcBorders>
            <w:shd w:val="clear" w:color="auto" w:fill="auto"/>
            <w:hideMark/>
          </w:tcPr>
          <w:p w:rsidR="0024049D" w:rsidRPr="000E6CA4" w:rsidRDefault="00811B49" w:rsidP="007C08F8">
            <w:pPr>
              <w:pStyle w:val="naisf"/>
              <w:spacing w:before="0" w:after="0"/>
              <w:ind w:firstLine="0"/>
              <w:rPr>
                <w:sz w:val="26"/>
                <w:szCs w:val="26"/>
              </w:rPr>
            </w:pPr>
            <w:r w:rsidRPr="000E6CA4">
              <w:rPr>
                <w:sz w:val="26"/>
                <w:szCs w:val="26"/>
              </w:rPr>
              <w:t xml:space="preserve">Regulas Nr.1083/2006 </w:t>
            </w:r>
            <w:r w:rsidR="0024049D" w:rsidRPr="000E6CA4">
              <w:rPr>
                <w:sz w:val="26"/>
                <w:szCs w:val="26"/>
              </w:rPr>
              <w:t xml:space="preserve">56.panta 1.punkts </w:t>
            </w:r>
          </w:p>
        </w:tc>
        <w:tc>
          <w:tcPr>
            <w:tcW w:w="1037" w:type="pct"/>
            <w:tcBorders>
              <w:top w:val="outset" w:sz="6" w:space="0" w:color="auto"/>
              <w:left w:val="outset" w:sz="6" w:space="0" w:color="auto"/>
              <w:bottom w:val="outset" w:sz="6" w:space="0" w:color="auto"/>
              <w:right w:val="outset" w:sz="6" w:space="0" w:color="auto"/>
            </w:tcBorders>
            <w:shd w:val="clear" w:color="auto" w:fill="auto"/>
            <w:hideMark/>
          </w:tcPr>
          <w:p w:rsidR="0024049D" w:rsidRPr="000E6CA4" w:rsidRDefault="0024049D" w:rsidP="0040656B">
            <w:pPr>
              <w:jc w:val="both"/>
              <w:rPr>
                <w:sz w:val="26"/>
                <w:szCs w:val="26"/>
              </w:rPr>
            </w:pPr>
            <w:r w:rsidRPr="000E6CA4">
              <w:rPr>
                <w:sz w:val="26"/>
                <w:szCs w:val="26"/>
              </w:rPr>
              <w:t>Noteikumu projekta 70.punkts</w:t>
            </w:r>
          </w:p>
        </w:tc>
        <w:tc>
          <w:tcPr>
            <w:tcW w:w="862" w:type="pct"/>
            <w:vMerge/>
            <w:tcBorders>
              <w:left w:val="outset" w:sz="6" w:space="0" w:color="auto"/>
              <w:bottom w:val="outset" w:sz="6" w:space="0" w:color="auto"/>
              <w:right w:val="outset" w:sz="6" w:space="0" w:color="auto"/>
            </w:tcBorders>
            <w:shd w:val="clear" w:color="auto" w:fill="auto"/>
            <w:hideMark/>
          </w:tcPr>
          <w:p w:rsidR="0024049D" w:rsidRPr="000E6CA4" w:rsidRDefault="0024049D" w:rsidP="0014630D">
            <w:pPr>
              <w:pStyle w:val="naisf"/>
              <w:spacing w:before="0" w:after="0"/>
              <w:ind w:firstLine="0"/>
              <w:rPr>
                <w:sz w:val="26"/>
                <w:szCs w:val="26"/>
              </w:rPr>
            </w:pPr>
          </w:p>
        </w:tc>
        <w:tc>
          <w:tcPr>
            <w:tcW w:w="1537" w:type="pct"/>
            <w:vMerge/>
            <w:tcBorders>
              <w:left w:val="outset" w:sz="6" w:space="0" w:color="auto"/>
              <w:bottom w:val="outset" w:sz="6" w:space="0" w:color="auto"/>
              <w:right w:val="outset" w:sz="6" w:space="0" w:color="auto"/>
            </w:tcBorders>
            <w:shd w:val="clear" w:color="auto" w:fill="auto"/>
            <w:hideMark/>
          </w:tcPr>
          <w:p w:rsidR="0024049D" w:rsidRPr="000E6CA4" w:rsidRDefault="0024049D" w:rsidP="0014630D">
            <w:pPr>
              <w:pStyle w:val="naisf"/>
              <w:spacing w:before="0" w:after="0"/>
              <w:ind w:firstLine="0"/>
              <w:rPr>
                <w:sz w:val="26"/>
                <w:szCs w:val="26"/>
              </w:rPr>
            </w:pPr>
          </w:p>
        </w:tc>
      </w:tr>
      <w:tr w:rsidR="0024049D" w:rsidRPr="000E6CA4" w:rsidTr="003119E2">
        <w:trPr>
          <w:tblCellSpacing w:w="15" w:type="dxa"/>
        </w:trPr>
        <w:tc>
          <w:tcPr>
            <w:tcW w:w="1482" w:type="pct"/>
            <w:gridSpan w:val="2"/>
            <w:tcBorders>
              <w:top w:val="outset" w:sz="6" w:space="0" w:color="auto"/>
              <w:left w:val="outset" w:sz="6" w:space="0" w:color="auto"/>
              <w:bottom w:val="outset" w:sz="6" w:space="0" w:color="auto"/>
              <w:right w:val="outset" w:sz="6" w:space="0" w:color="auto"/>
            </w:tcBorders>
            <w:shd w:val="clear" w:color="auto" w:fill="auto"/>
            <w:hideMark/>
          </w:tcPr>
          <w:p w:rsidR="0024049D" w:rsidRPr="000E6CA4" w:rsidRDefault="0024049D" w:rsidP="00A5496A">
            <w:pPr>
              <w:pStyle w:val="naisf"/>
              <w:spacing w:before="0" w:after="0"/>
              <w:ind w:firstLine="0"/>
              <w:rPr>
                <w:sz w:val="26"/>
                <w:szCs w:val="26"/>
              </w:rPr>
            </w:pPr>
            <w:r w:rsidRPr="000E6CA4">
              <w:rPr>
                <w:sz w:val="26"/>
                <w:szCs w:val="26"/>
              </w:rPr>
              <w:t>Komisijas 2006.gada 8.decembra Regulas (EK) Nr.</w:t>
            </w:r>
            <w:hyperlink r:id="rId10" w:tgtFrame="_blank" w:tooltip="REGULA" w:history="1">
              <w:r w:rsidRPr="000E6CA4">
                <w:rPr>
                  <w:color w:val="0000FF"/>
                  <w:sz w:val="26"/>
                  <w:szCs w:val="26"/>
                  <w:u w:val="single"/>
                </w:rPr>
                <w:t>1828/2006</w:t>
              </w:r>
            </w:hyperlink>
            <w:r w:rsidRPr="000E6CA4">
              <w:rPr>
                <w:sz w:val="26"/>
                <w:szCs w:val="26"/>
              </w:rPr>
              <w:t xml:space="preserve"> XXI. pielikuma E.1.2.sadaļa</w:t>
            </w:r>
          </w:p>
        </w:tc>
        <w:tc>
          <w:tcPr>
            <w:tcW w:w="1037" w:type="pct"/>
            <w:tcBorders>
              <w:top w:val="outset" w:sz="6" w:space="0" w:color="auto"/>
              <w:left w:val="outset" w:sz="6" w:space="0" w:color="auto"/>
              <w:bottom w:val="outset" w:sz="6" w:space="0" w:color="auto"/>
              <w:right w:val="outset" w:sz="6" w:space="0" w:color="auto"/>
            </w:tcBorders>
            <w:shd w:val="clear" w:color="auto" w:fill="auto"/>
            <w:hideMark/>
          </w:tcPr>
          <w:p w:rsidR="0024049D" w:rsidRPr="000E6CA4" w:rsidRDefault="0024049D" w:rsidP="007C08F8">
            <w:pPr>
              <w:jc w:val="both"/>
              <w:rPr>
                <w:sz w:val="26"/>
                <w:szCs w:val="26"/>
              </w:rPr>
            </w:pPr>
            <w:r w:rsidRPr="000E6CA4">
              <w:rPr>
                <w:sz w:val="26"/>
                <w:szCs w:val="26"/>
              </w:rPr>
              <w:t>Noteikumu projekta 2.pielikuma 6.3.4.apakšpunkts</w:t>
            </w:r>
          </w:p>
        </w:tc>
        <w:tc>
          <w:tcPr>
            <w:tcW w:w="862" w:type="pct"/>
            <w:vMerge/>
            <w:tcBorders>
              <w:left w:val="outset" w:sz="6" w:space="0" w:color="auto"/>
              <w:bottom w:val="outset" w:sz="6" w:space="0" w:color="auto"/>
              <w:right w:val="outset" w:sz="6" w:space="0" w:color="auto"/>
            </w:tcBorders>
            <w:shd w:val="clear" w:color="auto" w:fill="auto"/>
            <w:hideMark/>
          </w:tcPr>
          <w:p w:rsidR="0024049D" w:rsidRPr="000E6CA4" w:rsidRDefault="0024049D" w:rsidP="0014630D">
            <w:pPr>
              <w:pStyle w:val="naisf"/>
              <w:spacing w:before="0" w:after="0"/>
              <w:ind w:firstLine="0"/>
              <w:rPr>
                <w:sz w:val="26"/>
                <w:szCs w:val="26"/>
              </w:rPr>
            </w:pPr>
          </w:p>
        </w:tc>
        <w:tc>
          <w:tcPr>
            <w:tcW w:w="1537" w:type="pct"/>
            <w:vMerge/>
            <w:tcBorders>
              <w:left w:val="outset" w:sz="6" w:space="0" w:color="auto"/>
              <w:bottom w:val="outset" w:sz="6" w:space="0" w:color="auto"/>
              <w:right w:val="outset" w:sz="6" w:space="0" w:color="auto"/>
            </w:tcBorders>
            <w:shd w:val="clear" w:color="auto" w:fill="auto"/>
            <w:hideMark/>
          </w:tcPr>
          <w:p w:rsidR="0024049D" w:rsidRPr="000E6CA4" w:rsidRDefault="0024049D" w:rsidP="0014630D">
            <w:pPr>
              <w:pStyle w:val="naisf"/>
              <w:spacing w:before="0" w:after="0"/>
              <w:ind w:firstLine="0"/>
              <w:rPr>
                <w:sz w:val="26"/>
                <w:szCs w:val="26"/>
              </w:rPr>
            </w:pPr>
          </w:p>
        </w:tc>
      </w:tr>
      <w:tr w:rsidR="0024049D" w:rsidRPr="000E6CA4" w:rsidTr="003119E2">
        <w:trPr>
          <w:tblCellSpacing w:w="15" w:type="dxa"/>
        </w:trPr>
        <w:tc>
          <w:tcPr>
            <w:tcW w:w="1482"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24049D" w:rsidRPr="000E6CA4" w:rsidRDefault="0024049D" w:rsidP="0014630D">
            <w:pPr>
              <w:jc w:val="both"/>
              <w:rPr>
                <w:sz w:val="26"/>
                <w:szCs w:val="26"/>
              </w:rPr>
            </w:pPr>
            <w:r w:rsidRPr="000E6CA4">
              <w:rPr>
                <w:sz w:val="26"/>
                <w:szCs w:val="26"/>
              </w:rPr>
              <w:t>Kā ir izmantota ES tiesību aktā paredzētā rīcības brīvība dalībvalstij pārņemt vai ieviest noteiktas ES tiesību akta normas.</w:t>
            </w:r>
          </w:p>
        </w:tc>
        <w:tc>
          <w:tcPr>
            <w:tcW w:w="3469" w:type="pct"/>
            <w:gridSpan w:val="3"/>
            <w:tcBorders>
              <w:top w:val="outset" w:sz="6" w:space="0" w:color="auto"/>
              <w:left w:val="outset" w:sz="6" w:space="0" w:color="auto"/>
              <w:bottom w:val="outset" w:sz="6" w:space="0" w:color="auto"/>
              <w:right w:val="outset" w:sz="6" w:space="0" w:color="auto"/>
            </w:tcBorders>
            <w:shd w:val="clear" w:color="auto" w:fill="auto"/>
            <w:hideMark/>
          </w:tcPr>
          <w:p w:rsidR="0024049D" w:rsidRPr="000E6CA4" w:rsidRDefault="0024049D" w:rsidP="0014630D">
            <w:pPr>
              <w:pStyle w:val="naiskr"/>
              <w:spacing w:before="0" w:after="0"/>
              <w:jc w:val="both"/>
              <w:rPr>
                <w:iCs/>
                <w:sz w:val="26"/>
                <w:szCs w:val="26"/>
              </w:rPr>
            </w:pPr>
            <w:r w:rsidRPr="000E6CA4">
              <w:rPr>
                <w:iCs/>
                <w:sz w:val="26"/>
                <w:szCs w:val="26"/>
              </w:rPr>
              <w:t>Lai sniegtu valsts atbalstu pētniecībai, attīstībai un inovācijām, kā arī piešķirtu struktūrfondu līdzfinansējumu,  dalībvalstij ir jāpiemēro Padomes Regula Nr.1083/2006</w:t>
            </w:r>
            <w:r w:rsidRPr="000E6CA4">
              <w:rPr>
                <w:sz w:val="26"/>
                <w:szCs w:val="26"/>
              </w:rPr>
              <w:t>.</w:t>
            </w:r>
          </w:p>
          <w:p w:rsidR="0024049D" w:rsidRPr="000E6CA4" w:rsidRDefault="0024049D" w:rsidP="0014630D">
            <w:pPr>
              <w:jc w:val="both"/>
              <w:rPr>
                <w:sz w:val="26"/>
                <w:szCs w:val="26"/>
              </w:rPr>
            </w:pPr>
          </w:p>
        </w:tc>
      </w:tr>
      <w:tr w:rsidR="0024049D" w:rsidRPr="000E6CA4" w:rsidTr="003119E2">
        <w:trPr>
          <w:tblCellSpacing w:w="15" w:type="dxa"/>
        </w:trPr>
        <w:tc>
          <w:tcPr>
            <w:tcW w:w="1482"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24049D" w:rsidRPr="000E6CA4" w:rsidRDefault="0024049D" w:rsidP="0014630D">
            <w:pPr>
              <w:jc w:val="both"/>
              <w:rPr>
                <w:sz w:val="26"/>
                <w:szCs w:val="26"/>
              </w:rPr>
            </w:pPr>
            <w:r w:rsidRPr="000E6CA4">
              <w:rPr>
                <w:sz w:val="26"/>
                <w:szCs w:val="26"/>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469" w:type="pct"/>
            <w:gridSpan w:val="3"/>
            <w:tcBorders>
              <w:top w:val="outset" w:sz="6" w:space="0" w:color="auto"/>
              <w:left w:val="outset" w:sz="6" w:space="0" w:color="auto"/>
              <w:bottom w:val="outset" w:sz="6" w:space="0" w:color="auto"/>
              <w:right w:val="outset" w:sz="6" w:space="0" w:color="auto"/>
            </w:tcBorders>
            <w:shd w:val="clear" w:color="auto" w:fill="auto"/>
            <w:hideMark/>
          </w:tcPr>
          <w:p w:rsidR="0024049D" w:rsidRPr="000E6CA4" w:rsidRDefault="0024049D" w:rsidP="0014630D">
            <w:pPr>
              <w:jc w:val="both"/>
              <w:rPr>
                <w:iCs/>
                <w:sz w:val="26"/>
                <w:szCs w:val="26"/>
              </w:rPr>
            </w:pPr>
            <w:r w:rsidRPr="000E6CA4">
              <w:rPr>
                <w:iCs/>
                <w:sz w:val="26"/>
                <w:szCs w:val="26"/>
              </w:rPr>
              <w:t xml:space="preserve">Noteikumu projekts paredz sniegt atbalstu tādai valsts zinātnisko institūciju pamatdarbībai, kurai nav saimniecisks raksturs, tādējādi atbalsts nav kvalificējams kā valsts atbalsts un attiecīgi ir atbrīvots no iepriekšējas paziņošanas Eiropas Komisijai. </w:t>
            </w:r>
          </w:p>
          <w:p w:rsidR="0024049D" w:rsidRPr="000E6CA4" w:rsidRDefault="0024049D" w:rsidP="0014630D">
            <w:pPr>
              <w:jc w:val="both"/>
              <w:rPr>
                <w:iCs/>
                <w:sz w:val="26"/>
                <w:szCs w:val="26"/>
              </w:rPr>
            </w:pPr>
          </w:p>
          <w:p w:rsidR="0024049D" w:rsidRPr="000E6CA4" w:rsidRDefault="0024049D" w:rsidP="0014630D">
            <w:pPr>
              <w:jc w:val="both"/>
              <w:rPr>
                <w:sz w:val="26"/>
                <w:szCs w:val="26"/>
              </w:rPr>
            </w:pPr>
          </w:p>
        </w:tc>
      </w:tr>
      <w:tr w:rsidR="0024049D" w:rsidRPr="000E6CA4" w:rsidTr="003119E2">
        <w:trPr>
          <w:tblCellSpacing w:w="15" w:type="dxa"/>
        </w:trPr>
        <w:tc>
          <w:tcPr>
            <w:tcW w:w="1482" w:type="pct"/>
            <w:gridSpan w:val="2"/>
            <w:tcBorders>
              <w:top w:val="outset" w:sz="6" w:space="0" w:color="auto"/>
              <w:left w:val="outset" w:sz="6" w:space="0" w:color="auto"/>
              <w:bottom w:val="outset" w:sz="6" w:space="0" w:color="auto"/>
              <w:right w:val="outset" w:sz="6" w:space="0" w:color="auto"/>
            </w:tcBorders>
            <w:shd w:val="clear" w:color="auto" w:fill="auto"/>
            <w:hideMark/>
          </w:tcPr>
          <w:p w:rsidR="0024049D" w:rsidRPr="000E6CA4" w:rsidRDefault="0024049D" w:rsidP="0014630D">
            <w:pPr>
              <w:jc w:val="both"/>
              <w:rPr>
                <w:sz w:val="26"/>
                <w:szCs w:val="26"/>
              </w:rPr>
            </w:pPr>
            <w:r w:rsidRPr="000E6CA4">
              <w:rPr>
                <w:sz w:val="26"/>
                <w:szCs w:val="26"/>
              </w:rPr>
              <w:t>Cita informācija</w:t>
            </w:r>
          </w:p>
        </w:tc>
        <w:tc>
          <w:tcPr>
            <w:tcW w:w="3469" w:type="pct"/>
            <w:gridSpan w:val="3"/>
            <w:tcBorders>
              <w:top w:val="outset" w:sz="6" w:space="0" w:color="auto"/>
              <w:left w:val="outset" w:sz="6" w:space="0" w:color="auto"/>
              <w:bottom w:val="outset" w:sz="6" w:space="0" w:color="auto"/>
              <w:right w:val="outset" w:sz="6" w:space="0" w:color="auto"/>
            </w:tcBorders>
            <w:shd w:val="clear" w:color="auto" w:fill="auto"/>
            <w:hideMark/>
          </w:tcPr>
          <w:p w:rsidR="0024049D" w:rsidRPr="000E6CA4" w:rsidRDefault="0024049D" w:rsidP="00DB6BDF">
            <w:pPr>
              <w:jc w:val="both"/>
              <w:rPr>
                <w:sz w:val="26"/>
                <w:szCs w:val="26"/>
              </w:rPr>
            </w:pPr>
            <w:r w:rsidRPr="000E6CA4">
              <w:rPr>
                <w:sz w:val="26"/>
                <w:szCs w:val="26"/>
              </w:rPr>
              <w:t>Nav</w:t>
            </w:r>
          </w:p>
        </w:tc>
      </w:tr>
    </w:tbl>
    <w:p w:rsidR="005F1F3C" w:rsidRPr="000E6CA4" w:rsidRDefault="005F1F3C" w:rsidP="0014630D">
      <w:pPr>
        <w:rPr>
          <w:sz w:val="26"/>
          <w:szCs w:val="26"/>
        </w:rPr>
      </w:pPr>
    </w:p>
    <w:p w:rsidR="005F1F3C" w:rsidRPr="000E6CA4" w:rsidRDefault="005F1F3C" w:rsidP="0014630D">
      <w:pPr>
        <w:rPr>
          <w:sz w:val="26"/>
          <w:szCs w:val="26"/>
        </w:rPr>
      </w:pPr>
      <w:r w:rsidRPr="000E6CA4">
        <w:rPr>
          <w:sz w:val="26"/>
          <w:szCs w:val="26"/>
        </w:rPr>
        <w:lastRenderedPageBreak/>
        <w:t>Anotācijas V sadaļas 2.tabula – nav attiecināms</w:t>
      </w:r>
    </w:p>
    <w:p w:rsidR="00536D7C" w:rsidRPr="000E6CA4" w:rsidRDefault="00536D7C" w:rsidP="0014630D">
      <w:pPr>
        <w:rPr>
          <w:sz w:val="26"/>
          <w:szCs w:val="2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53"/>
        <w:gridCol w:w="1548"/>
        <w:gridCol w:w="7020"/>
      </w:tblGrid>
      <w:tr w:rsidR="005F1F3C" w:rsidRPr="000E6CA4" w:rsidTr="003119E2">
        <w:trPr>
          <w:tblCellSpacing w:w="15" w:type="dxa"/>
        </w:trPr>
        <w:tc>
          <w:tcPr>
            <w:tcW w:w="4967" w:type="pct"/>
            <w:gridSpan w:val="3"/>
            <w:tcBorders>
              <w:top w:val="outset" w:sz="6" w:space="0" w:color="auto"/>
              <w:left w:val="outset" w:sz="6" w:space="0" w:color="auto"/>
              <w:bottom w:val="outset" w:sz="6" w:space="0" w:color="auto"/>
              <w:right w:val="outset" w:sz="6" w:space="0" w:color="auto"/>
            </w:tcBorders>
            <w:hideMark/>
          </w:tcPr>
          <w:p w:rsidR="005F1F3C" w:rsidRPr="000E6CA4" w:rsidRDefault="005F1F3C" w:rsidP="0014630D">
            <w:pPr>
              <w:jc w:val="center"/>
              <w:rPr>
                <w:b/>
                <w:bCs/>
                <w:sz w:val="26"/>
                <w:szCs w:val="26"/>
              </w:rPr>
            </w:pPr>
            <w:r w:rsidRPr="000E6CA4">
              <w:rPr>
                <w:b/>
                <w:bCs/>
                <w:sz w:val="26"/>
                <w:szCs w:val="26"/>
              </w:rPr>
              <w:t>VI. Sabiedrības līdzdalība un šīs līdzdalības rezultāti</w:t>
            </w:r>
          </w:p>
        </w:tc>
      </w:tr>
      <w:tr w:rsidR="005F1F3C" w:rsidRPr="000E6CA4" w:rsidTr="003119E2">
        <w:trPr>
          <w:trHeight w:val="1519"/>
          <w:tblCellSpacing w:w="15" w:type="dxa"/>
        </w:trPr>
        <w:tc>
          <w:tcPr>
            <w:tcW w:w="332" w:type="pct"/>
            <w:tcBorders>
              <w:top w:val="outset" w:sz="6" w:space="0" w:color="auto"/>
              <w:left w:val="outset" w:sz="6" w:space="0" w:color="auto"/>
              <w:bottom w:val="outset" w:sz="6" w:space="0" w:color="auto"/>
              <w:right w:val="outset" w:sz="6" w:space="0" w:color="auto"/>
            </w:tcBorders>
            <w:hideMark/>
          </w:tcPr>
          <w:p w:rsidR="005F1F3C" w:rsidRPr="000E6CA4" w:rsidRDefault="005F1F3C" w:rsidP="0014630D">
            <w:pPr>
              <w:jc w:val="both"/>
              <w:rPr>
                <w:sz w:val="26"/>
                <w:szCs w:val="26"/>
              </w:rPr>
            </w:pPr>
            <w:r w:rsidRPr="000E6CA4">
              <w:rPr>
                <w:sz w:val="26"/>
                <w:szCs w:val="26"/>
              </w:rPr>
              <w:t>1.</w:t>
            </w:r>
          </w:p>
        </w:tc>
        <w:tc>
          <w:tcPr>
            <w:tcW w:w="828" w:type="pct"/>
            <w:tcBorders>
              <w:top w:val="outset" w:sz="6" w:space="0" w:color="auto"/>
              <w:left w:val="outset" w:sz="6" w:space="0" w:color="auto"/>
              <w:bottom w:val="outset" w:sz="6" w:space="0" w:color="auto"/>
              <w:right w:val="outset" w:sz="6" w:space="0" w:color="auto"/>
            </w:tcBorders>
            <w:hideMark/>
          </w:tcPr>
          <w:p w:rsidR="005F1F3C" w:rsidRPr="000E6CA4" w:rsidRDefault="005F1F3C" w:rsidP="0014630D">
            <w:pPr>
              <w:jc w:val="both"/>
              <w:rPr>
                <w:sz w:val="26"/>
                <w:szCs w:val="26"/>
              </w:rPr>
            </w:pPr>
            <w:r w:rsidRPr="000E6CA4">
              <w:rPr>
                <w:sz w:val="26"/>
                <w:szCs w:val="26"/>
              </w:rPr>
              <w:t>Sabiedrības informēšana par projekta izstrādes uzsākšanu</w:t>
            </w:r>
          </w:p>
        </w:tc>
        <w:tc>
          <w:tcPr>
            <w:tcW w:w="3774" w:type="pct"/>
            <w:tcBorders>
              <w:top w:val="outset" w:sz="6" w:space="0" w:color="auto"/>
              <w:left w:val="outset" w:sz="6" w:space="0" w:color="auto"/>
              <w:bottom w:val="outset" w:sz="6" w:space="0" w:color="auto"/>
              <w:right w:val="outset" w:sz="6" w:space="0" w:color="auto"/>
            </w:tcBorders>
            <w:hideMark/>
          </w:tcPr>
          <w:p w:rsidR="005F1F3C" w:rsidRPr="000E6CA4" w:rsidRDefault="005F1F3C" w:rsidP="0014630D">
            <w:pPr>
              <w:jc w:val="both"/>
              <w:rPr>
                <w:sz w:val="26"/>
                <w:szCs w:val="26"/>
              </w:rPr>
            </w:pPr>
            <w:r w:rsidRPr="000E6CA4">
              <w:rPr>
                <w:sz w:val="26"/>
                <w:szCs w:val="26"/>
              </w:rPr>
              <w:t xml:space="preserve">Informācija par Eiropas Savienības struktūrfondu aktivitāšu īstenošanu 2007.-2013.gadam pieejama Izglītības un zinātnes ministrijas tīmekļa vietnē </w:t>
            </w:r>
            <w:hyperlink r:id="rId11" w:history="1">
              <w:r w:rsidRPr="000E6CA4">
                <w:rPr>
                  <w:rStyle w:val="Hyperlink"/>
                  <w:sz w:val="26"/>
                  <w:szCs w:val="26"/>
                </w:rPr>
                <w:t>http://esfondi.izm.gov.lv</w:t>
              </w:r>
            </w:hyperlink>
            <w:r w:rsidRPr="000E6CA4">
              <w:rPr>
                <w:sz w:val="26"/>
                <w:szCs w:val="26"/>
              </w:rPr>
              <w:t xml:space="preserve">. </w:t>
            </w:r>
          </w:p>
          <w:p w:rsidR="005F1F3C" w:rsidRPr="000E6CA4" w:rsidRDefault="005F1F3C" w:rsidP="0014630D">
            <w:pPr>
              <w:jc w:val="both"/>
              <w:rPr>
                <w:sz w:val="26"/>
                <w:szCs w:val="26"/>
              </w:rPr>
            </w:pPr>
          </w:p>
        </w:tc>
      </w:tr>
      <w:tr w:rsidR="005F1F3C" w:rsidRPr="000E6CA4" w:rsidTr="003119E2">
        <w:trPr>
          <w:tblCellSpacing w:w="15" w:type="dxa"/>
        </w:trPr>
        <w:tc>
          <w:tcPr>
            <w:tcW w:w="332" w:type="pct"/>
            <w:tcBorders>
              <w:top w:val="outset" w:sz="6" w:space="0" w:color="auto"/>
              <w:left w:val="outset" w:sz="6" w:space="0" w:color="auto"/>
              <w:bottom w:val="outset" w:sz="6" w:space="0" w:color="auto"/>
              <w:right w:val="outset" w:sz="6" w:space="0" w:color="auto"/>
            </w:tcBorders>
            <w:hideMark/>
          </w:tcPr>
          <w:p w:rsidR="005F1F3C" w:rsidRPr="000E6CA4" w:rsidRDefault="005F1F3C" w:rsidP="0014630D">
            <w:pPr>
              <w:jc w:val="both"/>
              <w:rPr>
                <w:sz w:val="26"/>
                <w:szCs w:val="26"/>
              </w:rPr>
            </w:pPr>
            <w:r w:rsidRPr="000E6CA4">
              <w:rPr>
                <w:sz w:val="26"/>
                <w:szCs w:val="26"/>
              </w:rPr>
              <w:t>2.</w:t>
            </w:r>
          </w:p>
        </w:tc>
        <w:tc>
          <w:tcPr>
            <w:tcW w:w="828" w:type="pct"/>
            <w:tcBorders>
              <w:top w:val="outset" w:sz="6" w:space="0" w:color="auto"/>
              <w:left w:val="outset" w:sz="6" w:space="0" w:color="auto"/>
              <w:bottom w:val="outset" w:sz="6" w:space="0" w:color="auto"/>
              <w:right w:val="outset" w:sz="6" w:space="0" w:color="auto"/>
            </w:tcBorders>
            <w:hideMark/>
          </w:tcPr>
          <w:p w:rsidR="005F1F3C" w:rsidRPr="000E6CA4" w:rsidRDefault="005F1F3C" w:rsidP="0014630D">
            <w:pPr>
              <w:jc w:val="both"/>
              <w:rPr>
                <w:sz w:val="26"/>
                <w:szCs w:val="26"/>
              </w:rPr>
            </w:pPr>
            <w:r w:rsidRPr="000E6CA4">
              <w:rPr>
                <w:sz w:val="26"/>
                <w:szCs w:val="26"/>
              </w:rPr>
              <w:t>Sabiedrības līdzdalība projekta izstrādē</w:t>
            </w:r>
          </w:p>
        </w:tc>
        <w:tc>
          <w:tcPr>
            <w:tcW w:w="3774" w:type="pct"/>
            <w:tcBorders>
              <w:top w:val="outset" w:sz="6" w:space="0" w:color="auto"/>
              <w:left w:val="outset" w:sz="6" w:space="0" w:color="auto"/>
              <w:bottom w:val="outset" w:sz="6" w:space="0" w:color="auto"/>
              <w:right w:val="outset" w:sz="6" w:space="0" w:color="auto"/>
            </w:tcBorders>
            <w:hideMark/>
          </w:tcPr>
          <w:p w:rsidR="005F1F3C" w:rsidRPr="000E6CA4" w:rsidRDefault="00C33500" w:rsidP="00811564">
            <w:pPr>
              <w:jc w:val="both"/>
              <w:rPr>
                <w:iCs/>
                <w:sz w:val="26"/>
                <w:szCs w:val="26"/>
              </w:rPr>
            </w:pPr>
            <w:r w:rsidRPr="000E6CA4">
              <w:rPr>
                <w:sz w:val="26"/>
                <w:szCs w:val="26"/>
              </w:rPr>
              <w:t>Noteikumu projekts šo jomu neskar</w:t>
            </w:r>
          </w:p>
        </w:tc>
      </w:tr>
      <w:tr w:rsidR="005F1F3C" w:rsidRPr="000E6CA4" w:rsidTr="003119E2">
        <w:trPr>
          <w:tblCellSpacing w:w="15" w:type="dxa"/>
        </w:trPr>
        <w:tc>
          <w:tcPr>
            <w:tcW w:w="332" w:type="pct"/>
            <w:tcBorders>
              <w:top w:val="outset" w:sz="6" w:space="0" w:color="auto"/>
              <w:left w:val="outset" w:sz="6" w:space="0" w:color="auto"/>
              <w:bottom w:val="outset" w:sz="6" w:space="0" w:color="auto"/>
              <w:right w:val="outset" w:sz="6" w:space="0" w:color="auto"/>
            </w:tcBorders>
            <w:hideMark/>
          </w:tcPr>
          <w:p w:rsidR="005F1F3C" w:rsidRPr="000E6CA4" w:rsidRDefault="005F1F3C" w:rsidP="0014630D">
            <w:pPr>
              <w:jc w:val="both"/>
              <w:rPr>
                <w:sz w:val="26"/>
                <w:szCs w:val="26"/>
              </w:rPr>
            </w:pPr>
            <w:r w:rsidRPr="000E6CA4">
              <w:rPr>
                <w:sz w:val="26"/>
                <w:szCs w:val="26"/>
              </w:rPr>
              <w:t>3.</w:t>
            </w:r>
          </w:p>
        </w:tc>
        <w:tc>
          <w:tcPr>
            <w:tcW w:w="828" w:type="pct"/>
            <w:tcBorders>
              <w:top w:val="outset" w:sz="6" w:space="0" w:color="auto"/>
              <w:left w:val="outset" w:sz="6" w:space="0" w:color="auto"/>
              <w:bottom w:val="outset" w:sz="6" w:space="0" w:color="auto"/>
              <w:right w:val="outset" w:sz="6" w:space="0" w:color="auto"/>
            </w:tcBorders>
            <w:hideMark/>
          </w:tcPr>
          <w:p w:rsidR="005F1F3C" w:rsidRPr="000E6CA4" w:rsidRDefault="005F1F3C" w:rsidP="0014630D">
            <w:pPr>
              <w:jc w:val="both"/>
              <w:rPr>
                <w:sz w:val="26"/>
                <w:szCs w:val="26"/>
              </w:rPr>
            </w:pPr>
            <w:r w:rsidRPr="000E6CA4">
              <w:rPr>
                <w:sz w:val="26"/>
                <w:szCs w:val="26"/>
              </w:rPr>
              <w:t>Sabiedrības līdzdalības rezultāti</w:t>
            </w:r>
          </w:p>
        </w:tc>
        <w:tc>
          <w:tcPr>
            <w:tcW w:w="3774" w:type="pct"/>
            <w:tcBorders>
              <w:top w:val="outset" w:sz="6" w:space="0" w:color="auto"/>
              <w:left w:val="outset" w:sz="6" w:space="0" w:color="auto"/>
              <w:bottom w:val="outset" w:sz="6" w:space="0" w:color="auto"/>
              <w:right w:val="outset" w:sz="6" w:space="0" w:color="auto"/>
            </w:tcBorders>
            <w:hideMark/>
          </w:tcPr>
          <w:p w:rsidR="005F1F3C" w:rsidRPr="000E6CA4" w:rsidRDefault="00C33500" w:rsidP="0014630D">
            <w:pPr>
              <w:jc w:val="both"/>
              <w:rPr>
                <w:sz w:val="26"/>
                <w:szCs w:val="26"/>
              </w:rPr>
            </w:pPr>
            <w:r w:rsidRPr="000E6CA4">
              <w:rPr>
                <w:sz w:val="26"/>
                <w:szCs w:val="26"/>
              </w:rPr>
              <w:t>Noteikumu projekts šo jomu neskar</w:t>
            </w:r>
          </w:p>
        </w:tc>
      </w:tr>
      <w:tr w:rsidR="005F1F3C" w:rsidRPr="000E6CA4" w:rsidTr="003119E2">
        <w:trPr>
          <w:tblCellSpacing w:w="15" w:type="dxa"/>
        </w:trPr>
        <w:tc>
          <w:tcPr>
            <w:tcW w:w="332" w:type="pct"/>
            <w:tcBorders>
              <w:top w:val="outset" w:sz="6" w:space="0" w:color="auto"/>
              <w:left w:val="outset" w:sz="6" w:space="0" w:color="auto"/>
              <w:bottom w:val="outset" w:sz="6" w:space="0" w:color="auto"/>
              <w:right w:val="outset" w:sz="6" w:space="0" w:color="auto"/>
            </w:tcBorders>
            <w:hideMark/>
          </w:tcPr>
          <w:p w:rsidR="005F1F3C" w:rsidRPr="000E6CA4" w:rsidRDefault="005F1F3C" w:rsidP="0014630D">
            <w:pPr>
              <w:jc w:val="both"/>
              <w:rPr>
                <w:sz w:val="26"/>
                <w:szCs w:val="26"/>
              </w:rPr>
            </w:pPr>
            <w:r w:rsidRPr="000E6CA4">
              <w:rPr>
                <w:sz w:val="26"/>
                <w:szCs w:val="26"/>
              </w:rPr>
              <w:t>4.</w:t>
            </w:r>
          </w:p>
        </w:tc>
        <w:tc>
          <w:tcPr>
            <w:tcW w:w="828" w:type="pct"/>
            <w:tcBorders>
              <w:top w:val="outset" w:sz="6" w:space="0" w:color="auto"/>
              <w:left w:val="outset" w:sz="6" w:space="0" w:color="auto"/>
              <w:bottom w:val="outset" w:sz="6" w:space="0" w:color="auto"/>
              <w:right w:val="outset" w:sz="6" w:space="0" w:color="auto"/>
            </w:tcBorders>
            <w:hideMark/>
          </w:tcPr>
          <w:p w:rsidR="005F1F3C" w:rsidRPr="000E6CA4" w:rsidRDefault="005F1F3C" w:rsidP="0014630D">
            <w:pPr>
              <w:jc w:val="both"/>
              <w:rPr>
                <w:sz w:val="26"/>
                <w:szCs w:val="26"/>
              </w:rPr>
            </w:pPr>
            <w:r w:rsidRPr="000E6CA4">
              <w:rPr>
                <w:sz w:val="26"/>
                <w:szCs w:val="26"/>
              </w:rPr>
              <w:t>Saeimas un ekspertu līdzdalība</w:t>
            </w:r>
          </w:p>
        </w:tc>
        <w:tc>
          <w:tcPr>
            <w:tcW w:w="3774" w:type="pct"/>
            <w:tcBorders>
              <w:top w:val="outset" w:sz="6" w:space="0" w:color="auto"/>
              <w:left w:val="outset" w:sz="6" w:space="0" w:color="auto"/>
              <w:bottom w:val="outset" w:sz="6" w:space="0" w:color="auto"/>
              <w:right w:val="outset" w:sz="6" w:space="0" w:color="auto"/>
            </w:tcBorders>
            <w:hideMark/>
          </w:tcPr>
          <w:p w:rsidR="005F1F3C" w:rsidRPr="000E6CA4" w:rsidRDefault="00C33500" w:rsidP="0014630D">
            <w:pPr>
              <w:jc w:val="both"/>
              <w:rPr>
                <w:sz w:val="26"/>
                <w:szCs w:val="26"/>
              </w:rPr>
            </w:pPr>
            <w:r w:rsidRPr="000E6CA4">
              <w:rPr>
                <w:sz w:val="26"/>
                <w:szCs w:val="26"/>
              </w:rPr>
              <w:t>Noteikumu projekts šo jomu neskar</w:t>
            </w:r>
          </w:p>
        </w:tc>
      </w:tr>
      <w:tr w:rsidR="005F1F3C" w:rsidRPr="000E6CA4" w:rsidTr="003119E2">
        <w:trPr>
          <w:tblCellSpacing w:w="15" w:type="dxa"/>
        </w:trPr>
        <w:tc>
          <w:tcPr>
            <w:tcW w:w="332" w:type="pct"/>
            <w:tcBorders>
              <w:top w:val="outset" w:sz="6" w:space="0" w:color="auto"/>
              <w:left w:val="outset" w:sz="6" w:space="0" w:color="auto"/>
              <w:bottom w:val="outset" w:sz="6" w:space="0" w:color="auto"/>
              <w:right w:val="outset" w:sz="6" w:space="0" w:color="auto"/>
            </w:tcBorders>
            <w:hideMark/>
          </w:tcPr>
          <w:p w:rsidR="005F1F3C" w:rsidRPr="000E6CA4" w:rsidRDefault="005F1F3C" w:rsidP="0014630D">
            <w:pPr>
              <w:jc w:val="both"/>
              <w:rPr>
                <w:sz w:val="26"/>
                <w:szCs w:val="26"/>
              </w:rPr>
            </w:pPr>
            <w:r w:rsidRPr="000E6CA4">
              <w:rPr>
                <w:sz w:val="26"/>
                <w:szCs w:val="26"/>
              </w:rPr>
              <w:t>5.</w:t>
            </w:r>
          </w:p>
        </w:tc>
        <w:tc>
          <w:tcPr>
            <w:tcW w:w="828" w:type="pct"/>
            <w:tcBorders>
              <w:top w:val="outset" w:sz="6" w:space="0" w:color="auto"/>
              <w:left w:val="outset" w:sz="6" w:space="0" w:color="auto"/>
              <w:bottom w:val="outset" w:sz="6" w:space="0" w:color="auto"/>
              <w:right w:val="outset" w:sz="6" w:space="0" w:color="auto"/>
            </w:tcBorders>
            <w:hideMark/>
          </w:tcPr>
          <w:p w:rsidR="005F1F3C" w:rsidRPr="000E6CA4" w:rsidRDefault="005F1F3C" w:rsidP="0014630D">
            <w:pPr>
              <w:jc w:val="both"/>
              <w:rPr>
                <w:sz w:val="26"/>
                <w:szCs w:val="26"/>
              </w:rPr>
            </w:pPr>
            <w:r w:rsidRPr="000E6CA4">
              <w:rPr>
                <w:sz w:val="26"/>
                <w:szCs w:val="26"/>
              </w:rPr>
              <w:t>Cita informācija</w:t>
            </w:r>
          </w:p>
        </w:tc>
        <w:tc>
          <w:tcPr>
            <w:tcW w:w="3774" w:type="pct"/>
            <w:tcBorders>
              <w:top w:val="outset" w:sz="6" w:space="0" w:color="auto"/>
              <w:left w:val="outset" w:sz="6" w:space="0" w:color="auto"/>
              <w:bottom w:val="outset" w:sz="6" w:space="0" w:color="auto"/>
              <w:right w:val="outset" w:sz="6" w:space="0" w:color="auto"/>
            </w:tcBorders>
            <w:hideMark/>
          </w:tcPr>
          <w:p w:rsidR="005F1F3C" w:rsidRPr="000E6CA4" w:rsidRDefault="005F1F3C" w:rsidP="0014630D">
            <w:pPr>
              <w:jc w:val="both"/>
              <w:rPr>
                <w:sz w:val="26"/>
                <w:szCs w:val="26"/>
              </w:rPr>
            </w:pPr>
            <w:r w:rsidRPr="000E6CA4">
              <w:rPr>
                <w:sz w:val="26"/>
                <w:szCs w:val="26"/>
              </w:rPr>
              <w:t>Nav</w:t>
            </w:r>
          </w:p>
        </w:tc>
      </w:tr>
    </w:tbl>
    <w:p w:rsidR="005F1F3C" w:rsidRPr="000E6CA4" w:rsidRDefault="005F1F3C" w:rsidP="0014630D">
      <w:pPr>
        <w:rPr>
          <w:sz w:val="26"/>
          <w:szCs w:val="26"/>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426"/>
        <w:gridCol w:w="2569"/>
        <w:gridCol w:w="6136"/>
      </w:tblGrid>
      <w:tr w:rsidR="00100200" w:rsidRPr="000E6CA4" w:rsidTr="003119E2">
        <w:tc>
          <w:tcPr>
            <w:tcW w:w="5000" w:type="pct"/>
            <w:gridSpan w:val="3"/>
            <w:tcBorders>
              <w:top w:val="outset" w:sz="6" w:space="0" w:color="000000"/>
              <w:left w:val="outset" w:sz="6" w:space="0" w:color="000000"/>
              <w:bottom w:val="outset" w:sz="6" w:space="0" w:color="000000"/>
              <w:right w:val="outset" w:sz="6" w:space="0" w:color="000000"/>
            </w:tcBorders>
            <w:hideMark/>
          </w:tcPr>
          <w:p w:rsidR="00100200" w:rsidRPr="000E6CA4" w:rsidRDefault="00100200" w:rsidP="0014630D">
            <w:pPr>
              <w:jc w:val="center"/>
              <w:rPr>
                <w:b/>
                <w:bCs/>
                <w:sz w:val="26"/>
                <w:szCs w:val="26"/>
              </w:rPr>
            </w:pPr>
            <w:r w:rsidRPr="000E6CA4">
              <w:rPr>
                <w:b/>
                <w:bCs/>
                <w:sz w:val="26"/>
                <w:szCs w:val="26"/>
              </w:rPr>
              <w:t>VII. Tiesību akta projekta izpildes nodrošināšana un tās ietekme uz institūcijām</w:t>
            </w:r>
          </w:p>
        </w:tc>
      </w:tr>
      <w:tr w:rsidR="00100200" w:rsidRPr="000E6CA4" w:rsidTr="003119E2">
        <w:tc>
          <w:tcPr>
            <w:tcW w:w="233" w:type="pct"/>
            <w:tcBorders>
              <w:top w:val="outset" w:sz="6" w:space="0" w:color="000000"/>
              <w:left w:val="outset" w:sz="6" w:space="0" w:color="000000"/>
              <w:bottom w:val="outset" w:sz="6" w:space="0" w:color="000000"/>
              <w:right w:val="outset" w:sz="6" w:space="0" w:color="000000"/>
            </w:tcBorders>
            <w:hideMark/>
          </w:tcPr>
          <w:p w:rsidR="00100200" w:rsidRPr="000E6CA4" w:rsidRDefault="00100200" w:rsidP="0014630D">
            <w:pPr>
              <w:rPr>
                <w:sz w:val="26"/>
                <w:szCs w:val="26"/>
              </w:rPr>
            </w:pPr>
            <w:r w:rsidRPr="000E6CA4">
              <w:rPr>
                <w:sz w:val="26"/>
                <w:szCs w:val="26"/>
              </w:rPr>
              <w:t>1.</w:t>
            </w:r>
          </w:p>
        </w:tc>
        <w:tc>
          <w:tcPr>
            <w:tcW w:w="1407" w:type="pct"/>
            <w:tcBorders>
              <w:top w:val="outset" w:sz="6" w:space="0" w:color="000000"/>
              <w:left w:val="outset" w:sz="6" w:space="0" w:color="000000"/>
              <w:bottom w:val="outset" w:sz="6" w:space="0" w:color="000000"/>
              <w:right w:val="outset" w:sz="6" w:space="0" w:color="000000"/>
            </w:tcBorders>
            <w:hideMark/>
          </w:tcPr>
          <w:p w:rsidR="00100200" w:rsidRPr="000E6CA4" w:rsidRDefault="00100200" w:rsidP="0014630D">
            <w:pPr>
              <w:rPr>
                <w:sz w:val="26"/>
                <w:szCs w:val="26"/>
              </w:rPr>
            </w:pPr>
            <w:r w:rsidRPr="000E6CA4">
              <w:rPr>
                <w:sz w:val="26"/>
                <w:szCs w:val="26"/>
              </w:rPr>
              <w:t>Projekta izpildē iesaistītās institūcijas</w:t>
            </w:r>
          </w:p>
        </w:tc>
        <w:tc>
          <w:tcPr>
            <w:tcW w:w="3360" w:type="pct"/>
            <w:tcBorders>
              <w:top w:val="outset" w:sz="6" w:space="0" w:color="000000"/>
              <w:left w:val="outset" w:sz="6" w:space="0" w:color="000000"/>
              <w:bottom w:val="outset" w:sz="6" w:space="0" w:color="000000"/>
              <w:right w:val="outset" w:sz="6" w:space="0" w:color="000000"/>
            </w:tcBorders>
            <w:hideMark/>
          </w:tcPr>
          <w:p w:rsidR="00100200" w:rsidRPr="000E6CA4" w:rsidRDefault="00C6442A" w:rsidP="0014630D">
            <w:pPr>
              <w:jc w:val="both"/>
              <w:rPr>
                <w:sz w:val="26"/>
                <w:szCs w:val="26"/>
              </w:rPr>
            </w:pPr>
            <w:r w:rsidRPr="000E6CA4">
              <w:rPr>
                <w:sz w:val="26"/>
                <w:szCs w:val="26"/>
              </w:rPr>
              <w:t xml:space="preserve">Projekta izpildi nodrošinās Izglītības un zinātnes ministrija, Valsts izglītības attīstības aģentūra un projekta iesniedzēji – </w:t>
            </w:r>
            <w:r w:rsidR="007B0CB7" w:rsidRPr="000E6CA4">
              <w:rPr>
                <w:sz w:val="26"/>
                <w:szCs w:val="26"/>
              </w:rPr>
              <w:t xml:space="preserve">valsts </w:t>
            </w:r>
            <w:r w:rsidRPr="000E6CA4">
              <w:rPr>
                <w:sz w:val="26"/>
                <w:szCs w:val="26"/>
              </w:rPr>
              <w:t>zinātniskās institūcijas.</w:t>
            </w:r>
          </w:p>
        </w:tc>
      </w:tr>
      <w:tr w:rsidR="00100200" w:rsidRPr="000E6CA4" w:rsidTr="003119E2">
        <w:tc>
          <w:tcPr>
            <w:tcW w:w="233" w:type="pct"/>
            <w:tcBorders>
              <w:top w:val="outset" w:sz="6" w:space="0" w:color="000000"/>
              <w:left w:val="outset" w:sz="6" w:space="0" w:color="000000"/>
              <w:bottom w:val="outset" w:sz="6" w:space="0" w:color="000000"/>
              <w:right w:val="outset" w:sz="6" w:space="0" w:color="000000"/>
            </w:tcBorders>
            <w:hideMark/>
          </w:tcPr>
          <w:p w:rsidR="00100200" w:rsidRPr="000E6CA4" w:rsidRDefault="00100200" w:rsidP="0014630D">
            <w:pPr>
              <w:rPr>
                <w:sz w:val="26"/>
                <w:szCs w:val="26"/>
              </w:rPr>
            </w:pPr>
            <w:r w:rsidRPr="000E6CA4">
              <w:rPr>
                <w:sz w:val="26"/>
                <w:szCs w:val="26"/>
              </w:rPr>
              <w:t>2.</w:t>
            </w:r>
          </w:p>
        </w:tc>
        <w:tc>
          <w:tcPr>
            <w:tcW w:w="1407" w:type="pct"/>
            <w:tcBorders>
              <w:top w:val="outset" w:sz="6" w:space="0" w:color="000000"/>
              <w:left w:val="outset" w:sz="6" w:space="0" w:color="000000"/>
              <w:bottom w:val="outset" w:sz="6" w:space="0" w:color="000000"/>
              <w:right w:val="outset" w:sz="6" w:space="0" w:color="000000"/>
            </w:tcBorders>
            <w:hideMark/>
          </w:tcPr>
          <w:p w:rsidR="00100200" w:rsidRPr="000E6CA4" w:rsidRDefault="00100200" w:rsidP="0014630D">
            <w:pPr>
              <w:rPr>
                <w:sz w:val="26"/>
                <w:szCs w:val="26"/>
              </w:rPr>
            </w:pPr>
            <w:r w:rsidRPr="000E6CA4">
              <w:rPr>
                <w:sz w:val="26"/>
                <w:szCs w:val="26"/>
              </w:rPr>
              <w:t>Projekta izpildes ietekme uz pārvaldes funkcijām</w:t>
            </w:r>
          </w:p>
        </w:tc>
        <w:tc>
          <w:tcPr>
            <w:tcW w:w="3360" w:type="pct"/>
            <w:tcBorders>
              <w:top w:val="outset" w:sz="6" w:space="0" w:color="000000"/>
              <w:left w:val="outset" w:sz="6" w:space="0" w:color="000000"/>
              <w:bottom w:val="outset" w:sz="6" w:space="0" w:color="000000"/>
              <w:right w:val="outset" w:sz="6" w:space="0" w:color="000000"/>
            </w:tcBorders>
            <w:hideMark/>
          </w:tcPr>
          <w:p w:rsidR="00100200" w:rsidRPr="000E6CA4" w:rsidRDefault="009D6542" w:rsidP="0014630D">
            <w:pPr>
              <w:jc w:val="both"/>
              <w:rPr>
                <w:sz w:val="26"/>
                <w:szCs w:val="26"/>
              </w:rPr>
            </w:pPr>
            <w:r w:rsidRPr="000E6CA4">
              <w:rPr>
                <w:sz w:val="26"/>
                <w:szCs w:val="26"/>
              </w:rPr>
              <w:t>Projekta izpilde tiks nodrošināta Izglītības un zinātnes ministrijas un Valsts izglītības attīstības aģentūras funkciju ietvaros.</w:t>
            </w:r>
          </w:p>
        </w:tc>
      </w:tr>
      <w:tr w:rsidR="00100200" w:rsidRPr="000E6CA4" w:rsidTr="003119E2">
        <w:tc>
          <w:tcPr>
            <w:tcW w:w="233" w:type="pct"/>
            <w:tcBorders>
              <w:top w:val="outset" w:sz="6" w:space="0" w:color="000000"/>
              <w:left w:val="outset" w:sz="6" w:space="0" w:color="000000"/>
              <w:bottom w:val="outset" w:sz="6" w:space="0" w:color="000000"/>
              <w:right w:val="outset" w:sz="6" w:space="0" w:color="000000"/>
            </w:tcBorders>
            <w:hideMark/>
          </w:tcPr>
          <w:p w:rsidR="00100200" w:rsidRPr="000E6CA4" w:rsidRDefault="00100200" w:rsidP="0014630D">
            <w:pPr>
              <w:rPr>
                <w:sz w:val="26"/>
                <w:szCs w:val="26"/>
              </w:rPr>
            </w:pPr>
            <w:r w:rsidRPr="000E6CA4">
              <w:rPr>
                <w:sz w:val="26"/>
                <w:szCs w:val="26"/>
              </w:rPr>
              <w:t>3.</w:t>
            </w:r>
          </w:p>
        </w:tc>
        <w:tc>
          <w:tcPr>
            <w:tcW w:w="1407" w:type="pct"/>
            <w:tcBorders>
              <w:top w:val="outset" w:sz="6" w:space="0" w:color="000000"/>
              <w:left w:val="outset" w:sz="6" w:space="0" w:color="000000"/>
              <w:bottom w:val="outset" w:sz="6" w:space="0" w:color="000000"/>
              <w:right w:val="outset" w:sz="6" w:space="0" w:color="000000"/>
            </w:tcBorders>
            <w:hideMark/>
          </w:tcPr>
          <w:p w:rsidR="00100200" w:rsidRPr="000E6CA4" w:rsidRDefault="00100200" w:rsidP="0014630D">
            <w:pPr>
              <w:rPr>
                <w:sz w:val="26"/>
                <w:szCs w:val="26"/>
              </w:rPr>
            </w:pPr>
            <w:r w:rsidRPr="000E6CA4">
              <w:rPr>
                <w:sz w:val="26"/>
                <w:szCs w:val="26"/>
              </w:rPr>
              <w:t>Projekta izpildes ietekme uz pārvaldes institucionālo struktūru.</w:t>
            </w:r>
          </w:p>
          <w:p w:rsidR="00100200" w:rsidRPr="000E6CA4" w:rsidRDefault="00100200" w:rsidP="0014630D">
            <w:pPr>
              <w:rPr>
                <w:sz w:val="26"/>
                <w:szCs w:val="26"/>
              </w:rPr>
            </w:pPr>
            <w:r w:rsidRPr="000E6CA4">
              <w:rPr>
                <w:sz w:val="26"/>
                <w:szCs w:val="26"/>
              </w:rPr>
              <w:t>Jaunu institūciju izveide</w:t>
            </w:r>
          </w:p>
        </w:tc>
        <w:tc>
          <w:tcPr>
            <w:tcW w:w="3360" w:type="pct"/>
            <w:tcBorders>
              <w:top w:val="outset" w:sz="6" w:space="0" w:color="000000"/>
              <w:left w:val="outset" w:sz="6" w:space="0" w:color="000000"/>
              <w:bottom w:val="outset" w:sz="6" w:space="0" w:color="000000"/>
              <w:right w:val="outset" w:sz="6" w:space="0" w:color="000000"/>
            </w:tcBorders>
            <w:hideMark/>
          </w:tcPr>
          <w:p w:rsidR="00100200" w:rsidRPr="000E6CA4" w:rsidRDefault="009D6542" w:rsidP="0014630D">
            <w:pPr>
              <w:jc w:val="both"/>
              <w:rPr>
                <w:sz w:val="26"/>
                <w:szCs w:val="26"/>
              </w:rPr>
            </w:pPr>
            <w:r w:rsidRPr="000E6CA4">
              <w:rPr>
                <w:sz w:val="26"/>
                <w:szCs w:val="26"/>
              </w:rPr>
              <w:t>Netiks radītas jaunas institūcijas, funkcijas tiks izpildītas Izglītības un zinātnes ministrijas un Valsts izglītības attīstības aģentūras funkciju ietvaros.</w:t>
            </w:r>
          </w:p>
        </w:tc>
      </w:tr>
      <w:tr w:rsidR="00100200" w:rsidRPr="000E6CA4" w:rsidTr="003119E2">
        <w:tc>
          <w:tcPr>
            <w:tcW w:w="233" w:type="pct"/>
            <w:tcBorders>
              <w:top w:val="outset" w:sz="6" w:space="0" w:color="000000"/>
              <w:left w:val="outset" w:sz="6" w:space="0" w:color="000000"/>
              <w:bottom w:val="outset" w:sz="6" w:space="0" w:color="000000"/>
              <w:right w:val="outset" w:sz="6" w:space="0" w:color="000000"/>
            </w:tcBorders>
            <w:hideMark/>
          </w:tcPr>
          <w:p w:rsidR="00100200" w:rsidRPr="000E6CA4" w:rsidRDefault="00100200" w:rsidP="0014630D">
            <w:pPr>
              <w:rPr>
                <w:sz w:val="26"/>
                <w:szCs w:val="26"/>
              </w:rPr>
            </w:pPr>
            <w:r w:rsidRPr="000E6CA4">
              <w:rPr>
                <w:sz w:val="26"/>
                <w:szCs w:val="26"/>
              </w:rPr>
              <w:t>4.</w:t>
            </w:r>
          </w:p>
        </w:tc>
        <w:tc>
          <w:tcPr>
            <w:tcW w:w="1407" w:type="pct"/>
            <w:tcBorders>
              <w:top w:val="outset" w:sz="6" w:space="0" w:color="000000"/>
              <w:left w:val="outset" w:sz="6" w:space="0" w:color="000000"/>
              <w:bottom w:val="outset" w:sz="6" w:space="0" w:color="000000"/>
              <w:right w:val="outset" w:sz="6" w:space="0" w:color="000000"/>
            </w:tcBorders>
            <w:hideMark/>
          </w:tcPr>
          <w:p w:rsidR="00100200" w:rsidRPr="000E6CA4" w:rsidRDefault="00100200" w:rsidP="0014630D">
            <w:pPr>
              <w:rPr>
                <w:sz w:val="26"/>
                <w:szCs w:val="26"/>
              </w:rPr>
            </w:pPr>
            <w:r w:rsidRPr="000E6CA4">
              <w:rPr>
                <w:sz w:val="26"/>
                <w:szCs w:val="26"/>
              </w:rPr>
              <w:t>Projekta izpildes ietekme uz pārvaldes institucionālo struktūru.</w:t>
            </w:r>
          </w:p>
          <w:p w:rsidR="00100200" w:rsidRPr="000E6CA4" w:rsidRDefault="00100200" w:rsidP="0014630D">
            <w:pPr>
              <w:rPr>
                <w:sz w:val="26"/>
                <w:szCs w:val="26"/>
              </w:rPr>
            </w:pPr>
            <w:r w:rsidRPr="000E6CA4">
              <w:rPr>
                <w:sz w:val="26"/>
                <w:szCs w:val="26"/>
              </w:rPr>
              <w:t>Esošu institūciju likvidācija</w:t>
            </w:r>
          </w:p>
        </w:tc>
        <w:tc>
          <w:tcPr>
            <w:tcW w:w="3360" w:type="pct"/>
            <w:tcBorders>
              <w:top w:val="outset" w:sz="6" w:space="0" w:color="000000"/>
              <w:left w:val="outset" w:sz="6" w:space="0" w:color="000000"/>
              <w:bottom w:val="outset" w:sz="6" w:space="0" w:color="000000"/>
              <w:right w:val="outset" w:sz="6" w:space="0" w:color="000000"/>
            </w:tcBorders>
            <w:hideMark/>
          </w:tcPr>
          <w:p w:rsidR="00100200" w:rsidRPr="000E6CA4" w:rsidRDefault="009913D7" w:rsidP="0014630D">
            <w:pPr>
              <w:rPr>
                <w:sz w:val="26"/>
                <w:szCs w:val="26"/>
              </w:rPr>
            </w:pPr>
            <w:r w:rsidRPr="000E6CA4">
              <w:rPr>
                <w:sz w:val="26"/>
                <w:szCs w:val="26"/>
              </w:rPr>
              <w:t>Noteikumu projekts šo jomu neskar</w:t>
            </w:r>
          </w:p>
        </w:tc>
      </w:tr>
      <w:tr w:rsidR="00100200" w:rsidRPr="000E6CA4" w:rsidTr="003119E2">
        <w:tc>
          <w:tcPr>
            <w:tcW w:w="233" w:type="pct"/>
            <w:tcBorders>
              <w:top w:val="outset" w:sz="6" w:space="0" w:color="000000"/>
              <w:left w:val="outset" w:sz="6" w:space="0" w:color="000000"/>
              <w:bottom w:val="outset" w:sz="6" w:space="0" w:color="000000"/>
              <w:right w:val="outset" w:sz="6" w:space="0" w:color="000000"/>
            </w:tcBorders>
            <w:hideMark/>
          </w:tcPr>
          <w:p w:rsidR="00100200" w:rsidRPr="000E6CA4" w:rsidRDefault="00100200" w:rsidP="0014630D">
            <w:pPr>
              <w:rPr>
                <w:sz w:val="26"/>
                <w:szCs w:val="26"/>
              </w:rPr>
            </w:pPr>
            <w:r w:rsidRPr="000E6CA4">
              <w:rPr>
                <w:sz w:val="26"/>
                <w:szCs w:val="26"/>
              </w:rPr>
              <w:t>5.</w:t>
            </w:r>
          </w:p>
        </w:tc>
        <w:tc>
          <w:tcPr>
            <w:tcW w:w="1407" w:type="pct"/>
            <w:tcBorders>
              <w:top w:val="outset" w:sz="6" w:space="0" w:color="000000"/>
              <w:left w:val="outset" w:sz="6" w:space="0" w:color="000000"/>
              <w:bottom w:val="outset" w:sz="6" w:space="0" w:color="000000"/>
              <w:right w:val="outset" w:sz="6" w:space="0" w:color="000000"/>
            </w:tcBorders>
            <w:hideMark/>
          </w:tcPr>
          <w:p w:rsidR="00100200" w:rsidRPr="000E6CA4" w:rsidRDefault="00100200" w:rsidP="0014630D">
            <w:pPr>
              <w:rPr>
                <w:sz w:val="26"/>
                <w:szCs w:val="26"/>
              </w:rPr>
            </w:pPr>
            <w:r w:rsidRPr="000E6CA4">
              <w:rPr>
                <w:sz w:val="26"/>
                <w:szCs w:val="26"/>
              </w:rPr>
              <w:t>Projekta izpildes ietekme uz pārvaldes institucionālo struktūru.</w:t>
            </w:r>
            <w:r w:rsidR="00566FFB" w:rsidRPr="000E6CA4">
              <w:rPr>
                <w:sz w:val="26"/>
                <w:szCs w:val="26"/>
              </w:rPr>
              <w:t xml:space="preserve"> </w:t>
            </w:r>
            <w:r w:rsidRPr="000E6CA4">
              <w:rPr>
                <w:sz w:val="26"/>
                <w:szCs w:val="26"/>
              </w:rPr>
              <w:t xml:space="preserve">Esošu institūciju </w:t>
            </w:r>
            <w:r w:rsidRPr="000E6CA4">
              <w:rPr>
                <w:sz w:val="26"/>
                <w:szCs w:val="26"/>
              </w:rPr>
              <w:lastRenderedPageBreak/>
              <w:t>reorganizācija</w:t>
            </w:r>
          </w:p>
        </w:tc>
        <w:tc>
          <w:tcPr>
            <w:tcW w:w="3360" w:type="pct"/>
            <w:tcBorders>
              <w:top w:val="outset" w:sz="6" w:space="0" w:color="000000"/>
              <w:left w:val="outset" w:sz="6" w:space="0" w:color="000000"/>
              <w:bottom w:val="outset" w:sz="6" w:space="0" w:color="000000"/>
              <w:right w:val="outset" w:sz="6" w:space="0" w:color="000000"/>
            </w:tcBorders>
            <w:hideMark/>
          </w:tcPr>
          <w:p w:rsidR="00100200" w:rsidRPr="000E6CA4" w:rsidRDefault="009913D7" w:rsidP="0014630D">
            <w:pPr>
              <w:rPr>
                <w:sz w:val="26"/>
                <w:szCs w:val="26"/>
              </w:rPr>
            </w:pPr>
            <w:r w:rsidRPr="000E6CA4">
              <w:rPr>
                <w:sz w:val="26"/>
                <w:szCs w:val="26"/>
              </w:rPr>
              <w:lastRenderedPageBreak/>
              <w:t>Noteikumu projekts šo jomu neskar</w:t>
            </w:r>
          </w:p>
        </w:tc>
      </w:tr>
      <w:tr w:rsidR="00100200" w:rsidRPr="000E6CA4" w:rsidTr="003119E2">
        <w:tc>
          <w:tcPr>
            <w:tcW w:w="233" w:type="pct"/>
            <w:tcBorders>
              <w:top w:val="outset" w:sz="6" w:space="0" w:color="000000"/>
              <w:left w:val="outset" w:sz="6" w:space="0" w:color="000000"/>
              <w:bottom w:val="outset" w:sz="6" w:space="0" w:color="000000"/>
              <w:right w:val="outset" w:sz="6" w:space="0" w:color="000000"/>
            </w:tcBorders>
            <w:hideMark/>
          </w:tcPr>
          <w:p w:rsidR="00100200" w:rsidRPr="000E6CA4" w:rsidRDefault="00100200" w:rsidP="0014630D">
            <w:pPr>
              <w:rPr>
                <w:sz w:val="26"/>
                <w:szCs w:val="26"/>
              </w:rPr>
            </w:pPr>
            <w:r w:rsidRPr="000E6CA4">
              <w:rPr>
                <w:sz w:val="26"/>
                <w:szCs w:val="26"/>
              </w:rPr>
              <w:lastRenderedPageBreak/>
              <w:t>6.</w:t>
            </w:r>
          </w:p>
        </w:tc>
        <w:tc>
          <w:tcPr>
            <w:tcW w:w="1407" w:type="pct"/>
            <w:tcBorders>
              <w:top w:val="outset" w:sz="6" w:space="0" w:color="000000"/>
              <w:left w:val="outset" w:sz="6" w:space="0" w:color="000000"/>
              <w:bottom w:val="outset" w:sz="6" w:space="0" w:color="000000"/>
              <w:right w:val="outset" w:sz="6" w:space="0" w:color="000000"/>
            </w:tcBorders>
            <w:hideMark/>
          </w:tcPr>
          <w:p w:rsidR="00100200" w:rsidRPr="000E6CA4" w:rsidRDefault="00100200" w:rsidP="0014630D">
            <w:pPr>
              <w:rPr>
                <w:sz w:val="26"/>
                <w:szCs w:val="26"/>
              </w:rPr>
            </w:pPr>
            <w:r w:rsidRPr="000E6CA4">
              <w:rPr>
                <w:sz w:val="26"/>
                <w:szCs w:val="26"/>
              </w:rPr>
              <w:t>Cita informācija</w:t>
            </w:r>
          </w:p>
        </w:tc>
        <w:tc>
          <w:tcPr>
            <w:tcW w:w="3360" w:type="pct"/>
            <w:tcBorders>
              <w:top w:val="outset" w:sz="6" w:space="0" w:color="000000"/>
              <w:left w:val="outset" w:sz="6" w:space="0" w:color="000000"/>
              <w:bottom w:val="outset" w:sz="6" w:space="0" w:color="000000"/>
              <w:right w:val="outset" w:sz="6" w:space="0" w:color="000000"/>
            </w:tcBorders>
            <w:hideMark/>
          </w:tcPr>
          <w:p w:rsidR="00100200" w:rsidRPr="000E6CA4" w:rsidRDefault="00100200" w:rsidP="0014630D">
            <w:pPr>
              <w:rPr>
                <w:sz w:val="26"/>
                <w:szCs w:val="26"/>
              </w:rPr>
            </w:pPr>
            <w:r w:rsidRPr="000E6CA4">
              <w:rPr>
                <w:sz w:val="26"/>
                <w:szCs w:val="26"/>
              </w:rPr>
              <w:t>Nav</w:t>
            </w:r>
          </w:p>
        </w:tc>
      </w:tr>
    </w:tbl>
    <w:p w:rsidR="007A6DB9" w:rsidRPr="000E6CA4" w:rsidRDefault="007A6DB9" w:rsidP="0014630D">
      <w:pPr>
        <w:jc w:val="both"/>
        <w:rPr>
          <w:sz w:val="26"/>
          <w:szCs w:val="26"/>
        </w:rPr>
      </w:pPr>
    </w:p>
    <w:p w:rsidR="00C34957" w:rsidRPr="000E6CA4" w:rsidRDefault="00C34957" w:rsidP="0014630D">
      <w:pPr>
        <w:jc w:val="both"/>
        <w:rPr>
          <w:sz w:val="26"/>
          <w:szCs w:val="26"/>
        </w:rPr>
      </w:pPr>
    </w:p>
    <w:p w:rsidR="003A37CB" w:rsidRPr="00E02AB2" w:rsidRDefault="00E02AB2" w:rsidP="00E02AB2">
      <w:pPr>
        <w:ind w:firstLine="709"/>
        <w:jc w:val="both"/>
        <w:rPr>
          <w:sz w:val="26"/>
          <w:szCs w:val="26"/>
        </w:rPr>
      </w:pPr>
      <w:r w:rsidRPr="00E02AB2">
        <w:rPr>
          <w:sz w:val="26"/>
          <w:szCs w:val="26"/>
        </w:rPr>
        <w:t>Izglītības un zinātnes ministrs</w:t>
      </w:r>
      <w:r w:rsidRPr="00E02AB2">
        <w:rPr>
          <w:sz w:val="26"/>
          <w:szCs w:val="26"/>
        </w:rPr>
        <w:tab/>
      </w:r>
      <w:r w:rsidRPr="00E02AB2">
        <w:rPr>
          <w:sz w:val="26"/>
          <w:szCs w:val="26"/>
        </w:rPr>
        <w:tab/>
        <w:t xml:space="preserve">         </w:t>
      </w:r>
      <w:r>
        <w:rPr>
          <w:sz w:val="26"/>
          <w:szCs w:val="26"/>
        </w:rPr>
        <w:t xml:space="preserve">                                </w:t>
      </w:r>
      <w:r w:rsidRPr="00E02AB2">
        <w:rPr>
          <w:sz w:val="26"/>
          <w:szCs w:val="26"/>
        </w:rPr>
        <w:t xml:space="preserve">     R.Ķīlis</w:t>
      </w:r>
    </w:p>
    <w:p w:rsidR="00A94662" w:rsidRDefault="00A94662" w:rsidP="0014630D">
      <w:pPr>
        <w:jc w:val="both"/>
        <w:rPr>
          <w:sz w:val="26"/>
          <w:szCs w:val="26"/>
        </w:rPr>
      </w:pPr>
    </w:p>
    <w:p w:rsidR="00E02AB2" w:rsidRPr="000E6CA4" w:rsidRDefault="00E02AB2" w:rsidP="0014630D">
      <w:pPr>
        <w:jc w:val="both"/>
        <w:rPr>
          <w:sz w:val="26"/>
          <w:szCs w:val="26"/>
        </w:rPr>
      </w:pPr>
    </w:p>
    <w:p w:rsidR="003C3987" w:rsidRPr="000E6CA4" w:rsidRDefault="00C17D80" w:rsidP="0014630D">
      <w:pPr>
        <w:jc w:val="both"/>
        <w:rPr>
          <w:sz w:val="26"/>
          <w:szCs w:val="26"/>
        </w:rPr>
      </w:pPr>
      <w:r w:rsidRPr="000E6CA4">
        <w:rPr>
          <w:sz w:val="26"/>
          <w:szCs w:val="26"/>
        </w:rPr>
        <w:tab/>
      </w:r>
      <w:r w:rsidR="003F5248" w:rsidRPr="000E6CA4">
        <w:rPr>
          <w:sz w:val="26"/>
          <w:szCs w:val="26"/>
        </w:rPr>
        <w:t>V</w:t>
      </w:r>
      <w:r w:rsidR="00F90F86" w:rsidRPr="000E6CA4">
        <w:rPr>
          <w:sz w:val="26"/>
          <w:szCs w:val="26"/>
        </w:rPr>
        <w:t>ī</w:t>
      </w:r>
      <w:r w:rsidR="00A94662" w:rsidRPr="000E6CA4">
        <w:rPr>
          <w:sz w:val="26"/>
          <w:szCs w:val="26"/>
        </w:rPr>
        <w:t>za</w:t>
      </w:r>
      <w:r w:rsidR="00891617" w:rsidRPr="000E6CA4">
        <w:rPr>
          <w:sz w:val="26"/>
          <w:szCs w:val="26"/>
        </w:rPr>
        <w:t xml:space="preserve">: </w:t>
      </w:r>
      <w:r w:rsidR="003C3987" w:rsidRPr="000E6CA4">
        <w:rPr>
          <w:sz w:val="26"/>
          <w:szCs w:val="26"/>
        </w:rPr>
        <w:t>Valsts sekretāra vietniece –</w:t>
      </w:r>
    </w:p>
    <w:p w:rsidR="003C3987" w:rsidRPr="000E6CA4" w:rsidRDefault="00C17D80" w:rsidP="0014630D">
      <w:pPr>
        <w:jc w:val="both"/>
        <w:rPr>
          <w:sz w:val="26"/>
          <w:szCs w:val="26"/>
        </w:rPr>
      </w:pPr>
      <w:r w:rsidRPr="000E6CA4">
        <w:rPr>
          <w:sz w:val="26"/>
          <w:szCs w:val="26"/>
        </w:rPr>
        <w:tab/>
      </w:r>
      <w:r w:rsidR="003C3987" w:rsidRPr="000E6CA4">
        <w:rPr>
          <w:sz w:val="26"/>
          <w:szCs w:val="26"/>
        </w:rPr>
        <w:t>Struktūrfondu un starptautisko</w:t>
      </w:r>
    </w:p>
    <w:p w:rsidR="003C3987" w:rsidRPr="000E6CA4" w:rsidRDefault="00C17D80" w:rsidP="0014630D">
      <w:pPr>
        <w:jc w:val="both"/>
        <w:rPr>
          <w:sz w:val="26"/>
          <w:szCs w:val="26"/>
        </w:rPr>
      </w:pPr>
      <w:r w:rsidRPr="000E6CA4">
        <w:rPr>
          <w:sz w:val="26"/>
          <w:szCs w:val="26"/>
        </w:rPr>
        <w:tab/>
      </w:r>
      <w:r w:rsidR="003C3987" w:rsidRPr="000E6CA4">
        <w:rPr>
          <w:sz w:val="26"/>
          <w:szCs w:val="26"/>
        </w:rPr>
        <w:t>finanšu instrumentu departamenta direktore,</w:t>
      </w:r>
    </w:p>
    <w:p w:rsidR="003C3987" w:rsidRPr="000E6CA4" w:rsidRDefault="00C17D80" w:rsidP="0014630D">
      <w:pPr>
        <w:jc w:val="both"/>
        <w:rPr>
          <w:bCs/>
          <w:sz w:val="26"/>
          <w:szCs w:val="26"/>
        </w:rPr>
      </w:pPr>
      <w:r w:rsidRPr="000E6CA4">
        <w:rPr>
          <w:sz w:val="26"/>
          <w:szCs w:val="26"/>
        </w:rPr>
        <w:tab/>
      </w:r>
      <w:r w:rsidR="003C3987" w:rsidRPr="000E6CA4">
        <w:rPr>
          <w:sz w:val="26"/>
          <w:szCs w:val="26"/>
        </w:rPr>
        <w:t>valsts sekretāra pienākumu izpildītāja</w:t>
      </w:r>
      <w:r w:rsidR="003C3987" w:rsidRPr="000E6CA4">
        <w:rPr>
          <w:sz w:val="26"/>
          <w:szCs w:val="26"/>
        </w:rPr>
        <w:tab/>
      </w:r>
      <w:r w:rsidR="003C3987" w:rsidRPr="000E6CA4">
        <w:rPr>
          <w:sz w:val="26"/>
          <w:szCs w:val="26"/>
        </w:rPr>
        <w:tab/>
      </w:r>
      <w:r w:rsidRPr="000E6CA4">
        <w:rPr>
          <w:sz w:val="26"/>
          <w:szCs w:val="26"/>
        </w:rPr>
        <w:tab/>
      </w:r>
      <w:r w:rsidR="003C3987" w:rsidRPr="000E6CA4">
        <w:rPr>
          <w:sz w:val="26"/>
          <w:szCs w:val="26"/>
        </w:rPr>
        <w:tab/>
      </w:r>
      <w:r w:rsidRPr="000E6CA4">
        <w:rPr>
          <w:sz w:val="26"/>
          <w:szCs w:val="26"/>
        </w:rPr>
        <w:t xml:space="preserve">       </w:t>
      </w:r>
      <w:r w:rsidR="003C3987" w:rsidRPr="000E6CA4">
        <w:rPr>
          <w:sz w:val="26"/>
          <w:szCs w:val="26"/>
        </w:rPr>
        <w:t xml:space="preserve"> </w:t>
      </w:r>
      <w:r w:rsidR="00B02F79" w:rsidRPr="000E6CA4">
        <w:rPr>
          <w:sz w:val="26"/>
          <w:szCs w:val="26"/>
        </w:rPr>
        <w:t xml:space="preserve">     </w:t>
      </w:r>
      <w:r w:rsidR="003C3987" w:rsidRPr="000E6CA4">
        <w:rPr>
          <w:sz w:val="26"/>
          <w:szCs w:val="26"/>
        </w:rPr>
        <w:t>L.Sīka</w:t>
      </w:r>
    </w:p>
    <w:p w:rsidR="00B02F79" w:rsidRDefault="001A685A" w:rsidP="0014630D">
      <w:pPr>
        <w:autoSpaceDE w:val="0"/>
        <w:autoSpaceDN w:val="0"/>
        <w:adjustRightInd w:val="0"/>
        <w:rPr>
          <w:sz w:val="27"/>
          <w:szCs w:val="27"/>
        </w:rPr>
      </w:pPr>
      <w:r w:rsidRPr="00B70C17">
        <w:rPr>
          <w:sz w:val="27"/>
          <w:szCs w:val="27"/>
        </w:rPr>
        <w:tab/>
      </w:r>
    </w:p>
    <w:p w:rsidR="00B02F79" w:rsidRDefault="00B02F79" w:rsidP="0014630D">
      <w:pPr>
        <w:autoSpaceDE w:val="0"/>
        <w:autoSpaceDN w:val="0"/>
        <w:adjustRightInd w:val="0"/>
        <w:rPr>
          <w:sz w:val="27"/>
          <w:szCs w:val="27"/>
        </w:rPr>
      </w:pPr>
    </w:p>
    <w:p w:rsidR="00B02F79" w:rsidRDefault="00B02F79" w:rsidP="0014630D">
      <w:pPr>
        <w:autoSpaceDE w:val="0"/>
        <w:autoSpaceDN w:val="0"/>
        <w:adjustRightInd w:val="0"/>
        <w:rPr>
          <w:sz w:val="27"/>
          <w:szCs w:val="27"/>
        </w:rPr>
      </w:pPr>
    </w:p>
    <w:p w:rsidR="00B02F79" w:rsidRDefault="00B02F79" w:rsidP="0014630D">
      <w:pPr>
        <w:autoSpaceDE w:val="0"/>
        <w:autoSpaceDN w:val="0"/>
        <w:adjustRightInd w:val="0"/>
        <w:rPr>
          <w:sz w:val="27"/>
          <w:szCs w:val="27"/>
        </w:rPr>
      </w:pPr>
    </w:p>
    <w:p w:rsidR="00B02F79" w:rsidRDefault="00B02F79" w:rsidP="0014630D">
      <w:pPr>
        <w:autoSpaceDE w:val="0"/>
        <w:autoSpaceDN w:val="0"/>
        <w:adjustRightInd w:val="0"/>
        <w:rPr>
          <w:sz w:val="27"/>
          <w:szCs w:val="27"/>
        </w:rPr>
      </w:pPr>
    </w:p>
    <w:p w:rsidR="00E057B2" w:rsidRPr="00B70C17" w:rsidRDefault="001A685A" w:rsidP="0014630D">
      <w:pPr>
        <w:autoSpaceDE w:val="0"/>
        <w:autoSpaceDN w:val="0"/>
        <w:adjustRightInd w:val="0"/>
        <w:rPr>
          <w:sz w:val="27"/>
          <w:szCs w:val="27"/>
        </w:rPr>
      </w:pPr>
      <w:r w:rsidRPr="00B70C17">
        <w:rPr>
          <w:sz w:val="27"/>
          <w:szCs w:val="27"/>
        </w:rPr>
        <w:tab/>
      </w:r>
      <w:r w:rsidRPr="00B70C17">
        <w:rPr>
          <w:sz w:val="27"/>
          <w:szCs w:val="27"/>
        </w:rPr>
        <w:tab/>
      </w:r>
      <w:r w:rsidRPr="00B70C17">
        <w:rPr>
          <w:sz w:val="27"/>
          <w:szCs w:val="27"/>
        </w:rPr>
        <w:tab/>
      </w:r>
      <w:r w:rsidRPr="00B70C17">
        <w:rPr>
          <w:sz w:val="27"/>
          <w:szCs w:val="27"/>
        </w:rPr>
        <w:tab/>
      </w:r>
      <w:r w:rsidRPr="00B70C17">
        <w:rPr>
          <w:sz w:val="27"/>
          <w:szCs w:val="27"/>
        </w:rPr>
        <w:tab/>
      </w:r>
    </w:p>
    <w:p w:rsidR="007E6369" w:rsidRDefault="00FE2C42" w:rsidP="00DD1EE8">
      <w:pPr>
        <w:rPr>
          <w:sz w:val="20"/>
          <w:szCs w:val="20"/>
        </w:rPr>
      </w:pPr>
      <w:r>
        <w:rPr>
          <w:sz w:val="20"/>
          <w:szCs w:val="20"/>
        </w:rPr>
        <w:fldChar w:fldCharType="begin"/>
      </w:r>
      <w:r w:rsidR="007E6369">
        <w:rPr>
          <w:sz w:val="20"/>
          <w:szCs w:val="20"/>
        </w:rPr>
        <w:instrText xml:space="preserve"> DATE  \@ "dd.MM.yyyy H:mm"  \* MERGEFORMAT </w:instrText>
      </w:r>
      <w:r>
        <w:rPr>
          <w:sz w:val="20"/>
          <w:szCs w:val="20"/>
        </w:rPr>
        <w:fldChar w:fldCharType="separate"/>
      </w:r>
      <w:r w:rsidR="00E02AB2">
        <w:rPr>
          <w:noProof/>
          <w:sz w:val="20"/>
          <w:szCs w:val="20"/>
        </w:rPr>
        <w:t>05.10.2012 12:00</w:t>
      </w:r>
      <w:r>
        <w:rPr>
          <w:sz w:val="20"/>
          <w:szCs w:val="20"/>
        </w:rPr>
        <w:fldChar w:fldCharType="end"/>
      </w:r>
    </w:p>
    <w:p w:rsidR="00DD1EE8" w:rsidRPr="00B02F79" w:rsidRDefault="00FE2C42" w:rsidP="00DD1EE8">
      <w:pPr>
        <w:rPr>
          <w:sz w:val="20"/>
          <w:szCs w:val="20"/>
        </w:rPr>
      </w:pPr>
      <w:fldSimple w:instr=" NUMWORDS   \* MERGEFORMAT ">
        <w:r w:rsidR="00CD24D4" w:rsidRPr="00CD24D4">
          <w:rPr>
            <w:noProof/>
            <w:sz w:val="20"/>
            <w:szCs w:val="20"/>
          </w:rPr>
          <w:t>2434</w:t>
        </w:r>
      </w:fldSimple>
    </w:p>
    <w:p w:rsidR="00065C1D" w:rsidRPr="00B02F79" w:rsidRDefault="00C668AA" w:rsidP="0014630D">
      <w:pPr>
        <w:rPr>
          <w:sz w:val="20"/>
          <w:szCs w:val="20"/>
        </w:rPr>
      </w:pPr>
      <w:proofErr w:type="spellStart"/>
      <w:r w:rsidRPr="00B02F79">
        <w:rPr>
          <w:sz w:val="20"/>
          <w:szCs w:val="20"/>
        </w:rPr>
        <w:t>I</w:t>
      </w:r>
      <w:r w:rsidR="00065C1D" w:rsidRPr="00B02F79">
        <w:rPr>
          <w:sz w:val="20"/>
          <w:szCs w:val="20"/>
        </w:rPr>
        <w:t>.Š</w:t>
      </w:r>
      <w:r w:rsidRPr="00B02F79">
        <w:rPr>
          <w:sz w:val="20"/>
          <w:szCs w:val="20"/>
        </w:rPr>
        <w:t>virksta</w:t>
      </w:r>
      <w:proofErr w:type="spellEnd"/>
      <w:r w:rsidR="00065C1D" w:rsidRPr="00B02F79">
        <w:rPr>
          <w:sz w:val="20"/>
          <w:szCs w:val="20"/>
        </w:rPr>
        <w:t xml:space="preserve">, </w:t>
      </w:r>
    </w:p>
    <w:p w:rsidR="00065C1D" w:rsidRPr="00B02F79" w:rsidRDefault="00065C1D" w:rsidP="0014630D">
      <w:pPr>
        <w:rPr>
          <w:sz w:val="20"/>
          <w:szCs w:val="20"/>
        </w:rPr>
      </w:pPr>
      <w:r w:rsidRPr="00B02F79">
        <w:rPr>
          <w:sz w:val="20"/>
          <w:szCs w:val="20"/>
        </w:rPr>
        <w:t>67047</w:t>
      </w:r>
      <w:r w:rsidR="00C668AA" w:rsidRPr="00B02F79">
        <w:rPr>
          <w:sz w:val="20"/>
          <w:szCs w:val="20"/>
        </w:rPr>
        <w:t>882</w:t>
      </w:r>
      <w:r w:rsidRPr="00B02F79">
        <w:rPr>
          <w:sz w:val="20"/>
          <w:szCs w:val="20"/>
        </w:rPr>
        <w:t xml:space="preserve">, </w:t>
      </w:r>
      <w:r w:rsidR="00C668AA" w:rsidRPr="00B02F79">
        <w:rPr>
          <w:sz w:val="20"/>
          <w:szCs w:val="20"/>
        </w:rPr>
        <w:t>inta.svirksta@izm.gov.lv</w:t>
      </w:r>
    </w:p>
    <w:p w:rsidR="00E96317" w:rsidRPr="00B70C17" w:rsidRDefault="00E96317" w:rsidP="0014630D">
      <w:pPr>
        <w:tabs>
          <w:tab w:val="left" w:pos="720"/>
          <w:tab w:val="center" w:pos="4535"/>
        </w:tabs>
        <w:jc w:val="both"/>
        <w:rPr>
          <w:sz w:val="27"/>
          <w:szCs w:val="27"/>
        </w:rPr>
      </w:pPr>
    </w:p>
    <w:sectPr w:rsidR="00E96317" w:rsidRPr="00B70C17" w:rsidSect="003D5644">
      <w:headerReference w:type="default" r:id="rId12"/>
      <w:footerReference w:type="default" r:id="rId13"/>
      <w:footerReference w:type="first" r:id="rId14"/>
      <w:pgSz w:w="11906" w:h="16838"/>
      <w:pgMar w:top="1134" w:right="1134" w:bottom="1134" w:left="1701" w:header="709" w:footer="38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AB2" w:rsidRDefault="00E02AB2">
      <w:r>
        <w:separator/>
      </w:r>
    </w:p>
  </w:endnote>
  <w:endnote w:type="continuationSeparator" w:id="0">
    <w:p w:rsidR="00E02AB2" w:rsidRDefault="00E02A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BA"/>
    <w:family w:val="swiss"/>
    <w:pitch w:val="variable"/>
    <w:sig w:usb0="E10002FF" w:usb1="4000ACFF" w:usb2="00000009"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宋体">
    <w:charset w:val="50"/>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AB2" w:rsidRPr="003C3987" w:rsidRDefault="00E02AB2" w:rsidP="003C3987">
    <w:pPr>
      <w:jc w:val="both"/>
      <w:rPr>
        <w:sz w:val="20"/>
        <w:szCs w:val="20"/>
      </w:rPr>
    </w:pPr>
    <w:fldSimple w:instr=" FILENAME   \* MERGEFORMAT ">
      <w:r w:rsidRPr="00A76169">
        <w:rPr>
          <w:noProof/>
          <w:sz w:val="20"/>
          <w:szCs w:val="20"/>
        </w:rPr>
        <w:t>IZMAnot_051012_1112</w:t>
      </w:r>
    </w:fldSimple>
    <w:r w:rsidRPr="003C3987">
      <w:rPr>
        <w:sz w:val="20"/>
        <w:szCs w:val="20"/>
      </w:rPr>
      <w:t>; Ministr</w:t>
    </w:r>
    <w:r>
      <w:rPr>
        <w:sz w:val="20"/>
        <w:szCs w:val="20"/>
      </w:rPr>
      <w:t>u kabineta noteikumu projekta „</w:t>
    </w:r>
    <w:r w:rsidRPr="003C3987">
      <w:rPr>
        <w:sz w:val="20"/>
        <w:szCs w:val="20"/>
      </w:rPr>
      <w:t>Noteikumi par darbības programmas „Cilvēkresursi un nodarbinātība” papildinājuma 1.1.1.2.aktivitātes „Cilvēkresursu piesaiste zinātnei” otro projektu iesniegumu atlases kārtu</w:t>
    </w:r>
    <w:r>
      <w:rPr>
        <w:bCs/>
        <w:sz w:val="20"/>
        <w:szCs w:val="20"/>
      </w:rPr>
      <w:t>”</w:t>
    </w:r>
    <w:r w:rsidRPr="003C3987">
      <w:rPr>
        <w:bCs/>
        <w:sz w:val="20"/>
        <w:szCs w:val="20"/>
      </w:rPr>
      <w:t xml:space="preserve"> </w:t>
    </w:r>
    <w:r w:rsidRPr="003C3987">
      <w:rPr>
        <w:sz w:val="20"/>
        <w:szCs w:val="20"/>
      </w:rPr>
      <w:t>sākotnējās ietekmes novērtējuma ziņojums (</w:t>
    </w:r>
    <w:r w:rsidRPr="003C3987">
      <w:rPr>
        <w:bCs/>
        <w:sz w:val="20"/>
        <w:szCs w:val="20"/>
      </w:rPr>
      <w:t>anotācija)</w:t>
    </w:r>
  </w:p>
  <w:p w:rsidR="00E02AB2" w:rsidRPr="003C3987" w:rsidRDefault="00E02AB2" w:rsidP="003C3987">
    <w:pPr>
      <w:pStyle w:val="Footer"/>
      <w:rPr>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AB2" w:rsidRPr="003C3987" w:rsidRDefault="00E02AB2" w:rsidP="006A013A">
    <w:pPr>
      <w:jc w:val="both"/>
      <w:rPr>
        <w:sz w:val="20"/>
        <w:szCs w:val="20"/>
      </w:rPr>
    </w:pPr>
    <w:fldSimple w:instr=" FILENAME   \* MERGEFORMAT ">
      <w:r w:rsidRPr="00A76169">
        <w:rPr>
          <w:noProof/>
          <w:sz w:val="20"/>
          <w:szCs w:val="20"/>
        </w:rPr>
        <w:t>IZMAnot_051012_1112</w:t>
      </w:r>
    </w:fldSimple>
    <w:r w:rsidRPr="003C3987">
      <w:rPr>
        <w:sz w:val="20"/>
        <w:szCs w:val="20"/>
      </w:rPr>
      <w:t>; Ministr</w:t>
    </w:r>
    <w:r>
      <w:rPr>
        <w:sz w:val="20"/>
        <w:szCs w:val="20"/>
      </w:rPr>
      <w:t>u kabineta noteikumu projekta „</w:t>
    </w:r>
    <w:r w:rsidRPr="003C3987">
      <w:rPr>
        <w:sz w:val="20"/>
        <w:szCs w:val="20"/>
      </w:rPr>
      <w:t>Noteikumi par darbības programmas „Cilvēkresursi un nodarbinātība” papildinājuma 1.1.1.2.aktivitātes „Cilvēkresursu piesaiste zinātnei” otro projektu iesniegumu atlases kārtu</w:t>
    </w:r>
    <w:r>
      <w:rPr>
        <w:bCs/>
        <w:sz w:val="20"/>
        <w:szCs w:val="20"/>
      </w:rPr>
      <w:t>”</w:t>
    </w:r>
    <w:r w:rsidRPr="003C3987">
      <w:rPr>
        <w:bCs/>
        <w:sz w:val="20"/>
        <w:szCs w:val="20"/>
      </w:rPr>
      <w:t xml:space="preserve"> </w:t>
    </w:r>
    <w:r w:rsidRPr="003C3987">
      <w:rPr>
        <w:sz w:val="20"/>
        <w:szCs w:val="20"/>
      </w:rPr>
      <w:t>sākotnējās ietekmes novērtējuma ziņojums (</w:t>
    </w:r>
    <w:r w:rsidRPr="003C3987">
      <w:rPr>
        <w:bCs/>
        <w:sz w:val="20"/>
        <w:szCs w:val="20"/>
      </w:rPr>
      <w:t>anotācija)</w:t>
    </w:r>
  </w:p>
  <w:p w:rsidR="00E02AB2" w:rsidRPr="0048436B" w:rsidRDefault="00E02AB2" w:rsidP="0048436B">
    <w:pPr>
      <w:jc w:val="both"/>
      <w:rPr>
        <w:bCs/>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AB2" w:rsidRDefault="00E02AB2">
      <w:r>
        <w:separator/>
      </w:r>
    </w:p>
  </w:footnote>
  <w:footnote w:type="continuationSeparator" w:id="0">
    <w:p w:rsidR="00E02AB2" w:rsidRDefault="00E02A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AB2" w:rsidRDefault="00E02AB2">
    <w:pPr>
      <w:pStyle w:val="Header"/>
      <w:jc w:val="center"/>
    </w:pPr>
    <w:fldSimple w:instr=" PAGE   \* MERGEFORMAT ">
      <w:r w:rsidR="00CD24D4">
        <w:rPr>
          <w:noProof/>
        </w:rPr>
        <w:t>11</w:t>
      </w:r>
    </w:fldSimple>
  </w:p>
  <w:p w:rsidR="00E02AB2" w:rsidRDefault="00E02A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11F1F"/>
    <w:multiLevelType w:val="hybridMultilevel"/>
    <w:tmpl w:val="3196CE96"/>
    <w:lvl w:ilvl="0" w:tplc="D0F84846">
      <w:start w:val="1"/>
      <w:numFmt w:val="bullet"/>
      <w:lvlText w:val="–"/>
      <w:lvlJc w:val="left"/>
      <w:pPr>
        <w:ind w:left="473" w:hanging="360"/>
      </w:pPr>
      <w:rPr>
        <w:rFonts w:ascii="Times New Roman" w:eastAsia="Times New Roman" w:hAnsi="Times New Roman" w:cs="Times New Roman" w:hint="default"/>
      </w:rPr>
    </w:lvl>
    <w:lvl w:ilvl="1" w:tplc="04260003" w:tentative="1">
      <w:start w:val="1"/>
      <w:numFmt w:val="bullet"/>
      <w:lvlText w:val="o"/>
      <w:lvlJc w:val="left"/>
      <w:pPr>
        <w:ind w:left="1193" w:hanging="360"/>
      </w:pPr>
      <w:rPr>
        <w:rFonts w:ascii="Courier New" w:hAnsi="Courier New" w:cs="Courier New" w:hint="default"/>
      </w:rPr>
    </w:lvl>
    <w:lvl w:ilvl="2" w:tplc="04260005" w:tentative="1">
      <w:start w:val="1"/>
      <w:numFmt w:val="bullet"/>
      <w:lvlText w:val=""/>
      <w:lvlJc w:val="left"/>
      <w:pPr>
        <w:ind w:left="1913" w:hanging="360"/>
      </w:pPr>
      <w:rPr>
        <w:rFonts w:ascii="Wingdings" w:hAnsi="Wingdings" w:hint="default"/>
      </w:rPr>
    </w:lvl>
    <w:lvl w:ilvl="3" w:tplc="04260001" w:tentative="1">
      <w:start w:val="1"/>
      <w:numFmt w:val="bullet"/>
      <w:lvlText w:val=""/>
      <w:lvlJc w:val="left"/>
      <w:pPr>
        <w:ind w:left="2633" w:hanging="360"/>
      </w:pPr>
      <w:rPr>
        <w:rFonts w:ascii="Symbol" w:hAnsi="Symbol" w:hint="default"/>
      </w:rPr>
    </w:lvl>
    <w:lvl w:ilvl="4" w:tplc="04260003" w:tentative="1">
      <w:start w:val="1"/>
      <w:numFmt w:val="bullet"/>
      <w:lvlText w:val="o"/>
      <w:lvlJc w:val="left"/>
      <w:pPr>
        <w:ind w:left="3353" w:hanging="360"/>
      </w:pPr>
      <w:rPr>
        <w:rFonts w:ascii="Courier New" w:hAnsi="Courier New" w:cs="Courier New" w:hint="default"/>
      </w:rPr>
    </w:lvl>
    <w:lvl w:ilvl="5" w:tplc="04260005" w:tentative="1">
      <w:start w:val="1"/>
      <w:numFmt w:val="bullet"/>
      <w:lvlText w:val=""/>
      <w:lvlJc w:val="left"/>
      <w:pPr>
        <w:ind w:left="4073" w:hanging="360"/>
      </w:pPr>
      <w:rPr>
        <w:rFonts w:ascii="Wingdings" w:hAnsi="Wingdings" w:hint="default"/>
      </w:rPr>
    </w:lvl>
    <w:lvl w:ilvl="6" w:tplc="04260001" w:tentative="1">
      <w:start w:val="1"/>
      <w:numFmt w:val="bullet"/>
      <w:lvlText w:val=""/>
      <w:lvlJc w:val="left"/>
      <w:pPr>
        <w:ind w:left="4793" w:hanging="360"/>
      </w:pPr>
      <w:rPr>
        <w:rFonts w:ascii="Symbol" w:hAnsi="Symbol" w:hint="default"/>
      </w:rPr>
    </w:lvl>
    <w:lvl w:ilvl="7" w:tplc="04260003" w:tentative="1">
      <w:start w:val="1"/>
      <w:numFmt w:val="bullet"/>
      <w:lvlText w:val="o"/>
      <w:lvlJc w:val="left"/>
      <w:pPr>
        <w:ind w:left="5513" w:hanging="360"/>
      </w:pPr>
      <w:rPr>
        <w:rFonts w:ascii="Courier New" w:hAnsi="Courier New" w:cs="Courier New" w:hint="default"/>
      </w:rPr>
    </w:lvl>
    <w:lvl w:ilvl="8" w:tplc="04260005" w:tentative="1">
      <w:start w:val="1"/>
      <w:numFmt w:val="bullet"/>
      <w:lvlText w:val=""/>
      <w:lvlJc w:val="left"/>
      <w:pPr>
        <w:ind w:left="6233" w:hanging="360"/>
      </w:pPr>
      <w:rPr>
        <w:rFonts w:ascii="Wingdings" w:hAnsi="Wingdings" w:hint="default"/>
      </w:rPr>
    </w:lvl>
  </w:abstractNum>
  <w:abstractNum w:abstractNumId="1">
    <w:nsid w:val="18290C9F"/>
    <w:multiLevelType w:val="hybridMultilevel"/>
    <w:tmpl w:val="16644ED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2141908"/>
    <w:multiLevelType w:val="hybridMultilevel"/>
    <w:tmpl w:val="7FE608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6C2613F"/>
    <w:multiLevelType w:val="hybridMultilevel"/>
    <w:tmpl w:val="5D8413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D4B236C"/>
    <w:multiLevelType w:val="hybridMultilevel"/>
    <w:tmpl w:val="272065E8"/>
    <w:lvl w:ilvl="0" w:tplc="F22E746E">
      <w:start w:val="1"/>
      <w:numFmt w:val="bullet"/>
      <w:lvlText w:val="–"/>
      <w:lvlJc w:val="left"/>
      <w:pPr>
        <w:ind w:left="720" w:hanging="360"/>
      </w:pPr>
      <w:rPr>
        <w:rFonts w:ascii="Times New Roman" w:hAnsi="Times New Roman" w:cs="Times New Roman" w:hint="default"/>
        <w:color w:val="000000"/>
        <w:sz w:val="18"/>
        <w:szCs w:val="1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41826961"/>
    <w:multiLevelType w:val="hybridMultilevel"/>
    <w:tmpl w:val="3AA2B4E2"/>
    <w:lvl w:ilvl="0" w:tplc="D6BC95B2">
      <w:start w:val="1"/>
      <w:numFmt w:val="decimal"/>
      <w:lvlText w:val="%1)"/>
      <w:lvlJc w:val="left"/>
      <w:pPr>
        <w:ind w:left="927" w:hanging="360"/>
      </w:pPr>
      <w:rPr>
        <w:rFonts w:ascii="Times New Roman" w:eastAsia="Times New Roman" w:hAnsi="Times New Roman" w:cs="Times New Roman"/>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nsid w:val="41F80096"/>
    <w:multiLevelType w:val="hybridMultilevel"/>
    <w:tmpl w:val="1A8A8C5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44DC6851"/>
    <w:multiLevelType w:val="multilevel"/>
    <w:tmpl w:val="996087F2"/>
    <w:lvl w:ilvl="0">
      <w:start w:val="1"/>
      <w:numFmt w:val="decimal"/>
      <w:lvlText w:val="%1."/>
      <w:lvlJc w:val="left"/>
      <w:pPr>
        <w:tabs>
          <w:tab w:val="num" w:pos="993"/>
        </w:tabs>
        <w:ind w:left="993" w:firstLine="0"/>
      </w:pPr>
      <w:rPr>
        <w:rFonts w:hint="default"/>
      </w:rPr>
    </w:lvl>
    <w:lvl w:ilvl="1">
      <w:start w:val="1"/>
      <w:numFmt w:val="decimal"/>
      <w:lvlText w:val="%1.%2."/>
      <w:lvlJc w:val="left"/>
      <w:pPr>
        <w:ind w:left="11907" w:hanging="1134"/>
      </w:pPr>
      <w:rPr>
        <w:rFonts w:hint="default"/>
      </w:rPr>
    </w:lvl>
    <w:lvl w:ilvl="2">
      <w:start w:val="1"/>
      <w:numFmt w:val="decimal"/>
      <w:lvlText w:val="%1.%2.%3."/>
      <w:lvlJc w:val="left"/>
      <w:pPr>
        <w:ind w:left="6096" w:firstLine="0"/>
      </w:pPr>
      <w:rPr>
        <w:rFonts w:hint="default"/>
      </w:rPr>
    </w:lvl>
    <w:lvl w:ilvl="3">
      <w:start w:val="1"/>
      <w:numFmt w:val="decimal"/>
      <w:lvlText w:val="%1.%2.%3.%4."/>
      <w:lvlJc w:val="left"/>
      <w:pPr>
        <w:ind w:left="284" w:hanging="57"/>
      </w:pPr>
      <w:rPr>
        <w:rFonts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8">
    <w:nsid w:val="4FB63124"/>
    <w:multiLevelType w:val="hybridMultilevel"/>
    <w:tmpl w:val="E9062B6E"/>
    <w:lvl w:ilvl="0" w:tplc="3282107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561702D5"/>
    <w:multiLevelType w:val="hybridMultilevel"/>
    <w:tmpl w:val="A3BCEA6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75D1124A"/>
    <w:multiLevelType w:val="hybridMultilevel"/>
    <w:tmpl w:val="AB64C2AE"/>
    <w:lvl w:ilvl="0" w:tplc="6818DE7C">
      <w:start w:val="1"/>
      <w:numFmt w:val="bullet"/>
      <w:lvlText w:val="−"/>
      <w:lvlJc w:val="left"/>
      <w:pPr>
        <w:ind w:left="720" w:hanging="360"/>
      </w:pPr>
      <w:rPr>
        <w:rFonts w:ascii="Cambria" w:hAnsi="Cambri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79657214"/>
    <w:multiLevelType w:val="hybridMultilevel"/>
    <w:tmpl w:val="5B2C16F0"/>
    <w:lvl w:ilvl="0" w:tplc="129E875C">
      <w:start w:val="1"/>
      <w:numFmt w:val="decimal"/>
      <w:lvlText w:val="%1."/>
      <w:lvlJc w:val="left"/>
      <w:pPr>
        <w:ind w:left="473" w:hanging="360"/>
      </w:pPr>
      <w:rPr>
        <w:rFonts w:hint="default"/>
      </w:rPr>
    </w:lvl>
    <w:lvl w:ilvl="1" w:tplc="04260019" w:tentative="1">
      <w:start w:val="1"/>
      <w:numFmt w:val="lowerLetter"/>
      <w:lvlText w:val="%2."/>
      <w:lvlJc w:val="left"/>
      <w:pPr>
        <w:ind w:left="1193" w:hanging="360"/>
      </w:pPr>
    </w:lvl>
    <w:lvl w:ilvl="2" w:tplc="0426001B" w:tentative="1">
      <w:start w:val="1"/>
      <w:numFmt w:val="lowerRoman"/>
      <w:lvlText w:val="%3."/>
      <w:lvlJc w:val="right"/>
      <w:pPr>
        <w:ind w:left="1913" w:hanging="180"/>
      </w:pPr>
    </w:lvl>
    <w:lvl w:ilvl="3" w:tplc="0426000F" w:tentative="1">
      <w:start w:val="1"/>
      <w:numFmt w:val="decimal"/>
      <w:lvlText w:val="%4."/>
      <w:lvlJc w:val="left"/>
      <w:pPr>
        <w:ind w:left="2633" w:hanging="360"/>
      </w:pPr>
    </w:lvl>
    <w:lvl w:ilvl="4" w:tplc="04260019" w:tentative="1">
      <w:start w:val="1"/>
      <w:numFmt w:val="lowerLetter"/>
      <w:lvlText w:val="%5."/>
      <w:lvlJc w:val="left"/>
      <w:pPr>
        <w:ind w:left="3353" w:hanging="360"/>
      </w:pPr>
    </w:lvl>
    <w:lvl w:ilvl="5" w:tplc="0426001B" w:tentative="1">
      <w:start w:val="1"/>
      <w:numFmt w:val="lowerRoman"/>
      <w:lvlText w:val="%6."/>
      <w:lvlJc w:val="right"/>
      <w:pPr>
        <w:ind w:left="4073" w:hanging="180"/>
      </w:pPr>
    </w:lvl>
    <w:lvl w:ilvl="6" w:tplc="0426000F" w:tentative="1">
      <w:start w:val="1"/>
      <w:numFmt w:val="decimal"/>
      <w:lvlText w:val="%7."/>
      <w:lvlJc w:val="left"/>
      <w:pPr>
        <w:ind w:left="4793" w:hanging="360"/>
      </w:pPr>
    </w:lvl>
    <w:lvl w:ilvl="7" w:tplc="04260019" w:tentative="1">
      <w:start w:val="1"/>
      <w:numFmt w:val="lowerLetter"/>
      <w:lvlText w:val="%8."/>
      <w:lvlJc w:val="left"/>
      <w:pPr>
        <w:ind w:left="5513" w:hanging="360"/>
      </w:pPr>
    </w:lvl>
    <w:lvl w:ilvl="8" w:tplc="0426001B" w:tentative="1">
      <w:start w:val="1"/>
      <w:numFmt w:val="lowerRoman"/>
      <w:lvlText w:val="%9."/>
      <w:lvlJc w:val="right"/>
      <w:pPr>
        <w:ind w:left="6233" w:hanging="180"/>
      </w:pPr>
    </w:lvl>
  </w:abstractNum>
  <w:num w:numId="1">
    <w:abstractNumId w:val="6"/>
  </w:num>
  <w:num w:numId="2">
    <w:abstractNumId w:val="2"/>
  </w:num>
  <w:num w:numId="3">
    <w:abstractNumId w:val="3"/>
  </w:num>
  <w:num w:numId="4">
    <w:abstractNumId w:val="9"/>
  </w:num>
  <w:num w:numId="5">
    <w:abstractNumId w:val="8"/>
  </w:num>
  <w:num w:numId="6">
    <w:abstractNumId w:val="1"/>
  </w:num>
  <w:num w:numId="7">
    <w:abstractNumId w:val="5"/>
  </w:num>
  <w:num w:numId="8">
    <w:abstractNumId w:val="7"/>
  </w:num>
  <w:num w:numId="9">
    <w:abstractNumId w:val="4"/>
  </w:num>
  <w:num w:numId="10">
    <w:abstractNumId w:val="0"/>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457F5"/>
    <w:rsid w:val="00010472"/>
    <w:rsid w:val="00010A8D"/>
    <w:rsid w:val="0001550C"/>
    <w:rsid w:val="00017336"/>
    <w:rsid w:val="000202C8"/>
    <w:rsid w:val="00020CDB"/>
    <w:rsid w:val="00031C26"/>
    <w:rsid w:val="00041062"/>
    <w:rsid w:val="00042F7C"/>
    <w:rsid w:val="00045556"/>
    <w:rsid w:val="0004682B"/>
    <w:rsid w:val="00047E96"/>
    <w:rsid w:val="00047F64"/>
    <w:rsid w:val="00050802"/>
    <w:rsid w:val="0006219F"/>
    <w:rsid w:val="00065C1D"/>
    <w:rsid w:val="00070BBE"/>
    <w:rsid w:val="00072B5B"/>
    <w:rsid w:val="00076025"/>
    <w:rsid w:val="000771C0"/>
    <w:rsid w:val="00080993"/>
    <w:rsid w:val="00081459"/>
    <w:rsid w:val="000879F2"/>
    <w:rsid w:val="00092622"/>
    <w:rsid w:val="00096934"/>
    <w:rsid w:val="000972C0"/>
    <w:rsid w:val="00097526"/>
    <w:rsid w:val="000A4159"/>
    <w:rsid w:val="000B0043"/>
    <w:rsid w:val="000B0C24"/>
    <w:rsid w:val="000B15C9"/>
    <w:rsid w:val="000B40FA"/>
    <w:rsid w:val="000B5522"/>
    <w:rsid w:val="000B73BD"/>
    <w:rsid w:val="000C33F3"/>
    <w:rsid w:val="000C3C05"/>
    <w:rsid w:val="000D0B64"/>
    <w:rsid w:val="000E5B40"/>
    <w:rsid w:val="000E6166"/>
    <w:rsid w:val="000E6CA4"/>
    <w:rsid w:val="000E7B23"/>
    <w:rsid w:val="000F0829"/>
    <w:rsid w:val="000F4B6E"/>
    <w:rsid w:val="000F4E67"/>
    <w:rsid w:val="000F6CF4"/>
    <w:rsid w:val="000F6EE2"/>
    <w:rsid w:val="00100001"/>
    <w:rsid w:val="00100200"/>
    <w:rsid w:val="00110A2F"/>
    <w:rsid w:val="0011720E"/>
    <w:rsid w:val="00130797"/>
    <w:rsid w:val="00133F26"/>
    <w:rsid w:val="00143B72"/>
    <w:rsid w:val="001457F5"/>
    <w:rsid w:val="0014630D"/>
    <w:rsid w:val="00146A76"/>
    <w:rsid w:val="001509A7"/>
    <w:rsid w:val="00150CEB"/>
    <w:rsid w:val="001560B0"/>
    <w:rsid w:val="00164946"/>
    <w:rsid w:val="00164C2C"/>
    <w:rsid w:val="001652E4"/>
    <w:rsid w:val="001672E7"/>
    <w:rsid w:val="00167B5C"/>
    <w:rsid w:val="00167EE4"/>
    <w:rsid w:val="0017066A"/>
    <w:rsid w:val="001706AE"/>
    <w:rsid w:val="00171635"/>
    <w:rsid w:val="00172EF6"/>
    <w:rsid w:val="00181757"/>
    <w:rsid w:val="00185220"/>
    <w:rsid w:val="00191511"/>
    <w:rsid w:val="00191ABB"/>
    <w:rsid w:val="001936D2"/>
    <w:rsid w:val="001947AD"/>
    <w:rsid w:val="00197892"/>
    <w:rsid w:val="001979A9"/>
    <w:rsid w:val="001A4EFA"/>
    <w:rsid w:val="001A5357"/>
    <w:rsid w:val="001A5D33"/>
    <w:rsid w:val="001A685A"/>
    <w:rsid w:val="001A68DD"/>
    <w:rsid w:val="001A6D09"/>
    <w:rsid w:val="001A7A17"/>
    <w:rsid w:val="001B2883"/>
    <w:rsid w:val="001B32B1"/>
    <w:rsid w:val="001B7E84"/>
    <w:rsid w:val="001C435A"/>
    <w:rsid w:val="001C492A"/>
    <w:rsid w:val="001C5207"/>
    <w:rsid w:val="001C74FD"/>
    <w:rsid w:val="001C75FB"/>
    <w:rsid w:val="001C7F37"/>
    <w:rsid w:val="001D0920"/>
    <w:rsid w:val="001D1A28"/>
    <w:rsid w:val="001D21E8"/>
    <w:rsid w:val="001D3DF8"/>
    <w:rsid w:val="001D5748"/>
    <w:rsid w:val="001E05E7"/>
    <w:rsid w:val="001E5143"/>
    <w:rsid w:val="001E5A04"/>
    <w:rsid w:val="001E786A"/>
    <w:rsid w:val="001F1FC6"/>
    <w:rsid w:val="001F216B"/>
    <w:rsid w:val="001F6339"/>
    <w:rsid w:val="001F65B5"/>
    <w:rsid w:val="001F6F35"/>
    <w:rsid w:val="001F74FE"/>
    <w:rsid w:val="001F773C"/>
    <w:rsid w:val="001F7F25"/>
    <w:rsid w:val="00202B8B"/>
    <w:rsid w:val="00211D7C"/>
    <w:rsid w:val="00215E9E"/>
    <w:rsid w:val="002164EB"/>
    <w:rsid w:val="002206C9"/>
    <w:rsid w:val="00221FF9"/>
    <w:rsid w:val="002344D2"/>
    <w:rsid w:val="00236F54"/>
    <w:rsid w:val="0024049D"/>
    <w:rsid w:val="00242C64"/>
    <w:rsid w:val="00244489"/>
    <w:rsid w:val="00245A2D"/>
    <w:rsid w:val="00252724"/>
    <w:rsid w:val="00253102"/>
    <w:rsid w:val="0025461E"/>
    <w:rsid w:val="0026004F"/>
    <w:rsid w:val="00261E2F"/>
    <w:rsid w:val="00262054"/>
    <w:rsid w:val="00262912"/>
    <w:rsid w:val="00265882"/>
    <w:rsid w:val="00267F47"/>
    <w:rsid w:val="00272D6C"/>
    <w:rsid w:val="00276AD3"/>
    <w:rsid w:val="0028098D"/>
    <w:rsid w:val="0028624E"/>
    <w:rsid w:val="00286931"/>
    <w:rsid w:val="00287C0F"/>
    <w:rsid w:val="00296B3D"/>
    <w:rsid w:val="002A528C"/>
    <w:rsid w:val="002A5BCC"/>
    <w:rsid w:val="002A69F3"/>
    <w:rsid w:val="002B0AB2"/>
    <w:rsid w:val="002B3530"/>
    <w:rsid w:val="002B60B1"/>
    <w:rsid w:val="002B72B5"/>
    <w:rsid w:val="002C22BC"/>
    <w:rsid w:val="002C23DC"/>
    <w:rsid w:val="002C2B2E"/>
    <w:rsid w:val="002C5030"/>
    <w:rsid w:val="002C5F62"/>
    <w:rsid w:val="002D0B35"/>
    <w:rsid w:val="002D2C70"/>
    <w:rsid w:val="002D31F6"/>
    <w:rsid w:val="002D4E41"/>
    <w:rsid w:val="002E00C7"/>
    <w:rsid w:val="002E10C6"/>
    <w:rsid w:val="002E1A31"/>
    <w:rsid w:val="002E208C"/>
    <w:rsid w:val="002E2D20"/>
    <w:rsid w:val="002E2E1E"/>
    <w:rsid w:val="002E75B0"/>
    <w:rsid w:val="002F3E81"/>
    <w:rsid w:val="002F48D3"/>
    <w:rsid w:val="00304F03"/>
    <w:rsid w:val="003119E2"/>
    <w:rsid w:val="00312877"/>
    <w:rsid w:val="003166D5"/>
    <w:rsid w:val="0032324F"/>
    <w:rsid w:val="00324897"/>
    <w:rsid w:val="00340C74"/>
    <w:rsid w:val="00341FE3"/>
    <w:rsid w:val="0034445D"/>
    <w:rsid w:val="00345A49"/>
    <w:rsid w:val="00346B60"/>
    <w:rsid w:val="003558E0"/>
    <w:rsid w:val="003571D6"/>
    <w:rsid w:val="003642FC"/>
    <w:rsid w:val="00364313"/>
    <w:rsid w:val="003661CB"/>
    <w:rsid w:val="003717A7"/>
    <w:rsid w:val="00372CDD"/>
    <w:rsid w:val="00373CD5"/>
    <w:rsid w:val="00373F9B"/>
    <w:rsid w:val="00377DFD"/>
    <w:rsid w:val="00381AB8"/>
    <w:rsid w:val="00381E1C"/>
    <w:rsid w:val="00384894"/>
    <w:rsid w:val="003869B6"/>
    <w:rsid w:val="00386FAA"/>
    <w:rsid w:val="003900A2"/>
    <w:rsid w:val="00393333"/>
    <w:rsid w:val="003A0F33"/>
    <w:rsid w:val="003A0F8F"/>
    <w:rsid w:val="003A28B6"/>
    <w:rsid w:val="003A2B22"/>
    <w:rsid w:val="003A37CB"/>
    <w:rsid w:val="003A7FA7"/>
    <w:rsid w:val="003B3EB2"/>
    <w:rsid w:val="003B6FCC"/>
    <w:rsid w:val="003C0428"/>
    <w:rsid w:val="003C3987"/>
    <w:rsid w:val="003C6DC5"/>
    <w:rsid w:val="003D16F4"/>
    <w:rsid w:val="003D199F"/>
    <w:rsid w:val="003D5644"/>
    <w:rsid w:val="003D63BE"/>
    <w:rsid w:val="003D6F17"/>
    <w:rsid w:val="003D7760"/>
    <w:rsid w:val="003E0DB8"/>
    <w:rsid w:val="003E3F47"/>
    <w:rsid w:val="003E647C"/>
    <w:rsid w:val="003F088F"/>
    <w:rsid w:val="003F3AB9"/>
    <w:rsid w:val="003F5248"/>
    <w:rsid w:val="003F5FB9"/>
    <w:rsid w:val="00400AA2"/>
    <w:rsid w:val="004039EC"/>
    <w:rsid w:val="00404413"/>
    <w:rsid w:val="00404BE4"/>
    <w:rsid w:val="0040656B"/>
    <w:rsid w:val="00410B1D"/>
    <w:rsid w:val="00411E18"/>
    <w:rsid w:val="0041793D"/>
    <w:rsid w:val="0042116B"/>
    <w:rsid w:val="0042441E"/>
    <w:rsid w:val="004273BB"/>
    <w:rsid w:val="00435101"/>
    <w:rsid w:val="004360DC"/>
    <w:rsid w:val="00443275"/>
    <w:rsid w:val="00444EDC"/>
    <w:rsid w:val="00445EA0"/>
    <w:rsid w:val="004500F3"/>
    <w:rsid w:val="0045313C"/>
    <w:rsid w:val="004607AB"/>
    <w:rsid w:val="00462BA3"/>
    <w:rsid w:val="00464EA5"/>
    <w:rsid w:val="004719C5"/>
    <w:rsid w:val="00473A64"/>
    <w:rsid w:val="00476667"/>
    <w:rsid w:val="0048436B"/>
    <w:rsid w:val="0048559A"/>
    <w:rsid w:val="00486947"/>
    <w:rsid w:val="00487182"/>
    <w:rsid w:val="00490CA5"/>
    <w:rsid w:val="0049463A"/>
    <w:rsid w:val="00494FF7"/>
    <w:rsid w:val="004A1646"/>
    <w:rsid w:val="004B2408"/>
    <w:rsid w:val="004B33B5"/>
    <w:rsid w:val="004B34C2"/>
    <w:rsid w:val="004B3697"/>
    <w:rsid w:val="004B791E"/>
    <w:rsid w:val="004C290D"/>
    <w:rsid w:val="004C35E9"/>
    <w:rsid w:val="004C3D45"/>
    <w:rsid w:val="004E05B1"/>
    <w:rsid w:val="004E20FB"/>
    <w:rsid w:val="004E294B"/>
    <w:rsid w:val="004E3B9C"/>
    <w:rsid w:val="004E68C3"/>
    <w:rsid w:val="004E77B3"/>
    <w:rsid w:val="004E78C1"/>
    <w:rsid w:val="004F1604"/>
    <w:rsid w:val="00500F48"/>
    <w:rsid w:val="00502384"/>
    <w:rsid w:val="00505312"/>
    <w:rsid w:val="005129ED"/>
    <w:rsid w:val="00515E45"/>
    <w:rsid w:val="0051621B"/>
    <w:rsid w:val="005224FC"/>
    <w:rsid w:val="00526E69"/>
    <w:rsid w:val="0052781A"/>
    <w:rsid w:val="005300C0"/>
    <w:rsid w:val="00536D7C"/>
    <w:rsid w:val="00540150"/>
    <w:rsid w:val="00541000"/>
    <w:rsid w:val="005506CE"/>
    <w:rsid w:val="00551C32"/>
    <w:rsid w:val="0055265E"/>
    <w:rsid w:val="00560A27"/>
    <w:rsid w:val="005668FB"/>
    <w:rsid w:val="00566BE8"/>
    <w:rsid w:val="00566FFB"/>
    <w:rsid w:val="00573843"/>
    <w:rsid w:val="00573B4B"/>
    <w:rsid w:val="00573DE9"/>
    <w:rsid w:val="005754DF"/>
    <w:rsid w:val="00580B84"/>
    <w:rsid w:val="00581109"/>
    <w:rsid w:val="0058304E"/>
    <w:rsid w:val="005832DA"/>
    <w:rsid w:val="00593020"/>
    <w:rsid w:val="005A1BF9"/>
    <w:rsid w:val="005A2F49"/>
    <w:rsid w:val="005A4636"/>
    <w:rsid w:val="005B0E6D"/>
    <w:rsid w:val="005B3504"/>
    <w:rsid w:val="005B4127"/>
    <w:rsid w:val="005B6C23"/>
    <w:rsid w:val="005C0001"/>
    <w:rsid w:val="005C434B"/>
    <w:rsid w:val="005C43BF"/>
    <w:rsid w:val="005C4B80"/>
    <w:rsid w:val="005C7288"/>
    <w:rsid w:val="005D0907"/>
    <w:rsid w:val="005D0B00"/>
    <w:rsid w:val="005D3465"/>
    <w:rsid w:val="005D36E5"/>
    <w:rsid w:val="005E1E72"/>
    <w:rsid w:val="005F1F3C"/>
    <w:rsid w:val="00602725"/>
    <w:rsid w:val="00604088"/>
    <w:rsid w:val="0060425F"/>
    <w:rsid w:val="006047E6"/>
    <w:rsid w:val="006129D6"/>
    <w:rsid w:val="006160DE"/>
    <w:rsid w:val="0061623C"/>
    <w:rsid w:val="006213B4"/>
    <w:rsid w:val="00622024"/>
    <w:rsid w:val="00631BFE"/>
    <w:rsid w:val="00634EC5"/>
    <w:rsid w:val="0065045D"/>
    <w:rsid w:val="00656384"/>
    <w:rsid w:val="00664310"/>
    <w:rsid w:val="00667909"/>
    <w:rsid w:val="006710A6"/>
    <w:rsid w:val="006713EB"/>
    <w:rsid w:val="00672801"/>
    <w:rsid w:val="006735B9"/>
    <w:rsid w:val="00680204"/>
    <w:rsid w:val="006804A7"/>
    <w:rsid w:val="006821C9"/>
    <w:rsid w:val="00682402"/>
    <w:rsid w:val="006952FA"/>
    <w:rsid w:val="0069600B"/>
    <w:rsid w:val="00697BD9"/>
    <w:rsid w:val="006A013A"/>
    <w:rsid w:val="006A0A9F"/>
    <w:rsid w:val="006A16E3"/>
    <w:rsid w:val="006A45E6"/>
    <w:rsid w:val="006A510D"/>
    <w:rsid w:val="006A7A08"/>
    <w:rsid w:val="006B7A43"/>
    <w:rsid w:val="006B7E81"/>
    <w:rsid w:val="006C3531"/>
    <w:rsid w:val="006D0A17"/>
    <w:rsid w:val="006D1125"/>
    <w:rsid w:val="006D6167"/>
    <w:rsid w:val="006D7B92"/>
    <w:rsid w:val="006E0CD7"/>
    <w:rsid w:val="006E5BFA"/>
    <w:rsid w:val="006E5EE8"/>
    <w:rsid w:val="006E796A"/>
    <w:rsid w:val="00702294"/>
    <w:rsid w:val="0070254E"/>
    <w:rsid w:val="00703181"/>
    <w:rsid w:val="007043CB"/>
    <w:rsid w:val="0070465C"/>
    <w:rsid w:val="007065EE"/>
    <w:rsid w:val="00712131"/>
    <w:rsid w:val="0071707B"/>
    <w:rsid w:val="0071761A"/>
    <w:rsid w:val="00722857"/>
    <w:rsid w:val="007242AA"/>
    <w:rsid w:val="00727D95"/>
    <w:rsid w:val="00730A70"/>
    <w:rsid w:val="00733352"/>
    <w:rsid w:val="007338B0"/>
    <w:rsid w:val="00733998"/>
    <w:rsid w:val="00734431"/>
    <w:rsid w:val="0073675F"/>
    <w:rsid w:val="00740688"/>
    <w:rsid w:val="00741C13"/>
    <w:rsid w:val="00741DDA"/>
    <w:rsid w:val="00742DD2"/>
    <w:rsid w:val="00747253"/>
    <w:rsid w:val="00755001"/>
    <w:rsid w:val="0075613E"/>
    <w:rsid w:val="00760213"/>
    <w:rsid w:val="00761CFE"/>
    <w:rsid w:val="0076653E"/>
    <w:rsid w:val="007676CC"/>
    <w:rsid w:val="007720F7"/>
    <w:rsid w:val="00774A66"/>
    <w:rsid w:val="007757BB"/>
    <w:rsid w:val="00777246"/>
    <w:rsid w:val="0078399D"/>
    <w:rsid w:val="007955FC"/>
    <w:rsid w:val="007A0290"/>
    <w:rsid w:val="007A3274"/>
    <w:rsid w:val="007A6DB9"/>
    <w:rsid w:val="007A77C0"/>
    <w:rsid w:val="007B0CB7"/>
    <w:rsid w:val="007B1108"/>
    <w:rsid w:val="007B1B3D"/>
    <w:rsid w:val="007B2A0D"/>
    <w:rsid w:val="007B3D9A"/>
    <w:rsid w:val="007B7A02"/>
    <w:rsid w:val="007C08F8"/>
    <w:rsid w:val="007C25F2"/>
    <w:rsid w:val="007C2877"/>
    <w:rsid w:val="007C4431"/>
    <w:rsid w:val="007C5CDB"/>
    <w:rsid w:val="007C5E5F"/>
    <w:rsid w:val="007D245F"/>
    <w:rsid w:val="007E04D8"/>
    <w:rsid w:val="007E4B76"/>
    <w:rsid w:val="007E5F2C"/>
    <w:rsid w:val="007E6369"/>
    <w:rsid w:val="007E6371"/>
    <w:rsid w:val="007E7DBD"/>
    <w:rsid w:val="007F3390"/>
    <w:rsid w:val="007F59CE"/>
    <w:rsid w:val="008017A9"/>
    <w:rsid w:val="00802AAC"/>
    <w:rsid w:val="00804B0F"/>
    <w:rsid w:val="008064CD"/>
    <w:rsid w:val="008075D9"/>
    <w:rsid w:val="0080778B"/>
    <w:rsid w:val="00811564"/>
    <w:rsid w:val="00811B49"/>
    <w:rsid w:val="008132DA"/>
    <w:rsid w:val="0081361A"/>
    <w:rsid w:val="008167B2"/>
    <w:rsid w:val="00824590"/>
    <w:rsid w:val="00825979"/>
    <w:rsid w:val="00830B2D"/>
    <w:rsid w:val="00836D99"/>
    <w:rsid w:val="00837E3B"/>
    <w:rsid w:val="0084207A"/>
    <w:rsid w:val="00846ACC"/>
    <w:rsid w:val="00846B39"/>
    <w:rsid w:val="00852609"/>
    <w:rsid w:val="00853A7B"/>
    <w:rsid w:val="00853F6C"/>
    <w:rsid w:val="008559E0"/>
    <w:rsid w:val="00860E3D"/>
    <w:rsid w:val="0086323B"/>
    <w:rsid w:val="00864939"/>
    <w:rsid w:val="00865444"/>
    <w:rsid w:val="008660A6"/>
    <w:rsid w:val="00866DB1"/>
    <w:rsid w:val="00871A92"/>
    <w:rsid w:val="00873932"/>
    <w:rsid w:val="00874B42"/>
    <w:rsid w:val="00877960"/>
    <w:rsid w:val="00881835"/>
    <w:rsid w:val="00882246"/>
    <w:rsid w:val="00882490"/>
    <w:rsid w:val="00886875"/>
    <w:rsid w:val="00886FD0"/>
    <w:rsid w:val="00887158"/>
    <w:rsid w:val="00891617"/>
    <w:rsid w:val="008916B7"/>
    <w:rsid w:val="0089431F"/>
    <w:rsid w:val="008A0144"/>
    <w:rsid w:val="008A089F"/>
    <w:rsid w:val="008A1ECF"/>
    <w:rsid w:val="008A2577"/>
    <w:rsid w:val="008A3000"/>
    <w:rsid w:val="008A51B7"/>
    <w:rsid w:val="008A7ACF"/>
    <w:rsid w:val="008A7CBC"/>
    <w:rsid w:val="008A7ED0"/>
    <w:rsid w:val="008B61BB"/>
    <w:rsid w:val="008C140F"/>
    <w:rsid w:val="008C3705"/>
    <w:rsid w:val="008C3A3B"/>
    <w:rsid w:val="008D1E0E"/>
    <w:rsid w:val="008D6517"/>
    <w:rsid w:val="008D678F"/>
    <w:rsid w:val="008D6866"/>
    <w:rsid w:val="008D73D9"/>
    <w:rsid w:val="008E1AEB"/>
    <w:rsid w:val="008E1DA9"/>
    <w:rsid w:val="008E415E"/>
    <w:rsid w:val="008F1075"/>
    <w:rsid w:val="008F1A9B"/>
    <w:rsid w:val="008F3107"/>
    <w:rsid w:val="008F5BE4"/>
    <w:rsid w:val="0090256D"/>
    <w:rsid w:val="00907590"/>
    <w:rsid w:val="00911F92"/>
    <w:rsid w:val="00922A5D"/>
    <w:rsid w:val="00922EBD"/>
    <w:rsid w:val="00923A03"/>
    <w:rsid w:val="0092489F"/>
    <w:rsid w:val="00931BEC"/>
    <w:rsid w:val="00935CA9"/>
    <w:rsid w:val="0094410F"/>
    <w:rsid w:val="00946C5B"/>
    <w:rsid w:val="009471E2"/>
    <w:rsid w:val="0094777F"/>
    <w:rsid w:val="009515AF"/>
    <w:rsid w:val="0095300B"/>
    <w:rsid w:val="00955177"/>
    <w:rsid w:val="0095564E"/>
    <w:rsid w:val="00955A05"/>
    <w:rsid w:val="0095660D"/>
    <w:rsid w:val="00960678"/>
    <w:rsid w:val="009613CC"/>
    <w:rsid w:val="00962CB4"/>
    <w:rsid w:val="0096530D"/>
    <w:rsid w:val="00970D0E"/>
    <w:rsid w:val="00974799"/>
    <w:rsid w:val="00977785"/>
    <w:rsid w:val="0098144C"/>
    <w:rsid w:val="00981757"/>
    <w:rsid w:val="00983863"/>
    <w:rsid w:val="009838B7"/>
    <w:rsid w:val="00984C49"/>
    <w:rsid w:val="00985630"/>
    <w:rsid w:val="00987F67"/>
    <w:rsid w:val="009913D7"/>
    <w:rsid w:val="00995884"/>
    <w:rsid w:val="00996139"/>
    <w:rsid w:val="0099761D"/>
    <w:rsid w:val="009A0461"/>
    <w:rsid w:val="009A09B0"/>
    <w:rsid w:val="009A64EA"/>
    <w:rsid w:val="009B0FC6"/>
    <w:rsid w:val="009B15CC"/>
    <w:rsid w:val="009B3AF7"/>
    <w:rsid w:val="009C41EE"/>
    <w:rsid w:val="009D21CA"/>
    <w:rsid w:val="009D26ED"/>
    <w:rsid w:val="009D5175"/>
    <w:rsid w:val="009D5AAD"/>
    <w:rsid w:val="009D6333"/>
    <w:rsid w:val="009D6542"/>
    <w:rsid w:val="009D6570"/>
    <w:rsid w:val="009E0D3D"/>
    <w:rsid w:val="009E3FE2"/>
    <w:rsid w:val="009E4FC1"/>
    <w:rsid w:val="009E50B0"/>
    <w:rsid w:val="009F0D3C"/>
    <w:rsid w:val="009F1F7C"/>
    <w:rsid w:val="009F327A"/>
    <w:rsid w:val="009F34EC"/>
    <w:rsid w:val="009F4C56"/>
    <w:rsid w:val="009F57CC"/>
    <w:rsid w:val="00A01331"/>
    <w:rsid w:val="00A0169E"/>
    <w:rsid w:val="00A1017E"/>
    <w:rsid w:val="00A11252"/>
    <w:rsid w:val="00A15049"/>
    <w:rsid w:val="00A16861"/>
    <w:rsid w:val="00A23440"/>
    <w:rsid w:val="00A238F4"/>
    <w:rsid w:val="00A317D1"/>
    <w:rsid w:val="00A342AD"/>
    <w:rsid w:val="00A41080"/>
    <w:rsid w:val="00A41F53"/>
    <w:rsid w:val="00A446EB"/>
    <w:rsid w:val="00A471A0"/>
    <w:rsid w:val="00A47516"/>
    <w:rsid w:val="00A50E2B"/>
    <w:rsid w:val="00A50F8C"/>
    <w:rsid w:val="00A5170B"/>
    <w:rsid w:val="00A52BB3"/>
    <w:rsid w:val="00A53DBD"/>
    <w:rsid w:val="00A5496A"/>
    <w:rsid w:val="00A55752"/>
    <w:rsid w:val="00A57DF8"/>
    <w:rsid w:val="00A630C8"/>
    <w:rsid w:val="00A72874"/>
    <w:rsid w:val="00A72ED6"/>
    <w:rsid w:val="00A76169"/>
    <w:rsid w:val="00A77BA1"/>
    <w:rsid w:val="00A83842"/>
    <w:rsid w:val="00A862F3"/>
    <w:rsid w:val="00A86570"/>
    <w:rsid w:val="00A9177D"/>
    <w:rsid w:val="00A93D61"/>
    <w:rsid w:val="00A94662"/>
    <w:rsid w:val="00A96719"/>
    <w:rsid w:val="00AA03AE"/>
    <w:rsid w:val="00AA0B69"/>
    <w:rsid w:val="00AA2FBA"/>
    <w:rsid w:val="00AA551A"/>
    <w:rsid w:val="00AB67C8"/>
    <w:rsid w:val="00AB7A65"/>
    <w:rsid w:val="00AC1B96"/>
    <w:rsid w:val="00AC1EBC"/>
    <w:rsid w:val="00AD1390"/>
    <w:rsid w:val="00AD3772"/>
    <w:rsid w:val="00AD4379"/>
    <w:rsid w:val="00AD7723"/>
    <w:rsid w:val="00AD7B46"/>
    <w:rsid w:val="00AE23BF"/>
    <w:rsid w:val="00AE2B4C"/>
    <w:rsid w:val="00AE320D"/>
    <w:rsid w:val="00AE5FE2"/>
    <w:rsid w:val="00AE6AF9"/>
    <w:rsid w:val="00AE73A0"/>
    <w:rsid w:val="00AE7D8A"/>
    <w:rsid w:val="00AE7DB6"/>
    <w:rsid w:val="00AF0C65"/>
    <w:rsid w:val="00AF269C"/>
    <w:rsid w:val="00AF5A36"/>
    <w:rsid w:val="00AF67E6"/>
    <w:rsid w:val="00AF706E"/>
    <w:rsid w:val="00AF753A"/>
    <w:rsid w:val="00B00E1D"/>
    <w:rsid w:val="00B02F79"/>
    <w:rsid w:val="00B078FD"/>
    <w:rsid w:val="00B121D5"/>
    <w:rsid w:val="00B14DA3"/>
    <w:rsid w:val="00B15883"/>
    <w:rsid w:val="00B15ED4"/>
    <w:rsid w:val="00B1721F"/>
    <w:rsid w:val="00B21DFF"/>
    <w:rsid w:val="00B22753"/>
    <w:rsid w:val="00B2565F"/>
    <w:rsid w:val="00B26843"/>
    <w:rsid w:val="00B34174"/>
    <w:rsid w:val="00B35355"/>
    <w:rsid w:val="00B36D77"/>
    <w:rsid w:val="00B421E1"/>
    <w:rsid w:val="00B4461C"/>
    <w:rsid w:val="00B50D33"/>
    <w:rsid w:val="00B52C6E"/>
    <w:rsid w:val="00B5693C"/>
    <w:rsid w:val="00B5787A"/>
    <w:rsid w:val="00B617AA"/>
    <w:rsid w:val="00B6233A"/>
    <w:rsid w:val="00B62C10"/>
    <w:rsid w:val="00B634A0"/>
    <w:rsid w:val="00B638DA"/>
    <w:rsid w:val="00B67B4D"/>
    <w:rsid w:val="00B70B98"/>
    <w:rsid w:val="00B70C17"/>
    <w:rsid w:val="00B74831"/>
    <w:rsid w:val="00B76C66"/>
    <w:rsid w:val="00B81CF1"/>
    <w:rsid w:val="00B83FC7"/>
    <w:rsid w:val="00B84E7A"/>
    <w:rsid w:val="00B860B4"/>
    <w:rsid w:val="00B915A4"/>
    <w:rsid w:val="00B939F7"/>
    <w:rsid w:val="00BB2E2D"/>
    <w:rsid w:val="00BB4D0E"/>
    <w:rsid w:val="00BB6531"/>
    <w:rsid w:val="00BB6909"/>
    <w:rsid w:val="00BC03FF"/>
    <w:rsid w:val="00BC44D7"/>
    <w:rsid w:val="00BC53D1"/>
    <w:rsid w:val="00BC5FBA"/>
    <w:rsid w:val="00BE57D9"/>
    <w:rsid w:val="00BE5839"/>
    <w:rsid w:val="00BE7E59"/>
    <w:rsid w:val="00BF09CB"/>
    <w:rsid w:val="00BF14EF"/>
    <w:rsid w:val="00BF2E8F"/>
    <w:rsid w:val="00C011F0"/>
    <w:rsid w:val="00C01DAE"/>
    <w:rsid w:val="00C01E21"/>
    <w:rsid w:val="00C047A6"/>
    <w:rsid w:val="00C060A4"/>
    <w:rsid w:val="00C13E29"/>
    <w:rsid w:val="00C14ACC"/>
    <w:rsid w:val="00C1606D"/>
    <w:rsid w:val="00C173E5"/>
    <w:rsid w:val="00C17969"/>
    <w:rsid w:val="00C17D80"/>
    <w:rsid w:val="00C32234"/>
    <w:rsid w:val="00C330D2"/>
    <w:rsid w:val="00C33500"/>
    <w:rsid w:val="00C34957"/>
    <w:rsid w:val="00C35E0C"/>
    <w:rsid w:val="00C374DB"/>
    <w:rsid w:val="00C412F0"/>
    <w:rsid w:val="00C472A1"/>
    <w:rsid w:val="00C47A1A"/>
    <w:rsid w:val="00C50906"/>
    <w:rsid w:val="00C518F2"/>
    <w:rsid w:val="00C53A29"/>
    <w:rsid w:val="00C631B5"/>
    <w:rsid w:val="00C6442A"/>
    <w:rsid w:val="00C65133"/>
    <w:rsid w:val="00C668AA"/>
    <w:rsid w:val="00C73479"/>
    <w:rsid w:val="00C827CC"/>
    <w:rsid w:val="00C96DFE"/>
    <w:rsid w:val="00CB2510"/>
    <w:rsid w:val="00CB4CD2"/>
    <w:rsid w:val="00CB4ED2"/>
    <w:rsid w:val="00CB60CA"/>
    <w:rsid w:val="00CC06ED"/>
    <w:rsid w:val="00CC2DC7"/>
    <w:rsid w:val="00CC3272"/>
    <w:rsid w:val="00CC3744"/>
    <w:rsid w:val="00CC498E"/>
    <w:rsid w:val="00CC61DA"/>
    <w:rsid w:val="00CC7AAE"/>
    <w:rsid w:val="00CD0944"/>
    <w:rsid w:val="00CD24D4"/>
    <w:rsid w:val="00CD265C"/>
    <w:rsid w:val="00CD6FB6"/>
    <w:rsid w:val="00CE0716"/>
    <w:rsid w:val="00CE2105"/>
    <w:rsid w:val="00CE250B"/>
    <w:rsid w:val="00CE299F"/>
    <w:rsid w:val="00CE3FF8"/>
    <w:rsid w:val="00CE4675"/>
    <w:rsid w:val="00CE79A2"/>
    <w:rsid w:val="00D030CB"/>
    <w:rsid w:val="00D050B0"/>
    <w:rsid w:val="00D064C0"/>
    <w:rsid w:val="00D21726"/>
    <w:rsid w:val="00D23263"/>
    <w:rsid w:val="00D24346"/>
    <w:rsid w:val="00D25A6B"/>
    <w:rsid w:val="00D4195D"/>
    <w:rsid w:val="00D41EA6"/>
    <w:rsid w:val="00D4469D"/>
    <w:rsid w:val="00D47D1E"/>
    <w:rsid w:val="00D55E05"/>
    <w:rsid w:val="00D57AC8"/>
    <w:rsid w:val="00D6195B"/>
    <w:rsid w:val="00D64E41"/>
    <w:rsid w:val="00D66034"/>
    <w:rsid w:val="00D704A7"/>
    <w:rsid w:val="00D76B1F"/>
    <w:rsid w:val="00D84303"/>
    <w:rsid w:val="00D84318"/>
    <w:rsid w:val="00D87339"/>
    <w:rsid w:val="00D977C5"/>
    <w:rsid w:val="00DA3648"/>
    <w:rsid w:val="00DA6F23"/>
    <w:rsid w:val="00DB35A5"/>
    <w:rsid w:val="00DB51F8"/>
    <w:rsid w:val="00DB55CD"/>
    <w:rsid w:val="00DB6BDF"/>
    <w:rsid w:val="00DC1810"/>
    <w:rsid w:val="00DC4624"/>
    <w:rsid w:val="00DC674F"/>
    <w:rsid w:val="00DD09B9"/>
    <w:rsid w:val="00DD1A00"/>
    <w:rsid w:val="00DD1AAB"/>
    <w:rsid w:val="00DD1EE8"/>
    <w:rsid w:val="00DE07B6"/>
    <w:rsid w:val="00DE2A9B"/>
    <w:rsid w:val="00DF7FAD"/>
    <w:rsid w:val="00E02AB2"/>
    <w:rsid w:val="00E04ED3"/>
    <w:rsid w:val="00E0534B"/>
    <w:rsid w:val="00E0568E"/>
    <w:rsid w:val="00E057B2"/>
    <w:rsid w:val="00E07CB6"/>
    <w:rsid w:val="00E11F9D"/>
    <w:rsid w:val="00E134B3"/>
    <w:rsid w:val="00E2280B"/>
    <w:rsid w:val="00E22C60"/>
    <w:rsid w:val="00E24DAB"/>
    <w:rsid w:val="00E25154"/>
    <w:rsid w:val="00E25B1F"/>
    <w:rsid w:val="00E301D2"/>
    <w:rsid w:val="00E3072A"/>
    <w:rsid w:val="00E3655C"/>
    <w:rsid w:val="00E4382D"/>
    <w:rsid w:val="00E44E48"/>
    <w:rsid w:val="00E4604D"/>
    <w:rsid w:val="00E46AF3"/>
    <w:rsid w:val="00E46DC1"/>
    <w:rsid w:val="00E50438"/>
    <w:rsid w:val="00E50B2A"/>
    <w:rsid w:val="00E50C8F"/>
    <w:rsid w:val="00E524D4"/>
    <w:rsid w:val="00E53140"/>
    <w:rsid w:val="00E552CB"/>
    <w:rsid w:val="00E572B3"/>
    <w:rsid w:val="00E64939"/>
    <w:rsid w:val="00E6555E"/>
    <w:rsid w:val="00E67FA4"/>
    <w:rsid w:val="00E70522"/>
    <w:rsid w:val="00E726A8"/>
    <w:rsid w:val="00E7270D"/>
    <w:rsid w:val="00E7279E"/>
    <w:rsid w:val="00E729B9"/>
    <w:rsid w:val="00E7590C"/>
    <w:rsid w:val="00E81E6C"/>
    <w:rsid w:val="00E866E3"/>
    <w:rsid w:val="00E91A3F"/>
    <w:rsid w:val="00E91E74"/>
    <w:rsid w:val="00E94B65"/>
    <w:rsid w:val="00E96317"/>
    <w:rsid w:val="00EA28D2"/>
    <w:rsid w:val="00EA5489"/>
    <w:rsid w:val="00EA61EF"/>
    <w:rsid w:val="00EA7E4D"/>
    <w:rsid w:val="00EB117F"/>
    <w:rsid w:val="00EB2349"/>
    <w:rsid w:val="00EB6365"/>
    <w:rsid w:val="00EB72D1"/>
    <w:rsid w:val="00EC3715"/>
    <w:rsid w:val="00EC4E0F"/>
    <w:rsid w:val="00EC59EF"/>
    <w:rsid w:val="00EC7681"/>
    <w:rsid w:val="00ED17F8"/>
    <w:rsid w:val="00ED2821"/>
    <w:rsid w:val="00EE061B"/>
    <w:rsid w:val="00EE073D"/>
    <w:rsid w:val="00EE1677"/>
    <w:rsid w:val="00EE5DF0"/>
    <w:rsid w:val="00EF54E5"/>
    <w:rsid w:val="00EF5BD4"/>
    <w:rsid w:val="00F01AC9"/>
    <w:rsid w:val="00F04257"/>
    <w:rsid w:val="00F05CF9"/>
    <w:rsid w:val="00F10230"/>
    <w:rsid w:val="00F11142"/>
    <w:rsid w:val="00F178D0"/>
    <w:rsid w:val="00F213C6"/>
    <w:rsid w:val="00F227FC"/>
    <w:rsid w:val="00F3214A"/>
    <w:rsid w:val="00F33CEE"/>
    <w:rsid w:val="00F42D3D"/>
    <w:rsid w:val="00F4546D"/>
    <w:rsid w:val="00F51E28"/>
    <w:rsid w:val="00F53E63"/>
    <w:rsid w:val="00F62FD7"/>
    <w:rsid w:val="00F648E4"/>
    <w:rsid w:val="00F649E3"/>
    <w:rsid w:val="00F65A56"/>
    <w:rsid w:val="00F664A5"/>
    <w:rsid w:val="00F66EDB"/>
    <w:rsid w:val="00F66EE9"/>
    <w:rsid w:val="00F70317"/>
    <w:rsid w:val="00F72604"/>
    <w:rsid w:val="00F72C95"/>
    <w:rsid w:val="00F737E4"/>
    <w:rsid w:val="00F74F04"/>
    <w:rsid w:val="00F7576E"/>
    <w:rsid w:val="00F7627D"/>
    <w:rsid w:val="00F77EF2"/>
    <w:rsid w:val="00F90F86"/>
    <w:rsid w:val="00F965DA"/>
    <w:rsid w:val="00FA4520"/>
    <w:rsid w:val="00FA5138"/>
    <w:rsid w:val="00FA6183"/>
    <w:rsid w:val="00FA663A"/>
    <w:rsid w:val="00FA77CE"/>
    <w:rsid w:val="00FB738F"/>
    <w:rsid w:val="00FC196F"/>
    <w:rsid w:val="00FC349F"/>
    <w:rsid w:val="00FD2558"/>
    <w:rsid w:val="00FD632E"/>
    <w:rsid w:val="00FD6455"/>
    <w:rsid w:val="00FD7188"/>
    <w:rsid w:val="00FE0D5C"/>
    <w:rsid w:val="00FE2C42"/>
    <w:rsid w:val="00FE35D4"/>
    <w:rsid w:val="00FE63B4"/>
    <w:rsid w:val="00FE6BC5"/>
    <w:rsid w:val="00FF1CA7"/>
    <w:rsid w:val="00FF55D6"/>
    <w:rsid w:val="00FF7550"/>
  </w:rsids>
  <m:mathPr>
    <m:mathFont m:val="Cambria Math"/>
    <m:brkBin m:val="before"/>
    <m:brkBinSub m:val="--"/>
    <m:smallFrac m:val="off"/>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martTagType w:namespaceuri="schemas-tilde-lv/tildestengine" w:name="currency2"/>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20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96317"/>
    <w:pPr>
      <w:widowControl w:val="0"/>
      <w:tabs>
        <w:tab w:val="center" w:pos="4153"/>
        <w:tab w:val="right" w:pos="8306"/>
      </w:tabs>
      <w:adjustRightInd w:val="0"/>
      <w:spacing w:line="360" w:lineRule="atLeast"/>
      <w:jc w:val="both"/>
      <w:textAlignment w:val="baseline"/>
    </w:pPr>
  </w:style>
  <w:style w:type="character" w:styleId="Hyperlink">
    <w:name w:val="Hyperlink"/>
    <w:basedOn w:val="DefaultParagraphFont"/>
    <w:uiPriority w:val="99"/>
    <w:rsid w:val="00444EDC"/>
    <w:rPr>
      <w:color w:val="0000FF"/>
      <w:u w:val="single"/>
    </w:rPr>
  </w:style>
  <w:style w:type="paragraph" w:styleId="Footer">
    <w:name w:val="footer"/>
    <w:basedOn w:val="Normal"/>
    <w:rsid w:val="005224FC"/>
    <w:pPr>
      <w:tabs>
        <w:tab w:val="center" w:pos="4153"/>
        <w:tab w:val="right" w:pos="8306"/>
      </w:tabs>
    </w:pPr>
  </w:style>
  <w:style w:type="paragraph" w:styleId="BalloonText">
    <w:name w:val="Balloon Text"/>
    <w:basedOn w:val="Normal"/>
    <w:link w:val="BalloonTextChar"/>
    <w:uiPriority w:val="99"/>
    <w:semiHidden/>
    <w:rsid w:val="00130797"/>
    <w:rPr>
      <w:rFonts w:ascii="Tahoma" w:hAnsi="Tahoma" w:cs="Tahoma"/>
      <w:sz w:val="16"/>
      <w:szCs w:val="16"/>
    </w:rPr>
  </w:style>
  <w:style w:type="character" w:customStyle="1" w:styleId="HeaderChar">
    <w:name w:val="Header Char"/>
    <w:basedOn w:val="DefaultParagraphFont"/>
    <w:link w:val="Header"/>
    <w:rsid w:val="00E726A8"/>
    <w:rPr>
      <w:sz w:val="24"/>
      <w:szCs w:val="24"/>
    </w:rPr>
  </w:style>
  <w:style w:type="paragraph" w:styleId="NormalWeb">
    <w:name w:val="Normal (Web)"/>
    <w:basedOn w:val="Normal"/>
    <w:rsid w:val="00AE6AF9"/>
    <w:pPr>
      <w:spacing w:before="100" w:beforeAutospacing="1" w:after="100" w:afterAutospacing="1"/>
    </w:pPr>
    <w:rPr>
      <w:lang w:val="en-GB" w:eastAsia="en-US"/>
    </w:rPr>
  </w:style>
  <w:style w:type="paragraph" w:styleId="BodyText">
    <w:name w:val="Body Text"/>
    <w:basedOn w:val="Normal"/>
    <w:link w:val="BodyTextChar"/>
    <w:rsid w:val="004B2408"/>
    <w:pPr>
      <w:spacing w:after="120"/>
    </w:pPr>
  </w:style>
  <w:style w:type="character" w:customStyle="1" w:styleId="BodyTextChar">
    <w:name w:val="Body Text Char"/>
    <w:basedOn w:val="DefaultParagraphFont"/>
    <w:link w:val="BodyText"/>
    <w:rsid w:val="004B2408"/>
    <w:rPr>
      <w:sz w:val="24"/>
      <w:szCs w:val="24"/>
    </w:rPr>
  </w:style>
  <w:style w:type="paragraph" w:customStyle="1" w:styleId="naisf">
    <w:name w:val="naisf"/>
    <w:basedOn w:val="Normal"/>
    <w:rsid w:val="001D1A28"/>
    <w:pPr>
      <w:spacing w:before="75" w:after="75"/>
      <w:ind w:firstLine="375"/>
      <w:jc w:val="both"/>
    </w:pPr>
  </w:style>
  <w:style w:type="character" w:customStyle="1" w:styleId="BalloonTextChar">
    <w:name w:val="Balloon Text Char"/>
    <w:basedOn w:val="DefaultParagraphFont"/>
    <w:link w:val="BalloonText"/>
    <w:uiPriority w:val="99"/>
    <w:semiHidden/>
    <w:rsid w:val="00384894"/>
    <w:rPr>
      <w:rFonts w:ascii="Tahoma" w:hAnsi="Tahoma" w:cs="Tahoma"/>
      <w:sz w:val="16"/>
      <w:szCs w:val="16"/>
    </w:rPr>
  </w:style>
  <w:style w:type="paragraph" w:styleId="ListParagraph">
    <w:name w:val="List Paragraph"/>
    <w:basedOn w:val="Normal"/>
    <w:uiPriority w:val="34"/>
    <w:qFormat/>
    <w:rsid w:val="001A5D33"/>
    <w:pPr>
      <w:widowControl w:val="0"/>
      <w:spacing w:before="60" w:after="60" w:line="360" w:lineRule="auto"/>
      <w:ind w:left="720" w:firstLine="720"/>
      <w:contextualSpacing/>
      <w:jc w:val="both"/>
    </w:pPr>
    <w:rPr>
      <w:sz w:val="26"/>
      <w:szCs w:val="20"/>
      <w:lang w:val="en-AU" w:eastAsia="en-US"/>
    </w:rPr>
  </w:style>
  <w:style w:type="character" w:styleId="CommentReference">
    <w:name w:val="annotation reference"/>
    <w:basedOn w:val="DefaultParagraphFont"/>
    <w:rsid w:val="002C2B2E"/>
    <w:rPr>
      <w:sz w:val="16"/>
      <w:szCs w:val="16"/>
    </w:rPr>
  </w:style>
  <w:style w:type="paragraph" w:styleId="CommentText">
    <w:name w:val="annotation text"/>
    <w:basedOn w:val="Normal"/>
    <w:link w:val="CommentTextChar"/>
    <w:rsid w:val="002C2B2E"/>
    <w:rPr>
      <w:sz w:val="20"/>
      <w:szCs w:val="20"/>
    </w:rPr>
  </w:style>
  <w:style w:type="character" w:customStyle="1" w:styleId="CommentTextChar">
    <w:name w:val="Comment Text Char"/>
    <w:basedOn w:val="DefaultParagraphFont"/>
    <w:link w:val="CommentText"/>
    <w:rsid w:val="002C2B2E"/>
  </w:style>
  <w:style w:type="paragraph" w:styleId="CommentSubject">
    <w:name w:val="annotation subject"/>
    <w:basedOn w:val="CommentText"/>
    <w:next w:val="CommentText"/>
    <w:link w:val="CommentSubjectChar"/>
    <w:rsid w:val="002C2B2E"/>
    <w:rPr>
      <w:b/>
      <w:bCs/>
    </w:rPr>
  </w:style>
  <w:style w:type="character" w:customStyle="1" w:styleId="CommentSubjectChar">
    <w:name w:val="Comment Subject Char"/>
    <w:basedOn w:val="CommentTextChar"/>
    <w:link w:val="CommentSubject"/>
    <w:rsid w:val="002C2B2E"/>
    <w:rPr>
      <w:b/>
      <w:bCs/>
    </w:rPr>
  </w:style>
  <w:style w:type="character" w:customStyle="1" w:styleId="EE-paragrCharCharChar1">
    <w:name w:val="EE-paragr Char Char Char1"/>
    <w:basedOn w:val="DefaultParagraphFont"/>
    <w:link w:val="EE-paragrCharChar"/>
    <w:locked/>
    <w:rsid w:val="00E301D2"/>
    <w:rPr>
      <w:bCs/>
      <w:sz w:val="28"/>
      <w:szCs w:val="28"/>
    </w:rPr>
  </w:style>
  <w:style w:type="paragraph" w:customStyle="1" w:styleId="EE-paragrCharChar">
    <w:name w:val="EE-paragr Char Char"/>
    <w:basedOn w:val="Normal"/>
    <w:link w:val="EE-paragrCharCharChar1"/>
    <w:autoRedefine/>
    <w:rsid w:val="00E301D2"/>
    <w:pPr>
      <w:ind w:firstLine="720"/>
      <w:jc w:val="both"/>
    </w:pPr>
    <w:rPr>
      <w:bCs/>
      <w:sz w:val="28"/>
      <w:szCs w:val="28"/>
    </w:rPr>
  </w:style>
  <w:style w:type="character" w:styleId="PageNumber">
    <w:name w:val="page number"/>
    <w:basedOn w:val="DefaultParagraphFont"/>
    <w:rsid w:val="00E301D2"/>
  </w:style>
  <w:style w:type="paragraph" w:customStyle="1" w:styleId="naiskr">
    <w:name w:val="naiskr"/>
    <w:basedOn w:val="Normal"/>
    <w:rsid w:val="005F1F3C"/>
    <w:pPr>
      <w:spacing w:before="75" w:after="75"/>
    </w:pPr>
  </w:style>
  <w:style w:type="paragraph" w:customStyle="1" w:styleId="Default">
    <w:name w:val="Default"/>
    <w:rsid w:val="005B0E6D"/>
    <w:pPr>
      <w:autoSpaceDE w:val="0"/>
      <w:autoSpaceDN w:val="0"/>
      <w:adjustRightInd w:val="0"/>
    </w:pPr>
    <w:rPr>
      <w:color w:val="000000"/>
      <w:sz w:val="24"/>
      <w:szCs w:val="24"/>
    </w:rPr>
  </w:style>
  <w:style w:type="character" w:styleId="Strong">
    <w:name w:val="Strong"/>
    <w:basedOn w:val="DefaultParagraphFont"/>
    <w:uiPriority w:val="22"/>
    <w:qFormat/>
    <w:rsid w:val="005B3504"/>
    <w:rPr>
      <w:b/>
      <w:bCs/>
    </w:rPr>
  </w:style>
  <w:style w:type="character" w:styleId="Emphasis">
    <w:name w:val="Emphasis"/>
    <w:basedOn w:val="DefaultParagraphFont"/>
    <w:uiPriority w:val="20"/>
    <w:qFormat/>
    <w:rsid w:val="00C96DFE"/>
    <w:rPr>
      <w:b/>
      <w:bCs/>
    </w:rPr>
  </w:style>
  <w:style w:type="character" w:customStyle="1" w:styleId="st">
    <w:name w:val="st"/>
    <w:basedOn w:val="DefaultParagraphFont"/>
    <w:rsid w:val="00C96DFE"/>
  </w:style>
</w:styles>
</file>

<file path=word/webSettings.xml><?xml version="1.0" encoding="utf-8"?>
<w:webSettings xmlns:r="http://schemas.openxmlformats.org/officeDocument/2006/relationships" xmlns:w="http://schemas.openxmlformats.org/wordprocessingml/2006/main">
  <w:divs>
    <w:div w:id="245116148">
      <w:bodyDiv w:val="1"/>
      <w:marLeft w:val="0"/>
      <w:marRight w:val="0"/>
      <w:marTop w:val="0"/>
      <w:marBottom w:val="0"/>
      <w:divBdr>
        <w:top w:val="none" w:sz="0" w:space="0" w:color="auto"/>
        <w:left w:val="none" w:sz="0" w:space="0" w:color="auto"/>
        <w:bottom w:val="none" w:sz="0" w:space="0" w:color="auto"/>
        <w:right w:val="none" w:sz="0" w:space="0" w:color="auto"/>
      </w:divBdr>
    </w:div>
    <w:div w:id="818956146">
      <w:bodyDiv w:val="1"/>
      <w:marLeft w:val="45"/>
      <w:marRight w:val="45"/>
      <w:marTop w:val="90"/>
      <w:marBottom w:val="90"/>
      <w:divBdr>
        <w:top w:val="none" w:sz="0" w:space="0" w:color="auto"/>
        <w:left w:val="none" w:sz="0" w:space="0" w:color="auto"/>
        <w:bottom w:val="none" w:sz="0" w:space="0" w:color="auto"/>
        <w:right w:val="none" w:sz="0" w:space="0" w:color="auto"/>
      </w:divBdr>
      <w:divsChild>
        <w:div w:id="323511034">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CELEX:32006R1828:LV: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fondi.iz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lex.europa.eu/LexUriServ/LexUriServ.do?uri=CELEX:32006R1828:LV:HTML" TargetMode="External"/><Relationship Id="rId4" Type="http://schemas.openxmlformats.org/officeDocument/2006/relationships/settings" Target="settings.xml"/><Relationship Id="rId9" Type="http://schemas.openxmlformats.org/officeDocument/2006/relationships/hyperlink" Target="http://eur-lex.europa.eu/LexUriServ/LexUriServ.do?uri=CELEX:32006R1828:LV: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7822F-CE7E-4246-88E8-A398598C7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11</Pages>
  <Words>2434</Words>
  <Characters>17823</Characters>
  <Application>Microsoft Office Word</Application>
  <DocSecurity>0</DocSecurity>
  <Lines>810</Lines>
  <Paragraphs>349</Paragraphs>
  <ScaleCrop>false</ScaleCrop>
  <HeadingPairs>
    <vt:vector size="2" baseType="variant">
      <vt:variant>
        <vt:lpstr>Title</vt:lpstr>
      </vt:variant>
      <vt:variant>
        <vt:i4>1</vt:i4>
      </vt:variant>
    </vt:vector>
  </HeadingPairs>
  <TitlesOfParts>
    <vt:vector size="1" baseType="lpstr">
      <vt:lpstr>Ministru kabineta noteikumu projekta „Noteikumi par darbības programmas „Cilvēkresursi un nodarbinātība” papildinājuma 1.1.1.2.aktivitātes „Cilvēkresursu piesaiste zinātnei” otro projektu iesniegumu atlases kārtu” sākotnējās ietekmes novērtējuma ziņojums </vt:lpstr>
    </vt:vector>
  </TitlesOfParts>
  <Company>Microsoft Corporation</Company>
  <LinksUpToDate>false</LinksUpToDate>
  <CharactersWithSpaces>19908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darbības programmas „Cilvēkresursi un nodarbinātība” papildinājuma 1.1.1.2.aktivitātes „Cilvēkresursu piesaiste zinātnei” otro projektu iesniegumu atlases kārtu” sākotnējās ietekmes novērtējuma ziņojums (anotācija)</dc:title>
  <dc:subject>Anotācija</dc:subject>
  <dc:creator>Inta Švirksta</dc:creator>
  <dc:description>inta.svirksta@izm.gov.lv, talr. 67047882</dc:description>
  <cp:lastModifiedBy>eusare</cp:lastModifiedBy>
  <cp:revision>37</cp:revision>
  <cp:lastPrinted>2012-09-20T06:33:00Z</cp:lastPrinted>
  <dcterms:created xsi:type="dcterms:W3CDTF">2012-09-28T08:05:00Z</dcterms:created>
  <dcterms:modified xsi:type="dcterms:W3CDTF">2012-10-05T09:02:00Z</dcterms:modified>
  <cp:category>IZM</cp:category>
</cp:coreProperties>
</file>