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D1" w:rsidRDefault="00B703D1" w:rsidP="00B703D1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436DE0">
        <w:rPr>
          <w:b/>
          <w:sz w:val="28"/>
          <w:szCs w:val="28"/>
        </w:rPr>
        <w:t>Grozījum</w:t>
      </w:r>
      <w:r w:rsidR="00DA79C6">
        <w:rPr>
          <w:b/>
          <w:sz w:val="28"/>
          <w:szCs w:val="28"/>
        </w:rPr>
        <w:t>i</w:t>
      </w:r>
      <w:r w:rsidRPr="00436DE0">
        <w:rPr>
          <w:b/>
          <w:sz w:val="28"/>
          <w:szCs w:val="28"/>
        </w:rPr>
        <w:t xml:space="preserve"> Ministru kabineta </w:t>
      </w:r>
      <w:r>
        <w:rPr>
          <w:b/>
          <w:sz w:val="28"/>
          <w:szCs w:val="28"/>
        </w:rPr>
        <w:t xml:space="preserve">2005. gada </w:t>
      </w:r>
      <w:proofErr w:type="spellStart"/>
      <w:r>
        <w:rPr>
          <w:b/>
          <w:sz w:val="28"/>
          <w:szCs w:val="28"/>
        </w:rPr>
        <w:t>18.oktobra</w:t>
      </w:r>
      <w:proofErr w:type="spellEnd"/>
      <w:r>
        <w:rPr>
          <w:b/>
          <w:sz w:val="28"/>
          <w:szCs w:val="28"/>
        </w:rPr>
        <w:t xml:space="preserve"> noteikumos </w:t>
      </w:r>
      <w:proofErr w:type="spellStart"/>
      <w:r w:rsidRPr="00436DE0">
        <w:rPr>
          <w:b/>
          <w:sz w:val="28"/>
          <w:szCs w:val="28"/>
        </w:rPr>
        <w:t>Nr.</w:t>
      </w:r>
      <w:r>
        <w:rPr>
          <w:b/>
          <w:sz w:val="28"/>
          <w:szCs w:val="28"/>
        </w:rPr>
        <w:t>779</w:t>
      </w:r>
      <w:proofErr w:type="spellEnd"/>
      <w:r w:rsidRPr="00436DE0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 xml:space="preserve">Noteikumi par vispārējās izglītības iestāžu pedagoģiskā procesa organizēšanai nepieciešamo obligāto dokumentāciju </w:t>
      </w:r>
      <w:bookmarkEnd w:id="0"/>
      <w:bookmarkEnd w:id="1"/>
      <w:r w:rsidRPr="00436DE0">
        <w:rPr>
          <w:b/>
          <w:sz w:val="28"/>
          <w:szCs w:val="28"/>
        </w:rPr>
        <w:t>"</w:t>
      </w:r>
    </w:p>
    <w:p w:rsidR="00781A2F" w:rsidRPr="00781A2F" w:rsidRDefault="00781A2F" w:rsidP="00B703D1">
      <w:pPr>
        <w:jc w:val="center"/>
        <w:rPr>
          <w:b/>
          <w:sz w:val="28"/>
          <w:szCs w:val="28"/>
        </w:rPr>
      </w:pPr>
      <w:r w:rsidRPr="00781A2F">
        <w:rPr>
          <w:b/>
          <w:sz w:val="28"/>
          <w:szCs w:val="28"/>
        </w:rPr>
        <w:t>(anotācija</w:t>
      </w:r>
      <w:r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0"/>
        <w:gridCol w:w="4315"/>
        <w:gridCol w:w="4860"/>
      </w:tblGrid>
      <w:tr w:rsidR="00781A2F" w:rsidRPr="002316BF" w:rsidTr="003A152E">
        <w:tc>
          <w:tcPr>
            <w:tcW w:w="9725" w:type="dxa"/>
            <w:gridSpan w:val="3"/>
            <w:vAlign w:val="center"/>
          </w:tcPr>
          <w:p w:rsidR="00781A2F" w:rsidRPr="002316BF" w:rsidRDefault="00781A2F" w:rsidP="003A152E">
            <w:pPr>
              <w:pStyle w:val="naisnod"/>
              <w:spacing w:before="0" w:after="0"/>
            </w:pPr>
            <w:r w:rsidRPr="002316BF">
              <w:t>I. Tiesību akta projekta izstrādes nepieciešamība</w:t>
            </w:r>
          </w:p>
        </w:tc>
      </w:tr>
      <w:tr w:rsidR="00781A2F" w:rsidRPr="002316BF" w:rsidTr="003A152E">
        <w:trPr>
          <w:trHeight w:val="630"/>
        </w:trPr>
        <w:tc>
          <w:tcPr>
            <w:tcW w:w="550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1.</w:t>
            </w:r>
          </w:p>
        </w:tc>
        <w:tc>
          <w:tcPr>
            <w:tcW w:w="4315" w:type="dxa"/>
          </w:tcPr>
          <w:p w:rsidR="00781A2F" w:rsidRPr="002316BF" w:rsidRDefault="00781A2F" w:rsidP="003A152E">
            <w:pPr>
              <w:pStyle w:val="naiskr"/>
              <w:spacing w:before="0" w:after="0"/>
              <w:ind w:hanging="10"/>
            </w:pPr>
            <w:r w:rsidRPr="002316BF">
              <w:t>Pamatojums</w:t>
            </w:r>
          </w:p>
        </w:tc>
        <w:tc>
          <w:tcPr>
            <w:tcW w:w="4860" w:type="dxa"/>
          </w:tcPr>
          <w:p w:rsidR="00CF3160" w:rsidRPr="002316BF" w:rsidRDefault="00E24FAD" w:rsidP="00CB2127">
            <w:pPr>
              <w:jc w:val="both"/>
            </w:pPr>
            <w:r>
              <w:t xml:space="preserve">Pamatojoties uz Valdības rīcības plāna </w:t>
            </w:r>
            <w:proofErr w:type="spellStart"/>
            <w:r>
              <w:t>1.2.punktā</w:t>
            </w:r>
            <w:proofErr w:type="spellEnd"/>
            <w:r>
              <w:t xml:space="preserve"> noteikto - v</w:t>
            </w:r>
            <w:r w:rsidRPr="00F24DE6">
              <w:t>eicināt skolu autonomiju un individualitāti, nodrošināt elastību vispārējās izglītības satura izstrādē un īstenošanā</w:t>
            </w:r>
            <w:r w:rsidR="00CB2127">
              <w:t xml:space="preserve"> un Ministru kabineta </w:t>
            </w:r>
            <w:proofErr w:type="spellStart"/>
            <w:r w:rsidR="00CB2127">
              <w:t>2011.gada</w:t>
            </w:r>
            <w:proofErr w:type="spellEnd"/>
            <w:r w:rsidR="00CB2127">
              <w:t xml:space="preserve"> </w:t>
            </w:r>
            <w:proofErr w:type="spellStart"/>
            <w:r w:rsidR="00CB2127">
              <w:t>9.novembra</w:t>
            </w:r>
            <w:proofErr w:type="spellEnd"/>
            <w:r w:rsidR="00CB2127">
              <w:t xml:space="preserve"> rīkojuma </w:t>
            </w:r>
            <w:proofErr w:type="spellStart"/>
            <w:r w:rsidR="00CB2127">
              <w:t>Nr.592</w:t>
            </w:r>
            <w:proofErr w:type="spellEnd"/>
            <w:r w:rsidR="00CB2127">
              <w:t xml:space="preserve"> „Izglītības iestāžu uzraudzības un kontroles pasākumu samazināšanas plāns” kopsavilkuma </w:t>
            </w:r>
            <w:proofErr w:type="spellStart"/>
            <w:r w:rsidR="00CB2127">
              <w:t>4.punktu</w:t>
            </w:r>
            <w:proofErr w:type="spellEnd"/>
            <w:r w:rsidR="00CB2127">
              <w:t>, kur Izglītības un zinātnes ministrijai dots uzdevums optimizēt obligātās dokumentācijas apjomu pedagogu metodiskajā darbā</w:t>
            </w:r>
            <w:r>
              <w:t xml:space="preserve">, Izglītības un zinātnes ministrija ir sagatavojusi grozījumus Ministru kabineta </w:t>
            </w:r>
            <w:proofErr w:type="spellStart"/>
            <w:r>
              <w:t>2005.gada</w:t>
            </w:r>
            <w:proofErr w:type="spellEnd"/>
            <w:r>
              <w:t xml:space="preserve"> </w:t>
            </w:r>
            <w:proofErr w:type="spellStart"/>
            <w:r>
              <w:t>18.oktobra</w:t>
            </w:r>
            <w:proofErr w:type="spellEnd"/>
            <w:r>
              <w:t xml:space="preserve"> noteikumos </w:t>
            </w:r>
            <w:proofErr w:type="spellStart"/>
            <w:r>
              <w:t>Nr.779</w:t>
            </w:r>
            <w:proofErr w:type="spellEnd"/>
            <w:r>
              <w:t xml:space="preserve"> „Noteikumi par vispārējās izglītības iestāžu pedagoģiskā procesa organizēšanai nepieciešamo obligāto dokumentāciju” </w:t>
            </w:r>
          </w:p>
        </w:tc>
      </w:tr>
      <w:tr w:rsidR="00781A2F" w:rsidRPr="002316BF" w:rsidTr="003A152E">
        <w:trPr>
          <w:trHeight w:val="472"/>
        </w:trPr>
        <w:tc>
          <w:tcPr>
            <w:tcW w:w="550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2.</w:t>
            </w:r>
          </w:p>
        </w:tc>
        <w:tc>
          <w:tcPr>
            <w:tcW w:w="4315" w:type="dxa"/>
          </w:tcPr>
          <w:p w:rsidR="00781A2F" w:rsidRPr="002316BF" w:rsidRDefault="00781A2F" w:rsidP="003A152E">
            <w:pPr>
              <w:pStyle w:val="naiskr"/>
              <w:tabs>
                <w:tab w:val="left" w:pos="170"/>
              </w:tabs>
              <w:spacing w:before="0" w:after="0"/>
            </w:pPr>
            <w:r w:rsidRPr="002316BF">
              <w:t>Pašreizējā situācija un problēmas</w:t>
            </w:r>
          </w:p>
        </w:tc>
        <w:tc>
          <w:tcPr>
            <w:tcW w:w="4860" w:type="dxa"/>
          </w:tcPr>
          <w:p w:rsidR="006B3F87" w:rsidRDefault="007870BD" w:rsidP="00B703D1">
            <w:pPr>
              <w:ind w:firstLine="527"/>
              <w:jc w:val="both"/>
            </w:pPr>
            <w:r>
              <w:t xml:space="preserve">Ministru kabineta </w:t>
            </w:r>
            <w:proofErr w:type="spellStart"/>
            <w:r>
              <w:t>200</w:t>
            </w:r>
            <w:r w:rsidR="00B703D1">
              <w:t>5</w:t>
            </w:r>
            <w:r>
              <w:t>.gada</w:t>
            </w:r>
            <w:proofErr w:type="spellEnd"/>
            <w:r w:rsidR="00B703D1">
              <w:t xml:space="preserve"> </w:t>
            </w:r>
            <w:proofErr w:type="spellStart"/>
            <w:r w:rsidR="00B703D1">
              <w:t>18.oktobra</w:t>
            </w:r>
            <w:proofErr w:type="spellEnd"/>
            <w:r w:rsidR="00B703D1">
              <w:t xml:space="preserve"> </w:t>
            </w:r>
            <w:r>
              <w:t xml:space="preserve"> noteikumi </w:t>
            </w:r>
            <w:proofErr w:type="spellStart"/>
            <w:r>
              <w:t>Nr</w:t>
            </w:r>
            <w:r w:rsidR="00B703D1">
              <w:t>.779</w:t>
            </w:r>
            <w:proofErr w:type="spellEnd"/>
            <w:r>
              <w:t xml:space="preserve"> „</w:t>
            </w:r>
            <w:r w:rsidR="00B703D1">
              <w:t xml:space="preserve">Noteikumi par vispārējās izglītības iestāžu pedagoģiskā procesa organizēšanai nepieciešamo obligāto dokumentāciju” (turpmāk – noteikumi) nosaka  vispārējās izglītības iestādes pedagoģiskās procesa organizēšanai nepieciešamo obligāto dokumentāciju. </w:t>
            </w:r>
          </w:p>
          <w:p w:rsidR="00CB2127" w:rsidRDefault="00CB2127" w:rsidP="00B703D1">
            <w:pPr>
              <w:ind w:firstLine="527"/>
              <w:jc w:val="both"/>
            </w:pPr>
            <w:r>
              <w:t xml:space="preserve">Noteikumu </w:t>
            </w:r>
            <w:proofErr w:type="spellStart"/>
            <w:r>
              <w:t>2.5.apakšpunkts</w:t>
            </w:r>
            <w:proofErr w:type="spellEnd"/>
            <w:r>
              <w:t xml:space="preserve"> paredz pirmsskolas izglītības skolotāja dienasgrāmatu kā obligāto izglītības iestādes dokumentu.</w:t>
            </w:r>
          </w:p>
          <w:p w:rsidR="00B703D1" w:rsidRDefault="00E24FAD" w:rsidP="006B3F87">
            <w:pPr>
              <w:ind w:firstLine="527"/>
              <w:jc w:val="both"/>
            </w:pPr>
            <w:r>
              <w:t>Mācību priekšmeta tematiskais plānojums ir skolotāja individuālais darba dokuments, kas apliecina pedagoga radošo brīvību</w:t>
            </w:r>
            <w:r w:rsidR="006B3F87">
              <w:t>.</w:t>
            </w:r>
          </w:p>
          <w:p w:rsidR="00026161" w:rsidRPr="002316BF" w:rsidRDefault="00CB2127" w:rsidP="00CB2127">
            <w:pPr>
              <w:ind w:firstLine="527"/>
              <w:jc w:val="both"/>
            </w:pPr>
            <w:r>
              <w:t>Pirmsskolas izglītības skolotāja dienasgrāmata un t</w:t>
            </w:r>
            <w:r w:rsidR="00026161">
              <w:t>ematiskie plāni ir izglītības iestādes obligātās dokumentācijas sastāvdaļa, kas dod iespēju kontrolējošām institūcijām tos pārbaudīt un izvirzīt nevajadzīgas un birokrātiskās prasības, tādējādi ierobežojot pedagogu radošo brīvību organizējot savu darbu.</w:t>
            </w:r>
          </w:p>
        </w:tc>
      </w:tr>
      <w:tr w:rsidR="00781A2F" w:rsidRPr="002316BF" w:rsidTr="004F6C1A">
        <w:trPr>
          <w:trHeight w:val="625"/>
        </w:trPr>
        <w:tc>
          <w:tcPr>
            <w:tcW w:w="550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3.</w:t>
            </w:r>
          </w:p>
        </w:tc>
        <w:tc>
          <w:tcPr>
            <w:tcW w:w="4315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Saistītie politikas ietekmes novērtējumi un pētījumi</w:t>
            </w:r>
          </w:p>
        </w:tc>
        <w:tc>
          <w:tcPr>
            <w:tcW w:w="4860" w:type="dxa"/>
          </w:tcPr>
          <w:p w:rsidR="00781A2F" w:rsidRPr="002316BF" w:rsidRDefault="00781A2F" w:rsidP="001A299D">
            <w:pPr>
              <w:pStyle w:val="FootnoteText"/>
              <w:tabs>
                <w:tab w:val="left" w:pos="3478"/>
              </w:tabs>
              <w:ind w:firstLine="527"/>
              <w:rPr>
                <w:sz w:val="24"/>
                <w:szCs w:val="24"/>
              </w:rPr>
            </w:pPr>
            <w:r w:rsidRPr="002316BF">
              <w:rPr>
                <w:sz w:val="24"/>
                <w:szCs w:val="24"/>
              </w:rPr>
              <w:t>Nav attiecināms</w:t>
            </w:r>
            <w:r w:rsidR="00D97D4A">
              <w:rPr>
                <w:sz w:val="24"/>
                <w:szCs w:val="24"/>
              </w:rPr>
              <w:t>.</w:t>
            </w:r>
            <w:r w:rsidR="001A299D">
              <w:rPr>
                <w:sz w:val="24"/>
                <w:szCs w:val="24"/>
              </w:rPr>
              <w:tab/>
            </w:r>
          </w:p>
        </w:tc>
      </w:tr>
      <w:tr w:rsidR="00781A2F" w:rsidRPr="002316BF" w:rsidTr="003A152E">
        <w:trPr>
          <w:trHeight w:val="384"/>
        </w:trPr>
        <w:tc>
          <w:tcPr>
            <w:tcW w:w="550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4.</w:t>
            </w:r>
          </w:p>
        </w:tc>
        <w:tc>
          <w:tcPr>
            <w:tcW w:w="4315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Tiesiskā regulējuma mērķis un būtība</w:t>
            </w:r>
          </w:p>
        </w:tc>
        <w:tc>
          <w:tcPr>
            <w:tcW w:w="4860" w:type="dxa"/>
          </w:tcPr>
          <w:p w:rsidR="00131610" w:rsidRPr="002316BF" w:rsidRDefault="0026620F" w:rsidP="00CB2127">
            <w:pPr>
              <w:pStyle w:val="CommentText"/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6620F">
              <w:rPr>
                <w:sz w:val="24"/>
                <w:szCs w:val="24"/>
              </w:rPr>
              <w:t>Grozījum</w:t>
            </w:r>
            <w:r w:rsidR="00CB2127">
              <w:rPr>
                <w:sz w:val="24"/>
                <w:szCs w:val="24"/>
              </w:rPr>
              <w:t>i</w:t>
            </w:r>
            <w:r w:rsidR="00B703D1">
              <w:rPr>
                <w:sz w:val="24"/>
                <w:szCs w:val="24"/>
              </w:rPr>
              <w:t xml:space="preserve"> </w:t>
            </w:r>
            <w:r w:rsidR="00FA40D4" w:rsidRPr="00FA40D4">
              <w:rPr>
                <w:sz w:val="24"/>
                <w:szCs w:val="24"/>
              </w:rPr>
              <w:t xml:space="preserve">Ministru kabineta </w:t>
            </w:r>
            <w:proofErr w:type="spellStart"/>
            <w:r w:rsidR="00FA40D4" w:rsidRPr="00FA40D4">
              <w:rPr>
                <w:sz w:val="24"/>
                <w:szCs w:val="24"/>
              </w:rPr>
              <w:t>2005.gada</w:t>
            </w:r>
            <w:proofErr w:type="spellEnd"/>
            <w:r w:rsidR="00FA40D4" w:rsidRPr="00FA40D4">
              <w:rPr>
                <w:sz w:val="24"/>
                <w:szCs w:val="24"/>
              </w:rPr>
              <w:t xml:space="preserve"> </w:t>
            </w:r>
            <w:proofErr w:type="spellStart"/>
            <w:r w:rsidR="00FA40D4" w:rsidRPr="00FA40D4">
              <w:rPr>
                <w:sz w:val="24"/>
                <w:szCs w:val="24"/>
              </w:rPr>
              <w:t>18.oktobra</w:t>
            </w:r>
            <w:proofErr w:type="spellEnd"/>
            <w:r w:rsidR="00FA40D4" w:rsidRPr="00FA40D4">
              <w:rPr>
                <w:sz w:val="24"/>
                <w:szCs w:val="24"/>
              </w:rPr>
              <w:t xml:space="preserve">  noteikumi </w:t>
            </w:r>
            <w:proofErr w:type="spellStart"/>
            <w:r w:rsidR="00FA40D4" w:rsidRPr="00FA40D4">
              <w:rPr>
                <w:sz w:val="24"/>
                <w:szCs w:val="24"/>
              </w:rPr>
              <w:t>Nr.779</w:t>
            </w:r>
            <w:proofErr w:type="spellEnd"/>
            <w:r w:rsidR="00FA40D4" w:rsidRPr="00FA40D4">
              <w:rPr>
                <w:sz w:val="24"/>
                <w:szCs w:val="24"/>
              </w:rPr>
              <w:t xml:space="preserve"> „Noteikumi par vispārējās izglītības iestāžu pedagoģiskā procesa organizēšanai nepieciešamo obligāto dokumentāciju”</w:t>
            </w:r>
            <w:r w:rsidRPr="0026620F">
              <w:rPr>
                <w:sz w:val="24"/>
                <w:szCs w:val="24"/>
              </w:rPr>
              <w:t xml:space="preserve"> </w:t>
            </w:r>
            <w:r w:rsidR="00FA40D4">
              <w:rPr>
                <w:sz w:val="24"/>
                <w:szCs w:val="24"/>
              </w:rPr>
              <w:t>svītrojot</w:t>
            </w:r>
            <w:r w:rsidR="00CB2127">
              <w:rPr>
                <w:sz w:val="24"/>
                <w:szCs w:val="24"/>
              </w:rPr>
              <w:t xml:space="preserve"> 2.5., apakšpunktu un </w:t>
            </w:r>
            <w:r w:rsidR="00FA40D4">
              <w:rPr>
                <w:sz w:val="24"/>
                <w:szCs w:val="24"/>
              </w:rPr>
              <w:t xml:space="preserve"> </w:t>
            </w:r>
            <w:r w:rsidR="00FA40D4">
              <w:rPr>
                <w:sz w:val="24"/>
                <w:szCs w:val="24"/>
                <w:lang w:eastAsia="lv-LV"/>
              </w:rPr>
              <w:lastRenderedPageBreak/>
              <w:t>3.5.</w:t>
            </w:r>
            <w:r w:rsidR="00E24FAD">
              <w:rPr>
                <w:sz w:val="24"/>
                <w:szCs w:val="24"/>
                <w:lang w:eastAsia="lv-LV"/>
              </w:rPr>
              <w:t xml:space="preserve"> </w:t>
            </w:r>
            <w:r w:rsidR="00FA40D4">
              <w:rPr>
                <w:sz w:val="24"/>
                <w:szCs w:val="24"/>
                <w:lang w:eastAsia="lv-LV"/>
              </w:rPr>
              <w:t>punktā vārdus „mācību priekšmetu tematiskie plāni”</w:t>
            </w:r>
            <w:r w:rsidR="00CB2127">
              <w:rPr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="00CB2127">
              <w:rPr>
                <w:sz w:val="24"/>
                <w:szCs w:val="24"/>
                <w:lang w:eastAsia="lv-LV"/>
              </w:rPr>
              <w:t>4.punktā</w:t>
            </w:r>
            <w:proofErr w:type="spellEnd"/>
            <w:r w:rsidR="00CB2127">
              <w:rPr>
                <w:sz w:val="24"/>
                <w:szCs w:val="24"/>
                <w:lang w:eastAsia="lv-LV"/>
              </w:rPr>
              <w:t xml:space="preserve"> atsauci uz 2.5. apakšpunktu</w:t>
            </w:r>
            <w:r w:rsidR="00FA40D4">
              <w:rPr>
                <w:sz w:val="24"/>
                <w:szCs w:val="24"/>
                <w:lang w:eastAsia="lv-LV"/>
              </w:rPr>
              <w:t xml:space="preserve"> mazinātu </w:t>
            </w:r>
            <w:r w:rsidR="00CB2127">
              <w:rPr>
                <w:sz w:val="24"/>
                <w:szCs w:val="24"/>
                <w:lang w:eastAsia="lv-LV"/>
              </w:rPr>
              <w:t xml:space="preserve">administratīvo (birokrātisko) slogu </w:t>
            </w:r>
            <w:r w:rsidR="00FA40D4">
              <w:rPr>
                <w:sz w:val="24"/>
                <w:szCs w:val="24"/>
                <w:lang w:eastAsia="lv-LV"/>
              </w:rPr>
              <w:t xml:space="preserve">pedagogiem. </w:t>
            </w:r>
          </w:p>
        </w:tc>
      </w:tr>
      <w:tr w:rsidR="00781A2F" w:rsidRPr="002316BF" w:rsidTr="003A152E">
        <w:trPr>
          <w:trHeight w:val="476"/>
        </w:trPr>
        <w:tc>
          <w:tcPr>
            <w:tcW w:w="550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lastRenderedPageBreak/>
              <w:t>5.</w:t>
            </w:r>
          </w:p>
        </w:tc>
        <w:tc>
          <w:tcPr>
            <w:tcW w:w="4315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Projekta izstrādē iesaistītās institūcijas</w:t>
            </w:r>
          </w:p>
        </w:tc>
        <w:tc>
          <w:tcPr>
            <w:tcW w:w="4860" w:type="dxa"/>
          </w:tcPr>
          <w:p w:rsidR="00781A2F" w:rsidRPr="002316BF" w:rsidRDefault="00FA40D4" w:rsidP="007870BD">
            <w:pPr>
              <w:pStyle w:val="naiskr"/>
              <w:spacing w:before="0" w:after="0"/>
              <w:ind w:firstLine="527"/>
            </w:pPr>
            <w:r>
              <w:t>Nav.</w:t>
            </w:r>
          </w:p>
        </w:tc>
      </w:tr>
      <w:tr w:rsidR="00781A2F" w:rsidRPr="002316BF" w:rsidTr="004F6C1A">
        <w:trPr>
          <w:trHeight w:val="889"/>
        </w:trPr>
        <w:tc>
          <w:tcPr>
            <w:tcW w:w="550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6.</w:t>
            </w:r>
          </w:p>
        </w:tc>
        <w:tc>
          <w:tcPr>
            <w:tcW w:w="4315" w:type="dxa"/>
          </w:tcPr>
          <w:p w:rsidR="00781A2F" w:rsidRPr="002316BF" w:rsidRDefault="00781A2F" w:rsidP="003A152E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2316BF">
              <w:t>Iemesli, kādēļ netika nodrošināta sabiedrības līdzdalība</w:t>
            </w:r>
          </w:p>
        </w:tc>
        <w:tc>
          <w:tcPr>
            <w:tcW w:w="4860" w:type="dxa"/>
          </w:tcPr>
          <w:p w:rsidR="00781A2F" w:rsidRPr="004F6C1A" w:rsidRDefault="006C4504" w:rsidP="00D97D68">
            <w:pPr>
              <w:pStyle w:val="FootnoteText"/>
              <w:ind w:firstLine="5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</w:t>
            </w:r>
          </w:p>
        </w:tc>
      </w:tr>
      <w:tr w:rsidR="00781A2F" w:rsidRPr="002316BF" w:rsidTr="003A152E">
        <w:tc>
          <w:tcPr>
            <w:tcW w:w="550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7.</w:t>
            </w:r>
          </w:p>
        </w:tc>
        <w:tc>
          <w:tcPr>
            <w:tcW w:w="4315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Cita informācija</w:t>
            </w:r>
          </w:p>
        </w:tc>
        <w:tc>
          <w:tcPr>
            <w:tcW w:w="4860" w:type="dxa"/>
          </w:tcPr>
          <w:p w:rsidR="00781A2F" w:rsidRPr="002316BF" w:rsidRDefault="00781A2F" w:rsidP="00D97D68">
            <w:pPr>
              <w:pStyle w:val="naiskr"/>
              <w:spacing w:before="0" w:after="0"/>
              <w:ind w:firstLine="527"/>
            </w:pPr>
            <w:r w:rsidRPr="002316BF">
              <w:t>Nav</w:t>
            </w:r>
            <w:r w:rsidR="00AA44A0">
              <w:t>.</w:t>
            </w:r>
          </w:p>
        </w:tc>
      </w:tr>
    </w:tbl>
    <w:p w:rsidR="00781A2F" w:rsidRDefault="00781A2F" w:rsidP="00781A2F">
      <w:pPr>
        <w:rPr>
          <w:i/>
          <w:sz w:val="28"/>
          <w:szCs w:val="28"/>
        </w:rPr>
      </w:pPr>
    </w:p>
    <w:tbl>
      <w:tblPr>
        <w:tblW w:w="9795" w:type="dxa"/>
        <w:jc w:val="center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6"/>
        <w:gridCol w:w="4159"/>
        <w:gridCol w:w="4990"/>
      </w:tblGrid>
      <w:tr w:rsidR="00781A2F" w:rsidRPr="002316BF" w:rsidTr="0029225C">
        <w:trPr>
          <w:jc w:val="center"/>
        </w:trPr>
        <w:tc>
          <w:tcPr>
            <w:tcW w:w="9795" w:type="dxa"/>
            <w:gridSpan w:val="3"/>
          </w:tcPr>
          <w:p w:rsidR="00CF3160" w:rsidRPr="006A38E0" w:rsidRDefault="00781A2F" w:rsidP="00CF3160">
            <w:pPr>
              <w:pStyle w:val="naisnod"/>
              <w:spacing w:before="0" w:after="0"/>
              <w:ind w:left="57" w:right="57"/>
            </w:pPr>
            <w:r w:rsidRPr="006A38E0">
              <w:t>VI. Sabiedrības līdzdalība un šīs līdzdalības rezultāti</w:t>
            </w:r>
          </w:p>
        </w:tc>
      </w:tr>
      <w:tr w:rsidR="00781A2F" w:rsidRPr="002316BF" w:rsidTr="0029225C">
        <w:trPr>
          <w:trHeight w:val="553"/>
          <w:jc w:val="center"/>
        </w:trPr>
        <w:tc>
          <w:tcPr>
            <w:tcW w:w="646" w:type="dxa"/>
          </w:tcPr>
          <w:p w:rsidR="00781A2F" w:rsidRPr="002316BF" w:rsidRDefault="00781A2F" w:rsidP="003A152E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2316BF">
              <w:rPr>
                <w:bCs/>
              </w:rPr>
              <w:t>1.</w:t>
            </w:r>
          </w:p>
        </w:tc>
        <w:tc>
          <w:tcPr>
            <w:tcW w:w="4159" w:type="dxa"/>
          </w:tcPr>
          <w:p w:rsidR="00781A2F" w:rsidRPr="002316BF" w:rsidRDefault="00781A2F" w:rsidP="003A152E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2316BF">
              <w:t>Sabiedrības informēšana par projekta izstrādes uzsākšanu</w:t>
            </w:r>
          </w:p>
        </w:tc>
        <w:tc>
          <w:tcPr>
            <w:tcW w:w="4990" w:type="dxa"/>
          </w:tcPr>
          <w:p w:rsidR="00781A2F" w:rsidRPr="002316BF" w:rsidRDefault="006D0B43" w:rsidP="00FA40D4">
            <w:pPr>
              <w:pStyle w:val="naiskr"/>
              <w:spacing w:before="0" w:after="0"/>
              <w:ind w:left="57" w:right="57" w:firstLine="37"/>
              <w:jc w:val="both"/>
            </w:pPr>
            <w:r w:rsidRPr="00B71C06">
              <w:t>Sabiedrības informēšanas pasākumi –</w:t>
            </w:r>
            <w:r>
              <w:t xml:space="preserve"> </w:t>
            </w:r>
            <w:r w:rsidRPr="00B71C06">
              <w:t>informācija</w:t>
            </w:r>
            <w:r>
              <w:t xml:space="preserve"> sniegta</w:t>
            </w:r>
            <w:r w:rsidRPr="00B71C06">
              <w:t xml:space="preserve"> </w:t>
            </w:r>
            <w:r>
              <w:t>novadu un republikas pilsētu i</w:t>
            </w:r>
            <w:r w:rsidRPr="00B71C06">
              <w:t xml:space="preserve">zglītības </w:t>
            </w:r>
            <w:r>
              <w:t>speciālistu</w:t>
            </w:r>
            <w:r w:rsidRPr="00B71C06">
              <w:t xml:space="preserve"> seminārā</w:t>
            </w:r>
            <w:r w:rsidR="00FA40D4">
              <w:t>.</w:t>
            </w:r>
            <w:r>
              <w:t xml:space="preserve"> </w:t>
            </w:r>
          </w:p>
        </w:tc>
      </w:tr>
      <w:tr w:rsidR="00781A2F" w:rsidRPr="002316BF" w:rsidTr="0029225C">
        <w:trPr>
          <w:trHeight w:val="339"/>
          <w:jc w:val="center"/>
        </w:trPr>
        <w:tc>
          <w:tcPr>
            <w:tcW w:w="646" w:type="dxa"/>
          </w:tcPr>
          <w:p w:rsidR="00781A2F" w:rsidRPr="002316BF" w:rsidRDefault="00781A2F" w:rsidP="003A152E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2316BF">
              <w:rPr>
                <w:bCs/>
              </w:rPr>
              <w:t>2.</w:t>
            </w:r>
          </w:p>
        </w:tc>
        <w:tc>
          <w:tcPr>
            <w:tcW w:w="4159" w:type="dxa"/>
          </w:tcPr>
          <w:p w:rsidR="00781A2F" w:rsidRPr="002316BF" w:rsidRDefault="00781A2F" w:rsidP="003A152E">
            <w:pPr>
              <w:pStyle w:val="naiskr"/>
              <w:spacing w:before="0" w:after="0"/>
              <w:ind w:left="57" w:right="57"/>
            </w:pPr>
            <w:r w:rsidRPr="002316BF">
              <w:t xml:space="preserve">Sabiedrības līdzdalība projekta izstrādē </w:t>
            </w:r>
          </w:p>
        </w:tc>
        <w:tc>
          <w:tcPr>
            <w:tcW w:w="4990" w:type="dxa"/>
          </w:tcPr>
          <w:p w:rsidR="00781A2F" w:rsidRPr="002316BF" w:rsidRDefault="00DA79C6" w:rsidP="00DA79C6">
            <w:pPr>
              <w:pStyle w:val="naiskr"/>
              <w:spacing w:before="0" w:after="0"/>
              <w:ind w:right="57" w:firstLine="519"/>
              <w:jc w:val="both"/>
            </w:pPr>
            <w:r>
              <w:t>Izglītības un zinātnes ministrijas vispārējās izglītības reforma plāna izstrādes darba grupas.</w:t>
            </w:r>
          </w:p>
        </w:tc>
      </w:tr>
      <w:tr w:rsidR="00781A2F" w:rsidRPr="002316BF" w:rsidTr="0029225C">
        <w:trPr>
          <w:trHeight w:val="375"/>
          <w:jc w:val="center"/>
        </w:trPr>
        <w:tc>
          <w:tcPr>
            <w:tcW w:w="646" w:type="dxa"/>
          </w:tcPr>
          <w:p w:rsidR="00781A2F" w:rsidRPr="002316BF" w:rsidRDefault="00781A2F" w:rsidP="003A152E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2316BF">
              <w:rPr>
                <w:bCs/>
              </w:rPr>
              <w:t>3.</w:t>
            </w:r>
          </w:p>
        </w:tc>
        <w:tc>
          <w:tcPr>
            <w:tcW w:w="4159" w:type="dxa"/>
          </w:tcPr>
          <w:p w:rsidR="00781A2F" w:rsidRPr="002316BF" w:rsidRDefault="00781A2F" w:rsidP="003A152E">
            <w:pPr>
              <w:pStyle w:val="naiskr"/>
              <w:spacing w:before="0" w:after="0"/>
              <w:ind w:left="57" w:right="57"/>
            </w:pPr>
            <w:r w:rsidRPr="002316BF">
              <w:t xml:space="preserve">Sabiedrības līdzdalības rezultāti </w:t>
            </w:r>
          </w:p>
        </w:tc>
        <w:tc>
          <w:tcPr>
            <w:tcW w:w="4990" w:type="dxa"/>
          </w:tcPr>
          <w:p w:rsidR="00781A2F" w:rsidRPr="002316BF" w:rsidRDefault="00DA79C6" w:rsidP="00DA79C6">
            <w:pPr>
              <w:pStyle w:val="naiskr"/>
              <w:spacing w:before="0" w:after="0"/>
              <w:ind w:right="57" w:firstLine="519"/>
              <w:jc w:val="both"/>
            </w:pPr>
            <w:r>
              <w:t xml:space="preserve"> Atbalsta.</w:t>
            </w:r>
          </w:p>
        </w:tc>
      </w:tr>
      <w:tr w:rsidR="00781A2F" w:rsidRPr="002316BF" w:rsidTr="0029225C">
        <w:trPr>
          <w:trHeight w:val="397"/>
          <w:jc w:val="center"/>
        </w:trPr>
        <w:tc>
          <w:tcPr>
            <w:tcW w:w="646" w:type="dxa"/>
          </w:tcPr>
          <w:p w:rsidR="00781A2F" w:rsidRPr="002316BF" w:rsidRDefault="00781A2F" w:rsidP="003A152E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2316BF">
              <w:rPr>
                <w:bCs/>
              </w:rPr>
              <w:t>4.</w:t>
            </w:r>
          </w:p>
        </w:tc>
        <w:tc>
          <w:tcPr>
            <w:tcW w:w="4159" w:type="dxa"/>
          </w:tcPr>
          <w:p w:rsidR="00781A2F" w:rsidRPr="002316BF" w:rsidRDefault="00781A2F" w:rsidP="003A152E">
            <w:pPr>
              <w:pStyle w:val="naiskr"/>
              <w:spacing w:before="0" w:after="0"/>
              <w:ind w:left="57" w:right="57"/>
            </w:pPr>
            <w:r w:rsidRPr="002316BF">
              <w:t>Saeimas un ekspertu līdzdalība</w:t>
            </w:r>
          </w:p>
        </w:tc>
        <w:tc>
          <w:tcPr>
            <w:tcW w:w="4990" w:type="dxa"/>
          </w:tcPr>
          <w:p w:rsidR="00781A2F" w:rsidRPr="002316BF" w:rsidRDefault="00781A2F" w:rsidP="00D97D68">
            <w:pPr>
              <w:pStyle w:val="naiskr"/>
              <w:spacing w:before="0" w:after="0"/>
              <w:ind w:left="57" w:right="57" w:firstLine="617"/>
              <w:jc w:val="both"/>
            </w:pPr>
            <w:r w:rsidRPr="002316BF">
              <w:t>Konsultācijas ar ekspertiem netika veiktas.</w:t>
            </w:r>
          </w:p>
          <w:p w:rsidR="00781A2F" w:rsidRPr="002316BF" w:rsidRDefault="00781A2F" w:rsidP="003A152E">
            <w:pPr>
              <w:pStyle w:val="naiskr"/>
              <w:spacing w:before="0" w:after="0"/>
              <w:ind w:left="57" w:right="57"/>
              <w:jc w:val="both"/>
            </w:pPr>
          </w:p>
        </w:tc>
      </w:tr>
      <w:tr w:rsidR="00781A2F" w:rsidRPr="002316BF" w:rsidTr="0029225C">
        <w:trPr>
          <w:trHeight w:val="476"/>
          <w:jc w:val="center"/>
        </w:trPr>
        <w:tc>
          <w:tcPr>
            <w:tcW w:w="646" w:type="dxa"/>
          </w:tcPr>
          <w:p w:rsidR="00781A2F" w:rsidRPr="002316BF" w:rsidRDefault="00781A2F" w:rsidP="003A152E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2316BF">
              <w:rPr>
                <w:bCs/>
              </w:rPr>
              <w:t>5.</w:t>
            </w:r>
          </w:p>
        </w:tc>
        <w:tc>
          <w:tcPr>
            <w:tcW w:w="4159" w:type="dxa"/>
          </w:tcPr>
          <w:p w:rsidR="00781A2F" w:rsidRPr="002316BF" w:rsidRDefault="00781A2F" w:rsidP="003A152E">
            <w:pPr>
              <w:pStyle w:val="naiskr"/>
              <w:spacing w:before="0" w:after="0"/>
              <w:ind w:left="57" w:right="57"/>
            </w:pPr>
            <w:r w:rsidRPr="002316BF">
              <w:t>Cita informācija</w:t>
            </w:r>
          </w:p>
          <w:p w:rsidR="00781A2F" w:rsidRPr="002316BF" w:rsidRDefault="00781A2F" w:rsidP="003A152E">
            <w:pPr>
              <w:pStyle w:val="naiskr"/>
              <w:spacing w:before="0" w:after="0"/>
              <w:ind w:left="57" w:right="57"/>
            </w:pPr>
          </w:p>
        </w:tc>
        <w:tc>
          <w:tcPr>
            <w:tcW w:w="4990" w:type="dxa"/>
          </w:tcPr>
          <w:p w:rsidR="00781A2F" w:rsidRPr="002316BF" w:rsidRDefault="00781A2F" w:rsidP="00D97D68">
            <w:pPr>
              <w:pStyle w:val="naiskr"/>
              <w:spacing w:before="0" w:after="0"/>
              <w:ind w:left="57" w:right="57" w:firstLine="617"/>
              <w:jc w:val="both"/>
            </w:pPr>
            <w:r w:rsidRPr="002316BF">
              <w:t>Nav</w:t>
            </w:r>
            <w:r w:rsidR="00AA44A0">
              <w:t>.</w:t>
            </w:r>
          </w:p>
        </w:tc>
      </w:tr>
    </w:tbl>
    <w:p w:rsidR="00781A2F" w:rsidRPr="007C0F2C" w:rsidRDefault="00781A2F" w:rsidP="00781A2F">
      <w:pPr>
        <w:pStyle w:val="naisf"/>
        <w:spacing w:before="0" w:after="0"/>
        <w:rPr>
          <w:sz w:val="28"/>
          <w:szCs w:val="28"/>
        </w:rPr>
      </w:pP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4253"/>
        <w:gridCol w:w="4961"/>
      </w:tblGrid>
      <w:tr w:rsidR="00781A2F" w:rsidRPr="00B71C06" w:rsidTr="0029225C"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781A2F" w:rsidRPr="00B71C06" w:rsidRDefault="00781A2F" w:rsidP="003A152E">
            <w:pPr>
              <w:pStyle w:val="naisnod"/>
              <w:spacing w:before="0" w:after="0"/>
              <w:ind w:left="57" w:right="57"/>
            </w:pPr>
            <w:r w:rsidRPr="00B71C06">
              <w:t>VII. Tiesību akta projekta izpildes nodrošināšana un tās ietekme uz institūcijām</w:t>
            </w:r>
          </w:p>
        </w:tc>
      </w:tr>
      <w:tr w:rsidR="00781A2F" w:rsidRPr="00B71C06" w:rsidTr="0029225C">
        <w:trPr>
          <w:trHeight w:val="427"/>
        </w:trPr>
        <w:tc>
          <w:tcPr>
            <w:tcW w:w="709" w:type="dxa"/>
          </w:tcPr>
          <w:p w:rsidR="00781A2F" w:rsidRPr="00B71C06" w:rsidRDefault="00781A2F" w:rsidP="003A152E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71C06">
              <w:rPr>
                <w:b w:val="0"/>
              </w:rPr>
              <w:t>1.</w:t>
            </w:r>
          </w:p>
        </w:tc>
        <w:tc>
          <w:tcPr>
            <w:tcW w:w="4253" w:type="dxa"/>
          </w:tcPr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 xml:space="preserve">Projekta izpildē iesaistītās institūcijas </w:t>
            </w:r>
          </w:p>
        </w:tc>
        <w:tc>
          <w:tcPr>
            <w:tcW w:w="4961" w:type="dxa"/>
          </w:tcPr>
          <w:p w:rsidR="00781A2F" w:rsidRPr="00CD5BF6" w:rsidRDefault="00026161" w:rsidP="00CD5BF6">
            <w:pPr>
              <w:pStyle w:val="naisnod"/>
              <w:spacing w:before="0" w:after="0"/>
              <w:ind w:left="57" w:right="57" w:firstLine="438"/>
              <w:jc w:val="both"/>
              <w:rPr>
                <w:b w:val="0"/>
              </w:rPr>
            </w:pPr>
            <w:r>
              <w:rPr>
                <w:b w:val="0"/>
              </w:rPr>
              <w:t>Nav.</w:t>
            </w:r>
          </w:p>
        </w:tc>
      </w:tr>
      <w:tr w:rsidR="00781A2F" w:rsidRPr="00B71C06" w:rsidTr="0029225C">
        <w:trPr>
          <w:trHeight w:val="463"/>
        </w:trPr>
        <w:tc>
          <w:tcPr>
            <w:tcW w:w="709" w:type="dxa"/>
          </w:tcPr>
          <w:p w:rsidR="00781A2F" w:rsidRPr="00B71C06" w:rsidRDefault="00781A2F" w:rsidP="003A152E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71C06">
              <w:rPr>
                <w:b w:val="0"/>
              </w:rPr>
              <w:t>2.</w:t>
            </w:r>
          </w:p>
        </w:tc>
        <w:tc>
          <w:tcPr>
            <w:tcW w:w="4253" w:type="dxa"/>
          </w:tcPr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 xml:space="preserve">Projekta izpildes ietekme uz pārvaldes funkcijām </w:t>
            </w:r>
          </w:p>
        </w:tc>
        <w:tc>
          <w:tcPr>
            <w:tcW w:w="4961" w:type="dxa"/>
          </w:tcPr>
          <w:p w:rsidR="00781A2F" w:rsidRPr="009D17BC" w:rsidRDefault="00781A2F" w:rsidP="00D97D68">
            <w:pPr>
              <w:pStyle w:val="naisnod"/>
              <w:spacing w:before="0" w:after="0"/>
              <w:ind w:left="57" w:right="57" w:firstLine="438"/>
              <w:jc w:val="left"/>
              <w:rPr>
                <w:b w:val="0"/>
              </w:rPr>
            </w:pPr>
            <w:r>
              <w:rPr>
                <w:b w:val="0"/>
              </w:rPr>
              <w:t>Nav attiecināms.</w:t>
            </w:r>
          </w:p>
        </w:tc>
      </w:tr>
      <w:tr w:rsidR="00781A2F" w:rsidRPr="00B71C06" w:rsidTr="0029225C">
        <w:trPr>
          <w:trHeight w:val="725"/>
        </w:trPr>
        <w:tc>
          <w:tcPr>
            <w:tcW w:w="709" w:type="dxa"/>
          </w:tcPr>
          <w:p w:rsidR="00781A2F" w:rsidRPr="00B71C06" w:rsidRDefault="00781A2F" w:rsidP="003A152E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71C06">
              <w:rPr>
                <w:b w:val="0"/>
              </w:rPr>
              <w:t>3.</w:t>
            </w:r>
          </w:p>
        </w:tc>
        <w:tc>
          <w:tcPr>
            <w:tcW w:w="4253" w:type="dxa"/>
          </w:tcPr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Projekta izpildes ietekme uz pārvaldes institucionālo struktūru.</w:t>
            </w:r>
          </w:p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Jaunu institūciju izveide</w:t>
            </w:r>
          </w:p>
        </w:tc>
        <w:tc>
          <w:tcPr>
            <w:tcW w:w="4961" w:type="dxa"/>
          </w:tcPr>
          <w:p w:rsidR="00781A2F" w:rsidRPr="00B71C06" w:rsidRDefault="00781A2F" w:rsidP="00D97D68">
            <w:pPr>
              <w:pStyle w:val="naisnod"/>
              <w:spacing w:before="0" w:after="0"/>
              <w:ind w:right="57" w:firstLine="495"/>
              <w:jc w:val="both"/>
              <w:rPr>
                <w:b w:val="0"/>
              </w:rPr>
            </w:pPr>
            <w:r w:rsidRPr="00CB3303">
              <w:rPr>
                <w:b w:val="0"/>
              </w:rPr>
              <w:t>Normatīvā akta izpilde tiks nodrošināta esošo institūciju ietvaros.</w:t>
            </w:r>
          </w:p>
        </w:tc>
      </w:tr>
      <w:tr w:rsidR="00781A2F" w:rsidRPr="00B71C06" w:rsidTr="0029225C">
        <w:trPr>
          <w:trHeight w:val="780"/>
        </w:trPr>
        <w:tc>
          <w:tcPr>
            <w:tcW w:w="709" w:type="dxa"/>
          </w:tcPr>
          <w:p w:rsidR="00781A2F" w:rsidRPr="00B71C06" w:rsidRDefault="00781A2F" w:rsidP="003A152E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71C06">
              <w:rPr>
                <w:b w:val="0"/>
              </w:rPr>
              <w:t>4.</w:t>
            </w:r>
          </w:p>
        </w:tc>
        <w:tc>
          <w:tcPr>
            <w:tcW w:w="4253" w:type="dxa"/>
          </w:tcPr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Projekta izpildes ietekme uz pārvaldes institucionālo struktūru.</w:t>
            </w:r>
          </w:p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Esošu institūciju likvidācija</w:t>
            </w:r>
          </w:p>
        </w:tc>
        <w:tc>
          <w:tcPr>
            <w:tcW w:w="4961" w:type="dxa"/>
          </w:tcPr>
          <w:p w:rsidR="00781A2F" w:rsidRPr="00B71C06" w:rsidRDefault="00781A2F" w:rsidP="00D97D68">
            <w:pPr>
              <w:pStyle w:val="naisnod"/>
              <w:spacing w:before="0" w:after="0"/>
              <w:ind w:right="57" w:firstLine="495"/>
              <w:jc w:val="left"/>
              <w:rPr>
                <w:b w:val="0"/>
              </w:rPr>
            </w:pPr>
            <w:r w:rsidRPr="00B71C06">
              <w:rPr>
                <w:b w:val="0"/>
              </w:rPr>
              <w:t>Nav attiecināms.</w:t>
            </w:r>
          </w:p>
        </w:tc>
      </w:tr>
      <w:tr w:rsidR="00781A2F" w:rsidRPr="00B71C06" w:rsidTr="0029225C">
        <w:trPr>
          <w:trHeight w:val="703"/>
        </w:trPr>
        <w:tc>
          <w:tcPr>
            <w:tcW w:w="709" w:type="dxa"/>
          </w:tcPr>
          <w:p w:rsidR="00781A2F" w:rsidRPr="00B71C06" w:rsidRDefault="00781A2F" w:rsidP="003A152E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71C06">
              <w:rPr>
                <w:b w:val="0"/>
              </w:rPr>
              <w:t>5.</w:t>
            </w:r>
          </w:p>
        </w:tc>
        <w:tc>
          <w:tcPr>
            <w:tcW w:w="4253" w:type="dxa"/>
          </w:tcPr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Projekta izpildes ietekme uz pārvaldes institucionālo struktūru.</w:t>
            </w:r>
          </w:p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Esošu institūciju reorganizācija</w:t>
            </w:r>
          </w:p>
        </w:tc>
        <w:tc>
          <w:tcPr>
            <w:tcW w:w="4961" w:type="dxa"/>
          </w:tcPr>
          <w:p w:rsidR="00781A2F" w:rsidRPr="00B71C06" w:rsidRDefault="00781A2F" w:rsidP="00D97D68">
            <w:pPr>
              <w:pStyle w:val="naisnod"/>
              <w:spacing w:before="0" w:after="0"/>
              <w:ind w:left="57" w:right="57" w:firstLine="438"/>
              <w:jc w:val="both"/>
              <w:rPr>
                <w:b w:val="0"/>
              </w:rPr>
            </w:pPr>
            <w:r w:rsidRPr="00B71C06">
              <w:rPr>
                <w:b w:val="0"/>
              </w:rPr>
              <w:t>Jaunas valsts institūcijas netiks radītas un esošo institūciju funkcijas netiks paplašinātas</w:t>
            </w:r>
            <w:r>
              <w:rPr>
                <w:b w:val="0"/>
              </w:rPr>
              <w:t>.</w:t>
            </w:r>
          </w:p>
        </w:tc>
      </w:tr>
      <w:tr w:rsidR="00781A2F" w:rsidRPr="00B71C06" w:rsidTr="0029225C">
        <w:trPr>
          <w:trHeight w:val="476"/>
        </w:trPr>
        <w:tc>
          <w:tcPr>
            <w:tcW w:w="709" w:type="dxa"/>
          </w:tcPr>
          <w:p w:rsidR="00781A2F" w:rsidRPr="00B71C06" w:rsidRDefault="00781A2F" w:rsidP="003A152E">
            <w:pPr>
              <w:pStyle w:val="naiskr"/>
              <w:spacing w:before="0" w:after="0"/>
              <w:ind w:left="57" w:right="57"/>
            </w:pPr>
            <w:r w:rsidRPr="00B71C06">
              <w:t>6.</w:t>
            </w:r>
          </w:p>
        </w:tc>
        <w:tc>
          <w:tcPr>
            <w:tcW w:w="4253" w:type="dxa"/>
          </w:tcPr>
          <w:p w:rsidR="00781A2F" w:rsidRPr="00B71C06" w:rsidRDefault="00781A2F" w:rsidP="003A152E">
            <w:pPr>
              <w:pStyle w:val="naiskr"/>
              <w:spacing w:before="0" w:after="0"/>
              <w:ind w:left="57" w:right="57"/>
            </w:pPr>
            <w:r w:rsidRPr="00B71C06">
              <w:t>Cita informācija</w:t>
            </w:r>
          </w:p>
        </w:tc>
        <w:tc>
          <w:tcPr>
            <w:tcW w:w="4961" w:type="dxa"/>
          </w:tcPr>
          <w:p w:rsidR="00781A2F" w:rsidRPr="00B71C06" w:rsidRDefault="00781A2F" w:rsidP="00D97D68">
            <w:pPr>
              <w:pStyle w:val="naiskr"/>
              <w:spacing w:before="0" w:after="0"/>
              <w:ind w:left="57" w:right="57" w:firstLine="438"/>
            </w:pPr>
            <w:r w:rsidRPr="00B71C06">
              <w:t>Nav</w:t>
            </w:r>
            <w:r w:rsidR="00AA44A0">
              <w:t>.</w:t>
            </w:r>
          </w:p>
        </w:tc>
      </w:tr>
    </w:tbl>
    <w:p w:rsidR="006A38E0" w:rsidRDefault="006A38E0" w:rsidP="00781A2F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6A38E0" w:rsidRDefault="006A38E0" w:rsidP="006A38E0">
      <w:pPr>
        <w:rPr>
          <w:i/>
          <w:sz w:val="28"/>
          <w:szCs w:val="28"/>
        </w:rPr>
      </w:pPr>
      <w:r w:rsidRPr="0001406B">
        <w:rPr>
          <w:i/>
          <w:sz w:val="28"/>
          <w:szCs w:val="28"/>
        </w:rPr>
        <w:t>Anot</w:t>
      </w:r>
      <w:r>
        <w:rPr>
          <w:i/>
          <w:sz w:val="28"/>
          <w:szCs w:val="28"/>
        </w:rPr>
        <w:t xml:space="preserve">ācijas II- IV, </w:t>
      </w:r>
      <w:r w:rsidRPr="0001406B">
        <w:rPr>
          <w:i/>
          <w:sz w:val="28"/>
          <w:szCs w:val="28"/>
        </w:rPr>
        <w:t>V sadaļa</w:t>
      </w:r>
      <w:r>
        <w:rPr>
          <w:i/>
          <w:sz w:val="28"/>
          <w:szCs w:val="28"/>
        </w:rPr>
        <w:t>s</w:t>
      </w:r>
      <w:r w:rsidRPr="0001406B">
        <w:rPr>
          <w:i/>
          <w:sz w:val="28"/>
          <w:szCs w:val="28"/>
        </w:rPr>
        <w:t xml:space="preserve"> - nav attiecināms.</w:t>
      </w:r>
    </w:p>
    <w:p w:rsidR="00781A2F" w:rsidRDefault="00781A2F" w:rsidP="00781A2F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6A38E0" w:rsidRPr="007C0F2C" w:rsidRDefault="006A38E0" w:rsidP="00781A2F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781A2F" w:rsidRPr="005B5B53" w:rsidRDefault="006A38E0" w:rsidP="00D97D68">
      <w:pPr>
        <w:pStyle w:val="naisf"/>
        <w:spacing w:before="0" w:after="0"/>
        <w:ind w:firstLine="720"/>
      </w:pPr>
      <w:r>
        <w:t>Izglītības un zinātnes ministrs</w:t>
      </w:r>
      <w:r w:rsidR="00781A2F" w:rsidRPr="005B5B53">
        <w:t xml:space="preserve">  </w:t>
      </w:r>
      <w:r w:rsidR="00781A2F" w:rsidRPr="005B5B53">
        <w:tab/>
      </w:r>
      <w:r w:rsidR="00781A2F" w:rsidRPr="005B5B53">
        <w:tab/>
      </w:r>
      <w:r w:rsidR="00781A2F" w:rsidRPr="005B5B53">
        <w:tab/>
      </w:r>
      <w:r w:rsidR="00781A2F" w:rsidRPr="005B5B53">
        <w:tab/>
        <w:t xml:space="preserve"> </w:t>
      </w:r>
      <w:r w:rsidR="003E4268">
        <w:t>R.Ķīlis</w:t>
      </w:r>
    </w:p>
    <w:p w:rsidR="00781A2F" w:rsidRPr="005B5B53" w:rsidRDefault="00781A2F" w:rsidP="00781A2F"/>
    <w:p w:rsidR="00781A2F" w:rsidRPr="005B5B53" w:rsidRDefault="00781A2F" w:rsidP="00781A2F"/>
    <w:p w:rsidR="00FA40D4" w:rsidRPr="00FA40D4" w:rsidRDefault="00FA40D4" w:rsidP="00FA40D4">
      <w:pPr>
        <w:ind w:firstLine="720"/>
        <w:rPr>
          <w:bCs/>
          <w:kern w:val="1"/>
        </w:rPr>
      </w:pPr>
      <w:r w:rsidRPr="00FA40D4">
        <w:t xml:space="preserve">Vizē: </w:t>
      </w:r>
    </w:p>
    <w:p w:rsidR="00FA40D4" w:rsidRPr="00FA40D4" w:rsidRDefault="00FA40D4" w:rsidP="00FA40D4">
      <w:pPr>
        <w:ind w:left="426" w:firstLine="294"/>
        <w:rPr>
          <w:bCs/>
          <w:kern w:val="1"/>
        </w:rPr>
      </w:pPr>
      <w:bookmarkStart w:id="2" w:name="str06"/>
      <w:bookmarkEnd w:id="2"/>
      <w:r w:rsidRPr="00FA40D4">
        <w:rPr>
          <w:bCs/>
          <w:kern w:val="1"/>
        </w:rPr>
        <w:lastRenderedPageBreak/>
        <w:t xml:space="preserve">Valsts sekretāra vietniece - Struktūrfondu un </w:t>
      </w:r>
    </w:p>
    <w:p w:rsidR="00FA40D4" w:rsidRPr="00FA40D4" w:rsidRDefault="00FA40D4" w:rsidP="00FA40D4">
      <w:pPr>
        <w:ind w:left="426" w:firstLine="294"/>
      </w:pPr>
      <w:r w:rsidRPr="00FA40D4">
        <w:rPr>
          <w:bCs/>
          <w:kern w:val="1"/>
        </w:rPr>
        <w:t>starptautisko finanšu instrumentu departamenta direktore</w:t>
      </w:r>
      <w:r w:rsidRPr="00FA40D4">
        <w:t>,</w:t>
      </w:r>
    </w:p>
    <w:p w:rsidR="00FA40D4" w:rsidRPr="00FA40D4" w:rsidRDefault="00FA40D4" w:rsidP="00FA40D4">
      <w:pPr>
        <w:ind w:firstLine="720"/>
      </w:pPr>
      <w:r w:rsidRPr="00FA40D4">
        <w:t xml:space="preserve">valsts sekretāra pienākumu izpildītāja </w:t>
      </w:r>
      <w:r w:rsidRPr="00FA40D4">
        <w:tab/>
      </w:r>
      <w:r w:rsidRPr="00FA40D4">
        <w:tab/>
      </w:r>
      <w:r w:rsidRPr="00FA40D4">
        <w:tab/>
      </w:r>
      <w:r w:rsidRPr="00FA40D4">
        <w:tab/>
      </w:r>
      <w:r w:rsidRPr="00FA40D4">
        <w:tab/>
        <w:t>L.Sīka</w:t>
      </w:r>
    </w:p>
    <w:p w:rsidR="001A299D" w:rsidRPr="00FA40D4" w:rsidRDefault="001A299D" w:rsidP="00781A2F">
      <w:pPr>
        <w:contextualSpacing/>
      </w:pPr>
    </w:p>
    <w:p w:rsidR="00FA40D4" w:rsidRDefault="00FA40D4" w:rsidP="00781A2F">
      <w:pPr>
        <w:contextualSpacing/>
        <w:rPr>
          <w:sz w:val="20"/>
          <w:szCs w:val="20"/>
        </w:rPr>
      </w:pPr>
    </w:p>
    <w:p w:rsidR="00FA40D4" w:rsidRDefault="00FA40D4" w:rsidP="00781A2F">
      <w:pPr>
        <w:contextualSpacing/>
        <w:rPr>
          <w:sz w:val="20"/>
          <w:szCs w:val="20"/>
        </w:rPr>
      </w:pPr>
    </w:p>
    <w:p w:rsidR="00781A2F" w:rsidRPr="002F5107" w:rsidRDefault="00EF428E" w:rsidP="00781A2F">
      <w:pPr>
        <w:contextualSpacing/>
        <w:rPr>
          <w:sz w:val="20"/>
          <w:szCs w:val="20"/>
        </w:rPr>
      </w:pPr>
      <w:r>
        <w:rPr>
          <w:sz w:val="20"/>
          <w:szCs w:val="20"/>
        </w:rPr>
        <w:t>0</w:t>
      </w:r>
      <w:r w:rsidR="006B3F87">
        <w:rPr>
          <w:sz w:val="20"/>
          <w:szCs w:val="20"/>
        </w:rPr>
        <w:t>7</w:t>
      </w:r>
      <w:r>
        <w:rPr>
          <w:sz w:val="20"/>
          <w:szCs w:val="20"/>
        </w:rPr>
        <w:t>.0</w:t>
      </w:r>
      <w:r w:rsidR="006B3F87">
        <w:rPr>
          <w:sz w:val="20"/>
          <w:szCs w:val="20"/>
        </w:rPr>
        <w:t>8</w:t>
      </w:r>
      <w:r>
        <w:rPr>
          <w:sz w:val="20"/>
          <w:szCs w:val="20"/>
        </w:rPr>
        <w:t>.2012.</w:t>
      </w:r>
    </w:p>
    <w:p w:rsidR="00781A2F" w:rsidRPr="002F5107" w:rsidRDefault="0082082F" w:rsidP="00781A2F">
      <w:pPr>
        <w:contextualSpacing/>
        <w:rPr>
          <w:sz w:val="20"/>
          <w:szCs w:val="20"/>
        </w:rPr>
      </w:pPr>
      <w:r>
        <w:rPr>
          <w:sz w:val="20"/>
          <w:szCs w:val="20"/>
        </w:rPr>
        <w:t>452</w:t>
      </w:r>
    </w:p>
    <w:p w:rsidR="00781A2F" w:rsidRPr="002F5107" w:rsidRDefault="0015043E" w:rsidP="00781A2F">
      <w:p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Dz.Mergupe-Kutraite</w:t>
      </w:r>
      <w:proofErr w:type="spellEnd"/>
    </w:p>
    <w:p w:rsidR="00781A2F" w:rsidRPr="002F5107" w:rsidRDefault="00781A2F" w:rsidP="00781A2F">
      <w:pPr>
        <w:contextualSpacing/>
        <w:rPr>
          <w:sz w:val="20"/>
          <w:szCs w:val="20"/>
        </w:rPr>
      </w:pPr>
      <w:r w:rsidRPr="002F5107">
        <w:rPr>
          <w:sz w:val="20"/>
          <w:szCs w:val="20"/>
        </w:rPr>
        <w:t>67047</w:t>
      </w:r>
      <w:r w:rsidR="0015043E">
        <w:rPr>
          <w:sz w:val="20"/>
          <w:szCs w:val="20"/>
        </w:rPr>
        <w:t>817</w:t>
      </w:r>
      <w:r w:rsidRPr="002F5107">
        <w:rPr>
          <w:sz w:val="20"/>
          <w:szCs w:val="20"/>
        </w:rPr>
        <w:t xml:space="preserve">, </w:t>
      </w:r>
      <w:proofErr w:type="spellStart"/>
      <w:r w:rsidR="0015043E">
        <w:rPr>
          <w:sz w:val="20"/>
          <w:szCs w:val="20"/>
        </w:rPr>
        <w:t>dzintra.mergupe@izm.gov.lv</w:t>
      </w:r>
      <w:proofErr w:type="spellEnd"/>
    </w:p>
    <w:sectPr w:rsidR="00781A2F" w:rsidRPr="002F5107" w:rsidSect="001A2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709" w:footer="23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CF6" w:rsidRDefault="00B03CF6" w:rsidP="00781A2F">
      <w:r>
        <w:separator/>
      </w:r>
    </w:p>
  </w:endnote>
  <w:endnote w:type="continuationSeparator" w:id="0">
    <w:p w:rsidR="00B03CF6" w:rsidRDefault="00B03CF6" w:rsidP="00781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28" w:rsidRDefault="007753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61" w:rsidRPr="00026161" w:rsidRDefault="00026161" w:rsidP="00026161">
    <w:pPr>
      <w:jc w:val="both"/>
      <w:rPr>
        <w:sz w:val="20"/>
        <w:szCs w:val="20"/>
      </w:rPr>
    </w:pPr>
    <w:proofErr w:type="spellStart"/>
    <w:r>
      <w:rPr>
        <w:sz w:val="20"/>
        <w:szCs w:val="20"/>
      </w:rPr>
      <w:t>IZMAnot_070812</w:t>
    </w:r>
    <w:r w:rsidRPr="00436DE0">
      <w:rPr>
        <w:sz w:val="20"/>
        <w:szCs w:val="20"/>
      </w:rPr>
      <w:t>_</w:t>
    </w:r>
    <w:r>
      <w:rPr>
        <w:sz w:val="20"/>
        <w:szCs w:val="20"/>
      </w:rPr>
      <w:t>dokument</w:t>
    </w:r>
    <w:proofErr w:type="spellEnd"/>
    <w:r>
      <w:rPr>
        <w:sz w:val="20"/>
        <w:szCs w:val="20"/>
      </w:rPr>
      <w:t>;</w:t>
    </w:r>
    <w:r w:rsidRPr="00436DE0">
      <w:rPr>
        <w:sz w:val="20"/>
        <w:szCs w:val="20"/>
      </w:rPr>
      <w:t>;</w:t>
    </w:r>
    <w:r w:rsidRPr="00026161">
      <w:rPr>
        <w:b/>
        <w:sz w:val="28"/>
        <w:szCs w:val="28"/>
      </w:rPr>
      <w:t xml:space="preserve"> </w:t>
    </w:r>
    <w:r w:rsidRPr="00026161">
      <w:rPr>
        <w:sz w:val="20"/>
        <w:szCs w:val="20"/>
      </w:rPr>
      <w:t>Grozījum</w:t>
    </w:r>
    <w:r w:rsidR="00775328">
      <w:rPr>
        <w:sz w:val="20"/>
        <w:szCs w:val="20"/>
      </w:rPr>
      <w:t>i</w:t>
    </w:r>
    <w:r w:rsidRPr="00026161">
      <w:rPr>
        <w:sz w:val="20"/>
        <w:szCs w:val="20"/>
      </w:rPr>
      <w:t xml:space="preserve"> Ministru kabineta 2005. gada </w:t>
    </w:r>
    <w:proofErr w:type="spellStart"/>
    <w:r w:rsidRPr="00026161">
      <w:rPr>
        <w:sz w:val="20"/>
        <w:szCs w:val="20"/>
      </w:rPr>
      <w:t>18.oktobra</w:t>
    </w:r>
    <w:proofErr w:type="spellEnd"/>
    <w:r w:rsidRPr="00026161">
      <w:rPr>
        <w:sz w:val="20"/>
        <w:szCs w:val="20"/>
      </w:rPr>
      <w:t xml:space="preserve"> noteikumos </w:t>
    </w:r>
    <w:proofErr w:type="spellStart"/>
    <w:r w:rsidRPr="00026161">
      <w:rPr>
        <w:sz w:val="20"/>
        <w:szCs w:val="20"/>
      </w:rPr>
      <w:t>Nr.779</w:t>
    </w:r>
    <w:proofErr w:type="spellEnd"/>
    <w:r w:rsidRPr="00026161">
      <w:rPr>
        <w:sz w:val="20"/>
        <w:szCs w:val="20"/>
      </w:rPr>
      <w:t xml:space="preserve"> "Noteikumi par vispārējās izglītības iestāžu pedagoģiskā procesa organizēšanai nepieciešamo obligāto dokumentāciju " (anotācija)</w:t>
    </w:r>
  </w:p>
  <w:p w:rsidR="00781A2F" w:rsidRPr="00026161" w:rsidRDefault="00781A2F" w:rsidP="000261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2F" w:rsidRPr="00026161" w:rsidRDefault="00FE081A" w:rsidP="00B96ED6">
    <w:pPr>
      <w:jc w:val="both"/>
      <w:rPr>
        <w:sz w:val="20"/>
        <w:szCs w:val="20"/>
      </w:rPr>
    </w:pPr>
    <w:proofErr w:type="spellStart"/>
    <w:r>
      <w:rPr>
        <w:sz w:val="20"/>
        <w:szCs w:val="20"/>
      </w:rPr>
      <w:t>IZMAnot_</w:t>
    </w:r>
    <w:r w:rsidR="00026161">
      <w:rPr>
        <w:sz w:val="20"/>
        <w:szCs w:val="20"/>
      </w:rPr>
      <w:t>070812</w:t>
    </w:r>
    <w:r w:rsidR="00B96ED6" w:rsidRPr="00436DE0">
      <w:rPr>
        <w:sz w:val="20"/>
        <w:szCs w:val="20"/>
      </w:rPr>
      <w:t>_</w:t>
    </w:r>
    <w:r w:rsidR="00026161">
      <w:rPr>
        <w:sz w:val="20"/>
        <w:szCs w:val="20"/>
      </w:rPr>
      <w:t>dokument</w:t>
    </w:r>
    <w:proofErr w:type="spellEnd"/>
    <w:r w:rsidR="00026161">
      <w:rPr>
        <w:sz w:val="20"/>
        <w:szCs w:val="20"/>
      </w:rPr>
      <w:t>;</w:t>
    </w:r>
    <w:r w:rsidR="00B96ED6" w:rsidRPr="00436DE0">
      <w:rPr>
        <w:sz w:val="20"/>
        <w:szCs w:val="20"/>
      </w:rPr>
      <w:t>;</w:t>
    </w:r>
    <w:r w:rsidR="00026161" w:rsidRPr="00026161">
      <w:rPr>
        <w:b/>
        <w:sz w:val="28"/>
        <w:szCs w:val="28"/>
      </w:rPr>
      <w:t xml:space="preserve"> </w:t>
    </w:r>
    <w:r w:rsidR="00026161" w:rsidRPr="00026161">
      <w:rPr>
        <w:sz w:val="20"/>
        <w:szCs w:val="20"/>
      </w:rPr>
      <w:t>Grozījum</w:t>
    </w:r>
    <w:r w:rsidR="00775328">
      <w:rPr>
        <w:sz w:val="20"/>
        <w:szCs w:val="20"/>
      </w:rPr>
      <w:t>i</w:t>
    </w:r>
    <w:r w:rsidR="00026161" w:rsidRPr="00026161">
      <w:rPr>
        <w:sz w:val="20"/>
        <w:szCs w:val="20"/>
      </w:rPr>
      <w:t xml:space="preserve"> Ministru kabineta 2005. gada </w:t>
    </w:r>
    <w:proofErr w:type="spellStart"/>
    <w:r w:rsidR="00026161" w:rsidRPr="00026161">
      <w:rPr>
        <w:sz w:val="20"/>
        <w:szCs w:val="20"/>
      </w:rPr>
      <w:t>18.oktobra</w:t>
    </w:r>
    <w:proofErr w:type="spellEnd"/>
    <w:r w:rsidR="00026161" w:rsidRPr="00026161">
      <w:rPr>
        <w:sz w:val="20"/>
        <w:szCs w:val="20"/>
      </w:rPr>
      <w:t xml:space="preserve"> noteikumos </w:t>
    </w:r>
    <w:proofErr w:type="spellStart"/>
    <w:r w:rsidR="00026161" w:rsidRPr="00026161">
      <w:rPr>
        <w:sz w:val="20"/>
        <w:szCs w:val="20"/>
      </w:rPr>
      <w:t>Nr.779</w:t>
    </w:r>
    <w:proofErr w:type="spellEnd"/>
    <w:r w:rsidR="00026161" w:rsidRPr="00026161">
      <w:rPr>
        <w:sz w:val="20"/>
        <w:szCs w:val="20"/>
      </w:rPr>
      <w:t xml:space="preserve"> "Noteikumi par vispārējās izglītības iestāžu pedagoģiskā procesa organizēšanai nepieciešamo obligāto dokumentāciju "</w:t>
    </w:r>
    <w:r w:rsidR="00B96ED6" w:rsidRPr="00026161">
      <w:rPr>
        <w:sz w:val="20"/>
        <w:szCs w:val="20"/>
      </w:rPr>
      <w:t xml:space="preserve"> </w:t>
    </w:r>
    <w:r w:rsidR="001A299D" w:rsidRPr="00026161">
      <w:rPr>
        <w:sz w:val="20"/>
        <w:szCs w:val="20"/>
      </w:rPr>
      <w:t>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CF6" w:rsidRDefault="00B03CF6" w:rsidP="00781A2F">
      <w:r>
        <w:separator/>
      </w:r>
    </w:p>
  </w:footnote>
  <w:footnote w:type="continuationSeparator" w:id="0">
    <w:p w:rsidR="00B03CF6" w:rsidRDefault="00B03CF6" w:rsidP="00781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28" w:rsidRDefault="007753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9736"/>
      <w:docPartObj>
        <w:docPartGallery w:val="Page Numbers (Top of Page)"/>
      </w:docPartObj>
    </w:sdtPr>
    <w:sdtContent>
      <w:p w:rsidR="00CF3160" w:rsidRDefault="00087BE5">
        <w:pPr>
          <w:pStyle w:val="Header"/>
          <w:jc w:val="center"/>
        </w:pPr>
        <w:fldSimple w:instr=" PAGE   \* MERGEFORMAT ">
          <w:r w:rsidR="0082082F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D6" w:rsidRDefault="00CA3AD6">
    <w:pPr>
      <w:pStyle w:val="Header"/>
      <w:jc w:val="center"/>
    </w:pPr>
  </w:p>
  <w:p w:rsidR="00CA3AD6" w:rsidRDefault="00CA3A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EB6"/>
    <w:multiLevelType w:val="hybridMultilevel"/>
    <w:tmpl w:val="6F06A2A0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82CDD"/>
    <w:multiLevelType w:val="hybridMultilevel"/>
    <w:tmpl w:val="3C7E19EE"/>
    <w:lvl w:ilvl="0" w:tplc="0426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53DD1FA2"/>
    <w:multiLevelType w:val="hybridMultilevel"/>
    <w:tmpl w:val="934A0EA2"/>
    <w:lvl w:ilvl="0" w:tplc="0426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81A2F"/>
    <w:rsid w:val="00004D92"/>
    <w:rsid w:val="000132C4"/>
    <w:rsid w:val="00026161"/>
    <w:rsid w:val="000513FD"/>
    <w:rsid w:val="0005477D"/>
    <w:rsid w:val="00086ADA"/>
    <w:rsid w:val="00087BE5"/>
    <w:rsid w:val="000E53AF"/>
    <w:rsid w:val="00104C34"/>
    <w:rsid w:val="00131610"/>
    <w:rsid w:val="0015043E"/>
    <w:rsid w:val="00192247"/>
    <w:rsid w:val="001A299D"/>
    <w:rsid w:val="001B3546"/>
    <w:rsid w:val="001D07B7"/>
    <w:rsid w:val="00211D06"/>
    <w:rsid w:val="002316BF"/>
    <w:rsid w:val="0026620F"/>
    <w:rsid w:val="0029225C"/>
    <w:rsid w:val="00294B91"/>
    <w:rsid w:val="002A4710"/>
    <w:rsid w:val="002B613F"/>
    <w:rsid w:val="002F599D"/>
    <w:rsid w:val="00300738"/>
    <w:rsid w:val="003053E5"/>
    <w:rsid w:val="00310763"/>
    <w:rsid w:val="00353586"/>
    <w:rsid w:val="0038042B"/>
    <w:rsid w:val="00383AAA"/>
    <w:rsid w:val="003872F4"/>
    <w:rsid w:val="00390642"/>
    <w:rsid w:val="003B7045"/>
    <w:rsid w:val="003C196F"/>
    <w:rsid w:val="003D4E98"/>
    <w:rsid w:val="003E4268"/>
    <w:rsid w:val="004251A9"/>
    <w:rsid w:val="00441189"/>
    <w:rsid w:val="004A0A9A"/>
    <w:rsid w:val="004F0FBD"/>
    <w:rsid w:val="004F6C1A"/>
    <w:rsid w:val="005241EF"/>
    <w:rsid w:val="00531133"/>
    <w:rsid w:val="00581B8D"/>
    <w:rsid w:val="00597D0D"/>
    <w:rsid w:val="005D6C27"/>
    <w:rsid w:val="006263F0"/>
    <w:rsid w:val="00657BF7"/>
    <w:rsid w:val="0066102E"/>
    <w:rsid w:val="00683E34"/>
    <w:rsid w:val="006A38E0"/>
    <w:rsid w:val="006A7CD1"/>
    <w:rsid w:val="006B3F87"/>
    <w:rsid w:val="006C4504"/>
    <w:rsid w:val="006D0B43"/>
    <w:rsid w:val="006E2E8E"/>
    <w:rsid w:val="006E4A07"/>
    <w:rsid w:val="007144C6"/>
    <w:rsid w:val="00774A0F"/>
    <w:rsid w:val="00775328"/>
    <w:rsid w:val="00781A2F"/>
    <w:rsid w:val="007870BD"/>
    <w:rsid w:val="007A6FB0"/>
    <w:rsid w:val="007E3625"/>
    <w:rsid w:val="007F321A"/>
    <w:rsid w:val="0082082F"/>
    <w:rsid w:val="00850627"/>
    <w:rsid w:val="00875578"/>
    <w:rsid w:val="008B1F5D"/>
    <w:rsid w:val="008D21EB"/>
    <w:rsid w:val="008D29E4"/>
    <w:rsid w:val="008F023D"/>
    <w:rsid w:val="00903075"/>
    <w:rsid w:val="00916B76"/>
    <w:rsid w:val="00934616"/>
    <w:rsid w:val="00935759"/>
    <w:rsid w:val="00972016"/>
    <w:rsid w:val="009A3F94"/>
    <w:rsid w:val="009F47CB"/>
    <w:rsid w:val="009F7BF8"/>
    <w:rsid w:val="00A16A9C"/>
    <w:rsid w:val="00A46A10"/>
    <w:rsid w:val="00A75B77"/>
    <w:rsid w:val="00AA44A0"/>
    <w:rsid w:val="00AC731C"/>
    <w:rsid w:val="00B0105D"/>
    <w:rsid w:val="00B03CF6"/>
    <w:rsid w:val="00B062BB"/>
    <w:rsid w:val="00B15F09"/>
    <w:rsid w:val="00B63981"/>
    <w:rsid w:val="00B64AA0"/>
    <w:rsid w:val="00B703D1"/>
    <w:rsid w:val="00B73065"/>
    <w:rsid w:val="00B80F5C"/>
    <w:rsid w:val="00B96ED6"/>
    <w:rsid w:val="00BA3D69"/>
    <w:rsid w:val="00BA60CC"/>
    <w:rsid w:val="00BE319F"/>
    <w:rsid w:val="00BF0C72"/>
    <w:rsid w:val="00C13714"/>
    <w:rsid w:val="00C14C3D"/>
    <w:rsid w:val="00CA3731"/>
    <w:rsid w:val="00CA3AD6"/>
    <w:rsid w:val="00CB2127"/>
    <w:rsid w:val="00CD5BF6"/>
    <w:rsid w:val="00CF3160"/>
    <w:rsid w:val="00D04E1C"/>
    <w:rsid w:val="00D17C4F"/>
    <w:rsid w:val="00D4411F"/>
    <w:rsid w:val="00D93236"/>
    <w:rsid w:val="00D97D4A"/>
    <w:rsid w:val="00D97D68"/>
    <w:rsid w:val="00DA1504"/>
    <w:rsid w:val="00DA79C6"/>
    <w:rsid w:val="00DE533B"/>
    <w:rsid w:val="00DF3572"/>
    <w:rsid w:val="00E063F8"/>
    <w:rsid w:val="00E24FAD"/>
    <w:rsid w:val="00E4682D"/>
    <w:rsid w:val="00E8769B"/>
    <w:rsid w:val="00EA2ACA"/>
    <w:rsid w:val="00EB0101"/>
    <w:rsid w:val="00EE5CE8"/>
    <w:rsid w:val="00EF428E"/>
    <w:rsid w:val="00F23BF9"/>
    <w:rsid w:val="00F31284"/>
    <w:rsid w:val="00F513B6"/>
    <w:rsid w:val="00F54C65"/>
    <w:rsid w:val="00F70FF6"/>
    <w:rsid w:val="00F739BD"/>
    <w:rsid w:val="00F812E4"/>
    <w:rsid w:val="00F834D7"/>
    <w:rsid w:val="00FA40D4"/>
    <w:rsid w:val="00FC3806"/>
    <w:rsid w:val="00FC58C4"/>
    <w:rsid w:val="00FE081A"/>
    <w:rsid w:val="00FF3654"/>
    <w:rsid w:val="00F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2F"/>
    <w:pPr>
      <w:spacing w:after="0" w:line="240" w:lineRule="auto"/>
      <w:ind w:firstLine="0"/>
    </w:pPr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81A2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781A2F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uiPriority w:val="99"/>
    <w:rsid w:val="00781A2F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781A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1A2F"/>
    <w:rPr>
      <w:rFonts w:eastAsia="Times New Roman" w:cs="Times New Roman"/>
      <w:sz w:val="20"/>
      <w:szCs w:val="20"/>
      <w:lang w:eastAsia="lv-LV"/>
    </w:rPr>
  </w:style>
  <w:style w:type="paragraph" w:styleId="NormalWeb">
    <w:name w:val="Normal (Web)"/>
    <w:basedOn w:val="Normal"/>
    <w:uiPriority w:val="99"/>
    <w:rsid w:val="00781A2F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781A2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81A2F"/>
    <w:rPr>
      <w:rFonts w:ascii="Calibri" w:eastAsia="Times New Roman" w:hAnsi="Calibri" w:cs="Times New Roman"/>
      <w:sz w:val="22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781A2F"/>
    <w:pPr>
      <w:spacing w:after="200" w:line="276" w:lineRule="auto"/>
      <w:ind w:firstLine="720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1A2F"/>
    <w:rPr>
      <w:rFonts w:eastAsia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1A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A2F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81A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A2F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459</Words>
  <Characters>3602</Characters>
  <Application>Microsoft Office Word</Application>
  <DocSecurity>0</DocSecurity>
  <Lines>144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2006.gada 4.aprīļa noteikumos Nr.253 "Kārtība, kādā organizējama ilgstoši slimojošu izglītojamo izglītošanās ārpus izglītības iestādes"</vt:lpstr>
    </vt:vector>
  </TitlesOfParts>
  <Company> 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4.aprīļa noteikumos Nr.253 "Kārtība, kādā organizējama ilgstoši slimojošu izglītojamo izglītošanās ārpus izglītības iestādes"</dc:title>
  <dc:subject>Anotācija</dc:subject>
  <dc:creator>Dzintra Mergupe-Kutraite</dc:creator>
  <cp:keywords/>
  <dc:description>Dzintra Mergupe-Kutraite
dzintra.mergupe@izm.gov.lvm ; 67047817</dc:description>
  <cp:lastModifiedBy>dmergupe</cp:lastModifiedBy>
  <cp:revision>14</cp:revision>
  <cp:lastPrinted>2012-08-08T06:31:00Z</cp:lastPrinted>
  <dcterms:created xsi:type="dcterms:W3CDTF">2012-08-07T11:39:00Z</dcterms:created>
  <dcterms:modified xsi:type="dcterms:W3CDTF">2012-08-13T09:42:00Z</dcterms:modified>
</cp:coreProperties>
</file>