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05" w:rsidRPr="0003464D" w:rsidRDefault="00FF1005" w:rsidP="00FF1005">
      <w:pPr>
        <w:pStyle w:val="naisnod"/>
        <w:spacing w:before="0" w:beforeAutospacing="0" w:after="0" w:afterAutospacing="0"/>
      </w:pPr>
      <w:r w:rsidRPr="0003464D">
        <w:rPr>
          <w:rFonts w:eastAsia="Times New Roman"/>
          <w:lang w:eastAsia="lv-LV"/>
        </w:rPr>
        <w:t>Ministru kabineta noteikumu projekta „Kārtība, kādā izglītības iestāde informē izglītojamo vecākus (personas, kas realizē aizgādību), pašvaldības vai valsts iestādes, ja izglītojamais bez attaisnojoša iemesla neapmeklē izglītības iestādi”</w:t>
      </w:r>
      <w:r w:rsidRPr="0003464D">
        <w:rPr>
          <w:bCs w:val="0"/>
        </w:rPr>
        <w:t xml:space="preserve"> sākotnējās ietekmes novērtējuma ziņojums (anotācija)</w:t>
      </w:r>
    </w:p>
    <w:p w:rsidR="00FF1005" w:rsidRPr="00115D93" w:rsidRDefault="00FF1005" w:rsidP="00FF1005">
      <w:pPr>
        <w:spacing w:before="50" w:after="50"/>
        <w:jc w:val="center"/>
      </w:pPr>
      <w:r w:rsidRPr="00115D93">
        <w:t> </w:t>
      </w:r>
    </w:p>
    <w:tbl>
      <w:tblPr>
        <w:tblStyle w:val="TableGrid"/>
        <w:tblW w:w="5000" w:type="pct"/>
        <w:tblLook w:val="04A0"/>
      </w:tblPr>
      <w:tblGrid>
        <w:gridCol w:w="456"/>
        <w:gridCol w:w="1995"/>
        <w:gridCol w:w="6836"/>
      </w:tblGrid>
      <w:tr w:rsidR="00FF1005" w:rsidRPr="00115D93" w:rsidTr="000B2944">
        <w:tc>
          <w:tcPr>
            <w:tcW w:w="5000" w:type="pct"/>
            <w:gridSpan w:val="3"/>
            <w:hideMark/>
          </w:tcPr>
          <w:p w:rsidR="00FF1005" w:rsidRPr="00115D93" w:rsidRDefault="00FF1005" w:rsidP="006A1591">
            <w:pPr>
              <w:spacing w:before="50" w:after="50"/>
              <w:jc w:val="center"/>
            </w:pPr>
            <w:r w:rsidRPr="00115D93">
              <w:rPr>
                <w:b/>
                <w:bCs/>
              </w:rPr>
              <w:t> I. Tiesību akta projekta izstrādes nepieciešamība</w:t>
            </w:r>
          </w:p>
        </w:tc>
      </w:tr>
      <w:tr w:rsidR="00FF1005" w:rsidRPr="00115D93" w:rsidTr="000B2944">
        <w:trPr>
          <w:trHeight w:val="630"/>
        </w:trPr>
        <w:tc>
          <w:tcPr>
            <w:tcW w:w="178" w:type="pct"/>
            <w:hideMark/>
          </w:tcPr>
          <w:p w:rsidR="00FF1005" w:rsidRPr="00115D93" w:rsidRDefault="00FF1005" w:rsidP="006A1591">
            <w:pPr>
              <w:spacing w:before="50" w:after="50"/>
            </w:pPr>
            <w:r w:rsidRPr="00115D93">
              <w:t> 1.</w:t>
            </w:r>
          </w:p>
        </w:tc>
        <w:tc>
          <w:tcPr>
            <w:tcW w:w="1108" w:type="pct"/>
            <w:hideMark/>
          </w:tcPr>
          <w:p w:rsidR="00FF1005" w:rsidRPr="00115D93" w:rsidRDefault="00FF1005" w:rsidP="0003464D">
            <w:pPr>
              <w:spacing w:before="50" w:after="50"/>
              <w:jc w:val="left"/>
            </w:pPr>
            <w:r w:rsidRPr="00115D93">
              <w:t> Pamatojums</w:t>
            </w:r>
          </w:p>
        </w:tc>
        <w:tc>
          <w:tcPr>
            <w:tcW w:w="3714" w:type="pct"/>
            <w:hideMark/>
          </w:tcPr>
          <w:p w:rsidR="00FF1005" w:rsidRDefault="0003464D" w:rsidP="0010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v-LV"/>
              </w:rPr>
            </w:pPr>
            <w:r w:rsidRPr="0003464D">
              <w:rPr>
                <w:lang w:eastAsia="lv-LV"/>
              </w:rPr>
              <w:t xml:space="preserve">Ministru kabineta noteikumu </w:t>
            </w:r>
            <w:r>
              <w:rPr>
                <w:lang w:eastAsia="lv-LV"/>
              </w:rPr>
              <w:t>projekts</w:t>
            </w:r>
            <w:r w:rsidRPr="0003464D">
              <w:rPr>
                <w:lang w:eastAsia="lv-LV"/>
              </w:rPr>
              <w:t xml:space="preserve"> „Kārtība, kādā izglītības iestāde informē izglītojamo vecākus (personas, kas realizē aizgādību), pašvaldības vai valsts iestādes, ja izglītojamais bez attaisnojoša iemesla neapmeklē izglītības iestādi”</w:t>
            </w:r>
            <w:r w:rsidR="00FF1005" w:rsidRPr="0003464D">
              <w:t> </w:t>
            </w:r>
            <w:r>
              <w:t xml:space="preserve">(turpmāk – noteikumu projekts) izstrādāts </w:t>
            </w:r>
            <w:r w:rsidRPr="0003464D">
              <w:t>saskaņā ar</w:t>
            </w:r>
            <w:r>
              <w:t xml:space="preserve"> </w:t>
            </w:r>
            <w:r w:rsidRPr="0003464D">
              <w:t>Izglītības likuma</w:t>
            </w:r>
            <w:r>
              <w:t xml:space="preserve"> </w:t>
            </w:r>
            <w:r w:rsidR="00104CF9">
              <w:t>14.panta 35.punktu</w:t>
            </w:r>
            <w:r w:rsidR="00C0596B">
              <w:rPr>
                <w:lang w:eastAsia="lv-LV"/>
              </w:rPr>
              <w:t xml:space="preserve"> un Ministru Prezidenta </w:t>
            </w:r>
            <w:proofErr w:type="spellStart"/>
            <w:r w:rsidR="00C0596B">
              <w:rPr>
                <w:lang w:eastAsia="lv-LV"/>
              </w:rPr>
              <w:t>V.Dombrovska</w:t>
            </w:r>
            <w:proofErr w:type="spellEnd"/>
            <w:r w:rsidR="00C0596B">
              <w:rPr>
                <w:lang w:eastAsia="lv-LV"/>
              </w:rPr>
              <w:t xml:space="preserve"> 2010.gada 24.septembra rezolūciju Nr.12/2010-JUR-112.</w:t>
            </w:r>
          </w:p>
          <w:p w:rsidR="009E51F1" w:rsidRPr="0003464D" w:rsidRDefault="009E51F1" w:rsidP="0010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lv-LV"/>
              </w:rPr>
            </w:pPr>
          </w:p>
        </w:tc>
      </w:tr>
      <w:tr w:rsidR="00FF1005" w:rsidRPr="00115D93" w:rsidTr="000B2944">
        <w:trPr>
          <w:trHeight w:val="472"/>
        </w:trPr>
        <w:tc>
          <w:tcPr>
            <w:tcW w:w="178" w:type="pct"/>
            <w:hideMark/>
          </w:tcPr>
          <w:p w:rsidR="00FF1005" w:rsidRPr="00115D93" w:rsidRDefault="00FF1005" w:rsidP="006A1591">
            <w:pPr>
              <w:spacing w:before="50" w:after="50"/>
            </w:pPr>
            <w:r w:rsidRPr="00115D93">
              <w:t> 2.</w:t>
            </w:r>
          </w:p>
        </w:tc>
        <w:tc>
          <w:tcPr>
            <w:tcW w:w="1108" w:type="pct"/>
            <w:hideMark/>
          </w:tcPr>
          <w:p w:rsidR="00FF1005" w:rsidRPr="00115D93" w:rsidRDefault="00FF1005" w:rsidP="0003464D">
            <w:pPr>
              <w:spacing w:before="50" w:after="50"/>
              <w:jc w:val="left"/>
            </w:pPr>
            <w:r w:rsidRPr="00115D93">
              <w:t> Pašreizējā situācija un problēmas</w:t>
            </w:r>
          </w:p>
        </w:tc>
        <w:tc>
          <w:tcPr>
            <w:tcW w:w="3714" w:type="pct"/>
            <w:hideMark/>
          </w:tcPr>
          <w:p w:rsidR="00A00923" w:rsidRDefault="0065527D" w:rsidP="002E5C37">
            <w:pPr>
              <w:rPr>
                <w:lang w:eastAsia="lv-LV"/>
              </w:rPr>
            </w:pPr>
            <w:r>
              <w:t xml:space="preserve">       </w:t>
            </w:r>
            <w:r w:rsidR="00104CF9">
              <w:t xml:space="preserve">Izglītības likuma 14.panta 35.punkts nosaka, ka Ministru kabinets </w:t>
            </w:r>
            <w:r w:rsidR="00104CF9" w:rsidRPr="00104CF9">
              <w:rPr>
                <w:lang w:eastAsia="lv-LV"/>
              </w:rPr>
              <w:t>nosaka kārtību, kādā izglītības iestāde informē izglītojamo vecākus (personas, kas realizē aizgādību)</w:t>
            </w:r>
            <w:r>
              <w:rPr>
                <w:lang w:eastAsia="lv-LV"/>
              </w:rPr>
              <w:t xml:space="preserve"> (</w:t>
            </w:r>
            <w:r w:rsidR="002E5C37">
              <w:rPr>
                <w:lang w:eastAsia="lv-LV"/>
              </w:rPr>
              <w:t>turpmāk – vecāki)</w:t>
            </w:r>
            <w:r w:rsidR="00104CF9" w:rsidRPr="00104CF9">
              <w:rPr>
                <w:lang w:eastAsia="lv-LV"/>
              </w:rPr>
              <w:t>, pašvaldības vai valsts iestādes, ja izglītojamais bez attaisnojoša iemesla neapmeklē izglītības iestādi.</w:t>
            </w:r>
            <w:r w:rsidR="00104CF9">
              <w:rPr>
                <w:color w:val="FF0000"/>
                <w:lang w:eastAsia="lv-LV"/>
              </w:rPr>
              <w:t xml:space="preserve"> </w:t>
            </w:r>
            <w:r w:rsidR="00104CF9">
              <w:t>V</w:t>
            </w:r>
            <w:r w:rsidR="0003464D" w:rsidRPr="0003464D">
              <w:t>alstī vienota kārtība, kā rīkoties iz</w:t>
            </w:r>
            <w:r w:rsidR="00904FC9">
              <w:t>glītības iestādei</w:t>
            </w:r>
            <w:r w:rsidR="00EA47C9">
              <w:t xml:space="preserve"> gadījumā, ja izglītojam</w:t>
            </w:r>
            <w:r w:rsidR="0003464D" w:rsidRPr="0003464D">
              <w:t>ais bez attaisnojoša iemesla nav ieradies izglītības iestādē</w:t>
            </w:r>
            <w:r w:rsidR="00EA47C9">
              <w:t xml:space="preserve"> un izglītības iestādei nav informācijas par neierašanās iemeslu,</w:t>
            </w:r>
            <w:r w:rsidR="00104CF9" w:rsidRPr="0003464D">
              <w:t xml:space="preserve"> </w:t>
            </w:r>
            <w:r w:rsidR="00104CF9">
              <w:t>n</w:t>
            </w:r>
            <w:r w:rsidR="00104CF9" w:rsidRPr="0003464D">
              <w:t>av noteikta</w:t>
            </w:r>
            <w:r w:rsidR="0003464D" w:rsidRPr="0003464D">
              <w:t>.</w:t>
            </w:r>
            <w:r w:rsidR="00C0596B">
              <w:t xml:space="preserve"> </w:t>
            </w:r>
            <w:r w:rsidR="00C0596B" w:rsidRPr="0003464D">
              <w:rPr>
                <w:lang w:eastAsia="lv-LV"/>
              </w:rPr>
              <w:t>Šādas no</w:t>
            </w:r>
            <w:r w:rsidR="00C0596B">
              <w:rPr>
                <w:lang w:eastAsia="lv-LV"/>
              </w:rPr>
              <w:t>rmas tiek iestrādātas izglītīb</w:t>
            </w:r>
            <w:r>
              <w:rPr>
                <w:lang w:eastAsia="lv-LV"/>
              </w:rPr>
              <w:t>as iestāžu nolikumos vai</w:t>
            </w:r>
            <w:r w:rsidR="00C0596B" w:rsidRPr="0003464D">
              <w:rPr>
                <w:lang w:eastAsia="lv-LV"/>
              </w:rPr>
              <w:t xml:space="preserve"> iekšējās kārtības noteikumos.</w:t>
            </w:r>
            <w:r w:rsidR="00C0596B">
              <w:rPr>
                <w:lang w:eastAsia="lv-LV"/>
              </w:rPr>
              <w:t xml:space="preserve"> </w:t>
            </w:r>
            <w:r w:rsidR="00C0596B">
              <w:rPr>
                <w:color w:val="000000"/>
                <w:lang w:eastAsia="lv-LV"/>
              </w:rPr>
              <w:t>Katra izglītības iestāde</w:t>
            </w:r>
            <w:r w:rsidR="00C0596B" w:rsidRPr="00E42A3D">
              <w:rPr>
                <w:color w:val="000000"/>
                <w:lang w:eastAsia="lv-LV"/>
              </w:rPr>
              <w:t xml:space="preserve"> rīkojas pēc saviem ieskatiem. </w:t>
            </w:r>
            <w:r w:rsidR="00C0596B">
              <w:rPr>
                <w:lang w:eastAsia="lv-LV"/>
              </w:rPr>
              <w:t>Nedrīkst  pieļaut situāciju, ka izglītojamais dienu vai pat vair</w:t>
            </w:r>
            <w:r w:rsidR="00904FC9">
              <w:rPr>
                <w:lang w:eastAsia="lv-LV"/>
              </w:rPr>
              <w:t>ākas dienas neapmeklē skolu</w:t>
            </w:r>
            <w:r w:rsidR="00C0596B">
              <w:rPr>
                <w:lang w:eastAsia="lv-LV"/>
              </w:rPr>
              <w:t xml:space="preserve"> un nav noskaidrots kavējuma iemesls, kā arī, iespējams, vecāki par to </w:t>
            </w:r>
            <w:r w:rsidR="000B2944">
              <w:rPr>
                <w:lang w:eastAsia="lv-LV"/>
              </w:rPr>
              <w:t xml:space="preserve">nav </w:t>
            </w:r>
            <w:r w:rsidR="00C0596B">
              <w:rPr>
                <w:lang w:eastAsia="lv-LV"/>
              </w:rPr>
              <w:t xml:space="preserve">informēti. Ja </w:t>
            </w:r>
            <w:r w:rsidR="00904FC9">
              <w:rPr>
                <w:lang w:eastAsia="lv-LV"/>
              </w:rPr>
              <w:t>izglītojamais obligātajā izglītības vecumā</w:t>
            </w:r>
            <w:r w:rsidR="00C0596B">
              <w:rPr>
                <w:lang w:eastAsia="lv-LV"/>
              </w:rPr>
              <w:t xml:space="preserve"> </w:t>
            </w:r>
            <w:r w:rsidR="00904FC9">
              <w:rPr>
                <w:lang w:eastAsia="lv-LV"/>
              </w:rPr>
              <w:t>sistemātiski vai ilgstoši neapmeklē izglītības iestādi</w:t>
            </w:r>
            <w:r w:rsidR="00C0596B">
              <w:rPr>
                <w:lang w:eastAsia="lv-LV"/>
              </w:rPr>
              <w:t xml:space="preserve"> bez att</w:t>
            </w:r>
            <w:r w:rsidR="00904FC9">
              <w:rPr>
                <w:lang w:eastAsia="lv-LV"/>
              </w:rPr>
              <w:t>aisnojoša iemesla</w:t>
            </w:r>
            <w:r>
              <w:rPr>
                <w:lang w:eastAsia="lv-LV"/>
              </w:rPr>
              <w:t>, nekavējoties ir jāinformē</w:t>
            </w:r>
            <w:r w:rsidR="00C0596B">
              <w:rPr>
                <w:lang w:eastAsia="lv-LV"/>
              </w:rPr>
              <w:t xml:space="preserve"> atbilstošās pašv</w:t>
            </w:r>
            <w:r>
              <w:rPr>
                <w:lang w:eastAsia="lv-LV"/>
              </w:rPr>
              <w:t>aldības vai valsts institūcijas, kuru funkcijās noteikts pienākums nodrošināt obligātās izglītības ieguvi.</w:t>
            </w:r>
          </w:p>
          <w:p w:rsidR="000A5E58" w:rsidRDefault="0065527D" w:rsidP="002E5C37">
            <w:r>
              <w:t xml:space="preserve">       </w:t>
            </w:r>
            <w:r w:rsidR="00E203D6">
              <w:t>J</w:t>
            </w:r>
            <w:r w:rsidR="000A5E58">
              <w:t>autājumam par izglī</w:t>
            </w:r>
            <w:r w:rsidR="00E203D6">
              <w:t>tības iestādes neapmeklēšanu bez attaisnojoša iemesla ir</w:t>
            </w:r>
            <w:r w:rsidR="006A1591">
              <w:t xml:space="preserve"> </w:t>
            </w:r>
            <w:r w:rsidR="000A5E58">
              <w:t>vairāki aspekti:</w:t>
            </w:r>
          </w:p>
          <w:p w:rsidR="00CB2E3F" w:rsidRDefault="0065527D" w:rsidP="002E5C37">
            <w:r>
              <w:rPr>
                <w:lang w:eastAsia="lv-LV"/>
              </w:rPr>
              <w:t xml:space="preserve">    </w:t>
            </w:r>
            <w:r w:rsidR="000A5E58">
              <w:rPr>
                <w:lang w:eastAsia="lv-LV"/>
              </w:rPr>
              <w:t>- Atsev</w:t>
            </w:r>
            <w:r>
              <w:rPr>
                <w:lang w:eastAsia="lv-LV"/>
              </w:rPr>
              <w:t>išķu mācību stundu kavējumi</w:t>
            </w:r>
            <w:r w:rsidR="000A5E58">
              <w:rPr>
                <w:lang w:eastAsia="lv-LV"/>
              </w:rPr>
              <w:t xml:space="preserve"> tiek fiksēti klases žurnālā</w:t>
            </w:r>
            <w:r w:rsidR="00C7762A">
              <w:rPr>
                <w:lang w:eastAsia="lv-LV"/>
              </w:rPr>
              <w:t>,</w:t>
            </w:r>
            <w:r w:rsidR="006A1591">
              <w:rPr>
                <w:lang w:eastAsia="lv-LV"/>
              </w:rPr>
              <w:t xml:space="preserve"> </w:t>
            </w:r>
            <w:r>
              <w:rPr>
                <w:lang w:eastAsia="lv-LV"/>
              </w:rPr>
              <w:t xml:space="preserve">tie </w:t>
            </w:r>
            <w:r w:rsidR="006A1591">
              <w:rPr>
                <w:lang w:eastAsia="lv-LV"/>
              </w:rPr>
              <w:t>var rasties dažādu attaisnojošu vai neattaisnojošu iemeslu dēļ (problēmas ar transporta kavēšanos, vienkārša aizgulēšanās, neattaisnojama izvairīšanās no kādas mācību priekšm</w:t>
            </w:r>
            <w:r w:rsidR="005B0192">
              <w:rPr>
                <w:lang w:eastAsia="lv-LV"/>
              </w:rPr>
              <w:t>eta stundas, konflikts ar skolas</w:t>
            </w:r>
            <w:r w:rsidR="006A1591">
              <w:rPr>
                <w:lang w:eastAsia="lv-LV"/>
              </w:rPr>
              <w:t xml:space="preserve"> b</w:t>
            </w:r>
            <w:r w:rsidR="005B0192">
              <w:rPr>
                <w:lang w:eastAsia="lv-LV"/>
              </w:rPr>
              <w:t xml:space="preserve">iedru vai pedagogu, </w:t>
            </w:r>
            <w:r w:rsidR="006A1591">
              <w:rPr>
                <w:lang w:eastAsia="lv-LV"/>
              </w:rPr>
              <w:t xml:space="preserve">gripas epidēmija </w:t>
            </w:r>
            <w:r w:rsidR="00CB2E3F">
              <w:rPr>
                <w:lang w:eastAsia="lv-LV"/>
              </w:rPr>
              <w:t xml:space="preserve">vai citas negaidītas veselības problēmas </w:t>
            </w:r>
            <w:r w:rsidR="006A1591">
              <w:rPr>
                <w:lang w:eastAsia="lv-LV"/>
              </w:rPr>
              <w:t>un tml.). Šos jautājumus faktiski risina pati izglītības iestāde, tas ietilpst</w:t>
            </w:r>
            <w:r w:rsidR="00C7762A">
              <w:rPr>
                <w:lang w:eastAsia="lv-LV"/>
              </w:rPr>
              <w:t xml:space="preserve"> direktora,</w:t>
            </w:r>
            <w:r w:rsidR="006A1591">
              <w:rPr>
                <w:lang w:eastAsia="lv-LV"/>
              </w:rPr>
              <w:t xml:space="preserve"> klases audzinātāja, sociālā pedagoga, skolas psihologa</w:t>
            </w:r>
            <w:r w:rsidR="00C7762A">
              <w:rPr>
                <w:lang w:eastAsia="lv-LV"/>
              </w:rPr>
              <w:t>, direktora vietnieka mācību darbā vai direktora vietnieka audzināšanas darbā</w:t>
            </w:r>
            <w:r w:rsidR="006A1591">
              <w:rPr>
                <w:lang w:eastAsia="lv-LV"/>
              </w:rPr>
              <w:t xml:space="preserve"> pienākumos.</w:t>
            </w:r>
            <w:r w:rsidR="00CB2E3F">
              <w:rPr>
                <w:lang w:eastAsia="lv-LV"/>
              </w:rPr>
              <w:t xml:space="preserve"> Ministru kabineta 2005.gada 18.oktobra noteikumu Nr.779 „</w:t>
            </w:r>
            <w:r w:rsidR="00CB2E3F" w:rsidRPr="006365E0">
              <w:rPr>
                <w:bCs/>
              </w:rPr>
              <w:t>Noteikumi par vispārējās izglītības iestāžu pedagoģiskā procesa organizēšanai nepieciešamo obligāto dokumentāciju</w:t>
            </w:r>
            <w:r w:rsidR="00CB2E3F">
              <w:rPr>
                <w:bCs/>
              </w:rPr>
              <w:t xml:space="preserve">” 3.6.apakšpunktā ir noteikts, ka informāciju par </w:t>
            </w:r>
            <w:r w:rsidR="00CB2E3F">
              <w:t xml:space="preserve">izglītojamo nokavētajām mācību priekšmetu stundām iekļauj klases žurnālā. Katra mēneša beigās un katra semestra beigās informācija par katra izglītojamā kavētajām mācību stundām tiek apkopota un par to tiek </w:t>
            </w:r>
            <w:r w:rsidR="00CB2E3F">
              <w:lastRenderedPageBreak/>
              <w:t>informēti vecāki. Semestra beigās un mācību gada beigās informācija par izglītojamā kavētajām mācību stundām tiek norādīta liecībā. Izglītības programmās, kas ir izglītības iestādes izglītojošo darbību reglamentējošs dokuments, izglītības iestādes norāda, ka i</w:t>
            </w:r>
            <w:r w:rsidR="00CB2E3F" w:rsidRPr="00D84964">
              <w:t xml:space="preserve">zglītojamā vecāki par bērna mācību sasniegumiem </w:t>
            </w:r>
            <w:r w:rsidR="00CB2E3F">
              <w:t xml:space="preserve">un kavējumiem </w:t>
            </w:r>
            <w:r w:rsidR="00CB2E3F" w:rsidRPr="00D84964">
              <w:t>tiek inf</w:t>
            </w:r>
            <w:r w:rsidR="00CB2E3F">
              <w:t>ormēti ne retāk kā reizi mēnesī, bet</w:t>
            </w:r>
            <w:r w:rsidR="00CB2E3F" w:rsidRPr="00D84964">
              <w:t xml:space="preserve"> </w:t>
            </w:r>
            <w:r w:rsidR="00CB2E3F">
              <w:t>n</w:t>
            </w:r>
            <w:r w:rsidR="00CB2E3F" w:rsidRPr="00D84964">
              <w:t xml:space="preserve">epieciešamības gadījumā </w:t>
            </w:r>
            <w:r w:rsidR="00CB2E3F">
              <w:t>ve</w:t>
            </w:r>
            <w:r w:rsidR="00CB2E3F" w:rsidRPr="00D84964">
              <w:t>cāki par bērna mācību sasniegumiem un citiem ar izglītības ieguvi saistītiem jautājumiem tiek informēti individuālā sarunā.</w:t>
            </w:r>
            <w:r w:rsidR="00CB2E3F">
              <w:t xml:space="preserve"> Ja izglītības iestāde izmanto elektronisko </w:t>
            </w:r>
            <w:proofErr w:type="spellStart"/>
            <w:r w:rsidR="00CB2E3F">
              <w:t>skolvadības</w:t>
            </w:r>
            <w:proofErr w:type="spellEnd"/>
            <w:r w:rsidR="00CB2E3F">
              <w:t xml:space="preserve"> sistēmu „e-klase” vai </w:t>
            </w:r>
            <w:proofErr w:type="spellStart"/>
            <w:r w:rsidR="00CB2E3F">
              <w:rPr>
                <w:i/>
              </w:rPr>
              <w:t>Mykoob</w:t>
            </w:r>
            <w:proofErr w:type="spellEnd"/>
            <w:r w:rsidR="00CB2E3F">
              <w:t xml:space="preserve">, vecākiem ir iespēja tiešsaistē redzēt e-klases saturu, sava bērna dienasgrāmatu, tajā skaitā kavējumus. </w:t>
            </w:r>
            <w:r w:rsidR="00CB2E3F" w:rsidRPr="00A0533C">
              <w:t xml:space="preserve">Vecākiem </w:t>
            </w:r>
            <w:r w:rsidR="00CB2E3F">
              <w:t xml:space="preserve">ir iespējams </w:t>
            </w:r>
            <w:r w:rsidR="00CB2E3F" w:rsidRPr="00A0533C">
              <w:t xml:space="preserve">nekavējoties saņemt ziņojumus SMS veidā no skolas par </w:t>
            </w:r>
            <w:r w:rsidR="00CB2E3F">
              <w:t xml:space="preserve">savu bērnu </w:t>
            </w:r>
            <w:r w:rsidR="00CB2E3F" w:rsidRPr="00A0533C">
              <w:t>kavējumiem</w:t>
            </w:r>
            <w:r w:rsidR="00CB2E3F">
              <w:t xml:space="preserve">. „e-klasē” vecāki arī var elektroniski informēt skolu, ja bērns neieradīsies uz mācībām. </w:t>
            </w:r>
          </w:p>
          <w:p w:rsidR="000A5E58" w:rsidRDefault="0065527D" w:rsidP="002E5C37">
            <w:pPr>
              <w:rPr>
                <w:lang w:eastAsia="lv-LV"/>
              </w:rPr>
            </w:pPr>
            <w:r>
              <w:rPr>
                <w:lang w:eastAsia="lv-LV"/>
              </w:rPr>
              <w:t xml:space="preserve">      </w:t>
            </w:r>
            <w:r w:rsidR="006A1591">
              <w:rPr>
                <w:lang w:eastAsia="lv-LV"/>
              </w:rPr>
              <w:t xml:space="preserve">Izglītojamā drošības dēļ nekavējoša </w:t>
            </w:r>
            <w:r w:rsidR="00C7762A">
              <w:rPr>
                <w:lang w:eastAsia="lv-LV"/>
              </w:rPr>
              <w:t>vecāku informēšana</w:t>
            </w:r>
            <w:r w:rsidR="006A1591">
              <w:rPr>
                <w:lang w:eastAsia="lv-LV"/>
              </w:rPr>
              <w:t xml:space="preserve"> nepieciešama gadījumā, ja vecāki ir palaiduši bērnu uz skolu un ir pārliecināti, ka viņš ir ieradies skolā, bet skolā bērns tomēr nav ieradies (pat ņemot vērā iespējamu aizkavēšanos sabiedriskā transporta kavēšanās dēļ).</w:t>
            </w:r>
            <w:r w:rsidR="00E9728D">
              <w:rPr>
                <w:lang w:eastAsia="lv-LV"/>
              </w:rPr>
              <w:t xml:space="preserve"> </w:t>
            </w:r>
          </w:p>
          <w:p w:rsidR="00CB2E3F" w:rsidRDefault="0065527D" w:rsidP="00C7762A">
            <w:pPr>
              <w:rPr>
                <w:lang w:eastAsia="lv-LV"/>
              </w:rPr>
            </w:pPr>
            <w:r>
              <w:rPr>
                <w:lang w:eastAsia="lv-LV"/>
              </w:rPr>
              <w:t xml:space="preserve">     </w:t>
            </w:r>
            <w:r w:rsidR="00E9728D">
              <w:rPr>
                <w:lang w:eastAsia="lv-LV"/>
              </w:rPr>
              <w:t>- S</w:t>
            </w:r>
            <w:r w:rsidR="006A1591">
              <w:rPr>
                <w:lang w:eastAsia="lv-LV"/>
              </w:rPr>
              <w:t>istemātiski</w:t>
            </w:r>
            <w:r w:rsidR="00E9728D">
              <w:rPr>
                <w:lang w:eastAsia="lv-LV"/>
              </w:rPr>
              <w:t>, ilgstoši, pastāvīgi</w:t>
            </w:r>
            <w:r w:rsidR="006A1591">
              <w:rPr>
                <w:lang w:eastAsia="lv-LV"/>
              </w:rPr>
              <w:t xml:space="preserve"> mācību kavējumi, klaiņošana, </w:t>
            </w:r>
            <w:r w:rsidR="00E9728D">
              <w:rPr>
                <w:lang w:eastAsia="lv-LV"/>
              </w:rPr>
              <w:t xml:space="preserve">atsevišķos gadījumos pat </w:t>
            </w:r>
            <w:r w:rsidR="006A1591">
              <w:rPr>
                <w:lang w:eastAsia="lv-LV"/>
              </w:rPr>
              <w:t>skolas neapmekl</w:t>
            </w:r>
            <w:r w:rsidR="00E9728D">
              <w:rPr>
                <w:lang w:eastAsia="lv-LV"/>
              </w:rPr>
              <w:t>ēšana ar vecāku akceptu vai</w:t>
            </w:r>
            <w:r w:rsidR="006A1591">
              <w:rPr>
                <w:lang w:eastAsia="lv-LV"/>
              </w:rPr>
              <w:t xml:space="preserve"> vecāku bezspēcība</w:t>
            </w:r>
            <w:r w:rsidR="00E9728D">
              <w:rPr>
                <w:lang w:eastAsia="lv-LV"/>
              </w:rPr>
              <w:t>, kas noved pie nesekmības, neapgūta mācību satura</w:t>
            </w:r>
            <w:r w:rsidR="00904FC9">
              <w:rPr>
                <w:lang w:eastAsia="lv-LV"/>
              </w:rPr>
              <w:t xml:space="preserve"> un </w:t>
            </w:r>
            <w:proofErr w:type="spellStart"/>
            <w:r w:rsidR="00904FC9">
              <w:rPr>
                <w:lang w:eastAsia="lv-LV"/>
              </w:rPr>
              <w:t>otrgadniecības</w:t>
            </w:r>
            <w:proofErr w:type="spellEnd"/>
            <w:r w:rsidR="00904FC9">
              <w:rPr>
                <w:lang w:eastAsia="lv-LV"/>
              </w:rPr>
              <w:t>.</w:t>
            </w:r>
            <w:r w:rsidR="00E9728D">
              <w:rPr>
                <w:lang w:eastAsia="lv-LV"/>
              </w:rPr>
              <w:t xml:space="preserve"> </w:t>
            </w:r>
            <w:r w:rsidR="00E9728D" w:rsidRPr="00904FC9">
              <w:rPr>
                <w:lang w:eastAsia="lv-LV"/>
              </w:rPr>
              <w:t xml:space="preserve">Šādā situācijā </w:t>
            </w:r>
            <w:r>
              <w:rPr>
                <w:lang w:eastAsia="lv-LV"/>
              </w:rPr>
              <w:t xml:space="preserve">var būt </w:t>
            </w:r>
            <w:r w:rsidR="00E9728D" w:rsidRPr="00904FC9">
              <w:rPr>
                <w:lang w:eastAsia="lv-LV"/>
              </w:rPr>
              <w:t>nepieciešama pašvaldības dažādu dienestu – izglītības pārvaldes vai izglītības speciālista, sociālā dienesta, bāriņtiesas iesaistīšanās</w:t>
            </w:r>
            <w:r w:rsidR="00904FC9" w:rsidRPr="00904FC9">
              <w:rPr>
                <w:lang w:eastAsia="lv-LV"/>
              </w:rPr>
              <w:t xml:space="preserve">. </w:t>
            </w:r>
            <w:r w:rsidR="00C7762A">
              <w:rPr>
                <w:lang w:eastAsia="lv-LV"/>
              </w:rPr>
              <w:t xml:space="preserve">Problēmas rodas, ja izglītojamā deklarētā dzīves vietas adrese un atbilstošā pašvaldība nesakrīt ar faktisko dzīves vietu, par kuru izglītības iestādei </w:t>
            </w:r>
            <w:r>
              <w:rPr>
                <w:lang w:eastAsia="lv-LV"/>
              </w:rPr>
              <w:t xml:space="preserve">varbūt pat </w:t>
            </w:r>
            <w:r w:rsidR="00C7762A">
              <w:rPr>
                <w:lang w:eastAsia="lv-LV"/>
              </w:rPr>
              <w:t>nav sniegta informācija</w:t>
            </w:r>
            <w:r w:rsidR="00CB2E3F">
              <w:rPr>
                <w:lang w:eastAsia="lv-LV"/>
              </w:rPr>
              <w:t xml:space="preserve">, </w:t>
            </w:r>
            <w:r>
              <w:rPr>
                <w:lang w:eastAsia="lv-LV"/>
              </w:rPr>
              <w:t xml:space="preserve">kā arī, </w:t>
            </w:r>
            <w:r w:rsidR="00CB2E3F">
              <w:rPr>
                <w:lang w:eastAsia="lv-LV"/>
              </w:rPr>
              <w:t>ja izglītības iestāde atrodas citā pašvaldībā, nevis tajā, kur izglītojamais dzīvo.</w:t>
            </w:r>
            <w:r w:rsidR="00604D93">
              <w:rPr>
                <w:lang w:eastAsia="lv-LV"/>
              </w:rPr>
              <w:t xml:space="preserve"> </w:t>
            </w:r>
          </w:p>
          <w:p w:rsidR="000B2944" w:rsidRDefault="000B2944" w:rsidP="00C7762A">
            <w:pPr>
              <w:rPr>
                <w:lang w:eastAsia="lv-LV"/>
              </w:rPr>
            </w:pPr>
            <w:r>
              <w:rPr>
                <w:lang w:eastAsia="lv-LV"/>
              </w:rPr>
              <w:t xml:space="preserve">Te faktiski pieskaitāma arī situācija, kad ģimene ir pārcēlusies uz dzīvi citā valstī, bet par to ar iesniegumu neinformējot izglītības iestādi </w:t>
            </w:r>
            <w:r w:rsidRPr="00904FC9">
              <w:rPr>
                <w:lang w:eastAsia="lv-LV"/>
              </w:rPr>
              <w:t>vai pašvaldību.</w:t>
            </w:r>
          </w:p>
          <w:p w:rsidR="0065527D" w:rsidRDefault="00604D93" w:rsidP="00C7762A">
            <w:pPr>
              <w:rPr>
                <w:lang w:eastAsia="lv-LV"/>
              </w:rPr>
            </w:pPr>
            <w:r>
              <w:t xml:space="preserve">      </w:t>
            </w:r>
            <w:r w:rsidR="0065527D">
              <w:t xml:space="preserve">- Izglītības likuma 54.pantā „Izglītojamā pienākumi” ir noteikts, ka izglītojamā pienākums ir </w:t>
            </w:r>
            <w:r w:rsidR="0065527D" w:rsidRPr="005E30ED">
              <w:rPr>
                <w:lang w:eastAsia="lv-LV"/>
              </w:rPr>
              <w:t>apgūt pamatizglītības programmu</w:t>
            </w:r>
            <w:r w:rsidR="0065527D">
              <w:rPr>
                <w:lang w:eastAsia="lv-LV"/>
              </w:rPr>
              <w:t xml:space="preserve"> un </w:t>
            </w:r>
            <w:r w:rsidR="0065527D" w:rsidRPr="005E30ED">
              <w:rPr>
                <w:lang w:eastAsia="lv-LV"/>
              </w:rPr>
              <w:t>ievērot izglītības</w:t>
            </w:r>
            <w:r w:rsidR="0065527D">
              <w:rPr>
                <w:lang w:eastAsia="lv-LV"/>
              </w:rPr>
              <w:t xml:space="preserve"> iestādes nolikumu</w:t>
            </w:r>
            <w:r w:rsidR="0065527D" w:rsidRPr="005E30ED">
              <w:rPr>
                <w:lang w:eastAsia="lv-LV"/>
              </w:rPr>
              <w:t xml:space="preserve"> un iekšējās kārtības noteikumus</w:t>
            </w:r>
            <w:r w:rsidR="0065527D">
              <w:rPr>
                <w:lang w:eastAsia="lv-LV"/>
              </w:rPr>
              <w:t>, kas tikai netieši norāda uz obligātu mācību stundu apmeklēšanu. Tomēr atsevišķos gadījumos izglītojamais var apgūt obligāto izgl</w:t>
            </w:r>
            <w:r w:rsidR="000B2944">
              <w:rPr>
                <w:lang w:eastAsia="lv-LV"/>
              </w:rPr>
              <w:t>ītību arī mācoties patstāvīgi,</w:t>
            </w:r>
            <w:r w:rsidR="0065527D">
              <w:rPr>
                <w:lang w:eastAsia="lv-LV"/>
              </w:rPr>
              <w:t xml:space="preserve"> sekmīgi nokārtojot izglītības iestādes un valsts noteiktos pārbaudes darbus vērtējuma saņemšanai. Mācību satura apguve</w:t>
            </w:r>
            <w:r w:rsidR="0065527D" w:rsidRPr="0085166E">
              <w:rPr>
                <w:lang w:eastAsia="lv-LV"/>
              </w:rPr>
              <w:t xml:space="preserve"> ģimenē vecāku atbildībā</w:t>
            </w:r>
            <w:r w:rsidR="0065527D">
              <w:rPr>
                <w:lang w:eastAsia="lv-LV"/>
              </w:rPr>
              <w:t xml:space="preserve"> 1.-4.klases posmā paredzēta Ministru kabineta 2005.gada 1.novembra noteikumos Nr.822 „</w:t>
            </w:r>
            <w:r w:rsidR="0065527D" w:rsidRPr="002E7863">
              <w:rPr>
                <w:bCs/>
                <w:lang w:eastAsia="lv-LV"/>
              </w:rPr>
              <w:t>Noteikumi par obligātajām prasībām izglītojamo uzņemšanai un pārcelšanai nākamajā klasē vispārējās izglītības iestādēs (izņemot internātskolas un speciālās izglītības iestādes)</w:t>
            </w:r>
            <w:r w:rsidR="0065527D">
              <w:rPr>
                <w:bCs/>
                <w:lang w:eastAsia="lv-LV"/>
              </w:rPr>
              <w:t>”.</w:t>
            </w:r>
          </w:p>
          <w:p w:rsidR="009E51F1" w:rsidRPr="0003464D" w:rsidRDefault="000B2944" w:rsidP="000B2944">
            <w:pPr>
              <w:rPr>
                <w:lang w:eastAsia="lv-LV"/>
              </w:rPr>
            </w:pPr>
            <w:r>
              <w:rPr>
                <w:lang w:eastAsia="lv-LV"/>
              </w:rPr>
              <w:t xml:space="preserve">      </w:t>
            </w:r>
            <w:r w:rsidR="00904FC9">
              <w:rPr>
                <w:lang w:eastAsia="lv-LV"/>
              </w:rPr>
              <w:t xml:space="preserve">Funkcija </w:t>
            </w:r>
            <w:r w:rsidR="00904FC9" w:rsidRPr="00904FC9">
              <w:t>uzraudzīt un kontrolēt Bērnu tiesību aizsardzības likuma un citu bērnu tiesību aizsardzību regulējošo normatīvo aktu ievērošanu</w:t>
            </w:r>
            <w:r w:rsidR="00904FC9">
              <w:t xml:space="preserve"> ir uzdota Valsts bērnu tiesību aizsardzības inspekcijai. </w:t>
            </w:r>
          </w:p>
        </w:tc>
      </w:tr>
      <w:tr w:rsidR="00FF1005" w:rsidRPr="00115D93" w:rsidTr="000B2944">
        <w:trPr>
          <w:trHeight w:val="1071"/>
        </w:trPr>
        <w:tc>
          <w:tcPr>
            <w:tcW w:w="178" w:type="pct"/>
            <w:hideMark/>
          </w:tcPr>
          <w:p w:rsidR="00FF1005" w:rsidRPr="00115D93" w:rsidRDefault="00FF1005" w:rsidP="006A1591">
            <w:pPr>
              <w:spacing w:before="50" w:after="50"/>
            </w:pPr>
            <w:r w:rsidRPr="00115D93">
              <w:lastRenderedPageBreak/>
              <w:t> 3.</w:t>
            </w:r>
          </w:p>
        </w:tc>
        <w:tc>
          <w:tcPr>
            <w:tcW w:w="1108" w:type="pct"/>
            <w:hideMark/>
          </w:tcPr>
          <w:p w:rsidR="00FF1005" w:rsidRPr="00115D93" w:rsidRDefault="00FF1005" w:rsidP="0003464D">
            <w:pPr>
              <w:spacing w:before="50" w:after="50"/>
              <w:jc w:val="left"/>
            </w:pPr>
            <w:r w:rsidRPr="00115D93">
              <w:t> Saistītie politikas ietekmes novērtējumi un pētījumi</w:t>
            </w:r>
          </w:p>
        </w:tc>
        <w:tc>
          <w:tcPr>
            <w:tcW w:w="3714" w:type="pct"/>
            <w:hideMark/>
          </w:tcPr>
          <w:p w:rsidR="00FF1005" w:rsidRPr="00115D93" w:rsidRDefault="00A00923" w:rsidP="006A1591">
            <w:pPr>
              <w:spacing w:before="50" w:after="50"/>
            </w:pPr>
            <w:r>
              <w:t>Nav attiecināms</w:t>
            </w:r>
          </w:p>
        </w:tc>
      </w:tr>
      <w:tr w:rsidR="00FF1005" w:rsidRPr="00115D93" w:rsidTr="000B2944">
        <w:trPr>
          <w:trHeight w:val="384"/>
        </w:trPr>
        <w:tc>
          <w:tcPr>
            <w:tcW w:w="178" w:type="pct"/>
            <w:hideMark/>
          </w:tcPr>
          <w:p w:rsidR="00FF1005" w:rsidRPr="00115D93" w:rsidRDefault="00FF1005" w:rsidP="006A1591">
            <w:pPr>
              <w:spacing w:before="50" w:after="50"/>
            </w:pPr>
            <w:r w:rsidRPr="00115D93">
              <w:t> 4.</w:t>
            </w:r>
          </w:p>
        </w:tc>
        <w:tc>
          <w:tcPr>
            <w:tcW w:w="1108" w:type="pct"/>
            <w:hideMark/>
          </w:tcPr>
          <w:p w:rsidR="00FF1005" w:rsidRPr="00115D93" w:rsidRDefault="00FF1005" w:rsidP="0003464D">
            <w:pPr>
              <w:spacing w:before="50" w:after="50"/>
              <w:jc w:val="left"/>
            </w:pPr>
            <w:r w:rsidRPr="00115D93">
              <w:t> Tiesiskā regulējuma mērķis un būtība</w:t>
            </w:r>
          </w:p>
        </w:tc>
        <w:tc>
          <w:tcPr>
            <w:tcW w:w="3714" w:type="pct"/>
            <w:hideMark/>
          </w:tcPr>
          <w:p w:rsidR="002954EF" w:rsidRDefault="006D35D2" w:rsidP="002954EF">
            <w:pPr>
              <w:rPr>
                <w:lang w:eastAsia="lv-LV"/>
              </w:rPr>
            </w:pPr>
            <w:r>
              <w:rPr>
                <w:lang w:eastAsia="lv-LV"/>
              </w:rPr>
              <w:t xml:space="preserve">      </w:t>
            </w:r>
            <w:r w:rsidR="002954EF" w:rsidRPr="002954EF">
              <w:rPr>
                <w:lang w:eastAsia="lv-LV"/>
              </w:rPr>
              <w:t xml:space="preserve">Noteikumu projekta mērķis ir noteikt valstī vienotu kārtību, kādā izglītības iestāde informē izglītojamo vecākus, pašvaldības vai valsts iestādes, ja izglītojamais bez attaisnojoša iemesla neapmeklē izglītības iestādi, izslēdzot iespēju, </w:t>
            </w:r>
            <w:r w:rsidR="000B2944">
              <w:t>ka izglītojamais</w:t>
            </w:r>
            <w:r w:rsidR="000B2944" w:rsidRPr="0003464D">
              <w:t xml:space="preserve"> nav ieradies izglītības iestādē</w:t>
            </w:r>
            <w:r w:rsidR="000B2944">
              <w:t xml:space="preserve"> un izglītības iestādei nav informācijas par neierašanās iemeslu,</w:t>
            </w:r>
            <w:r w:rsidR="000B2944" w:rsidRPr="0003464D">
              <w:t xml:space="preserve"> </w:t>
            </w:r>
            <w:r w:rsidR="000B2944">
              <w:t xml:space="preserve">kā arī, </w:t>
            </w:r>
            <w:r w:rsidR="002954EF" w:rsidRPr="002954EF">
              <w:rPr>
                <w:lang w:eastAsia="lv-LV"/>
              </w:rPr>
              <w:t xml:space="preserve">ka izglītojamais varētu ilgstoši vai sistemātiski neapmeklēt izglītības iestādi bez attaisnojoša iemesla. </w:t>
            </w:r>
          </w:p>
          <w:p w:rsidR="002954EF" w:rsidRDefault="006D35D2" w:rsidP="002954EF">
            <w:pPr>
              <w:autoSpaceDE w:val="0"/>
              <w:autoSpaceDN w:val="0"/>
              <w:adjustRightInd w:val="0"/>
              <w:rPr>
                <w:rFonts w:eastAsiaTheme="minorHAnsi"/>
                <w:color w:val="000000"/>
              </w:rPr>
            </w:pPr>
            <w:r>
              <w:t xml:space="preserve">     </w:t>
            </w:r>
            <w:r w:rsidR="002954EF" w:rsidRPr="006D35D2">
              <w:t xml:space="preserve">Noteikumu projekta normas attiecinātas uz bērniem no piecu gadu vecuma pirmsskolas izglītības pakāpē, jo Izglītības likuma 4.pantā noteikts, ka </w:t>
            </w:r>
            <w:r w:rsidR="002954EF" w:rsidRPr="006D35D2">
              <w:rPr>
                <w:lang w:eastAsia="lv-LV"/>
              </w:rPr>
              <w:t>no piecu gadu vecuma bērnu sagatavošana pamatizglītības ieguvei</w:t>
            </w:r>
            <w:r w:rsidR="002954EF" w:rsidRPr="006D35D2">
              <w:t xml:space="preserve"> </w:t>
            </w:r>
            <w:r w:rsidR="002954EF" w:rsidRPr="006D35D2">
              <w:rPr>
                <w:lang w:eastAsia="lv-LV"/>
              </w:rPr>
              <w:t>ir obligāta. Noteikumu projekts attiecināts tikai</w:t>
            </w:r>
            <w:r w:rsidR="002954EF" w:rsidRPr="006D35D2">
              <w:t xml:space="preserve"> uz nepilngadīgiem izglītojamiem </w:t>
            </w:r>
            <w:r w:rsidRPr="006D35D2">
              <w:t>(</w:t>
            </w:r>
            <w:r w:rsidRPr="006D35D2">
              <w:rPr>
                <w:lang w:eastAsia="lv-LV"/>
              </w:rPr>
              <w:t xml:space="preserve">nepilngadība abu dzimumu personām turpinās tik ilgi, kamēr tās sasniedz astoņpadsmit gadu vecumu) </w:t>
            </w:r>
            <w:r w:rsidR="002954EF" w:rsidRPr="006D35D2">
              <w:t xml:space="preserve">vispārējās un profesionālās izglītības iestādēs. </w:t>
            </w:r>
            <w:r w:rsidR="002954EF" w:rsidRPr="006D35D2">
              <w:rPr>
                <w:rFonts w:eastAsiaTheme="minorHAnsi"/>
                <w:color w:val="000000"/>
              </w:rPr>
              <w:t>Pēc pilngadības sasniegšanas persona</w:t>
            </w:r>
            <w:r w:rsidRPr="006D35D2">
              <w:rPr>
                <w:rFonts w:eastAsiaTheme="minorHAnsi"/>
                <w:color w:val="000000"/>
              </w:rPr>
              <w:t>, kaut arī</w:t>
            </w:r>
            <w:r w:rsidRPr="006D35D2">
              <w:t xml:space="preserve"> turpina vispārējās vai profesionālās izglītības iegūšanu</w:t>
            </w:r>
            <w:r>
              <w:t>,</w:t>
            </w:r>
            <w:r w:rsidR="002954EF" w:rsidRPr="006D35D2">
              <w:rPr>
                <w:rFonts w:eastAsiaTheme="minorHAnsi"/>
                <w:color w:val="000000"/>
              </w:rPr>
              <w:t xml:space="preserve"> </w:t>
            </w:r>
            <w:r w:rsidR="002954EF" w:rsidRPr="006D35D2">
              <w:rPr>
                <w:rFonts w:eastAsiaTheme="minorHAnsi"/>
                <w:bCs/>
                <w:color w:val="000000"/>
              </w:rPr>
              <w:t>saskaņā ar Civillikumu</w:t>
            </w:r>
            <w:r w:rsidR="002954EF" w:rsidRPr="006D35D2">
              <w:rPr>
                <w:rFonts w:eastAsiaTheme="minorHAnsi"/>
                <w:color w:val="000000"/>
              </w:rPr>
              <w:t xml:space="preserve">  ir pilnībā rīcībspējīga un vecāki savu aizgādības varu zaudē, tādejādi nebūtu pamatoti izstrādāt tiesisko regulējumu, ka  izglītības iestādei ir jāsniedz vecākiem ziņas par pilngadīga bērna izglītības iestādes apmeklējumu. </w:t>
            </w:r>
            <w:r w:rsidR="00622D10">
              <w:rPr>
                <w:rFonts w:eastAsiaTheme="minorHAnsi"/>
                <w:color w:val="000000"/>
              </w:rPr>
              <w:t>Pilngadība kā patstāvība no  18 gadu vecuma</w:t>
            </w:r>
            <w:r w:rsidR="002954EF">
              <w:rPr>
                <w:rFonts w:eastAsiaTheme="minorHAnsi"/>
                <w:color w:val="000000"/>
              </w:rPr>
              <w:t xml:space="preserve"> </w:t>
            </w:r>
            <w:r>
              <w:rPr>
                <w:rFonts w:eastAsiaTheme="minorHAnsi"/>
                <w:color w:val="000000"/>
              </w:rPr>
              <w:t xml:space="preserve">jau ilgstoši </w:t>
            </w:r>
            <w:r w:rsidR="002954EF">
              <w:rPr>
                <w:rFonts w:eastAsiaTheme="minorHAnsi"/>
                <w:color w:val="000000"/>
              </w:rPr>
              <w:t>ir noteikta  lielāk</w:t>
            </w:r>
            <w:r>
              <w:rPr>
                <w:rFonts w:eastAsiaTheme="minorHAnsi"/>
                <w:color w:val="000000"/>
              </w:rPr>
              <w:t>ajā daļā Eiropas valstu</w:t>
            </w:r>
            <w:r w:rsidR="002954EF">
              <w:rPr>
                <w:rFonts w:eastAsiaTheme="minorHAnsi"/>
                <w:color w:val="000000"/>
              </w:rPr>
              <w:t xml:space="preserve"> un šis vecums ir noteikts, vadoties arī no medicīniskiem apsvērumiem par personas</w:t>
            </w:r>
            <w:r w:rsidR="00622D10">
              <w:rPr>
                <w:rFonts w:eastAsiaTheme="minorHAnsi"/>
                <w:color w:val="000000"/>
              </w:rPr>
              <w:t xml:space="preserve"> nobriešanu</w:t>
            </w:r>
            <w:r w:rsidR="002954EF">
              <w:rPr>
                <w:rFonts w:eastAsiaTheme="minorHAnsi"/>
                <w:color w:val="000000"/>
              </w:rPr>
              <w:t>.</w:t>
            </w:r>
          </w:p>
          <w:p w:rsidR="002954EF" w:rsidRPr="002954EF" w:rsidRDefault="006D35D2" w:rsidP="002954EF">
            <w:r>
              <w:t xml:space="preserve">      </w:t>
            </w:r>
            <w:r w:rsidR="00DD5CA1">
              <w:rPr>
                <w:bCs/>
              </w:rPr>
              <w:t xml:space="preserve">Informācija par </w:t>
            </w:r>
            <w:r w:rsidR="00DD5CA1">
              <w:t xml:space="preserve">izglītojamo nokavētajām mācību priekšmetu stundām </w:t>
            </w:r>
            <w:r w:rsidR="00690F32">
              <w:t>tiek</w:t>
            </w:r>
            <w:r w:rsidR="00DD5CA1">
              <w:t xml:space="preserve"> </w:t>
            </w:r>
            <w:r w:rsidR="00690F32">
              <w:t>ierakstīta</w:t>
            </w:r>
            <w:r w:rsidR="00DD5CA1">
              <w:t xml:space="preserve"> klases žurnālā atbilstoši </w:t>
            </w:r>
            <w:r w:rsidR="00DD5CA1">
              <w:rPr>
                <w:lang w:eastAsia="lv-LV"/>
              </w:rPr>
              <w:t>Ministru kabineta 2005.gada 18.oktobra noteikumiem Nr.779 „</w:t>
            </w:r>
            <w:r w:rsidR="00DD5CA1" w:rsidRPr="006365E0">
              <w:rPr>
                <w:bCs/>
              </w:rPr>
              <w:t>Noteikumi par vispārējās izglītības iestāžu pedagoģiskā procesa organizēšanai nepieciešamo obligāto dokumentāciju</w:t>
            </w:r>
            <w:r w:rsidR="00DD5CA1">
              <w:rPr>
                <w:bCs/>
              </w:rPr>
              <w:t xml:space="preserve">”. </w:t>
            </w:r>
            <w:r w:rsidR="00B813A4">
              <w:rPr>
                <w:bCs/>
              </w:rPr>
              <w:t>I</w:t>
            </w:r>
            <w:r w:rsidR="00247710">
              <w:rPr>
                <w:bCs/>
              </w:rPr>
              <w:t xml:space="preserve">nformācija klases žurnālā par kavējumiem tiek apkopota reizi mēnesī. Lai operatīvi reaģētu uz izglītojamā neierašanos, </w:t>
            </w:r>
            <w:r w:rsidR="00247710">
              <w:t>izglītības iestādes vadītājam uzdots noteikt</w:t>
            </w:r>
            <w:r w:rsidR="00247710" w:rsidRPr="002954EF">
              <w:t xml:space="preserve"> kārtību, kā ik dienas reģistrē izglītojamo ierašanos vai</w:t>
            </w:r>
            <w:r w:rsidR="00247710">
              <w:t xml:space="preserve"> neierašanos izglītības iestādē, bez kavēšanās sazinoties ar vecākiem, ja skolai nav informācijas par neierašanās iemeslu. </w:t>
            </w:r>
            <w:r w:rsidR="00247710">
              <w:rPr>
                <w:bCs/>
              </w:rPr>
              <w:t>Š</w:t>
            </w:r>
            <w:r w:rsidR="00690F32">
              <w:rPr>
                <w:bCs/>
              </w:rPr>
              <w:t xml:space="preserve">ajā </w:t>
            </w:r>
            <w:r w:rsidR="00DD5CA1">
              <w:rPr>
                <w:bCs/>
              </w:rPr>
              <w:t xml:space="preserve">kārtībā </w:t>
            </w:r>
            <w:r w:rsidR="00247710">
              <w:rPr>
                <w:bCs/>
              </w:rPr>
              <w:t>jānosaka skolas darbinieks</w:t>
            </w:r>
            <w:r w:rsidR="00DD5CA1">
              <w:rPr>
                <w:bCs/>
              </w:rPr>
              <w:t xml:space="preserve">, kurš, sākoties mācību stundām, apkopo informāciju par </w:t>
            </w:r>
            <w:r w:rsidR="00247710">
              <w:rPr>
                <w:bCs/>
              </w:rPr>
              <w:t xml:space="preserve">kavētājiem no </w:t>
            </w:r>
            <w:r w:rsidR="00DD5CA1">
              <w:rPr>
                <w:bCs/>
              </w:rPr>
              <w:t xml:space="preserve">visām klasēm vai grupām no pedagogiem, kuri vada pirmās mācību stundas, un kurš </w:t>
            </w:r>
            <w:r w:rsidR="00DD5CA1">
              <w:t>ir atbildīgs</w:t>
            </w:r>
            <w:r w:rsidR="00DD5CA1" w:rsidRPr="002954EF">
              <w:t xml:space="preserve"> par vecāku informēšanu, </w:t>
            </w:r>
            <w:r w:rsidR="00DD5CA1" w:rsidRPr="002954EF">
              <w:rPr>
                <w:lang w:eastAsia="lv-LV"/>
              </w:rPr>
              <w:t>ja izg</w:t>
            </w:r>
            <w:r w:rsidR="00690F32">
              <w:rPr>
                <w:lang w:eastAsia="lv-LV"/>
              </w:rPr>
              <w:t>lītojamais nav ieradies un nav informācijas par kavējuma ieme</w:t>
            </w:r>
            <w:r w:rsidR="00846509">
              <w:rPr>
                <w:lang w:eastAsia="lv-LV"/>
              </w:rPr>
              <w:t>s</w:t>
            </w:r>
            <w:r w:rsidR="00690F32">
              <w:rPr>
                <w:lang w:eastAsia="lv-LV"/>
              </w:rPr>
              <w:t>liem</w:t>
            </w:r>
            <w:r w:rsidR="00DD5CA1" w:rsidRPr="002954EF">
              <w:t>.</w:t>
            </w:r>
            <w:r w:rsidR="00DD5CA1">
              <w:t xml:space="preserve"> Iespējams, ka lielās skolās jābūt noteiktām vairākām atbildīgām personām pa klašu grupām.</w:t>
            </w:r>
            <w:r w:rsidR="00DD5CA1" w:rsidRPr="002954EF">
              <w:t xml:space="preserve"> </w:t>
            </w:r>
            <w:r w:rsidR="00846509">
              <w:t>Izglītības iestādei arī jānodrošina informācijas bāze drošiem kontaktiem ar vecākiem (dzīvesvietas adreses ir iekļautas V</w:t>
            </w:r>
            <w:r w:rsidR="00247710">
              <w:t>alsts izglītības informācijas sistēmā</w:t>
            </w:r>
            <w:r w:rsidR="00846509">
              <w:t xml:space="preserve">, bet arī telefona numuri, e-pasta adreses). </w:t>
            </w:r>
            <w:r w:rsidR="00DD5CA1">
              <w:t>Visiem ve</w:t>
            </w:r>
            <w:r w:rsidR="00B813A4">
              <w:t>cākiem ir jāzina</w:t>
            </w:r>
            <w:r w:rsidR="00DD5CA1">
              <w:t>, kam, kurai personai skolā viņiem</w:t>
            </w:r>
            <w:r w:rsidR="00690F32">
              <w:t xml:space="preserve"> ir</w:t>
            </w:r>
            <w:r w:rsidR="00DD5CA1">
              <w:t xml:space="preserve"> jāsniedz informācija, ja viņu bērns</w:t>
            </w:r>
            <w:r w:rsidR="00DD5CA1" w:rsidRPr="002954EF">
              <w:t xml:space="preserve"> ne</w:t>
            </w:r>
            <w:r w:rsidR="00690F32">
              <w:t xml:space="preserve">var apmeklēt izglītības iestādi, kā arī jābūt skaidrai kārtībai, kā to var izdarīt – ar </w:t>
            </w:r>
            <w:r w:rsidR="00690F32">
              <w:lastRenderedPageBreak/>
              <w:t xml:space="preserve">zvanu (telefona numurs), ar e-pastu (e-pasta adrese), elektroniskajā </w:t>
            </w:r>
            <w:proofErr w:type="spellStart"/>
            <w:r w:rsidR="00690F32">
              <w:t>skolvadības</w:t>
            </w:r>
            <w:proofErr w:type="spellEnd"/>
            <w:r w:rsidR="00690F32">
              <w:t xml:space="preserve"> sistēmā, ar zīmīti, vai drīkst zvanīt mācību stundas laikā un tml. </w:t>
            </w:r>
            <w:r w:rsidR="002954EF" w:rsidRPr="002954EF">
              <w:rPr>
                <w:lang w:eastAsia="lv-LV"/>
              </w:rPr>
              <w:t>Izglītības iestāde</w:t>
            </w:r>
            <w:r w:rsidR="00690F32">
              <w:rPr>
                <w:lang w:eastAsia="lv-LV"/>
              </w:rPr>
              <w:t>i</w:t>
            </w:r>
            <w:r w:rsidR="002954EF" w:rsidRPr="002954EF">
              <w:t xml:space="preserve"> </w:t>
            </w:r>
            <w:r w:rsidR="00690F32">
              <w:t>jāiepazīstina vecākus ar šo iekšējo  kārtību.</w:t>
            </w:r>
          </w:p>
          <w:p w:rsidR="002954EF" w:rsidRPr="002954EF" w:rsidRDefault="00B6677B" w:rsidP="002954EF">
            <w:r>
              <w:t xml:space="preserve">     J</w:t>
            </w:r>
            <w:r w:rsidR="002954EF" w:rsidRPr="002954EF">
              <w:t xml:space="preserve">a izglītojamais nav ieradies izglītības iestādē uz mācību sākumu vai kādu nākamo mācību stundu un izglītības iestādei nav informācijas par neierašanās iemeslu, izglītības iestāde nekavējoties, bet ne vēlāk kā mācību dienas laikā, rakstveidā vai elektroniskā veidā, vai mutvārdos sazinās ar vecākiem, lai noskaidrotu </w:t>
            </w:r>
            <w:r>
              <w:t>izglītojamā neierašanās iemeslu. Kurās skolās tā vēl nav ierasta kārtība, tur būs jāpanāk, ka ir pašsaprotami informēt skolu, ja bērns tajā dienā nevar ierasties uz mācībām. Bērna slimības gadījumā var aptuveni novērtēt paredzamo slimošanas ilgumu.</w:t>
            </w:r>
          </w:p>
          <w:p w:rsidR="002954EF" w:rsidRPr="002954EF" w:rsidRDefault="00B6677B" w:rsidP="002954EF">
            <w:r>
              <w:t xml:space="preserve">      </w:t>
            </w:r>
            <w:r w:rsidR="00B813A4">
              <w:t>Ja izglītojamais p</w:t>
            </w:r>
            <w:r w:rsidRPr="002954EF">
              <w:t>irms</w:t>
            </w:r>
            <w:r>
              <w:t>skolas</w:t>
            </w:r>
            <w:r w:rsidR="00B813A4">
              <w:t xml:space="preserve"> pakāpē vairāk kā trīs mācību dienas nav atvests uz izglītības iestādi un iestādei nav informācijas par neierašanās iemeslu vai iemesls nav uzskatāms par attaisnojošu</w:t>
            </w:r>
            <w:r w:rsidR="009E51F1">
              <w:t>, izglītības iestāde par to informē pašvaldības izglītības pārvaldi vai izglītības speciālistu. Tas nozīmē, ka izglītības iestādei trīs dienu laikā nav izdevies atrisināt jautājumu un novērst neattaisnotu mācību kavēšanu saviem spēkiem, tādēļ tiek iesaistīti pašvaldības atbildīgie dienesti.</w:t>
            </w:r>
            <w:r w:rsidR="00B813A4">
              <w:t xml:space="preserve"> </w:t>
            </w:r>
            <w:r w:rsidR="009E51F1" w:rsidRPr="009E51F1">
              <w:t>P</w:t>
            </w:r>
            <w:r w:rsidRPr="009E51F1">
              <w:t xml:space="preserve">amatizglītības </w:t>
            </w:r>
            <w:r w:rsidR="005B0192">
              <w:t xml:space="preserve">un vidējās izglītības </w:t>
            </w:r>
            <w:r w:rsidRPr="009E51F1">
              <w:t>pakāpē,</w:t>
            </w:r>
            <w:r w:rsidR="002954EF" w:rsidRPr="009E51F1">
              <w:t xml:space="preserve"> ja izglītojamais </w:t>
            </w:r>
            <w:r w:rsidR="005B0192">
              <w:t>vairāk kā 2</w:t>
            </w:r>
            <w:r w:rsidR="009E51F1" w:rsidRPr="009E51F1">
              <w:t xml:space="preserve">0 mācību stundas semestrī pamatizglītības pakāpē nav apmeklējis izglītības iestādi </w:t>
            </w:r>
            <w:r w:rsidR="00247710" w:rsidRPr="009E51F1">
              <w:t>bez attaisnojoš</w:t>
            </w:r>
            <w:r w:rsidRPr="009E51F1">
              <w:t>a iemesla</w:t>
            </w:r>
            <w:r w:rsidR="002954EF" w:rsidRPr="009E51F1">
              <w:t>, izglīt</w:t>
            </w:r>
            <w:r w:rsidRPr="009E51F1">
              <w:t>ības iestāde par to bez kavēšanās</w:t>
            </w:r>
            <w:r w:rsidR="002954EF" w:rsidRPr="009E51F1">
              <w:t xml:space="preserve"> rakstveidā vai elektroniskā veidā informē pašvaldības </w:t>
            </w:r>
            <w:r w:rsidR="002954EF" w:rsidRPr="009E51F1">
              <w:rPr>
                <w:lang w:eastAsia="lv-LV"/>
              </w:rPr>
              <w:t>izglītības pārvaldes iestādi vai izglītības speciālistu</w:t>
            </w:r>
            <w:r w:rsidRPr="009E51F1">
              <w:t>, kura pienākums</w:t>
            </w:r>
            <w:r>
              <w:t xml:space="preserve"> ir </w:t>
            </w:r>
            <w:r>
              <w:rPr>
                <w:lang w:eastAsia="lv-LV"/>
              </w:rPr>
              <w:t>īstenot pašvaldības</w:t>
            </w:r>
            <w:r w:rsidRPr="005E30ED">
              <w:rPr>
                <w:lang w:eastAsia="lv-LV"/>
              </w:rPr>
              <w:t xml:space="preserve"> funkcijas izglītības jomā</w:t>
            </w:r>
            <w:r>
              <w:rPr>
                <w:lang w:eastAsia="lv-LV"/>
              </w:rPr>
              <w:t>.</w:t>
            </w:r>
            <w:r w:rsidR="00A30B63">
              <w:rPr>
                <w:lang w:eastAsia="lv-LV"/>
              </w:rPr>
              <w:t xml:space="preserve"> Pašvaldības izglītības speciālista(-u) uzdevums ir noskaidrot skolas neapmeklēšanas iemeslus, ja nepieciešams, sadarboties ar pašvaldības sociālo dienestu</w:t>
            </w:r>
            <w:r w:rsidR="00227A84">
              <w:rPr>
                <w:lang w:eastAsia="lv-LV"/>
              </w:rPr>
              <w:t>, bāriņtiesu</w:t>
            </w:r>
            <w:r w:rsidR="00A30B63">
              <w:rPr>
                <w:lang w:eastAsia="lv-LV"/>
              </w:rPr>
              <w:t xml:space="preserve"> vai pat pašvaldības policiju. Ja izglītojamais dzīvo citā pašvaldībā, ir jāsazinās ar atbilstošās pašvaldības izglītības speciālistiem. Tomēr, ievērojot Izglītības likumā doto pilnvarojumu Ministru kabinetam, šajos noteikumos nedrīkst noteikt tālākās darbības, kādas būtu veicamas pašvaldībai. </w:t>
            </w:r>
            <w:r w:rsidR="00A30B63">
              <w:t>N</w:t>
            </w:r>
            <w:r w:rsidR="00A30B63">
              <w:rPr>
                <w:lang w:eastAsia="lv-LV"/>
              </w:rPr>
              <w:t>epieciešamības gadījumā</w:t>
            </w:r>
            <w:r w:rsidR="009E51F1">
              <w:rPr>
                <w:lang w:eastAsia="lv-LV"/>
              </w:rPr>
              <w:t>, ja ir pamatotas aizdomas par bērna tiesību pārkāpumu,</w:t>
            </w:r>
            <w:r w:rsidR="002954EF" w:rsidRPr="002954EF">
              <w:rPr>
                <w:lang w:eastAsia="lv-LV"/>
              </w:rPr>
              <w:t xml:space="preserve"> izglītības iestāde par izglītojamo, kurš bez attaisnojoša iemesla neapmeklē izglītības iestādi, informē bāriņtiesu vai Valsts bērnu tiesību aizsardzības inspekciju.</w:t>
            </w:r>
            <w:r w:rsidR="009E51F1">
              <w:rPr>
                <w:lang w:eastAsia="lv-LV"/>
              </w:rPr>
              <w:t xml:space="preserve"> Vidēji skolēni dažādu iemeslu dēļ, parasti slimības dēļ, kavē 4-5% mācību stundu, tas ir 15-20 mācību stundas semestrī. Ja ir semestra </w:t>
            </w:r>
            <w:r w:rsidR="002C4863">
              <w:rPr>
                <w:lang w:eastAsia="lv-LV"/>
              </w:rPr>
              <w:t>laikā sakrājušās jau vairāk kā 2</w:t>
            </w:r>
            <w:r w:rsidR="009E51F1">
              <w:rPr>
                <w:lang w:eastAsia="lv-LV"/>
              </w:rPr>
              <w:t>0 neattaisnoti kavētas mācību stundas, izglītības iestādei ir pienākums iesaistīt problēmas risināšanā pašvaldības atbildīgos dienestus.</w:t>
            </w:r>
          </w:p>
          <w:p w:rsidR="009E51F1" w:rsidRPr="009E51F1" w:rsidRDefault="00A30B63" w:rsidP="002C4863">
            <w:pPr>
              <w:autoSpaceDE w:val="0"/>
              <w:autoSpaceDN w:val="0"/>
              <w:adjustRightInd w:val="0"/>
              <w:rPr>
                <w:rFonts w:ascii="Tms Rmn" w:eastAsiaTheme="minorHAnsi" w:hAnsi="Tms Rmn" w:cs="Tms Rmn"/>
                <w:color w:val="000000"/>
              </w:rPr>
            </w:pPr>
            <w:r>
              <w:rPr>
                <w:lang w:eastAsia="lv-LV"/>
              </w:rPr>
              <w:t xml:space="preserve">      Vidējā izglītība nav obligāta, tomēr no</w:t>
            </w:r>
            <w:r w:rsidR="002C4863">
              <w:rPr>
                <w:lang w:eastAsia="lv-LV"/>
              </w:rPr>
              <w:t>teikumu projekts paredz</w:t>
            </w:r>
            <w:r>
              <w:rPr>
                <w:lang w:eastAsia="lv-LV"/>
              </w:rPr>
              <w:t xml:space="preserve"> izglītības iestādes pienākumu sazināties ar nepilngadīga izglītojamā vecākiem</w:t>
            </w:r>
            <w:r w:rsidR="002954EF" w:rsidRPr="002954EF">
              <w:rPr>
                <w:lang w:eastAsia="lv-LV"/>
              </w:rPr>
              <w:t xml:space="preserve"> </w:t>
            </w:r>
            <w:r>
              <w:rPr>
                <w:lang w:eastAsia="lv-LV"/>
              </w:rPr>
              <w:t xml:space="preserve">arī vidējās izglītības </w:t>
            </w:r>
            <w:r w:rsidR="002954EF" w:rsidRPr="002954EF">
              <w:rPr>
                <w:lang w:eastAsia="lv-LV"/>
              </w:rPr>
              <w:t>pakāpē</w:t>
            </w:r>
            <w:r>
              <w:rPr>
                <w:lang w:eastAsia="lv-LV"/>
              </w:rPr>
              <w:t xml:space="preserve"> (10.-12.klase vispārizglītojošā vidusskolā vai 1.-3.kurss profesionālās izglītības iestādē)</w:t>
            </w:r>
            <w:r w:rsidR="002954EF" w:rsidRPr="002954EF">
              <w:rPr>
                <w:lang w:eastAsia="lv-LV"/>
              </w:rPr>
              <w:t xml:space="preserve">, </w:t>
            </w:r>
            <w:r w:rsidR="002954EF" w:rsidRPr="002954EF">
              <w:t>ja izglītojamais nav ieradies izglītības iestādē un izglītības iestādei nav informā</w:t>
            </w:r>
            <w:r>
              <w:t xml:space="preserve">cijas par neierašanās iemeslu. </w:t>
            </w:r>
            <w:r w:rsidR="009E51F1">
              <w:rPr>
                <w:rFonts w:eastAsiaTheme="minorHAnsi"/>
                <w:color w:val="000000"/>
              </w:rPr>
              <w:t xml:space="preserve">Kaut arī saskaņā ar Izglītības likuma 4.pantu vidējā izglītība nav obligāta, vecākiem arī pēc tam, kad bērns ir pabeidzis mācības pamatizglītības pakāpē, ir pienākums </w:t>
            </w:r>
            <w:r w:rsidR="009E51F1">
              <w:rPr>
                <w:rFonts w:eastAsiaTheme="minorHAnsi"/>
                <w:color w:val="000000"/>
              </w:rPr>
              <w:lastRenderedPageBreak/>
              <w:t xml:space="preserve">nodrošināt bērna izglītošanu un audzināšanu (garīgās un fiziskās attīstības nodrošināšanu, pēc iespējas ievērojot viņa individualitāti, spējas un intereses un sagatavojot bērnu sabiedriski derīgam darbam). </w:t>
            </w:r>
          </w:p>
        </w:tc>
      </w:tr>
      <w:tr w:rsidR="00FF1005" w:rsidRPr="00115D93" w:rsidTr="000B2944">
        <w:trPr>
          <w:trHeight w:val="476"/>
        </w:trPr>
        <w:tc>
          <w:tcPr>
            <w:tcW w:w="178" w:type="pct"/>
            <w:hideMark/>
          </w:tcPr>
          <w:p w:rsidR="00FF1005" w:rsidRPr="00115D93" w:rsidRDefault="00FF1005" w:rsidP="006A1591">
            <w:pPr>
              <w:spacing w:before="50" w:after="50"/>
            </w:pPr>
            <w:r w:rsidRPr="00115D93">
              <w:lastRenderedPageBreak/>
              <w:t> 5.</w:t>
            </w:r>
          </w:p>
        </w:tc>
        <w:tc>
          <w:tcPr>
            <w:tcW w:w="1108" w:type="pct"/>
            <w:hideMark/>
          </w:tcPr>
          <w:p w:rsidR="00FF1005" w:rsidRPr="00115D93" w:rsidRDefault="00FF1005" w:rsidP="006A1591">
            <w:pPr>
              <w:spacing w:before="50" w:after="50"/>
            </w:pPr>
            <w:r w:rsidRPr="00115D93">
              <w:t> Projekta izstrādē iesaistītās institūcijas</w:t>
            </w:r>
          </w:p>
        </w:tc>
        <w:tc>
          <w:tcPr>
            <w:tcW w:w="3714" w:type="pct"/>
            <w:hideMark/>
          </w:tcPr>
          <w:p w:rsidR="00FF1005" w:rsidRPr="00115D93" w:rsidRDefault="00FF1005" w:rsidP="006A1591">
            <w:pPr>
              <w:spacing w:before="50" w:after="50"/>
            </w:pPr>
            <w:r w:rsidRPr="00115D93">
              <w:t> </w:t>
            </w:r>
            <w:r w:rsidR="00FC0191">
              <w:t xml:space="preserve">Nav </w:t>
            </w:r>
          </w:p>
        </w:tc>
      </w:tr>
      <w:tr w:rsidR="00FF1005" w:rsidRPr="00115D93" w:rsidTr="000B2944">
        <w:trPr>
          <w:trHeight w:val="1340"/>
        </w:trPr>
        <w:tc>
          <w:tcPr>
            <w:tcW w:w="178" w:type="pct"/>
            <w:hideMark/>
          </w:tcPr>
          <w:p w:rsidR="00FF1005" w:rsidRPr="00115D93" w:rsidRDefault="00FF1005" w:rsidP="006A1591">
            <w:pPr>
              <w:spacing w:before="50" w:after="50"/>
            </w:pPr>
            <w:r w:rsidRPr="00115D93">
              <w:t> 6.</w:t>
            </w:r>
          </w:p>
        </w:tc>
        <w:tc>
          <w:tcPr>
            <w:tcW w:w="1108" w:type="pct"/>
            <w:hideMark/>
          </w:tcPr>
          <w:p w:rsidR="00FF1005" w:rsidRPr="00115D93" w:rsidRDefault="00FF1005" w:rsidP="002C4863">
            <w:pPr>
              <w:spacing w:before="50"/>
            </w:pPr>
            <w:r w:rsidRPr="00115D93">
              <w:t> Iemesli, kādēļ netika nodrošināta sabiedrības līdzdalība</w:t>
            </w:r>
          </w:p>
        </w:tc>
        <w:tc>
          <w:tcPr>
            <w:tcW w:w="3714" w:type="pct"/>
            <w:hideMark/>
          </w:tcPr>
          <w:p w:rsidR="00FF1005" w:rsidRPr="00115D93" w:rsidRDefault="008A3F4D" w:rsidP="006A1591">
            <w:pPr>
              <w:spacing w:before="50" w:after="50"/>
            </w:pPr>
            <w:r>
              <w:t>Nav attiecināms</w:t>
            </w:r>
          </w:p>
        </w:tc>
      </w:tr>
      <w:tr w:rsidR="00FF1005" w:rsidRPr="00115D93" w:rsidTr="000B2944">
        <w:tc>
          <w:tcPr>
            <w:tcW w:w="178" w:type="pct"/>
            <w:hideMark/>
          </w:tcPr>
          <w:p w:rsidR="00FF1005" w:rsidRPr="00115D93" w:rsidRDefault="00FF1005" w:rsidP="006A1591">
            <w:pPr>
              <w:spacing w:before="50" w:after="50"/>
            </w:pPr>
            <w:r w:rsidRPr="00115D93">
              <w:t> 7.</w:t>
            </w:r>
          </w:p>
        </w:tc>
        <w:tc>
          <w:tcPr>
            <w:tcW w:w="1108" w:type="pct"/>
            <w:hideMark/>
          </w:tcPr>
          <w:p w:rsidR="00FF1005" w:rsidRPr="00115D93" w:rsidRDefault="00FF1005" w:rsidP="006A1591">
            <w:pPr>
              <w:spacing w:before="50" w:after="50"/>
            </w:pPr>
            <w:r w:rsidRPr="00115D93">
              <w:t> Cita informācija</w:t>
            </w:r>
          </w:p>
        </w:tc>
        <w:tc>
          <w:tcPr>
            <w:tcW w:w="3714" w:type="pct"/>
            <w:hideMark/>
          </w:tcPr>
          <w:p w:rsidR="00FF1005" w:rsidRPr="00115D93" w:rsidRDefault="00FF1005" w:rsidP="00913A26">
            <w:pPr>
              <w:spacing w:before="50" w:after="50"/>
            </w:pPr>
            <w:r w:rsidRPr="00115D93">
              <w:t> </w:t>
            </w:r>
            <w:r w:rsidR="00913A26">
              <w:t>Nav</w:t>
            </w:r>
          </w:p>
        </w:tc>
      </w:tr>
    </w:tbl>
    <w:p w:rsidR="00FF1005" w:rsidRPr="00115D93" w:rsidRDefault="00FF1005" w:rsidP="00FF1005">
      <w:pPr>
        <w:spacing w:before="50" w:after="50"/>
        <w:ind w:firstLine="250"/>
      </w:pPr>
      <w:r w:rsidRPr="00115D93">
        <w:t> </w:t>
      </w:r>
    </w:p>
    <w:tbl>
      <w:tblPr>
        <w:tblStyle w:val="TableGrid"/>
        <w:tblW w:w="5000" w:type="pct"/>
        <w:tblLook w:val="04A0"/>
      </w:tblPr>
      <w:tblGrid>
        <w:gridCol w:w="456"/>
        <w:gridCol w:w="3178"/>
        <w:gridCol w:w="5653"/>
      </w:tblGrid>
      <w:tr w:rsidR="00FF1005" w:rsidRPr="00115D93" w:rsidTr="00227A84">
        <w:tc>
          <w:tcPr>
            <w:tcW w:w="5000" w:type="pct"/>
            <w:gridSpan w:val="3"/>
            <w:hideMark/>
          </w:tcPr>
          <w:p w:rsidR="00FF1005" w:rsidRPr="00115D93" w:rsidRDefault="00FF1005" w:rsidP="006A1591">
            <w:pPr>
              <w:spacing w:before="100" w:after="100"/>
              <w:jc w:val="center"/>
              <w:rPr>
                <w:b/>
                <w:bCs/>
              </w:rPr>
            </w:pPr>
            <w:r w:rsidRPr="00115D93">
              <w:rPr>
                <w:b/>
                <w:bCs/>
              </w:rPr>
              <w:t> II. Tiesību akta projekta ietekme uz sabiedrību</w:t>
            </w:r>
          </w:p>
        </w:tc>
      </w:tr>
      <w:tr w:rsidR="00FF1005" w:rsidRPr="00115D93" w:rsidTr="00227A84">
        <w:trPr>
          <w:trHeight w:val="467"/>
        </w:trPr>
        <w:tc>
          <w:tcPr>
            <w:tcW w:w="148" w:type="pct"/>
            <w:hideMark/>
          </w:tcPr>
          <w:p w:rsidR="00FF1005" w:rsidRPr="00115D93" w:rsidRDefault="00FF1005" w:rsidP="006A1591">
            <w:pPr>
              <w:spacing w:before="50" w:after="50"/>
            </w:pPr>
            <w:r w:rsidRPr="00115D93">
              <w:t> 1.</w:t>
            </w:r>
          </w:p>
        </w:tc>
        <w:tc>
          <w:tcPr>
            <w:tcW w:w="1760" w:type="pct"/>
            <w:hideMark/>
          </w:tcPr>
          <w:p w:rsidR="00FF1005" w:rsidRPr="00115D93" w:rsidRDefault="00FF1005" w:rsidP="006A1591">
            <w:pPr>
              <w:spacing w:before="50" w:after="50"/>
            </w:pPr>
            <w:r w:rsidRPr="00115D93">
              <w:t xml:space="preserve"> Sabiedrības </w:t>
            </w:r>
            <w:proofErr w:type="spellStart"/>
            <w:r w:rsidRPr="00115D93">
              <w:t>mērķgrupa</w:t>
            </w:r>
            <w:proofErr w:type="spellEnd"/>
          </w:p>
        </w:tc>
        <w:tc>
          <w:tcPr>
            <w:tcW w:w="3091" w:type="pct"/>
            <w:hideMark/>
          </w:tcPr>
          <w:p w:rsidR="00FF1005" w:rsidRPr="00115D93" w:rsidRDefault="005B0192" w:rsidP="005B0192">
            <w:pPr>
              <w:spacing w:before="50" w:after="50"/>
            </w:pPr>
            <w:r>
              <w:t>Izglītojamie obligātajā izglītības vecumā, kuri mācās</w:t>
            </w:r>
            <w:r w:rsidR="008A3F4D">
              <w:t xml:space="preserve"> vispārējās vai profesionālās </w:t>
            </w:r>
            <w:r>
              <w:t xml:space="preserve"> izglītības iestādē</w:t>
            </w:r>
            <w:r w:rsidR="00FC0191">
              <w:t>s.</w:t>
            </w:r>
          </w:p>
        </w:tc>
      </w:tr>
      <w:tr w:rsidR="00FF1005" w:rsidRPr="00115D93" w:rsidTr="00227A84">
        <w:trPr>
          <w:trHeight w:val="523"/>
        </w:trPr>
        <w:tc>
          <w:tcPr>
            <w:tcW w:w="148" w:type="pct"/>
            <w:hideMark/>
          </w:tcPr>
          <w:p w:rsidR="00FF1005" w:rsidRPr="00115D93" w:rsidRDefault="00FF1005" w:rsidP="006A1591">
            <w:pPr>
              <w:spacing w:before="50" w:after="50"/>
            </w:pPr>
            <w:r w:rsidRPr="00115D93">
              <w:t> 2.</w:t>
            </w:r>
          </w:p>
        </w:tc>
        <w:tc>
          <w:tcPr>
            <w:tcW w:w="1760" w:type="pct"/>
            <w:hideMark/>
          </w:tcPr>
          <w:p w:rsidR="00FF1005" w:rsidRPr="00115D93" w:rsidRDefault="00FF1005" w:rsidP="008A3F4D">
            <w:pPr>
              <w:spacing w:before="50" w:after="50"/>
              <w:jc w:val="left"/>
            </w:pPr>
            <w:r w:rsidRPr="00115D93">
              <w:t xml:space="preserve"> Citas sabiedrības grupas (bez </w:t>
            </w:r>
            <w:proofErr w:type="spellStart"/>
            <w:r w:rsidRPr="00115D93">
              <w:t>mērķgrupas</w:t>
            </w:r>
            <w:proofErr w:type="spellEnd"/>
            <w:r w:rsidRPr="00115D93">
              <w:t>), kuras tiesiskais regulējums arī ietekmē vai varētu ietekmēt</w:t>
            </w:r>
          </w:p>
        </w:tc>
        <w:tc>
          <w:tcPr>
            <w:tcW w:w="3091" w:type="pct"/>
            <w:hideMark/>
          </w:tcPr>
          <w:p w:rsidR="00FF1005" w:rsidRPr="00115D93" w:rsidRDefault="00FC0191" w:rsidP="006A1591">
            <w:pPr>
              <w:spacing w:before="50" w:after="50"/>
            </w:pPr>
            <w:r>
              <w:t>Izglītības iestādes, kurām jānodrošina</w:t>
            </w:r>
            <w:r w:rsidR="00D80D55">
              <w:t xml:space="preserve"> ātra,</w:t>
            </w:r>
            <w:r>
              <w:t xml:space="preserve"> droša</w:t>
            </w:r>
            <w:r w:rsidR="00D80D55">
              <w:t xml:space="preserve"> un obligāta</w:t>
            </w:r>
            <w:r>
              <w:t xml:space="preserve"> informācija par apmeklētību.</w:t>
            </w:r>
          </w:p>
        </w:tc>
      </w:tr>
      <w:tr w:rsidR="00FF1005" w:rsidRPr="00115D93" w:rsidTr="00227A84">
        <w:trPr>
          <w:trHeight w:val="517"/>
        </w:trPr>
        <w:tc>
          <w:tcPr>
            <w:tcW w:w="148" w:type="pct"/>
            <w:hideMark/>
          </w:tcPr>
          <w:p w:rsidR="00FF1005" w:rsidRPr="00115D93" w:rsidRDefault="00FF1005" w:rsidP="006A1591">
            <w:pPr>
              <w:spacing w:before="50" w:after="50"/>
            </w:pPr>
            <w:r w:rsidRPr="00115D93">
              <w:t> 3.</w:t>
            </w:r>
          </w:p>
        </w:tc>
        <w:tc>
          <w:tcPr>
            <w:tcW w:w="1760" w:type="pct"/>
            <w:hideMark/>
          </w:tcPr>
          <w:p w:rsidR="00FF1005" w:rsidRPr="00115D93" w:rsidRDefault="00FF1005" w:rsidP="008A3F4D">
            <w:pPr>
              <w:spacing w:before="50" w:after="50"/>
              <w:jc w:val="left"/>
            </w:pPr>
            <w:r w:rsidRPr="00115D93">
              <w:t> Tiesiskā regulējuma finansiālā ietekme</w:t>
            </w:r>
          </w:p>
        </w:tc>
        <w:tc>
          <w:tcPr>
            <w:tcW w:w="3091" w:type="pct"/>
            <w:hideMark/>
          </w:tcPr>
          <w:p w:rsidR="00FF1005" w:rsidRPr="00115D93" w:rsidRDefault="00FC0191" w:rsidP="00FC0191">
            <w:pPr>
              <w:spacing w:before="50" w:after="50"/>
            </w:pPr>
            <w:r>
              <w:t>Nav attiecināms</w:t>
            </w:r>
          </w:p>
        </w:tc>
      </w:tr>
      <w:tr w:rsidR="00FF1005" w:rsidRPr="00115D93" w:rsidTr="00227A84">
        <w:trPr>
          <w:trHeight w:val="517"/>
        </w:trPr>
        <w:tc>
          <w:tcPr>
            <w:tcW w:w="148" w:type="pct"/>
            <w:hideMark/>
          </w:tcPr>
          <w:p w:rsidR="00FF1005" w:rsidRPr="00115D93" w:rsidRDefault="00FF1005" w:rsidP="006A1591">
            <w:pPr>
              <w:spacing w:before="50" w:after="50"/>
            </w:pPr>
            <w:r w:rsidRPr="00115D93">
              <w:t> 4.</w:t>
            </w:r>
          </w:p>
        </w:tc>
        <w:tc>
          <w:tcPr>
            <w:tcW w:w="1760" w:type="pct"/>
            <w:hideMark/>
          </w:tcPr>
          <w:p w:rsidR="00FF1005" w:rsidRPr="00115D93" w:rsidRDefault="00FF1005" w:rsidP="008A3F4D">
            <w:pPr>
              <w:spacing w:before="50" w:after="50"/>
              <w:jc w:val="left"/>
            </w:pPr>
            <w:r w:rsidRPr="00115D93">
              <w:t> Tiesiskā regulējuma nefinansiālā ietekme</w:t>
            </w:r>
          </w:p>
        </w:tc>
        <w:tc>
          <w:tcPr>
            <w:tcW w:w="3091" w:type="pct"/>
            <w:hideMark/>
          </w:tcPr>
          <w:p w:rsidR="00FF1005" w:rsidRPr="00115D93" w:rsidRDefault="00FC0191" w:rsidP="00FC0191">
            <w:pPr>
              <w:spacing w:before="50" w:after="50"/>
            </w:pPr>
            <w:r>
              <w:t>Netiks pieļauta situācija, ka izglītojamais bez attaisnojoša iemesla nav ieradies izglītības iestādē, bet vecāki nav informēti par prombūtni</w:t>
            </w:r>
            <w:r w:rsidR="008A3F4D">
              <w:t>, kā arī nav noskaidrots prombūtnes iemesls.</w:t>
            </w:r>
          </w:p>
        </w:tc>
      </w:tr>
      <w:tr w:rsidR="00FF1005" w:rsidRPr="00115D93" w:rsidTr="00227A84">
        <w:trPr>
          <w:trHeight w:val="531"/>
        </w:trPr>
        <w:tc>
          <w:tcPr>
            <w:tcW w:w="148" w:type="pct"/>
            <w:hideMark/>
          </w:tcPr>
          <w:p w:rsidR="00FF1005" w:rsidRPr="00115D93" w:rsidRDefault="00FF1005" w:rsidP="006A1591">
            <w:pPr>
              <w:spacing w:before="50" w:after="50"/>
            </w:pPr>
            <w:r w:rsidRPr="00115D93">
              <w:t> 5.</w:t>
            </w:r>
          </w:p>
        </w:tc>
        <w:tc>
          <w:tcPr>
            <w:tcW w:w="1760" w:type="pct"/>
            <w:hideMark/>
          </w:tcPr>
          <w:p w:rsidR="00FF1005" w:rsidRPr="00115D93" w:rsidRDefault="00FF1005" w:rsidP="008A3F4D">
            <w:pPr>
              <w:spacing w:before="50" w:after="50"/>
              <w:jc w:val="left"/>
            </w:pPr>
            <w:r w:rsidRPr="00115D93">
              <w:t> Administratīvās procedūras raksturojums</w:t>
            </w:r>
          </w:p>
        </w:tc>
        <w:tc>
          <w:tcPr>
            <w:tcW w:w="3091" w:type="pct"/>
            <w:hideMark/>
          </w:tcPr>
          <w:p w:rsidR="00FF1005" w:rsidRPr="00115D93" w:rsidRDefault="00FF1005" w:rsidP="00104CF9">
            <w:pPr>
              <w:spacing w:before="50" w:after="50"/>
            </w:pPr>
            <w:r w:rsidRPr="00115D93">
              <w:t> </w:t>
            </w:r>
            <w:r w:rsidR="00FC0191">
              <w:t xml:space="preserve">Izglītības likuma 58.pantā ir noteikts, ka </w:t>
            </w:r>
            <w:r w:rsidR="00104CF9">
              <w:t>vecāku</w:t>
            </w:r>
            <w:r w:rsidR="00FC0191">
              <w:t xml:space="preserve"> pienākums</w:t>
            </w:r>
            <w:r w:rsidR="00104CF9">
              <w:t xml:space="preserve"> ir</w:t>
            </w:r>
            <w:r w:rsidR="00FC0191">
              <w:t xml:space="preserve"> </w:t>
            </w:r>
            <w:r w:rsidR="00FC0191" w:rsidRPr="005E30ED">
              <w:rPr>
                <w:lang w:eastAsia="lv-LV"/>
              </w:rPr>
              <w:t>infor</w:t>
            </w:r>
            <w:r w:rsidR="00104CF9">
              <w:rPr>
                <w:lang w:eastAsia="lv-LV"/>
              </w:rPr>
              <w:t>mēt izglītības iestādi</w:t>
            </w:r>
            <w:r w:rsidR="00FC0191" w:rsidRPr="005E30ED">
              <w:rPr>
                <w:lang w:eastAsia="lv-LV"/>
              </w:rPr>
              <w:t xml:space="preserve"> par bērna veselības stāvokli un citiem apstākļiem, ja tiem var būt nozīme mācību procesā.</w:t>
            </w:r>
            <w:r w:rsidR="00FC0191">
              <w:rPr>
                <w:lang w:eastAsia="lv-LV"/>
              </w:rPr>
              <w:t xml:space="preserve"> Izglītības iestādēm tā nav jauna procedūra, tikai tagad tā būs obligāta.</w:t>
            </w:r>
          </w:p>
        </w:tc>
      </w:tr>
      <w:tr w:rsidR="00FF1005" w:rsidRPr="00115D93" w:rsidTr="00227A84">
        <w:trPr>
          <w:trHeight w:val="357"/>
        </w:trPr>
        <w:tc>
          <w:tcPr>
            <w:tcW w:w="148" w:type="pct"/>
            <w:hideMark/>
          </w:tcPr>
          <w:p w:rsidR="00FF1005" w:rsidRPr="00115D93" w:rsidRDefault="00FF1005" w:rsidP="006A1591">
            <w:pPr>
              <w:spacing w:before="50" w:after="50"/>
            </w:pPr>
            <w:r w:rsidRPr="00115D93">
              <w:t> 6.</w:t>
            </w:r>
          </w:p>
        </w:tc>
        <w:tc>
          <w:tcPr>
            <w:tcW w:w="1760" w:type="pct"/>
            <w:hideMark/>
          </w:tcPr>
          <w:p w:rsidR="00FF1005" w:rsidRPr="00115D93" w:rsidRDefault="00FF1005" w:rsidP="008A3F4D">
            <w:pPr>
              <w:spacing w:before="50" w:after="50"/>
              <w:jc w:val="left"/>
            </w:pPr>
            <w:r w:rsidRPr="00115D93">
              <w:t> Administratīvo izmaksu monetārs novērtējums</w:t>
            </w:r>
          </w:p>
        </w:tc>
        <w:tc>
          <w:tcPr>
            <w:tcW w:w="3091" w:type="pct"/>
            <w:hideMark/>
          </w:tcPr>
          <w:p w:rsidR="00FF1005" w:rsidRPr="00115D93" w:rsidRDefault="00FF1005" w:rsidP="00D80D55">
            <w:pPr>
              <w:spacing w:before="50" w:after="50"/>
            </w:pPr>
            <w:r w:rsidRPr="00115D93">
              <w:t> </w:t>
            </w:r>
            <w:r w:rsidR="00D80D55">
              <w:t>Nav attiecināms</w:t>
            </w:r>
          </w:p>
        </w:tc>
      </w:tr>
      <w:tr w:rsidR="00FF1005" w:rsidRPr="00115D93" w:rsidTr="00227A84">
        <w:tc>
          <w:tcPr>
            <w:tcW w:w="148" w:type="pct"/>
            <w:hideMark/>
          </w:tcPr>
          <w:p w:rsidR="00FF1005" w:rsidRPr="00115D93" w:rsidRDefault="00FF1005" w:rsidP="006A1591">
            <w:pPr>
              <w:spacing w:before="50" w:after="50"/>
            </w:pPr>
            <w:r w:rsidRPr="00115D93">
              <w:t> 7.</w:t>
            </w:r>
          </w:p>
        </w:tc>
        <w:tc>
          <w:tcPr>
            <w:tcW w:w="1760" w:type="pct"/>
            <w:hideMark/>
          </w:tcPr>
          <w:p w:rsidR="00FF1005" w:rsidRPr="00115D93" w:rsidRDefault="00FF1005" w:rsidP="006A1591">
            <w:pPr>
              <w:spacing w:before="50" w:after="50"/>
            </w:pPr>
            <w:r w:rsidRPr="00115D93">
              <w:t> Cita informācija</w:t>
            </w:r>
          </w:p>
        </w:tc>
        <w:tc>
          <w:tcPr>
            <w:tcW w:w="3091" w:type="pct"/>
            <w:hideMark/>
          </w:tcPr>
          <w:p w:rsidR="00FF1005" w:rsidRPr="00115D93" w:rsidRDefault="00FF1005" w:rsidP="006A1591">
            <w:pPr>
              <w:spacing w:before="50" w:after="50"/>
            </w:pPr>
            <w:r w:rsidRPr="00115D93">
              <w:t> Nav</w:t>
            </w:r>
          </w:p>
        </w:tc>
      </w:tr>
    </w:tbl>
    <w:p w:rsidR="00D80D55" w:rsidRDefault="00D80D55" w:rsidP="00FF1005">
      <w:pPr>
        <w:spacing w:before="50" w:after="50"/>
        <w:ind w:firstLine="250"/>
      </w:pPr>
    </w:p>
    <w:p w:rsidR="00D80D55" w:rsidRPr="00E6637F" w:rsidRDefault="00D80D55" w:rsidP="00D80D55">
      <w:pPr>
        <w:spacing w:before="75" w:after="75"/>
        <w:ind w:firstLine="375"/>
      </w:pPr>
      <w:r w:rsidRPr="00E6637F">
        <w:rPr>
          <w:i/>
          <w:iCs/>
        </w:rPr>
        <w:t>Anotācijas III, IV un V sadaļa – nav attiecināms.</w:t>
      </w:r>
    </w:p>
    <w:p w:rsidR="00FF1005" w:rsidRPr="00115D93" w:rsidRDefault="00FF1005" w:rsidP="00D80D55">
      <w:pPr>
        <w:spacing w:before="50" w:after="50"/>
        <w:ind w:firstLine="250"/>
      </w:pPr>
      <w:r w:rsidRPr="00115D93">
        <w:t>  </w:t>
      </w:r>
    </w:p>
    <w:tbl>
      <w:tblPr>
        <w:tblStyle w:val="TableGrid"/>
        <w:tblW w:w="5000" w:type="pct"/>
        <w:tblLook w:val="04A0"/>
      </w:tblPr>
      <w:tblGrid>
        <w:gridCol w:w="456"/>
        <w:gridCol w:w="2121"/>
        <w:gridCol w:w="6710"/>
      </w:tblGrid>
      <w:tr w:rsidR="00FF1005" w:rsidRPr="00115D93" w:rsidTr="00227A84">
        <w:tc>
          <w:tcPr>
            <w:tcW w:w="5000" w:type="pct"/>
            <w:gridSpan w:val="3"/>
            <w:hideMark/>
          </w:tcPr>
          <w:p w:rsidR="00FF1005" w:rsidRPr="00115D93" w:rsidRDefault="00FF1005" w:rsidP="006A1591">
            <w:pPr>
              <w:spacing w:before="50" w:after="50"/>
              <w:jc w:val="center"/>
            </w:pPr>
            <w:r w:rsidRPr="00115D93">
              <w:rPr>
                <w:b/>
                <w:bCs/>
              </w:rPr>
              <w:t> VI. Sabiedrības līdzdalība un šīs līdzdalības rezultāti</w:t>
            </w:r>
          </w:p>
        </w:tc>
      </w:tr>
      <w:tr w:rsidR="00FF1005" w:rsidRPr="00115D93" w:rsidTr="00227A84">
        <w:trPr>
          <w:trHeight w:val="553"/>
        </w:trPr>
        <w:tc>
          <w:tcPr>
            <w:tcW w:w="148" w:type="pct"/>
            <w:hideMark/>
          </w:tcPr>
          <w:p w:rsidR="00FF1005" w:rsidRPr="00115D93" w:rsidRDefault="00FF1005" w:rsidP="006A1591">
            <w:pPr>
              <w:spacing w:before="50" w:after="50"/>
            </w:pPr>
            <w:r w:rsidRPr="00115D93">
              <w:t> 1.</w:t>
            </w:r>
          </w:p>
        </w:tc>
        <w:tc>
          <w:tcPr>
            <w:tcW w:w="1191" w:type="pct"/>
            <w:hideMark/>
          </w:tcPr>
          <w:p w:rsidR="00FF1005" w:rsidRPr="00115D93" w:rsidRDefault="00FF1005" w:rsidP="002E5C37">
            <w:pPr>
              <w:spacing w:before="50" w:after="50"/>
              <w:jc w:val="left"/>
            </w:pPr>
            <w:r w:rsidRPr="00115D93">
              <w:t> Sabiedrības informēšana par projekta izstrādes uzsākšanu</w:t>
            </w:r>
          </w:p>
        </w:tc>
        <w:tc>
          <w:tcPr>
            <w:tcW w:w="3661" w:type="pct"/>
            <w:hideMark/>
          </w:tcPr>
          <w:p w:rsidR="00FF1005" w:rsidRPr="00115D93" w:rsidRDefault="00FF1005" w:rsidP="002E5C37">
            <w:pPr>
              <w:spacing w:before="50" w:after="50"/>
            </w:pPr>
            <w:r w:rsidRPr="00115D93">
              <w:t> </w:t>
            </w:r>
            <w:r w:rsidR="00104CF9">
              <w:t>Noteikumu p</w:t>
            </w:r>
            <w:r w:rsidR="008A3F4D">
              <w:t xml:space="preserve">rojekts </w:t>
            </w:r>
            <w:r w:rsidR="002E5C37">
              <w:t>2010.</w:t>
            </w:r>
            <w:r w:rsidR="007D5C2E">
              <w:t>gada 1.oktobrī</w:t>
            </w:r>
            <w:r w:rsidR="002E5C37">
              <w:t xml:space="preserve"> </w:t>
            </w:r>
            <w:r w:rsidR="008A3F4D">
              <w:t xml:space="preserve">tika nosūtīts izskatīšanai vairāku republikas pilsētu (Rīga, Daugavpils, Jelgava) un novadu pašvaldību izglītības pārvaldēm (Gulbenes novads, Rēzeknes novads, Jēkabpils novads), kā arī Latvijas Izglītības Vadītāju </w:t>
            </w:r>
            <w:r w:rsidR="008A3F4D">
              <w:lastRenderedPageBreak/>
              <w:t>asociācijai</w:t>
            </w:r>
            <w:r w:rsidR="00EA427E">
              <w:t xml:space="preserve"> (LIVA).</w:t>
            </w:r>
            <w:r w:rsidR="00104CF9">
              <w:t xml:space="preserve"> </w:t>
            </w:r>
          </w:p>
        </w:tc>
      </w:tr>
      <w:tr w:rsidR="00FF1005" w:rsidRPr="00115D93" w:rsidTr="00227A84">
        <w:trPr>
          <w:trHeight w:val="339"/>
        </w:trPr>
        <w:tc>
          <w:tcPr>
            <w:tcW w:w="148" w:type="pct"/>
            <w:hideMark/>
          </w:tcPr>
          <w:p w:rsidR="00FF1005" w:rsidRPr="00115D93" w:rsidRDefault="00FF1005" w:rsidP="006A1591">
            <w:pPr>
              <w:spacing w:before="50" w:after="50"/>
            </w:pPr>
            <w:r w:rsidRPr="00115D93">
              <w:lastRenderedPageBreak/>
              <w:t> 2.</w:t>
            </w:r>
          </w:p>
        </w:tc>
        <w:tc>
          <w:tcPr>
            <w:tcW w:w="1191" w:type="pct"/>
            <w:hideMark/>
          </w:tcPr>
          <w:p w:rsidR="00FF1005" w:rsidRPr="00115D93" w:rsidRDefault="00FF1005" w:rsidP="002E5C37">
            <w:pPr>
              <w:spacing w:before="50" w:after="50"/>
              <w:jc w:val="left"/>
            </w:pPr>
            <w:r w:rsidRPr="00115D93">
              <w:t> Sabiedrības līdzdalība projekta izstrādē</w:t>
            </w:r>
          </w:p>
        </w:tc>
        <w:tc>
          <w:tcPr>
            <w:tcW w:w="3661" w:type="pct"/>
            <w:hideMark/>
          </w:tcPr>
          <w:p w:rsidR="00FF1005" w:rsidRPr="00115D93" w:rsidRDefault="00FF1005" w:rsidP="00D80D55">
            <w:pPr>
              <w:spacing w:before="50" w:after="50"/>
            </w:pPr>
            <w:r w:rsidRPr="00115D93">
              <w:t> </w:t>
            </w:r>
            <w:r w:rsidR="002E5C37">
              <w:t>Viedoklis par noteikumu projektu lūgts gan lielo republikas pilsētu, gan novadu izglītības speciālistiem, pēc iespējas aptverot visas iespējamās situācijas saistībā ar neattaisnojošu kavējumu novēršanu. Saņemts viens priekšlikums noteikumu projekta precizēšanai.</w:t>
            </w:r>
          </w:p>
        </w:tc>
      </w:tr>
      <w:tr w:rsidR="00FF1005" w:rsidRPr="00115D93" w:rsidTr="00227A84">
        <w:trPr>
          <w:trHeight w:val="375"/>
        </w:trPr>
        <w:tc>
          <w:tcPr>
            <w:tcW w:w="148" w:type="pct"/>
            <w:hideMark/>
          </w:tcPr>
          <w:p w:rsidR="00FF1005" w:rsidRPr="00115D93" w:rsidRDefault="00FF1005" w:rsidP="006A1591">
            <w:pPr>
              <w:spacing w:before="50" w:after="50"/>
            </w:pPr>
            <w:r w:rsidRPr="00115D93">
              <w:t> 3.</w:t>
            </w:r>
          </w:p>
        </w:tc>
        <w:tc>
          <w:tcPr>
            <w:tcW w:w="1191" w:type="pct"/>
            <w:hideMark/>
          </w:tcPr>
          <w:p w:rsidR="00FF1005" w:rsidRPr="00115D93" w:rsidRDefault="00FF1005" w:rsidP="006A1591">
            <w:pPr>
              <w:spacing w:before="50" w:after="50"/>
            </w:pPr>
            <w:r w:rsidRPr="00115D93">
              <w:t> Sabiedrības līdzdalības rezultāti</w:t>
            </w:r>
          </w:p>
        </w:tc>
        <w:tc>
          <w:tcPr>
            <w:tcW w:w="3661" w:type="pct"/>
            <w:hideMark/>
          </w:tcPr>
          <w:p w:rsidR="00FF1005" w:rsidRPr="00115D93" w:rsidRDefault="008A3F4D" w:rsidP="006A1591">
            <w:pPr>
              <w:spacing w:before="50" w:after="50"/>
            </w:pPr>
            <w:r>
              <w:t xml:space="preserve">Rīgas </w:t>
            </w:r>
            <w:r w:rsidR="00EA427E">
              <w:t xml:space="preserve">izglītības pārvaldes izteiktais priekšlikums ir ņemts vērā, LIVA atbalsta </w:t>
            </w:r>
            <w:r w:rsidR="002E5C37">
              <w:t xml:space="preserve">noteikumu </w:t>
            </w:r>
            <w:r w:rsidR="00EA427E">
              <w:t>projektu bez iebildumiem.</w:t>
            </w:r>
          </w:p>
        </w:tc>
      </w:tr>
      <w:tr w:rsidR="00FF1005" w:rsidRPr="00115D93" w:rsidTr="00227A84">
        <w:trPr>
          <w:trHeight w:val="397"/>
        </w:trPr>
        <w:tc>
          <w:tcPr>
            <w:tcW w:w="148" w:type="pct"/>
            <w:hideMark/>
          </w:tcPr>
          <w:p w:rsidR="00FF1005" w:rsidRPr="00115D93" w:rsidRDefault="00FF1005" w:rsidP="006A1591">
            <w:pPr>
              <w:spacing w:before="50" w:after="50"/>
            </w:pPr>
            <w:r w:rsidRPr="00115D93">
              <w:t> 4.</w:t>
            </w:r>
          </w:p>
        </w:tc>
        <w:tc>
          <w:tcPr>
            <w:tcW w:w="1191" w:type="pct"/>
            <w:hideMark/>
          </w:tcPr>
          <w:p w:rsidR="00FF1005" w:rsidRPr="00115D93" w:rsidRDefault="00FF1005" w:rsidP="006A1591">
            <w:pPr>
              <w:spacing w:before="50" w:after="50"/>
            </w:pPr>
            <w:r w:rsidRPr="00115D93">
              <w:t> Saeimas un ekspertu līdzdalība</w:t>
            </w:r>
          </w:p>
        </w:tc>
        <w:tc>
          <w:tcPr>
            <w:tcW w:w="3661" w:type="pct"/>
            <w:hideMark/>
          </w:tcPr>
          <w:p w:rsidR="00FF1005" w:rsidRPr="00115D93" w:rsidRDefault="002E5C37" w:rsidP="002E5C37">
            <w:pPr>
              <w:spacing w:before="50" w:after="50"/>
            </w:pPr>
            <w:r>
              <w:t>Noteikumu p</w:t>
            </w:r>
            <w:r w:rsidR="00D80D55">
              <w:t xml:space="preserve">rojekta izstrādē izmantotas Saeimas likumprojekta „Grozījumi Izglītības likumā” apspriešanas 1. un 3.lasījuma stenogrammas </w:t>
            </w:r>
            <w:r w:rsidR="00D80D55" w:rsidRPr="00D80D55">
              <w:rPr>
                <w:iCs/>
                <w:lang w:eastAsia="lv-LV"/>
              </w:rPr>
              <w:t>LP0946_1</w:t>
            </w:r>
            <w:r w:rsidR="00D80D55">
              <w:rPr>
                <w:iCs/>
                <w:lang w:eastAsia="lv-LV"/>
              </w:rPr>
              <w:t xml:space="preserve"> un </w:t>
            </w:r>
            <w:r w:rsidR="00D80D55" w:rsidRPr="00D80D55">
              <w:rPr>
                <w:iCs/>
                <w:color w:val="000000"/>
                <w:lang w:eastAsia="lv-LV"/>
              </w:rPr>
              <w:t>LP946_3</w:t>
            </w:r>
            <w:r w:rsidR="00EA427E">
              <w:rPr>
                <w:iCs/>
                <w:color w:val="000000"/>
                <w:lang w:eastAsia="lv-LV"/>
              </w:rPr>
              <w:t>.</w:t>
            </w:r>
          </w:p>
        </w:tc>
      </w:tr>
      <w:tr w:rsidR="00FF1005" w:rsidRPr="00115D93" w:rsidTr="00227A84">
        <w:trPr>
          <w:trHeight w:val="476"/>
        </w:trPr>
        <w:tc>
          <w:tcPr>
            <w:tcW w:w="148" w:type="pct"/>
            <w:hideMark/>
          </w:tcPr>
          <w:p w:rsidR="00FF1005" w:rsidRPr="00115D93" w:rsidRDefault="00FF1005" w:rsidP="006A1591">
            <w:pPr>
              <w:spacing w:before="50" w:after="50"/>
            </w:pPr>
            <w:r w:rsidRPr="00115D93">
              <w:t> 5.</w:t>
            </w:r>
          </w:p>
        </w:tc>
        <w:tc>
          <w:tcPr>
            <w:tcW w:w="1191" w:type="pct"/>
            <w:hideMark/>
          </w:tcPr>
          <w:p w:rsidR="00FF1005" w:rsidRPr="00115D93" w:rsidRDefault="00FF1005" w:rsidP="006A1591">
            <w:pPr>
              <w:spacing w:before="50" w:after="50"/>
            </w:pPr>
            <w:r w:rsidRPr="00115D93">
              <w:t> Cita informācija</w:t>
            </w:r>
          </w:p>
        </w:tc>
        <w:tc>
          <w:tcPr>
            <w:tcW w:w="3661" w:type="pct"/>
            <w:hideMark/>
          </w:tcPr>
          <w:p w:rsidR="00FF1005" w:rsidRPr="00115D93" w:rsidRDefault="00FF1005" w:rsidP="00913A26">
            <w:pPr>
              <w:spacing w:before="50" w:after="50"/>
            </w:pPr>
            <w:r w:rsidRPr="00115D93">
              <w:t> </w:t>
            </w:r>
            <w:r w:rsidR="00913A26">
              <w:t>Nav</w:t>
            </w:r>
          </w:p>
        </w:tc>
      </w:tr>
    </w:tbl>
    <w:p w:rsidR="00FF1005" w:rsidRPr="00115D93" w:rsidRDefault="00FF1005" w:rsidP="00FF1005">
      <w:pPr>
        <w:spacing w:before="50" w:after="50"/>
        <w:ind w:firstLine="250"/>
      </w:pPr>
      <w:r w:rsidRPr="00115D93">
        <w:t> </w:t>
      </w:r>
    </w:p>
    <w:tbl>
      <w:tblPr>
        <w:tblStyle w:val="TableGrid"/>
        <w:tblW w:w="0" w:type="auto"/>
        <w:tblLook w:val="04A0"/>
      </w:tblPr>
      <w:tblGrid>
        <w:gridCol w:w="456"/>
        <w:gridCol w:w="4025"/>
        <w:gridCol w:w="4806"/>
      </w:tblGrid>
      <w:tr w:rsidR="00FF1005" w:rsidRPr="00115D93" w:rsidTr="00227A84">
        <w:tc>
          <w:tcPr>
            <w:tcW w:w="0" w:type="auto"/>
            <w:gridSpan w:val="3"/>
            <w:hideMark/>
          </w:tcPr>
          <w:p w:rsidR="00FF1005" w:rsidRPr="00115D93" w:rsidRDefault="00FF1005" w:rsidP="006A1591">
            <w:pPr>
              <w:spacing w:before="50" w:after="50"/>
              <w:jc w:val="center"/>
            </w:pPr>
            <w:r w:rsidRPr="00115D93">
              <w:rPr>
                <w:b/>
                <w:bCs/>
              </w:rPr>
              <w:t> VII. Tiesību akta projekta izpildes nodrošināšana un tās ietekme uz institūcijām</w:t>
            </w:r>
          </w:p>
        </w:tc>
      </w:tr>
      <w:tr w:rsidR="00D80D55" w:rsidRPr="00115D93" w:rsidTr="00227A84">
        <w:trPr>
          <w:trHeight w:val="427"/>
        </w:trPr>
        <w:tc>
          <w:tcPr>
            <w:tcW w:w="0" w:type="auto"/>
            <w:hideMark/>
          </w:tcPr>
          <w:p w:rsidR="00D80D55" w:rsidRPr="00115D93" w:rsidRDefault="00D80D55" w:rsidP="006A1591">
            <w:pPr>
              <w:spacing w:before="50" w:after="50"/>
            </w:pPr>
            <w:r w:rsidRPr="00115D93">
              <w:t> 1.</w:t>
            </w:r>
          </w:p>
        </w:tc>
        <w:tc>
          <w:tcPr>
            <w:tcW w:w="0" w:type="auto"/>
            <w:hideMark/>
          </w:tcPr>
          <w:p w:rsidR="00D80D55" w:rsidRPr="00115D93" w:rsidRDefault="00D80D55" w:rsidP="006A1591">
            <w:pPr>
              <w:spacing w:before="50" w:after="50"/>
            </w:pPr>
            <w:r w:rsidRPr="00115D93">
              <w:t> Projekta izpildē iesaistītās institūcijas</w:t>
            </w:r>
          </w:p>
        </w:tc>
        <w:tc>
          <w:tcPr>
            <w:tcW w:w="0" w:type="auto"/>
            <w:hideMark/>
          </w:tcPr>
          <w:p w:rsidR="00D80D55" w:rsidRPr="00115D93" w:rsidRDefault="00D80D55" w:rsidP="006A1591">
            <w:pPr>
              <w:spacing w:before="50" w:after="50"/>
            </w:pPr>
            <w:r>
              <w:t xml:space="preserve">Vispārējās </w:t>
            </w:r>
            <w:r w:rsidR="002E5C37">
              <w:t xml:space="preserve">un profesionālās </w:t>
            </w:r>
            <w:r>
              <w:t>izglītības iestāžu administrācija</w:t>
            </w:r>
          </w:p>
        </w:tc>
      </w:tr>
      <w:tr w:rsidR="00D80D55" w:rsidRPr="00115D93" w:rsidTr="00227A84">
        <w:trPr>
          <w:trHeight w:val="463"/>
        </w:trPr>
        <w:tc>
          <w:tcPr>
            <w:tcW w:w="0" w:type="auto"/>
            <w:hideMark/>
          </w:tcPr>
          <w:p w:rsidR="00D80D55" w:rsidRPr="00115D93" w:rsidRDefault="00D80D55" w:rsidP="006A1591">
            <w:pPr>
              <w:spacing w:before="50" w:after="50"/>
            </w:pPr>
            <w:r w:rsidRPr="00115D93">
              <w:t> 2.</w:t>
            </w:r>
          </w:p>
        </w:tc>
        <w:tc>
          <w:tcPr>
            <w:tcW w:w="0" w:type="auto"/>
            <w:hideMark/>
          </w:tcPr>
          <w:p w:rsidR="00D80D55" w:rsidRPr="00115D93" w:rsidRDefault="00D80D55" w:rsidP="006A1591">
            <w:pPr>
              <w:spacing w:before="50" w:after="50"/>
            </w:pPr>
            <w:r w:rsidRPr="00115D93">
              <w:t> Projekta izpildes ietekme uz pārvaldes funkcijām</w:t>
            </w:r>
          </w:p>
        </w:tc>
        <w:tc>
          <w:tcPr>
            <w:tcW w:w="0" w:type="auto"/>
            <w:hideMark/>
          </w:tcPr>
          <w:p w:rsidR="00D80D55" w:rsidRPr="007B341F" w:rsidRDefault="00770827" w:rsidP="006A1591">
            <w:pPr>
              <w:spacing w:before="50" w:after="50"/>
            </w:pPr>
            <w:r>
              <w:t xml:space="preserve"> </w:t>
            </w:r>
            <w:r w:rsidR="00D80D55" w:rsidRPr="007B341F">
              <w:t>Funkcijas un uzdevumi netiek paplašināti</w:t>
            </w:r>
          </w:p>
        </w:tc>
      </w:tr>
      <w:tr w:rsidR="00D80D55" w:rsidRPr="00115D93" w:rsidTr="00227A84">
        <w:trPr>
          <w:trHeight w:val="725"/>
        </w:trPr>
        <w:tc>
          <w:tcPr>
            <w:tcW w:w="0" w:type="auto"/>
            <w:hideMark/>
          </w:tcPr>
          <w:p w:rsidR="00D80D55" w:rsidRPr="00115D93" w:rsidRDefault="00D80D55" w:rsidP="006A1591">
            <w:pPr>
              <w:spacing w:before="50" w:after="50"/>
            </w:pPr>
            <w:r w:rsidRPr="00115D93">
              <w:t> 3.</w:t>
            </w:r>
          </w:p>
        </w:tc>
        <w:tc>
          <w:tcPr>
            <w:tcW w:w="0" w:type="auto"/>
            <w:hideMark/>
          </w:tcPr>
          <w:p w:rsidR="00D80D55" w:rsidRPr="00115D93" w:rsidRDefault="00D80D55" w:rsidP="006A1591">
            <w:pPr>
              <w:spacing w:before="50" w:after="50"/>
            </w:pPr>
            <w:r w:rsidRPr="00115D93">
              <w:t> Projekta izpildes ietekme uz pārvaldes institucionālo struktūru.</w:t>
            </w:r>
          </w:p>
          <w:p w:rsidR="00D80D55" w:rsidRPr="00115D93" w:rsidRDefault="00D80D55" w:rsidP="006A1591">
            <w:pPr>
              <w:spacing w:before="50" w:after="50"/>
            </w:pPr>
            <w:r w:rsidRPr="00115D93">
              <w:t>Jaunu institūciju izveide</w:t>
            </w:r>
          </w:p>
        </w:tc>
        <w:tc>
          <w:tcPr>
            <w:tcW w:w="0" w:type="auto"/>
            <w:hideMark/>
          </w:tcPr>
          <w:p w:rsidR="00D80D55" w:rsidRPr="007B341F" w:rsidRDefault="00D80D55" w:rsidP="006A1591">
            <w:pPr>
              <w:spacing w:before="50" w:after="50"/>
            </w:pPr>
            <w:r w:rsidRPr="007B341F">
              <w:t> Veidot jaunas institūcijas nav nepieciešams</w:t>
            </w:r>
          </w:p>
        </w:tc>
      </w:tr>
      <w:tr w:rsidR="00D80D55" w:rsidRPr="00115D93" w:rsidTr="00227A84">
        <w:trPr>
          <w:trHeight w:val="780"/>
        </w:trPr>
        <w:tc>
          <w:tcPr>
            <w:tcW w:w="0" w:type="auto"/>
            <w:hideMark/>
          </w:tcPr>
          <w:p w:rsidR="00D80D55" w:rsidRPr="00115D93" w:rsidRDefault="00D80D55" w:rsidP="006A1591">
            <w:pPr>
              <w:spacing w:before="50" w:after="50"/>
            </w:pPr>
            <w:r w:rsidRPr="00115D93">
              <w:t> 4.</w:t>
            </w:r>
          </w:p>
        </w:tc>
        <w:tc>
          <w:tcPr>
            <w:tcW w:w="0" w:type="auto"/>
            <w:hideMark/>
          </w:tcPr>
          <w:p w:rsidR="00D80D55" w:rsidRPr="00115D93" w:rsidRDefault="00D80D55" w:rsidP="006A1591">
            <w:pPr>
              <w:spacing w:before="50" w:after="50"/>
            </w:pPr>
            <w:r w:rsidRPr="00115D93">
              <w:t> Projekta izpildes ietekme uz pārvaldes institucionālo struktūru.</w:t>
            </w:r>
          </w:p>
          <w:p w:rsidR="00D80D55" w:rsidRPr="00115D93" w:rsidRDefault="00D80D55" w:rsidP="006A1591">
            <w:pPr>
              <w:spacing w:before="50" w:after="50"/>
            </w:pPr>
            <w:r w:rsidRPr="00115D93">
              <w:t>Esošu institūciju likvidācija</w:t>
            </w:r>
          </w:p>
        </w:tc>
        <w:tc>
          <w:tcPr>
            <w:tcW w:w="0" w:type="auto"/>
            <w:hideMark/>
          </w:tcPr>
          <w:p w:rsidR="00D80D55" w:rsidRPr="007B341F" w:rsidRDefault="00D80D55" w:rsidP="006A1591">
            <w:pPr>
              <w:spacing w:before="50" w:after="50"/>
            </w:pPr>
            <w:r w:rsidRPr="007B341F">
              <w:t xml:space="preserve"> Likvidēt esošas institūcijas nav </w:t>
            </w:r>
            <w:r w:rsidR="00770827">
              <w:t>nepieciešams</w:t>
            </w:r>
          </w:p>
        </w:tc>
      </w:tr>
      <w:tr w:rsidR="00D80D55" w:rsidRPr="00115D93" w:rsidTr="00227A84">
        <w:trPr>
          <w:trHeight w:val="703"/>
        </w:trPr>
        <w:tc>
          <w:tcPr>
            <w:tcW w:w="0" w:type="auto"/>
            <w:hideMark/>
          </w:tcPr>
          <w:p w:rsidR="00D80D55" w:rsidRPr="00115D93" w:rsidRDefault="00D80D55" w:rsidP="006A1591">
            <w:pPr>
              <w:spacing w:before="50" w:after="50"/>
            </w:pPr>
            <w:r w:rsidRPr="00115D93">
              <w:t> 5.</w:t>
            </w:r>
          </w:p>
        </w:tc>
        <w:tc>
          <w:tcPr>
            <w:tcW w:w="0" w:type="auto"/>
            <w:hideMark/>
          </w:tcPr>
          <w:p w:rsidR="00D80D55" w:rsidRPr="00115D93" w:rsidRDefault="00D80D55" w:rsidP="006A1591">
            <w:pPr>
              <w:spacing w:before="50" w:after="50"/>
            </w:pPr>
            <w:r w:rsidRPr="00115D93">
              <w:t> Projekta izpildes ietekme uz pārvaldes institucionālo struktūru.</w:t>
            </w:r>
          </w:p>
          <w:p w:rsidR="00D80D55" w:rsidRPr="00115D93" w:rsidRDefault="00D80D55" w:rsidP="006A1591">
            <w:pPr>
              <w:spacing w:before="50" w:after="50"/>
            </w:pPr>
            <w:r w:rsidRPr="00115D93">
              <w:t>Esošu institūciju reorganizācija</w:t>
            </w:r>
          </w:p>
        </w:tc>
        <w:tc>
          <w:tcPr>
            <w:tcW w:w="0" w:type="auto"/>
            <w:hideMark/>
          </w:tcPr>
          <w:p w:rsidR="00D80D55" w:rsidRPr="007B341F" w:rsidRDefault="00D80D55" w:rsidP="006A1591">
            <w:pPr>
              <w:spacing w:before="50" w:after="50"/>
            </w:pPr>
            <w:r w:rsidRPr="007B341F">
              <w:t> Esošas institūcijas reorganizācija vai esošu institūciju apvienošana nav plānota</w:t>
            </w:r>
          </w:p>
        </w:tc>
      </w:tr>
      <w:tr w:rsidR="00D80D55" w:rsidRPr="00115D93" w:rsidTr="00227A84">
        <w:trPr>
          <w:trHeight w:val="476"/>
        </w:trPr>
        <w:tc>
          <w:tcPr>
            <w:tcW w:w="0" w:type="auto"/>
            <w:hideMark/>
          </w:tcPr>
          <w:p w:rsidR="00D80D55" w:rsidRPr="00115D93" w:rsidRDefault="00D80D55" w:rsidP="006A1591">
            <w:pPr>
              <w:spacing w:before="50" w:after="50"/>
            </w:pPr>
            <w:r w:rsidRPr="00115D93">
              <w:t> 6.</w:t>
            </w:r>
          </w:p>
        </w:tc>
        <w:tc>
          <w:tcPr>
            <w:tcW w:w="0" w:type="auto"/>
            <w:hideMark/>
          </w:tcPr>
          <w:p w:rsidR="00D80D55" w:rsidRPr="00115D93" w:rsidRDefault="00D80D55" w:rsidP="006A1591">
            <w:pPr>
              <w:spacing w:before="50" w:after="50"/>
            </w:pPr>
            <w:r w:rsidRPr="00115D93">
              <w:t> Cita informācija</w:t>
            </w:r>
          </w:p>
        </w:tc>
        <w:tc>
          <w:tcPr>
            <w:tcW w:w="0" w:type="auto"/>
            <w:hideMark/>
          </w:tcPr>
          <w:p w:rsidR="00D80D55" w:rsidRPr="00115D93" w:rsidRDefault="00D80D55" w:rsidP="006A1591">
            <w:pPr>
              <w:spacing w:before="50" w:after="50"/>
            </w:pPr>
            <w:r w:rsidRPr="00115D93">
              <w:t> </w:t>
            </w:r>
            <w:r>
              <w:t>Nav</w:t>
            </w:r>
          </w:p>
        </w:tc>
      </w:tr>
    </w:tbl>
    <w:p w:rsidR="00FF1005" w:rsidRDefault="00FF1005" w:rsidP="00913A26">
      <w:pPr>
        <w:spacing w:before="50" w:after="50"/>
        <w:ind w:firstLine="250"/>
      </w:pPr>
    </w:p>
    <w:p w:rsidR="00AF710D" w:rsidRDefault="00AF710D" w:rsidP="00AF710D">
      <w:pPr>
        <w:spacing w:before="50" w:after="50"/>
        <w:ind w:firstLine="250"/>
      </w:pPr>
      <w:r w:rsidRPr="00115D93">
        <w:t> </w:t>
      </w:r>
    </w:p>
    <w:p w:rsidR="00AF710D" w:rsidRDefault="00AF710D" w:rsidP="00770827">
      <w:pPr>
        <w:spacing w:before="50" w:after="50"/>
        <w:ind w:firstLine="250"/>
        <w:rPr>
          <w:sz w:val="28"/>
          <w:szCs w:val="28"/>
        </w:rPr>
      </w:pPr>
      <w:r w:rsidRPr="00115D93">
        <w:t> </w:t>
      </w:r>
      <w:r>
        <w:rPr>
          <w:sz w:val="28"/>
          <w:szCs w:val="28"/>
        </w:rPr>
        <w:t xml:space="preserve">Izglītības </w:t>
      </w:r>
      <w:r w:rsidR="00BC6152">
        <w:rPr>
          <w:sz w:val="28"/>
          <w:szCs w:val="28"/>
        </w:rPr>
        <w:t>un zinātnes ministrs</w:t>
      </w:r>
      <w:r w:rsidR="00BC6152">
        <w:rPr>
          <w:sz w:val="28"/>
          <w:szCs w:val="28"/>
        </w:rPr>
        <w:tab/>
      </w:r>
      <w:r w:rsidR="00BC6152">
        <w:rPr>
          <w:sz w:val="28"/>
          <w:szCs w:val="28"/>
        </w:rPr>
        <w:tab/>
      </w:r>
      <w:r w:rsidR="00BC6152">
        <w:rPr>
          <w:sz w:val="28"/>
          <w:szCs w:val="28"/>
        </w:rPr>
        <w:tab/>
      </w:r>
      <w:r w:rsidR="00BC6152">
        <w:rPr>
          <w:sz w:val="28"/>
          <w:szCs w:val="28"/>
        </w:rPr>
        <w:tab/>
      </w:r>
      <w:r w:rsidR="00BC6152">
        <w:rPr>
          <w:sz w:val="28"/>
          <w:szCs w:val="28"/>
        </w:rPr>
        <w:tab/>
      </w:r>
      <w:r w:rsidR="00BC6152">
        <w:rPr>
          <w:sz w:val="28"/>
          <w:szCs w:val="28"/>
        </w:rPr>
        <w:tab/>
      </w:r>
      <w:proofErr w:type="spellStart"/>
      <w:r w:rsidR="00BC6152">
        <w:rPr>
          <w:sz w:val="28"/>
          <w:szCs w:val="28"/>
        </w:rPr>
        <w:t>R.Broks</w:t>
      </w:r>
      <w:proofErr w:type="spellEnd"/>
    </w:p>
    <w:p w:rsidR="00AF710D" w:rsidRDefault="00AF710D" w:rsidP="00AF710D">
      <w:pPr>
        <w:keepNext/>
        <w:ind w:firstLine="720"/>
        <w:rPr>
          <w:sz w:val="28"/>
          <w:szCs w:val="28"/>
        </w:rPr>
      </w:pPr>
    </w:p>
    <w:p w:rsidR="00770827" w:rsidRDefault="00770827" w:rsidP="00AF710D">
      <w:pPr>
        <w:keepNext/>
        <w:ind w:firstLine="720"/>
        <w:rPr>
          <w:sz w:val="28"/>
          <w:szCs w:val="28"/>
        </w:rPr>
      </w:pPr>
    </w:p>
    <w:p w:rsidR="002C4863" w:rsidRDefault="002C4863" w:rsidP="00AF710D">
      <w:pPr>
        <w:keepNext/>
        <w:ind w:firstLine="720"/>
        <w:rPr>
          <w:sz w:val="28"/>
          <w:szCs w:val="28"/>
        </w:rPr>
      </w:pPr>
    </w:p>
    <w:p w:rsidR="00AF710D" w:rsidRDefault="00AF710D" w:rsidP="00AF710D">
      <w:pPr>
        <w:keepNext/>
        <w:ind w:firstLine="720"/>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M.Gruškevics</w:t>
      </w:r>
      <w:proofErr w:type="spellEnd"/>
    </w:p>
    <w:p w:rsidR="00492372" w:rsidRDefault="00492372" w:rsidP="00AF710D">
      <w:pPr>
        <w:ind w:firstLine="720"/>
      </w:pPr>
    </w:p>
    <w:p w:rsidR="002C4863" w:rsidRDefault="002C4863" w:rsidP="00EA427E">
      <w:pPr>
        <w:ind w:firstLine="720"/>
      </w:pPr>
    </w:p>
    <w:p w:rsidR="00EA427E" w:rsidRDefault="005B0192" w:rsidP="00EA427E">
      <w:pPr>
        <w:ind w:firstLine="720"/>
      </w:pPr>
      <w:r>
        <w:t>08.12.2010 15:42</w:t>
      </w:r>
    </w:p>
    <w:p w:rsidR="00AF710D" w:rsidRPr="001B09AE" w:rsidRDefault="002C4863" w:rsidP="00EA427E">
      <w:pPr>
        <w:ind w:firstLine="720"/>
      </w:pPr>
      <w:r>
        <w:t>1920</w:t>
      </w:r>
    </w:p>
    <w:p w:rsidR="00AF710D" w:rsidRPr="001B09AE" w:rsidRDefault="00AF710D" w:rsidP="00AF710D">
      <w:r w:rsidRPr="001B09AE">
        <w:tab/>
      </w:r>
      <w:proofErr w:type="spellStart"/>
      <w:r w:rsidRPr="001B09AE">
        <w:t>E.Grīnis</w:t>
      </w:r>
      <w:proofErr w:type="spellEnd"/>
      <w:r w:rsidRPr="001B09AE">
        <w:t xml:space="preserve"> </w:t>
      </w:r>
    </w:p>
    <w:p w:rsidR="00913A26" w:rsidRPr="00913A26" w:rsidRDefault="00AF710D" w:rsidP="00D81D4E">
      <w:pPr>
        <w:ind w:firstLine="720"/>
      </w:pPr>
      <w:r w:rsidRPr="001B09AE">
        <w:t xml:space="preserve">67047910, </w:t>
      </w:r>
      <w:hyperlink r:id="rId8" w:history="1">
        <w:r w:rsidRPr="001B09AE">
          <w:rPr>
            <w:rStyle w:val="Hyperlink"/>
          </w:rPr>
          <w:t>edgars.grinis@izm.gov.lv</w:t>
        </w:r>
      </w:hyperlink>
      <w:r w:rsidRPr="001B09AE">
        <w:t xml:space="preserve"> </w:t>
      </w:r>
    </w:p>
    <w:sectPr w:rsidR="00913A26" w:rsidRPr="00913A26" w:rsidSect="007D5C2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9C" w:rsidRDefault="00F74D9C" w:rsidP="00E737AC">
      <w:r>
        <w:separator/>
      </w:r>
    </w:p>
  </w:endnote>
  <w:endnote w:type="continuationSeparator" w:id="0">
    <w:p w:rsidR="00F74D9C" w:rsidRDefault="00F74D9C" w:rsidP="00E73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F1" w:rsidRPr="00433177" w:rsidRDefault="005B0192" w:rsidP="00433177">
    <w:pPr>
      <w:pStyle w:val="naisnod"/>
      <w:spacing w:before="0" w:beforeAutospacing="0" w:after="0" w:afterAutospacing="0"/>
      <w:jc w:val="both"/>
      <w:rPr>
        <w:b w:val="0"/>
      </w:rPr>
    </w:pPr>
    <w:r>
      <w:rPr>
        <w:b w:val="0"/>
      </w:rPr>
      <w:t>IZMNot_08</w:t>
    </w:r>
    <w:r w:rsidR="009E51F1">
      <w:rPr>
        <w:b w:val="0"/>
      </w:rPr>
      <w:t>12</w:t>
    </w:r>
    <w:r w:rsidR="009E51F1" w:rsidRPr="00E737AC">
      <w:rPr>
        <w:b w:val="0"/>
      </w:rPr>
      <w:t xml:space="preserve">10_kaveskolu; </w:t>
    </w:r>
    <w:r w:rsidR="009E51F1">
      <w:rPr>
        <w:b w:val="0"/>
      </w:rPr>
      <w:t>MK noteikumu projekts „</w:t>
    </w:r>
    <w:r w:rsidR="009E51F1" w:rsidRPr="00E737AC">
      <w:rPr>
        <w:rFonts w:eastAsia="Times New Roman"/>
        <w:b w:val="0"/>
        <w:lang w:eastAsia="lv-LV"/>
      </w:rPr>
      <w:t>Kārtība, kādā izglītības iestāde informē izglītojamo vecākus (personas, kas realizē aizgādību), pašvaldības vai valsts iestādes, ja izglītojamais bez attaisnojoša iemesla neapmeklē izglītības iestādi</w:t>
    </w:r>
    <w:r w:rsidR="009E51F1">
      <w:rPr>
        <w:rFonts w:eastAsia="Times New Roman"/>
        <w:b w:val="0"/>
        <w:lang w:eastAsia="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F1" w:rsidRPr="00433177" w:rsidRDefault="005B0192" w:rsidP="00433177">
    <w:pPr>
      <w:pStyle w:val="naisnod"/>
      <w:spacing w:before="0" w:beforeAutospacing="0" w:after="0" w:afterAutospacing="0"/>
      <w:jc w:val="both"/>
      <w:rPr>
        <w:b w:val="0"/>
      </w:rPr>
    </w:pPr>
    <w:r>
      <w:rPr>
        <w:b w:val="0"/>
      </w:rPr>
      <w:t>IZMNot_08</w:t>
    </w:r>
    <w:r w:rsidR="009E51F1">
      <w:rPr>
        <w:b w:val="0"/>
      </w:rPr>
      <w:t>12</w:t>
    </w:r>
    <w:r w:rsidR="009E51F1" w:rsidRPr="00E737AC">
      <w:rPr>
        <w:b w:val="0"/>
      </w:rPr>
      <w:t xml:space="preserve">10_kaveskolu; </w:t>
    </w:r>
    <w:r w:rsidR="009E51F1">
      <w:rPr>
        <w:b w:val="0"/>
      </w:rPr>
      <w:t>MK noteikumu projekts „</w:t>
    </w:r>
    <w:r w:rsidR="009E51F1" w:rsidRPr="00E737AC">
      <w:rPr>
        <w:rFonts w:eastAsia="Times New Roman"/>
        <w:b w:val="0"/>
        <w:lang w:eastAsia="lv-LV"/>
      </w:rPr>
      <w:t>Kārtība, kādā izglītības iestāde informē izglītojamo vecākus (personas, kas realizē aizgādību), pašvaldības vai valsts iestādes, ja izglītojamais bez attaisnojoša iemesla neapmeklē izglītības iestādi</w:t>
    </w:r>
    <w:r w:rsidR="009E51F1">
      <w:rPr>
        <w:rFonts w:eastAsia="Times New Roman"/>
        <w:b w:val="0"/>
        <w:lang w:eastAsia="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9C" w:rsidRDefault="00F74D9C" w:rsidP="00E737AC">
      <w:r>
        <w:separator/>
      </w:r>
    </w:p>
  </w:footnote>
  <w:footnote w:type="continuationSeparator" w:id="0">
    <w:p w:rsidR="00F74D9C" w:rsidRDefault="00F74D9C" w:rsidP="00E73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9485"/>
      <w:docPartObj>
        <w:docPartGallery w:val="Page Numbers (Top of Page)"/>
        <w:docPartUnique/>
      </w:docPartObj>
    </w:sdtPr>
    <w:sdtContent>
      <w:p w:rsidR="009E51F1" w:rsidRDefault="00DA2E27">
        <w:pPr>
          <w:pStyle w:val="Header"/>
          <w:jc w:val="center"/>
        </w:pPr>
        <w:fldSimple w:instr=" PAGE   \* MERGEFORMAT ">
          <w:r w:rsidR="002C4863">
            <w:rPr>
              <w:noProof/>
            </w:rPr>
            <w:t>6</w:t>
          </w:r>
        </w:fldSimple>
      </w:p>
    </w:sdtContent>
  </w:sdt>
  <w:p w:rsidR="009E51F1" w:rsidRDefault="009E51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31910"/>
    <w:multiLevelType w:val="hybridMultilevel"/>
    <w:tmpl w:val="87D20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51EF"/>
    <w:rsid w:val="00015072"/>
    <w:rsid w:val="00027464"/>
    <w:rsid w:val="0003464D"/>
    <w:rsid w:val="00050172"/>
    <w:rsid w:val="00060BDE"/>
    <w:rsid w:val="000847CD"/>
    <w:rsid w:val="000A5E58"/>
    <w:rsid w:val="000B2944"/>
    <w:rsid w:val="000C6019"/>
    <w:rsid w:val="000E11D6"/>
    <w:rsid w:val="000F4EE5"/>
    <w:rsid w:val="00104CF9"/>
    <w:rsid w:val="001314F1"/>
    <w:rsid w:val="0014199C"/>
    <w:rsid w:val="001521C0"/>
    <w:rsid w:val="0019680E"/>
    <w:rsid w:val="001A485E"/>
    <w:rsid w:val="001D4D5E"/>
    <w:rsid w:val="001E65DB"/>
    <w:rsid w:val="00211CE3"/>
    <w:rsid w:val="00227A84"/>
    <w:rsid w:val="00247710"/>
    <w:rsid w:val="00257B35"/>
    <w:rsid w:val="002640D2"/>
    <w:rsid w:val="002954EF"/>
    <w:rsid w:val="002B3920"/>
    <w:rsid w:val="002B4617"/>
    <w:rsid w:val="002C4863"/>
    <w:rsid w:val="002E1526"/>
    <w:rsid w:val="002E5C37"/>
    <w:rsid w:val="003247B7"/>
    <w:rsid w:val="00335BBF"/>
    <w:rsid w:val="003A0D1B"/>
    <w:rsid w:val="003C4685"/>
    <w:rsid w:val="00430DAB"/>
    <w:rsid w:val="00433177"/>
    <w:rsid w:val="00492372"/>
    <w:rsid w:val="00495DC1"/>
    <w:rsid w:val="004D0264"/>
    <w:rsid w:val="004F5575"/>
    <w:rsid w:val="004F6185"/>
    <w:rsid w:val="00523E87"/>
    <w:rsid w:val="0052649E"/>
    <w:rsid w:val="005264BD"/>
    <w:rsid w:val="00542D55"/>
    <w:rsid w:val="00557A2D"/>
    <w:rsid w:val="00565AC0"/>
    <w:rsid w:val="005B0192"/>
    <w:rsid w:val="005E4B14"/>
    <w:rsid w:val="005E4CE9"/>
    <w:rsid w:val="00604D93"/>
    <w:rsid w:val="00622D10"/>
    <w:rsid w:val="0062491F"/>
    <w:rsid w:val="0065527D"/>
    <w:rsid w:val="00660E87"/>
    <w:rsid w:val="00690F32"/>
    <w:rsid w:val="006A1591"/>
    <w:rsid w:val="006B4290"/>
    <w:rsid w:val="006D35D2"/>
    <w:rsid w:val="00734664"/>
    <w:rsid w:val="00743285"/>
    <w:rsid w:val="00770827"/>
    <w:rsid w:val="007754B2"/>
    <w:rsid w:val="007800E4"/>
    <w:rsid w:val="0078598E"/>
    <w:rsid w:val="007A1EEE"/>
    <w:rsid w:val="007B0034"/>
    <w:rsid w:val="007C0E8D"/>
    <w:rsid w:val="007D5C2E"/>
    <w:rsid w:val="007E75DC"/>
    <w:rsid w:val="00846509"/>
    <w:rsid w:val="00863F65"/>
    <w:rsid w:val="008851F3"/>
    <w:rsid w:val="008A3F4D"/>
    <w:rsid w:val="008B03BD"/>
    <w:rsid w:val="008B1F5B"/>
    <w:rsid w:val="00900BCD"/>
    <w:rsid w:val="00904FC9"/>
    <w:rsid w:val="00913A26"/>
    <w:rsid w:val="00932B34"/>
    <w:rsid w:val="0094640A"/>
    <w:rsid w:val="00964C19"/>
    <w:rsid w:val="009834A4"/>
    <w:rsid w:val="009D7E5F"/>
    <w:rsid w:val="009E42AB"/>
    <w:rsid w:val="009E51F1"/>
    <w:rsid w:val="00A00923"/>
    <w:rsid w:val="00A0533C"/>
    <w:rsid w:val="00A05BF0"/>
    <w:rsid w:val="00A1455C"/>
    <w:rsid w:val="00A30B63"/>
    <w:rsid w:val="00A351EF"/>
    <w:rsid w:val="00AB4106"/>
    <w:rsid w:val="00AC6FA9"/>
    <w:rsid w:val="00AF3C61"/>
    <w:rsid w:val="00AF710D"/>
    <w:rsid w:val="00B05E11"/>
    <w:rsid w:val="00B40BBA"/>
    <w:rsid w:val="00B57D8C"/>
    <w:rsid w:val="00B617E1"/>
    <w:rsid w:val="00B6677B"/>
    <w:rsid w:val="00B813A4"/>
    <w:rsid w:val="00B84869"/>
    <w:rsid w:val="00BB06F0"/>
    <w:rsid w:val="00BC0256"/>
    <w:rsid w:val="00BC5039"/>
    <w:rsid w:val="00BC6152"/>
    <w:rsid w:val="00C017C9"/>
    <w:rsid w:val="00C0596B"/>
    <w:rsid w:val="00C14605"/>
    <w:rsid w:val="00C17274"/>
    <w:rsid w:val="00C30779"/>
    <w:rsid w:val="00C505D0"/>
    <w:rsid w:val="00C65542"/>
    <w:rsid w:val="00C7762A"/>
    <w:rsid w:val="00C77FEF"/>
    <w:rsid w:val="00CA3AAD"/>
    <w:rsid w:val="00CA4654"/>
    <w:rsid w:val="00CB2E3F"/>
    <w:rsid w:val="00CC1FF5"/>
    <w:rsid w:val="00CE6F46"/>
    <w:rsid w:val="00D176F1"/>
    <w:rsid w:val="00D32716"/>
    <w:rsid w:val="00D459A4"/>
    <w:rsid w:val="00D47010"/>
    <w:rsid w:val="00D5022E"/>
    <w:rsid w:val="00D56DFA"/>
    <w:rsid w:val="00D73B61"/>
    <w:rsid w:val="00D80D55"/>
    <w:rsid w:val="00D81D4E"/>
    <w:rsid w:val="00D83E02"/>
    <w:rsid w:val="00D8767F"/>
    <w:rsid w:val="00D9632F"/>
    <w:rsid w:val="00DA2E27"/>
    <w:rsid w:val="00DC095F"/>
    <w:rsid w:val="00DD5CA1"/>
    <w:rsid w:val="00DF6E79"/>
    <w:rsid w:val="00E02605"/>
    <w:rsid w:val="00E203D6"/>
    <w:rsid w:val="00E42A3D"/>
    <w:rsid w:val="00E50071"/>
    <w:rsid w:val="00E6600B"/>
    <w:rsid w:val="00E736A0"/>
    <w:rsid w:val="00E737AC"/>
    <w:rsid w:val="00E9728D"/>
    <w:rsid w:val="00EA427E"/>
    <w:rsid w:val="00EA47C9"/>
    <w:rsid w:val="00EB09D5"/>
    <w:rsid w:val="00ED03BB"/>
    <w:rsid w:val="00EF6D38"/>
    <w:rsid w:val="00F40205"/>
    <w:rsid w:val="00F5691A"/>
    <w:rsid w:val="00F56E5C"/>
    <w:rsid w:val="00F65965"/>
    <w:rsid w:val="00F74D9C"/>
    <w:rsid w:val="00F77CD7"/>
    <w:rsid w:val="00FB5062"/>
    <w:rsid w:val="00FC0191"/>
    <w:rsid w:val="00FC694A"/>
    <w:rsid w:val="00FE5DA4"/>
    <w:rsid w:val="00FF10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EF"/>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F3C61"/>
    <w:pPr>
      <w:keepNext/>
      <w:spacing w:before="240" w:after="60"/>
      <w:jc w:val="left"/>
      <w:outlineLvl w:val="1"/>
    </w:pPr>
    <w:rPr>
      <w:rFonts w:ascii="Cambria" w:hAnsi="Cambria"/>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351EF"/>
    <w:pPr>
      <w:spacing w:before="100" w:beforeAutospacing="1" w:after="100" w:afterAutospacing="1"/>
      <w:jc w:val="center"/>
    </w:pPr>
    <w:rPr>
      <w:rFonts w:eastAsia="Arial Unicode MS"/>
      <w:b/>
      <w:bCs/>
    </w:rPr>
  </w:style>
  <w:style w:type="paragraph" w:customStyle="1" w:styleId="naislab">
    <w:name w:val="naislab"/>
    <w:basedOn w:val="Normal"/>
    <w:rsid w:val="00A351EF"/>
    <w:pPr>
      <w:spacing w:before="100" w:beforeAutospacing="1" w:after="100" w:afterAutospacing="1"/>
      <w:jc w:val="right"/>
    </w:pPr>
    <w:rPr>
      <w:rFonts w:eastAsia="Arial Unicode MS"/>
    </w:rPr>
  </w:style>
  <w:style w:type="paragraph" w:styleId="ListParagraph">
    <w:name w:val="List Paragraph"/>
    <w:basedOn w:val="Normal"/>
    <w:uiPriority w:val="34"/>
    <w:qFormat/>
    <w:rsid w:val="00AF3C61"/>
    <w:pPr>
      <w:ind w:left="720"/>
      <w:contextualSpacing/>
    </w:pPr>
  </w:style>
  <w:style w:type="character" w:customStyle="1" w:styleId="Heading2Char">
    <w:name w:val="Heading 2 Char"/>
    <w:basedOn w:val="DefaultParagraphFont"/>
    <w:link w:val="Heading2"/>
    <w:uiPriority w:val="9"/>
    <w:rsid w:val="00AF3C61"/>
    <w:rPr>
      <w:rFonts w:ascii="Cambria" w:eastAsia="Times New Roman" w:hAnsi="Cambria" w:cs="Times New Roman"/>
      <w:b/>
      <w:bCs/>
      <w:iCs/>
      <w:sz w:val="24"/>
      <w:szCs w:val="28"/>
    </w:rPr>
  </w:style>
  <w:style w:type="paragraph" w:styleId="NormalWeb">
    <w:name w:val="Normal (Web)"/>
    <w:basedOn w:val="Normal"/>
    <w:uiPriority w:val="99"/>
    <w:semiHidden/>
    <w:unhideWhenUsed/>
    <w:rsid w:val="00D32716"/>
    <w:pPr>
      <w:spacing w:before="100" w:beforeAutospacing="1" w:after="100" w:afterAutospacing="1"/>
      <w:jc w:val="left"/>
    </w:pPr>
    <w:rPr>
      <w:lang w:eastAsia="lv-LV"/>
    </w:rPr>
  </w:style>
  <w:style w:type="character" w:styleId="Hyperlink">
    <w:name w:val="Hyperlink"/>
    <w:basedOn w:val="DefaultParagraphFont"/>
    <w:unhideWhenUsed/>
    <w:rsid w:val="00D32716"/>
    <w:rPr>
      <w:color w:val="0000FF"/>
      <w:u w:val="single"/>
    </w:rPr>
  </w:style>
  <w:style w:type="paragraph" w:styleId="z-TopofForm">
    <w:name w:val="HTML Top of Form"/>
    <w:basedOn w:val="Normal"/>
    <w:next w:val="Normal"/>
    <w:link w:val="z-TopofFormChar"/>
    <w:hidden/>
    <w:uiPriority w:val="99"/>
    <w:semiHidden/>
    <w:unhideWhenUsed/>
    <w:rsid w:val="00E42A3D"/>
    <w:pPr>
      <w:pBdr>
        <w:bottom w:val="single" w:sz="6" w:space="1" w:color="auto"/>
      </w:pBdr>
      <w:jc w:val="center"/>
    </w:pPr>
    <w:rPr>
      <w:rFonts w:ascii="Arial" w:hAnsi="Arial" w:cs="Arial"/>
      <w:vanish/>
      <w:color w:val="000000"/>
      <w:sz w:val="16"/>
      <w:szCs w:val="16"/>
      <w:lang w:eastAsia="lv-LV"/>
    </w:rPr>
  </w:style>
  <w:style w:type="character" w:customStyle="1" w:styleId="z-TopofFormChar">
    <w:name w:val="z-Top of Form Char"/>
    <w:basedOn w:val="DefaultParagraphFont"/>
    <w:link w:val="z-TopofForm"/>
    <w:uiPriority w:val="99"/>
    <w:semiHidden/>
    <w:rsid w:val="00E42A3D"/>
    <w:rPr>
      <w:rFonts w:ascii="Arial" w:eastAsia="Times New Roman" w:hAnsi="Arial" w:cs="Arial"/>
      <w:vanish/>
      <w:color w:val="000000"/>
      <w:sz w:val="16"/>
      <w:szCs w:val="16"/>
      <w:lang w:eastAsia="lv-LV"/>
    </w:rPr>
  </w:style>
  <w:style w:type="paragraph" w:styleId="z-BottomofForm">
    <w:name w:val="HTML Bottom of Form"/>
    <w:basedOn w:val="Normal"/>
    <w:next w:val="Normal"/>
    <w:link w:val="z-BottomofFormChar"/>
    <w:hidden/>
    <w:uiPriority w:val="99"/>
    <w:semiHidden/>
    <w:unhideWhenUsed/>
    <w:rsid w:val="00E42A3D"/>
    <w:pPr>
      <w:pBdr>
        <w:top w:val="single" w:sz="6" w:space="1" w:color="auto"/>
      </w:pBdr>
      <w:jc w:val="center"/>
    </w:pPr>
    <w:rPr>
      <w:rFonts w:ascii="Arial" w:hAnsi="Arial" w:cs="Arial"/>
      <w:vanish/>
      <w:color w:val="000000"/>
      <w:sz w:val="16"/>
      <w:szCs w:val="16"/>
      <w:lang w:eastAsia="lv-LV"/>
    </w:rPr>
  </w:style>
  <w:style w:type="character" w:customStyle="1" w:styleId="z-BottomofFormChar">
    <w:name w:val="z-Bottom of Form Char"/>
    <w:basedOn w:val="DefaultParagraphFont"/>
    <w:link w:val="z-BottomofForm"/>
    <w:uiPriority w:val="99"/>
    <w:semiHidden/>
    <w:rsid w:val="00E42A3D"/>
    <w:rPr>
      <w:rFonts w:ascii="Arial" w:eastAsia="Times New Roman" w:hAnsi="Arial" w:cs="Arial"/>
      <w:vanish/>
      <w:color w:val="000000"/>
      <w:sz w:val="16"/>
      <w:szCs w:val="16"/>
      <w:lang w:eastAsia="lv-LV"/>
    </w:rPr>
  </w:style>
  <w:style w:type="paragraph" w:styleId="BalloonText">
    <w:name w:val="Balloon Text"/>
    <w:basedOn w:val="Normal"/>
    <w:link w:val="BalloonTextChar"/>
    <w:uiPriority w:val="99"/>
    <w:semiHidden/>
    <w:unhideWhenUsed/>
    <w:rsid w:val="00E42A3D"/>
    <w:rPr>
      <w:rFonts w:ascii="Tahoma" w:hAnsi="Tahoma" w:cs="Tahoma"/>
      <w:sz w:val="16"/>
      <w:szCs w:val="16"/>
    </w:rPr>
  </w:style>
  <w:style w:type="character" w:customStyle="1" w:styleId="BalloonTextChar">
    <w:name w:val="Balloon Text Char"/>
    <w:basedOn w:val="DefaultParagraphFont"/>
    <w:link w:val="BalloonText"/>
    <w:uiPriority w:val="99"/>
    <w:semiHidden/>
    <w:rsid w:val="00E42A3D"/>
    <w:rPr>
      <w:rFonts w:ascii="Tahoma" w:eastAsia="Times New Roman" w:hAnsi="Tahoma" w:cs="Tahoma"/>
      <w:sz w:val="16"/>
      <w:szCs w:val="16"/>
    </w:rPr>
  </w:style>
  <w:style w:type="paragraph" w:customStyle="1" w:styleId="naisf">
    <w:name w:val="naisf"/>
    <w:basedOn w:val="Normal"/>
    <w:rsid w:val="00A00923"/>
    <w:pPr>
      <w:spacing w:before="58" w:after="58"/>
      <w:ind w:firstLine="288"/>
    </w:pPr>
    <w:rPr>
      <w:lang w:eastAsia="lv-LV"/>
    </w:rPr>
  </w:style>
  <w:style w:type="paragraph" w:customStyle="1" w:styleId="naispant">
    <w:name w:val="naispant"/>
    <w:basedOn w:val="Normal"/>
    <w:rsid w:val="00A00923"/>
    <w:pPr>
      <w:spacing w:before="230" w:after="115"/>
      <w:ind w:left="288" w:firstLine="288"/>
    </w:pPr>
    <w:rPr>
      <w:b/>
      <w:bCs/>
      <w:lang w:eastAsia="lv-LV"/>
    </w:rPr>
  </w:style>
  <w:style w:type="paragraph" w:styleId="Header">
    <w:name w:val="header"/>
    <w:basedOn w:val="Normal"/>
    <w:link w:val="HeaderChar"/>
    <w:uiPriority w:val="99"/>
    <w:unhideWhenUsed/>
    <w:rsid w:val="00E737AC"/>
    <w:pPr>
      <w:tabs>
        <w:tab w:val="center" w:pos="4153"/>
        <w:tab w:val="right" w:pos="8306"/>
      </w:tabs>
    </w:pPr>
  </w:style>
  <w:style w:type="character" w:customStyle="1" w:styleId="HeaderChar">
    <w:name w:val="Header Char"/>
    <w:basedOn w:val="DefaultParagraphFont"/>
    <w:link w:val="Header"/>
    <w:uiPriority w:val="99"/>
    <w:rsid w:val="00E737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37AC"/>
    <w:pPr>
      <w:tabs>
        <w:tab w:val="center" w:pos="4153"/>
        <w:tab w:val="right" w:pos="8306"/>
      </w:tabs>
    </w:pPr>
  </w:style>
  <w:style w:type="character" w:customStyle="1" w:styleId="FooterChar">
    <w:name w:val="Footer Char"/>
    <w:basedOn w:val="DefaultParagraphFont"/>
    <w:link w:val="Footer"/>
    <w:uiPriority w:val="99"/>
    <w:rsid w:val="00E737AC"/>
    <w:rPr>
      <w:rFonts w:ascii="Times New Roman" w:eastAsia="Times New Roman" w:hAnsi="Times New Roman" w:cs="Times New Roman"/>
      <w:sz w:val="24"/>
      <w:szCs w:val="24"/>
    </w:rPr>
  </w:style>
  <w:style w:type="table" w:styleId="TableGrid">
    <w:name w:val="Table Grid"/>
    <w:basedOn w:val="TableNormal"/>
    <w:uiPriority w:val="59"/>
    <w:rsid w:val="000B2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659767">
      <w:bodyDiv w:val="1"/>
      <w:marLeft w:val="0"/>
      <w:marRight w:val="0"/>
      <w:marTop w:val="0"/>
      <w:marBottom w:val="0"/>
      <w:divBdr>
        <w:top w:val="none" w:sz="0" w:space="0" w:color="auto"/>
        <w:left w:val="none" w:sz="0" w:space="0" w:color="auto"/>
        <w:bottom w:val="none" w:sz="0" w:space="0" w:color="auto"/>
        <w:right w:val="none" w:sz="0" w:space="0" w:color="auto"/>
      </w:divBdr>
    </w:div>
    <w:div w:id="1258060838">
      <w:bodyDiv w:val="1"/>
      <w:marLeft w:val="0"/>
      <w:marRight w:val="0"/>
      <w:marTop w:val="0"/>
      <w:marBottom w:val="0"/>
      <w:divBdr>
        <w:top w:val="none" w:sz="0" w:space="0" w:color="auto"/>
        <w:left w:val="none" w:sz="0" w:space="0" w:color="auto"/>
        <w:bottom w:val="none" w:sz="0" w:space="0" w:color="auto"/>
        <w:right w:val="none" w:sz="0" w:space="0" w:color="auto"/>
      </w:divBdr>
    </w:div>
    <w:div w:id="1357150466">
      <w:bodyDiv w:val="1"/>
      <w:marLeft w:val="0"/>
      <w:marRight w:val="0"/>
      <w:marTop w:val="0"/>
      <w:marBottom w:val="0"/>
      <w:divBdr>
        <w:top w:val="none" w:sz="0" w:space="0" w:color="auto"/>
        <w:left w:val="none" w:sz="0" w:space="0" w:color="auto"/>
        <w:bottom w:val="none" w:sz="0" w:space="0" w:color="auto"/>
        <w:right w:val="none" w:sz="0" w:space="0" w:color="auto"/>
      </w:divBdr>
      <w:divsChild>
        <w:div w:id="1030112685">
          <w:marLeft w:val="0"/>
          <w:marRight w:val="0"/>
          <w:marTop w:val="0"/>
          <w:marBottom w:val="0"/>
          <w:divBdr>
            <w:top w:val="none" w:sz="0" w:space="0" w:color="auto"/>
            <w:left w:val="none" w:sz="0" w:space="0" w:color="auto"/>
            <w:bottom w:val="none" w:sz="0" w:space="0" w:color="auto"/>
            <w:right w:val="none" w:sz="0" w:space="0" w:color="auto"/>
          </w:divBdr>
        </w:div>
        <w:div w:id="139350009">
          <w:marLeft w:val="0"/>
          <w:marRight w:val="0"/>
          <w:marTop w:val="0"/>
          <w:marBottom w:val="58"/>
          <w:divBdr>
            <w:top w:val="single" w:sz="4" w:space="3" w:color="E0E0E0"/>
            <w:left w:val="single" w:sz="4" w:space="3" w:color="E0E0E0"/>
            <w:bottom w:val="single" w:sz="4" w:space="3" w:color="E0E0E0"/>
            <w:right w:val="single" w:sz="4" w:space="3" w:color="E0E0E0"/>
          </w:divBdr>
        </w:div>
        <w:div w:id="1065490064">
          <w:marLeft w:val="0"/>
          <w:marRight w:val="0"/>
          <w:marTop w:val="0"/>
          <w:marBottom w:val="0"/>
          <w:divBdr>
            <w:top w:val="single" w:sz="4" w:space="3" w:color="E0E0E0"/>
            <w:left w:val="single" w:sz="4" w:space="3" w:color="E0E0E0"/>
            <w:bottom w:val="single" w:sz="4" w:space="3" w:color="E0E0E0"/>
            <w:right w:val="single" w:sz="4" w:space="3" w:color="E0E0E0"/>
          </w:divBdr>
          <w:divsChild>
            <w:div w:id="659768544">
              <w:marLeft w:val="0"/>
              <w:marRight w:val="0"/>
              <w:marTop w:val="0"/>
              <w:marBottom w:val="0"/>
              <w:divBdr>
                <w:top w:val="none" w:sz="0" w:space="0" w:color="auto"/>
                <w:left w:val="none" w:sz="0" w:space="0" w:color="auto"/>
                <w:bottom w:val="none" w:sz="0" w:space="0" w:color="auto"/>
                <w:right w:val="none" w:sz="0" w:space="0" w:color="auto"/>
              </w:divBdr>
            </w:div>
            <w:div w:id="1621765855">
              <w:marLeft w:val="0"/>
              <w:marRight w:val="0"/>
              <w:marTop w:val="0"/>
              <w:marBottom w:val="0"/>
              <w:divBdr>
                <w:top w:val="none" w:sz="0" w:space="0" w:color="auto"/>
                <w:left w:val="none" w:sz="0" w:space="0" w:color="auto"/>
                <w:bottom w:val="none" w:sz="0" w:space="0" w:color="auto"/>
                <w:right w:val="none" w:sz="0" w:space="0" w:color="auto"/>
              </w:divBdr>
            </w:div>
          </w:divsChild>
        </w:div>
        <w:div w:id="820540029">
          <w:marLeft w:val="0"/>
          <w:marRight w:val="0"/>
          <w:marTop w:val="0"/>
          <w:marBottom w:val="0"/>
          <w:divBdr>
            <w:top w:val="none" w:sz="0" w:space="0" w:color="auto"/>
            <w:left w:val="none" w:sz="0" w:space="0" w:color="auto"/>
            <w:bottom w:val="none" w:sz="0" w:space="0" w:color="auto"/>
            <w:right w:val="none" w:sz="0" w:space="0" w:color="auto"/>
          </w:divBdr>
        </w:div>
      </w:divsChild>
    </w:div>
    <w:div w:id="2026587658">
      <w:bodyDiv w:val="1"/>
      <w:marLeft w:val="0"/>
      <w:marRight w:val="0"/>
      <w:marTop w:val="0"/>
      <w:marBottom w:val="0"/>
      <w:divBdr>
        <w:top w:val="none" w:sz="0" w:space="0" w:color="auto"/>
        <w:left w:val="none" w:sz="0" w:space="0" w:color="auto"/>
        <w:bottom w:val="none" w:sz="0" w:space="0" w:color="auto"/>
        <w:right w:val="none" w:sz="0" w:space="0" w:color="auto"/>
      </w:divBdr>
      <w:divsChild>
        <w:div w:id="201807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rinis@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EAD0-A31C-4DCA-B4A5-55019CFA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10098</Words>
  <Characters>5756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MK noteikumu projekts „Kārtība, kādā izglītības iestāde informē izglītojamo vecākus (personas, kas realizē aizgādību), pašvaldības vai valsts iestādes, ja izglītojamais bez attaisnojoša iemesla neapmeklē izglītības iestādi”</vt:lpstr>
    </vt:vector>
  </TitlesOfParts>
  <Manager>Inita Juhņēviča</Manager>
  <Company>IZM</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izglītības iestāde informē izglītojamo vecākus (personas, kas realizē aizgādību), pašvaldības vai valsts iestādes, ja izglītojamais bez attaisnojoša iemesla neapmeklē izglītības iestādi”</dc:title>
  <dc:subject>anotācija</dc:subject>
  <dc:creator>Edgars Grīnis</dc:creator>
  <cp:keywords/>
  <dc:description>E.Grīnis_x000d_
67047910_x000d_
edgars.grinis@izm.gov.lv</dc:description>
  <cp:lastModifiedBy>egrinis</cp:lastModifiedBy>
  <cp:revision>3</cp:revision>
  <cp:lastPrinted>2010-10-28T10:49:00Z</cp:lastPrinted>
  <dcterms:created xsi:type="dcterms:W3CDTF">2010-12-08T13:42:00Z</dcterms:created>
  <dcterms:modified xsi:type="dcterms:W3CDTF">2010-12-08T13:55:00Z</dcterms:modified>
</cp:coreProperties>
</file>