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9" w:rsidRPr="00F15F27" w:rsidRDefault="00010C79" w:rsidP="0001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„</w:t>
      </w:r>
      <w:r w:rsidRPr="00F15F27">
        <w:rPr>
          <w:b/>
          <w:sz w:val="28"/>
          <w:szCs w:val="28"/>
        </w:rPr>
        <w:t>Grozījumi Ministru kabineta 2001.gada 20.marta noteikumos Nr.129 „</w:t>
      </w:r>
      <w:r w:rsidRPr="00F15F27">
        <w:rPr>
          <w:b/>
          <w:bCs/>
          <w:sz w:val="28"/>
          <w:szCs w:val="28"/>
        </w:rPr>
        <w:t>Ģimnāzijas un valsts ģimnāzijas statusa piešķiršanas un anulēšanas kārtība un kritēriji”</w:t>
      </w:r>
      <w:r>
        <w:rPr>
          <w:b/>
          <w:bCs/>
          <w:sz w:val="28"/>
          <w:szCs w:val="28"/>
        </w:rPr>
        <w:t>”</w:t>
      </w:r>
    </w:p>
    <w:p w:rsidR="00671953" w:rsidRDefault="00671953" w:rsidP="00671953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7C0F2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C0F2C">
          <w:rPr>
            <w:b/>
            <w:sz w:val="28"/>
            <w:szCs w:val="28"/>
          </w:rPr>
          <w:t>ziņojums</w:t>
        </w:r>
      </w:smartTag>
      <w:r w:rsidRPr="007C0F2C">
        <w:rPr>
          <w:b/>
          <w:sz w:val="28"/>
          <w:szCs w:val="28"/>
        </w:rPr>
        <w:t xml:space="preserve"> (anotācija)</w:t>
      </w:r>
    </w:p>
    <w:p w:rsidR="00010C79" w:rsidRPr="007C0F2C" w:rsidRDefault="00010C79" w:rsidP="00671953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9"/>
        <w:tblW w:w="5000" w:type="pct"/>
        <w:tblLook w:val="0000"/>
      </w:tblPr>
      <w:tblGrid>
        <w:gridCol w:w="381"/>
        <w:gridCol w:w="2276"/>
        <w:gridCol w:w="6630"/>
      </w:tblGrid>
      <w:tr w:rsidR="00671953" w:rsidRPr="007C0F2C" w:rsidTr="008402F0">
        <w:tc>
          <w:tcPr>
            <w:tcW w:w="5000" w:type="pct"/>
            <w:gridSpan w:val="3"/>
          </w:tcPr>
          <w:p w:rsidR="00671953" w:rsidRPr="007C0F2C" w:rsidRDefault="00671953" w:rsidP="00F64303">
            <w:pPr>
              <w:pStyle w:val="naisnod"/>
              <w:spacing w:before="0" w:after="0"/>
            </w:pPr>
            <w:r w:rsidRPr="007C0F2C">
              <w:t>I. Tiesību akta projekta izstrādes nepieciešamība</w:t>
            </w:r>
          </w:p>
        </w:tc>
      </w:tr>
      <w:tr w:rsidR="00671953" w:rsidRPr="007C0F2C" w:rsidTr="008402F0">
        <w:trPr>
          <w:trHeight w:val="630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  <w:ind w:hanging="10"/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3624" w:type="pct"/>
          </w:tcPr>
          <w:p w:rsidR="00671953" w:rsidRPr="00F2770B" w:rsidRDefault="00F2770B" w:rsidP="008402F0">
            <w:pPr>
              <w:pStyle w:val="naislab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MK noteikumu projekts izstrādāts </w:t>
            </w:r>
            <w:r w:rsidRPr="00F2770B">
              <w:rPr>
                <w:sz w:val="22"/>
                <w:szCs w:val="22"/>
              </w:rPr>
              <w:t>saskaņā ar Vispārējās izglītības likuma 4.panta 5.punktu</w:t>
            </w:r>
          </w:p>
        </w:tc>
      </w:tr>
      <w:tr w:rsidR="00671953" w:rsidRPr="007C0F2C" w:rsidTr="008402F0">
        <w:trPr>
          <w:trHeight w:val="472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tabs>
                <w:tab w:val="left" w:pos="170"/>
              </w:tabs>
              <w:spacing w:before="0" w:after="0"/>
            </w:pPr>
            <w:r w:rsidRPr="007C0F2C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3624" w:type="pct"/>
          </w:tcPr>
          <w:p w:rsidR="00776A7F" w:rsidRDefault="006849D6" w:rsidP="004867FC">
            <w:pPr>
              <w:autoSpaceDE w:val="0"/>
              <w:autoSpaceDN w:val="0"/>
              <w:adjustRightInd w:val="0"/>
            </w:pPr>
            <w:r w:rsidRPr="002C6010">
              <w:rPr>
                <w:sz w:val="22"/>
                <w:szCs w:val="22"/>
              </w:rPr>
              <w:t>Izglītojamo skaits valstī pēdējos sešos gados ir samazinājies par</w:t>
            </w:r>
            <w:r w:rsidR="00776A7F">
              <w:rPr>
                <w:sz w:val="22"/>
                <w:szCs w:val="22"/>
              </w:rPr>
              <w:t xml:space="preserve"> 25%. Dažos turpmākajos gados</w:t>
            </w:r>
            <w:r w:rsidRPr="002C6010">
              <w:rPr>
                <w:sz w:val="22"/>
                <w:szCs w:val="22"/>
              </w:rPr>
              <w:t xml:space="preserve"> prognozējams būtisks izglītojamo skaita samazinājums tieši vidējās izglītības pakāpē (par 30-35%). Izglītojamo skaita samazinājums ir novedis pie tā, ka no 24 valsts ģimnāzijām 2010./2011.mācību gadā 7 valsts ģimnāzijas, pat republikas pilsētās esošās, nespēj izpildīt valsts ģimnāzijas statusa kritēriju attiecībā uz izglītojamo skaitu 10.-12.klasēs. Līdzīgas problēmas ar </w:t>
            </w:r>
            <w:r w:rsidR="00897C6F">
              <w:rPr>
                <w:sz w:val="22"/>
                <w:szCs w:val="22"/>
              </w:rPr>
              <w:t>izglītojamo skaitu ir</w:t>
            </w:r>
            <w:r w:rsidRPr="002C6010">
              <w:rPr>
                <w:sz w:val="22"/>
                <w:szCs w:val="22"/>
              </w:rPr>
              <w:t xml:space="preserve"> ģimnāzijās. </w:t>
            </w:r>
            <w:r w:rsidR="002C6010" w:rsidRPr="002C6010">
              <w:rPr>
                <w:sz w:val="22"/>
                <w:szCs w:val="22"/>
              </w:rPr>
              <w:t xml:space="preserve"> </w:t>
            </w:r>
          </w:p>
          <w:p w:rsidR="00776A7F" w:rsidRDefault="002C6010" w:rsidP="004867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>Ģimnāzijas un valsts ģimnāzijas sniedz nozīmīgu</w:t>
            </w:r>
            <w:r w:rsidRPr="002C6010">
              <w:rPr>
                <w:sz w:val="22"/>
                <w:szCs w:val="22"/>
              </w:rPr>
              <w:t xml:space="preserve"> nepieciešamo atbalstu un iespējas attīstīt savu potenciālu apdāvin</w:t>
            </w:r>
            <w:r w:rsidR="00776A7F">
              <w:rPr>
                <w:sz w:val="22"/>
                <w:szCs w:val="22"/>
              </w:rPr>
              <w:t>ātiem  un talantīgiem</w:t>
            </w:r>
            <w:r w:rsidRPr="002C6010">
              <w:rPr>
                <w:sz w:val="22"/>
                <w:szCs w:val="22"/>
              </w:rPr>
              <w:t xml:space="preserve"> jauniešiem. Pie tam runa nav par kādu īpašu privilēģiju piešķiršanu šiem jauniešiem, bet gan par atbilstošu pedagoģisko piedāvājumu, lai viņiem tiešām būtu iespēja pilnībā izmantot savu potenciālu</w:t>
            </w:r>
            <w:r>
              <w:rPr>
                <w:sz w:val="22"/>
                <w:szCs w:val="22"/>
              </w:rPr>
              <w:t xml:space="preserve"> gan pašu, gan sabiedrības labā</w:t>
            </w:r>
            <w:r w:rsidRPr="002C6010">
              <w:rPr>
                <w:sz w:val="22"/>
                <w:szCs w:val="22"/>
              </w:rPr>
              <w:t xml:space="preserve">. Bez tam pētījumi rāda, ka daļai apdāvināto jauniešu </w:t>
            </w:r>
            <w:r w:rsidR="005428EF">
              <w:rPr>
                <w:sz w:val="22"/>
                <w:szCs w:val="22"/>
              </w:rPr>
              <w:t>var rasties</w:t>
            </w:r>
            <w:r w:rsidRPr="002C6010">
              <w:rPr>
                <w:sz w:val="22"/>
                <w:szCs w:val="22"/>
              </w:rPr>
              <w:t xml:space="preserve"> ievērojamas problēmas un grūtības saistībā ar tradicionālo skolas piedāvājumu un pietrūkstošu izpratni un atbalstu skolā, kā arī ģimenē (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Spezifische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Bildungsmaßnahmen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zur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Förderung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aller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Arten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von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Begabung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an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Schulen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in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C6010">
              <w:rPr>
                <w:bCs/>
                <w:i/>
                <w:sz w:val="22"/>
                <w:szCs w:val="22"/>
              </w:rPr>
              <w:t>Europa</w:t>
            </w:r>
            <w:proofErr w:type="spellEnd"/>
            <w:r w:rsidRPr="002C6010">
              <w:rPr>
                <w:bCs/>
                <w:i/>
                <w:sz w:val="22"/>
                <w:szCs w:val="22"/>
              </w:rPr>
              <w:t>.</w:t>
            </w:r>
            <w:r w:rsidRPr="002C601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C6010">
              <w:rPr>
                <w:bCs/>
                <w:i/>
                <w:sz w:val="22"/>
                <w:szCs w:val="22"/>
              </w:rPr>
              <w:t>EURYDICE</w:t>
            </w:r>
            <w:r w:rsidRPr="002C6010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C6010">
              <w:rPr>
                <w:i/>
                <w:sz w:val="22"/>
                <w:szCs w:val="22"/>
              </w:rPr>
              <w:t>2006)</w:t>
            </w:r>
            <w:r w:rsidRPr="002C6010">
              <w:rPr>
                <w:sz w:val="22"/>
                <w:szCs w:val="22"/>
              </w:rPr>
              <w:t>. OECD PISA 2009 rezultā</w:t>
            </w:r>
            <w:r>
              <w:rPr>
                <w:sz w:val="22"/>
                <w:szCs w:val="22"/>
              </w:rPr>
              <w:t>ti parādīja, ka Latvijā</w:t>
            </w:r>
            <w:r w:rsidRPr="002C6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apdāvinātiem un talantīgiem skolēniem</w:t>
            </w:r>
            <w:r w:rsidRPr="002C6010">
              <w:rPr>
                <w:sz w:val="22"/>
                <w:szCs w:val="22"/>
              </w:rPr>
              <w:t xml:space="preserve"> tiek sniegts pārāk maz</w:t>
            </w:r>
            <w:r>
              <w:rPr>
                <w:sz w:val="22"/>
                <w:szCs w:val="22"/>
              </w:rPr>
              <w:t>s atbalsts –</w:t>
            </w:r>
            <w:r w:rsidRPr="002C6010">
              <w:rPr>
                <w:sz w:val="22"/>
                <w:szCs w:val="22"/>
              </w:rPr>
              <w:t xml:space="preserve"> tikai 0,1% skolēnu spējuši veikt augstākās grūtības pakāpes uzdevumus (O</w:t>
            </w:r>
            <w:r>
              <w:rPr>
                <w:sz w:val="22"/>
                <w:szCs w:val="22"/>
              </w:rPr>
              <w:t>ECD valstīs vidēji 0,8%, Somijā – 5%, Igaunijā</w:t>
            </w:r>
            <w:r w:rsidRPr="002C6010">
              <w:rPr>
                <w:sz w:val="22"/>
                <w:szCs w:val="22"/>
              </w:rPr>
              <w:t xml:space="preserve"> – 2%).  Latv</w:t>
            </w:r>
            <w:r>
              <w:rPr>
                <w:sz w:val="22"/>
                <w:szCs w:val="22"/>
              </w:rPr>
              <w:t xml:space="preserve">ijā šo atbalstu </w:t>
            </w:r>
            <w:r w:rsidR="005428EF">
              <w:rPr>
                <w:sz w:val="22"/>
                <w:szCs w:val="22"/>
              </w:rPr>
              <w:t xml:space="preserve">lielā mērā </w:t>
            </w:r>
            <w:r>
              <w:rPr>
                <w:sz w:val="22"/>
                <w:szCs w:val="22"/>
              </w:rPr>
              <w:t>nodrošina</w:t>
            </w:r>
            <w:r w:rsidRPr="002C6010">
              <w:rPr>
                <w:sz w:val="22"/>
                <w:szCs w:val="22"/>
              </w:rPr>
              <w:t xml:space="preserve"> ģimnāzijas. No izglītības pieejamības viedokļa iespējai mācīties valsts ģimnāzijā jābūt vienādai visiem Latvijas skolēniem. Lai valsts ģimnāziju tīkls vienmērīgi pārklātu visu valsts teritoriju, </w:t>
            </w:r>
            <w:r w:rsidR="005428EF">
              <w:rPr>
                <w:sz w:val="22"/>
                <w:szCs w:val="22"/>
              </w:rPr>
              <w:t xml:space="preserve">Izglītības un zinātnes </w:t>
            </w:r>
            <w:r>
              <w:rPr>
                <w:bCs/>
                <w:sz w:val="22"/>
                <w:szCs w:val="22"/>
              </w:rPr>
              <w:t>ministrija atbalsta</w:t>
            </w:r>
            <w:r w:rsidRPr="002C6010">
              <w:rPr>
                <w:bCs/>
                <w:sz w:val="22"/>
                <w:szCs w:val="22"/>
              </w:rPr>
              <w:t xml:space="preserve"> valsts ģimnāziju skaita palielināšanos līdz 2013.gadam līdz apmēram 30 valsts ģimnāzijām visos valsts reģionos.</w:t>
            </w:r>
            <w:r w:rsidR="00897C6F">
              <w:rPr>
                <w:bCs/>
                <w:sz w:val="22"/>
                <w:szCs w:val="22"/>
              </w:rPr>
              <w:t xml:space="preserve"> </w:t>
            </w:r>
          </w:p>
          <w:p w:rsidR="00671953" w:rsidRPr="002C6010" w:rsidRDefault="00897C6F" w:rsidP="00B82499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Ģ</w:t>
            </w:r>
            <w:r w:rsidR="006849D6" w:rsidRPr="002C6010">
              <w:rPr>
                <w:sz w:val="22"/>
                <w:szCs w:val="22"/>
              </w:rPr>
              <w:t xml:space="preserve">imnāzijām </w:t>
            </w:r>
            <w:r w:rsidR="002C6010">
              <w:rPr>
                <w:sz w:val="22"/>
                <w:szCs w:val="22"/>
              </w:rPr>
              <w:t xml:space="preserve">līdz šim </w:t>
            </w:r>
            <w:r w:rsidR="006849D6" w:rsidRPr="002C6010">
              <w:rPr>
                <w:sz w:val="22"/>
                <w:szCs w:val="22"/>
              </w:rPr>
              <w:t>nav noteikts kritērijs iegūstamās izglītības kvalitātei. Līdzšinējā pieredze rāda, ka kritērija par īstenojamo izglītības programmu skaitu noteikšana nav būtiska ģimnāzijas darba kvalitātei. Drīzāk katra</w:t>
            </w:r>
            <w:r w:rsidR="00776A7F">
              <w:rPr>
                <w:sz w:val="22"/>
                <w:szCs w:val="22"/>
              </w:rPr>
              <w:t>i</w:t>
            </w:r>
            <w:r w:rsidR="006849D6" w:rsidRPr="002C6010">
              <w:rPr>
                <w:sz w:val="22"/>
                <w:szCs w:val="22"/>
              </w:rPr>
              <w:t xml:space="preserve"> ģimnāzija</w:t>
            </w:r>
            <w:r w:rsidR="00776A7F">
              <w:rPr>
                <w:sz w:val="22"/>
                <w:szCs w:val="22"/>
              </w:rPr>
              <w:t>i</w:t>
            </w:r>
            <w:r w:rsidR="006849D6" w:rsidRPr="002C6010">
              <w:rPr>
                <w:sz w:val="22"/>
                <w:szCs w:val="22"/>
              </w:rPr>
              <w:t xml:space="preserve"> vai valsts ģimnāzija</w:t>
            </w:r>
            <w:r w:rsidR="00776A7F">
              <w:rPr>
                <w:sz w:val="22"/>
                <w:szCs w:val="22"/>
              </w:rPr>
              <w:t>i</w:t>
            </w:r>
            <w:r w:rsidR="006849D6" w:rsidRPr="002C6010">
              <w:rPr>
                <w:sz w:val="22"/>
                <w:szCs w:val="22"/>
              </w:rPr>
              <w:t xml:space="preserve"> </w:t>
            </w:r>
            <w:r w:rsidR="00776A7F">
              <w:rPr>
                <w:sz w:val="22"/>
                <w:szCs w:val="22"/>
              </w:rPr>
              <w:t>ir svarīgi koncentrēties</w:t>
            </w:r>
            <w:r w:rsidR="006849D6" w:rsidRPr="002C6010">
              <w:rPr>
                <w:sz w:val="22"/>
                <w:szCs w:val="22"/>
              </w:rPr>
              <w:t xml:space="preserve"> uz savu īpašo izglītības piedāvājumu, nevis uz īstenojamo izglītības programmu skaitu.</w:t>
            </w:r>
          </w:p>
        </w:tc>
      </w:tr>
      <w:tr w:rsidR="00671953" w:rsidRPr="007C0F2C" w:rsidTr="008402F0">
        <w:trPr>
          <w:trHeight w:val="821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3624" w:type="pct"/>
          </w:tcPr>
          <w:p w:rsidR="00671953" w:rsidRPr="007C0F2C" w:rsidRDefault="00897C6F" w:rsidP="008402F0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8402F0">
        <w:trPr>
          <w:trHeight w:val="384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mērķis un būtība</w:t>
            </w:r>
          </w:p>
        </w:tc>
        <w:tc>
          <w:tcPr>
            <w:tcW w:w="3624" w:type="pct"/>
          </w:tcPr>
          <w:p w:rsidR="00671953" w:rsidRDefault="006326A8" w:rsidP="00B82499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Projekta mērķis ir grozīt</w:t>
            </w:r>
            <w:r w:rsidR="006849D6" w:rsidRPr="006849D6">
              <w:rPr>
                <w:iCs/>
                <w:sz w:val="22"/>
                <w:szCs w:val="22"/>
              </w:rPr>
              <w:t xml:space="preserve"> kritēriju attiecībā uz izglītojamo skaitu ģimnāzijās un</w:t>
            </w:r>
            <w:r>
              <w:rPr>
                <w:iCs/>
                <w:sz w:val="22"/>
                <w:szCs w:val="22"/>
              </w:rPr>
              <w:t xml:space="preserve"> valsts ģimnāzijās 10.-12.klasē, nosakot to atbilstošu izglītojamo skaita samazinājumam vidējās izglītības pakāpē.</w:t>
            </w:r>
            <w:r w:rsidR="006849D6" w:rsidRPr="006849D6">
              <w:rPr>
                <w:iCs/>
                <w:sz w:val="22"/>
                <w:szCs w:val="22"/>
              </w:rPr>
              <w:t xml:space="preserve"> </w:t>
            </w:r>
            <w:r w:rsidR="006849D6" w:rsidRPr="006849D6">
              <w:rPr>
                <w:sz w:val="22"/>
                <w:szCs w:val="22"/>
              </w:rPr>
              <w:t xml:space="preserve"> Nosakot, ka uz ģimnāzijas statusu var pretendēt izglītības iestāde</w:t>
            </w:r>
            <w:r w:rsidR="006849D6">
              <w:rPr>
                <w:sz w:val="22"/>
                <w:szCs w:val="22"/>
              </w:rPr>
              <w:t xml:space="preserve">, kuras 10.-12.klasē </w:t>
            </w:r>
            <w:r w:rsidR="0014430D">
              <w:rPr>
                <w:sz w:val="22"/>
                <w:szCs w:val="22"/>
              </w:rPr>
              <w:t xml:space="preserve">mācās ne mazāk par 180 izglītojamiem </w:t>
            </w:r>
            <w:r w:rsidR="006849D6">
              <w:rPr>
                <w:sz w:val="22"/>
                <w:szCs w:val="22"/>
              </w:rPr>
              <w:t>republikas pils</w:t>
            </w:r>
            <w:r w:rsidR="0014430D">
              <w:rPr>
                <w:sz w:val="22"/>
                <w:szCs w:val="22"/>
              </w:rPr>
              <w:t xml:space="preserve">ētā, kritērijs aptver </w:t>
            </w:r>
            <w:r w:rsidR="006849D6">
              <w:rPr>
                <w:sz w:val="22"/>
                <w:szCs w:val="22"/>
              </w:rPr>
              <w:t xml:space="preserve"> </w:t>
            </w:r>
            <w:r w:rsidR="0014430D">
              <w:rPr>
                <w:sz w:val="22"/>
                <w:szCs w:val="22"/>
              </w:rPr>
              <w:t>27% skolu (41 no 151 vidusskolas). Attiecīgi ne mazāk par 120 izglītojamiem citā admini</w:t>
            </w:r>
            <w:r w:rsidR="003D1AF5">
              <w:rPr>
                <w:sz w:val="22"/>
                <w:szCs w:val="22"/>
              </w:rPr>
              <w:t>stratīvajā teritorijā aptver</w:t>
            </w:r>
            <w:r w:rsidR="0014430D">
              <w:rPr>
                <w:sz w:val="22"/>
                <w:szCs w:val="22"/>
              </w:rPr>
              <w:t xml:space="preserve"> 27% skolu (56 no 210 vidusskolām). </w:t>
            </w:r>
            <w:r w:rsidR="0014430D" w:rsidRPr="006849D6">
              <w:rPr>
                <w:sz w:val="22"/>
                <w:szCs w:val="22"/>
              </w:rPr>
              <w:t xml:space="preserve"> Nosakot, ka uz </w:t>
            </w:r>
            <w:r w:rsidR="0014430D">
              <w:rPr>
                <w:sz w:val="22"/>
                <w:szCs w:val="22"/>
              </w:rPr>
              <w:t xml:space="preserve">valsts </w:t>
            </w:r>
            <w:r w:rsidR="0014430D" w:rsidRPr="006849D6">
              <w:rPr>
                <w:sz w:val="22"/>
                <w:szCs w:val="22"/>
              </w:rPr>
              <w:t xml:space="preserve">ģimnāzijas statusu var </w:t>
            </w:r>
            <w:r w:rsidR="0014430D" w:rsidRPr="006849D6">
              <w:rPr>
                <w:sz w:val="22"/>
                <w:szCs w:val="22"/>
              </w:rPr>
              <w:lastRenderedPageBreak/>
              <w:t>pretendēt izglītības iestāde</w:t>
            </w:r>
            <w:r w:rsidR="0014430D">
              <w:rPr>
                <w:sz w:val="22"/>
                <w:szCs w:val="22"/>
              </w:rPr>
              <w:t>, kuras 10.-12.klasē mācās ne mazāk par 250 izglītojamiem repub</w:t>
            </w:r>
            <w:r w:rsidR="003D1AF5">
              <w:rPr>
                <w:sz w:val="22"/>
                <w:szCs w:val="22"/>
              </w:rPr>
              <w:t>likas pilsētā, kritērijs aptver</w:t>
            </w:r>
            <w:r w:rsidR="0014430D">
              <w:rPr>
                <w:sz w:val="22"/>
                <w:szCs w:val="22"/>
              </w:rPr>
              <w:t xml:space="preserve"> 11% s</w:t>
            </w:r>
            <w:r w:rsidR="003D1AF5">
              <w:rPr>
                <w:sz w:val="22"/>
                <w:szCs w:val="22"/>
              </w:rPr>
              <w:t>kolu (16 no 151 vidusskolām</w:t>
            </w:r>
            <w:r w:rsidR="0014430D">
              <w:rPr>
                <w:sz w:val="22"/>
                <w:szCs w:val="22"/>
              </w:rPr>
              <w:t xml:space="preserve"> varētu pretendēt uz šo sta</w:t>
            </w:r>
            <w:r w:rsidR="005428EF">
              <w:rPr>
                <w:sz w:val="22"/>
                <w:szCs w:val="22"/>
              </w:rPr>
              <w:t>tusu). Attiecīgi ne mazāk par 15</w:t>
            </w:r>
            <w:r w:rsidR="0014430D">
              <w:rPr>
                <w:sz w:val="22"/>
                <w:szCs w:val="22"/>
              </w:rPr>
              <w:t>0 izglītojamiem citā admin</w:t>
            </w:r>
            <w:r w:rsidR="005428EF">
              <w:rPr>
                <w:sz w:val="22"/>
                <w:szCs w:val="22"/>
              </w:rPr>
              <w:t>istratīvajā teritorijā aptver 21% skolu (44</w:t>
            </w:r>
            <w:r w:rsidR="0014430D">
              <w:rPr>
                <w:sz w:val="22"/>
                <w:szCs w:val="22"/>
              </w:rPr>
              <w:t xml:space="preserve"> no 210 vidusskolām).</w:t>
            </w:r>
            <w:r w:rsidR="00B82499">
              <w:rPr>
                <w:sz w:val="22"/>
                <w:szCs w:val="22"/>
              </w:rPr>
              <w:t xml:space="preserve"> </w:t>
            </w:r>
            <w:r w:rsidR="00970572">
              <w:rPr>
                <w:sz w:val="22"/>
                <w:szCs w:val="22"/>
              </w:rPr>
              <w:t>Atbilstoši grozīts arī noteikumu 5</w:t>
            </w:r>
            <w:r w:rsidR="00970572">
              <w:rPr>
                <w:sz w:val="22"/>
                <w:szCs w:val="22"/>
                <w:vertAlign w:val="superscript"/>
              </w:rPr>
              <w:t>1</w:t>
            </w:r>
            <w:r w:rsidR="00970572">
              <w:rPr>
                <w:sz w:val="22"/>
                <w:szCs w:val="22"/>
              </w:rPr>
              <w:t>.punktā noteiktais skolēnu skaits 10. līdz 12.klasē.</w:t>
            </w:r>
          </w:p>
          <w:p w:rsidR="0014430D" w:rsidRPr="006849D6" w:rsidRDefault="00776A7F" w:rsidP="00B82499">
            <w:pPr>
              <w:pStyle w:val="naisf"/>
              <w:spacing w:before="0" w:after="0"/>
            </w:pPr>
            <w:r>
              <w:rPr>
                <w:sz w:val="22"/>
                <w:szCs w:val="22"/>
              </w:rPr>
              <w:t xml:space="preserve">Lai paaugstinātu prasības iegūtās izglītības kvalitātei, </w:t>
            </w:r>
            <w:r w:rsidR="003D1AF5">
              <w:rPr>
                <w:sz w:val="22"/>
                <w:szCs w:val="22"/>
              </w:rPr>
              <w:t>noteikts, ka</w:t>
            </w:r>
            <w:r w:rsidR="00897C6F">
              <w:rPr>
                <w:sz w:val="22"/>
                <w:szCs w:val="22"/>
              </w:rPr>
              <w:t xml:space="preserve"> </w:t>
            </w:r>
            <w:r w:rsidR="0014430D" w:rsidRPr="0014430D">
              <w:rPr>
                <w:sz w:val="22"/>
                <w:szCs w:val="22"/>
              </w:rPr>
              <w:t>ģimnāzijā</w:t>
            </w:r>
            <w:r w:rsidR="003D1AF5">
              <w:rPr>
                <w:sz w:val="22"/>
                <w:szCs w:val="22"/>
              </w:rPr>
              <w:t>s</w:t>
            </w:r>
            <w:r w:rsidR="0014430D" w:rsidRPr="0014430D">
              <w:rPr>
                <w:sz w:val="22"/>
                <w:szCs w:val="22"/>
              </w:rPr>
              <w:t xml:space="preserve"> ne mazāk kā 60 procentiem </w:t>
            </w:r>
            <w:r w:rsidR="0014430D" w:rsidRPr="007C0AC3">
              <w:rPr>
                <w:sz w:val="22"/>
                <w:szCs w:val="22"/>
              </w:rPr>
              <w:t>izglītojamo mācību sasniegumu novērtējumam centralizētajos eksāmenos jābūt vismaz C līmenī.</w:t>
            </w:r>
          </w:p>
        </w:tc>
      </w:tr>
      <w:tr w:rsidR="00671953" w:rsidRPr="007C0F2C" w:rsidTr="008402F0">
        <w:trPr>
          <w:trHeight w:val="476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3624" w:type="pct"/>
          </w:tcPr>
          <w:p w:rsidR="00671953" w:rsidRPr="007C0F2C" w:rsidRDefault="0014430D" w:rsidP="008402F0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Ģimnāzijas un valsts ģimnāzijas</w:t>
            </w:r>
          </w:p>
        </w:tc>
      </w:tr>
      <w:tr w:rsidR="00671953" w:rsidRPr="007C0F2C" w:rsidTr="008402F0">
        <w:trPr>
          <w:trHeight w:val="835"/>
        </w:trPr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7C0F2C">
              <w:rPr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3624" w:type="pct"/>
          </w:tcPr>
          <w:p w:rsidR="00671953" w:rsidRPr="007C0F2C" w:rsidRDefault="00897C6F" w:rsidP="0014430D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8402F0">
        <w:tc>
          <w:tcPr>
            <w:tcW w:w="96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1280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3624" w:type="pct"/>
          </w:tcPr>
          <w:p w:rsidR="00671953" w:rsidRPr="007C0F2C" w:rsidRDefault="00671953" w:rsidP="008402F0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Nav</w:t>
            </w:r>
          </w:p>
        </w:tc>
      </w:tr>
    </w:tbl>
    <w:p w:rsidR="00671953" w:rsidRPr="007C0F2C" w:rsidRDefault="00671953" w:rsidP="00671953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2"/>
        <w:gridCol w:w="3969"/>
        <w:gridCol w:w="4846"/>
      </w:tblGrid>
      <w:tr w:rsidR="00671953" w:rsidRPr="007C0F2C" w:rsidTr="00775377">
        <w:tc>
          <w:tcPr>
            <w:tcW w:w="0" w:type="auto"/>
            <w:gridSpan w:val="3"/>
            <w:vAlign w:val="center"/>
          </w:tcPr>
          <w:p w:rsidR="00671953" w:rsidRPr="007C0F2C" w:rsidRDefault="00671953" w:rsidP="00F64303">
            <w:pPr>
              <w:pStyle w:val="naisnod"/>
              <w:spacing w:before="0" w:after="0"/>
            </w:pPr>
            <w:r w:rsidRPr="007C0F2C">
              <w:t>II. Tiesību akta projekta ietekme uz sabiedrību</w:t>
            </w:r>
          </w:p>
        </w:tc>
      </w:tr>
      <w:tr w:rsidR="00671953" w:rsidRPr="007C0F2C" w:rsidTr="00143DD1">
        <w:trPr>
          <w:trHeight w:val="467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 xml:space="preserve">Sabiedrības </w:t>
            </w:r>
            <w:proofErr w:type="spellStart"/>
            <w:r w:rsidRPr="007C0F2C">
              <w:rPr>
                <w:sz w:val="22"/>
                <w:szCs w:val="22"/>
              </w:rPr>
              <w:t>mērķgrupa</w:t>
            </w:r>
            <w:proofErr w:type="spellEnd"/>
          </w:p>
        </w:tc>
        <w:tc>
          <w:tcPr>
            <w:tcW w:w="4846" w:type="dxa"/>
          </w:tcPr>
          <w:p w:rsidR="00671953" w:rsidRPr="007C0F2C" w:rsidRDefault="00671953" w:rsidP="00970572">
            <w:pPr>
              <w:pStyle w:val="naiskr"/>
              <w:spacing w:before="0" w:after="0"/>
              <w:ind w:hanging="57"/>
            </w:pPr>
            <w:r w:rsidRPr="007C0F2C">
              <w:rPr>
                <w:iCs/>
                <w:sz w:val="22"/>
                <w:szCs w:val="22"/>
              </w:rPr>
              <w:t> </w:t>
            </w:r>
            <w:r w:rsidR="00897C6F">
              <w:rPr>
                <w:iCs/>
                <w:sz w:val="22"/>
                <w:szCs w:val="22"/>
              </w:rPr>
              <w:t>15</w:t>
            </w:r>
            <w:r w:rsidR="0014430D">
              <w:rPr>
                <w:iCs/>
                <w:sz w:val="22"/>
                <w:szCs w:val="22"/>
              </w:rPr>
              <w:t xml:space="preserve"> ģimnāzijas (ap 6000 izglītojamo) un 24 valsts ģimnāzijas (ap 11600 izglītojamo)</w:t>
            </w:r>
            <w:r w:rsidR="0038793D">
              <w:rPr>
                <w:iCs/>
                <w:sz w:val="22"/>
                <w:szCs w:val="22"/>
              </w:rPr>
              <w:t>.</w:t>
            </w:r>
          </w:p>
        </w:tc>
      </w:tr>
      <w:tr w:rsidR="00671953" w:rsidRPr="007C0F2C" w:rsidTr="00143DD1">
        <w:trPr>
          <w:trHeight w:val="523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 xml:space="preserve">Citas sabiedrības grupas (bez </w:t>
            </w:r>
            <w:proofErr w:type="spellStart"/>
            <w:r w:rsidRPr="007C0F2C">
              <w:rPr>
                <w:sz w:val="22"/>
                <w:szCs w:val="22"/>
              </w:rPr>
              <w:t>mērķgrupas</w:t>
            </w:r>
            <w:proofErr w:type="spellEnd"/>
            <w:r w:rsidRPr="007C0F2C">
              <w:rPr>
                <w:sz w:val="22"/>
                <w:szCs w:val="22"/>
              </w:rPr>
              <w:t>), kuras tiesiskais regulējums arī ietekmē vai varētu ietekmēt</w:t>
            </w:r>
          </w:p>
        </w:tc>
        <w:tc>
          <w:tcPr>
            <w:tcW w:w="4846" w:type="dxa"/>
          </w:tcPr>
          <w:p w:rsidR="00671953" w:rsidRPr="007C0F2C" w:rsidRDefault="00C50D98" w:rsidP="00970572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Ģimnāzijās strādājošie darbinieki (1072), tajā skaitā pedagogi (729). Valsts ģimnāzijās  strādājošie darbinieki (1792), tajā skaitā pedagogi (1255).</w:t>
            </w:r>
          </w:p>
        </w:tc>
      </w:tr>
      <w:tr w:rsidR="00671953" w:rsidRPr="007C0F2C" w:rsidTr="00143DD1">
        <w:trPr>
          <w:trHeight w:val="517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finansiālā ietekme</w:t>
            </w:r>
          </w:p>
        </w:tc>
        <w:tc>
          <w:tcPr>
            <w:tcW w:w="4846" w:type="dxa"/>
          </w:tcPr>
          <w:p w:rsidR="00671953" w:rsidRPr="007C0F2C" w:rsidRDefault="00897C6F" w:rsidP="00970572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143DD1">
        <w:trPr>
          <w:trHeight w:val="517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nefinansiālā ietekme</w:t>
            </w:r>
          </w:p>
        </w:tc>
        <w:tc>
          <w:tcPr>
            <w:tcW w:w="4846" w:type="dxa"/>
          </w:tcPr>
          <w:p w:rsidR="00671953" w:rsidRPr="007C0F2C" w:rsidRDefault="00323578" w:rsidP="00970572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Samazinot prasības izglītojamo skaitam 10.-12.klasēs, ģimnāzijas un valsts ģimnāzijas varēs saglabāt savu st</w:t>
            </w:r>
            <w:r w:rsidR="00D57729">
              <w:rPr>
                <w:iCs/>
                <w:sz w:val="22"/>
                <w:szCs w:val="22"/>
              </w:rPr>
              <w:t>atusu, nodrošinot augst</w:t>
            </w:r>
            <w:r>
              <w:rPr>
                <w:iCs/>
                <w:sz w:val="22"/>
                <w:szCs w:val="22"/>
              </w:rPr>
              <w:t>u izglītības kvalitāti.</w:t>
            </w:r>
          </w:p>
        </w:tc>
      </w:tr>
      <w:tr w:rsidR="00671953" w:rsidRPr="007C0F2C" w:rsidTr="00143DD1">
        <w:trPr>
          <w:trHeight w:val="531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Administratīvās procedūras raksturojums</w:t>
            </w:r>
          </w:p>
        </w:tc>
        <w:tc>
          <w:tcPr>
            <w:tcW w:w="4846" w:type="dxa"/>
          </w:tcPr>
          <w:p w:rsidR="00671953" w:rsidRPr="007C0F2C" w:rsidRDefault="00897C6F" w:rsidP="00F64303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143DD1">
        <w:trPr>
          <w:trHeight w:val="357"/>
        </w:trPr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4846" w:type="dxa"/>
          </w:tcPr>
          <w:p w:rsidR="00671953" w:rsidRPr="007C0F2C" w:rsidRDefault="00897C6F" w:rsidP="00F64303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143DD1">
        <w:tc>
          <w:tcPr>
            <w:tcW w:w="312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671953" w:rsidRPr="007C0F2C" w:rsidRDefault="00671953" w:rsidP="00F64303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4846" w:type="dxa"/>
          </w:tcPr>
          <w:p w:rsidR="00671953" w:rsidRPr="007C0F2C" w:rsidRDefault="00323578" w:rsidP="00F64303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Nav</w:t>
            </w:r>
          </w:p>
        </w:tc>
      </w:tr>
    </w:tbl>
    <w:p w:rsidR="00671953" w:rsidRPr="00AF544C" w:rsidRDefault="00323578" w:rsidP="00143DD1">
      <w:pPr>
        <w:pStyle w:val="tvhtml"/>
        <w:spacing w:before="120" w:beforeAutospacing="0" w:after="120" w:afterAutospacing="0"/>
      </w:pPr>
      <w:r>
        <w:rPr>
          <w:i/>
          <w:iCs/>
        </w:rPr>
        <w:t>Anotācijas III, IV un V sadaļa – projekts šīs jomas neskar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2"/>
        <w:gridCol w:w="3877"/>
        <w:gridCol w:w="4848"/>
      </w:tblGrid>
      <w:tr w:rsidR="00671953" w:rsidRPr="007C0F2C" w:rsidTr="00776A7F">
        <w:trPr>
          <w:jc w:val="center"/>
        </w:trPr>
        <w:tc>
          <w:tcPr>
            <w:tcW w:w="5000" w:type="pct"/>
            <w:gridSpan w:val="3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</w:pPr>
            <w:r w:rsidRPr="007C0F2C">
              <w:t>VI. Sabiedrības līdzdalība un šīs līdzdalības rezultāti</w:t>
            </w:r>
          </w:p>
        </w:tc>
      </w:tr>
      <w:tr w:rsidR="00671953" w:rsidRPr="007C0F2C" w:rsidTr="00776A7F">
        <w:trPr>
          <w:trHeight w:val="553"/>
          <w:jc w:val="center"/>
        </w:trPr>
        <w:tc>
          <w:tcPr>
            <w:tcW w:w="220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4" w:type="pct"/>
          </w:tcPr>
          <w:p w:rsidR="00671953" w:rsidRPr="007C0F2C" w:rsidRDefault="00671953" w:rsidP="00F64303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Sabiedrības informēšana par projekta izstrādes uzsākšanu</w:t>
            </w:r>
          </w:p>
        </w:tc>
        <w:tc>
          <w:tcPr>
            <w:tcW w:w="2656" w:type="pct"/>
          </w:tcPr>
          <w:p w:rsidR="00671953" w:rsidRPr="007C0F2C" w:rsidRDefault="00487DBB" w:rsidP="00A75155">
            <w:pPr>
              <w:pStyle w:val="naiskr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 xml:space="preserve">Projekts izvērtēšanai un priekšlikumu sniegšanai elektroniski nosūtīts </w:t>
            </w:r>
            <w:r w:rsidR="00104DC0">
              <w:rPr>
                <w:iCs/>
                <w:sz w:val="22"/>
                <w:szCs w:val="22"/>
              </w:rPr>
              <w:t>Latvijas izglītības vadītāju asociācijai (</w:t>
            </w:r>
            <w:r>
              <w:rPr>
                <w:iCs/>
                <w:sz w:val="22"/>
                <w:szCs w:val="22"/>
              </w:rPr>
              <w:t>LIVA</w:t>
            </w:r>
            <w:r w:rsidR="00104DC0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104DC0">
              <w:rPr>
                <w:iCs/>
                <w:sz w:val="22"/>
                <w:szCs w:val="22"/>
              </w:rPr>
              <w:t>Latvijas Izglītības un zinātnes darbinieku arodbiedrībai (</w:t>
            </w:r>
            <w:r w:rsidR="003D1AF5">
              <w:rPr>
                <w:iCs/>
                <w:sz w:val="22"/>
                <w:szCs w:val="22"/>
              </w:rPr>
              <w:t>LIZDA</w:t>
            </w:r>
            <w:r w:rsidR="00104DC0">
              <w:rPr>
                <w:iCs/>
                <w:sz w:val="22"/>
                <w:szCs w:val="22"/>
              </w:rPr>
              <w:t>)</w:t>
            </w:r>
            <w:r w:rsidR="003D1AF5">
              <w:rPr>
                <w:iCs/>
                <w:sz w:val="22"/>
                <w:szCs w:val="22"/>
              </w:rPr>
              <w:t xml:space="preserve">, </w:t>
            </w:r>
            <w:r w:rsidR="00104DC0">
              <w:rPr>
                <w:iCs/>
                <w:sz w:val="22"/>
                <w:szCs w:val="22"/>
              </w:rPr>
              <w:t>Izglītības pārvaldēm (</w:t>
            </w:r>
            <w:r w:rsidR="003D1AF5">
              <w:rPr>
                <w:iCs/>
                <w:sz w:val="22"/>
                <w:szCs w:val="22"/>
              </w:rPr>
              <w:t>IP</w:t>
            </w:r>
            <w:r w:rsidR="00104DC0">
              <w:rPr>
                <w:iCs/>
                <w:sz w:val="22"/>
                <w:szCs w:val="22"/>
              </w:rPr>
              <w:t>)</w:t>
            </w:r>
            <w:r w:rsidR="003D1AF5">
              <w:rPr>
                <w:iCs/>
                <w:sz w:val="22"/>
                <w:szCs w:val="22"/>
              </w:rPr>
              <w:t>, valsts ģimnāziju vadītāju asociācijai 2011.gada 16</w:t>
            </w:r>
            <w:r>
              <w:rPr>
                <w:iCs/>
                <w:sz w:val="22"/>
                <w:szCs w:val="22"/>
              </w:rPr>
              <w:t>.februārī</w:t>
            </w:r>
            <w:r w:rsidR="003D1AF5">
              <w:rPr>
                <w:iCs/>
                <w:sz w:val="22"/>
                <w:szCs w:val="22"/>
              </w:rPr>
              <w:t>.</w:t>
            </w:r>
          </w:p>
        </w:tc>
      </w:tr>
      <w:tr w:rsidR="00671953" w:rsidRPr="007C0F2C" w:rsidTr="00776A7F">
        <w:trPr>
          <w:trHeight w:val="339"/>
          <w:jc w:val="center"/>
        </w:trPr>
        <w:tc>
          <w:tcPr>
            <w:tcW w:w="220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4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Sabiedrības līdzdalība projekta izstrādē </w:t>
            </w:r>
          </w:p>
        </w:tc>
        <w:tc>
          <w:tcPr>
            <w:tcW w:w="2656" w:type="pct"/>
          </w:tcPr>
          <w:p w:rsidR="00671953" w:rsidRPr="007C0F2C" w:rsidRDefault="00776A7F" w:rsidP="00A75155">
            <w:pPr>
              <w:pStyle w:val="naiskr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Sabiedrības pārstāvji iesaistīti a</w:t>
            </w:r>
            <w:r w:rsidR="003D1AF5">
              <w:rPr>
                <w:iCs/>
                <w:sz w:val="22"/>
                <w:szCs w:val="22"/>
              </w:rPr>
              <w:t xml:space="preserve">tbilstoši LIVA </w:t>
            </w:r>
            <w:r w:rsidR="00104DC0">
              <w:rPr>
                <w:iCs/>
                <w:sz w:val="22"/>
                <w:szCs w:val="22"/>
              </w:rPr>
              <w:t>statūtos noteiktajiem mērķiem un atbilstoši</w:t>
            </w:r>
            <w:r w:rsidR="003D1AF5">
              <w:rPr>
                <w:iCs/>
                <w:sz w:val="22"/>
                <w:szCs w:val="22"/>
              </w:rPr>
              <w:t xml:space="preserve"> LIZDA statūtos noteiktajiem darbības mērķiem un formām.</w:t>
            </w:r>
          </w:p>
        </w:tc>
      </w:tr>
      <w:tr w:rsidR="00671953" w:rsidRPr="007C0F2C" w:rsidTr="00776A7F">
        <w:trPr>
          <w:trHeight w:val="375"/>
          <w:jc w:val="center"/>
        </w:trPr>
        <w:tc>
          <w:tcPr>
            <w:tcW w:w="220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4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Sabiedrības līdzdalības rezultāti </w:t>
            </w:r>
          </w:p>
        </w:tc>
        <w:tc>
          <w:tcPr>
            <w:tcW w:w="2656" w:type="pct"/>
          </w:tcPr>
          <w:p w:rsidR="00671953" w:rsidRPr="007C0AC3" w:rsidRDefault="005428EF" w:rsidP="00A75155">
            <w:r w:rsidRPr="007C0AC3">
              <w:rPr>
                <w:sz w:val="22"/>
                <w:szCs w:val="22"/>
              </w:rPr>
              <w:t xml:space="preserve">LIVA un LIZDA atbalsta grozījumu projektu. Apkopotie atzinumi liecina, ka priekšlikums ir noteikt kritēriju 150 10.-12.klašu izglītojamie valsts ģimnāzijā citās administratīvajās teritorijās un nemainīt kritēriju, ka ne mazāk kā 75 procentiem izglītojamo mācību sasniegumu novērtējums centralizētajos eksāmenos nedrīkst būt zemāks par C </w:t>
            </w:r>
            <w:r w:rsidRPr="007C0AC3">
              <w:rPr>
                <w:sz w:val="22"/>
                <w:szCs w:val="22"/>
              </w:rPr>
              <w:lastRenderedPageBreak/>
              <w:t>līmeni.</w:t>
            </w:r>
          </w:p>
        </w:tc>
      </w:tr>
      <w:tr w:rsidR="00671953" w:rsidRPr="007C0F2C" w:rsidTr="00776A7F">
        <w:trPr>
          <w:trHeight w:val="397"/>
          <w:jc w:val="center"/>
        </w:trPr>
        <w:tc>
          <w:tcPr>
            <w:tcW w:w="220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4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Saeimas un ekspertu līdzdalība</w:t>
            </w:r>
          </w:p>
        </w:tc>
        <w:tc>
          <w:tcPr>
            <w:tcW w:w="2656" w:type="pct"/>
          </w:tcPr>
          <w:p w:rsidR="00671953" w:rsidRPr="007C0F2C" w:rsidRDefault="00897C6F" w:rsidP="00F64303">
            <w:pPr>
              <w:pStyle w:val="naiskr"/>
              <w:spacing w:before="0" w:after="0"/>
              <w:ind w:left="57" w:right="57"/>
            </w:pPr>
            <w:r>
              <w:rPr>
                <w:sz w:val="22"/>
                <w:szCs w:val="22"/>
              </w:rPr>
              <w:t>Projekts šo jomu neskar</w:t>
            </w:r>
          </w:p>
        </w:tc>
      </w:tr>
      <w:tr w:rsidR="00671953" w:rsidRPr="007C0F2C" w:rsidTr="00776A7F">
        <w:trPr>
          <w:trHeight w:val="476"/>
          <w:jc w:val="center"/>
        </w:trPr>
        <w:tc>
          <w:tcPr>
            <w:tcW w:w="220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4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2656" w:type="pct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Nav</w:t>
            </w:r>
          </w:p>
        </w:tc>
      </w:tr>
    </w:tbl>
    <w:p w:rsidR="00671953" w:rsidRPr="007C0F2C" w:rsidRDefault="00671953" w:rsidP="00671953">
      <w:pPr>
        <w:pStyle w:val="naisf"/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3827"/>
        <w:gridCol w:w="4846"/>
      </w:tblGrid>
      <w:tr w:rsidR="00671953" w:rsidRPr="007C0F2C" w:rsidTr="00143DD1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</w:pPr>
            <w:r w:rsidRPr="007C0F2C">
              <w:t>VII. Tiesību akta projekta izpildes nodrošināšana un tās ietekme uz institūcijām</w:t>
            </w:r>
          </w:p>
        </w:tc>
      </w:tr>
      <w:tr w:rsidR="00671953" w:rsidRPr="007C0F2C" w:rsidTr="00DA5CCE">
        <w:trPr>
          <w:trHeight w:val="427"/>
        </w:trPr>
        <w:tc>
          <w:tcPr>
            <w:tcW w:w="454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4846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iCs/>
                <w:sz w:val="22"/>
                <w:szCs w:val="22"/>
              </w:rPr>
              <w:t>I</w:t>
            </w:r>
            <w:r w:rsidR="007630D3">
              <w:rPr>
                <w:b w:val="0"/>
                <w:iCs/>
                <w:sz w:val="22"/>
                <w:szCs w:val="22"/>
              </w:rPr>
              <w:t>zglītības un zinātnes ministrija</w:t>
            </w:r>
          </w:p>
        </w:tc>
      </w:tr>
      <w:tr w:rsidR="00671953" w:rsidRPr="007C0F2C" w:rsidTr="00DA5CCE">
        <w:trPr>
          <w:trHeight w:val="463"/>
        </w:trPr>
        <w:tc>
          <w:tcPr>
            <w:tcW w:w="454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 xml:space="preserve">Projekta izpildes ietekme uz pārvaldes funkcijām </w:t>
            </w:r>
          </w:p>
        </w:tc>
        <w:tc>
          <w:tcPr>
            <w:tcW w:w="4846" w:type="dxa"/>
          </w:tcPr>
          <w:p w:rsidR="00671953" w:rsidRPr="007630D3" w:rsidRDefault="007630D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630D3">
              <w:rPr>
                <w:b w:val="0"/>
                <w:sz w:val="22"/>
                <w:szCs w:val="22"/>
              </w:rPr>
              <w:t>Funkcijas un uzdevumi netiek paplašināti</w:t>
            </w:r>
          </w:p>
        </w:tc>
      </w:tr>
      <w:tr w:rsidR="00671953" w:rsidRPr="007C0F2C" w:rsidTr="00DA5CCE">
        <w:trPr>
          <w:trHeight w:val="725"/>
        </w:trPr>
        <w:tc>
          <w:tcPr>
            <w:tcW w:w="454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  <w:r w:rsidR="007630D3">
              <w:t xml:space="preserve"> </w:t>
            </w:r>
            <w:r w:rsidRPr="007C0F2C">
              <w:rPr>
                <w:sz w:val="22"/>
                <w:szCs w:val="22"/>
              </w:rPr>
              <w:t>Jaunu institūciju izveide</w:t>
            </w:r>
          </w:p>
        </w:tc>
        <w:tc>
          <w:tcPr>
            <w:tcW w:w="4846" w:type="dxa"/>
          </w:tcPr>
          <w:p w:rsidR="00671953" w:rsidRPr="00897C6F" w:rsidRDefault="00897C6F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97C6F">
              <w:rPr>
                <w:b w:val="0"/>
                <w:sz w:val="22"/>
                <w:szCs w:val="22"/>
              </w:rPr>
              <w:t>Projekts šo jomu neskar</w:t>
            </w:r>
          </w:p>
        </w:tc>
      </w:tr>
      <w:tr w:rsidR="00671953" w:rsidRPr="007C0F2C" w:rsidTr="00DA5CCE">
        <w:trPr>
          <w:trHeight w:val="780"/>
        </w:trPr>
        <w:tc>
          <w:tcPr>
            <w:tcW w:w="454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</w:p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>Esošu institūciju likvidācija</w:t>
            </w:r>
          </w:p>
        </w:tc>
        <w:tc>
          <w:tcPr>
            <w:tcW w:w="4846" w:type="dxa"/>
          </w:tcPr>
          <w:p w:rsidR="00671953" w:rsidRPr="00897C6F" w:rsidRDefault="00897C6F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97C6F">
              <w:rPr>
                <w:b w:val="0"/>
                <w:sz w:val="22"/>
                <w:szCs w:val="22"/>
              </w:rPr>
              <w:t>Projekts šo jomu neskar</w:t>
            </w:r>
          </w:p>
        </w:tc>
      </w:tr>
      <w:tr w:rsidR="00671953" w:rsidRPr="007C0F2C" w:rsidTr="00DA5CCE">
        <w:trPr>
          <w:trHeight w:val="703"/>
        </w:trPr>
        <w:tc>
          <w:tcPr>
            <w:tcW w:w="454" w:type="dxa"/>
          </w:tcPr>
          <w:p w:rsidR="00671953" w:rsidRPr="007C0F2C" w:rsidRDefault="00671953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C0F2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f"/>
              <w:spacing w:before="0" w:after="0"/>
              <w:ind w:left="57" w:right="57" w:firstLine="0"/>
              <w:jc w:val="left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  <w:r w:rsidR="007630D3">
              <w:t xml:space="preserve"> </w:t>
            </w:r>
            <w:r w:rsidRPr="007C0F2C">
              <w:rPr>
                <w:sz w:val="22"/>
                <w:szCs w:val="22"/>
              </w:rPr>
              <w:t>Esošu institūciju reorganizācija</w:t>
            </w:r>
          </w:p>
        </w:tc>
        <w:tc>
          <w:tcPr>
            <w:tcW w:w="4846" w:type="dxa"/>
          </w:tcPr>
          <w:p w:rsidR="00671953" w:rsidRPr="00897C6F" w:rsidRDefault="00897C6F" w:rsidP="00F64303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97C6F">
              <w:rPr>
                <w:b w:val="0"/>
                <w:sz w:val="22"/>
                <w:szCs w:val="22"/>
              </w:rPr>
              <w:t>Projekts šo jomu neskar</w:t>
            </w:r>
          </w:p>
        </w:tc>
      </w:tr>
      <w:tr w:rsidR="00671953" w:rsidRPr="007C0F2C" w:rsidTr="00DA5CCE">
        <w:trPr>
          <w:trHeight w:val="290"/>
        </w:trPr>
        <w:tc>
          <w:tcPr>
            <w:tcW w:w="454" w:type="dxa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>
              <w:rPr>
                <w:sz w:val="22"/>
                <w:szCs w:val="22"/>
              </w:rPr>
              <w:t>6</w:t>
            </w:r>
            <w:r w:rsidRPr="007C0F2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4846" w:type="dxa"/>
          </w:tcPr>
          <w:p w:rsidR="00671953" w:rsidRPr="007C0F2C" w:rsidRDefault="00671953" w:rsidP="00F64303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Nav</w:t>
            </w:r>
          </w:p>
        </w:tc>
      </w:tr>
    </w:tbl>
    <w:p w:rsidR="00671953" w:rsidRPr="007C0F2C" w:rsidRDefault="00671953" w:rsidP="00671953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71953" w:rsidRPr="007C0F2C" w:rsidRDefault="00671953" w:rsidP="00671953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487DBB" w:rsidRDefault="00487DBB" w:rsidP="00487DBB">
      <w:pPr>
        <w:spacing w:before="50" w:after="50"/>
        <w:ind w:firstLine="250"/>
      </w:pPr>
    </w:p>
    <w:p w:rsidR="00487DBB" w:rsidRDefault="00487DBB" w:rsidP="00487DBB">
      <w:pPr>
        <w:spacing w:before="50" w:after="50"/>
        <w:ind w:firstLine="250"/>
      </w:pPr>
      <w:r w:rsidRPr="00115D93">
        <w:t> </w:t>
      </w:r>
    </w:p>
    <w:p w:rsidR="00487DBB" w:rsidRPr="007630D3" w:rsidRDefault="00487DBB" w:rsidP="007630D3">
      <w:r w:rsidRPr="007630D3">
        <w:t> </w:t>
      </w:r>
      <w:r w:rsidR="007630D3" w:rsidRPr="007630D3">
        <w:tab/>
      </w:r>
      <w:r w:rsidRPr="007630D3">
        <w:t>Izglī</w:t>
      </w:r>
      <w:r w:rsidR="007630D3" w:rsidRPr="007630D3">
        <w:t>tības un zinātnes ministrs</w:t>
      </w:r>
      <w:r w:rsidR="007630D3" w:rsidRPr="007630D3">
        <w:tab/>
      </w:r>
      <w:r w:rsidR="007630D3" w:rsidRPr="007630D3">
        <w:tab/>
      </w:r>
      <w:r w:rsidR="007630D3" w:rsidRPr="007630D3">
        <w:tab/>
      </w:r>
      <w:r w:rsidR="007630D3" w:rsidRPr="007630D3">
        <w:tab/>
      </w:r>
      <w:r w:rsidR="007630D3" w:rsidRPr="007630D3">
        <w:tab/>
      </w:r>
      <w:r w:rsidR="007630D3">
        <w:tab/>
      </w:r>
      <w:proofErr w:type="spellStart"/>
      <w:r w:rsidRPr="007630D3">
        <w:t>R.Broks</w:t>
      </w:r>
      <w:proofErr w:type="spellEnd"/>
    </w:p>
    <w:p w:rsidR="00487DBB" w:rsidRPr="007630D3" w:rsidRDefault="00487DBB" w:rsidP="007630D3">
      <w:pPr>
        <w:keepNext/>
      </w:pPr>
    </w:p>
    <w:p w:rsidR="00487DBB" w:rsidRPr="007630D3" w:rsidRDefault="00487DBB" w:rsidP="007630D3">
      <w:pPr>
        <w:keepNext/>
      </w:pPr>
    </w:p>
    <w:p w:rsidR="00487DBB" w:rsidRPr="007630D3" w:rsidRDefault="00487DBB" w:rsidP="007630D3">
      <w:pPr>
        <w:keepNext/>
      </w:pPr>
    </w:p>
    <w:p w:rsidR="00487DBB" w:rsidRPr="007630D3" w:rsidRDefault="007630D3" w:rsidP="007630D3">
      <w:pPr>
        <w:keepNext/>
      </w:pPr>
      <w:r w:rsidRPr="007630D3">
        <w:tab/>
      </w:r>
      <w:r w:rsidR="00487DBB" w:rsidRPr="007630D3">
        <w:t>Valsts sekretārs</w:t>
      </w:r>
      <w:r w:rsidR="00487DBB" w:rsidRPr="007630D3">
        <w:tab/>
      </w:r>
      <w:r w:rsidR="00487DBB" w:rsidRPr="007630D3">
        <w:tab/>
      </w:r>
      <w:r w:rsidR="00487DBB" w:rsidRPr="007630D3">
        <w:tab/>
      </w:r>
      <w:r w:rsidR="00487DBB" w:rsidRPr="007630D3">
        <w:tab/>
      </w:r>
      <w:r w:rsidR="00487DBB" w:rsidRPr="007630D3">
        <w:tab/>
      </w:r>
      <w:r w:rsidR="00487DBB" w:rsidRPr="007630D3">
        <w:tab/>
      </w:r>
      <w:r w:rsidR="00487DBB" w:rsidRPr="007630D3">
        <w:tab/>
      </w:r>
      <w:proofErr w:type="spellStart"/>
      <w:r w:rsidR="00487DBB" w:rsidRPr="007630D3">
        <w:t>M.Gruškevics</w:t>
      </w:r>
      <w:proofErr w:type="spellEnd"/>
    </w:p>
    <w:p w:rsidR="00487DBB" w:rsidRPr="007630D3" w:rsidRDefault="00487DBB" w:rsidP="00487DBB">
      <w:pPr>
        <w:ind w:firstLine="720"/>
      </w:pPr>
    </w:p>
    <w:p w:rsidR="00487DBB" w:rsidRDefault="00487DBB" w:rsidP="00487DBB">
      <w:pPr>
        <w:ind w:firstLine="720"/>
      </w:pPr>
    </w:p>
    <w:p w:rsidR="00487DBB" w:rsidRDefault="00487DBB" w:rsidP="00487DBB">
      <w:pPr>
        <w:ind w:firstLine="720"/>
      </w:pPr>
    </w:p>
    <w:p w:rsidR="00487DBB" w:rsidRDefault="00487DBB" w:rsidP="00487DBB">
      <w:pPr>
        <w:ind w:firstLine="720"/>
      </w:pPr>
    </w:p>
    <w:p w:rsidR="007630D3" w:rsidRDefault="007630D3" w:rsidP="00487DBB">
      <w:pPr>
        <w:ind w:firstLine="720"/>
      </w:pPr>
    </w:p>
    <w:p w:rsidR="007630D3" w:rsidRDefault="007630D3" w:rsidP="00487DBB">
      <w:pPr>
        <w:ind w:firstLine="720"/>
      </w:pPr>
    </w:p>
    <w:p w:rsidR="007630D3" w:rsidRDefault="007630D3" w:rsidP="00487DBB">
      <w:pPr>
        <w:ind w:firstLine="720"/>
      </w:pPr>
    </w:p>
    <w:p w:rsidR="007630D3" w:rsidRDefault="007630D3" w:rsidP="00487DBB">
      <w:pPr>
        <w:ind w:firstLine="720"/>
      </w:pPr>
    </w:p>
    <w:p w:rsidR="00DA5CCE" w:rsidRDefault="00DA5CCE" w:rsidP="00487DBB">
      <w:pPr>
        <w:ind w:firstLine="720"/>
      </w:pPr>
    </w:p>
    <w:p w:rsidR="00A25187" w:rsidRDefault="00A25187" w:rsidP="00487DBB">
      <w:pPr>
        <w:ind w:firstLine="720"/>
      </w:pPr>
    </w:p>
    <w:p w:rsidR="00A25187" w:rsidRDefault="00A25187" w:rsidP="00487DBB">
      <w:pPr>
        <w:ind w:firstLine="720"/>
      </w:pPr>
    </w:p>
    <w:p w:rsidR="00A25187" w:rsidRDefault="00A25187" w:rsidP="00487DBB">
      <w:pPr>
        <w:ind w:firstLine="720"/>
      </w:pPr>
    </w:p>
    <w:p w:rsidR="00A25187" w:rsidRDefault="00A25187" w:rsidP="00487DBB">
      <w:pPr>
        <w:ind w:firstLine="720"/>
      </w:pPr>
    </w:p>
    <w:p w:rsidR="00DA5CCE" w:rsidRDefault="00DA5CCE" w:rsidP="00487DBB">
      <w:pPr>
        <w:ind w:firstLine="720"/>
      </w:pPr>
    </w:p>
    <w:p w:rsidR="00487DBB" w:rsidRDefault="00FE03AA" w:rsidP="00487DBB">
      <w:pPr>
        <w:ind w:firstLine="720"/>
      </w:pPr>
      <w:r>
        <w:t>09.03.2011 10:47</w:t>
      </w:r>
    </w:p>
    <w:p w:rsidR="00487DBB" w:rsidRPr="001B09AE" w:rsidRDefault="007630D3" w:rsidP="00487DBB">
      <w:pPr>
        <w:ind w:firstLine="720"/>
      </w:pPr>
      <w:r>
        <w:t>8</w:t>
      </w:r>
      <w:r w:rsidR="00FE03AA">
        <w:t>54</w:t>
      </w:r>
    </w:p>
    <w:p w:rsidR="00487DBB" w:rsidRPr="001B09AE" w:rsidRDefault="00487DBB" w:rsidP="00487DBB">
      <w:r w:rsidRPr="001B09AE">
        <w:tab/>
      </w:r>
      <w:proofErr w:type="spellStart"/>
      <w:r w:rsidRPr="001B09AE">
        <w:t>E.Grīnis</w:t>
      </w:r>
      <w:proofErr w:type="spellEnd"/>
      <w:r w:rsidRPr="001B09AE">
        <w:t xml:space="preserve"> </w:t>
      </w:r>
    </w:p>
    <w:p w:rsidR="00487DBB" w:rsidRPr="00913A26" w:rsidRDefault="00487DBB" w:rsidP="00487DBB">
      <w:pPr>
        <w:ind w:firstLine="720"/>
      </w:pPr>
      <w:r w:rsidRPr="001B09AE">
        <w:t xml:space="preserve">67047910, </w:t>
      </w:r>
      <w:hyperlink r:id="rId7" w:history="1">
        <w:r w:rsidRPr="001B09AE">
          <w:rPr>
            <w:rStyle w:val="Hyperlink"/>
          </w:rPr>
          <w:t>edgars.grinis@izm.gov.lv</w:t>
        </w:r>
      </w:hyperlink>
      <w:r w:rsidRPr="001B09AE">
        <w:t xml:space="preserve"> </w:t>
      </w:r>
    </w:p>
    <w:p w:rsidR="00671953" w:rsidRPr="007C0F2C" w:rsidRDefault="00671953" w:rsidP="0067195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sectPr w:rsidR="00671953" w:rsidRPr="007C0F2C" w:rsidSect="00010C7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49" w:rsidRDefault="00E97D49" w:rsidP="00010C79">
      <w:r>
        <w:separator/>
      </w:r>
    </w:p>
  </w:endnote>
  <w:endnote w:type="continuationSeparator" w:id="0">
    <w:p w:rsidR="00E97D49" w:rsidRDefault="00E97D49" w:rsidP="0001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Pr="00010C79" w:rsidRDefault="004867FC" w:rsidP="00010C79">
    <w:pPr>
      <w:jc w:val="both"/>
      <w:rPr>
        <w:b/>
        <w:sz w:val="28"/>
        <w:szCs w:val="28"/>
      </w:rPr>
    </w:pPr>
    <w:r>
      <w:t>IZM</w:t>
    </w:r>
    <w:r w:rsidR="007F2157">
      <w:t>An</w:t>
    </w:r>
    <w:r>
      <w:t>ot_09</w:t>
    </w:r>
    <w:r w:rsidR="005428EF">
      <w:t>03</w:t>
    </w:r>
    <w:r w:rsidR="00010C79">
      <w:t>11_gimnazijas; MK noteikumu projekta</w:t>
    </w:r>
    <w:r w:rsidR="00010C79" w:rsidRPr="00932E8D">
      <w:t xml:space="preserve"> „Grozījumi Ministru kabineta 2001.gada 20.marta noteikumos Nr.129 „</w:t>
    </w:r>
    <w:r w:rsidR="00010C79" w:rsidRPr="00932E8D">
      <w:rPr>
        <w:bCs/>
      </w:rPr>
      <w:t>Ģimnāzijas un valsts ģimnāzijas statusa piešķiršanas un anulēšanas kārtība un kritēriji”</w:t>
    </w:r>
    <w:r w:rsidR="00010C79">
      <w:rPr>
        <w:bCs/>
      </w:rPr>
      <w:t>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Pr="00010C79" w:rsidRDefault="004867FC" w:rsidP="00010C79">
    <w:pPr>
      <w:jc w:val="both"/>
      <w:rPr>
        <w:b/>
        <w:sz w:val="28"/>
        <w:szCs w:val="28"/>
      </w:rPr>
    </w:pPr>
    <w:r>
      <w:t>IZM</w:t>
    </w:r>
    <w:r w:rsidR="007F2157">
      <w:t>An</w:t>
    </w:r>
    <w:r>
      <w:t>ot_09</w:t>
    </w:r>
    <w:r w:rsidR="005428EF">
      <w:t>03</w:t>
    </w:r>
    <w:r w:rsidR="00010C79">
      <w:t>11_gimnazijas; MK noteikumu projekta</w:t>
    </w:r>
    <w:r w:rsidR="00010C79" w:rsidRPr="00932E8D">
      <w:t xml:space="preserve"> „Grozījumi Ministru kabineta 2001.gada 20.marta noteikumos Nr.129 „</w:t>
    </w:r>
    <w:r w:rsidR="00010C79" w:rsidRPr="00932E8D">
      <w:rPr>
        <w:bCs/>
      </w:rPr>
      <w:t>Ģimnāzijas un valsts ģimnāzijas statusa piešķiršanas un anulēšanas kārtība un kritēriji”</w:t>
    </w:r>
    <w:r w:rsidR="00010C79">
      <w:rPr>
        <w:bCs/>
      </w:rPr>
      <w:t>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49" w:rsidRDefault="00E97D49" w:rsidP="00010C79">
      <w:r>
        <w:separator/>
      </w:r>
    </w:p>
  </w:footnote>
  <w:footnote w:type="continuationSeparator" w:id="0">
    <w:p w:rsidR="00E97D49" w:rsidRDefault="00E97D49" w:rsidP="0001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336B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E97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336B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3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157">
      <w:rPr>
        <w:rStyle w:val="PageNumber"/>
        <w:noProof/>
      </w:rPr>
      <w:t>3</w:t>
    </w:r>
    <w:r>
      <w:rPr>
        <w:rStyle w:val="PageNumber"/>
      </w:rPr>
      <w:fldChar w:fldCharType="end"/>
    </w:r>
  </w:p>
  <w:p w:rsidR="00C31E36" w:rsidRDefault="00E97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53"/>
    <w:rsid w:val="00010C79"/>
    <w:rsid w:val="000847CD"/>
    <w:rsid w:val="00104DC0"/>
    <w:rsid w:val="001234EA"/>
    <w:rsid w:val="001314F1"/>
    <w:rsid w:val="00143DD1"/>
    <w:rsid w:val="0014430D"/>
    <w:rsid w:val="0017083D"/>
    <w:rsid w:val="0019680E"/>
    <w:rsid w:val="001E65DB"/>
    <w:rsid w:val="00225357"/>
    <w:rsid w:val="002B3920"/>
    <w:rsid w:val="002C6010"/>
    <w:rsid w:val="00323578"/>
    <w:rsid w:val="00336B24"/>
    <w:rsid w:val="00371B03"/>
    <w:rsid w:val="003776D8"/>
    <w:rsid w:val="0038793D"/>
    <w:rsid w:val="003C4685"/>
    <w:rsid w:val="003D1AF5"/>
    <w:rsid w:val="003E432D"/>
    <w:rsid w:val="00430DAB"/>
    <w:rsid w:val="00457201"/>
    <w:rsid w:val="00472452"/>
    <w:rsid w:val="004867FC"/>
    <w:rsid w:val="00487DBB"/>
    <w:rsid w:val="005428EF"/>
    <w:rsid w:val="005B09B6"/>
    <w:rsid w:val="00625D14"/>
    <w:rsid w:val="006326A8"/>
    <w:rsid w:val="00671953"/>
    <w:rsid w:val="006849D6"/>
    <w:rsid w:val="006F6E75"/>
    <w:rsid w:val="007219A3"/>
    <w:rsid w:val="007630D3"/>
    <w:rsid w:val="00775377"/>
    <w:rsid w:val="007754B2"/>
    <w:rsid w:val="00776A7F"/>
    <w:rsid w:val="0078659F"/>
    <w:rsid w:val="007C0AC3"/>
    <w:rsid w:val="007C0E8D"/>
    <w:rsid w:val="007F2157"/>
    <w:rsid w:val="008402F0"/>
    <w:rsid w:val="00897C6F"/>
    <w:rsid w:val="008F6300"/>
    <w:rsid w:val="00932B34"/>
    <w:rsid w:val="00956C6E"/>
    <w:rsid w:val="00970572"/>
    <w:rsid w:val="009834A4"/>
    <w:rsid w:val="00985224"/>
    <w:rsid w:val="00A05BF0"/>
    <w:rsid w:val="00A25187"/>
    <w:rsid w:val="00A75155"/>
    <w:rsid w:val="00AB4106"/>
    <w:rsid w:val="00B57D8C"/>
    <w:rsid w:val="00B617E1"/>
    <w:rsid w:val="00B82499"/>
    <w:rsid w:val="00BC0256"/>
    <w:rsid w:val="00C2695D"/>
    <w:rsid w:val="00C50D98"/>
    <w:rsid w:val="00C65542"/>
    <w:rsid w:val="00C8309E"/>
    <w:rsid w:val="00C97199"/>
    <w:rsid w:val="00CA3AAD"/>
    <w:rsid w:val="00CA4654"/>
    <w:rsid w:val="00CB68BC"/>
    <w:rsid w:val="00D57729"/>
    <w:rsid w:val="00D810C5"/>
    <w:rsid w:val="00D944D5"/>
    <w:rsid w:val="00D97D0D"/>
    <w:rsid w:val="00DA5CCE"/>
    <w:rsid w:val="00DF6E79"/>
    <w:rsid w:val="00E25DCD"/>
    <w:rsid w:val="00E97D49"/>
    <w:rsid w:val="00F2770B"/>
    <w:rsid w:val="00F34C4D"/>
    <w:rsid w:val="00F6394D"/>
    <w:rsid w:val="00F64835"/>
    <w:rsid w:val="00FE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53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9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19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71953"/>
  </w:style>
  <w:style w:type="paragraph" w:customStyle="1" w:styleId="naisf">
    <w:name w:val="naisf"/>
    <w:basedOn w:val="Normal"/>
    <w:rsid w:val="0067195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7195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671953"/>
    <w:pPr>
      <w:spacing w:before="75" w:after="75"/>
      <w:jc w:val="right"/>
    </w:pPr>
  </w:style>
  <w:style w:type="paragraph" w:customStyle="1" w:styleId="naiskr">
    <w:name w:val="naiskr"/>
    <w:basedOn w:val="Normal"/>
    <w:rsid w:val="00671953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6719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19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6719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195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40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323578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487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1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1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08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33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9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053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770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79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7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86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70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2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20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523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436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9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523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8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00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4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98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82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99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7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gars.grinis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2A5B-83E5-48C6-9DAE-9BE081D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4404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egrinis</dc:creator>
  <cp:keywords/>
  <dc:description/>
  <cp:lastModifiedBy>egrinis</cp:lastModifiedBy>
  <cp:revision>7</cp:revision>
  <dcterms:created xsi:type="dcterms:W3CDTF">2011-03-09T08:28:00Z</dcterms:created>
  <dcterms:modified xsi:type="dcterms:W3CDTF">2011-04-07T08:01:00Z</dcterms:modified>
</cp:coreProperties>
</file>