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96530D" w:rsidRDefault="00B21DFF" w:rsidP="00622024">
      <w:pPr>
        <w:jc w:val="center"/>
        <w:rPr>
          <w:b/>
          <w:bCs/>
          <w:sz w:val="27"/>
          <w:szCs w:val="27"/>
        </w:rPr>
      </w:pPr>
      <w:bookmarkStart w:id="0" w:name="OLE_LINK3"/>
      <w:bookmarkStart w:id="1" w:name="OLE_LINK4"/>
      <w:r w:rsidRPr="0096530D">
        <w:rPr>
          <w:b/>
          <w:bCs/>
          <w:sz w:val="27"/>
          <w:szCs w:val="27"/>
        </w:rPr>
        <w:t>Mini</w:t>
      </w:r>
      <w:bookmarkStart w:id="2" w:name="OLE_LINK5"/>
      <w:bookmarkStart w:id="3" w:name="OLE_LINK6"/>
      <w:bookmarkStart w:id="4" w:name="OLE_LINK1"/>
      <w:bookmarkStart w:id="5" w:name="OLE_LINK2"/>
      <w:r w:rsidR="00324897" w:rsidRPr="0096530D">
        <w:rPr>
          <w:b/>
          <w:bCs/>
          <w:sz w:val="27"/>
          <w:szCs w:val="27"/>
        </w:rPr>
        <w:t xml:space="preserve">stru kabineta noteikumu </w:t>
      </w:r>
      <w:bookmarkEnd w:id="2"/>
      <w:bookmarkEnd w:id="3"/>
      <w:bookmarkEnd w:id="4"/>
      <w:bookmarkEnd w:id="5"/>
      <w:r w:rsidR="00877960" w:rsidRPr="0096530D">
        <w:rPr>
          <w:b/>
          <w:bCs/>
          <w:sz w:val="27"/>
          <w:szCs w:val="27"/>
        </w:rPr>
        <w:t>"</w:t>
      </w:r>
      <w:r w:rsidR="009F57CC" w:rsidRPr="0096530D">
        <w:rPr>
          <w:b/>
          <w:bCs/>
          <w:sz w:val="27"/>
          <w:szCs w:val="27"/>
        </w:rPr>
        <w:t>Grozījumi Ministru kabineta 2010.gada 19.oktobra noteikumos Nr.987 "Noteikumi par darbības programmas "Uzņēmējdarbība un inovācijas" papildinājuma 2.1.1.3.1.apakšaktivitātes "Zinātnes infrastruktūras attīstība" pirmo projektu iesniegumu atlases kārtu"</w:t>
      </w:r>
      <w:r w:rsidR="00324897" w:rsidRPr="0096530D">
        <w:rPr>
          <w:b/>
          <w:bCs/>
          <w:sz w:val="27"/>
          <w:szCs w:val="27"/>
        </w:rPr>
        <w:t xml:space="preserve"> projekta sākotnējās ietekmes novērtējuma ziņojums (</w:t>
      </w:r>
      <w:r w:rsidRPr="0096530D">
        <w:rPr>
          <w:b/>
          <w:bCs/>
          <w:sz w:val="27"/>
          <w:szCs w:val="27"/>
        </w:rPr>
        <w:t>anotācija</w:t>
      </w:r>
      <w:bookmarkEnd w:id="0"/>
      <w:bookmarkEnd w:id="1"/>
      <w:r w:rsidR="00324897" w:rsidRPr="0096530D">
        <w:rPr>
          <w:b/>
          <w:bCs/>
          <w:sz w:val="27"/>
          <w:szCs w:val="27"/>
        </w:rPr>
        <w:t>)</w:t>
      </w:r>
    </w:p>
    <w:p w:rsidR="00A94662" w:rsidRPr="0096530D" w:rsidRDefault="00A94662" w:rsidP="00622024">
      <w:pPr>
        <w:jc w:val="center"/>
        <w:rPr>
          <w:b/>
          <w:bCs/>
          <w:sz w:val="27"/>
          <w:szCs w:val="27"/>
        </w:rPr>
      </w:pPr>
    </w:p>
    <w:tbl>
      <w:tblPr>
        <w:tblW w:w="4934"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283"/>
        <w:gridCol w:w="6302"/>
      </w:tblGrid>
      <w:tr w:rsidR="007A6DB9" w:rsidRPr="0096530D" w:rsidTr="005506CE">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96530D" w:rsidRDefault="007A6DB9" w:rsidP="004B34C2">
            <w:pPr>
              <w:jc w:val="center"/>
              <w:rPr>
                <w:b/>
                <w:bCs/>
                <w:sz w:val="27"/>
                <w:szCs w:val="27"/>
              </w:rPr>
            </w:pPr>
            <w:r w:rsidRPr="0096530D">
              <w:rPr>
                <w:b/>
                <w:bCs/>
                <w:sz w:val="27"/>
                <w:szCs w:val="27"/>
              </w:rPr>
              <w:t>I. Tiesību akta projekta izstrādes nepieciešamība</w:t>
            </w:r>
          </w:p>
        </w:tc>
      </w:tr>
      <w:tr w:rsidR="007A6DB9" w:rsidRPr="0096530D" w:rsidTr="005506CE">
        <w:trPr>
          <w:trHeight w:val="479"/>
        </w:trPr>
        <w:tc>
          <w:tcPr>
            <w:tcW w:w="236"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1.</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Pamatojums</w:t>
            </w:r>
          </w:p>
        </w:tc>
        <w:tc>
          <w:tcPr>
            <w:tcW w:w="3497" w:type="pct"/>
            <w:tcBorders>
              <w:top w:val="outset" w:sz="6" w:space="0" w:color="000000"/>
              <w:left w:val="outset" w:sz="6" w:space="0" w:color="000000"/>
              <w:bottom w:val="outset" w:sz="6" w:space="0" w:color="000000"/>
              <w:right w:val="outset" w:sz="6" w:space="0" w:color="000000"/>
            </w:tcBorders>
            <w:hideMark/>
          </w:tcPr>
          <w:p w:rsidR="00384894" w:rsidRPr="0096530D" w:rsidRDefault="00384894" w:rsidP="00384894">
            <w:pPr>
              <w:spacing w:after="120"/>
              <w:jc w:val="both"/>
              <w:rPr>
                <w:sz w:val="27"/>
                <w:szCs w:val="27"/>
              </w:rPr>
            </w:pPr>
            <w:r w:rsidRPr="0096530D">
              <w:rPr>
                <w:sz w:val="27"/>
                <w:szCs w:val="27"/>
              </w:rPr>
              <w:t>Eiropas Savienības struktūrfondu un Kohēzijas fonda vadības likuma 18.panta 10.punkts nosaka, ka, lai nodrošinātu Eiropas Savienības fondu vadību, Ministru kabinets nosaka kārtību, kādā īsteno darbības programmas papildinājumā norādītās Eiropas Savienības fonda aktivitātes, nosaka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w:t>
            </w:r>
          </w:p>
          <w:p w:rsidR="00D47D1E" w:rsidRPr="0096530D" w:rsidRDefault="00384894" w:rsidP="003C6DC5">
            <w:pPr>
              <w:pStyle w:val="BodyText"/>
              <w:spacing w:after="0"/>
              <w:jc w:val="both"/>
              <w:outlineLvl w:val="0"/>
              <w:rPr>
                <w:sz w:val="27"/>
                <w:szCs w:val="27"/>
              </w:rPr>
            </w:pPr>
            <w:r w:rsidRPr="0096530D">
              <w:rPr>
                <w:sz w:val="27"/>
                <w:szCs w:val="27"/>
              </w:rPr>
              <w:t>Ministru kabineta noteikumu projekts "</w:t>
            </w:r>
            <w:r w:rsidR="00045556" w:rsidRPr="0096530D">
              <w:rPr>
                <w:sz w:val="27"/>
                <w:szCs w:val="27"/>
              </w:rPr>
              <w:t>Grozījumi Ministru kabineta 2010.gada 19.oktobra noteikumos Nr.987 "Noteikumi par darbības programmas "Uzņēmējdarbība un inovācijas" papildinājuma 2.1.1.3.1.apakšaktivitātes "Zinātnes infrastruktūras attīstība" pirmo projektu iesniegumu atlases kārtu</w:t>
            </w:r>
            <w:r w:rsidRPr="0096530D">
              <w:rPr>
                <w:sz w:val="27"/>
                <w:szCs w:val="27"/>
              </w:rPr>
              <w:t>" (turpmāk – noteikumu projekts) sagatavots saskaņā ar Eiropas Savienības struktūrfondu un Kohēzijas fonda vadības likuma 18.panta 10.punktu.</w:t>
            </w:r>
          </w:p>
        </w:tc>
      </w:tr>
      <w:tr w:rsidR="007A6DB9" w:rsidRPr="0096530D"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2.</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Pašreizējā situācija un problēmas</w:t>
            </w:r>
          </w:p>
        </w:tc>
        <w:tc>
          <w:tcPr>
            <w:tcW w:w="3497" w:type="pct"/>
            <w:tcBorders>
              <w:top w:val="outset" w:sz="6" w:space="0" w:color="000000"/>
              <w:left w:val="outset" w:sz="6" w:space="0" w:color="000000"/>
              <w:bottom w:val="outset" w:sz="6" w:space="0" w:color="000000"/>
              <w:right w:val="outset" w:sz="6" w:space="0" w:color="000000"/>
            </w:tcBorders>
            <w:hideMark/>
          </w:tcPr>
          <w:p w:rsidR="0084207A" w:rsidRPr="0096530D" w:rsidRDefault="00922EBD" w:rsidP="001652E4">
            <w:pPr>
              <w:spacing w:after="120"/>
              <w:jc w:val="both"/>
              <w:rPr>
                <w:sz w:val="27"/>
                <w:szCs w:val="27"/>
              </w:rPr>
            </w:pPr>
            <w:r w:rsidRPr="0096530D">
              <w:rPr>
                <w:sz w:val="27"/>
                <w:szCs w:val="27"/>
              </w:rPr>
              <w:t>Spēkā esošā Ministru kabineta 2010.gada 19.oktobra  noteikumu Nr.987 "Noteikumi par darbības programmas "Uzņēmējdarbība un inovācijas" papildinājuma 2.1.1.3.1.apakšaktivitātes "Zinātnes infrastruktūras attīstība" pirmo projektu iesniegumu atlases kārtu "</w:t>
            </w:r>
            <w:r w:rsidRPr="0096530D">
              <w:rPr>
                <w:bCs/>
                <w:sz w:val="27"/>
                <w:szCs w:val="27"/>
              </w:rPr>
              <w:t xml:space="preserve"> </w:t>
            </w:r>
            <w:r w:rsidRPr="0096530D">
              <w:rPr>
                <w:rFonts w:eastAsia="Calibri"/>
                <w:sz w:val="27"/>
                <w:szCs w:val="27"/>
              </w:rPr>
              <w:t>(turpmāk –</w:t>
            </w:r>
            <w:r w:rsidRPr="0096530D">
              <w:rPr>
                <w:sz w:val="27"/>
                <w:szCs w:val="27"/>
              </w:rPr>
              <w:t xml:space="preserve"> Ministru kabineta </w:t>
            </w:r>
            <w:r w:rsidRPr="0096530D">
              <w:rPr>
                <w:rFonts w:eastAsia="Calibri"/>
                <w:sz w:val="27"/>
                <w:szCs w:val="27"/>
              </w:rPr>
              <w:t xml:space="preserve">noteikumi Nr.987) </w:t>
            </w:r>
            <w:r w:rsidRPr="0096530D">
              <w:rPr>
                <w:sz w:val="27"/>
                <w:szCs w:val="27"/>
              </w:rPr>
              <w:t>redakcija nosaka</w:t>
            </w:r>
            <w:r w:rsidR="00DA3648" w:rsidRPr="0096530D">
              <w:rPr>
                <w:sz w:val="27"/>
                <w:szCs w:val="27"/>
              </w:rPr>
              <w:t xml:space="preserve"> atšķirīgu</w:t>
            </w:r>
            <w:r w:rsidR="0084207A" w:rsidRPr="0096530D">
              <w:rPr>
                <w:sz w:val="27"/>
                <w:szCs w:val="27"/>
              </w:rPr>
              <w:t>s</w:t>
            </w:r>
            <w:r w:rsidR="00DA3648" w:rsidRPr="0096530D">
              <w:rPr>
                <w:sz w:val="27"/>
                <w:szCs w:val="27"/>
              </w:rPr>
              <w:t xml:space="preserve"> neatgūstamo pievienotās vērtības nodokļa maksājumu </w:t>
            </w:r>
            <w:proofErr w:type="spellStart"/>
            <w:r w:rsidR="00DA3648" w:rsidRPr="0096530D">
              <w:rPr>
                <w:sz w:val="27"/>
                <w:szCs w:val="27"/>
              </w:rPr>
              <w:t>attiecināmības</w:t>
            </w:r>
            <w:proofErr w:type="spellEnd"/>
            <w:r w:rsidR="00DA3648" w:rsidRPr="0096530D">
              <w:rPr>
                <w:sz w:val="27"/>
                <w:szCs w:val="27"/>
              </w:rPr>
              <w:t xml:space="preserve"> nosacījumus </w:t>
            </w:r>
            <w:r w:rsidR="0084207A" w:rsidRPr="0096530D">
              <w:rPr>
                <w:sz w:val="27"/>
                <w:szCs w:val="27"/>
              </w:rPr>
              <w:t xml:space="preserve">– ar komercdarbības atbalstu nesaistītam projektam tās ir </w:t>
            </w:r>
            <w:r w:rsidR="00CE2105" w:rsidRPr="0096530D">
              <w:rPr>
                <w:sz w:val="27"/>
                <w:szCs w:val="27"/>
              </w:rPr>
              <w:t xml:space="preserve">noteiktās kā </w:t>
            </w:r>
            <w:r w:rsidR="0084207A" w:rsidRPr="0096530D">
              <w:rPr>
                <w:sz w:val="27"/>
                <w:szCs w:val="27"/>
              </w:rPr>
              <w:t xml:space="preserve">attiecināmās izmaksas, savukārt </w:t>
            </w:r>
            <w:r w:rsidR="00DA3648" w:rsidRPr="0096530D">
              <w:rPr>
                <w:sz w:val="27"/>
                <w:szCs w:val="27"/>
              </w:rPr>
              <w:t>kombinēta atbalsta veida projektam</w:t>
            </w:r>
            <w:r w:rsidR="0084207A" w:rsidRPr="0096530D">
              <w:rPr>
                <w:sz w:val="27"/>
                <w:szCs w:val="27"/>
              </w:rPr>
              <w:t xml:space="preserve"> tās </w:t>
            </w:r>
            <w:r w:rsidR="00C472A1" w:rsidRPr="0096530D">
              <w:rPr>
                <w:sz w:val="27"/>
                <w:szCs w:val="27"/>
              </w:rPr>
              <w:t>projekta attiecināmajās izmaksās netiek iekļautas</w:t>
            </w:r>
            <w:r w:rsidR="0084207A" w:rsidRPr="0096530D">
              <w:rPr>
                <w:sz w:val="27"/>
                <w:szCs w:val="27"/>
              </w:rPr>
              <w:t>.</w:t>
            </w:r>
            <w:r w:rsidR="00DA3648" w:rsidRPr="0096530D">
              <w:rPr>
                <w:sz w:val="27"/>
                <w:szCs w:val="27"/>
              </w:rPr>
              <w:t xml:space="preserve"> </w:t>
            </w:r>
            <w:r w:rsidR="00923A03" w:rsidRPr="0096530D">
              <w:rPr>
                <w:sz w:val="27"/>
                <w:szCs w:val="27"/>
              </w:rPr>
              <w:t xml:space="preserve">Lai novērstu radušos </w:t>
            </w:r>
            <w:r w:rsidR="00AA03AE" w:rsidRPr="0096530D">
              <w:rPr>
                <w:sz w:val="27"/>
                <w:szCs w:val="27"/>
              </w:rPr>
              <w:t xml:space="preserve">nevienlīdzīgo </w:t>
            </w:r>
            <w:r w:rsidR="00C472A1" w:rsidRPr="0096530D">
              <w:rPr>
                <w:sz w:val="27"/>
                <w:szCs w:val="27"/>
              </w:rPr>
              <w:t>situāciju</w:t>
            </w:r>
            <w:r w:rsidR="006A45E6" w:rsidRPr="0096530D">
              <w:rPr>
                <w:sz w:val="27"/>
                <w:szCs w:val="27"/>
              </w:rPr>
              <w:t xml:space="preserve"> projektu īstenošanas nosacījumos</w:t>
            </w:r>
            <w:r w:rsidR="00923A03" w:rsidRPr="0096530D">
              <w:rPr>
                <w:sz w:val="27"/>
                <w:szCs w:val="27"/>
              </w:rPr>
              <w:t xml:space="preserve">, kombinēta atbalsta </w:t>
            </w:r>
            <w:r w:rsidR="00C472A1" w:rsidRPr="0096530D">
              <w:rPr>
                <w:sz w:val="27"/>
                <w:szCs w:val="27"/>
              </w:rPr>
              <w:t xml:space="preserve">veida </w:t>
            </w:r>
            <w:r w:rsidR="00923A03" w:rsidRPr="0096530D">
              <w:rPr>
                <w:sz w:val="27"/>
                <w:szCs w:val="27"/>
              </w:rPr>
              <w:t>projekta attiecināmajās izmaksās ir jāiekļauj no Valsts ieņēmumu dienesta neatgūstamais pievienotās vērtības nodokļa maksājums.</w:t>
            </w:r>
          </w:p>
          <w:p w:rsidR="008075D9" w:rsidRPr="0096530D" w:rsidRDefault="00CE2105" w:rsidP="001652E4">
            <w:pPr>
              <w:spacing w:after="120"/>
              <w:jc w:val="both"/>
              <w:rPr>
                <w:rFonts w:eastAsia="Calibri"/>
                <w:sz w:val="27"/>
                <w:szCs w:val="27"/>
              </w:rPr>
            </w:pPr>
            <w:r w:rsidRPr="0096530D">
              <w:rPr>
                <w:sz w:val="27"/>
                <w:szCs w:val="27"/>
              </w:rPr>
              <w:t xml:space="preserve">Ministru kabineta </w:t>
            </w:r>
            <w:r w:rsidRPr="0096530D">
              <w:rPr>
                <w:rFonts w:eastAsia="Calibri"/>
                <w:sz w:val="27"/>
                <w:szCs w:val="27"/>
              </w:rPr>
              <w:t xml:space="preserve">noteikumu Nr.987 14.punkts nosaka </w:t>
            </w:r>
            <w:r w:rsidRPr="0096530D">
              <w:rPr>
                <w:rFonts w:eastAsia="Calibri"/>
                <w:sz w:val="27"/>
                <w:szCs w:val="27"/>
              </w:rPr>
              <w:lastRenderedPageBreak/>
              <w:t xml:space="preserve">sadarbības iestādes funkcijas. Ar 14.16.apakšpunktu sadarbības iestādei </w:t>
            </w:r>
            <w:r w:rsidR="005C43BF" w:rsidRPr="0096530D">
              <w:rPr>
                <w:rFonts w:eastAsia="Calibri"/>
                <w:sz w:val="27"/>
                <w:szCs w:val="27"/>
              </w:rPr>
              <w:t xml:space="preserve">tai skaitā </w:t>
            </w:r>
            <w:r w:rsidRPr="0096530D">
              <w:rPr>
                <w:rFonts w:eastAsia="Calibri"/>
                <w:sz w:val="27"/>
                <w:szCs w:val="27"/>
              </w:rPr>
              <w:t>ir uzdots projektu īstenošanas laikā un piecus gadus pēc to pabeigšanas uzraudzīt ar komercdarbības atbalstu nesaistīta un kombinēta atbalsta veida projekt</w:t>
            </w:r>
            <w:r w:rsidR="00C472A1" w:rsidRPr="0096530D">
              <w:rPr>
                <w:rFonts w:eastAsia="Calibri"/>
                <w:sz w:val="27"/>
                <w:szCs w:val="27"/>
              </w:rPr>
              <w:t xml:space="preserve">a iesniedzēja un sadarbības partnera institūcijas atbilstību pētniecības organizācijas statusam atbilstoši valsts atbalsta </w:t>
            </w:r>
            <w:r w:rsidR="005C43BF" w:rsidRPr="0096530D">
              <w:rPr>
                <w:rFonts w:eastAsia="Calibri"/>
                <w:sz w:val="27"/>
                <w:szCs w:val="27"/>
              </w:rPr>
              <w:t xml:space="preserve">tiesību normās noteiktajai </w:t>
            </w:r>
            <w:r w:rsidR="006A45E6" w:rsidRPr="0096530D">
              <w:rPr>
                <w:rFonts w:eastAsia="Calibri"/>
                <w:sz w:val="27"/>
                <w:szCs w:val="27"/>
              </w:rPr>
              <w:t xml:space="preserve">pētniecības organizācijas </w:t>
            </w:r>
            <w:r w:rsidR="005C43BF" w:rsidRPr="0096530D">
              <w:rPr>
                <w:rFonts w:eastAsia="Calibri"/>
                <w:sz w:val="27"/>
                <w:szCs w:val="27"/>
              </w:rPr>
              <w:t xml:space="preserve">definīcijai. Minētā prasība ir jāsvītro, tā kā </w:t>
            </w:r>
            <w:r w:rsidR="008075D9" w:rsidRPr="0096530D">
              <w:rPr>
                <w:rFonts w:eastAsia="Calibri"/>
                <w:sz w:val="27"/>
                <w:szCs w:val="27"/>
              </w:rPr>
              <w:t>zinātniskās institūcijas atbilstība pētniecības organizācijas statusam tiek vērtēta projekta iesnieguma (un attiecīgi projekta iesniedzēja un sadarbības partneru) vērtēšanas posmā pirms konkrētā ar komercdarbības atbalstu nesaistīta vai kombinēta atbalsta veida projekta apstiprināšanas. Projekta uzraudzības posmā zinātniskās institūcijas atbilstības pētniecības organizācijas status</w:t>
            </w:r>
            <w:r w:rsidR="00296B3D" w:rsidRPr="0096530D">
              <w:rPr>
                <w:rFonts w:eastAsia="Calibri"/>
                <w:sz w:val="27"/>
                <w:szCs w:val="27"/>
              </w:rPr>
              <w:t>am pārvērtējums netiek veikts</w:t>
            </w:r>
            <w:r w:rsidR="008075D9" w:rsidRPr="0096530D">
              <w:rPr>
                <w:rFonts w:eastAsia="Calibri"/>
                <w:sz w:val="27"/>
                <w:szCs w:val="27"/>
              </w:rPr>
              <w:t>.</w:t>
            </w:r>
          </w:p>
          <w:p w:rsidR="00922EBD" w:rsidRPr="0096530D" w:rsidRDefault="00AA03AE" w:rsidP="0034445D">
            <w:pPr>
              <w:jc w:val="both"/>
              <w:rPr>
                <w:rFonts w:eastAsia="Calibri"/>
                <w:sz w:val="27"/>
                <w:szCs w:val="27"/>
              </w:rPr>
            </w:pPr>
            <w:r w:rsidRPr="0096530D">
              <w:rPr>
                <w:sz w:val="27"/>
                <w:szCs w:val="27"/>
              </w:rPr>
              <w:t xml:space="preserve">Valsts nozīmes pētniecības centru sadarbības stratēģiju un zinātnisko institūciju teritoriāli telpiskās attīstības stratēģiju izstrādes laikā </w:t>
            </w:r>
            <w:r w:rsidR="0034445D" w:rsidRPr="0096530D">
              <w:rPr>
                <w:sz w:val="27"/>
                <w:szCs w:val="27"/>
              </w:rPr>
              <w:t>ir</w:t>
            </w:r>
            <w:r w:rsidRPr="0096530D">
              <w:rPr>
                <w:sz w:val="27"/>
                <w:szCs w:val="27"/>
              </w:rPr>
              <w:t xml:space="preserve"> identificētas </w:t>
            </w:r>
            <w:r w:rsidR="0034445D" w:rsidRPr="0096530D">
              <w:rPr>
                <w:sz w:val="27"/>
                <w:szCs w:val="27"/>
              </w:rPr>
              <w:t xml:space="preserve">dažas </w:t>
            </w:r>
            <w:r w:rsidR="00F51E28" w:rsidRPr="0096530D">
              <w:rPr>
                <w:sz w:val="27"/>
                <w:szCs w:val="27"/>
              </w:rPr>
              <w:t xml:space="preserve">Ministru kabineta </w:t>
            </w:r>
            <w:r w:rsidR="00F51E28" w:rsidRPr="0096530D">
              <w:rPr>
                <w:rFonts w:eastAsia="Calibri"/>
                <w:sz w:val="27"/>
                <w:szCs w:val="27"/>
              </w:rPr>
              <w:t>noteikumu Nr.987</w:t>
            </w:r>
            <w:r w:rsidR="00865444" w:rsidRPr="0096530D">
              <w:rPr>
                <w:rFonts w:eastAsia="Calibri"/>
                <w:sz w:val="27"/>
                <w:szCs w:val="27"/>
              </w:rPr>
              <w:t xml:space="preserve"> </w:t>
            </w:r>
            <w:r w:rsidR="00F51E28" w:rsidRPr="0096530D">
              <w:rPr>
                <w:rFonts w:eastAsia="Calibri"/>
                <w:sz w:val="27"/>
                <w:szCs w:val="27"/>
              </w:rPr>
              <w:t>regulējuma</w:t>
            </w:r>
            <w:r w:rsidR="00F51E28" w:rsidRPr="0096530D">
              <w:rPr>
                <w:sz w:val="27"/>
                <w:szCs w:val="27"/>
              </w:rPr>
              <w:t xml:space="preserve"> </w:t>
            </w:r>
            <w:r w:rsidR="00296B3D" w:rsidRPr="0096530D">
              <w:rPr>
                <w:sz w:val="27"/>
                <w:szCs w:val="27"/>
              </w:rPr>
              <w:t xml:space="preserve">papildu </w:t>
            </w:r>
            <w:r w:rsidRPr="0096530D">
              <w:rPr>
                <w:sz w:val="27"/>
                <w:szCs w:val="27"/>
              </w:rPr>
              <w:t>nepilnības</w:t>
            </w:r>
            <w:r w:rsidR="0034445D" w:rsidRPr="0096530D">
              <w:rPr>
                <w:rFonts w:eastAsia="Calibri"/>
                <w:sz w:val="27"/>
                <w:szCs w:val="27"/>
              </w:rPr>
              <w:t xml:space="preserve">, kas </w:t>
            </w:r>
            <w:r w:rsidR="00FF1CA7" w:rsidRPr="0096530D">
              <w:rPr>
                <w:rFonts w:eastAsia="Calibri"/>
                <w:sz w:val="27"/>
                <w:szCs w:val="27"/>
              </w:rPr>
              <w:t>tā</w:t>
            </w:r>
            <w:r w:rsidR="0034445D" w:rsidRPr="0096530D">
              <w:rPr>
                <w:rFonts w:eastAsia="Calibri"/>
                <w:sz w:val="27"/>
                <w:szCs w:val="27"/>
              </w:rPr>
              <w:t xml:space="preserve"> viennozīmīgai </w:t>
            </w:r>
            <w:r w:rsidR="000B0043" w:rsidRPr="0096530D">
              <w:rPr>
                <w:rFonts w:eastAsia="Calibri"/>
                <w:sz w:val="27"/>
                <w:szCs w:val="27"/>
              </w:rPr>
              <w:t>interpret</w:t>
            </w:r>
            <w:r w:rsidR="00FF1CA7" w:rsidRPr="0096530D">
              <w:rPr>
                <w:rFonts w:eastAsia="Calibri"/>
                <w:sz w:val="27"/>
                <w:szCs w:val="27"/>
              </w:rPr>
              <w:t>ācijai un pareizai</w:t>
            </w:r>
            <w:r w:rsidR="001672E7" w:rsidRPr="0096530D">
              <w:rPr>
                <w:rFonts w:eastAsia="Calibri"/>
                <w:sz w:val="27"/>
                <w:szCs w:val="27"/>
              </w:rPr>
              <w:t>, tai skaitā atvieglotākai,</w:t>
            </w:r>
            <w:r w:rsidR="00FF1CA7" w:rsidRPr="0096530D">
              <w:rPr>
                <w:rFonts w:eastAsia="Calibri"/>
                <w:sz w:val="27"/>
                <w:szCs w:val="27"/>
              </w:rPr>
              <w:t xml:space="preserve"> piemēro</w:t>
            </w:r>
            <w:r w:rsidR="00865444" w:rsidRPr="0096530D">
              <w:rPr>
                <w:rFonts w:eastAsia="Calibri"/>
                <w:sz w:val="27"/>
                <w:szCs w:val="27"/>
              </w:rPr>
              <w:t>šanas kārtībai</w:t>
            </w:r>
            <w:r w:rsidR="001672E7" w:rsidRPr="0096530D">
              <w:rPr>
                <w:rFonts w:eastAsia="Calibri"/>
                <w:sz w:val="27"/>
                <w:szCs w:val="27"/>
              </w:rPr>
              <w:t xml:space="preserve"> </w:t>
            </w:r>
            <w:r w:rsidR="0034445D" w:rsidRPr="0096530D">
              <w:rPr>
                <w:rFonts w:eastAsia="Calibri"/>
                <w:sz w:val="27"/>
                <w:szCs w:val="27"/>
              </w:rPr>
              <w:t>ar noteikumu grozījumiem būtu novēršamas:</w:t>
            </w:r>
          </w:p>
          <w:p w:rsidR="00377DFD" w:rsidRPr="0096530D" w:rsidRDefault="00377DFD" w:rsidP="008A089F">
            <w:pPr>
              <w:numPr>
                <w:ilvl w:val="0"/>
                <w:numId w:val="5"/>
              </w:numPr>
              <w:ind w:left="238" w:hanging="238"/>
              <w:jc w:val="both"/>
              <w:rPr>
                <w:sz w:val="27"/>
                <w:szCs w:val="27"/>
              </w:rPr>
            </w:pPr>
            <w:r w:rsidRPr="0096530D">
              <w:rPr>
                <w:sz w:val="27"/>
                <w:szCs w:val="27"/>
              </w:rPr>
              <w:t>tiesību akta 32.punktā ir iekļauts projekta īstenošanas nosacījums, kas attiecināms uz ieguldījumu daļu, kam piešķirts komercdarbības atbalsts. Vienlaikus</w:t>
            </w:r>
            <w:r w:rsidR="00B1721F" w:rsidRPr="0096530D">
              <w:rPr>
                <w:sz w:val="27"/>
                <w:szCs w:val="27"/>
              </w:rPr>
              <w:t>, gramatiski interpretējot</w:t>
            </w:r>
            <w:r w:rsidRPr="0096530D">
              <w:rPr>
                <w:sz w:val="27"/>
                <w:szCs w:val="27"/>
              </w:rPr>
              <w:t xml:space="preserve"> minēt</w:t>
            </w:r>
            <w:r w:rsidR="00EE061B" w:rsidRPr="0096530D">
              <w:rPr>
                <w:sz w:val="27"/>
                <w:szCs w:val="27"/>
              </w:rPr>
              <w:t>o punktu</w:t>
            </w:r>
            <w:r w:rsidR="00B1721F" w:rsidRPr="0096530D">
              <w:rPr>
                <w:sz w:val="27"/>
                <w:szCs w:val="27"/>
              </w:rPr>
              <w:t xml:space="preserve"> redakciju, secināms</w:t>
            </w:r>
            <w:r w:rsidRPr="0096530D">
              <w:rPr>
                <w:sz w:val="27"/>
                <w:szCs w:val="27"/>
              </w:rPr>
              <w:t>, ka taj</w:t>
            </w:r>
            <w:r w:rsidR="00EE061B" w:rsidRPr="0096530D">
              <w:rPr>
                <w:sz w:val="27"/>
                <w:szCs w:val="27"/>
              </w:rPr>
              <w:t>os</w:t>
            </w:r>
            <w:r w:rsidRPr="0096530D">
              <w:rPr>
                <w:sz w:val="27"/>
                <w:szCs w:val="27"/>
              </w:rPr>
              <w:t xml:space="preserve"> iekļautā prasība attiecināma arī uz atbalstu, kam nav piešķirts komercdarbības atbalsts. Ievērojot minēto, nepieciešams precizēt tiesību akta </w:t>
            </w:r>
            <w:r w:rsidR="009D5175" w:rsidRPr="0096530D">
              <w:rPr>
                <w:sz w:val="27"/>
                <w:szCs w:val="27"/>
              </w:rPr>
              <w:t>32.</w:t>
            </w:r>
            <w:r w:rsidRPr="0096530D">
              <w:rPr>
                <w:sz w:val="27"/>
                <w:szCs w:val="27"/>
              </w:rPr>
              <w:t>punkta redakciju</w:t>
            </w:r>
            <w:r w:rsidR="000E6166" w:rsidRPr="0096530D">
              <w:rPr>
                <w:sz w:val="27"/>
                <w:szCs w:val="27"/>
              </w:rPr>
              <w:t>, tajā</w:t>
            </w:r>
            <w:r w:rsidR="00602725" w:rsidRPr="0096530D">
              <w:rPr>
                <w:sz w:val="27"/>
                <w:szCs w:val="27"/>
              </w:rPr>
              <w:t xml:space="preserve"> iekļauto normu attiecinot tikai uz projekta daļu, kuru paredzēts izmantot saimnieciskām pamatdarbībām</w:t>
            </w:r>
            <w:r w:rsidRPr="0096530D">
              <w:rPr>
                <w:sz w:val="27"/>
                <w:szCs w:val="27"/>
              </w:rPr>
              <w:t>;</w:t>
            </w:r>
          </w:p>
          <w:p w:rsidR="00386FAA" w:rsidRPr="0096530D" w:rsidRDefault="00865444" w:rsidP="007A0290">
            <w:pPr>
              <w:numPr>
                <w:ilvl w:val="0"/>
                <w:numId w:val="5"/>
              </w:numPr>
              <w:ind w:left="238" w:hanging="238"/>
              <w:jc w:val="both"/>
              <w:rPr>
                <w:sz w:val="27"/>
                <w:szCs w:val="27"/>
              </w:rPr>
            </w:pPr>
            <w:r w:rsidRPr="0096530D">
              <w:rPr>
                <w:sz w:val="27"/>
                <w:szCs w:val="27"/>
              </w:rPr>
              <w:t xml:space="preserve">tiesību akta 47.2.apakšpunkts nosaka projekta iesnieguma veidlapai pievienojamos pielikumus, tai skaitā paredzot projekta iesniegumam pievienot attiecīgā valsts nozīmes pētniecības centra sadarbības līguma apliecinātu kopiju vai tā projektu (47.2.7.apakšpunkts), kā arī sadarbības partneru apliecinājumu par dalību projekta īstenošanā (47.2.8.apakšpunkts). </w:t>
            </w:r>
            <w:r w:rsidR="001D5748" w:rsidRPr="0096530D">
              <w:rPr>
                <w:sz w:val="27"/>
                <w:szCs w:val="27"/>
              </w:rPr>
              <w:t xml:space="preserve">Administratīvā sloga samazināšanai projekta iesniedzējam, nepieciešams novērst prasību dublēšanos 47.2.7. un 47.2.8. apakšpunktos, nosakot, ka sadarbības partnera </w:t>
            </w:r>
            <w:r w:rsidR="001D5748" w:rsidRPr="0096530D">
              <w:rPr>
                <w:sz w:val="27"/>
                <w:szCs w:val="27"/>
              </w:rPr>
              <w:lastRenderedPageBreak/>
              <w:t>apliecinājums par dalību projekta īstenošanā projekta iesniegumam ir jāpievieno tikai gadījumā, ja projekta iesniegumam atbilstoši 47.2.7.apakšpunktam tiek pievienots sadarbības līguma projekts, nevis jau noslēgta sadarbības līguma apliecin</w:t>
            </w:r>
            <w:r w:rsidR="002D31F6" w:rsidRPr="0096530D">
              <w:rPr>
                <w:sz w:val="27"/>
                <w:szCs w:val="27"/>
              </w:rPr>
              <w:t>āta kopija</w:t>
            </w:r>
            <w:r w:rsidR="00AE73A0" w:rsidRPr="0096530D">
              <w:rPr>
                <w:sz w:val="27"/>
                <w:szCs w:val="27"/>
              </w:rPr>
              <w:t>;</w:t>
            </w:r>
          </w:p>
          <w:p w:rsidR="00AE73A0" w:rsidRPr="0096530D" w:rsidRDefault="00AE73A0" w:rsidP="00AE73A0">
            <w:pPr>
              <w:numPr>
                <w:ilvl w:val="0"/>
                <w:numId w:val="5"/>
              </w:numPr>
              <w:ind w:left="238" w:hanging="238"/>
              <w:jc w:val="both"/>
              <w:rPr>
                <w:sz w:val="27"/>
                <w:szCs w:val="27"/>
              </w:rPr>
            </w:pPr>
            <w:r w:rsidRPr="0096530D">
              <w:rPr>
                <w:sz w:val="27"/>
                <w:szCs w:val="27"/>
              </w:rPr>
              <w:t>tiesību akta 44.3.2.apakšpunkts regulē projekta iesnieguma iesniegšanas termiņa noteikšanas kārtību. Ievērojot to, ka vienlaikus tiesību aktā nav noteikts laika termiņš, kādā Izglītības un zinātnes ministrijai ir jāpieņem lēmums par attiecīgā valsts nozīmes pētniecības centra sadarbības stratēģijas saskaņošanu, nepieciešams precizēt 44.3.2.apakšpunkta redakciju tā viennozīmīgai izpratnei;</w:t>
            </w:r>
          </w:p>
          <w:p w:rsidR="00386FAA" w:rsidRPr="0096530D" w:rsidRDefault="003900A2" w:rsidP="00733352">
            <w:pPr>
              <w:numPr>
                <w:ilvl w:val="0"/>
                <w:numId w:val="5"/>
              </w:numPr>
              <w:spacing w:after="120"/>
              <w:ind w:left="238" w:hanging="238"/>
              <w:jc w:val="both"/>
              <w:rPr>
                <w:sz w:val="27"/>
                <w:szCs w:val="27"/>
              </w:rPr>
            </w:pPr>
            <w:r w:rsidRPr="0096530D">
              <w:rPr>
                <w:sz w:val="27"/>
                <w:szCs w:val="27"/>
              </w:rPr>
              <w:t xml:space="preserve">lai valsts nozīmes pētniecības centru veidojošajām zinātniskajām institūcijām atvieglotu projekta iesnieguma veidlapas aizpildīšanu atbilstoši Ministru kabineta </w:t>
            </w:r>
            <w:r w:rsidRPr="0096530D">
              <w:rPr>
                <w:rFonts w:eastAsia="Calibri"/>
                <w:sz w:val="27"/>
                <w:szCs w:val="27"/>
              </w:rPr>
              <w:t xml:space="preserve">noteikumu Nr.987 prasībām, nepieciešams veikt tehniska rakstura precizējumus projekta iesnieguma veidlapas (2.pielikums) 6.1.sadaļas tabulās, kā arī 2.pielikuma 1.pielikuma C daļas 1.1. un 1.2.sadaļas tabulās, kas atspoguļo projekta budžetu un izmaksu plānu. </w:t>
            </w:r>
          </w:p>
          <w:p w:rsidR="006713EB" w:rsidRPr="006713EB" w:rsidRDefault="006713EB" w:rsidP="00733352">
            <w:pPr>
              <w:jc w:val="both"/>
              <w:rPr>
                <w:sz w:val="27"/>
                <w:szCs w:val="27"/>
              </w:rPr>
            </w:pPr>
            <w:r w:rsidRPr="006713EB">
              <w:rPr>
                <w:sz w:val="27"/>
                <w:szCs w:val="27"/>
              </w:rPr>
              <w:t>Informējam, ka projektu iesniegumu iesniegšanas termiņš noteikumu projekta regulētās 2.1.1.3.1.apakšaktivitātes „Zinātnes infrastruktūras attīstība” pirmās atlases kārtas ietvaros ir 2011.gada 18.jūlijs, un atbilstoši spēkā esošajam regulējumam par pirmās projektu iesniegumu atlases kārtas organizēšanu pašlaik norit valsts nozīmes pētniecības centru sadarbības stratēģiju un zinātnisko institūciju teritoriāli telpiskās attīstības stratēģiju saskaņošana ar Izglītības un zinātnes ministriju (sadarbībā ar nozaru ministrijām)</w:t>
            </w:r>
            <w:r>
              <w:rPr>
                <w:sz w:val="27"/>
                <w:szCs w:val="27"/>
              </w:rPr>
              <w:t>.</w:t>
            </w:r>
          </w:p>
          <w:p w:rsidR="00733352" w:rsidRPr="0096530D" w:rsidRDefault="00733352" w:rsidP="00733352">
            <w:pPr>
              <w:jc w:val="both"/>
              <w:rPr>
                <w:sz w:val="27"/>
                <w:szCs w:val="27"/>
              </w:rPr>
            </w:pPr>
            <w:r w:rsidRPr="0096530D">
              <w:rPr>
                <w:sz w:val="27"/>
                <w:szCs w:val="27"/>
              </w:rPr>
              <w:t>Noteikumu projekta regulējums nepārkāpj projekta iesniedzēja tiesisko paļāvību, bet gan paredz projekta iesniedzējiem labvēlīgāku tiesisko regulējumu.</w:t>
            </w:r>
          </w:p>
        </w:tc>
      </w:tr>
      <w:tr w:rsidR="007A6DB9" w:rsidRPr="0096530D"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lastRenderedPageBreak/>
              <w:t>3.</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Saistītie politikas ietekmes novērtējumi un pētījumi</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96530D" w:rsidRDefault="00E2280B" w:rsidP="004B34C2">
            <w:pPr>
              <w:rPr>
                <w:sz w:val="27"/>
                <w:szCs w:val="27"/>
              </w:rPr>
            </w:pPr>
            <w:r w:rsidRPr="0096530D">
              <w:rPr>
                <w:sz w:val="27"/>
                <w:szCs w:val="27"/>
              </w:rPr>
              <w:t>Noteikumu projekts šo jomu neskar</w:t>
            </w:r>
          </w:p>
        </w:tc>
      </w:tr>
      <w:tr w:rsidR="007A6DB9" w:rsidRPr="0096530D"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4.</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Tiesiskā regulējuma mērķis un būtība</w:t>
            </w:r>
          </w:p>
        </w:tc>
        <w:tc>
          <w:tcPr>
            <w:tcW w:w="3497" w:type="pct"/>
            <w:tcBorders>
              <w:top w:val="outset" w:sz="6" w:space="0" w:color="000000"/>
              <w:left w:val="outset" w:sz="6" w:space="0" w:color="000000"/>
              <w:bottom w:val="outset" w:sz="6" w:space="0" w:color="000000"/>
              <w:right w:val="outset" w:sz="6" w:space="0" w:color="000000"/>
            </w:tcBorders>
            <w:hideMark/>
          </w:tcPr>
          <w:p w:rsidR="00C060A4" w:rsidRPr="0096530D" w:rsidRDefault="00C060A4" w:rsidP="00923A03">
            <w:pPr>
              <w:spacing w:after="120"/>
              <w:jc w:val="both"/>
              <w:rPr>
                <w:sz w:val="27"/>
                <w:szCs w:val="27"/>
              </w:rPr>
            </w:pPr>
            <w:r w:rsidRPr="0096530D">
              <w:rPr>
                <w:sz w:val="27"/>
                <w:szCs w:val="27"/>
              </w:rPr>
              <w:t xml:space="preserve">Noteikumu projekts paredz, ka kombinēta atbalsta veida projekta attiecināmajās izmaksās tiek iekļauti  neatgūstamā pievienotās vērtības nodokļa maksājumi, tādējādi tai skaitā novēršot radušos nevienlīdzīgo situāciju kombinēta atbalsta veida un ar komercdarbības </w:t>
            </w:r>
            <w:r w:rsidRPr="0096530D">
              <w:rPr>
                <w:sz w:val="27"/>
                <w:szCs w:val="27"/>
              </w:rPr>
              <w:lastRenderedPageBreak/>
              <w:t>atbalstu nesaistīta projekta īstenošanas nosacījumos.</w:t>
            </w:r>
          </w:p>
          <w:p w:rsidR="00F65A56" w:rsidRPr="0096530D" w:rsidRDefault="00C060A4" w:rsidP="00F65A56">
            <w:pPr>
              <w:spacing w:after="120"/>
              <w:jc w:val="both"/>
              <w:rPr>
                <w:rFonts w:eastAsia="Calibri"/>
                <w:sz w:val="27"/>
                <w:szCs w:val="27"/>
              </w:rPr>
            </w:pPr>
            <w:r w:rsidRPr="0096530D">
              <w:rPr>
                <w:sz w:val="27"/>
                <w:szCs w:val="27"/>
              </w:rPr>
              <w:t xml:space="preserve">Noteikumu projekts precizē sadarbības iestādes funkcijas, svītrojot </w:t>
            </w:r>
            <w:r w:rsidR="00F65A56" w:rsidRPr="0096530D">
              <w:rPr>
                <w:sz w:val="27"/>
                <w:szCs w:val="27"/>
              </w:rPr>
              <w:t xml:space="preserve">sadarbības iestādei noteikto </w:t>
            </w:r>
            <w:r w:rsidRPr="0096530D">
              <w:rPr>
                <w:sz w:val="27"/>
                <w:szCs w:val="27"/>
              </w:rPr>
              <w:t xml:space="preserve">uzdevumu </w:t>
            </w:r>
            <w:r w:rsidRPr="0096530D">
              <w:rPr>
                <w:rFonts w:eastAsia="Calibri"/>
                <w:sz w:val="27"/>
                <w:szCs w:val="27"/>
              </w:rPr>
              <w:t>projektu īstenošanas laikā un piecus gadus pēc to pabeigšanas uzraudzīt ar komercdarbības atbalstu nesaistīta un kombinēta atbalsta veida projekta iesniedzēja un sadarbības partnera institūcijas atbilstību pētniecības organizācijas statusam atbilstoši valsts atbalsta tiesību normās noteiktajai pētniecības organizācijas definīcijai</w:t>
            </w:r>
            <w:r w:rsidR="00F65A56" w:rsidRPr="0096530D">
              <w:rPr>
                <w:rFonts w:eastAsia="Calibri"/>
                <w:sz w:val="27"/>
                <w:szCs w:val="27"/>
              </w:rPr>
              <w:t>. Minētā prasība ir jāsvītro, tā kā projekta uzraudzības posmā zinātniskās institūcijas atbilstības pētniecības organizācijas statusam pārvērtējums atbilstoši valsts atbalsta regulējumam netiek veikts.</w:t>
            </w:r>
          </w:p>
          <w:p w:rsidR="00C060A4" w:rsidRPr="0096530D" w:rsidRDefault="00F65A56" w:rsidP="00F65A56">
            <w:pPr>
              <w:jc w:val="both"/>
              <w:rPr>
                <w:sz w:val="27"/>
                <w:szCs w:val="27"/>
              </w:rPr>
            </w:pPr>
            <w:r w:rsidRPr="0096530D">
              <w:rPr>
                <w:sz w:val="27"/>
                <w:szCs w:val="27"/>
              </w:rPr>
              <w:t xml:space="preserve">Noteikums projekts paredz papildu šādu grozījumu veikšanu, kas nodrošina </w:t>
            </w:r>
            <w:r w:rsidR="00C060A4" w:rsidRPr="0096530D">
              <w:rPr>
                <w:sz w:val="27"/>
                <w:szCs w:val="27"/>
              </w:rPr>
              <w:t xml:space="preserve">Ministru kabineta </w:t>
            </w:r>
            <w:r w:rsidR="00C060A4" w:rsidRPr="0096530D">
              <w:rPr>
                <w:rFonts w:eastAsia="Calibri"/>
                <w:sz w:val="27"/>
                <w:szCs w:val="27"/>
              </w:rPr>
              <w:t>noteikumu Nr.987 regulējuma</w:t>
            </w:r>
            <w:r w:rsidR="00C060A4" w:rsidRPr="0096530D">
              <w:rPr>
                <w:sz w:val="27"/>
                <w:szCs w:val="27"/>
              </w:rPr>
              <w:t xml:space="preserve"> </w:t>
            </w:r>
            <w:r w:rsidR="00C060A4" w:rsidRPr="0096530D">
              <w:rPr>
                <w:rFonts w:eastAsia="Calibri"/>
                <w:sz w:val="27"/>
                <w:szCs w:val="27"/>
              </w:rPr>
              <w:t>vienn</w:t>
            </w:r>
            <w:r w:rsidRPr="0096530D">
              <w:rPr>
                <w:rFonts w:eastAsia="Calibri"/>
                <w:sz w:val="27"/>
                <w:szCs w:val="27"/>
              </w:rPr>
              <w:t>ozīmīgu interpretāciju</w:t>
            </w:r>
            <w:r w:rsidR="00C060A4" w:rsidRPr="0096530D">
              <w:rPr>
                <w:rFonts w:eastAsia="Calibri"/>
                <w:sz w:val="27"/>
                <w:szCs w:val="27"/>
              </w:rPr>
              <w:t xml:space="preserve"> un pareiz</w:t>
            </w:r>
            <w:r w:rsidRPr="0096530D">
              <w:rPr>
                <w:rFonts w:eastAsia="Calibri"/>
                <w:sz w:val="27"/>
                <w:szCs w:val="27"/>
              </w:rPr>
              <w:t>u, tai skaitā atvieglotāku, piemērošanas kārtību</w:t>
            </w:r>
            <w:r w:rsidR="00C060A4" w:rsidRPr="0096530D">
              <w:rPr>
                <w:rFonts w:eastAsia="Calibri"/>
                <w:sz w:val="27"/>
                <w:szCs w:val="27"/>
              </w:rPr>
              <w:t>:</w:t>
            </w:r>
          </w:p>
          <w:p w:rsidR="00C060A4" w:rsidRPr="0096530D" w:rsidRDefault="00C060A4" w:rsidP="00C060A4">
            <w:pPr>
              <w:numPr>
                <w:ilvl w:val="0"/>
                <w:numId w:val="5"/>
              </w:numPr>
              <w:ind w:left="238" w:hanging="238"/>
              <w:jc w:val="both"/>
              <w:rPr>
                <w:sz w:val="27"/>
                <w:szCs w:val="27"/>
              </w:rPr>
            </w:pPr>
            <w:r w:rsidRPr="0096530D">
              <w:rPr>
                <w:sz w:val="27"/>
                <w:szCs w:val="27"/>
              </w:rPr>
              <w:t xml:space="preserve">precizēt 32.punkta redakciju, tajā iekļauto normu </w:t>
            </w:r>
            <w:r w:rsidR="00462BA3" w:rsidRPr="0096530D">
              <w:rPr>
                <w:sz w:val="27"/>
                <w:szCs w:val="27"/>
              </w:rPr>
              <w:t xml:space="preserve">atbilstoši valsts atbalsta prasībām </w:t>
            </w:r>
            <w:r w:rsidRPr="0096530D">
              <w:rPr>
                <w:sz w:val="27"/>
                <w:szCs w:val="27"/>
              </w:rPr>
              <w:t>attiecinot tikai uz projekta daļu, kuru paredzēts izmantot saimnieciskām pamatdarbībām;</w:t>
            </w:r>
          </w:p>
          <w:p w:rsidR="00C060A4" w:rsidRPr="0096530D" w:rsidRDefault="00462BA3" w:rsidP="00C060A4">
            <w:pPr>
              <w:numPr>
                <w:ilvl w:val="0"/>
                <w:numId w:val="5"/>
              </w:numPr>
              <w:ind w:left="238" w:hanging="238"/>
              <w:jc w:val="both"/>
              <w:rPr>
                <w:sz w:val="27"/>
                <w:szCs w:val="27"/>
              </w:rPr>
            </w:pPr>
            <w:r w:rsidRPr="0096530D">
              <w:rPr>
                <w:sz w:val="27"/>
                <w:szCs w:val="27"/>
              </w:rPr>
              <w:t>precizēt  47.2.8.apakšpunkta redakciju</w:t>
            </w:r>
            <w:r w:rsidR="00C060A4" w:rsidRPr="0096530D">
              <w:rPr>
                <w:sz w:val="27"/>
                <w:szCs w:val="27"/>
              </w:rPr>
              <w:t>, nosakot, ka sadarbības partnera apliecinājums par dalību projekta īstenošanā projekta iesniegumam ir jāpievieno tikai gadījumā, ja projekta iesniegumam atbilstoši 47.2.7.apakšpunktam tiek pievienots sadarbības līguma projekts, nevis jau noslēgta sadarbības līguma apliecināta kopija</w:t>
            </w:r>
            <w:r w:rsidRPr="0096530D">
              <w:rPr>
                <w:sz w:val="27"/>
                <w:szCs w:val="27"/>
              </w:rPr>
              <w:t>, tādējādi samazinot administratīvo slogu projektu iesniedzējam</w:t>
            </w:r>
            <w:r w:rsidR="00C060A4" w:rsidRPr="0096530D">
              <w:rPr>
                <w:sz w:val="27"/>
                <w:szCs w:val="27"/>
              </w:rPr>
              <w:t>;</w:t>
            </w:r>
          </w:p>
          <w:p w:rsidR="00462BA3" w:rsidRPr="0096530D" w:rsidRDefault="00462BA3" w:rsidP="00C060A4">
            <w:pPr>
              <w:numPr>
                <w:ilvl w:val="0"/>
                <w:numId w:val="5"/>
              </w:numPr>
              <w:ind w:left="238" w:hanging="238"/>
              <w:jc w:val="both"/>
              <w:rPr>
                <w:sz w:val="27"/>
                <w:szCs w:val="27"/>
              </w:rPr>
            </w:pPr>
            <w:r w:rsidRPr="0096530D">
              <w:rPr>
                <w:sz w:val="27"/>
                <w:szCs w:val="27"/>
              </w:rPr>
              <w:t>precizēt 44.3.2.apakšpunkta redakciju, nosakot, ka projekta iesnieguma iesniegšanas termiņš nav īsāks par pieciem un nepārsniedz septiņus kalendāra mēnešus no uzaicinājuma iesniegt projekta iesniegumu ierobežotai atlasei nosūtīšanas datuma, tādējādi nodrošinot viennozīmīgu izpratni par projekta iesnieguma iesniegšanas termiņa noteikšanas kārtību;</w:t>
            </w:r>
          </w:p>
          <w:p w:rsidR="00923A03" w:rsidRPr="0096530D" w:rsidRDefault="00462BA3" w:rsidP="009838B7">
            <w:pPr>
              <w:numPr>
                <w:ilvl w:val="0"/>
                <w:numId w:val="5"/>
              </w:numPr>
              <w:ind w:left="238" w:hanging="238"/>
              <w:jc w:val="both"/>
              <w:rPr>
                <w:sz w:val="27"/>
                <w:szCs w:val="27"/>
              </w:rPr>
            </w:pPr>
            <w:r w:rsidRPr="0096530D">
              <w:rPr>
                <w:rFonts w:eastAsia="Calibri"/>
                <w:sz w:val="27"/>
                <w:szCs w:val="27"/>
              </w:rPr>
              <w:t>precizēt projekta iesnieguma veidlapas (</w:t>
            </w:r>
            <w:r w:rsidR="001F216B" w:rsidRPr="0096530D">
              <w:rPr>
                <w:rFonts w:eastAsia="Calibri"/>
                <w:sz w:val="27"/>
                <w:szCs w:val="27"/>
              </w:rPr>
              <w:t>2.pielikums) 6.1.sadaļas tabulas</w:t>
            </w:r>
            <w:r w:rsidRPr="0096530D">
              <w:rPr>
                <w:rFonts w:eastAsia="Calibri"/>
                <w:sz w:val="27"/>
                <w:szCs w:val="27"/>
              </w:rPr>
              <w:t xml:space="preserve">, kā arī 2.pielikuma 1.pielikuma C </w:t>
            </w:r>
            <w:r w:rsidR="001F216B" w:rsidRPr="0096530D">
              <w:rPr>
                <w:rFonts w:eastAsia="Calibri"/>
                <w:sz w:val="27"/>
                <w:szCs w:val="27"/>
              </w:rPr>
              <w:t>daļas 1.1. un 1.2.sadaļas tabulas</w:t>
            </w:r>
            <w:r w:rsidRPr="0096530D">
              <w:rPr>
                <w:rFonts w:eastAsia="Calibri"/>
                <w:sz w:val="27"/>
                <w:szCs w:val="27"/>
              </w:rPr>
              <w:t>, kas atspoguļo projekta budžetu un izmaksu plān</w:t>
            </w:r>
            <w:r w:rsidR="001F216B" w:rsidRPr="0096530D">
              <w:rPr>
                <w:rFonts w:eastAsia="Calibri"/>
                <w:sz w:val="27"/>
                <w:szCs w:val="27"/>
              </w:rPr>
              <w:t xml:space="preserve">u, tādējādi </w:t>
            </w:r>
            <w:r w:rsidR="00C060A4" w:rsidRPr="0096530D">
              <w:rPr>
                <w:sz w:val="27"/>
                <w:szCs w:val="27"/>
              </w:rPr>
              <w:t>valsts nozīmes pētniecības centru veidojošajām zināt</w:t>
            </w:r>
            <w:r w:rsidR="001F216B" w:rsidRPr="0096530D">
              <w:rPr>
                <w:sz w:val="27"/>
                <w:szCs w:val="27"/>
              </w:rPr>
              <w:t>niskajām institūcijām atvieglojot</w:t>
            </w:r>
            <w:r w:rsidR="00C060A4" w:rsidRPr="0096530D">
              <w:rPr>
                <w:sz w:val="27"/>
                <w:szCs w:val="27"/>
              </w:rPr>
              <w:t xml:space="preserve"> projekta iesnieguma veidlapas aizpildīšanu atbilstoši Ministru kabineta </w:t>
            </w:r>
            <w:r w:rsidR="00C060A4" w:rsidRPr="0096530D">
              <w:rPr>
                <w:rFonts w:eastAsia="Calibri"/>
                <w:sz w:val="27"/>
                <w:szCs w:val="27"/>
              </w:rPr>
              <w:t xml:space="preserve">noteikumu </w:t>
            </w:r>
            <w:r w:rsidR="00C060A4" w:rsidRPr="0096530D">
              <w:rPr>
                <w:rFonts w:eastAsia="Calibri"/>
                <w:sz w:val="27"/>
                <w:szCs w:val="27"/>
              </w:rPr>
              <w:lastRenderedPageBreak/>
              <w:t>Nr.987</w:t>
            </w:r>
            <w:r w:rsidR="001F216B" w:rsidRPr="0096530D">
              <w:rPr>
                <w:rFonts w:eastAsia="Calibri"/>
                <w:sz w:val="27"/>
                <w:szCs w:val="27"/>
              </w:rPr>
              <w:t xml:space="preserve"> prasībām.</w:t>
            </w:r>
            <w:r w:rsidR="007D245F" w:rsidRPr="0096530D">
              <w:rPr>
                <w:rFonts w:eastAsia="Calibri"/>
                <w:sz w:val="27"/>
                <w:szCs w:val="27"/>
              </w:rPr>
              <w:t xml:space="preserve"> </w:t>
            </w:r>
          </w:p>
        </w:tc>
      </w:tr>
      <w:tr w:rsidR="007A6DB9" w:rsidRPr="0096530D"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lastRenderedPageBreak/>
              <w:t>5.</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Projekta izstrādē iesaistītās institūcijas</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96530D" w:rsidRDefault="007338B0" w:rsidP="004B34C2">
            <w:pPr>
              <w:rPr>
                <w:sz w:val="27"/>
                <w:szCs w:val="27"/>
              </w:rPr>
            </w:pPr>
            <w:r w:rsidRPr="0096530D">
              <w:rPr>
                <w:sz w:val="27"/>
                <w:szCs w:val="27"/>
              </w:rPr>
              <w:t>Izglītības un zinātnes ministrija</w:t>
            </w:r>
          </w:p>
        </w:tc>
      </w:tr>
      <w:tr w:rsidR="007A6DB9" w:rsidRPr="0096530D"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6.</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Iemesli, kādēļ netika nodrošināta sabiedrības līdzdalība</w:t>
            </w:r>
          </w:p>
        </w:tc>
        <w:tc>
          <w:tcPr>
            <w:tcW w:w="3497" w:type="pct"/>
            <w:tcBorders>
              <w:top w:val="outset" w:sz="6" w:space="0" w:color="000000"/>
              <w:left w:val="outset" w:sz="6" w:space="0" w:color="000000"/>
              <w:bottom w:val="outset" w:sz="6" w:space="0" w:color="000000"/>
              <w:right w:val="outset" w:sz="6" w:space="0" w:color="000000"/>
            </w:tcBorders>
            <w:hideMark/>
          </w:tcPr>
          <w:p w:rsidR="00FE35D4" w:rsidRPr="0096530D" w:rsidRDefault="007338B0" w:rsidP="00A72ED6">
            <w:pPr>
              <w:rPr>
                <w:sz w:val="27"/>
                <w:szCs w:val="27"/>
              </w:rPr>
            </w:pPr>
            <w:r w:rsidRPr="0096530D">
              <w:rPr>
                <w:sz w:val="27"/>
                <w:szCs w:val="27"/>
              </w:rPr>
              <w:t>Noteikumu projekts šo jomu neskar</w:t>
            </w:r>
          </w:p>
        </w:tc>
      </w:tr>
      <w:tr w:rsidR="007A6DB9" w:rsidRPr="0096530D"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7.</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Cita informācija</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96530D" w:rsidRDefault="007A6DB9" w:rsidP="004B34C2">
            <w:pPr>
              <w:rPr>
                <w:sz w:val="27"/>
                <w:szCs w:val="27"/>
              </w:rPr>
            </w:pPr>
            <w:r w:rsidRPr="0096530D">
              <w:rPr>
                <w:sz w:val="27"/>
                <w:szCs w:val="27"/>
              </w:rPr>
              <w:t>Nav</w:t>
            </w:r>
          </w:p>
        </w:tc>
      </w:tr>
    </w:tbl>
    <w:p w:rsidR="002F3E81" w:rsidRPr="0096530D" w:rsidRDefault="007A6DB9" w:rsidP="004B34C2">
      <w:pPr>
        <w:rPr>
          <w:sz w:val="27"/>
          <w:szCs w:val="27"/>
        </w:rPr>
      </w:pPr>
      <w:r w:rsidRPr="0096530D">
        <w:rPr>
          <w:sz w:val="27"/>
          <w:szCs w:val="27"/>
        </w:rPr>
        <w:t> </w:t>
      </w:r>
    </w:p>
    <w:tbl>
      <w:tblPr>
        <w:tblW w:w="48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7"/>
        <w:gridCol w:w="2534"/>
        <w:gridCol w:w="5969"/>
      </w:tblGrid>
      <w:tr w:rsidR="002F3E81" w:rsidRPr="0096530D" w:rsidTr="00500F48">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F3E81" w:rsidRPr="0096530D" w:rsidRDefault="002F3E81" w:rsidP="004B34C2">
            <w:pPr>
              <w:jc w:val="center"/>
              <w:rPr>
                <w:b/>
                <w:bCs/>
                <w:sz w:val="27"/>
                <w:szCs w:val="27"/>
              </w:rPr>
            </w:pPr>
            <w:r w:rsidRPr="0096530D">
              <w:rPr>
                <w:b/>
                <w:bCs/>
                <w:sz w:val="27"/>
                <w:szCs w:val="27"/>
              </w:rPr>
              <w:t>II. Tiesību akta projekta ietekme uz sabiedrību</w:t>
            </w:r>
          </w:p>
        </w:tc>
      </w:tr>
      <w:tr w:rsidR="002F3E81" w:rsidRPr="0096530D" w:rsidTr="00500F48">
        <w:tc>
          <w:tcPr>
            <w:tcW w:w="23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rPr>
                <w:sz w:val="27"/>
                <w:szCs w:val="27"/>
              </w:rPr>
            </w:pPr>
            <w:r w:rsidRPr="0096530D">
              <w:rPr>
                <w:sz w:val="27"/>
                <w:szCs w:val="27"/>
              </w:rPr>
              <w:t>1.</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ind w:right="-57"/>
              <w:rPr>
                <w:sz w:val="27"/>
                <w:szCs w:val="27"/>
              </w:rPr>
            </w:pPr>
            <w:r w:rsidRPr="0096530D">
              <w:rPr>
                <w:sz w:val="27"/>
                <w:szCs w:val="27"/>
              </w:rPr>
              <w:t xml:space="preserve">Sabiedrības </w:t>
            </w:r>
            <w:proofErr w:type="spellStart"/>
            <w:r w:rsidRPr="0096530D">
              <w:rPr>
                <w:sz w:val="27"/>
                <w:szCs w:val="27"/>
              </w:rPr>
              <w:t>mērķgrupa</w:t>
            </w:r>
            <w:proofErr w:type="spellEnd"/>
          </w:p>
        </w:tc>
        <w:tc>
          <w:tcPr>
            <w:tcW w:w="3343" w:type="pct"/>
            <w:tcBorders>
              <w:top w:val="outset" w:sz="6" w:space="0" w:color="000000"/>
              <w:left w:val="outset" w:sz="6" w:space="0" w:color="000000"/>
              <w:bottom w:val="outset" w:sz="6" w:space="0" w:color="000000"/>
              <w:right w:val="outset" w:sz="6" w:space="0" w:color="000000"/>
            </w:tcBorders>
            <w:hideMark/>
          </w:tcPr>
          <w:p w:rsidR="002F3E81" w:rsidRPr="0096530D" w:rsidRDefault="001A685A" w:rsidP="007D245F">
            <w:pPr>
              <w:pStyle w:val="naisf"/>
              <w:ind w:firstLine="0"/>
              <w:rPr>
                <w:sz w:val="27"/>
                <w:szCs w:val="27"/>
              </w:rPr>
            </w:pPr>
            <w:r w:rsidRPr="0096530D">
              <w:rPr>
                <w:sz w:val="27"/>
                <w:szCs w:val="27"/>
              </w:rPr>
              <w:t>Z</w:t>
            </w:r>
            <w:r w:rsidR="001D1A28" w:rsidRPr="0096530D">
              <w:rPr>
                <w:sz w:val="27"/>
                <w:szCs w:val="27"/>
              </w:rPr>
              <w:t>inātniskās institūcijas</w:t>
            </w:r>
            <w:r w:rsidRPr="0096530D">
              <w:rPr>
                <w:sz w:val="27"/>
                <w:szCs w:val="27"/>
              </w:rPr>
              <w:t xml:space="preserve">, kas ir </w:t>
            </w:r>
            <w:r w:rsidR="0078399D" w:rsidRPr="0096530D">
              <w:rPr>
                <w:sz w:val="27"/>
                <w:szCs w:val="27"/>
              </w:rPr>
              <w:t xml:space="preserve">projekta iesniedzēji </w:t>
            </w:r>
            <w:r w:rsidRPr="0096530D">
              <w:rPr>
                <w:sz w:val="27"/>
                <w:szCs w:val="27"/>
              </w:rPr>
              <w:t>2.1.1.</w:t>
            </w:r>
            <w:r w:rsidR="007D245F" w:rsidRPr="0096530D">
              <w:rPr>
                <w:sz w:val="27"/>
                <w:szCs w:val="27"/>
              </w:rPr>
              <w:t>3</w:t>
            </w:r>
            <w:r w:rsidRPr="0096530D">
              <w:rPr>
                <w:sz w:val="27"/>
                <w:szCs w:val="27"/>
              </w:rPr>
              <w:t>.</w:t>
            </w:r>
            <w:r w:rsidR="007D245F" w:rsidRPr="0096530D">
              <w:rPr>
                <w:sz w:val="27"/>
                <w:szCs w:val="27"/>
              </w:rPr>
              <w:t>1.apakš</w:t>
            </w:r>
            <w:r w:rsidRPr="0096530D">
              <w:rPr>
                <w:sz w:val="27"/>
                <w:szCs w:val="27"/>
              </w:rPr>
              <w:t>aktivitāt</w:t>
            </w:r>
            <w:r w:rsidR="007D245F" w:rsidRPr="0096530D">
              <w:rPr>
                <w:sz w:val="27"/>
                <w:szCs w:val="27"/>
              </w:rPr>
              <w:t>es pirmajā atlases kārtā</w:t>
            </w:r>
            <w:r w:rsidR="00E2280B" w:rsidRPr="0096530D">
              <w:rPr>
                <w:sz w:val="27"/>
                <w:szCs w:val="27"/>
              </w:rPr>
              <w:t>.</w:t>
            </w:r>
          </w:p>
        </w:tc>
      </w:tr>
      <w:tr w:rsidR="002F3E81" w:rsidRPr="0096530D" w:rsidTr="00500F48">
        <w:tc>
          <w:tcPr>
            <w:tcW w:w="23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rPr>
                <w:sz w:val="27"/>
                <w:szCs w:val="27"/>
              </w:rPr>
            </w:pPr>
            <w:r w:rsidRPr="0096530D">
              <w:rPr>
                <w:sz w:val="27"/>
                <w:szCs w:val="27"/>
              </w:rPr>
              <w:t>2.</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ind w:right="-57"/>
              <w:rPr>
                <w:sz w:val="27"/>
                <w:szCs w:val="27"/>
              </w:rPr>
            </w:pPr>
            <w:r w:rsidRPr="0096530D">
              <w:rPr>
                <w:sz w:val="27"/>
                <w:szCs w:val="27"/>
              </w:rPr>
              <w:t xml:space="preserve">Citas sabiedrības grupas (bez </w:t>
            </w:r>
            <w:proofErr w:type="spellStart"/>
            <w:r w:rsidRPr="0096530D">
              <w:rPr>
                <w:sz w:val="27"/>
                <w:szCs w:val="27"/>
              </w:rPr>
              <w:t>mērķgrupas</w:t>
            </w:r>
            <w:proofErr w:type="spellEnd"/>
            <w:r w:rsidRPr="0096530D">
              <w:rPr>
                <w:sz w:val="27"/>
                <w:szCs w:val="27"/>
              </w:rPr>
              <w:t>), kuras tiesiskais regulējums arī ietekmē vai varētu ietekmēt</w:t>
            </w:r>
          </w:p>
        </w:tc>
        <w:tc>
          <w:tcPr>
            <w:tcW w:w="3343" w:type="pct"/>
            <w:tcBorders>
              <w:top w:val="outset" w:sz="6" w:space="0" w:color="000000"/>
              <w:left w:val="outset" w:sz="6" w:space="0" w:color="000000"/>
              <w:bottom w:val="outset" w:sz="6" w:space="0" w:color="000000"/>
              <w:right w:val="outset" w:sz="6" w:space="0" w:color="000000"/>
            </w:tcBorders>
            <w:hideMark/>
          </w:tcPr>
          <w:p w:rsidR="002F3E81" w:rsidRPr="0096530D" w:rsidRDefault="00F7576E" w:rsidP="00F7576E">
            <w:pPr>
              <w:jc w:val="both"/>
              <w:rPr>
                <w:sz w:val="27"/>
                <w:szCs w:val="27"/>
              </w:rPr>
            </w:pPr>
            <w:r w:rsidRPr="0096530D">
              <w:rPr>
                <w:sz w:val="27"/>
                <w:szCs w:val="27"/>
              </w:rPr>
              <w:t>Noteikumu projekts šo jomu neskar</w:t>
            </w:r>
          </w:p>
        </w:tc>
      </w:tr>
      <w:tr w:rsidR="002F3E81" w:rsidRPr="0096530D" w:rsidTr="00500F48">
        <w:tc>
          <w:tcPr>
            <w:tcW w:w="23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rPr>
                <w:sz w:val="27"/>
                <w:szCs w:val="27"/>
              </w:rPr>
            </w:pPr>
            <w:r w:rsidRPr="0096530D">
              <w:rPr>
                <w:sz w:val="27"/>
                <w:szCs w:val="27"/>
              </w:rPr>
              <w:t>3.</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ind w:right="-57"/>
              <w:rPr>
                <w:sz w:val="27"/>
                <w:szCs w:val="27"/>
              </w:rPr>
            </w:pPr>
            <w:r w:rsidRPr="0096530D">
              <w:rPr>
                <w:sz w:val="27"/>
                <w:szCs w:val="27"/>
              </w:rPr>
              <w:t>Tiesiskā regulējuma finansiālā ietekme</w:t>
            </w:r>
          </w:p>
        </w:tc>
        <w:tc>
          <w:tcPr>
            <w:tcW w:w="3343" w:type="pct"/>
            <w:tcBorders>
              <w:top w:val="outset" w:sz="6" w:space="0" w:color="000000"/>
              <w:left w:val="outset" w:sz="6" w:space="0" w:color="000000"/>
              <w:bottom w:val="outset" w:sz="6" w:space="0" w:color="000000"/>
              <w:right w:val="outset" w:sz="6" w:space="0" w:color="000000"/>
            </w:tcBorders>
            <w:hideMark/>
          </w:tcPr>
          <w:p w:rsidR="002F3E81" w:rsidRPr="0096530D" w:rsidRDefault="00F7576E" w:rsidP="00F7576E">
            <w:pPr>
              <w:rPr>
                <w:sz w:val="27"/>
                <w:szCs w:val="27"/>
              </w:rPr>
            </w:pPr>
            <w:r w:rsidRPr="0096530D">
              <w:rPr>
                <w:sz w:val="27"/>
                <w:szCs w:val="27"/>
              </w:rPr>
              <w:t>Noteikumu projekts šo jomu neskar</w:t>
            </w:r>
          </w:p>
        </w:tc>
      </w:tr>
      <w:tr w:rsidR="002F3E81" w:rsidRPr="0096530D" w:rsidTr="00500F48">
        <w:tc>
          <w:tcPr>
            <w:tcW w:w="23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rPr>
                <w:sz w:val="27"/>
                <w:szCs w:val="27"/>
              </w:rPr>
            </w:pPr>
            <w:r w:rsidRPr="0096530D">
              <w:rPr>
                <w:sz w:val="27"/>
                <w:szCs w:val="27"/>
              </w:rPr>
              <w:t>4.</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ind w:right="-57"/>
              <w:rPr>
                <w:sz w:val="27"/>
                <w:szCs w:val="27"/>
              </w:rPr>
            </w:pPr>
            <w:r w:rsidRPr="0096530D">
              <w:rPr>
                <w:sz w:val="27"/>
                <w:szCs w:val="27"/>
              </w:rPr>
              <w:t>Tiesiskā regulējuma nefinansiālā ietekme</w:t>
            </w:r>
          </w:p>
        </w:tc>
        <w:tc>
          <w:tcPr>
            <w:tcW w:w="3343" w:type="pct"/>
            <w:tcBorders>
              <w:top w:val="outset" w:sz="6" w:space="0" w:color="000000"/>
              <w:left w:val="outset" w:sz="6" w:space="0" w:color="000000"/>
              <w:bottom w:val="outset" w:sz="6" w:space="0" w:color="000000"/>
              <w:right w:val="outset" w:sz="6" w:space="0" w:color="000000"/>
            </w:tcBorders>
            <w:hideMark/>
          </w:tcPr>
          <w:p w:rsidR="00FC349F" w:rsidRPr="0096530D" w:rsidRDefault="001A685A" w:rsidP="00573B4B">
            <w:pPr>
              <w:tabs>
                <w:tab w:val="left" w:pos="1080"/>
              </w:tabs>
              <w:jc w:val="both"/>
              <w:rPr>
                <w:sz w:val="27"/>
                <w:szCs w:val="27"/>
              </w:rPr>
            </w:pPr>
            <w:r w:rsidRPr="0096530D">
              <w:rPr>
                <w:rFonts w:eastAsia="Calibri"/>
                <w:color w:val="000000"/>
                <w:sz w:val="27"/>
                <w:szCs w:val="27"/>
              </w:rPr>
              <w:t xml:space="preserve">Noteikumu projektam ir pozitīva </w:t>
            </w:r>
            <w:r w:rsidRPr="0096530D">
              <w:rPr>
                <w:sz w:val="27"/>
                <w:szCs w:val="27"/>
              </w:rPr>
              <w:t xml:space="preserve">ietekme uz </w:t>
            </w:r>
            <w:r w:rsidR="00AD1390" w:rsidRPr="0096530D">
              <w:rPr>
                <w:sz w:val="27"/>
                <w:szCs w:val="27"/>
              </w:rPr>
              <w:t xml:space="preserve">projekta iesniedzēju, </w:t>
            </w:r>
            <w:r w:rsidRPr="0096530D">
              <w:rPr>
                <w:sz w:val="27"/>
                <w:szCs w:val="27"/>
              </w:rPr>
              <w:t>jo</w:t>
            </w:r>
            <w:r w:rsidR="00573B4B" w:rsidRPr="0096530D">
              <w:rPr>
                <w:sz w:val="27"/>
                <w:szCs w:val="27"/>
              </w:rPr>
              <w:t xml:space="preserve">, nodrošinot iespēju </w:t>
            </w:r>
            <w:r w:rsidR="00AD1390" w:rsidRPr="0096530D">
              <w:rPr>
                <w:sz w:val="27"/>
                <w:szCs w:val="27"/>
              </w:rPr>
              <w:t xml:space="preserve"> </w:t>
            </w:r>
            <w:r w:rsidR="00573B4B" w:rsidRPr="0096530D">
              <w:rPr>
                <w:sz w:val="27"/>
                <w:szCs w:val="27"/>
              </w:rPr>
              <w:t xml:space="preserve">kombinēta atbalsta veida projekta </w:t>
            </w:r>
            <w:r w:rsidR="00580B84" w:rsidRPr="0096530D">
              <w:rPr>
                <w:sz w:val="27"/>
                <w:szCs w:val="27"/>
              </w:rPr>
              <w:t>attiecināmajās izmaksās iekļaut no Valsts ieņēmumu dienesta neatgūstamā pievienotās vērtības nodokļa maksājumus</w:t>
            </w:r>
            <w:r w:rsidR="00573B4B" w:rsidRPr="0096530D">
              <w:rPr>
                <w:sz w:val="27"/>
                <w:szCs w:val="27"/>
              </w:rPr>
              <w:t xml:space="preserve">, tiek samazināts projekta īstenošanas finansiālais slogs, </w:t>
            </w:r>
            <w:r w:rsidR="00580B84" w:rsidRPr="0096530D">
              <w:rPr>
                <w:sz w:val="27"/>
                <w:szCs w:val="27"/>
              </w:rPr>
              <w:t xml:space="preserve">kā arī ar noteikumu projektu valsts nozīmes pētniecības centru veidojošajām zinātniskajām institūcijām tiek atvieglota projekta iesnieguma veidlapas aizpildīšana atbilstoši Ministru kabineta </w:t>
            </w:r>
            <w:r w:rsidR="00580B84" w:rsidRPr="0096530D">
              <w:rPr>
                <w:rFonts w:eastAsia="Calibri"/>
                <w:sz w:val="27"/>
                <w:szCs w:val="27"/>
              </w:rPr>
              <w:t>noteikumu Nr.987 prasībām</w:t>
            </w:r>
            <w:r w:rsidR="00580B84" w:rsidRPr="0096530D">
              <w:rPr>
                <w:sz w:val="27"/>
                <w:szCs w:val="27"/>
              </w:rPr>
              <w:t>.</w:t>
            </w:r>
          </w:p>
        </w:tc>
      </w:tr>
      <w:tr w:rsidR="002F3E81" w:rsidRPr="0096530D" w:rsidTr="00500F48">
        <w:tc>
          <w:tcPr>
            <w:tcW w:w="23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rPr>
                <w:sz w:val="27"/>
                <w:szCs w:val="27"/>
              </w:rPr>
            </w:pPr>
            <w:r w:rsidRPr="0096530D">
              <w:rPr>
                <w:sz w:val="27"/>
                <w:szCs w:val="27"/>
              </w:rPr>
              <w:t>5.</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ind w:right="-57"/>
              <w:rPr>
                <w:sz w:val="27"/>
                <w:szCs w:val="27"/>
              </w:rPr>
            </w:pPr>
            <w:r w:rsidRPr="0096530D">
              <w:rPr>
                <w:sz w:val="27"/>
                <w:szCs w:val="27"/>
              </w:rPr>
              <w:t>Administratīvās procedūras raksturojums</w:t>
            </w:r>
          </w:p>
        </w:tc>
        <w:tc>
          <w:tcPr>
            <w:tcW w:w="3343" w:type="pct"/>
            <w:tcBorders>
              <w:top w:val="outset" w:sz="6" w:space="0" w:color="000000"/>
              <w:left w:val="outset" w:sz="6" w:space="0" w:color="000000"/>
              <w:bottom w:val="outset" w:sz="6" w:space="0" w:color="000000"/>
              <w:right w:val="outset" w:sz="6" w:space="0" w:color="000000"/>
            </w:tcBorders>
            <w:hideMark/>
          </w:tcPr>
          <w:p w:rsidR="002F3E81" w:rsidRPr="0096530D" w:rsidRDefault="00A11252" w:rsidP="004B34C2">
            <w:pPr>
              <w:rPr>
                <w:sz w:val="27"/>
                <w:szCs w:val="27"/>
              </w:rPr>
            </w:pPr>
            <w:r w:rsidRPr="0096530D">
              <w:rPr>
                <w:sz w:val="27"/>
                <w:szCs w:val="27"/>
              </w:rPr>
              <w:t>Noteikumu projekts šo jomu neskar</w:t>
            </w:r>
          </w:p>
        </w:tc>
      </w:tr>
      <w:tr w:rsidR="002F3E81" w:rsidRPr="0096530D" w:rsidTr="00500F48">
        <w:tc>
          <w:tcPr>
            <w:tcW w:w="23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rPr>
                <w:sz w:val="27"/>
                <w:szCs w:val="27"/>
              </w:rPr>
            </w:pPr>
            <w:r w:rsidRPr="0096530D">
              <w:rPr>
                <w:sz w:val="27"/>
                <w:szCs w:val="27"/>
              </w:rPr>
              <w:t>6.</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ind w:right="-57"/>
              <w:rPr>
                <w:sz w:val="27"/>
                <w:szCs w:val="27"/>
              </w:rPr>
            </w:pPr>
            <w:r w:rsidRPr="0096530D">
              <w:rPr>
                <w:sz w:val="27"/>
                <w:szCs w:val="27"/>
              </w:rPr>
              <w:t>Administratīvo izmaksu monetārs novērtējums</w:t>
            </w:r>
          </w:p>
        </w:tc>
        <w:tc>
          <w:tcPr>
            <w:tcW w:w="3343" w:type="pct"/>
            <w:tcBorders>
              <w:top w:val="outset" w:sz="6" w:space="0" w:color="000000"/>
              <w:left w:val="outset" w:sz="6" w:space="0" w:color="000000"/>
              <w:bottom w:val="outset" w:sz="6" w:space="0" w:color="000000"/>
              <w:right w:val="outset" w:sz="6" w:space="0" w:color="000000"/>
            </w:tcBorders>
            <w:hideMark/>
          </w:tcPr>
          <w:p w:rsidR="002F3E81" w:rsidRPr="0096530D" w:rsidRDefault="00A11252" w:rsidP="004B34C2">
            <w:pPr>
              <w:rPr>
                <w:sz w:val="27"/>
                <w:szCs w:val="27"/>
              </w:rPr>
            </w:pPr>
            <w:r w:rsidRPr="0096530D">
              <w:rPr>
                <w:sz w:val="27"/>
                <w:szCs w:val="27"/>
              </w:rPr>
              <w:t>Noteikumu projekts šo jomu neskar</w:t>
            </w:r>
          </w:p>
        </w:tc>
      </w:tr>
      <w:tr w:rsidR="002F3E81" w:rsidRPr="0096530D" w:rsidTr="00500F48">
        <w:tc>
          <w:tcPr>
            <w:tcW w:w="23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rPr>
                <w:sz w:val="27"/>
                <w:szCs w:val="27"/>
              </w:rPr>
            </w:pPr>
            <w:r w:rsidRPr="0096530D">
              <w:rPr>
                <w:sz w:val="27"/>
                <w:szCs w:val="27"/>
              </w:rPr>
              <w:t>7.</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96530D" w:rsidRDefault="002F3E81" w:rsidP="004B34C2">
            <w:pPr>
              <w:ind w:right="-57"/>
              <w:rPr>
                <w:sz w:val="27"/>
                <w:szCs w:val="27"/>
              </w:rPr>
            </w:pPr>
            <w:r w:rsidRPr="0096530D">
              <w:rPr>
                <w:sz w:val="27"/>
                <w:szCs w:val="27"/>
              </w:rPr>
              <w:t>Cita informācija</w:t>
            </w:r>
          </w:p>
        </w:tc>
        <w:tc>
          <w:tcPr>
            <w:tcW w:w="3343" w:type="pct"/>
            <w:tcBorders>
              <w:top w:val="outset" w:sz="6" w:space="0" w:color="000000"/>
              <w:left w:val="outset" w:sz="6" w:space="0" w:color="000000"/>
              <w:bottom w:val="outset" w:sz="6" w:space="0" w:color="000000"/>
              <w:right w:val="outset" w:sz="6" w:space="0" w:color="000000"/>
            </w:tcBorders>
            <w:hideMark/>
          </w:tcPr>
          <w:p w:rsidR="002F3E81" w:rsidRPr="0096530D" w:rsidRDefault="008C3705" w:rsidP="004B34C2">
            <w:pPr>
              <w:rPr>
                <w:sz w:val="27"/>
                <w:szCs w:val="27"/>
              </w:rPr>
            </w:pPr>
            <w:r w:rsidRPr="0096530D">
              <w:rPr>
                <w:sz w:val="27"/>
                <w:szCs w:val="27"/>
              </w:rPr>
              <w:t>Nav</w:t>
            </w:r>
          </w:p>
        </w:tc>
      </w:tr>
    </w:tbl>
    <w:p w:rsidR="008B61BB" w:rsidRPr="0096530D" w:rsidRDefault="008B61BB" w:rsidP="008B61BB">
      <w:pPr>
        <w:jc w:val="both"/>
        <w:rPr>
          <w:b/>
          <w:sz w:val="27"/>
          <w:szCs w:val="27"/>
        </w:rPr>
      </w:pPr>
    </w:p>
    <w:p w:rsidR="002F3E81" w:rsidRPr="0096530D" w:rsidRDefault="00100200" w:rsidP="008B61BB">
      <w:pPr>
        <w:jc w:val="both"/>
        <w:rPr>
          <w:b/>
          <w:sz w:val="27"/>
          <w:szCs w:val="27"/>
        </w:rPr>
      </w:pPr>
      <w:r w:rsidRPr="0096530D">
        <w:rPr>
          <w:b/>
          <w:sz w:val="27"/>
          <w:szCs w:val="27"/>
        </w:rPr>
        <w:t xml:space="preserve">Anotācijas III, IV, V un VI sadaļa – </w:t>
      </w:r>
      <w:r w:rsidR="009F4C56">
        <w:rPr>
          <w:b/>
          <w:sz w:val="27"/>
          <w:szCs w:val="27"/>
        </w:rPr>
        <w:t>noteikumu projekts šīs jomas neskar</w:t>
      </w:r>
      <w:r w:rsidRPr="0096530D">
        <w:rPr>
          <w:b/>
          <w:sz w:val="27"/>
          <w:szCs w:val="27"/>
        </w:rPr>
        <w:t>.</w:t>
      </w:r>
    </w:p>
    <w:p w:rsidR="008B61BB" w:rsidRPr="0096530D" w:rsidRDefault="008B61BB" w:rsidP="008B61BB">
      <w:pPr>
        <w:jc w:val="both"/>
        <w:rPr>
          <w:b/>
          <w:sz w:val="27"/>
          <w:szCs w:val="27"/>
        </w:rPr>
      </w:pPr>
    </w:p>
    <w:tbl>
      <w:tblPr>
        <w:tblW w:w="49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564"/>
        <w:gridCol w:w="6124"/>
      </w:tblGrid>
      <w:tr w:rsidR="00100200" w:rsidRPr="0096530D" w:rsidTr="00A94662">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jc w:val="center"/>
              <w:rPr>
                <w:b/>
                <w:bCs/>
                <w:sz w:val="27"/>
                <w:szCs w:val="27"/>
              </w:rPr>
            </w:pPr>
            <w:r w:rsidRPr="0096530D">
              <w:rPr>
                <w:b/>
                <w:bCs/>
                <w:sz w:val="27"/>
                <w:szCs w:val="27"/>
              </w:rPr>
              <w:t>VII. Tiesību akta projekta izpildes nodrošināšana un tās ietekme uz institūcijām</w:t>
            </w:r>
          </w:p>
        </w:tc>
      </w:tr>
      <w:tr w:rsidR="00100200" w:rsidRPr="009653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1.</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Projekta izpildē iesaistītās institūcijas</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96530D" w:rsidRDefault="00C6442A" w:rsidP="00C6442A">
            <w:pPr>
              <w:jc w:val="both"/>
              <w:rPr>
                <w:sz w:val="27"/>
                <w:szCs w:val="27"/>
              </w:rPr>
            </w:pPr>
            <w:r w:rsidRPr="0096530D">
              <w:rPr>
                <w:sz w:val="27"/>
                <w:szCs w:val="27"/>
              </w:rPr>
              <w:t>Projekta izpildi nodrošinās Izglītības un zinātnes ministrija, Valsts izglītības attīstības aģentūra un projekta iesniedzēji – zinātniskās institūcijas.</w:t>
            </w:r>
          </w:p>
        </w:tc>
      </w:tr>
      <w:tr w:rsidR="00100200" w:rsidRPr="009653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2.</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Projekta izpildes ietekme uz pārvaldes funkcijām</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96530D" w:rsidRDefault="009D6542" w:rsidP="008B61BB">
            <w:pPr>
              <w:jc w:val="both"/>
              <w:rPr>
                <w:sz w:val="27"/>
                <w:szCs w:val="27"/>
              </w:rPr>
            </w:pPr>
            <w:r w:rsidRPr="0096530D">
              <w:rPr>
                <w:sz w:val="27"/>
                <w:szCs w:val="27"/>
              </w:rPr>
              <w:t>Projekta izpilde tiks nodrošināta Izglītības un zinātnes ministrijas un Valsts izglītības attīstības aģentūras funkciju ietvaros.</w:t>
            </w:r>
          </w:p>
        </w:tc>
      </w:tr>
      <w:tr w:rsidR="00100200" w:rsidRPr="009653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3.</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Projekta izpildes ietekme uz pārvaldes institucionālo struktūru.</w:t>
            </w:r>
          </w:p>
          <w:p w:rsidR="00100200" w:rsidRPr="0096530D" w:rsidRDefault="00100200" w:rsidP="004B34C2">
            <w:pPr>
              <w:rPr>
                <w:sz w:val="27"/>
                <w:szCs w:val="27"/>
              </w:rPr>
            </w:pPr>
            <w:r w:rsidRPr="0096530D">
              <w:rPr>
                <w:sz w:val="27"/>
                <w:szCs w:val="27"/>
              </w:rPr>
              <w:t>Jaunu institūciju izveide</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96530D" w:rsidRDefault="009D6542" w:rsidP="00B26843">
            <w:pPr>
              <w:jc w:val="both"/>
              <w:rPr>
                <w:sz w:val="27"/>
                <w:szCs w:val="27"/>
              </w:rPr>
            </w:pPr>
            <w:r w:rsidRPr="0096530D">
              <w:rPr>
                <w:sz w:val="27"/>
                <w:szCs w:val="27"/>
              </w:rPr>
              <w:t>Netiks radītas jaunas institūcijas, funkcijas tiks izpildītas Izglītības un zinātnes ministrijas un Valsts izglītības attīstības aģentūras funkciju ietvaros.</w:t>
            </w:r>
          </w:p>
        </w:tc>
      </w:tr>
      <w:tr w:rsidR="00100200" w:rsidRPr="009653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4.</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Projekta izpildes ietekme uz pārvaldes institucionālo struktūru.</w:t>
            </w:r>
          </w:p>
          <w:p w:rsidR="00100200" w:rsidRPr="0096530D" w:rsidRDefault="00100200" w:rsidP="004B34C2">
            <w:pPr>
              <w:rPr>
                <w:sz w:val="27"/>
                <w:szCs w:val="27"/>
              </w:rPr>
            </w:pPr>
            <w:r w:rsidRPr="0096530D">
              <w:rPr>
                <w:sz w:val="27"/>
                <w:szCs w:val="27"/>
              </w:rPr>
              <w:t>Esošu institūciju likvidācija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96530D" w:rsidRDefault="009913D7" w:rsidP="004B34C2">
            <w:pPr>
              <w:rPr>
                <w:sz w:val="27"/>
                <w:szCs w:val="27"/>
              </w:rPr>
            </w:pPr>
            <w:r w:rsidRPr="0096530D">
              <w:rPr>
                <w:sz w:val="27"/>
                <w:szCs w:val="27"/>
              </w:rPr>
              <w:t>Noteikumu projekts šo jomu neskar</w:t>
            </w:r>
          </w:p>
        </w:tc>
      </w:tr>
      <w:tr w:rsidR="00100200" w:rsidRPr="009653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5.</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Projekta izpildes ietekme uz pārvaldes institucionālo struktūru.</w:t>
            </w:r>
          </w:p>
          <w:p w:rsidR="00100200" w:rsidRPr="0096530D" w:rsidRDefault="00100200" w:rsidP="004B34C2">
            <w:pPr>
              <w:rPr>
                <w:sz w:val="27"/>
                <w:szCs w:val="27"/>
              </w:rPr>
            </w:pPr>
            <w:r w:rsidRPr="0096530D">
              <w:rPr>
                <w:sz w:val="27"/>
                <w:szCs w:val="27"/>
              </w:rPr>
              <w:t>Esošu institūciju reorganizācija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96530D" w:rsidRDefault="009913D7" w:rsidP="004B34C2">
            <w:pPr>
              <w:rPr>
                <w:sz w:val="27"/>
                <w:szCs w:val="27"/>
              </w:rPr>
            </w:pPr>
            <w:r w:rsidRPr="0096530D">
              <w:rPr>
                <w:sz w:val="27"/>
                <w:szCs w:val="27"/>
              </w:rPr>
              <w:t>Noteikumu projekts šo jomu neskar</w:t>
            </w:r>
          </w:p>
        </w:tc>
      </w:tr>
      <w:tr w:rsidR="00100200" w:rsidRPr="009653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6.</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Cita informācija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96530D" w:rsidRDefault="00100200" w:rsidP="004B34C2">
            <w:pPr>
              <w:rPr>
                <w:sz w:val="27"/>
                <w:szCs w:val="27"/>
              </w:rPr>
            </w:pPr>
            <w:r w:rsidRPr="0096530D">
              <w:rPr>
                <w:sz w:val="27"/>
                <w:szCs w:val="27"/>
              </w:rPr>
              <w:t>Nav</w:t>
            </w:r>
          </w:p>
        </w:tc>
      </w:tr>
    </w:tbl>
    <w:p w:rsidR="007A6DB9" w:rsidRPr="0096530D" w:rsidRDefault="007A6DB9" w:rsidP="004B34C2">
      <w:pPr>
        <w:jc w:val="both"/>
        <w:rPr>
          <w:sz w:val="27"/>
          <w:szCs w:val="27"/>
        </w:rPr>
      </w:pPr>
    </w:p>
    <w:p w:rsidR="00C34957" w:rsidRPr="0096530D" w:rsidRDefault="00C34957" w:rsidP="002E208C">
      <w:pPr>
        <w:jc w:val="both"/>
        <w:rPr>
          <w:sz w:val="27"/>
          <w:szCs w:val="27"/>
        </w:rPr>
      </w:pPr>
    </w:p>
    <w:p w:rsidR="003F5248" w:rsidRPr="0096530D" w:rsidRDefault="003F5248" w:rsidP="002E208C">
      <w:pPr>
        <w:jc w:val="both"/>
        <w:rPr>
          <w:sz w:val="27"/>
          <w:szCs w:val="27"/>
        </w:rPr>
      </w:pPr>
      <w:r w:rsidRPr="0096530D">
        <w:rPr>
          <w:sz w:val="27"/>
          <w:szCs w:val="27"/>
        </w:rPr>
        <w:tab/>
        <w:t>Izglītības un zinātnes ministr</w:t>
      </w:r>
      <w:r w:rsidR="00E53140" w:rsidRPr="0096530D">
        <w:rPr>
          <w:sz w:val="27"/>
          <w:szCs w:val="27"/>
        </w:rPr>
        <w:t>s</w:t>
      </w:r>
      <w:r w:rsidRPr="0096530D">
        <w:rPr>
          <w:sz w:val="27"/>
          <w:szCs w:val="27"/>
        </w:rPr>
        <w:tab/>
      </w:r>
      <w:r w:rsidRPr="0096530D">
        <w:rPr>
          <w:sz w:val="27"/>
          <w:szCs w:val="27"/>
        </w:rPr>
        <w:tab/>
      </w:r>
      <w:r w:rsidR="00F42D3D" w:rsidRPr="0096530D">
        <w:rPr>
          <w:sz w:val="27"/>
          <w:szCs w:val="27"/>
        </w:rPr>
        <w:tab/>
      </w:r>
      <w:r w:rsidR="00F42D3D" w:rsidRPr="0096530D">
        <w:rPr>
          <w:sz w:val="27"/>
          <w:szCs w:val="27"/>
        </w:rPr>
        <w:tab/>
      </w:r>
      <w:r w:rsidR="00E53140" w:rsidRPr="0096530D">
        <w:rPr>
          <w:sz w:val="27"/>
          <w:szCs w:val="27"/>
        </w:rPr>
        <w:tab/>
      </w:r>
      <w:proofErr w:type="spellStart"/>
      <w:r w:rsidR="00E53140" w:rsidRPr="0096530D">
        <w:rPr>
          <w:sz w:val="27"/>
          <w:szCs w:val="27"/>
        </w:rPr>
        <w:t>R.Broks</w:t>
      </w:r>
      <w:proofErr w:type="spellEnd"/>
    </w:p>
    <w:p w:rsidR="003A37CB" w:rsidRPr="0096530D" w:rsidRDefault="003A37CB" w:rsidP="002E208C">
      <w:pPr>
        <w:jc w:val="both"/>
        <w:rPr>
          <w:sz w:val="27"/>
          <w:szCs w:val="27"/>
        </w:rPr>
      </w:pPr>
    </w:p>
    <w:p w:rsidR="00A94662" w:rsidRPr="0096530D" w:rsidRDefault="00A94662" w:rsidP="002E208C">
      <w:pPr>
        <w:jc w:val="both"/>
        <w:rPr>
          <w:sz w:val="27"/>
          <w:szCs w:val="27"/>
        </w:rPr>
      </w:pPr>
    </w:p>
    <w:p w:rsidR="00E057B2" w:rsidRPr="0096530D" w:rsidRDefault="003F5248" w:rsidP="001A685A">
      <w:pPr>
        <w:autoSpaceDE w:val="0"/>
        <w:autoSpaceDN w:val="0"/>
        <w:adjustRightInd w:val="0"/>
        <w:rPr>
          <w:sz w:val="27"/>
          <w:szCs w:val="27"/>
        </w:rPr>
      </w:pPr>
      <w:r w:rsidRPr="0096530D">
        <w:rPr>
          <w:sz w:val="27"/>
          <w:szCs w:val="27"/>
        </w:rPr>
        <w:tab/>
        <w:t>V</w:t>
      </w:r>
      <w:r w:rsidR="00F90F86" w:rsidRPr="0096530D">
        <w:rPr>
          <w:sz w:val="27"/>
          <w:szCs w:val="27"/>
        </w:rPr>
        <w:t>ī</w:t>
      </w:r>
      <w:r w:rsidR="00A94662" w:rsidRPr="0096530D">
        <w:rPr>
          <w:sz w:val="27"/>
          <w:szCs w:val="27"/>
        </w:rPr>
        <w:t>za</w:t>
      </w:r>
      <w:r w:rsidR="00891617" w:rsidRPr="0096530D">
        <w:rPr>
          <w:sz w:val="27"/>
          <w:szCs w:val="27"/>
        </w:rPr>
        <w:t xml:space="preserve">: </w:t>
      </w:r>
      <w:r w:rsidR="00133F26" w:rsidRPr="0096530D">
        <w:rPr>
          <w:sz w:val="27"/>
          <w:szCs w:val="27"/>
        </w:rPr>
        <w:t>Valsts sekretār</w:t>
      </w:r>
      <w:r w:rsidR="001A685A" w:rsidRPr="0096530D">
        <w:rPr>
          <w:sz w:val="27"/>
          <w:szCs w:val="27"/>
        </w:rPr>
        <w:t>s</w:t>
      </w:r>
      <w:r w:rsidR="001A685A" w:rsidRPr="0096530D">
        <w:rPr>
          <w:sz w:val="27"/>
          <w:szCs w:val="27"/>
        </w:rPr>
        <w:tab/>
      </w:r>
      <w:r w:rsidR="001A685A" w:rsidRPr="0096530D">
        <w:rPr>
          <w:sz w:val="27"/>
          <w:szCs w:val="27"/>
        </w:rPr>
        <w:tab/>
      </w:r>
      <w:r w:rsidR="001A685A" w:rsidRPr="0096530D">
        <w:rPr>
          <w:sz w:val="27"/>
          <w:szCs w:val="27"/>
        </w:rPr>
        <w:tab/>
      </w:r>
      <w:r w:rsidR="001A685A" w:rsidRPr="0096530D">
        <w:rPr>
          <w:sz w:val="27"/>
          <w:szCs w:val="27"/>
        </w:rPr>
        <w:tab/>
      </w:r>
      <w:r w:rsidR="001A685A" w:rsidRPr="0096530D">
        <w:rPr>
          <w:sz w:val="27"/>
          <w:szCs w:val="27"/>
        </w:rPr>
        <w:tab/>
      </w:r>
      <w:r w:rsidR="001A685A" w:rsidRPr="0096530D">
        <w:rPr>
          <w:sz w:val="27"/>
          <w:szCs w:val="27"/>
        </w:rPr>
        <w:tab/>
      </w:r>
      <w:proofErr w:type="spellStart"/>
      <w:r w:rsidR="001A685A" w:rsidRPr="0096530D">
        <w:rPr>
          <w:rFonts w:eastAsia="Calibri"/>
          <w:color w:val="000000"/>
          <w:sz w:val="27"/>
          <w:szCs w:val="27"/>
        </w:rPr>
        <w:t>M.Gruškevics</w:t>
      </w:r>
      <w:proofErr w:type="spellEnd"/>
    </w:p>
    <w:p w:rsidR="00E057B2" w:rsidRPr="0096530D" w:rsidRDefault="00E057B2" w:rsidP="002E208C">
      <w:pPr>
        <w:tabs>
          <w:tab w:val="left" w:pos="720"/>
          <w:tab w:val="center" w:pos="4535"/>
        </w:tabs>
        <w:jc w:val="both"/>
        <w:rPr>
          <w:sz w:val="27"/>
          <w:szCs w:val="27"/>
        </w:rPr>
      </w:pPr>
    </w:p>
    <w:p w:rsidR="00A94662" w:rsidRPr="0096530D" w:rsidRDefault="00A94662" w:rsidP="002E208C">
      <w:pPr>
        <w:tabs>
          <w:tab w:val="left" w:pos="720"/>
          <w:tab w:val="center" w:pos="4535"/>
        </w:tabs>
        <w:jc w:val="both"/>
        <w:rPr>
          <w:sz w:val="27"/>
          <w:szCs w:val="27"/>
        </w:rPr>
      </w:pPr>
    </w:p>
    <w:p w:rsidR="001A685A" w:rsidRPr="00D4469D" w:rsidRDefault="001A685A" w:rsidP="002E208C">
      <w:pPr>
        <w:tabs>
          <w:tab w:val="left" w:pos="720"/>
          <w:tab w:val="center" w:pos="4535"/>
        </w:tabs>
        <w:jc w:val="both"/>
        <w:rPr>
          <w:sz w:val="28"/>
          <w:szCs w:val="28"/>
        </w:rPr>
      </w:pPr>
    </w:p>
    <w:p w:rsidR="00065C1D" w:rsidRPr="001E5143" w:rsidRDefault="000D0B64" w:rsidP="00065C1D">
      <w:pPr>
        <w:ind w:firstLine="720"/>
        <w:rPr>
          <w:sz w:val="20"/>
          <w:szCs w:val="28"/>
        </w:rPr>
      </w:pPr>
      <w:r>
        <w:rPr>
          <w:sz w:val="20"/>
          <w:szCs w:val="28"/>
        </w:rPr>
        <w:t>0</w:t>
      </w:r>
      <w:r w:rsidR="005A1BF9">
        <w:rPr>
          <w:sz w:val="20"/>
          <w:szCs w:val="28"/>
        </w:rPr>
        <w:t>9</w:t>
      </w:r>
      <w:r>
        <w:rPr>
          <w:sz w:val="20"/>
          <w:szCs w:val="28"/>
        </w:rPr>
        <w:t xml:space="preserve">.06.2011 </w:t>
      </w:r>
      <w:r w:rsidR="00FF7550">
        <w:rPr>
          <w:sz w:val="20"/>
          <w:szCs w:val="28"/>
        </w:rPr>
        <w:t>11:41</w:t>
      </w:r>
    </w:p>
    <w:p w:rsidR="00065C1D" w:rsidRPr="001E5143" w:rsidRDefault="006A0A9F" w:rsidP="00065C1D">
      <w:pPr>
        <w:ind w:firstLine="720"/>
        <w:jc w:val="both"/>
        <w:rPr>
          <w:sz w:val="20"/>
          <w:szCs w:val="28"/>
        </w:rPr>
      </w:pPr>
      <w:r>
        <w:rPr>
          <w:sz w:val="20"/>
          <w:szCs w:val="28"/>
        </w:rPr>
        <w:t>12</w:t>
      </w:r>
      <w:r w:rsidR="00C668AA">
        <w:rPr>
          <w:sz w:val="20"/>
          <w:szCs w:val="28"/>
        </w:rPr>
        <w:t>9</w:t>
      </w:r>
      <w:r w:rsidR="00FF7550">
        <w:rPr>
          <w:sz w:val="20"/>
          <w:szCs w:val="28"/>
        </w:rPr>
        <w:t>1</w:t>
      </w:r>
    </w:p>
    <w:p w:rsidR="00065C1D" w:rsidRPr="001E5143" w:rsidRDefault="00C668AA" w:rsidP="00065C1D">
      <w:pPr>
        <w:ind w:firstLine="720"/>
        <w:rPr>
          <w:sz w:val="20"/>
          <w:szCs w:val="28"/>
        </w:rPr>
      </w:pPr>
      <w:proofErr w:type="spellStart"/>
      <w:r>
        <w:rPr>
          <w:sz w:val="20"/>
          <w:szCs w:val="28"/>
        </w:rPr>
        <w:t>I</w:t>
      </w:r>
      <w:r w:rsidR="00065C1D" w:rsidRPr="001E5143">
        <w:rPr>
          <w:sz w:val="20"/>
          <w:szCs w:val="28"/>
        </w:rPr>
        <w:t>.Š</w:t>
      </w:r>
      <w:r>
        <w:rPr>
          <w:sz w:val="20"/>
          <w:szCs w:val="28"/>
        </w:rPr>
        <w:t>virksta</w:t>
      </w:r>
      <w:proofErr w:type="spellEnd"/>
      <w:r w:rsidR="00065C1D" w:rsidRPr="001E5143">
        <w:rPr>
          <w:sz w:val="20"/>
          <w:szCs w:val="28"/>
        </w:rPr>
        <w:t xml:space="preserve">, </w:t>
      </w:r>
    </w:p>
    <w:p w:rsidR="00065C1D" w:rsidRPr="001E5143" w:rsidRDefault="00065C1D" w:rsidP="00065C1D">
      <w:pPr>
        <w:ind w:firstLine="720"/>
        <w:rPr>
          <w:sz w:val="20"/>
          <w:szCs w:val="28"/>
        </w:rPr>
      </w:pPr>
      <w:r w:rsidRPr="001E5143">
        <w:rPr>
          <w:sz w:val="20"/>
          <w:szCs w:val="28"/>
        </w:rPr>
        <w:t>67047</w:t>
      </w:r>
      <w:r w:rsidR="00C668AA">
        <w:rPr>
          <w:sz w:val="20"/>
          <w:szCs w:val="28"/>
        </w:rPr>
        <w:t>882</w:t>
      </w:r>
      <w:r w:rsidRPr="001E5143">
        <w:rPr>
          <w:sz w:val="20"/>
          <w:szCs w:val="28"/>
        </w:rPr>
        <w:t xml:space="preserve">, </w:t>
      </w:r>
      <w:r w:rsidR="00C668AA">
        <w:rPr>
          <w:sz w:val="20"/>
          <w:szCs w:val="28"/>
        </w:rPr>
        <w:t>inta.svirksta@izm.gov.lv</w:t>
      </w:r>
    </w:p>
    <w:p w:rsidR="00E96317" w:rsidRPr="00D4469D" w:rsidRDefault="00E96317" w:rsidP="00065C1D">
      <w:pPr>
        <w:tabs>
          <w:tab w:val="left" w:pos="720"/>
          <w:tab w:val="center" w:pos="4535"/>
        </w:tabs>
        <w:jc w:val="both"/>
        <w:rPr>
          <w:sz w:val="28"/>
          <w:szCs w:val="28"/>
        </w:rPr>
      </w:pPr>
    </w:p>
    <w:sectPr w:rsidR="00E96317" w:rsidRPr="00D4469D" w:rsidSect="0075613E">
      <w:headerReference w:type="default" r:id="rId8"/>
      <w:footerReference w:type="default" r:id="rId9"/>
      <w:footerReference w:type="first" r:id="rId10"/>
      <w:pgSz w:w="11906" w:h="16838"/>
      <w:pgMar w:top="1134" w:right="1134" w:bottom="1134"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13" w:rsidRDefault="00741C13">
      <w:r>
        <w:separator/>
      </w:r>
    </w:p>
  </w:endnote>
  <w:endnote w:type="continuationSeparator" w:id="0">
    <w:p w:rsidR="00741C13" w:rsidRDefault="00741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A4" w:rsidRPr="0052781A" w:rsidRDefault="006713EB" w:rsidP="0052781A">
    <w:pPr>
      <w:jc w:val="both"/>
      <w:rPr>
        <w:sz w:val="20"/>
        <w:szCs w:val="20"/>
      </w:rPr>
    </w:pPr>
    <w:r>
      <w:rPr>
        <w:sz w:val="20"/>
        <w:szCs w:val="20"/>
      </w:rPr>
      <w:t>IZMNot_0</w:t>
    </w:r>
    <w:r w:rsidR="0069600B">
      <w:rPr>
        <w:sz w:val="20"/>
        <w:szCs w:val="20"/>
      </w:rPr>
      <w:t>9</w:t>
    </w:r>
    <w:r>
      <w:rPr>
        <w:sz w:val="20"/>
        <w:szCs w:val="20"/>
      </w:rPr>
      <w:t>0611_21131</w:t>
    </w:r>
    <w:r w:rsidRPr="001B4B2D">
      <w:rPr>
        <w:sz w:val="20"/>
        <w:szCs w:val="20"/>
      </w:rPr>
      <w:t xml:space="preserve">; </w:t>
    </w:r>
    <w:r w:rsidR="00C060A4">
      <w:rPr>
        <w:sz w:val="20"/>
        <w:szCs w:val="20"/>
      </w:rPr>
      <w:t>Ministru kabineta noteikumu projekta "</w:t>
    </w:r>
    <w:r w:rsidR="00C060A4" w:rsidRPr="001B4B2D">
      <w:rPr>
        <w:bCs/>
        <w:sz w:val="20"/>
        <w:szCs w:val="20"/>
      </w:rPr>
      <w:t>Grozījumi Ministru kabineta 2010.gada 19.oktobra noteikumos Nr.987 "Noteikumi par darbības programmas "Uzņēmējdarbība un inovācijas" papildinājuma 2.1.1.3.1.apakšaktivitātes "Zinātnes infrastruktūras attīstība" pirmo projektu iesniegumu atlases kārtu"</w:t>
    </w:r>
    <w:r w:rsidR="00C060A4">
      <w:rPr>
        <w:bCs/>
        <w:sz w:val="20"/>
        <w:szCs w:val="20"/>
      </w:rPr>
      <w:t xml:space="preserve"> </w:t>
    </w:r>
    <w:r w:rsidR="00C060A4" w:rsidRPr="00623ADF">
      <w:rPr>
        <w:sz w:val="20"/>
        <w:szCs w:val="20"/>
      </w:rPr>
      <w:t xml:space="preserve">sākotnējās ietekmes novērtējuma ziņojums </w:t>
    </w:r>
    <w:r w:rsidR="00C060A4">
      <w:rPr>
        <w:sz w:val="20"/>
        <w:szCs w:val="20"/>
      </w:rPr>
      <w:t>(</w:t>
    </w:r>
    <w:r w:rsidR="00C060A4" w:rsidRPr="00B40A8F">
      <w:rPr>
        <w:bCs/>
        <w:sz w:val="20"/>
        <w:szCs w:val="20"/>
      </w:rPr>
      <w:t>anotācija</w:t>
    </w:r>
    <w:r w:rsidR="00C060A4">
      <w:rPr>
        <w:bCs/>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A4" w:rsidRPr="00EB6365" w:rsidRDefault="006713EB" w:rsidP="00551C32">
    <w:pPr>
      <w:jc w:val="both"/>
      <w:rPr>
        <w:sz w:val="20"/>
        <w:szCs w:val="20"/>
      </w:rPr>
    </w:pPr>
    <w:r>
      <w:rPr>
        <w:sz w:val="20"/>
        <w:szCs w:val="20"/>
      </w:rPr>
      <w:t>IZMNot_0</w:t>
    </w:r>
    <w:r w:rsidR="00573843">
      <w:rPr>
        <w:sz w:val="20"/>
        <w:szCs w:val="20"/>
      </w:rPr>
      <w:t>9</w:t>
    </w:r>
    <w:r>
      <w:rPr>
        <w:sz w:val="20"/>
        <w:szCs w:val="20"/>
      </w:rPr>
      <w:t>0611_21131</w:t>
    </w:r>
    <w:r w:rsidR="00C060A4" w:rsidRPr="001B4B2D">
      <w:rPr>
        <w:sz w:val="20"/>
        <w:szCs w:val="20"/>
      </w:rPr>
      <w:t xml:space="preserve">; </w:t>
    </w:r>
    <w:r w:rsidR="00C060A4">
      <w:rPr>
        <w:sz w:val="20"/>
        <w:szCs w:val="20"/>
      </w:rPr>
      <w:t>Ministru kabineta noteikumu projekta "</w:t>
    </w:r>
    <w:r w:rsidR="00C060A4" w:rsidRPr="001B4B2D">
      <w:rPr>
        <w:bCs/>
        <w:sz w:val="20"/>
        <w:szCs w:val="20"/>
      </w:rPr>
      <w:t>Grozījumi Ministru kabineta 2010.gada 19.oktobra noteikumos Nr.987 "Noteikumi par darbības programmas "Uzņēmējdarbība un inovācijas" papildinājuma 2.1.1.3.1.apakšaktivitātes "Zinātnes infrastruktūras attīstība" pirmo projektu iesniegumu atlases kārtu"</w:t>
    </w:r>
    <w:r w:rsidR="00C060A4">
      <w:rPr>
        <w:bCs/>
        <w:sz w:val="20"/>
        <w:szCs w:val="20"/>
      </w:rPr>
      <w:t xml:space="preserve"> </w:t>
    </w:r>
    <w:r w:rsidR="00C060A4" w:rsidRPr="00623ADF">
      <w:rPr>
        <w:sz w:val="20"/>
        <w:szCs w:val="20"/>
      </w:rPr>
      <w:t xml:space="preserve">sākotnējās ietekmes novērtējuma ziņojums </w:t>
    </w:r>
    <w:r w:rsidR="00C060A4">
      <w:rPr>
        <w:sz w:val="20"/>
        <w:szCs w:val="20"/>
      </w:rPr>
      <w:t>(</w:t>
    </w:r>
    <w:r w:rsidR="00C060A4" w:rsidRPr="00B40A8F">
      <w:rPr>
        <w:bCs/>
        <w:sz w:val="20"/>
        <w:szCs w:val="20"/>
      </w:rPr>
      <w:t>anotācija</w:t>
    </w:r>
    <w:r w:rsidR="00C060A4">
      <w:rPr>
        <w:bCs/>
        <w:sz w:val="20"/>
        <w:szCs w:val="20"/>
      </w:rPr>
      <w:t>)</w:t>
    </w:r>
  </w:p>
  <w:p w:rsidR="00C060A4" w:rsidRPr="0048436B" w:rsidRDefault="00C060A4" w:rsidP="0048436B">
    <w:pPr>
      <w:jc w:val="both"/>
      <w:rPr>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13" w:rsidRDefault="00741C13">
      <w:r>
        <w:separator/>
      </w:r>
    </w:p>
  </w:footnote>
  <w:footnote w:type="continuationSeparator" w:id="0">
    <w:p w:rsidR="00741C13" w:rsidRDefault="00741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A4" w:rsidRDefault="00907590">
    <w:pPr>
      <w:pStyle w:val="Header"/>
      <w:jc w:val="center"/>
    </w:pPr>
    <w:fldSimple w:instr=" PAGE   \* MERGEFORMAT ">
      <w:r w:rsidR="00FF7550">
        <w:rPr>
          <w:noProof/>
        </w:rPr>
        <w:t>6</w:t>
      </w:r>
    </w:fldSimple>
  </w:p>
  <w:p w:rsidR="00C060A4" w:rsidRDefault="00C06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10472"/>
    <w:rsid w:val="00010A8D"/>
    <w:rsid w:val="00017336"/>
    <w:rsid w:val="000202C8"/>
    <w:rsid w:val="00031C26"/>
    <w:rsid w:val="00042F7C"/>
    <w:rsid w:val="00045556"/>
    <w:rsid w:val="0004682B"/>
    <w:rsid w:val="00065C1D"/>
    <w:rsid w:val="00070BBE"/>
    <w:rsid w:val="00072B5B"/>
    <w:rsid w:val="00080993"/>
    <w:rsid w:val="000879F2"/>
    <w:rsid w:val="000B0043"/>
    <w:rsid w:val="000B73BD"/>
    <w:rsid w:val="000C33F3"/>
    <w:rsid w:val="000C3C05"/>
    <w:rsid w:val="000D0B64"/>
    <w:rsid w:val="000E5B40"/>
    <w:rsid w:val="000E6166"/>
    <w:rsid w:val="000F0829"/>
    <w:rsid w:val="000F6CF4"/>
    <w:rsid w:val="00100200"/>
    <w:rsid w:val="00110A2F"/>
    <w:rsid w:val="0011720E"/>
    <w:rsid w:val="00130797"/>
    <w:rsid w:val="00133F26"/>
    <w:rsid w:val="001457F5"/>
    <w:rsid w:val="001509A7"/>
    <w:rsid w:val="001560B0"/>
    <w:rsid w:val="00164C2C"/>
    <w:rsid w:val="001652E4"/>
    <w:rsid w:val="001672E7"/>
    <w:rsid w:val="00167B5C"/>
    <w:rsid w:val="001706AE"/>
    <w:rsid w:val="00171635"/>
    <w:rsid w:val="00172EF6"/>
    <w:rsid w:val="00181757"/>
    <w:rsid w:val="00185220"/>
    <w:rsid w:val="00191511"/>
    <w:rsid w:val="001947AD"/>
    <w:rsid w:val="00197892"/>
    <w:rsid w:val="001979A9"/>
    <w:rsid w:val="001A5357"/>
    <w:rsid w:val="001A685A"/>
    <w:rsid w:val="001A68DD"/>
    <w:rsid w:val="001A7A17"/>
    <w:rsid w:val="001B2883"/>
    <w:rsid w:val="001B32B1"/>
    <w:rsid w:val="001C492A"/>
    <w:rsid w:val="001C5207"/>
    <w:rsid w:val="001C74FD"/>
    <w:rsid w:val="001C75FB"/>
    <w:rsid w:val="001C7F37"/>
    <w:rsid w:val="001D1A28"/>
    <w:rsid w:val="001D21E8"/>
    <w:rsid w:val="001D3DF8"/>
    <w:rsid w:val="001D5748"/>
    <w:rsid w:val="001E5143"/>
    <w:rsid w:val="001E5A04"/>
    <w:rsid w:val="001F1FC6"/>
    <w:rsid w:val="001F216B"/>
    <w:rsid w:val="001F6339"/>
    <w:rsid w:val="001F65B5"/>
    <w:rsid w:val="001F6F35"/>
    <w:rsid w:val="001F773C"/>
    <w:rsid w:val="001F7F25"/>
    <w:rsid w:val="00202B8B"/>
    <w:rsid w:val="00211D7C"/>
    <w:rsid w:val="002164EB"/>
    <w:rsid w:val="00221FF9"/>
    <w:rsid w:val="00242C64"/>
    <w:rsid w:val="00244489"/>
    <w:rsid w:val="00252724"/>
    <w:rsid w:val="00253102"/>
    <w:rsid w:val="0025461E"/>
    <w:rsid w:val="0026004F"/>
    <w:rsid w:val="00261E2F"/>
    <w:rsid w:val="00262912"/>
    <w:rsid w:val="00265882"/>
    <w:rsid w:val="0028624E"/>
    <w:rsid w:val="00287C0F"/>
    <w:rsid w:val="00296B3D"/>
    <w:rsid w:val="002A69F3"/>
    <w:rsid w:val="002B0AB2"/>
    <w:rsid w:val="002B60B1"/>
    <w:rsid w:val="002C22BC"/>
    <w:rsid w:val="002C5F62"/>
    <w:rsid w:val="002D0B35"/>
    <w:rsid w:val="002D2C70"/>
    <w:rsid w:val="002D31F6"/>
    <w:rsid w:val="002D4E41"/>
    <w:rsid w:val="002E00C7"/>
    <w:rsid w:val="002E10C6"/>
    <w:rsid w:val="002E1A31"/>
    <w:rsid w:val="002E208C"/>
    <w:rsid w:val="002E2D20"/>
    <w:rsid w:val="002E75B0"/>
    <w:rsid w:val="002F3E81"/>
    <w:rsid w:val="00312877"/>
    <w:rsid w:val="0032324F"/>
    <w:rsid w:val="00324897"/>
    <w:rsid w:val="00340C74"/>
    <w:rsid w:val="00341FE3"/>
    <w:rsid w:val="0034445D"/>
    <w:rsid w:val="00345A49"/>
    <w:rsid w:val="00346B60"/>
    <w:rsid w:val="003558E0"/>
    <w:rsid w:val="00364313"/>
    <w:rsid w:val="00372CDD"/>
    <w:rsid w:val="00373F9B"/>
    <w:rsid w:val="00377DFD"/>
    <w:rsid w:val="00381AB8"/>
    <w:rsid w:val="00381E1C"/>
    <w:rsid w:val="00384894"/>
    <w:rsid w:val="003869B6"/>
    <w:rsid w:val="00386FAA"/>
    <w:rsid w:val="003900A2"/>
    <w:rsid w:val="003A0F33"/>
    <w:rsid w:val="003A0F8F"/>
    <w:rsid w:val="003A28B6"/>
    <w:rsid w:val="003A2B22"/>
    <w:rsid w:val="003A37CB"/>
    <w:rsid w:val="003A7FA7"/>
    <w:rsid w:val="003C0428"/>
    <w:rsid w:val="003C6DC5"/>
    <w:rsid w:val="003D16F4"/>
    <w:rsid w:val="003D199F"/>
    <w:rsid w:val="003D6F17"/>
    <w:rsid w:val="003F3AB9"/>
    <w:rsid w:val="003F5248"/>
    <w:rsid w:val="003F5FB9"/>
    <w:rsid w:val="00400AA2"/>
    <w:rsid w:val="00404413"/>
    <w:rsid w:val="00404BE4"/>
    <w:rsid w:val="00410B1D"/>
    <w:rsid w:val="00411E18"/>
    <w:rsid w:val="0041793D"/>
    <w:rsid w:val="0042441E"/>
    <w:rsid w:val="00443275"/>
    <w:rsid w:val="00444EDC"/>
    <w:rsid w:val="00445EA0"/>
    <w:rsid w:val="0045313C"/>
    <w:rsid w:val="004607AB"/>
    <w:rsid w:val="00462BA3"/>
    <w:rsid w:val="004719C5"/>
    <w:rsid w:val="0048436B"/>
    <w:rsid w:val="00486947"/>
    <w:rsid w:val="00487182"/>
    <w:rsid w:val="00490CA5"/>
    <w:rsid w:val="0049463A"/>
    <w:rsid w:val="004A1646"/>
    <w:rsid w:val="004B2408"/>
    <w:rsid w:val="004B34C2"/>
    <w:rsid w:val="004B3697"/>
    <w:rsid w:val="004B791E"/>
    <w:rsid w:val="004C290D"/>
    <w:rsid w:val="004C35E9"/>
    <w:rsid w:val="004E05B1"/>
    <w:rsid w:val="004E20FB"/>
    <w:rsid w:val="004E294B"/>
    <w:rsid w:val="004E68C3"/>
    <w:rsid w:val="004E77B3"/>
    <w:rsid w:val="004E78C1"/>
    <w:rsid w:val="00500F48"/>
    <w:rsid w:val="005129ED"/>
    <w:rsid w:val="005224FC"/>
    <w:rsid w:val="00526E69"/>
    <w:rsid w:val="0052781A"/>
    <w:rsid w:val="005300C0"/>
    <w:rsid w:val="00541000"/>
    <w:rsid w:val="005506CE"/>
    <w:rsid w:val="00551C32"/>
    <w:rsid w:val="0055265E"/>
    <w:rsid w:val="00560A27"/>
    <w:rsid w:val="005668FB"/>
    <w:rsid w:val="00566BE8"/>
    <w:rsid w:val="00573843"/>
    <w:rsid w:val="00573B4B"/>
    <w:rsid w:val="00580B84"/>
    <w:rsid w:val="00581109"/>
    <w:rsid w:val="0058304E"/>
    <w:rsid w:val="005832DA"/>
    <w:rsid w:val="00593020"/>
    <w:rsid w:val="005A1BF9"/>
    <w:rsid w:val="005B4127"/>
    <w:rsid w:val="005C0001"/>
    <w:rsid w:val="005C434B"/>
    <w:rsid w:val="005C43BF"/>
    <w:rsid w:val="005C4B80"/>
    <w:rsid w:val="005D0907"/>
    <w:rsid w:val="005D0B00"/>
    <w:rsid w:val="00602725"/>
    <w:rsid w:val="00604088"/>
    <w:rsid w:val="0060425F"/>
    <w:rsid w:val="006047E6"/>
    <w:rsid w:val="006160DE"/>
    <w:rsid w:val="006213B4"/>
    <w:rsid w:val="00622024"/>
    <w:rsid w:val="00631BFE"/>
    <w:rsid w:val="0065045D"/>
    <w:rsid w:val="00656384"/>
    <w:rsid w:val="006710A6"/>
    <w:rsid w:val="006713EB"/>
    <w:rsid w:val="006735B9"/>
    <w:rsid w:val="00680204"/>
    <w:rsid w:val="006804A7"/>
    <w:rsid w:val="006821C9"/>
    <w:rsid w:val="00682402"/>
    <w:rsid w:val="006952FA"/>
    <w:rsid w:val="0069600B"/>
    <w:rsid w:val="00697BD9"/>
    <w:rsid w:val="006A0A9F"/>
    <w:rsid w:val="006A45E6"/>
    <w:rsid w:val="006A7A08"/>
    <w:rsid w:val="006B7E81"/>
    <w:rsid w:val="006C3531"/>
    <w:rsid w:val="006D1125"/>
    <w:rsid w:val="006D6167"/>
    <w:rsid w:val="006D7B92"/>
    <w:rsid w:val="006E0CD7"/>
    <w:rsid w:val="006E5EE8"/>
    <w:rsid w:val="006E796A"/>
    <w:rsid w:val="0070254E"/>
    <w:rsid w:val="00703181"/>
    <w:rsid w:val="007043CB"/>
    <w:rsid w:val="0070465C"/>
    <w:rsid w:val="007065EE"/>
    <w:rsid w:val="00712131"/>
    <w:rsid w:val="0071707B"/>
    <w:rsid w:val="00727D95"/>
    <w:rsid w:val="00733352"/>
    <w:rsid w:val="007338B0"/>
    <w:rsid w:val="00741C13"/>
    <w:rsid w:val="00741DDA"/>
    <w:rsid w:val="00742DD2"/>
    <w:rsid w:val="00747253"/>
    <w:rsid w:val="0075613E"/>
    <w:rsid w:val="007720F7"/>
    <w:rsid w:val="00774A66"/>
    <w:rsid w:val="007757BB"/>
    <w:rsid w:val="0078399D"/>
    <w:rsid w:val="007A0290"/>
    <w:rsid w:val="007A6DB9"/>
    <w:rsid w:val="007B1108"/>
    <w:rsid w:val="007B2A0D"/>
    <w:rsid w:val="007C25F2"/>
    <w:rsid w:val="007C2877"/>
    <w:rsid w:val="007C5CDB"/>
    <w:rsid w:val="007D245F"/>
    <w:rsid w:val="007E04D8"/>
    <w:rsid w:val="007E6371"/>
    <w:rsid w:val="007E7DBD"/>
    <w:rsid w:val="007F3390"/>
    <w:rsid w:val="00802AAC"/>
    <w:rsid w:val="008075D9"/>
    <w:rsid w:val="0080778B"/>
    <w:rsid w:val="008132DA"/>
    <w:rsid w:val="0081361A"/>
    <w:rsid w:val="00824590"/>
    <w:rsid w:val="00836D99"/>
    <w:rsid w:val="0084207A"/>
    <w:rsid w:val="00853A7B"/>
    <w:rsid w:val="00853F6C"/>
    <w:rsid w:val="00860E3D"/>
    <w:rsid w:val="0086323B"/>
    <w:rsid w:val="00864939"/>
    <w:rsid w:val="00865444"/>
    <w:rsid w:val="00866DB1"/>
    <w:rsid w:val="00871A92"/>
    <w:rsid w:val="00877960"/>
    <w:rsid w:val="00882246"/>
    <w:rsid w:val="00891617"/>
    <w:rsid w:val="0089431F"/>
    <w:rsid w:val="008A0144"/>
    <w:rsid w:val="008A089F"/>
    <w:rsid w:val="008A2577"/>
    <w:rsid w:val="008A7CBC"/>
    <w:rsid w:val="008B61BB"/>
    <w:rsid w:val="008C3705"/>
    <w:rsid w:val="008C3A3B"/>
    <w:rsid w:val="008D6517"/>
    <w:rsid w:val="008D6866"/>
    <w:rsid w:val="008E1AEB"/>
    <w:rsid w:val="008F1075"/>
    <w:rsid w:val="008F5BE4"/>
    <w:rsid w:val="0090256D"/>
    <w:rsid w:val="00907590"/>
    <w:rsid w:val="00911F92"/>
    <w:rsid w:val="00922EBD"/>
    <w:rsid w:val="00923A03"/>
    <w:rsid w:val="00931BEC"/>
    <w:rsid w:val="00935CA9"/>
    <w:rsid w:val="00946C5B"/>
    <w:rsid w:val="00955177"/>
    <w:rsid w:val="00960678"/>
    <w:rsid w:val="00962CB4"/>
    <w:rsid w:val="0096530D"/>
    <w:rsid w:val="00977785"/>
    <w:rsid w:val="0098144C"/>
    <w:rsid w:val="00981757"/>
    <w:rsid w:val="00983863"/>
    <w:rsid w:val="009838B7"/>
    <w:rsid w:val="00985630"/>
    <w:rsid w:val="009913D7"/>
    <w:rsid w:val="00995884"/>
    <w:rsid w:val="00996139"/>
    <w:rsid w:val="0099761D"/>
    <w:rsid w:val="009A09B0"/>
    <w:rsid w:val="009A64EA"/>
    <w:rsid w:val="009B0FC6"/>
    <w:rsid w:val="009B15CC"/>
    <w:rsid w:val="009C41EE"/>
    <w:rsid w:val="009D21CA"/>
    <w:rsid w:val="009D26ED"/>
    <w:rsid w:val="009D5175"/>
    <w:rsid w:val="009D5AAD"/>
    <w:rsid w:val="009D6333"/>
    <w:rsid w:val="009D6542"/>
    <w:rsid w:val="009D6570"/>
    <w:rsid w:val="009E3FE2"/>
    <w:rsid w:val="009E50B0"/>
    <w:rsid w:val="009F4C56"/>
    <w:rsid w:val="009F57CC"/>
    <w:rsid w:val="00A0169E"/>
    <w:rsid w:val="00A11252"/>
    <w:rsid w:val="00A15049"/>
    <w:rsid w:val="00A238F4"/>
    <w:rsid w:val="00A317D1"/>
    <w:rsid w:val="00A471A0"/>
    <w:rsid w:val="00A5170B"/>
    <w:rsid w:val="00A72ED6"/>
    <w:rsid w:val="00A77BA1"/>
    <w:rsid w:val="00A862F3"/>
    <w:rsid w:val="00A86570"/>
    <w:rsid w:val="00A9177D"/>
    <w:rsid w:val="00A94662"/>
    <w:rsid w:val="00AA03AE"/>
    <w:rsid w:val="00AA0B69"/>
    <w:rsid w:val="00AA2FBA"/>
    <w:rsid w:val="00AB67C8"/>
    <w:rsid w:val="00AB7A65"/>
    <w:rsid w:val="00AC1EBC"/>
    <w:rsid w:val="00AD1390"/>
    <w:rsid w:val="00AD3772"/>
    <w:rsid w:val="00AD7B46"/>
    <w:rsid w:val="00AE23BF"/>
    <w:rsid w:val="00AE2B4C"/>
    <w:rsid w:val="00AE320D"/>
    <w:rsid w:val="00AE6AF9"/>
    <w:rsid w:val="00AE73A0"/>
    <w:rsid w:val="00AF269C"/>
    <w:rsid w:val="00AF5A36"/>
    <w:rsid w:val="00AF706E"/>
    <w:rsid w:val="00AF753A"/>
    <w:rsid w:val="00B078FD"/>
    <w:rsid w:val="00B15883"/>
    <w:rsid w:val="00B1721F"/>
    <w:rsid w:val="00B21DFF"/>
    <w:rsid w:val="00B22753"/>
    <w:rsid w:val="00B2565F"/>
    <w:rsid w:val="00B26843"/>
    <w:rsid w:val="00B34174"/>
    <w:rsid w:val="00B35355"/>
    <w:rsid w:val="00B36D77"/>
    <w:rsid w:val="00B421E1"/>
    <w:rsid w:val="00B50D33"/>
    <w:rsid w:val="00B52C6E"/>
    <w:rsid w:val="00B5693C"/>
    <w:rsid w:val="00B5787A"/>
    <w:rsid w:val="00B617AA"/>
    <w:rsid w:val="00B6233A"/>
    <w:rsid w:val="00B634A0"/>
    <w:rsid w:val="00B70B98"/>
    <w:rsid w:val="00B74831"/>
    <w:rsid w:val="00B76C66"/>
    <w:rsid w:val="00B81CF1"/>
    <w:rsid w:val="00B83FC7"/>
    <w:rsid w:val="00B84E7A"/>
    <w:rsid w:val="00B860B4"/>
    <w:rsid w:val="00B939F7"/>
    <w:rsid w:val="00BB2E2D"/>
    <w:rsid w:val="00BB4D0E"/>
    <w:rsid w:val="00BB6909"/>
    <w:rsid w:val="00BC44D7"/>
    <w:rsid w:val="00BC5FBA"/>
    <w:rsid w:val="00BE57D9"/>
    <w:rsid w:val="00BE7E59"/>
    <w:rsid w:val="00BF14EF"/>
    <w:rsid w:val="00C011F0"/>
    <w:rsid w:val="00C01E21"/>
    <w:rsid w:val="00C060A4"/>
    <w:rsid w:val="00C17969"/>
    <w:rsid w:val="00C32234"/>
    <w:rsid w:val="00C34957"/>
    <w:rsid w:val="00C35E0C"/>
    <w:rsid w:val="00C374DB"/>
    <w:rsid w:val="00C412F0"/>
    <w:rsid w:val="00C472A1"/>
    <w:rsid w:val="00C50906"/>
    <w:rsid w:val="00C518F2"/>
    <w:rsid w:val="00C53A29"/>
    <w:rsid w:val="00C6442A"/>
    <w:rsid w:val="00C65133"/>
    <w:rsid w:val="00C668AA"/>
    <w:rsid w:val="00C73479"/>
    <w:rsid w:val="00C827CC"/>
    <w:rsid w:val="00CB2510"/>
    <w:rsid w:val="00CB4CD2"/>
    <w:rsid w:val="00CC3272"/>
    <w:rsid w:val="00CC498E"/>
    <w:rsid w:val="00CC61DA"/>
    <w:rsid w:val="00CC7AAE"/>
    <w:rsid w:val="00CD0944"/>
    <w:rsid w:val="00CD265C"/>
    <w:rsid w:val="00CD6FB6"/>
    <w:rsid w:val="00CE0716"/>
    <w:rsid w:val="00CE2105"/>
    <w:rsid w:val="00CE299F"/>
    <w:rsid w:val="00CE3FF8"/>
    <w:rsid w:val="00CE79A2"/>
    <w:rsid w:val="00D21726"/>
    <w:rsid w:val="00D23263"/>
    <w:rsid w:val="00D24346"/>
    <w:rsid w:val="00D41EA6"/>
    <w:rsid w:val="00D4469D"/>
    <w:rsid w:val="00D47D1E"/>
    <w:rsid w:val="00D57AC8"/>
    <w:rsid w:val="00D6195B"/>
    <w:rsid w:val="00D64E41"/>
    <w:rsid w:val="00D66034"/>
    <w:rsid w:val="00D704A7"/>
    <w:rsid w:val="00D76B1F"/>
    <w:rsid w:val="00D84303"/>
    <w:rsid w:val="00D87339"/>
    <w:rsid w:val="00D977C5"/>
    <w:rsid w:val="00DA3648"/>
    <w:rsid w:val="00DB35A5"/>
    <w:rsid w:val="00DB51F8"/>
    <w:rsid w:val="00DB55CD"/>
    <w:rsid w:val="00DC4624"/>
    <w:rsid w:val="00DC674F"/>
    <w:rsid w:val="00DD1AAB"/>
    <w:rsid w:val="00DE07B6"/>
    <w:rsid w:val="00DE2A9B"/>
    <w:rsid w:val="00E04ED3"/>
    <w:rsid w:val="00E0568E"/>
    <w:rsid w:val="00E057B2"/>
    <w:rsid w:val="00E11F9D"/>
    <w:rsid w:val="00E134B3"/>
    <w:rsid w:val="00E2280B"/>
    <w:rsid w:val="00E24DAB"/>
    <w:rsid w:val="00E25154"/>
    <w:rsid w:val="00E25B1F"/>
    <w:rsid w:val="00E3072A"/>
    <w:rsid w:val="00E3655C"/>
    <w:rsid w:val="00E44E48"/>
    <w:rsid w:val="00E46AF3"/>
    <w:rsid w:val="00E50438"/>
    <w:rsid w:val="00E50B2A"/>
    <w:rsid w:val="00E50C8F"/>
    <w:rsid w:val="00E53140"/>
    <w:rsid w:val="00E552CB"/>
    <w:rsid w:val="00E572B3"/>
    <w:rsid w:val="00E6555E"/>
    <w:rsid w:val="00E70522"/>
    <w:rsid w:val="00E726A8"/>
    <w:rsid w:val="00E7279E"/>
    <w:rsid w:val="00E729B9"/>
    <w:rsid w:val="00E7590C"/>
    <w:rsid w:val="00E91E74"/>
    <w:rsid w:val="00E96317"/>
    <w:rsid w:val="00EA28D2"/>
    <w:rsid w:val="00EB117F"/>
    <w:rsid w:val="00EB6365"/>
    <w:rsid w:val="00EB72D1"/>
    <w:rsid w:val="00EC4E0F"/>
    <w:rsid w:val="00EC59EF"/>
    <w:rsid w:val="00ED17F8"/>
    <w:rsid w:val="00ED2821"/>
    <w:rsid w:val="00EE061B"/>
    <w:rsid w:val="00EE073D"/>
    <w:rsid w:val="00EE1677"/>
    <w:rsid w:val="00EE5DF0"/>
    <w:rsid w:val="00EF54E5"/>
    <w:rsid w:val="00EF5BD4"/>
    <w:rsid w:val="00F01AC9"/>
    <w:rsid w:val="00F05CF9"/>
    <w:rsid w:val="00F178D0"/>
    <w:rsid w:val="00F213C6"/>
    <w:rsid w:val="00F33CEE"/>
    <w:rsid w:val="00F42D3D"/>
    <w:rsid w:val="00F4546D"/>
    <w:rsid w:val="00F51E28"/>
    <w:rsid w:val="00F62FD7"/>
    <w:rsid w:val="00F649E3"/>
    <w:rsid w:val="00F65A56"/>
    <w:rsid w:val="00F664A5"/>
    <w:rsid w:val="00F70317"/>
    <w:rsid w:val="00F72604"/>
    <w:rsid w:val="00F72C95"/>
    <w:rsid w:val="00F737E4"/>
    <w:rsid w:val="00F7576E"/>
    <w:rsid w:val="00F7627D"/>
    <w:rsid w:val="00F90F86"/>
    <w:rsid w:val="00FA6183"/>
    <w:rsid w:val="00FA663A"/>
    <w:rsid w:val="00FB738F"/>
    <w:rsid w:val="00FC349F"/>
    <w:rsid w:val="00FD2558"/>
    <w:rsid w:val="00FE35D4"/>
    <w:rsid w:val="00FE6BC5"/>
    <w:rsid w:val="00FF1CA7"/>
    <w:rsid w:val="00FF55D6"/>
    <w:rsid w:val="00FF75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FF2D-C51F-4E86-B549-8D8AE6E1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10205</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Grozījumi Ministru kabineta 2009.gada 7.jūlija noteikumos Nr.752 „Noteikumi par darbības programmas „Uzņēmējdarbība un inovācijas” papildinājuma 2.1.1.1.aktivitāti „Atbalsts zinātnei un pētniecībai”” </vt:lpstr>
    </vt:vector>
  </TitlesOfParts>
  <Company>Microsoft Corporation</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7.jūlija noteikumos Nr.752 „Noteikumi par darbības programmas „Uzņēmējdarbība un inovācijas” papildinājuma 2.1.1.1.aktivitāti „Atbalsts zinātnei un pētniecībai”” </dc:title>
  <dc:subject>Anotācija</dc:subject>
  <dc:creator>Inta Švirksta</dc:creator>
  <cp:keywords/>
  <dc:description>inta.svirksta@izm.gov.lv, talr. 67047882</dc:description>
  <cp:lastModifiedBy>jsviridenkova</cp:lastModifiedBy>
  <cp:revision>2</cp:revision>
  <cp:lastPrinted>2010-07-05T13:41:00Z</cp:lastPrinted>
  <dcterms:created xsi:type="dcterms:W3CDTF">2011-06-09T08:41:00Z</dcterms:created>
  <dcterms:modified xsi:type="dcterms:W3CDTF">2011-06-09T08:41:00Z</dcterms:modified>
</cp:coreProperties>
</file>