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AE9" w:rsidRPr="007B1A23" w:rsidRDefault="005B2AE9" w:rsidP="00636FEF">
      <w:pPr>
        <w:ind w:firstLine="851"/>
        <w:jc w:val="center"/>
        <w:rPr>
          <w:b/>
          <w:bCs/>
          <w:sz w:val="28"/>
          <w:szCs w:val="28"/>
        </w:rPr>
      </w:pPr>
      <w:bookmarkStart w:id="0" w:name="OLE_LINK2"/>
      <w:bookmarkStart w:id="1" w:name="OLE_LINK3"/>
      <w:bookmarkStart w:id="2" w:name="OLE_LINK6"/>
      <w:r w:rsidRPr="007B1A23">
        <w:rPr>
          <w:b/>
          <w:bCs/>
          <w:sz w:val="28"/>
          <w:szCs w:val="28"/>
        </w:rPr>
        <w:t>Ministru kabineta noteikumu „</w:t>
      </w:r>
      <w:r w:rsidR="00636FEF" w:rsidRPr="007B1A23">
        <w:rPr>
          <w:rStyle w:val="Strong"/>
          <w:sz w:val="28"/>
          <w:szCs w:val="28"/>
        </w:rPr>
        <w:t>Grozījumi Ministru kabineta 2009.gada 22.decembra noteikumos Nr.1616 „</w:t>
      </w:r>
      <w:r w:rsidR="00636FEF" w:rsidRPr="007B1A23">
        <w:rPr>
          <w:b/>
          <w:bCs/>
          <w:sz w:val="28"/>
          <w:szCs w:val="28"/>
        </w:rPr>
        <w:t xml:space="preserve">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 </w:t>
      </w:r>
      <w:r w:rsidRPr="007B1A23">
        <w:rPr>
          <w:b/>
          <w:bCs/>
          <w:sz w:val="28"/>
          <w:szCs w:val="28"/>
        </w:rPr>
        <w:t xml:space="preserve">projekta </w:t>
      </w:r>
      <w:bookmarkStart w:id="3" w:name="OLE_LINK4"/>
      <w:bookmarkStart w:id="4" w:name="OLE_LINK5"/>
      <w:r w:rsidRPr="007B1A23">
        <w:rPr>
          <w:b/>
          <w:bCs/>
          <w:sz w:val="28"/>
          <w:szCs w:val="28"/>
        </w:rPr>
        <w:t>sākotnējās ietekmes novērtējuma ziņojums (anotācija)</w:t>
      </w:r>
      <w:bookmarkEnd w:id="3"/>
      <w:bookmarkEnd w:id="4"/>
    </w:p>
    <w:bookmarkEnd w:id="0"/>
    <w:bookmarkEnd w:id="1"/>
    <w:bookmarkEnd w:id="2"/>
    <w:p w:rsidR="005B2AE9" w:rsidRPr="007B1A23" w:rsidRDefault="005B2AE9" w:rsidP="00C359A0">
      <w:pPr>
        <w:spacing w:before="0" w:after="0"/>
        <w:jc w:val="center"/>
        <w:rPr>
          <w:b/>
          <w:bCs/>
          <w:sz w:val="28"/>
          <w:szCs w:val="28"/>
        </w:rPr>
      </w:pPr>
    </w:p>
    <w:tbl>
      <w:tblPr>
        <w:tblpPr w:leftFromText="180" w:rightFromText="180" w:vertAnchor="text" w:horzAnchor="margin" w:tblpXSpec="center" w:tblpY="149"/>
        <w:tblW w:w="928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50"/>
        <w:gridCol w:w="1927"/>
        <w:gridCol w:w="6804"/>
      </w:tblGrid>
      <w:tr w:rsidR="005B2AE9" w:rsidRPr="007B1A23">
        <w:trPr>
          <w:tblCellSpacing w:w="0" w:type="dxa"/>
        </w:trPr>
        <w:tc>
          <w:tcPr>
            <w:tcW w:w="9281" w:type="dxa"/>
            <w:gridSpan w:val="3"/>
            <w:vAlign w:val="center"/>
          </w:tcPr>
          <w:p w:rsidR="005B2AE9" w:rsidRPr="007B1A23" w:rsidRDefault="005B2AE9" w:rsidP="00C359A0">
            <w:pPr>
              <w:pStyle w:val="naisnod"/>
              <w:spacing w:before="0" w:after="0"/>
              <w:rPr>
                <w:sz w:val="28"/>
                <w:szCs w:val="28"/>
              </w:rPr>
            </w:pPr>
            <w:r w:rsidRPr="007B1A23">
              <w:rPr>
                <w:sz w:val="28"/>
                <w:szCs w:val="28"/>
              </w:rPr>
              <w:t> I. Tiesību akta projekta izstrādes nepieciešamība</w:t>
            </w:r>
          </w:p>
        </w:tc>
      </w:tr>
      <w:tr w:rsidR="005B2AE9" w:rsidRPr="007B1A23">
        <w:trPr>
          <w:trHeight w:val="630"/>
          <w:tblCellSpacing w:w="0" w:type="dxa"/>
        </w:trPr>
        <w:tc>
          <w:tcPr>
            <w:tcW w:w="550" w:type="dxa"/>
            <w:vAlign w:val="center"/>
          </w:tcPr>
          <w:p w:rsidR="005B2AE9" w:rsidRPr="007B1A23" w:rsidRDefault="005B2AE9" w:rsidP="004A6518">
            <w:pPr>
              <w:pStyle w:val="naiskr"/>
              <w:spacing w:before="0" w:after="0"/>
              <w:ind w:left="180" w:hanging="180"/>
              <w:jc w:val="center"/>
              <w:rPr>
                <w:sz w:val="28"/>
                <w:szCs w:val="28"/>
              </w:rPr>
            </w:pPr>
            <w:r w:rsidRPr="007B1A23">
              <w:rPr>
                <w:sz w:val="28"/>
                <w:szCs w:val="28"/>
              </w:rPr>
              <w:t>1.</w:t>
            </w:r>
          </w:p>
        </w:tc>
        <w:tc>
          <w:tcPr>
            <w:tcW w:w="1927" w:type="dxa"/>
            <w:vAlign w:val="center"/>
          </w:tcPr>
          <w:p w:rsidR="005B2AE9" w:rsidRPr="007B1A23" w:rsidRDefault="005B2AE9" w:rsidP="00C359A0">
            <w:pPr>
              <w:pStyle w:val="naiskr"/>
              <w:spacing w:before="0" w:after="0"/>
              <w:rPr>
                <w:sz w:val="28"/>
                <w:szCs w:val="28"/>
              </w:rPr>
            </w:pPr>
            <w:r w:rsidRPr="007B1A23">
              <w:rPr>
                <w:sz w:val="28"/>
                <w:szCs w:val="28"/>
              </w:rPr>
              <w:t>Pamatojums</w:t>
            </w:r>
          </w:p>
        </w:tc>
        <w:tc>
          <w:tcPr>
            <w:tcW w:w="6804" w:type="dxa"/>
            <w:vAlign w:val="center"/>
          </w:tcPr>
          <w:p w:rsidR="005B2AE9" w:rsidRPr="007B1A23" w:rsidRDefault="005B2AE9" w:rsidP="00D20252">
            <w:pPr>
              <w:spacing w:before="0" w:after="0"/>
              <w:jc w:val="both"/>
              <w:rPr>
                <w:b/>
                <w:bCs/>
                <w:sz w:val="28"/>
                <w:szCs w:val="28"/>
              </w:rPr>
            </w:pPr>
            <w:r w:rsidRPr="007B1A23">
              <w:rPr>
                <w:sz w:val="28"/>
                <w:szCs w:val="28"/>
              </w:rPr>
              <w:t>Ministru kabineta noteikumu „</w:t>
            </w:r>
            <w:r w:rsidRPr="007B1A23">
              <w:rPr>
                <w:rStyle w:val="Strong"/>
                <w:b w:val="0"/>
                <w:bCs w:val="0"/>
                <w:sz w:val="28"/>
                <w:szCs w:val="28"/>
              </w:rPr>
              <w:t>Grozījumi Ministru kabineta 2009.gada 22.decembra noteikumos Nr.1616</w:t>
            </w:r>
            <w:r w:rsidRPr="007B1A23">
              <w:rPr>
                <w:rStyle w:val="Strong"/>
                <w:sz w:val="28"/>
                <w:szCs w:val="28"/>
              </w:rPr>
              <w:t xml:space="preserve"> </w:t>
            </w:r>
            <w:r w:rsidRPr="007B1A23">
              <w:rPr>
                <w:rStyle w:val="Strong"/>
                <w:b w:val="0"/>
                <w:bCs w:val="0"/>
                <w:sz w:val="28"/>
                <w:szCs w:val="28"/>
              </w:rPr>
              <w:t>„</w:t>
            </w:r>
            <w:r w:rsidRPr="007B1A23">
              <w:rPr>
                <w:sz w:val="28"/>
                <w:szCs w:val="28"/>
              </w:rPr>
              <w:t xml:space="preserve">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 projekts (turpmāk - noteikumu projekts) izstrādāts, </w:t>
            </w:r>
            <w:r w:rsidR="00697028" w:rsidRPr="007B1A23">
              <w:rPr>
                <w:sz w:val="28"/>
                <w:szCs w:val="28"/>
              </w:rPr>
              <w:t xml:space="preserve">lai </w:t>
            </w:r>
            <w:r w:rsidR="00C80D3C">
              <w:rPr>
                <w:sz w:val="28"/>
                <w:szCs w:val="28"/>
              </w:rPr>
              <w:t>nodrošinātu</w:t>
            </w:r>
            <w:r w:rsidR="003C5F39" w:rsidRPr="007B1A23">
              <w:rPr>
                <w:sz w:val="28"/>
                <w:szCs w:val="28"/>
              </w:rPr>
              <w:t xml:space="preserve"> </w:t>
            </w:r>
            <w:r w:rsidR="008247A6">
              <w:rPr>
                <w:sz w:val="28"/>
                <w:szCs w:val="28"/>
              </w:rPr>
              <w:t xml:space="preserve">sadarbības </w:t>
            </w:r>
            <w:r w:rsidR="003C5F39" w:rsidRPr="007B1A23">
              <w:rPr>
                <w:sz w:val="28"/>
                <w:szCs w:val="28"/>
              </w:rPr>
              <w:t>memorandā</w:t>
            </w:r>
            <w:r w:rsidR="00EC41F3">
              <w:rPr>
                <w:sz w:val="28"/>
                <w:szCs w:val="28"/>
              </w:rPr>
              <w:t xml:space="preserve">, </w:t>
            </w:r>
            <w:r w:rsidR="008064C1" w:rsidRPr="007B1A23">
              <w:rPr>
                <w:sz w:val="28"/>
                <w:szCs w:val="28"/>
              </w:rPr>
              <w:t xml:space="preserve">ko Izglītības un zinātnes ministrija (turpmāk – ministrija) </w:t>
            </w:r>
            <w:r w:rsidR="008064C1">
              <w:rPr>
                <w:sz w:val="28"/>
                <w:szCs w:val="28"/>
              </w:rPr>
              <w:t xml:space="preserve">ir ierosinājusi parakstīt </w:t>
            </w:r>
            <w:r w:rsidR="008064C1" w:rsidRPr="007B1A23">
              <w:rPr>
                <w:sz w:val="28"/>
                <w:szCs w:val="28"/>
              </w:rPr>
              <w:t xml:space="preserve">Latvijas izglītības un </w:t>
            </w:r>
            <w:r w:rsidR="008064C1">
              <w:rPr>
                <w:sz w:val="28"/>
                <w:szCs w:val="28"/>
              </w:rPr>
              <w:t>zinātnes darbinieku arodbiedrībai</w:t>
            </w:r>
            <w:r w:rsidR="00D20252">
              <w:rPr>
                <w:sz w:val="28"/>
                <w:szCs w:val="28"/>
              </w:rPr>
              <w:t xml:space="preserve"> (turpmāk – LIZDA)</w:t>
            </w:r>
            <w:r w:rsidR="008064C1" w:rsidRPr="007B1A23">
              <w:rPr>
                <w:sz w:val="28"/>
                <w:szCs w:val="28"/>
              </w:rPr>
              <w:t xml:space="preserve">, </w:t>
            </w:r>
            <w:r w:rsidR="002E6262" w:rsidRPr="00D20252">
              <w:rPr>
                <w:sz w:val="28"/>
                <w:szCs w:val="28"/>
              </w:rPr>
              <w:t>arodbiedrībai</w:t>
            </w:r>
            <w:r w:rsidR="00D20252" w:rsidRPr="00D20252">
              <w:rPr>
                <w:sz w:val="28"/>
                <w:szCs w:val="28"/>
              </w:rPr>
              <w:t xml:space="preserve"> „Latvijas</w:t>
            </w:r>
            <w:r w:rsidR="00D20252">
              <w:rPr>
                <w:sz w:val="28"/>
                <w:szCs w:val="28"/>
              </w:rPr>
              <w:t xml:space="preserve"> izglītības vadītāju asociācija” </w:t>
            </w:r>
            <w:r w:rsidR="008064C1" w:rsidRPr="007B1A23">
              <w:rPr>
                <w:sz w:val="28"/>
                <w:szCs w:val="28"/>
              </w:rPr>
              <w:t xml:space="preserve"> </w:t>
            </w:r>
            <w:r w:rsidR="00D20252">
              <w:rPr>
                <w:sz w:val="28"/>
                <w:szCs w:val="28"/>
              </w:rPr>
              <w:t xml:space="preserve">(turpmāk – LIVA) </w:t>
            </w:r>
            <w:r w:rsidR="008064C1">
              <w:rPr>
                <w:sz w:val="28"/>
                <w:szCs w:val="28"/>
              </w:rPr>
              <w:t>un Latvijas Pedagogu domei</w:t>
            </w:r>
            <w:r w:rsidR="007E3C09">
              <w:rPr>
                <w:sz w:val="28"/>
                <w:szCs w:val="28"/>
              </w:rPr>
              <w:t xml:space="preserve">, iekļautā vienošanās punkta par </w:t>
            </w:r>
            <w:r w:rsidR="008064C1">
              <w:rPr>
                <w:sz w:val="28"/>
                <w:szCs w:val="28"/>
              </w:rPr>
              <w:t xml:space="preserve"> </w:t>
            </w:r>
            <w:r w:rsidR="007E3C09">
              <w:rPr>
                <w:sz w:val="28"/>
                <w:szCs w:val="28"/>
              </w:rPr>
              <w:t xml:space="preserve">nepieciešamību </w:t>
            </w:r>
            <w:r w:rsidR="00397E5B">
              <w:rPr>
                <w:sz w:val="28"/>
                <w:szCs w:val="28"/>
              </w:rPr>
              <w:t>izvērtēt optimālāko mērķdotācijas sadalījumu administrācijas un atbalsta personāla darba samaksai</w:t>
            </w:r>
            <w:r w:rsidR="007E3C09">
              <w:rPr>
                <w:sz w:val="28"/>
                <w:szCs w:val="28"/>
              </w:rPr>
              <w:t xml:space="preserve"> izpildi.</w:t>
            </w:r>
          </w:p>
        </w:tc>
      </w:tr>
      <w:tr w:rsidR="005B2AE9" w:rsidRPr="007B1A23">
        <w:trPr>
          <w:trHeight w:val="706"/>
          <w:tblCellSpacing w:w="0" w:type="dxa"/>
        </w:trPr>
        <w:tc>
          <w:tcPr>
            <w:tcW w:w="550" w:type="dxa"/>
            <w:vAlign w:val="center"/>
          </w:tcPr>
          <w:p w:rsidR="005B2AE9" w:rsidRPr="007B1A23" w:rsidRDefault="005B2AE9" w:rsidP="004A6518">
            <w:pPr>
              <w:pStyle w:val="naiskr"/>
              <w:spacing w:before="0" w:after="0"/>
              <w:jc w:val="center"/>
              <w:rPr>
                <w:sz w:val="28"/>
                <w:szCs w:val="28"/>
              </w:rPr>
            </w:pPr>
            <w:r w:rsidRPr="007B1A23">
              <w:rPr>
                <w:sz w:val="28"/>
                <w:szCs w:val="28"/>
              </w:rPr>
              <w:t>2.</w:t>
            </w:r>
          </w:p>
        </w:tc>
        <w:tc>
          <w:tcPr>
            <w:tcW w:w="1927" w:type="dxa"/>
            <w:vAlign w:val="center"/>
          </w:tcPr>
          <w:p w:rsidR="005B2AE9" w:rsidRPr="007B1A23" w:rsidRDefault="005B2AE9" w:rsidP="00C359A0">
            <w:pPr>
              <w:pStyle w:val="naiskr"/>
              <w:tabs>
                <w:tab w:val="left" w:pos="170"/>
              </w:tabs>
              <w:spacing w:before="0" w:after="0"/>
              <w:rPr>
                <w:sz w:val="28"/>
                <w:szCs w:val="28"/>
              </w:rPr>
            </w:pPr>
            <w:r w:rsidRPr="007B1A23">
              <w:rPr>
                <w:sz w:val="28"/>
                <w:szCs w:val="28"/>
              </w:rPr>
              <w:t>Pašreizējā situācija un problēmas</w:t>
            </w:r>
          </w:p>
        </w:tc>
        <w:tc>
          <w:tcPr>
            <w:tcW w:w="6804" w:type="dxa"/>
            <w:vAlign w:val="center"/>
          </w:tcPr>
          <w:p w:rsidR="00954819" w:rsidRDefault="005B2AE9" w:rsidP="00954819">
            <w:pPr>
              <w:autoSpaceDE w:val="0"/>
              <w:autoSpaceDN w:val="0"/>
              <w:adjustRightInd w:val="0"/>
              <w:spacing w:before="0" w:after="0"/>
              <w:jc w:val="both"/>
              <w:rPr>
                <w:sz w:val="28"/>
                <w:szCs w:val="28"/>
              </w:rPr>
            </w:pPr>
            <w:r w:rsidRPr="009F4369">
              <w:rPr>
                <w:sz w:val="28"/>
                <w:szCs w:val="28"/>
              </w:rPr>
              <w:t xml:space="preserve">Ministru kabineta 2009.gada 22.decembra noteikumi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 (turpmāk — spēkā esošie noteikumi) </w:t>
            </w:r>
            <w:r w:rsidR="00852D8C" w:rsidRPr="009F4369">
              <w:rPr>
                <w:sz w:val="28"/>
                <w:szCs w:val="28"/>
              </w:rPr>
              <w:t>nosaka</w:t>
            </w:r>
            <w:r w:rsidR="00EC41DD" w:rsidRPr="009F4369">
              <w:rPr>
                <w:sz w:val="28"/>
                <w:szCs w:val="28"/>
              </w:rPr>
              <w:t xml:space="preserve">, </w:t>
            </w:r>
            <w:r w:rsidRPr="009F4369">
              <w:rPr>
                <w:sz w:val="28"/>
                <w:szCs w:val="28"/>
              </w:rPr>
              <w:t xml:space="preserve">ka </w:t>
            </w:r>
            <w:r w:rsidR="00397E5B" w:rsidRPr="009F4369">
              <w:rPr>
                <w:sz w:val="28"/>
                <w:szCs w:val="28"/>
              </w:rPr>
              <w:t>iestādes vadītāja, viņa vietnieku un atbalsta personāla (bibliotekārs, logopēds, psihologs, speciālais pedagogs) darba samaksas finansēšanai pašvaldība izlieto ne vairāk kā 15 procentu no saņemtās mērķdotācijas.</w:t>
            </w:r>
            <w:r w:rsidR="00397E5B">
              <w:rPr>
                <w:sz w:val="28"/>
                <w:szCs w:val="28"/>
              </w:rPr>
              <w:t xml:space="preserve"> </w:t>
            </w:r>
            <w:r w:rsidR="009F4369">
              <w:rPr>
                <w:sz w:val="28"/>
                <w:szCs w:val="28"/>
              </w:rPr>
              <w:t xml:space="preserve">Šobrīd ir  gadījumi, kad izglītības iestādei ir nepieciešams konkrēts atbalsta personāls, taču ievērojot spēkā esošo noteikumu normu, 15 procentu </w:t>
            </w:r>
            <w:r w:rsidR="009F4369">
              <w:rPr>
                <w:sz w:val="28"/>
                <w:szCs w:val="28"/>
              </w:rPr>
              <w:lastRenderedPageBreak/>
              <w:t xml:space="preserve">ierobežojums no saņemtās mērķdotācijas ir pietiekams tikai, lai nosegtu administrācijas izdevumus. </w:t>
            </w:r>
            <w:r w:rsidR="00EB0488">
              <w:rPr>
                <w:sz w:val="28"/>
                <w:szCs w:val="28"/>
              </w:rPr>
              <w:t xml:space="preserve">Izpētot Valsts izglītības informācijas sistēmā pieejamos datus par tarificēto direktora, viņu vietnieku un atbalsta personāla (bibliotekārs, logopēds, psihologs, speciālais pedagogs) likmēm, tika iegūta informācija par to, ka 15% mērķdotācija administrācijai un atbalsta personāla ietarificēta </w:t>
            </w:r>
            <w:r w:rsidR="002E6262">
              <w:rPr>
                <w:sz w:val="28"/>
                <w:szCs w:val="28"/>
              </w:rPr>
              <w:t xml:space="preserve">aptuveni </w:t>
            </w:r>
            <w:r w:rsidR="00EB0488">
              <w:rPr>
                <w:sz w:val="28"/>
                <w:szCs w:val="28"/>
              </w:rPr>
              <w:t xml:space="preserve">attiecīgi - </w:t>
            </w:r>
            <w:r w:rsidR="002E6262">
              <w:rPr>
                <w:sz w:val="28"/>
                <w:szCs w:val="28"/>
              </w:rPr>
              <w:t>12</w:t>
            </w:r>
            <w:r w:rsidR="00EB0488">
              <w:rPr>
                <w:sz w:val="28"/>
                <w:szCs w:val="28"/>
              </w:rPr>
              <w:t xml:space="preserve"> un 3 procenti. Pamatojoties uz šo iegūto informāciju, noteikumu projektā tiek iekļauts ierobežojums pašvaldībām direktoriem un viņu vietniekiem izlietot ne vairāk kā 12 procentu no saņemtās mērķdotācijas. </w:t>
            </w:r>
          </w:p>
          <w:p w:rsidR="007F4F2E" w:rsidRDefault="00954819" w:rsidP="00EB0488">
            <w:pPr>
              <w:autoSpaceDE w:val="0"/>
              <w:autoSpaceDN w:val="0"/>
              <w:adjustRightInd w:val="0"/>
              <w:spacing w:before="0" w:after="0"/>
              <w:jc w:val="both"/>
              <w:rPr>
                <w:sz w:val="28"/>
                <w:szCs w:val="28"/>
              </w:rPr>
            </w:pPr>
            <w:r>
              <w:rPr>
                <w:sz w:val="28"/>
                <w:szCs w:val="28"/>
              </w:rPr>
              <w:t xml:space="preserve">Ņemot vērā, ka </w:t>
            </w:r>
            <w:r w:rsidRPr="00C0192F">
              <w:rPr>
                <w:sz w:val="28"/>
                <w:szCs w:val="28"/>
              </w:rPr>
              <w:t>2011.gada 10.maija noteikum</w:t>
            </w:r>
            <w:r>
              <w:rPr>
                <w:sz w:val="28"/>
                <w:szCs w:val="28"/>
              </w:rPr>
              <w:t>i</w:t>
            </w:r>
            <w:r w:rsidRPr="00C0192F">
              <w:rPr>
                <w:sz w:val="28"/>
                <w:szCs w:val="28"/>
              </w:rPr>
              <w:t xml:space="preserve"> Nr.354 „Noteikumi par pedagogu profesiju un amatu sarakstu” ir papildināti </w:t>
            </w:r>
            <w:r>
              <w:rPr>
                <w:sz w:val="28"/>
                <w:szCs w:val="28"/>
              </w:rPr>
              <w:t>ar jaunu atbalsta personāla amatu – pedagogs karjeras konsultants, atbilstoši arī noteikumu projektu nepieciešams papildināts ar šo atbalsta personāla amatu.</w:t>
            </w:r>
          </w:p>
          <w:p w:rsidR="0063778B" w:rsidRPr="0063778B" w:rsidRDefault="007F4F2E" w:rsidP="007F4F2E">
            <w:pPr>
              <w:pStyle w:val="Heading4"/>
              <w:spacing w:before="0" w:beforeAutospacing="0" w:after="0" w:afterAutospacing="0"/>
              <w:jc w:val="both"/>
              <w:rPr>
                <w:b w:val="0"/>
                <w:sz w:val="28"/>
                <w:szCs w:val="28"/>
              </w:rPr>
            </w:pPr>
            <w:r w:rsidRPr="007F4F2E">
              <w:rPr>
                <w:b w:val="0"/>
                <w:sz w:val="28"/>
                <w:szCs w:val="28"/>
              </w:rPr>
              <w:t>Lai pilnveidotu budžeta izdevumu klasifikāciju atbilstoši ekonomiskajām kategorijām,</w:t>
            </w:r>
            <w:r w:rsidRPr="007F4F2E">
              <w:rPr>
                <w:rFonts w:eastAsia="Calibri"/>
                <w:b w:val="0"/>
                <w:color w:val="000000"/>
                <w:sz w:val="28"/>
                <w:szCs w:val="28"/>
              </w:rPr>
              <w:t xml:space="preserve"> </w:t>
            </w:r>
            <w:r w:rsidR="0063778B" w:rsidRPr="0063778B">
              <w:rPr>
                <w:rFonts w:eastAsia="Calibri"/>
                <w:b w:val="0"/>
                <w:color w:val="000000"/>
                <w:sz w:val="28"/>
                <w:szCs w:val="28"/>
              </w:rPr>
              <w:t>2011.gada 11.oktobrī tika veikti grozījumi Ministru kabineta 2005.gada 27.decembra noteikumos Nr.1031 "Noteikumi par budžeta izdevumu klasifikāciju atbilstoši ekonomiskajām kategorijām", kas stājās spēkā ar 2012.gada 1.janv</w:t>
            </w:r>
            <w:r>
              <w:rPr>
                <w:rFonts w:eastAsia="Calibri"/>
                <w:b w:val="0"/>
                <w:color w:val="000000"/>
                <w:sz w:val="28"/>
                <w:szCs w:val="28"/>
              </w:rPr>
              <w:t>āri.</w:t>
            </w:r>
            <w:r w:rsidR="0063778B" w:rsidRPr="0063778B">
              <w:rPr>
                <w:rFonts w:eastAsia="Calibri"/>
                <w:b w:val="0"/>
                <w:color w:val="000000"/>
                <w:sz w:val="28"/>
                <w:szCs w:val="28"/>
              </w:rPr>
              <w:t xml:space="preserve"> Atbilstoši </w:t>
            </w:r>
            <w:r>
              <w:rPr>
                <w:rFonts w:eastAsia="Calibri"/>
                <w:b w:val="0"/>
                <w:color w:val="000000"/>
                <w:sz w:val="28"/>
                <w:szCs w:val="28"/>
              </w:rPr>
              <w:t>grozījumiem</w:t>
            </w:r>
            <w:r w:rsidR="0063778B" w:rsidRPr="0063778B">
              <w:rPr>
                <w:rFonts w:eastAsia="Calibri"/>
                <w:b w:val="0"/>
                <w:color w:val="000000"/>
                <w:sz w:val="28"/>
                <w:szCs w:val="28"/>
              </w:rPr>
              <w:t xml:space="preserve"> ir nepieciešams precizēt spēkā esošo noteikumu pielikumu </w:t>
            </w:r>
            <w:r w:rsidR="0063778B">
              <w:rPr>
                <w:rFonts w:eastAsia="Calibri"/>
                <w:b w:val="0"/>
                <w:color w:val="000000"/>
                <w:sz w:val="28"/>
                <w:szCs w:val="28"/>
              </w:rPr>
              <w:t>„</w:t>
            </w:r>
            <w:r w:rsidR="0063778B" w:rsidRPr="0063778B">
              <w:rPr>
                <w:b w:val="0"/>
                <w:sz w:val="28"/>
                <w:szCs w:val="28"/>
              </w:rPr>
              <w:t>Pārskats par mērķdotācijas novadu un republikas pilsētu pašvaldībām pedagogu darba samaksai un valsts sociālās apdrošināšanas obligātajām iemaksām izlietojumu 20___.gadā (latos)</w:t>
            </w:r>
            <w:r w:rsidR="0063778B">
              <w:rPr>
                <w:b w:val="0"/>
                <w:sz w:val="28"/>
                <w:szCs w:val="28"/>
              </w:rPr>
              <w:t>”</w:t>
            </w:r>
          </w:p>
        </w:tc>
      </w:tr>
      <w:tr w:rsidR="005B2AE9" w:rsidRPr="007B1A23">
        <w:trPr>
          <w:trHeight w:val="1071"/>
          <w:tblCellSpacing w:w="0" w:type="dxa"/>
        </w:trPr>
        <w:tc>
          <w:tcPr>
            <w:tcW w:w="550" w:type="dxa"/>
            <w:vAlign w:val="center"/>
          </w:tcPr>
          <w:p w:rsidR="005B2AE9" w:rsidRPr="007B1A23" w:rsidRDefault="005B2AE9" w:rsidP="00C359A0">
            <w:pPr>
              <w:pStyle w:val="naiskr"/>
              <w:spacing w:before="0" w:after="0"/>
              <w:jc w:val="center"/>
              <w:rPr>
                <w:sz w:val="28"/>
                <w:szCs w:val="28"/>
              </w:rPr>
            </w:pPr>
            <w:r w:rsidRPr="007B1A23">
              <w:rPr>
                <w:sz w:val="28"/>
                <w:szCs w:val="28"/>
              </w:rPr>
              <w:lastRenderedPageBreak/>
              <w:t>3.</w:t>
            </w:r>
          </w:p>
        </w:tc>
        <w:tc>
          <w:tcPr>
            <w:tcW w:w="1927" w:type="dxa"/>
            <w:vAlign w:val="center"/>
          </w:tcPr>
          <w:p w:rsidR="005B2AE9" w:rsidRPr="007B1A23" w:rsidRDefault="005B2AE9" w:rsidP="00C359A0">
            <w:pPr>
              <w:pStyle w:val="naiskr"/>
              <w:spacing w:before="0" w:after="0"/>
              <w:rPr>
                <w:sz w:val="28"/>
                <w:szCs w:val="28"/>
              </w:rPr>
            </w:pPr>
            <w:r w:rsidRPr="007B1A23">
              <w:rPr>
                <w:sz w:val="28"/>
                <w:szCs w:val="28"/>
              </w:rPr>
              <w:t>Saistītie politikas ietekmes novērtējumi un pētījumi</w:t>
            </w:r>
          </w:p>
        </w:tc>
        <w:tc>
          <w:tcPr>
            <w:tcW w:w="6804" w:type="dxa"/>
            <w:vAlign w:val="center"/>
          </w:tcPr>
          <w:p w:rsidR="005B2AE9" w:rsidRPr="007B1A23" w:rsidRDefault="005B2AE9" w:rsidP="00C359A0">
            <w:pPr>
              <w:pStyle w:val="naiskr"/>
              <w:spacing w:before="0" w:after="0"/>
              <w:jc w:val="both"/>
              <w:rPr>
                <w:sz w:val="28"/>
                <w:szCs w:val="28"/>
              </w:rPr>
            </w:pPr>
            <w:r w:rsidRPr="007B1A23">
              <w:rPr>
                <w:sz w:val="28"/>
                <w:szCs w:val="28"/>
              </w:rPr>
              <w:t>Projekts šo jomu neskar.</w:t>
            </w:r>
          </w:p>
        </w:tc>
      </w:tr>
      <w:tr w:rsidR="005B2AE9" w:rsidRPr="007B1A23">
        <w:trPr>
          <w:trHeight w:val="1320"/>
          <w:tblCellSpacing w:w="0" w:type="dxa"/>
        </w:trPr>
        <w:tc>
          <w:tcPr>
            <w:tcW w:w="550" w:type="dxa"/>
            <w:vAlign w:val="center"/>
          </w:tcPr>
          <w:p w:rsidR="005B2AE9" w:rsidRPr="007B1A23" w:rsidRDefault="005B2AE9" w:rsidP="00C359A0">
            <w:pPr>
              <w:pStyle w:val="naiskr"/>
              <w:spacing w:before="0" w:after="0"/>
              <w:jc w:val="center"/>
              <w:rPr>
                <w:sz w:val="28"/>
                <w:szCs w:val="28"/>
              </w:rPr>
            </w:pPr>
            <w:r w:rsidRPr="007B1A23">
              <w:rPr>
                <w:sz w:val="28"/>
                <w:szCs w:val="28"/>
              </w:rPr>
              <w:t>4.</w:t>
            </w:r>
          </w:p>
        </w:tc>
        <w:tc>
          <w:tcPr>
            <w:tcW w:w="1927" w:type="dxa"/>
            <w:vAlign w:val="center"/>
          </w:tcPr>
          <w:p w:rsidR="005B2AE9" w:rsidRPr="007B1A23" w:rsidRDefault="005B2AE9" w:rsidP="00C359A0">
            <w:pPr>
              <w:pStyle w:val="naiskr"/>
              <w:spacing w:before="0" w:after="0"/>
              <w:rPr>
                <w:sz w:val="28"/>
                <w:szCs w:val="28"/>
              </w:rPr>
            </w:pPr>
            <w:r w:rsidRPr="007B1A23">
              <w:rPr>
                <w:sz w:val="28"/>
                <w:szCs w:val="28"/>
              </w:rPr>
              <w:t>Tiesiskā regulējuma mērķis un būtība</w:t>
            </w:r>
          </w:p>
        </w:tc>
        <w:tc>
          <w:tcPr>
            <w:tcW w:w="6804" w:type="dxa"/>
            <w:vAlign w:val="center"/>
          </w:tcPr>
          <w:p w:rsidR="005B2AE9" w:rsidRPr="00BF5EDF" w:rsidRDefault="005B2AE9" w:rsidP="00D65A8C">
            <w:pPr>
              <w:spacing w:before="0" w:after="0"/>
              <w:jc w:val="both"/>
              <w:rPr>
                <w:sz w:val="28"/>
                <w:szCs w:val="28"/>
                <w:highlight w:val="yellow"/>
              </w:rPr>
            </w:pPr>
            <w:r w:rsidRPr="001072CC">
              <w:rPr>
                <w:sz w:val="28"/>
                <w:szCs w:val="28"/>
              </w:rPr>
              <w:t xml:space="preserve">Noteikumu projekts </w:t>
            </w:r>
            <w:r w:rsidR="00AE183F" w:rsidRPr="001072CC">
              <w:rPr>
                <w:bCs/>
                <w:sz w:val="28"/>
                <w:szCs w:val="28"/>
              </w:rPr>
              <w:t>salīdzinājumā ar spēkā esošajiem noteikumiem paredz</w:t>
            </w:r>
            <w:r w:rsidR="00455850" w:rsidRPr="001072CC">
              <w:rPr>
                <w:bCs/>
                <w:sz w:val="28"/>
                <w:szCs w:val="28"/>
              </w:rPr>
              <w:t xml:space="preserve"> izslēgt atbalsta personālu </w:t>
            </w:r>
            <w:r w:rsidR="00455850" w:rsidRPr="001072CC">
              <w:rPr>
                <w:sz w:val="28"/>
                <w:szCs w:val="28"/>
              </w:rPr>
              <w:t xml:space="preserve">(bibliotekārs, logopēds, psihologs, speciālais pedagogs) no mērķdotācijas sadalījuma, kurš paredz, ka atbalsta personāla un administrācijas darba samaksas finansēšanai pašvaldība var izlietot līdz 15 procentiem no saņemtās mērķdotācijas. </w:t>
            </w:r>
            <w:r w:rsidR="007367FA" w:rsidRPr="001072CC">
              <w:rPr>
                <w:sz w:val="28"/>
                <w:szCs w:val="28"/>
              </w:rPr>
              <w:t>Līdz ar to, pašvaldība drīkst</w:t>
            </w:r>
            <w:r w:rsidR="001072CC" w:rsidRPr="001072CC">
              <w:rPr>
                <w:sz w:val="28"/>
                <w:szCs w:val="28"/>
              </w:rPr>
              <w:t>ēs izglītības iestāžu vadītājiem un viņu vietnieku darba samaksai</w:t>
            </w:r>
            <w:r w:rsidR="007367FA" w:rsidRPr="001072CC">
              <w:rPr>
                <w:sz w:val="28"/>
                <w:szCs w:val="28"/>
              </w:rPr>
              <w:t xml:space="preserve"> </w:t>
            </w:r>
            <w:r w:rsidR="007367FA" w:rsidRPr="001072CC">
              <w:rPr>
                <w:sz w:val="28"/>
                <w:szCs w:val="28"/>
              </w:rPr>
              <w:lastRenderedPageBreak/>
              <w:t>izmantot 12</w:t>
            </w:r>
            <w:r w:rsidR="001072CC" w:rsidRPr="001072CC">
              <w:rPr>
                <w:sz w:val="28"/>
                <w:szCs w:val="28"/>
              </w:rPr>
              <w:t xml:space="preserve"> procentus no saņemtās mērķdotācijas, savukārt atbalsta personāla darba samaksas finansēšanai</w:t>
            </w:r>
            <w:r w:rsidR="007367FA" w:rsidRPr="001072CC">
              <w:rPr>
                <w:sz w:val="28"/>
                <w:szCs w:val="28"/>
              </w:rPr>
              <w:t xml:space="preserve"> nebūs ierobežojuma. </w:t>
            </w:r>
            <w:r w:rsidR="00954819">
              <w:rPr>
                <w:sz w:val="28"/>
                <w:szCs w:val="28"/>
              </w:rPr>
              <w:t xml:space="preserve">Papildus </w:t>
            </w:r>
            <w:r w:rsidR="00010B96">
              <w:rPr>
                <w:sz w:val="28"/>
                <w:szCs w:val="28"/>
              </w:rPr>
              <w:t xml:space="preserve">noteikumu projekts tiek papildināts </w:t>
            </w:r>
            <w:r w:rsidR="004B2145">
              <w:rPr>
                <w:sz w:val="28"/>
                <w:szCs w:val="28"/>
              </w:rPr>
              <w:t xml:space="preserve">ar </w:t>
            </w:r>
            <w:r w:rsidR="00010B96">
              <w:rPr>
                <w:sz w:val="28"/>
                <w:szCs w:val="28"/>
              </w:rPr>
              <w:t>atbalsta personāla amatu</w:t>
            </w:r>
            <w:r w:rsidR="00954819">
              <w:rPr>
                <w:sz w:val="28"/>
                <w:szCs w:val="28"/>
              </w:rPr>
              <w:t xml:space="preserve"> – pedagogs karjeras konsultants</w:t>
            </w:r>
            <w:r w:rsidR="0063778B">
              <w:rPr>
                <w:sz w:val="28"/>
                <w:szCs w:val="28"/>
              </w:rPr>
              <w:t>, kā arī tiek precizēts spēkā esošo noteikumu pielikums par pārskata formu atbilstoši pārskatam</w:t>
            </w:r>
            <w:r w:rsidR="00D65A8C">
              <w:rPr>
                <w:sz w:val="28"/>
                <w:szCs w:val="28"/>
              </w:rPr>
              <w:t>,</w:t>
            </w:r>
            <w:r w:rsidR="0063778B">
              <w:rPr>
                <w:sz w:val="28"/>
                <w:szCs w:val="28"/>
              </w:rPr>
              <w:t xml:space="preserve"> kādu pašvaldības ievada </w:t>
            </w:r>
            <w:r w:rsidR="0063778B" w:rsidRPr="0063778B">
              <w:rPr>
                <w:sz w:val="28"/>
                <w:szCs w:val="28"/>
              </w:rPr>
              <w:t>Valsts kases informācijas sistēmā "Valsts budžeta un pašvaldību budžeta pārskati"</w:t>
            </w:r>
            <w:r w:rsidR="0063778B">
              <w:rPr>
                <w:sz w:val="28"/>
                <w:szCs w:val="28"/>
              </w:rPr>
              <w:t>.</w:t>
            </w:r>
          </w:p>
        </w:tc>
      </w:tr>
      <w:tr w:rsidR="005B2AE9" w:rsidRPr="007B1A23">
        <w:trPr>
          <w:trHeight w:val="476"/>
          <w:tblCellSpacing w:w="0" w:type="dxa"/>
        </w:trPr>
        <w:tc>
          <w:tcPr>
            <w:tcW w:w="550" w:type="dxa"/>
            <w:vAlign w:val="center"/>
          </w:tcPr>
          <w:p w:rsidR="005B2AE9" w:rsidRPr="007B1A23" w:rsidRDefault="005B2AE9" w:rsidP="00C359A0">
            <w:pPr>
              <w:pStyle w:val="naiskr"/>
              <w:spacing w:before="0" w:after="0"/>
              <w:jc w:val="center"/>
              <w:rPr>
                <w:sz w:val="28"/>
                <w:szCs w:val="28"/>
              </w:rPr>
            </w:pPr>
            <w:r w:rsidRPr="007B1A23">
              <w:rPr>
                <w:sz w:val="28"/>
                <w:szCs w:val="28"/>
              </w:rPr>
              <w:lastRenderedPageBreak/>
              <w:t>5.</w:t>
            </w:r>
          </w:p>
        </w:tc>
        <w:tc>
          <w:tcPr>
            <w:tcW w:w="1927" w:type="dxa"/>
            <w:vAlign w:val="center"/>
          </w:tcPr>
          <w:p w:rsidR="005B2AE9" w:rsidRPr="007B1A23" w:rsidRDefault="005B2AE9" w:rsidP="00C359A0">
            <w:pPr>
              <w:pStyle w:val="naiskr"/>
              <w:spacing w:before="0" w:after="0"/>
              <w:rPr>
                <w:sz w:val="28"/>
                <w:szCs w:val="28"/>
              </w:rPr>
            </w:pPr>
            <w:r w:rsidRPr="007B1A23">
              <w:rPr>
                <w:sz w:val="28"/>
                <w:szCs w:val="28"/>
              </w:rPr>
              <w:t xml:space="preserve">Projekta izstrādē iesaistītās institūcijas </w:t>
            </w:r>
          </w:p>
        </w:tc>
        <w:tc>
          <w:tcPr>
            <w:tcW w:w="6804" w:type="dxa"/>
            <w:vAlign w:val="center"/>
          </w:tcPr>
          <w:p w:rsidR="005B2AE9" w:rsidRPr="007B1A23" w:rsidRDefault="00AE183F" w:rsidP="00D20252">
            <w:pPr>
              <w:tabs>
                <w:tab w:val="left" w:pos="360"/>
              </w:tabs>
              <w:spacing w:before="0" w:after="0"/>
              <w:jc w:val="both"/>
              <w:rPr>
                <w:sz w:val="28"/>
                <w:szCs w:val="28"/>
              </w:rPr>
            </w:pPr>
            <w:r w:rsidRPr="007B1A23">
              <w:rPr>
                <w:sz w:val="28"/>
                <w:szCs w:val="28"/>
              </w:rPr>
              <w:t>Starpinstitūciju darba grupa, kas izveidota, lai izstrādātu pedagogu motivācijas sistēmas projektu, kas iekļautu darba samaksas paaugstināšanas plānu sākot no 2012.gada 1.septembra. Izglītības un zinātnes</w:t>
            </w:r>
            <w:r w:rsidR="00594AFB" w:rsidRPr="007B1A23">
              <w:rPr>
                <w:sz w:val="28"/>
                <w:szCs w:val="28"/>
              </w:rPr>
              <w:t xml:space="preserve"> ministrijas (turpmāk – ministrijas) </w:t>
            </w:r>
            <w:r w:rsidRPr="007B1A23">
              <w:rPr>
                <w:sz w:val="28"/>
                <w:szCs w:val="28"/>
              </w:rPr>
              <w:t>2012.gada 23.maija rīkojums Nr.162 „Par darba grupas izveidi”. Darba grup</w:t>
            </w:r>
            <w:r w:rsidR="00594AFB" w:rsidRPr="007B1A23">
              <w:rPr>
                <w:sz w:val="28"/>
                <w:szCs w:val="28"/>
              </w:rPr>
              <w:t>as</w:t>
            </w:r>
            <w:r w:rsidRPr="007B1A23">
              <w:rPr>
                <w:sz w:val="28"/>
                <w:szCs w:val="28"/>
              </w:rPr>
              <w:t xml:space="preserve"> </w:t>
            </w:r>
            <w:r w:rsidR="00594AFB" w:rsidRPr="007B1A23">
              <w:rPr>
                <w:sz w:val="28"/>
                <w:szCs w:val="28"/>
              </w:rPr>
              <w:t xml:space="preserve">sastāvā ir pārstāvji no ministrijas, </w:t>
            </w:r>
            <w:r w:rsidR="00D20252">
              <w:rPr>
                <w:sz w:val="28"/>
                <w:szCs w:val="28"/>
              </w:rPr>
              <w:t>LIZDA</w:t>
            </w:r>
            <w:r w:rsidR="00594AFB" w:rsidRPr="007B1A23">
              <w:rPr>
                <w:sz w:val="28"/>
                <w:szCs w:val="28"/>
              </w:rPr>
              <w:t xml:space="preserve">, Kultūras ministrijas, </w:t>
            </w:r>
            <w:r w:rsidR="00D20252">
              <w:rPr>
                <w:sz w:val="28"/>
                <w:szCs w:val="28"/>
              </w:rPr>
              <w:t>LIVA.</w:t>
            </w:r>
            <w:r w:rsidR="00594AFB" w:rsidRPr="007B1A23">
              <w:rPr>
                <w:sz w:val="28"/>
                <w:szCs w:val="28"/>
              </w:rPr>
              <w:t xml:space="preserve">  </w:t>
            </w:r>
          </w:p>
        </w:tc>
      </w:tr>
      <w:tr w:rsidR="005B2AE9" w:rsidRPr="007B1A23">
        <w:trPr>
          <w:trHeight w:val="1208"/>
          <w:tblCellSpacing w:w="0" w:type="dxa"/>
        </w:trPr>
        <w:tc>
          <w:tcPr>
            <w:tcW w:w="550" w:type="dxa"/>
            <w:vAlign w:val="center"/>
          </w:tcPr>
          <w:p w:rsidR="005B2AE9" w:rsidRPr="007B1A23" w:rsidRDefault="005B2AE9" w:rsidP="00C359A0">
            <w:pPr>
              <w:pStyle w:val="naiskr"/>
              <w:spacing w:before="0" w:after="0"/>
              <w:jc w:val="center"/>
              <w:rPr>
                <w:sz w:val="28"/>
                <w:szCs w:val="28"/>
              </w:rPr>
            </w:pPr>
            <w:r w:rsidRPr="007B1A23">
              <w:rPr>
                <w:sz w:val="28"/>
                <w:szCs w:val="28"/>
              </w:rPr>
              <w:t>6.</w:t>
            </w:r>
          </w:p>
        </w:tc>
        <w:tc>
          <w:tcPr>
            <w:tcW w:w="1927" w:type="dxa"/>
            <w:vAlign w:val="center"/>
          </w:tcPr>
          <w:p w:rsidR="005B2AE9" w:rsidRPr="007B1A23" w:rsidRDefault="005B2AE9" w:rsidP="00C359A0">
            <w:pPr>
              <w:pStyle w:val="naiskr"/>
              <w:spacing w:before="0" w:after="0"/>
              <w:rPr>
                <w:sz w:val="28"/>
                <w:szCs w:val="28"/>
                <w:highlight w:val="yellow"/>
              </w:rPr>
            </w:pPr>
            <w:r w:rsidRPr="007B1A23">
              <w:rPr>
                <w:sz w:val="28"/>
                <w:szCs w:val="28"/>
              </w:rPr>
              <w:t>Iemesli, kādēļ netika nodrošināta sabiedrības līdzdalība</w:t>
            </w:r>
          </w:p>
        </w:tc>
        <w:tc>
          <w:tcPr>
            <w:tcW w:w="6804" w:type="dxa"/>
            <w:vAlign w:val="center"/>
          </w:tcPr>
          <w:p w:rsidR="005B2AE9" w:rsidRPr="007B1A23" w:rsidRDefault="005B2AE9" w:rsidP="00C359A0">
            <w:pPr>
              <w:pStyle w:val="naiskr"/>
              <w:spacing w:before="0" w:after="0"/>
              <w:jc w:val="both"/>
              <w:rPr>
                <w:sz w:val="28"/>
                <w:szCs w:val="28"/>
              </w:rPr>
            </w:pPr>
            <w:r w:rsidRPr="00582FCA">
              <w:rPr>
                <w:sz w:val="28"/>
                <w:szCs w:val="28"/>
              </w:rPr>
              <w:t>Sabiedrības līdzdalība netika nodrošināta, jo noteikumu projekts neierobežo un nesašaurina nevienas personu grupas vai indivīda tiesības, kā arī nenosaka pienākumus sabiedrībai.</w:t>
            </w:r>
          </w:p>
        </w:tc>
      </w:tr>
      <w:tr w:rsidR="005B2AE9" w:rsidRPr="007B1A23">
        <w:trPr>
          <w:tblCellSpacing w:w="0" w:type="dxa"/>
        </w:trPr>
        <w:tc>
          <w:tcPr>
            <w:tcW w:w="550" w:type="dxa"/>
            <w:vAlign w:val="center"/>
          </w:tcPr>
          <w:p w:rsidR="005B2AE9" w:rsidRPr="007B1A23" w:rsidRDefault="005B2AE9" w:rsidP="00C359A0">
            <w:pPr>
              <w:pStyle w:val="naiskr"/>
              <w:spacing w:before="0" w:after="0"/>
              <w:jc w:val="center"/>
              <w:rPr>
                <w:sz w:val="28"/>
                <w:szCs w:val="28"/>
              </w:rPr>
            </w:pPr>
            <w:r w:rsidRPr="007B1A23">
              <w:rPr>
                <w:sz w:val="28"/>
                <w:szCs w:val="28"/>
              </w:rPr>
              <w:t>7.</w:t>
            </w:r>
          </w:p>
        </w:tc>
        <w:tc>
          <w:tcPr>
            <w:tcW w:w="1927" w:type="dxa"/>
            <w:vAlign w:val="center"/>
          </w:tcPr>
          <w:p w:rsidR="005B2AE9" w:rsidRPr="007B1A23" w:rsidRDefault="005B2AE9" w:rsidP="00C359A0">
            <w:pPr>
              <w:pStyle w:val="naiskr"/>
              <w:spacing w:before="0" w:after="0"/>
              <w:ind w:left="170"/>
              <w:rPr>
                <w:sz w:val="28"/>
                <w:szCs w:val="28"/>
              </w:rPr>
            </w:pPr>
            <w:r w:rsidRPr="007B1A23">
              <w:rPr>
                <w:sz w:val="28"/>
                <w:szCs w:val="28"/>
              </w:rPr>
              <w:t>Cita informācija</w:t>
            </w:r>
          </w:p>
        </w:tc>
        <w:tc>
          <w:tcPr>
            <w:tcW w:w="6804" w:type="dxa"/>
            <w:vAlign w:val="center"/>
          </w:tcPr>
          <w:p w:rsidR="005B2AE9" w:rsidRPr="007B1A23" w:rsidRDefault="005B2AE9" w:rsidP="00C359A0">
            <w:pPr>
              <w:pStyle w:val="naiskr"/>
              <w:spacing w:before="0" w:after="0"/>
              <w:jc w:val="both"/>
              <w:rPr>
                <w:sz w:val="28"/>
                <w:szCs w:val="28"/>
              </w:rPr>
            </w:pPr>
            <w:r w:rsidRPr="007B1A23">
              <w:rPr>
                <w:sz w:val="28"/>
                <w:szCs w:val="28"/>
              </w:rPr>
              <w:t>Nav.</w:t>
            </w:r>
          </w:p>
        </w:tc>
      </w:tr>
    </w:tbl>
    <w:p w:rsidR="005B2AE9" w:rsidRPr="007B1A23" w:rsidRDefault="005B2AE9" w:rsidP="00C359A0">
      <w:pPr>
        <w:pStyle w:val="naisf"/>
        <w:spacing w:before="0" w:after="0"/>
        <w:rPr>
          <w:sz w:val="28"/>
          <w:szCs w:val="28"/>
        </w:rPr>
      </w:pPr>
    </w:p>
    <w:tbl>
      <w:tblPr>
        <w:tblpPr w:leftFromText="180" w:rightFromText="180" w:vertAnchor="text" w:horzAnchor="margin" w:tblpXSpec="center" w:tblpY="149"/>
        <w:tblW w:w="928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415"/>
        <w:gridCol w:w="3338"/>
        <w:gridCol w:w="5528"/>
      </w:tblGrid>
      <w:tr w:rsidR="005B2AE9" w:rsidRPr="007B1A23">
        <w:trPr>
          <w:tblCellSpacing w:w="0" w:type="dxa"/>
        </w:trPr>
        <w:tc>
          <w:tcPr>
            <w:tcW w:w="9281" w:type="dxa"/>
            <w:gridSpan w:val="3"/>
            <w:vAlign w:val="center"/>
          </w:tcPr>
          <w:p w:rsidR="005B2AE9" w:rsidRPr="007B1A23" w:rsidRDefault="005B2AE9" w:rsidP="00C359A0">
            <w:pPr>
              <w:pStyle w:val="naisnod"/>
              <w:spacing w:before="0" w:after="0"/>
              <w:rPr>
                <w:sz w:val="28"/>
                <w:szCs w:val="28"/>
              </w:rPr>
            </w:pPr>
            <w:r w:rsidRPr="007B1A23">
              <w:rPr>
                <w:sz w:val="28"/>
                <w:szCs w:val="28"/>
              </w:rPr>
              <w:t>II. Tiesību akta projekta ietekme uz sabiedrību</w:t>
            </w:r>
          </w:p>
        </w:tc>
      </w:tr>
      <w:tr w:rsidR="005B2AE9" w:rsidRPr="007B1A23">
        <w:trPr>
          <w:trHeight w:val="467"/>
          <w:tblCellSpacing w:w="0" w:type="dxa"/>
        </w:trPr>
        <w:tc>
          <w:tcPr>
            <w:tcW w:w="415" w:type="dxa"/>
            <w:vAlign w:val="center"/>
          </w:tcPr>
          <w:p w:rsidR="005B2AE9" w:rsidRPr="007B1A23" w:rsidRDefault="005B2AE9" w:rsidP="00C359A0">
            <w:pPr>
              <w:pStyle w:val="naiskr"/>
              <w:spacing w:before="0" w:after="0"/>
              <w:jc w:val="center"/>
              <w:rPr>
                <w:sz w:val="28"/>
                <w:szCs w:val="28"/>
              </w:rPr>
            </w:pPr>
            <w:r w:rsidRPr="007B1A23">
              <w:rPr>
                <w:sz w:val="28"/>
                <w:szCs w:val="28"/>
              </w:rPr>
              <w:t>1.</w:t>
            </w:r>
          </w:p>
        </w:tc>
        <w:tc>
          <w:tcPr>
            <w:tcW w:w="3338" w:type="dxa"/>
            <w:vAlign w:val="center"/>
          </w:tcPr>
          <w:p w:rsidR="005B2AE9" w:rsidRPr="007B1A23" w:rsidRDefault="005B2AE9" w:rsidP="00C359A0">
            <w:pPr>
              <w:pStyle w:val="naiskr"/>
              <w:spacing w:before="0" w:after="0"/>
              <w:rPr>
                <w:sz w:val="28"/>
                <w:szCs w:val="28"/>
              </w:rPr>
            </w:pPr>
            <w:r w:rsidRPr="007B1A23">
              <w:rPr>
                <w:sz w:val="28"/>
                <w:szCs w:val="28"/>
              </w:rPr>
              <w:t>Sabiedrības mērķgrupa</w:t>
            </w:r>
          </w:p>
        </w:tc>
        <w:tc>
          <w:tcPr>
            <w:tcW w:w="5528" w:type="dxa"/>
            <w:vAlign w:val="center"/>
          </w:tcPr>
          <w:p w:rsidR="00B51F5A" w:rsidRPr="00B51F5A" w:rsidRDefault="002F144E" w:rsidP="00DB0BF7">
            <w:pPr>
              <w:spacing w:before="0" w:after="0"/>
              <w:jc w:val="both"/>
              <w:rPr>
                <w:sz w:val="28"/>
                <w:szCs w:val="28"/>
              </w:rPr>
            </w:pPr>
            <w:r w:rsidRPr="0089187F">
              <w:rPr>
                <w:sz w:val="28"/>
                <w:szCs w:val="28"/>
              </w:rPr>
              <w:t xml:space="preserve">Noteikumu projekta tiesiskais regulējums attiecas uz </w:t>
            </w:r>
            <w:r w:rsidR="00DB0BF7">
              <w:rPr>
                <w:sz w:val="28"/>
                <w:szCs w:val="28"/>
              </w:rPr>
              <w:t>814 vispārizglītojošo dienu skolu 28 036 pedagogiem un 25 vispārizglītojošo vakara (maiņu) skolu 807 pedagogiem.</w:t>
            </w:r>
            <w:r w:rsidR="00974AF1">
              <w:rPr>
                <w:sz w:val="28"/>
                <w:szCs w:val="28"/>
              </w:rPr>
              <w:t xml:space="preserve"> </w:t>
            </w:r>
          </w:p>
        </w:tc>
      </w:tr>
      <w:tr w:rsidR="005B2AE9" w:rsidRPr="007B1A23">
        <w:trPr>
          <w:trHeight w:val="523"/>
          <w:tblCellSpacing w:w="0" w:type="dxa"/>
        </w:trPr>
        <w:tc>
          <w:tcPr>
            <w:tcW w:w="415" w:type="dxa"/>
            <w:vAlign w:val="center"/>
          </w:tcPr>
          <w:p w:rsidR="005B2AE9" w:rsidRPr="007B1A23" w:rsidRDefault="005B2AE9" w:rsidP="00C359A0">
            <w:pPr>
              <w:pStyle w:val="naiskr"/>
              <w:spacing w:before="0" w:after="0"/>
              <w:jc w:val="center"/>
              <w:rPr>
                <w:sz w:val="28"/>
                <w:szCs w:val="28"/>
              </w:rPr>
            </w:pPr>
            <w:r w:rsidRPr="007B1A23">
              <w:rPr>
                <w:sz w:val="28"/>
                <w:szCs w:val="28"/>
              </w:rPr>
              <w:t>2.</w:t>
            </w:r>
          </w:p>
        </w:tc>
        <w:tc>
          <w:tcPr>
            <w:tcW w:w="3338" w:type="dxa"/>
            <w:vAlign w:val="center"/>
          </w:tcPr>
          <w:p w:rsidR="005B2AE9" w:rsidRPr="007B1A23" w:rsidRDefault="005B2AE9" w:rsidP="00C359A0">
            <w:pPr>
              <w:pStyle w:val="naiskr"/>
              <w:spacing w:before="0" w:after="0"/>
              <w:rPr>
                <w:sz w:val="28"/>
                <w:szCs w:val="28"/>
              </w:rPr>
            </w:pPr>
            <w:r w:rsidRPr="007B1A23">
              <w:rPr>
                <w:sz w:val="28"/>
                <w:szCs w:val="28"/>
              </w:rPr>
              <w:t>Citas sabiedrības grupas (bez mērķgrupas), kuras tiesiskais regulējums arī ietekmē vai varētu ietekmēt</w:t>
            </w:r>
          </w:p>
        </w:tc>
        <w:tc>
          <w:tcPr>
            <w:tcW w:w="5528" w:type="dxa"/>
            <w:vAlign w:val="center"/>
          </w:tcPr>
          <w:p w:rsidR="005B2AE9" w:rsidRPr="007B1A23" w:rsidRDefault="005B2AE9" w:rsidP="00C359A0">
            <w:pPr>
              <w:pStyle w:val="naiskr"/>
              <w:spacing w:before="0" w:after="0"/>
              <w:jc w:val="both"/>
              <w:rPr>
                <w:sz w:val="28"/>
                <w:szCs w:val="28"/>
              </w:rPr>
            </w:pPr>
            <w:r w:rsidRPr="007B1A23">
              <w:rPr>
                <w:sz w:val="28"/>
                <w:szCs w:val="28"/>
              </w:rPr>
              <w:t>Projekts šo jomu neskar.</w:t>
            </w:r>
          </w:p>
        </w:tc>
      </w:tr>
      <w:tr w:rsidR="005B2AE9" w:rsidRPr="007B1A23">
        <w:trPr>
          <w:trHeight w:val="517"/>
          <w:tblCellSpacing w:w="0" w:type="dxa"/>
        </w:trPr>
        <w:tc>
          <w:tcPr>
            <w:tcW w:w="415" w:type="dxa"/>
            <w:vAlign w:val="center"/>
          </w:tcPr>
          <w:p w:rsidR="005B2AE9" w:rsidRPr="007B1A23" w:rsidRDefault="005B2AE9" w:rsidP="00C359A0">
            <w:pPr>
              <w:pStyle w:val="naiskr"/>
              <w:spacing w:before="0" w:after="0"/>
              <w:jc w:val="center"/>
              <w:rPr>
                <w:sz w:val="28"/>
                <w:szCs w:val="28"/>
              </w:rPr>
            </w:pPr>
            <w:r w:rsidRPr="007B1A23">
              <w:rPr>
                <w:sz w:val="28"/>
                <w:szCs w:val="28"/>
              </w:rPr>
              <w:t>3.</w:t>
            </w:r>
          </w:p>
        </w:tc>
        <w:tc>
          <w:tcPr>
            <w:tcW w:w="3338" w:type="dxa"/>
            <w:vAlign w:val="center"/>
          </w:tcPr>
          <w:p w:rsidR="005B2AE9" w:rsidRPr="007B1A23" w:rsidRDefault="005B2AE9" w:rsidP="00C359A0">
            <w:pPr>
              <w:pStyle w:val="naiskr"/>
              <w:spacing w:before="0" w:after="0"/>
              <w:rPr>
                <w:sz w:val="28"/>
                <w:szCs w:val="28"/>
              </w:rPr>
            </w:pPr>
            <w:r w:rsidRPr="007B1A23">
              <w:rPr>
                <w:sz w:val="28"/>
                <w:szCs w:val="28"/>
              </w:rPr>
              <w:t xml:space="preserve">Tiesiskā regulējuma finansiālā ietekme </w:t>
            </w:r>
          </w:p>
        </w:tc>
        <w:tc>
          <w:tcPr>
            <w:tcW w:w="5528" w:type="dxa"/>
            <w:vAlign w:val="center"/>
          </w:tcPr>
          <w:p w:rsidR="005B2AE9" w:rsidRPr="007B1A23" w:rsidRDefault="00786F09" w:rsidP="00C233D8">
            <w:pPr>
              <w:pStyle w:val="naiskr"/>
              <w:spacing w:before="0" w:after="0"/>
              <w:jc w:val="both"/>
              <w:rPr>
                <w:i/>
                <w:iCs/>
                <w:sz w:val="28"/>
                <w:szCs w:val="28"/>
              </w:rPr>
            </w:pPr>
            <w:r>
              <w:rPr>
                <w:iCs/>
                <w:sz w:val="28"/>
                <w:szCs w:val="28"/>
              </w:rPr>
              <w:t xml:space="preserve">Finansiālā ietekme ir iekļauta </w:t>
            </w:r>
            <w:r>
              <w:rPr>
                <w:sz w:val="28"/>
                <w:szCs w:val="28"/>
              </w:rPr>
              <w:t>grozījumu</w:t>
            </w:r>
            <w:r w:rsidRPr="00ED1333">
              <w:rPr>
                <w:sz w:val="28"/>
                <w:szCs w:val="28"/>
              </w:rPr>
              <w:t xml:space="preserve"> Ministru kabineta 2009.gada 28.jūlija noteikumos Nr.836 „Pedagogu darba samaksas noteikumi”</w:t>
            </w:r>
            <w:r>
              <w:rPr>
                <w:sz w:val="28"/>
                <w:szCs w:val="28"/>
              </w:rPr>
              <w:t xml:space="preserve"> </w:t>
            </w:r>
            <w:r>
              <w:t xml:space="preserve"> </w:t>
            </w:r>
            <w:r w:rsidRPr="00DD660E">
              <w:rPr>
                <w:sz w:val="28"/>
                <w:szCs w:val="28"/>
              </w:rPr>
              <w:t>projekta sākotnējās ietekmes novērtējuma ziņojum</w:t>
            </w:r>
            <w:r>
              <w:rPr>
                <w:sz w:val="28"/>
                <w:szCs w:val="28"/>
              </w:rPr>
              <w:t>ā.</w:t>
            </w:r>
          </w:p>
        </w:tc>
      </w:tr>
      <w:tr w:rsidR="005B2AE9" w:rsidRPr="007B1A23">
        <w:trPr>
          <w:trHeight w:val="517"/>
          <w:tblCellSpacing w:w="0" w:type="dxa"/>
        </w:trPr>
        <w:tc>
          <w:tcPr>
            <w:tcW w:w="415" w:type="dxa"/>
            <w:vAlign w:val="center"/>
          </w:tcPr>
          <w:p w:rsidR="005B2AE9" w:rsidRPr="007B1A23" w:rsidRDefault="005B2AE9" w:rsidP="00C359A0">
            <w:pPr>
              <w:pStyle w:val="naiskr"/>
              <w:spacing w:before="0" w:after="0"/>
              <w:jc w:val="center"/>
              <w:rPr>
                <w:sz w:val="28"/>
                <w:szCs w:val="28"/>
              </w:rPr>
            </w:pPr>
            <w:r w:rsidRPr="007B1A23">
              <w:rPr>
                <w:sz w:val="28"/>
                <w:szCs w:val="28"/>
              </w:rPr>
              <w:t>4.</w:t>
            </w:r>
          </w:p>
        </w:tc>
        <w:tc>
          <w:tcPr>
            <w:tcW w:w="3338" w:type="dxa"/>
            <w:vAlign w:val="center"/>
          </w:tcPr>
          <w:p w:rsidR="005B2AE9" w:rsidRPr="007B1A23" w:rsidRDefault="005B2AE9" w:rsidP="00C359A0">
            <w:pPr>
              <w:pStyle w:val="naiskr"/>
              <w:spacing w:before="0" w:after="0"/>
              <w:rPr>
                <w:sz w:val="28"/>
                <w:szCs w:val="28"/>
              </w:rPr>
            </w:pPr>
            <w:r w:rsidRPr="007B1A23">
              <w:rPr>
                <w:sz w:val="28"/>
                <w:szCs w:val="28"/>
              </w:rPr>
              <w:t>Tiesiskā regulējuma nefinansiālā ietekme</w:t>
            </w:r>
          </w:p>
        </w:tc>
        <w:tc>
          <w:tcPr>
            <w:tcW w:w="5528" w:type="dxa"/>
            <w:vAlign w:val="center"/>
          </w:tcPr>
          <w:p w:rsidR="005B2AE9" w:rsidRPr="007B1A23" w:rsidRDefault="00BB1451" w:rsidP="00582FCA">
            <w:pPr>
              <w:pStyle w:val="naiskr"/>
              <w:spacing w:before="0" w:after="0"/>
              <w:jc w:val="both"/>
              <w:rPr>
                <w:sz w:val="28"/>
                <w:szCs w:val="28"/>
              </w:rPr>
            </w:pPr>
            <w:r w:rsidRPr="007B1A23">
              <w:rPr>
                <w:sz w:val="28"/>
                <w:szCs w:val="28"/>
              </w:rPr>
              <w:t>Projekts šo jomu neskar.</w:t>
            </w:r>
          </w:p>
        </w:tc>
      </w:tr>
      <w:tr w:rsidR="005B2AE9" w:rsidRPr="007B1A23">
        <w:trPr>
          <w:trHeight w:val="625"/>
          <w:tblCellSpacing w:w="0" w:type="dxa"/>
        </w:trPr>
        <w:tc>
          <w:tcPr>
            <w:tcW w:w="415" w:type="dxa"/>
            <w:vAlign w:val="center"/>
          </w:tcPr>
          <w:p w:rsidR="005B2AE9" w:rsidRPr="007B1A23" w:rsidRDefault="005B2AE9" w:rsidP="00C359A0">
            <w:pPr>
              <w:pStyle w:val="naiskr"/>
              <w:spacing w:before="0" w:after="0"/>
              <w:jc w:val="center"/>
              <w:rPr>
                <w:sz w:val="28"/>
                <w:szCs w:val="28"/>
              </w:rPr>
            </w:pPr>
            <w:r w:rsidRPr="007B1A23">
              <w:rPr>
                <w:sz w:val="28"/>
                <w:szCs w:val="28"/>
              </w:rPr>
              <w:lastRenderedPageBreak/>
              <w:t>5.</w:t>
            </w:r>
          </w:p>
        </w:tc>
        <w:tc>
          <w:tcPr>
            <w:tcW w:w="3338" w:type="dxa"/>
            <w:vAlign w:val="center"/>
          </w:tcPr>
          <w:p w:rsidR="005B2AE9" w:rsidRPr="007B1A23" w:rsidRDefault="005B2AE9" w:rsidP="00C359A0">
            <w:pPr>
              <w:pStyle w:val="naiskr"/>
              <w:spacing w:before="0" w:after="0"/>
              <w:rPr>
                <w:sz w:val="28"/>
                <w:szCs w:val="28"/>
              </w:rPr>
            </w:pPr>
            <w:r w:rsidRPr="007B1A23">
              <w:rPr>
                <w:sz w:val="28"/>
                <w:szCs w:val="28"/>
              </w:rPr>
              <w:t>Administratīvās procedūras raksturojums</w:t>
            </w:r>
          </w:p>
        </w:tc>
        <w:tc>
          <w:tcPr>
            <w:tcW w:w="5528" w:type="dxa"/>
            <w:vAlign w:val="center"/>
          </w:tcPr>
          <w:p w:rsidR="005B2AE9" w:rsidRPr="007B1A23" w:rsidRDefault="005B2AE9" w:rsidP="00C359A0">
            <w:pPr>
              <w:pStyle w:val="naiskr"/>
              <w:spacing w:before="0" w:after="0"/>
              <w:jc w:val="both"/>
              <w:rPr>
                <w:i/>
                <w:iCs/>
                <w:sz w:val="28"/>
                <w:szCs w:val="28"/>
              </w:rPr>
            </w:pPr>
            <w:r w:rsidRPr="007B1A23">
              <w:rPr>
                <w:sz w:val="28"/>
                <w:szCs w:val="28"/>
              </w:rPr>
              <w:t>Projekts šo jomu neskar.</w:t>
            </w:r>
          </w:p>
        </w:tc>
      </w:tr>
      <w:tr w:rsidR="005B2AE9" w:rsidRPr="007B1A23">
        <w:trPr>
          <w:trHeight w:val="709"/>
          <w:tblCellSpacing w:w="0" w:type="dxa"/>
        </w:trPr>
        <w:tc>
          <w:tcPr>
            <w:tcW w:w="415" w:type="dxa"/>
            <w:vAlign w:val="center"/>
          </w:tcPr>
          <w:p w:rsidR="005B2AE9" w:rsidRPr="007B1A23" w:rsidRDefault="005B2AE9" w:rsidP="00C359A0">
            <w:pPr>
              <w:pStyle w:val="naiskr"/>
              <w:spacing w:before="0" w:after="0"/>
              <w:jc w:val="center"/>
              <w:rPr>
                <w:sz w:val="28"/>
                <w:szCs w:val="28"/>
              </w:rPr>
            </w:pPr>
            <w:r w:rsidRPr="007B1A23">
              <w:rPr>
                <w:sz w:val="28"/>
                <w:szCs w:val="28"/>
              </w:rPr>
              <w:t>6.</w:t>
            </w:r>
          </w:p>
        </w:tc>
        <w:tc>
          <w:tcPr>
            <w:tcW w:w="3338" w:type="dxa"/>
            <w:vAlign w:val="center"/>
          </w:tcPr>
          <w:p w:rsidR="005B2AE9" w:rsidRPr="007B1A23" w:rsidRDefault="005B2AE9" w:rsidP="00C359A0">
            <w:pPr>
              <w:pStyle w:val="naiskr"/>
              <w:spacing w:before="0" w:after="0"/>
              <w:rPr>
                <w:sz w:val="28"/>
                <w:szCs w:val="28"/>
              </w:rPr>
            </w:pPr>
            <w:r w:rsidRPr="007B1A23">
              <w:rPr>
                <w:sz w:val="28"/>
                <w:szCs w:val="28"/>
              </w:rPr>
              <w:t>Administratīvo izmaksu monetārs novērtējums</w:t>
            </w:r>
          </w:p>
        </w:tc>
        <w:tc>
          <w:tcPr>
            <w:tcW w:w="5528" w:type="dxa"/>
            <w:vAlign w:val="center"/>
          </w:tcPr>
          <w:p w:rsidR="005B2AE9" w:rsidRPr="007B1A23" w:rsidRDefault="005B2AE9" w:rsidP="00C359A0">
            <w:pPr>
              <w:pStyle w:val="naiskr"/>
              <w:spacing w:before="0" w:after="0"/>
              <w:jc w:val="both"/>
              <w:rPr>
                <w:i/>
                <w:iCs/>
                <w:sz w:val="28"/>
                <w:szCs w:val="28"/>
              </w:rPr>
            </w:pPr>
            <w:r w:rsidRPr="007B1A23">
              <w:rPr>
                <w:sz w:val="28"/>
                <w:szCs w:val="28"/>
              </w:rPr>
              <w:t>Projekts šo jomu neskar.</w:t>
            </w:r>
          </w:p>
        </w:tc>
      </w:tr>
      <w:tr w:rsidR="005B2AE9" w:rsidRPr="007B1A23">
        <w:trPr>
          <w:tblCellSpacing w:w="0" w:type="dxa"/>
        </w:trPr>
        <w:tc>
          <w:tcPr>
            <w:tcW w:w="415" w:type="dxa"/>
            <w:vAlign w:val="center"/>
          </w:tcPr>
          <w:p w:rsidR="005B2AE9" w:rsidRPr="007B1A23" w:rsidRDefault="005B2AE9" w:rsidP="00C359A0">
            <w:pPr>
              <w:pStyle w:val="naiskr"/>
              <w:spacing w:before="0" w:after="0"/>
              <w:jc w:val="center"/>
              <w:rPr>
                <w:sz w:val="28"/>
                <w:szCs w:val="28"/>
              </w:rPr>
            </w:pPr>
            <w:r w:rsidRPr="007B1A23">
              <w:rPr>
                <w:sz w:val="28"/>
                <w:szCs w:val="28"/>
              </w:rPr>
              <w:t>7.</w:t>
            </w:r>
          </w:p>
        </w:tc>
        <w:tc>
          <w:tcPr>
            <w:tcW w:w="3338" w:type="dxa"/>
            <w:vAlign w:val="center"/>
          </w:tcPr>
          <w:p w:rsidR="005B2AE9" w:rsidRPr="007B1A23" w:rsidRDefault="005B2AE9" w:rsidP="00C359A0">
            <w:pPr>
              <w:pStyle w:val="naiskr"/>
              <w:spacing w:before="0" w:after="0"/>
              <w:rPr>
                <w:sz w:val="28"/>
                <w:szCs w:val="28"/>
              </w:rPr>
            </w:pPr>
            <w:r w:rsidRPr="007B1A23">
              <w:rPr>
                <w:sz w:val="28"/>
                <w:szCs w:val="28"/>
              </w:rPr>
              <w:t>Cita informācija.</w:t>
            </w:r>
          </w:p>
        </w:tc>
        <w:tc>
          <w:tcPr>
            <w:tcW w:w="5528" w:type="dxa"/>
            <w:vAlign w:val="center"/>
          </w:tcPr>
          <w:p w:rsidR="005B2AE9" w:rsidRPr="007B1A23" w:rsidRDefault="005B2AE9" w:rsidP="00C359A0">
            <w:pPr>
              <w:pStyle w:val="naiskr"/>
              <w:spacing w:before="0" w:after="0"/>
              <w:jc w:val="both"/>
              <w:rPr>
                <w:sz w:val="28"/>
                <w:szCs w:val="28"/>
              </w:rPr>
            </w:pPr>
            <w:r w:rsidRPr="007B1A23">
              <w:rPr>
                <w:sz w:val="28"/>
                <w:szCs w:val="28"/>
              </w:rPr>
              <w:t xml:space="preserve"> Nav.</w:t>
            </w:r>
          </w:p>
        </w:tc>
      </w:tr>
    </w:tbl>
    <w:p w:rsidR="005B2AE9" w:rsidRDefault="005B2AE9" w:rsidP="004A6518">
      <w:pPr>
        <w:spacing w:before="0" w:after="0"/>
        <w:rPr>
          <w:sz w:val="28"/>
          <w:szCs w:val="28"/>
        </w:rPr>
      </w:pPr>
      <w:r w:rsidRPr="007B1A23">
        <w:rPr>
          <w:sz w:val="28"/>
          <w:szCs w:val="28"/>
        </w:rPr>
        <w:t> </w:t>
      </w:r>
    </w:p>
    <w:p w:rsidR="00975B10" w:rsidRPr="007B1A23" w:rsidRDefault="00975B10" w:rsidP="00975B10">
      <w:pPr>
        <w:spacing w:before="0" w:after="0"/>
        <w:ind w:firstLine="375"/>
        <w:jc w:val="center"/>
        <w:rPr>
          <w:sz w:val="28"/>
          <w:szCs w:val="28"/>
        </w:rPr>
      </w:pPr>
      <w:r w:rsidRPr="007B1A23">
        <w:rPr>
          <w:sz w:val="28"/>
          <w:szCs w:val="28"/>
        </w:rPr>
        <w:t xml:space="preserve">Anotācijas </w:t>
      </w:r>
      <w:r>
        <w:rPr>
          <w:sz w:val="28"/>
          <w:szCs w:val="28"/>
        </w:rPr>
        <w:t>III sadaļa – projekts šo jomu</w:t>
      </w:r>
      <w:r w:rsidRPr="007B1A23">
        <w:rPr>
          <w:sz w:val="28"/>
          <w:szCs w:val="28"/>
        </w:rPr>
        <w:t xml:space="preserve"> neskar.</w:t>
      </w:r>
    </w:p>
    <w:p w:rsidR="00975B10" w:rsidRPr="007B1A23" w:rsidRDefault="00975B10" w:rsidP="004A6518">
      <w:pPr>
        <w:spacing w:before="0" w:after="0"/>
        <w:rPr>
          <w:sz w:val="28"/>
          <w:szCs w:val="28"/>
        </w:rPr>
      </w:pPr>
    </w:p>
    <w:p w:rsidR="005B2AE9" w:rsidRPr="007B1A23" w:rsidRDefault="005B2AE9" w:rsidP="00C359A0">
      <w:pPr>
        <w:spacing w:before="0" w:after="0"/>
        <w:rPr>
          <w:sz w:val="28"/>
          <w:szCs w:val="28"/>
        </w:rPr>
      </w:pPr>
    </w:p>
    <w:tbl>
      <w:tblPr>
        <w:tblW w:w="4943" w:type="pct"/>
        <w:jc w:val="center"/>
        <w:tblBorders>
          <w:top w:val="single" w:sz="12" w:space="0" w:color="auto"/>
          <w:left w:val="single" w:sz="12" w:space="0" w:color="auto"/>
          <w:bottom w:val="single" w:sz="12" w:space="0" w:color="auto"/>
          <w:right w:val="single" w:sz="12" w:space="0" w:color="auto"/>
          <w:insideH w:val="single" w:sz="12" w:space="0" w:color="auto"/>
        </w:tblBorders>
        <w:tblLook w:val="01E0"/>
      </w:tblPr>
      <w:tblGrid>
        <w:gridCol w:w="503"/>
        <w:gridCol w:w="1884"/>
        <w:gridCol w:w="6794"/>
      </w:tblGrid>
      <w:tr w:rsidR="005B2AE9" w:rsidRPr="007B1A23">
        <w:trPr>
          <w:jc w:val="center"/>
        </w:trPr>
        <w:tc>
          <w:tcPr>
            <w:tcW w:w="5000" w:type="pct"/>
            <w:gridSpan w:val="3"/>
          </w:tcPr>
          <w:p w:rsidR="005B2AE9" w:rsidRPr="007B1A23" w:rsidRDefault="005B2AE9" w:rsidP="00C359A0">
            <w:pPr>
              <w:pStyle w:val="naisnod"/>
              <w:spacing w:before="0" w:after="0"/>
              <w:rPr>
                <w:sz w:val="28"/>
                <w:szCs w:val="28"/>
              </w:rPr>
            </w:pPr>
            <w:r w:rsidRPr="007B1A23">
              <w:rPr>
                <w:sz w:val="28"/>
                <w:szCs w:val="28"/>
              </w:rPr>
              <w:t>IV. Tiesību akta projekta ietekme uz spēkā esošo tiesību normu sistēmu</w:t>
            </w:r>
          </w:p>
        </w:tc>
      </w:tr>
      <w:tr w:rsidR="005B2AE9" w:rsidRPr="007B1A23">
        <w:trPr>
          <w:jc w:val="center"/>
        </w:trPr>
        <w:tc>
          <w:tcPr>
            <w:tcW w:w="274" w:type="pct"/>
            <w:tcBorders>
              <w:right w:val="single" w:sz="12" w:space="0" w:color="auto"/>
            </w:tcBorders>
          </w:tcPr>
          <w:p w:rsidR="005B2AE9" w:rsidRPr="007B1A23" w:rsidRDefault="005B2AE9" w:rsidP="00C359A0">
            <w:pPr>
              <w:pStyle w:val="naiskr"/>
              <w:tabs>
                <w:tab w:val="left" w:pos="2628"/>
              </w:tabs>
              <w:spacing w:before="0" w:after="0"/>
              <w:rPr>
                <w:sz w:val="28"/>
                <w:szCs w:val="28"/>
              </w:rPr>
            </w:pPr>
            <w:r w:rsidRPr="007B1A23">
              <w:rPr>
                <w:sz w:val="28"/>
                <w:szCs w:val="28"/>
              </w:rPr>
              <w:t>1.</w:t>
            </w:r>
          </w:p>
        </w:tc>
        <w:tc>
          <w:tcPr>
            <w:tcW w:w="1026" w:type="pct"/>
            <w:tcBorders>
              <w:left w:val="single" w:sz="12" w:space="0" w:color="auto"/>
              <w:right w:val="single" w:sz="12" w:space="0" w:color="auto"/>
            </w:tcBorders>
          </w:tcPr>
          <w:p w:rsidR="005B2AE9" w:rsidRPr="007B1A23" w:rsidRDefault="005B2AE9" w:rsidP="00C359A0">
            <w:pPr>
              <w:pStyle w:val="naiskr"/>
              <w:tabs>
                <w:tab w:val="left" w:pos="2628"/>
              </w:tabs>
              <w:spacing w:before="0" w:after="0"/>
              <w:rPr>
                <w:sz w:val="28"/>
                <w:szCs w:val="28"/>
              </w:rPr>
            </w:pPr>
            <w:r w:rsidRPr="007B1A23">
              <w:rPr>
                <w:sz w:val="28"/>
                <w:szCs w:val="28"/>
              </w:rPr>
              <w:t>Nepieciešamie saistītie tiesību aktu projekti</w:t>
            </w:r>
          </w:p>
        </w:tc>
        <w:tc>
          <w:tcPr>
            <w:tcW w:w="3701" w:type="pct"/>
            <w:tcBorders>
              <w:left w:val="single" w:sz="12" w:space="0" w:color="auto"/>
            </w:tcBorders>
          </w:tcPr>
          <w:p w:rsidR="005B2AE9" w:rsidRPr="007B1A23" w:rsidRDefault="002C10F1" w:rsidP="00BB1451">
            <w:pPr>
              <w:spacing w:before="0" w:after="0"/>
              <w:jc w:val="both"/>
              <w:rPr>
                <w:sz w:val="28"/>
                <w:szCs w:val="28"/>
              </w:rPr>
            </w:pPr>
            <w:r w:rsidRPr="00ED1333">
              <w:rPr>
                <w:sz w:val="28"/>
                <w:szCs w:val="28"/>
              </w:rPr>
              <w:t>Vienlaikus</w:t>
            </w:r>
            <w:r w:rsidR="00582FCA">
              <w:rPr>
                <w:sz w:val="28"/>
                <w:szCs w:val="28"/>
              </w:rPr>
              <w:t xml:space="preserve"> </w:t>
            </w:r>
            <w:r w:rsidRPr="00ED1333">
              <w:rPr>
                <w:sz w:val="28"/>
                <w:szCs w:val="28"/>
              </w:rPr>
              <w:t xml:space="preserve"> ar noteikumu projektu</w:t>
            </w:r>
            <w:r w:rsidR="00BB1451">
              <w:rPr>
                <w:sz w:val="28"/>
                <w:szCs w:val="28"/>
              </w:rPr>
              <w:t xml:space="preserve"> ir izstrādāti un tiks izskatīti Ministru kabineta sēdē</w:t>
            </w:r>
            <w:r w:rsidRPr="00ED1333">
              <w:rPr>
                <w:sz w:val="28"/>
                <w:szCs w:val="28"/>
              </w:rPr>
              <w:t xml:space="preserve"> grozījumi </w:t>
            </w:r>
            <w:r w:rsidR="00AA0E92" w:rsidRPr="00ED1333">
              <w:rPr>
                <w:sz w:val="28"/>
                <w:szCs w:val="28"/>
              </w:rPr>
              <w:t>Ministru kabineta 2009.gada 28.jūlija noteikumos Nr.836 „Pedagogu darba samaksas noteikumi”</w:t>
            </w:r>
            <w:r w:rsidR="0089187F">
              <w:rPr>
                <w:sz w:val="28"/>
                <w:szCs w:val="28"/>
              </w:rPr>
              <w:t xml:space="preserve"> un </w:t>
            </w:r>
            <w:r w:rsidR="0089187F" w:rsidRPr="007D12A8">
              <w:rPr>
                <w:rStyle w:val="Strong"/>
                <w:b w:val="0"/>
                <w:sz w:val="28"/>
                <w:szCs w:val="28"/>
              </w:rPr>
              <w:t>2007.gada 2.oktobra noteikumos Nr.655 „</w:t>
            </w:r>
            <w:r w:rsidR="0089187F" w:rsidRPr="007D12A8">
              <w:rPr>
                <w:sz w:val="28"/>
                <w:szCs w:val="28"/>
              </w:rPr>
              <w:t>Noteikumi par profesionālās izglītības programmu īstenošanas izmaksu minimumu uz vienu izglītojamo”</w:t>
            </w:r>
            <w:r w:rsidR="0089187F">
              <w:rPr>
                <w:sz w:val="28"/>
                <w:szCs w:val="28"/>
              </w:rPr>
              <w:t>.</w:t>
            </w:r>
          </w:p>
        </w:tc>
      </w:tr>
      <w:tr w:rsidR="005B2AE9" w:rsidRPr="007B1A23">
        <w:trPr>
          <w:jc w:val="center"/>
        </w:trPr>
        <w:tc>
          <w:tcPr>
            <w:tcW w:w="274" w:type="pct"/>
            <w:tcBorders>
              <w:right w:val="single" w:sz="12" w:space="0" w:color="auto"/>
            </w:tcBorders>
          </w:tcPr>
          <w:p w:rsidR="005B2AE9" w:rsidRPr="007B1A23" w:rsidRDefault="005B2AE9" w:rsidP="00C359A0">
            <w:pPr>
              <w:pStyle w:val="naiskr"/>
              <w:tabs>
                <w:tab w:val="left" w:pos="2628"/>
              </w:tabs>
              <w:spacing w:before="0" w:after="0"/>
              <w:rPr>
                <w:sz w:val="28"/>
                <w:szCs w:val="28"/>
              </w:rPr>
            </w:pPr>
            <w:r w:rsidRPr="007B1A23">
              <w:rPr>
                <w:sz w:val="28"/>
                <w:szCs w:val="28"/>
              </w:rPr>
              <w:t>2.</w:t>
            </w:r>
          </w:p>
        </w:tc>
        <w:tc>
          <w:tcPr>
            <w:tcW w:w="1026" w:type="pct"/>
            <w:tcBorders>
              <w:left w:val="single" w:sz="12" w:space="0" w:color="auto"/>
              <w:right w:val="single" w:sz="12" w:space="0" w:color="auto"/>
            </w:tcBorders>
          </w:tcPr>
          <w:p w:rsidR="005B2AE9" w:rsidRPr="007B1A23" w:rsidRDefault="005B2AE9" w:rsidP="00C359A0">
            <w:pPr>
              <w:pStyle w:val="naiskr"/>
              <w:tabs>
                <w:tab w:val="left" w:pos="2628"/>
              </w:tabs>
              <w:spacing w:before="0" w:after="0"/>
              <w:rPr>
                <w:sz w:val="28"/>
                <w:szCs w:val="28"/>
              </w:rPr>
            </w:pPr>
            <w:r w:rsidRPr="007B1A23">
              <w:rPr>
                <w:sz w:val="28"/>
                <w:szCs w:val="28"/>
              </w:rPr>
              <w:t>Cita informācija</w:t>
            </w:r>
          </w:p>
        </w:tc>
        <w:tc>
          <w:tcPr>
            <w:tcW w:w="3701" w:type="pct"/>
            <w:tcBorders>
              <w:left w:val="single" w:sz="12" w:space="0" w:color="auto"/>
            </w:tcBorders>
          </w:tcPr>
          <w:p w:rsidR="005B2AE9" w:rsidRPr="007B1A23" w:rsidRDefault="00484592" w:rsidP="002C10F1">
            <w:pPr>
              <w:pStyle w:val="naisc"/>
              <w:spacing w:before="0" w:after="0"/>
              <w:jc w:val="both"/>
              <w:rPr>
                <w:sz w:val="28"/>
                <w:szCs w:val="28"/>
              </w:rPr>
            </w:pPr>
            <w:r w:rsidRPr="007B1A23">
              <w:rPr>
                <w:sz w:val="28"/>
                <w:szCs w:val="28"/>
              </w:rPr>
              <w:t>Noteikumu projekts un šīs ano</w:t>
            </w:r>
            <w:r w:rsidR="00ED1333">
              <w:rPr>
                <w:sz w:val="28"/>
                <w:szCs w:val="28"/>
              </w:rPr>
              <w:t>t</w:t>
            </w:r>
            <w:r w:rsidR="0089187F">
              <w:rPr>
                <w:sz w:val="28"/>
                <w:szCs w:val="28"/>
              </w:rPr>
              <w:t>ācijas sadaļas 1.punktā minētie</w:t>
            </w:r>
            <w:r w:rsidR="007B738C">
              <w:rPr>
                <w:sz w:val="28"/>
                <w:szCs w:val="28"/>
              </w:rPr>
              <w:t xml:space="preserve"> noteikumu projekti</w:t>
            </w:r>
            <w:r w:rsidRPr="007B1A23">
              <w:rPr>
                <w:sz w:val="28"/>
                <w:szCs w:val="28"/>
              </w:rPr>
              <w:t xml:space="preserve"> paredz, ka tie stāsies spēkā 2012.gada 1.septembrī</w:t>
            </w:r>
          </w:p>
        </w:tc>
      </w:tr>
    </w:tbl>
    <w:p w:rsidR="005B2AE9" w:rsidRPr="007B1A23" w:rsidRDefault="005B2AE9" w:rsidP="00C359A0">
      <w:pPr>
        <w:pStyle w:val="naisf"/>
        <w:spacing w:before="0" w:after="0"/>
        <w:rPr>
          <w:sz w:val="28"/>
          <w:szCs w:val="28"/>
        </w:rPr>
      </w:pPr>
    </w:p>
    <w:p w:rsidR="005B2AE9" w:rsidRPr="007B1A23" w:rsidRDefault="005B2AE9" w:rsidP="00E355E6">
      <w:pPr>
        <w:spacing w:before="0" w:after="0"/>
        <w:ind w:firstLine="375"/>
        <w:jc w:val="center"/>
        <w:rPr>
          <w:sz w:val="28"/>
          <w:szCs w:val="28"/>
        </w:rPr>
      </w:pPr>
      <w:r w:rsidRPr="007B1A23">
        <w:rPr>
          <w:sz w:val="28"/>
          <w:szCs w:val="28"/>
        </w:rPr>
        <w:t>Anotācijas V un VI sadaļa – projekts šīs jomas neskar.</w:t>
      </w:r>
    </w:p>
    <w:p w:rsidR="005B2AE9" w:rsidRPr="007B1A23" w:rsidRDefault="005B2AE9" w:rsidP="00C359A0">
      <w:pPr>
        <w:spacing w:before="0" w:after="0"/>
        <w:ind w:firstLine="375"/>
        <w:jc w:val="center"/>
        <w:rPr>
          <w:sz w:val="28"/>
          <w:szCs w:val="28"/>
        </w:rPr>
      </w:pPr>
    </w:p>
    <w:p w:rsidR="005B2AE9" w:rsidRPr="007B1A23" w:rsidRDefault="005B2AE9" w:rsidP="00C359A0">
      <w:pPr>
        <w:spacing w:before="0" w:after="0"/>
        <w:rPr>
          <w:b/>
          <w:bCs/>
          <w:sz w:val="28"/>
          <w:szCs w:val="28"/>
        </w:rPr>
      </w:pPr>
    </w:p>
    <w:tbl>
      <w:tblPr>
        <w:tblpPr w:leftFromText="180" w:rightFromText="180" w:vertAnchor="text" w:horzAnchor="margin" w:tblpXSpec="center" w:tblpY="-179"/>
        <w:tblW w:w="942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433"/>
        <w:gridCol w:w="5206"/>
        <w:gridCol w:w="3784"/>
      </w:tblGrid>
      <w:tr w:rsidR="005B2AE9" w:rsidRPr="007B1A23">
        <w:trPr>
          <w:tblCellSpacing w:w="0" w:type="dxa"/>
        </w:trPr>
        <w:tc>
          <w:tcPr>
            <w:tcW w:w="9423" w:type="dxa"/>
            <w:gridSpan w:val="3"/>
            <w:vAlign w:val="center"/>
          </w:tcPr>
          <w:p w:rsidR="005B2AE9" w:rsidRPr="007B1A23" w:rsidRDefault="005B2AE9" w:rsidP="00C359A0">
            <w:pPr>
              <w:pStyle w:val="naisnod"/>
              <w:spacing w:before="0" w:after="0"/>
              <w:jc w:val="both"/>
              <w:rPr>
                <w:sz w:val="28"/>
                <w:szCs w:val="28"/>
              </w:rPr>
            </w:pPr>
            <w:r w:rsidRPr="007B1A23">
              <w:rPr>
                <w:sz w:val="28"/>
                <w:szCs w:val="28"/>
              </w:rPr>
              <w:t>VII. Tiesību akta projekta izpildes nodrošināšana un tās ietekme uz institūcijām</w:t>
            </w:r>
          </w:p>
        </w:tc>
      </w:tr>
      <w:tr w:rsidR="005B2AE9" w:rsidRPr="007B1A23">
        <w:trPr>
          <w:trHeight w:val="728"/>
          <w:tblCellSpacing w:w="0" w:type="dxa"/>
        </w:trPr>
        <w:tc>
          <w:tcPr>
            <w:tcW w:w="433" w:type="dxa"/>
            <w:vAlign w:val="center"/>
          </w:tcPr>
          <w:p w:rsidR="005B2AE9" w:rsidRPr="007B1A23" w:rsidRDefault="005B2AE9" w:rsidP="00C359A0">
            <w:pPr>
              <w:pStyle w:val="naisnod"/>
              <w:spacing w:before="0" w:after="0"/>
              <w:ind w:left="180" w:hanging="180"/>
              <w:jc w:val="both"/>
              <w:rPr>
                <w:b w:val="0"/>
                <w:bCs w:val="0"/>
                <w:sz w:val="28"/>
                <w:szCs w:val="28"/>
              </w:rPr>
            </w:pPr>
            <w:r w:rsidRPr="007B1A23">
              <w:rPr>
                <w:b w:val="0"/>
                <w:bCs w:val="0"/>
                <w:sz w:val="28"/>
                <w:szCs w:val="28"/>
              </w:rPr>
              <w:t>1.</w:t>
            </w:r>
          </w:p>
        </w:tc>
        <w:tc>
          <w:tcPr>
            <w:tcW w:w="5206" w:type="dxa"/>
            <w:vAlign w:val="center"/>
          </w:tcPr>
          <w:p w:rsidR="005B2AE9" w:rsidRPr="007B1A23" w:rsidRDefault="005B2AE9" w:rsidP="00C359A0">
            <w:pPr>
              <w:pStyle w:val="naisf"/>
              <w:spacing w:before="0" w:after="0"/>
              <w:ind w:firstLine="0"/>
              <w:rPr>
                <w:sz w:val="28"/>
                <w:szCs w:val="28"/>
              </w:rPr>
            </w:pPr>
            <w:r w:rsidRPr="007B1A23">
              <w:rPr>
                <w:sz w:val="28"/>
                <w:szCs w:val="28"/>
              </w:rPr>
              <w:t xml:space="preserve">Projekta izpildē iesaistītās institūcijas </w:t>
            </w:r>
          </w:p>
        </w:tc>
        <w:tc>
          <w:tcPr>
            <w:tcW w:w="3784" w:type="dxa"/>
            <w:vAlign w:val="center"/>
          </w:tcPr>
          <w:p w:rsidR="005B2AE9" w:rsidRPr="007B1A23" w:rsidRDefault="004724D2" w:rsidP="0055180A">
            <w:pPr>
              <w:pStyle w:val="naisnod"/>
              <w:spacing w:before="0" w:after="0"/>
              <w:jc w:val="both"/>
              <w:rPr>
                <w:b w:val="0"/>
                <w:bCs w:val="0"/>
                <w:sz w:val="28"/>
                <w:szCs w:val="28"/>
              </w:rPr>
            </w:pPr>
            <w:r w:rsidRPr="007B1A23">
              <w:rPr>
                <w:b w:val="0"/>
                <w:bCs w:val="0"/>
                <w:sz w:val="28"/>
                <w:szCs w:val="28"/>
              </w:rPr>
              <w:t>Projekta izpildi nodrošinās m</w:t>
            </w:r>
            <w:r w:rsidR="0022344F" w:rsidRPr="007B1A23">
              <w:rPr>
                <w:b w:val="0"/>
                <w:bCs w:val="0"/>
                <w:sz w:val="28"/>
                <w:szCs w:val="28"/>
              </w:rPr>
              <w:t>inistrija,</w:t>
            </w:r>
            <w:r w:rsidR="00AF0166" w:rsidRPr="007B1A23">
              <w:rPr>
                <w:b w:val="0"/>
                <w:bCs w:val="0"/>
                <w:sz w:val="28"/>
                <w:szCs w:val="28"/>
              </w:rPr>
              <w:t xml:space="preserve"> pašvaldības</w:t>
            </w:r>
            <w:r w:rsidRPr="007B1A23">
              <w:rPr>
                <w:b w:val="0"/>
                <w:bCs w:val="0"/>
                <w:sz w:val="28"/>
                <w:szCs w:val="28"/>
              </w:rPr>
              <w:t xml:space="preserve"> un</w:t>
            </w:r>
            <w:r w:rsidR="0022344F" w:rsidRPr="007B1A23">
              <w:rPr>
                <w:b w:val="0"/>
                <w:bCs w:val="0"/>
                <w:sz w:val="28"/>
                <w:szCs w:val="28"/>
              </w:rPr>
              <w:t xml:space="preserve"> izglītības iestādes.</w:t>
            </w:r>
          </w:p>
        </w:tc>
      </w:tr>
      <w:tr w:rsidR="005B2AE9" w:rsidRPr="007B1A23">
        <w:trPr>
          <w:trHeight w:val="653"/>
          <w:tblCellSpacing w:w="0" w:type="dxa"/>
        </w:trPr>
        <w:tc>
          <w:tcPr>
            <w:tcW w:w="433" w:type="dxa"/>
            <w:vAlign w:val="center"/>
          </w:tcPr>
          <w:p w:rsidR="005B2AE9" w:rsidRPr="007B1A23" w:rsidRDefault="005B2AE9" w:rsidP="00C359A0">
            <w:pPr>
              <w:pStyle w:val="naisnod"/>
              <w:spacing w:before="0" w:after="0"/>
              <w:jc w:val="both"/>
              <w:rPr>
                <w:b w:val="0"/>
                <w:bCs w:val="0"/>
                <w:sz w:val="28"/>
                <w:szCs w:val="28"/>
              </w:rPr>
            </w:pPr>
            <w:r w:rsidRPr="007B1A23">
              <w:rPr>
                <w:b w:val="0"/>
                <w:bCs w:val="0"/>
                <w:sz w:val="28"/>
                <w:szCs w:val="28"/>
              </w:rPr>
              <w:t>2.</w:t>
            </w:r>
          </w:p>
        </w:tc>
        <w:tc>
          <w:tcPr>
            <w:tcW w:w="5206" w:type="dxa"/>
            <w:vAlign w:val="center"/>
          </w:tcPr>
          <w:p w:rsidR="005B2AE9" w:rsidRPr="007B1A23" w:rsidRDefault="005B2AE9" w:rsidP="00C359A0">
            <w:pPr>
              <w:pStyle w:val="naisf"/>
              <w:spacing w:before="0" w:after="0"/>
              <w:ind w:firstLine="0"/>
              <w:rPr>
                <w:sz w:val="28"/>
                <w:szCs w:val="28"/>
              </w:rPr>
            </w:pPr>
            <w:r w:rsidRPr="007B1A23">
              <w:rPr>
                <w:sz w:val="28"/>
                <w:szCs w:val="28"/>
              </w:rPr>
              <w:t xml:space="preserve">Projekta izpildes ietekme uz pārvaldes funkcijām </w:t>
            </w:r>
          </w:p>
        </w:tc>
        <w:tc>
          <w:tcPr>
            <w:tcW w:w="3784" w:type="dxa"/>
            <w:vAlign w:val="center"/>
          </w:tcPr>
          <w:p w:rsidR="005B2AE9" w:rsidRPr="007B1A23" w:rsidRDefault="004724D2" w:rsidP="00C359A0">
            <w:pPr>
              <w:pStyle w:val="naisnod"/>
              <w:spacing w:before="0" w:after="0"/>
              <w:jc w:val="both"/>
              <w:rPr>
                <w:b w:val="0"/>
                <w:bCs w:val="0"/>
                <w:sz w:val="28"/>
                <w:szCs w:val="28"/>
              </w:rPr>
            </w:pPr>
            <w:r w:rsidRPr="007B1A23">
              <w:rPr>
                <w:b w:val="0"/>
                <w:sz w:val="28"/>
                <w:szCs w:val="28"/>
              </w:rPr>
              <w:t>Projekta izpilde neatstās būtisku ietekmi  uz to institūciju, kuras piedalīsies projekta izpildē, funkcijām un uzdevumiem.</w:t>
            </w:r>
          </w:p>
        </w:tc>
      </w:tr>
      <w:tr w:rsidR="005B2AE9" w:rsidRPr="007B1A23">
        <w:trPr>
          <w:trHeight w:val="725"/>
          <w:tblCellSpacing w:w="0" w:type="dxa"/>
        </w:trPr>
        <w:tc>
          <w:tcPr>
            <w:tcW w:w="433" w:type="dxa"/>
            <w:vAlign w:val="center"/>
          </w:tcPr>
          <w:p w:rsidR="005B2AE9" w:rsidRPr="007B1A23" w:rsidRDefault="005B2AE9" w:rsidP="00C359A0">
            <w:pPr>
              <w:pStyle w:val="naisnod"/>
              <w:spacing w:before="0" w:after="0"/>
              <w:jc w:val="both"/>
              <w:rPr>
                <w:b w:val="0"/>
                <w:bCs w:val="0"/>
                <w:sz w:val="28"/>
                <w:szCs w:val="28"/>
              </w:rPr>
            </w:pPr>
            <w:r w:rsidRPr="007B1A23">
              <w:rPr>
                <w:b w:val="0"/>
                <w:bCs w:val="0"/>
                <w:sz w:val="28"/>
                <w:szCs w:val="28"/>
              </w:rPr>
              <w:t>3.</w:t>
            </w:r>
          </w:p>
        </w:tc>
        <w:tc>
          <w:tcPr>
            <w:tcW w:w="5206" w:type="dxa"/>
            <w:vAlign w:val="center"/>
          </w:tcPr>
          <w:p w:rsidR="005B2AE9" w:rsidRPr="007B1A23" w:rsidRDefault="005B2AE9" w:rsidP="00C359A0">
            <w:pPr>
              <w:pStyle w:val="naisf"/>
              <w:spacing w:before="0" w:after="0"/>
              <w:ind w:firstLine="0"/>
              <w:rPr>
                <w:sz w:val="28"/>
                <w:szCs w:val="28"/>
              </w:rPr>
            </w:pPr>
            <w:r w:rsidRPr="007B1A23">
              <w:rPr>
                <w:sz w:val="28"/>
                <w:szCs w:val="28"/>
              </w:rPr>
              <w:t>Projekta izpildes ietekme uz pārvaldes institucionālo struktūru. Jaunu institūciju izveide.</w:t>
            </w:r>
          </w:p>
        </w:tc>
        <w:tc>
          <w:tcPr>
            <w:tcW w:w="3784" w:type="dxa"/>
            <w:vAlign w:val="center"/>
          </w:tcPr>
          <w:p w:rsidR="005B2AE9" w:rsidRPr="007B1A23" w:rsidRDefault="005B2AE9" w:rsidP="00C359A0">
            <w:pPr>
              <w:pStyle w:val="naisnod"/>
              <w:spacing w:before="0" w:after="0"/>
              <w:jc w:val="both"/>
              <w:rPr>
                <w:b w:val="0"/>
                <w:bCs w:val="0"/>
                <w:sz w:val="28"/>
                <w:szCs w:val="28"/>
              </w:rPr>
            </w:pPr>
            <w:r w:rsidRPr="007B1A23">
              <w:rPr>
                <w:b w:val="0"/>
                <w:bCs w:val="0"/>
                <w:sz w:val="28"/>
                <w:szCs w:val="28"/>
              </w:rPr>
              <w:t>Normatīvā akta izpilde tiks nodrošināta esošo institūciju ietvaros.</w:t>
            </w:r>
          </w:p>
        </w:tc>
      </w:tr>
      <w:tr w:rsidR="005B2AE9" w:rsidRPr="007B1A23">
        <w:trPr>
          <w:trHeight w:val="816"/>
          <w:tblCellSpacing w:w="0" w:type="dxa"/>
        </w:trPr>
        <w:tc>
          <w:tcPr>
            <w:tcW w:w="433" w:type="dxa"/>
            <w:vAlign w:val="center"/>
          </w:tcPr>
          <w:p w:rsidR="005B2AE9" w:rsidRPr="007B1A23" w:rsidRDefault="005B2AE9" w:rsidP="00C359A0">
            <w:pPr>
              <w:pStyle w:val="naisnod"/>
              <w:spacing w:before="0" w:after="0"/>
              <w:jc w:val="both"/>
              <w:rPr>
                <w:b w:val="0"/>
                <w:bCs w:val="0"/>
                <w:sz w:val="28"/>
                <w:szCs w:val="28"/>
              </w:rPr>
            </w:pPr>
            <w:r w:rsidRPr="007B1A23">
              <w:rPr>
                <w:b w:val="0"/>
                <w:bCs w:val="0"/>
                <w:sz w:val="28"/>
                <w:szCs w:val="28"/>
              </w:rPr>
              <w:t>4.</w:t>
            </w:r>
          </w:p>
        </w:tc>
        <w:tc>
          <w:tcPr>
            <w:tcW w:w="5206" w:type="dxa"/>
            <w:vAlign w:val="center"/>
          </w:tcPr>
          <w:p w:rsidR="005B2AE9" w:rsidRPr="007B1A23" w:rsidRDefault="005B2AE9" w:rsidP="00C359A0">
            <w:pPr>
              <w:pStyle w:val="naisf"/>
              <w:spacing w:before="0" w:after="0"/>
              <w:ind w:firstLine="0"/>
              <w:rPr>
                <w:sz w:val="28"/>
                <w:szCs w:val="28"/>
              </w:rPr>
            </w:pPr>
            <w:r w:rsidRPr="007B1A23">
              <w:rPr>
                <w:sz w:val="28"/>
                <w:szCs w:val="28"/>
              </w:rPr>
              <w:t>Projekta izpildes ietekme uz pārvaldes institucionālo struktūru. Esošu institūciju likvidācija.</w:t>
            </w:r>
          </w:p>
        </w:tc>
        <w:tc>
          <w:tcPr>
            <w:tcW w:w="3784" w:type="dxa"/>
            <w:vAlign w:val="center"/>
          </w:tcPr>
          <w:p w:rsidR="005B2AE9" w:rsidRPr="007B1A23" w:rsidRDefault="005B2AE9" w:rsidP="00C359A0">
            <w:pPr>
              <w:pStyle w:val="naisnod"/>
              <w:spacing w:before="0" w:after="0"/>
              <w:jc w:val="both"/>
              <w:rPr>
                <w:b w:val="0"/>
                <w:bCs w:val="0"/>
                <w:sz w:val="28"/>
                <w:szCs w:val="28"/>
              </w:rPr>
            </w:pPr>
            <w:r w:rsidRPr="007B1A23">
              <w:rPr>
                <w:b w:val="0"/>
                <w:bCs w:val="0"/>
                <w:sz w:val="28"/>
                <w:szCs w:val="28"/>
              </w:rPr>
              <w:t>Projekts šo jomu neskar.</w:t>
            </w:r>
          </w:p>
        </w:tc>
      </w:tr>
      <w:tr w:rsidR="005B2AE9" w:rsidRPr="007B1A23">
        <w:trPr>
          <w:trHeight w:val="829"/>
          <w:tblCellSpacing w:w="0" w:type="dxa"/>
        </w:trPr>
        <w:tc>
          <w:tcPr>
            <w:tcW w:w="433" w:type="dxa"/>
            <w:vAlign w:val="center"/>
          </w:tcPr>
          <w:p w:rsidR="005B2AE9" w:rsidRPr="007B1A23" w:rsidRDefault="005B2AE9" w:rsidP="00C359A0">
            <w:pPr>
              <w:pStyle w:val="naisnod"/>
              <w:spacing w:before="0" w:after="0"/>
              <w:jc w:val="both"/>
              <w:rPr>
                <w:b w:val="0"/>
                <w:bCs w:val="0"/>
                <w:sz w:val="28"/>
                <w:szCs w:val="28"/>
              </w:rPr>
            </w:pPr>
            <w:r w:rsidRPr="007B1A23">
              <w:rPr>
                <w:b w:val="0"/>
                <w:bCs w:val="0"/>
                <w:sz w:val="28"/>
                <w:szCs w:val="28"/>
              </w:rPr>
              <w:lastRenderedPageBreak/>
              <w:t>5.</w:t>
            </w:r>
          </w:p>
        </w:tc>
        <w:tc>
          <w:tcPr>
            <w:tcW w:w="5206" w:type="dxa"/>
            <w:vAlign w:val="center"/>
          </w:tcPr>
          <w:p w:rsidR="005B2AE9" w:rsidRPr="007B1A23" w:rsidRDefault="005B2AE9" w:rsidP="00C359A0">
            <w:pPr>
              <w:pStyle w:val="naisf"/>
              <w:spacing w:before="0" w:after="0"/>
              <w:ind w:firstLine="0"/>
              <w:rPr>
                <w:sz w:val="28"/>
                <w:szCs w:val="28"/>
              </w:rPr>
            </w:pPr>
            <w:r w:rsidRPr="007B1A23">
              <w:rPr>
                <w:sz w:val="28"/>
                <w:szCs w:val="28"/>
              </w:rPr>
              <w:t>Projekta izpildes ietekme uz pārvaldes institucionālo struktūru. Esošu institūciju reorganizācija.</w:t>
            </w:r>
          </w:p>
        </w:tc>
        <w:tc>
          <w:tcPr>
            <w:tcW w:w="3784" w:type="dxa"/>
            <w:vAlign w:val="center"/>
          </w:tcPr>
          <w:p w:rsidR="005B2AE9" w:rsidRPr="007B1A23" w:rsidRDefault="005B2AE9" w:rsidP="00C359A0">
            <w:pPr>
              <w:pStyle w:val="naisnod"/>
              <w:spacing w:before="0" w:after="0"/>
              <w:jc w:val="both"/>
              <w:rPr>
                <w:b w:val="0"/>
                <w:bCs w:val="0"/>
                <w:sz w:val="28"/>
                <w:szCs w:val="28"/>
              </w:rPr>
            </w:pPr>
            <w:r w:rsidRPr="007B1A23">
              <w:rPr>
                <w:b w:val="0"/>
                <w:bCs w:val="0"/>
                <w:sz w:val="28"/>
                <w:szCs w:val="28"/>
              </w:rPr>
              <w:t>Projekts šo jomu neskar.</w:t>
            </w:r>
          </w:p>
        </w:tc>
      </w:tr>
      <w:tr w:rsidR="005B2AE9" w:rsidRPr="007B1A23">
        <w:trPr>
          <w:trHeight w:val="476"/>
          <w:tblCellSpacing w:w="0" w:type="dxa"/>
        </w:trPr>
        <w:tc>
          <w:tcPr>
            <w:tcW w:w="433" w:type="dxa"/>
            <w:vAlign w:val="center"/>
          </w:tcPr>
          <w:p w:rsidR="005B2AE9" w:rsidRPr="007B1A23" w:rsidRDefault="005B2AE9" w:rsidP="00C359A0">
            <w:pPr>
              <w:pStyle w:val="naiskr"/>
              <w:spacing w:before="0" w:after="0"/>
              <w:rPr>
                <w:sz w:val="28"/>
                <w:szCs w:val="28"/>
              </w:rPr>
            </w:pPr>
            <w:r w:rsidRPr="007B1A23">
              <w:rPr>
                <w:sz w:val="28"/>
                <w:szCs w:val="28"/>
              </w:rPr>
              <w:t>6.</w:t>
            </w:r>
          </w:p>
        </w:tc>
        <w:tc>
          <w:tcPr>
            <w:tcW w:w="5206" w:type="dxa"/>
            <w:vAlign w:val="center"/>
          </w:tcPr>
          <w:p w:rsidR="005B2AE9" w:rsidRPr="007B1A23" w:rsidRDefault="005B2AE9" w:rsidP="00C359A0">
            <w:pPr>
              <w:pStyle w:val="naiskr"/>
              <w:spacing w:before="0" w:after="0"/>
              <w:rPr>
                <w:sz w:val="28"/>
                <w:szCs w:val="28"/>
              </w:rPr>
            </w:pPr>
            <w:r w:rsidRPr="007B1A23">
              <w:rPr>
                <w:sz w:val="28"/>
                <w:szCs w:val="28"/>
              </w:rPr>
              <w:t>Cita informācija.</w:t>
            </w:r>
          </w:p>
        </w:tc>
        <w:tc>
          <w:tcPr>
            <w:tcW w:w="3784" w:type="dxa"/>
            <w:vAlign w:val="center"/>
          </w:tcPr>
          <w:p w:rsidR="005B2AE9" w:rsidRPr="007B1A23" w:rsidRDefault="005B2AE9" w:rsidP="00C359A0">
            <w:pPr>
              <w:pStyle w:val="naiskr"/>
              <w:spacing w:before="0" w:after="0"/>
              <w:jc w:val="both"/>
              <w:rPr>
                <w:sz w:val="28"/>
                <w:szCs w:val="28"/>
              </w:rPr>
            </w:pPr>
            <w:r w:rsidRPr="007B1A23">
              <w:rPr>
                <w:sz w:val="28"/>
                <w:szCs w:val="28"/>
              </w:rPr>
              <w:t>Nav.</w:t>
            </w:r>
          </w:p>
        </w:tc>
      </w:tr>
    </w:tbl>
    <w:p w:rsidR="005B2AE9" w:rsidRPr="007B1A23" w:rsidRDefault="005B2AE9" w:rsidP="00C359A0">
      <w:pPr>
        <w:spacing w:before="0" w:after="0"/>
        <w:rPr>
          <w:b/>
          <w:bCs/>
          <w:sz w:val="28"/>
          <w:szCs w:val="28"/>
        </w:rPr>
      </w:pPr>
    </w:p>
    <w:p w:rsidR="005B2AE9" w:rsidRPr="007B1A23" w:rsidRDefault="005B2AE9" w:rsidP="00C359A0">
      <w:pPr>
        <w:spacing w:before="0" w:after="0"/>
        <w:rPr>
          <w:b/>
          <w:bCs/>
          <w:sz w:val="28"/>
          <w:szCs w:val="28"/>
        </w:rPr>
      </w:pPr>
    </w:p>
    <w:p w:rsidR="005B2AE9" w:rsidRPr="007B1A23" w:rsidRDefault="005B2AE9" w:rsidP="00ED1333">
      <w:pPr>
        <w:spacing w:before="0" w:after="0"/>
        <w:ind w:firstLine="851"/>
        <w:rPr>
          <w:sz w:val="28"/>
          <w:szCs w:val="28"/>
        </w:rPr>
      </w:pPr>
      <w:r w:rsidRPr="007B1A23">
        <w:rPr>
          <w:sz w:val="28"/>
          <w:szCs w:val="28"/>
        </w:rPr>
        <w:t>Iesniedzējs:</w:t>
      </w:r>
      <w:r w:rsidRPr="007B1A23">
        <w:rPr>
          <w:b/>
          <w:bCs/>
          <w:color w:val="FF0000"/>
          <w:sz w:val="28"/>
          <w:szCs w:val="28"/>
        </w:rPr>
        <w:t xml:space="preserve"> </w:t>
      </w:r>
      <w:r w:rsidRPr="007B1A23">
        <w:rPr>
          <w:sz w:val="28"/>
          <w:szCs w:val="28"/>
        </w:rPr>
        <w:t>Izglītī</w:t>
      </w:r>
      <w:r w:rsidR="00ED1333">
        <w:rPr>
          <w:sz w:val="28"/>
          <w:szCs w:val="28"/>
        </w:rPr>
        <w:t>bas un zinātnes ministrs</w:t>
      </w:r>
      <w:r w:rsidR="00ED1333">
        <w:rPr>
          <w:sz w:val="28"/>
          <w:szCs w:val="28"/>
        </w:rPr>
        <w:tab/>
      </w:r>
      <w:r w:rsidR="00ED1333">
        <w:rPr>
          <w:sz w:val="28"/>
          <w:szCs w:val="28"/>
        </w:rPr>
        <w:tab/>
      </w:r>
      <w:r w:rsidR="00ED1333">
        <w:rPr>
          <w:sz w:val="28"/>
          <w:szCs w:val="28"/>
        </w:rPr>
        <w:tab/>
      </w:r>
      <w:r w:rsidR="00ED1333">
        <w:rPr>
          <w:sz w:val="28"/>
          <w:szCs w:val="28"/>
        </w:rPr>
        <w:tab/>
      </w:r>
      <w:r w:rsidRPr="007B1A23">
        <w:rPr>
          <w:sz w:val="28"/>
          <w:szCs w:val="28"/>
        </w:rPr>
        <w:t>R.Ķīlis</w:t>
      </w:r>
    </w:p>
    <w:p w:rsidR="005B2AE9" w:rsidRPr="007B1A23" w:rsidRDefault="005B2AE9" w:rsidP="00ED1333">
      <w:pPr>
        <w:spacing w:before="0" w:after="0"/>
        <w:ind w:firstLine="851"/>
        <w:rPr>
          <w:sz w:val="28"/>
          <w:szCs w:val="28"/>
        </w:rPr>
      </w:pPr>
    </w:p>
    <w:p w:rsidR="005B2AE9" w:rsidRPr="007B1A23" w:rsidRDefault="005B2AE9" w:rsidP="00ED1333">
      <w:pPr>
        <w:spacing w:before="0" w:after="0"/>
        <w:ind w:firstLine="851"/>
        <w:rPr>
          <w:sz w:val="28"/>
          <w:szCs w:val="28"/>
        </w:rPr>
      </w:pPr>
    </w:p>
    <w:p w:rsidR="008A2102" w:rsidRPr="00B77774" w:rsidRDefault="008A2102" w:rsidP="008A2102">
      <w:pPr>
        <w:spacing w:before="0" w:after="0"/>
        <w:ind w:firstLine="720"/>
        <w:rPr>
          <w:color w:val="000000"/>
          <w:sz w:val="28"/>
          <w:szCs w:val="28"/>
        </w:rPr>
      </w:pPr>
      <w:r w:rsidRPr="00B77774">
        <w:rPr>
          <w:color w:val="000000"/>
          <w:sz w:val="28"/>
          <w:szCs w:val="28"/>
        </w:rPr>
        <w:t xml:space="preserve">Vizē: </w:t>
      </w:r>
    </w:p>
    <w:p w:rsidR="008A2102" w:rsidRPr="00B77774" w:rsidRDefault="008A2102" w:rsidP="008A2102">
      <w:pPr>
        <w:spacing w:before="0" w:after="0"/>
        <w:ind w:left="709"/>
        <w:outlineLvl w:val="1"/>
        <w:rPr>
          <w:bCs/>
          <w:kern w:val="36"/>
          <w:sz w:val="28"/>
          <w:szCs w:val="28"/>
        </w:rPr>
      </w:pPr>
      <w:bookmarkStart w:id="5" w:name="str06"/>
      <w:bookmarkEnd w:id="5"/>
      <w:r w:rsidRPr="00B77774">
        <w:rPr>
          <w:bCs/>
          <w:kern w:val="36"/>
          <w:sz w:val="28"/>
          <w:szCs w:val="28"/>
        </w:rPr>
        <w:t xml:space="preserve">Valsts sekretāra vietniece - Struktūrfondu un </w:t>
      </w:r>
    </w:p>
    <w:p w:rsidR="008A2102" w:rsidRPr="00B77774" w:rsidRDefault="008A2102" w:rsidP="008A2102">
      <w:pPr>
        <w:spacing w:before="0" w:after="0"/>
        <w:ind w:left="709"/>
        <w:outlineLvl w:val="1"/>
        <w:rPr>
          <w:sz w:val="28"/>
          <w:szCs w:val="28"/>
        </w:rPr>
      </w:pPr>
      <w:r w:rsidRPr="00B77774">
        <w:rPr>
          <w:bCs/>
          <w:kern w:val="36"/>
          <w:sz w:val="28"/>
          <w:szCs w:val="28"/>
        </w:rPr>
        <w:t>starptautisko finanšu instrumentu departamenta direktore</w:t>
      </w:r>
      <w:r w:rsidRPr="00B77774">
        <w:rPr>
          <w:sz w:val="28"/>
          <w:szCs w:val="28"/>
        </w:rPr>
        <w:t>,</w:t>
      </w:r>
    </w:p>
    <w:p w:rsidR="008A2102" w:rsidRPr="00B77774" w:rsidRDefault="008A2102" w:rsidP="008A2102">
      <w:pPr>
        <w:spacing w:before="0" w:after="0"/>
        <w:ind w:left="709"/>
        <w:rPr>
          <w:sz w:val="28"/>
          <w:szCs w:val="28"/>
        </w:rPr>
      </w:pPr>
      <w:r w:rsidRPr="00B77774">
        <w:rPr>
          <w:sz w:val="28"/>
          <w:szCs w:val="28"/>
        </w:rPr>
        <w:t xml:space="preserve">valsts sekretāra pienākumu izpildītāja </w:t>
      </w:r>
      <w:r w:rsidRPr="00B77774">
        <w:rPr>
          <w:sz w:val="28"/>
          <w:szCs w:val="28"/>
        </w:rPr>
        <w:tab/>
      </w:r>
      <w:r w:rsidRPr="00B77774">
        <w:rPr>
          <w:sz w:val="28"/>
          <w:szCs w:val="28"/>
        </w:rPr>
        <w:tab/>
      </w:r>
      <w:r w:rsidRPr="00B77774">
        <w:rPr>
          <w:sz w:val="28"/>
          <w:szCs w:val="28"/>
        </w:rPr>
        <w:tab/>
      </w:r>
      <w:r w:rsidRPr="00B77774">
        <w:rPr>
          <w:sz w:val="28"/>
          <w:szCs w:val="28"/>
        </w:rPr>
        <w:tab/>
      </w:r>
      <w:r w:rsidRPr="00B77774">
        <w:rPr>
          <w:sz w:val="28"/>
          <w:szCs w:val="28"/>
        </w:rPr>
        <w:tab/>
        <w:t>L.Sīka</w:t>
      </w:r>
    </w:p>
    <w:p w:rsidR="005B2AE9" w:rsidRPr="007B1A23" w:rsidRDefault="005B2AE9" w:rsidP="00ED1333">
      <w:pPr>
        <w:tabs>
          <w:tab w:val="left" w:pos="851"/>
        </w:tabs>
        <w:spacing w:before="0" w:after="0"/>
        <w:ind w:firstLine="1560"/>
        <w:rPr>
          <w:sz w:val="28"/>
          <w:szCs w:val="28"/>
        </w:rPr>
      </w:pPr>
    </w:p>
    <w:p w:rsidR="005B2AE9" w:rsidRPr="007B1A23" w:rsidRDefault="005B2AE9" w:rsidP="00C359A0">
      <w:pPr>
        <w:spacing w:before="0" w:after="0"/>
        <w:jc w:val="both"/>
        <w:rPr>
          <w:sz w:val="28"/>
          <w:szCs w:val="28"/>
        </w:rPr>
      </w:pPr>
    </w:p>
    <w:p w:rsidR="005B2AE9" w:rsidRPr="007B1A23" w:rsidRDefault="005B2AE9" w:rsidP="00C359A0">
      <w:pPr>
        <w:spacing w:before="0" w:after="0"/>
        <w:jc w:val="both"/>
        <w:rPr>
          <w:sz w:val="28"/>
          <w:szCs w:val="28"/>
        </w:rPr>
      </w:pPr>
    </w:p>
    <w:p w:rsidR="005B2AE9" w:rsidRDefault="005B2AE9" w:rsidP="00C359A0">
      <w:pPr>
        <w:spacing w:before="0" w:after="0"/>
        <w:jc w:val="both"/>
        <w:rPr>
          <w:sz w:val="28"/>
          <w:szCs w:val="28"/>
        </w:rPr>
      </w:pPr>
    </w:p>
    <w:p w:rsidR="005B2AE9" w:rsidRPr="007B1A23" w:rsidRDefault="005B2AE9" w:rsidP="00C359A0">
      <w:pPr>
        <w:spacing w:before="0" w:after="0"/>
        <w:jc w:val="both"/>
        <w:rPr>
          <w:sz w:val="28"/>
          <w:szCs w:val="28"/>
        </w:rPr>
      </w:pPr>
    </w:p>
    <w:p w:rsidR="005B2AE9" w:rsidRPr="007B1A23" w:rsidRDefault="005B2AE9" w:rsidP="00C359A0">
      <w:pPr>
        <w:spacing w:before="0" w:after="0"/>
        <w:jc w:val="both"/>
        <w:rPr>
          <w:sz w:val="28"/>
          <w:szCs w:val="28"/>
        </w:rPr>
      </w:pPr>
    </w:p>
    <w:p w:rsidR="005B2AE9" w:rsidRPr="007B1A23" w:rsidRDefault="00F13D8B" w:rsidP="00ED1333">
      <w:pPr>
        <w:spacing w:before="0" w:after="0"/>
        <w:ind w:firstLine="851"/>
        <w:jc w:val="both"/>
      </w:pPr>
      <w:r>
        <w:t>09</w:t>
      </w:r>
      <w:r w:rsidR="007150C5">
        <w:t>.0</w:t>
      </w:r>
      <w:r w:rsidR="0094188F">
        <w:t>8</w:t>
      </w:r>
      <w:r w:rsidR="00ED1333">
        <w:t xml:space="preserve">.2012. </w:t>
      </w:r>
    </w:p>
    <w:p w:rsidR="005B2AE9" w:rsidRPr="007B1A23" w:rsidRDefault="00F13D8B" w:rsidP="00ED1333">
      <w:pPr>
        <w:spacing w:before="0" w:after="0"/>
        <w:ind w:firstLine="851"/>
        <w:jc w:val="both"/>
      </w:pPr>
      <w:r>
        <w:t>954</w:t>
      </w:r>
    </w:p>
    <w:p w:rsidR="005B2AE9" w:rsidRPr="007B1A23" w:rsidRDefault="0094188F" w:rsidP="00ED1333">
      <w:pPr>
        <w:spacing w:before="0" w:after="0"/>
        <w:ind w:firstLine="851"/>
        <w:jc w:val="both"/>
      </w:pPr>
      <w:bookmarkStart w:id="6" w:name="OLE_LINK7"/>
      <w:bookmarkStart w:id="7" w:name="OLE_LINK1"/>
      <w:proofErr w:type="spellStart"/>
      <w:r>
        <w:t>S.Batare</w:t>
      </w:r>
      <w:proofErr w:type="spellEnd"/>
      <w:r w:rsidR="005B2AE9" w:rsidRPr="007B1A23">
        <w:t>, 67047</w:t>
      </w:r>
      <w:r>
        <w:t>909</w:t>
      </w:r>
      <w:r w:rsidR="005B2AE9" w:rsidRPr="007B1A23">
        <w:t xml:space="preserve"> </w:t>
      </w:r>
    </w:p>
    <w:p w:rsidR="005B2AE9" w:rsidRPr="007B1A23" w:rsidRDefault="0094188F" w:rsidP="00ED1333">
      <w:pPr>
        <w:spacing w:before="0" w:after="0"/>
        <w:ind w:firstLine="851"/>
        <w:jc w:val="both"/>
      </w:pPr>
      <w:r>
        <w:t>svetlana.batare</w:t>
      </w:r>
      <w:r w:rsidR="005B2AE9" w:rsidRPr="007B1A23">
        <w:t>@izm.gov.lv</w:t>
      </w:r>
      <w:bookmarkEnd w:id="6"/>
      <w:bookmarkEnd w:id="7"/>
    </w:p>
    <w:p w:rsidR="007B1A23" w:rsidRDefault="007B1A23" w:rsidP="00C359A0">
      <w:pPr>
        <w:spacing w:before="0" w:after="0"/>
        <w:ind w:firstLine="709"/>
        <w:jc w:val="both"/>
        <w:rPr>
          <w:sz w:val="28"/>
          <w:szCs w:val="28"/>
        </w:rPr>
      </w:pPr>
    </w:p>
    <w:p w:rsidR="007B1A23" w:rsidRPr="007B1A23" w:rsidRDefault="007B1A23" w:rsidP="007B1A23">
      <w:pPr>
        <w:rPr>
          <w:sz w:val="28"/>
          <w:szCs w:val="28"/>
        </w:rPr>
      </w:pPr>
    </w:p>
    <w:p w:rsidR="005B2AE9" w:rsidRPr="007B1A23" w:rsidRDefault="005B2AE9" w:rsidP="007B1A23">
      <w:pPr>
        <w:tabs>
          <w:tab w:val="left" w:pos="2580"/>
        </w:tabs>
        <w:rPr>
          <w:sz w:val="28"/>
          <w:szCs w:val="28"/>
        </w:rPr>
      </w:pPr>
    </w:p>
    <w:sectPr w:rsidR="005B2AE9" w:rsidRPr="007B1A23" w:rsidSect="007B1A23">
      <w:headerReference w:type="default" r:id="rId7"/>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CB1" w:rsidRDefault="00BD1CB1" w:rsidP="00161A8D">
      <w:pPr>
        <w:spacing w:before="0" w:after="0"/>
      </w:pPr>
      <w:r>
        <w:separator/>
      </w:r>
    </w:p>
  </w:endnote>
  <w:endnote w:type="continuationSeparator" w:id="0">
    <w:p w:rsidR="00BD1CB1" w:rsidRDefault="00BD1CB1" w:rsidP="00161A8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AE9" w:rsidRPr="00910258" w:rsidRDefault="0094188F" w:rsidP="00910258">
    <w:pPr>
      <w:pStyle w:val="NormalWeb"/>
      <w:jc w:val="both"/>
    </w:pPr>
    <w:r>
      <w:t>IZMAnot_0</w:t>
    </w:r>
    <w:r w:rsidR="00F13D8B">
      <w:t>9</w:t>
    </w:r>
    <w:r w:rsidR="007150C5">
      <w:t>0</w:t>
    </w:r>
    <w:r>
      <w:t>8</w:t>
    </w:r>
    <w:r w:rsidR="00910258">
      <w:t xml:space="preserve">12_1616; </w:t>
    </w:r>
    <w:r w:rsidR="00910258" w:rsidRPr="00161A8D">
      <w:rPr>
        <w:rStyle w:val="Strong"/>
        <w:b w:val="0"/>
        <w:bCs w:val="0"/>
      </w:rPr>
      <w:t>Grozījumi Ministru kabineta 2009.gada 22.decembra noteikumos Nr.1616</w:t>
    </w:r>
    <w:r w:rsidR="00910258">
      <w:rPr>
        <w:rStyle w:val="Strong"/>
      </w:rPr>
      <w:t xml:space="preserve"> </w:t>
    </w:r>
    <w:r w:rsidR="00910258" w:rsidRPr="003A502B">
      <w:rPr>
        <w:rStyle w:val="Strong"/>
      </w:rPr>
      <w:t>„</w:t>
    </w:r>
    <w:r w:rsidR="00910258">
      <w:t>Kārtība, kādā aprēķina un sadala valsts budžeta mērķdotāciju pašvaldību un izglītības iestādēm bērnu no piecu gadu vecuma izglītošanā nodarbināto pirmsskolas izglītības pedagogu darba samaksai un pašvaldību vispārējās pamatizglītības un vispārējās vidējās izglītības iestāžu pedagogu darba samaksai</w:t>
    </w:r>
    <w:r w:rsidR="00910258" w:rsidRPr="00AC2237">
      <w:rPr>
        <w:rStyle w:val="Strong"/>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AE9" w:rsidRPr="00560D10" w:rsidRDefault="005B2AE9" w:rsidP="00A678C8">
    <w:pPr>
      <w:pStyle w:val="NormalWeb"/>
      <w:jc w:val="both"/>
    </w:pPr>
    <w:r>
      <w:t>IZMAnot_</w:t>
    </w:r>
    <w:r w:rsidR="0094188F">
      <w:t>0</w:t>
    </w:r>
    <w:r w:rsidR="00F13D8B">
      <w:t>9</w:t>
    </w:r>
    <w:r w:rsidR="007150C5">
      <w:t>0</w:t>
    </w:r>
    <w:r w:rsidR="0094188F">
      <w:t>8</w:t>
    </w:r>
    <w:r w:rsidR="00910258">
      <w:t>12</w:t>
    </w:r>
    <w:r>
      <w:t xml:space="preserve">_1616; </w:t>
    </w:r>
    <w:r w:rsidRPr="00161A8D">
      <w:rPr>
        <w:rStyle w:val="Strong"/>
        <w:b w:val="0"/>
        <w:bCs w:val="0"/>
      </w:rPr>
      <w:t>Grozījumi Ministru kabineta 2009.gada 22.decembra noteikumos Nr.1616</w:t>
    </w:r>
    <w:r>
      <w:rPr>
        <w:rStyle w:val="Strong"/>
      </w:rPr>
      <w:t xml:space="preserve"> </w:t>
    </w:r>
    <w:r w:rsidRPr="003A502B">
      <w:rPr>
        <w:rStyle w:val="Strong"/>
      </w:rPr>
      <w:t>„</w:t>
    </w:r>
    <w:r>
      <w:t>Kārtība, kādā aprēķina un sadala valsts budžeta mērķdotāciju pašvaldību un izglītības iestādēm bērnu no piecu gadu vecuma izglītošanā nodarbināto pirmsskolas izglītības pedagogu darba samaksai un pašvaldību vispārējās pamatizglītības un vispārējās vidējās izglītības iestāžu pedagogu darba samaksai</w:t>
    </w:r>
    <w:r w:rsidRPr="00AC2237">
      <w:rPr>
        <w:rStyle w:val="Strong"/>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CB1" w:rsidRDefault="00BD1CB1" w:rsidP="00161A8D">
      <w:pPr>
        <w:spacing w:before="0" w:after="0"/>
      </w:pPr>
      <w:r>
        <w:separator/>
      </w:r>
    </w:p>
  </w:footnote>
  <w:footnote w:type="continuationSeparator" w:id="0">
    <w:p w:rsidR="00BD1CB1" w:rsidRDefault="00BD1CB1" w:rsidP="00161A8D">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AE9" w:rsidRPr="00DB073B" w:rsidRDefault="005466C7" w:rsidP="001E3AF5">
    <w:pPr>
      <w:pStyle w:val="Header"/>
      <w:framePr w:wrap="auto" w:vAnchor="text" w:hAnchor="margin" w:xAlign="center" w:y="1"/>
      <w:rPr>
        <w:rStyle w:val="PageNumber"/>
        <w:sz w:val="20"/>
        <w:szCs w:val="20"/>
      </w:rPr>
    </w:pPr>
    <w:r w:rsidRPr="00DB073B">
      <w:rPr>
        <w:rStyle w:val="PageNumber"/>
        <w:sz w:val="20"/>
        <w:szCs w:val="20"/>
      </w:rPr>
      <w:fldChar w:fldCharType="begin"/>
    </w:r>
    <w:r w:rsidR="005B2AE9" w:rsidRPr="00DB073B">
      <w:rPr>
        <w:rStyle w:val="PageNumber"/>
        <w:sz w:val="20"/>
        <w:szCs w:val="20"/>
      </w:rPr>
      <w:instrText xml:space="preserve">PAGE  </w:instrText>
    </w:r>
    <w:r w:rsidRPr="00DB073B">
      <w:rPr>
        <w:rStyle w:val="PageNumber"/>
        <w:sz w:val="20"/>
        <w:szCs w:val="20"/>
      </w:rPr>
      <w:fldChar w:fldCharType="separate"/>
    </w:r>
    <w:r w:rsidR="00F13D8B">
      <w:rPr>
        <w:rStyle w:val="PageNumber"/>
        <w:noProof/>
        <w:sz w:val="20"/>
        <w:szCs w:val="20"/>
      </w:rPr>
      <w:t>5</w:t>
    </w:r>
    <w:r w:rsidRPr="00DB073B">
      <w:rPr>
        <w:rStyle w:val="PageNumber"/>
        <w:sz w:val="20"/>
        <w:szCs w:val="20"/>
      </w:rPr>
      <w:fldChar w:fldCharType="end"/>
    </w:r>
  </w:p>
  <w:p w:rsidR="005B2AE9" w:rsidRDefault="005B2A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F97F6E"/>
    <w:rsid w:val="00010B96"/>
    <w:rsid w:val="000163D6"/>
    <w:rsid w:val="00037237"/>
    <w:rsid w:val="00043246"/>
    <w:rsid w:val="00052D16"/>
    <w:rsid w:val="000606F5"/>
    <w:rsid w:val="000670AE"/>
    <w:rsid w:val="00094CA5"/>
    <w:rsid w:val="0009538D"/>
    <w:rsid w:val="000B7D78"/>
    <w:rsid w:val="000C1609"/>
    <w:rsid w:val="000E30D0"/>
    <w:rsid w:val="00100CDB"/>
    <w:rsid w:val="001072CC"/>
    <w:rsid w:val="00111B6D"/>
    <w:rsid w:val="00116854"/>
    <w:rsid w:val="0013750D"/>
    <w:rsid w:val="00161A5A"/>
    <w:rsid w:val="00161A8D"/>
    <w:rsid w:val="00161C10"/>
    <w:rsid w:val="00174448"/>
    <w:rsid w:val="001821AB"/>
    <w:rsid w:val="001C1A86"/>
    <w:rsid w:val="001D6F46"/>
    <w:rsid w:val="001E3AF5"/>
    <w:rsid w:val="00213A52"/>
    <w:rsid w:val="0022169A"/>
    <w:rsid w:val="0022344F"/>
    <w:rsid w:val="00272F87"/>
    <w:rsid w:val="002A4B68"/>
    <w:rsid w:val="002C10F1"/>
    <w:rsid w:val="002D327F"/>
    <w:rsid w:val="002E6262"/>
    <w:rsid w:val="002F144E"/>
    <w:rsid w:val="00315009"/>
    <w:rsid w:val="00326B08"/>
    <w:rsid w:val="00345F06"/>
    <w:rsid w:val="00357F1F"/>
    <w:rsid w:val="00376E1F"/>
    <w:rsid w:val="00397E5B"/>
    <w:rsid w:val="003A502B"/>
    <w:rsid w:val="003C5F39"/>
    <w:rsid w:val="003E1614"/>
    <w:rsid w:val="003F2D9D"/>
    <w:rsid w:val="00416459"/>
    <w:rsid w:val="004338B4"/>
    <w:rsid w:val="00455850"/>
    <w:rsid w:val="004724D2"/>
    <w:rsid w:val="004812C3"/>
    <w:rsid w:val="00484592"/>
    <w:rsid w:val="004A6518"/>
    <w:rsid w:val="004A67F2"/>
    <w:rsid w:val="004B0E19"/>
    <w:rsid w:val="004B2145"/>
    <w:rsid w:val="004D1607"/>
    <w:rsid w:val="004E7199"/>
    <w:rsid w:val="005038F5"/>
    <w:rsid w:val="00520B90"/>
    <w:rsid w:val="0053297A"/>
    <w:rsid w:val="00534661"/>
    <w:rsid w:val="005466C7"/>
    <w:rsid w:val="0055180A"/>
    <w:rsid w:val="00560D10"/>
    <w:rsid w:val="00582FCA"/>
    <w:rsid w:val="005905B7"/>
    <w:rsid w:val="00594AFB"/>
    <w:rsid w:val="005A7577"/>
    <w:rsid w:val="005B2AE9"/>
    <w:rsid w:val="005F29B6"/>
    <w:rsid w:val="00633A5B"/>
    <w:rsid w:val="00636FEF"/>
    <w:rsid w:val="0063778B"/>
    <w:rsid w:val="0064121B"/>
    <w:rsid w:val="00662318"/>
    <w:rsid w:val="00663B81"/>
    <w:rsid w:val="00672381"/>
    <w:rsid w:val="00680495"/>
    <w:rsid w:val="00697028"/>
    <w:rsid w:val="006C3184"/>
    <w:rsid w:val="006D124D"/>
    <w:rsid w:val="006E4C98"/>
    <w:rsid w:val="007044A1"/>
    <w:rsid w:val="007150C5"/>
    <w:rsid w:val="00721002"/>
    <w:rsid w:val="007367FA"/>
    <w:rsid w:val="00751EF9"/>
    <w:rsid w:val="00752C8F"/>
    <w:rsid w:val="007645C9"/>
    <w:rsid w:val="007731CC"/>
    <w:rsid w:val="007804C7"/>
    <w:rsid w:val="00786F09"/>
    <w:rsid w:val="00786F29"/>
    <w:rsid w:val="00792FDA"/>
    <w:rsid w:val="007A114C"/>
    <w:rsid w:val="007A3230"/>
    <w:rsid w:val="007B1A23"/>
    <w:rsid w:val="007B738C"/>
    <w:rsid w:val="007D1B6B"/>
    <w:rsid w:val="007E3C09"/>
    <w:rsid w:val="007E79B8"/>
    <w:rsid w:val="007F43CF"/>
    <w:rsid w:val="007F4F2E"/>
    <w:rsid w:val="00801DBA"/>
    <w:rsid w:val="008064C1"/>
    <w:rsid w:val="0082204F"/>
    <w:rsid w:val="008247A6"/>
    <w:rsid w:val="00841D6D"/>
    <w:rsid w:val="00851F11"/>
    <w:rsid w:val="00852D8C"/>
    <w:rsid w:val="0085401A"/>
    <w:rsid w:val="00856455"/>
    <w:rsid w:val="00891525"/>
    <w:rsid w:val="0089187F"/>
    <w:rsid w:val="008A2102"/>
    <w:rsid w:val="008B4684"/>
    <w:rsid w:val="008C56D0"/>
    <w:rsid w:val="008C5A3A"/>
    <w:rsid w:val="008D7366"/>
    <w:rsid w:val="00907C28"/>
    <w:rsid w:val="00910258"/>
    <w:rsid w:val="00912BDE"/>
    <w:rsid w:val="00916616"/>
    <w:rsid w:val="00922BA4"/>
    <w:rsid w:val="00927533"/>
    <w:rsid w:val="009359C3"/>
    <w:rsid w:val="0094188F"/>
    <w:rsid w:val="00951AD8"/>
    <w:rsid w:val="00954819"/>
    <w:rsid w:val="00974AF1"/>
    <w:rsid w:val="00975B10"/>
    <w:rsid w:val="00997077"/>
    <w:rsid w:val="009A3918"/>
    <w:rsid w:val="009B17B0"/>
    <w:rsid w:val="009B1E91"/>
    <w:rsid w:val="009C3FD5"/>
    <w:rsid w:val="009C6D12"/>
    <w:rsid w:val="009C7126"/>
    <w:rsid w:val="009E0A09"/>
    <w:rsid w:val="009F4369"/>
    <w:rsid w:val="00A152D8"/>
    <w:rsid w:val="00A678C8"/>
    <w:rsid w:val="00A74902"/>
    <w:rsid w:val="00A93B82"/>
    <w:rsid w:val="00A977AE"/>
    <w:rsid w:val="00AA0E92"/>
    <w:rsid w:val="00AC2237"/>
    <w:rsid w:val="00AE183F"/>
    <w:rsid w:val="00AF0166"/>
    <w:rsid w:val="00B0475F"/>
    <w:rsid w:val="00B12B20"/>
    <w:rsid w:val="00B21521"/>
    <w:rsid w:val="00B2284B"/>
    <w:rsid w:val="00B25583"/>
    <w:rsid w:val="00B268C0"/>
    <w:rsid w:val="00B51F5A"/>
    <w:rsid w:val="00B605BB"/>
    <w:rsid w:val="00B606C4"/>
    <w:rsid w:val="00B63596"/>
    <w:rsid w:val="00B74856"/>
    <w:rsid w:val="00B760E7"/>
    <w:rsid w:val="00BB1451"/>
    <w:rsid w:val="00BB61FB"/>
    <w:rsid w:val="00BC4B04"/>
    <w:rsid w:val="00BD1CB1"/>
    <w:rsid w:val="00BF2B62"/>
    <w:rsid w:val="00BF5EDF"/>
    <w:rsid w:val="00C00D5B"/>
    <w:rsid w:val="00C16CBA"/>
    <w:rsid w:val="00C233D8"/>
    <w:rsid w:val="00C26087"/>
    <w:rsid w:val="00C359A0"/>
    <w:rsid w:val="00C64BC8"/>
    <w:rsid w:val="00C7418B"/>
    <w:rsid w:val="00C80D3C"/>
    <w:rsid w:val="00C953A3"/>
    <w:rsid w:val="00CB59AB"/>
    <w:rsid w:val="00D060F8"/>
    <w:rsid w:val="00D11074"/>
    <w:rsid w:val="00D20252"/>
    <w:rsid w:val="00D213B8"/>
    <w:rsid w:val="00D439D7"/>
    <w:rsid w:val="00D4418E"/>
    <w:rsid w:val="00D472BA"/>
    <w:rsid w:val="00D62635"/>
    <w:rsid w:val="00D65A8C"/>
    <w:rsid w:val="00D74640"/>
    <w:rsid w:val="00D9243F"/>
    <w:rsid w:val="00DB073B"/>
    <w:rsid w:val="00DB0BF7"/>
    <w:rsid w:val="00DE24C8"/>
    <w:rsid w:val="00DE3E0C"/>
    <w:rsid w:val="00DF7CFB"/>
    <w:rsid w:val="00E135ED"/>
    <w:rsid w:val="00E154AB"/>
    <w:rsid w:val="00E31D40"/>
    <w:rsid w:val="00E34A4C"/>
    <w:rsid w:val="00E355E6"/>
    <w:rsid w:val="00E46242"/>
    <w:rsid w:val="00E670A1"/>
    <w:rsid w:val="00E72EDB"/>
    <w:rsid w:val="00EB0488"/>
    <w:rsid w:val="00EC41DD"/>
    <w:rsid w:val="00EC41F3"/>
    <w:rsid w:val="00ED1333"/>
    <w:rsid w:val="00ED6BFC"/>
    <w:rsid w:val="00EE4B71"/>
    <w:rsid w:val="00F0037B"/>
    <w:rsid w:val="00F05DC5"/>
    <w:rsid w:val="00F13D8B"/>
    <w:rsid w:val="00F16580"/>
    <w:rsid w:val="00F4225B"/>
    <w:rsid w:val="00F44EB3"/>
    <w:rsid w:val="00F501AA"/>
    <w:rsid w:val="00F571D5"/>
    <w:rsid w:val="00F63E85"/>
    <w:rsid w:val="00F75DDF"/>
    <w:rsid w:val="00F97F6E"/>
    <w:rsid w:val="00FA3B93"/>
    <w:rsid w:val="00FD0C2E"/>
    <w:rsid w:val="00FD6AFD"/>
    <w:rsid w:val="00FE65C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F6E"/>
    <w:pPr>
      <w:spacing w:before="75" w:after="75"/>
    </w:pPr>
    <w:rPr>
      <w:rFonts w:ascii="Times New Roman" w:eastAsia="Times New Roman" w:hAnsi="Times New Roman"/>
      <w:sz w:val="24"/>
      <w:szCs w:val="24"/>
    </w:rPr>
  </w:style>
  <w:style w:type="paragraph" w:styleId="Heading4">
    <w:name w:val="heading 4"/>
    <w:basedOn w:val="Normal"/>
    <w:link w:val="Heading4Char"/>
    <w:uiPriority w:val="9"/>
    <w:qFormat/>
    <w:locked/>
    <w:rsid w:val="0063778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7F6E"/>
    <w:pPr>
      <w:tabs>
        <w:tab w:val="center" w:pos="4153"/>
        <w:tab w:val="right" w:pos="8306"/>
      </w:tabs>
    </w:pPr>
  </w:style>
  <w:style w:type="character" w:customStyle="1" w:styleId="HeaderChar">
    <w:name w:val="Header Char"/>
    <w:basedOn w:val="DefaultParagraphFont"/>
    <w:link w:val="Header"/>
    <w:uiPriority w:val="99"/>
    <w:locked/>
    <w:rsid w:val="00F97F6E"/>
    <w:rPr>
      <w:rFonts w:ascii="Times New Roman" w:hAnsi="Times New Roman" w:cs="Times New Roman"/>
      <w:sz w:val="24"/>
      <w:szCs w:val="24"/>
      <w:lang w:eastAsia="lv-LV"/>
    </w:rPr>
  </w:style>
  <w:style w:type="character" w:styleId="PageNumber">
    <w:name w:val="page number"/>
    <w:basedOn w:val="DefaultParagraphFont"/>
    <w:uiPriority w:val="99"/>
    <w:rsid w:val="00F97F6E"/>
  </w:style>
  <w:style w:type="paragraph" w:customStyle="1" w:styleId="naisf">
    <w:name w:val="naisf"/>
    <w:basedOn w:val="Normal"/>
    <w:uiPriority w:val="99"/>
    <w:rsid w:val="00F97F6E"/>
    <w:pPr>
      <w:ind w:firstLine="375"/>
      <w:jc w:val="both"/>
    </w:pPr>
  </w:style>
  <w:style w:type="paragraph" w:customStyle="1" w:styleId="naisnod">
    <w:name w:val="naisnod"/>
    <w:basedOn w:val="Normal"/>
    <w:uiPriority w:val="99"/>
    <w:rsid w:val="00F97F6E"/>
    <w:pPr>
      <w:spacing w:before="150" w:after="150"/>
      <w:jc w:val="center"/>
    </w:pPr>
    <w:rPr>
      <w:b/>
      <w:bCs/>
    </w:rPr>
  </w:style>
  <w:style w:type="paragraph" w:customStyle="1" w:styleId="naiskr">
    <w:name w:val="naiskr"/>
    <w:basedOn w:val="Normal"/>
    <w:uiPriority w:val="99"/>
    <w:rsid w:val="00F97F6E"/>
  </w:style>
  <w:style w:type="character" w:styleId="Strong">
    <w:name w:val="Strong"/>
    <w:basedOn w:val="DefaultParagraphFont"/>
    <w:qFormat/>
    <w:rsid w:val="00F97F6E"/>
    <w:rPr>
      <w:b/>
      <w:bCs/>
    </w:rPr>
  </w:style>
  <w:style w:type="paragraph" w:styleId="NormalWeb">
    <w:name w:val="Normal (Web)"/>
    <w:basedOn w:val="Normal"/>
    <w:uiPriority w:val="99"/>
    <w:rsid w:val="00F97F6E"/>
    <w:pPr>
      <w:spacing w:before="100" w:beforeAutospacing="1" w:after="100" w:afterAutospacing="1"/>
    </w:pPr>
  </w:style>
  <w:style w:type="paragraph" w:styleId="Footer">
    <w:name w:val="footer"/>
    <w:basedOn w:val="Normal"/>
    <w:link w:val="FooterChar"/>
    <w:uiPriority w:val="99"/>
    <w:semiHidden/>
    <w:rsid w:val="00161A8D"/>
    <w:pPr>
      <w:tabs>
        <w:tab w:val="center" w:pos="4153"/>
        <w:tab w:val="right" w:pos="8306"/>
      </w:tabs>
      <w:spacing w:before="0" w:after="0"/>
    </w:pPr>
  </w:style>
  <w:style w:type="character" w:customStyle="1" w:styleId="FooterChar">
    <w:name w:val="Footer Char"/>
    <w:basedOn w:val="DefaultParagraphFont"/>
    <w:link w:val="Footer"/>
    <w:uiPriority w:val="99"/>
    <w:semiHidden/>
    <w:locked/>
    <w:rsid w:val="00161A8D"/>
    <w:rPr>
      <w:rFonts w:ascii="Times New Roman" w:hAnsi="Times New Roman" w:cs="Times New Roman"/>
      <w:sz w:val="24"/>
      <w:szCs w:val="24"/>
      <w:lang w:eastAsia="lv-LV"/>
    </w:rPr>
  </w:style>
  <w:style w:type="paragraph" w:styleId="ListParagraph">
    <w:name w:val="List Paragraph"/>
    <w:basedOn w:val="Normal"/>
    <w:uiPriority w:val="99"/>
    <w:qFormat/>
    <w:rsid w:val="009B1E91"/>
    <w:pPr>
      <w:ind w:left="720"/>
    </w:pPr>
  </w:style>
  <w:style w:type="paragraph" w:customStyle="1" w:styleId="naisc">
    <w:name w:val="naisc"/>
    <w:basedOn w:val="Normal"/>
    <w:uiPriority w:val="99"/>
    <w:rsid w:val="00951AD8"/>
    <w:pPr>
      <w:jc w:val="center"/>
    </w:pPr>
  </w:style>
  <w:style w:type="paragraph" w:styleId="BalloonText">
    <w:name w:val="Balloon Text"/>
    <w:basedOn w:val="Normal"/>
    <w:link w:val="BalloonTextChar"/>
    <w:uiPriority w:val="99"/>
    <w:semiHidden/>
    <w:rsid w:val="00792FDA"/>
    <w:rPr>
      <w:rFonts w:ascii="Tahoma" w:hAnsi="Tahoma" w:cs="Tahoma"/>
      <w:sz w:val="16"/>
      <w:szCs w:val="16"/>
    </w:rPr>
  </w:style>
  <w:style w:type="character" w:customStyle="1" w:styleId="BalloonTextChar">
    <w:name w:val="Balloon Text Char"/>
    <w:basedOn w:val="DefaultParagraphFont"/>
    <w:link w:val="BalloonText"/>
    <w:uiPriority w:val="99"/>
    <w:semiHidden/>
    <w:rsid w:val="00A14873"/>
    <w:rPr>
      <w:rFonts w:ascii="Times New Roman" w:eastAsia="Times New Roman" w:hAnsi="Times New Roman"/>
      <w:sz w:val="0"/>
      <w:szCs w:val="0"/>
    </w:rPr>
  </w:style>
  <w:style w:type="paragraph" w:customStyle="1" w:styleId="naislab">
    <w:name w:val="naislab"/>
    <w:basedOn w:val="Normal"/>
    <w:rsid w:val="00EE4B71"/>
    <w:pPr>
      <w:jc w:val="right"/>
    </w:pPr>
  </w:style>
  <w:style w:type="character" w:customStyle="1" w:styleId="Heading4Char">
    <w:name w:val="Heading 4 Char"/>
    <w:basedOn w:val="DefaultParagraphFont"/>
    <w:link w:val="Heading4"/>
    <w:uiPriority w:val="9"/>
    <w:rsid w:val="0063778B"/>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89491745">
      <w:bodyDiv w:val="1"/>
      <w:marLeft w:val="45"/>
      <w:marRight w:val="45"/>
      <w:marTop w:val="90"/>
      <w:marBottom w:val="90"/>
      <w:divBdr>
        <w:top w:val="none" w:sz="0" w:space="0" w:color="auto"/>
        <w:left w:val="none" w:sz="0" w:space="0" w:color="auto"/>
        <w:bottom w:val="none" w:sz="0" w:space="0" w:color="auto"/>
        <w:right w:val="none" w:sz="0" w:space="0" w:color="auto"/>
      </w:divBdr>
      <w:divsChild>
        <w:div w:id="1163355710">
          <w:marLeft w:val="0"/>
          <w:marRight w:val="0"/>
          <w:marTop w:val="0"/>
          <w:marBottom w:val="567"/>
          <w:divBdr>
            <w:top w:val="none" w:sz="0" w:space="0" w:color="auto"/>
            <w:left w:val="none" w:sz="0" w:space="0" w:color="auto"/>
            <w:bottom w:val="none" w:sz="0" w:space="0" w:color="auto"/>
            <w:right w:val="none" w:sz="0" w:space="0" w:color="auto"/>
          </w:divBdr>
        </w:div>
      </w:divsChild>
    </w:div>
    <w:div w:id="272439561">
      <w:bodyDiv w:val="1"/>
      <w:marLeft w:val="45"/>
      <w:marRight w:val="45"/>
      <w:marTop w:val="90"/>
      <w:marBottom w:val="90"/>
      <w:divBdr>
        <w:top w:val="none" w:sz="0" w:space="0" w:color="auto"/>
        <w:left w:val="none" w:sz="0" w:space="0" w:color="auto"/>
        <w:bottom w:val="none" w:sz="0" w:space="0" w:color="auto"/>
        <w:right w:val="none" w:sz="0" w:space="0" w:color="auto"/>
      </w:divBdr>
      <w:divsChild>
        <w:div w:id="412631212">
          <w:marLeft w:val="0"/>
          <w:marRight w:val="0"/>
          <w:marTop w:val="240"/>
          <w:marBottom w:val="0"/>
          <w:divBdr>
            <w:top w:val="none" w:sz="0" w:space="0" w:color="auto"/>
            <w:left w:val="none" w:sz="0" w:space="0" w:color="auto"/>
            <w:bottom w:val="none" w:sz="0" w:space="0" w:color="auto"/>
            <w:right w:val="none" w:sz="0" w:space="0" w:color="auto"/>
          </w:divBdr>
        </w:div>
      </w:divsChild>
    </w:div>
    <w:div w:id="587234902">
      <w:bodyDiv w:val="1"/>
      <w:marLeft w:val="45"/>
      <w:marRight w:val="45"/>
      <w:marTop w:val="90"/>
      <w:marBottom w:val="90"/>
      <w:divBdr>
        <w:top w:val="none" w:sz="0" w:space="0" w:color="auto"/>
        <w:left w:val="none" w:sz="0" w:space="0" w:color="auto"/>
        <w:bottom w:val="none" w:sz="0" w:space="0" w:color="auto"/>
        <w:right w:val="none" w:sz="0" w:space="0" w:color="auto"/>
      </w:divBdr>
      <w:divsChild>
        <w:div w:id="488444943">
          <w:marLeft w:val="0"/>
          <w:marRight w:val="0"/>
          <w:marTop w:val="0"/>
          <w:marBottom w:val="567"/>
          <w:divBdr>
            <w:top w:val="none" w:sz="0" w:space="0" w:color="auto"/>
            <w:left w:val="none" w:sz="0" w:space="0" w:color="auto"/>
            <w:bottom w:val="none" w:sz="0" w:space="0" w:color="auto"/>
            <w:right w:val="none" w:sz="0" w:space="0" w:color="auto"/>
          </w:divBdr>
        </w:div>
      </w:divsChild>
    </w:div>
    <w:div w:id="9612305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10834-A2CF-4C19-91DF-8072A941C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5147</Words>
  <Characters>2934</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2009.gada 22.decembra noteikumos Nr.1616 „Kārtība, kādā aprēķina un sadala valsts budžeta mērķdotāciju pašvaldību izglītības iestādēm bērnu no piecu gadu vecuma izglītošanā nodarbināto pirmsskolas i</vt:lpstr>
    </vt:vector>
  </TitlesOfParts>
  <Company>IZM</Company>
  <LinksUpToDate>false</LinksUpToDate>
  <CharactersWithSpaces>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2009.gada 22.decembra noteikumos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 projekta sākotnējās ietekmes novērtējuma ziņojums (anotācija)</dc:title>
  <dc:subject>Sākotnējās ietekmes novērtējuma ziņojums (anotācija)</dc:subject>
  <dc:creator>Alise Trokša</dc:creator>
  <cp:keywords>990</cp:keywords>
  <dc:description>Alise Trokša, 67047841, alise.troksa@izm.gov.lv</dc:description>
  <cp:lastModifiedBy>sbatare</cp:lastModifiedBy>
  <cp:revision>5</cp:revision>
  <cp:lastPrinted>2011-10-26T07:18:00Z</cp:lastPrinted>
  <dcterms:created xsi:type="dcterms:W3CDTF">2012-08-09T15:45:00Z</dcterms:created>
  <dcterms:modified xsi:type="dcterms:W3CDTF">2012-08-10T06:23:00Z</dcterms:modified>
</cp:coreProperties>
</file>