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DA" w:rsidRPr="000F455E" w:rsidRDefault="001C4FDA" w:rsidP="0047569F">
      <w:pPr>
        <w:spacing w:before="0" w:after="0"/>
        <w:ind w:firstLine="851"/>
        <w:jc w:val="right"/>
        <w:rPr>
          <w:b/>
          <w:bCs/>
          <w:sz w:val="20"/>
          <w:szCs w:val="20"/>
        </w:rPr>
      </w:pPr>
      <w:bookmarkStart w:id="0" w:name="OLE_LINK2"/>
      <w:bookmarkStart w:id="1" w:name="OLE_LINK3"/>
      <w:bookmarkStart w:id="2" w:name="OLE_LINK10"/>
      <w:bookmarkStart w:id="3" w:name="OLE_LINK1"/>
      <w:r w:rsidRPr="000F455E">
        <w:rPr>
          <w:b/>
          <w:bCs/>
          <w:sz w:val="20"/>
          <w:szCs w:val="20"/>
        </w:rPr>
        <w:t xml:space="preserve">Ministru kabineta noteikumu </w:t>
      </w:r>
    </w:p>
    <w:p w:rsidR="001C4FDA" w:rsidRPr="000F455E" w:rsidRDefault="001C4FDA" w:rsidP="0047569F">
      <w:pPr>
        <w:spacing w:before="0" w:after="0"/>
        <w:ind w:firstLine="851"/>
        <w:jc w:val="right"/>
        <w:rPr>
          <w:rStyle w:val="Strong"/>
          <w:sz w:val="20"/>
          <w:szCs w:val="20"/>
        </w:rPr>
      </w:pPr>
      <w:r w:rsidRPr="000F455E">
        <w:rPr>
          <w:b/>
          <w:bCs/>
          <w:sz w:val="20"/>
          <w:szCs w:val="20"/>
        </w:rPr>
        <w:t>„</w:t>
      </w:r>
      <w:r w:rsidRPr="000F455E">
        <w:rPr>
          <w:rStyle w:val="Strong"/>
          <w:sz w:val="20"/>
          <w:szCs w:val="20"/>
        </w:rPr>
        <w:t xml:space="preserve">Grozījumi Ministru kabineta </w:t>
      </w:r>
    </w:p>
    <w:p w:rsidR="001C4FDA" w:rsidRPr="000F455E" w:rsidRDefault="001C4FDA" w:rsidP="0047569F">
      <w:pPr>
        <w:spacing w:before="0" w:after="0"/>
        <w:ind w:firstLine="851"/>
        <w:jc w:val="right"/>
        <w:rPr>
          <w:rStyle w:val="Strong"/>
          <w:sz w:val="20"/>
          <w:szCs w:val="20"/>
        </w:rPr>
      </w:pPr>
      <w:r w:rsidRPr="000F455E">
        <w:rPr>
          <w:rStyle w:val="Strong"/>
          <w:sz w:val="20"/>
          <w:szCs w:val="20"/>
        </w:rPr>
        <w:t xml:space="preserve">2009.gada 28.jūlija noteikumos Nr.836 </w:t>
      </w:r>
    </w:p>
    <w:p w:rsidR="001C4FDA" w:rsidRPr="000F455E" w:rsidRDefault="001C4FDA" w:rsidP="0047569F">
      <w:pPr>
        <w:spacing w:before="0" w:after="0"/>
        <w:ind w:firstLine="851"/>
        <w:jc w:val="right"/>
        <w:rPr>
          <w:b/>
          <w:bCs/>
          <w:sz w:val="20"/>
          <w:szCs w:val="20"/>
        </w:rPr>
      </w:pPr>
      <w:r w:rsidRPr="000F455E">
        <w:rPr>
          <w:rStyle w:val="Strong"/>
          <w:sz w:val="20"/>
          <w:szCs w:val="20"/>
        </w:rPr>
        <w:t>„</w:t>
      </w:r>
      <w:r w:rsidRPr="000F455E">
        <w:rPr>
          <w:b/>
          <w:bCs/>
          <w:sz w:val="20"/>
          <w:szCs w:val="20"/>
        </w:rPr>
        <w:t xml:space="preserve">Pedagogu darba samaksas noteikumi”” </w:t>
      </w:r>
    </w:p>
    <w:p w:rsidR="001C4FDA" w:rsidRPr="000F455E" w:rsidRDefault="001C4FDA" w:rsidP="0047569F">
      <w:pPr>
        <w:spacing w:before="0" w:after="0"/>
        <w:ind w:firstLine="851"/>
        <w:jc w:val="right"/>
        <w:rPr>
          <w:b/>
          <w:bCs/>
          <w:sz w:val="20"/>
          <w:szCs w:val="20"/>
        </w:rPr>
      </w:pPr>
      <w:r w:rsidRPr="000F455E">
        <w:rPr>
          <w:b/>
          <w:bCs/>
          <w:sz w:val="20"/>
          <w:szCs w:val="20"/>
        </w:rPr>
        <w:t xml:space="preserve">projekta </w:t>
      </w:r>
      <w:bookmarkStart w:id="4" w:name="OLE_LINK4"/>
      <w:bookmarkStart w:id="5" w:name="OLE_LINK5"/>
      <w:r w:rsidRPr="000F455E">
        <w:rPr>
          <w:b/>
          <w:bCs/>
          <w:sz w:val="20"/>
          <w:szCs w:val="20"/>
        </w:rPr>
        <w:t xml:space="preserve">sākotnējās ietekmes novērtējuma </w:t>
      </w:r>
    </w:p>
    <w:p w:rsidR="001C4FDA" w:rsidRPr="000F455E" w:rsidRDefault="001C4FDA" w:rsidP="0047569F">
      <w:pPr>
        <w:spacing w:before="0" w:after="0"/>
        <w:ind w:firstLine="851"/>
        <w:jc w:val="right"/>
        <w:rPr>
          <w:b/>
          <w:bCs/>
          <w:sz w:val="20"/>
          <w:szCs w:val="20"/>
        </w:rPr>
      </w:pPr>
      <w:r w:rsidRPr="000F455E">
        <w:rPr>
          <w:b/>
          <w:bCs/>
          <w:sz w:val="20"/>
          <w:szCs w:val="20"/>
        </w:rPr>
        <w:t>ziņojuma (anotācija)</w:t>
      </w:r>
      <w:bookmarkEnd w:id="4"/>
      <w:bookmarkEnd w:id="5"/>
      <w:r w:rsidRPr="000F455E">
        <w:rPr>
          <w:b/>
          <w:bCs/>
          <w:sz w:val="20"/>
          <w:szCs w:val="20"/>
        </w:rPr>
        <w:t xml:space="preserve"> </w:t>
      </w:r>
    </w:p>
    <w:p w:rsidR="001C4FDA" w:rsidRPr="001C4FDA" w:rsidRDefault="00DC0132" w:rsidP="0047569F">
      <w:pPr>
        <w:spacing w:before="0" w:after="0"/>
        <w:ind w:firstLine="851"/>
        <w:jc w:val="right"/>
        <w:rPr>
          <w:b/>
          <w:bCs/>
        </w:rPr>
      </w:pPr>
      <w:r>
        <w:rPr>
          <w:b/>
          <w:bCs/>
          <w:sz w:val="20"/>
          <w:szCs w:val="20"/>
        </w:rPr>
        <w:t>1</w:t>
      </w:r>
      <w:r w:rsidR="001C4FDA" w:rsidRPr="000F455E">
        <w:rPr>
          <w:b/>
          <w:bCs/>
          <w:sz w:val="20"/>
          <w:szCs w:val="20"/>
        </w:rPr>
        <w:t>.Pielikums</w:t>
      </w:r>
    </w:p>
    <w:bookmarkEnd w:id="0"/>
    <w:bookmarkEnd w:id="1"/>
    <w:bookmarkEnd w:id="2"/>
    <w:bookmarkEnd w:id="3"/>
    <w:p w:rsidR="008A2913" w:rsidRDefault="008A2913" w:rsidP="0047569F">
      <w:pPr>
        <w:spacing w:before="0" w:after="0"/>
      </w:pPr>
    </w:p>
    <w:p w:rsidR="001D0DC9" w:rsidRPr="008A2913" w:rsidRDefault="002D1D09" w:rsidP="008A2913">
      <w:pPr>
        <w:spacing w:before="0" w:after="0"/>
        <w:jc w:val="center"/>
        <w:rPr>
          <w:b/>
        </w:rPr>
      </w:pPr>
      <w:r>
        <w:rPr>
          <w:b/>
        </w:rPr>
        <w:t>N</w:t>
      </w:r>
      <w:r w:rsidR="008A2913" w:rsidRPr="008A2913">
        <w:rPr>
          <w:b/>
        </w:rPr>
        <w:t>epieciešamais finansējums pedagogu darba samaksas nodrošināšanai 2013.-2015.gadam</w:t>
      </w:r>
    </w:p>
    <w:p w:rsidR="008A2913" w:rsidRPr="008A2913" w:rsidRDefault="008A2913" w:rsidP="0047569F">
      <w:pPr>
        <w:spacing w:before="0" w:after="0"/>
        <w:rPr>
          <w:sz w:val="16"/>
          <w:szCs w:val="16"/>
        </w:rPr>
      </w:pPr>
    </w:p>
    <w:p w:rsidR="001C4FDA" w:rsidRDefault="001C4FDA" w:rsidP="0047569F">
      <w:pPr>
        <w:spacing w:before="0" w:after="0"/>
        <w:ind w:firstLine="851"/>
        <w:jc w:val="both"/>
      </w:pPr>
      <w:r>
        <w:t>Lai, sākot ar 2012.gada 1.septembri (esošā budžeta ietvaros) tiktu paaugstinātas vispārējās un profesionālās izglītības iestāžu vadītāju, vietnieku un pedagogu zemākās mēneša darba algas likmes par 10%, ministrija n</w:t>
      </w:r>
      <w:r w:rsidRPr="008D26E9">
        <w:t>eplāno 2012.</w:t>
      </w:r>
      <w:r w:rsidR="00CE3ABB">
        <w:t>gadam prasīt papildu finansējumu</w:t>
      </w:r>
      <w:r w:rsidRPr="008D26E9">
        <w:t xml:space="preserve"> pedagogu darba samaksai</w:t>
      </w:r>
      <w:r w:rsidR="00B661F7">
        <w:t>, jo nepieciešamais finansējums 601 386 latu apmērā tiks pārdalīts no 15. resora „Izglītības un zinātnes ministrija”</w:t>
      </w:r>
      <w:r w:rsidR="0006198D">
        <w:t xml:space="preserve"> apakšprogrammas 03.04.00. „Studējošo un studiju kreditēšana”, attiecīgi:</w:t>
      </w:r>
    </w:p>
    <w:p w:rsidR="0047569F" w:rsidRPr="0047569F" w:rsidRDefault="0047569F" w:rsidP="0047569F">
      <w:pPr>
        <w:pStyle w:val="ListParagraph"/>
        <w:numPr>
          <w:ilvl w:val="0"/>
          <w:numId w:val="2"/>
        </w:numPr>
        <w:spacing w:before="0" w:after="0"/>
        <w:jc w:val="both"/>
      </w:pPr>
      <w:r>
        <w:rPr>
          <w:b/>
        </w:rPr>
        <w:t>62. resoram</w:t>
      </w:r>
      <w:r w:rsidRPr="00CE3ABB">
        <w:rPr>
          <w:b/>
        </w:rPr>
        <w:t xml:space="preserve"> „Mērķdotācijas pašvaldībām”</w:t>
      </w:r>
      <w:r>
        <w:rPr>
          <w:b/>
        </w:rPr>
        <w:t xml:space="preserve"> – 467 833 latu;</w:t>
      </w:r>
    </w:p>
    <w:p w:rsidR="0047569F" w:rsidRPr="0047569F" w:rsidRDefault="0047569F" w:rsidP="0047569F">
      <w:pPr>
        <w:pStyle w:val="ListParagraph"/>
        <w:numPr>
          <w:ilvl w:val="0"/>
          <w:numId w:val="2"/>
        </w:numPr>
        <w:spacing w:before="0" w:after="0"/>
        <w:jc w:val="both"/>
      </w:pPr>
      <w:r w:rsidRPr="00CE3ABB">
        <w:rPr>
          <w:b/>
        </w:rPr>
        <w:t>15.</w:t>
      </w:r>
      <w:r>
        <w:rPr>
          <w:b/>
        </w:rPr>
        <w:t xml:space="preserve"> </w:t>
      </w:r>
      <w:r w:rsidRPr="00CE3ABB">
        <w:rPr>
          <w:b/>
        </w:rPr>
        <w:t>resora</w:t>
      </w:r>
      <w:r>
        <w:rPr>
          <w:b/>
        </w:rPr>
        <w:t>m</w:t>
      </w:r>
      <w:r w:rsidRPr="00CE3ABB">
        <w:rPr>
          <w:b/>
        </w:rPr>
        <w:t xml:space="preserve"> „Izglītības un zinātnes ministrija”</w:t>
      </w:r>
      <w:r>
        <w:rPr>
          <w:b/>
        </w:rPr>
        <w:t xml:space="preserve"> – 133 553 latu:</w:t>
      </w:r>
    </w:p>
    <w:p w:rsidR="0047569F" w:rsidRDefault="0047569F" w:rsidP="0047569F">
      <w:pPr>
        <w:pStyle w:val="ListParagraph"/>
        <w:numPr>
          <w:ilvl w:val="0"/>
          <w:numId w:val="3"/>
        </w:numPr>
        <w:spacing w:before="0" w:after="0"/>
        <w:jc w:val="both"/>
      </w:pPr>
      <w:r w:rsidRPr="00CE3ABB">
        <w:t>01.05.00. apakšprogramma</w:t>
      </w:r>
      <w:r>
        <w:t>i</w:t>
      </w:r>
      <w:r w:rsidRPr="00CE3ABB">
        <w:t xml:space="preserve"> „Dotācija privātajām izglītības iestādēm”</w:t>
      </w:r>
      <w:r>
        <w:t xml:space="preserve"> – 16 792 latu;</w:t>
      </w:r>
    </w:p>
    <w:p w:rsidR="0047569F" w:rsidRDefault="0047569F" w:rsidP="0047569F">
      <w:pPr>
        <w:pStyle w:val="ListParagraph"/>
        <w:numPr>
          <w:ilvl w:val="0"/>
          <w:numId w:val="3"/>
        </w:numPr>
        <w:spacing w:before="0" w:after="0"/>
        <w:jc w:val="both"/>
      </w:pPr>
      <w:r w:rsidRPr="00CE3ABB">
        <w:t>09.10.00. apakšprogramma</w:t>
      </w:r>
      <w:r>
        <w:t>i</w:t>
      </w:r>
      <w:r w:rsidRPr="00CE3ABB">
        <w:t xml:space="preserve"> „Murjāņu sporta ģimnāzija”</w:t>
      </w:r>
      <w:r>
        <w:t xml:space="preserve"> – 12 161 latu;</w:t>
      </w:r>
    </w:p>
    <w:p w:rsidR="0047569F" w:rsidRDefault="0047569F" w:rsidP="0047569F">
      <w:pPr>
        <w:pStyle w:val="ListParagraph"/>
        <w:numPr>
          <w:ilvl w:val="0"/>
          <w:numId w:val="3"/>
        </w:numPr>
        <w:spacing w:before="0" w:after="0"/>
        <w:jc w:val="both"/>
      </w:pPr>
      <w:r w:rsidRPr="00CE3ABB">
        <w:t xml:space="preserve">09.19.00. apakšprogramma „Finansējums profesionālās ievirzes sporta izglītības programmu pedagogu darba samaksai un valsts sociālās apdrošināšanas obligātajām iemaksām”  </w:t>
      </w:r>
      <w:r>
        <w:t>- 104 600 latu.</w:t>
      </w:r>
    </w:p>
    <w:p w:rsidR="002D1D09" w:rsidRDefault="002D1D09" w:rsidP="002D1D09">
      <w:pPr>
        <w:pStyle w:val="ListParagraph"/>
        <w:spacing w:before="0" w:after="0"/>
        <w:ind w:left="0" w:firstLine="851"/>
        <w:jc w:val="both"/>
      </w:pPr>
      <w:r>
        <w:t xml:space="preserve">Savukārt, </w:t>
      </w:r>
      <w:r w:rsidRPr="002D1D09">
        <w:t xml:space="preserve">ņemot vērā izglītojamo skaita prognozi 2013./2014. mācību gadam, kas liecina, ka izglītojamo skaits vairs nesamazināsies un paliks 2012./2013. mācību gada līmenī, lai nodrošinātu pedagogu darba samaksu 2013.gadā un turpmākajos gados 2012.gada līmenī,  nepieciešami papildu līdzekļi. </w:t>
      </w:r>
      <w:r>
        <w:t xml:space="preserve"> </w:t>
      </w:r>
    </w:p>
    <w:p w:rsidR="00CE3ABB" w:rsidRPr="008A2913" w:rsidRDefault="00CE3ABB" w:rsidP="0047569F">
      <w:pPr>
        <w:spacing w:before="0" w:after="0"/>
        <w:ind w:firstLine="851"/>
        <w:jc w:val="both"/>
        <w:rPr>
          <w:sz w:val="16"/>
          <w:szCs w:val="16"/>
        </w:rPr>
      </w:pPr>
    </w:p>
    <w:p w:rsidR="00B661F7" w:rsidRDefault="00CE3ABB" w:rsidP="0047569F">
      <w:pPr>
        <w:spacing w:before="0" w:after="0"/>
        <w:ind w:firstLine="851"/>
        <w:jc w:val="center"/>
        <w:rPr>
          <w:b/>
        </w:rPr>
      </w:pPr>
      <w:r w:rsidRPr="00CE3ABB">
        <w:rPr>
          <w:b/>
        </w:rPr>
        <w:t>Ministrijas   papildu pieprasījumi prioritārajiem pasākumiem 2013. - 2015.gadam</w:t>
      </w:r>
    </w:p>
    <w:p w:rsidR="00CE3ABB" w:rsidRPr="008A2913" w:rsidRDefault="00CE3ABB" w:rsidP="00CE3ABB">
      <w:pPr>
        <w:spacing w:before="0" w:after="0"/>
        <w:ind w:firstLine="851"/>
        <w:jc w:val="center"/>
        <w:rPr>
          <w:b/>
          <w:sz w:val="16"/>
          <w:szCs w:val="1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88"/>
        <w:gridCol w:w="1787"/>
        <w:gridCol w:w="1788"/>
        <w:gridCol w:w="1439"/>
      </w:tblGrid>
      <w:tr w:rsidR="00980226" w:rsidTr="00980226">
        <w:tc>
          <w:tcPr>
            <w:tcW w:w="3051" w:type="dxa"/>
            <w:shd w:val="clear" w:color="auto" w:fill="D9D9D9"/>
            <w:vAlign w:val="center"/>
          </w:tcPr>
          <w:p w:rsidR="00980226" w:rsidRPr="00DE520E" w:rsidRDefault="00980226" w:rsidP="00645357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Resors</w:t>
            </w:r>
          </w:p>
        </w:tc>
        <w:tc>
          <w:tcPr>
            <w:tcW w:w="1788" w:type="dxa"/>
            <w:shd w:val="clear" w:color="auto" w:fill="D9D9D9"/>
          </w:tcPr>
          <w:p w:rsidR="00980226" w:rsidRPr="00DE520E" w:rsidRDefault="00980226" w:rsidP="00FF135A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 xml:space="preserve">2013.gadam papildu pieprasījums </w:t>
            </w:r>
          </w:p>
        </w:tc>
        <w:tc>
          <w:tcPr>
            <w:tcW w:w="1787" w:type="dxa"/>
            <w:shd w:val="clear" w:color="auto" w:fill="D9D9D9"/>
          </w:tcPr>
          <w:p w:rsidR="00980226" w:rsidRPr="00DE520E" w:rsidRDefault="00980226" w:rsidP="008F3AC5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 xml:space="preserve">2014.gadam papildu pieprasījums </w:t>
            </w:r>
          </w:p>
        </w:tc>
        <w:tc>
          <w:tcPr>
            <w:tcW w:w="1788" w:type="dxa"/>
            <w:shd w:val="clear" w:color="auto" w:fill="D9D9D9"/>
          </w:tcPr>
          <w:p w:rsidR="00980226" w:rsidRPr="00DE520E" w:rsidRDefault="00980226" w:rsidP="008F3AC5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 xml:space="preserve">2015. gadam papildu pieprasījums </w:t>
            </w:r>
          </w:p>
        </w:tc>
        <w:tc>
          <w:tcPr>
            <w:tcW w:w="1439" w:type="dxa"/>
            <w:shd w:val="clear" w:color="auto" w:fill="D9D9D9"/>
          </w:tcPr>
          <w:p w:rsidR="0092644F" w:rsidRDefault="0092644F" w:rsidP="008F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n-gadam papildu</w:t>
            </w:r>
          </w:p>
          <w:p w:rsidR="00980226" w:rsidRPr="00DE520E" w:rsidRDefault="00980226" w:rsidP="008F3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pieprasījums</w:t>
            </w:r>
          </w:p>
        </w:tc>
      </w:tr>
      <w:tr w:rsidR="00980226" w:rsidTr="00980226">
        <w:tc>
          <w:tcPr>
            <w:tcW w:w="3051" w:type="dxa"/>
          </w:tcPr>
          <w:p w:rsidR="00980226" w:rsidRPr="00DE520E" w:rsidRDefault="00980226" w:rsidP="00645357">
            <w:pPr>
              <w:jc w:val="both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62. resors „Mērķdotācijas pašvaldībām”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1 403 499</w:t>
            </w:r>
          </w:p>
        </w:tc>
        <w:tc>
          <w:tcPr>
            <w:tcW w:w="1787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1 403 499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1 403 499</w:t>
            </w:r>
          </w:p>
        </w:tc>
        <w:tc>
          <w:tcPr>
            <w:tcW w:w="1439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1 403 499</w:t>
            </w:r>
          </w:p>
        </w:tc>
      </w:tr>
      <w:tr w:rsidR="00980226" w:rsidTr="00980226">
        <w:tc>
          <w:tcPr>
            <w:tcW w:w="8414" w:type="dxa"/>
            <w:gridSpan w:val="4"/>
          </w:tcPr>
          <w:p w:rsidR="00980226" w:rsidRPr="00DE520E" w:rsidRDefault="00980226" w:rsidP="00645357">
            <w:pPr>
              <w:jc w:val="both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15.resors „Izglītības un zinātnes ministrija”:</w:t>
            </w:r>
          </w:p>
        </w:tc>
        <w:tc>
          <w:tcPr>
            <w:tcW w:w="1439" w:type="dxa"/>
          </w:tcPr>
          <w:p w:rsidR="00980226" w:rsidRPr="00DE520E" w:rsidRDefault="00980226" w:rsidP="006453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0226" w:rsidTr="00980226">
        <w:trPr>
          <w:trHeight w:val="704"/>
        </w:trPr>
        <w:tc>
          <w:tcPr>
            <w:tcW w:w="3051" w:type="dxa"/>
          </w:tcPr>
          <w:p w:rsidR="00980226" w:rsidRPr="00DE520E" w:rsidRDefault="00980226" w:rsidP="00645357">
            <w:pPr>
              <w:jc w:val="both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01.05.00. apakšprogramma „Dotācija privātajām izglītības iestādēm”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50 376</w:t>
            </w:r>
          </w:p>
        </w:tc>
        <w:tc>
          <w:tcPr>
            <w:tcW w:w="1787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50 376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50 376</w:t>
            </w:r>
          </w:p>
        </w:tc>
        <w:tc>
          <w:tcPr>
            <w:tcW w:w="1439" w:type="dxa"/>
          </w:tcPr>
          <w:p w:rsidR="00980226" w:rsidRPr="00DE520E" w:rsidRDefault="00980226" w:rsidP="00651542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50 376</w:t>
            </w:r>
          </w:p>
        </w:tc>
      </w:tr>
      <w:tr w:rsidR="00980226" w:rsidTr="00980226">
        <w:tc>
          <w:tcPr>
            <w:tcW w:w="3051" w:type="dxa"/>
          </w:tcPr>
          <w:p w:rsidR="00980226" w:rsidRPr="00DE520E" w:rsidRDefault="00980226" w:rsidP="00645357">
            <w:pPr>
              <w:jc w:val="both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02.01.00. apakšprogramma „Profesionālās izglītības programmu īstenošana”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751 700</w:t>
            </w:r>
          </w:p>
        </w:tc>
        <w:tc>
          <w:tcPr>
            <w:tcW w:w="1787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751 700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751 700</w:t>
            </w:r>
          </w:p>
        </w:tc>
        <w:tc>
          <w:tcPr>
            <w:tcW w:w="1439" w:type="dxa"/>
          </w:tcPr>
          <w:p w:rsidR="00980226" w:rsidRPr="00DE520E" w:rsidRDefault="00980226" w:rsidP="00651542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751 700</w:t>
            </w:r>
          </w:p>
        </w:tc>
      </w:tr>
      <w:tr w:rsidR="00980226" w:rsidTr="00980226">
        <w:tc>
          <w:tcPr>
            <w:tcW w:w="3051" w:type="dxa"/>
          </w:tcPr>
          <w:p w:rsidR="00980226" w:rsidRPr="00DE520E" w:rsidRDefault="00980226" w:rsidP="00645357">
            <w:pPr>
              <w:jc w:val="both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09.10.00. apakšprogramma „Murjāņu sporta ģimnāzija”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36 483</w:t>
            </w:r>
          </w:p>
        </w:tc>
        <w:tc>
          <w:tcPr>
            <w:tcW w:w="1787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36 483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39 483</w:t>
            </w:r>
          </w:p>
        </w:tc>
        <w:tc>
          <w:tcPr>
            <w:tcW w:w="1439" w:type="dxa"/>
          </w:tcPr>
          <w:p w:rsidR="00980226" w:rsidRPr="00DE520E" w:rsidRDefault="00980226" w:rsidP="00651542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39 483</w:t>
            </w:r>
          </w:p>
        </w:tc>
      </w:tr>
      <w:tr w:rsidR="00980226" w:rsidTr="00980226">
        <w:tc>
          <w:tcPr>
            <w:tcW w:w="3051" w:type="dxa"/>
          </w:tcPr>
          <w:p w:rsidR="00980226" w:rsidRPr="00DE520E" w:rsidRDefault="00980226" w:rsidP="00645357">
            <w:pPr>
              <w:jc w:val="both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09.19.00. apakšprogramma „Finansējums profesionālās ievirzes sporta izglītības programmu pedagogu darba samaksai un valsts sociālās apdrošināšanas obligātajām iemaksām”  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313 800</w:t>
            </w:r>
          </w:p>
        </w:tc>
        <w:tc>
          <w:tcPr>
            <w:tcW w:w="1787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313 800</w:t>
            </w:r>
          </w:p>
        </w:tc>
        <w:tc>
          <w:tcPr>
            <w:tcW w:w="1788" w:type="dxa"/>
          </w:tcPr>
          <w:p w:rsidR="00980226" w:rsidRPr="00DE520E" w:rsidRDefault="00980226" w:rsidP="00645357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313 800</w:t>
            </w:r>
          </w:p>
        </w:tc>
        <w:tc>
          <w:tcPr>
            <w:tcW w:w="1439" w:type="dxa"/>
          </w:tcPr>
          <w:p w:rsidR="00980226" w:rsidRPr="00DE520E" w:rsidRDefault="00980226" w:rsidP="00651542">
            <w:pPr>
              <w:jc w:val="center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313 800</w:t>
            </w:r>
          </w:p>
        </w:tc>
      </w:tr>
      <w:tr w:rsidR="00980226" w:rsidTr="00980226">
        <w:tc>
          <w:tcPr>
            <w:tcW w:w="3051" w:type="dxa"/>
            <w:shd w:val="clear" w:color="auto" w:fill="D9D9D9"/>
          </w:tcPr>
          <w:p w:rsidR="00980226" w:rsidRPr="00DE520E" w:rsidRDefault="00980226" w:rsidP="00645357">
            <w:pPr>
              <w:jc w:val="both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788" w:type="dxa"/>
            <w:shd w:val="clear" w:color="auto" w:fill="D9D9D9"/>
          </w:tcPr>
          <w:p w:rsidR="00980226" w:rsidRPr="00DE520E" w:rsidRDefault="00980226" w:rsidP="00645357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2 555 858</w:t>
            </w:r>
          </w:p>
        </w:tc>
        <w:tc>
          <w:tcPr>
            <w:tcW w:w="1787" w:type="dxa"/>
            <w:shd w:val="clear" w:color="auto" w:fill="D9D9D9"/>
          </w:tcPr>
          <w:p w:rsidR="00980226" w:rsidRPr="00DE520E" w:rsidRDefault="00980226" w:rsidP="00645357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2 555 858</w:t>
            </w:r>
          </w:p>
        </w:tc>
        <w:tc>
          <w:tcPr>
            <w:tcW w:w="1788" w:type="dxa"/>
            <w:shd w:val="clear" w:color="auto" w:fill="D9D9D9"/>
          </w:tcPr>
          <w:p w:rsidR="00980226" w:rsidRPr="00DE520E" w:rsidRDefault="00980226" w:rsidP="00645357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2 558 858</w:t>
            </w:r>
          </w:p>
        </w:tc>
        <w:tc>
          <w:tcPr>
            <w:tcW w:w="1439" w:type="dxa"/>
            <w:shd w:val="clear" w:color="auto" w:fill="D9D9D9"/>
          </w:tcPr>
          <w:p w:rsidR="00980226" w:rsidRPr="00DE520E" w:rsidRDefault="00980226" w:rsidP="00651542">
            <w:pPr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2 558 858</w:t>
            </w:r>
          </w:p>
        </w:tc>
      </w:tr>
    </w:tbl>
    <w:p w:rsidR="002E392A" w:rsidRDefault="00281779" w:rsidP="008A2913">
      <w:pPr>
        <w:jc w:val="both"/>
      </w:pPr>
      <w:r w:rsidRPr="00DE520E">
        <w:rPr>
          <w:sz w:val="22"/>
          <w:szCs w:val="22"/>
        </w:rPr>
        <w:t xml:space="preserve"> </w:t>
      </w:r>
    </w:p>
    <w:sectPr w:rsidR="002E392A" w:rsidSect="0047569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3F" w:rsidRDefault="0093793F" w:rsidP="000F455E">
      <w:pPr>
        <w:spacing w:before="0" w:after="0"/>
      </w:pPr>
      <w:r>
        <w:separator/>
      </w:r>
    </w:p>
  </w:endnote>
  <w:endnote w:type="continuationSeparator" w:id="0">
    <w:p w:rsidR="0093793F" w:rsidRDefault="0093793F" w:rsidP="000F4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5E" w:rsidRDefault="000F455E">
    <w:pPr>
      <w:pStyle w:val="Footer"/>
    </w:pPr>
    <w:r>
      <w:t>IZMAnot_836_</w:t>
    </w:r>
    <w:r w:rsidR="00DC0132">
      <w:t>1</w:t>
    </w:r>
    <w:r>
      <w:t>_pielikums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3F" w:rsidRDefault="0093793F" w:rsidP="000F455E">
      <w:pPr>
        <w:spacing w:before="0" w:after="0"/>
      </w:pPr>
      <w:r>
        <w:separator/>
      </w:r>
    </w:p>
  </w:footnote>
  <w:footnote w:type="continuationSeparator" w:id="0">
    <w:p w:rsidR="0093793F" w:rsidRDefault="0093793F" w:rsidP="000F45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54"/>
    <w:multiLevelType w:val="hybridMultilevel"/>
    <w:tmpl w:val="8BE08196"/>
    <w:lvl w:ilvl="0" w:tplc="DEFE52F8">
      <w:start w:val="1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8713800"/>
    <w:multiLevelType w:val="hybridMultilevel"/>
    <w:tmpl w:val="9588158C"/>
    <w:lvl w:ilvl="0" w:tplc="91EA5D2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2E7655C"/>
    <w:multiLevelType w:val="hybridMultilevel"/>
    <w:tmpl w:val="FBE6497A"/>
    <w:lvl w:ilvl="0" w:tplc="71C063D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DA"/>
    <w:rsid w:val="0006198D"/>
    <w:rsid w:val="00095BAD"/>
    <w:rsid w:val="000F455E"/>
    <w:rsid w:val="00104365"/>
    <w:rsid w:val="00161D33"/>
    <w:rsid w:val="001870CE"/>
    <w:rsid w:val="001A296E"/>
    <w:rsid w:val="001C4FDA"/>
    <w:rsid w:val="001D0DC9"/>
    <w:rsid w:val="00222666"/>
    <w:rsid w:val="00281779"/>
    <w:rsid w:val="0029461F"/>
    <w:rsid w:val="002B17DC"/>
    <w:rsid w:val="002D1D09"/>
    <w:rsid w:val="002E392A"/>
    <w:rsid w:val="003B3AE7"/>
    <w:rsid w:val="0047569F"/>
    <w:rsid w:val="00494029"/>
    <w:rsid w:val="00645357"/>
    <w:rsid w:val="006645E5"/>
    <w:rsid w:val="006863F0"/>
    <w:rsid w:val="0069277F"/>
    <w:rsid w:val="008A2913"/>
    <w:rsid w:val="008B528E"/>
    <w:rsid w:val="008F3AC5"/>
    <w:rsid w:val="0092644F"/>
    <w:rsid w:val="0093793F"/>
    <w:rsid w:val="00980226"/>
    <w:rsid w:val="00982B56"/>
    <w:rsid w:val="00997804"/>
    <w:rsid w:val="00A3054B"/>
    <w:rsid w:val="00A63698"/>
    <w:rsid w:val="00A81EC1"/>
    <w:rsid w:val="00AB74C0"/>
    <w:rsid w:val="00B661F7"/>
    <w:rsid w:val="00B870DC"/>
    <w:rsid w:val="00BD3BC8"/>
    <w:rsid w:val="00C11905"/>
    <w:rsid w:val="00CE3ABB"/>
    <w:rsid w:val="00D728C4"/>
    <w:rsid w:val="00D934BB"/>
    <w:rsid w:val="00DC0132"/>
    <w:rsid w:val="00DC14CC"/>
    <w:rsid w:val="00DE520E"/>
    <w:rsid w:val="00E035B5"/>
    <w:rsid w:val="00EB1652"/>
    <w:rsid w:val="00F156D0"/>
    <w:rsid w:val="00F654E8"/>
    <w:rsid w:val="00F76B33"/>
    <w:rsid w:val="00FB5FF9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DA"/>
    <w:pPr>
      <w:spacing w:before="75" w:after="75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C4FDA"/>
    <w:rPr>
      <w:b/>
      <w:bCs/>
    </w:rPr>
  </w:style>
  <w:style w:type="table" w:styleId="TableGrid">
    <w:name w:val="Table Grid"/>
    <w:basedOn w:val="TableNormal"/>
    <w:uiPriority w:val="59"/>
    <w:rsid w:val="00B66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A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B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61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55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0F455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55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akoleda</dc:creator>
  <cp:keywords/>
  <dc:description/>
  <cp:lastModifiedBy>sbatare</cp:lastModifiedBy>
  <cp:revision>12</cp:revision>
  <dcterms:created xsi:type="dcterms:W3CDTF">2012-08-08T11:31:00Z</dcterms:created>
  <dcterms:modified xsi:type="dcterms:W3CDTF">2012-08-09T13:55:00Z</dcterms:modified>
</cp:coreProperties>
</file>