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004" w:rsidRPr="005D5004" w:rsidRDefault="005D5004" w:rsidP="005D5004">
      <w:pPr>
        <w:autoSpaceDE w:val="0"/>
        <w:autoSpaceDN w:val="0"/>
        <w:adjustRightInd w:val="0"/>
        <w:spacing w:after="0" w:line="240" w:lineRule="auto"/>
        <w:jc w:val="right"/>
        <w:rPr>
          <w:rFonts w:ascii="Times New Roman" w:hAnsi="Times New Roman"/>
          <w:b/>
          <w:color w:val="000000"/>
          <w:lang w:eastAsia="lv-LV"/>
        </w:rPr>
      </w:pPr>
      <w:r w:rsidRPr="005D5004">
        <w:rPr>
          <w:rFonts w:ascii="Times New Roman" w:hAnsi="Times New Roman"/>
          <w:b/>
          <w:color w:val="000000"/>
          <w:lang w:eastAsia="lv-LV"/>
        </w:rPr>
        <w:t xml:space="preserve">Ministru kabineta noteikumu </w:t>
      </w:r>
    </w:p>
    <w:p w:rsidR="005D5004" w:rsidRPr="005D5004" w:rsidRDefault="005D5004" w:rsidP="005D5004">
      <w:pPr>
        <w:autoSpaceDE w:val="0"/>
        <w:autoSpaceDN w:val="0"/>
        <w:adjustRightInd w:val="0"/>
        <w:spacing w:after="0" w:line="240" w:lineRule="auto"/>
        <w:jc w:val="right"/>
        <w:rPr>
          <w:rFonts w:ascii="Times New Roman" w:hAnsi="Times New Roman"/>
          <w:b/>
          <w:color w:val="000000"/>
          <w:lang w:eastAsia="lv-LV"/>
        </w:rPr>
      </w:pPr>
      <w:r w:rsidRPr="005D5004">
        <w:rPr>
          <w:rFonts w:ascii="Times New Roman" w:hAnsi="Times New Roman"/>
          <w:b/>
          <w:color w:val="000000"/>
          <w:lang w:eastAsia="lv-LV"/>
        </w:rPr>
        <w:t xml:space="preserve">„Grozījumi Ministru kabineta </w:t>
      </w:r>
    </w:p>
    <w:p w:rsidR="005D5004" w:rsidRPr="005D5004" w:rsidRDefault="005D5004" w:rsidP="005D5004">
      <w:pPr>
        <w:autoSpaceDE w:val="0"/>
        <w:autoSpaceDN w:val="0"/>
        <w:adjustRightInd w:val="0"/>
        <w:spacing w:after="0" w:line="240" w:lineRule="auto"/>
        <w:jc w:val="right"/>
        <w:rPr>
          <w:rFonts w:ascii="Times New Roman" w:hAnsi="Times New Roman"/>
          <w:b/>
          <w:color w:val="000000"/>
          <w:lang w:eastAsia="lv-LV"/>
        </w:rPr>
      </w:pPr>
      <w:r w:rsidRPr="005D5004">
        <w:rPr>
          <w:rFonts w:ascii="Times New Roman" w:hAnsi="Times New Roman"/>
          <w:b/>
          <w:color w:val="000000"/>
          <w:lang w:eastAsia="lv-LV"/>
        </w:rPr>
        <w:t xml:space="preserve">2009.gada 28.jūlija noteikumos Nr.836 </w:t>
      </w:r>
    </w:p>
    <w:p w:rsidR="005D5004" w:rsidRPr="005D5004" w:rsidRDefault="005D5004" w:rsidP="005D5004">
      <w:pPr>
        <w:autoSpaceDE w:val="0"/>
        <w:autoSpaceDN w:val="0"/>
        <w:adjustRightInd w:val="0"/>
        <w:spacing w:after="0" w:line="240" w:lineRule="auto"/>
        <w:jc w:val="right"/>
        <w:rPr>
          <w:rFonts w:ascii="Times New Roman" w:hAnsi="Times New Roman"/>
          <w:b/>
          <w:color w:val="000000"/>
          <w:lang w:eastAsia="lv-LV"/>
        </w:rPr>
      </w:pPr>
      <w:r w:rsidRPr="005D5004">
        <w:rPr>
          <w:rFonts w:ascii="Times New Roman" w:hAnsi="Times New Roman"/>
          <w:b/>
          <w:color w:val="000000"/>
          <w:lang w:eastAsia="lv-LV"/>
        </w:rPr>
        <w:t xml:space="preserve">„Pedagogu darba samaksas noteikumi”” </w:t>
      </w:r>
    </w:p>
    <w:p w:rsidR="005D5004" w:rsidRPr="005D5004" w:rsidRDefault="005D5004" w:rsidP="005D5004">
      <w:pPr>
        <w:autoSpaceDE w:val="0"/>
        <w:autoSpaceDN w:val="0"/>
        <w:adjustRightInd w:val="0"/>
        <w:spacing w:after="0" w:line="240" w:lineRule="auto"/>
        <w:jc w:val="right"/>
        <w:rPr>
          <w:rFonts w:ascii="Times New Roman" w:hAnsi="Times New Roman"/>
          <w:b/>
          <w:color w:val="000000"/>
          <w:lang w:eastAsia="lv-LV"/>
        </w:rPr>
      </w:pPr>
      <w:r w:rsidRPr="005D5004">
        <w:rPr>
          <w:rFonts w:ascii="Times New Roman" w:hAnsi="Times New Roman"/>
          <w:b/>
          <w:color w:val="000000"/>
          <w:lang w:eastAsia="lv-LV"/>
        </w:rPr>
        <w:t xml:space="preserve">projekta sākotnējās ietekmes novērtējuma </w:t>
      </w:r>
    </w:p>
    <w:p w:rsidR="005D5004" w:rsidRPr="005D5004" w:rsidRDefault="005D5004" w:rsidP="005D5004">
      <w:pPr>
        <w:autoSpaceDE w:val="0"/>
        <w:autoSpaceDN w:val="0"/>
        <w:adjustRightInd w:val="0"/>
        <w:spacing w:after="0" w:line="240" w:lineRule="auto"/>
        <w:jc w:val="right"/>
        <w:rPr>
          <w:rFonts w:ascii="Times New Roman" w:hAnsi="Times New Roman"/>
          <w:b/>
          <w:color w:val="000000"/>
          <w:lang w:eastAsia="lv-LV"/>
        </w:rPr>
      </w:pPr>
      <w:r w:rsidRPr="005D5004">
        <w:rPr>
          <w:rFonts w:ascii="Times New Roman" w:hAnsi="Times New Roman"/>
          <w:b/>
          <w:color w:val="000000"/>
          <w:lang w:eastAsia="lv-LV"/>
        </w:rPr>
        <w:t xml:space="preserve">ziņojuma (anotācija) </w:t>
      </w:r>
    </w:p>
    <w:p w:rsidR="00DD3CAD" w:rsidRPr="005D5004" w:rsidRDefault="005D5004" w:rsidP="005D5004">
      <w:pPr>
        <w:autoSpaceDE w:val="0"/>
        <w:autoSpaceDN w:val="0"/>
        <w:adjustRightInd w:val="0"/>
        <w:spacing w:after="0" w:line="240" w:lineRule="auto"/>
        <w:jc w:val="right"/>
        <w:rPr>
          <w:rFonts w:ascii="Times New Roman" w:hAnsi="Times New Roman"/>
          <w:b/>
          <w:color w:val="000000"/>
          <w:lang w:eastAsia="lv-LV"/>
        </w:rPr>
      </w:pPr>
      <w:r>
        <w:rPr>
          <w:rFonts w:ascii="Times New Roman" w:hAnsi="Times New Roman"/>
          <w:b/>
          <w:color w:val="000000"/>
          <w:lang w:eastAsia="lv-LV"/>
        </w:rPr>
        <w:t>7</w:t>
      </w:r>
      <w:r w:rsidRPr="005D5004">
        <w:rPr>
          <w:rFonts w:ascii="Times New Roman" w:hAnsi="Times New Roman"/>
          <w:b/>
          <w:color w:val="000000"/>
          <w:lang w:eastAsia="lv-LV"/>
        </w:rPr>
        <w:t>.Pielikums</w:t>
      </w:r>
    </w:p>
    <w:p w:rsidR="00DD3CAD" w:rsidRDefault="00DD3CAD" w:rsidP="00542A27">
      <w:pPr>
        <w:autoSpaceDE w:val="0"/>
        <w:autoSpaceDN w:val="0"/>
        <w:adjustRightInd w:val="0"/>
        <w:spacing w:after="0" w:line="240" w:lineRule="auto"/>
        <w:jc w:val="center"/>
        <w:rPr>
          <w:rFonts w:ascii="Times New Roman" w:hAnsi="Times New Roman"/>
          <w:color w:val="000000"/>
          <w:sz w:val="28"/>
          <w:szCs w:val="28"/>
          <w:lang w:eastAsia="lv-LV"/>
        </w:rPr>
      </w:pPr>
    </w:p>
    <w:p w:rsidR="008D056C" w:rsidRPr="00DE20E2" w:rsidRDefault="008D056C" w:rsidP="00493B96">
      <w:pPr>
        <w:spacing w:after="0" w:line="240" w:lineRule="auto"/>
        <w:jc w:val="center"/>
        <w:rPr>
          <w:rFonts w:ascii="Times New Roman" w:hAnsi="Times New Roman"/>
          <w:b/>
          <w:color w:val="000000"/>
          <w:sz w:val="24"/>
          <w:szCs w:val="24"/>
          <w:lang w:eastAsia="lv-LV"/>
        </w:rPr>
      </w:pPr>
      <w:bookmarkStart w:id="0" w:name="OLE_LINK10"/>
      <w:r w:rsidRPr="00DE20E2">
        <w:rPr>
          <w:rFonts w:ascii="Times New Roman" w:hAnsi="Times New Roman"/>
          <w:b/>
          <w:color w:val="000000"/>
          <w:sz w:val="24"/>
          <w:szCs w:val="24"/>
          <w:lang w:eastAsia="lv-LV"/>
        </w:rPr>
        <w:t>Pedagogu zemākās mēnešalgas likmes paaugstināšana no 01.09.2012. un tā ietekme uz 2013.gadu un turpmākajiem gadiem</w:t>
      </w:r>
      <w:r w:rsidR="00493B96">
        <w:rPr>
          <w:rFonts w:ascii="Times New Roman" w:hAnsi="Times New Roman"/>
          <w:b/>
          <w:color w:val="000000"/>
          <w:sz w:val="24"/>
          <w:szCs w:val="24"/>
          <w:lang w:eastAsia="lv-LV"/>
        </w:rPr>
        <w:t xml:space="preserve"> 01.05.00., 09.10.00. un 09.19.00. 15.resora </w:t>
      </w:r>
      <w:r w:rsidR="006C091F">
        <w:rPr>
          <w:rFonts w:ascii="Times New Roman" w:hAnsi="Times New Roman"/>
          <w:b/>
          <w:color w:val="000000"/>
          <w:sz w:val="24"/>
          <w:szCs w:val="24"/>
          <w:lang w:eastAsia="lv-LV"/>
        </w:rPr>
        <w:t xml:space="preserve">„Izglītības un zinātnes ministrija” </w:t>
      </w:r>
      <w:r w:rsidR="00493B96">
        <w:rPr>
          <w:rFonts w:ascii="Times New Roman" w:hAnsi="Times New Roman"/>
          <w:b/>
          <w:color w:val="000000"/>
          <w:sz w:val="24"/>
          <w:szCs w:val="24"/>
          <w:lang w:eastAsia="lv-LV"/>
        </w:rPr>
        <w:t>apakšprogrammām</w:t>
      </w:r>
    </w:p>
    <w:bookmarkEnd w:id="0"/>
    <w:p w:rsidR="00DE20E2" w:rsidRPr="00DE20E2" w:rsidRDefault="00DE20E2" w:rsidP="00EA49F8">
      <w:pPr>
        <w:spacing w:before="120" w:after="120" w:line="240" w:lineRule="auto"/>
        <w:jc w:val="both"/>
        <w:rPr>
          <w:rFonts w:ascii="Times New Roman" w:hAnsi="Times New Roman"/>
          <w:b/>
          <w:sz w:val="24"/>
          <w:szCs w:val="24"/>
        </w:rPr>
      </w:pPr>
      <w:r w:rsidRPr="00DE20E2">
        <w:rPr>
          <w:rFonts w:ascii="Times New Roman" w:hAnsi="Times New Roman"/>
          <w:b/>
          <w:sz w:val="24"/>
          <w:szCs w:val="24"/>
        </w:rPr>
        <w:t>01.05.00. apakšprogramma „Dotācija privātajām mācību iestādēm”</w:t>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276"/>
        <w:gridCol w:w="1276"/>
        <w:gridCol w:w="2160"/>
        <w:gridCol w:w="1134"/>
        <w:gridCol w:w="993"/>
        <w:gridCol w:w="992"/>
      </w:tblGrid>
      <w:tr w:rsidR="00FB20FF" w:rsidRPr="00EA49F8" w:rsidTr="007B246D">
        <w:tc>
          <w:tcPr>
            <w:tcW w:w="1242" w:type="dxa"/>
          </w:tcPr>
          <w:p w:rsidR="00921E93" w:rsidRPr="00EA49F8" w:rsidRDefault="00921E93" w:rsidP="00FB20FF">
            <w:pPr>
              <w:spacing w:before="120" w:after="0" w:line="240" w:lineRule="auto"/>
              <w:jc w:val="both"/>
              <w:rPr>
                <w:rFonts w:ascii="Times New Roman" w:hAnsi="Times New Roman"/>
              </w:rPr>
            </w:pPr>
          </w:p>
        </w:tc>
        <w:tc>
          <w:tcPr>
            <w:tcW w:w="1276" w:type="dxa"/>
            <w:vAlign w:val="center"/>
          </w:tcPr>
          <w:p w:rsidR="00921E93" w:rsidRPr="00EA49F8" w:rsidRDefault="00921E93" w:rsidP="00FB20FF">
            <w:pPr>
              <w:spacing w:after="0" w:line="240" w:lineRule="auto"/>
              <w:jc w:val="center"/>
              <w:rPr>
                <w:rFonts w:ascii="Times New Roman" w:hAnsi="Times New Roman"/>
              </w:rPr>
            </w:pPr>
            <w:r w:rsidRPr="00EA49F8">
              <w:rPr>
                <w:rFonts w:ascii="Times New Roman" w:hAnsi="Times New Roman"/>
              </w:rPr>
              <w:t>Pedagogu likmes</w:t>
            </w:r>
          </w:p>
        </w:tc>
        <w:tc>
          <w:tcPr>
            <w:tcW w:w="1276" w:type="dxa"/>
            <w:vAlign w:val="center"/>
          </w:tcPr>
          <w:p w:rsidR="00921E93" w:rsidRPr="00EA49F8" w:rsidRDefault="00921E93" w:rsidP="00FB20FF">
            <w:pPr>
              <w:spacing w:after="0" w:line="240" w:lineRule="auto"/>
              <w:jc w:val="center"/>
              <w:rPr>
                <w:rFonts w:ascii="Times New Roman" w:hAnsi="Times New Roman"/>
              </w:rPr>
            </w:pPr>
            <w:r w:rsidRPr="00EA49F8">
              <w:rPr>
                <w:rFonts w:ascii="Times New Roman" w:hAnsi="Times New Roman"/>
              </w:rPr>
              <w:t>Audzēkņu skaits</w:t>
            </w:r>
          </w:p>
        </w:tc>
        <w:tc>
          <w:tcPr>
            <w:tcW w:w="2160" w:type="dxa"/>
            <w:vAlign w:val="center"/>
          </w:tcPr>
          <w:p w:rsidR="00921E93" w:rsidRPr="00EA49F8" w:rsidRDefault="00921E93" w:rsidP="00FB20FF">
            <w:pPr>
              <w:spacing w:after="0" w:line="240" w:lineRule="auto"/>
              <w:jc w:val="center"/>
              <w:rPr>
                <w:rFonts w:ascii="Times New Roman" w:hAnsi="Times New Roman"/>
              </w:rPr>
            </w:pPr>
            <w:r w:rsidRPr="00EA49F8">
              <w:rPr>
                <w:rFonts w:ascii="Times New Roman" w:hAnsi="Times New Roman"/>
              </w:rPr>
              <w:t>Aprēķina skaidrojums</w:t>
            </w:r>
          </w:p>
        </w:tc>
        <w:tc>
          <w:tcPr>
            <w:tcW w:w="1134" w:type="dxa"/>
          </w:tcPr>
          <w:p w:rsidR="00921E93" w:rsidRPr="00EA49F8" w:rsidRDefault="00921E93" w:rsidP="00FB20FF">
            <w:pPr>
              <w:spacing w:before="120" w:after="0" w:line="240" w:lineRule="auto"/>
              <w:jc w:val="both"/>
              <w:rPr>
                <w:rFonts w:ascii="Times New Roman" w:hAnsi="Times New Roman"/>
              </w:rPr>
            </w:pPr>
            <w:r w:rsidRPr="00EA49F8">
              <w:rPr>
                <w:rFonts w:ascii="Times New Roman" w:hAnsi="Times New Roman"/>
              </w:rPr>
              <w:t>2013</w:t>
            </w:r>
          </w:p>
        </w:tc>
        <w:tc>
          <w:tcPr>
            <w:tcW w:w="993" w:type="dxa"/>
          </w:tcPr>
          <w:p w:rsidR="00921E93" w:rsidRPr="00EA49F8" w:rsidRDefault="00921E93" w:rsidP="00FB20FF">
            <w:pPr>
              <w:spacing w:before="120" w:after="0" w:line="240" w:lineRule="auto"/>
              <w:jc w:val="both"/>
              <w:rPr>
                <w:rFonts w:ascii="Times New Roman" w:hAnsi="Times New Roman"/>
              </w:rPr>
            </w:pPr>
            <w:r w:rsidRPr="00EA49F8">
              <w:rPr>
                <w:rFonts w:ascii="Times New Roman" w:hAnsi="Times New Roman"/>
              </w:rPr>
              <w:t>2014</w:t>
            </w:r>
          </w:p>
        </w:tc>
        <w:tc>
          <w:tcPr>
            <w:tcW w:w="992" w:type="dxa"/>
          </w:tcPr>
          <w:p w:rsidR="00921E93" w:rsidRPr="00EA49F8" w:rsidRDefault="00921E93" w:rsidP="00FB20FF">
            <w:pPr>
              <w:spacing w:before="120" w:after="0" w:line="240" w:lineRule="auto"/>
              <w:jc w:val="both"/>
              <w:rPr>
                <w:rFonts w:ascii="Times New Roman" w:hAnsi="Times New Roman"/>
              </w:rPr>
            </w:pPr>
            <w:r w:rsidRPr="00EA49F8">
              <w:rPr>
                <w:rFonts w:ascii="Times New Roman" w:hAnsi="Times New Roman"/>
              </w:rPr>
              <w:t>2015</w:t>
            </w:r>
          </w:p>
        </w:tc>
      </w:tr>
      <w:tr w:rsidR="00FB20FF" w:rsidRPr="00EA49F8" w:rsidTr="007B246D">
        <w:tc>
          <w:tcPr>
            <w:tcW w:w="1242" w:type="dxa"/>
            <w:vAlign w:val="center"/>
          </w:tcPr>
          <w:p w:rsidR="00921E93" w:rsidRPr="00EA49F8" w:rsidRDefault="00921E93" w:rsidP="00FB20FF">
            <w:pPr>
              <w:spacing w:after="0" w:line="240" w:lineRule="auto"/>
              <w:rPr>
                <w:rFonts w:ascii="Times New Roman" w:hAnsi="Times New Roman"/>
              </w:rPr>
            </w:pPr>
            <w:bookmarkStart w:id="1" w:name="OLE_LINK1"/>
            <w:bookmarkStart w:id="2" w:name="OLE_LINK2"/>
            <w:r w:rsidRPr="00EA49F8">
              <w:rPr>
                <w:rFonts w:ascii="Times New Roman" w:hAnsi="Times New Roman"/>
              </w:rPr>
              <w:t>01.05.00. apakšprogramma „Dotācija privātajām mācību iestādēm”</w:t>
            </w:r>
            <w:bookmarkEnd w:id="1"/>
            <w:bookmarkEnd w:id="2"/>
          </w:p>
        </w:tc>
        <w:tc>
          <w:tcPr>
            <w:tcW w:w="1276" w:type="dxa"/>
            <w:vAlign w:val="center"/>
          </w:tcPr>
          <w:p w:rsidR="00921E93" w:rsidRPr="00EA49F8" w:rsidRDefault="00DE20E2" w:rsidP="00FB20FF">
            <w:pPr>
              <w:spacing w:after="0" w:line="240" w:lineRule="auto"/>
              <w:jc w:val="center"/>
              <w:rPr>
                <w:rFonts w:ascii="Times New Roman" w:hAnsi="Times New Roman"/>
              </w:rPr>
            </w:pPr>
            <w:r w:rsidRPr="00EA49F8">
              <w:rPr>
                <w:rFonts w:ascii="Times New Roman" w:hAnsi="Times New Roman"/>
              </w:rPr>
              <w:t>341,</w:t>
            </w:r>
            <w:r w:rsidR="00921E93" w:rsidRPr="00EA49F8">
              <w:rPr>
                <w:rFonts w:ascii="Times New Roman" w:hAnsi="Times New Roman"/>
              </w:rPr>
              <w:t>7</w:t>
            </w:r>
          </w:p>
        </w:tc>
        <w:tc>
          <w:tcPr>
            <w:tcW w:w="1276" w:type="dxa"/>
            <w:vAlign w:val="center"/>
          </w:tcPr>
          <w:p w:rsidR="00921E93" w:rsidRPr="00EA49F8" w:rsidRDefault="00921E93" w:rsidP="00FB20FF">
            <w:pPr>
              <w:spacing w:after="0" w:line="240" w:lineRule="auto"/>
              <w:jc w:val="center"/>
              <w:rPr>
                <w:rFonts w:ascii="Times New Roman" w:hAnsi="Times New Roman"/>
              </w:rPr>
            </w:pPr>
            <w:r w:rsidRPr="00EA49F8">
              <w:rPr>
                <w:rFonts w:ascii="Times New Roman" w:hAnsi="Times New Roman"/>
              </w:rPr>
              <w:t>3687</w:t>
            </w:r>
          </w:p>
        </w:tc>
        <w:tc>
          <w:tcPr>
            <w:tcW w:w="2160" w:type="dxa"/>
            <w:vAlign w:val="center"/>
          </w:tcPr>
          <w:p w:rsidR="00921E93" w:rsidRPr="00EA49F8" w:rsidRDefault="00921E93" w:rsidP="00FB20FF">
            <w:pPr>
              <w:spacing w:after="0" w:line="240" w:lineRule="auto"/>
              <w:jc w:val="center"/>
              <w:rPr>
                <w:rFonts w:ascii="Times New Roman" w:hAnsi="Times New Roman"/>
              </w:rPr>
            </w:pPr>
            <w:r w:rsidRPr="00EA49F8">
              <w:rPr>
                <w:rFonts w:ascii="Times New Roman" w:hAnsi="Times New Roman"/>
              </w:rPr>
              <w:t>Nepieciešamais finansējums 4 mēnešiem 1.aprēķins**- 270,6 likmes x 280 Ls x 1,15 x 1,4 x 1,2409 x 4 mēneši = 605604 (Ls)</w:t>
            </w:r>
          </w:p>
          <w:p w:rsidR="00921E93" w:rsidRPr="00EA49F8" w:rsidRDefault="00921E93" w:rsidP="00FB20FF">
            <w:pPr>
              <w:spacing w:after="0" w:line="240" w:lineRule="auto"/>
              <w:jc w:val="center"/>
              <w:rPr>
                <w:rFonts w:ascii="Times New Roman" w:hAnsi="Times New Roman"/>
              </w:rPr>
            </w:pPr>
            <w:r w:rsidRPr="00EA49F8">
              <w:rPr>
                <w:rFonts w:ascii="Times New Roman" w:hAnsi="Times New Roman"/>
              </w:rPr>
              <w:t>2.aprēķins*** (5-6 gadīgie) 71,1 likme x 280 Ls x 1,004 x 1,2409 x 4 = 99200 (Ls)</w:t>
            </w:r>
          </w:p>
          <w:p w:rsidR="00921E93" w:rsidRPr="00EA49F8" w:rsidRDefault="00921E93" w:rsidP="00FB20FF">
            <w:pPr>
              <w:spacing w:after="0" w:line="240" w:lineRule="auto"/>
              <w:jc w:val="center"/>
              <w:rPr>
                <w:rFonts w:ascii="Times New Roman" w:hAnsi="Times New Roman"/>
              </w:rPr>
            </w:pPr>
            <w:r w:rsidRPr="00EA49F8">
              <w:rPr>
                <w:rFonts w:ascii="Times New Roman" w:hAnsi="Times New Roman"/>
              </w:rPr>
              <w:t>Nepieciešamais finansējums 704804 – Pieejamais finansējums 688012 = 16792 (Ls)</w:t>
            </w:r>
          </w:p>
        </w:tc>
        <w:tc>
          <w:tcPr>
            <w:tcW w:w="1134" w:type="dxa"/>
          </w:tcPr>
          <w:p w:rsidR="00464C92" w:rsidRDefault="00921E93" w:rsidP="00FB20FF">
            <w:pPr>
              <w:spacing w:before="120" w:after="0" w:line="240" w:lineRule="auto"/>
              <w:jc w:val="both"/>
              <w:rPr>
                <w:rFonts w:ascii="Times New Roman" w:hAnsi="Times New Roman"/>
              </w:rPr>
            </w:pPr>
            <w:r w:rsidRPr="00EA49F8">
              <w:rPr>
                <w:rFonts w:ascii="Times New Roman" w:hAnsi="Times New Roman"/>
              </w:rPr>
              <w:t>16792*3=</w:t>
            </w:r>
          </w:p>
          <w:p w:rsidR="00921E93" w:rsidRPr="00EA49F8" w:rsidRDefault="00921E93" w:rsidP="00FB20FF">
            <w:pPr>
              <w:spacing w:before="120" w:after="0" w:line="240" w:lineRule="auto"/>
              <w:jc w:val="both"/>
              <w:rPr>
                <w:rFonts w:ascii="Times New Roman" w:hAnsi="Times New Roman"/>
              </w:rPr>
            </w:pPr>
            <w:r w:rsidRPr="00EA49F8">
              <w:rPr>
                <w:rFonts w:ascii="Times New Roman" w:hAnsi="Times New Roman"/>
              </w:rPr>
              <w:t>50376</w:t>
            </w:r>
          </w:p>
        </w:tc>
        <w:tc>
          <w:tcPr>
            <w:tcW w:w="993" w:type="dxa"/>
          </w:tcPr>
          <w:p w:rsidR="00921E93" w:rsidRPr="00EA49F8" w:rsidRDefault="00921E93" w:rsidP="00FB20FF">
            <w:pPr>
              <w:spacing w:before="120" w:after="0" w:line="240" w:lineRule="auto"/>
              <w:jc w:val="both"/>
              <w:rPr>
                <w:rFonts w:ascii="Times New Roman" w:hAnsi="Times New Roman"/>
              </w:rPr>
            </w:pPr>
            <w:r w:rsidRPr="00EA49F8">
              <w:rPr>
                <w:rFonts w:ascii="Times New Roman" w:hAnsi="Times New Roman"/>
              </w:rPr>
              <w:t>50376</w:t>
            </w:r>
          </w:p>
        </w:tc>
        <w:tc>
          <w:tcPr>
            <w:tcW w:w="992" w:type="dxa"/>
          </w:tcPr>
          <w:p w:rsidR="00921E93" w:rsidRPr="00EA49F8" w:rsidRDefault="00921E93" w:rsidP="00FB20FF">
            <w:pPr>
              <w:spacing w:before="120" w:after="0" w:line="240" w:lineRule="auto"/>
              <w:jc w:val="both"/>
              <w:rPr>
                <w:rFonts w:ascii="Times New Roman" w:hAnsi="Times New Roman"/>
              </w:rPr>
            </w:pPr>
            <w:r w:rsidRPr="00EA49F8">
              <w:rPr>
                <w:rFonts w:ascii="Times New Roman" w:hAnsi="Times New Roman"/>
              </w:rPr>
              <w:t>50376</w:t>
            </w:r>
          </w:p>
        </w:tc>
      </w:tr>
    </w:tbl>
    <w:p w:rsidR="003C20D8" w:rsidRPr="00EA49F8" w:rsidRDefault="003C20D8" w:rsidP="00EA49F8">
      <w:pPr>
        <w:spacing w:after="0" w:line="240" w:lineRule="auto"/>
        <w:jc w:val="both"/>
        <w:rPr>
          <w:rFonts w:ascii="Times New Roman" w:hAnsi="Times New Roman"/>
        </w:rPr>
      </w:pPr>
      <w:r w:rsidRPr="00EA49F8">
        <w:rPr>
          <w:rFonts w:ascii="Times New Roman" w:hAnsi="Times New Roman"/>
        </w:rPr>
        <w:t>** Aprēķina formula veidojas no likmju skaita, minimālās pedagogu darba likmes ar 10 gadu stāžu, administrācijas piemaksa 15%, 40% piemaksa par papildus darba pienākumiem, 24,09 valsts sociālās apdrošināšanas obligātajām iemaksām, sareizinot ar mēnešu skaitu.</w:t>
      </w:r>
    </w:p>
    <w:p w:rsidR="00126EC6" w:rsidRPr="00EA49F8" w:rsidRDefault="00126EC6" w:rsidP="00EA49F8">
      <w:pPr>
        <w:spacing w:after="0" w:line="240" w:lineRule="auto"/>
        <w:jc w:val="both"/>
        <w:rPr>
          <w:rFonts w:ascii="Times New Roman" w:hAnsi="Times New Roman"/>
        </w:rPr>
      </w:pPr>
      <w:r w:rsidRPr="00EA49F8">
        <w:rPr>
          <w:rFonts w:ascii="Times New Roman" w:hAnsi="Times New Roman"/>
        </w:rPr>
        <w:t>*** 2.aprēķina formula ir pirmskolas privātajām mācību iestādēm 5 un 6 gadīgo bērnu apmācībai. Likmju skaits, minimālās pedagogu darba likmes ar 10 gadu stāžu, 0,4% piemaksa par papildus darba pienākumiem, 24,09 valsts sociālās apdrošināšanas obligātajām iemaksām, sareizinot ar mēnešu skaitu.</w:t>
      </w:r>
    </w:p>
    <w:p w:rsidR="00D27E8A" w:rsidRDefault="00D27E8A" w:rsidP="00EA49F8">
      <w:pPr>
        <w:spacing w:before="120" w:after="120" w:line="240" w:lineRule="auto"/>
        <w:jc w:val="both"/>
        <w:rPr>
          <w:rFonts w:ascii="Times New Roman" w:hAnsi="Times New Roman"/>
          <w:b/>
          <w:sz w:val="24"/>
          <w:szCs w:val="24"/>
        </w:rPr>
      </w:pPr>
    </w:p>
    <w:p w:rsidR="00126EC6" w:rsidRPr="00EA49F8" w:rsidRDefault="00EA49F8" w:rsidP="00EA49F8">
      <w:pPr>
        <w:spacing w:before="120" w:after="120" w:line="240" w:lineRule="auto"/>
        <w:jc w:val="both"/>
        <w:rPr>
          <w:rFonts w:ascii="Times New Roman" w:hAnsi="Times New Roman"/>
          <w:b/>
          <w:sz w:val="24"/>
          <w:szCs w:val="24"/>
        </w:rPr>
      </w:pPr>
      <w:r w:rsidRPr="00EA49F8">
        <w:rPr>
          <w:rFonts w:ascii="Times New Roman" w:hAnsi="Times New Roman"/>
          <w:b/>
          <w:sz w:val="24"/>
          <w:szCs w:val="24"/>
        </w:rPr>
        <w:t>09.10.00. apakšprogramma „Murjāņu sporta ģimnāzija”</w:t>
      </w:r>
    </w:p>
    <w:tbl>
      <w:tblPr>
        <w:tblW w:w="91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276"/>
        <w:gridCol w:w="1229"/>
        <w:gridCol w:w="2207"/>
        <w:gridCol w:w="1121"/>
        <w:gridCol w:w="992"/>
        <w:gridCol w:w="1043"/>
      </w:tblGrid>
      <w:tr w:rsidR="00EA49F8" w:rsidRPr="00EA49F8" w:rsidTr="007B246D">
        <w:tc>
          <w:tcPr>
            <w:tcW w:w="1242" w:type="dxa"/>
          </w:tcPr>
          <w:p w:rsidR="00EA49F8" w:rsidRPr="00EA49F8" w:rsidRDefault="00EA49F8" w:rsidP="00AF6183">
            <w:pPr>
              <w:spacing w:before="120" w:after="0" w:line="240" w:lineRule="auto"/>
              <w:jc w:val="both"/>
              <w:rPr>
                <w:rFonts w:ascii="Times New Roman" w:hAnsi="Times New Roman"/>
              </w:rPr>
            </w:pPr>
          </w:p>
        </w:tc>
        <w:tc>
          <w:tcPr>
            <w:tcW w:w="1276" w:type="dxa"/>
            <w:vAlign w:val="center"/>
          </w:tcPr>
          <w:p w:rsidR="00EA49F8" w:rsidRPr="00EA49F8" w:rsidRDefault="00EA49F8" w:rsidP="00AF6183">
            <w:pPr>
              <w:spacing w:after="0" w:line="240" w:lineRule="auto"/>
              <w:jc w:val="center"/>
              <w:rPr>
                <w:rFonts w:ascii="Times New Roman" w:hAnsi="Times New Roman"/>
              </w:rPr>
            </w:pPr>
            <w:r w:rsidRPr="00EA49F8">
              <w:rPr>
                <w:rFonts w:ascii="Times New Roman" w:hAnsi="Times New Roman"/>
              </w:rPr>
              <w:t>Pedagogu likmes</w:t>
            </w:r>
          </w:p>
        </w:tc>
        <w:tc>
          <w:tcPr>
            <w:tcW w:w="1229" w:type="dxa"/>
            <w:vAlign w:val="center"/>
          </w:tcPr>
          <w:p w:rsidR="00EA49F8" w:rsidRPr="00EA49F8" w:rsidRDefault="00EA49F8" w:rsidP="00AF6183">
            <w:pPr>
              <w:spacing w:after="0" w:line="240" w:lineRule="auto"/>
              <w:jc w:val="center"/>
              <w:rPr>
                <w:rFonts w:ascii="Times New Roman" w:hAnsi="Times New Roman"/>
              </w:rPr>
            </w:pPr>
            <w:r w:rsidRPr="00EA49F8">
              <w:rPr>
                <w:rFonts w:ascii="Times New Roman" w:hAnsi="Times New Roman"/>
              </w:rPr>
              <w:t>Audzēkņu skaits</w:t>
            </w:r>
          </w:p>
        </w:tc>
        <w:tc>
          <w:tcPr>
            <w:tcW w:w="2207" w:type="dxa"/>
            <w:vAlign w:val="center"/>
          </w:tcPr>
          <w:p w:rsidR="00EA49F8" w:rsidRPr="00EA49F8" w:rsidRDefault="00EA49F8" w:rsidP="00AF6183">
            <w:pPr>
              <w:spacing w:after="0" w:line="240" w:lineRule="auto"/>
              <w:jc w:val="center"/>
              <w:rPr>
                <w:rFonts w:ascii="Times New Roman" w:hAnsi="Times New Roman"/>
              </w:rPr>
            </w:pPr>
            <w:r w:rsidRPr="00EA49F8">
              <w:rPr>
                <w:rFonts w:ascii="Times New Roman" w:hAnsi="Times New Roman"/>
              </w:rPr>
              <w:t>Aprēķina skaidrojums</w:t>
            </w:r>
          </w:p>
        </w:tc>
        <w:tc>
          <w:tcPr>
            <w:tcW w:w="1121" w:type="dxa"/>
          </w:tcPr>
          <w:p w:rsidR="00EA49F8" w:rsidRPr="00EA49F8" w:rsidRDefault="00EA49F8" w:rsidP="00AF6183">
            <w:pPr>
              <w:spacing w:before="120" w:after="0" w:line="240" w:lineRule="auto"/>
              <w:jc w:val="both"/>
              <w:rPr>
                <w:rFonts w:ascii="Times New Roman" w:hAnsi="Times New Roman"/>
              </w:rPr>
            </w:pPr>
            <w:r w:rsidRPr="00EA49F8">
              <w:rPr>
                <w:rFonts w:ascii="Times New Roman" w:hAnsi="Times New Roman"/>
              </w:rPr>
              <w:t>2013</w:t>
            </w:r>
          </w:p>
        </w:tc>
        <w:tc>
          <w:tcPr>
            <w:tcW w:w="992" w:type="dxa"/>
          </w:tcPr>
          <w:p w:rsidR="00EA49F8" w:rsidRPr="00EA49F8" w:rsidRDefault="00EA49F8" w:rsidP="00AF6183">
            <w:pPr>
              <w:spacing w:before="120" w:after="0" w:line="240" w:lineRule="auto"/>
              <w:jc w:val="both"/>
              <w:rPr>
                <w:rFonts w:ascii="Times New Roman" w:hAnsi="Times New Roman"/>
              </w:rPr>
            </w:pPr>
            <w:r w:rsidRPr="00EA49F8">
              <w:rPr>
                <w:rFonts w:ascii="Times New Roman" w:hAnsi="Times New Roman"/>
              </w:rPr>
              <w:t>2014</w:t>
            </w:r>
          </w:p>
        </w:tc>
        <w:tc>
          <w:tcPr>
            <w:tcW w:w="1043" w:type="dxa"/>
          </w:tcPr>
          <w:p w:rsidR="00EA49F8" w:rsidRPr="00EA49F8" w:rsidRDefault="00EA49F8" w:rsidP="00AF6183">
            <w:pPr>
              <w:spacing w:before="120" w:after="0" w:line="240" w:lineRule="auto"/>
              <w:jc w:val="both"/>
              <w:rPr>
                <w:rFonts w:ascii="Times New Roman" w:hAnsi="Times New Roman"/>
              </w:rPr>
            </w:pPr>
            <w:r w:rsidRPr="00EA49F8">
              <w:rPr>
                <w:rFonts w:ascii="Times New Roman" w:hAnsi="Times New Roman"/>
              </w:rPr>
              <w:t>2015</w:t>
            </w:r>
          </w:p>
        </w:tc>
      </w:tr>
      <w:tr w:rsidR="00EA49F8" w:rsidRPr="00EA49F8" w:rsidTr="007B246D">
        <w:trPr>
          <w:trHeight w:val="2006"/>
        </w:trPr>
        <w:tc>
          <w:tcPr>
            <w:tcW w:w="1242" w:type="dxa"/>
            <w:vAlign w:val="center"/>
          </w:tcPr>
          <w:p w:rsidR="00EA49F8" w:rsidRPr="00EA49F8" w:rsidRDefault="00EA49F8" w:rsidP="00AF6183">
            <w:pPr>
              <w:spacing w:after="0" w:line="240" w:lineRule="auto"/>
              <w:rPr>
                <w:rFonts w:ascii="Times New Roman" w:hAnsi="Times New Roman"/>
              </w:rPr>
            </w:pPr>
            <w:r w:rsidRPr="00EA49F8">
              <w:rPr>
                <w:rFonts w:ascii="Times New Roman" w:hAnsi="Times New Roman"/>
              </w:rPr>
              <w:t>09.10.00. apakšprogramma „Murjāņu sporta ģimnāzija”</w:t>
            </w:r>
          </w:p>
        </w:tc>
        <w:tc>
          <w:tcPr>
            <w:tcW w:w="1276" w:type="dxa"/>
            <w:vAlign w:val="center"/>
          </w:tcPr>
          <w:p w:rsidR="00EA49F8" w:rsidRPr="00EA49F8" w:rsidRDefault="00EA49F8" w:rsidP="00AF6183">
            <w:pPr>
              <w:spacing w:after="0" w:line="240" w:lineRule="auto"/>
              <w:jc w:val="center"/>
              <w:rPr>
                <w:rFonts w:ascii="Times New Roman" w:hAnsi="Times New Roman"/>
              </w:rPr>
            </w:pPr>
            <w:r w:rsidRPr="00EA49F8">
              <w:rPr>
                <w:rFonts w:ascii="Times New Roman" w:hAnsi="Times New Roman"/>
              </w:rPr>
              <w:t>98</w:t>
            </w:r>
          </w:p>
        </w:tc>
        <w:tc>
          <w:tcPr>
            <w:tcW w:w="1229" w:type="dxa"/>
            <w:vAlign w:val="center"/>
          </w:tcPr>
          <w:p w:rsidR="00EA49F8" w:rsidRPr="00EA49F8" w:rsidRDefault="00EA49F8" w:rsidP="00AF6183">
            <w:pPr>
              <w:spacing w:after="0" w:line="240" w:lineRule="auto"/>
              <w:jc w:val="center"/>
              <w:rPr>
                <w:rFonts w:ascii="Times New Roman" w:hAnsi="Times New Roman"/>
              </w:rPr>
            </w:pPr>
            <w:r w:rsidRPr="00EA49F8">
              <w:rPr>
                <w:rFonts w:ascii="Times New Roman" w:hAnsi="Times New Roman"/>
              </w:rPr>
              <w:t>372</w:t>
            </w:r>
          </w:p>
        </w:tc>
        <w:tc>
          <w:tcPr>
            <w:tcW w:w="2207" w:type="dxa"/>
            <w:vAlign w:val="center"/>
          </w:tcPr>
          <w:p w:rsidR="00EA49F8" w:rsidRPr="00EA49F8" w:rsidRDefault="00EA49F8" w:rsidP="00AF6183">
            <w:pPr>
              <w:spacing w:after="0" w:line="240" w:lineRule="auto"/>
              <w:jc w:val="center"/>
              <w:rPr>
                <w:rFonts w:ascii="Times New Roman" w:hAnsi="Times New Roman"/>
              </w:rPr>
            </w:pPr>
            <w:r w:rsidRPr="00EA49F8">
              <w:rPr>
                <w:rFonts w:ascii="Times New Roman" w:hAnsi="Times New Roman"/>
              </w:rPr>
              <w:t>98 likmes x 25 Ls x 4 mēneši x 1,2409=12161 (Ls)</w:t>
            </w:r>
          </w:p>
        </w:tc>
        <w:tc>
          <w:tcPr>
            <w:tcW w:w="1121" w:type="dxa"/>
          </w:tcPr>
          <w:p w:rsidR="00464C92" w:rsidRDefault="00EA49F8" w:rsidP="00AF6183">
            <w:pPr>
              <w:spacing w:before="120" w:after="0" w:line="240" w:lineRule="auto"/>
              <w:jc w:val="both"/>
              <w:rPr>
                <w:rFonts w:ascii="Times New Roman" w:hAnsi="Times New Roman"/>
              </w:rPr>
            </w:pPr>
            <w:r w:rsidRPr="00EA49F8">
              <w:rPr>
                <w:rFonts w:ascii="Times New Roman" w:hAnsi="Times New Roman"/>
              </w:rPr>
              <w:t>12161*3=</w:t>
            </w:r>
          </w:p>
          <w:p w:rsidR="00EA49F8" w:rsidRPr="00EA49F8" w:rsidRDefault="00EA49F8" w:rsidP="00AF6183">
            <w:pPr>
              <w:spacing w:before="120" w:after="0" w:line="240" w:lineRule="auto"/>
              <w:jc w:val="both"/>
              <w:rPr>
                <w:rFonts w:ascii="Times New Roman" w:hAnsi="Times New Roman"/>
              </w:rPr>
            </w:pPr>
            <w:r w:rsidRPr="00EA49F8">
              <w:rPr>
                <w:rFonts w:ascii="Times New Roman" w:hAnsi="Times New Roman"/>
              </w:rPr>
              <w:t>36483</w:t>
            </w:r>
          </w:p>
        </w:tc>
        <w:tc>
          <w:tcPr>
            <w:tcW w:w="992" w:type="dxa"/>
          </w:tcPr>
          <w:p w:rsidR="00EA49F8" w:rsidRPr="00EA49F8" w:rsidRDefault="00EA49F8" w:rsidP="00AF6183">
            <w:pPr>
              <w:spacing w:before="120" w:after="0" w:line="240" w:lineRule="auto"/>
              <w:jc w:val="both"/>
              <w:rPr>
                <w:rFonts w:ascii="Times New Roman" w:hAnsi="Times New Roman"/>
              </w:rPr>
            </w:pPr>
            <w:r w:rsidRPr="00EA49F8">
              <w:rPr>
                <w:rFonts w:ascii="Times New Roman" w:hAnsi="Times New Roman"/>
              </w:rPr>
              <w:t>36483</w:t>
            </w:r>
          </w:p>
        </w:tc>
        <w:tc>
          <w:tcPr>
            <w:tcW w:w="1043" w:type="dxa"/>
          </w:tcPr>
          <w:p w:rsidR="00EA49F8" w:rsidRPr="00EA49F8" w:rsidRDefault="00EA49F8" w:rsidP="00AF6183">
            <w:pPr>
              <w:spacing w:before="120" w:after="0" w:line="240" w:lineRule="auto"/>
              <w:jc w:val="both"/>
              <w:rPr>
                <w:rFonts w:ascii="Times New Roman" w:hAnsi="Times New Roman"/>
              </w:rPr>
            </w:pPr>
            <w:r w:rsidRPr="00EA49F8">
              <w:rPr>
                <w:rFonts w:ascii="Times New Roman" w:hAnsi="Times New Roman"/>
              </w:rPr>
              <w:t>36483</w:t>
            </w:r>
          </w:p>
        </w:tc>
      </w:tr>
    </w:tbl>
    <w:p w:rsidR="00126EC6" w:rsidRPr="004211E3" w:rsidRDefault="004211E3" w:rsidP="004211E3">
      <w:pPr>
        <w:spacing w:before="120" w:after="120" w:line="240" w:lineRule="auto"/>
        <w:jc w:val="both"/>
        <w:rPr>
          <w:rFonts w:ascii="Times New Roman" w:hAnsi="Times New Roman"/>
          <w:b/>
          <w:sz w:val="24"/>
          <w:szCs w:val="24"/>
        </w:rPr>
      </w:pPr>
      <w:r w:rsidRPr="004211E3">
        <w:rPr>
          <w:rFonts w:ascii="Times New Roman" w:hAnsi="Times New Roman"/>
          <w:b/>
          <w:sz w:val="24"/>
          <w:szCs w:val="24"/>
        </w:rPr>
        <w:lastRenderedPageBreak/>
        <w:t>09.19.00. apakšprogramma „Finansējums profesionālās ievirzes sporta izglītības programmu pedagogu darba samaksai un valsts sociālās apdrošināšanas obligātajām iemaksām”</w:t>
      </w:r>
    </w:p>
    <w:tbl>
      <w:tblPr>
        <w:tblW w:w="90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1036"/>
        <w:gridCol w:w="1079"/>
        <w:gridCol w:w="1604"/>
        <w:gridCol w:w="1417"/>
        <w:gridCol w:w="992"/>
        <w:gridCol w:w="994"/>
      </w:tblGrid>
      <w:tr w:rsidR="004211E3" w:rsidRPr="004211E3" w:rsidTr="007B246D">
        <w:tc>
          <w:tcPr>
            <w:tcW w:w="1951" w:type="dxa"/>
          </w:tcPr>
          <w:p w:rsidR="004211E3" w:rsidRPr="004211E3" w:rsidRDefault="004211E3" w:rsidP="00AF6183">
            <w:pPr>
              <w:spacing w:before="120" w:after="0" w:line="240" w:lineRule="auto"/>
              <w:jc w:val="both"/>
              <w:rPr>
                <w:rFonts w:ascii="Times New Roman" w:hAnsi="Times New Roman"/>
              </w:rPr>
            </w:pPr>
          </w:p>
        </w:tc>
        <w:tc>
          <w:tcPr>
            <w:tcW w:w="1036" w:type="dxa"/>
            <w:vAlign w:val="center"/>
          </w:tcPr>
          <w:p w:rsidR="004211E3" w:rsidRPr="004211E3" w:rsidRDefault="004211E3" w:rsidP="00AF6183">
            <w:pPr>
              <w:spacing w:after="0" w:line="240" w:lineRule="auto"/>
              <w:jc w:val="center"/>
              <w:rPr>
                <w:rFonts w:ascii="Times New Roman" w:hAnsi="Times New Roman"/>
              </w:rPr>
            </w:pPr>
            <w:r w:rsidRPr="004211E3">
              <w:rPr>
                <w:rFonts w:ascii="Times New Roman" w:hAnsi="Times New Roman"/>
              </w:rPr>
              <w:t>Pedagogu likmes</w:t>
            </w:r>
          </w:p>
        </w:tc>
        <w:tc>
          <w:tcPr>
            <w:tcW w:w="1079" w:type="dxa"/>
            <w:vAlign w:val="center"/>
          </w:tcPr>
          <w:p w:rsidR="004211E3" w:rsidRPr="004211E3" w:rsidRDefault="004211E3" w:rsidP="00AF6183">
            <w:pPr>
              <w:spacing w:after="0" w:line="240" w:lineRule="auto"/>
              <w:jc w:val="center"/>
              <w:rPr>
                <w:rFonts w:ascii="Times New Roman" w:hAnsi="Times New Roman"/>
              </w:rPr>
            </w:pPr>
            <w:r w:rsidRPr="004211E3">
              <w:rPr>
                <w:rFonts w:ascii="Times New Roman" w:hAnsi="Times New Roman"/>
              </w:rPr>
              <w:t>Audzēkņu skaits</w:t>
            </w:r>
          </w:p>
        </w:tc>
        <w:tc>
          <w:tcPr>
            <w:tcW w:w="1604" w:type="dxa"/>
            <w:vAlign w:val="center"/>
          </w:tcPr>
          <w:p w:rsidR="004211E3" w:rsidRPr="004211E3" w:rsidRDefault="004211E3" w:rsidP="00AF6183">
            <w:pPr>
              <w:spacing w:after="0" w:line="240" w:lineRule="auto"/>
              <w:jc w:val="center"/>
              <w:rPr>
                <w:rFonts w:ascii="Times New Roman" w:hAnsi="Times New Roman"/>
              </w:rPr>
            </w:pPr>
            <w:r w:rsidRPr="004211E3">
              <w:rPr>
                <w:rFonts w:ascii="Times New Roman" w:hAnsi="Times New Roman"/>
              </w:rPr>
              <w:t>Aprēķina skaidrojums</w:t>
            </w:r>
          </w:p>
        </w:tc>
        <w:tc>
          <w:tcPr>
            <w:tcW w:w="1417" w:type="dxa"/>
          </w:tcPr>
          <w:p w:rsidR="004211E3" w:rsidRPr="004211E3" w:rsidRDefault="004211E3" w:rsidP="00AF6183">
            <w:pPr>
              <w:spacing w:before="120" w:after="0" w:line="240" w:lineRule="auto"/>
              <w:jc w:val="both"/>
              <w:rPr>
                <w:rFonts w:ascii="Times New Roman" w:hAnsi="Times New Roman"/>
              </w:rPr>
            </w:pPr>
            <w:r w:rsidRPr="004211E3">
              <w:rPr>
                <w:rFonts w:ascii="Times New Roman" w:hAnsi="Times New Roman"/>
              </w:rPr>
              <w:t>2013</w:t>
            </w:r>
          </w:p>
        </w:tc>
        <w:tc>
          <w:tcPr>
            <w:tcW w:w="992" w:type="dxa"/>
          </w:tcPr>
          <w:p w:rsidR="004211E3" w:rsidRPr="004211E3" w:rsidRDefault="004211E3" w:rsidP="00AF6183">
            <w:pPr>
              <w:spacing w:before="120" w:after="0" w:line="240" w:lineRule="auto"/>
              <w:jc w:val="both"/>
              <w:rPr>
                <w:rFonts w:ascii="Times New Roman" w:hAnsi="Times New Roman"/>
              </w:rPr>
            </w:pPr>
            <w:r w:rsidRPr="004211E3">
              <w:rPr>
                <w:rFonts w:ascii="Times New Roman" w:hAnsi="Times New Roman"/>
              </w:rPr>
              <w:t>2014</w:t>
            </w:r>
          </w:p>
        </w:tc>
        <w:tc>
          <w:tcPr>
            <w:tcW w:w="994" w:type="dxa"/>
          </w:tcPr>
          <w:p w:rsidR="004211E3" w:rsidRPr="004211E3" w:rsidRDefault="004211E3" w:rsidP="00AF6183">
            <w:pPr>
              <w:spacing w:before="120" w:after="0" w:line="240" w:lineRule="auto"/>
              <w:jc w:val="both"/>
              <w:rPr>
                <w:rFonts w:ascii="Times New Roman" w:hAnsi="Times New Roman"/>
              </w:rPr>
            </w:pPr>
            <w:r w:rsidRPr="004211E3">
              <w:rPr>
                <w:rFonts w:ascii="Times New Roman" w:hAnsi="Times New Roman"/>
              </w:rPr>
              <w:t>2015</w:t>
            </w:r>
          </w:p>
        </w:tc>
      </w:tr>
      <w:tr w:rsidR="004211E3" w:rsidRPr="004211E3" w:rsidTr="007B246D">
        <w:tc>
          <w:tcPr>
            <w:tcW w:w="1951" w:type="dxa"/>
            <w:vAlign w:val="center"/>
          </w:tcPr>
          <w:p w:rsidR="004211E3" w:rsidRPr="004211E3" w:rsidRDefault="004211E3" w:rsidP="00AF6183">
            <w:pPr>
              <w:spacing w:after="0" w:line="240" w:lineRule="auto"/>
              <w:rPr>
                <w:rFonts w:ascii="Times New Roman" w:hAnsi="Times New Roman"/>
              </w:rPr>
            </w:pPr>
            <w:r w:rsidRPr="004211E3">
              <w:rPr>
                <w:rFonts w:ascii="Times New Roman" w:hAnsi="Times New Roman"/>
              </w:rPr>
              <w:t>09.19.00. apakšprogramma „Finansējums profesionālās ievirzes sporta izglītības programmu pedagogu darba samaksai un valsts sociālās apdrošināšanas obligātajām iemaksām”</w:t>
            </w:r>
          </w:p>
        </w:tc>
        <w:tc>
          <w:tcPr>
            <w:tcW w:w="1036" w:type="dxa"/>
            <w:vAlign w:val="center"/>
          </w:tcPr>
          <w:p w:rsidR="004211E3" w:rsidRPr="004211E3" w:rsidRDefault="004211E3" w:rsidP="00AF6183">
            <w:pPr>
              <w:spacing w:after="0" w:line="240" w:lineRule="auto"/>
              <w:jc w:val="center"/>
              <w:rPr>
                <w:rFonts w:ascii="Times New Roman" w:hAnsi="Times New Roman"/>
              </w:rPr>
            </w:pPr>
            <w:r w:rsidRPr="004211E3">
              <w:rPr>
                <w:rFonts w:ascii="Times New Roman" w:hAnsi="Times New Roman"/>
              </w:rPr>
              <w:t>842</w:t>
            </w:r>
          </w:p>
        </w:tc>
        <w:tc>
          <w:tcPr>
            <w:tcW w:w="1079" w:type="dxa"/>
            <w:vAlign w:val="center"/>
          </w:tcPr>
          <w:p w:rsidR="004211E3" w:rsidRPr="004211E3" w:rsidRDefault="004211E3" w:rsidP="00AF6183">
            <w:pPr>
              <w:spacing w:after="0" w:line="240" w:lineRule="auto"/>
              <w:jc w:val="center"/>
              <w:rPr>
                <w:rFonts w:ascii="Times New Roman" w:hAnsi="Times New Roman"/>
              </w:rPr>
            </w:pPr>
            <w:r w:rsidRPr="004211E3">
              <w:rPr>
                <w:rFonts w:ascii="Times New Roman" w:hAnsi="Times New Roman"/>
              </w:rPr>
              <w:t>27017</w:t>
            </w:r>
          </w:p>
        </w:tc>
        <w:tc>
          <w:tcPr>
            <w:tcW w:w="1604" w:type="dxa"/>
            <w:vAlign w:val="center"/>
          </w:tcPr>
          <w:p w:rsidR="004211E3" w:rsidRPr="004211E3" w:rsidRDefault="004211E3" w:rsidP="00AF6183">
            <w:pPr>
              <w:spacing w:after="0" w:line="240" w:lineRule="auto"/>
              <w:jc w:val="center"/>
              <w:rPr>
                <w:rFonts w:ascii="Times New Roman" w:hAnsi="Times New Roman"/>
              </w:rPr>
            </w:pPr>
            <w:r w:rsidRPr="004211E3">
              <w:rPr>
                <w:rFonts w:ascii="Times New Roman" w:hAnsi="Times New Roman"/>
              </w:rPr>
              <w:t>842,9 likmes x 25 Ls x 4 mēneši x 1,2409 = 104600 (Ls)</w:t>
            </w:r>
          </w:p>
        </w:tc>
        <w:tc>
          <w:tcPr>
            <w:tcW w:w="1417" w:type="dxa"/>
          </w:tcPr>
          <w:p w:rsidR="00464C92" w:rsidRDefault="004211E3" w:rsidP="00AF6183">
            <w:pPr>
              <w:spacing w:before="120" w:after="0" w:line="240" w:lineRule="auto"/>
              <w:jc w:val="both"/>
              <w:rPr>
                <w:rFonts w:ascii="Times New Roman" w:hAnsi="Times New Roman"/>
              </w:rPr>
            </w:pPr>
            <w:r w:rsidRPr="004211E3">
              <w:rPr>
                <w:rFonts w:ascii="Times New Roman" w:hAnsi="Times New Roman"/>
              </w:rPr>
              <w:t>104600*3=</w:t>
            </w:r>
          </w:p>
          <w:p w:rsidR="004211E3" w:rsidRPr="004211E3" w:rsidRDefault="004211E3" w:rsidP="00AF6183">
            <w:pPr>
              <w:spacing w:before="120" w:after="0" w:line="240" w:lineRule="auto"/>
              <w:jc w:val="both"/>
              <w:rPr>
                <w:rFonts w:ascii="Times New Roman" w:hAnsi="Times New Roman"/>
              </w:rPr>
            </w:pPr>
            <w:r w:rsidRPr="004211E3">
              <w:rPr>
                <w:rFonts w:ascii="Times New Roman" w:hAnsi="Times New Roman"/>
              </w:rPr>
              <w:t>313800</w:t>
            </w:r>
          </w:p>
        </w:tc>
        <w:tc>
          <w:tcPr>
            <w:tcW w:w="992" w:type="dxa"/>
          </w:tcPr>
          <w:p w:rsidR="004211E3" w:rsidRPr="004211E3" w:rsidRDefault="004211E3" w:rsidP="00AF6183">
            <w:pPr>
              <w:spacing w:before="120" w:after="0" w:line="240" w:lineRule="auto"/>
              <w:jc w:val="both"/>
              <w:rPr>
                <w:rFonts w:ascii="Times New Roman" w:hAnsi="Times New Roman"/>
              </w:rPr>
            </w:pPr>
            <w:r w:rsidRPr="004211E3">
              <w:rPr>
                <w:rFonts w:ascii="Times New Roman" w:hAnsi="Times New Roman"/>
              </w:rPr>
              <w:t>313800</w:t>
            </w:r>
          </w:p>
        </w:tc>
        <w:tc>
          <w:tcPr>
            <w:tcW w:w="994" w:type="dxa"/>
          </w:tcPr>
          <w:p w:rsidR="004211E3" w:rsidRPr="004211E3" w:rsidRDefault="004211E3" w:rsidP="00AF6183">
            <w:pPr>
              <w:spacing w:before="120" w:after="0" w:line="240" w:lineRule="auto"/>
              <w:jc w:val="both"/>
              <w:rPr>
                <w:rFonts w:ascii="Times New Roman" w:hAnsi="Times New Roman"/>
              </w:rPr>
            </w:pPr>
            <w:r w:rsidRPr="004211E3">
              <w:rPr>
                <w:rFonts w:ascii="Times New Roman" w:hAnsi="Times New Roman"/>
              </w:rPr>
              <w:t>313800</w:t>
            </w:r>
          </w:p>
        </w:tc>
      </w:tr>
    </w:tbl>
    <w:p w:rsidR="00D44E96" w:rsidRPr="00D44E96" w:rsidRDefault="00D44E96" w:rsidP="00D44E96">
      <w:pPr>
        <w:spacing w:before="120" w:after="0"/>
        <w:jc w:val="both"/>
        <w:rPr>
          <w:rFonts w:ascii="Times New Roman" w:hAnsi="Times New Roman"/>
        </w:rPr>
      </w:pPr>
      <w:r w:rsidRPr="00D44E96">
        <w:rPr>
          <w:rFonts w:ascii="Times New Roman" w:hAnsi="Times New Roman"/>
        </w:rPr>
        <w:t>Saskaņā ar Ministru kabineta 2011.gada 27.decembra noteikumu Nr.1036 „Kārtība, kādā valsts finansē profesionālās ievirzes sporta izglītības programmas” (turpmāk – MK noteikumi Nr.1036) 5.punktu ministrijas finansējumu akreditētās profesionālās ievirzes sporta izglītības iestādēs īstenotajās programmās paredzētajās stundās (sporta treniņos un sporta sacensībās) nodarbināto pedagogu darba samaksai un valsts sociālās apdrošināšanas obligātajām iemaksām (turpmāk – sporta skolu dotācija) apmēru aprēķina un sadala atbilstoši attiecīgajam gadam apstiprinātajam finansējumam, 50% no dotācijas kopējā apmēra sadala, pamatojoties uz izglītojamo skaitu izglītības iestādē un 50% no dotācijas kopējā apmēra sadala, pamatojoties uz programmas īstenošanas kritērijiem un nosacījumiem, mācību treniņu ceturtā, piektā, sestā un septītā apmācības gada grupām un augstākās sporta meistarības grupām. Izglītības iestādei piešķiramās sporta skolas dotāciju apmēru no mācību treniņu ceturtā apmācības gada līdz augstākās sporta meistarības grupām aprēķina, izmantojot MK noteikumu Nr.1036 8.punktā noteikto formulu.</w:t>
      </w:r>
    </w:p>
    <w:p w:rsidR="00D44E96" w:rsidRPr="00D44E96" w:rsidRDefault="00D44E96" w:rsidP="00D44E96">
      <w:pPr>
        <w:spacing w:before="120" w:after="0"/>
        <w:jc w:val="both"/>
        <w:rPr>
          <w:rFonts w:ascii="Times New Roman" w:hAnsi="Times New Roman"/>
        </w:rPr>
      </w:pPr>
      <m:oMath>
        <m:r>
          <w:rPr>
            <w:rFonts w:ascii="Cambria Math" w:hAnsi="Cambria Math"/>
          </w:rPr>
          <m:t>Fp</m:t>
        </m:r>
        <m:r>
          <m:rPr>
            <m:sty m:val="p"/>
          </m:rPr>
          <w:rPr>
            <w:rFonts w:ascii="Cambria Math" w:hAnsi="Times New Roman"/>
          </w:rPr>
          <m:t>=</m:t>
        </m:r>
        <m:f>
          <m:fPr>
            <m:ctrlPr>
              <w:rPr>
                <w:rFonts w:ascii="Cambria Math" w:hAnsi="Times New Roman"/>
              </w:rPr>
            </m:ctrlPr>
          </m:fPr>
          <m:num>
            <m:r>
              <m:rPr>
                <m:sty m:val="p"/>
              </m:rPr>
              <w:rPr>
                <w:rFonts w:ascii="Cambria Math" w:hAnsi="Times New Roman"/>
              </w:rPr>
              <m:t>Dot</m:t>
            </m:r>
          </m:num>
          <m:den>
            <m:nary>
              <m:naryPr>
                <m:chr m:val="∑"/>
                <m:limLoc m:val="undOvr"/>
                <m:subHide m:val="on"/>
                <m:supHide m:val="on"/>
                <m:ctrlPr>
                  <w:rPr>
                    <w:rFonts w:ascii="Cambria Math" w:hAnsi="Times New Roman"/>
                    <w:i/>
                  </w:rPr>
                </m:ctrlPr>
              </m:naryPr>
              <m:sub/>
              <m:sup/>
              <m:e>
                <m:r>
                  <m:rPr>
                    <m:sty m:val="p"/>
                  </m:rPr>
                  <w:rPr>
                    <w:rFonts w:ascii="Cambria Math" w:hAnsi="Times New Roman"/>
                  </w:rPr>
                  <m:t>FMAX</m:t>
                </m:r>
              </m:e>
            </m:nary>
          </m:den>
        </m:f>
        <m:r>
          <m:rPr>
            <m:sty m:val="p"/>
          </m:rPr>
          <w:rPr>
            <w:rFonts w:ascii="Cambria Math" w:hAnsi="Times New Roman"/>
          </w:rPr>
          <m:t xml:space="preserve"> </m:t>
        </m:r>
        <m:r>
          <m:rPr>
            <m:sty m:val="p"/>
          </m:rPr>
          <w:rPr>
            <w:rFonts w:ascii="Cambria Math" w:hAnsi="Cambria Math"/>
          </w:rPr>
          <m:t>*</m:t>
        </m:r>
        <m:r>
          <m:rPr>
            <m:sty m:val="p"/>
          </m:rPr>
          <w:rPr>
            <w:rFonts w:ascii="Cambria Math" w:hAnsi="Times New Roman"/>
          </w:rPr>
          <m:t>FMAXi</m:t>
        </m:r>
      </m:oMath>
      <w:r w:rsidRPr="00D44E96">
        <w:rPr>
          <w:rFonts w:ascii="Times New Roman" w:hAnsi="Times New Roman"/>
        </w:rPr>
        <w:t xml:space="preserve">, kur </w:t>
      </w:r>
      <w:proofErr w:type="spellStart"/>
      <w:r w:rsidRPr="00D44E96">
        <w:rPr>
          <w:rFonts w:ascii="Times New Roman" w:hAnsi="Times New Roman"/>
        </w:rPr>
        <w:t>kur</w:t>
      </w:r>
      <w:proofErr w:type="spellEnd"/>
      <w:r w:rsidRPr="00D44E96">
        <w:rPr>
          <w:rFonts w:ascii="Times New Roman" w:hAnsi="Times New Roman"/>
        </w:rPr>
        <w:t xml:space="preserve"> </w:t>
      </w:r>
      <w:proofErr w:type="spellStart"/>
      <w:r w:rsidRPr="00D44E96">
        <w:rPr>
          <w:rFonts w:ascii="Times New Roman" w:hAnsi="Times New Roman"/>
        </w:rPr>
        <w:t>Fp</w:t>
      </w:r>
      <w:proofErr w:type="spellEnd"/>
      <w:r w:rsidRPr="00D44E96">
        <w:rPr>
          <w:rFonts w:ascii="Times New Roman" w:hAnsi="Times New Roman"/>
        </w:rPr>
        <w:t xml:space="preserve"> – izglītības iestādei piešķiramais finansējums, Dot – kārtējā gadā pieejamās 4.2.apakšpunktā noteiktās sporta skolas dotācijas apmērs, ∑ FMAX – maksimālā finansējuma nodrošinājums visām iestādēm gadā, </w:t>
      </w:r>
      <w:proofErr w:type="spellStart"/>
      <w:r w:rsidRPr="00D44E96">
        <w:rPr>
          <w:rFonts w:ascii="Times New Roman" w:hAnsi="Times New Roman"/>
        </w:rPr>
        <w:t>FMAXi</w:t>
      </w:r>
      <w:proofErr w:type="spellEnd"/>
      <w:r w:rsidRPr="00D44E96">
        <w:rPr>
          <w:rFonts w:ascii="Times New Roman" w:hAnsi="Times New Roman"/>
        </w:rPr>
        <w:t xml:space="preserve"> – maksimālā finansējuma nodrošinājums izglītības iestādei gadā.</w:t>
      </w:r>
    </w:p>
    <w:p w:rsidR="00D44E96" w:rsidRPr="00D44E96" w:rsidRDefault="00D44E96" w:rsidP="00D44E96">
      <w:pPr>
        <w:spacing w:before="120" w:after="0"/>
        <w:jc w:val="both"/>
        <w:rPr>
          <w:rFonts w:ascii="Times New Roman" w:hAnsi="Times New Roman"/>
        </w:rPr>
      </w:pPr>
      <w:r w:rsidRPr="00D44E96">
        <w:rPr>
          <w:rFonts w:ascii="Times New Roman" w:hAnsi="Times New Roman"/>
        </w:rPr>
        <w:t>Aprēķinot sporta skolas dotācijas apmēru un atbilstoši MK noteikumu Nr.1036  9.2. un 9.3. apakšpunktos  noteiktajam papildus citiem nosacījumiem aprēķinos tiek izmantota normatīvajos aktos noteiktā minimālā pedagoga mēneša darba algas likme pedagogam ar darba stāžu lielāku par 10 gadiem un valsts sociālās apdrošināšanas obligāto iemaksu apmērs.</w:t>
      </w:r>
    </w:p>
    <w:p w:rsidR="004211E3" w:rsidRDefault="004211E3" w:rsidP="00542A27">
      <w:pPr>
        <w:spacing w:before="120" w:after="0" w:line="240" w:lineRule="auto"/>
        <w:jc w:val="both"/>
        <w:rPr>
          <w:rFonts w:ascii="Times New Roman" w:hAnsi="Times New Roman"/>
          <w:sz w:val="24"/>
          <w:szCs w:val="24"/>
        </w:rPr>
      </w:pPr>
    </w:p>
    <w:sectPr w:rsidR="004211E3" w:rsidSect="00921E93">
      <w:footerReference w:type="default" r:id="rId6"/>
      <w:pgSz w:w="11906" w:h="16838"/>
      <w:pgMar w:top="1440" w:right="1418" w:bottom="1440"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46AB" w:rsidRDefault="006C46AB" w:rsidP="0095765B">
      <w:pPr>
        <w:spacing w:after="0" w:line="240" w:lineRule="auto"/>
      </w:pPr>
      <w:r>
        <w:separator/>
      </w:r>
    </w:p>
  </w:endnote>
  <w:endnote w:type="continuationSeparator" w:id="0">
    <w:p w:rsidR="006C46AB" w:rsidRDefault="006C46AB" w:rsidP="009576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Cambria Math">
    <w:panose1 w:val="02040503050406030204"/>
    <w:charset w:val="BA"/>
    <w:family w:val="roman"/>
    <w:pitch w:val="variable"/>
    <w:sig w:usb0="A00002EF" w:usb1="420020EB" w:usb2="00000000" w:usb3="00000000" w:csb0="0000009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765B" w:rsidRDefault="0095765B">
    <w:pPr>
      <w:pStyle w:val="Footer"/>
    </w:pPr>
    <w:r>
      <w:t>IZMAnot_836_7</w:t>
    </w:r>
    <w:r w:rsidRPr="0095765B">
      <w:t>_pielikums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46AB" w:rsidRDefault="006C46AB" w:rsidP="0095765B">
      <w:pPr>
        <w:spacing w:after="0" w:line="240" w:lineRule="auto"/>
      </w:pPr>
      <w:r>
        <w:separator/>
      </w:r>
    </w:p>
  </w:footnote>
  <w:footnote w:type="continuationSeparator" w:id="0">
    <w:p w:rsidR="006C46AB" w:rsidRDefault="006C46AB" w:rsidP="0095765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42A27"/>
    <w:rsid w:val="00053784"/>
    <w:rsid w:val="000D7407"/>
    <w:rsid w:val="00126EC6"/>
    <w:rsid w:val="0036421A"/>
    <w:rsid w:val="00367E96"/>
    <w:rsid w:val="00386603"/>
    <w:rsid w:val="00392226"/>
    <w:rsid w:val="003C20D8"/>
    <w:rsid w:val="004211E3"/>
    <w:rsid w:val="00427204"/>
    <w:rsid w:val="00464C92"/>
    <w:rsid w:val="004930C9"/>
    <w:rsid w:val="00493B96"/>
    <w:rsid w:val="00542A27"/>
    <w:rsid w:val="00554840"/>
    <w:rsid w:val="005765A3"/>
    <w:rsid w:val="005D5004"/>
    <w:rsid w:val="005D6D2F"/>
    <w:rsid w:val="005F0271"/>
    <w:rsid w:val="00611784"/>
    <w:rsid w:val="006617CC"/>
    <w:rsid w:val="00695AB8"/>
    <w:rsid w:val="006C091F"/>
    <w:rsid w:val="006C46AB"/>
    <w:rsid w:val="007B246D"/>
    <w:rsid w:val="008B4F09"/>
    <w:rsid w:val="008D056C"/>
    <w:rsid w:val="00921E93"/>
    <w:rsid w:val="0095765B"/>
    <w:rsid w:val="009E215E"/>
    <w:rsid w:val="00B257CC"/>
    <w:rsid w:val="00B63C4D"/>
    <w:rsid w:val="00BB3625"/>
    <w:rsid w:val="00CE2335"/>
    <w:rsid w:val="00D242EA"/>
    <w:rsid w:val="00D27E8A"/>
    <w:rsid w:val="00D44E96"/>
    <w:rsid w:val="00DD3CAD"/>
    <w:rsid w:val="00DE20E2"/>
    <w:rsid w:val="00DE6853"/>
    <w:rsid w:val="00E43761"/>
    <w:rsid w:val="00EA49F8"/>
    <w:rsid w:val="00EB2592"/>
    <w:rsid w:val="00EF1AEC"/>
    <w:rsid w:val="00F8256B"/>
    <w:rsid w:val="00FB20FF"/>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A2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1E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95765B"/>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95765B"/>
    <w:rPr>
      <w:sz w:val="22"/>
      <w:szCs w:val="22"/>
      <w:lang w:eastAsia="en-US"/>
    </w:rPr>
  </w:style>
  <w:style w:type="paragraph" w:styleId="Footer">
    <w:name w:val="footer"/>
    <w:basedOn w:val="Normal"/>
    <w:link w:val="FooterChar"/>
    <w:uiPriority w:val="99"/>
    <w:semiHidden/>
    <w:unhideWhenUsed/>
    <w:rsid w:val="0095765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95765B"/>
    <w:rPr>
      <w:sz w:val="22"/>
      <w:szCs w:val="22"/>
      <w:lang w:eastAsia="en-US"/>
    </w:rPr>
  </w:style>
  <w:style w:type="paragraph" w:styleId="BalloonText">
    <w:name w:val="Balloon Text"/>
    <w:basedOn w:val="Normal"/>
    <w:link w:val="BalloonTextChar"/>
    <w:uiPriority w:val="99"/>
    <w:semiHidden/>
    <w:unhideWhenUsed/>
    <w:rsid w:val="00D44E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E96"/>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206513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2559</Words>
  <Characters>1459</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IZM</Company>
  <LinksUpToDate>false</LinksUpToDate>
  <CharactersWithSpaces>4010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sbatare</dc:creator>
  <cp:keywords/>
  <dc:description/>
  <cp:lastModifiedBy>sbatare</cp:lastModifiedBy>
  <cp:revision>19</cp:revision>
  <dcterms:created xsi:type="dcterms:W3CDTF">2012-08-08T15:30:00Z</dcterms:created>
  <dcterms:modified xsi:type="dcterms:W3CDTF">2012-08-09T14:28:00Z</dcterms:modified>
</cp:coreProperties>
</file>