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49" w:rsidRPr="00A8300E" w:rsidRDefault="00263495" w:rsidP="00CD43A9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 w:rsidRPr="00A8300E">
        <w:rPr>
          <w:b/>
        </w:rPr>
        <w:t>Ministru kabineta noteikumu projekta „Eiropas Ekonomikas zonas finanšu instrumenta un Norvēģijas finanšu instrumenta 2009.–2014.gada perioda programmas „Pētniecība un stipendijas” īstenošanas kārtība un divpusējas sadarbības fonda</w:t>
      </w:r>
      <w:r w:rsidR="008E060E">
        <w:rPr>
          <w:b/>
        </w:rPr>
        <w:t xml:space="preserve"> sagatavošanas vizīšu</w:t>
      </w:r>
      <w:r w:rsidRPr="00A8300E">
        <w:rPr>
          <w:b/>
        </w:rPr>
        <w:t xml:space="preserve"> projektu iesniegumu atklāta konkursa nolikums”</w:t>
      </w:r>
      <w:r w:rsidRPr="00A8300E">
        <w:rPr>
          <w:color w:val="000000"/>
        </w:rPr>
        <w:t xml:space="preserve"> </w:t>
      </w:r>
      <w:r w:rsidR="00852042" w:rsidRPr="00A8300E">
        <w:rPr>
          <w:b/>
        </w:rPr>
        <w:t>sākotnējā</w:t>
      </w:r>
      <w:r w:rsidR="002D3306" w:rsidRPr="00A8300E">
        <w:rPr>
          <w:b/>
        </w:rPr>
        <w:t>s</w:t>
      </w:r>
      <w:r w:rsidR="00852042" w:rsidRPr="00A8300E">
        <w:rPr>
          <w:b/>
        </w:rPr>
        <w:t xml:space="preserve"> ietekmes novērtējuma ziņojums (anotācija)</w:t>
      </w:r>
    </w:p>
    <w:tbl>
      <w:tblPr>
        <w:tblpPr w:leftFromText="180" w:rightFromText="180" w:vertAnchor="text" w:horzAnchor="margin" w:tblpXSpec="center" w:tblpY="149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3566"/>
        <w:gridCol w:w="5670"/>
      </w:tblGrid>
      <w:tr w:rsidR="00852042" w:rsidRPr="00A8300E" w:rsidTr="00F34066">
        <w:tc>
          <w:tcPr>
            <w:tcW w:w="9786" w:type="dxa"/>
            <w:gridSpan w:val="3"/>
            <w:vAlign w:val="center"/>
          </w:tcPr>
          <w:p w:rsidR="00852042" w:rsidRPr="00A8300E" w:rsidRDefault="00852042" w:rsidP="00CD43A9">
            <w:pPr>
              <w:pStyle w:val="naisnod"/>
              <w:spacing w:before="0" w:after="0"/>
            </w:pPr>
            <w:r w:rsidRPr="00A8300E">
              <w:t>I</w:t>
            </w:r>
            <w:r w:rsidR="000941C5" w:rsidRPr="00A8300E">
              <w:t>.</w:t>
            </w:r>
            <w:r w:rsidRPr="00A8300E">
              <w:t xml:space="preserve"> Tiesību akta </w:t>
            </w:r>
            <w:r w:rsidR="002E3FF4" w:rsidRPr="00A8300E">
              <w:t xml:space="preserve">projekta </w:t>
            </w:r>
            <w:r w:rsidRPr="00A8300E">
              <w:t>izstrādes nepieciešamība</w:t>
            </w:r>
          </w:p>
        </w:tc>
      </w:tr>
      <w:tr w:rsidR="00262E2B" w:rsidRPr="00A8300E" w:rsidTr="00F34066">
        <w:trPr>
          <w:trHeight w:val="630"/>
        </w:trPr>
        <w:tc>
          <w:tcPr>
            <w:tcW w:w="550" w:type="dxa"/>
          </w:tcPr>
          <w:p w:rsidR="00262E2B" w:rsidRPr="00A8300E" w:rsidRDefault="00262E2B" w:rsidP="00CD43A9">
            <w:pPr>
              <w:pStyle w:val="naiskr"/>
              <w:spacing w:before="0" w:after="0"/>
            </w:pPr>
            <w:r w:rsidRPr="00A8300E">
              <w:t>1.</w:t>
            </w:r>
          </w:p>
        </w:tc>
        <w:tc>
          <w:tcPr>
            <w:tcW w:w="3566" w:type="dxa"/>
          </w:tcPr>
          <w:p w:rsidR="00262E2B" w:rsidRPr="00A8300E" w:rsidRDefault="002D7F54" w:rsidP="00CD43A9">
            <w:pPr>
              <w:pStyle w:val="naiskr"/>
              <w:spacing w:before="0" w:after="0"/>
              <w:ind w:hanging="10"/>
            </w:pPr>
            <w:r w:rsidRPr="00A8300E">
              <w:t>Pamatojums</w:t>
            </w:r>
          </w:p>
        </w:tc>
        <w:tc>
          <w:tcPr>
            <w:tcW w:w="5670" w:type="dxa"/>
          </w:tcPr>
          <w:p w:rsidR="00263495" w:rsidRPr="00A8300E" w:rsidRDefault="00263495" w:rsidP="00FB16BB">
            <w:pPr>
              <w:autoSpaceDE w:val="0"/>
              <w:autoSpaceDN w:val="0"/>
              <w:adjustRightInd w:val="0"/>
              <w:jc w:val="both"/>
            </w:pPr>
            <w:r w:rsidRPr="00A8300E">
              <w:t>Ministru kabineta noteikumu projekts „Eiropas Ekonomikas zonas finanšu instrumenta un Norvēģijas finanšu instrumenta 2009.–2014.gada perioda programmas „Pētniecība un stipendijas” īstenošanas kārtība un divpusējas sadarbības fonda projektu iesniegumu atklāta konkursa nolikums”</w:t>
            </w:r>
            <w:r w:rsidR="00F64258" w:rsidRPr="00A8300E">
              <w:t xml:space="preserve"> </w:t>
            </w:r>
            <w:r w:rsidRPr="00A8300E">
              <w:t>(turpmāk – noteikumu projekts) ir izstrādāts saskaņā ar</w:t>
            </w:r>
            <w:r w:rsidR="00405091" w:rsidRPr="00A8300E">
              <w:rPr>
                <w:bCs/>
              </w:rPr>
              <w:t xml:space="preserve"> </w:t>
            </w:r>
            <w:r w:rsidR="00405091" w:rsidRPr="00A8300E">
              <w:t>Eiropas Ekonomikas zonas finanšu instrumenta un Norvēģijas</w:t>
            </w:r>
            <w:r w:rsidR="00FB16BB">
              <w:t xml:space="preserve"> </w:t>
            </w:r>
            <w:r w:rsidR="00405091" w:rsidRPr="00A8300E">
              <w:t>finanšu instrumenta 2009.</w:t>
            </w:r>
            <w:r w:rsidR="00107AD6">
              <w:t>-</w:t>
            </w:r>
            <w:r w:rsidR="00405091" w:rsidRPr="00A8300E">
              <w:t xml:space="preserve">2014.gada perioda vadības likuma (turpmāk - </w:t>
            </w:r>
            <w:r w:rsidR="00A8300E" w:rsidRPr="00A8300E">
              <w:t>V</w:t>
            </w:r>
            <w:r w:rsidR="00405091" w:rsidRPr="00A8300E">
              <w:t>adības likums)</w:t>
            </w:r>
            <w:r w:rsidR="00396469" w:rsidRPr="00A8300E">
              <w:t xml:space="preserve"> </w:t>
            </w:r>
            <w:r w:rsidR="00A8300E" w:rsidRPr="00A8300E">
              <w:t>15.panta 5.punktu un</w:t>
            </w:r>
            <w:r w:rsidR="00107AD6">
              <w:t xml:space="preserve"> </w:t>
            </w:r>
            <w:r w:rsidR="00A8300E" w:rsidRPr="00A8300E">
              <w:t xml:space="preserve">15.panta 7.punktu, kas nosaka  ka Ministru kabinets nosaka  kārtību, kādā īsteno programmu un programmas apsaimniekotāja un aģentūras funkcionālās padotības formu, </w:t>
            </w:r>
            <w:r w:rsidR="00A8300E" w:rsidRPr="00A8300E">
              <w:rPr>
                <w:bCs/>
                <w:color w:val="000000"/>
              </w:rPr>
              <w:t>programmas apsaimniekotāja un tā partnera sadarbības kārtību</w:t>
            </w:r>
            <w:r w:rsidR="00A8300E" w:rsidRPr="00A8300E">
              <w:rPr>
                <w:color w:val="000000"/>
              </w:rPr>
              <w:t>, ja programma tiek īstenota partnerībā, kā arī</w:t>
            </w:r>
            <w:r w:rsidR="00A8300E" w:rsidRPr="00A8300E">
              <w:t xml:space="preserve"> </w:t>
            </w:r>
            <w:r w:rsidR="00322F00">
              <w:t xml:space="preserve">saskaņā ar Vadības likuma </w:t>
            </w:r>
            <w:r w:rsidR="00396469" w:rsidRPr="00A8300E">
              <w:t>15.panta 6.punktu, kas paredz, ka Ministru kabinets nosaka</w:t>
            </w:r>
            <w:r w:rsidR="00396469" w:rsidRPr="00A8300E">
              <w:rPr>
                <w:color w:val="000000"/>
              </w:rPr>
              <w:t xml:space="preserve"> kārtību, kādā nosaka projektu iesniegumu </w:t>
            </w:r>
            <w:r w:rsidR="00396469" w:rsidRPr="00A8300E">
              <w:rPr>
                <w:bCs/>
                <w:color w:val="000000"/>
              </w:rPr>
              <w:t>vērtēšanas kritērijus</w:t>
            </w:r>
            <w:r w:rsidR="00396469" w:rsidRPr="00A8300E">
              <w:rPr>
                <w:color w:val="000000"/>
              </w:rPr>
              <w:t xml:space="preserve"> atklāto konkursu ietvaros </w:t>
            </w:r>
            <w:r w:rsidR="00396469" w:rsidRPr="00A8300E">
              <w:t>un prasības projekta iesnieguma iesniedzējam.</w:t>
            </w:r>
          </w:p>
          <w:p w:rsidR="00262E2B" w:rsidRPr="00A8300E" w:rsidRDefault="00396469" w:rsidP="00B070CE">
            <w:pPr>
              <w:autoSpaceDE w:val="0"/>
              <w:autoSpaceDN w:val="0"/>
              <w:adjustRightInd w:val="0"/>
              <w:jc w:val="both"/>
            </w:pPr>
            <w:r w:rsidRPr="00A8300E">
              <w:rPr>
                <w:color w:val="000000"/>
              </w:rPr>
              <w:t xml:space="preserve">Saskaņā ar Vadības likuma 9.panta pirmo daļu </w:t>
            </w:r>
            <w:r w:rsidRPr="00A8300E">
              <w:rPr>
                <w:bCs/>
                <w:color w:val="000000"/>
              </w:rPr>
              <w:t>kompetences sadalījumu starp programmas apsaimniekotāju un aģentūru</w:t>
            </w:r>
            <w:r w:rsidRPr="00A8300E">
              <w:rPr>
                <w:color w:val="000000"/>
              </w:rPr>
              <w:t>, kā arī šo institūciju sadarbības kārtību nosaka Ministru kabinets.</w:t>
            </w:r>
          </w:p>
        </w:tc>
      </w:tr>
      <w:tr w:rsidR="00262E2B" w:rsidRPr="00A8300E" w:rsidTr="00F34066">
        <w:trPr>
          <w:trHeight w:val="472"/>
        </w:trPr>
        <w:tc>
          <w:tcPr>
            <w:tcW w:w="550" w:type="dxa"/>
          </w:tcPr>
          <w:p w:rsidR="00262E2B" w:rsidRPr="00A8300E" w:rsidRDefault="00262E2B" w:rsidP="00CD43A9">
            <w:pPr>
              <w:pStyle w:val="naiskr"/>
              <w:spacing w:before="0" w:after="0"/>
            </w:pPr>
            <w:r w:rsidRPr="00A8300E">
              <w:t>2.</w:t>
            </w:r>
          </w:p>
        </w:tc>
        <w:tc>
          <w:tcPr>
            <w:tcW w:w="3566" w:type="dxa"/>
          </w:tcPr>
          <w:p w:rsidR="00262E2B" w:rsidRPr="00A8300E" w:rsidRDefault="00262E2B" w:rsidP="00CD43A9">
            <w:pPr>
              <w:pStyle w:val="naiskr"/>
              <w:tabs>
                <w:tab w:val="left" w:pos="170"/>
              </w:tabs>
              <w:spacing w:before="0" w:after="0"/>
            </w:pPr>
            <w:r w:rsidRPr="00A8300E">
              <w:t>Pašreizējā situācija</w:t>
            </w:r>
            <w:r w:rsidR="001F5CD6" w:rsidRPr="00A8300E">
              <w:t xml:space="preserve"> un problēmas</w:t>
            </w:r>
          </w:p>
        </w:tc>
        <w:tc>
          <w:tcPr>
            <w:tcW w:w="5670" w:type="dxa"/>
          </w:tcPr>
          <w:p w:rsidR="006D583D" w:rsidRPr="00A8300E" w:rsidRDefault="006D583D" w:rsidP="00CD43A9">
            <w:pPr>
              <w:pStyle w:val="naiskr"/>
              <w:spacing w:before="0" w:after="0"/>
              <w:jc w:val="both"/>
            </w:pPr>
            <w:r w:rsidRPr="00A8300E">
              <w:t>2011.gada 28.aprīlī tika parakstīts Saprašanās memorands starp Norvēģijas Karalisti un Latvijas Republiku par Norvēģijas finanšu instrumenta ie</w:t>
            </w:r>
            <w:r w:rsidR="00860470" w:rsidRPr="00A8300E">
              <w:t>viešanu 2009.-2014.gada periodā</w:t>
            </w:r>
            <w:r w:rsidR="00DD66E7" w:rsidRPr="00A8300E">
              <w:t xml:space="preserve"> (apstiprināts ar Ministru kabineta 2011.gada 29.marta noteikumiem Nr.252)</w:t>
            </w:r>
            <w:r w:rsidR="00860470" w:rsidRPr="00A8300E">
              <w:t xml:space="preserve">. </w:t>
            </w:r>
            <w:r w:rsidRPr="00A8300E">
              <w:t xml:space="preserve">Saskaņā ar </w:t>
            </w:r>
            <w:r w:rsidR="00860470" w:rsidRPr="00A8300E">
              <w:t xml:space="preserve">šī </w:t>
            </w:r>
            <w:r w:rsidRPr="00A8300E">
              <w:t>Saprašanās memoranda B pielikumu</w:t>
            </w:r>
            <w:r w:rsidR="00860470" w:rsidRPr="00A8300E">
              <w:t xml:space="preserve"> </w:t>
            </w:r>
            <w:r w:rsidR="00A8300E" w:rsidRPr="00A8300E">
              <w:t xml:space="preserve">EUR </w:t>
            </w:r>
            <w:r w:rsidR="00860470" w:rsidRPr="00A8300E">
              <w:t>4 992 000 paredzēti programmai “</w:t>
            </w:r>
            <w:r w:rsidR="00E8450C" w:rsidRPr="00A8300E">
              <w:t>Pētniecība un stipendijas</w:t>
            </w:r>
            <w:r w:rsidR="00860470" w:rsidRPr="00A8300E">
              <w:t>”.</w:t>
            </w:r>
          </w:p>
          <w:p w:rsidR="00860470" w:rsidRPr="00A8300E" w:rsidRDefault="00860470" w:rsidP="00CD43A9">
            <w:pPr>
              <w:jc w:val="both"/>
            </w:pPr>
            <w:r w:rsidRPr="00A8300E">
              <w:t xml:space="preserve">2011.gada 28.aprīlī tika parakstīts Saprašanās memorands starp </w:t>
            </w:r>
            <w:proofErr w:type="spellStart"/>
            <w:r w:rsidRPr="00A8300E">
              <w:t>Īslandi</w:t>
            </w:r>
            <w:proofErr w:type="spellEnd"/>
            <w:r w:rsidRPr="00A8300E">
              <w:t>, Lihtenšteinas Firstisti</w:t>
            </w:r>
            <w:r w:rsidR="009B3CE4" w:rsidRPr="00A8300E">
              <w:t>,</w:t>
            </w:r>
            <w:r w:rsidRPr="00A8300E">
              <w:t xml:space="preserve"> Norvēģijas Karalisti un  Latvijas Republiku par Eiropas Ekonomikas zonas finanšu instrumenta ieviešanu 2009.-2014.gada periodā</w:t>
            </w:r>
            <w:r w:rsidR="00DD66E7" w:rsidRPr="00A8300E">
              <w:t xml:space="preserve"> (apstiprināts ar Ministru kabineta 2011.gada 29.marta noteikumiem Nr.251)</w:t>
            </w:r>
            <w:r w:rsidRPr="00A8300E">
              <w:t xml:space="preserve">. Saskaņā ar šī Saprašanās memoranda B pielikumu </w:t>
            </w:r>
            <w:bookmarkStart w:id="1" w:name="OLE_LINK1"/>
            <w:bookmarkStart w:id="2" w:name="OLE_LINK2"/>
            <w:r w:rsidR="00A8300E" w:rsidRPr="00A8300E">
              <w:t xml:space="preserve">EUR </w:t>
            </w:r>
            <w:r w:rsidRPr="00A8300E">
              <w:t>518</w:t>
            </w:r>
            <w:r w:rsidR="005569A6" w:rsidRPr="00A8300E">
              <w:t> </w:t>
            </w:r>
            <w:r w:rsidRPr="00A8300E">
              <w:t>250</w:t>
            </w:r>
            <w:bookmarkEnd w:id="1"/>
            <w:bookmarkEnd w:id="2"/>
            <w:r w:rsidR="005569A6" w:rsidRPr="00A8300E">
              <w:t xml:space="preserve"> </w:t>
            </w:r>
            <w:r w:rsidRPr="00A8300E">
              <w:t>paredzēti programmai “</w:t>
            </w:r>
            <w:r w:rsidR="00E8450C" w:rsidRPr="00A8300E">
              <w:t>Pētniecība un s</w:t>
            </w:r>
            <w:r w:rsidRPr="00A8300E">
              <w:t>tipendijas”.</w:t>
            </w:r>
          </w:p>
          <w:p w:rsidR="00E8450C" w:rsidRPr="00A8300E" w:rsidRDefault="00E8450C" w:rsidP="00CD43A9">
            <w:pPr>
              <w:pStyle w:val="naiskr"/>
              <w:spacing w:before="0" w:after="0"/>
              <w:jc w:val="both"/>
            </w:pPr>
            <w:r w:rsidRPr="00A8300E">
              <w:t xml:space="preserve">Izpildot Ministru kabineta 2011.gada 29.marta sēdes </w:t>
            </w:r>
            <w:proofErr w:type="spellStart"/>
            <w:r w:rsidRPr="00A8300E">
              <w:t>protokollēmumu</w:t>
            </w:r>
            <w:proofErr w:type="spellEnd"/>
            <w:r w:rsidRPr="00A8300E">
              <w:t xml:space="preserve"> (Ministru kabineta 29.03.2011. sēdes protokols Nr.20, 62.§, 3.2.punkts, 63.§, 3.4.punkts), </w:t>
            </w:r>
            <w:r w:rsidRPr="00A8300E">
              <w:lastRenderedPageBreak/>
              <w:t>Izglītības un zinātnes ministrija izstrādāja programmas  iesniegumu, kas tika apstiprināts Ministru kabineta 201</w:t>
            </w:r>
            <w:r w:rsidR="00363DD0" w:rsidRPr="00A8300E">
              <w:t>2</w:t>
            </w:r>
            <w:r w:rsidRPr="00A8300E">
              <w:t xml:space="preserve">.gada </w:t>
            </w:r>
            <w:r w:rsidR="00363DD0" w:rsidRPr="00A8300E">
              <w:t>6.marta</w:t>
            </w:r>
            <w:r w:rsidRPr="00A8300E">
              <w:t xml:space="preserve"> sēdē (Ministru kabineta </w:t>
            </w:r>
            <w:r w:rsidR="00363DD0" w:rsidRPr="00A8300E">
              <w:t>06</w:t>
            </w:r>
            <w:r w:rsidRPr="00A8300E">
              <w:t>.</w:t>
            </w:r>
            <w:r w:rsidR="00363DD0" w:rsidRPr="00A8300E">
              <w:t>03.2012</w:t>
            </w:r>
            <w:r w:rsidRPr="00A8300E">
              <w:t>. sēdes protokols Nr.</w:t>
            </w:r>
            <w:r w:rsidR="00363DD0" w:rsidRPr="00A8300E">
              <w:t>12</w:t>
            </w:r>
            <w:r w:rsidRPr="00A8300E">
              <w:t xml:space="preserve">, </w:t>
            </w:r>
            <w:r w:rsidR="00363DD0" w:rsidRPr="00A8300E">
              <w:t>29</w:t>
            </w:r>
            <w:r w:rsidRPr="00A8300E">
              <w:t xml:space="preserve">.§) un iesniegts apstiprināšanai </w:t>
            </w:r>
            <w:proofErr w:type="spellStart"/>
            <w:r w:rsidRPr="00A8300E">
              <w:t>donorvalstīm</w:t>
            </w:r>
            <w:proofErr w:type="spellEnd"/>
            <w:r w:rsidRPr="00A8300E">
              <w:t>.</w:t>
            </w:r>
            <w:r w:rsidR="00363DD0" w:rsidRPr="00A8300E">
              <w:t xml:space="preserve"> Programmas iesniegumu </w:t>
            </w:r>
            <w:proofErr w:type="spellStart"/>
            <w:r w:rsidR="00363DD0" w:rsidRPr="00A8300E">
              <w:t>donorvalstis</w:t>
            </w:r>
            <w:proofErr w:type="spellEnd"/>
            <w:r w:rsidR="00363DD0" w:rsidRPr="00A8300E">
              <w:t xml:space="preserve"> apstiprināja 2013.gada 23.janvārī.</w:t>
            </w:r>
          </w:p>
          <w:p w:rsidR="00DF22DE" w:rsidRPr="00CA65B1" w:rsidRDefault="00DF22DE" w:rsidP="00CD43A9">
            <w:pPr>
              <w:pStyle w:val="naiskr"/>
              <w:spacing w:before="0" w:after="0"/>
              <w:jc w:val="both"/>
            </w:pPr>
            <w:r w:rsidRPr="00A8300E">
              <w:t xml:space="preserve">2013.gada 12.aprīlī </w:t>
            </w:r>
            <w:r w:rsidRPr="00CA65B1">
              <w:t xml:space="preserve">starp </w:t>
            </w:r>
            <w:r w:rsidR="000C3909" w:rsidRPr="00CA65B1">
              <w:t xml:space="preserve"> Eiropas Ekonomikas zonas finanšu instrumenta </w:t>
            </w:r>
            <w:r w:rsidRPr="00CA65B1">
              <w:t xml:space="preserve">komiteju un Finanšu ministriju </w:t>
            </w:r>
            <w:r w:rsidR="00CA65B1" w:rsidRPr="00CA65B1">
              <w:t xml:space="preserve">kā nacionālo atbildīgo iestādi (turpmāk - nacionālā atbildīgā iestāde) </w:t>
            </w:r>
            <w:r w:rsidRPr="00CA65B1">
              <w:t xml:space="preserve">tika parakstīts un stājās spēkā Eiropas Ekonomikas zonas finanšu instrumenta 2009-2014 programmas </w:t>
            </w:r>
            <w:r w:rsidR="00E8450C" w:rsidRPr="00CA65B1">
              <w:t xml:space="preserve">“Pētniecība un stipendijas” </w:t>
            </w:r>
            <w:r w:rsidRPr="00CA65B1">
              <w:t>līgums</w:t>
            </w:r>
            <w:r w:rsidR="00F34066" w:rsidRPr="00CA65B1">
              <w:t xml:space="preserve"> (turpmāk – EEZ finanšu instrumenta līgums)</w:t>
            </w:r>
            <w:r w:rsidRPr="00CA65B1">
              <w:t>.</w:t>
            </w:r>
          </w:p>
          <w:p w:rsidR="00262E2B" w:rsidRPr="00A8300E" w:rsidRDefault="000C3909" w:rsidP="00CD43A9">
            <w:pPr>
              <w:pStyle w:val="naiskr"/>
              <w:spacing w:before="0" w:after="0"/>
              <w:jc w:val="both"/>
            </w:pPr>
            <w:r w:rsidRPr="00CA65B1">
              <w:t xml:space="preserve">2013.gada 12.aprīlī starp Norvēģijas Ārlietu ministriju un  </w:t>
            </w:r>
            <w:r w:rsidR="00CA65B1" w:rsidRPr="00CA65B1">
              <w:t>nacionālo</w:t>
            </w:r>
            <w:r w:rsidRPr="00CA65B1">
              <w:t xml:space="preserve"> atbildīg</w:t>
            </w:r>
            <w:r w:rsidR="00CA65B1" w:rsidRPr="00CA65B1">
              <w:t>o</w:t>
            </w:r>
            <w:r w:rsidRPr="00CA65B1">
              <w:t xml:space="preserve"> iestād</w:t>
            </w:r>
            <w:r w:rsidR="00CA65B1" w:rsidRPr="00CA65B1">
              <w:t>i</w:t>
            </w:r>
            <w:r w:rsidRPr="00CA65B1">
              <w:t xml:space="preserve"> tika parakstīts un stājās spēkā Norvēģijas finanšu instrumenta</w:t>
            </w:r>
            <w:r w:rsidRPr="00A8300E">
              <w:t xml:space="preserve"> 2009-2014 programmas </w:t>
            </w:r>
            <w:r w:rsidR="00E8450C" w:rsidRPr="00A8300E">
              <w:t xml:space="preserve">“Pētniecība un stipendijas” </w:t>
            </w:r>
            <w:r w:rsidRPr="00A8300E">
              <w:t>līgums</w:t>
            </w:r>
            <w:r w:rsidR="00F34066" w:rsidRPr="00A8300E">
              <w:t xml:space="preserve"> (turpmāk – Norvēģijas finanšu instrumenta līgums)</w:t>
            </w:r>
            <w:r w:rsidRPr="00A8300E">
              <w:t>.</w:t>
            </w:r>
          </w:p>
          <w:p w:rsidR="00E97FE8" w:rsidRPr="00A8300E" w:rsidRDefault="00A15698" w:rsidP="008112D7">
            <w:pPr>
              <w:pStyle w:val="naiskr"/>
              <w:spacing w:before="0" w:after="0"/>
              <w:jc w:val="both"/>
              <w:rPr>
                <w:iCs/>
              </w:rPr>
            </w:pPr>
            <w:r w:rsidRPr="00A8300E">
              <w:t>Lai nodrošinātu programmas īstenošanu, Ministru kabinetam</w:t>
            </w:r>
            <w:r w:rsidR="00A8300E" w:rsidRPr="00A8300E">
              <w:t xml:space="preserve"> ir</w:t>
            </w:r>
            <w:r w:rsidRPr="00A8300E">
              <w:t xml:space="preserve"> </w:t>
            </w:r>
            <w:r w:rsidR="00A8300E" w:rsidRPr="00A8300E">
              <w:t>jāpieņem</w:t>
            </w:r>
            <w:r w:rsidRPr="00A8300E">
              <w:t xml:space="preserve"> noteikumi par kārtību, kādā īsteno programmu un projektu iesniegumu atklāta konkursa nolikums</w:t>
            </w:r>
            <w:r w:rsidR="008112D7">
              <w:t xml:space="preserve"> </w:t>
            </w:r>
            <w:r w:rsidR="00A8300E" w:rsidRPr="00A8300E">
              <w:t xml:space="preserve">programmas </w:t>
            </w:r>
            <w:r w:rsidRPr="00A8300E">
              <w:t>divpusējas s</w:t>
            </w:r>
            <w:r w:rsidR="00A8300E" w:rsidRPr="00A8300E">
              <w:t>adarbības fonda sagatavošanas vizīšu atklātas projektu iesniegumu atlases īstenošanai</w:t>
            </w:r>
            <w:r w:rsidRPr="00A8300E">
              <w:t>.</w:t>
            </w:r>
          </w:p>
        </w:tc>
      </w:tr>
      <w:tr w:rsidR="00262E2B" w:rsidRPr="00A8300E" w:rsidTr="00F34066">
        <w:trPr>
          <w:trHeight w:val="565"/>
        </w:trPr>
        <w:tc>
          <w:tcPr>
            <w:tcW w:w="550" w:type="dxa"/>
          </w:tcPr>
          <w:p w:rsidR="00262E2B" w:rsidRPr="00A8300E" w:rsidRDefault="00262E2B" w:rsidP="00CD43A9">
            <w:pPr>
              <w:pStyle w:val="naiskr"/>
              <w:spacing w:before="0" w:after="0"/>
            </w:pPr>
            <w:r w:rsidRPr="00A8300E">
              <w:lastRenderedPageBreak/>
              <w:t>3.</w:t>
            </w:r>
          </w:p>
        </w:tc>
        <w:tc>
          <w:tcPr>
            <w:tcW w:w="3566" w:type="dxa"/>
          </w:tcPr>
          <w:p w:rsidR="00262E2B" w:rsidRPr="00A8300E" w:rsidRDefault="00420870" w:rsidP="00CD43A9">
            <w:pPr>
              <w:pStyle w:val="naiskr"/>
              <w:spacing w:before="0" w:after="0"/>
            </w:pPr>
            <w:r w:rsidRPr="00A8300E">
              <w:t>S</w:t>
            </w:r>
            <w:r w:rsidR="000B69CF" w:rsidRPr="00A8300E">
              <w:t xml:space="preserve">aistītie </w:t>
            </w:r>
            <w:r w:rsidR="001A6AE4" w:rsidRPr="00A8300E">
              <w:t>politikas ietekmes novērtējumi</w:t>
            </w:r>
            <w:r w:rsidR="00CB0247" w:rsidRPr="00A8300E">
              <w:t xml:space="preserve"> un</w:t>
            </w:r>
            <w:r w:rsidR="001A6AE4" w:rsidRPr="00A8300E">
              <w:t xml:space="preserve"> </w:t>
            </w:r>
            <w:r w:rsidR="000B69CF" w:rsidRPr="00A8300E">
              <w:t>pētījumi</w:t>
            </w:r>
          </w:p>
        </w:tc>
        <w:tc>
          <w:tcPr>
            <w:tcW w:w="5670" w:type="dxa"/>
          </w:tcPr>
          <w:p w:rsidR="00D20FF4" w:rsidRPr="00A8300E" w:rsidRDefault="00F64258" w:rsidP="00CD43A9">
            <w:pPr>
              <w:pStyle w:val="FootnoteText"/>
              <w:rPr>
                <w:sz w:val="24"/>
                <w:szCs w:val="24"/>
              </w:rPr>
            </w:pPr>
            <w:r w:rsidRPr="00A8300E">
              <w:rPr>
                <w:sz w:val="24"/>
                <w:szCs w:val="24"/>
              </w:rPr>
              <w:t>Noteikumu projekts šo jomu neskar</w:t>
            </w:r>
          </w:p>
        </w:tc>
      </w:tr>
      <w:tr w:rsidR="00262E2B" w:rsidRPr="00A8300E" w:rsidTr="00F34066">
        <w:trPr>
          <w:trHeight w:val="384"/>
        </w:trPr>
        <w:tc>
          <w:tcPr>
            <w:tcW w:w="550" w:type="dxa"/>
          </w:tcPr>
          <w:p w:rsidR="00262E2B" w:rsidRPr="00A8300E" w:rsidRDefault="00262E2B" w:rsidP="00CD43A9">
            <w:pPr>
              <w:pStyle w:val="naiskr"/>
              <w:spacing w:before="0" w:after="0"/>
            </w:pPr>
            <w:r w:rsidRPr="00A8300E">
              <w:t>4.</w:t>
            </w:r>
          </w:p>
        </w:tc>
        <w:tc>
          <w:tcPr>
            <w:tcW w:w="3566" w:type="dxa"/>
          </w:tcPr>
          <w:p w:rsidR="00262E2B" w:rsidRPr="00A8300E" w:rsidRDefault="000C790C" w:rsidP="00CD43A9">
            <w:pPr>
              <w:pStyle w:val="naiskr"/>
              <w:spacing w:before="0" w:after="0"/>
            </w:pPr>
            <w:r w:rsidRPr="00A8300E">
              <w:t>Tiesiskā r</w:t>
            </w:r>
            <w:r w:rsidR="00400032" w:rsidRPr="00A8300E">
              <w:t xml:space="preserve">egulējuma </w:t>
            </w:r>
            <w:r w:rsidR="00262E2B" w:rsidRPr="00A8300E">
              <w:t>mērķis un būtība</w:t>
            </w:r>
          </w:p>
        </w:tc>
        <w:tc>
          <w:tcPr>
            <w:tcW w:w="5670" w:type="dxa"/>
          </w:tcPr>
          <w:p w:rsidR="00AB6DE1" w:rsidRPr="00A8300E" w:rsidRDefault="00AB6DE1" w:rsidP="00AB6DE1">
            <w:pPr>
              <w:jc w:val="both"/>
            </w:pPr>
            <w:r w:rsidRPr="00A8300E">
              <w:t xml:space="preserve">Programma “Pētniecība un stipendijas” </w:t>
            </w:r>
            <w:r w:rsidR="009B3CE4" w:rsidRPr="00A8300E">
              <w:t>apvieno noteiktās p</w:t>
            </w:r>
            <w:r w:rsidRPr="00A8300E">
              <w:t xml:space="preserve">rogrammas jomas pētniecībai un stipendijām, izveidojot vienotu programmu cilvēkresursu un zināšanu bāzes stiprināšanai Latvijā un institucionālas sadarbības pētniecībā un attīstībā palielināšanai starp </w:t>
            </w:r>
            <w:proofErr w:type="spellStart"/>
            <w:r w:rsidRPr="00A8300E">
              <w:t>donorvalstīm</w:t>
            </w:r>
            <w:proofErr w:type="spellEnd"/>
            <w:r w:rsidRPr="00A8300E">
              <w:t xml:space="preserve"> un Latviju, veicinot partnerības un mobilitāti starp Latvijas Republiku un Norvēģiju, </w:t>
            </w:r>
            <w:proofErr w:type="spellStart"/>
            <w:r w:rsidRPr="00A8300E">
              <w:t>Īslandi</w:t>
            </w:r>
            <w:proofErr w:type="spellEnd"/>
            <w:r w:rsidRPr="00A8300E">
              <w:t xml:space="preserve"> un Lihtenšteinu, kā arī palielinot saikni starp sadarbību pētniecībā un stipendijām.</w:t>
            </w:r>
          </w:p>
          <w:p w:rsidR="00AB6DE1" w:rsidRPr="00A8300E" w:rsidRDefault="00AB6DE1" w:rsidP="00AB6DE1">
            <w:pPr>
              <w:jc w:val="both"/>
            </w:pPr>
            <w:r w:rsidRPr="00A8300E">
              <w:t>Programmā “Pētniecība un stipendijas” plānotas divas aktivitātes:</w:t>
            </w:r>
          </w:p>
          <w:p w:rsidR="00AB6DE1" w:rsidRPr="00A8300E" w:rsidRDefault="00AB6DE1" w:rsidP="00AB6DE1">
            <w:pPr>
              <w:numPr>
                <w:ilvl w:val="0"/>
                <w:numId w:val="14"/>
              </w:numPr>
              <w:jc w:val="both"/>
            </w:pPr>
            <w:r w:rsidRPr="00A8300E">
              <w:t>Stipendijas</w:t>
            </w:r>
            <w:r w:rsidR="00A8300E" w:rsidRPr="00A8300E">
              <w:t>;</w:t>
            </w:r>
          </w:p>
          <w:p w:rsidR="00AB6DE1" w:rsidRPr="00A8300E" w:rsidRDefault="00FD0E82" w:rsidP="00AB6DE1">
            <w:pPr>
              <w:numPr>
                <w:ilvl w:val="0"/>
                <w:numId w:val="14"/>
              </w:numPr>
              <w:jc w:val="both"/>
            </w:pPr>
            <w:r>
              <w:t>P</w:t>
            </w:r>
            <w:r w:rsidR="007C1468">
              <w:t>ētniecība</w:t>
            </w:r>
            <w:r w:rsidR="00A8300E" w:rsidRPr="00A8300E">
              <w:t>.</w:t>
            </w:r>
          </w:p>
          <w:p w:rsidR="00BA5A46" w:rsidRPr="00A8300E" w:rsidRDefault="00B070CE" w:rsidP="00BA5A46">
            <w:pPr>
              <w:jc w:val="both"/>
            </w:pPr>
            <w:r w:rsidRPr="00A8300E">
              <w:t xml:space="preserve">Pirms abu aktivitāšu uzsākšanas </w:t>
            </w:r>
            <w:r w:rsidR="00A8300E" w:rsidRPr="00A8300E">
              <w:t xml:space="preserve">divpusējās sadarbības fonda ietvaros </w:t>
            </w:r>
            <w:r w:rsidRPr="00A8300E">
              <w:t>paredzēts īstenot</w:t>
            </w:r>
            <w:r w:rsidR="00BA5A46" w:rsidRPr="00A8300E">
              <w:t xml:space="preserve"> sagatavošan</w:t>
            </w:r>
            <w:r w:rsidRPr="00A8300E">
              <w:t>a</w:t>
            </w:r>
            <w:r w:rsidR="00BA5A46" w:rsidRPr="00A8300E">
              <w:t xml:space="preserve">s </w:t>
            </w:r>
            <w:r w:rsidR="00A8300E" w:rsidRPr="00A8300E">
              <w:t>vizītes, lai sniegtu atbalstu potenciālajiem projektu iesniedzējiem programmas aktivitātēs „Stipendijas” un „Pētniecība”</w:t>
            </w:r>
            <w:r w:rsidR="00D74B88" w:rsidRPr="00A8300E">
              <w:t>.</w:t>
            </w:r>
          </w:p>
          <w:p w:rsidR="00AB6DE1" w:rsidRPr="00A8300E" w:rsidRDefault="008224E9" w:rsidP="00CD43A9">
            <w:pPr>
              <w:pStyle w:val="naiskr"/>
              <w:spacing w:before="0" w:after="0"/>
              <w:rPr>
                <w:iCs/>
              </w:rPr>
            </w:pPr>
            <w:r w:rsidRPr="00A8300E">
              <w:rPr>
                <w:iCs/>
              </w:rPr>
              <w:t>Ar noteikumu projektu paredzēts noteikt:</w:t>
            </w:r>
          </w:p>
          <w:p w:rsidR="008224E9" w:rsidRPr="00A8300E" w:rsidRDefault="008224E9" w:rsidP="008224E9">
            <w:pPr>
              <w:pStyle w:val="tvhtml1"/>
              <w:numPr>
                <w:ilvl w:val="0"/>
                <w:numId w:val="15"/>
              </w:numPr>
              <w:spacing w:before="0" w:beforeAutospacing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>vispārējos programmas īstenošanas nosacījumus, tai skaitā atbalstāmās darbības</w:t>
            </w:r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programmas ietvaros sasniedzamos rezultāta rādītājus, programmas īstenošanas kārtību, tai skaitā programmas apsaimniekotāja (Izglītības un </w:t>
            </w:r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zinātnes ministrijas) un aģentūras (Valsts izglītības attīstības aģentūras) funkcijas, finansējuma sadalījumu starp programmas aktivitātēm, </w:t>
            </w: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t>vispārīgos nosacījumus attiecināmajam</w:t>
            </w: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izmaks</w:t>
            </w:r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t>ām</w:t>
            </w: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programmas ietvaros</w:t>
            </w:r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izmaksu </w:t>
            </w:r>
            <w:proofErr w:type="spellStart"/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t>attiecināmības</w:t>
            </w:r>
            <w:proofErr w:type="spellEnd"/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periodu</w:t>
            </w: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:rsidR="008224E9" w:rsidRPr="00A8300E" w:rsidRDefault="008112D7" w:rsidP="008224E9">
            <w:pPr>
              <w:pStyle w:val="tvhtml1"/>
              <w:numPr>
                <w:ilvl w:val="0"/>
                <w:numId w:val="15"/>
              </w:numPr>
              <w:spacing w:before="0" w:beforeAutospacing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programmas sadarbības komitejas un programmas komitejas uzdevumus, kompetenci un funkcijas</w:t>
            </w:r>
            <w:r w:rsidR="008224E9" w:rsidRPr="00A8300E">
              <w:rPr>
                <w:rFonts w:ascii="Times New Roman" w:hAnsi="Times New Roman"/>
                <w:sz w:val="24"/>
                <w:szCs w:val="24"/>
                <w:lang w:val="lv-LV"/>
              </w:rPr>
              <w:t>;</w:t>
            </w:r>
          </w:p>
          <w:p w:rsidR="00D74B88" w:rsidRPr="00A8300E" w:rsidRDefault="008224E9" w:rsidP="00CA20D4">
            <w:pPr>
              <w:pStyle w:val="tvhtml1"/>
              <w:numPr>
                <w:ilvl w:val="0"/>
                <w:numId w:val="15"/>
              </w:numPr>
              <w:spacing w:before="0" w:beforeAutospacing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divpusējās sadarbības fonda projektu </w:t>
            </w:r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sagatavošanas vizīšu projektu</w:t>
            </w:r>
            <w:r w:rsidR="008112D7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iesniegumu </w:t>
            </w:r>
            <w:r w:rsidR="008112D7" w:rsidRPr="00A8300E">
              <w:rPr>
                <w:rFonts w:ascii="Times New Roman" w:hAnsi="Times New Roman"/>
                <w:sz w:val="24"/>
                <w:szCs w:val="24"/>
                <w:lang w:val="lv-LV"/>
              </w:rPr>
              <w:t>atklāta</w:t>
            </w:r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="008112D7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atlases </w:t>
            </w:r>
            <w:r w:rsidR="00BA5A46" w:rsidRPr="00A8300E">
              <w:rPr>
                <w:rFonts w:ascii="Times New Roman" w:hAnsi="Times New Roman"/>
                <w:sz w:val="24"/>
                <w:szCs w:val="24"/>
                <w:lang w:val="lv-LV"/>
              </w:rPr>
              <w:t>kārtību</w:t>
            </w:r>
            <w:r w:rsidR="008112D7">
              <w:rPr>
                <w:rFonts w:ascii="Times New Roman" w:hAnsi="Times New Roman"/>
                <w:sz w:val="24"/>
                <w:szCs w:val="24"/>
                <w:lang w:val="lv-LV"/>
              </w:rPr>
              <w:t>, tai skaitā vērtēšanas kritērijus</w:t>
            </w:r>
            <w:r w:rsidR="00D74B88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prasības projekta iesnieguma iesniedzējam.</w:t>
            </w:r>
          </w:p>
          <w:p w:rsidR="00AB6DE1" w:rsidRPr="00A8300E" w:rsidRDefault="00AB6DE1" w:rsidP="00CD43A9">
            <w:pPr>
              <w:pStyle w:val="naiskr"/>
              <w:spacing w:before="0" w:after="0"/>
              <w:rPr>
                <w:iCs/>
              </w:rPr>
            </w:pPr>
          </w:p>
          <w:p w:rsidR="00A15698" w:rsidRPr="00A8300E" w:rsidRDefault="00A15698" w:rsidP="008112D7">
            <w:pPr>
              <w:pStyle w:val="naiskr"/>
              <w:spacing w:before="0" w:after="0"/>
            </w:pPr>
          </w:p>
        </w:tc>
      </w:tr>
      <w:tr w:rsidR="00262E2B" w:rsidRPr="00A8300E" w:rsidTr="00F34066">
        <w:trPr>
          <w:trHeight w:val="476"/>
        </w:trPr>
        <w:tc>
          <w:tcPr>
            <w:tcW w:w="550" w:type="dxa"/>
          </w:tcPr>
          <w:p w:rsidR="00262E2B" w:rsidRPr="00A8300E" w:rsidRDefault="00262E2B" w:rsidP="00CD43A9">
            <w:pPr>
              <w:pStyle w:val="naiskr"/>
              <w:spacing w:before="0" w:after="0"/>
            </w:pPr>
            <w:r w:rsidRPr="00A8300E">
              <w:lastRenderedPageBreak/>
              <w:t>5.</w:t>
            </w:r>
          </w:p>
        </w:tc>
        <w:tc>
          <w:tcPr>
            <w:tcW w:w="3566" w:type="dxa"/>
          </w:tcPr>
          <w:p w:rsidR="00262E2B" w:rsidRPr="00A8300E" w:rsidRDefault="001A4066" w:rsidP="00CD43A9">
            <w:pPr>
              <w:pStyle w:val="naiskr"/>
              <w:spacing w:before="0" w:after="0"/>
            </w:pPr>
            <w:r w:rsidRPr="00A8300E">
              <w:t>Projekta i</w:t>
            </w:r>
            <w:r w:rsidR="00262E2B" w:rsidRPr="00A8300E">
              <w:t>zstrād</w:t>
            </w:r>
            <w:r w:rsidR="00420870" w:rsidRPr="00A8300E">
              <w:t xml:space="preserve">ē </w:t>
            </w:r>
            <w:r w:rsidR="00262E2B" w:rsidRPr="00A8300E">
              <w:t>iesaistītās institūcijas</w:t>
            </w:r>
          </w:p>
        </w:tc>
        <w:tc>
          <w:tcPr>
            <w:tcW w:w="5670" w:type="dxa"/>
          </w:tcPr>
          <w:p w:rsidR="00262E2B" w:rsidRPr="008112D7" w:rsidRDefault="00405091" w:rsidP="00A8300E">
            <w:pPr>
              <w:pStyle w:val="naiskr"/>
              <w:spacing w:before="0" w:after="0"/>
              <w:jc w:val="both"/>
            </w:pPr>
            <w:r w:rsidRPr="008112D7">
              <w:rPr>
                <w:color w:val="000000"/>
              </w:rPr>
              <w:t xml:space="preserve">Projektu ir izstrādājusi </w:t>
            </w:r>
            <w:r w:rsidR="00CD43A9" w:rsidRPr="008112D7">
              <w:rPr>
                <w:color w:val="000000"/>
              </w:rPr>
              <w:t xml:space="preserve">Izglītības un zinātnes </w:t>
            </w:r>
            <w:r w:rsidRPr="008112D7">
              <w:rPr>
                <w:color w:val="000000"/>
              </w:rPr>
              <w:t xml:space="preserve">ministrija sadarbībā ar </w:t>
            </w:r>
            <w:r w:rsidR="00CD43A9" w:rsidRPr="008112D7">
              <w:rPr>
                <w:color w:val="000000"/>
              </w:rPr>
              <w:t xml:space="preserve">Valsts izglītības attīstības </w:t>
            </w:r>
            <w:r w:rsidRPr="008112D7">
              <w:rPr>
                <w:color w:val="000000"/>
              </w:rPr>
              <w:t xml:space="preserve">aģentūru. </w:t>
            </w:r>
            <w:r w:rsidRPr="008112D7">
              <w:t>Projekta izstrādes gaitā ir notikušas konsultācijas ar</w:t>
            </w:r>
            <w:r w:rsidR="00CD43A9" w:rsidRPr="008112D7">
              <w:t xml:space="preserve"> nacionālo</w:t>
            </w:r>
            <w:r w:rsidRPr="008112D7">
              <w:t xml:space="preserve"> </w:t>
            </w:r>
            <w:r w:rsidR="00CD43A9" w:rsidRPr="008112D7">
              <w:t>atbildīgo</w:t>
            </w:r>
            <w:r w:rsidRPr="008112D7">
              <w:t xml:space="preserve"> iestādi</w:t>
            </w:r>
            <w:r w:rsidR="00995AE0" w:rsidRPr="008112D7">
              <w:t xml:space="preserve"> un </w:t>
            </w:r>
            <w:proofErr w:type="spellStart"/>
            <w:r w:rsidR="00995AE0" w:rsidRPr="008112D7">
              <w:t>donorvalstu</w:t>
            </w:r>
            <w:proofErr w:type="spellEnd"/>
            <w:r w:rsidR="00995AE0" w:rsidRPr="008112D7">
              <w:t xml:space="preserve"> partneriem</w:t>
            </w:r>
            <w:r w:rsidR="008112D7" w:rsidRPr="008112D7">
              <w:t>, jo saskaņā ar programmas īstenošanas nosacījumiem projektu iesniegumu vērtēšanas kritērijus un projekta iesnieguma veidlapu saskaņo programmas sadarbības komiteja un programmas komiteja.</w:t>
            </w:r>
          </w:p>
        </w:tc>
      </w:tr>
      <w:tr w:rsidR="00262E2B" w:rsidRPr="00A8300E" w:rsidTr="00F34066">
        <w:trPr>
          <w:trHeight w:val="705"/>
        </w:trPr>
        <w:tc>
          <w:tcPr>
            <w:tcW w:w="550" w:type="dxa"/>
          </w:tcPr>
          <w:p w:rsidR="00262E2B" w:rsidRPr="00A8300E" w:rsidRDefault="00262E2B" w:rsidP="00CD43A9">
            <w:pPr>
              <w:pStyle w:val="naiskr"/>
              <w:spacing w:before="0" w:after="0"/>
            </w:pPr>
            <w:r w:rsidRPr="00A8300E">
              <w:t>6.</w:t>
            </w:r>
          </w:p>
        </w:tc>
        <w:tc>
          <w:tcPr>
            <w:tcW w:w="3566" w:type="dxa"/>
          </w:tcPr>
          <w:p w:rsidR="00262E2B" w:rsidRPr="00A8300E" w:rsidRDefault="00BB7C94" w:rsidP="00CD43A9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A8300E">
              <w:t xml:space="preserve">Iemesli, kādēļ netika nodrošināta </w:t>
            </w:r>
            <w:r w:rsidR="00262E2B" w:rsidRPr="00A8300E">
              <w:t xml:space="preserve">sabiedrības </w:t>
            </w:r>
            <w:r w:rsidRPr="00A8300E">
              <w:t>līdzdalība</w:t>
            </w:r>
          </w:p>
        </w:tc>
        <w:tc>
          <w:tcPr>
            <w:tcW w:w="5670" w:type="dxa"/>
          </w:tcPr>
          <w:p w:rsidR="00D20FF4" w:rsidRPr="00A8300E" w:rsidRDefault="008112D7" w:rsidP="007C6082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C6082">
              <w:rPr>
                <w:sz w:val="24"/>
                <w:szCs w:val="24"/>
              </w:rPr>
              <w:t>av attieci</w:t>
            </w:r>
            <w:r>
              <w:rPr>
                <w:sz w:val="24"/>
                <w:szCs w:val="24"/>
              </w:rPr>
              <w:t>nāms</w:t>
            </w:r>
          </w:p>
        </w:tc>
      </w:tr>
      <w:tr w:rsidR="00262E2B" w:rsidRPr="00A8300E" w:rsidTr="00F34066">
        <w:tc>
          <w:tcPr>
            <w:tcW w:w="550" w:type="dxa"/>
          </w:tcPr>
          <w:p w:rsidR="00262E2B" w:rsidRPr="00A8300E" w:rsidRDefault="00262E2B" w:rsidP="00CD43A9">
            <w:pPr>
              <w:pStyle w:val="naiskr"/>
              <w:spacing w:before="0" w:after="0"/>
            </w:pPr>
            <w:r w:rsidRPr="00A8300E">
              <w:t>7.</w:t>
            </w:r>
          </w:p>
        </w:tc>
        <w:tc>
          <w:tcPr>
            <w:tcW w:w="3566" w:type="dxa"/>
          </w:tcPr>
          <w:p w:rsidR="00262E2B" w:rsidRPr="00A8300E" w:rsidRDefault="00262E2B" w:rsidP="00CD43A9">
            <w:pPr>
              <w:pStyle w:val="naiskr"/>
              <w:spacing w:before="0" w:after="0"/>
            </w:pPr>
            <w:r w:rsidRPr="00A8300E">
              <w:t>Cita informācija</w:t>
            </w:r>
          </w:p>
        </w:tc>
        <w:tc>
          <w:tcPr>
            <w:tcW w:w="5670" w:type="dxa"/>
          </w:tcPr>
          <w:p w:rsidR="00262E2B" w:rsidRPr="00A8300E" w:rsidRDefault="00FC6366" w:rsidP="00CD43A9">
            <w:pPr>
              <w:pStyle w:val="naiskr"/>
              <w:spacing w:before="0" w:after="0"/>
            </w:pPr>
            <w:r w:rsidRPr="00A8300E">
              <w:t>Nav</w:t>
            </w:r>
          </w:p>
        </w:tc>
      </w:tr>
    </w:tbl>
    <w:p w:rsidR="00852042" w:rsidRPr="00A8300E" w:rsidRDefault="00852042" w:rsidP="00CD43A9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3686"/>
        <w:gridCol w:w="5812"/>
      </w:tblGrid>
      <w:tr w:rsidR="0062298A" w:rsidRPr="00A8300E" w:rsidTr="00F34066">
        <w:tc>
          <w:tcPr>
            <w:tcW w:w="10070" w:type="dxa"/>
            <w:gridSpan w:val="3"/>
            <w:vAlign w:val="center"/>
          </w:tcPr>
          <w:p w:rsidR="0062298A" w:rsidRPr="00A8300E" w:rsidRDefault="0062298A" w:rsidP="00CD43A9">
            <w:pPr>
              <w:pStyle w:val="naisnod"/>
              <w:spacing w:before="0" w:after="0"/>
            </w:pPr>
            <w:r w:rsidRPr="00A8300E">
              <w:t>II</w:t>
            </w:r>
            <w:r w:rsidR="000941C5" w:rsidRPr="00A8300E">
              <w:t>.</w:t>
            </w:r>
            <w:r w:rsidRPr="00A8300E">
              <w:t xml:space="preserve"> Tiesību akta projekta ietekme uz sabiedrību</w:t>
            </w:r>
          </w:p>
        </w:tc>
      </w:tr>
      <w:tr w:rsidR="0062298A" w:rsidRPr="00A8300E" w:rsidTr="00F3712B">
        <w:trPr>
          <w:trHeight w:val="841"/>
        </w:trPr>
        <w:tc>
          <w:tcPr>
            <w:tcW w:w="572" w:type="dxa"/>
          </w:tcPr>
          <w:p w:rsidR="0062298A" w:rsidRPr="00A8300E" w:rsidRDefault="0062298A" w:rsidP="00CD43A9">
            <w:pPr>
              <w:pStyle w:val="naiskr"/>
              <w:spacing w:before="0" w:after="0"/>
            </w:pPr>
            <w:r w:rsidRPr="00A8300E">
              <w:t>1.</w:t>
            </w:r>
          </w:p>
        </w:tc>
        <w:tc>
          <w:tcPr>
            <w:tcW w:w="3686" w:type="dxa"/>
          </w:tcPr>
          <w:p w:rsidR="0062298A" w:rsidRPr="00A8300E" w:rsidRDefault="00C27A08" w:rsidP="00CD43A9">
            <w:pPr>
              <w:pStyle w:val="naiskr"/>
              <w:spacing w:before="0" w:after="0"/>
            </w:pPr>
            <w:r w:rsidRPr="00A8300E">
              <w:t xml:space="preserve">Sabiedrības </w:t>
            </w:r>
            <w:proofErr w:type="spellStart"/>
            <w:r w:rsidRPr="00A8300E">
              <w:t>mērķgrupa</w:t>
            </w:r>
            <w:proofErr w:type="spellEnd"/>
          </w:p>
        </w:tc>
        <w:tc>
          <w:tcPr>
            <w:tcW w:w="5812" w:type="dxa"/>
          </w:tcPr>
          <w:p w:rsidR="00D80572" w:rsidRPr="00A8300E" w:rsidRDefault="00D80572" w:rsidP="007C6082">
            <w:pPr>
              <w:pStyle w:val="NormalWeb"/>
              <w:jc w:val="both"/>
              <w:rPr>
                <w:iCs/>
              </w:rPr>
            </w:pPr>
            <w:r w:rsidRPr="00A8300E">
              <w:rPr>
                <w:iCs/>
              </w:rPr>
              <w:t xml:space="preserve">Latvijas </w:t>
            </w:r>
            <w:r w:rsidR="00F45C1A" w:rsidRPr="00A8300E">
              <w:rPr>
                <w:iCs/>
              </w:rPr>
              <w:t xml:space="preserve">un </w:t>
            </w:r>
            <w:proofErr w:type="spellStart"/>
            <w:r w:rsidR="00F45C1A" w:rsidRPr="00A8300E">
              <w:rPr>
                <w:iCs/>
              </w:rPr>
              <w:t>donorvalstu</w:t>
            </w:r>
            <w:proofErr w:type="spellEnd"/>
            <w:r w:rsidR="00F45C1A" w:rsidRPr="00A8300E">
              <w:rPr>
                <w:iCs/>
              </w:rPr>
              <w:t xml:space="preserve"> (</w:t>
            </w:r>
            <w:proofErr w:type="spellStart"/>
            <w:r w:rsidR="00F45C1A" w:rsidRPr="00A8300E">
              <w:rPr>
                <w:iCs/>
              </w:rPr>
              <w:t>Īslande</w:t>
            </w:r>
            <w:proofErr w:type="spellEnd"/>
            <w:r w:rsidR="00F45C1A" w:rsidRPr="00A8300E">
              <w:rPr>
                <w:iCs/>
              </w:rPr>
              <w:t xml:space="preserve">, Lihtenšteina, Norvēģija) </w:t>
            </w:r>
            <w:r w:rsidRPr="00A8300E">
              <w:rPr>
                <w:iCs/>
              </w:rPr>
              <w:t>valsts un privātās augstākās izglītības institūcijas</w:t>
            </w:r>
            <w:r w:rsidR="00924C83" w:rsidRPr="00A8300E">
              <w:rPr>
                <w:iCs/>
              </w:rPr>
              <w:t xml:space="preserve"> (tajā skaitā koledžas)</w:t>
            </w:r>
            <w:r w:rsidRPr="00A8300E">
              <w:rPr>
                <w:iCs/>
              </w:rPr>
              <w:t xml:space="preserve"> un Zinātnisko institūciju reģistrā reģistrētas Latvijas zinātniskās institūcijas</w:t>
            </w:r>
            <w:r w:rsidR="00F45C1A" w:rsidRPr="00A8300E">
              <w:rPr>
                <w:iCs/>
              </w:rPr>
              <w:t xml:space="preserve"> t</w:t>
            </w:r>
            <w:r w:rsidR="007C6082">
              <w:rPr>
                <w:iCs/>
              </w:rPr>
              <w:t>o</w:t>
            </w:r>
            <w:r w:rsidR="00F45C1A" w:rsidRPr="00A8300E">
              <w:rPr>
                <w:iCs/>
              </w:rPr>
              <w:t xml:space="preserve"> nesaimniecisko darbību ietvaros</w:t>
            </w:r>
            <w:r w:rsidR="007C6082">
              <w:rPr>
                <w:iCs/>
              </w:rPr>
              <w:t>.</w:t>
            </w:r>
            <w:r w:rsidRPr="00A8300E">
              <w:rPr>
                <w:iCs/>
              </w:rPr>
              <w:t xml:space="preserve"> </w:t>
            </w:r>
          </w:p>
          <w:p w:rsidR="0062298A" w:rsidRPr="00A8300E" w:rsidRDefault="0062298A" w:rsidP="00CD43A9">
            <w:pPr>
              <w:pStyle w:val="naiskr"/>
              <w:spacing w:before="0" w:after="0"/>
              <w:ind w:hanging="57"/>
            </w:pPr>
          </w:p>
        </w:tc>
      </w:tr>
      <w:tr w:rsidR="0062298A" w:rsidRPr="00A8300E" w:rsidTr="00F34066">
        <w:trPr>
          <w:trHeight w:val="523"/>
        </w:trPr>
        <w:tc>
          <w:tcPr>
            <w:tcW w:w="572" w:type="dxa"/>
          </w:tcPr>
          <w:p w:rsidR="0062298A" w:rsidRPr="00A8300E" w:rsidRDefault="0062298A" w:rsidP="00CD43A9">
            <w:pPr>
              <w:pStyle w:val="naiskr"/>
              <w:spacing w:before="0" w:after="0"/>
            </w:pPr>
            <w:r w:rsidRPr="00A8300E">
              <w:t>2.</w:t>
            </w:r>
          </w:p>
        </w:tc>
        <w:tc>
          <w:tcPr>
            <w:tcW w:w="3686" w:type="dxa"/>
          </w:tcPr>
          <w:p w:rsidR="00C1133D" w:rsidRPr="00A8300E" w:rsidRDefault="00C27A08" w:rsidP="00CD43A9">
            <w:pPr>
              <w:pStyle w:val="naiskr"/>
              <w:spacing w:before="0" w:after="0"/>
            </w:pPr>
            <w:r w:rsidRPr="00A8300E">
              <w:t xml:space="preserve">Citas sabiedrības grupas (bez </w:t>
            </w:r>
            <w:proofErr w:type="spellStart"/>
            <w:r w:rsidRPr="00A8300E">
              <w:t>mērķgrupas</w:t>
            </w:r>
            <w:proofErr w:type="spellEnd"/>
            <w:r w:rsidRPr="00A8300E">
              <w:t>), kuras tiesiskais regulējums arī ietekmē vai varētu ietekmēt</w:t>
            </w:r>
          </w:p>
        </w:tc>
        <w:tc>
          <w:tcPr>
            <w:tcW w:w="5812" w:type="dxa"/>
          </w:tcPr>
          <w:p w:rsidR="00FC6366" w:rsidRPr="00A8300E" w:rsidRDefault="00FC6366" w:rsidP="00CD43A9">
            <w:pPr>
              <w:pStyle w:val="naiskr"/>
              <w:spacing w:before="0" w:after="0"/>
              <w:ind w:right="114"/>
              <w:jc w:val="both"/>
            </w:pPr>
            <w:r w:rsidRPr="00A8300E">
              <w:t>Noteikumu projekts šo jomu neskar</w:t>
            </w:r>
          </w:p>
          <w:p w:rsidR="0062298A" w:rsidRPr="00A8300E" w:rsidRDefault="0062298A" w:rsidP="00CD43A9">
            <w:pPr>
              <w:pStyle w:val="naiskr"/>
              <w:spacing w:before="0" w:after="0"/>
            </w:pPr>
          </w:p>
        </w:tc>
      </w:tr>
      <w:tr w:rsidR="0062298A" w:rsidRPr="00A8300E" w:rsidTr="00F34066">
        <w:trPr>
          <w:trHeight w:val="517"/>
        </w:trPr>
        <w:tc>
          <w:tcPr>
            <w:tcW w:w="572" w:type="dxa"/>
          </w:tcPr>
          <w:p w:rsidR="0062298A" w:rsidRPr="00A8300E" w:rsidRDefault="0062298A" w:rsidP="00CD43A9">
            <w:pPr>
              <w:pStyle w:val="naiskr"/>
              <w:spacing w:before="0" w:after="0"/>
            </w:pPr>
            <w:r w:rsidRPr="00A8300E">
              <w:t>3.</w:t>
            </w:r>
          </w:p>
        </w:tc>
        <w:tc>
          <w:tcPr>
            <w:tcW w:w="3686" w:type="dxa"/>
          </w:tcPr>
          <w:p w:rsidR="00C1133D" w:rsidRPr="00A8300E" w:rsidRDefault="000C790C" w:rsidP="00CD43A9">
            <w:pPr>
              <w:pStyle w:val="naiskr"/>
              <w:spacing w:before="0" w:after="0"/>
            </w:pPr>
            <w:r w:rsidRPr="00A8300E">
              <w:t>Tiesiskā r</w:t>
            </w:r>
            <w:r w:rsidR="003D21FF" w:rsidRPr="00A8300E">
              <w:t>egulējuma</w:t>
            </w:r>
            <w:r w:rsidR="00C27A08" w:rsidRPr="00A8300E">
              <w:t xml:space="preserve"> finansiālā ietekme</w:t>
            </w:r>
          </w:p>
        </w:tc>
        <w:tc>
          <w:tcPr>
            <w:tcW w:w="5812" w:type="dxa"/>
          </w:tcPr>
          <w:p w:rsidR="0062298A" w:rsidRPr="00A8300E" w:rsidRDefault="00C75EE5" w:rsidP="007C6082">
            <w:pPr>
              <w:pStyle w:val="naiskr"/>
              <w:spacing w:before="0" w:after="0"/>
              <w:jc w:val="both"/>
            </w:pPr>
            <w:r w:rsidRPr="007C6082">
              <w:rPr>
                <w:iCs/>
              </w:rPr>
              <w:t xml:space="preserve">Pēc noteikumu projekta apstiprināšanas </w:t>
            </w:r>
            <w:r w:rsidRPr="007C6082">
              <w:t>līdzfinansējuma saņēmējam būs pieejams finansējums EUR</w:t>
            </w:r>
            <w:r w:rsidR="007C6082" w:rsidRPr="007C6082">
              <w:t xml:space="preserve"> 73 470 </w:t>
            </w:r>
            <w:r w:rsidRPr="007C6082">
              <w:t xml:space="preserve">apmērā divpusējās sadarbības fonda </w:t>
            </w:r>
            <w:r w:rsidR="007C6082" w:rsidRPr="007C6082">
              <w:t xml:space="preserve">projektu sagatavošanas vizīšu  </w:t>
            </w:r>
            <w:r w:rsidRPr="007C6082">
              <w:t>projektu īstenošanai.</w:t>
            </w:r>
          </w:p>
        </w:tc>
      </w:tr>
      <w:tr w:rsidR="00C27A08" w:rsidRPr="00A8300E" w:rsidTr="00F34066">
        <w:trPr>
          <w:trHeight w:val="517"/>
        </w:trPr>
        <w:tc>
          <w:tcPr>
            <w:tcW w:w="572" w:type="dxa"/>
          </w:tcPr>
          <w:p w:rsidR="00C27A08" w:rsidRPr="00A8300E" w:rsidRDefault="00C27A08" w:rsidP="00CD43A9">
            <w:pPr>
              <w:pStyle w:val="naiskr"/>
              <w:spacing w:before="0" w:after="0"/>
            </w:pPr>
            <w:r w:rsidRPr="00A8300E">
              <w:t>4.</w:t>
            </w:r>
          </w:p>
        </w:tc>
        <w:tc>
          <w:tcPr>
            <w:tcW w:w="3686" w:type="dxa"/>
          </w:tcPr>
          <w:p w:rsidR="00C27A08" w:rsidRPr="00A8300E" w:rsidRDefault="00C27A08" w:rsidP="00CD43A9">
            <w:pPr>
              <w:pStyle w:val="naiskr"/>
              <w:spacing w:before="0" w:after="0"/>
            </w:pPr>
            <w:r w:rsidRPr="00A8300E">
              <w:t>Tiesiskā regulējuma nefinansiālā ietekme</w:t>
            </w:r>
          </w:p>
        </w:tc>
        <w:tc>
          <w:tcPr>
            <w:tcW w:w="5812" w:type="dxa"/>
          </w:tcPr>
          <w:p w:rsidR="00C75EE5" w:rsidRPr="00A8300E" w:rsidRDefault="00C75EE5" w:rsidP="00C75EE5">
            <w:pPr>
              <w:pStyle w:val="naiskr"/>
              <w:spacing w:before="0" w:after="0"/>
              <w:ind w:right="114"/>
              <w:jc w:val="both"/>
            </w:pPr>
            <w:r w:rsidRPr="00A8300E">
              <w:t>Noteikumu projekts šo jomu neskar</w:t>
            </w:r>
          </w:p>
          <w:p w:rsidR="00C27A08" w:rsidRPr="00A8300E" w:rsidRDefault="00C27A08" w:rsidP="00CD43A9">
            <w:pPr>
              <w:pStyle w:val="naiskr"/>
              <w:spacing w:before="0" w:after="0"/>
            </w:pPr>
          </w:p>
        </w:tc>
      </w:tr>
      <w:tr w:rsidR="0062298A" w:rsidRPr="00A8300E" w:rsidTr="00F34066">
        <w:trPr>
          <w:trHeight w:val="531"/>
        </w:trPr>
        <w:tc>
          <w:tcPr>
            <w:tcW w:w="572" w:type="dxa"/>
          </w:tcPr>
          <w:p w:rsidR="0062298A" w:rsidRPr="00A8300E" w:rsidRDefault="00C27A08" w:rsidP="00CD43A9">
            <w:pPr>
              <w:pStyle w:val="naiskr"/>
              <w:spacing w:before="0" w:after="0"/>
            </w:pPr>
            <w:r w:rsidRPr="00A8300E">
              <w:t>5</w:t>
            </w:r>
            <w:r w:rsidR="0062298A" w:rsidRPr="00A8300E">
              <w:t>.</w:t>
            </w:r>
          </w:p>
        </w:tc>
        <w:tc>
          <w:tcPr>
            <w:tcW w:w="3686" w:type="dxa"/>
          </w:tcPr>
          <w:p w:rsidR="00C1133D" w:rsidRPr="00A8300E" w:rsidRDefault="00C1133D" w:rsidP="00CD43A9">
            <w:pPr>
              <w:pStyle w:val="naiskr"/>
              <w:spacing w:before="0" w:after="0"/>
            </w:pPr>
            <w:r w:rsidRPr="00A8300E">
              <w:t>Administratīv</w:t>
            </w:r>
            <w:r w:rsidR="00C27A08" w:rsidRPr="00A8300E">
              <w:t>ās</w:t>
            </w:r>
            <w:r w:rsidRPr="00A8300E">
              <w:t xml:space="preserve"> procedūr</w:t>
            </w:r>
            <w:r w:rsidR="00965897" w:rsidRPr="00A8300E">
              <w:t>a</w:t>
            </w:r>
            <w:r w:rsidRPr="00A8300E">
              <w:t xml:space="preserve">s </w:t>
            </w:r>
            <w:r w:rsidR="00C27A08" w:rsidRPr="00A8300E">
              <w:t>raksturojums</w:t>
            </w:r>
          </w:p>
        </w:tc>
        <w:tc>
          <w:tcPr>
            <w:tcW w:w="5812" w:type="dxa"/>
          </w:tcPr>
          <w:p w:rsidR="00C75EE5" w:rsidRDefault="002635AC" w:rsidP="00C75EE5">
            <w:pPr>
              <w:pStyle w:val="naiskr"/>
              <w:spacing w:before="0" w:after="0"/>
              <w:ind w:right="114"/>
              <w:jc w:val="both"/>
            </w:pPr>
            <w:r>
              <w:t xml:space="preserve">Noteikumu projektā paredzēts programmas īstenošanai nepieciešamo administratīvo darbību precīzs sadalījums </w:t>
            </w:r>
            <w:r>
              <w:lastRenderedPageBreak/>
              <w:t>starp programmas apsaimniekotāju (Izglītības un zinātnes ministriju) un aģentūru (Valsts izglītības attīstības aģentūru) tād</w:t>
            </w:r>
            <w:r w:rsidR="00DF27C2">
              <w:t>ē</w:t>
            </w:r>
            <w:r>
              <w:t xml:space="preserve">jādi potenciālajiem projektu iesniedzējiem būs pieejama precīza informācija, kā arī noteikta projektu iesniegumu iesniegšanas kārtība </w:t>
            </w:r>
            <w:r w:rsidR="009D457C">
              <w:t>programmas divpusējās sadarbības fonda projektu sagatavošanas vizīšu projektu iesniegumu iesniegšanai</w:t>
            </w:r>
            <w:r w:rsidR="00F671A1">
              <w:t>, tai skaitā paredzot projektu iesniegumus iesniegt elektroniska dokumenta veidā, kas parakstīts ar drošu elektronisko parakstu</w:t>
            </w:r>
            <w:r w:rsidR="009D457C">
              <w:t xml:space="preserve">. </w:t>
            </w:r>
          </w:p>
          <w:p w:rsidR="009D457C" w:rsidRPr="00A8300E" w:rsidRDefault="009D457C" w:rsidP="00C75EE5">
            <w:pPr>
              <w:pStyle w:val="naiskr"/>
              <w:spacing w:before="0" w:after="0"/>
              <w:ind w:right="114"/>
              <w:jc w:val="both"/>
            </w:pPr>
            <w:r>
              <w:t xml:space="preserve">Noteikumu projektā ir arī noteikts pienākums </w:t>
            </w:r>
            <w:r w:rsidR="00644936" w:rsidRPr="004D6C32">
              <w:t xml:space="preserve"> divpusējā sadarbība</w:t>
            </w:r>
            <w:r w:rsidR="00644936">
              <w:t xml:space="preserve">s fonda līdzfinansējuma saņēmējiem </w:t>
            </w:r>
            <w:r>
              <w:t xml:space="preserve"> visus ar projekta īstenošanu saistītos dokumentus uzglabāt atbilstoši Vadības likuma 16.pantā noteiktajam termiņam.</w:t>
            </w:r>
          </w:p>
          <w:p w:rsidR="0062298A" w:rsidRPr="00A8300E" w:rsidRDefault="0062298A" w:rsidP="00CD43A9">
            <w:pPr>
              <w:pStyle w:val="naiskr"/>
              <w:spacing w:before="0" w:after="0"/>
            </w:pPr>
          </w:p>
        </w:tc>
      </w:tr>
      <w:tr w:rsidR="0062298A" w:rsidRPr="00A8300E" w:rsidTr="00F34066">
        <w:trPr>
          <w:trHeight w:val="357"/>
        </w:trPr>
        <w:tc>
          <w:tcPr>
            <w:tcW w:w="572" w:type="dxa"/>
          </w:tcPr>
          <w:p w:rsidR="0062298A" w:rsidRPr="00A8300E" w:rsidRDefault="00C27A08" w:rsidP="00CD43A9">
            <w:pPr>
              <w:pStyle w:val="naiskr"/>
              <w:spacing w:before="0" w:after="0"/>
            </w:pPr>
            <w:r w:rsidRPr="00A8300E">
              <w:lastRenderedPageBreak/>
              <w:t>6</w:t>
            </w:r>
            <w:r w:rsidR="0062298A" w:rsidRPr="00A8300E">
              <w:t>.</w:t>
            </w:r>
          </w:p>
        </w:tc>
        <w:tc>
          <w:tcPr>
            <w:tcW w:w="3686" w:type="dxa"/>
          </w:tcPr>
          <w:p w:rsidR="00AE5066" w:rsidRPr="00A8300E" w:rsidRDefault="00C27A08" w:rsidP="00CD43A9">
            <w:pPr>
              <w:pStyle w:val="naiskr"/>
              <w:spacing w:before="0" w:after="0"/>
            </w:pPr>
            <w:r w:rsidRPr="00A8300E">
              <w:t xml:space="preserve">Administratīvo izmaksu </w:t>
            </w:r>
            <w:r w:rsidR="00502374" w:rsidRPr="00A8300E">
              <w:t xml:space="preserve">monetārs </w:t>
            </w:r>
            <w:r w:rsidRPr="00A8300E">
              <w:t>novērtējums</w:t>
            </w:r>
          </w:p>
        </w:tc>
        <w:tc>
          <w:tcPr>
            <w:tcW w:w="5812" w:type="dxa"/>
          </w:tcPr>
          <w:p w:rsidR="00C75EE5" w:rsidRPr="00A8300E" w:rsidRDefault="00C75EE5" w:rsidP="00C75EE5">
            <w:pPr>
              <w:pStyle w:val="naiskr"/>
              <w:spacing w:before="0" w:after="0"/>
              <w:ind w:right="114"/>
              <w:jc w:val="both"/>
            </w:pPr>
            <w:r w:rsidRPr="00A8300E">
              <w:t>Noteikumu projekts šo jomu neskar</w:t>
            </w:r>
          </w:p>
          <w:p w:rsidR="0062298A" w:rsidRPr="00A8300E" w:rsidRDefault="0062298A" w:rsidP="00CD43A9">
            <w:pPr>
              <w:pStyle w:val="naiskr"/>
              <w:spacing w:before="0" w:after="0"/>
            </w:pPr>
          </w:p>
        </w:tc>
      </w:tr>
      <w:tr w:rsidR="0062298A" w:rsidRPr="00A8300E" w:rsidTr="00F34066">
        <w:tc>
          <w:tcPr>
            <w:tcW w:w="572" w:type="dxa"/>
          </w:tcPr>
          <w:p w:rsidR="0062298A" w:rsidRPr="00A8300E" w:rsidRDefault="00C27A08" w:rsidP="00CD43A9">
            <w:pPr>
              <w:pStyle w:val="naiskr"/>
              <w:spacing w:before="0" w:after="0"/>
            </w:pPr>
            <w:r w:rsidRPr="00A8300E">
              <w:t>7</w:t>
            </w:r>
            <w:r w:rsidR="0062298A" w:rsidRPr="00A8300E">
              <w:t>.</w:t>
            </w:r>
          </w:p>
        </w:tc>
        <w:tc>
          <w:tcPr>
            <w:tcW w:w="3686" w:type="dxa"/>
          </w:tcPr>
          <w:p w:rsidR="0062298A" w:rsidRPr="00A8300E" w:rsidRDefault="009E12D7" w:rsidP="00CD43A9">
            <w:pPr>
              <w:pStyle w:val="naiskr"/>
              <w:spacing w:before="0" w:after="0"/>
            </w:pPr>
            <w:r w:rsidRPr="00A8300E">
              <w:t>Cita informācija</w:t>
            </w:r>
          </w:p>
        </w:tc>
        <w:tc>
          <w:tcPr>
            <w:tcW w:w="5812" w:type="dxa"/>
          </w:tcPr>
          <w:p w:rsidR="00C75EE5" w:rsidRPr="00A8300E" w:rsidRDefault="0062298A" w:rsidP="00C75EE5">
            <w:pPr>
              <w:pStyle w:val="naiskr"/>
              <w:spacing w:before="0" w:after="0"/>
            </w:pPr>
            <w:r w:rsidRPr="00A8300E">
              <w:t>Nav</w:t>
            </w:r>
          </w:p>
        </w:tc>
      </w:tr>
    </w:tbl>
    <w:p w:rsidR="008C5649" w:rsidRPr="00A8300E" w:rsidRDefault="008C5649" w:rsidP="00CD43A9">
      <w:pPr>
        <w:pStyle w:val="naisf"/>
        <w:spacing w:before="0" w:after="0"/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4"/>
        <w:gridCol w:w="1331"/>
        <w:gridCol w:w="1354"/>
        <w:gridCol w:w="1354"/>
        <w:gridCol w:w="1355"/>
        <w:gridCol w:w="1406"/>
      </w:tblGrid>
      <w:tr w:rsidR="00124F12" w:rsidRPr="00A8300E">
        <w:trPr>
          <w:trHeight w:val="652"/>
          <w:jc w:val="center"/>
        </w:trPr>
        <w:tc>
          <w:tcPr>
            <w:tcW w:w="10124" w:type="dxa"/>
            <w:gridSpan w:val="6"/>
          </w:tcPr>
          <w:p w:rsidR="00124F12" w:rsidRPr="00A8300E" w:rsidRDefault="00124F12" w:rsidP="00CD43A9">
            <w:pPr>
              <w:pStyle w:val="naisnod"/>
              <w:spacing w:before="0" w:after="0"/>
              <w:rPr>
                <w:i/>
              </w:rPr>
            </w:pPr>
            <w:r w:rsidRPr="00A8300E">
              <w:br w:type="page"/>
              <w:t>III</w:t>
            </w:r>
            <w:r w:rsidR="000941C5" w:rsidRPr="00A8300E">
              <w:t>.</w:t>
            </w:r>
            <w:r w:rsidRPr="00A8300E">
              <w:t xml:space="preserve"> Tiesību akta projekta ietekme uz valsts budžetu un pašvaldību budžetiem</w:t>
            </w:r>
          </w:p>
        </w:tc>
      </w:tr>
      <w:tr w:rsidR="00124F12" w:rsidRPr="00A8300E">
        <w:trPr>
          <w:jc w:val="center"/>
        </w:trPr>
        <w:tc>
          <w:tcPr>
            <w:tcW w:w="3324" w:type="dxa"/>
            <w:vMerge w:val="restart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8300E">
              <w:rPr>
                <w:b/>
              </w:rPr>
              <w:t>Rādītāji</w:t>
            </w:r>
          </w:p>
        </w:tc>
        <w:tc>
          <w:tcPr>
            <w:tcW w:w="2685" w:type="dxa"/>
            <w:gridSpan w:val="2"/>
            <w:vMerge w:val="restart"/>
            <w:vAlign w:val="center"/>
          </w:tcPr>
          <w:p w:rsidR="00124F12" w:rsidRPr="00A8300E" w:rsidRDefault="00EC4E4C" w:rsidP="00CD43A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8300E">
              <w:rPr>
                <w:b/>
              </w:rPr>
              <w:t>2013.</w:t>
            </w:r>
            <w:r w:rsidR="00124F12" w:rsidRPr="00A8300E">
              <w:rPr>
                <w:b/>
              </w:rPr>
              <w:t xml:space="preserve"> gads</w:t>
            </w:r>
          </w:p>
        </w:tc>
        <w:tc>
          <w:tcPr>
            <w:tcW w:w="4115" w:type="dxa"/>
            <w:gridSpan w:val="3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A8300E">
              <w:t>Turpmākie trīs gadi</w:t>
            </w:r>
            <w:r w:rsidR="009E12D7" w:rsidRPr="00A8300E">
              <w:t xml:space="preserve"> (tūkst. latu)</w:t>
            </w:r>
          </w:p>
        </w:tc>
      </w:tr>
      <w:tr w:rsidR="00124F12" w:rsidRPr="00A8300E">
        <w:trPr>
          <w:jc w:val="center"/>
        </w:trPr>
        <w:tc>
          <w:tcPr>
            <w:tcW w:w="3324" w:type="dxa"/>
            <w:vMerge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54" w:type="dxa"/>
            <w:vAlign w:val="center"/>
          </w:tcPr>
          <w:p w:rsidR="00124F12" w:rsidRPr="00A8300E" w:rsidRDefault="00EC4E4C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A8300E">
              <w:rPr>
                <w:b/>
                <w:bCs/>
              </w:rPr>
              <w:t>2014.</w:t>
            </w:r>
          </w:p>
        </w:tc>
        <w:tc>
          <w:tcPr>
            <w:tcW w:w="1355" w:type="dxa"/>
            <w:vAlign w:val="center"/>
          </w:tcPr>
          <w:p w:rsidR="00124F12" w:rsidRPr="00A8300E" w:rsidRDefault="00EC4E4C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A8300E">
              <w:rPr>
                <w:b/>
                <w:bCs/>
              </w:rPr>
              <w:t>2015.</w:t>
            </w:r>
          </w:p>
        </w:tc>
        <w:tc>
          <w:tcPr>
            <w:tcW w:w="1406" w:type="dxa"/>
            <w:vAlign w:val="center"/>
          </w:tcPr>
          <w:p w:rsidR="00124F12" w:rsidRPr="00A8300E" w:rsidRDefault="00EC4E4C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A8300E">
              <w:rPr>
                <w:b/>
                <w:bCs/>
              </w:rPr>
              <w:t>2016.</w:t>
            </w:r>
          </w:p>
        </w:tc>
      </w:tr>
      <w:tr w:rsidR="00124F12" w:rsidRPr="00A8300E">
        <w:trPr>
          <w:jc w:val="center"/>
        </w:trPr>
        <w:tc>
          <w:tcPr>
            <w:tcW w:w="3324" w:type="dxa"/>
            <w:vMerge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31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A8300E">
              <w:t>Saskaņā ar valsts budžetu kārtējam gadam</w:t>
            </w:r>
          </w:p>
        </w:tc>
        <w:tc>
          <w:tcPr>
            <w:tcW w:w="1354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A8300E">
              <w:t>Izmaiņas kārtējā gadā</w:t>
            </w:r>
            <w:r w:rsidR="009E12D7" w:rsidRPr="00A8300E">
              <w:t>,</w:t>
            </w:r>
            <w:r w:rsidRPr="00A8300E">
              <w:t xml:space="preserve"> salīdzinot ar budžetu kārtējam gadam</w:t>
            </w:r>
          </w:p>
        </w:tc>
        <w:tc>
          <w:tcPr>
            <w:tcW w:w="1354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A8300E">
              <w:t>Izmaiņas</w:t>
            </w:r>
            <w:r w:rsidR="00182C18" w:rsidRPr="00A8300E">
              <w:t>,</w:t>
            </w:r>
            <w:r w:rsidRPr="00A8300E">
              <w:t xml:space="preserve"> salīdzinot ar kārtējo (n) gadu</w:t>
            </w:r>
          </w:p>
        </w:tc>
        <w:tc>
          <w:tcPr>
            <w:tcW w:w="1355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A8300E">
              <w:t>Izmaiņas</w:t>
            </w:r>
            <w:r w:rsidR="00182C18" w:rsidRPr="00A8300E">
              <w:t>,</w:t>
            </w:r>
            <w:r w:rsidRPr="00A8300E">
              <w:t xml:space="preserve"> salīdzinot ar kārtējo (n) gadu</w:t>
            </w:r>
          </w:p>
        </w:tc>
        <w:tc>
          <w:tcPr>
            <w:tcW w:w="1406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A8300E">
              <w:t>Izmaiņas</w:t>
            </w:r>
            <w:r w:rsidR="00182C18" w:rsidRPr="00A8300E">
              <w:t>,</w:t>
            </w:r>
            <w:r w:rsidRPr="00A8300E">
              <w:t xml:space="preserve"> salīdzinot ar kārtējo (n) gadu</w:t>
            </w:r>
          </w:p>
        </w:tc>
      </w:tr>
      <w:tr w:rsidR="00124F12" w:rsidRPr="00A8300E">
        <w:trPr>
          <w:jc w:val="center"/>
        </w:trPr>
        <w:tc>
          <w:tcPr>
            <w:tcW w:w="3324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A8300E">
              <w:rPr>
                <w:bCs/>
              </w:rPr>
              <w:t>1</w:t>
            </w:r>
          </w:p>
        </w:tc>
        <w:tc>
          <w:tcPr>
            <w:tcW w:w="1331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A8300E">
              <w:rPr>
                <w:bCs/>
              </w:rPr>
              <w:t>2</w:t>
            </w:r>
          </w:p>
        </w:tc>
        <w:tc>
          <w:tcPr>
            <w:tcW w:w="1354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A8300E">
              <w:rPr>
                <w:bCs/>
              </w:rPr>
              <w:t>3</w:t>
            </w:r>
          </w:p>
        </w:tc>
        <w:tc>
          <w:tcPr>
            <w:tcW w:w="1354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A8300E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A8300E">
              <w:rPr>
                <w:bCs/>
              </w:rPr>
              <w:t>5</w:t>
            </w:r>
          </w:p>
        </w:tc>
        <w:tc>
          <w:tcPr>
            <w:tcW w:w="1406" w:type="dxa"/>
            <w:vAlign w:val="center"/>
          </w:tcPr>
          <w:p w:rsidR="00124F12" w:rsidRPr="00A8300E" w:rsidRDefault="00124F12" w:rsidP="00CD43A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A8300E">
              <w:rPr>
                <w:bCs/>
              </w:rPr>
              <w:t>6</w:t>
            </w: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  <w:r w:rsidRPr="00A8300E">
              <w:t>1. Budžeta ieņēmumi:</w:t>
            </w:r>
          </w:p>
        </w:tc>
        <w:tc>
          <w:tcPr>
            <w:tcW w:w="1331" w:type="dxa"/>
          </w:tcPr>
          <w:p w:rsidR="00C43FA3" w:rsidRPr="00CC03F9" w:rsidRDefault="00633AA0" w:rsidP="000F0374">
            <w:pPr>
              <w:pStyle w:val="naisf"/>
              <w:spacing w:before="0" w:after="0"/>
              <w:ind w:firstLine="0"/>
              <w:rPr>
                <w:i/>
              </w:rPr>
            </w:pPr>
            <w:r>
              <w:rPr>
                <w:i/>
              </w:rPr>
              <w:t>226</w:t>
            </w:r>
            <w:r w:rsidR="00E008BF" w:rsidRPr="00CC03F9">
              <w:rPr>
                <w:i/>
              </w:rPr>
              <w:t>,</w:t>
            </w:r>
            <w:r>
              <w:rPr>
                <w:i/>
              </w:rPr>
              <w:t>2</w:t>
            </w:r>
            <w:r w:rsidR="00C43FA3" w:rsidRPr="00CC03F9">
              <w:rPr>
                <w:i/>
              </w:rPr>
              <w:t xml:space="preserve"> Ls</w:t>
            </w:r>
          </w:p>
          <w:p w:rsidR="00C43FA3" w:rsidRPr="00CC03F9" w:rsidRDefault="00633AA0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>
              <w:rPr>
                <w:i/>
              </w:rPr>
              <w:t>321</w:t>
            </w:r>
            <w:r w:rsidR="00E008BF" w:rsidRPr="00CC03F9">
              <w:rPr>
                <w:i/>
              </w:rPr>
              <w:t>,</w:t>
            </w:r>
            <w:r>
              <w:rPr>
                <w:i/>
              </w:rPr>
              <w:t>8</w:t>
            </w:r>
            <w:r w:rsidR="00C43FA3" w:rsidRPr="00CC03F9">
              <w:rPr>
                <w:i/>
              </w:rPr>
              <w:t xml:space="preserve"> </w:t>
            </w:r>
            <w:r w:rsidR="00C43FA3" w:rsidRPr="00CC03F9">
              <w:t>€</w:t>
            </w:r>
          </w:p>
        </w:tc>
        <w:tc>
          <w:tcPr>
            <w:tcW w:w="1354" w:type="dxa"/>
          </w:tcPr>
          <w:p w:rsidR="009277F7" w:rsidRPr="00CC03F9" w:rsidRDefault="009277F7" w:rsidP="006D2CF8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487838" w:rsidP="00CD43A9">
            <w:pPr>
              <w:pStyle w:val="naisf"/>
              <w:spacing w:before="0" w:after="0"/>
              <w:ind w:firstLine="0"/>
              <w:rPr>
                <w:i/>
              </w:rPr>
            </w:pPr>
            <w:r w:rsidRPr="00CC03F9">
              <w:rPr>
                <w:i/>
              </w:rPr>
              <w:t xml:space="preserve">1324,8 </w:t>
            </w:r>
            <w:r w:rsidR="00C43FA3" w:rsidRPr="00CC03F9">
              <w:rPr>
                <w:i/>
              </w:rPr>
              <w:t>Ls</w:t>
            </w:r>
          </w:p>
          <w:p w:rsidR="00C43FA3" w:rsidRPr="00CC03F9" w:rsidRDefault="00487838" w:rsidP="006D2CF8">
            <w:pPr>
              <w:pStyle w:val="naisf"/>
              <w:spacing w:before="0" w:after="0"/>
              <w:ind w:firstLine="0"/>
              <w:rPr>
                <w:i/>
              </w:rPr>
            </w:pPr>
            <w:r w:rsidRPr="00CC03F9">
              <w:rPr>
                <w:i/>
              </w:rPr>
              <w:t>1885</w:t>
            </w:r>
            <w:r w:rsidR="00C43FA3" w:rsidRPr="00CC03F9">
              <w:rPr>
                <w:i/>
              </w:rPr>
              <w:t xml:space="preserve"> </w:t>
            </w:r>
            <w:r w:rsidR="00C43FA3" w:rsidRPr="00CC03F9">
              <w:t>€</w:t>
            </w:r>
          </w:p>
        </w:tc>
        <w:tc>
          <w:tcPr>
            <w:tcW w:w="1355" w:type="dxa"/>
          </w:tcPr>
          <w:p w:rsidR="00C43FA3" w:rsidRPr="00CC03F9" w:rsidRDefault="00487838" w:rsidP="00CD43A9">
            <w:pPr>
              <w:pStyle w:val="naisf"/>
              <w:spacing w:before="0" w:after="0"/>
              <w:ind w:firstLine="0"/>
              <w:rPr>
                <w:i/>
              </w:rPr>
            </w:pPr>
            <w:r w:rsidRPr="00CC03F9">
              <w:rPr>
                <w:i/>
              </w:rPr>
              <w:t>13</w:t>
            </w:r>
            <w:r w:rsidR="009277F7">
              <w:rPr>
                <w:i/>
              </w:rPr>
              <w:t>92,6</w:t>
            </w:r>
            <w:r w:rsidRPr="00CC03F9">
              <w:rPr>
                <w:i/>
              </w:rPr>
              <w:t xml:space="preserve"> </w:t>
            </w:r>
            <w:r w:rsidR="00C43FA3" w:rsidRPr="00CC03F9">
              <w:rPr>
                <w:i/>
              </w:rPr>
              <w:t>Ls</w:t>
            </w:r>
          </w:p>
          <w:p w:rsidR="00C43FA3" w:rsidRPr="00CC03F9" w:rsidRDefault="009277F7" w:rsidP="00CD43A9">
            <w:pPr>
              <w:pStyle w:val="naisf"/>
              <w:spacing w:before="0" w:after="0"/>
              <w:ind w:firstLine="0"/>
              <w:rPr>
                <w:i/>
              </w:rPr>
            </w:pPr>
            <w:r>
              <w:t>1981,5</w:t>
            </w:r>
            <w:r w:rsidR="00487838" w:rsidRPr="00CC03F9">
              <w:t xml:space="preserve"> </w:t>
            </w:r>
            <w:r w:rsidR="00C43FA3" w:rsidRPr="00CC03F9">
              <w:t>€</w:t>
            </w:r>
          </w:p>
        </w:tc>
        <w:tc>
          <w:tcPr>
            <w:tcW w:w="1406" w:type="dxa"/>
          </w:tcPr>
          <w:p w:rsidR="00C43FA3" w:rsidRPr="00CC03F9" w:rsidRDefault="009277F7" w:rsidP="00CD43A9">
            <w:pPr>
              <w:pStyle w:val="naisf"/>
              <w:spacing w:before="0" w:after="0"/>
              <w:ind w:firstLine="0"/>
              <w:rPr>
                <w:i/>
              </w:rPr>
            </w:pPr>
            <w:r>
              <w:rPr>
                <w:i/>
              </w:rPr>
              <w:t>285,6</w:t>
            </w:r>
            <w:r w:rsidR="00C43FA3" w:rsidRPr="00CC03F9">
              <w:rPr>
                <w:i/>
              </w:rPr>
              <w:t xml:space="preserve"> Ls</w:t>
            </w:r>
          </w:p>
          <w:p w:rsidR="00C43FA3" w:rsidRPr="00CC03F9" w:rsidRDefault="009277F7" w:rsidP="00CD43A9">
            <w:pPr>
              <w:pStyle w:val="naisf"/>
              <w:spacing w:before="0" w:after="0"/>
              <w:ind w:firstLine="0"/>
              <w:rPr>
                <w:i/>
              </w:rPr>
            </w:pPr>
            <w:r>
              <w:t>406,4</w:t>
            </w:r>
            <w:r w:rsidR="00C43FA3" w:rsidRPr="00CC03F9">
              <w:t xml:space="preserve"> €</w:t>
            </w: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  <w:r w:rsidRPr="00A8300E">
              <w:t>1.1. valsts pamatbudžets, tai skaitā ieņēmumi no maksas pakalpo-jumiem un citi pašu ieņēmumi</w:t>
            </w:r>
          </w:p>
        </w:tc>
        <w:tc>
          <w:tcPr>
            <w:tcW w:w="1331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  <w:r w:rsidRPr="00A8300E">
              <w:t>1.2. valsts speciālais budžets</w:t>
            </w:r>
          </w:p>
        </w:tc>
        <w:tc>
          <w:tcPr>
            <w:tcW w:w="1331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</w:tr>
      <w:tr w:rsidR="00C43FA3" w:rsidRPr="00A8300E" w:rsidTr="00265A0B">
        <w:trPr>
          <w:trHeight w:val="298"/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  <w:r w:rsidRPr="00A8300E">
              <w:t>1.3. pašvaldību budžets</w:t>
            </w:r>
          </w:p>
        </w:tc>
        <w:tc>
          <w:tcPr>
            <w:tcW w:w="1331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760FA2">
            <w:pPr>
              <w:jc w:val="both"/>
            </w:pPr>
            <w:r w:rsidRPr="00A8300E">
              <w:t>2. Budžeta izdevumi:</w:t>
            </w:r>
          </w:p>
        </w:tc>
        <w:tc>
          <w:tcPr>
            <w:tcW w:w="1331" w:type="dxa"/>
          </w:tcPr>
          <w:p w:rsidR="00C43FA3" w:rsidRPr="00CC03F9" w:rsidRDefault="00C43FA3" w:rsidP="000F0374">
            <w:pPr>
              <w:pStyle w:val="naisf"/>
              <w:spacing w:before="0" w:after="0"/>
              <w:ind w:firstLine="0"/>
              <w:rPr>
                <w:i/>
              </w:rPr>
            </w:pPr>
            <w:r w:rsidRPr="00CC03F9">
              <w:rPr>
                <w:i/>
              </w:rPr>
              <w:t>226</w:t>
            </w:r>
            <w:r w:rsidR="00E22E51" w:rsidRPr="00CC03F9">
              <w:rPr>
                <w:i/>
              </w:rPr>
              <w:t xml:space="preserve">,2 </w:t>
            </w:r>
            <w:r w:rsidRPr="00CC03F9">
              <w:rPr>
                <w:i/>
              </w:rPr>
              <w:t>Ls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CC03F9">
              <w:rPr>
                <w:i/>
              </w:rPr>
              <w:t>321</w:t>
            </w:r>
            <w:r w:rsidR="00E22E51" w:rsidRPr="00CC03F9">
              <w:rPr>
                <w:i/>
              </w:rPr>
              <w:t>,8</w:t>
            </w:r>
            <w:r w:rsidRPr="00CC03F9">
              <w:rPr>
                <w:i/>
              </w:rPr>
              <w:t xml:space="preserve"> </w:t>
            </w:r>
            <w:r w:rsidRPr="00CC03F9">
              <w:t>€</w:t>
            </w:r>
          </w:p>
        </w:tc>
        <w:tc>
          <w:tcPr>
            <w:tcW w:w="1354" w:type="dxa"/>
          </w:tcPr>
          <w:p w:rsidR="007D1722" w:rsidRPr="00CC03F9" w:rsidRDefault="007D1722" w:rsidP="007D1722">
            <w:pPr>
              <w:pStyle w:val="naisf"/>
              <w:spacing w:before="0" w:after="0"/>
              <w:ind w:firstLine="0"/>
              <w:rPr>
                <w:i/>
              </w:rPr>
            </w:pPr>
          </w:p>
          <w:p w:rsidR="009277F7" w:rsidRPr="00CC03F9" w:rsidRDefault="009277F7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E22E51" w:rsidP="00CD43A9">
            <w:pPr>
              <w:pStyle w:val="naisf"/>
              <w:spacing w:before="0" w:after="0"/>
              <w:ind w:firstLine="0"/>
              <w:rPr>
                <w:i/>
              </w:rPr>
            </w:pPr>
            <w:r w:rsidRPr="00CC03F9">
              <w:rPr>
                <w:i/>
              </w:rPr>
              <w:t xml:space="preserve">1472 </w:t>
            </w:r>
            <w:r w:rsidR="00C43FA3" w:rsidRPr="00CC03F9">
              <w:rPr>
                <w:i/>
              </w:rPr>
              <w:t>Ls</w:t>
            </w:r>
          </w:p>
          <w:p w:rsidR="00C43FA3" w:rsidRPr="00CC03F9" w:rsidRDefault="00E22E51" w:rsidP="00CD43A9">
            <w:pPr>
              <w:pStyle w:val="naisf"/>
              <w:spacing w:before="0" w:after="0"/>
              <w:ind w:firstLine="0"/>
              <w:rPr>
                <w:i/>
              </w:rPr>
            </w:pPr>
            <w:r w:rsidRPr="00CC03F9">
              <w:rPr>
                <w:i/>
              </w:rPr>
              <w:t>2094,5</w:t>
            </w:r>
            <w:r w:rsidR="00C43FA3" w:rsidRPr="00CC03F9">
              <w:rPr>
                <w:i/>
              </w:rPr>
              <w:t xml:space="preserve"> </w:t>
            </w:r>
            <w:r w:rsidR="00C43FA3" w:rsidRPr="00CC03F9">
              <w:t>€</w:t>
            </w:r>
          </w:p>
        </w:tc>
        <w:tc>
          <w:tcPr>
            <w:tcW w:w="1355" w:type="dxa"/>
          </w:tcPr>
          <w:p w:rsidR="00C43FA3" w:rsidRPr="00CC03F9" w:rsidRDefault="009277F7" w:rsidP="00E22E5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1547,4</w:t>
            </w:r>
            <w:r w:rsidR="00E22E51" w:rsidRPr="00CC03F9">
              <w:rPr>
                <w:i/>
                <w:iCs/>
                <w:color w:val="000000"/>
              </w:rPr>
              <w:t xml:space="preserve"> </w:t>
            </w:r>
            <w:r w:rsidR="00C43FA3" w:rsidRPr="00CC03F9">
              <w:rPr>
                <w:i/>
              </w:rPr>
              <w:t>Ls</w:t>
            </w:r>
          </w:p>
          <w:p w:rsidR="00C43FA3" w:rsidRPr="00CC03F9" w:rsidRDefault="009277F7" w:rsidP="00E22E5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2201,7</w:t>
            </w:r>
            <w:r w:rsidR="00E22E51" w:rsidRPr="00CC03F9">
              <w:rPr>
                <w:i/>
                <w:iCs/>
                <w:color w:val="000000"/>
              </w:rPr>
              <w:t xml:space="preserve"> </w:t>
            </w:r>
            <w:r w:rsidR="00C43FA3" w:rsidRPr="00CC03F9">
              <w:t>€</w:t>
            </w:r>
          </w:p>
        </w:tc>
        <w:tc>
          <w:tcPr>
            <w:tcW w:w="1406" w:type="dxa"/>
          </w:tcPr>
          <w:p w:rsidR="00C43FA3" w:rsidRPr="00CC03F9" w:rsidRDefault="009277F7" w:rsidP="00E22E5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317,5</w:t>
            </w:r>
            <w:r w:rsidR="00E22E51" w:rsidRPr="00CC03F9">
              <w:rPr>
                <w:i/>
                <w:iCs/>
                <w:color w:val="000000"/>
              </w:rPr>
              <w:t xml:space="preserve"> </w:t>
            </w:r>
            <w:r w:rsidR="00C43FA3" w:rsidRPr="00CC03F9">
              <w:rPr>
                <w:i/>
              </w:rPr>
              <w:t>Ls</w:t>
            </w:r>
          </w:p>
          <w:p w:rsidR="00C43FA3" w:rsidRPr="00CC03F9" w:rsidRDefault="009277F7" w:rsidP="00E22E5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451,7</w:t>
            </w:r>
            <w:r w:rsidR="00E22E51" w:rsidRPr="00CC03F9">
              <w:rPr>
                <w:i/>
                <w:iCs/>
                <w:color w:val="000000"/>
              </w:rPr>
              <w:t xml:space="preserve"> </w:t>
            </w:r>
            <w:r w:rsidR="00C43FA3" w:rsidRPr="00CC03F9">
              <w:t>€</w:t>
            </w: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>2.1. valsts pamatbudžets</w:t>
            </w:r>
          </w:p>
        </w:tc>
        <w:tc>
          <w:tcPr>
            <w:tcW w:w="1331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>2.2. valsts speciālais budžets</w:t>
            </w:r>
          </w:p>
        </w:tc>
        <w:tc>
          <w:tcPr>
            <w:tcW w:w="1331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 xml:space="preserve">2.3. pašvaldību budžets </w:t>
            </w:r>
          </w:p>
        </w:tc>
        <w:tc>
          <w:tcPr>
            <w:tcW w:w="1331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</w:tr>
      <w:tr w:rsidR="00C43FA3" w:rsidRPr="00A8300E" w:rsidTr="000F0374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>3. Finansiālā ietekme:</w:t>
            </w:r>
          </w:p>
        </w:tc>
        <w:tc>
          <w:tcPr>
            <w:tcW w:w="1331" w:type="dxa"/>
            <w:shd w:val="clear" w:color="auto" w:fill="auto"/>
          </w:tcPr>
          <w:p w:rsidR="00C43FA3" w:rsidRPr="00CC03F9" w:rsidRDefault="00633AA0" w:rsidP="00633AA0">
            <w:pPr>
              <w:pStyle w:val="naisf"/>
              <w:spacing w:before="0" w:after="0"/>
              <w:ind w:firstLine="0"/>
              <w:rPr>
                <w:i/>
              </w:rPr>
            </w:pPr>
            <w:r>
              <w:rPr>
                <w:i/>
              </w:rPr>
              <w:t>0</w:t>
            </w:r>
            <w:r w:rsidR="00C43FA3" w:rsidRPr="00CC03F9">
              <w:rPr>
                <w:i/>
              </w:rPr>
              <w:t xml:space="preserve"> </w:t>
            </w:r>
          </w:p>
        </w:tc>
        <w:tc>
          <w:tcPr>
            <w:tcW w:w="1354" w:type="dxa"/>
          </w:tcPr>
          <w:p w:rsidR="009277F7" w:rsidRPr="00CC03F9" w:rsidRDefault="009277F7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E22E51" w:rsidP="00E22E51">
            <w:pPr>
              <w:jc w:val="both"/>
              <w:rPr>
                <w:i/>
                <w:iCs/>
                <w:color w:val="000000"/>
              </w:rPr>
            </w:pPr>
            <w:r w:rsidRPr="00CC03F9">
              <w:rPr>
                <w:i/>
                <w:iCs/>
                <w:color w:val="000000"/>
              </w:rPr>
              <w:t xml:space="preserve">-147,2 </w:t>
            </w:r>
            <w:r w:rsidR="00C43FA3" w:rsidRPr="00CC03F9">
              <w:rPr>
                <w:i/>
              </w:rPr>
              <w:t>Ls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  <w:r w:rsidRPr="00CC03F9">
              <w:rPr>
                <w:i/>
              </w:rPr>
              <w:t>-</w:t>
            </w:r>
            <w:r w:rsidR="00E22E51" w:rsidRPr="00CC03F9">
              <w:rPr>
                <w:i/>
                <w:iCs/>
                <w:color w:val="000000"/>
              </w:rPr>
              <w:t>209,5</w:t>
            </w:r>
            <w:r w:rsidR="00E22E51" w:rsidRPr="00CC03F9">
              <w:rPr>
                <w:i/>
              </w:rPr>
              <w:t xml:space="preserve"> </w:t>
            </w:r>
            <w:r w:rsidRPr="00CC03F9">
              <w:t>€</w:t>
            </w:r>
          </w:p>
        </w:tc>
        <w:tc>
          <w:tcPr>
            <w:tcW w:w="1355" w:type="dxa"/>
          </w:tcPr>
          <w:p w:rsidR="00E22E51" w:rsidRPr="00CC03F9" w:rsidRDefault="009277F7" w:rsidP="00E22E5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-154,8</w:t>
            </w:r>
            <w:r w:rsidR="00E22E51" w:rsidRPr="00CC03F9">
              <w:rPr>
                <w:i/>
                <w:iCs/>
                <w:color w:val="000000"/>
              </w:rPr>
              <w:t xml:space="preserve"> </w:t>
            </w:r>
            <w:r w:rsidR="00C43FA3" w:rsidRPr="00CC03F9">
              <w:rPr>
                <w:i/>
              </w:rPr>
              <w:t>Ls</w:t>
            </w:r>
          </w:p>
          <w:p w:rsidR="00C43FA3" w:rsidRPr="00CC03F9" w:rsidRDefault="009277F7" w:rsidP="00E22E5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-220,2</w:t>
            </w:r>
            <w:r w:rsidR="00E22E51" w:rsidRPr="00CC03F9">
              <w:rPr>
                <w:i/>
                <w:iCs/>
                <w:color w:val="000000"/>
              </w:rPr>
              <w:t xml:space="preserve"> </w:t>
            </w:r>
            <w:r w:rsidR="00C43FA3" w:rsidRPr="00CC03F9">
              <w:t>€</w:t>
            </w: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  <w:r w:rsidRPr="00CC03F9">
              <w:rPr>
                <w:i/>
              </w:rPr>
              <w:t>-</w:t>
            </w:r>
            <w:r w:rsidR="009277F7">
              <w:rPr>
                <w:i/>
              </w:rPr>
              <w:t>31,9</w:t>
            </w:r>
            <w:r w:rsidRPr="00CC03F9">
              <w:rPr>
                <w:i/>
              </w:rPr>
              <w:t xml:space="preserve"> Ls</w:t>
            </w:r>
          </w:p>
          <w:p w:rsidR="00C43FA3" w:rsidRPr="00CC03F9" w:rsidRDefault="00C43FA3" w:rsidP="00E22E51">
            <w:pPr>
              <w:pStyle w:val="naisf"/>
              <w:spacing w:before="0" w:after="0"/>
              <w:ind w:firstLine="0"/>
              <w:rPr>
                <w:i/>
              </w:rPr>
            </w:pPr>
            <w:r w:rsidRPr="00CC03F9">
              <w:rPr>
                <w:i/>
              </w:rPr>
              <w:t>-</w:t>
            </w:r>
            <w:r w:rsidR="009277F7">
              <w:rPr>
                <w:i/>
              </w:rPr>
              <w:t>45,3</w:t>
            </w:r>
            <w:r w:rsidRPr="00CC03F9">
              <w:rPr>
                <w:i/>
              </w:rPr>
              <w:t xml:space="preserve"> </w:t>
            </w:r>
            <w:r w:rsidRPr="00CC03F9">
              <w:t>€</w:t>
            </w:r>
          </w:p>
        </w:tc>
      </w:tr>
      <w:tr w:rsidR="00C43FA3" w:rsidRPr="00A8300E" w:rsidTr="009B3040">
        <w:trPr>
          <w:trHeight w:val="70"/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>3.1. valsts pamatbudžets</w:t>
            </w:r>
          </w:p>
        </w:tc>
        <w:tc>
          <w:tcPr>
            <w:tcW w:w="1331" w:type="dxa"/>
            <w:shd w:val="clear" w:color="auto" w:fill="auto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>3.2. speciālais budžets</w:t>
            </w:r>
          </w:p>
        </w:tc>
        <w:tc>
          <w:tcPr>
            <w:tcW w:w="1331" w:type="dxa"/>
            <w:shd w:val="clear" w:color="auto" w:fill="auto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lastRenderedPageBreak/>
              <w:t xml:space="preserve">3.3. pašvaldību budžets </w:t>
            </w:r>
          </w:p>
        </w:tc>
        <w:tc>
          <w:tcPr>
            <w:tcW w:w="1331" w:type="dxa"/>
            <w:shd w:val="clear" w:color="auto" w:fill="auto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  <w:vMerge w:val="restart"/>
          </w:tcPr>
          <w:p w:rsidR="00C43FA3" w:rsidRPr="00A8300E" w:rsidRDefault="00C43FA3" w:rsidP="00CD43A9">
            <w:pPr>
              <w:jc w:val="both"/>
            </w:pPr>
            <w:r w:rsidRPr="00A8300E">
              <w:t>4. Finanšu līdzekļi papildu izde</w:t>
            </w:r>
            <w:r w:rsidRPr="00A8300E">
              <w:softHyphen/>
              <w:t>vumu finansēšanai (kompensējošu izdevumu samazinājumu norāda ar "+" zīmi)</w:t>
            </w:r>
          </w:p>
        </w:tc>
        <w:tc>
          <w:tcPr>
            <w:tcW w:w="1331" w:type="dxa"/>
            <w:vMerge w:val="restart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C03F9">
              <w:t>X</w:t>
            </w: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  <w:vMerge/>
          </w:tcPr>
          <w:p w:rsidR="00C43FA3" w:rsidRPr="00A8300E" w:rsidRDefault="00C43FA3" w:rsidP="00CD43A9">
            <w:pPr>
              <w:jc w:val="both"/>
            </w:pPr>
          </w:p>
        </w:tc>
        <w:tc>
          <w:tcPr>
            <w:tcW w:w="1331" w:type="dxa"/>
            <w:vMerge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  <w:vMerge/>
          </w:tcPr>
          <w:p w:rsidR="00C43FA3" w:rsidRPr="00A8300E" w:rsidRDefault="00C43FA3" w:rsidP="00CD43A9">
            <w:pPr>
              <w:jc w:val="both"/>
            </w:pPr>
          </w:p>
        </w:tc>
        <w:tc>
          <w:tcPr>
            <w:tcW w:w="1331" w:type="dxa"/>
            <w:vMerge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>5. Precizēta finansiālā ietekme:</w:t>
            </w:r>
          </w:p>
        </w:tc>
        <w:tc>
          <w:tcPr>
            <w:tcW w:w="1331" w:type="dxa"/>
            <w:vMerge w:val="restart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C03F9">
              <w:t>X</w:t>
            </w: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>5.1. valsts pamatbudžets</w:t>
            </w:r>
          </w:p>
        </w:tc>
        <w:tc>
          <w:tcPr>
            <w:tcW w:w="1331" w:type="dxa"/>
            <w:vMerge/>
            <w:vAlign w:val="center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>5.2. speciālais budžets</w:t>
            </w:r>
          </w:p>
        </w:tc>
        <w:tc>
          <w:tcPr>
            <w:tcW w:w="1331" w:type="dxa"/>
            <w:vMerge/>
            <w:vAlign w:val="center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 xml:space="preserve">5.3. pašvaldību budžets </w:t>
            </w:r>
          </w:p>
        </w:tc>
        <w:tc>
          <w:tcPr>
            <w:tcW w:w="1331" w:type="dxa"/>
            <w:vMerge/>
            <w:vAlign w:val="center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 w:rsidTr="002A4856">
        <w:trPr>
          <w:trHeight w:val="70"/>
          <w:jc w:val="center"/>
        </w:trPr>
        <w:tc>
          <w:tcPr>
            <w:tcW w:w="3324" w:type="dxa"/>
          </w:tcPr>
          <w:p w:rsidR="00C43FA3" w:rsidRPr="00A8300E" w:rsidRDefault="00C43FA3" w:rsidP="002A4856">
            <w:pPr>
              <w:jc w:val="both"/>
            </w:pPr>
            <w:r w:rsidRPr="00A8300E">
              <w:t>6. Detalizēts ieņēmumu un izdevu</w:t>
            </w:r>
            <w:r w:rsidRPr="00A8300E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1331" w:type="dxa"/>
            <w:shd w:val="clear" w:color="auto" w:fill="auto"/>
          </w:tcPr>
          <w:p w:rsidR="00C43FA3" w:rsidRPr="00CC03F9" w:rsidRDefault="00C43FA3" w:rsidP="002A4856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2A4856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2A4856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2A4856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2A4856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 w:rsidTr="002A4856">
        <w:trPr>
          <w:jc w:val="center"/>
        </w:trPr>
        <w:tc>
          <w:tcPr>
            <w:tcW w:w="3324" w:type="dxa"/>
          </w:tcPr>
          <w:p w:rsidR="00C43FA3" w:rsidRPr="00A8300E" w:rsidRDefault="00C43FA3" w:rsidP="002A4856">
            <w:pPr>
              <w:jc w:val="both"/>
            </w:pPr>
            <w:r w:rsidRPr="00A8300E">
              <w:t>6.1. detalizēts ieņēmumu aprēķins</w:t>
            </w:r>
          </w:p>
        </w:tc>
        <w:tc>
          <w:tcPr>
            <w:tcW w:w="1331" w:type="dxa"/>
            <w:shd w:val="clear" w:color="auto" w:fill="auto"/>
          </w:tcPr>
          <w:p w:rsidR="00C43FA3" w:rsidRPr="00CC03F9" w:rsidRDefault="00C43FA3" w:rsidP="002A4856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2A4856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2A4856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2A4856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2A4856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>6.2. detalizēts izdevumu aprēķins:</w:t>
            </w:r>
          </w:p>
        </w:tc>
        <w:tc>
          <w:tcPr>
            <w:tcW w:w="1331" w:type="dxa"/>
            <w:vAlign w:val="center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DA4382">
            <w:pPr>
              <w:jc w:val="both"/>
              <w:rPr>
                <w:b/>
              </w:rPr>
            </w:pPr>
            <w:r w:rsidRPr="00A8300E">
              <w:rPr>
                <w:b/>
              </w:rPr>
              <w:t>6.2.1. Stipendiju aktivitāte</w:t>
            </w:r>
          </w:p>
          <w:p w:rsidR="00C43FA3" w:rsidRPr="00A8300E" w:rsidRDefault="00C43FA3" w:rsidP="00DA4382">
            <w:pPr>
              <w:jc w:val="both"/>
              <w:rPr>
                <w:i/>
                <w:u w:val="single"/>
              </w:rPr>
            </w:pPr>
            <w:r w:rsidRPr="00A8300E">
              <w:rPr>
                <w:i/>
                <w:u w:val="single"/>
              </w:rPr>
              <w:t>Tai skaitā:</w:t>
            </w:r>
          </w:p>
          <w:p w:rsidR="00C43FA3" w:rsidRPr="00A8300E" w:rsidRDefault="00C43FA3" w:rsidP="00DA4382">
            <w:pPr>
              <w:jc w:val="both"/>
              <w:rPr>
                <w:i/>
              </w:rPr>
            </w:pPr>
            <w:r w:rsidRPr="00A8300E">
              <w:rPr>
                <w:i/>
              </w:rPr>
              <w:t>Eiropas Ekonomikas zonas finanšu instrumenta (EEZFI) daļa</w:t>
            </w:r>
          </w:p>
          <w:p w:rsidR="00C43FA3" w:rsidRPr="00A8300E" w:rsidRDefault="00C43FA3" w:rsidP="00CD43A9">
            <w:pPr>
              <w:jc w:val="both"/>
              <w:rPr>
                <w:i/>
              </w:rPr>
            </w:pPr>
            <w:r w:rsidRPr="00A8300E">
              <w:rPr>
                <w:i/>
              </w:rPr>
              <w:t>LV līdzfinansējums</w:t>
            </w:r>
          </w:p>
        </w:tc>
        <w:tc>
          <w:tcPr>
            <w:tcW w:w="1331" w:type="dxa"/>
            <w:vAlign w:val="center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54" w:type="dxa"/>
          </w:tcPr>
          <w:p w:rsidR="00C43FA3" w:rsidRPr="00CC03F9" w:rsidRDefault="00C43FA3" w:rsidP="004B2CA6">
            <w:pPr>
              <w:jc w:val="both"/>
              <w:rPr>
                <w:color w:val="000000"/>
              </w:rPr>
            </w:pPr>
          </w:p>
        </w:tc>
        <w:tc>
          <w:tcPr>
            <w:tcW w:w="1354" w:type="dxa"/>
          </w:tcPr>
          <w:p w:rsidR="00C43FA3" w:rsidRPr="00CC03F9" w:rsidRDefault="00C43FA3" w:rsidP="009A25B7">
            <w:pPr>
              <w:jc w:val="both"/>
              <w:rPr>
                <w:b/>
                <w:color w:val="000000"/>
              </w:rPr>
            </w:pPr>
            <w:r w:rsidRPr="00CC03F9">
              <w:rPr>
                <w:b/>
                <w:color w:val="000000"/>
              </w:rPr>
              <w:t>214</w:t>
            </w:r>
            <w:r w:rsidR="00F05754" w:rsidRPr="00CC03F9">
              <w:rPr>
                <w:b/>
                <w:color w:val="000000"/>
              </w:rPr>
              <w:t>,5</w:t>
            </w:r>
            <w:r w:rsidR="00D60127" w:rsidRPr="00CC03F9">
              <w:rPr>
                <w:b/>
                <w:color w:val="000000"/>
              </w:rPr>
              <w:t xml:space="preserve"> </w:t>
            </w:r>
            <w:r w:rsidR="00D60127" w:rsidRPr="00CC03F9">
              <w:t>€</w:t>
            </w:r>
          </w:p>
          <w:p w:rsidR="00C43FA3" w:rsidRPr="00CC03F9" w:rsidRDefault="00C43FA3" w:rsidP="009A25B7">
            <w:pPr>
              <w:pStyle w:val="naisf"/>
              <w:spacing w:before="0" w:after="0"/>
              <w:ind w:firstLine="0"/>
            </w:pPr>
          </w:p>
          <w:p w:rsidR="00C43FA3" w:rsidRPr="00CC03F9" w:rsidRDefault="00C43FA3" w:rsidP="009A25B7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>193</w:t>
            </w:r>
            <w:r w:rsidR="00D60127" w:rsidRPr="00CC03F9">
              <w:rPr>
                <w:color w:val="000000"/>
              </w:rPr>
              <w:t xml:space="preserve"> </w:t>
            </w:r>
            <w:r w:rsidR="00D60127" w:rsidRPr="00CC03F9">
              <w:t>€</w:t>
            </w:r>
          </w:p>
          <w:p w:rsidR="00C43FA3" w:rsidRPr="00CC03F9" w:rsidRDefault="00C43FA3" w:rsidP="009A25B7">
            <w:pPr>
              <w:pStyle w:val="naisf"/>
              <w:spacing w:before="0" w:after="0"/>
              <w:ind w:firstLine="0"/>
            </w:pPr>
          </w:p>
          <w:p w:rsidR="002B3799" w:rsidRPr="00CC03F9" w:rsidRDefault="002B3799" w:rsidP="009A25B7">
            <w:pPr>
              <w:jc w:val="both"/>
              <w:rPr>
                <w:color w:val="000000"/>
              </w:rPr>
            </w:pPr>
          </w:p>
          <w:p w:rsidR="00C43FA3" w:rsidRPr="00CC03F9" w:rsidRDefault="00C43FA3" w:rsidP="009A25B7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>21</w:t>
            </w:r>
            <w:r w:rsidR="00F05754" w:rsidRPr="00CC03F9">
              <w:rPr>
                <w:color w:val="000000"/>
              </w:rPr>
              <w:t>,5</w:t>
            </w:r>
            <w:r w:rsidR="00D60127" w:rsidRPr="00CC03F9">
              <w:rPr>
                <w:color w:val="000000"/>
              </w:rPr>
              <w:t xml:space="preserve"> </w:t>
            </w:r>
            <w:r w:rsidR="00D60127" w:rsidRPr="00CC03F9">
              <w:t>€</w:t>
            </w:r>
          </w:p>
        </w:tc>
        <w:tc>
          <w:tcPr>
            <w:tcW w:w="1355" w:type="dxa"/>
          </w:tcPr>
          <w:p w:rsidR="00C43FA3" w:rsidRPr="00CC03F9" w:rsidRDefault="00666ACE" w:rsidP="009A25B7">
            <w:pPr>
              <w:jc w:val="both"/>
              <w:rPr>
                <w:b/>
                <w:bCs/>
                <w:color w:val="000000"/>
              </w:rPr>
            </w:pPr>
            <w:r w:rsidRPr="00CC03F9">
              <w:rPr>
                <w:b/>
                <w:bCs/>
                <w:color w:val="000000"/>
              </w:rPr>
              <w:t xml:space="preserve">268,5 </w:t>
            </w:r>
            <w:r w:rsidR="00D60127" w:rsidRPr="00CC03F9">
              <w:rPr>
                <w:b/>
              </w:rPr>
              <w:t>€</w:t>
            </w:r>
          </w:p>
          <w:p w:rsidR="00C43FA3" w:rsidRPr="00CC03F9" w:rsidRDefault="00C43FA3" w:rsidP="00EF12BD">
            <w:pPr>
              <w:jc w:val="both"/>
              <w:rPr>
                <w:color w:val="000000"/>
              </w:rPr>
            </w:pPr>
          </w:p>
          <w:p w:rsidR="00666ACE" w:rsidRPr="00CC03F9" w:rsidRDefault="00666ACE" w:rsidP="00666ACE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 xml:space="preserve">241,6 </w:t>
            </w:r>
            <w:r w:rsidRPr="00CC03F9">
              <w:t>€</w:t>
            </w:r>
          </w:p>
          <w:p w:rsidR="00C43FA3" w:rsidRPr="00CC03F9" w:rsidRDefault="00C43FA3" w:rsidP="00EF12BD">
            <w:pPr>
              <w:jc w:val="both"/>
              <w:rPr>
                <w:color w:val="000000"/>
              </w:rPr>
            </w:pPr>
          </w:p>
          <w:p w:rsidR="002B3799" w:rsidRPr="00CC03F9" w:rsidRDefault="002B3799" w:rsidP="00EF12BD">
            <w:pPr>
              <w:jc w:val="both"/>
              <w:rPr>
                <w:color w:val="000000"/>
              </w:rPr>
            </w:pPr>
          </w:p>
          <w:p w:rsidR="00C43FA3" w:rsidRPr="00CC03F9" w:rsidRDefault="00666ACE" w:rsidP="00EF12BD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 xml:space="preserve">26,9 </w:t>
            </w:r>
            <w:r w:rsidR="00D60127" w:rsidRPr="00CC03F9">
              <w:t>€</w:t>
            </w:r>
          </w:p>
        </w:tc>
        <w:tc>
          <w:tcPr>
            <w:tcW w:w="1406" w:type="dxa"/>
          </w:tcPr>
          <w:p w:rsidR="00C43FA3" w:rsidRPr="00CC03F9" w:rsidRDefault="00980A8C" w:rsidP="00CD43A9">
            <w:pPr>
              <w:pStyle w:val="naisf"/>
              <w:spacing w:before="0" w:after="0"/>
              <w:ind w:firstLine="0"/>
              <w:rPr>
                <w:b/>
              </w:rPr>
            </w:pPr>
            <w:r w:rsidRPr="00CC03F9">
              <w:rPr>
                <w:b/>
              </w:rPr>
              <w:t>53,6 €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</w:pPr>
          </w:p>
          <w:p w:rsidR="00C43FA3" w:rsidRPr="00CC03F9" w:rsidRDefault="00980A8C" w:rsidP="00CD43A9">
            <w:pPr>
              <w:pStyle w:val="naisf"/>
              <w:spacing w:before="0" w:after="0"/>
              <w:ind w:firstLine="0"/>
            </w:pPr>
            <w:r w:rsidRPr="00CC03F9">
              <w:t xml:space="preserve">48,2 </w:t>
            </w:r>
            <w:r w:rsidRPr="00CC03F9">
              <w:rPr>
                <w:b/>
              </w:rPr>
              <w:t>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</w:pP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</w:pPr>
          </w:p>
          <w:p w:rsidR="00980A8C" w:rsidRPr="00CC03F9" w:rsidRDefault="00980A8C" w:rsidP="00CD43A9">
            <w:pPr>
              <w:pStyle w:val="naisf"/>
              <w:spacing w:before="0" w:after="0"/>
              <w:ind w:firstLine="0"/>
            </w:pPr>
            <w:r w:rsidRPr="00CC03F9">
              <w:t xml:space="preserve">5,4 </w:t>
            </w:r>
            <w:r w:rsidRPr="00CC03F9">
              <w:rPr>
                <w:b/>
              </w:rPr>
              <w:t>€</w:t>
            </w: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DA4382">
            <w:pPr>
              <w:jc w:val="both"/>
              <w:rPr>
                <w:b/>
              </w:rPr>
            </w:pPr>
            <w:r w:rsidRPr="00A8300E">
              <w:rPr>
                <w:b/>
              </w:rPr>
              <w:t>6.2.2. Stipendiju aktivitāte</w:t>
            </w:r>
          </w:p>
          <w:p w:rsidR="00C43FA3" w:rsidRPr="00A8300E" w:rsidRDefault="00C43FA3" w:rsidP="00DA4382">
            <w:pPr>
              <w:jc w:val="both"/>
              <w:rPr>
                <w:i/>
                <w:u w:val="single"/>
              </w:rPr>
            </w:pPr>
            <w:r w:rsidRPr="00A8300E">
              <w:rPr>
                <w:i/>
                <w:u w:val="single"/>
              </w:rPr>
              <w:t>Tai skaitā:</w:t>
            </w:r>
          </w:p>
          <w:p w:rsidR="00C43FA3" w:rsidRPr="00A8300E" w:rsidRDefault="00C43FA3" w:rsidP="00DA4382">
            <w:pPr>
              <w:jc w:val="both"/>
              <w:rPr>
                <w:i/>
              </w:rPr>
            </w:pPr>
            <w:r w:rsidRPr="00A8300E">
              <w:rPr>
                <w:i/>
              </w:rPr>
              <w:t>Norvēģijas finanšu instrumenta (NFI) daļa</w:t>
            </w:r>
          </w:p>
          <w:p w:rsidR="00C43FA3" w:rsidRPr="00A8300E" w:rsidRDefault="00C43FA3" w:rsidP="00DA4382">
            <w:pPr>
              <w:jc w:val="both"/>
              <w:rPr>
                <w:i/>
              </w:rPr>
            </w:pPr>
            <w:r w:rsidRPr="00A8300E">
              <w:rPr>
                <w:i/>
              </w:rPr>
              <w:t>LV līdzfinansējums</w:t>
            </w:r>
          </w:p>
        </w:tc>
        <w:tc>
          <w:tcPr>
            <w:tcW w:w="1331" w:type="dxa"/>
            <w:vAlign w:val="center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9912CE">
            <w:pPr>
              <w:jc w:val="both"/>
              <w:rPr>
                <w:color w:val="000000"/>
              </w:rPr>
            </w:pPr>
          </w:p>
        </w:tc>
        <w:tc>
          <w:tcPr>
            <w:tcW w:w="1354" w:type="dxa"/>
          </w:tcPr>
          <w:p w:rsidR="00C43FA3" w:rsidRPr="00CC03F9" w:rsidRDefault="00C43FA3" w:rsidP="009A25B7">
            <w:pPr>
              <w:jc w:val="both"/>
              <w:rPr>
                <w:b/>
                <w:color w:val="000000"/>
              </w:rPr>
            </w:pPr>
            <w:r w:rsidRPr="00CC03F9">
              <w:rPr>
                <w:b/>
                <w:color w:val="000000"/>
              </w:rPr>
              <w:t>203</w:t>
            </w:r>
            <w:r w:rsidR="00F05754" w:rsidRPr="00CC03F9">
              <w:rPr>
                <w:b/>
                <w:color w:val="000000"/>
              </w:rPr>
              <w:t>,</w:t>
            </w:r>
            <w:r w:rsidR="002B3799" w:rsidRPr="00CC03F9">
              <w:rPr>
                <w:b/>
                <w:color w:val="000000"/>
              </w:rPr>
              <w:t>4</w:t>
            </w:r>
            <w:r w:rsidR="00D60127" w:rsidRPr="00CC03F9">
              <w:rPr>
                <w:b/>
                <w:color w:val="000000"/>
              </w:rPr>
              <w:t xml:space="preserve"> </w:t>
            </w:r>
            <w:r w:rsidR="00D60127" w:rsidRPr="00CC03F9">
              <w:t>€</w:t>
            </w:r>
          </w:p>
          <w:p w:rsidR="00C43FA3" w:rsidRPr="00CC03F9" w:rsidRDefault="00C43FA3" w:rsidP="009A25B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  <w:p w:rsidR="00C43FA3" w:rsidRPr="00CC03F9" w:rsidRDefault="00C43FA3" w:rsidP="009A25B7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>183</w:t>
            </w:r>
            <w:r w:rsidR="00666ACE" w:rsidRPr="00CC03F9">
              <w:rPr>
                <w:color w:val="000000"/>
              </w:rPr>
              <w:t xml:space="preserve"> </w:t>
            </w:r>
            <w:r w:rsidR="00D60127" w:rsidRPr="00CC03F9">
              <w:t>€</w:t>
            </w:r>
          </w:p>
          <w:p w:rsidR="00C43FA3" w:rsidRPr="00CC03F9" w:rsidRDefault="00C43FA3" w:rsidP="009A25B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  <w:p w:rsidR="00C43FA3" w:rsidRPr="00CC03F9" w:rsidRDefault="00C43FA3" w:rsidP="009A25B7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>20</w:t>
            </w:r>
            <w:r w:rsidR="00F05754" w:rsidRPr="00CC03F9">
              <w:rPr>
                <w:color w:val="000000"/>
              </w:rPr>
              <w:t>,</w:t>
            </w:r>
            <w:r w:rsidR="002B3799" w:rsidRPr="00CC03F9">
              <w:rPr>
                <w:color w:val="000000"/>
              </w:rPr>
              <w:t>4</w:t>
            </w:r>
            <w:r w:rsidR="00D60127" w:rsidRPr="00CC03F9">
              <w:rPr>
                <w:color w:val="000000"/>
              </w:rPr>
              <w:t xml:space="preserve"> </w:t>
            </w:r>
            <w:r w:rsidR="00D60127" w:rsidRPr="00CC03F9">
              <w:t xml:space="preserve">€ </w:t>
            </w:r>
          </w:p>
        </w:tc>
        <w:tc>
          <w:tcPr>
            <w:tcW w:w="1355" w:type="dxa"/>
          </w:tcPr>
          <w:p w:rsidR="00C43FA3" w:rsidRPr="00CC03F9" w:rsidRDefault="00666ACE" w:rsidP="009A25B7">
            <w:pPr>
              <w:jc w:val="both"/>
              <w:rPr>
                <w:b/>
                <w:bCs/>
                <w:color w:val="000000"/>
              </w:rPr>
            </w:pPr>
            <w:r w:rsidRPr="00CC03F9">
              <w:rPr>
                <w:b/>
                <w:bCs/>
                <w:color w:val="000000"/>
              </w:rPr>
              <w:t xml:space="preserve">254,2 </w:t>
            </w:r>
            <w:r w:rsidR="00D60127" w:rsidRPr="00CC03F9">
              <w:t>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</w:rPr>
            </w:pPr>
          </w:p>
          <w:p w:rsidR="00C43FA3" w:rsidRPr="00CC03F9" w:rsidRDefault="00666ACE" w:rsidP="009A25B7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 xml:space="preserve">228,8 </w:t>
            </w:r>
            <w:r w:rsidR="00D60127" w:rsidRPr="00CC03F9">
              <w:t>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</w:rPr>
            </w:pPr>
          </w:p>
          <w:p w:rsidR="00C43FA3" w:rsidRPr="00CC03F9" w:rsidRDefault="00666ACE" w:rsidP="009912CE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 xml:space="preserve">25,4 </w:t>
            </w:r>
            <w:r w:rsidR="00D60127" w:rsidRPr="00CC03F9">
              <w:t>€</w:t>
            </w:r>
          </w:p>
        </w:tc>
        <w:tc>
          <w:tcPr>
            <w:tcW w:w="1406" w:type="dxa"/>
          </w:tcPr>
          <w:p w:rsidR="00C43FA3" w:rsidRPr="00CC03F9" w:rsidRDefault="00980A8C" w:rsidP="00CD43A9">
            <w:pPr>
              <w:pStyle w:val="naisf"/>
              <w:spacing w:before="0" w:after="0"/>
              <w:ind w:firstLine="0"/>
              <w:rPr>
                <w:b/>
              </w:rPr>
            </w:pPr>
            <w:r w:rsidRPr="00CC03F9">
              <w:rPr>
                <w:b/>
              </w:rPr>
              <w:t>50,8 €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</w:rPr>
            </w:pPr>
          </w:p>
          <w:p w:rsidR="00C43FA3" w:rsidRPr="00CC03F9" w:rsidRDefault="00980A8C" w:rsidP="00CD43A9">
            <w:pPr>
              <w:pStyle w:val="naisf"/>
              <w:spacing w:before="0" w:after="0"/>
              <w:ind w:firstLine="0"/>
            </w:pPr>
            <w:r w:rsidRPr="00CC03F9">
              <w:t xml:space="preserve">45,7 </w:t>
            </w:r>
            <w:r w:rsidRPr="00CC03F9">
              <w:rPr>
                <w:b/>
              </w:rPr>
              <w:t>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</w:pPr>
          </w:p>
          <w:p w:rsidR="00C43FA3" w:rsidRPr="00CC03F9" w:rsidRDefault="00980A8C" w:rsidP="00CD43A9">
            <w:pPr>
              <w:pStyle w:val="naisf"/>
              <w:spacing w:before="0" w:after="0"/>
              <w:ind w:firstLine="0"/>
              <w:rPr>
                <w:b/>
              </w:rPr>
            </w:pPr>
            <w:r w:rsidRPr="00CC03F9">
              <w:t xml:space="preserve">5,1 </w:t>
            </w:r>
            <w:r w:rsidRPr="00CC03F9">
              <w:rPr>
                <w:b/>
              </w:rPr>
              <w:t>€</w:t>
            </w: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DA4382">
            <w:pPr>
              <w:jc w:val="both"/>
              <w:rPr>
                <w:b/>
              </w:rPr>
            </w:pPr>
            <w:r w:rsidRPr="00A8300E">
              <w:rPr>
                <w:b/>
              </w:rPr>
              <w:t>6.2.3. Pētniecības aktivitāte</w:t>
            </w:r>
          </w:p>
          <w:p w:rsidR="00C43FA3" w:rsidRPr="00A8300E" w:rsidRDefault="00C43FA3" w:rsidP="00DA4382">
            <w:pPr>
              <w:jc w:val="both"/>
              <w:rPr>
                <w:i/>
                <w:u w:val="single"/>
              </w:rPr>
            </w:pPr>
            <w:r w:rsidRPr="00A8300E">
              <w:rPr>
                <w:i/>
                <w:u w:val="single"/>
              </w:rPr>
              <w:t>Tai skaitā:</w:t>
            </w:r>
          </w:p>
          <w:p w:rsidR="00C43FA3" w:rsidRPr="00A8300E" w:rsidRDefault="00C43FA3" w:rsidP="00DA4382">
            <w:pPr>
              <w:jc w:val="both"/>
              <w:rPr>
                <w:i/>
              </w:rPr>
            </w:pPr>
            <w:r w:rsidRPr="00A8300E">
              <w:rPr>
                <w:i/>
              </w:rPr>
              <w:t xml:space="preserve"> NFI daļa</w:t>
            </w:r>
          </w:p>
          <w:p w:rsidR="00C43FA3" w:rsidRPr="00A8300E" w:rsidRDefault="00C43FA3" w:rsidP="00DA4382">
            <w:pPr>
              <w:jc w:val="both"/>
              <w:rPr>
                <w:i/>
              </w:rPr>
            </w:pPr>
            <w:r w:rsidRPr="00A8300E">
              <w:rPr>
                <w:i/>
              </w:rPr>
              <w:t>LV līdzfinansējums</w:t>
            </w:r>
          </w:p>
        </w:tc>
        <w:tc>
          <w:tcPr>
            <w:tcW w:w="1331" w:type="dxa"/>
            <w:vAlign w:val="center"/>
          </w:tcPr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0B3EE6">
            <w:pPr>
              <w:jc w:val="both"/>
              <w:rPr>
                <w:color w:val="000000"/>
              </w:rPr>
            </w:pPr>
          </w:p>
        </w:tc>
        <w:tc>
          <w:tcPr>
            <w:tcW w:w="1354" w:type="dxa"/>
          </w:tcPr>
          <w:p w:rsidR="00C43FA3" w:rsidRPr="00CC03F9" w:rsidRDefault="00C43FA3" w:rsidP="000B3EE6">
            <w:pPr>
              <w:jc w:val="both"/>
              <w:rPr>
                <w:b/>
                <w:color w:val="000000"/>
              </w:rPr>
            </w:pPr>
            <w:r w:rsidRPr="00CC03F9">
              <w:rPr>
                <w:b/>
                <w:color w:val="000000"/>
              </w:rPr>
              <w:t>1774</w:t>
            </w:r>
            <w:r w:rsidR="00CA0CE7" w:rsidRPr="00CC03F9">
              <w:rPr>
                <w:b/>
                <w:color w:val="000000"/>
              </w:rPr>
              <w:t>,</w:t>
            </w:r>
            <w:r w:rsidRPr="00CC03F9">
              <w:rPr>
                <w:b/>
                <w:color w:val="000000"/>
              </w:rPr>
              <w:t>2</w:t>
            </w:r>
            <w:r w:rsidR="00D60127" w:rsidRPr="00CC03F9">
              <w:rPr>
                <w:b/>
                <w:color w:val="000000"/>
              </w:rPr>
              <w:t xml:space="preserve"> </w:t>
            </w:r>
            <w:r w:rsidR="00D60127" w:rsidRPr="00CC03F9">
              <w:t>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  <w:p w:rsidR="00C43FA3" w:rsidRPr="00CC03F9" w:rsidRDefault="00C43FA3" w:rsidP="000B3EE6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>1596</w:t>
            </w:r>
            <w:r w:rsidR="00CA0CE7" w:rsidRPr="00CC03F9">
              <w:rPr>
                <w:color w:val="000000"/>
              </w:rPr>
              <w:t>,</w:t>
            </w:r>
            <w:r w:rsidRPr="00CC03F9">
              <w:rPr>
                <w:color w:val="000000"/>
              </w:rPr>
              <w:t>8</w:t>
            </w:r>
            <w:r w:rsidR="00D60127" w:rsidRPr="00CC03F9">
              <w:rPr>
                <w:color w:val="000000"/>
              </w:rPr>
              <w:t xml:space="preserve"> </w:t>
            </w:r>
            <w:r w:rsidR="00D60127" w:rsidRPr="00CC03F9">
              <w:t>€</w:t>
            </w:r>
          </w:p>
          <w:p w:rsidR="00C43FA3" w:rsidRPr="00CC03F9" w:rsidRDefault="00C43FA3" w:rsidP="000B3EE6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>177</w:t>
            </w:r>
            <w:r w:rsidR="00CA0CE7" w:rsidRPr="00CC03F9">
              <w:rPr>
                <w:color w:val="000000"/>
              </w:rPr>
              <w:t>,</w:t>
            </w:r>
            <w:r w:rsidRPr="00CC03F9">
              <w:rPr>
                <w:color w:val="000000"/>
              </w:rPr>
              <w:t>4</w:t>
            </w:r>
            <w:r w:rsidR="00D60127" w:rsidRPr="00CC03F9">
              <w:rPr>
                <w:color w:val="000000"/>
              </w:rPr>
              <w:t xml:space="preserve"> </w:t>
            </w:r>
            <w:r w:rsidR="00D60127" w:rsidRPr="00CC03F9">
              <w:t>€</w:t>
            </w:r>
          </w:p>
        </w:tc>
        <w:tc>
          <w:tcPr>
            <w:tcW w:w="1355" w:type="dxa"/>
          </w:tcPr>
          <w:p w:rsidR="00C43FA3" w:rsidRPr="00CC03F9" w:rsidRDefault="00980A8C" w:rsidP="00073744">
            <w:pPr>
              <w:jc w:val="both"/>
              <w:rPr>
                <w:b/>
                <w:bCs/>
                <w:color w:val="000000"/>
              </w:rPr>
            </w:pPr>
            <w:r w:rsidRPr="00CC03F9">
              <w:rPr>
                <w:b/>
                <w:bCs/>
                <w:color w:val="000000"/>
              </w:rPr>
              <w:t xml:space="preserve">1774,2 </w:t>
            </w:r>
            <w:r w:rsidR="00D60127" w:rsidRPr="00CC03F9">
              <w:t>€</w:t>
            </w:r>
          </w:p>
          <w:p w:rsidR="00925380" w:rsidRDefault="00925380" w:rsidP="00073744">
            <w:pPr>
              <w:jc w:val="both"/>
              <w:rPr>
                <w:color w:val="000000"/>
              </w:rPr>
            </w:pPr>
          </w:p>
          <w:p w:rsidR="00C43FA3" w:rsidRPr="00CC03F9" w:rsidRDefault="00980A8C" w:rsidP="00073744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 xml:space="preserve">1596,8 </w:t>
            </w:r>
            <w:r w:rsidR="00D60127" w:rsidRPr="00CC03F9">
              <w:t>€</w:t>
            </w:r>
          </w:p>
          <w:p w:rsidR="00C43FA3" w:rsidRPr="00CC03F9" w:rsidRDefault="00980A8C" w:rsidP="000B3EE6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 xml:space="preserve">177,4 </w:t>
            </w:r>
            <w:r w:rsidR="00D60127" w:rsidRPr="00CC03F9">
              <w:t>€</w:t>
            </w:r>
          </w:p>
        </w:tc>
        <w:tc>
          <w:tcPr>
            <w:tcW w:w="1406" w:type="dxa"/>
          </w:tcPr>
          <w:p w:rsidR="00C43FA3" w:rsidRPr="00CC03F9" w:rsidRDefault="00C43FA3" w:rsidP="000B3EE6">
            <w:pPr>
              <w:jc w:val="both"/>
              <w:rPr>
                <w:b/>
                <w:color w:val="000000"/>
              </w:rPr>
            </w:pPr>
            <w:r w:rsidRPr="00CC03F9">
              <w:rPr>
                <w:b/>
                <w:color w:val="000000"/>
              </w:rPr>
              <w:t>443</w:t>
            </w:r>
            <w:r w:rsidR="00CA0CE7" w:rsidRPr="00CC03F9">
              <w:rPr>
                <w:b/>
                <w:color w:val="000000"/>
              </w:rPr>
              <w:t>,</w:t>
            </w:r>
            <w:r w:rsidR="00FF040B" w:rsidRPr="00CC03F9">
              <w:rPr>
                <w:b/>
                <w:color w:val="000000"/>
              </w:rPr>
              <w:t>6</w:t>
            </w:r>
            <w:r w:rsidR="00D60127" w:rsidRPr="00CC03F9">
              <w:rPr>
                <w:b/>
                <w:color w:val="000000"/>
              </w:rPr>
              <w:t xml:space="preserve"> </w:t>
            </w:r>
            <w:r w:rsidR="00D60127" w:rsidRPr="00CC03F9">
              <w:t>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  <w:p w:rsidR="00C43FA3" w:rsidRPr="00CC03F9" w:rsidRDefault="00C43FA3" w:rsidP="000B3EE6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>399</w:t>
            </w:r>
            <w:r w:rsidR="00CA0CE7" w:rsidRPr="00CC03F9">
              <w:rPr>
                <w:color w:val="000000"/>
              </w:rPr>
              <w:t>,</w:t>
            </w:r>
            <w:r w:rsidRPr="00CC03F9">
              <w:rPr>
                <w:color w:val="000000"/>
              </w:rPr>
              <w:t>2</w:t>
            </w:r>
            <w:r w:rsidR="00D60127" w:rsidRPr="00CC03F9">
              <w:rPr>
                <w:color w:val="000000"/>
              </w:rPr>
              <w:t xml:space="preserve"> </w:t>
            </w:r>
            <w:r w:rsidR="00D60127" w:rsidRPr="00CC03F9">
              <w:t>€</w:t>
            </w:r>
          </w:p>
          <w:p w:rsidR="00C43FA3" w:rsidRPr="00CC03F9" w:rsidRDefault="00C43FA3" w:rsidP="00467296">
            <w:pPr>
              <w:jc w:val="both"/>
              <w:rPr>
                <w:color w:val="000000"/>
              </w:rPr>
            </w:pPr>
            <w:r w:rsidRPr="00CC03F9">
              <w:rPr>
                <w:color w:val="000000"/>
              </w:rPr>
              <w:t>44</w:t>
            </w:r>
            <w:r w:rsidR="00CA0CE7" w:rsidRPr="00CC03F9">
              <w:rPr>
                <w:color w:val="000000"/>
              </w:rPr>
              <w:t>,</w:t>
            </w:r>
            <w:r w:rsidR="00FF040B" w:rsidRPr="00CC03F9">
              <w:rPr>
                <w:color w:val="000000"/>
              </w:rPr>
              <w:t>4</w:t>
            </w:r>
            <w:r w:rsidR="00D60127" w:rsidRPr="00CC03F9">
              <w:rPr>
                <w:color w:val="000000"/>
              </w:rPr>
              <w:t xml:space="preserve"> </w:t>
            </w:r>
            <w:r w:rsidR="00D60127" w:rsidRPr="00CC03F9">
              <w:t>€</w:t>
            </w:r>
          </w:p>
        </w:tc>
      </w:tr>
      <w:tr w:rsidR="00C43FA3" w:rsidRPr="00A8300E" w:rsidTr="000F0374">
        <w:trPr>
          <w:jc w:val="center"/>
        </w:trPr>
        <w:tc>
          <w:tcPr>
            <w:tcW w:w="3324" w:type="dxa"/>
          </w:tcPr>
          <w:p w:rsidR="00C43FA3" w:rsidRPr="00A8300E" w:rsidRDefault="00C43FA3" w:rsidP="00932437">
            <w:pPr>
              <w:jc w:val="both"/>
              <w:rPr>
                <w:b/>
              </w:rPr>
            </w:pPr>
            <w:r w:rsidRPr="00A8300E">
              <w:rPr>
                <w:b/>
              </w:rPr>
              <w:t>6.2.4. Divpusējās sadarbības fonds</w:t>
            </w:r>
          </w:p>
          <w:p w:rsidR="00C43FA3" w:rsidRPr="00A8300E" w:rsidRDefault="00C43FA3" w:rsidP="00932437">
            <w:pPr>
              <w:jc w:val="both"/>
              <w:rPr>
                <w:i/>
                <w:u w:val="single"/>
              </w:rPr>
            </w:pPr>
            <w:r w:rsidRPr="00A8300E">
              <w:rPr>
                <w:i/>
                <w:u w:val="single"/>
              </w:rPr>
              <w:t>Tai skaitā:</w:t>
            </w:r>
          </w:p>
          <w:p w:rsidR="00C43FA3" w:rsidRPr="00A8300E" w:rsidRDefault="00C43FA3" w:rsidP="00932437">
            <w:pPr>
              <w:jc w:val="both"/>
              <w:rPr>
                <w:i/>
              </w:rPr>
            </w:pPr>
            <w:r w:rsidRPr="00A8300E">
              <w:rPr>
                <w:i/>
              </w:rPr>
              <w:t>EEZFI daļa, NFI daļa</w:t>
            </w:r>
          </w:p>
          <w:p w:rsidR="00C43FA3" w:rsidRPr="00A8300E" w:rsidRDefault="00C43FA3" w:rsidP="00932437">
            <w:pPr>
              <w:jc w:val="both"/>
              <w:rPr>
                <w:i/>
              </w:rPr>
            </w:pPr>
            <w:r w:rsidRPr="00A8300E">
              <w:rPr>
                <w:i/>
              </w:rPr>
              <w:t>LV līdzfinansējums</w:t>
            </w:r>
          </w:p>
        </w:tc>
        <w:tc>
          <w:tcPr>
            <w:tcW w:w="1331" w:type="dxa"/>
          </w:tcPr>
          <w:p w:rsidR="00C43FA3" w:rsidRPr="00CC03F9" w:rsidRDefault="00020E1A" w:rsidP="000F0374">
            <w:pPr>
              <w:jc w:val="both"/>
              <w:rPr>
                <w:b/>
                <w:color w:val="000000"/>
              </w:rPr>
            </w:pPr>
            <w:r w:rsidRPr="00CC03F9">
              <w:rPr>
                <w:b/>
                <w:color w:val="000000"/>
              </w:rPr>
              <w:t>122,5</w:t>
            </w:r>
            <w:r w:rsidR="00E84B52" w:rsidRPr="00CC03F9">
              <w:rPr>
                <w:b/>
                <w:color w:val="000000"/>
              </w:rPr>
              <w:t xml:space="preserve"> </w:t>
            </w:r>
            <w:r w:rsidR="00E84B52" w:rsidRPr="00CC03F9">
              <w:t>€</w:t>
            </w:r>
          </w:p>
          <w:p w:rsidR="00C43FA3" w:rsidRPr="00CC03F9" w:rsidRDefault="00C43FA3" w:rsidP="000F0374">
            <w:pPr>
              <w:jc w:val="both"/>
              <w:rPr>
                <w:color w:val="000000"/>
              </w:rPr>
            </w:pPr>
          </w:p>
          <w:p w:rsidR="00C43FA3" w:rsidRPr="00CC03F9" w:rsidRDefault="00C43FA3" w:rsidP="000F0374">
            <w:pPr>
              <w:jc w:val="both"/>
              <w:rPr>
                <w:color w:val="000000"/>
              </w:rPr>
            </w:pPr>
          </w:p>
          <w:p w:rsidR="00C43FA3" w:rsidRPr="00CC03F9" w:rsidRDefault="00020E1A" w:rsidP="00020E1A">
            <w:pPr>
              <w:pStyle w:val="naisf"/>
              <w:spacing w:before="0" w:after="0"/>
              <w:ind w:firstLine="0"/>
            </w:pPr>
            <w:r w:rsidRPr="00CC03F9">
              <w:t>110,2</w:t>
            </w:r>
            <w:r w:rsidR="00E84B52" w:rsidRPr="00CC03F9">
              <w:t xml:space="preserve"> €</w:t>
            </w:r>
          </w:p>
          <w:p w:rsidR="008E21EC" w:rsidRPr="00CC03F9" w:rsidRDefault="00020E1A" w:rsidP="00020E1A">
            <w:pPr>
              <w:pStyle w:val="naisf"/>
              <w:spacing w:before="0" w:after="0"/>
              <w:ind w:firstLine="0"/>
            </w:pPr>
            <w:r w:rsidRPr="00CC03F9">
              <w:t>12,3</w:t>
            </w:r>
            <w:r w:rsidR="00E84B52" w:rsidRPr="00CC03F9">
              <w:t xml:space="preserve"> €</w:t>
            </w:r>
          </w:p>
        </w:tc>
        <w:tc>
          <w:tcPr>
            <w:tcW w:w="1354" w:type="dxa"/>
          </w:tcPr>
          <w:p w:rsidR="00C43FA3" w:rsidRDefault="009277F7" w:rsidP="00932437">
            <w:pPr>
              <w:jc w:val="both"/>
            </w:pPr>
            <w:r>
              <w:rPr>
                <w:color w:val="000000"/>
              </w:rPr>
              <w:t>-40,9</w:t>
            </w:r>
            <w:r w:rsidRPr="00CC03F9">
              <w:rPr>
                <w:i/>
              </w:rPr>
              <w:t xml:space="preserve"> </w:t>
            </w:r>
            <w:r w:rsidRPr="00CC03F9">
              <w:t>€</w:t>
            </w:r>
          </w:p>
          <w:p w:rsidR="009277F7" w:rsidRDefault="009277F7" w:rsidP="00932437">
            <w:pPr>
              <w:jc w:val="both"/>
            </w:pPr>
          </w:p>
          <w:p w:rsidR="009277F7" w:rsidRDefault="009277F7" w:rsidP="00932437">
            <w:pPr>
              <w:jc w:val="both"/>
            </w:pPr>
          </w:p>
          <w:p w:rsidR="009277F7" w:rsidRDefault="009277F7" w:rsidP="00932437">
            <w:pPr>
              <w:jc w:val="both"/>
            </w:pPr>
            <w:r>
              <w:t>-36,8</w:t>
            </w:r>
            <w:r w:rsidRPr="00CC03F9">
              <w:rPr>
                <w:i/>
              </w:rPr>
              <w:t xml:space="preserve"> </w:t>
            </w:r>
            <w:r w:rsidRPr="00CC03F9">
              <w:t>€</w:t>
            </w:r>
          </w:p>
          <w:p w:rsidR="009277F7" w:rsidRPr="00CC03F9" w:rsidRDefault="009277F7" w:rsidP="00932437">
            <w:pPr>
              <w:jc w:val="both"/>
              <w:rPr>
                <w:color w:val="000000"/>
              </w:rPr>
            </w:pPr>
            <w:r>
              <w:t>-4,1</w:t>
            </w:r>
            <w:r w:rsidRPr="00CC03F9">
              <w:rPr>
                <w:i/>
              </w:rPr>
              <w:t xml:space="preserve"> </w:t>
            </w:r>
            <w:r w:rsidRPr="00CC03F9">
              <w:t>€</w:t>
            </w:r>
          </w:p>
        </w:tc>
        <w:tc>
          <w:tcPr>
            <w:tcW w:w="1354" w:type="dxa"/>
          </w:tcPr>
          <w:p w:rsidR="00C43FA3" w:rsidRPr="00CC03F9" w:rsidRDefault="00D469B4" w:rsidP="00932437">
            <w:pPr>
              <w:pStyle w:val="naisf"/>
              <w:spacing w:before="0" w:after="0"/>
              <w:ind w:firstLine="0"/>
              <w:rPr>
                <w:b/>
              </w:rPr>
            </w:pPr>
            <w:r w:rsidRPr="00CC03F9">
              <w:rPr>
                <w:b/>
              </w:rPr>
              <w:t>-</w:t>
            </w:r>
            <w:r w:rsidR="00020E1A" w:rsidRPr="00CC03F9">
              <w:rPr>
                <w:b/>
              </w:rPr>
              <w:t>81,7</w:t>
            </w:r>
            <w:r w:rsidR="00E84B52" w:rsidRPr="00CC03F9">
              <w:rPr>
                <w:b/>
              </w:rPr>
              <w:t xml:space="preserve"> </w:t>
            </w:r>
            <w:r w:rsidR="00E84B52" w:rsidRPr="00CC03F9">
              <w:t>€</w:t>
            </w:r>
          </w:p>
          <w:p w:rsidR="00C43FA3" w:rsidRPr="00CC03F9" w:rsidRDefault="00C43FA3" w:rsidP="00932437">
            <w:pPr>
              <w:pStyle w:val="naisf"/>
              <w:spacing w:before="0" w:after="0"/>
              <w:ind w:firstLine="0"/>
              <w:rPr>
                <w:b/>
              </w:rPr>
            </w:pPr>
          </w:p>
          <w:p w:rsidR="00C43FA3" w:rsidRPr="00CC03F9" w:rsidRDefault="00C43FA3" w:rsidP="00932437">
            <w:pPr>
              <w:pStyle w:val="naisf"/>
              <w:spacing w:before="0" w:after="0"/>
              <w:ind w:firstLine="0"/>
              <w:rPr>
                <w:b/>
              </w:rPr>
            </w:pPr>
          </w:p>
          <w:p w:rsidR="00C43FA3" w:rsidRPr="00CC03F9" w:rsidRDefault="00D469B4" w:rsidP="00932437">
            <w:pPr>
              <w:pStyle w:val="naisf"/>
              <w:spacing w:before="0" w:after="0"/>
              <w:ind w:firstLine="0"/>
            </w:pPr>
            <w:r w:rsidRPr="00CC03F9">
              <w:t>-</w:t>
            </w:r>
            <w:r w:rsidR="00020E1A" w:rsidRPr="00CC03F9">
              <w:t>73,5</w:t>
            </w:r>
            <w:r w:rsidR="00E84B52" w:rsidRPr="00CC03F9">
              <w:t xml:space="preserve"> €</w:t>
            </w:r>
          </w:p>
          <w:p w:rsidR="008E21EC" w:rsidRPr="00CC03F9" w:rsidRDefault="00D469B4" w:rsidP="00932437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CC03F9">
              <w:t>-</w:t>
            </w:r>
            <w:r w:rsidR="00020E1A" w:rsidRPr="00CC03F9">
              <w:t>8,2</w:t>
            </w:r>
            <w:r w:rsidR="00E84B52" w:rsidRPr="00CC03F9">
              <w:t xml:space="preserve"> €</w:t>
            </w:r>
          </w:p>
        </w:tc>
        <w:tc>
          <w:tcPr>
            <w:tcW w:w="1355" w:type="dxa"/>
          </w:tcPr>
          <w:p w:rsidR="00C43FA3" w:rsidRPr="00CC03F9" w:rsidRDefault="00C43FA3" w:rsidP="0093243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93243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 w:rsidTr="000F0374">
        <w:trPr>
          <w:jc w:val="center"/>
        </w:trPr>
        <w:tc>
          <w:tcPr>
            <w:tcW w:w="3324" w:type="dxa"/>
          </w:tcPr>
          <w:p w:rsidR="00C43FA3" w:rsidRPr="00A8300E" w:rsidRDefault="00C43FA3" w:rsidP="00932437">
            <w:pPr>
              <w:jc w:val="both"/>
              <w:rPr>
                <w:b/>
              </w:rPr>
            </w:pPr>
            <w:r w:rsidRPr="00A8300E">
              <w:rPr>
                <w:b/>
              </w:rPr>
              <w:t>6.2.4.1. Divpusējās sadarbības fonds stipendiju aktivitātei</w:t>
            </w:r>
          </w:p>
          <w:p w:rsidR="00C43FA3" w:rsidRPr="00A8300E" w:rsidRDefault="00C43FA3" w:rsidP="00932437">
            <w:pPr>
              <w:jc w:val="both"/>
              <w:rPr>
                <w:i/>
                <w:u w:val="single"/>
              </w:rPr>
            </w:pPr>
            <w:r w:rsidRPr="00A8300E">
              <w:rPr>
                <w:i/>
                <w:u w:val="single"/>
              </w:rPr>
              <w:t>Tai skaitā:</w:t>
            </w:r>
          </w:p>
          <w:p w:rsidR="00C43FA3" w:rsidRPr="00A8300E" w:rsidRDefault="00C43FA3" w:rsidP="00932437">
            <w:pPr>
              <w:jc w:val="both"/>
              <w:rPr>
                <w:i/>
              </w:rPr>
            </w:pPr>
            <w:r w:rsidRPr="00A8300E">
              <w:rPr>
                <w:i/>
              </w:rPr>
              <w:t>EEZFI daļa</w:t>
            </w:r>
          </w:p>
          <w:p w:rsidR="00C43FA3" w:rsidRPr="00A8300E" w:rsidRDefault="00C43FA3" w:rsidP="00932437">
            <w:pPr>
              <w:jc w:val="both"/>
              <w:rPr>
                <w:i/>
              </w:rPr>
            </w:pPr>
            <w:r w:rsidRPr="00A8300E">
              <w:rPr>
                <w:i/>
              </w:rPr>
              <w:t>LV līdzfinansējums</w:t>
            </w:r>
          </w:p>
          <w:p w:rsidR="00C43FA3" w:rsidRPr="00A8300E" w:rsidRDefault="00C43FA3" w:rsidP="00932437">
            <w:pPr>
              <w:jc w:val="both"/>
              <w:rPr>
                <w:i/>
              </w:rPr>
            </w:pPr>
            <w:r w:rsidRPr="00A8300E">
              <w:rPr>
                <w:i/>
              </w:rPr>
              <w:t>NFI daļa</w:t>
            </w:r>
          </w:p>
          <w:p w:rsidR="00C43FA3" w:rsidRPr="00A8300E" w:rsidRDefault="00C43FA3" w:rsidP="00932437">
            <w:pPr>
              <w:jc w:val="both"/>
              <w:rPr>
                <w:i/>
              </w:rPr>
            </w:pPr>
            <w:r w:rsidRPr="00A8300E">
              <w:rPr>
                <w:i/>
              </w:rPr>
              <w:t>LV līdzfinansējums</w:t>
            </w:r>
          </w:p>
        </w:tc>
        <w:tc>
          <w:tcPr>
            <w:tcW w:w="1331" w:type="dxa"/>
          </w:tcPr>
          <w:p w:rsidR="00C43FA3" w:rsidRPr="00CC03F9" w:rsidRDefault="00020E1A" w:rsidP="00020E1A">
            <w:pPr>
              <w:pStyle w:val="naisf"/>
              <w:spacing w:before="0" w:after="0"/>
              <w:ind w:firstLine="0"/>
            </w:pPr>
            <w:r w:rsidRPr="00CC03F9">
              <w:t>24,5</w:t>
            </w:r>
            <w:r w:rsidR="00E84B52" w:rsidRPr="00CC03F9">
              <w:t xml:space="preserve"> €</w:t>
            </w:r>
          </w:p>
          <w:p w:rsidR="0017613D" w:rsidRPr="00CC03F9" w:rsidRDefault="0017613D" w:rsidP="0093243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17613D" w:rsidRPr="00CC03F9" w:rsidRDefault="0017613D" w:rsidP="00932437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17613D" w:rsidRPr="00CC03F9" w:rsidRDefault="00020E1A" w:rsidP="00020E1A">
            <w:pPr>
              <w:pStyle w:val="naisf"/>
              <w:spacing w:before="0" w:after="0"/>
              <w:ind w:firstLine="0"/>
            </w:pPr>
            <w:r w:rsidRPr="00CC03F9">
              <w:t>10,3</w:t>
            </w:r>
            <w:r w:rsidR="00E84B52" w:rsidRPr="00CC03F9">
              <w:t xml:space="preserve"> €</w:t>
            </w:r>
          </w:p>
          <w:p w:rsidR="0017613D" w:rsidRPr="00CC03F9" w:rsidRDefault="00020E1A" w:rsidP="00020E1A">
            <w:pPr>
              <w:pStyle w:val="naisf"/>
              <w:spacing w:before="0" w:after="0"/>
              <w:ind w:firstLine="0"/>
            </w:pPr>
            <w:r w:rsidRPr="00CC03F9">
              <w:t>1,2</w:t>
            </w:r>
            <w:r w:rsidR="00E84B52" w:rsidRPr="00CC03F9">
              <w:t xml:space="preserve"> €</w:t>
            </w:r>
          </w:p>
          <w:p w:rsidR="0017613D" w:rsidRPr="00CC03F9" w:rsidRDefault="00020E1A" w:rsidP="00020E1A">
            <w:pPr>
              <w:pStyle w:val="naisf"/>
              <w:spacing w:before="0" w:after="0"/>
              <w:ind w:firstLine="0"/>
            </w:pPr>
            <w:r w:rsidRPr="00CC03F9">
              <w:t>11,7</w:t>
            </w:r>
            <w:r w:rsidR="00E84B52" w:rsidRPr="00CC03F9">
              <w:t xml:space="preserve"> €</w:t>
            </w:r>
          </w:p>
          <w:p w:rsidR="0017613D" w:rsidRPr="00CC03F9" w:rsidRDefault="00020E1A" w:rsidP="00020E1A">
            <w:pPr>
              <w:pStyle w:val="naisf"/>
              <w:spacing w:before="0" w:after="0"/>
              <w:ind w:firstLine="0"/>
            </w:pPr>
            <w:r w:rsidRPr="00CC03F9">
              <w:t>1,3</w:t>
            </w:r>
            <w:r w:rsidR="00E84B52" w:rsidRPr="00CC03F9">
              <w:t xml:space="preserve"> €</w:t>
            </w:r>
          </w:p>
        </w:tc>
        <w:tc>
          <w:tcPr>
            <w:tcW w:w="1354" w:type="dxa"/>
          </w:tcPr>
          <w:p w:rsidR="00C43FA3" w:rsidRDefault="009277F7" w:rsidP="00932437">
            <w:pPr>
              <w:jc w:val="both"/>
            </w:pPr>
            <w:r>
              <w:rPr>
                <w:color w:val="000000"/>
              </w:rPr>
              <w:t>-8,2</w:t>
            </w:r>
            <w:r w:rsidRPr="00CC03F9">
              <w:rPr>
                <w:i/>
              </w:rPr>
              <w:t xml:space="preserve"> </w:t>
            </w:r>
            <w:r w:rsidRPr="00CC03F9">
              <w:t>€</w:t>
            </w:r>
          </w:p>
          <w:p w:rsidR="009277F7" w:rsidRDefault="009277F7" w:rsidP="00932437">
            <w:pPr>
              <w:jc w:val="both"/>
            </w:pPr>
          </w:p>
          <w:p w:rsidR="009277F7" w:rsidRDefault="009277F7" w:rsidP="00932437">
            <w:pPr>
              <w:jc w:val="both"/>
            </w:pPr>
          </w:p>
          <w:p w:rsidR="009277F7" w:rsidRDefault="009277F7" w:rsidP="00932437">
            <w:pPr>
              <w:jc w:val="both"/>
            </w:pPr>
            <w:r>
              <w:t>-3,4</w:t>
            </w:r>
            <w:r w:rsidRPr="00CC03F9">
              <w:rPr>
                <w:i/>
              </w:rPr>
              <w:t xml:space="preserve"> </w:t>
            </w:r>
            <w:r w:rsidRPr="00CC03F9">
              <w:t>€</w:t>
            </w:r>
          </w:p>
          <w:p w:rsidR="009277F7" w:rsidRDefault="009277F7" w:rsidP="00932437">
            <w:pPr>
              <w:jc w:val="both"/>
            </w:pPr>
            <w:r>
              <w:t>-0,4</w:t>
            </w:r>
            <w:r w:rsidRPr="00CC03F9">
              <w:rPr>
                <w:i/>
              </w:rPr>
              <w:t xml:space="preserve"> </w:t>
            </w:r>
            <w:r w:rsidRPr="00CC03F9">
              <w:t>€</w:t>
            </w:r>
          </w:p>
          <w:p w:rsidR="009277F7" w:rsidRDefault="009277F7" w:rsidP="00932437">
            <w:pPr>
              <w:jc w:val="both"/>
            </w:pPr>
            <w:r>
              <w:t>-3,9</w:t>
            </w:r>
            <w:r w:rsidRPr="00CC03F9">
              <w:rPr>
                <w:i/>
              </w:rPr>
              <w:t xml:space="preserve"> </w:t>
            </w:r>
            <w:r w:rsidRPr="00CC03F9">
              <w:t>€</w:t>
            </w:r>
          </w:p>
          <w:p w:rsidR="009277F7" w:rsidRPr="00CC03F9" w:rsidRDefault="009277F7" w:rsidP="00932437">
            <w:pPr>
              <w:jc w:val="both"/>
              <w:rPr>
                <w:color w:val="000000"/>
              </w:rPr>
            </w:pPr>
            <w:r>
              <w:t>-0,5</w:t>
            </w:r>
            <w:r w:rsidRPr="00CC03F9">
              <w:rPr>
                <w:i/>
              </w:rPr>
              <w:t xml:space="preserve"> </w:t>
            </w:r>
            <w:r w:rsidRPr="00CC03F9">
              <w:t>€</w:t>
            </w:r>
          </w:p>
        </w:tc>
        <w:tc>
          <w:tcPr>
            <w:tcW w:w="1354" w:type="dxa"/>
          </w:tcPr>
          <w:p w:rsidR="00C43FA3" w:rsidRPr="00CC03F9" w:rsidRDefault="00D469B4" w:rsidP="00932437">
            <w:pPr>
              <w:pStyle w:val="naisf"/>
              <w:spacing w:before="0" w:after="0"/>
              <w:ind w:firstLine="0"/>
              <w:rPr>
                <w:b/>
              </w:rPr>
            </w:pPr>
            <w:r w:rsidRPr="00CC03F9">
              <w:rPr>
                <w:b/>
              </w:rPr>
              <w:t>-16,4</w:t>
            </w:r>
            <w:r w:rsidR="00E84B52" w:rsidRPr="00CC03F9">
              <w:rPr>
                <w:b/>
              </w:rPr>
              <w:t xml:space="preserve"> </w:t>
            </w:r>
            <w:r w:rsidR="00E84B52" w:rsidRPr="00CC03F9">
              <w:t>€</w:t>
            </w:r>
          </w:p>
          <w:p w:rsidR="0017613D" w:rsidRPr="00CC03F9" w:rsidRDefault="0017613D" w:rsidP="00932437">
            <w:pPr>
              <w:pStyle w:val="naisf"/>
              <w:spacing w:before="0" w:after="0"/>
              <w:ind w:firstLine="0"/>
              <w:rPr>
                <w:b/>
              </w:rPr>
            </w:pPr>
          </w:p>
          <w:p w:rsidR="0017613D" w:rsidRPr="00CC03F9" w:rsidRDefault="0017613D" w:rsidP="00932437">
            <w:pPr>
              <w:pStyle w:val="naisf"/>
              <w:spacing w:before="0" w:after="0"/>
              <w:ind w:firstLine="0"/>
              <w:rPr>
                <w:b/>
              </w:rPr>
            </w:pPr>
          </w:p>
          <w:p w:rsidR="0017613D" w:rsidRPr="00CC03F9" w:rsidRDefault="00D469B4" w:rsidP="00932437">
            <w:pPr>
              <w:pStyle w:val="naisf"/>
              <w:spacing w:before="0" w:after="0"/>
              <w:ind w:firstLine="0"/>
              <w:rPr>
                <w:b/>
              </w:rPr>
            </w:pPr>
            <w:r w:rsidRPr="00CC03F9">
              <w:rPr>
                <w:b/>
              </w:rPr>
              <w:t>-6,9</w:t>
            </w:r>
            <w:r w:rsidR="00E84B52" w:rsidRPr="00CC03F9">
              <w:rPr>
                <w:b/>
              </w:rPr>
              <w:t xml:space="preserve"> </w:t>
            </w:r>
            <w:r w:rsidR="00E84B52" w:rsidRPr="00CC03F9">
              <w:t>€</w:t>
            </w:r>
          </w:p>
          <w:p w:rsidR="0017613D" w:rsidRPr="00CC03F9" w:rsidRDefault="00D469B4" w:rsidP="00932437">
            <w:pPr>
              <w:pStyle w:val="naisf"/>
              <w:spacing w:before="0" w:after="0"/>
              <w:ind w:firstLine="0"/>
              <w:rPr>
                <w:b/>
              </w:rPr>
            </w:pPr>
            <w:r w:rsidRPr="00CC03F9">
              <w:rPr>
                <w:b/>
              </w:rPr>
              <w:t>-0,8</w:t>
            </w:r>
            <w:r w:rsidR="00E84B52" w:rsidRPr="00CC03F9">
              <w:rPr>
                <w:b/>
              </w:rPr>
              <w:t xml:space="preserve"> </w:t>
            </w:r>
            <w:r w:rsidR="00E84B52" w:rsidRPr="00CC03F9">
              <w:t>€</w:t>
            </w:r>
          </w:p>
          <w:p w:rsidR="0017613D" w:rsidRPr="00CC03F9" w:rsidRDefault="00D469B4" w:rsidP="00932437">
            <w:pPr>
              <w:pStyle w:val="naisf"/>
              <w:spacing w:before="0" w:after="0"/>
              <w:ind w:firstLine="0"/>
              <w:rPr>
                <w:b/>
              </w:rPr>
            </w:pPr>
            <w:r w:rsidRPr="00CC03F9">
              <w:rPr>
                <w:b/>
              </w:rPr>
              <w:t>-7,8</w:t>
            </w:r>
            <w:r w:rsidR="00E84B52" w:rsidRPr="00CC03F9">
              <w:rPr>
                <w:b/>
              </w:rPr>
              <w:t xml:space="preserve"> </w:t>
            </w:r>
            <w:r w:rsidR="00E84B52" w:rsidRPr="00CC03F9">
              <w:t>€</w:t>
            </w:r>
          </w:p>
          <w:p w:rsidR="0017613D" w:rsidRPr="00CC03F9" w:rsidRDefault="00D469B4" w:rsidP="00932437">
            <w:pPr>
              <w:pStyle w:val="naisf"/>
              <w:spacing w:before="0" w:after="0"/>
              <w:ind w:firstLine="0"/>
              <w:rPr>
                <w:b/>
              </w:rPr>
            </w:pPr>
            <w:r w:rsidRPr="00CC03F9">
              <w:rPr>
                <w:b/>
              </w:rPr>
              <w:t>-0,9</w:t>
            </w:r>
            <w:r w:rsidR="00E84B52" w:rsidRPr="00CC03F9">
              <w:rPr>
                <w:b/>
              </w:rPr>
              <w:t xml:space="preserve"> </w:t>
            </w:r>
            <w:r w:rsidR="00E84B52" w:rsidRPr="00CC03F9">
              <w:t>€</w:t>
            </w:r>
          </w:p>
        </w:tc>
        <w:tc>
          <w:tcPr>
            <w:tcW w:w="1355" w:type="dxa"/>
          </w:tcPr>
          <w:p w:rsidR="00C43FA3" w:rsidRPr="00CC03F9" w:rsidRDefault="00C43FA3" w:rsidP="0093243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93243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 w:rsidTr="000F0374">
        <w:trPr>
          <w:jc w:val="center"/>
        </w:trPr>
        <w:tc>
          <w:tcPr>
            <w:tcW w:w="3324" w:type="dxa"/>
          </w:tcPr>
          <w:p w:rsidR="00C43FA3" w:rsidRPr="00A8300E" w:rsidRDefault="00C43FA3" w:rsidP="00932437">
            <w:pPr>
              <w:jc w:val="both"/>
              <w:rPr>
                <w:b/>
              </w:rPr>
            </w:pPr>
            <w:r w:rsidRPr="00A8300E">
              <w:rPr>
                <w:b/>
              </w:rPr>
              <w:lastRenderedPageBreak/>
              <w:t>6.2.4.2. Divpusējās sadarbības fonds pētniecības aktivitātei</w:t>
            </w:r>
          </w:p>
          <w:p w:rsidR="00C43FA3" w:rsidRPr="00A8300E" w:rsidRDefault="00C43FA3" w:rsidP="00932437">
            <w:pPr>
              <w:jc w:val="both"/>
              <w:rPr>
                <w:i/>
                <w:u w:val="single"/>
              </w:rPr>
            </w:pPr>
            <w:r w:rsidRPr="00A8300E">
              <w:rPr>
                <w:i/>
                <w:u w:val="single"/>
              </w:rPr>
              <w:t>Tai skaitā:</w:t>
            </w:r>
          </w:p>
          <w:p w:rsidR="00C43FA3" w:rsidRPr="00A8300E" w:rsidRDefault="00C43FA3" w:rsidP="00932437">
            <w:pPr>
              <w:jc w:val="both"/>
              <w:rPr>
                <w:i/>
              </w:rPr>
            </w:pPr>
            <w:r w:rsidRPr="00A8300E">
              <w:rPr>
                <w:i/>
              </w:rPr>
              <w:t>NFI daļa</w:t>
            </w:r>
          </w:p>
          <w:p w:rsidR="00C43FA3" w:rsidRPr="00A8300E" w:rsidRDefault="00C43FA3" w:rsidP="00932437">
            <w:pPr>
              <w:jc w:val="both"/>
              <w:rPr>
                <w:i/>
              </w:rPr>
            </w:pPr>
            <w:r w:rsidRPr="00A8300E">
              <w:rPr>
                <w:i/>
              </w:rPr>
              <w:t>LV līdzfinansējums</w:t>
            </w:r>
          </w:p>
        </w:tc>
        <w:tc>
          <w:tcPr>
            <w:tcW w:w="1331" w:type="dxa"/>
          </w:tcPr>
          <w:p w:rsidR="00C43FA3" w:rsidRPr="00CC03F9" w:rsidRDefault="00D469B4" w:rsidP="002B0B4C">
            <w:pPr>
              <w:pStyle w:val="naisf"/>
              <w:spacing w:before="0" w:after="0"/>
              <w:ind w:firstLine="0"/>
            </w:pPr>
            <w:r w:rsidRPr="00CC03F9">
              <w:t>98</w:t>
            </w:r>
            <w:r w:rsidR="00E84B52" w:rsidRPr="00CC03F9">
              <w:t xml:space="preserve"> €</w:t>
            </w:r>
          </w:p>
          <w:p w:rsidR="008E21EC" w:rsidRPr="00CC03F9" w:rsidRDefault="008E21EC" w:rsidP="00932437">
            <w:pPr>
              <w:pStyle w:val="naisf"/>
              <w:spacing w:before="0" w:after="0"/>
              <w:ind w:firstLine="0"/>
              <w:jc w:val="center"/>
            </w:pPr>
          </w:p>
          <w:p w:rsidR="008E21EC" w:rsidRPr="00CC03F9" w:rsidRDefault="008E21EC" w:rsidP="00932437">
            <w:pPr>
              <w:pStyle w:val="naisf"/>
              <w:spacing w:before="0" w:after="0"/>
              <w:ind w:firstLine="0"/>
              <w:jc w:val="center"/>
            </w:pPr>
          </w:p>
          <w:p w:rsidR="008E21EC" w:rsidRPr="00CC03F9" w:rsidRDefault="00D469B4" w:rsidP="002B0B4C">
            <w:pPr>
              <w:pStyle w:val="naisf"/>
              <w:spacing w:before="0" w:after="0"/>
              <w:ind w:firstLine="0"/>
            </w:pPr>
            <w:r w:rsidRPr="00CC03F9">
              <w:t>88,2</w:t>
            </w:r>
            <w:r w:rsidR="00E84B52" w:rsidRPr="00CC03F9">
              <w:t xml:space="preserve"> €</w:t>
            </w:r>
          </w:p>
          <w:p w:rsidR="008E21EC" w:rsidRPr="00CC03F9" w:rsidRDefault="00D469B4" w:rsidP="002B0B4C">
            <w:pPr>
              <w:pStyle w:val="naisf"/>
              <w:spacing w:before="0" w:after="0"/>
              <w:ind w:firstLine="0"/>
            </w:pPr>
            <w:r w:rsidRPr="00CC03F9">
              <w:t>9,8</w:t>
            </w:r>
            <w:r w:rsidR="00E84B52" w:rsidRPr="00CC03F9">
              <w:t xml:space="preserve"> €</w:t>
            </w:r>
          </w:p>
        </w:tc>
        <w:tc>
          <w:tcPr>
            <w:tcW w:w="1354" w:type="dxa"/>
          </w:tcPr>
          <w:p w:rsidR="009277F7" w:rsidRPr="00CC03F9" w:rsidRDefault="009277F7" w:rsidP="00932437">
            <w:pPr>
              <w:jc w:val="both"/>
              <w:rPr>
                <w:color w:val="000000"/>
              </w:rPr>
            </w:pPr>
          </w:p>
        </w:tc>
        <w:tc>
          <w:tcPr>
            <w:tcW w:w="1354" w:type="dxa"/>
          </w:tcPr>
          <w:p w:rsidR="00C43FA3" w:rsidRPr="00CC03F9" w:rsidRDefault="00D469B4" w:rsidP="00932437">
            <w:pPr>
              <w:pStyle w:val="naisf"/>
              <w:spacing w:before="0" w:after="0"/>
              <w:ind w:firstLine="0"/>
              <w:rPr>
                <w:b/>
              </w:rPr>
            </w:pPr>
            <w:r w:rsidRPr="00CC03F9">
              <w:rPr>
                <w:b/>
              </w:rPr>
              <w:t>-65,3</w:t>
            </w:r>
            <w:r w:rsidR="00E84B52" w:rsidRPr="00CC03F9">
              <w:rPr>
                <w:b/>
              </w:rPr>
              <w:t xml:space="preserve"> </w:t>
            </w:r>
            <w:r w:rsidR="00E84B52" w:rsidRPr="00CC03F9">
              <w:t>€</w:t>
            </w:r>
          </w:p>
          <w:p w:rsidR="00C43FA3" w:rsidRPr="00CC03F9" w:rsidRDefault="00C43FA3" w:rsidP="00932437">
            <w:pPr>
              <w:pStyle w:val="naisf"/>
              <w:spacing w:before="0" w:after="0"/>
              <w:ind w:firstLine="0"/>
              <w:rPr>
                <w:b/>
              </w:rPr>
            </w:pPr>
          </w:p>
          <w:p w:rsidR="00C43FA3" w:rsidRPr="00CC03F9" w:rsidRDefault="00C43FA3" w:rsidP="00932437">
            <w:pPr>
              <w:pStyle w:val="naisf"/>
              <w:spacing w:before="0" w:after="0"/>
              <w:ind w:firstLine="0"/>
              <w:rPr>
                <w:b/>
              </w:rPr>
            </w:pPr>
          </w:p>
          <w:p w:rsidR="00C43FA3" w:rsidRPr="00CC03F9" w:rsidRDefault="00D469B4" w:rsidP="00932437">
            <w:pPr>
              <w:pStyle w:val="naisf"/>
              <w:spacing w:before="0" w:after="0"/>
              <w:ind w:firstLine="0"/>
            </w:pPr>
            <w:r w:rsidRPr="00CC03F9">
              <w:t>-58,8</w:t>
            </w:r>
            <w:r w:rsidR="00E84B52" w:rsidRPr="00CC03F9">
              <w:t xml:space="preserve"> €</w:t>
            </w:r>
          </w:p>
          <w:p w:rsidR="008E21EC" w:rsidRPr="00CC03F9" w:rsidRDefault="00D469B4" w:rsidP="00932437">
            <w:pPr>
              <w:pStyle w:val="naisf"/>
              <w:spacing w:before="0" w:after="0"/>
              <w:ind w:firstLine="0"/>
              <w:rPr>
                <w:b/>
                <w:i/>
              </w:rPr>
            </w:pPr>
            <w:r w:rsidRPr="00CC03F9">
              <w:t>-6,5</w:t>
            </w:r>
            <w:r w:rsidR="00E84B52" w:rsidRPr="00CC03F9">
              <w:t xml:space="preserve"> €</w:t>
            </w:r>
          </w:p>
        </w:tc>
        <w:tc>
          <w:tcPr>
            <w:tcW w:w="1355" w:type="dxa"/>
          </w:tcPr>
          <w:p w:rsidR="00FF040B" w:rsidRPr="00CC03F9" w:rsidRDefault="00FF040B" w:rsidP="0093243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C43FA3" w:rsidP="00932437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 w:rsidTr="000F0374">
        <w:trPr>
          <w:jc w:val="center"/>
        </w:trPr>
        <w:tc>
          <w:tcPr>
            <w:tcW w:w="3324" w:type="dxa"/>
          </w:tcPr>
          <w:p w:rsidR="00C43FA3" w:rsidRPr="00A8300E" w:rsidRDefault="00C43FA3" w:rsidP="000978EA">
            <w:pPr>
              <w:rPr>
                <w:b/>
              </w:rPr>
            </w:pPr>
            <w:r w:rsidRPr="00A8300E">
              <w:rPr>
                <w:b/>
              </w:rPr>
              <w:t>6.2.5. Programmas apsaimniekošanas izmaksas</w:t>
            </w:r>
          </w:p>
          <w:p w:rsidR="00C43FA3" w:rsidRPr="00A8300E" w:rsidRDefault="00C43FA3" w:rsidP="000978EA">
            <w:pPr>
              <w:rPr>
                <w:b/>
              </w:rPr>
            </w:pPr>
          </w:p>
        </w:tc>
        <w:tc>
          <w:tcPr>
            <w:tcW w:w="1331" w:type="dxa"/>
          </w:tcPr>
          <w:p w:rsidR="00C43FA3" w:rsidRPr="00CC03F9" w:rsidRDefault="00C43FA3" w:rsidP="000F0374">
            <w:pPr>
              <w:jc w:val="both"/>
              <w:rPr>
                <w:b/>
                <w:color w:val="000000"/>
              </w:rPr>
            </w:pPr>
            <w:r w:rsidRPr="00CC03F9">
              <w:rPr>
                <w:b/>
                <w:color w:val="000000"/>
              </w:rPr>
              <w:t>199</w:t>
            </w:r>
            <w:r w:rsidR="001F26F1" w:rsidRPr="00CC03F9">
              <w:rPr>
                <w:b/>
                <w:color w:val="000000"/>
              </w:rPr>
              <w:t>,</w:t>
            </w:r>
            <w:r w:rsidR="00D469B4" w:rsidRPr="00CC03F9">
              <w:rPr>
                <w:b/>
                <w:color w:val="000000"/>
              </w:rPr>
              <w:t xml:space="preserve">3 </w:t>
            </w:r>
            <w:r w:rsidR="00E84B52" w:rsidRPr="00CC03F9">
              <w:t>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C43FA3" w:rsidRPr="00CC03F9" w:rsidRDefault="00C43FA3" w:rsidP="007D172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354" w:type="dxa"/>
          </w:tcPr>
          <w:p w:rsidR="00C43FA3" w:rsidRPr="00CC03F9" w:rsidRDefault="00D469B4" w:rsidP="003263BA">
            <w:pPr>
              <w:jc w:val="both"/>
              <w:rPr>
                <w:b/>
                <w:color w:val="000000"/>
              </w:rPr>
            </w:pPr>
            <w:r w:rsidRPr="00CC03F9">
              <w:rPr>
                <w:b/>
                <w:color w:val="000000"/>
              </w:rPr>
              <w:t xml:space="preserve">-15,9 </w:t>
            </w:r>
            <w:r w:rsidR="00E84B52" w:rsidRPr="00CC03F9">
              <w:t>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C43FA3" w:rsidRPr="00CC03F9" w:rsidRDefault="00D469B4" w:rsidP="003263BA">
            <w:pPr>
              <w:jc w:val="both"/>
              <w:rPr>
                <w:b/>
                <w:color w:val="000000"/>
              </w:rPr>
            </w:pPr>
            <w:r w:rsidRPr="00CC03F9">
              <w:rPr>
                <w:b/>
                <w:color w:val="000000"/>
              </w:rPr>
              <w:t>-95,2</w:t>
            </w:r>
            <w:r w:rsidR="00E84B52" w:rsidRPr="00CC03F9">
              <w:rPr>
                <w:b/>
                <w:color w:val="000000"/>
              </w:rPr>
              <w:t xml:space="preserve"> </w:t>
            </w:r>
            <w:r w:rsidR="00E84B52" w:rsidRPr="00CC03F9">
              <w:t>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C43FA3" w:rsidRPr="00CC03F9" w:rsidRDefault="00D469B4" w:rsidP="003263BA">
            <w:pPr>
              <w:jc w:val="both"/>
              <w:rPr>
                <w:b/>
                <w:color w:val="000000"/>
              </w:rPr>
            </w:pPr>
            <w:r w:rsidRPr="00CC03F9">
              <w:rPr>
                <w:b/>
                <w:color w:val="000000"/>
              </w:rPr>
              <w:t>-96,3</w:t>
            </w:r>
            <w:r w:rsidR="00E84B52" w:rsidRPr="00CC03F9">
              <w:rPr>
                <w:b/>
                <w:color w:val="000000"/>
              </w:rPr>
              <w:t xml:space="preserve"> </w:t>
            </w:r>
            <w:r w:rsidR="00E84B52" w:rsidRPr="00CC03F9">
              <w:t>€</w:t>
            </w:r>
          </w:p>
          <w:p w:rsidR="00C43FA3" w:rsidRPr="00CC03F9" w:rsidRDefault="00C43FA3" w:rsidP="00CD43A9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C43FA3" w:rsidRPr="00A8300E">
        <w:trPr>
          <w:jc w:val="center"/>
        </w:trPr>
        <w:tc>
          <w:tcPr>
            <w:tcW w:w="3324" w:type="dxa"/>
          </w:tcPr>
          <w:p w:rsidR="00C43FA3" w:rsidRPr="00A8300E" w:rsidRDefault="00C43FA3" w:rsidP="00CD43A9">
            <w:pPr>
              <w:jc w:val="both"/>
            </w:pPr>
            <w:r w:rsidRPr="00A8300E">
              <w:t>7. Cita informācija</w:t>
            </w:r>
          </w:p>
        </w:tc>
        <w:tc>
          <w:tcPr>
            <w:tcW w:w="6800" w:type="dxa"/>
            <w:gridSpan w:val="5"/>
          </w:tcPr>
          <w:p w:rsidR="00C43FA3" w:rsidRPr="00A8300E" w:rsidRDefault="00C43FA3" w:rsidP="002635AC">
            <w:pPr>
              <w:pStyle w:val="naisf"/>
              <w:spacing w:before="0" w:after="0"/>
              <w:ind w:firstLine="0"/>
            </w:pPr>
            <w:r w:rsidRPr="00A8300E">
              <w:t xml:space="preserve">Programmas „Pētniecība un stipendijas” īstenošanai paredzēti € </w:t>
            </w:r>
            <w:r w:rsidRPr="003618AA">
              <w:t>6 122 500,</w:t>
            </w:r>
            <w:r w:rsidRPr="00A8300E">
              <w:t xml:space="preserve"> no kuriem 10% ir</w:t>
            </w:r>
            <w:r w:rsidR="009D5552">
              <w:t xml:space="preserve"> Latvijas</w:t>
            </w:r>
            <w:r w:rsidRPr="00A8300E">
              <w:t xml:space="preserve"> valsts budžeta finansējums </w:t>
            </w:r>
            <w:r w:rsidRPr="00040334">
              <w:t>(€612 250)</w:t>
            </w:r>
            <w:r w:rsidRPr="00A8300E">
              <w:t xml:space="preserve"> un 90% (€5 510 250)</w:t>
            </w:r>
            <w:r w:rsidR="009D5552">
              <w:t xml:space="preserve"> ir </w:t>
            </w:r>
            <w:proofErr w:type="spellStart"/>
            <w:r w:rsidR="009D5552">
              <w:t>donorvalstu</w:t>
            </w:r>
            <w:proofErr w:type="spellEnd"/>
            <w:r w:rsidR="009D5552">
              <w:t xml:space="preserve"> finansējums</w:t>
            </w:r>
            <w:r w:rsidRPr="00A8300E">
              <w:t xml:space="preserve">, </w:t>
            </w:r>
            <w:r w:rsidR="009D5552">
              <w:t>tai skaitā</w:t>
            </w:r>
            <w:r w:rsidRPr="00A8300E">
              <w:t xml:space="preserve"> Norvēģijas finanšu instrumenta finansējums ir €4 992 000 un Eiropas Ekonomikas zonas finanšu instrumenta finansējums ir €518 250.</w:t>
            </w:r>
            <w:r w:rsidR="009D5552">
              <w:t xml:space="preserve"> Programmas finansējuma sadalījums starp aktivitātēm:</w:t>
            </w:r>
          </w:p>
          <w:p w:rsidR="00C43FA3" w:rsidRPr="00FA6821" w:rsidRDefault="009D5552" w:rsidP="002635AC">
            <w:pPr>
              <w:pStyle w:val="naisf"/>
              <w:spacing w:before="0" w:after="0"/>
              <w:ind w:firstLine="0"/>
            </w:pPr>
            <w:r>
              <w:t xml:space="preserve">1) </w:t>
            </w:r>
            <w:r w:rsidR="00C43FA3" w:rsidRPr="00A8300E">
              <w:t>Stipendiju aktivitātei paredzēts finansējums €1 045 </w:t>
            </w:r>
            <w:r w:rsidR="00C43FA3" w:rsidRPr="00FA6821">
              <w:t>03</w:t>
            </w:r>
            <w:r w:rsidR="00757CA8" w:rsidRPr="00FA6821">
              <w:t>7</w:t>
            </w:r>
            <w:r w:rsidR="00C43FA3" w:rsidRPr="00FA6821">
              <w:t xml:space="preserve"> apmērā.</w:t>
            </w:r>
          </w:p>
          <w:p w:rsidR="00C43FA3" w:rsidRPr="00FA6821" w:rsidRDefault="009D5552" w:rsidP="002635AC">
            <w:pPr>
              <w:pStyle w:val="naisf"/>
              <w:spacing w:before="0" w:after="0"/>
              <w:ind w:firstLine="0"/>
            </w:pPr>
            <w:r>
              <w:t xml:space="preserve">2) </w:t>
            </w:r>
            <w:r w:rsidR="00C43FA3" w:rsidRPr="00FA6821">
              <w:t>Pētniecības aktivitātei paredzēts finansējums €4 435 556 apmērā.</w:t>
            </w:r>
          </w:p>
          <w:p w:rsidR="00C43FA3" w:rsidRPr="00FA6821" w:rsidRDefault="009D5552" w:rsidP="002635AC">
            <w:pPr>
              <w:pStyle w:val="naisf"/>
              <w:spacing w:before="0" w:after="0"/>
              <w:ind w:firstLine="0"/>
            </w:pPr>
            <w:r>
              <w:t xml:space="preserve">3) </w:t>
            </w:r>
            <w:r w:rsidR="00C43FA3" w:rsidRPr="00FA6821">
              <w:t>Divpusējās sadarbības fondam paredzēts finansējums €122 449 apmērā, tai skaitā stipendiju aktivitātei €</w:t>
            </w:r>
            <w:r w:rsidR="003D3F61" w:rsidRPr="00FA6821">
              <w:t>24 490</w:t>
            </w:r>
            <w:r w:rsidR="00C43FA3" w:rsidRPr="00FA6821">
              <w:t xml:space="preserve"> apmērā un pētniecības aktivitātei €</w:t>
            </w:r>
            <w:r w:rsidR="003D3F61" w:rsidRPr="00FA6821">
              <w:t>97 959</w:t>
            </w:r>
            <w:r w:rsidR="00C43FA3" w:rsidRPr="00FA6821">
              <w:t xml:space="preserve"> apmērā.</w:t>
            </w:r>
          </w:p>
          <w:p w:rsidR="00C43FA3" w:rsidRDefault="009D5552" w:rsidP="002635AC">
            <w:pPr>
              <w:pStyle w:val="naisf"/>
              <w:spacing w:before="0" w:after="0"/>
              <w:ind w:firstLine="0"/>
            </w:pPr>
            <w:r>
              <w:t xml:space="preserve">4) </w:t>
            </w:r>
            <w:r w:rsidR="00C43FA3" w:rsidRPr="00FA6821">
              <w:t>Programmas apsaimniekošanas izmaksas paredzētas €519</w:t>
            </w:r>
            <w:r w:rsidR="007D1722">
              <w:t> </w:t>
            </w:r>
            <w:r w:rsidR="00C43FA3" w:rsidRPr="00FA6821">
              <w:t>45</w:t>
            </w:r>
            <w:r w:rsidR="00757CA8" w:rsidRPr="00FA6821">
              <w:t>8</w:t>
            </w:r>
            <w:r w:rsidR="007D1722">
              <w:t xml:space="preserve"> apmērā</w:t>
            </w:r>
            <w:r w:rsidR="00C43FA3" w:rsidRPr="00FA6821">
              <w:t>.</w:t>
            </w:r>
          </w:p>
          <w:p w:rsidR="00C43FA3" w:rsidRPr="00AF7A50" w:rsidRDefault="009D5552" w:rsidP="00AF7A50">
            <w:pPr>
              <w:pStyle w:val="naisf"/>
              <w:spacing w:before="0" w:after="0"/>
              <w:ind w:firstLine="0"/>
            </w:pPr>
            <w:r>
              <w:t xml:space="preserve">2013.gadā </w:t>
            </w:r>
            <w:r w:rsidR="000714D1">
              <w:t xml:space="preserve">viss </w:t>
            </w:r>
            <w:r>
              <w:t>plānotais finansējums ir paredzēts Izglītības un zinātnes ministrijas v</w:t>
            </w:r>
            <w:r w:rsidR="00925380" w:rsidRPr="00AF7A50">
              <w:t xml:space="preserve">alsts budžeta </w:t>
            </w:r>
            <w:r>
              <w:rPr>
                <w:color w:val="000000"/>
                <w:lang w:eastAsia="zh-CN"/>
              </w:rPr>
              <w:t>apakšprogrammā</w:t>
            </w:r>
            <w:r w:rsidR="00925380" w:rsidRPr="00AF7A50">
              <w:rPr>
                <w:color w:val="000000"/>
                <w:lang w:eastAsia="zh-CN"/>
              </w:rPr>
              <w:t xml:space="preserve"> 71.06.00 „Eiropas Ekonomikas zonas un Norvēģijas finanšu instrumentu finansētās programmas īstenošana”.</w:t>
            </w:r>
            <w:r>
              <w:rPr>
                <w:color w:val="000000"/>
                <w:lang w:eastAsia="zh-CN"/>
              </w:rPr>
              <w:t xml:space="preserve"> 2014.-2016.gadam plānotais finansējums ir iekļauts maksimāli pieejamo izdevumu apjomā Izglītības un zinātnes ministrija</w:t>
            </w:r>
            <w:r w:rsidR="007D1722">
              <w:rPr>
                <w:color w:val="000000"/>
                <w:lang w:eastAsia="zh-CN"/>
              </w:rPr>
              <w:t>s valsts budžeta  apakšprogrammai</w:t>
            </w:r>
            <w:r w:rsidRPr="00AF7A50">
              <w:rPr>
                <w:color w:val="000000"/>
                <w:lang w:eastAsia="zh-CN"/>
              </w:rPr>
              <w:t xml:space="preserve"> 71.06.00 „Eiropas Ekonomikas zonas un Norvēģijas finanšu instrumentu finansētās programmas īstenošana”</w:t>
            </w:r>
            <w:r>
              <w:rPr>
                <w:color w:val="000000"/>
                <w:lang w:eastAsia="zh-CN"/>
              </w:rPr>
              <w:t>, savukārt 2017.gadam nepieciešamais finansējums tiks plānots valsts budžetā, veidojot maksimāli pieejamo izdevumu apjomu 2017.gada valsts budžetam.</w:t>
            </w:r>
          </w:p>
        </w:tc>
      </w:tr>
    </w:tbl>
    <w:p w:rsidR="00924023" w:rsidRPr="00A8300E" w:rsidRDefault="00924023" w:rsidP="00CD43A9">
      <w:pPr>
        <w:pStyle w:val="naiskr"/>
        <w:tabs>
          <w:tab w:val="left" w:pos="2628"/>
        </w:tabs>
        <w:spacing w:before="0" w:after="0"/>
        <w:rPr>
          <w:i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118"/>
        <w:gridCol w:w="6182"/>
      </w:tblGrid>
      <w:tr w:rsidR="00924023" w:rsidRPr="00A8300E" w:rsidTr="00711F59">
        <w:trPr>
          <w:jc w:val="center"/>
        </w:trPr>
        <w:tc>
          <w:tcPr>
            <w:tcW w:w="10098" w:type="dxa"/>
            <w:gridSpan w:val="3"/>
          </w:tcPr>
          <w:p w:rsidR="00924023" w:rsidRPr="00A8300E" w:rsidRDefault="00924023" w:rsidP="00CD43A9">
            <w:pPr>
              <w:pStyle w:val="naisnod"/>
              <w:spacing w:before="0" w:after="0"/>
            </w:pPr>
            <w:r w:rsidRPr="00A8300E">
              <w:t>IV</w:t>
            </w:r>
            <w:r w:rsidR="000941C5" w:rsidRPr="00A8300E">
              <w:t>.</w:t>
            </w:r>
            <w:r w:rsidRPr="00A8300E">
              <w:t xml:space="preserve"> Tiesību akta projekta ietekme uz</w:t>
            </w:r>
            <w:r w:rsidR="005060A1" w:rsidRPr="00A8300E">
              <w:t xml:space="preserve"> </w:t>
            </w:r>
            <w:r w:rsidRPr="00A8300E">
              <w:t>spēkā esošo tiesību normu sistēmu</w:t>
            </w:r>
          </w:p>
        </w:tc>
      </w:tr>
      <w:tr w:rsidR="00924023" w:rsidRPr="00A8300E" w:rsidTr="00FD2A8A">
        <w:trPr>
          <w:jc w:val="center"/>
        </w:trPr>
        <w:tc>
          <w:tcPr>
            <w:tcW w:w="798" w:type="dxa"/>
          </w:tcPr>
          <w:p w:rsidR="00924023" w:rsidRPr="00A8300E" w:rsidRDefault="00924023" w:rsidP="00CD43A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A8300E">
              <w:rPr>
                <w:iCs/>
              </w:rPr>
              <w:t>1.</w:t>
            </w:r>
          </w:p>
        </w:tc>
        <w:tc>
          <w:tcPr>
            <w:tcW w:w="3118" w:type="dxa"/>
          </w:tcPr>
          <w:p w:rsidR="00924023" w:rsidRPr="00A8300E" w:rsidRDefault="00924023" w:rsidP="00CD43A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A8300E">
              <w:t>Nepieciešamie saistītie tiesību akt</w:t>
            </w:r>
            <w:r w:rsidR="00DD1020" w:rsidRPr="00A8300E">
              <w:t>u</w:t>
            </w:r>
            <w:r w:rsidRPr="00A8300E">
              <w:t xml:space="preserve"> projekti</w:t>
            </w:r>
          </w:p>
        </w:tc>
        <w:tc>
          <w:tcPr>
            <w:tcW w:w="6182" w:type="dxa"/>
          </w:tcPr>
          <w:p w:rsidR="00924023" w:rsidRPr="00A8300E" w:rsidRDefault="002635AC" w:rsidP="002635A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2635AC">
              <w:t xml:space="preserve">Papildus nepieciešams izdot Ministru kabineta noteikumus par atklātām projektu iesniegumu </w:t>
            </w:r>
            <w:proofErr w:type="spellStart"/>
            <w:r w:rsidRPr="002635AC">
              <w:t>atlasēm</w:t>
            </w:r>
            <w:proofErr w:type="spellEnd"/>
            <w:r w:rsidRPr="002635AC">
              <w:t xml:space="preserve"> programmas aktivitātēs „Stipendijas”</w:t>
            </w:r>
            <w:r w:rsidR="00003589" w:rsidRPr="002635AC">
              <w:t xml:space="preserve"> un </w:t>
            </w:r>
            <w:r w:rsidRPr="002635AC">
              <w:t>„P</w:t>
            </w:r>
            <w:r w:rsidR="00003589" w:rsidRPr="002635AC">
              <w:t>ētni</w:t>
            </w:r>
            <w:r w:rsidRPr="002635AC">
              <w:t>ecība”</w:t>
            </w:r>
            <w:r w:rsidR="00003589" w:rsidRPr="002635AC">
              <w:t xml:space="preserve"> </w:t>
            </w:r>
          </w:p>
        </w:tc>
      </w:tr>
      <w:tr w:rsidR="00924023" w:rsidRPr="00A8300E" w:rsidTr="00FD2A8A">
        <w:trPr>
          <w:jc w:val="center"/>
        </w:trPr>
        <w:tc>
          <w:tcPr>
            <w:tcW w:w="798" w:type="dxa"/>
          </w:tcPr>
          <w:p w:rsidR="00924023" w:rsidRPr="00A8300E" w:rsidRDefault="00924023" w:rsidP="00CD43A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A8300E">
              <w:rPr>
                <w:iCs/>
              </w:rPr>
              <w:t>2.</w:t>
            </w:r>
          </w:p>
        </w:tc>
        <w:tc>
          <w:tcPr>
            <w:tcW w:w="3118" w:type="dxa"/>
          </w:tcPr>
          <w:p w:rsidR="00924023" w:rsidRPr="00A8300E" w:rsidRDefault="00924023" w:rsidP="00CD43A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A8300E">
              <w:t>Cita informācija</w:t>
            </w:r>
          </w:p>
        </w:tc>
        <w:tc>
          <w:tcPr>
            <w:tcW w:w="6182" w:type="dxa"/>
          </w:tcPr>
          <w:p w:rsidR="00924023" w:rsidRPr="00A8300E" w:rsidRDefault="00924023" w:rsidP="00CD43A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A8300E">
              <w:t>Nav</w:t>
            </w:r>
          </w:p>
        </w:tc>
      </w:tr>
    </w:tbl>
    <w:p w:rsidR="00C31E36" w:rsidRPr="00A8300E" w:rsidRDefault="00C31E36" w:rsidP="00CD43A9">
      <w:pPr>
        <w:ind w:firstLine="720"/>
        <w:jc w:val="both"/>
      </w:pPr>
    </w:p>
    <w:tbl>
      <w:tblPr>
        <w:tblW w:w="10206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51"/>
        <w:gridCol w:w="3118"/>
        <w:gridCol w:w="6237"/>
      </w:tblGrid>
      <w:tr w:rsidR="00C31E36" w:rsidRPr="00A8300E" w:rsidTr="00C31E36"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E36" w:rsidRPr="00A8300E" w:rsidRDefault="00C31E36" w:rsidP="00CD43A9">
            <w:pPr>
              <w:jc w:val="center"/>
              <w:rPr>
                <w:b/>
              </w:rPr>
            </w:pPr>
            <w:r w:rsidRPr="00A8300E">
              <w:rPr>
                <w:b/>
              </w:rPr>
              <w:t>V. Tiesību akta projekta atbilstība Latvijas Republikas starptautiskajām saistībām</w:t>
            </w:r>
          </w:p>
        </w:tc>
      </w:tr>
      <w:tr w:rsidR="00C31E36" w:rsidRPr="00A8300E" w:rsidTr="00C31E3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A8300E" w:rsidRDefault="00C31E36" w:rsidP="00CD43A9">
            <w:pPr>
              <w:ind w:left="57"/>
            </w:pPr>
            <w:r w:rsidRPr="00A8300E">
              <w:t>1.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A8300E" w:rsidRDefault="00C31E36" w:rsidP="00CD43A9">
            <w:pPr>
              <w:ind w:left="57"/>
            </w:pPr>
            <w:r w:rsidRPr="00A8300E">
              <w:t>Saistības pret Eiropas Savienību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F02" w:rsidRPr="00A8300E" w:rsidRDefault="00551F02" w:rsidP="00CD43A9">
            <w:pPr>
              <w:pStyle w:val="naiskr"/>
              <w:spacing w:before="0" w:after="0"/>
              <w:ind w:left="102" w:right="81"/>
            </w:pPr>
            <w:r w:rsidRPr="00A8300E">
              <w:t>Noteikumu projekts šo jomu neskar</w:t>
            </w:r>
          </w:p>
          <w:p w:rsidR="00C31E36" w:rsidRPr="00A8300E" w:rsidRDefault="00C31E36" w:rsidP="00CD43A9">
            <w:pPr>
              <w:ind w:left="57"/>
            </w:pPr>
          </w:p>
        </w:tc>
      </w:tr>
      <w:tr w:rsidR="00C31E36" w:rsidRPr="00A8300E" w:rsidTr="00C31E3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A8300E" w:rsidRDefault="00C31E36" w:rsidP="00CD43A9">
            <w:pPr>
              <w:ind w:left="57"/>
            </w:pPr>
            <w:r w:rsidRPr="00A8300E"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A8300E" w:rsidRDefault="00C31E36" w:rsidP="00CD43A9">
            <w:pPr>
              <w:ind w:left="57"/>
            </w:pPr>
            <w:r w:rsidRPr="00A8300E">
              <w:t>Citas starptautiskās saistības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AB1" w:rsidRPr="00A8300E" w:rsidRDefault="00703AB1" w:rsidP="0047368B">
            <w:pPr>
              <w:ind w:left="57"/>
              <w:jc w:val="both"/>
              <w:rPr>
                <w:highlight w:val="yellow"/>
              </w:rPr>
            </w:pPr>
            <w:r w:rsidRPr="00A8300E">
              <w:t xml:space="preserve">Noteikumu projekts izstrādāts, lai nodrošinātu Norvēģijas </w:t>
            </w:r>
            <w:r w:rsidR="009D457C">
              <w:t>Karalistes un Latvijas Republikas</w:t>
            </w:r>
            <w:r w:rsidRPr="00A8300E">
              <w:t xml:space="preserve"> Saprašanās memoranda par Norvēģijas finanšu instrumenta ieviešanu 2009.-2014.gada periodā īstenošanu un </w:t>
            </w:r>
            <w:proofErr w:type="spellStart"/>
            <w:r w:rsidRPr="00A8300E">
              <w:t>Īslandes</w:t>
            </w:r>
            <w:proofErr w:type="spellEnd"/>
            <w:r w:rsidRPr="00A8300E">
              <w:t>, Lihtenšteinas Firstistes, Norvēģijas K</w:t>
            </w:r>
            <w:r w:rsidR="009D457C">
              <w:t>aralistes un  Latvijas Republikas</w:t>
            </w:r>
            <w:r w:rsidRPr="00A8300E">
              <w:t xml:space="preserve"> Saprašanās </w:t>
            </w:r>
            <w:r w:rsidRPr="00A8300E">
              <w:lastRenderedPageBreak/>
              <w:t>memoranda par Eiropas Ekonomikas zonas finanšu instrumenta ieviešanu 2009.-2014.gada periodā</w:t>
            </w:r>
            <w:r w:rsidR="0047368B" w:rsidRPr="00A8300E">
              <w:t xml:space="preserve"> īstenošanu</w:t>
            </w:r>
            <w:r w:rsidRPr="00A8300E">
              <w:t>.</w:t>
            </w:r>
          </w:p>
          <w:p w:rsidR="00C31E36" w:rsidRPr="00A8300E" w:rsidRDefault="00C31E36" w:rsidP="009D457C"/>
        </w:tc>
      </w:tr>
      <w:tr w:rsidR="00C31E36" w:rsidRPr="00A8300E" w:rsidTr="00C31E3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A8300E" w:rsidRDefault="00C31E36" w:rsidP="00CD43A9">
            <w:pPr>
              <w:ind w:left="57"/>
            </w:pPr>
            <w:r w:rsidRPr="00A8300E">
              <w:lastRenderedPageBreak/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A8300E" w:rsidRDefault="00C31E36" w:rsidP="00CD43A9">
            <w:pPr>
              <w:ind w:left="57"/>
            </w:pPr>
            <w:r w:rsidRPr="00A8300E">
              <w:t>Cita informācija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E36" w:rsidRPr="00A8300E" w:rsidRDefault="00C31E36" w:rsidP="00CD43A9">
            <w:pPr>
              <w:ind w:left="57"/>
            </w:pPr>
            <w:r w:rsidRPr="00A8300E">
              <w:t>Nav</w:t>
            </w:r>
          </w:p>
        </w:tc>
      </w:tr>
    </w:tbl>
    <w:p w:rsidR="00551F02" w:rsidRPr="00A8300E" w:rsidRDefault="00551F02" w:rsidP="00CD43A9"/>
    <w:p w:rsidR="00C31E36" w:rsidRPr="00A8300E" w:rsidRDefault="00551F02" w:rsidP="00CD43A9">
      <w:r w:rsidRPr="00A8300E">
        <w:t xml:space="preserve">Anotācijas </w:t>
      </w:r>
      <w:proofErr w:type="spellStart"/>
      <w:r w:rsidRPr="00A8300E">
        <w:t>V.sadaļas</w:t>
      </w:r>
      <w:proofErr w:type="spellEnd"/>
      <w:r w:rsidRPr="00A8300E">
        <w:t xml:space="preserve"> 1.un 2.tabula - Noteikumu projekts šo jomu neskar</w:t>
      </w:r>
    </w:p>
    <w:tbl>
      <w:tblPr>
        <w:tblW w:w="10206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206"/>
      </w:tblGrid>
      <w:tr w:rsidR="000A082E" w:rsidRPr="00A8300E" w:rsidTr="00945D6F">
        <w:trPr>
          <w:cantSplit/>
          <w:trHeight w:val="523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82E" w:rsidRPr="00A8300E" w:rsidRDefault="000A082E" w:rsidP="00945D6F">
            <w:pPr>
              <w:ind w:left="57"/>
              <w:jc w:val="center"/>
              <w:rPr>
                <w:b/>
              </w:rPr>
            </w:pPr>
            <w:r w:rsidRPr="00A8300E">
              <w:rPr>
                <w:b/>
              </w:rPr>
              <w:t>1.tabula</w:t>
            </w:r>
          </w:p>
          <w:p w:rsidR="000A082E" w:rsidRPr="00A8300E" w:rsidRDefault="000A082E" w:rsidP="00945D6F">
            <w:pPr>
              <w:ind w:left="57"/>
              <w:jc w:val="center"/>
            </w:pPr>
            <w:r w:rsidRPr="00A8300E">
              <w:rPr>
                <w:b/>
              </w:rPr>
              <w:t>Tiesību akta projekta atbilstība ES tiesību aktiem</w:t>
            </w:r>
          </w:p>
        </w:tc>
      </w:tr>
      <w:tr w:rsidR="000A082E" w:rsidRPr="00A8300E" w:rsidTr="00945D6F">
        <w:trPr>
          <w:cantSplit/>
          <w:trHeight w:val="523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82E" w:rsidRPr="00A8300E" w:rsidRDefault="000A082E" w:rsidP="00945D6F">
            <w:pPr>
              <w:ind w:left="57"/>
              <w:jc w:val="center"/>
              <w:rPr>
                <w:b/>
              </w:rPr>
            </w:pPr>
            <w:r w:rsidRPr="00A8300E">
              <w:t>Noteikumu projekts šo jomu neskar</w:t>
            </w:r>
          </w:p>
        </w:tc>
      </w:tr>
    </w:tbl>
    <w:p w:rsidR="000A082E" w:rsidRPr="00A8300E" w:rsidRDefault="000A082E" w:rsidP="00CD43A9"/>
    <w:tbl>
      <w:tblPr>
        <w:tblW w:w="10206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12"/>
        <w:gridCol w:w="3102"/>
        <w:gridCol w:w="4492"/>
      </w:tblGrid>
      <w:tr w:rsidR="000A082E" w:rsidRPr="00A8300E" w:rsidTr="00945D6F">
        <w:trPr>
          <w:trHeight w:val="20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82E" w:rsidRPr="00A8300E" w:rsidRDefault="000A082E" w:rsidP="00945D6F">
            <w:pPr>
              <w:ind w:left="57"/>
              <w:jc w:val="center"/>
              <w:rPr>
                <w:b/>
              </w:rPr>
            </w:pPr>
            <w:r w:rsidRPr="00A8300E">
              <w:rPr>
                <w:b/>
              </w:rPr>
              <w:t>2.tabula</w:t>
            </w:r>
          </w:p>
          <w:p w:rsidR="000A082E" w:rsidRPr="00A8300E" w:rsidRDefault="000A082E" w:rsidP="00945D6F">
            <w:pPr>
              <w:ind w:left="57"/>
              <w:jc w:val="center"/>
              <w:rPr>
                <w:b/>
              </w:rPr>
            </w:pPr>
            <w:r w:rsidRPr="00A8300E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0A082E" w:rsidRPr="00A8300E" w:rsidRDefault="000A082E" w:rsidP="00945D6F">
            <w:pPr>
              <w:ind w:left="57"/>
              <w:jc w:val="center"/>
              <w:rPr>
                <w:b/>
              </w:rPr>
            </w:pPr>
            <w:r w:rsidRPr="00A8300E">
              <w:rPr>
                <w:b/>
              </w:rPr>
              <w:t>Pasākumi šo saistību izpildei</w:t>
            </w:r>
          </w:p>
        </w:tc>
      </w:tr>
      <w:tr w:rsidR="000A082E" w:rsidRPr="00A8300E" w:rsidTr="00945D6F">
        <w:trPr>
          <w:trHeight w:val="20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82E" w:rsidRPr="00A8300E" w:rsidRDefault="000A082E" w:rsidP="00945D6F">
            <w:pPr>
              <w:ind w:left="57"/>
            </w:pPr>
            <w:r w:rsidRPr="00A8300E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0C4" w:rsidRPr="00A8300E" w:rsidRDefault="005870C4" w:rsidP="005870C4">
            <w:pPr>
              <w:numPr>
                <w:ilvl w:val="0"/>
                <w:numId w:val="17"/>
              </w:numPr>
              <w:ind w:left="463"/>
              <w:jc w:val="both"/>
              <w:rPr>
                <w:iCs/>
              </w:rPr>
            </w:pPr>
            <w:r w:rsidRPr="00A8300E">
              <w:rPr>
                <w:iCs/>
              </w:rPr>
              <w:t>Ar Ministru kabineta 2011.gada 29.marta noteikumiem Nr.252 apstiprinātā Latvijas Republikas un Norvēģijas Karalistes saprašanās memoranda par Norvēģijas finanšu instrumenta ieviešanu 2009. – 2014.gadā B pielikums;</w:t>
            </w:r>
          </w:p>
          <w:p w:rsidR="000A082E" w:rsidRPr="00A8300E" w:rsidRDefault="00E2027A" w:rsidP="005A6803">
            <w:pPr>
              <w:numPr>
                <w:ilvl w:val="0"/>
                <w:numId w:val="17"/>
              </w:numPr>
              <w:ind w:left="463"/>
              <w:jc w:val="both"/>
              <w:rPr>
                <w:iCs/>
              </w:rPr>
            </w:pPr>
            <w:r w:rsidRPr="00A8300E">
              <w:rPr>
                <w:iCs/>
              </w:rPr>
              <w:t>Ar Ministru kabineta 2011.</w:t>
            </w:r>
            <w:r w:rsidR="00DD66E7" w:rsidRPr="00A8300E">
              <w:rPr>
                <w:iCs/>
              </w:rPr>
              <w:t>gada 29.marta noteikumiem Nr.251</w:t>
            </w:r>
            <w:r w:rsidRPr="00A8300E">
              <w:rPr>
                <w:iCs/>
              </w:rPr>
              <w:t xml:space="preserve"> apstiprinātā Latvijas Republikas un </w:t>
            </w:r>
            <w:proofErr w:type="spellStart"/>
            <w:r w:rsidRPr="00A8300E">
              <w:t>Īslandes</w:t>
            </w:r>
            <w:proofErr w:type="spellEnd"/>
            <w:r w:rsidRPr="00A8300E">
              <w:t xml:space="preserve">, Lihtenšteinas Firstistes un Norvēģijas Karalistes </w:t>
            </w:r>
            <w:r w:rsidRPr="00A8300E">
              <w:rPr>
                <w:iCs/>
              </w:rPr>
              <w:t>saprašanās memoranda par Eiropas Ekonomikas zonas finanšu instrumenta ieviešanu 2009. – 2014.gadā B pielikums</w:t>
            </w:r>
            <w:r w:rsidR="005A6803" w:rsidRPr="00A8300E">
              <w:rPr>
                <w:iCs/>
              </w:rPr>
              <w:t>.</w:t>
            </w:r>
          </w:p>
        </w:tc>
      </w:tr>
      <w:tr w:rsidR="000A082E" w:rsidRPr="00A8300E" w:rsidTr="00945D6F">
        <w:trPr>
          <w:trHeight w:val="20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82E" w:rsidRPr="00A8300E" w:rsidRDefault="000A082E" w:rsidP="00945D6F">
            <w:pPr>
              <w:ind w:left="57"/>
              <w:jc w:val="center"/>
            </w:pPr>
            <w:r w:rsidRPr="00A8300E">
              <w:t>A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82E" w:rsidRPr="00A8300E" w:rsidRDefault="000A082E" w:rsidP="00945D6F">
            <w:pPr>
              <w:ind w:left="57"/>
              <w:jc w:val="center"/>
            </w:pPr>
            <w:r w:rsidRPr="00A8300E">
              <w:t>B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82E" w:rsidRPr="00A8300E" w:rsidRDefault="000A082E" w:rsidP="00945D6F">
            <w:pPr>
              <w:ind w:left="57"/>
              <w:jc w:val="center"/>
            </w:pPr>
            <w:r w:rsidRPr="00A8300E">
              <w:t>C</w:t>
            </w:r>
          </w:p>
        </w:tc>
      </w:tr>
      <w:tr w:rsidR="00BF293C" w:rsidRPr="00A8300E" w:rsidTr="00945D6F">
        <w:trPr>
          <w:trHeight w:val="20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72C0" w:rsidRPr="00A8300E" w:rsidRDefault="000372C0" w:rsidP="009D457C">
            <w:pPr>
              <w:jc w:val="both"/>
              <w:rPr>
                <w:iCs/>
              </w:rPr>
            </w:pPr>
            <w:r w:rsidRPr="00A8300E">
              <w:t>S</w:t>
            </w:r>
            <w:r w:rsidRPr="00A8300E">
              <w:rPr>
                <w:iCs/>
              </w:rPr>
              <w:t>aprašanās memoranda par Norvēģijas finanšu instrumenta ieviešanu</w:t>
            </w:r>
          </w:p>
          <w:p w:rsidR="000372C0" w:rsidRPr="00A8300E" w:rsidRDefault="000372C0" w:rsidP="009D457C">
            <w:pPr>
              <w:jc w:val="both"/>
              <w:rPr>
                <w:iCs/>
              </w:rPr>
            </w:pPr>
            <w:r w:rsidRPr="00A8300E">
              <w:rPr>
                <w:iCs/>
              </w:rPr>
              <w:t xml:space="preserve"> 2009.–2014.gadā</w:t>
            </w:r>
          </w:p>
          <w:p w:rsidR="00BF293C" w:rsidRPr="00A8300E" w:rsidRDefault="000372C0" w:rsidP="009D457C">
            <w:pPr>
              <w:ind w:left="57"/>
              <w:jc w:val="both"/>
              <w:rPr>
                <w:highlight w:val="yellow"/>
              </w:rPr>
            </w:pPr>
            <w:r w:rsidRPr="00A8300E">
              <w:rPr>
                <w:iCs/>
              </w:rPr>
              <w:t xml:space="preserve">B pielikuma 3.punkta </w:t>
            </w:r>
            <w:r w:rsidRPr="00A8300E">
              <w:rPr>
                <w:bCs/>
              </w:rPr>
              <w:t>C apakšpunkts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93C" w:rsidRPr="00A8300E" w:rsidRDefault="00644F10" w:rsidP="009D457C">
            <w:pPr>
              <w:ind w:left="57"/>
              <w:rPr>
                <w:highlight w:val="yellow"/>
              </w:rPr>
            </w:pPr>
            <w:r w:rsidRPr="009D457C">
              <w:t>Noteikumu projekta</w:t>
            </w:r>
            <w:r w:rsidR="009D457C">
              <w:t xml:space="preserve"> </w:t>
            </w:r>
            <w:r w:rsidR="009D457C" w:rsidRPr="009D457C">
              <w:t>7.-19.punkts, 32. – 61.punkts,1.pielikums</w:t>
            </w:r>
            <w:r w:rsidRPr="009D457C">
              <w:t>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BF" w:rsidRPr="00A8300E" w:rsidRDefault="000372C0" w:rsidP="009C20BF">
            <w:pPr>
              <w:pStyle w:val="tvhtml1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Saistības </w:t>
            </w:r>
            <w:r w:rsidR="009C20BF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tiek </w:t>
            </w: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>izpildītas</w:t>
            </w:r>
            <w:r w:rsidR="009C20BF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daļēji. N</w:t>
            </w: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>oteikumu projekts nosaka kārtību, kādā īsteno programmu, tai skaitā nosakot projektu iesniegumu vērtēšanas kritērijus, projektu atbilstības nosacījumus un citus nosacījumus</w:t>
            </w:r>
            <w:r w:rsidR="009C20BF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divpusējās sadarbības fonda </w:t>
            </w:r>
            <w:r w:rsidR="009D457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projektu sagatavošanas vizīšu </w:t>
            </w:r>
            <w:r w:rsidR="009C20BF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projektu iesniegumu atlases kārtībai. </w:t>
            </w:r>
            <w:r w:rsidR="009D457C">
              <w:rPr>
                <w:rFonts w:ascii="Times New Roman" w:hAnsi="Times New Roman"/>
                <w:sz w:val="24"/>
                <w:szCs w:val="24"/>
                <w:lang w:val="lv-LV"/>
              </w:rPr>
              <w:t>Programmas aktivitātēm „Stipendijas”</w:t>
            </w:r>
            <w:r w:rsidR="009C20BF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</w:t>
            </w:r>
            <w:r w:rsidR="009D457C">
              <w:rPr>
                <w:rFonts w:ascii="Times New Roman" w:hAnsi="Times New Roman"/>
                <w:sz w:val="24"/>
                <w:szCs w:val="24"/>
                <w:lang w:val="lv-LV"/>
              </w:rPr>
              <w:t>Pētniecība”</w:t>
            </w:r>
            <w:r w:rsidR="009C20BF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D457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tiks sagatavoti </w:t>
            </w:r>
            <w:r w:rsidR="009C20BF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atsevišķi Ministru kabineta noteikumi</w:t>
            </w:r>
            <w:r w:rsidR="009D457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 projektu iesniegumu atklātu atlasi</w:t>
            </w:r>
            <w:r w:rsidR="009C20BF" w:rsidRPr="00A8300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BF293C" w:rsidRPr="00A8300E" w:rsidRDefault="00BF293C" w:rsidP="000372C0">
            <w:pPr>
              <w:spacing w:after="120"/>
              <w:ind w:left="57"/>
              <w:rPr>
                <w:highlight w:val="yellow"/>
              </w:rPr>
            </w:pPr>
          </w:p>
        </w:tc>
      </w:tr>
      <w:tr w:rsidR="00644F10" w:rsidRPr="00A8300E" w:rsidTr="00945D6F">
        <w:trPr>
          <w:trHeight w:val="20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AE8" w:rsidRPr="00A8300E" w:rsidRDefault="00CF6AE8" w:rsidP="009D457C">
            <w:pPr>
              <w:jc w:val="both"/>
              <w:rPr>
                <w:iCs/>
              </w:rPr>
            </w:pPr>
            <w:r w:rsidRPr="00A8300E">
              <w:t>S</w:t>
            </w:r>
            <w:r w:rsidRPr="00A8300E">
              <w:rPr>
                <w:iCs/>
              </w:rPr>
              <w:t>aprašanās memoranda par Eiropas Ekonomikas zonas finanšu instrumenta ieviešanu</w:t>
            </w:r>
          </w:p>
          <w:p w:rsidR="00CF6AE8" w:rsidRPr="00A8300E" w:rsidRDefault="00CF6AE8" w:rsidP="009D457C">
            <w:pPr>
              <w:jc w:val="both"/>
              <w:rPr>
                <w:iCs/>
              </w:rPr>
            </w:pPr>
            <w:r w:rsidRPr="00A8300E">
              <w:rPr>
                <w:iCs/>
              </w:rPr>
              <w:t xml:space="preserve"> 2009.–2014.gadā</w:t>
            </w:r>
          </w:p>
          <w:p w:rsidR="00644F10" w:rsidRPr="00A8300E" w:rsidRDefault="00CF6AE8" w:rsidP="009D457C">
            <w:pPr>
              <w:jc w:val="both"/>
            </w:pPr>
            <w:r w:rsidRPr="00A8300E">
              <w:rPr>
                <w:iCs/>
              </w:rPr>
              <w:t xml:space="preserve">B pielikuma 3.punkta </w:t>
            </w:r>
            <w:r w:rsidRPr="00A8300E">
              <w:rPr>
                <w:bCs/>
              </w:rPr>
              <w:t>D apakšpunkts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F10" w:rsidRPr="00A8300E" w:rsidRDefault="009D457C" w:rsidP="00945D6F">
            <w:pPr>
              <w:ind w:left="57"/>
              <w:rPr>
                <w:highlight w:val="yellow"/>
              </w:rPr>
            </w:pPr>
            <w:r w:rsidRPr="009D457C">
              <w:t>Noteikumu projekta</w:t>
            </w:r>
            <w:r>
              <w:t xml:space="preserve"> </w:t>
            </w:r>
            <w:r w:rsidRPr="009D457C">
              <w:t>7.-19.punkts, 32. – 61.punkts,1.pielikums.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57C" w:rsidRPr="00A8300E" w:rsidRDefault="00CF6AE8" w:rsidP="009D457C">
            <w:pPr>
              <w:pStyle w:val="tvhtml1"/>
              <w:spacing w:before="0" w:beforeAutospacing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Saistības tiek </w:t>
            </w:r>
            <w:r w:rsidRPr="00A1206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izpildītas daļēji. Noteikumu projekts nosaka kārtību, kādā īsteno programmu, tai skaitā nosakot </w:t>
            </w:r>
            <w:r w:rsidR="009D457C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projektu iesniegumu vērtēšanas kritērijus, projektu atbilstības nosacījumus un citus nosacījumus divpusējās sadarbības fonda </w:t>
            </w:r>
            <w:r w:rsidR="009D457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projektu sagatavošanas vizīšu </w:t>
            </w:r>
            <w:r w:rsidR="009D457C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projektu iesniegumu atlases kārtībai. </w:t>
            </w:r>
            <w:r w:rsidR="009D457C">
              <w:rPr>
                <w:rFonts w:ascii="Times New Roman" w:hAnsi="Times New Roman"/>
                <w:sz w:val="24"/>
                <w:szCs w:val="24"/>
                <w:lang w:val="lv-LV"/>
              </w:rPr>
              <w:t>Programmas aktivitātei „Stipendijas”</w:t>
            </w:r>
            <w:r w:rsidR="009D457C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9D457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tiks sagatavoti </w:t>
            </w:r>
            <w:r w:rsidR="009D457C" w:rsidRPr="00A8300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atsevišķi </w:t>
            </w:r>
            <w:r w:rsidR="009D457C" w:rsidRPr="00A8300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Ministru kabineta noteikumi</w:t>
            </w:r>
            <w:r w:rsidR="009D457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 projektu iesniegumu atklātu atlasi</w:t>
            </w:r>
            <w:r w:rsidR="009D457C" w:rsidRPr="00A8300E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644F10" w:rsidRPr="00A8300E" w:rsidRDefault="00644F10" w:rsidP="009C20BF">
            <w:pPr>
              <w:pStyle w:val="tvhtml1"/>
              <w:spacing w:before="0" w:beforeAutospacing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A082E" w:rsidRPr="00A8300E" w:rsidTr="00945D6F">
        <w:trPr>
          <w:trHeight w:val="20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82E" w:rsidRPr="00A8300E" w:rsidRDefault="000A082E" w:rsidP="00945D6F">
            <w:pPr>
              <w:ind w:left="57"/>
            </w:pPr>
            <w:r w:rsidRPr="00A8300E"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7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82E" w:rsidRPr="00A8300E" w:rsidRDefault="002B723F" w:rsidP="00945D6F">
            <w:pPr>
              <w:ind w:left="57"/>
            </w:pPr>
            <w:r w:rsidRPr="00A8300E">
              <w:t>Nav</w:t>
            </w:r>
          </w:p>
        </w:tc>
      </w:tr>
      <w:tr w:rsidR="000A082E" w:rsidRPr="00A8300E" w:rsidTr="00945D6F">
        <w:trPr>
          <w:trHeight w:val="20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82E" w:rsidRPr="00A8300E" w:rsidRDefault="000A082E" w:rsidP="00945D6F">
            <w:pPr>
              <w:ind w:left="57"/>
            </w:pPr>
            <w:r w:rsidRPr="00A8300E">
              <w:t>Cita informācija</w:t>
            </w:r>
          </w:p>
        </w:tc>
        <w:tc>
          <w:tcPr>
            <w:tcW w:w="7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82E" w:rsidRPr="00A8300E" w:rsidRDefault="002B723F" w:rsidP="00945D6F">
            <w:pPr>
              <w:ind w:left="57"/>
            </w:pPr>
            <w:r w:rsidRPr="00A8300E">
              <w:t>Nav</w:t>
            </w:r>
          </w:p>
        </w:tc>
      </w:tr>
    </w:tbl>
    <w:p w:rsidR="000A082E" w:rsidRPr="00A8300E" w:rsidRDefault="000A082E" w:rsidP="00CD43A9"/>
    <w:p w:rsidR="00C31E36" w:rsidRPr="00A8300E" w:rsidRDefault="00C31E36" w:rsidP="00CD43A9"/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1"/>
        <w:gridCol w:w="3544"/>
        <w:gridCol w:w="6156"/>
      </w:tblGrid>
      <w:tr w:rsidR="00277929" w:rsidRPr="00A8300E" w:rsidTr="00F34066">
        <w:trPr>
          <w:jc w:val="center"/>
        </w:trPr>
        <w:tc>
          <w:tcPr>
            <w:tcW w:w="10151" w:type="dxa"/>
            <w:gridSpan w:val="3"/>
          </w:tcPr>
          <w:p w:rsidR="00277929" w:rsidRPr="00A8300E" w:rsidRDefault="00277929" w:rsidP="00CD43A9">
            <w:pPr>
              <w:pStyle w:val="naisnod"/>
              <w:spacing w:before="0" w:after="0"/>
              <w:ind w:left="57" w:right="57"/>
            </w:pPr>
            <w:r w:rsidRPr="00A8300E">
              <w:t>VI</w:t>
            </w:r>
            <w:r w:rsidR="000941C5" w:rsidRPr="00A8300E">
              <w:t>.</w:t>
            </w:r>
            <w:r w:rsidRPr="00A8300E">
              <w:t xml:space="preserve"> Sabiedrības līdzdalība un šīs līdzdalības rezultāti</w:t>
            </w:r>
          </w:p>
        </w:tc>
      </w:tr>
      <w:tr w:rsidR="00183CC2" w:rsidRPr="00A8300E" w:rsidTr="00F34066">
        <w:trPr>
          <w:trHeight w:val="553"/>
          <w:jc w:val="center"/>
        </w:trPr>
        <w:tc>
          <w:tcPr>
            <w:tcW w:w="451" w:type="dxa"/>
          </w:tcPr>
          <w:p w:rsidR="00183CC2" w:rsidRPr="00A8300E" w:rsidRDefault="00183CC2" w:rsidP="00CD43A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A8300E">
              <w:rPr>
                <w:bCs/>
              </w:rPr>
              <w:t>1.</w:t>
            </w:r>
          </w:p>
        </w:tc>
        <w:tc>
          <w:tcPr>
            <w:tcW w:w="3544" w:type="dxa"/>
          </w:tcPr>
          <w:p w:rsidR="00183CC2" w:rsidRPr="00A8300E" w:rsidRDefault="00183CC2" w:rsidP="00CD43A9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A8300E">
              <w:t>Sabiedrības informēšana par projekta izstrādes uzsākšanu</w:t>
            </w:r>
          </w:p>
        </w:tc>
        <w:tc>
          <w:tcPr>
            <w:tcW w:w="6156" w:type="dxa"/>
          </w:tcPr>
          <w:p w:rsidR="00183CC2" w:rsidRPr="00A8300E" w:rsidRDefault="00FE54E4" w:rsidP="00CD43A9">
            <w:pPr>
              <w:pStyle w:val="naiskr"/>
              <w:spacing w:before="0" w:after="0"/>
              <w:ind w:left="57" w:right="57"/>
              <w:jc w:val="both"/>
            </w:pPr>
            <w:r w:rsidRPr="00A8300E">
              <w:t xml:space="preserve">Sabiedrības informēšana </w:t>
            </w:r>
            <w:r w:rsidR="00223F33" w:rsidRPr="00A8300E">
              <w:t xml:space="preserve">par </w:t>
            </w:r>
            <w:r w:rsidRPr="00A8300E">
              <w:t>noteikumu projekta izstrādes uzsākšan</w:t>
            </w:r>
            <w:r w:rsidR="00223F33" w:rsidRPr="00A8300E">
              <w:t xml:space="preserve">u notika 2013.gada 26.aprīlī notikušajā Eiropas Ekonomikas zonas finanšu instrumenta un Norvēģijas finanšu instrumenta </w:t>
            </w:r>
            <w:proofErr w:type="spellStart"/>
            <w:r w:rsidR="00223F33" w:rsidRPr="00A8300E">
              <w:t>līdzfinansētās</w:t>
            </w:r>
            <w:proofErr w:type="spellEnd"/>
            <w:r w:rsidR="00223F33" w:rsidRPr="00A8300E">
              <w:t xml:space="preserve"> programmas LV05 „Stipendijas un pētniecība” atklāšanas pasākumā.</w:t>
            </w:r>
          </w:p>
        </w:tc>
      </w:tr>
      <w:tr w:rsidR="00277929" w:rsidRPr="00A8300E" w:rsidTr="00F34066">
        <w:trPr>
          <w:trHeight w:val="339"/>
          <w:jc w:val="center"/>
        </w:trPr>
        <w:tc>
          <w:tcPr>
            <w:tcW w:w="451" w:type="dxa"/>
          </w:tcPr>
          <w:p w:rsidR="00277929" w:rsidRPr="00A8300E" w:rsidRDefault="00183CC2" w:rsidP="00CD43A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A8300E">
              <w:rPr>
                <w:bCs/>
              </w:rPr>
              <w:t>2</w:t>
            </w:r>
            <w:r w:rsidR="00277929" w:rsidRPr="00A8300E">
              <w:rPr>
                <w:bCs/>
              </w:rPr>
              <w:t>.</w:t>
            </w:r>
          </w:p>
        </w:tc>
        <w:tc>
          <w:tcPr>
            <w:tcW w:w="3544" w:type="dxa"/>
          </w:tcPr>
          <w:p w:rsidR="00277929" w:rsidRPr="00A8300E" w:rsidRDefault="00E179CD" w:rsidP="00CD43A9">
            <w:pPr>
              <w:pStyle w:val="naiskr"/>
              <w:spacing w:before="0" w:after="0"/>
              <w:ind w:left="57" w:right="57"/>
            </w:pPr>
            <w:r w:rsidRPr="00A8300E">
              <w:t>S</w:t>
            </w:r>
            <w:r w:rsidR="00DB073B" w:rsidRPr="00A8300E">
              <w:t>abiedrības</w:t>
            </w:r>
            <w:r w:rsidR="00B73166" w:rsidRPr="00A8300E">
              <w:t xml:space="preserve"> </w:t>
            </w:r>
            <w:r w:rsidR="00DB073B" w:rsidRPr="00A8300E">
              <w:t>līdzdalība</w:t>
            </w:r>
            <w:r w:rsidR="00B73166" w:rsidRPr="00A8300E">
              <w:t xml:space="preserve"> </w:t>
            </w:r>
            <w:r w:rsidR="00AB2B1A" w:rsidRPr="00A8300E">
              <w:t>projekta izstrādē</w:t>
            </w:r>
            <w:r w:rsidR="00DB073B" w:rsidRPr="00A8300E">
              <w:t xml:space="preserve"> </w:t>
            </w:r>
          </w:p>
        </w:tc>
        <w:tc>
          <w:tcPr>
            <w:tcW w:w="6156" w:type="dxa"/>
          </w:tcPr>
          <w:p w:rsidR="00277929" w:rsidRPr="00A8300E" w:rsidRDefault="00223F33" w:rsidP="00CD43A9">
            <w:pPr>
              <w:pStyle w:val="naiskr"/>
              <w:spacing w:before="0" w:after="0"/>
              <w:ind w:left="57" w:right="57"/>
              <w:jc w:val="both"/>
            </w:pPr>
            <w:r w:rsidRPr="00A8300E">
              <w:t xml:space="preserve">Šīs anotācijas sadaļas 1.punktā minētajā atklāšanas pasākumā notika diskusija ar potenciālajiem projektu iesniedzējiem, kurā tika uzdoti jautājumi </w:t>
            </w:r>
            <w:r w:rsidR="006D6D1E" w:rsidRPr="00A8300E">
              <w:t xml:space="preserve">un </w:t>
            </w:r>
            <w:r w:rsidRPr="00A8300E">
              <w:t xml:space="preserve">saņemtas atbildes par programmas nosacījumiem. </w:t>
            </w:r>
          </w:p>
        </w:tc>
      </w:tr>
      <w:tr w:rsidR="00277929" w:rsidRPr="00A8300E" w:rsidTr="00F34066">
        <w:trPr>
          <w:trHeight w:val="375"/>
          <w:jc w:val="center"/>
        </w:trPr>
        <w:tc>
          <w:tcPr>
            <w:tcW w:w="451" w:type="dxa"/>
          </w:tcPr>
          <w:p w:rsidR="00277929" w:rsidRPr="00A8300E" w:rsidRDefault="00183CC2" w:rsidP="00CD43A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A8300E">
              <w:rPr>
                <w:bCs/>
              </w:rPr>
              <w:t>3</w:t>
            </w:r>
            <w:r w:rsidR="00277929" w:rsidRPr="00A8300E">
              <w:rPr>
                <w:bCs/>
              </w:rPr>
              <w:t>.</w:t>
            </w:r>
          </w:p>
        </w:tc>
        <w:tc>
          <w:tcPr>
            <w:tcW w:w="3544" w:type="dxa"/>
          </w:tcPr>
          <w:p w:rsidR="00784422" w:rsidRPr="00A8300E" w:rsidRDefault="00DB78F0" w:rsidP="00CD43A9">
            <w:pPr>
              <w:pStyle w:val="naiskr"/>
              <w:spacing w:before="0" w:after="0"/>
              <w:ind w:left="57" w:right="57"/>
            </w:pPr>
            <w:r w:rsidRPr="00A8300E">
              <w:t xml:space="preserve">Sabiedrības līdzdalības rezultāti </w:t>
            </w:r>
          </w:p>
        </w:tc>
        <w:tc>
          <w:tcPr>
            <w:tcW w:w="6156" w:type="dxa"/>
          </w:tcPr>
          <w:p w:rsidR="00277929" w:rsidRPr="00A8300E" w:rsidRDefault="006D6D1E" w:rsidP="00CD43A9">
            <w:pPr>
              <w:pStyle w:val="naiskr"/>
              <w:spacing w:before="0" w:after="0"/>
              <w:ind w:left="57" w:right="57"/>
              <w:jc w:val="both"/>
            </w:pPr>
            <w:r w:rsidRPr="00A8300E">
              <w:t xml:space="preserve">Izstrādājot noteikumu projektu, </w:t>
            </w:r>
            <w:r w:rsidR="00F3712B" w:rsidRPr="00A8300E">
              <w:t xml:space="preserve">Izglītības un zinātnes </w:t>
            </w:r>
            <w:r w:rsidRPr="00A8300E">
              <w:t>ministrija izvērtēja un ņēma vērā šīs anotācijas sadaļas 2.punktā minētās komunikācijas laikā saņemto p</w:t>
            </w:r>
            <w:r w:rsidR="00A500A6" w:rsidRPr="00A8300E">
              <w:t>otenci</w:t>
            </w:r>
            <w:r w:rsidRPr="00A8300E">
              <w:t>ālo</w:t>
            </w:r>
            <w:r w:rsidR="00A500A6" w:rsidRPr="00A8300E">
              <w:t xml:space="preserve"> projektu iesniedz</w:t>
            </w:r>
            <w:r w:rsidRPr="00A8300E">
              <w:t>ēju viedokli un priekšlikumus (piemēram,</w:t>
            </w:r>
            <w:r w:rsidR="00A500A6" w:rsidRPr="00A8300E">
              <w:t xml:space="preserve"> rosin</w:t>
            </w:r>
            <w:r w:rsidRPr="00A8300E">
              <w:t>ājumu</w:t>
            </w:r>
            <w:r w:rsidR="00A500A6" w:rsidRPr="00A8300E">
              <w:t xml:space="preserve"> kā pirmo sagatavot divpusējas sadarbības fonda projektu iesniegumu atklāta konkursa nolikumu, vēl pirms stipendiju un pētniecības aktivitātes </w:t>
            </w:r>
            <w:r w:rsidR="0057299A" w:rsidRPr="00A8300E">
              <w:t>iesniegumu atklātu konkursu</w:t>
            </w:r>
            <w:r w:rsidR="00A500A6" w:rsidRPr="00A8300E">
              <w:t xml:space="preserve"> nolikum</w:t>
            </w:r>
            <w:r w:rsidRPr="00A8300E">
              <w:t>iem).</w:t>
            </w:r>
          </w:p>
        </w:tc>
      </w:tr>
      <w:tr w:rsidR="00DE0B83" w:rsidRPr="00A8300E" w:rsidTr="00F34066">
        <w:trPr>
          <w:trHeight w:val="397"/>
          <w:jc w:val="center"/>
        </w:trPr>
        <w:tc>
          <w:tcPr>
            <w:tcW w:w="451" w:type="dxa"/>
          </w:tcPr>
          <w:p w:rsidR="00DE0B83" w:rsidRPr="00A8300E" w:rsidRDefault="00183CC2" w:rsidP="00CD43A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A8300E">
              <w:rPr>
                <w:bCs/>
              </w:rPr>
              <w:t>4</w:t>
            </w:r>
            <w:r w:rsidR="00DE0B83" w:rsidRPr="00A8300E">
              <w:rPr>
                <w:bCs/>
              </w:rPr>
              <w:t>.</w:t>
            </w:r>
          </w:p>
        </w:tc>
        <w:tc>
          <w:tcPr>
            <w:tcW w:w="3544" w:type="dxa"/>
          </w:tcPr>
          <w:p w:rsidR="00DE0B83" w:rsidRPr="00A8300E" w:rsidRDefault="00DE0B83" w:rsidP="00CD43A9">
            <w:pPr>
              <w:pStyle w:val="naiskr"/>
              <w:spacing w:before="0" w:after="0"/>
              <w:ind w:left="57" w:right="57"/>
            </w:pPr>
            <w:r w:rsidRPr="00A8300E">
              <w:t>Saeimas un ekspertu līdzdalība</w:t>
            </w:r>
          </w:p>
        </w:tc>
        <w:tc>
          <w:tcPr>
            <w:tcW w:w="6156" w:type="dxa"/>
          </w:tcPr>
          <w:p w:rsidR="00DE0B83" w:rsidRDefault="002605AF" w:rsidP="002605AF">
            <w:pPr>
              <w:pStyle w:val="CommentText"/>
              <w:jc w:val="both"/>
              <w:rPr>
                <w:sz w:val="24"/>
                <w:szCs w:val="24"/>
              </w:rPr>
            </w:pPr>
            <w:r w:rsidRPr="002605AF">
              <w:rPr>
                <w:sz w:val="24"/>
                <w:szCs w:val="24"/>
              </w:rPr>
              <w:t>Programmas</w:t>
            </w:r>
            <w:r w:rsidR="00FE54E4" w:rsidRPr="002605AF">
              <w:rPr>
                <w:sz w:val="24"/>
                <w:szCs w:val="24"/>
              </w:rPr>
              <w:t xml:space="preserve"> </w:t>
            </w:r>
            <w:r w:rsidR="008D2B24" w:rsidRPr="002605AF">
              <w:rPr>
                <w:sz w:val="24"/>
                <w:szCs w:val="24"/>
              </w:rPr>
              <w:t xml:space="preserve">Sadarbības komitejas sastāvā ir divi pārstāvji no Norvēģijas Starptautiskās sadarbības augstākajā izglītībā centra un pa vienam pārstāvim no programmas apsaimniekotāja, Rektoru Padomes un Latvijas Studentu apvienības. Programmas komitejas sastāvā ir </w:t>
            </w:r>
            <w:r w:rsidR="00212CD0" w:rsidRPr="002605AF">
              <w:rPr>
                <w:sz w:val="24"/>
                <w:szCs w:val="24"/>
              </w:rPr>
              <w:t xml:space="preserve">Norvēģijas Pētniecības padomes nominēti divi profesori – no </w:t>
            </w:r>
            <w:proofErr w:type="spellStart"/>
            <w:r w:rsidR="00212CD0" w:rsidRPr="002605AF">
              <w:rPr>
                <w:sz w:val="24"/>
                <w:szCs w:val="24"/>
              </w:rPr>
              <w:t>Tromso</w:t>
            </w:r>
            <w:proofErr w:type="spellEnd"/>
            <w:r w:rsidR="00212CD0" w:rsidRPr="00260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Universitātes </w:t>
            </w:r>
            <w:r w:rsidR="00212CD0" w:rsidRPr="002605AF">
              <w:rPr>
                <w:sz w:val="24"/>
                <w:szCs w:val="24"/>
              </w:rPr>
              <w:t xml:space="preserve">un Oslo Universitātes un pa vienam pārstāvim no </w:t>
            </w:r>
            <w:r>
              <w:rPr>
                <w:sz w:val="24"/>
                <w:szCs w:val="24"/>
              </w:rPr>
              <w:t>Izglītības un zinātnes ministrijas</w:t>
            </w:r>
            <w:r w:rsidR="00212CD0" w:rsidRPr="002605AF">
              <w:rPr>
                <w:sz w:val="24"/>
                <w:szCs w:val="24"/>
              </w:rPr>
              <w:t xml:space="preserve">, Latvijas Zinātņu Akadēmijas un Latvijas </w:t>
            </w:r>
            <w:r w:rsidR="00212CD0" w:rsidRPr="00A12066">
              <w:rPr>
                <w:sz w:val="24"/>
                <w:szCs w:val="24"/>
              </w:rPr>
              <w:t xml:space="preserve">Zinātnes Padomes. Komiteju darbā novērotāja statusā var piedalīties </w:t>
            </w:r>
            <w:proofErr w:type="spellStart"/>
            <w:r w:rsidR="00223F33" w:rsidRPr="00A12066">
              <w:rPr>
                <w:sz w:val="24"/>
                <w:szCs w:val="24"/>
              </w:rPr>
              <w:t>d</w:t>
            </w:r>
            <w:r w:rsidR="00212CD0" w:rsidRPr="00A12066">
              <w:rPr>
                <w:sz w:val="24"/>
                <w:szCs w:val="24"/>
              </w:rPr>
              <w:t>onorvalstu</w:t>
            </w:r>
            <w:proofErr w:type="spellEnd"/>
            <w:r w:rsidR="00212CD0" w:rsidRPr="00A12066">
              <w:rPr>
                <w:sz w:val="24"/>
                <w:szCs w:val="24"/>
              </w:rPr>
              <w:t xml:space="preserve">, Norvēģijas Karaliskās vēstniecības, </w:t>
            </w:r>
            <w:r w:rsidR="00A12066">
              <w:rPr>
                <w:sz w:val="24"/>
                <w:szCs w:val="24"/>
              </w:rPr>
              <w:t>nacionālās</w:t>
            </w:r>
            <w:r w:rsidR="00A12066" w:rsidRPr="00A12066">
              <w:rPr>
                <w:sz w:val="24"/>
                <w:szCs w:val="24"/>
              </w:rPr>
              <w:t xml:space="preserve"> atbildīg</w:t>
            </w:r>
            <w:r w:rsidR="00A12066">
              <w:rPr>
                <w:sz w:val="24"/>
                <w:szCs w:val="24"/>
              </w:rPr>
              <w:t>ās</w:t>
            </w:r>
            <w:r w:rsidR="00A12066" w:rsidRPr="00A12066">
              <w:rPr>
                <w:sz w:val="24"/>
                <w:szCs w:val="24"/>
              </w:rPr>
              <w:t xml:space="preserve"> iestād</w:t>
            </w:r>
            <w:r w:rsidR="00A12066">
              <w:rPr>
                <w:sz w:val="24"/>
                <w:szCs w:val="24"/>
              </w:rPr>
              <w:t>es</w:t>
            </w:r>
            <w:r w:rsidR="00212CD0" w:rsidRPr="00A12066">
              <w:rPr>
                <w:sz w:val="24"/>
                <w:szCs w:val="24"/>
              </w:rPr>
              <w:t>, programmas apsaimniekotāja un aģentūras pārstāvji</w:t>
            </w:r>
            <w:r w:rsidR="00212CD0" w:rsidRPr="00A8300E">
              <w:rPr>
                <w:sz w:val="24"/>
                <w:szCs w:val="24"/>
              </w:rPr>
              <w:t>.</w:t>
            </w:r>
            <w:r w:rsidR="00011807" w:rsidRPr="00A8300E">
              <w:rPr>
                <w:sz w:val="24"/>
                <w:szCs w:val="24"/>
              </w:rPr>
              <w:t xml:space="preserve"> Komitejas darbojas līdz programmas noslēgumam.</w:t>
            </w:r>
          </w:p>
          <w:p w:rsidR="002605AF" w:rsidRPr="00A8300E" w:rsidRDefault="002605AF" w:rsidP="002605AF">
            <w:pPr>
              <w:pStyle w:val="Comment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Programmas sadarbības komiteja un programmas komiteja ir izskatījusi un saskaņojusi </w:t>
            </w:r>
            <w:r w:rsidRPr="00A8300E">
              <w:rPr>
                <w:sz w:val="24"/>
                <w:szCs w:val="24"/>
              </w:rPr>
              <w:t xml:space="preserve">divpusējās sadarbības fonda </w:t>
            </w:r>
            <w:r>
              <w:rPr>
                <w:sz w:val="24"/>
                <w:szCs w:val="24"/>
              </w:rPr>
              <w:t xml:space="preserve">projektu sagatavošanas vizīšu </w:t>
            </w:r>
            <w:r w:rsidRPr="00A8300E">
              <w:rPr>
                <w:sz w:val="24"/>
                <w:szCs w:val="24"/>
              </w:rPr>
              <w:t>projektu iesniegumu atlase</w:t>
            </w:r>
            <w:r>
              <w:rPr>
                <w:sz w:val="24"/>
                <w:szCs w:val="24"/>
              </w:rPr>
              <w:t xml:space="preserve">s kritērijus un </w:t>
            </w:r>
            <w:r>
              <w:rPr>
                <w:sz w:val="24"/>
                <w:szCs w:val="24"/>
              </w:rPr>
              <w:lastRenderedPageBreak/>
              <w:t xml:space="preserve">projekta iesnieguma veidlapu, kā arī vadlīnijas potenciālajiem projektu iesniedzējiem. </w:t>
            </w:r>
          </w:p>
        </w:tc>
      </w:tr>
      <w:tr w:rsidR="00277929" w:rsidRPr="00A8300E" w:rsidTr="00F34066">
        <w:trPr>
          <w:trHeight w:val="476"/>
          <w:jc w:val="center"/>
        </w:trPr>
        <w:tc>
          <w:tcPr>
            <w:tcW w:w="451" w:type="dxa"/>
          </w:tcPr>
          <w:p w:rsidR="00277929" w:rsidRPr="00A8300E" w:rsidRDefault="00183CC2" w:rsidP="00CD43A9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A8300E">
              <w:rPr>
                <w:bCs/>
              </w:rPr>
              <w:lastRenderedPageBreak/>
              <w:t>5</w:t>
            </w:r>
            <w:r w:rsidR="00277929" w:rsidRPr="00A8300E">
              <w:rPr>
                <w:bCs/>
              </w:rPr>
              <w:t>.</w:t>
            </w:r>
          </w:p>
        </w:tc>
        <w:tc>
          <w:tcPr>
            <w:tcW w:w="3544" w:type="dxa"/>
          </w:tcPr>
          <w:p w:rsidR="00277929" w:rsidRPr="00A8300E" w:rsidRDefault="006C4607" w:rsidP="00CD43A9">
            <w:pPr>
              <w:pStyle w:val="naiskr"/>
              <w:spacing w:before="0" w:after="0"/>
              <w:ind w:left="57" w:right="57"/>
            </w:pPr>
            <w:r w:rsidRPr="00A8300E">
              <w:t>Cita informācija</w:t>
            </w:r>
          </w:p>
          <w:p w:rsidR="002F78C8" w:rsidRPr="00A8300E" w:rsidRDefault="002F78C8" w:rsidP="00CD43A9">
            <w:pPr>
              <w:pStyle w:val="naiskr"/>
              <w:spacing w:before="0" w:after="0"/>
              <w:ind w:left="57" w:right="57"/>
            </w:pPr>
          </w:p>
        </w:tc>
        <w:tc>
          <w:tcPr>
            <w:tcW w:w="6156" w:type="dxa"/>
          </w:tcPr>
          <w:p w:rsidR="00845811" w:rsidRPr="002605AF" w:rsidRDefault="00FE54E4" w:rsidP="00FD0E82">
            <w:pPr>
              <w:pStyle w:val="naiskr"/>
              <w:spacing w:before="0" w:after="0"/>
              <w:ind w:left="57" w:right="57"/>
              <w:jc w:val="both"/>
            </w:pPr>
            <w:r w:rsidRPr="002605AF">
              <w:t xml:space="preserve">Noteikumu projekts pēc tā pieņemšanas tiks publicēts </w:t>
            </w:r>
            <w:r w:rsidR="00FD0E82">
              <w:t>oficiālajā izdevumā</w:t>
            </w:r>
            <w:r w:rsidR="00FD0E82" w:rsidRPr="002605AF">
              <w:t xml:space="preserve"> </w:t>
            </w:r>
            <w:r w:rsidRPr="002605AF">
              <w:t xml:space="preserve">„Latvijas Vēstnesis” un </w:t>
            </w:r>
            <w:r w:rsidRPr="002605AF">
              <w:rPr>
                <w:bCs/>
              </w:rPr>
              <w:t>programmas apsaimniekotāja un aģentūras</w:t>
            </w:r>
            <w:r w:rsidRPr="002605AF">
              <w:t xml:space="preserve"> </w:t>
            </w:r>
            <w:r w:rsidR="00FD0E82">
              <w:t xml:space="preserve">tīmekļa </w:t>
            </w:r>
            <w:proofErr w:type="spellStart"/>
            <w:r w:rsidR="00FD0E82">
              <w:t>vietnē</w:t>
            </w:r>
            <w:proofErr w:type="spellEnd"/>
            <w:r w:rsidRPr="002605AF">
              <w:t>.</w:t>
            </w:r>
          </w:p>
        </w:tc>
      </w:tr>
    </w:tbl>
    <w:p w:rsidR="0015060C" w:rsidRPr="00A8300E" w:rsidRDefault="0015060C" w:rsidP="00CD43A9">
      <w:pPr>
        <w:pStyle w:val="naisf"/>
        <w:spacing w:before="0" w:after="0"/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4"/>
        <w:gridCol w:w="3595"/>
        <w:gridCol w:w="6237"/>
      </w:tblGrid>
      <w:tr w:rsidR="0023436E" w:rsidRPr="00A8300E" w:rsidTr="00F34066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23436E" w:rsidRPr="00A8300E" w:rsidRDefault="0023436E" w:rsidP="00CD43A9">
            <w:pPr>
              <w:pStyle w:val="naisnod"/>
              <w:spacing w:before="0" w:after="0"/>
              <w:ind w:left="57" w:right="57"/>
            </w:pPr>
            <w:r w:rsidRPr="00A8300E">
              <w:t>VII</w:t>
            </w:r>
            <w:r w:rsidR="000941C5" w:rsidRPr="00A8300E">
              <w:t>.</w:t>
            </w:r>
            <w:r w:rsidRPr="00A8300E">
              <w:t xml:space="preserve"> Tiesību akta projekta izpildes nodrošināšana un tās ietekme uz institūcijām</w:t>
            </w:r>
          </w:p>
        </w:tc>
      </w:tr>
      <w:tr w:rsidR="0023436E" w:rsidRPr="00A8300E" w:rsidTr="00F34066">
        <w:trPr>
          <w:trHeight w:val="427"/>
        </w:trPr>
        <w:tc>
          <w:tcPr>
            <w:tcW w:w="374" w:type="dxa"/>
          </w:tcPr>
          <w:p w:rsidR="0023436E" w:rsidRPr="00A8300E" w:rsidRDefault="0023436E" w:rsidP="00CD43A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A8300E">
              <w:rPr>
                <w:b w:val="0"/>
              </w:rPr>
              <w:t>1.</w:t>
            </w:r>
          </w:p>
        </w:tc>
        <w:tc>
          <w:tcPr>
            <w:tcW w:w="3595" w:type="dxa"/>
          </w:tcPr>
          <w:p w:rsidR="0023436E" w:rsidRPr="00A8300E" w:rsidRDefault="001A4066" w:rsidP="00CD43A9">
            <w:pPr>
              <w:pStyle w:val="naisf"/>
              <w:spacing w:before="0" w:after="0"/>
              <w:ind w:left="57" w:right="57" w:firstLine="0"/>
              <w:jc w:val="left"/>
            </w:pPr>
            <w:r w:rsidRPr="00A8300E">
              <w:t>P</w:t>
            </w:r>
            <w:r w:rsidR="0023436E" w:rsidRPr="00A8300E">
              <w:t xml:space="preserve">rojekta izpildē iesaistītās institūcijas </w:t>
            </w:r>
          </w:p>
        </w:tc>
        <w:tc>
          <w:tcPr>
            <w:tcW w:w="6237" w:type="dxa"/>
          </w:tcPr>
          <w:p w:rsidR="0023436E" w:rsidRPr="002605AF" w:rsidRDefault="00405091" w:rsidP="00CD43A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2605AF">
              <w:rPr>
                <w:b w:val="0"/>
              </w:rPr>
              <w:t xml:space="preserve">Valsts izglītības attīstības aģentūra, kas pilda </w:t>
            </w:r>
            <w:r w:rsidR="00FE54E4" w:rsidRPr="002605AF">
              <w:rPr>
                <w:b w:val="0"/>
              </w:rPr>
              <w:t>aģentūras</w:t>
            </w:r>
            <w:r w:rsidRPr="002605AF">
              <w:rPr>
                <w:b w:val="0"/>
              </w:rPr>
              <w:t xml:space="preserve"> funkcijas, un </w:t>
            </w:r>
            <w:r w:rsidR="00E66F9C" w:rsidRPr="002605AF">
              <w:rPr>
                <w:b w:val="0"/>
              </w:rPr>
              <w:t xml:space="preserve">Izglītības un zinātnes </w:t>
            </w:r>
            <w:r w:rsidRPr="002605AF">
              <w:rPr>
                <w:b w:val="0"/>
              </w:rPr>
              <w:t xml:space="preserve">ministrija, kas pilda </w:t>
            </w:r>
            <w:r w:rsidR="00FE54E4" w:rsidRPr="002605AF">
              <w:rPr>
                <w:b w:val="0"/>
              </w:rPr>
              <w:t>programmas apsaimniekotāja</w:t>
            </w:r>
            <w:r w:rsidRPr="002605AF">
              <w:rPr>
                <w:b w:val="0"/>
              </w:rPr>
              <w:t xml:space="preserve"> funkcijas.</w:t>
            </w:r>
          </w:p>
        </w:tc>
      </w:tr>
      <w:tr w:rsidR="0023436E" w:rsidRPr="00A8300E" w:rsidTr="00F34066">
        <w:trPr>
          <w:trHeight w:val="463"/>
        </w:trPr>
        <w:tc>
          <w:tcPr>
            <w:tcW w:w="374" w:type="dxa"/>
          </w:tcPr>
          <w:p w:rsidR="0023436E" w:rsidRPr="00A8300E" w:rsidRDefault="0023436E" w:rsidP="00CD43A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A8300E">
              <w:rPr>
                <w:b w:val="0"/>
              </w:rPr>
              <w:t>2.</w:t>
            </w:r>
          </w:p>
        </w:tc>
        <w:tc>
          <w:tcPr>
            <w:tcW w:w="3595" w:type="dxa"/>
          </w:tcPr>
          <w:p w:rsidR="0023436E" w:rsidRPr="00A8300E" w:rsidRDefault="001A4066" w:rsidP="00CD43A9">
            <w:pPr>
              <w:pStyle w:val="naisf"/>
              <w:spacing w:before="0" w:after="0"/>
              <w:ind w:left="57" w:right="57" w:firstLine="0"/>
              <w:jc w:val="left"/>
            </w:pPr>
            <w:r w:rsidRPr="00A8300E">
              <w:t>Projekta i</w:t>
            </w:r>
            <w:r w:rsidR="0023436E" w:rsidRPr="00A8300E">
              <w:t xml:space="preserve">zpildes ietekme uz pārvaldes funkcijām </w:t>
            </w:r>
          </w:p>
        </w:tc>
        <w:tc>
          <w:tcPr>
            <w:tcW w:w="6237" w:type="dxa"/>
          </w:tcPr>
          <w:p w:rsidR="0023436E" w:rsidRPr="00A8300E" w:rsidRDefault="003C3F12" w:rsidP="00CD43A9">
            <w:pPr>
              <w:pStyle w:val="naisnod"/>
              <w:spacing w:before="0" w:after="0"/>
              <w:ind w:left="57" w:right="57"/>
              <w:jc w:val="left"/>
              <w:rPr>
                <w:b w:val="0"/>
                <w:highlight w:val="yellow"/>
              </w:rPr>
            </w:pPr>
            <w:r w:rsidRPr="00A8300E">
              <w:rPr>
                <w:b w:val="0"/>
              </w:rPr>
              <w:t>Šīs sadaļas 1.punktā norā</w:t>
            </w:r>
            <w:r w:rsidR="00F3712B" w:rsidRPr="00A8300E">
              <w:rPr>
                <w:b w:val="0"/>
              </w:rPr>
              <w:t xml:space="preserve">dīto institūciju funkcijas </w:t>
            </w:r>
            <w:r w:rsidRPr="00A8300E">
              <w:rPr>
                <w:b w:val="0"/>
              </w:rPr>
              <w:t>paplašinātas, ietverot Norvēģijas un Eiropas Ekonomikas zonas finanšu instrumentu īstenošanu 2009. – 2014.gada periodā.</w:t>
            </w:r>
          </w:p>
        </w:tc>
      </w:tr>
      <w:tr w:rsidR="0023436E" w:rsidRPr="00A8300E" w:rsidTr="00F34066">
        <w:trPr>
          <w:trHeight w:val="725"/>
        </w:trPr>
        <w:tc>
          <w:tcPr>
            <w:tcW w:w="374" w:type="dxa"/>
          </w:tcPr>
          <w:p w:rsidR="0023436E" w:rsidRPr="00A8300E" w:rsidRDefault="0023436E" w:rsidP="00CD43A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A8300E">
              <w:rPr>
                <w:b w:val="0"/>
              </w:rPr>
              <w:t>3.</w:t>
            </w:r>
          </w:p>
        </w:tc>
        <w:tc>
          <w:tcPr>
            <w:tcW w:w="3595" w:type="dxa"/>
          </w:tcPr>
          <w:p w:rsidR="0023436E" w:rsidRPr="00A8300E" w:rsidRDefault="001A4066" w:rsidP="00CD43A9">
            <w:pPr>
              <w:pStyle w:val="naisf"/>
              <w:spacing w:before="0" w:after="0"/>
              <w:ind w:left="57" w:right="57" w:firstLine="0"/>
              <w:jc w:val="left"/>
            </w:pPr>
            <w:r w:rsidRPr="00A8300E">
              <w:t>Projekta iz</w:t>
            </w:r>
            <w:r w:rsidR="0023436E" w:rsidRPr="00A8300E">
              <w:t>pildes ietekme uz pārvaldes institucionālo struktūru.</w:t>
            </w:r>
          </w:p>
          <w:p w:rsidR="0023436E" w:rsidRPr="00A8300E" w:rsidRDefault="006C4607" w:rsidP="00CD43A9">
            <w:pPr>
              <w:pStyle w:val="naisf"/>
              <w:spacing w:before="0" w:after="0"/>
              <w:ind w:left="57" w:right="57" w:firstLine="0"/>
              <w:jc w:val="left"/>
            </w:pPr>
            <w:r w:rsidRPr="00A8300E">
              <w:t>Jaunu institūciju izveide</w:t>
            </w:r>
          </w:p>
        </w:tc>
        <w:tc>
          <w:tcPr>
            <w:tcW w:w="6237" w:type="dxa"/>
          </w:tcPr>
          <w:p w:rsidR="0023436E" w:rsidRPr="00A8300E" w:rsidRDefault="00FE54E4" w:rsidP="00CD43A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A8300E">
              <w:rPr>
                <w:b w:val="0"/>
                <w:color w:val="000000"/>
              </w:rPr>
              <w:t>Programmas</w:t>
            </w:r>
            <w:r w:rsidRPr="00A8300E">
              <w:rPr>
                <w:b w:val="0"/>
              </w:rPr>
              <w:t xml:space="preserve"> īstenošanu nodrošinās jau esošās institūcijas un jaunas netiks veidotas.</w:t>
            </w:r>
          </w:p>
        </w:tc>
      </w:tr>
      <w:tr w:rsidR="0023436E" w:rsidRPr="00A8300E" w:rsidTr="00F34066">
        <w:trPr>
          <w:trHeight w:val="780"/>
        </w:trPr>
        <w:tc>
          <w:tcPr>
            <w:tcW w:w="374" w:type="dxa"/>
          </w:tcPr>
          <w:p w:rsidR="0023436E" w:rsidRPr="00A8300E" w:rsidRDefault="0023436E" w:rsidP="00CD43A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A8300E">
              <w:rPr>
                <w:b w:val="0"/>
              </w:rPr>
              <w:t>4.</w:t>
            </w:r>
          </w:p>
        </w:tc>
        <w:tc>
          <w:tcPr>
            <w:tcW w:w="3595" w:type="dxa"/>
          </w:tcPr>
          <w:p w:rsidR="0023436E" w:rsidRPr="00A8300E" w:rsidRDefault="001A4066" w:rsidP="00CD43A9">
            <w:pPr>
              <w:pStyle w:val="naisf"/>
              <w:spacing w:before="0" w:after="0"/>
              <w:ind w:left="57" w:right="57" w:firstLine="0"/>
              <w:jc w:val="left"/>
            </w:pPr>
            <w:r w:rsidRPr="00A8300E">
              <w:t>Projekta i</w:t>
            </w:r>
            <w:r w:rsidR="0023436E" w:rsidRPr="00A8300E">
              <w:t>zpildes ietekme uz pārvaldes institucionālo struktūru.</w:t>
            </w:r>
          </w:p>
          <w:p w:rsidR="0023436E" w:rsidRPr="00A8300E" w:rsidRDefault="006C4607" w:rsidP="00CD43A9">
            <w:pPr>
              <w:pStyle w:val="naisf"/>
              <w:spacing w:before="0" w:after="0"/>
              <w:ind w:left="57" w:right="57" w:firstLine="0"/>
              <w:jc w:val="left"/>
            </w:pPr>
            <w:r w:rsidRPr="00A8300E">
              <w:t>Esošu institūciju likvidācija</w:t>
            </w:r>
          </w:p>
        </w:tc>
        <w:tc>
          <w:tcPr>
            <w:tcW w:w="6237" w:type="dxa"/>
          </w:tcPr>
          <w:p w:rsidR="0023436E" w:rsidRPr="00A8300E" w:rsidRDefault="00FE54E4" w:rsidP="00CD43A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A8300E">
              <w:rPr>
                <w:b w:val="0"/>
              </w:rPr>
              <w:t>Noteikumu projekts šo jomu neskar</w:t>
            </w:r>
          </w:p>
        </w:tc>
      </w:tr>
      <w:tr w:rsidR="0023436E" w:rsidRPr="00A8300E" w:rsidTr="00F34066">
        <w:trPr>
          <w:trHeight w:val="703"/>
        </w:trPr>
        <w:tc>
          <w:tcPr>
            <w:tcW w:w="374" w:type="dxa"/>
          </w:tcPr>
          <w:p w:rsidR="0023436E" w:rsidRPr="00A8300E" w:rsidRDefault="0023436E" w:rsidP="00CD43A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A8300E">
              <w:rPr>
                <w:b w:val="0"/>
              </w:rPr>
              <w:t>5.</w:t>
            </w:r>
          </w:p>
        </w:tc>
        <w:tc>
          <w:tcPr>
            <w:tcW w:w="3595" w:type="dxa"/>
          </w:tcPr>
          <w:p w:rsidR="0023436E" w:rsidRPr="00A8300E" w:rsidRDefault="001A4066" w:rsidP="00CD43A9">
            <w:pPr>
              <w:pStyle w:val="naisf"/>
              <w:spacing w:before="0" w:after="0"/>
              <w:ind w:left="57" w:right="57" w:firstLine="0"/>
              <w:jc w:val="left"/>
            </w:pPr>
            <w:r w:rsidRPr="00A8300E">
              <w:t>Projekta i</w:t>
            </w:r>
            <w:r w:rsidR="0023436E" w:rsidRPr="00A8300E">
              <w:t>zpildes ietekme uz pārvaldes institucionālo struktūru.</w:t>
            </w:r>
          </w:p>
          <w:p w:rsidR="0023436E" w:rsidRPr="00A8300E" w:rsidRDefault="0023436E" w:rsidP="00CD43A9">
            <w:pPr>
              <w:pStyle w:val="naisf"/>
              <w:spacing w:before="0" w:after="0"/>
              <w:ind w:left="57" w:right="57" w:firstLine="0"/>
              <w:jc w:val="left"/>
            </w:pPr>
            <w:r w:rsidRPr="00A8300E">
              <w:t>Esošu institūciju reorganizācija</w:t>
            </w:r>
          </w:p>
        </w:tc>
        <w:tc>
          <w:tcPr>
            <w:tcW w:w="6237" w:type="dxa"/>
          </w:tcPr>
          <w:p w:rsidR="0023436E" w:rsidRPr="00A8300E" w:rsidRDefault="00FE54E4" w:rsidP="00CD43A9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A8300E">
              <w:rPr>
                <w:b w:val="0"/>
              </w:rPr>
              <w:t>Noteikumu projekts šo jomu neskar</w:t>
            </w:r>
          </w:p>
        </w:tc>
      </w:tr>
      <w:tr w:rsidR="0023436E" w:rsidRPr="00A8300E" w:rsidTr="00F34066">
        <w:trPr>
          <w:trHeight w:val="476"/>
        </w:trPr>
        <w:tc>
          <w:tcPr>
            <w:tcW w:w="374" w:type="dxa"/>
          </w:tcPr>
          <w:p w:rsidR="0023436E" w:rsidRPr="00A8300E" w:rsidRDefault="00F63DAC" w:rsidP="00CD43A9">
            <w:pPr>
              <w:pStyle w:val="naiskr"/>
              <w:spacing w:before="0" w:after="0"/>
              <w:ind w:left="57" w:right="57"/>
            </w:pPr>
            <w:r w:rsidRPr="00A8300E">
              <w:t>6</w:t>
            </w:r>
            <w:r w:rsidR="0023436E" w:rsidRPr="00A8300E">
              <w:t>.</w:t>
            </w:r>
          </w:p>
        </w:tc>
        <w:tc>
          <w:tcPr>
            <w:tcW w:w="3595" w:type="dxa"/>
          </w:tcPr>
          <w:p w:rsidR="0023436E" w:rsidRPr="00A8300E" w:rsidRDefault="006C4607" w:rsidP="00CD43A9">
            <w:pPr>
              <w:pStyle w:val="naiskr"/>
              <w:spacing w:before="0" w:after="0"/>
              <w:ind w:left="57" w:right="57"/>
            </w:pPr>
            <w:r w:rsidRPr="00A8300E">
              <w:t>Cita informācija</w:t>
            </w:r>
          </w:p>
        </w:tc>
        <w:tc>
          <w:tcPr>
            <w:tcW w:w="6237" w:type="dxa"/>
          </w:tcPr>
          <w:p w:rsidR="0023436E" w:rsidRPr="00A8300E" w:rsidRDefault="0023436E" w:rsidP="00CD43A9">
            <w:pPr>
              <w:pStyle w:val="naiskr"/>
              <w:spacing w:before="0" w:after="0"/>
              <w:ind w:left="57" w:right="57"/>
            </w:pPr>
            <w:r w:rsidRPr="00A8300E">
              <w:t>Nav</w:t>
            </w:r>
          </w:p>
        </w:tc>
      </w:tr>
    </w:tbl>
    <w:p w:rsidR="00214094" w:rsidRPr="00A8300E" w:rsidRDefault="00214094" w:rsidP="00CD43A9">
      <w:pPr>
        <w:pStyle w:val="naisf"/>
        <w:tabs>
          <w:tab w:val="left" w:pos="5760"/>
        </w:tabs>
        <w:spacing w:before="0" w:after="0"/>
        <w:ind w:firstLine="720"/>
      </w:pPr>
    </w:p>
    <w:p w:rsidR="00214094" w:rsidRDefault="002605AF" w:rsidP="002605AF">
      <w:pPr>
        <w:pStyle w:val="naisf"/>
        <w:tabs>
          <w:tab w:val="left" w:pos="5760"/>
        </w:tabs>
        <w:spacing w:before="0" w:after="0"/>
      </w:pPr>
      <w:r>
        <w:t>Iesniedzējs:</w:t>
      </w:r>
    </w:p>
    <w:p w:rsidR="002605AF" w:rsidRPr="00A8300E" w:rsidRDefault="002605AF" w:rsidP="002605AF">
      <w:pPr>
        <w:pStyle w:val="naisf"/>
        <w:tabs>
          <w:tab w:val="left" w:pos="5760"/>
        </w:tabs>
        <w:spacing w:before="0" w:after="0"/>
      </w:pPr>
    </w:p>
    <w:p w:rsidR="00FE54E4" w:rsidRPr="00A8300E" w:rsidRDefault="00FE54E4" w:rsidP="00CD43A9">
      <w:pPr>
        <w:pStyle w:val="naisf"/>
        <w:spacing w:before="0" w:after="0"/>
      </w:pPr>
      <w:r w:rsidRPr="00A8300E">
        <w:t xml:space="preserve">Izglītības un zinātnes ministrs </w:t>
      </w:r>
      <w:r w:rsidRPr="00A8300E">
        <w:tab/>
      </w:r>
      <w:r w:rsidRPr="00A8300E">
        <w:tab/>
      </w:r>
      <w:r w:rsidRPr="00A8300E">
        <w:tab/>
      </w:r>
      <w:r w:rsidRPr="00A8300E">
        <w:tab/>
      </w:r>
      <w:r w:rsidRPr="00A8300E">
        <w:tab/>
      </w:r>
      <w:proofErr w:type="spellStart"/>
      <w:r w:rsidRPr="00A8300E">
        <w:t>V.Dombrovskis</w:t>
      </w:r>
      <w:proofErr w:type="spellEnd"/>
    </w:p>
    <w:p w:rsidR="00FE54E4" w:rsidRPr="00A8300E" w:rsidRDefault="00FE54E4" w:rsidP="00CD43A9"/>
    <w:p w:rsidR="00FE54E4" w:rsidRPr="00A8300E" w:rsidRDefault="00FE54E4" w:rsidP="00CD43A9"/>
    <w:p w:rsidR="00FE54E4" w:rsidRPr="00A8300E" w:rsidRDefault="00FE54E4" w:rsidP="00CD43A9"/>
    <w:p w:rsidR="00464CC8" w:rsidRDefault="00FE54E4" w:rsidP="00464CC8">
      <w:pPr>
        <w:autoSpaceDE w:val="0"/>
        <w:autoSpaceDN w:val="0"/>
        <w:adjustRightInd w:val="0"/>
        <w:ind w:firstLine="426"/>
      </w:pPr>
      <w:r w:rsidRPr="00A8300E">
        <w:t xml:space="preserve">Vizē: </w:t>
      </w:r>
    </w:p>
    <w:p w:rsidR="00464CC8" w:rsidRDefault="00464CC8" w:rsidP="00464CC8">
      <w:pPr>
        <w:autoSpaceDE w:val="0"/>
        <w:autoSpaceDN w:val="0"/>
        <w:adjustRightInd w:val="0"/>
        <w:ind w:firstLine="426"/>
      </w:pPr>
    </w:p>
    <w:p w:rsidR="00464CC8" w:rsidRPr="00464CC8" w:rsidRDefault="00464CC8" w:rsidP="00464CC8">
      <w:pPr>
        <w:autoSpaceDE w:val="0"/>
        <w:autoSpaceDN w:val="0"/>
        <w:adjustRightInd w:val="0"/>
        <w:ind w:firstLine="426"/>
        <w:rPr>
          <w:color w:val="000000"/>
        </w:rPr>
      </w:pPr>
      <w:r w:rsidRPr="00464CC8">
        <w:rPr>
          <w:color w:val="000000"/>
        </w:rPr>
        <w:t>Politikas iniciatīvu un attīstības departamenta direktore,</w:t>
      </w:r>
    </w:p>
    <w:p w:rsidR="00FE54E4" w:rsidRPr="00FD4B4B" w:rsidRDefault="00464CC8" w:rsidP="00FD4B4B">
      <w:pPr>
        <w:autoSpaceDE w:val="0"/>
        <w:autoSpaceDN w:val="0"/>
        <w:adjustRightInd w:val="0"/>
        <w:ind w:firstLine="426"/>
        <w:rPr>
          <w:color w:val="000000"/>
        </w:rPr>
      </w:pPr>
      <w:r w:rsidRPr="00464CC8">
        <w:rPr>
          <w:color w:val="000000"/>
        </w:rPr>
        <w:t>valsts sekretā</w:t>
      </w:r>
      <w:r>
        <w:rPr>
          <w:color w:val="000000"/>
        </w:rPr>
        <w:t>res pienākumu izpildītāja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64CC8">
        <w:rPr>
          <w:color w:val="000000"/>
        </w:rPr>
        <w:t>L.Lejiņa</w:t>
      </w:r>
    </w:p>
    <w:p w:rsidR="00FE54E4" w:rsidRPr="00A8300E" w:rsidRDefault="00FE54E4" w:rsidP="00CD43A9"/>
    <w:p w:rsidR="00FE54E4" w:rsidRPr="00A8300E" w:rsidRDefault="00FE54E4" w:rsidP="00CD43A9"/>
    <w:p w:rsidR="00FE54E4" w:rsidRPr="00A8300E" w:rsidRDefault="00FE54E4" w:rsidP="00CD43A9"/>
    <w:p w:rsidR="00FE54E4" w:rsidRPr="00A8300E" w:rsidRDefault="00FE54E4" w:rsidP="00CD43A9"/>
    <w:p w:rsidR="00FE54E4" w:rsidRPr="002605AF" w:rsidRDefault="00B21AED" w:rsidP="00CD43A9">
      <w:pPr>
        <w:rPr>
          <w:lang w:val="de-DE"/>
        </w:rPr>
      </w:pPr>
      <w:r>
        <w:rPr>
          <w:lang w:val="de-DE"/>
        </w:rPr>
        <w:t>09</w:t>
      </w:r>
      <w:r w:rsidR="00633AA0">
        <w:rPr>
          <w:lang w:val="de-DE"/>
        </w:rPr>
        <w:t>.10</w:t>
      </w:r>
      <w:r w:rsidR="00FE54E4" w:rsidRPr="002605AF">
        <w:rPr>
          <w:lang w:val="de-DE"/>
        </w:rPr>
        <w:t>.2013.</w:t>
      </w:r>
      <w:r w:rsidR="002605AF">
        <w:rPr>
          <w:lang w:val="de-DE"/>
        </w:rPr>
        <w:t xml:space="preserve"> </w:t>
      </w:r>
      <w:r w:rsidR="00FD4B4B">
        <w:rPr>
          <w:lang w:val="de-DE"/>
        </w:rPr>
        <w:t>12:40</w:t>
      </w:r>
    </w:p>
    <w:p w:rsidR="00FE54E4" w:rsidRPr="002605AF" w:rsidRDefault="00464CC8" w:rsidP="00CD43A9">
      <w:r>
        <w:t>2251</w:t>
      </w:r>
    </w:p>
    <w:p w:rsidR="00FE54E4" w:rsidRPr="002605AF" w:rsidRDefault="00FE54E4" w:rsidP="00CD43A9">
      <w:pPr>
        <w:rPr>
          <w:lang w:val="de-DE"/>
        </w:rPr>
      </w:pPr>
      <w:bookmarkStart w:id="3" w:name="OLE_LINK10"/>
      <w:bookmarkStart w:id="4" w:name="OLE_LINK11"/>
      <w:r w:rsidRPr="002605AF">
        <w:rPr>
          <w:lang w:val="de-DE"/>
        </w:rPr>
        <w:t>Ailte</w:t>
      </w:r>
    </w:p>
    <w:p w:rsidR="002605AF" w:rsidRDefault="00FE54E4" w:rsidP="002605AF">
      <w:pPr>
        <w:rPr>
          <w:lang w:val="de-DE"/>
        </w:rPr>
      </w:pPr>
      <w:r w:rsidRPr="002605AF">
        <w:rPr>
          <w:lang w:val="de-DE"/>
        </w:rPr>
        <w:t>67047968, guna.ailte@izm.gov.lv</w:t>
      </w:r>
      <w:bookmarkEnd w:id="3"/>
      <w:bookmarkEnd w:id="4"/>
    </w:p>
    <w:p w:rsidR="0015060C" w:rsidRPr="002605AF" w:rsidRDefault="002605AF" w:rsidP="002605AF">
      <w:pPr>
        <w:rPr>
          <w:lang w:val="de-DE"/>
        </w:rPr>
      </w:pPr>
      <w:r>
        <w:t>Arāja</w:t>
      </w:r>
    </w:p>
    <w:p w:rsidR="002605AF" w:rsidRPr="00A8300E" w:rsidRDefault="002605AF" w:rsidP="002605AF">
      <w:pPr>
        <w:pStyle w:val="naisf"/>
        <w:tabs>
          <w:tab w:val="left" w:pos="6804"/>
        </w:tabs>
        <w:spacing w:before="0" w:after="0"/>
        <w:ind w:firstLine="0"/>
      </w:pPr>
      <w:r>
        <w:t xml:space="preserve">67047875, </w:t>
      </w:r>
      <w:bookmarkStart w:id="5" w:name="OLE_LINK3"/>
      <w:bookmarkStart w:id="6" w:name="OLE_LINK4"/>
      <w:r>
        <w:t>gunta.araja@izm.gov.lv</w:t>
      </w:r>
      <w:bookmarkEnd w:id="5"/>
      <w:bookmarkEnd w:id="6"/>
    </w:p>
    <w:sectPr w:rsidR="002605AF" w:rsidRPr="00A8300E" w:rsidSect="00C31E3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E1" w:rsidRDefault="006102E1">
      <w:r>
        <w:separator/>
      </w:r>
    </w:p>
  </w:endnote>
  <w:endnote w:type="continuationSeparator" w:id="0">
    <w:p w:rsidR="006102E1" w:rsidRDefault="0061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1A" w:rsidRPr="002605AF" w:rsidRDefault="009D5552" w:rsidP="002605AF">
    <w:pPr>
      <w:spacing w:before="100" w:beforeAutospacing="1" w:after="100" w:afterAutospacing="1"/>
      <w:jc w:val="both"/>
      <w:outlineLvl w:val="2"/>
      <w:rPr>
        <w:bCs/>
      </w:rPr>
    </w:pPr>
    <w:r>
      <w:t>I</w:t>
    </w:r>
    <w:r w:rsidR="00B21AED">
      <w:t>ZMAnot_09</w:t>
    </w:r>
    <w:r w:rsidR="00633AA0">
      <w:t>10</w:t>
    </w:r>
    <w:r w:rsidR="00020E1A">
      <w:t>13_LV05_1; Ministru kabineta noteikumu projekta „</w:t>
    </w:r>
    <w:r w:rsidR="00020E1A" w:rsidRPr="005653D4">
      <w:rPr>
        <w:bCs/>
      </w:rPr>
      <w:t xml:space="preserve">Eiropas Ekonomikas zonas finanšu instrumenta un Norvēģijas finanšu instrumenta 2009.–2014.gada perioda programmas </w:t>
    </w:r>
    <w:r w:rsidR="00020E1A" w:rsidRPr="005653D4">
      <w:t>„Pētniecība un stipendijas”</w:t>
    </w:r>
    <w:r w:rsidR="00020E1A" w:rsidRPr="005653D4">
      <w:rPr>
        <w:bCs/>
      </w:rPr>
      <w:t xml:space="preserve"> īstenošanas kārtība un divpusējas sadarbības fonda projektu iesniegumu </w:t>
    </w:r>
    <w:r w:rsidR="00020E1A">
      <w:rPr>
        <w:bCs/>
      </w:rPr>
      <w:t>atklāta konkursa nolikums”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1A" w:rsidRPr="007C1468" w:rsidRDefault="009D5552" w:rsidP="007C1468">
    <w:pPr>
      <w:spacing w:before="100" w:beforeAutospacing="1" w:after="100" w:afterAutospacing="1"/>
      <w:jc w:val="both"/>
      <w:outlineLvl w:val="2"/>
      <w:rPr>
        <w:bCs/>
      </w:rPr>
    </w:pPr>
    <w:r>
      <w:t>I</w:t>
    </w:r>
    <w:r w:rsidR="00B21AED">
      <w:t>ZMAnot_09</w:t>
    </w:r>
    <w:r w:rsidR="00633AA0">
      <w:t>10</w:t>
    </w:r>
    <w:r w:rsidR="00020E1A">
      <w:t>13_LV05_1; Ministru kabineta noteikumu projekta „</w:t>
    </w:r>
    <w:r w:rsidR="00020E1A" w:rsidRPr="005653D4">
      <w:rPr>
        <w:bCs/>
      </w:rPr>
      <w:t xml:space="preserve">Eiropas Ekonomikas zonas finanšu instrumenta un Norvēģijas finanšu instrumenta 2009.–2014.gada perioda programmas </w:t>
    </w:r>
    <w:r w:rsidR="00020E1A" w:rsidRPr="005653D4">
      <w:t>„Pētniecība un stipendijas”</w:t>
    </w:r>
    <w:r w:rsidR="00020E1A" w:rsidRPr="005653D4">
      <w:rPr>
        <w:bCs/>
      </w:rPr>
      <w:t xml:space="preserve"> īstenošanas kārtība un divpusējas sadarbības fonda projektu iesniegumu </w:t>
    </w:r>
    <w:r w:rsidR="00020E1A">
      <w:rPr>
        <w:bCs/>
      </w:rPr>
      <w:t>atklāta konkursa nolikums”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E1" w:rsidRDefault="006102E1">
      <w:r>
        <w:separator/>
      </w:r>
    </w:p>
  </w:footnote>
  <w:footnote w:type="continuationSeparator" w:id="0">
    <w:p w:rsidR="006102E1" w:rsidRDefault="00610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1A" w:rsidRDefault="00364C9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0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E1A" w:rsidRDefault="00020E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1A" w:rsidRDefault="00364C9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0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B4B">
      <w:rPr>
        <w:rStyle w:val="PageNumber"/>
        <w:noProof/>
      </w:rPr>
      <w:t>9</w:t>
    </w:r>
    <w:r>
      <w:rPr>
        <w:rStyle w:val="PageNumber"/>
      </w:rPr>
      <w:fldChar w:fldCharType="end"/>
    </w:r>
  </w:p>
  <w:p w:rsidR="00020E1A" w:rsidRDefault="00020E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9155A2"/>
    <w:multiLevelType w:val="hybridMultilevel"/>
    <w:tmpl w:val="77BAA9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06BE"/>
    <w:multiLevelType w:val="hybridMultilevel"/>
    <w:tmpl w:val="EE5E09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03A576A"/>
    <w:multiLevelType w:val="hybridMultilevel"/>
    <w:tmpl w:val="70EE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7A299E"/>
    <w:multiLevelType w:val="hybridMultilevel"/>
    <w:tmpl w:val="EE5E09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3589"/>
    <w:rsid w:val="00011807"/>
    <w:rsid w:val="00011D24"/>
    <w:rsid w:val="00013FF4"/>
    <w:rsid w:val="00020E1A"/>
    <w:rsid w:val="00020FE1"/>
    <w:rsid w:val="00022E13"/>
    <w:rsid w:val="00032388"/>
    <w:rsid w:val="00035CE2"/>
    <w:rsid w:val="000372C0"/>
    <w:rsid w:val="00040334"/>
    <w:rsid w:val="0004468E"/>
    <w:rsid w:val="00046264"/>
    <w:rsid w:val="0005553B"/>
    <w:rsid w:val="000604D2"/>
    <w:rsid w:val="000714D1"/>
    <w:rsid w:val="00073744"/>
    <w:rsid w:val="0009005E"/>
    <w:rsid w:val="000941C5"/>
    <w:rsid w:val="00096448"/>
    <w:rsid w:val="000978EA"/>
    <w:rsid w:val="000A082E"/>
    <w:rsid w:val="000A4949"/>
    <w:rsid w:val="000A6451"/>
    <w:rsid w:val="000B064E"/>
    <w:rsid w:val="000B3EE6"/>
    <w:rsid w:val="000B69CF"/>
    <w:rsid w:val="000C3909"/>
    <w:rsid w:val="000C627C"/>
    <w:rsid w:val="000C790C"/>
    <w:rsid w:val="000D4AE6"/>
    <w:rsid w:val="000F0374"/>
    <w:rsid w:val="000F061D"/>
    <w:rsid w:val="000F407E"/>
    <w:rsid w:val="000F4794"/>
    <w:rsid w:val="00103AD9"/>
    <w:rsid w:val="00107AD6"/>
    <w:rsid w:val="00110F19"/>
    <w:rsid w:val="00124F12"/>
    <w:rsid w:val="00125F99"/>
    <w:rsid w:val="00127100"/>
    <w:rsid w:val="00144E3A"/>
    <w:rsid w:val="001465C3"/>
    <w:rsid w:val="0015060C"/>
    <w:rsid w:val="00150963"/>
    <w:rsid w:val="0016018A"/>
    <w:rsid w:val="00161F0E"/>
    <w:rsid w:val="00170E2A"/>
    <w:rsid w:val="0017613D"/>
    <w:rsid w:val="00177394"/>
    <w:rsid w:val="001823D6"/>
    <w:rsid w:val="00182C18"/>
    <w:rsid w:val="00183CC2"/>
    <w:rsid w:val="00186054"/>
    <w:rsid w:val="001900E4"/>
    <w:rsid w:val="00190F88"/>
    <w:rsid w:val="001A4066"/>
    <w:rsid w:val="001A488C"/>
    <w:rsid w:val="001A6AE4"/>
    <w:rsid w:val="001B01FD"/>
    <w:rsid w:val="001B4A71"/>
    <w:rsid w:val="001D4B09"/>
    <w:rsid w:val="001D5B54"/>
    <w:rsid w:val="001E1DBF"/>
    <w:rsid w:val="001E4639"/>
    <w:rsid w:val="001E4A7D"/>
    <w:rsid w:val="001F26F1"/>
    <w:rsid w:val="001F3F19"/>
    <w:rsid w:val="001F4209"/>
    <w:rsid w:val="001F43A8"/>
    <w:rsid w:val="001F5CD6"/>
    <w:rsid w:val="0021159A"/>
    <w:rsid w:val="0021263D"/>
    <w:rsid w:val="00212CD0"/>
    <w:rsid w:val="00213F0C"/>
    <w:rsid w:val="00214094"/>
    <w:rsid w:val="00214454"/>
    <w:rsid w:val="0021592D"/>
    <w:rsid w:val="00216153"/>
    <w:rsid w:val="002165F0"/>
    <w:rsid w:val="00222D76"/>
    <w:rsid w:val="00223EB1"/>
    <w:rsid w:val="00223F33"/>
    <w:rsid w:val="00231344"/>
    <w:rsid w:val="0023436E"/>
    <w:rsid w:val="002347C0"/>
    <w:rsid w:val="00241A6C"/>
    <w:rsid w:val="00242D2B"/>
    <w:rsid w:val="00250E3E"/>
    <w:rsid w:val="002605AF"/>
    <w:rsid w:val="00262E2B"/>
    <w:rsid w:val="00263495"/>
    <w:rsid w:val="002635AC"/>
    <w:rsid w:val="00265A0B"/>
    <w:rsid w:val="00270429"/>
    <w:rsid w:val="002723E9"/>
    <w:rsid w:val="00277929"/>
    <w:rsid w:val="00283B82"/>
    <w:rsid w:val="002846E9"/>
    <w:rsid w:val="00284C34"/>
    <w:rsid w:val="0029066C"/>
    <w:rsid w:val="002A4856"/>
    <w:rsid w:val="002B0B4C"/>
    <w:rsid w:val="002B3799"/>
    <w:rsid w:val="002B50DB"/>
    <w:rsid w:val="002B723F"/>
    <w:rsid w:val="002C12AB"/>
    <w:rsid w:val="002C7CAC"/>
    <w:rsid w:val="002D3306"/>
    <w:rsid w:val="002D48AA"/>
    <w:rsid w:val="002D7BAA"/>
    <w:rsid w:val="002D7F54"/>
    <w:rsid w:val="002E3FF4"/>
    <w:rsid w:val="002E5EB1"/>
    <w:rsid w:val="002F78C8"/>
    <w:rsid w:val="002F7CA9"/>
    <w:rsid w:val="00301CF3"/>
    <w:rsid w:val="00310D4C"/>
    <w:rsid w:val="00322F00"/>
    <w:rsid w:val="00323D9D"/>
    <w:rsid w:val="003263BA"/>
    <w:rsid w:val="0032715C"/>
    <w:rsid w:val="00337CA5"/>
    <w:rsid w:val="00351AE8"/>
    <w:rsid w:val="003618AA"/>
    <w:rsid w:val="00362478"/>
    <w:rsid w:val="00363DD0"/>
    <w:rsid w:val="00364C96"/>
    <w:rsid w:val="00375B25"/>
    <w:rsid w:val="0038132C"/>
    <w:rsid w:val="00396469"/>
    <w:rsid w:val="00396542"/>
    <w:rsid w:val="0039685B"/>
    <w:rsid w:val="003A31A6"/>
    <w:rsid w:val="003A7F0C"/>
    <w:rsid w:val="003A7F79"/>
    <w:rsid w:val="003B6404"/>
    <w:rsid w:val="003C3F12"/>
    <w:rsid w:val="003C449B"/>
    <w:rsid w:val="003D21FF"/>
    <w:rsid w:val="003D3F61"/>
    <w:rsid w:val="003F0112"/>
    <w:rsid w:val="003F071A"/>
    <w:rsid w:val="003F160B"/>
    <w:rsid w:val="003F5B14"/>
    <w:rsid w:val="00400032"/>
    <w:rsid w:val="00400B5B"/>
    <w:rsid w:val="00402081"/>
    <w:rsid w:val="00405091"/>
    <w:rsid w:val="00405A00"/>
    <w:rsid w:val="00411C35"/>
    <w:rsid w:val="00420870"/>
    <w:rsid w:val="0042747A"/>
    <w:rsid w:val="00432D0C"/>
    <w:rsid w:val="0043791B"/>
    <w:rsid w:val="00441483"/>
    <w:rsid w:val="00441BCB"/>
    <w:rsid w:val="0045176A"/>
    <w:rsid w:val="00456332"/>
    <w:rsid w:val="00461826"/>
    <w:rsid w:val="00464CC8"/>
    <w:rsid w:val="00467296"/>
    <w:rsid w:val="004705D7"/>
    <w:rsid w:val="0047368B"/>
    <w:rsid w:val="004800F9"/>
    <w:rsid w:val="0048371E"/>
    <w:rsid w:val="00487838"/>
    <w:rsid w:val="00490D56"/>
    <w:rsid w:val="0049134A"/>
    <w:rsid w:val="004924E5"/>
    <w:rsid w:val="004A58CB"/>
    <w:rsid w:val="004B1795"/>
    <w:rsid w:val="004B2CA6"/>
    <w:rsid w:val="004B56DD"/>
    <w:rsid w:val="004C020F"/>
    <w:rsid w:val="004C1AFD"/>
    <w:rsid w:val="004C558B"/>
    <w:rsid w:val="004D2677"/>
    <w:rsid w:val="004F18E0"/>
    <w:rsid w:val="004F1F88"/>
    <w:rsid w:val="004F5F1B"/>
    <w:rsid w:val="00502374"/>
    <w:rsid w:val="005060A1"/>
    <w:rsid w:val="005077C2"/>
    <w:rsid w:val="005121CA"/>
    <w:rsid w:val="00516072"/>
    <w:rsid w:val="005332EC"/>
    <w:rsid w:val="00534418"/>
    <w:rsid w:val="005353AB"/>
    <w:rsid w:val="00536881"/>
    <w:rsid w:val="00551F02"/>
    <w:rsid w:val="005523C3"/>
    <w:rsid w:val="005560BC"/>
    <w:rsid w:val="005569A6"/>
    <w:rsid w:val="005573BE"/>
    <w:rsid w:val="005678D8"/>
    <w:rsid w:val="00572700"/>
    <w:rsid w:val="0057299A"/>
    <w:rsid w:val="00577BD9"/>
    <w:rsid w:val="00580468"/>
    <w:rsid w:val="00582231"/>
    <w:rsid w:val="0058603B"/>
    <w:rsid w:val="005870C4"/>
    <w:rsid w:val="0059431B"/>
    <w:rsid w:val="005A39CC"/>
    <w:rsid w:val="005A6803"/>
    <w:rsid w:val="005B4730"/>
    <w:rsid w:val="005D0BB2"/>
    <w:rsid w:val="005E05D7"/>
    <w:rsid w:val="005E41E7"/>
    <w:rsid w:val="005E450F"/>
    <w:rsid w:val="006102E1"/>
    <w:rsid w:val="0062298A"/>
    <w:rsid w:val="00626514"/>
    <w:rsid w:val="00626589"/>
    <w:rsid w:val="006339A0"/>
    <w:rsid w:val="00633AA0"/>
    <w:rsid w:val="00637FCA"/>
    <w:rsid w:val="006413A8"/>
    <w:rsid w:val="00641446"/>
    <w:rsid w:val="00642E56"/>
    <w:rsid w:val="00644936"/>
    <w:rsid w:val="00644F10"/>
    <w:rsid w:val="00645B75"/>
    <w:rsid w:val="00651E00"/>
    <w:rsid w:val="00666ACE"/>
    <w:rsid w:val="00673B25"/>
    <w:rsid w:val="00674572"/>
    <w:rsid w:val="00687763"/>
    <w:rsid w:val="00692B0D"/>
    <w:rsid w:val="00693E0E"/>
    <w:rsid w:val="006A1AE3"/>
    <w:rsid w:val="006A4340"/>
    <w:rsid w:val="006C1A36"/>
    <w:rsid w:val="006C30E1"/>
    <w:rsid w:val="006C4607"/>
    <w:rsid w:val="006D2CF8"/>
    <w:rsid w:val="006D48F1"/>
    <w:rsid w:val="006D583D"/>
    <w:rsid w:val="006D6D1E"/>
    <w:rsid w:val="006F45BE"/>
    <w:rsid w:val="007004FC"/>
    <w:rsid w:val="00700F3B"/>
    <w:rsid w:val="00703AB1"/>
    <w:rsid w:val="00705A99"/>
    <w:rsid w:val="00706670"/>
    <w:rsid w:val="00711F59"/>
    <w:rsid w:val="00714FAD"/>
    <w:rsid w:val="0072417C"/>
    <w:rsid w:val="00734450"/>
    <w:rsid w:val="00745F67"/>
    <w:rsid w:val="0075039E"/>
    <w:rsid w:val="00752D9D"/>
    <w:rsid w:val="00754784"/>
    <w:rsid w:val="00757C6E"/>
    <w:rsid w:val="00757CA8"/>
    <w:rsid w:val="00760FA2"/>
    <w:rsid w:val="00762BDA"/>
    <w:rsid w:val="007770FA"/>
    <w:rsid w:val="007805FD"/>
    <w:rsid w:val="00784422"/>
    <w:rsid w:val="0079540F"/>
    <w:rsid w:val="007B3B54"/>
    <w:rsid w:val="007B3FA0"/>
    <w:rsid w:val="007B4754"/>
    <w:rsid w:val="007C0F2C"/>
    <w:rsid w:val="007C1468"/>
    <w:rsid w:val="007C189E"/>
    <w:rsid w:val="007C2BCC"/>
    <w:rsid w:val="007C4EF0"/>
    <w:rsid w:val="007C6082"/>
    <w:rsid w:val="007D099D"/>
    <w:rsid w:val="007D1722"/>
    <w:rsid w:val="007E101E"/>
    <w:rsid w:val="007E2664"/>
    <w:rsid w:val="007E3ABF"/>
    <w:rsid w:val="007E5BFA"/>
    <w:rsid w:val="007E6689"/>
    <w:rsid w:val="007E731C"/>
    <w:rsid w:val="007F0A03"/>
    <w:rsid w:val="007F5D21"/>
    <w:rsid w:val="00810040"/>
    <w:rsid w:val="00810350"/>
    <w:rsid w:val="008112D7"/>
    <w:rsid w:val="008167CF"/>
    <w:rsid w:val="0082023A"/>
    <w:rsid w:val="00821A7A"/>
    <w:rsid w:val="008224E9"/>
    <w:rsid w:val="008253F8"/>
    <w:rsid w:val="008254F6"/>
    <w:rsid w:val="0082604A"/>
    <w:rsid w:val="008325E4"/>
    <w:rsid w:val="00832A2B"/>
    <w:rsid w:val="00845811"/>
    <w:rsid w:val="00846994"/>
    <w:rsid w:val="00850451"/>
    <w:rsid w:val="00852042"/>
    <w:rsid w:val="008534C9"/>
    <w:rsid w:val="0085599D"/>
    <w:rsid w:val="00860470"/>
    <w:rsid w:val="0087510C"/>
    <w:rsid w:val="00880FAD"/>
    <w:rsid w:val="00893786"/>
    <w:rsid w:val="008968D2"/>
    <w:rsid w:val="0089738E"/>
    <w:rsid w:val="008A4FBE"/>
    <w:rsid w:val="008B5FDB"/>
    <w:rsid w:val="008C50F4"/>
    <w:rsid w:val="008C5649"/>
    <w:rsid w:val="008C63AB"/>
    <w:rsid w:val="008C650A"/>
    <w:rsid w:val="008C7625"/>
    <w:rsid w:val="008D2B24"/>
    <w:rsid w:val="008D6A0A"/>
    <w:rsid w:val="008E060E"/>
    <w:rsid w:val="008E21EC"/>
    <w:rsid w:val="008E3DE9"/>
    <w:rsid w:val="008E44A2"/>
    <w:rsid w:val="008E697D"/>
    <w:rsid w:val="008E787D"/>
    <w:rsid w:val="00903263"/>
    <w:rsid w:val="00903DC7"/>
    <w:rsid w:val="00906A21"/>
    <w:rsid w:val="009079C3"/>
    <w:rsid w:val="00910462"/>
    <w:rsid w:val="00915AB1"/>
    <w:rsid w:val="00917532"/>
    <w:rsid w:val="009235BA"/>
    <w:rsid w:val="00924023"/>
    <w:rsid w:val="00924C83"/>
    <w:rsid w:val="00924CE2"/>
    <w:rsid w:val="00925380"/>
    <w:rsid w:val="00925B9F"/>
    <w:rsid w:val="009277F7"/>
    <w:rsid w:val="00930415"/>
    <w:rsid w:val="00931AED"/>
    <w:rsid w:val="00932437"/>
    <w:rsid w:val="00945D6F"/>
    <w:rsid w:val="00946D51"/>
    <w:rsid w:val="009476A3"/>
    <w:rsid w:val="0095334F"/>
    <w:rsid w:val="00963E39"/>
    <w:rsid w:val="00965897"/>
    <w:rsid w:val="0096765C"/>
    <w:rsid w:val="00971918"/>
    <w:rsid w:val="009727E4"/>
    <w:rsid w:val="00980A8C"/>
    <w:rsid w:val="009909E2"/>
    <w:rsid w:val="009912CE"/>
    <w:rsid w:val="009934C5"/>
    <w:rsid w:val="00994C0F"/>
    <w:rsid w:val="00995AE0"/>
    <w:rsid w:val="009A25B7"/>
    <w:rsid w:val="009A3D25"/>
    <w:rsid w:val="009B22D7"/>
    <w:rsid w:val="009B3040"/>
    <w:rsid w:val="009B3CE4"/>
    <w:rsid w:val="009B72ED"/>
    <w:rsid w:val="009C1BC5"/>
    <w:rsid w:val="009C20BF"/>
    <w:rsid w:val="009C476A"/>
    <w:rsid w:val="009C6DEB"/>
    <w:rsid w:val="009D457C"/>
    <w:rsid w:val="009D5370"/>
    <w:rsid w:val="009D5552"/>
    <w:rsid w:val="009D6504"/>
    <w:rsid w:val="009E12D7"/>
    <w:rsid w:val="009E661A"/>
    <w:rsid w:val="009F0ACF"/>
    <w:rsid w:val="00A06781"/>
    <w:rsid w:val="00A074C3"/>
    <w:rsid w:val="00A12066"/>
    <w:rsid w:val="00A1509C"/>
    <w:rsid w:val="00A15698"/>
    <w:rsid w:val="00A20FE7"/>
    <w:rsid w:val="00A249B9"/>
    <w:rsid w:val="00A34260"/>
    <w:rsid w:val="00A375D7"/>
    <w:rsid w:val="00A45C34"/>
    <w:rsid w:val="00A500A6"/>
    <w:rsid w:val="00A56710"/>
    <w:rsid w:val="00A66E66"/>
    <w:rsid w:val="00A70CFD"/>
    <w:rsid w:val="00A72A0B"/>
    <w:rsid w:val="00A81E42"/>
    <w:rsid w:val="00A8300E"/>
    <w:rsid w:val="00A864FE"/>
    <w:rsid w:val="00A86F41"/>
    <w:rsid w:val="00A87D04"/>
    <w:rsid w:val="00A92F04"/>
    <w:rsid w:val="00A950C5"/>
    <w:rsid w:val="00AA1D25"/>
    <w:rsid w:val="00AB2B1A"/>
    <w:rsid w:val="00AB397F"/>
    <w:rsid w:val="00AB5832"/>
    <w:rsid w:val="00AB6DE1"/>
    <w:rsid w:val="00AC51F2"/>
    <w:rsid w:val="00AD3269"/>
    <w:rsid w:val="00AE5066"/>
    <w:rsid w:val="00AE5E24"/>
    <w:rsid w:val="00AE61B7"/>
    <w:rsid w:val="00AE6CBA"/>
    <w:rsid w:val="00AE79AD"/>
    <w:rsid w:val="00AF35E4"/>
    <w:rsid w:val="00AF3E92"/>
    <w:rsid w:val="00AF5CDE"/>
    <w:rsid w:val="00AF7A50"/>
    <w:rsid w:val="00B070CE"/>
    <w:rsid w:val="00B11A57"/>
    <w:rsid w:val="00B211C3"/>
    <w:rsid w:val="00B21AED"/>
    <w:rsid w:val="00B25597"/>
    <w:rsid w:val="00B267B9"/>
    <w:rsid w:val="00B338E6"/>
    <w:rsid w:val="00B33E09"/>
    <w:rsid w:val="00B50708"/>
    <w:rsid w:val="00B50C68"/>
    <w:rsid w:val="00B51293"/>
    <w:rsid w:val="00B52B1E"/>
    <w:rsid w:val="00B553F8"/>
    <w:rsid w:val="00B55481"/>
    <w:rsid w:val="00B56C32"/>
    <w:rsid w:val="00B57ACF"/>
    <w:rsid w:val="00B64BB1"/>
    <w:rsid w:val="00B73166"/>
    <w:rsid w:val="00B8426C"/>
    <w:rsid w:val="00B867FE"/>
    <w:rsid w:val="00B91B8D"/>
    <w:rsid w:val="00B94E90"/>
    <w:rsid w:val="00BA5A46"/>
    <w:rsid w:val="00BB0A82"/>
    <w:rsid w:val="00BB7C94"/>
    <w:rsid w:val="00BC0A9D"/>
    <w:rsid w:val="00BC430E"/>
    <w:rsid w:val="00BF293C"/>
    <w:rsid w:val="00BF40ED"/>
    <w:rsid w:val="00BF5BC2"/>
    <w:rsid w:val="00C1133D"/>
    <w:rsid w:val="00C128D2"/>
    <w:rsid w:val="00C25366"/>
    <w:rsid w:val="00C27A08"/>
    <w:rsid w:val="00C31312"/>
    <w:rsid w:val="00C31E36"/>
    <w:rsid w:val="00C326C6"/>
    <w:rsid w:val="00C35295"/>
    <w:rsid w:val="00C3692F"/>
    <w:rsid w:val="00C36ADD"/>
    <w:rsid w:val="00C36E74"/>
    <w:rsid w:val="00C40595"/>
    <w:rsid w:val="00C41621"/>
    <w:rsid w:val="00C4396B"/>
    <w:rsid w:val="00C43FA3"/>
    <w:rsid w:val="00C449FA"/>
    <w:rsid w:val="00C5384F"/>
    <w:rsid w:val="00C54C87"/>
    <w:rsid w:val="00C56964"/>
    <w:rsid w:val="00C656D5"/>
    <w:rsid w:val="00C67103"/>
    <w:rsid w:val="00C70FE9"/>
    <w:rsid w:val="00C71BB9"/>
    <w:rsid w:val="00C75EE5"/>
    <w:rsid w:val="00C94C28"/>
    <w:rsid w:val="00CA0CE7"/>
    <w:rsid w:val="00CA20D4"/>
    <w:rsid w:val="00CA65B1"/>
    <w:rsid w:val="00CB0247"/>
    <w:rsid w:val="00CB3440"/>
    <w:rsid w:val="00CC03F9"/>
    <w:rsid w:val="00CC1692"/>
    <w:rsid w:val="00CD138B"/>
    <w:rsid w:val="00CD3E31"/>
    <w:rsid w:val="00CD43A9"/>
    <w:rsid w:val="00CD74A3"/>
    <w:rsid w:val="00CE0527"/>
    <w:rsid w:val="00CE5B23"/>
    <w:rsid w:val="00CE7732"/>
    <w:rsid w:val="00CF4AE6"/>
    <w:rsid w:val="00CF4FB7"/>
    <w:rsid w:val="00CF6AE8"/>
    <w:rsid w:val="00CF70AD"/>
    <w:rsid w:val="00CF7729"/>
    <w:rsid w:val="00D00059"/>
    <w:rsid w:val="00D026AC"/>
    <w:rsid w:val="00D043C3"/>
    <w:rsid w:val="00D107FA"/>
    <w:rsid w:val="00D12275"/>
    <w:rsid w:val="00D12766"/>
    <w:rsid w:val="00D20FF4"/>
    <w:rsid w:val="00D24D2C"/>
    <w:rsid w:val="00D2650D"/>
    <w:rsid w:val="00D35881"/>
    <w:rsid w:val="00D469B4"/>
    <w:rsid w:val="00D50AA7"/>
    <w:rsid w:val="00D569ED"/>
    <w:rsid w:val="00D60127"/>
    <w:rsid w:val="00D74B88"/>
    <w:rsid w:val="00D80572"/>
    <w:rsid w:val="00D8391F"/>
    <w:rsid w:val="00D85766"/>
    <w:rsid w:val="00D86577"/>
    <w:rsid w:val="00DA4382"/>
    <w:rsid w:val="00DA7DA5"/>
    <w:rsid w:val="00DB073B"/>
    <w:rsid w:val="00DB78F0"/>
    <w:rsid w:val="00DC0CEA"/>
    <w:rsid w:val="00DC2E43"/>
    <w:rsid w:val="00DD095C"/>
    <w:rsid w:val="00DD1020"/>
    <w:rsid w:val="00DD1330"/>
    <w:rsid w:val="00DD66E7"/>
    <w:rsid w:val="00DE0B83"/>
    <w:rsid w:val="00DE1A81"/>
    <w:rsid w:val="00DE1C13"/>
    <w:rsid w:val="00DE30B8"/>
    <w:rsid w:val="00DE4E10"/>
    <w:rsid w:val="00DF22DE"/>
    <w:rsid w:val="00DF27C2"/>
    <w:rsid w:val="00E008BF"/>
    <w:rsid w:val="00E02ABF"/>
    <w:rsid w:val="00E07AFF"/>
    <w:rsid w:val="00E14995"/>
    <w:rsid w:val="00E179CD"/>
    <w:rsid w:val="00E2027A"/>
    <w:rsid w:val="00E22E51"/>
    <w:rsid w:val="00E23E8D"/>
    <w:rsid w:val="00E31805"/>
    <w:rsid w:val="00E358EE"/>
    <w:rsid w:val="00E37F98"/>
    <w:rsid w:val="00E46559"/>
    <w:rsid w:val="00E6670C"/>
    <w:rsid w:val="00E66F9C"/>
    <w:rsid w:val="00E72DA0"/>
    <w:rsid w:val="00E776E8"/>
    <w:rsid w:val="00E8450C"/>
    <w:rsid w:val="00E84B52"/>
    <w:rsid w:val="00E92C1F"/>
    <w:rsid w:val="00E95D4B"/>
    <w:rsid w:val="00E97FE8"/>
    <w:rsid w:val="00EB199F"/>
    <w:rsid w:val="00EB387A"/>
    <w:rsid w:val="00EC23F7"/>
    <w:rsid w:val="00EC4BD8"/>
    <w:rsid w:val="00EC4E4C"/>
    <w:rsid w:val="00EC63EB"/>
    <w:rsid w:val="00ED412F"/>
    <w:rsid w:val="00EF12BD"/>
    <w:rsid w:val="00EF36B2"/>
    <w:rsid w:val="00F05754"/>
    <w:rsid w:val="00F1246B"/>
    <w:rsid w:val="00F201EC"/>
    <w:rsid w:val="00F208A9"/>
    <w:rsid w:val="00F32E8D"/>
    <w:rsid w:val="00F34066"/>
    <w:rsid w:val="00F3712B"/>
    <w:rsid w:val="00F41D75"/>
    <w:rsid w:val="00F45C1A"/>
    <w:rsid w:val="00F5139D"/>
    <w:rsid w:val="00F63DAC"/>
    <w:rsid w:val="00F64258"/>
    <w:rsid w:val="00F671A1"/>
    <w:rsid w:val="00F7454F"/>
    <w:rsid w:val="00F77988"/>
    <w:rsid w:val="00F77F48"/>
    <w:rsid w:val="00FA6821"/>
    <w:rsid w:val="00FB16BB"/>
    <w:rsid w:val="00FB30F1"/>
    <w:rsid w:val="00FB53E7"/>
    <w:rsid w:val="00FC6366"/>
    <w:rsid w:val="00FC6E30"/>
    <w:rsid w:val="00FD0E82"/>
    <w:rsid w:val="00FD22AB"/>
    <w:rsid w:val="00FD2A8A"/>
    <w:rsid w:val="00FD4B4B"/>
    <w:rsid w:val="00FD535D"/>
    <w:rsid w:val="00FE12DB"/>
    <w:rsid w:val="00FE54E4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49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uiPriority w:val="99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D80572"/>
    <w:pPr>
      <w:spacing w:before="100" w:beforeAutospacing="1" w:after="100" w:afterAutospacing="1"/>
    </w:pPr>
  </w:style>
  <w:style w:type="paragraph" w:customStyle="1" w:styleId="tvhtml1">
    <w:name w:val="tv_html1"/>
    <w:basedOn w:val="Normal"/>
    <w:rsid w:val="008224E9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3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88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D4FF9-3781-4DE1-A282-9082C252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11919</Words>
  <Characters>6795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IZMAnot_071013_LV05_1</vt:lpstr>
    </vt:vector>
  </TitlesOfParts>
  <Company>IZM</Company>
  <LinksUpToDate>false</LinksUpToDate>
  <CharactersWithSpaces>18677</CharactersWithSpaces>
  <SharedDoc>false</SharedDoc>
  <HLinks>
    <vt:vector size="6" baseType="variant">
      <vt:variant>
        <vt:i4>8061007</vt:i4>
      </vt:variant>
      <vt:variant>
        <vt:i4>0</vt:i4>
      </vt:variant>
      <vt:variant>
        <vt:i4>0</vt:i4>
      </vt:variant>
      <vt:variant>
        <vt:i4>5</vt:i4>
      </vt:variant>
      <vt:variant>
        <vt:lpwstr>mailto:guna.ailte@izm.gov.lv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IZMAnot_091013_LV05_1</dc:title>
  <dc:subject>MK noteikumu projekta anotācija</dc:subject>
  <dc:creator>Gunta Arāja</dc:creator>
  <dc:description>tālr.67047875_x000d_
gunta.araja@izm.gov.lv</dc:description>
  <cp:lastModifiedBy>gputnina</cp:lastModifiedBy>
  <cp:revision>8</cp:revision>
  <cp:lastPrinted>2010-01-04T11:31:00Z</cp:lastPrinted>
  <dcterms:created xsi:type="dcterms:W3CDTF">2013-10-07T13:10:00Z</dcterms:created>
  <dcterms:modified xsi:type="dcterms:W3CDTF">2013-10-09T09:38:00Z</dcterms:modified>
</cp:coreProperties>
</file>